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59C5">
      <w:pPr>
        <w:snapToGrid w:val="0"/>
        <w:spacing w:line="360" w:lineRule="auto"/>
        <w:jc w:val="center"/>
        <w:rPr>
          <w:rFonts w:hint="eastAsia" w:ascii="宋体" w:hAnsi="宋体" w:eastAsia="宋体" w:cs="宋体"/>
          <w:b/>
          <w:color w:val="auto"/>
          <w:sz w:val="24"/>
          <w:highlight w:val="none"/>
          <w:lang w:eastAsia="zh-CN"/>
        </w:rPr>
      </w:pPr>
    </w:p>
    <w:p w14:paraId="0758878F">
      <w:pPr>
        <w:snapToGrid w:val="0"/>
        <w:spacing w:line="360" w:lineRule="auto"/>
        <w:jc w:val="center"/>
        <w:rPr>
          <w:rFonts w:hint="eastAsia" w:ascii="宋体" w:hAnsi="宋体" w:eastAsia="宋体" w:cs="宋体"/>
          <w:b/>
          <w:color w:val="auto"/>
          <w:sz w:val="24"/>
          <w:highlight w:val="none"/>
        </w:rPr>
      </w:pPr>
    </w:p>
    <w:p w14:paraId="2CB16A8E">
      <w:pPr>
        <w:snapToGrid w:val="0"/>
        <w:spacing w:line="360" w:lineRule="auto"/>
        <w:jc w:val="center"/>
        <w:rPr>
          <w:rFonts w:hint="eastAsia" w:ascii="宋体" w:hAnsi="宋体" w:eastAsia="宋体" w:cs="宋体"/>
          <w:b/>
          <w:color w:val="auto"/>
          <w:sz w:val="52"/>
          <w:szCs w:val="52"/>
          <w:highlight w:val="none"/>
        </w:rPr>
      </w:pPr>
    </w:p>
    <w:p w14:paraId="165DF070">
      <w:pPr>
        <w:snapToGrid w:val="0"/>
        <w:spacing w:line="360" w:lineRule="auto"/>
        <w:jc w:val="center"/>
        <w:rPr>
          <w:rStyle w:val="39"/>
          <w:rFonts w:hint="eastAsia" w:ascii="宋体" w:hAnsi="宋体" w:eastAsia="宋体" w:cs="宋体"/>
          <w:color w:val="auto"/>
          <w:sz w:val="52"/>
          <w:szCs w:val="52"/>
          <w:highlight w:val="none"/>
        </w:rPr>
      </w:pPr>
      <w:r>
        <w:rPr>
          <w:rFonts w:hint="eastAsia" w:ascii="宋体" w:hAnsi="宋体" w:eastAsia="宋体" w:cs="宋体"/>
          <w:b/>
          <w:color w:val="auto"/>
          <w:sz w:val="52"/>
          <w:szCs w:val="52"/>
          <w:highlight w:val="none"/>
        </w:rPr>
        <w:t>竞 争 性 磋 商 文 件</w:t>
      </w:r>
    </w:p>
    <w:p w14:paraId="5598F758">
      <w:pPr>
        <w:snapToGrid w:val="0"/>
        <w:spacing w:line="360" w:lineRule="auto"/>
        <w:jc w:val="center"/>
        <w:rPr>
          <w:rStyle w:val="39"/>
          <w:rFonts w:hint="eastAsia" w:ascii="宋体" w:hAnsi="宋体" w:eastAsia="宋体" w:cs="宋体"/>
          <w:b w:val="0"/>
          <w:bCs/>
          <w:color w:val="auto"/>
          <w:sz w:val="24"/>
          <w:szCs w:val="24"/>
          <w:highlight w:val="none"/>
        </w:rPr>
      </w:pPr>
    </w:p>
    <w:p w14:paraId="63E3F2D8">
      <w:pPr>
        <w:snapToGrid w:val="0"/>
        <w:spacing w:line="360" w:lineRule="auto"/>
        <w:jc w:val="center"/>
        <w:rPr>
          <w:rStyle w:val="39"/>
          <w:rFonts w:hint="eastAsia" w:ascii="宋体" w:hAnsi="宋体" w:eastAsia="宋体" w:cs="宋体"/>
          <w:b w:val="0"/>
          <w:bCs/>
          <w:color w:val="auto"/>
          <w:sz w:val="24"/>
          <w:szCs w:val="24"/>
          <w:highlight w:val="none"/>
        </w:rPr>
      </w:pPr>
    </w:p>
    <w:p w14:paraId="14A4B564">
      <w:pPr>
        <w:pStyle w:val="31"/>
        <w:spacing w:line="360" w:lineRule="auto"/>
        <w:rPr>
          <w:rStyle w:val="39"/>
          <w:rFonts w:hint="eastAsia" w:ascii="宋体" w:hAnsi="宋体" w:eastAsia="宋体" w:cs="宋体"/>
          <w:b w:val="0"/>
          <w:bCs/>
          <w:color w:val="auto"/>
          <w:sz w:val="24"/>
          <w:szCs w:val="24"/>
          <w:highlight w:val="none"/>
        </w:rPr>
      </w:pPr>
      <w:bookmarkStart w:id="324" w:name="_GoBack"/>
      <w:bookmarkEnd w:id="324"/>
    </w:p>
    <w:p w14:paraId="6E06D197">
      <w:pPr>
        <w:spacing w:line="360" w:lineRule="auto"/>
        <w:rPr>
          <w:rStyle w:val="39"/>
          <w:rFonts w:hint="eastAsia" w:ascii="宋体" w:hAnsi="宋体" w:eastAsia="宋体" w:cs="宋体"/>
          <w:b w:val="0"/>
          <w:bCs/>
          <w:color w:val="auto"/>
          <w:sz w:val="24"/>
          <w:szCs w:val="24"/>
          <w:highlight w:val="none"/>
          <w:lang w:eastAsia="zh-CN"/>
        </w:rPr>
      </w:pPr>
    </w:p>
    <w:p w14:paraId="2515D646">
      <w:pPr>
        <w:pStyle w:val="31"/>
        <w:spacing w:line="360" w:lineRule="auto"/>
        <w:rPr>
          <w:rStyle w:val="39"/>
          <w:rFonts w:hint="eastAsia" w:ascii="宋体" w:hAnsi="宋体" w:eastAsia="宋体" w:cs="宋体"/>
          <w:b w:val="0"/>
          <w:bCs/>
          <w:color w:val="auto"/>
          <w:sz w:val="24"/>
          <w:szCs w:val="24"/>
          <w:highlight w:val="none"/>
        </w:rPr>
      </w:pPr>
    </w:p>
    <w:p w14:paraId="0CC2068B">
      <w:pPr>
        <w:spacing w:line="360" w:lineRule="auto"/>
        <w:rPr>
          <w:rFonts w:hint="eastAsia" w:ascii="宋体" w:hAnsi="宋体" w:eastAsia="宋体" w:cs="宋体"/>
          <w:color w:val="auto"/>
          <w:highlight w:val="none"/>
        </w:rPr>
      </w:pPr>
    </w:p>
    <w:p w14:paraId="69857E27">
      <w:pPr>
        <w:snapToGrid w:val="0"/>
        <w:spacing w:line="360" w:lineRule="auto"/>
        <w:ind w:firstLine="357"/>
        <w:rPr>
          <w:rStyle w:val="40"/>
          <w:rFonts w:hint="eastAsia" w:ascii="宋体" w:hAnsi="宋体" w:eastAsia="宋体" w:cs="宋体"/>
          <w:bCs/>
          <w:color w:val="auto"/>
          <w:spacing w:val="35"/>
          <w:kern w:val="0"/>
          <w:sz w:val="24"/>
          <w:highlight w:val="none"/>
        </w:rPr>
      </w:pPr>
    </w:p>
    <w:p w14:paraId="1E75712A">
      <w:pPr>
        <w:snapToGrid w:val="0"/>
        <w:spacing w:line="360" w:lineRule="auto"/>
        <w:ind w:firstLine="357"/>
        <w:rPr>
          <w:rStyle w:val="40"/>
          <w:rFonts w:hint="eastAsia" w:ascii="宋体" w:hAnsi="宋体" w:cs="宋体"/>
          <w:b w:val="0"/>
          <w:bCs/>
          <w:color w:val="auto"/>
          <w:spacing w:val="35"/>
          <w:kern w:val="0"/>
          <w:sz w:val="24"/>
          <w:szCs w:val="24"/>
          <w:highlight w:val="none"/>
          <w:lang w:eastAsia="zh-CN"/>
        </w:rPr>
      </w:pPr>
      <w:r>
        <w:rPr>
          <w:rStyle w:val="40"/>
          <w:rFonts w:hint="eastAsia" w:ascii="宋体" w:hAnsi="宋体" w:eastAsia="宋体" w:cs="宋体"/>
          <w:b w:val="0"/>
          <w:bCs/>
          <w:color w:val="auto"/>
          <w:spacing w:val="35"/>
          <w:kern w:val="0"/>
          <w:sz w:val="24"/>
          <w:szCs w:val="24"/>
          <w:highlight w:val="none"/>
        </w:rPr>
        <w:t>项目名称：</w:t>
      </w:r>
      <w:r>
        <w:rPr>
          <w:rStyle w:val="40"/>
          <w:rFonts w:hint="eastAsia" w:ascii="宋体" w:hAnsi="宋体" w:cs="宋体"/>
          <w:b w:val="0"/>
          <w:bCs/>
          <w:color w:val="auto"/>
          <w:spacing w:val="35"/>
          <w:kern w:val="0"/>
          <w:sz w:val="24"/>
          <w:szCs w:val="24"/>
          <w:highlight w:val="none"/>
          <w:lang w:eastAsia="zh-CN"/>
        </w:rPr>
        <w:t>2025年现代职业教育质量提升计划（西教学楼、2号宿舍楼）抗震加固项目全过程造价咨询服务</w:t>
      </w:r>
    </w:p>
    <w:p w14:paraId="4CA69C1F">
      <w:pPr>
        <w:snapToGrid w:val="0"/>
        <w:spacing w:line="360" w:lineRule="auto"/>
        <w:ind w:firstLine="357"/>
        <w:rPr>
          <w:rStyle w:val="40"/>
          <w:rFonts w:hint="eastAsia" w:ascii="宋体" w:hAnsi="宋体" w:eastAsia="宋体" w:cs="宋体"/>
          <w:b w:val="0"/>
          <w:bCs/>
          <w:color w:val="auto"/>
          <w:spacing w:val="35"/>
          <w:kern w:val="0"/>
          <w:sz w:val="24"/>
          <w:szCs w:val="24"/>
          <w:highlight w:val="none"/>
          <w:lang w:eastAsia="zh-CN"/>
        </w:rPr>
      </w:pPr>
      <w:r>
        <w:rPr>
          <w:rStyle w:val="40"/>
          <w:rFonts w:hint="eastAsia" w:ascii="宋体" w:hAnsi="宋体" w:eastAsia="宋体" w:cs="宋体"/>
          <w:b w:val="0"/>
          <w:bCs/>
          <w:color w:val="auto"/>
          <w:spacing w:val="35"/>
          <w:kern w:val="0"/>
          <w:sz w:val="24"/>
          <w:szCs w:val="24"/>
          <w:highlight w:val="none"/>
        </w:rPr>
        <w:t>项目编号：</w:t>
      </w:r>
      <w:r>
        <w:rPr>
          <w:rStyle w:val="40"/>
          <w:rFonts w:hint="eastAsia" w:ascii="宋体" w:hAnsi="宋体" w:cs="宋体"/>
          <w:b w:val="0"/>
          <w:bCs/>
          <w:color w:val="auto"/>
          <w:spacing w:val="35"/>
          <w:kern w:val="0"/>
          <w:sz w:val="24"/>
          <w:szCs w:val="24"/>
          <w:highlight w:val="none"/>
          <w:lang w:eastAsia="zh-CN"/>
        </w:rPr>
        <w:t>ZH-SF003</w:t>
      </w:r>
    </w:p>
    <w:p w14:paraId="0D7A0C05">
      <w:pPr>
        <w:snapToGrid w:val="0"/>
        <w:spacing w:line="360" w:lineRule="auto"/>
        <w:ind w:firstLine="357"/>
        <w:rPr>
          <w:rStyle w:val="40"/>
          <w:rFonts w:hint="eastAsia" w:ascii="宋体" w:hAnsi="宋体" w:cs="宋体"/>
          <w:bCs/>
          <w:color w:val="auto"/>
          <w:spacing w:val="35"/>
          <w:kern w:val="0"/>
          <w:sz w:val="24"/>
          <w:highlight w:val="none"/>
          <w:lang w:eastAsia="zh-CN"/>
        </w:rPr>
      </w:pPr>
      <w:r>
        <w:rPr>
          <w:rStyle w:val="40"/>
          <w:rFonts w:hint="eastAsia" w:ascii="宋体" w:hAnsi="宋体" w:eastAsia="宋体" w:cs="宋体"/>
          <w:bCs/>
          <w:color w:val="auto"/>
          <w:spacing w:val="35"/>
          <w:kern w:val="0"/>
          <w:sz w:val="24"/>
          <w:highlight w:val="none"/>
        </w:rPr>
        <w:t>采购人</w:t>
      </w:r>
      <w:r>
        <w:rPr>
          <w:rStyle w:val="40"/>
          <w:rFonts w:hint="eastAsia" w:ascii="宋体" w:hAnsi="宋体" w:cs="宋体"/>
          <w:bCs/>
          <w:color w:val="auto"/>
          <w:spacing w:val="35"/>
          <w:kern w:val="0"/>
          <w:sz w:val="24"/>
          <w:highlight w:val="none"/>
          <w:lang w:eastAsia="zh-CN"/>
        </w:rPr>
        <w:t>：</w:t>
      </w:r>
      <w:r>
        <w:rPr>
          <w:rStyle w:val="40"/>
          <w:rFonts w:hint="eastAsia" w:ascii="宋体" w:hAnsi="宋体" w:cs="宋体"/>
          <w:bCs/>
          <w:color w:val="auto"/>
          <w:spacing w:val="35"/>
          <w:kern w:val="0"/>
          <w:sz w:val="24"/>
          <w:highlight w:val="none"/>
          <w:lang w:val="en-US" w:eastAsia="zh-CN"/>
        </w:rPr>
        <w:t>新疆司法警官职业学院（新疆维吾尔自治区司法行政干警教育培训中心）</w:t>
      </w:r>
    </w:p>
    <w:p w14:paraId="6B4EEC17">
      <w:pPr>
        <w:snapToGrid w:val="0"/>
        <w:spacing w:line="360" w:lineRule="auto"/>
        <w:ind w:firstLine="357"/>
        <w:rPr>
          <w:rStyle w:val="40"/>
          <w:rFonts w:hint="eastAsia" w:ascii="宋体" w:hAnsi="宋体" w:eastAsia="宋体" w:cs="宋体"/>
          <w:bCs/>
          <w:color w:val="auto"/>
          <w:spacing w:val="35"/>
          <w:kern w:val="0"/>
          <w:sz w:val="24"/>
          <w:highlight w:val="none"/>
          <w:lang w:val="en-US" w:eastAsia="zh-CN"/>
        </w:rPr>
      </w:pPr>
      <w:r>
        <w:rPr>
          <w:rStyle w:val="40"/>
          <w:rFonts w:hint="eastAsia" w:ascii="宋体" w:hAnsi="宋体" w:eastAsia="宋体" w:cs="宋体"/>
          <w:bCs/>
          <w:color w:val="auto"/>
          <w:spacing w:val="35"/>
          <w:kern w:val="0"/>
          <w:sz w:val="24"/>
          <w:highlight w:val="none"/>
        </w:rPr>
        <w:t>联系人：</w:t>
      </w:r>
      <w:r>
        <w:rPr>
          <w:rStyle w:val="40"/>
          <w:rFonts w:hint="eastAsia" w:ascii="宋体" w:hAnsi="宋体" w:cs="宋体"/>
          <w:bCs/>
          <w:color w:val="auto"/>
          <w:spacing w:val="35"/>
          <w:kern w:val="0"/>
          <w:sz w:val="24"/>
          <w:highlight w:val="none"/>
          <w:lang w:val="en-US" w:eastAsia="zh-CN"/>
        </w:rPr>
        <w:t>梁主任</w:t>
      </w:r>
    </w:p>
    <w:p w14:paraId="259B3701">
      <w:pPr>
        <w:snapToGrid w:val="0"/>
        <w:spacing w:line="360" w:lineRule="auto"/>
        <w:ind w:firstLine="357"/>
        <w:rPr>
          <w:rStyle w:val="40"/>
          <w:rFonts w:hint="eastAsia" w:ascii="宋体" w:hAnsi="宋体" w:eastAsia="宋体" w:cs="宋体"/>
          <w:bCs/>
          <w:color w:val="auto"/>
          <w:spacing w:val="35"/>
          <w:kern w:val="0"/>
          <w:sz w:val="24"/>
          <w:highlight w:val="none"/>
          <w:lang w:val="en-US" w:eastAsia="zh-CN"/>
        </w:rPr>
      </w:pPr>
      <w:r>
        <w:rPr>
          <w:rStyle w:val="40"/>
          <w:rFonts w:hint="eastAsia" w:ascii="宋体" w:hAnsi="宋体" w:eastAsia="宋体" w:cs="宋体"/>
          <w:bCs/>
          <w:color w:val="auto"/>
          <w:spacing w:val="35"/>
          <w:kern w:val="0"/>
          <w:sz w:val="24"/>
          <w:highlight w:val="none"/>
        </w:rPr>
        <w:t>电话：</w:t>
      </w:r>
      <w:r>
        <w:rPr>
          <w:rStyle w:val="40"/>
          <w:rFonts w:hint="eastAsia" w:ascii="宋体" w:hAnsi="宋体" w:eastAsia="宋体" w:cs="宋体"/>
          <w:bCs/>
          <w:color w:val="auto"/>
          <w:spacing w:val="35"/>
          <w:kern w:val="0"/>
          <w:sz w:val="24"/>
          <w:highlight w:val="none"/>
          <w:lang w:val="en-US" w:eastAsia="zh-CN"/>
        </w:rPr>
        <w:t>13899975728</w:t>
      </w:r>
    </w:p>
    <w:p w14:paraId="45702F6C">
      <w:pPr>
        <w:snapToGrid w:val="0"/>
        <w:spacing w:line="360" w:lineRule="auto"/>
        <w:ind w:firstLine="357"/>
        <w:rPr>
          <w:rStyle w:val="40"/>
          <w:rFonts w:hint="eastAsia" w:ascii="宋体" w:hAnsi="宋体" w:eastAsia="宋体" w:cs="宋体"/>
          <w:bCs/>
          <w:color w:val="auto"/>
          <w:spacing w:val="35"/>
          <w:kern w:val="0"/>
          <w:sz w:val="24"/>
          <w:highlight w:val="none"/>
          <w:lang w:val="en-US" w:eastAsia="zh-CN"/>
        </w:rPr>
      </w:pPr>
      <w:r>
        <w:rPr>
          <w:rStyle w:val="40"/>
          <w:rFonts w:hint="eastAsia" w:ascii="宋体" w:hAnsi="宋体" w:eastAsia="宋体" w:cs="宋体"/>
          <w:bCs/>
          <w:color w:val="auto"/>
          <w:spacing w:val="35"/>
          <w:kern w:val="0"/>
          <w:sz w:val="24"/>
          <w:highlight w:val="none"/>
        </w:rPr>
        <w:t>详细地址 ：</w:t>
      </w:r>
      <w:r>
        <w:rPr>
          <w:rStyle w:val="40"/>
          <w:rFonts w:hint="eastAsia" w:ascii="宋体" w:hAnsi="宋体" w:cs="宋体"/>
          <w:bCs/>
          <w:color w:val="auto"/>
          <w:spacing w:val="35"/>
          <w:kern w:val="0"/>
          <w:sz w:val="24"/>
          <w:highlight w:val="none"/>
          <w:shd w:val="clear" w:color="auto" w:fill="auto"/>
          <w:lang w:val="en-US" w:eastAsia="zh-CN"/>
        </w:rPr>
        <w:t>新疆维吾尔自治区乌鲁木齐市天山区新泉街556号</w:t>
      </w:r>
    </w:p>
    <w:p w14:paraId="5A12FD17">
      <w:pPr>
        <w:snapToGrid w:val="0"/>
        <w:spacing w:line="360" w:lineRule="auto"/>
        <w:ind w:firstLine="357"/>
        <w:rPr>
          <w:rStyle w:val="40"/>
          <w:rFonts w:hint="eastAsia" w:ascii="宋体" w:hAnsi="宋体" w:eastAsia="宋体" w:cs="宋体"/>
          <w:bCs/>
          <w:color w:val="auto"/>
          <w:sz w:val="24"/>
          <w:highlight w:val="none"/>
        </w:rPr>
      </w:pPr>
    </w:p>
    <w:p w14:paraId="28E74092">
      <w:pPr>
        <w:snapToGrid w:val="0"/>
        <w:spacing w:line="360" w:lineRule="auto"/>
        <w:ind w:firstLine="357"/>
        <w:rPr>
          <w:rStyle w:val="40"/>
          <w:rFonts w:hint="eastAsia" w:ascii="宋体" w:hAnsi="宋体" w:eastAsia="宋体" w:cs="宋体"/>
          <w:bCs/>
          <w:color w:val="auto"/>
          <w:spacing w:val="35"/>
          <w:kern w:val="0"/>
          <w:sz w:val="24"/>
          <w:highlight w:val="none"/>
          <w:lang w:eastAsia="zh-CN"/>
        </w:rPr>
      </w:pPr>
      <w:r>
        <w:rPr>
          <w:rStyle w:val="40"/>
          <w:rFonts w:hint="eastAsia" w:ascii="宋体" w:hAnsi="宋体" w:eastAsia="宋体" w:cs="宋体"/>
          <w:bCs/>
          <w:color w:val="auto"/>
          <w:spacing w:val="35"/>
          <w:kern w:val="0"/>
          <w:sz w:val="24"/>
          <w:highlight w:val="none"/>
        </w:rPr>
        <w:t>采购代理机构</w:t>
      </w:r>
      <w:r>
        <w:rPr>
          <w:rStyle w:val="40"/>
          <w:rFonts w:hint="eastAsia" w:ascii="宋体" w:hAnsi="宋体" w:cs="宋体"/>
          <w:bCs/>
          <w:color w:val="auto"/>
          <w:spacing w:val="35"/>
          <w:kern w:val="0"/>
          <w:sz w:val="24"/>
          <w:highlight w:val="none"/>
          <w:lang w:eastAsia="zh-CN"/>
        </w:rPr>
        <w:t>：新疆卓恒工程项目管理有限公司</w:t>
      </w:r>
    </w:p>
    <w:p w14:paraId="4AFDCE11">
      <w:pPr>
        <w:snapToGrid w:val="0"/>
        <w:spacing w:line="360" w:lineRule="auto"/>
        <w:ind w:firstLine="357"/>
        <w:rPr>
          <w:rStyle w:val="40"/>
          <w:rFonts w:hint="eastAsia" w:ascii="宋体" w:hAnsi="宋体" w:eastAsia="宋体" w:cs="宋体"/>
          <w:bCs/>
          <w:color w:val="auto"/>
          <w:spacing w:val="35"/>
          <w:kern w:val="0"/>
          <w:sz w:val="24"/>
          <w:highlight w:val="none"/>
          <w:lang w:eastAsia="zh-CN"/>
        </w:rPr>
      </w:pPr>
      <w:r>
        <w:rPr>
          <w:rStyle w:val="40"/>
          <w:rFonts w:hint="eastAsia" w:ascii="宋体" w:hAnsi="宋体" w:eastAsia="宋体" w:cs="宋体"/>
          <w:bCs/>
          <w:color w:val="auto"/>
          <w:spacing w:val="35"/>
          <w:kern w:val="0"/>
          <w:sz w:val="24"/>
          <w:highlight w:val="none"/>
        </w:rPr>
        <w:t>联系人：</w:t>
      </w:r>
      <w:r>
        <w:rPr>
          <w:rStyle w:val="40"/>
          <w:rFonts w:hint="eastAsia" w:ascii="宋体" w:hAnsi="宋体" w:cs="宋体"/>
          <w:bCs/>
          <w:color w:val="auto"/>
          <w:spacing w:val="35"/>
          <w:kern w:val="0"/>
          <w:sz w:val="24"/>
          <w:highlight w:val="none"/>
          <w:lang w:val="en-US" w:eastAsia="zh-CN"/>
        </w:rPr>
        <w:t>王麒帆</w:t>
      </w:r>
    </w:p>
    <w:p w14:paraId="0192FC31">
      <w:pPr>
        <w:snapToGrid w:val="0"/>
        <w:spacing w:line="360" w:lineRule="auto"/>
        <w:ind w:firstLine="357"/>
        <w:rPr>
          <w:rStyle w:val="40"/>
          <w:rFonts w:hint="eastAsia" w:ascii="宋体" w:hAnsi="宋体" w:eastAsia="宋体" w:cs="宋体"/>
          <w:bCs/>
          <w:color w:val="auto"/>
          <w:spacing w:val="35"/>
          <w:kern w:val="0"/>
          <w:sz w:val="24"/>
          <w:highlight w:val="none"/>
          <w:lang w:val="en-US" w:eastAsia="zh-CN"/>
        </w:rPr>
      </w:pPr>
      <w:r>
        <w:rPr>
          <w:rStyle w:val="40"/>
          <w:rFonts w:hint="eastAsia" w:ascii="宋体" w:hAnsi="宋体" w:eastAsia="宋体" w:cs="宋体"/>
          <w:bCs/>
          <w:color w:val="auto"/>
          <w:spacing w:val="35"/>
          <w:kern w:val="0"/>
          <w:sz w:val="24"/>
          <w:highlight w:val="none"/>
        </w:rPr>
        <w:t>电话：</w:t>
      </w:r>
      <w:r>
        <w:rPr>
          <w:rStyle w:val="40"/>
          <w:rFonts w:hint="eastAsia" w:ascii="宋体" w:hAnsi="宋体" w:cs="宋体"/>
          <w:bCs/>
          <w:color w:val="auto"/>
          <w:spacing w:val="35"/>
          <w:kern w:val="0"/>
          <w:sz w:val="24"/>
          <w:highlight w:val="none"/>
          <w:lang w:val="en-US" w:eastAsia="zh-CN"/>
        </w:rPr>
        <w:t>17726787222</w:t>
      </w:r>
    </w:p>
    <w:p w14:paraId="031E61B2">
      <w:pPr>
        <w:snapToGrid w:val="0"/>
        <w:spacing w:line="360" w:lineRule="auto"/>
        <w:ind w:firstLine="357"/>
        <w:rPr>
          <w:rStyle w:val="40"/>
          <w:rFonts w:hint="eastAsia" w:ascii="宋体" w:hAnsi="宋体" w:eastAsia="宋体" w:cs="宋体"/>
          <w:bCs/>
          <w:color w:val="auto"/>
          <w:spacing w:val="35"/>
          <w:kern w:val="0"/>
          <w:sz w:val="24"/>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588" w:right="1418" w:bottom="1418" w:left="1418" w:header="851" w:footer="851" w:gutter="0"/>
          <w:pgNumType w:start="1"/>
          <w:cols w:space="720" w:num="1"/>
          <w:titlePg/>
          <w:docGrid w:linePitch="312" w:charSpace="0"/>
        </w:sectPr>
      </w:pPr>
      <w:r>
        <w:rPr>
          <w:rStyle w:val="40"/>
          <w:rFonts w:hint="eastAsia" w:ascii="宋体" w:hAnsi="宋体" w:eastAsia="宋体" w:cs="宋体"/>
          <w:bCs/>
          <w:color w:val="auto"/>
          <w:spacing w:val="35"/>
          <w:kern w:val="0"/>
          <w:sz w:val="24"/>
          <w:highlight w:val="none"/>
        </w:rPr>
        <w:t>详细地址：</w:t>
      </w:r>
      <w:r>
        <w:rPr>
          <w:rStyle w:val="40"/>
          <w:rFonts w:hint="eastAsia" w:ascii="宋体" w:hAnsi="宋体" w:cs="宋体"/>
          <w:bCs/>
          <w:color w:val="auto"/>
          <w:spacing w:val="35"/>
          <w:kern w:val="0"/>
          <w:sz w:val="24"/>
          <w:highlight w:val="none"/>
          <w:lang w:eastAsia="zh-CN"/>
        </w:rPr>
        <w:t>新疆乌鲁木齐市水磨沟区龙盛街898号万科中央公园S2座10楼</w:t>
      </w:r>
    </w:p>
    <w:p w14:paraId="4C480214">
      <w:pPr>
        <w:spacing w:line="240" w:lineRule="auto"/>
        <w:jc w:val="center"/>
        <w:rPr>
          <w:rFonts w:hint="eastAsia" w:ascii="宋体" w:hAnsi="宋体" w:eastAsia="宋体" w:cs="宋体"/>
          <w:b/>
          <w:color w:val="auto"/>
          <w:sz w:val="24"/>
          <w:highlight w:val="none"/>
        </w:rPr>
      </w:pPr>
      <w:bookmarkStart w:id="0" w:name="_Toc29254"/>
      <w:bookmarkStart w:id="1" w:name="_Toc10285"/>
      <w:bookmarkStart w:id="2" w:name="_Toc20653"/>
      <w:bookmarkStart w:id="3" w:name="_Toc10043"/>
      <w:bookmarkStart w:id="4" w:name="_Toc2686"/>
      <w:bookmarkStart w:id="5" w:name="_Toc31151"/>
      <w:bookmarkStart w:id="6" w:name="_Toc18699"/>
      <w:bookmarkStart w:id="7" w:name="_Toc7536"/>
      <w:r>
        <w:rPr>
          <w:rFonts w:hint="eastAsia" w:ascii="宋体" w:hAnsi="宋体" w:eastAsia="宋体" w:cs="宋体"/>
          <w:b/>
          <w:color w:val="auto"/>
          <w:sz w:val="24"/>
          <w:highlight w:val="none"/>
        </w:rPr>
        <w:t>目    录</w:t>
      </w:r>
      <w:bookmarkEnd w:id="0"/>
      <w:bookmarkEnd w:id="1"/>
      <w:bookmarkEnd w:id="2"/>
      <w:bookmarkEnd w:id="3"/>
      <w:bookmarkEnd w:id="4"/>
      <w:bookmarkEnd w:id="5"/>
      <w:bookmarkEnd w:id="6"/>
      <w:bookmarkEnd w:id="7"/>
    </w:p>
    <w:p w14:paraId="132060BA">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TOC \o "1-1" \h \u </w:instrText>
      </w:r>
      <w:r>
        <w:rPr>
          <w:rFonts w:hint="eastAsia" w:ascii="宋体" w:hAnsi="宋体" w:eastAsia="宋体" w:cs="宋体"/>
          <w:caps w:val="0"/>
          <w:color w:val="auto"/>
          <w:sz w:val="24"/>
          <w:szCs w:val="24"/>
          <w:highlight w:val="none"/>
        </w:rPr>
        <w:fldChar w:fldCharType="separate"/>
      </w:r>
    </w:p>
    <w:p w14:paraId="389384DB">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_Toc24326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bCs w:val="0"/>
          <w:caps w:val="0"/>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_Toc24326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46DFD962">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_Toc13034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56B1AC8F">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_Toc22945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第三章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63507C73">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_Toc16989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第四章  项目服务需求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67DCA757">
      <w:pPr>
        <w:pStyle w:val="18"/>
        <w:tabs>
          <w:tab w:val="right" w:leader="dot" w:pos="8959"/>
        </w:tabs>
        <w:spacing w:line="360" w:lineRule="auto"/>
        <w:rPr>
          <w:rFonts w:hint="eastAsia" w:ascii="宋体" w:hAnsi="宋体" w:eastAsia="宋体" w:cs="宋体"/>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_Toc447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第五章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68B58C94">
      <w:pPr>
        <w:pStyle w:val="18"/>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_Toc4405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第六章  合同草案条款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7C4AE795">
      <w:pPr>
        <w:pStyle w:val="18"/>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_Toc30479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eastAsia="en-US"/>
        </w:rPr>
        <w:t>附件</w:t>
      </w:r>
      <w:r>
        <w:rPr>
          <w:rFonts w:hint="eastAsia" w:ascii="宋体" w:hAnsi="宋体" w:eastAsia="宋体" w:cs="宋体"/>
          <w:caps w:val="0"/>
          <w:color w:val="auto"/>
          <w:sz w:val="24"/>
          <w:szCs w:val="24"/>
          <w:highlight w:val="none"/>
          <w:lang w:val="en-US" w:eastAsia="zh-CN"/>
        </w:rPr>
        <w:t>1：</w:t>
      </w:r>
      <w:r>
        <w:rPr>
          <w:rFonts w:hint="eastAsia" w:ascii="宋体" w:hAnsi="宋体" w:eastAsia="宋体" w:cs="宋体"/>
          <w:caps w:val="0"/>
          <w:color w:val="auto"/>
          <w:sz w:val="24"/>
          <w:szCs w:val="24"/>
          <w:highlight w:val="none"/>
          <w:lang w:eastAsia="en-US"/>
        </w:rPr>
        <w:t>政府采购促进中小企业发展管理办法</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_Toc30479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88</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62342271">
      <w:pPr>
        <w:pStyle w:val="18"/>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_Toc25114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eastAsia="en-US"/>
        </w:rPr>
        <w:t>附件</w:t>
      </w:r>
      <w:r>
        <w:rPr>
          <w:rFonts w:hint="eastAsia" w:ascii="宋体" w:hAnsi="宋体" w:eastAsia="宋体" w:cs="宋体"/>
          <w:caps w:val="0"/>
          <w:color w:val="auto"/>
          <w:sz w:val="24"/>
          <w:szCs w:val="24"/>
          <w:highlight w:val="none"/>
          <w:lang w:val="en-US" w:eastAsia="zh-CN"/>
        </w:rPr>
        <w:t>2：关于进一步加大政府采购支持中小企业力度的通知</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_Toc25114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94</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19A2CA16">
      <w:pPr>
        <w:pStyle w:val="18"/>
        <w:tabs>
          <w:tab w:val="right" w:leader="dot" w:pos="8959"/>
        </w:tabs>
        <w:spacing w:line="360" w:lineRule="auto"/>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HYPERLINK \l _Toc11667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lang w:val="en-US" w:eastAsia="zh-CN"/>
        </w:rPr>
        <w:t>附件3：关于印发中小企业划型标准规定的通知</w:t>
      </w:r>
      <w:r>
        <w:rPr>
          <w:rFonts w:hint="eastAsia" w:ascii="宋体" w:hAnsi="宋体" w:eastAsia="宋体" w:cs="宋体"/>
          <w:caps w:val="0"/>
          <w:color w:val="auto"/>
          <w:sz w:val="24"/>
          <w:szCs w:val="24"/>
          <w:highlight w:val="none"/>
        </w:rPr>
        <w:tab/>
      </w:r>
      <w:r>
        <w:rPr>
          <w:rFonts w:hint="eastAsia" w:ascii="宋体" w:hAnsi="宋体" w:eastAsia="宋体" w:cs="宋体"/>
          <w:caps w:val="0"/>
          <w:color w:val="auto"/>
          <w:sz w:val="24"/>
          <w:szCs w:val="24"/>
          <w:highlight w:val="none"/>
        </w:rPr>
        <w:fldChar w:fldCharType="begin"/>
      </w:r>
      <w:r>
        <w:rPr>
          <w:rFonts w:hint="eastAsia" w:ascii="宋体" w:hAnsi="宋体" w:eastAsia="宋体" w:cs="宋体"/>
          <w:caps w:val="0"/>
          <w:color w:val="auto"/>
          <w:sz w:val="24"/>
          <w:szCs w:val="24"/>
          <w:highlight w:val="none"/>
        </w:rPr>
        <w:instrText xml:space="preserve"> PAGEREF _Toc11667 \h </w:instrText>
      </w:r>
      <w:r>
        <w:rPr>
          <w:rFonts w:hint="eastAsia" w:ascii="宋体" w:hAnsi="宋体" w:eastAsia="宋体" w:cs="宋体"/>
          <w:caps w:val="0"/>
          <w:color w:val="auto"/>
          <w:sz w:val="24"/>
          <w:szCs w:val="24"/>
          <w:highlight w:val="none"/>
        </w:rPr>
        <w:fldChar w:fldCharType="separate"/>
      </w:r>
      <w:r>
        <w:rPr>
          <w:rFonts w:hint="eastAsia" w:ascii="宋体" w:hAnsi="宋体" w:eastAsia="宋体" w:cs="宋体"/>
          <w:caps w:val="0"/>
          <w:color w:val="auto"/>
          <w:sz w:val="24"/>
          <w:szCs w:val="24"/>
          <w:highlight w:val="none"/>
        </w:rPr>
        <w:t>96</w:t>
      </w:r>
      <w:r>
        <w:rPr>
          <w:rFonts w:hint="eastAsia" w:ascii="宋体" w:hAnsi="宋体" w:eastAsia="宋体" w:cs="宋体"/>
          <w:caps w:val="0"/>
          <w:color w:val="auto"/>
          <w:sz w:val="24"/>
          <w:szCs w:val="24"/>
          <w:highlight w:val="none"/>
        </w:rPr>
        <w:fldChar w:fldCharType="end"/>
      </w:r>
      <w:r>
        <w:rPr>
          <w:rFonts w:hint="eastAsia" w:ascii="宋体" w:hAnsi="宋体" w:eastAsia="宋体" w:cs="宋体"/>
          <w:caps w:val="0"/>
          <w:color w:val="auto"/>
          <w:sz w:val="24"/>
          <w:szCs w:val="24"/>
          <w:highlight w:val="none"/>
        </w:rPr>
        <w:fldChar w:fldCharType="end"/>
      </w:r>
    </w:p>
    <w:p w14:paraId="4703A0C3">
      <w:pPr>
        <w:pStyle w:val="18"/>
        <w:tabs>
          <w:tab w:val="right" w:leader="dot" w:pos="8959"/>
        </w:tabs>
        <w:spacing w:line="360" w:lineRule="auto"/>
        <w:rPr>
          <w:rFonts w:hint="eastAsia" w:ascii="宋体" w:hAnsi="宋体" w:eastAsia="宋体" w:cs="宋体"/>
          <w:caps w:val="0"/>
          <w:color w:val="auto"/>
          <w:sz w:val="24"/>
          <w:szCs w:val="24"/>
          <w:highlight w:val="none"/>
        </w:rPr>
      </w:pPr>
    </w:p>
    <w:p w14:paraId="51E385DC">
      <w:pPr>
        <w:pStyle w:val="11"/>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end"/>
      </w:r>
    </w:p>
    <w:p w14:paraId="48D279C0">
      <w:pPr>
        <w:pStyle w:val="11"/>
        <w:spacing w:line="360" w:lineRule="auto"/>
        <w:rPr>
          <w:rFonts w:hint="eastAsia" w:ascii="宋体" w:hAnsi="宋体" w:eastAsia="宋体" w:cs="宋体"/>
          <w:bCs/>
          <w:color w:val="auto"/>
          <w:szCs w:val="24"/>
          <w:highlight w:val="none"/>
        </w:rPr>
      </w:pPr>
    </w:p>
    <w:p w14:paraId="20C6246D">
      <w:pPr>
        <w:pStyle w:val="2"/>
        <w:spacing w:line="360" w:lineRule="auto"/>
        <w:rPr>
          <w:rFonts w:hint="eastAsia" w:ascii="宋体" w:hAnsi="宋体" w:eastAsia="宋体" w:cs="宋体"/>
          <w:bCs w:val="0"/>
          <w:color w:val="auto"/>
          <w:sz w:val="24"/>
          <w:szCs w:val="24"/>
          <w:highlight w:val="none"/>
        </w:rPr>
        <w:sectPr>
          <w:pgSz w:w="11907" w:h="16840"/>
          <w:pgMar w:top="1440" w:right="1474" w:bottom="1440" w:left="1474" w:header="851" w:footer="992" w:gutter="0"/>
          <w:pgNumType w:start="1"/>
          <w:cols w:space="720" w:num="1"/>
          <w:docGrid w:linePitch="312" w:charSpace="0"/>
        </w:sectPr>
      </w:pPr>
    </w:p>
    <w:p w14:paraId="3CC051F4">
      <w:pPr>
        <w:pStyle w:val="2"/>
        <w:spacing w:line="360" w:lineRule="auto"/>
        <w:rPr>
          <w:rFonts w:hint="eastAsia" w:ascii="宋体" w:hAnsi="宋体" w:eastAsia="宋体" w:cs="宋体"/>
          <w:color w:val="auto"/>
          <w:sz w:val="28"/>
          <w:szCs w:val="28"/>
          <w:highlight w:val="none"/>
        </w:rPr>
      </w:pPr>
      <w:bookmarkStart w:id="8" w:name="_Toc24326"/>
      <w:bookmarkStart w:id="9" w:name="_Toc647_WPSOffice_Level1"/>
      <w:bookmarkStart w:id="10" w:name="_Toc217446031"/>
      <w:bookmarkStart w:id="11" w:name="_Toc213397009"/>
      <w:bookmarkStart w:id="12" w:name="_Toc213396759"/>
      <w:bookmarkStart w:id="13" w:name="_Toc856_WPSOffice_Level1"/>
      <w:bookmarkStart w:id="14" w:name="_Toc213396945"/>
      <w:bookmarkStart w:id="15" w:name="_Toc213496267"/>
      <w:r>
        <w:rPr>
          <w:rFonts w:hint="eastAsia" w:ascii="宋体" w:hAnsi="宋体" w:eastAsia="宋体" w:cs="宋体"/>
          <w:bCs w:val="0"/>
          <w:color w:val="auto"/>
          <w:sz w:val="28"/>
          <w:szCs w:val="28"/>
          <w:highlight w:val="none"/>
        </w:rPr>
        <w:t xml:space="preserve">第一章  </w:t>
      </w:r>
      <w:bookmarkEnd w:id="8"/>
      <w:bookmarkEnd w:id="9"/>
      <w:r>
        <w:rPr>
          <w:rFonts w:hint="eastAsia" w:ascii="宋体" w:hAnsi="宋体" w:eastAsia="宋体" w:cs="宋体"/>
          <w:bCs w:val="0"/>
          <w:color w:val="auto"/>
          <w:sz w:val="28"/>
          <w:szCs w:val="28"/>
          <w:highlight w:val="none"/>
        </w:rPr>
        <w:t>竞争性磋商公告</w:t>
      </w:r>
    </w:p>
    <w:p w14:paraId="38F459E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9CCB943">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2025年现代职业教育质量提升计划（西教学楼、2号宿舍楼）抗震加固项目全过程造价咨询服务</w:t>
      </w:r>
      <w:r>
        <w:rPr>
          <w:rFonts w:hint="eastAsia" w:ascii="宋体" w:hAnsi="宋体" w:eastAsia="宋体" w:cs="宋体"/>
          <w:color w:val="auto"/>
          <w:sz w:val="24"/>
          <w:szCs w:val="24"/>
          <w:highlight w:val="none"/>
        </w:rPr>
        <w:t>项目的潜</w:t>
      </w:r>
      <w:r>
        <w:rPr>
          <w:rFonts w:hint="eastAsia" w:ascii="宋体" w:hAnsi="宋体" w:eastAsia="宋体" w:cs="宋体"/>
          <w:color w:val="auto"/>
          <w:sz w:val="24"/>
          <w:szCs w:val="24"/>
          <w:highlight w:val="none"/>
          <w:lang w:val="en-US" w:eastAsia="zh-CN"/>
        </w:rPr>
        <w:t>在供应商</w:t>
      </w:r>
      <w:r>
        <w:rPr>
          <w:rFonts w:hint="eastAsia" w:ascii="宋体" w:hAnsi="宋体" w:eastAsia="宋体" w:cs="宋体"/>
          <w:color w:val="auto"/>
          <w:sz w:val="24"/>
          <w:szCs w:val="24"/>
          <w:highlight w:val="none"/>
        </w:rPr>
        <w:t>应在</w:t>
      </w:r>
      <w:r>
        <w:rPr>
          <w:rFonts w:hint="eastAsia" w:ascii="宋体" w:hAnsi="宋体" w:eastAsia="宋体" w:cs="宋体"/>
          <w:bCs/>
          <w:color w:val="auto"/>
          <w:sz w:val="24"/>
          <w:szCs w:val="24"/>
          <w:highlight w:val="none"/>
          <w:u w:val="single"/>
        </w:rPr>
        <w:t>新疆政府采购云平台https://www.zcygov.cn/</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03</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北京时间）前上传</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w:t>
      </w:r>
      <w:r>
        <w:rPr>
          <w:rFonts w:hint="eastAsia" w:ascii="宋体" w:hAnsi="宋体" w:eastAsia="宋体" w:cs="宋体"/>
          <w:color w:val="auto"/>
          <w:sz w:val="24"/>
          <w:szCs w:val="24"/>
          <w:highlight w:val="none"/>
        </w:rPr>
        <w:t>。</w:t>
      </w:r>
    </w:p>
    <w:p w14:paraId="24347C5C">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u w:val="single"/>
        </w:rPr>
      </w:pPr>
      <w:bookmarkStart w:id="16" w:name="_Toc28359079"/>
      <w:bookmarkStart w:id="17" w:name="_Toc35393790"/>
      <w:bookmarkStart w:id="18" w:name="_Toc35393621"/>
      <w:bookmarkStart w:id="19" w:name="_Toc28359002"/>
      <w:r>
        <w:rPr>
          <w:rFonts w:hint="eastAsia" w:ascii="宋体" w:hAnsi="宋体" w:eastAsia="宋体" w:cs="宋体"/>
          <w:b/>
          <w:bCs/>
          <w:color w:val="auto"/>
          <w:sz w:val="24"/>
          <w:szCs w:val="24"/>
          <w:highlight w:val="none"/>
        </w:rPr>
        <w:t>一、项目基本情况</w:t>
      </w:r>
      <w:bookmarkEnd w:id="16"/>
      <w:bookmarkEnd w:id="17"/>
      <w:bookmarkEnd w:id="18"/>
      <w:bookmarkEnd w:id="19"/>
    </w:p>
    <w:p w14:paraId="70E87B05">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"https://pay.zcygov.cn/purchaseplan_front/" \l "/plan/list/view?id=1000000000014099403&amp;_app_=zcy.procurement" \t "https://www.zcygov.cn/delegation-order/_procurement_/order/_blank" </w:instrText>
      </w:r>
      <w:r>
        <w:rPr>
          <w:rFonts w:hint="eastAsia" w:ascii="宋体" w:hAnsi="宋体" w:eastAsia="宋体" w:cs="宋体"/>
          <w:color w:val="auto"/>
          <w:sz w:val="24"/>
          <w:szCs w:val="24"/>
          <w:highlight w:val="none"/>
        </w:rPr>
        <w:fldChar w:fldCharType="separate"/>
      </w:r>
      <w:r>
        <w:rPr>
          <w:rFonts w:hint="eastAsia" w:hAnsi="宋体" w:cs="宋体"/>
          <w:color w:val="auto"/>
          <w:sz w:val="24"/>
          <w:szCs w:val="24"/>
          <w:highlight w:val="none"/>
          <w:lang w:eastAsia="zh-CN"/>
        </w:rPr>
        <w:t>ZH-SF003</w:t>
      </w:r>
      <w:r>
        <w:rPr>
          <w:rFonts w:hint="eastAsia" w:ascii="宋体" w:hAnsi="宋体" w:eastAsia="宋体" w:cs="宋体"/>
          <w:color w:val="auto"/>
          <w:sz w:val="24"/>
          <w:szCs w:val="24"/>
          <w:highlight w:val="none"/>
        </w:rPr>
        <w:fldChar w:fldCharType="end"/>
      </w:r>
    </w:p>
    <w:p w14:paraId="2E5A1CA3">
      <w:pPr>
        <w:pStyle w:val="47"/>
        <w:widowControl/>
        <w:numPr>
          <w:ilvl w:val="0"/>
          <w:numId w:val="0"/>
        </w:numPr>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2025年现代职业教育质量提升计划（西教学楼、2号宿舍楼）抗震加固项目全过程造价咨询服务</w:t>
      </w:r>
    </w:p>
    <w:p w14:paraId="07E8AE94">
      <w:pPr>
        <w:pStyle w:val="48"/>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预算金额</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140000.00</w:t>
      </w:r>
      <w:r>
        <w:rPr>
          <w:rFonts w:hint="eastAsia" w:ascii="宋体" w:hAnsi="宋体" w:eastAsia="宋体" w:cs="宋体"/>
          <w:color w:val="auto"/>
          <w:kern w:val="0"/>
          <w:sz w:val="24"/>
          <w:szCs w:val="24"/>
          <w:highlight w:val="none"/>
          <w:lang w:val="en-US" w:eastAsia="zh-CN"/>
        </w:rPr>
        <w:t>元；</w:t>
      </w:r>
    </w:p>
    <w:p w14:paraId="7AD16E5E">
      <w:pPr>
        <w:pStyle w:val="48"/>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采购需求：</w:t>
      </w:r>
      <w:r>
        <w:rPr>
          <w:rFonts w:hint="eastAsia" w:ascii="宋体" w:hAnsi="宋体" w:eastAsia="宋体" w:cs="宋体"/>
          <w:color w:val="auto"/>
          <w:kern w:val="0"/>
          <w:sz w:val="24"/>
          <w:szCs w:val="24"/>
          <w:highlight w:val="none"/>
          <w:lang w:val="en-US" w:eastAsia="zh-CN"/>
        </w:rPr>
        <w:t>工程全过程造价咨询服务，包含但不限于招标控制价、设计测算、施工过程工程进度计量和支付、材料、机械、设备等市场的询价与核价、施工过程中的变更（签证）审核、工程竣工结算编制、配合财务决算编制、配合发包人委托的审计及公司业务内审等工作。</w:t>
      </w:r>
    </w:p>
    <w:p w14:paraId="365009DB">
      <w:pPr>
        <w:pStyle w:val="48"/>
        <w:widowControl/>
        <w:spacing w:line="360" w:lineRule="auto"/>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期：</w:t>
      </w:r>
      <w:r>
        <w:rPr>
          <w:rFonts w:hint="eastAsia" w:ascii="宋体" w:hAnsi="宋体" w:eastAsia="宋体" w:cs="宋体"/>
          <w:color w:val="auto"/>
          <w:sz w:val="24"/>
          <w:highlight w:val="none"/>
        </w:rPr>
        <w:t>自合同签订之日</w:t>
      </w:r>
      <w:r>
        <w:rPr>
          <w:rFonts w:hint="eastAsia" w:ascii="宋体" w:hAnsi="宋体" w:cs="宋体"/>
          <w:color w:val="auto"/>
          <w:sz w:val="24"/>
          <w:highlight w:val="none"/>
          <w:lang w:val="en-US" w:eastAsia="zh-CN"/>
        </w:rPr>
        <w:t>至项目结算审核完成</w:t>
      </w:r>
      <w:r>
        <w:rPr>
          <w:rFonts w:hint="eastAsia" w:ascii="宋体" w:hAnsi="宋体" w:eastAsia="宋体" w:cs="宋体"/>
          <w:color w:val="auto"/>
          <w:kern w:val="0"/>
          <w:sz w:val="24"/>
          <w:szCs w:val="24"/>
          <w:highlight w:val="none"/>
          <w:lang w:val="en-US" w:eastAsia="zh-CN"/>
        </w:rPr>
        <w:t>。</w:t>
      </w:r>
    </w:p>
    <w:p w14:paraId="0DD9A9AB">
      <w:pPr>
        <w:pStyle w:val="48"/>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接受</w:t>
      </w:r>
      <w:r>
        <w:rPr>
          <w:rFonts w:hint="eastAsia" w:ascii="宋体" w:hAnsi="宋体" w:eastAsia="宋体" w:cs="宋体"/>
          <w:color w:val="auto"/>
          <w:kern w:val="0"/>
          <w:sz w:val="24"/>
          <w:szCs w:val="24"/>
          <w:highlight w:val="none"/>
        </w:rPr>
        <w:t>联合体投标。</w:t>
      </w:r>
    </w:p>
    <w:p w14:paraId="16B9B0D4">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color w:val="auto"/>
          <w:kern w:val="0"/>
          <w:sz w:val="24"/>
          <w:szCs w:val="24"/>
          <w:highlight w:val="none"/>
        </w:rPr>
      </w:pPr>
      <w:bookmarkStart w:id="20" w:name="_Toc28359003"/>
      <w:bookmarkStart w:id="21" w:name="_Toc28359080"/>
      <w:bookmarkStart w:id="22" w:name="_Toc35393791"/>
      <w:bookmarkStart w:id="23" w:name="_Toc35393622"/>
      <w:r>
        <w:rPr>
          <w:rFonts w:hint="eastAsia" w:ascii="宋体" w:hAnsi="宋体" w:eastAsia="宋体" w:cs="宋体"/>
          <w:b/>
          <w:bCs/>
          <w:color w:val="auto"/>
          <w:sz w:val="24"/>
          <w:szCs w:val="24"/>
          <w:highlight w:val="none"/>
        </w:rPr>
        <w:t>二、申请人的资格要求</w:t>
      </w:r>
      <w:bookmarkEnd w:id="20"/>
      <w:bookmarkEnd w:id="21"/>
      <w:bookmarkEnd w:id="22"/>
      <w:bookmarkEnd w:id="23"/>
    </w:p>
    <w:p w14:paraId="7AAC9D34">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1、满足《中华人民共和国政府采购法》第二十二条规定；</w:t>
      </w:r>
    </w:p>
    <w:p w14:paraId="546332BB">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2、落实政府采购政策需满足的资格要求：</w:t>
      </w:r>
      <w:r>
        <w:rPr>
          <w:rFonts w:hint="eastAsia" w:ascii="宋体" w:hAnsi="宋体" w:cs="宋体"/>
          <w:color w:val="auto"/>
          <w:kern w:val="0"/>
          <w:sz w:val="24"/>
          <w:szCs w:val="24"/>
          <w:highlight w:val="none"/>
          <w:lang w:val="en-US" w:eastAsia="zh-CN" w:bidi="ar-SA"/>
        </w:rPr>
        <w:t xml:space="preserve">本项目为专门面向中小企业采购。 </w:t>
      </w:r>
    </w:p>
    <w:p w14:paraId="1CA4E4F9">
      <w:pPr>
        <w:pStyle w:val="48"/>
        <w:widowControl/>
        <w:numPr>
          <w:ilvl w:val="0"/>
          <w:numId w:val="0"/>
        </w:numPr>
        <w:spacing w:line="360" w:lineRule="auto"/>
        <w:ind w:firstLine="240" w:firstLineChars="100"/>
        <w:jc w:val="lef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本项目的特定资格要求：</w:t>
      </w:r>
    </w:p>
    <w:p w14:paraId="41613F87">
      <w:pPr>
        <w:pStyle w:val="48"/>
        <w:widowControl/>
        <w:numPr>
          <w:ilvl w:val="0"/>
          <w:numId w:val="0"/>
        </w:numPr>
        <w:spacing w:line="360" w:lineRule="auto"/>
        <w:ind w:firstLine="240" w:firstLineChars="100"/>
        <w:jc w:val="left"/>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3.1拟派项目负责人具有一级注册造价工程师资格，须在本单位注册；</w:t>
      </w:r>
    </w:p>
    <w:p w14:paraId="09C639EB">
      <w:pPr>
        <w:pStyle w:val="48"/>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3.2根据《财政部关于在政府采购活动中查</w:t>
      </w:r>
      <w:r>
        <w:rPr>
          <w:rFonts w:hint="eastAsia" w:ascii="宋体" w:hAnsi="宋体" w:eastAsia="宋体" w:cs="宋体"/>
          <w:color w:val="auto"/>
          <w:kern w:val="0"/>
          <w:sz w:val="24"/>
          <w:szCs w:val="24"/>
          <w:highlight w:val="none"/>
          <w:lang w:eastAsia="zh-CN"/>
        </w:rPr>
        <w:t>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11F90621">
      <w:pPr>
        <w:pStyle w:val="48"/>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lang w:val="en-US" w:eastAsia="zh-CN"/>
        </w:rPr>
        <w:sectPr>
          <w:footerReference r:id="rId10" w:type="default"/>
          <w:pgSz w:w="11906" w:h="16838"/>
          <w:pgMar w:top="1440" w:right="1800" w:bottom="1440" w:left="1800" w:header="851" w:footer="992" w:gutter="0"/>
          <w:pgNumType w:fmt="decimal" w:start="1"/>
          <w:cols w:space="720" w:num="1"/>
          <w:docGrid w:type="lines" w:linePitch="312" w:charSpace="0"/>
        </w:sectPr>
      </w:pPr>
    </w:p>
    <w:p w14:paraId="3687D734">
      <w:pPr>
        <w:pStyle w:val="48"/>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14:paraId="029B8087">
      <w:pPr>
        <w:pStyle w:val="48"/>
        <w:widowControl/>
        <w:numPr>
          <w:ilvl w:val="0"/>
          <w:numId w:val="0"/>
        </w:numPr>
        <w:adjustRightInd/>
        <w:spacing w:line="360" w:lineRule="auto"/>
        <w:ind w:firstLine="241" w:firstLineChars="100"/>
        <w:jc w:val="left"/>
        <w:textAlignment w:val="auto"/>
        <w:rPr>
          <w:rFonts w:hint="eastAsia" w:ascii="宋体" w:hAnsi="宋体" w:eastAsia="宋体" w:cs="宋体"/>
          <w:color w:val="auto"/>
          <w:sz w:val="24"/>
          <w:szCs w:val="24"/>
          <w:highlight w:val="none"/>
        </w:rPr>
      </w:pPr>
      <w:bookmarkStart w:id="24" w:name="_Toc35393623"/>
      <w:bookmarkStart w:id="25" w:name="_Toc35393792"/>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w:t>
      </w:r>
      <w:bookmarkEnd w:id="24"/>
      <w:bookmarkEnd w:id="25"/>
      <w:r>
        <w:rPr>
          <w:rFonts w:hint="eastAsia" w:ascii="宋体" w:hAnsi="宋体" w:eastAsia="宋体" w:cs="宋体"/>
          <w:color w:val="auto"/>
          <w:sz w:val="24"/>
          <w:szCs w:val="24"/>
          <w:highlight w:val="none"/>
        </w:rPr>
        <w:t xml:space="preserve"> </w:t>
      </w:r>
    </w:p>
    <w:p w14:paraId="0C1CFB94">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时间：</w:t>
      </w:r>
      <w:r>
        <w:rPr>
          <w:rFonts w:hint="eastAsia" w:ascii="宋体" w:hAnsi="宋体" w:cs="宋体"/>
          <w:color w:val="auto"/>
          <w:kern w:val="0"/>
          <w:sz w:val="24"/>
          <w:szCs w:val="24"/>
          <w:highlight w:val="none"/>
          <w:lang w:val="en-US" w:eastAsia="zh-CN"/>
        </w:rPr>
        <w:t>2025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02</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lang w:eastAsia="zh-CN"/>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年</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lang w:eastAsia="zh-CN"/>
        </w:rPr>
        <w:t>日，每天上午</w:t>
      </w:r>
      <w:r>
        <w:rPr>
          <w:rFonts w:hint="eastAsia" w:ascii="宋体" w:hAnsi="宋体" w:cs="宋体"/>
          <w:color w:val="auto"/>
          <w:kern w:val="0"/>
          <w:sz w:val="24"/>
          <w:szCs w:val="24"/>
          <w:highlight w:val="none"/>
          <w:lang w:val="en-US" w:eastAsia="zh-CN"/>
        </w:rPr>
        <w:t>10:00</w:t>
      </w:r>
      <w:r>
        <w:rPr>
          <w:rFonts w:hint="eastAsia" w:ascii="宋体" w:hAnsi="宋体" w:cs="宋体"/>
          <w:color w:val="auto"/>
          <w:kern w:val="0"/>
          <w:sz w:val="24"/>
          <w:szCs w:val="24"/>
          <w:highlight w:val="none"/>
          <w:lang w:eastAsia="zh-CN"/>
        </w:rPr>
        <w:t>至</w:t>
      </w:r>
      <w:r>
        <w:rPr>
          <w:rFonts w:hint="eastAsia" w:ascii="宋体" w:hAnsi="宋体" w:cs="宋体"/>
          <w:color w:val="auto"/>
          <w:kern w:val="0"/>
          <w:sz w:val="24"/>
          <w:szCs w:val="24"/>
          <w:highlight w:val="none"/>
          <w:lang w:val="en-US" w:eastAsia="zh-CN"/>
        </w:rPr>
        <w:t>12:00</w:t>
      </w:r>
      <w:r>
        <w:rPr>
          <w:rFonts w:hint="eastAsia" w:ascii="宋体" w:hAnsi="宋体" w:cs="宋体"/>
          <w:color w:val="auto"/>
          <w:kern w:val="0"/>
          <w:sz w:val="24"/>
          <w:szCs w:val="24"/>
          <w:highlight w:val="none"/>
          <w:lang w:eastAsia="zh-CN"/>
        </w:rPr>
        <w:t>，下午</w:t>
      </w:r>
      <w:r>
        <w:rPr>
          <w:rFonts w:hint="eastAsia" w:ascii="宋体" w:hAnsi="宋体" w:cs="宋体"/>
          <w:color w:val="auto"/>
          <w:kern w:val="0"/>
          <w:sz w:val="24"/>
          <w:szCs w:val="24"/>
          <w:highlight w:val="none"/>
          <w:lang w:val="en-US" w:eastAsia="zh-CN"/>
        </w:rPr>
        <w:t>12:00</w:t>
      </w:r>
      <w:r>
        <w:rPr>
          <w:rFonts w:hint="eastAsia" w:ascii="宋体" w:hAnsi="宋体" w:cs="宋体"/>
          <w:color w:val="auto"/>
          <w:kern w:val="0"/>
          <w:sz w:val="24"/>
          <w:szCs w:val="24"/>
          <w:highlight w:val="none"/>
          <w:lang w:eastAsia="zh-CN"/>
        </w:rPr>
        <w:t>至</w:t>
      </w:r>
      <w:r>
        <w:rPr>
          <w:rFonts w:hint="eastAsia" w:ascii="宋体" w:hAnsi="宋体" w:cs="宋体"/>
          <w:color w:val="auto"/>
          <w:kern w:val="0"/>
          <w:sz w:val="24"/>
          <w:szCs w:val="24"/>
          <w:highlight w:val="none"/>
          <w:lang w:val="en-US" w:eastAsia="zh-CN"/>
        </w:rPr>
        <w:t>23:59</w:t>
      </w:r>
      <w:r>
        <w:rPr>
          <w:rFonts w:hint="eastAsia" w:ascii="宋体" w:hAnsi="宋体" w:cs="宋体"/>
          <w:color w:val="auto"/>
          <w:kern w:val="0"/>
          <w:sz w:val="24"/>
          <w:szCs w:val="24"/>
          <w:highlight w:val="none"/>
          <w:lang w:eastAsia="zh-CN"/>
        </w:rPr>
        <w:t>（北京时间，法定节假日除外）；</w:t>
      </w:r>
    </w:p>
    <w:p w14:paraId="65146E0A">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地点：供应商登录政采云平台http://www.zcygov.cn/，在线申请获取招标文件（登录政府采购云平台→项目采购→获取招标文件→申请即可下载招标文件，如有操作性问题，可与政采云在线客服进行咨询，咨询电话：95763）。</w:t>
      </w:r>
    </w:p>
    <w:p w14:paraId="13AB87D3">
      <w:pPr>
        <w:pStyle w:val="48"/>
        <w:widowControl/>
        <w:numPr>
          <w:ilvl w:val="0"/>
          <w:numId w:val="0"/>
        </w:numPr>
        <w:spacing w:line="360" w:lineRule="auto"/>
        <w:ind w:left="0" w:leftChars="0" w:firstLine="0" w:firstLineChars="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方式：供应商登录新疆政府采购云平台https://www.zcygov.cn/在线申请获取招标文件（登录政府采购云平台→项目采购→获取招标文件→下载招标文件）</w:t>
      </w:r>
    </w:p>
    <w:p w14:paraId="1816A433">
      <w:pPr>
        <w:pStyle w:val="48"/>
        <w:widowControl/>
        <w:numPr>
          <w:ilvl w:val="0"/>
          <w:numId w:val="0"/>
        </w:numPr>
        <w:spacing w:line="360" w:lineRule="auto"/>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售价：免费获取</w:t>
      </w:r>
    </w:p>
    <w:p w14:paraId="16520528">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26" w:name="_Toc28359005"/>
      <w:bookmarkStart w:id="27" w:name="_Toc28359082"/>
      <w:bookmarkStart w:id="28" w:name="_Toc35393793"/>
      <w:bookmarkStart w:id="29" w:name="_Toc35393624"/>
      <w:r>
        <w:rPr>
          <w:rFonts w:hint="eastAsia" w:ascii="宋体" w:hAnsi="宋体" w:eastAsia="宋体" w:cs="宋体"/>
          <w:b/>
          <w:bCs/>
          <w:color w:val="auto"/>
          <w:sz w:val="24"/>
          <w:szCs w:val="24"/>
          <w:highlight w:val="none"/>
        </w:rPr>
        <w:t>四、提交</w:t>
      </w:r>
      <w:bookmarkEnd w:id="26"/>
      <w:bookmarkEnd w:id="27"/>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截止时间、开标时间和地点</w:t>
      </w:r>
      <w:bookmarkEnd w:id="28"/>
      <w:bookmarkEnd w:id="29"/>
    </w:p>
    <w:p w14:paraId="27F194EA">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截止时间：202</w:t>
      </w:r>
      <w:r>
        <w:rPr>
          <w:rFonts w:hint="eastAsia" w:ascii="宋体" w:hAnsi="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03</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日1</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rPr>
        <w:t>0分</w:t>
      </w:r>
      <w:r>
        <w:rPr>
          <w:rFonts w:hint="eastAsia" w:ascii="宋体" w:hAnsi="宋体" w:eastAsia="宋体" w:cs="宋体"/>
          <w:color w:val="auto"/>
          <w:sz w:val="24"/>
          <w:szCs w:val="24"/>
          <w:highlight w:val="none"/>
          <w:u w:val="none"/>
        </w:rPr>
        <w:t>（北京时间）</w:t>
      </w:r>
    </w:p>
    <w:p w14:paraId="3397DD4F">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开标时间</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cs="宋体"/>
          <w:bCs/>
          <w:color w:val="auto"/>
          <w:sz w:val="24"/>
          <w:szCs w:val="24"/>
          <w:highlight w:val="none"/>
          <w:u w:val="none"/>
          <w:lang w:val="en-US" w:eastAsia="zh-CN"/>
        </w:rPr>
        <w:t>03</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10</w:t>
      </w:r>
      <w:r>
        <w:rPr>
          <w:rFonts w:hint="eastAsia" w:ascii="宋体" w:hAnsi="宋体" w:eastAsia="宋体" w:cs="宋体"/>
          <w:bCs/>
          <w:color w:val="auto"/>
          <w:sz w:val="24"/>
          <w:szCs w:val="24"/>
          <w:highlight w:val="none"/>
          <w:u w:val="none"/>
        </w:rPr>
        <w:t>日1</w:t>
      </w:r>
      <w:r>
        <w:rPr>
          <w:rFonts w:hint="eastAsia" w:ascii="宋体" w:hAnsi="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rPr>
        <w:t>0分</w:t>
      </w:r>
      <w:r>
        <w:rPr>
          <w:rFonts w:hint="eastAsia" w:ascii="宋体" w:hAnsi="宋体" w:eastAsia="宋体" w:cs="宋体"/>
          <w:color w:val="auto"/>
          <w:sz w:val="24"/>
          <w:szCs w:val="24"/>
          <w:highlight w:val="none"/>
          <w:u w:val="none"/>
        </w:rPr>
        <w:t>（北</w:t>
      </w:r>
      <w:r>
        <w:rPr>
          <w:rFonts w:hint="eastAsia" w:ascii="宋体" w:hAnsi="宋体" w:eastAsia="宋体" w:cs="宋体"/>
          <w:color w:val="auto"/>
          <w:sz w:val="24"/>
          <w:szCs w:val="24"/>
          <w:highlight w:val="none"/>
        </w:rPr>
        <w:t>京时间）</w:t>
      </w:r>
    </w:p>
    <w:p w14:paraId="3E6F4BE3">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bookmarkStart w:id="30" w:name="_Toc35393625"/>
      <w:bookmarkStart w:id="31" w:name="_Toc35393794"/>
      <w:bookmarkStart w:id="32" w:name="_Toc28359007"/>
      <w:bookmarkStart w:id="33" w:name="_Toc28359084"/>
      <w:r>
        <w:rPr>
          <w:rFonts w:hint="eastAsia" w:ascii="宋体" w:hAnsi="宋体" w:eastAsia="宋体" w:cs="宋体"/>
          <w:color w:val="auto"/>
          <w:sz w:val="24"/>
          <w:szCs w:val="24"/>
          <w:highlight w:val="none"/>
        </w:rPr>
        <w:t>政采云平台http://www.zcygov.cn/</w:t>
      </w:r>
    </w:p>
    <w:p w14:paraId="0317F948">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30"/>
      <w:bookmarkEnd w:id="31"/>
      <w:bookmarkEnd w:id="32"/>
      <w:bookmarkEnd w:id="33"/>
    </w:p>
    <w:p w14:paraId="02AC58D5">
      <w:pPr>
        <w:pageBreakBefore w:val="0"/>
        <w:kinsoku/>
        <w:wordWrap/>
        <w:overflowPunct/>
        <w:topLinePunct w:val="0"/>
        <w:autoSpaceDE/>
        <w:autoSpaceDN/>
        <w:bidi w:val="0"/>
        <w:adjustRightInd/>
        <w:snapToGrid/>
        <w:spacing w:line="560" w:lineRule="exact"/>
        <w:ind w:left="0" w:leftChars="0" w:right="0" w:rightChars="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9D601EB">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4" w:name="_Toc35393795"/>
      <w:bookmarkStart w:id="35" w:name="_Toc35393626"/>
      <w:r>
        <w:rPr>
          <w:rFonts w:hint="eastAsia" w:ascii="宋体" w:hAnsi="宋体" w:eastAsia="宋体" w:cs="宋体"/>
          <w:b/>
          <w:bCs/>
          <w:color w:val="auto"/>
          <w:sz w:val="24"/>
          <w:szCs w:val="24"/>
          <w:highlight w:val="none"/>
        </w:rPr>
        <w:t>六、其他补充事宜</w:t>
      </w:r>
      <w:bookmarkEnd w:id="34"/>
      <w:bookmarkEnd w:id="35"/>
    </w:p>
    <w:p w14:paraId="0CBF6D15">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上传方式；</w:t>
      </w:r>
    </w:p>
    <w:p w14:paraId="2E955B8C">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前应确保成为新疆政府采购网正式注册入库</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，并完成CA数字证书（符合国密标准）申领。因未注册入库、未办理CA数字证书等原因造成无法上传或</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失败等后果由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自行承担。有意向参与的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，可访问新疆数字证书认证中心官方网站（https://www.xjca.com.cn/）或下载“新疆政务通”APP自行申领。如需咨询，请联系新疆CA服务热线0991-2819290；</w:t>
      </w:r>
    </w:p>
    <w:p w14:paraId="41CD7666">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在完成政采云电子交易客户端下载、安装后，可通过账号密码或CA登录客户端进行</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自动弃标；</w:t>
      </w:r>
    </w:p>
    <w:p w14:paraId="222B73F1">
      <w:pPr>
        <w:pStyle w:val="4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截止时间前</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将生成的“电子加密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”上传至“政府采购云平台”</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截止时间以后上传的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将被“政府采购云平台”拒收；</w:t>
      </w:r>
    </w:p>
    <w:p w14:paraId="1EDF834E">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前须提前配置好电脑浏览器（建议使用360浏览器或谷歌浏览器）</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开标时登录政采云平台，在“项目采购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开标评审”功能中，使用制作加密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电子标书的CA锁进行解密及报价确认。本项目</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的解密时间定为30分钟内</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在规定时间内因自身原因导致无法正常解密</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后果由</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w:t>
      </w:r>
    </w:p>
    <w:p w14:paraId="0D5155E9">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4"/>
        <w:jc w:val="left"/>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登录政采云平台，在开标时间后30分钟内用“项目采购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开标评审”功能进行解密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在规定时间内未按时解密的，视为响应无效。解密与加密</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须使用同一个 CA。</w:t>
      </w:r>
    </w:p>
    <w:p w14:paraId="33E4B2F9">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b/>
          <w:bCs/>
          <w:color w:val="auto"/>
          <w:sz w:val="24"/>
          <w:szCs w:val="24"/>
          <w:highlight w:val="none"/>
        </w:rPr>
      </w:pPr>
      <w:bookmarkStart w:id="36" w:name="_Toc28359008"/>
      <w:bookmarkStart w:id="37" w:name="_Toc35393796"/>
      <w:bookmarkStart w:id="38" w:name="_Toc35393627"/>
      <w:bookmarkStart w:id="39" w:name="_Toc28359085"/>
      <w:r>
        <w:rPr>
          <w:rFonts w:hint="eastAsia" w:ascii="宋体" w:hAnsi="宋体" w:eastAsia="宋体" w:cs="宋体"/>
          <w:b/>
          <w:bCs/>
          <w:color w:val="auto"/>
          <w:sz w:val="24"/>
          <w:szCs w:val="24"/>
          <w:highlight w:val="none"/>
        </w:rPr>
        <w:t>七、对本次招标提出询问，请按以下方式联系</w:t>
      </w:r>
      <w:bookmarkEnd w:id="36"/>
      <w:bookmarkEnd w:id="37"/>
      <w:bookmarkEnd w:id="38"/>
      <w:bookmarkEnd w:id="39"/>
      <w:r>
        <w:rPr>
          <w:rFonts w:hint="eastAsia" w:ascii="宋体" w:hAnsi="宋体" w:eastAsia="宋体" w:cs="宋体"/>
          <w:b/>
          <w:bCs/>
          <w:color w:val="auto"/>
          <w:sz w:val="24"/>
          <w:szCs w:val="24"/>
          <w:highlight w:val="none"/>
        </w:rPr>
        <w:t>：</w:t>
      </w:r>
    </w:p>
    <w:p w14:paraId="3AFAD16D">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bookmarkStart w:id="40" w:name="_Toc35393637"/>
      <w:bookmarkStart w:id="41" w:name="_Toc28359096"/>
      <w:bookmarkStart w:id="42" w:name="_Toc28359019"/>
      <w:bookmarkStart w:id="43" w:name="_Toc4464"/>
      <w:bookmarkStart w:id="44" w:name="_Toc2270"/>
      <w:bookmarkStart w:id="45" w:name="_Toc35393806"/>
      <w:r>
        <w:rPr>
          <w:rFonts w:hint="eastAsia" w:ascii="宋体" w:hAnsi="宋体" w:eastAsia="宋体" w:cs="宋体"/>
          <w:color w:val="auto"/>
          <w:kern w:val="0"/>
          <w:sz w:val="24"/>
          <w:szCs w:val="24"/>
          <w:highlight w:val="none"/>
        </w:rPr>
        <w:t>1.采购人信息</w:t>
      </w:r>
      <w:bookmarkEnd w:id="40"/>
      <w:bookmarkEnd w:id="41"/>
      <w:bookmarkEnd w:id="42"/>
      <w:bookmarkEnd w:id="43"/>
      <w:bookmarkEnd w:id="44"/>
      <w:bookmarkEnd w:id="45"/>
    </w:p>
    <w:p w14:paraId="4A22C557">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w:t>
      </w:r>
      <w:r>
        <w:rPr>
          <w:rFonts w:hint="eastAsia" w:ascii="宋体" w:hAnsi="宋体" w:cs="宋体"/>
          <w:color w:val="auto"/>
          <w:kern w:val="0"/>
          <w:sz w:val="24"/>
          <w:szCs w:val="24"/>
          <w:highlight w:val="none"/>
          <w:lang w:eastAsia="zh-CN"/>
        </w:rPr>
        <w:t>新疆司法警官职业学院（新疆维吾尔自治区司法行政干警教育培训中心）</w:t>
      </w:r>
      <w:r>
        <w:rPr>
          <w:rFonts w:hint="eastAsia" w:ascii="宋体" w:hAnsi="宋体" w:eastAsia="宋体" w:cs="宋体"/>
          <w:color w:val="auto"/>
          <w:kern w:val="0"/>
          <w:sz w:val="24"/>
          <w:szCs w:val="24"/>
          <w:highlight w:val="none"/>
          <w:lang w:eastAsia="zh-CN"/>
        </w:rPr>
        <w:t>　</w:t>
      </w:r>
      <w:r>
        <w:rPr>
          <w:rFonts w:hint="eastAsia" w:ascii="宋体" w:hAnsi="宋体" w:eastAsia="宋体" w:cs="宋体"/>
          <w:color w:val="auto"/>
          <w:kern w:val="0"/>
          <w:sz w:val="24"/>
          <w:szCs w:val="24"/>
          <w:highlight w:val="none"/>
        </w:rPr>
        <w:t>　</w:t>
      </w:r>
    </w:p>
    <w:p w14:paraId="6BC91317">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lang w:eastAsia="zh-CN"/>
        </w:rPr>
        <w:t>新疆维吾尔自治区乌鲁木齐市天山区新泉街556号。</w:t>
      </w:r>
    </w:p>
    <w:p w14:paraId="296ACCFF">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联系人：梁主任</w:t>
      </w:r>
    </w:p>
    <w:p w14:paraId="25FCD50C">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lang w:val="en-US" w:eastAsia="zh-CN"/>
        </w:rPr>
        <w:t>联系方式：13899975728</w:t>
      </w:r>
    </w:p>
    <w:p w14:paraId="7BDD013F">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bookmarkStart w:id="46" w:name="_Toc28359097"/>
      <w:bookmarkStart w:id="47" w:name="_Toc27487"/>
      <w:bookmarkStart w:id="48" w:name="_Toc35393807"/>
      <w:bookmarkStart w:id="49" w:name="_Toc28359020"/>
      <w:bookmarkStart w:id="50" w:name="_Toc8280"/>
      <w:bookmarkStart w:id="51" w:name="_Toc35393638"/>
      <w:r>
        <w:rPr>
          <w:rFonts w:hint="eastAsia" w:ascii="宋体" w:hAnsi="宋体" w:eastAsia="宋体" w:cs="宋体"/>
          <w:color w:val="auto"/>
          <w:kern w:val="0"/>
          <w:sz w:val="24"/>
          <w:szCs w:val="24"/>
          <w:highlight w:val="none"/>
        </w:rPr>
        <w:t>2.采购代理机构信息</w:t>
      </w:r>
      <w:bookmarkEnd w:id="46"/>
      <w:bookmarkEnd w:id="47"/>
      <w:bookmarkEnd w:id="48"/>
      <w:bookmarkEnd w:id="49"/>
      <w:bookmarkEnd w:id="50"/>
      <w:bookmarkEnd w:id="51"/>
    </w:p>
    <w:p w14:paraId="00B3E8A0">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名    称：</w:t>
      </w:r>
      <w:r>
        <w:rPr>
          <w:rFonts w:hint="eastAsia" w:ascii="宋体" w:hAnsi="宋体" w:cs="宋体"/>
          <w:color w:val="auto"/>
          <w:kern w:val="0"/>
          <w:sz w:val="24"/>
          <w:szCs w:val="24"/>
          <w:highlight w:val="none"/>
          <w:u w:val="none"/>
          <w:lang w:val="en-US" w:eastAsia="zh-CN"/>
        </w:rPr>
        <w:t>新疆卓恒工程项目管理有限公司</w:t>
      </w:r>
      <w:r>
        <w:rPr>
          <w:rFonts w:hint="eastAsia" w:ascii="宋体" w:hAnsi="宋体" w:eastAsia="宋体" w:cs="宋体"/>
          <w:color w:val="auto"/>
          <w:kern w:val="0"/>
          <w:sz w:val="24"/>
          <w:szCs w:val="24"/>
          <w:highlight w:val="none"/>
          <w:u w:val="none"/>
          <w:lang w:val="en-US" w:eastAsia="zh-CN"/>
        </w:rPr>
        <w:t>　</w:t>
      </w:r>
    </w:p>
    <w:p w14:paraId="3F7B8E59">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地　  址：</w:t>
      </w:r>
      <w:r>
        <w:rPr>
          <w:rFonts w:hint="eastAsia" w:ascii="宋体" w:hAnsi="宋体" w:cs="宋体"/>
          <w:color w:val="auto"/>
          <w:kern w:val="0"/>
          <w:sz w:val="24"/>
          <w:szCs w:val="24"/>
          <w:highlight w:val="none"/>
          <w:u w:val="none"/>
          <w:lang w:val="en-US" w:eastAsia="zh-CN"/>
        </w:rPr>
        <w:t>新疆乌鲁木齐市水磨沟区龙盛街898号万科中央公园S2座10楼</w:t>
      </w:r>
      <w:r>
        <w:rPr>
          <w:rFonts w:hint="eastAsia" w:ascii="宋体" w:hAnsi="宋体" w:eastAsia="宋体" w:cs="宋体"/>
          <w:color w:val="auto"/>
          <w:kern w:val="0"/>
          <w:sz w:val="24"/>
          <w:szCs w:val="24"/>
          <w:highlight w:val="none"/>
          <w:u w:val="none"/>
          <w:lang w:val="en-US" w:eastAsia="zh-CN"/>
        </w:rPr>
        <w:t>。</w:t>
      </w:r>
    </w:p>
    <w:p w14:paraId="5AA78F0B">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联系人：</w:t>
      </w:r>
      <w:r>
        <w:rPr>
          <w:rFonts w:hint="eastAsia" w:ascii="宋体" w:hAnsi="宋体" w:cs="宋体"/>
          <w:color w:val="auto"/>
          <w:kern w:val="0"/>
          <w:sz w:val="24"/>
          <w:szCs w:val="24"/>
          <w:highlight w:val="none"/>
          <w:u w:val="none"/>
          <w:lang w:val="en-US" w:eastAsia="zh-CN"/>
        </w:rPr>
        <w:t>王麒帆</w:t>
      </w:r>
    </w:p>
    <w:p w14:paraId="7451E03C">
      <w:pPr>
        <w:pStyle w:val="4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联系方式：</w:t>
      </w:r>
      <w:r>
        <w:rPr>
          <w:rFonts w:hint="eastAsia" w:ascii="宋体" w:hAnsi="宋体" w:cs="宋体"/>
          <w:color w:val="auto"/>
          <w:kern w:val="0"/>
          <w:sz w:val="24"/>
          <w:szCs w:val="24"/>
          <w:highlight w:val="none"/>
          <w:u w:val="none"/>
          <w:lang w:val="en-US" w:eastAsia="zh-CN"/>
        </w:rPr>
        <w:t>17726787222</w:t>
      </w:r>
    </w:p>
    <w:p w14:paraId="38675A4C">
      <w:pPr>
        <w:keepNext/>
        <w:keepLines/>
        <w:spacing w:line="360" w:lineRule="auto"/>
        <w:jc w:val="left"/>
        <w:rPr>
          <w:rFonts w:hint="eastAsia" w:ascii="宋体" w:hAnsi="宋体" w:eastAsia="宋体" w:cs="宋体"/>
          <w:color w:val="auto"/>
          <w:kern w:val="0"/>
          <w:sz w:val="24"/>
          <w:highlight w:val="none"/>
          <w:lang w:val="en-US" w:eastAsia="zh-CN"/>
        </w:rPr>
      </w:pPr>
    </w:p>
    <w:p w14:paraId="3D744FF9">
      <w:pPr>
        <w:pStyle w:val="2"/>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2" w:name="_Toc13034"/>
      <w:r>
        <w:rPr>
          <w:rFonts w:hint="eastAsia" w:ascii="宋体" w:hAnsi="宋体" w:eastAsia="宋体" w:cs="宋体"/>
          <w:color w:val="auto"/>
          <w:sz w:val="28"/>
          <w:szCs w:val="28"/>
          <w:highlight w:val="none"/>
        </w:rPr>
        <w:t>第二章  供应商须知</w:t>
      </w:r>
      <w:bookmarkEnd w:id="10"/>
      <w:bookmarkEnd w:id="11"/>
      <w:bookmarkEnd w:id="12"/>
      <w:bookmarkEnd w:id="13"/>
      <w:bookmarkEnd w:id="14"/>
      <w:bookmarkEnd w:id="15"/>
      <w:bookmarkEnd w:id="52"/>
    </w:p>
    <w:p w14:paraId="28E8EA48">
      <w:pPr>
        <w:pStyle w:val="3"/>
        <w:spacing w:before="0" w:after="0" w:line="360" w:lineRule="auto"/>
        <w:jc w:val="center"/>
        <w:rPr>
          <w:rFonts w:hint="eastAsia" w:ascii="宋体" w:hAnsi="宋体" w:eastAsia="宋体" w:cs="宋体"/>
          <w:color w:val="auto"/>
          <w:sz w:val="24"/>
          <w:szCs w:val="24"/>
          <w:highlight w:val="none"/>
        </w:rPr>
      </w:pPr>
      <w:bookmarkStart w:id="53" w:name="_Toc213396946"/>
      <w:bookmarkStart w:id="54" w:name="_Toc189727030"/>
      <w:bookmarkStart w:id="55" w:name="_Toc213397010"/>
      <w:bookmarkStart w:id="56" w:name="_Toc217446032"/>
      <w:bookmarkStart w:id="57" w:name="_Toc213496268"/>
      <w:bookmarkStart w:id="58" w:name="_Toc213396760"/>
      <w:r>
        <w:rPr>
          <w:rFonts w:hint="eastAsia" w:ascii="宋体" w:hAnsi="宋体" w:eastAsia="宋体" w:cs="宋体"/>
          <w:color w:val="auto"/>
          <w:sz w:val="24"/>
          <w:szCs w:val="24"/>
          <w:highlight w:val="none"/>
        </w:rPr>
        <w:t>一、供应商须知前附表</w:t>
      </w:r>
      <w:bookmarkEnd w:id="53"/>
      <w:bookmarkEnd w:id="54"/>
      <w:bookmarkEnd w:id="55"/>
      <w:bookmarkEnd w:id="56"/>
      <w:bookmarkEnd w:id="57"/>
      <w:bookmarkEnd w:id="58"/>
    </w:p>
    <w:tbl>
      <w:tblPr>
        <w:tblStyle w:val="3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0"/>
        <w:gridCol w:w="6706"/>
      </w:tblGrid>
      <w:tr w14:paraId="0E12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34" w:type="dxa"/>
            <w:vAlign w:val="center"/>
          </w:tcPr>
          <w:p w14:paraId="3F29835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80" w:type="dxa"/>
            <w:vAlign w:val="center"/>
          </w:tcPr>
          <w:p w14:paraId="027EB4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 称</w:t>
            </w:r>
          </w:p>
        </w:tc>
        <w:tc>
          <w:tcPr>
            <w:tcW w:w="6706" w:type="dxa"/>
            <w:vAlign w:val="center"/>
          </w:tcPr>
          <w:p w14:paraId="5257073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   容</w:t>
            </w:r>
          </w:p>
        </w:tc>
      </w:tr>
      <w:tr w14:paraId="5253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534" w:type="dxa"/>
            <w:vAlign w:val="center"/>
          </w:tcPr>
          <w:p w14:paraId="10B255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80" w:type="dxa"/>
            <w:vAlign w:val="center"/>
          </w:tcPr>
          <w:p w14:paraId="4068A1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706" w:type="dxa"/>
            <w:vAlign w:val="center"/>
          </w:tcPr>
          <w:p w14:paraId="0FD839B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w:t>
            </w:r>
            <w:r>
              <w:rPr>
                <w:rFonts w:hint="eastAsia" w:ascii="宋体" w:hAnsi="宋体" w:cs="宋体"/>
                <w:color w:val="auto"/>
                <w:sz w:val="24"/>
                <w:highlight w:val="none"/>
                <w:lang w:val="en-US" w:eastAsia="zh-CN"/>
              </w:rPr>
              <w:t>新疆司法警官职业学院（新疆维吾尔自治区司法行政干警教育培训中心）</w:t>
            </w:r>
          </w:p>
          <w:p w14:paraId="7258EEDF">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联系人：梁主任</w:t>
            </w:r>
          </w:p>
          <w:p w14:paraId="475CEC7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电话：13899975728</w:t>
            </w:r>
          </w:p>
          <w:p w14:paraId="4167B79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详细地址 ：新疆维吾尔自治区乌鲁木齐市天山区新泉街556号</w:t>
            </w:r>
          </w:p>
        </w:tc>
      </w:tr>
      <w:tr w14:paraId="5117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34" w:type="dxa"/>
            <w:vAlign w:val="center"/>
          </w:tcPr>
          <w:p w14:paraId="3152957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80" w:type="dxa"/>
            <w:vAlign w:val="center"/>
          </w:tcPr>
          <w:p w14:paraId="7803CF5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706" w:type="dxa"/>
            <w:vAlign w:val="center"/>
          </w:tcPr>
          <w:p w14:paraId="76CAE34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新疆卓恒工程项目管理有限公司</w:t>
            </w:r>
          </w:p>
          <w:p w14:paraId="356B109F">
            <w:pPr>
              <w:pStyle w:val="47"/>
              <w:widowControl/>
              <w:adjustRightIn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val="en-US" w:eastAsia="zh-CN"/>
              </w:rPr>
              <w:t>王麒帆</w:t>
            </w:r>
          </w:p>
          <w:p w14:paraId="34A120EE">
            <w:pPr>
              <w:keepNext/>
              <w:keepLines/>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联系电话：</w:t>
            </w:r>
            <w:r>
              <w:rPr>
                <w:rStyle w:val="40"/>
                <w:rFonts w:hint="eastAsia" w:ascii="宋体" w:hAnsi="宋体" w:cs="宋体"/>
                <w:bCs/>
                <w:color w:val="auto"/>
                <w:sz w:val="24"/>
                <w:highlight w:val="none"/>
                <w:lang w:val="en-US" w:eastAsia="zh-CN"/>
              </w:rPr>
              <w:t>17726787222</w:t>
            </w:r>
          </w:p>
          <w:p w14:paraId="6987FB6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新疆乌鲁木齐市水磨沟区龙盛街898号万科中央公园S2座10楼</w:t>
            </w:r>
          </w:p>
        </w:tc>
      </w:tr>
      <w:tr w14:paraId="622C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4" w:type="dxa"/>
            <w:vAlign w:val="center"/>
          </w:tcPr>
          <w:p w14:paraId="21A19D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80" w:type="dxa"/>
            <w:vAlign w:val="center"/>
          </w:tcPr>
          <w:p w14:paraId="6ECB9A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06" w:type="dxa"/>
            <w:vAlign w:val="center"/>
          </w:tcPr>
          <w:p w14:paraId="72F07DE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eastAsia="zh-CN"/>
              </w:rPr>
              <w:t>2025年现代职业教育质量提升计划（西教学楼、2号宿舍楼）抗震加固项目全过程造价咨询服务</w:t>
            </w:r>
          </w:p>
        </w:tc>
      </w:tr>
      <w:tr w14:paraId="509A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4" w:type="dxa"/>
            <w:vAlign w:val="center"/>
          </w:tcPr>
          <w:p w14:paraId="106AF2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80" w:type="dxa"/>
            <w:vAlign w:val="center"/>
          </w:tcPr>
          <w:p w14:paraId="62B288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706" w:type="dxa"/>
            <w:vAlign w:val="center"/>
          </w:tcPr>
          <w:p w14:paraId="5D25C71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fldChar w:fldCharType="begin"/>
            </w:r>
            <w:r>
              <w:rPr>
                <w:rFonts w:hint="eastAsia" w:ascii="宋体" w:hAnsi="宋体" w:eastAsia="宋体" w:cs="宋体"/>
                <w:color w:val="auto"/>
                <w:sz w:val="24"/>
                <w:highlight w:val="none"/>
                <w:lang w:eastAsia="zh-CN"/>
              </w:rPr>
              <w:instrText xml:space="preserve"> HYPERLINK "https://pay.zcygov.cn/purchaseplan_front/" \l "/plan/list/view?id=1000000000014099403&amp;_app_=zcy.procurement" \t "https://www.zcygov.cn/delegation-order/_procurement_/order/_blank" </w:instrText>
            </w:r>
            <w:r>
              <w:rPr>
                <w:rFonts w:hint="eastAsia" w:ascii="宋体" w:hAnsi="宋体" w:eastAsia="宋体" w:cs="宋体"/>
                <w:color w:val="auto"/>
                <w:sz w:val="24"/>
                <w:highlight w:val="none"/>
                <w:lang w:eastAsia="zh-CN"/>
              </w:rPr>
              <w:fldChar w:fldCharType="separate"/>
            </w:r>
            <w:r>
              <w:rPr>
                <w:rFonts w:hint="eastAsia" w:ascii="宋体" w:hAnsi="宋体" w:cs="宋体"/>
                <w:color w:val="auto"/>
                <w:sz w:val="24"/>
                <w:highlight w:val="none"/>
                <w:lang w:eastAsia="zh-CN"/>
              </w:rPr>
              <w:t>ZH-SF003</w:t>
            </w:r>
            <w:r>
              <w:rPr>
                <w:rFonts w:hint="eastAsia" w:ascii="宋体" w:hAnsi="宋体" w:eastAsia="宋体" w:cs="宋体"/>
                <w:color w:val="auto"/>
                <w:sz w:val="24"/>
                <w:highlight w:val="none"/>
                <w:lang w:eastAsia="zh-CN"/>
              </w:rPr>
              <w:fldChar w:fldCharType="end"/>
            </w:r>
          </w:p>
        </w:tc>
      </w:tr>
      <w:tr w14:paraId="675B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3C698F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280" w:type="dxa"/>
            <w:vAlign w:val="center"/>
          </w:tcPr>
          <w:p w14:paraId="1F963A1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资金来源</w:t>
            </w:r>
          </w:p>
        </w:tc>
        <w:tc>
          <w:tcPr>
            <w:tcW w:w="6706" w:type="dxa"/>
            <w:vAlign w:val="center"/>
          </w:tcPr>
          <w:p w14:paraId="329BEC8C">
            <w:pPr>
              <w:spacing w:line="560" w:lineRule="exact"/>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资金来源：财政资金。</w:t>
            </w:r>
          </w:p>
        </w:tc>
      </w:tr>
      <w:tr w14:paraId="4BE2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4" w:type="dxa"/>
            <w:vAlign w:val="center"/>
          </w:tcPr>
          <w:p w14:paraId="4E4F39A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280" w:type="dxa"/>
            <w:vAlign w:val="center"/>
          </w:tcPr>
          <w:p w14:paraId="55ABE52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项目概况</w:t>
            </w:r>
          </w:p>
        </w:tc>
        <w:tc>
          <w:tcPr>
            <w:tcW w:w="6706" w:type="dxa"/>
            <w:vAlign w:val="center"/>
          </w:tcPr>
          <w:p w14:paraId="59DD6728">
            <w:pPr>
              <w:spacing w:line="360" w:lineRule="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概况：西教学楼建筑面积3086.2平方米，2号宿舍楼建筑面积2490.84平方米。建设内容包括：拆除及垃圾外运、主体抗震加固、装修恢复、给排水管网改造、采暖管网改造、电气管网改造、火灾报警、消防及喷淋管网改造、屋面节能改造、外墙节能改造、更换外窗、室外疏散钢楼梯、施工车行路面恢复等。</w:t>
            </w:r>
          </w:p>
        </w:tc>
      </w:tr>
      <w:tr w14:paraId="3F5F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34" w:type="dxa"/>
            <w:vAlign w:val="center"/>
          </w:tcPr>
          <w:p w14:paraId="02EADA7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280" w:type="dxa"/>
            <w:vAlign w:val="center"/>
          </w:tcPr>
          <w:p w14:paraId="2592C07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招标范围</w:t>
            </w:r>
          </w:p>
        </w:tc>
        <w:tc>
          <w:tcPr>
            <w:tcW w:w="6706" w:type="dxa"/>
            <w:vAlign w:val="center"/>
          </w:tcPr>
          <w:p w14:paraId="5528BB7D">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bidi="ar"/>
              </w:rPr>
              <w:t>工程全过程造价咨询服务，包含但不限于招标控制价、设计测算、施工过程工程进度计量和支付、材料、机械、设备等市场的询价与核价、施工过程中的变更（签证）审核、工程竣工结算编制、配合财务决算编制、配合发包人委托的审计及公司业务内审等工作。</w:t>
            </w:r>
          </w:p>
        </w:tc>
      </w:tr>
      <w:tr w14:paraId="00B9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34" w:type="dxa"/>
            <w:vAlign w:val="center"/>
          </w:tcPr>
          <w:p w14:paraId="1E0AA6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280" w:type="dxa"/>
            <w:vAlign w:val="center"/>
          </w:tcPr>
          <w:p w14:paraId="04A0741F">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报价方式</w:t>
            </w:r>
            <w:r>
              <w:rPr>
                <w:rFonts w:hint="eastAsia" w:ascii="宋体" w:hAnsi="宋体" w:cs="宋体"/>
                <w:color w:val="auto"/>
                <w:sz w:val="24"/>
                <w:highlight w:val="none"/>
                <w:lang w:val="en-US" w:eastAsia="zh-CN"/>
              </w:rPr>
              <w:t>及最高限价</w:t>
            </w:r>
          </w:p>
        </w:tc>
        <w:tc>
          <w:tcPr>
            <w:tcW w:w="6706" w:type="dxa"/>
            <w:vAlign w:val="center"/>
          </w:tcPr>
          <w:p w14:paraId="3EFAA13F">
            <w:pPr>
              <w:pStyle w:val="11"/>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投标报价方式：直接报价</w:t>
            </w:r>
          </w:p>
          <w:p w14:paraId="0D0E9F5E">
            <w:pPr>
              <w:pStyle w:val="11"/>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本项目最高限价：140000.00元（报价超过最高投标限价的，其响应文件将被否决。）</w:t>
            </w:r>
          </w:p>
        </w:tc>
      </w:tr>
      <w:tr w14:paraId="1615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34" w:type="dxa"/>
            <w:vAlign w:val="center"/>
          </w:tcPr>
          <w:p w14:paraId="6DDCC7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280" w:type="dxa"/>
            <w:vAlign w:val="center"/>
          </w:tcPr>
          <w:p w14:paraId="4821CD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服务期、服务地点</w:t>
            </w:r>
          </w:p>
        </w:tc>
        <w:tc>
          <w:tcPr>
            <w:tcW w:w="6706" w:type="dxa"/>
            <w:vAlign w:val="center"/>
          </w:tcPr>
          <w:p w14:paraId="2B36A99A">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自合同签订之日</w:t>
            </w:r>
            <w:r>
              <w:rPr>
                <w:rFonts w:hint="eastAsia" w:ascii="宋体" w:hAnsi="宋体" w:eastAsia="宋体" w:cs="宋体"/>
                <w:color w:val="auto"/>
                <w:sz w:val="24"/>
                <w:highlight w:val="none"/>
                <w:lang w:val="en-US" w:eastAsia="zh-CN"/>
              </w:rPr>
              <w:t>至项目结算审核完成。</w:t>
            </w:r>
          </w:p>
          <w:p w14:paraId="1A8A8EAF">
            <w:pPr>
              <w:pStyle w:val="11"/>
              <w:snapToGrid/>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lang w:eastAsia="zh-CN"/>
              </w:rPr>
              <w:t>指定地点</w:t>
            </w:r>
          </w:p>
        </w:tc>
      </w:tr>
      <w:tr w14:paraId="311C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4" w:type="dxa"/>
            <w:vAlign w:val="center"/>
          </w:tcPr>
          <w:p w14:paraId="430CA70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280" w:type="dxa"/>
            <w:vAlign w:val="center"/>
          </w:tcPr>
          <w:p w14:paraId="597E7E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服务标准</w:t>
            </w:r>
          </w:p>
        </w:tc>
        <w:tc>
          <w:tcPr>
            <w:tcW w:w="6706" w:type="dxa"/>
            <w:vAlign w:val="center"/>
          </w:tcPr>
          <w:p w14:paraId="7D5A953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按国家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val="en-US" w:eastAsia="zh-CN"/>
              </w:rPr>
              <w:t>及采购人</w:t>
            </w:r>
            <w:r>
              <w:rPr>
                <w:rFonts w:hint="eastAsia" w:ascii="宋体" w:hAnsi="宋体" w:eastAsia="宋体" w:cs="宋体"/>
                <w:color w:val="auto"/>
                <w:sz w:val="24"/>
                <w:highlight w:val="none"/>
              </w:rPr>
              <w:t>相关标准执行。</w:t>
            </w:r>
          </w:p>
        </w:tc>
      </w:tr>
      <w:tr w14:paraId="4FB2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34" w:type="dxa"/>
            <w:vAlign w:val="center"/>
          </w:tcPr>
          <w:p w14:paraId="40A63D0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280" w:type="dxa"/>
            <w:vAlign w:val="center"/>
          </w:tcPr>
          <w:p w14:paraId="1B95AF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供应商资格要求</w:t>
            </w:r>
          </w:p>
        </w:tc>
        <w:tc>
          <w:tcPr>
            <w:tcW w:w="6706" w:type="dxa"/>
            <w:vAlign w:val="center"/>
          </w:tcPr>
          <w:p w14:paraId="6991EE53">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6E9B0C94">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2、落实政府采购政策需满足的资格要求：本项目为专门面向中小企业采购。 </w:t>
            </w:r>
          </w:p>
          <w:p w14:paraId="1149BDC8">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22E95534">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3.1拟派项目负责人具有一级注册造价工程师资格，须在本单位注册；</w:t>
            </w:r>
          </w:p>
          <w:p w14:paraId="21CAFC04">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3.2根据《财政部关于在政府采购活动中查</w:t>
            </w:r>
            <w:r>
              <w:rPr>
                <w:rFonts w:hint="eastAsia" w:ascii="宋体" w:hAnsi="宋体" w:eastAsia="宋体" w:cs="宋体"/>
                <w:color w:val="auto"/>
                <w:sz w:val="24"/>
                <w:szCs w:val="24"/>
                <w:highlight w:val="none"/>
                <w:lang w:eastAsia="zh-CN"/>
              </w:rPr>
              <w:t>询及使用信用记录有关问题的通知》（财库﹝2016﹞125号）的要求，凡拟参加本次招标项目的供应商，供应商未被列入“信用中国”网站（www.creditchina.gov.cn）失信被执行人、重大税收违法失信主体及中国政府采购网（www.ccgp.gov.cn）“政府采购严重违法失信行为信息记录”；</w:t>
            </w:r>
          </w:p>
          <w:p w14:paraId="1BE690E3">
            <w:pPr>
              <w:pStyle w:val="48"/>
              <w:widowControl/>
              <w:numPr>
                <w:ilvl w:val="0"/>
                <w:numId w:val="0"/>
              </w:num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r>
      <w:tr w14:paraId="45C9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34" w:type="dxa"/>
            <w:vAlign w:val="center"/>
          </w:tcPr>
          <w:p w14:paraId="230955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280" w:type="dxa"/>
            <w:vAlign w:val="center"/>
          </w:tcPr>
          <w:p w14:paraId="18FA7BC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706" w:type="dxa"/>
            <w:vAlign w:val="center"/>
          </w:tcPr>
          <w:p w14:paraId="2260515B">
            <w:pPr>
              <w:pStyle w:val="13"/>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磋商保证金金额：</w:t>
            </w:r>
            <w:r>
              <w:rPr>
                <w:rFonts w:hint="eastAsia" w:hAnsi="宋体" w:cs="宋体"/>
                <w:sz w:val="24"/>
                <w:szCs w:val="24"/>
                <w:highlight w:val="none"/>
                <w:lang w:val="en-US" w:eastAsia="zh-CN"/>
              </w:rPr>
              <w:t>28</w:t>
            </w:r>
            <w:r>
              <w:rPr>
                <w:rFonts w:hint="eastAsia" w:ascii="宋体" w:hAnsi="宋体" w:eastAsia="宋体" w:cs="宋体"/>
                <w:sz w:val="24"/>
                <w:szCs w:val="24"/>
                <w:highlight w:val="none"/>
                <w:lang w:val="en-US" w:eastAsia="zh-CN"/>
              </w:rPr>
              <w:t>00.00元；（大写</w:t>
            </w:r>
            <w:r>
              <w:rPr>
                <w:rFonts w:hint="eastAsia" w:hAnsi="宋体" w:cs="宋体"/>
                <w:sz w:val="24"/>
                <w:szCs w:val="24"/>
                <w:highlight w:val="none"/>
                <w:lang w:val="en-US" w:eastAsia="zh-CN"/>
              </w:rPr>
              <w:t>：贰仟捌佰</w:t>
            </w:r>
            <w:r>
              <w:rPr>
                <w:rFonts w:hint="eastAsia" w:ascii="宋体" w:hAnsi="宋体" w:eastAsia="宋体" w:cs="宋体"/>
                <w:sz w:val="24"/>
                <w:szCs w:val="24"/>
                <w:highlight w:val="none"/>
                <w:lang w:val="en-US" w:eastAsia="zh-CN"/>
              </w:rPr>
              <w:t>元整）</w:t>
            </w:r>
          </w:p>
          <w:p w14:paraId="4C333DCF">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磋商保证金缴纳账号：</w:t>
            </w:r>
          </w:p>
          <w:p w14:paraId="5BB32BF5">
            <w:pPr>
              <w:spacing w:line="360" w:lineRule="auto"/>
              <w:jc w:val="lef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单位名称：新疆卓恒工程项目管理有限公司</w:t>
            </w:r>
          </w:p>
          <w:p w14:paraId="6FDFB435">
            <w:pPr>
              <w:spacing w:line="360" w:lineRule="auto"/>
              <w:jc w:val="lef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银行账号：0000020010110080938057</w:t>
            </w:r>
          </w:p>
          <w:p w14:paraId="20EBF864">
            <w:pPr>
              <w:spacing w:line="360" w:lineRule="auto"/>
              <w:jc w:val="left"/>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开户行：乌鲁木齐银行环宇支行</w:t>
            </w:r>
          </w:p>
          <w:p w14:paraId="6A973C6C">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eastAsia="zh-CN"/>
              </w:rPr>
              <w:t>磋商</w:t>
            </w:r>
            <w:r>
              <w:rPr>
                <w:rFonts w:hint="eastAsia" w:ascii="宋体" w:hAnsi="宋体" w:eastAsia="宋体" w:cs="宋体"/>
                <w:sz w:val="24"/>
                <w:highlight w:val="none"/>
              </w:rPr>
              <w:t>保证金缴纳形式：以</w:t>
            </w:r>
            <w:r>
              <w:rPr>
                <w:rFonts w:hint="eastAsia" w:ascii="宋体" w:hAnsi="宋体" w:eastAsia="宋体" w:cs="宋体"/>
                <w:sz w:val="24"/>
                <w:highlight w:val="none"/>
                <w:lang w:eastAsia="zh-CN"/>
              </w:rPr>
              <w:t>转账、电汇</w:t>
            </w:r>
            <w:r>
              <w:rPr>
                <w:rFonts w:hint="eastAsia" w:ascii="宋体" w:hAnsi="宋体" w:eastAsia="宋体" w:cs="宋体"/>
                <w:sz w:val="24"/>
                <w:highlight w:val="none"/>
              </w:rPr>
              <w:t>或者保函（政府采购电子保函）等非现金形式提交。</w:t>
            </w:r>
          </w:p>
          <w:p w14:paraId="61D8D5E0">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保证金到账截止时间</w:t>
            </w:r>
            <w:bookmarkStart w:id="59" w:name="EB961a54d590dd4901836fe4678f9cafb9"/>
            <w:bookmarkEnd w:id="59"/>
            <w:r>
              <w:rPr>
                <w:rFonts w:hint="eastAsia" w:ascii="宋体" w:hAnsi="宋体" w:eastAsia="宋体" w:cs="宋体"/>
                <w:sz w:val="24"/>
                <w:highlight w:val="none"/>
              </w:rPr>
              <w:t>：同开标时间（</w:t>
            </w:r>
            <w:r>
              <w:rPr>
                <w:rFonts w:hint="eastAsia" w:ascii="宋体" w:hAnsi="宋体" w:eastAsia="宋体" w:cs="宋体"/>
                <w:sz w:val="24"/>
                <w:highlight w:val="none"/>
                <w:lang w:eastAsia="zh-CN"/>
              </w:rPr>
              <w:t>响应</w:t>
            </w:r>
            <w:r>
              <w:rPr>
                <w:rFonts w:hint="eastAsia" w:ascii="宋体" w:hAnsi="宋体" w:eastAsia="宋体" w:cs="宋体"/>
                <w:sz w:val="24"/>
                <w:highlight w:val="none"/>
              </w:rPr>
              <w:t>文件递交截止时间）</w:t>
            </w:r>
          </w:p>
          <w:p w14:paraId="45CB3B2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缴纳的保证金以</w:t>
            </w:r>
            <w:r>
              <w:rPr>
                <w:rFonts w:hint="eastAsia" w:ascii="宋体" w:hAnsi="宋体" w:eastAsia="宋体" w:cs="宋体"/>
                <w:sz w:val="24"/>
                <w:highlight w:val="none"/>
                <w:lang w:eastAsia="zh-CN"/>
              </w:rPr>
              <w:t>保证金实际到达</w:t>
            </w: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账户时间</w:t>
            </w:r>
            <w:r>
              <w:rPr>
                <w:rFonts w:hint="eastAsia" w:ascii="宋体" w:hAnsi="宋体" w:eastAsia="宋体" w:cs="宋体"/>
                <w:sz w:val="24"/>
                <w:highlight w:val="none"/>
              </w:rPr>
              <w:t xml:space="preserve">为准； </w:t>
            </w:r>
          </w:p>
          <w:p w14:paraId="3CC3E9D9">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3.供应商以</w:t>
            </w:r>
            <w:r>
              <w:rPr>
                <w:rFonts w:hint="eastAsia" w:ascii="宋体" w:hAnsi="宋体" w:eastAsia="宋体" w:cs="宋体"/>
                <w:sz w:val="24"/>
                <w:highlight w:val="none"/>
                <w:lang w:eastAsia="zh-CN"/>
              </w:rPr>
              <w:t>转账、电汇</w:t>
            </w:r>
            <w:r>
              <w:rPr>
                <w:rFonts w:hint="eastAsia" w:ascii="宋体" w:hAnsi="宋体" w:eastAsia="宋体" w:cs="宋体"/>
                <w:sz w:val="24"/>
                <w:highlight w:val="none"/>
              </w:rPr>
              <w:t xml:space="preserve">或者保函（政府采购电子保函）等非现金形式提交保证金的注意事项如下： </w:t>
            </w:r>
          </w:p>
          <w:p w14:paraId="68839CBD">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（1）保证金单位名称必须与供应商登记的单位名称一致,不得以分公司、办事处或其或其他机构名义交纳,否则其投标将被拒绝。 </w:t>
            </w:r>
          </w:p>
          <w:p w14:paraId="7EC40647">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（2）供应商须在</w:t>
            </w:r>
            <w:r>
              <w:rPr>
                <w:rFonts w:hint="eastAsia" w:ascii="宋体" w:hAnsi="宋体" w:eastAsia="宋体" w:cs="宋体"/>
                <w:sz w:val="24"/>
                <w:highlight w:val="none"/>
                <w:lang w:eastAsia="zh-CN"/>
              </w:rPr>
              <w:t>响应</w:t>
            </w:r>
            <w:r>
              <w:rPr>
                <w:rFonts w:hint="eastAsia" w:ascii="宋体" w:hAnsi="宋体" w:eastAsia="宋体" w:cs="宋体"/>
                <w:sz w:val="24"/>
                <w:highlight w:val="none"/>
              </w:rPr>
              <w:t>截止时间前由</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账户一次性汇入采购文件指定帐号,供应商须自行评估因异地、跨行、公休日等因素造成的保证金到账延迟风险,并承担相应责任。</w:t>
            </w:r>
          </w:p>
          <w:p w14:paraId="0444DF76">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（3）供应商请自行查询是否到账,供应商以网银转账、电汇汇款方式缴纳保证金的须从供应商账户转出,</w:t>
            </w:r>
            <w:r>
              <w:rPr>
                <w:rFonts w:hint="eastAsia" w:ascii="宋体" w:hAnsi="宋体" w:eastAsia="宋体" w:cs="宋体"/>
                <w:b/>
                <w:bCs/>
                <w:sz w:val="24"/>
                <w:highlight w:val="none"/>
              </w:rPr>
              <w:t>请备注项目名称或项目编号。</w:t>
            </w:r>
          </w:p>
          <w:p w14:paraId="5984DD95">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4）采用电子保函形式应按以下要求办理：</w:t>
            </w:r>
          </w:p>
          <w:p w14:paraId="66D37E96">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具体操作网址详见以下网址https://jinrong.zcygov.cn/luban/finance/letter/xinjiang?pageModelFlag=650000&amp;utm=luban.luban-PC-42055.959-pc-websitegroup-navBar-front.6.7e243ab01fd611eeaa409fcd72e2594c</w:t>
            </w:r>
          </w:p>
          <w:p w14:paraId="3A9B7BC2">
            <w:pPr>
              <w:spacing w:line="360" w:lineRule="auto"/>
              <w:jc w:val="left"/>
              <w:rPr>
                <w:rFonts w:hint="eastAsia" w:ascii="宋体" w:hAnsi="宋体" w:eastAsia="宋体" w:cs="宋体"/>
                <w:sz w:val="24"/>
                <w:highlight w:val="none"/>
              </w:rPr>
            </w:pPr>
            <w:r>
              <w:rPr>
                <w:rFonts w:hint="eastAsia" w:ascii="宋体" w:hAnsi="宋体" w:eastAsia="宋体" w:cs="宋体"/>
                <w:b/>
                <w:bCs/>
                <w:sz w:val="24"/>
                <w:highlight w:val="none"/>
              </w:rPr>
              <w:t>注:</w:t>
            </w:r>
            <w:r>
              <w:rPr>
                <w:rFonts w:hint="eastAsia" w:ascii="宋体" w:hAnsi="宋体" w:eastAsia="宋体" w:cs="宋体"/>
                <w:sz w:val="24"/>
                <w:highlight w:val="none"/>
              </w:rPr>
              <w:t xml:space="preserve">供应商应充分考虑到账时间，否决后果自负。保函应由金融机构或担保机构出具。 </w:t>
            </w:r>
          </w:p>
          <w:p w14:paraId="2100389C">
            <w:pPr>
              <w:pStyle w:val="11"/>
              <w:snapToGrid/>
              <w:spacing w:line="360" w:lineRule="auto"/>
              <w:rPr>
                <w:rFonts w:hint="eastAsia" w:ascii="宋体" w:hAnsi="宋体" w:eastAsia="宋体" w:cs="宋体"/>
                <w:bCs/>
                <w:iCs/>
                <w:color w:val="auto"/>
                <w:sz w:val="24"/>
                <w:szCs w:val="24"/>
                <w:highlight w:val="none"/>
              </w:rPr>
            </w:pPr>
            <w:r>
              <w:rPr>
                <w:rFonts w:hint="eastAsia" w:ascii="宋体" w:hAnsi="宋体" w:eastAsia="宋体" w:cs="宋体"/>
                <w:sz w:val="24"/>
                <w:highlight w:val="none"/>
                <w:lang w:val="en-US" w:eastAsia="zh-CN"/>
              </w:rPr>
              <w:t>磋商保证金有效期：</w:t>
            </w:r>
            <w:r>
              <w:rPr>
                <w:rFonts w:hint="eastAsia" w:ascii="宋体" w:hAnsi="宋体" w:eastAsia="宋体" w:cs="宋体"/>
                <w:sz w:val="24"/>
                <w:highlight w:val="none"/>
              </w:rPr>
              <w:t>自提交响应文件的截止之日起</w:t>
            </w:r>
            <w:r>
              <w:rPr>
                <w:rFonts w:hint="eastAsia" w:ascii="宋体" w:hAnsi="宋体" w:eastAsia="宋体" w:cs="宋体"/>
                <w:sz w:val="24"/>
                <w:highlight w:val="none"/>
                <w:lang w:val="en-US" w:eastAsia="zh-CN"/>
              </w:rPr>
              <w:t>60天</w:t>
            </w:r>
            <w:r>
              <w:rPr>
                <w:rFonts w:hint="eastAsia" w:ascii="宋体" w:hAnsi="宋体" w:eastAsia="宋体" w:cs="宋体"/>
                <w:sz w:val="24"/>
                <w:highlight w:val="none"/>
              </w:rPr>
              <w:t>。</w:t>
            </w:r>
          </w:p>
        </w:tc>
      </w:tr>
      <w:tr w14:paraId="3554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3B79DF6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280" w:type="dxa"/>
            <w:vAlign w:val="center"/>
          </w:tcPr>
          <w:p w14:paraId="4A3C62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w:t>
            </w:r>
          </w:p>
        </w:tc>
        <w:tc>
          <w:tcPr>
            <w:tcW w:w="6706" w:type="dxa"/>
            <w:vAlign w:val="center"/>
          </w:tcPr>
          <w:p w14:paraId="4DC1EB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不接受/</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接受</w:t>
            </w:r>
          </w:p>
        </w:tc>
      </w:tr>
      <w:tr w14:paraId="795C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2D17A3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280" w:type="dxa"/>
            <w:vAlign w:val="center"/>
          </w:tcPr>
          <w:p w14:paraId="05D23A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06" w:type="dxa"/>
            <w:vAlign w:val="center"/>
          </w:tcPr>
          <w:p w14:paraId="4C9111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不允许/</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w:t>
            </w:r>
          </w:p>
        </w:tc>
      </w:tr>
      <w:tr w14:paraId="5D35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23AD3E4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280" w:type="dxa"/>
            <w:vAlign w:val="center"/>
          </w:tcPr>
          <w:p w14:paraId="3ADCEB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响应文件递交截止时间、地点、方式</w:t>
            </w:r>
          </w:p>
        </w:tc>
        <w:tc>
          <w:tcPr>
            <w:tcW w:w="6706" w:type="dxa"/>
            <w:vAlign w:val="center"/>
          </w:tcPr>
          <w:p w14:paraId="607BA2AA">
            <w:pPr>
              <w:pStyle w:val="48"/>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本项目采用不见面开标：</w:t>
            </w:r>
          </w:p>
          <w:p w14:paraId="210C8779">
            <w:pPr>
              <w:pStyle w:val="48"/>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时间：2025年03月10日10点30分（北京时间）</w:t>
            </w:r>
          </w:p>
          <w:p w14:paraId="39D8CB56">
            <w:pPr>
              <w:pStyle w:val="48"/>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地点：政采云平台https://www.zcygov.cn/</w:t>
            </w:r>
          </w:p>
          <w:p w14:paraId="56729E6B">
            <w:pPr>
              <w:pStyle w:val="48"/>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解密时间：响应截止时间后30分钟内</w:t>
            </w:r>
          </w:p>
          <w:p w14:paraId="1052F6E9">
            <w:pPr>
              <w:pStyle w:val="48"/>
              <w:widowControl/>
              <w:spacing w:line="360" w:lineRule="auto"/>
              <w:jc w:val="left"/>
              <w:rPr>
                <w:rFonts w:hint="eastAsia" w:ascii="宋体" w:hAnsi="宋体" w:eastAsia="宋体" w:cs="宋体"/>
                <w:color w:val="auto"/>
                <w:kern w:val="0"/>
                <w:highlight w:val="none"/>
              </w:rPr>
            </w:pPr>
            <w:r>
              <w:rPr>
                <w:rFonts w:hint="eastAsia" w:ascii="宋体" w:hAnsi="宋体" w:eastAsia="宋体" w:cs="宋体"/>
                <w:color w:val="auto"/>
                <w:kern w:val="0"/>
                <w:sz w:val="24"/>
                <w:szCs w:val="24"/>
                <w:highlight w:val="none"/>
                <w:lang w:val="en-US" w:eastAsia="zh-CN" w:bidi="ar"/>
              </w:rPr>
              <w:t>供应商可以登录“政采云”平台，用“项目采购-开标评标”功能进行解密响应文件。</w:t>
            </w:r>
            <w:r>
              <w:rPr>
                <w:rFonts w:hint="eastAsia" w:ascii="宋体" w:hAnsi="宋体" w:eastAsia="宋体" w:cs="宋体"/>
                <w:b/>
                <w:bCs/>
                <w:color w:val="auto"/>
                <w:kern w:val="0"/>
                <w:sz w:val="24"/>
                <w:szCs w:val="24"/>
                <w:highlight w:val="none"/>
                <w:lang w:val="en-US" w:eastAsia="zh-CN" w:bidi="ar"/>
              </w:rPr>
              <w:t>若供应商在规定时间内，未按时解密的，视为响应文件撤回。</w:t>
            </w:r>
          </w:p>
        </w:tc>
      </w:tr>
      <w:tr w14:paraId="0136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4" w:type="dxa"/>
            <w:vAlign w:val="center"/>
          </w:tcPr>
          <w:p w14:paraId="228D43CB">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16</w:t>
            </w:r>
          </w:p>
        </w:tc>
        <w:tc>
          <w:tcPr>
            <w:tcW w:w="1280" w:type="dxa"/>
            <w:vAlign w:val="center"/>
          </w:tcPr>
          <w:p w14:paraId="55472AF5">
            <w:pPr>
              <w:spacing w:line="360" w:lineRule="auto"/>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szCs w:val="24"/>
                <w:highlight w:val="none"/>
              </w:rPr>
              <w:t>重要说明</w:t>
            </w:r>
          </w:p>
        </w:tc>
        <w:tc>
          <w:tcPr>
            <w:tcW w:w="6706" w:type="dxa"/>
            <w:vAlign w:val="center"/>
          </w:tcPr>
          <w:p w14:paraId="2999D8AF">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1、电子招投标情况说明：</w:t>
            </w:r>
          </w:p>
          <w:p w14:paraId="34D1B9A9">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color w:val="auto"/>
                <w:sz w:val="24"/>
                <w:szCs w:val="24"/>
                <w:highlight w:val="none"/>
              </w:rPr>
              <w:t>电子招投标</w:t>
            </w:r>
            <w:r>
              <w:rPr>
                <w:rFonts w:hint="eastAsia" w:ascii="宋体" w:hAnsi="宋体" w:eastAsia="宋体" w:cs="宋体"/>
                <w:color w:val="auto"/>
                <w:sz w:val="24"/>
                <w:szCs w:val="24"/>
                <w:highlight w:val="none"/>
              </w:rPr>
              <w:t>：本项目以数据电文形式，依托“政府采购云平台（www.zcygov.cn）”进行招投标活动</w:t>
            </w:r>
            <w:r>
              <w:rPr>
                <w:rFonts w:hint="eastAsia" w:ascii="宋体" w:hAnsi="宋体" w:eastAsia="宋体" w:cs="宋体"/>
                <w:b/>
                <w:bCs/>
                <w:color w:val="auto"/>
                <w:sz w:val="24"/>
                <w:szCs w:val="24"/>
                <w:highlight w:val="none"/>
              </w:rPr>
              <w:t>。</w:t>
            </w:r>
          </w:p>
          <w:p w14:paraId="467A85A2">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szCs w:val="24"/>
                <w:highlight w:val="none"/>
              </w:rPr>
              <w:t>投标准备</w:t>
            </w:r>
            <w:r>
              <w:rPr>
                <w:rFonts w:hint="eastAsia" w:ascii="宋体" w:hAnsi="宋体" w:eastAsia="宋体" w:cs="宋体"/>
                <w:color w:val="auto"/>
                <w:sz w:val="24"/>
                <w:szCs w:val="24"/>
                <w:highlight w:val="none"/>
              </w:rPr>
              <w:t>：注册账号--点击“商家入驻”，进行政府采购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资料填写；申领CA数字证书---申领流程详见“</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政府采购网-下载专区-电子交易客户端-CA驱动和申领流程”；安装“政采云电子交易客户端”----前往“</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客户端”进行下载并安装。</w:t>
            </w:r>
          </w:p>
          <w:p w14:paraId="30FC1DB8">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采购文件的获取</w:t>
            </w:r>
            <w:r>
              <w:rPr>
                <w:rFonts w:hint="eastAsia" w:ascii="宋体" w:hAnsi="宋体" w:eastAsia="宋体" w:cs="宋体"/>
                <w:color w:val="auto"/>
                <w:sz w:val="24"/>
                <w:szCs w:val="24"/>
                <w:highlight w:val="none"/>
              </w:rPr>
              <w:t>：使用账号登录或者</w:t>
            </w:r>
            <w:r>
              <w:rPr>
                <w:rFonts w:hint="eastAsia" w:ascii="宋体" w:hAnsi="宋体" w:eastAsia="宋体" w:cs="宋体"/>
                <w:color w:val="auto"/>
                <w:sz w:val="24"/>
                <w:szCs w:val="24"/>
                <w:highlight w:val="none"/>
                <w:lang w:bidi="zh-CN"/>
              </w:rPr>
              <w:t>短信验证码</w:t>
            </w:r>
            <w:r>
              <w:rPr>
                <w:rFonts w:hint="eastAsia" w:ascii="宋体" w:hAnsi="宋体" w:eastAsia="宋体" w:cs="宋体"/>
                <w:color w:val="auto"/>
                <w:sz w:val="24"/>
                <w:szCs w:val="24"/>
                <w:highlight w:val="none"/>
              </w:rPr>
              <w:t>或者使用CA登录政采云平台；进入“项目采购”应用，在获取采购文件菜单中选择项目，获取采购文件。</w:t>
            </w:r>
          </w:p>
          <w:p w14:paraId="0724811A">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的制作</w:t>
            </w:r>
            <w:r>
              <w:rPr>
                <w:rFonts w:hint="eastAsia" w:ascii="宋体" w:hAnsi="宋体" w:eastAsia="宋体" w:cs="宋体"/>
                <w:color w:val="auto"/>
                <w:sz w:val="24"/>
                <w:szCs w:val="24"/>
                <w:highlight w:val="none"/>
              </w:rPr>
              <w:t>：在“政采云</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客户端”中完成“填写基本信息”、“导入</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”、“标书关联”、“标书检查”、“电子签名”、“生成电子标书”等操作。</w:t>
            </w:r>
          </w:p>
          <w:p w14:paraId="65E0A599">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的递交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在投标截止时间前将加密的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上传至政府采购云平台</w:t>
            </w:r>
            <w:r>
              <w:rPr>
                <w:rFonts w:hint="eastAsia" w:ascii="宋体" w:hAnsi="宋体" w:cs="宋体"/>
                <w:color w:val="auto"/>
                <w:sz w:val="24"/>
                <w:szCs w:val="24"/>
                <w:highlight w:val="none"/>
                <w:lang w:eastAsia="zh-CN"/>
              </w:rPr>
              <w:t>。</w:t>
            </w:r>
          </w:p>
          <w:p w14:paraId="526F09BE">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的解密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解密时间30分钟，开标前需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用CA证书登录政采云平台开标大厅签到，在30分钟解密时间内输入CA证书PIN码解密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。在30分钟解密时间内未进行解密的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将导致投标无效。（解密时间开始时政采云平台将以短信形式向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在政采云平台预留的手机号发送短信通知，请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及时关注。）</w:t>
            </w:r>
          </w:p>
          <w:p w14:paraId="6A6FF912">
            <w:pPr>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报价CA签字确认：</w:t>
            </w:r>
            <w:r>
              <w:rPr>
                <w:rFonts w:hint="eastAsia" w:ascii="宋体" w:hAnsi="宋体" w:eastAsia="宋体" w:cs="宋体"/>
                <w:color w:val="auto"/>
                <w:sz w:val="24"/>
                <w:szCs w:val="24"/>
                <w:highlight w:val="none"/>
              </w:rPr>
              <w:t>报价文件开启后将开启签字时段，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0分钟内用CA证书对报价进行签字确认。</w:t>
            </w:r>
          </w:p>
          <w:p w14:paraId="5AB391A6">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）具</w:t>
            </w:r>
            <w:r>
              <w:rPr>
                <w:rFonts w:hint="eastAsia" w:ascii="宋体" w:hAnsi="宋体" w:eastAsia="宋体" w:cs="宋体"/>
                <w:b/>
                <w:color w:val="auto"/>
                <w:sz w:val="24"/>
                <w:szCs w:val="24"/>
                <w:highlight w:val="none"/>
              </w:rPr>
              <w:t>体操作指南</w:t>
            </w:r>
            <w:r>
              <w:rPr>
                <w:rFonts w:hint="eastAsia" w:ascii="宋体" w:hAnsi="宋体" w:eastAsia="宋体" w:cs="宋体"/>
                <w:color w:val="auto"/>
                <w:sz w:val="24"/>
                <w:szCs w:val="24"/>
                <w:highlight w:val="none"/>
              </w:rPr>
              <w:t>：详见政采云平台“服务中心-帮助文档-项目采购-操作流程-电子招投标-政府采购项目电子交易管理操作指南-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7D7B746C">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在进行上述操作时，如遇技术问题可登录政采云（https://</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"http://www.zcygov.cn/" \h</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），点击右侧咨询小采，获取采小蜜智能服务管家帮助，或拨打政采云服务热线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获取热线服务帮助。</w:t>
            </w:r>
          </w:p>
          <w:p w14:paraId="1D07BE7A">
            <w:pPr>
              <w:spacing w:line="360" w:lineRule="auto"/>
              <w:jc w:val="left"/>
              <w:rPr>
                <w:rFonts w:hint="eastAsia" w:ascii="宋体" w:hAnsi="宋体" w:eastAsia="宋体" w:cs="宋体"/>
                <w:color w:val="auto"/>
                <w:kern w:val="0"/>
                <w:sz w:val="24"/>
                <w:highlight w:val="none"/>
                <w:lang w:bidi="ar"/>
              </w:rPr>
            </w:pPr>
            <w:r>
              <w:rPr>
                <w:rFonts w:hint="eastAsia" w:ascii="宋体" w:hAnsi="宋体" w:eastAsia="宋体" w:cs="宋体"/>
                <w:b w:val="0"/>
                <w:bCs/>
                <w:color w:val="auto"/>
                <w:sz w:val="24"/>
                <w:szCs w:val="24"/>
                <w:highlight w:val="none"/>
              </w:rPr>
              <w:t>温馨提醒：</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应提前上传，以便在上传时遇到技术问题，有充足的时间请教平台的技术人员。</w:t>
            </w:r>
          </w:p>
        </w:tc>
      </w:tr>
      <w:tr w14:paraId="4BE9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4" w:type="dxa"/>
            <w:vAlign w:val="center"/>
          </w:tcPr>
          <w:p w14:paraId="7BA030C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280" w:type="dxa"/>
            <w:vAlign w:val="center"/>
          </w:tcPr>
          <w:p w14:paraId="2611625C">
            <w:pPr>
              <w:spacing w:line="360" w:lineRule="auto"/>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成交供应商</w:t>
            </w:r>
            <w:r>
              <w:rPr>
                <w:rFonts w:hint="eastAsia" w:ascii="宋体" w:hAnsi="宋体" w:eastAsia="宋体" w:cs="宋体"/>
                <w:color w:val="auto"/>
                <w:kern w:val="0"/>
                <w:sz w:val="24"/>
                <w:highlight w:val="none"/>
                <w:lang w:bidi="ar"/>
              </w:rPr>
              <w:t>的纸质</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装订要求</w:t>
            </w:r>
          </w:p>
        </w:tc>
        <w:tc>
          <w:tcPr>
            <w:tcW w:w="6706" w:type="dxa"/>
            <w:vAlign w:val="center"/>
          </w:tcPr>
          <w:p w14:paraId="65FCA6F7">
            <w:pPr>
              <w:spacing w:line="360" w:lineRule="auto"/>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成交供应商</w:t>
            </w:r>
            <w:r>
              <w:rPr>
                <w:rFonts w:hint="eastAsia" w:ascii="宋体" w:hAnsi="宋体" w:eastAsia="宋体" w:cs="宋体"/>
                <w:color w:val="auto"/>
                <w:kern w:val="0"/>
                <w:sz w:val="24"/>
                <w:highlight w:val="none"/>
                <w:lang w:val="zh-CN" w:bidi="ar"/>
              </w:rPr>
              <w:t>需另行提供</w:t>
            </w:r>
            <w:r>
              <w:rPr>
                <w:rFonts w:hint="eastAsia" w:ascii="宋体" w:hAnsi="宋体" w:cs="宋体"/>
                <w:color w:val="auto"/>
                <w:kern w:val="0"/>
                <w:sz w:val="24"/>
                <w:highlight w:val="none"/>
                <w:lang w:val="en-US" w:eastAsia="zh-CN" w:bidi="ar"/>
              </w:rPr>
              <w:t>三</w:t>
            </w:r>
            <w:r>
              <w:rPr>
                <w:rFonts w:hint="eastAsia" w:ascii="宋体" w:hAnsi="宋体" w:eastAsia="宋体" w:cs="宋体"/>
                <w:color w:val="auto"/>
                <w:kern w:val="0"/>
                <w:sz w:val="24"/>
                <w:highlight w:val="none"/>
                <w:lang w:val="zh-CN" w:bidi="ar"/>
              </w:rPr>
              <w:t>套纸质</w:t>
            </w:r>
            <w:r>
              <w:rPr>
                <w:rFonts w:hint="eastAsia" w:ascii="宋体" w:hAnsi="宋体" w:cs="宋体"/>
                <w:color w:val="auto"/>
                <w:kern w:val="0"/>
                <w:sz w:val="24"/>
                <w:highlight w:val="none"/>
                <w:lang w:val="en-US" w:eastAsia="zh-CN" w:bidi="ar"/>
              </w:rPr>
              <w:t>响应</w:t>
            </w:r>
            <w:r>
              <w:rPr>
                <w:rFonts w:hint="eastAsia" w:ascii="宋体" w:hAnsi="宋体" w:eastAsia="宋体" w:cs="宋体"/>
                <w:color w:val="auto"/>
                <w:kern w:val="0"/>
                <w:sz w:val="24"/>
                <w:highlight w:val="none"/>
                <w:lang w:val="zh-CN" w:bidi="ar"/>
              </w:rPr>
              <w:t>文件</w:t>
            </w:r>
            <w:r>
              <w:rPr>
                <w:rFonts w:hint="eastAsia" w:ascii="宋体" w:hAnsi="宋体" w:cs="宋体"/>
                <w:color w:val="auto"/>
                <w:kern w:val="0"/>
                <w:sz w:val="24"/>
                <w:highlight w:val="none"/>
                <w:lang w:val="zh-CN" w:bidi="ar"/>
              </w:rPr>
              <w:t>（</w:t>
            </w:r>
            <w:r>
              <w:rPr>
                <w:rFonts w:hint="eastAsia" w:ascii="宋体" w:hAnsi="宋体" w:cs="宋体"/>
                <w:color w:val="auto"/>
                <w:kern w:val="0"/>
                <w:sz w:val="24"/>
                <w:highlight w:val="none"/>
                <w:lang w:val="en-US" w:eastAsia="zh-CN" w:bidi="ar"/>
              </w:rPr>
              <w:t>一正两副</w:t>
            </w:r>
            <w:r>
              <w:rPr>
                <w:rFonts w:hint="eastAsia" w:ascii="宋体" w:hAnsi="宋体" w:cs="宋体"/>
                <w:color w:val="auto"/>
                <w:kern w:val="0"/>
                <w:sz w:val="24"/>
                <w:highlight w:val="none"/>
                <w:lang w:val="zh-CN" w:bidi="ar"/>
              </w:rPr>
              <w:t>）</w:t>
            </w:r>
            <w:r>
              <w:rPr>
                <w:rFonts w:hint="eastAsia" w:ascii="宋体" w:hAnsi="宋体" w:eastAsia="宋体" w:cs="宋体"/>
                <w:color w:val="auto"/>
                <w:kern w:val="0"/>
                <w:sz w:val="24"/>
                <w:highlight w:val="none"/>
                <w:lang w:val="zh-CN" w:bidi="ar"/>
              </w:rPr>
              <w:t>交至</w:t>
            </w:r>
            <w:r>
              <w:rPr>
                <w:rFonts w:hint="eastAsia" w:ascii="宋体" w:hAnsi="宋体" w:cs="宋体"/>
                <w:color w:val="auto"/>
                <w:kern w:val="0"/>
                <w:sz w:val="24"/>
                <w:highlight w:val="none"/>
                <w:lang w:val="zh-CN" w:bidi="ar"/>
              </w:rPr>
              <w:t>采购代理机构</w:t>
            </w:r>
            <w:r>
              <w:rPr>
                <w:rFonts w:hint="eastAsia" w:ascii="宋体" w:hAnsi="宋体" w:eastAsia="宋体" w:cs="宋体"/>
                <w:color w:val="auto"/>
                <w:kern w:val="0"/>
                <w:sz w:val="24"/>
                <w:highlight w:val="none"/>
                <w:lang w:val="zh-CN" w:bidi="ar"/>
              </w:rPr>
              <w:t>存档。</w:t>
            </w:r>
            <w:r>
              <w:rPr>
                <w:rFonts w:hint="eastAsia" w:ascii="宋体" w:hAnsi="宋体" w:cs="宋体"/>
                <w:color w:val="auto"/>
                <w:kern w:val="0"/>
                <w:sz w:val="24"/>
                <w:highlight w:val="none"/>
                <w:lang w:val="zh-CN" w:bidi="ar"/>
              </w:rPr>
              <w:t>供应商</w:t>
            </w:r>
            <w:r>
              <w:rPr>
                <w:rFonts w:hint="eastAsia" w:ascii="宋体" w:hAnsi="宋体" w:eastAsia="宋体" w:cs="宋体"/>
                <w:color w:val="auto"/>
                <w:kern w:val="0"/>
                <w:sz w:val="24"/>
                <w:highlight w:val="none"/>
                <w:lang w:val="zh-CN" w:bidi="ar"/>
              </w:rPr>
              <w:t>提交的纸质</w:t>
            </w:r>
            <w:r>
              <w:rPr>
                <w:rFonts w:hint="eastAsia" w:ascii="宋体" w:hAnsi="宋体" w:cs="宋体"/>
                <w:color w:val="auto"/>
                <w:kern w:val="0"/>
                <w:sz w:val="24"/>
                <w:highlight w:val="none"/>
                <w:lang w:val="zh-CN" w:bidi="ar"/>
              </w:rPr>
              <w:t>响应文件</w:t>
            </w:r>
            <w:r>
              <w:rPr>
                <w:rFonts w:hint="eastAsia" w:ascii="宋体" w:hAnsi="宋体" w:eastAsia="宋体" w:cs="宋体"/>
                <w:color w:val="auto"/>
                <w:kern w:val="0"/>
                <w:sz w:val="24"/>
                <w:highlight w:val="none"/>
                <w:lang w:val="zh-CN" w:bidi="ar"/>
              </w:rPr>
              <w:t>必须与电子招</w:t>
            </w:r>
            <w:r>
              <w:rPr>
                <w:rFonts w:hint="eastAsia" w:ascii="宋体" w:hAnsi="宋体" w:cs="宋体"/>
                <w:color w:val="auto"/>
                <w:kern w:val="0"/>
                <w:sz w:val="24"/>
                <w:highlight w:val="none"/>
                <w:lang w:val="zh-CN" w:bidi="ar"/>
              </w:rPr>
              <w:t>响应文件</w:t>
            </w:r>
            <w:r>
              <w:rPr>
                <w:rFonts w:hint="eastAsia" w:ascii="宋体" w:hAnsi="宋体" w:eastAsia="宋体" w:cs="宋体"/>
                <w:color w:val="auto"/>
                <w:kern w:val="0"/>
                <w:sz w:val="24"/>
                <w:highlight w:val="none"/>
                <w:lang w:val="zh-CN" w:bidi="ar"/>
              </w:rPr>
              <w:t>一致。装订标准：采用死页胶装方式装订，装订应牢固、不易拆散和换页，不得采用活页装订。</w:t>
            </w:r>
          </w:p>
        </w:tc>
      </w:tr>
      <w:tr w14:paraId="2780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34" w:type="dxa"/>
            <w:vAlign w:val="center"/>
          </w:tcPr>
          <w:p w14:paraId="49E7D94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280" w:type="dxa"/>
            <w:vAlign w:val="center"/>
          </w:tcPr>
          <w:p w14:paraId="3963C76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6706" w:type="dxa"/>
            <w:vAlign w:val="center"/>
          </w:tcPr>
          <w:p w14:paraId="7C63135F">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的报价明显低于其他</w:t>
            </w: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rPr>
              <w:t>报价，有可能影响</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质量或者不能诚信履约的，应当要求其在评标现场合理的时间内提供</w:t>
            </w:r>
            <w:r>
              <w:rPr>
                <w:rFonts w:hint="eastAsia" w:ascii="宋体" w:hAnsi="宋体" w:cs="宋体"/>
                <w:color w:val="auto"/>
                <w:sz w:val="24"/>
                <w:szCs w:val="24"/>
                <w:highlight w:val="none"/>
                <w:lang w:val="en-US" w:eastAsia="zh-CN"/>
              </w:rPr>
              <w:t>报价合理性</w:t>
            </w:r>
            <w:r>
              <w:rPr>
                <w:rFonts w:hint="eastAsia" w:ascii="宋体" w:hAnsi="宋体" w:eastAsia="宋体" w:cs="宋体"/>
                <w:color w:val="auto"/>
                <w:sz w:val="24"/>
                <w:szCs w:val="24"/>
                <w:highlight w:val="none"/>
              </w:rPr>
              <w:t>说明，必要时提交相关证明材料</w:t>
            </w:r>
            <w:r>
              <w:rPr>
                <w:rFonts w:hint="eastAsia" w:ascii="宋体" w:hAnsi="宋体" w:cs="宋体"/>
                <w:color w:val="auto"/>
                <w:sz w:val="24"/>
                <w:szCs w:val="24"/>
                <w:highlight w:val="none"/>
                <w:lang w:eastAsia="zh-CN"/>
              </w:rPr>
              <w:t>；</w:t>
            </w:r>
            <w:r>
              <w:rPr>
                <w:rFonts w:hint="eastAsia" w:ascii="宋体" w:hAnsi="宋体" w:cs="宋体"/>
                <w:color w:val="auto"/>
                <w:kern w:val="0"/>
                <w:sz w:val="24"/>
                <w:highlight w:val="none"/>
                <w:lang w:val="zh-CN" w:bidi="ar"/>
              </w:rPr>
              <w:t>供应商</w:t>
            </w:r>
            <w:r>
              <w:rPr>
                <w:rFonts w:hint="eastAsia" w:ascii="宋体" w:hAnsi="宋体" w:eastAsia="宋体" w:cs="宋体"/>
                <w:color w:val="auto"/>
                <w:sz w:val="24"/>
                <w:szCs w:val="24"/>
                <w:highlight w:val="none"/>
              </w:rPr>
              <w:t>不能证明其报价合理性的，</w:t>
            </w:r>
            <w:r>
              <w:rPr>
                <w:rFonts w:hint="eastAsia" w:ascii="宋体" w:hAnsi="宋体" w:eastAsia="宋体" w:cs="宋体"/>
                <w:color w:val="auto"/>
                <w:sz w:val="24"/>
                <w:szCs w:val="24"/>
                <w:highlight w:val="none"/>
                <w:lang w:eastAsia="zh-CN"/>
              </w:rPr>
              <w:t>评审委员会</w:t>
            </w:r>
            <w:r>
              <w:rPr>
                <w:rFonts w:hint="eastAsia" w:ascii="宋体" w:hAnsi="宋体" w:eastAsia="宋体" w:cs="宋体"/>
                <w:color w:val="auto"/>
                <w:sz w:val="24"/>
                <w:szCs w:val="24"/>
                <w:highlight w:val="none"/>
              </w:rPr>
              <w:t>将其作为无效投标处理</w:t>
            </w:r>
            <w:r>
              <w:rPr>
                <w:rFonts w:hint="eastAsia" w:ascii="宋体" w:hAnsi="宋体" w:eastAsia="宋体" w:cs="宋体"/>
                <w:color w:val="auto"/>
                <w:sz w:val="24"/>
                <w:highlight w:val="none"/>
              </w:rPr>
              <w:t>。</w:t>
            </w:r>
          </w:p>
        </w:tc>
      </w:tr>
      <w:tr w14:paraId="2365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34" w:type="dxa"/>
            <w:vAlign w:val="center"/>
          </w:tcPr>
          <w:p w14:paraId="6FB7798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280" w:type="dxa"/>
            <w:vAlign w:val="center"/>
          </w:tcPr>
          <w:p w14:paraId="3EDABC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06" w:type="dxa"/>
            <w:vAlign w:val="center"/>
          </w:tcPr>
          <w:p w14:paraId="66D990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FE"/>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组织</w:t>
            </w:r>
          </w:p>
          <w:p w14:paraId="6425F387">
            <w:pPr>
              <w:spacing w:line="360" w:lineRule="auto"/>
              <w:rPr>
                <w:rFonts w:hint="eastAsia" w:ascii="宋体" w:hAnsi="宋体" w:cs="宋体"/>
                <w:color w:val="auto"/>
                <w:highlight w:val="none"/>
              </w:rPr>
            </w:pP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自行踏勘，无论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对现场考察与否，都将被视为熟悉履行合同有关的一切情况，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现场踏勘发生的费用自理</w:t>
            </w:r>
            <w:r>
              <w:rPr>
                <w:rFonts w:hint="eastAsia" w:ascii="宋体" w:hAnsi="宋体" w:eastAsia="宋体" w:cs="宋体"/>
                <w:color w:val="auto"/>
                <w:sz w:val="24"/>
                <w:highlight w:val="none"/>
                <w:lang w:val="en-US" w:eastAsia="zh-CN"/>
              </w:rPr>
              <w:t>。</w:t>
            </w:r>
          </w:p>
        </w:tc>
      </w:tr>
      <w:tr w14:paraId="3271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34" w:type="dxa"/>
            <w:vAlign w:val="center"/>
          </w:tcPr>
          <w:p w14:paraId="4BD66362">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280" w:type="dxa"/>
            <w:vAlign w:val="center"/>
          </w:tcPr>
          <w:p w14:paraId="1FBA9B6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磋商答疑会</w:t>
            </w:r>
          </w:p>
        </w:tc>
        <w:tc>
          <w:tcPr>
            <w:tcW w:w="6706" w:type="dxa"/>
            <w:vAlign w:val="center"/>
          </w:tcPr>
          <w:p w14:paraId="2C06976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rPr>
              <w:t>不召开/</w:t>
            </w: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召开</w:t>
            </w:r>
          </w:p>
        </w:tc>
      </w:tr>
      <w:tr w14:paraId="63C0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34" w:type="dxa"/>
            <w:vAlign w:val="center"/>
          </w:tcPr>
          <w:p w14:paraId="2FEA64A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280" w:type="dxa"/>
            <w:vAlign w:val="center"/>
          </w:tcPr>
          <w:p w14:paraId="63966B71">
            <w:pPr>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近年财务状况年份要求</w:t>
            </w:r>
          </w:p>
        </w:tc>
        <w:tc>
          <w:tcPr>
            <w:tcW w:w="6706" w:type="dxa"/>
            <w:vAlign w:val="center"/>
          </w:tcPr>
          <w:p w14:paraId="2C8A1F2B">
            <w:pPr>
              <w:pStyle w:val="24"/>
              <w:spacing w:line="360" w:lineRule="auto"/>
              <w:ind w:left="0" w:firstLine="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Hans"/>
              </w:rPr>
              <w:t>近1年度（</w:t>
            </w:r>
            <w:r>
              <w:rPr>
                <w:rFonts w:hint="eastAsia" w:ascii="宋体" w:hAnsi="宋体" w:eastAsia="宋体" w:cs="宋体"/>
                <w:color w:val="auto"/>
                <w:sz w:val="24"/>
                <w:szCs w:val="24"/>
                <w:highlight w:val="none"/>
                <w:lang w:eastAsia="zh-CN"/>
              </w:rPr>
              <w:t>2023年度</w:t>
            </w:r>
            <w:r>
              <w:rPr>
                <w:rFonts w:hint="eastAsia" w:ascii="宋体" w:hAnsi="宋体" w:eastAsia="宋体" w:cs="宋体"/>
                <w:color w:val="auto"/>
                <w:sz w:val="24"/>
                <w:szCs w:val="24"/>
                <w:highlight w:val="none"/>
                <w:lang w:eastAsia="zh-Hans"/>
              </w:rPr>
              <w:t>）</w:t>
            </w:r>
          </w:p>
        </w:tc>
      </w:tr>
      <w:tr w14:paraId="4333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01DEA86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280" w:type="dxa"/>
            <w:vAlign w:val="center"/>
          </w:tcPr>
          <w:p w14:paraId="4D00FFC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706" w:type="dxa"/>
            <w:vAlign w:val="center"/>
          </w:tcPr>
          <w:p w14:paraId="6FDAC4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从提交响应文件截止之日起</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0日历天</w:t>
            </w:r>
          </w:p>
        </w:tc>
      </w:tr>
      <w:tr w14:paraId="1ACA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34" w:type="dxa"/>
            <w:vAlign w:val="center"/>
          </w:tcPr>
          <w:p w14:paraId="12078DA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280" w:type="dxa"/>
            <w:vAlign w:val="center"/>
          </w:tcPr>
          <w:p w14:paraId="4E9755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706" w:type="dxa"/>
            <w:vAlign w:val="center"/>
          </w:tcPr>
          <w:p w14:paraId="668BFF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（1）磋商小组构成：</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w:t>
            </w:r>
          </w:p>
          <w:p w14:paraId="33105406">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（2）磋商小组确定方式：</w:t>
            </w:r>
            <w:r>
              <w:rPr>
                <w:rFonts w:hint="eastAsia" w:ascii="宋体" w:hAnsi="宋体" w:eastAsia="宋体" w:cs="宋体"/>
                <w:bCs/>
                <w:color w:val="auto"/>
                <w:sz w:val="24"/>
                <w:highlight w:val="none"/>
              </w:rPr>
              <w:t>经济、技术专家不少于磋商小组组成人员的三分之二，抽取专家</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人，按相关规定从专家库中随机抽取</w:t>
            </w:r>
            <w:r>
              <w:rPr>
                <w:rFonts w:hint="eastAsia" w:ascii="宋体" w:hAnsi="宋体" w:eastAsia="宋体" w:cs="宋体"/>
                <w:bCs/>
                <w:color w:val="auto"/>
                <w:sz w:val="24"/>
                <w:highlight w:val="none"/>
                <w:lang w:eastAsia="zh-CN"/>
              </w:rPr>
              <w:t>。</w:t>
            </w:r>
          </w:p>
          <w:p w14:paraId="209058EA">
            <w:pPr>
              <w:pStyle w:val="97"/>
              <w:spacing w:line="360" w:lineRule="auto"/>
              <w:ind w:left="0" w:leftChars="0" w:firstLine="0" w:firstLineChars="0"/>
              <w:rPr>
                <w:rFonts w:hint="eastAsia" w:ascii="宋体" w:hAnsi="宋体" w:cs="宋体"/>
                <w:color w:val="auto"/>
                <w:highlight w:val="none"/>
                <w:lang w:eastAsia="zh-CN"/>
              </w:rPr>
            </w:pPr>
            <w:r>
              <w:rPr>
                <w:rFonts w:hint="eastAsia" w:ascii="宋体" w:hAnsi="宋体" w:eastAsia="宋体" w:cs="宋体"/>
                <w:color w:val="auto"/>
                <w:kern w:val="2"/>
                <w:sz w:val="24"/>
                <w:szCs w:val="24"/>
                <w:highlight w:val="none"/>
                <w:lang w:val="en-US" w:eastAsia="zh-CN" w:bidi="ar-SA"/>
              </w:rPr>
              <w:t>评标专家确定方式：在</w:t>
            </w:r>
            <w:r>
              <w:rPr>
                <w:rFonts w:hint="eastAsia" w:ascii="宋体" w:hAnsi="宋体" w:cs="宋体"/>
                <w:color w:val="auto"/>
                <w:kern w:val="2"/>
                <w:sz w:val="24"/>
                <w:szCs w:val="24"/>
                <w:highlight w:val="none"/>
                <w:lang w:val="en-US" w:eastAsia="zh-CN" w:bidi="ar-SA"/>
              </w:rPr>
              <w:t>政采云平台</w:t>
            </w:r>
            <w:r>
              <w:rPr>
                <w:rFonts w:hint="eastAsia" w:ascii="宋体" w:hAnsi="宋体" w:eastAsia="宋体" w:cs="宋体"/>
                <w:color w:val="auto"/>
                <w:kern w:val="2"/>
                <w:sz w:val="24"/>
                <w:szCs w:val="24"/>
                <w:highlight w:val="none"/>
                <w:lang w:val="en-US" w:eastAsia="zh-CN" w:bidi="ar-SA"/>
              </w:rPr>
              <w:t>专家库中随机抽取</w:t>
            </w:r>
            <w:r>
              <w:rPr>
                <w:rFonts w:hint="eastAsia" w:ascii="宋体" w:hAnsi="宋体" w:cs="宋体"/>
                <w:color w:val="auto"/>
                <w:kern w:val="2"/>
                <w:sz w:val="24"/>
                <w:szCs w:val="24"/>
                <w:highlight w:val="none"/>
                <w:lang w:val="en-US" w:eastAsia="zh-CN" w:bidi="ar-SA"/>
              </w:rPr>
              <w:t>。</w:t>
            </w:r>
          </w:p>
        </w:tc>
      </w:tr>
      <w:tr w14:paraId="3023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53074F4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280" w:type="dxa"/>
            <w:vAlign w:val="center"/>
          </w:tcPr>
          <w:p w14:paraId="4E302B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w:t>
            </w:r>
          </w:p>
        </w:tc>
        <w:tc>
          <w:tcPr>
            <w:tcW w:w="6706" w:type="dxa"/>
            <w:vAlign w:val="center"/>
          </w:tcPr>
          <w:p w14:paraId="5F352D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w:t>
            </w:r>
          </w:p>
        </w:tc>
      </w:tr>
      <w:tr w14:paraId="6940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34" w:type="dxa"/>
            <w:vAlign w:val="center"/>
          </w:tcPr>
          <w:p w14:paraId="30B2ED38">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280" w:type="dxa"/>
            <w:vAlign w:val="center"/>
          </w:tcPr>
          <w:p w14:paraId="48CABE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是否授权磋商小组确定成交人</w:t>
            </w:r>
          </w:p>
        </w:tc>
        <w:tc>
          <w:tcPr>
            <w:tcW w:w="6706" w:type="dxa"/>
            <w:vAlign w:val="center"/>
          </w:tcPr>
          <w:p w14:paraId="2B44912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sym w:font="Wingdings" w:char="00FE"/>
            </w:r>
            <w:r>
              <w:rPr>
                <w:rFonts w:hint="eastAsia" w:ascii="宋体" w:hAnsi="宋体" w:cs="宋体"/>
                <w:color w:val="auto"/>
                <w:sz w:val="24"/>
                <w:highlight w:val="none"/>
                <w:lang w:val="en-US" w:eastAsia="zh-CN"/>
              </w:rPr>
              <w:t>是，由</w:t>
            </w:r>
            <w:r>
              <w:rPr>
                <w:rFonts w:hint="eastAsia" w:ascii="宋体" w:hAnsi="宋体" w:eastAsia="宋体" w:cs="宋体"/>
                <w:color w:val="auto"/>
                <w:sz w:val="24"/>
                <w:highlight w:val="none"/>
              </w:rPr>
              <w:t>磋商小组</w:t>
            </w:r>
            <w:r>
              <w:rPr>
                <w:rFonts w:hint="eastAsia" w:ascii="宋体" w:hAnsi="宋体" w:cs="宋体"/>
                <w:color w:val="auto"/>
                <w:sz w:val="24"/>
                <w:highlight w:val="none"/>
                <w:lang w:val="en-US" w:eastAsia="zh-CN"/>
              </w:rPr>
              <w:t>现场确定</w:t>
            </w:r>
          </w:p>
        </w:tc>
      </w:tr>
      <w:tr w14:paraId="2432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3B06C85D">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280" w:type="dxa"/>
            <w:vAlign w:val="center"/>
          </w:tcPr>
          <w:p w14:paraId="54919EA2">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履约保证金</w:t>
            </w:r>
          </w:p>
        </w:tc>
        <w:tc>
          <w:tcPr>
            <w:tcW w:w="6706" w:type="dxa"/>
            <w:vAlign w:val="center"/>
          </w:tcPr>
          <w:p w14:paraId="27ACA34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具体以实际签订合同为准。</w:t>
            </w:r>
          </w:p>
        </w:tc>
      </w:tr>
      <w:tr w14:paraId="684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34" w:type="dxa"/>
            <w:vAlign w:val="center"/>
          </w:tcPr>
          <w:p w14:paraId="30BE901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1280" w:type="dxa"/>
            <w:vAlign w:val="center"/>
          </w:tcPr>
          <w:p w14:paraId="6B6C04B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代理服务费</w:t>
            </w:r>
          </w:p>
        </w:tc>
        <w:tc>
          <w:tcPr>
            <w:tcW w:w="6706" w:type="dxa"/>
            <w:vAlign w:val="center"/>
          </w:tcPr>
          <w:p w14:paraId="1C8A924F">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由</w:t>
            </w:r>
            <w:r>
              <w:rPr>
                <w:rFonts w:hint="default" w:ascii="宋体" w:hAnsi="宋体" w:eastAsia="宋体" w:cs="宋体"/>
                <w:color w:val="auto"/>
                <w:sz w:val="24"/>
                <w:highlight w:val="none"/>
                <w:lang w:val="en-US" w:eastAsia="zh-CN"/>
              </w:rPr>
              <w:t>成交供应商</w:t>
            </w:r>
            <w:r>
              <w:rPr>
                <w:rFonts w:hint="eastAsia" w:ascii="宋体" w:hAnsi="宋体" w:cs="宋体"/>
                <w:color w:val="auto"/>
                <w:sz w:val="24"/>
                <w:highlight w:val="none"/>
                <w:lang w:val="en-US" w:eastAsia="zh-CN"/>
              </w:rPr>
              <w:t>支付。</w:t>
            </w:r>
          </w:p>
          <w:p w14:paraId="5195BB72">
            <w:pPr>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收费标准：参照原国家发展计划委员会文件（计价格[2002]1980号文）、（发改办价格[2003]857号文件）所规定标准计取，由成交单位向采购代理机构支付。</w:t>
            </w:r>
          </w:p>
          <w:p w14:paraId="0156F68D">
            <w:pPr>
              <w:spacing w:line="360" w:lineRule="auto"/>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缴纳时间：领取成交通知书时。</w:t>
            </w:r>
          </w:p>
        </w:tc>
      </w:tr>
      <w:tr w14:paraId="6C41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5FA13DA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28</w:t>
            </w:r>
          </w:p>
        </w:tc>
        <w:tc>
          <w:tcPr>
            <w:tcW w:w="1280" w:type="dxa"/>
            <w:vAlign w:val="center"/>
          </w:tcPr>
          <w:p w14:paraId="765314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6706" w:type="dxa"/>
            <w:vAlign w:val="center"/>
          </w:tcPr>
          <w:p w14:paraId="4D029E3D">
            <w:pPr>
              <w:pStyle w:val="11"/>
              <w:snapToGrid/>
              <w:spacing w:line="360" w:lineRule="auto"/>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具体以实际签订合同为准。</w:t>
            </w:r>
          </w:p>
        </w:tc>
      </w:tr>
      <w:tr w14:paraId="177F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4B28D472">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280" w:type="dxa"/>
            <w:vAlign w:val="center"/>
          </w:tcPr>
          <w:p w14:paraId="30F2DF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tc>
        <w:tc>
          <w:tcPr>
            <w:tcW w:w="6706" w:type="dxa"/>
            <w:vAlign w:val="center"/>
          </w:tcPr>
          <w:p w14:paraId="775F4BF5">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对磋商文件、采购过程、采购结果的询问向采购人或采购代理机构提出，并由采购人按相关规定作出答复或采购代理机构在委托授权范围内作出答复。</w:t>
            </w:r>
          </w:p>
          <w:p w14:paraId="4F4A3A3F">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询问可以采取书面形式。</w:t>
            </w:r>
          </w:p>
          <w:p w14:paraId="472731A4">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王麒帆</w:t>
            </w:r>
          </w:p>
          <w:p w14:paraId="0166D6A3">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17726787222</w:t>
            </w:r>
          </w:p>
          <w:p w14:paraId="27B8D7A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注：采购人或采购代理机构只对供应商依法提出的询问作出答复。</w:t>
            </w:r>
          </w:p>
        </w:tc>
      </w:tr>
      <w:tr w14:paraId="17A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4" w:type="dxa"/>
            <w:vAlign w:val="center"/>
          </w:tcPr>
          <w:p w14:paraId="62085C2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280" w:type="dxa"/>
            <w:vAlign w:val="center"/>
          </w:tcPr>
          <w:p w14:paraId="49D3C8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706" w:type="dxa"/>
            <w:vAlign w:val="center"/>
          </w:tcPr>
          <w:p w14:paraId="0CECE9CD">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本次招标如有变更、澄清或其他通知将在发布招标公告的网站（新疆政府采购网）上公布。</w:t>
            </w:r>
          </w:p>
        </w:tc>
      </w:tr>
    </w:tbl>
    <w:p w14:paraId="26EDDF42">
      <w:pPr>
        <w:pStyle w:val="3"/>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rPr>
        <w:t>二、总  则</w:t>
      </w:r>
    </w:p>
    <w:p w14:paraId="551E7ED2">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60" w:name="_Toc183582205"/>
      <w:bookmarkStart w:id="61" w:name="_Toc183682342"/>
      <w:bookmarkStart w:id="62" w:name="_Toc217446034"/>
      <w:r>
        <w:rPr>
          <w:rFonts w:hint="eastAsia" w:ascii="宋体" w:hAnsi="宋体" w:eastAsia="宋体" w:cs="宋体"/>
          <w:color w:val="auto"/>
          <w:sz w:val="24"/>
          <w:szCs w:val="24"/>
          <w:highlight w:val="none"/>
        </w:rPr>
        <w:t>1.</w:t>
      </w:r>
      <w:bookmarkEnd w:id="60"/>
      <w:bookmarkEnd w:id="61"/>
      <w:r>
        <w:rPr>
          <w:rFonts w:hint="eastAsia" w:ascii="宋体" w:hAnsi="宋体" w:eastAsia="宋体" w:cs="宋体"/>
          <w:color w:val="auto"/>
          <w:sz w:val="24"/>
          <w:szCs w:val="24"/>
          <w:highlight w:val="none"/>
        </w:rPr>
        <w:t xml:space="preserve"> 适用范围</w:t>
      </w:r>
      <w:bookmarkEnd w:id="62"/>
    </w:p>
    <w:p w14:paraId="5F9EEB57">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本磋商文件仅适用于本次采购项目。</w:t>
      </w:r>
    </w:p>
    <w:p w14:paraId="063D0807">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63" w:name="_Toc183682343"/>
      <w:bookmarkStart w:id="64" w:name="_Toc183582206"/>
      <w:bookmarkStart w:id="65" w:name="_Toc217446035"/>
      <w:r>
        <w:rPr>
          <w:rFonts w:hint="eastAsia" w:ascii="宋体" w:hAnsi="宋体" w:eastAsia="宋体" w:cs="宋体"/>
          <w:color w:val="auto"/>
          <w:sz w:val="24"/>
          <w:szCs w:val="24"/>
          <w:highlight w:val="none"/>
        </w:rPr>
        <w:t xml:space="preserve">2. </w:t>
      </w:r>
      <w:bookmarkEnd w:id="63"/>
      <w:bookmarkEnd w:id="64"/>
      <w:r>
        <w:rPr>
          <w:rFonts w:hint="eastAsia" w:ascii="宋体" w:hAnsi="宋体" w:eastAsia="宋体" w:cs="宋体"/>
          <w:color w:val="auto"/>
          <w:sz w:val="24"/>
          <w:szCs w:val="24"/>
          <w:highlight w:val="none"/>
        </w:rPr>
        <w:t>有关定义</w:t>
      </w:r>
      <w:bookmarkEnd w:id="65"/>
    </w:p>
    <w:p w14:paraId="54A238AE">
      <w:pPr>
        <w:tabs>
          <w:tab w:val="left" w:pos="714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“采购人”系指依法进行采购的国家机关、事业单位、团体组织。本项目采购人是</w:t>
      </w:r>
      <w:r>
        <w:rPr>
          <w:rFonts w:hint="eastAsia" w:ascii="宋体" w:hAnsi="宋体" w:cs="宋体"/>
          <w:color w:val="auto"/>
          <w:sz w:val="24"/>
          <w:highlight w:val="none"/>
          <w:u w:val="single"/>
          <w:lang w:val="en-US" w:eastAsia="zh-CN"/>
        </w:rPr>
        <w:t>新疆司法警官职业学院（新疆维吾尔自治区司法行政干警教育培训中心）</w:t>
      </w:r>
      <w:r>
        <w:rPr>
          <w:rFonts w:hint="eastAsia" w:ascii="宋体" w:hAnsi="宋体" w:eastAsia="宋体" w:cs="宋体"/>
          <w:color w:val="auto"/>
          <w:sz w:val="24"/>
          <w:highlight w:val="none"/>
        </w:rPr>
        <w:t>。</w:t>
      </w:r>
    </w:p>
    <w:p w14:paraId="4B4A6B23">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 系指根据采购人的委托依法办理采购事宜的采购机构。本次采购的采购代理机构是</w:t>
      </w:r>
      <w:r>
        <w:rPr>
          <w:rFonts w:hint="eastAsia" w:ascii="宋体" w:hAnsi="宋体" w:cs="宋体"/>
          <w:color w:val="auto"/>
          <w:sz w:val="24"/>
          <w:highlight w:val="none"/>
          <w:u w:val="single"/>
          <w:lang w:eastAsia="zh-CN"/>
        </w:rPr>
        <w:t>新疆卓恒工程项目管理有限公司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94718A4">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“采购单位”系指“采购人”和“采购代理机构”的统称。</w:t>
      </w:r>
    </w:p>
    <w:p w14:paraId="0ECD17C1">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“供应商”系指购买了磋商文件拟参加磋商和向采购人提供服务的供应商。</w:t>
      </w:r>
    </w:p>
    <w:p w14:paraId="2B290848">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66" w:name="_Toc183682344"/>
      <w:bookmarkStart w:id="67" w:name="_Toc183582207"/>
      <w:bookmarkStart w:id="68" w:name="_Toc217446036"/>
      <w:bookmarkStart w:id="69" w:name="_Toc217390843"/>
      <w:r>
        <w:rPr>
          <w:rFonts w:hint="eastAsia" w:ascii="宋体" w:hAnsi="宋体" w:eastAsia="宋体" w:cs="宋体"/>
          <w:color w:val="auto"/>
          <w:sz w:val="24"/>
          <w:szCs w:val="24"/>
          <w:highlight w:val="none"/>
        </w:rPr>
        <w:t>3. 合格的</w:t>
      </w:r>
      <w:bookmarkEnd w:id="66"/>
      <w:bookmarkEnd w:id="67"/>
      <w:bookmarkEnd w:id="68"/>
      <w:bookmarkEnd w:id="69"/>
      <w:r>
        <w:rPr>
          <w:rFonts w:hint="eastAsia" w:ascii="宋体" w:hAnsi="宋体" w:eastAsia="宋体" w:cs="宋体"/>
          <w:color w:val="auto"/>
          <w:sz w:val="24"/>
          <w:szCs w:val="24"/>
          <w:highlight w:val="none"/>
        </w:rPr>
        <w:t>供应商</w:t>
      </w:r>
    </w:p>
    <w:p w14:paraId="22F80390">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合格的供应商应具备以下条件：</w:t>
      </w:r>
    </w:p>
    <w:p w14:paraId="2DE2668E">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（1）本磋商文件“竞争性磋商公告”第</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条规定的条件；</w:t>
      </w:r>
    </w:p>
    <w:p w14:paraId="27137E52">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（2）遵守国家有关的法律、法规、规章和其他政策制度；</w:t>
      </w:r>
    </w:p>
    <w:p w14:paraId="77CD577F">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（3）向采购代理机构购买了磋商文件并登记。</w:t>
      </w:r>
    </w:p>
    <w:p w14:paraId="277714AD">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70" w:name="_Toc183682345"/>
      <w:bookmarkStart w:id="71" w:name="_Toc183582208"/>
      <w:bookmarkStart w:id="72" w:name="_Toc217446037"/>
      <w:r>
        <w:rPr>
          <w:rFonts w:hint="eastAsia" w:ascii="宋体" w:hAnsi="宋体" w:eastAsia="宋体" w:cs="宋体"/>
          <w:color w:val="auto"/>
          <w:sz w:val="24"/>
          <w:szCs w:val="24"/>
          <w:highlight w:val="none"/>
        </w:rPr>
        <w:t>4. 磋商费用</w:t>
      </w:r>
      <w:bookmarkEnd w:id="70"/>
      <w:bookmarkEnd w:id="71"/>
      <w:bookmarkEnd w:id="72"/>
    </w:p>
    <w:p w14:paraId="255044DB">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供应商参加磋商的有关费用由供应商自行承担。</w:t>
      </w:r>
    </w:p>
    <w:p w14:paraId="6D8831E1">
      <w:pPr>
        <w:pStyle w:val="3"/>
        <w:spacing w:before="0" w:after="0" w:line="360" w:lineRule="auto"/>
        <w:jc w:val="center"/>
        <w:rPr>
          <w:rFonts w:hint="eastAsia" w:ascii="宋体" w:hAnsi="宋体" w:eastAsia="宋体" w:cs="宋体"/>
          <w:bCs w:val="0"/>
          <w:color w:val="auto"/>
          <w:sz w:val="24"/>
          <w:szCs w:val="24"/>
          <w:highlight w:val="none"/>
        </w:rPr>
      </w:pPr>
      <w:bookmarkStart w:id="73" w:name="_Toc217446038"/>
      <w:bookmarkStart w:id="74" w:name="_Toc89075875"/>
      <w:bookmarkStart w:id="75" w:name="_Toc183582209"/>
      <w:bookmarkStart w:id="76" w:name="_Toc77400779"/>
      <w:bookmarkStart w:id="77" w:name="_Toc183682346"/>
      <w:r>
        <w:rPr>
          <w:rFonts w:hint="eastAsia" w:ascii="宋体" w:hAnsi="宋体" w:eastAsia="宋体" w:cs="宋体"/>
          <w:bCs w:val="0"/>
          <w:color w:val="auto"/>
          <w:sz w:val="24"/>
          <w:szCs w:val="24"/>
          <w:highlight w:val="none"/>
        </w:rPr>
        <w:t>三、</w:t>
      </w:r>
      <w:bookmarkEnd w:id="73"/>
      <w:bookmarkEnd w:id="74"/>
      <w:bookmarkEnd w:id="75"/>
      <w:bookmarkEnd w:id="76"/>
      <w:bookmarkEnd w:id="77"/>
      <w:r>
        <w:rPr>
          <w:rFonts w:hint="eastAsia" w:ascii="宋体" w:hAnsi="宋体" w:eastAsia="宋体" w:cs="宋体"/>
          <w:bCs w:val="0"/>
          <w:color w:val="auto"/>
          <w:sz w:val="24"/>
          <w:szCs w:val="24"/>
          <w:highlight w:val="none"/>
        </w:rPr>
        <w:t>磋商文件</w:t>
      </w:r>
    </w:p>
    <w:p w14:paraId="4C693924">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78" w:name="_Toc183582210"/>
      <w:bookmarkStart w:id="79" w:name="_Toc183682347"/>
      <w:bookmarkStart w:id="80" w:name="_Toc217446039"/>
      <w:r>
        <w:rPr>
          <w:rFonts w:hint="eastAsia" w:ascii="宋体" w:hAnsi="宋体" w:eastAsia="宋体" w:cs="宋体"/>
          <w:color w:val="auto"/>
          <w:sz w:val="24"/>
          <w:szCs w:val="24"/>
          <w:highlight w:val="none"/>
        </w:rPr>
        <w:t>5．磋商文件的构成</w:t>
      </w:r>
      <w:bookmarkEnd w:id="78"/>
      <w:bookmarkEnd w:id="79"/>
      <w:bookmarkEnd w:id="80"/>
    </w:p>
    <w:p w14:paraId="5FE5D230">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磋商文件是供应商准备响应文件和参加磋商的依据，同时也是评审的重要依据，具有准法律文件性质。磋商文件用以阐明采购项目所需的资质、技术、服务及报价等要求、采购程序、有关规定和注意事项以及合同草案条款等。本磋商文件包括以下内容：</w:t>
      </w:r>
    </w:p>
    <w:p w14:paraId="5B093CE9">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r>
        <w:rPr>
          <w:rFonts w:hint="eastAsia" w:ascii="宋体" w:hAnsi="宋体" w:eastAsia="宋体" w:cs="宋体"/>
          <w:color w:val="auto"/>
          <w:sz w:val="24"/>
          <w:highlight w:val="none"/>
        </w:rPr>
        <w:tab/>
      </w:r>
    </w:p>
    <w:p w14:paraId="06F0E3C3">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（2）供应商须知</w:t>
      </w:r>
      <w:r>
        <w:rPr>
          <w:rFonts w:hint="eastAsia" w:ascii="宋体" w:hAnsi="宋体" w:eastAsia="宋体" w:cs="宋体"/>
          <w:color w:val="auto"/>
          <w:sz w:val="24"/>
          <w:highlight w:val="none"/>
        </w:rPr>
        <w:tab/>
      </w:r>
    </w:p>
    <w:p w14:paraId="29DC52D4">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（3）响应文件格式</w:t>
      </w:r>
      <w:r>
        <w:rPr>
          <w:rFonts w:hint="eastAsia" w:ascii="宋体" w:hAnsi="宋体" w:eastAsia="宋体" w:cs="宋体"/>
          <w:color w:val="auto"/>
          <w:sz w:val="24"/>
          <w:highlight w:val="none"/>
        </w:rPr>
        <w:tab/>
      </w:r>
    </w:p>
    <w:p w14:paraId="0E9C5104">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（4）项目服务需求</w:t>
      </w:r>
      <w:r>
        <w:rPr>
          <w:rFonts w:hint="eastAsia" w:ascii="宋体" w:hAnsi="宋体" w:eastAsia="宋体" w:cs="宋体"/>
          <w:color w:val="auto"/>
          <w:sz w:val="24"/>
          <w:highlight w:val="none"/>
        </w:rPr>
        <w:tab/>
      </w:r>
    </w:p>
    <w:p w14:paraId="3354977D">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（5）评审办法</w:t>
      </w:r>
      <w:r>
        <w:rPr>
          <w:rFonts w:hint="eastAsia" w:ascii="宋体" w:hAnsi="宋体" w:eastAsia="宋体" w:cs="宋体"/>
          <w:color w:val="auto"/>
          <w:sz w:val="24"/>
          <w:highlight w:val="none"/>
        </w:rPr>
        <w:tab/>
      </w:r>
    </w:p>
    <w:p w14:paraId="102D95DF">
      <w:pPr>
        <w:tabs>
          <w:tab w:val="left" w:pos="0"/>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（6）合同草案条款</w:t>
      </w:r>
      <w:r>
        <w:rPr>
          <w:rFonts w:hint="eastAsia" w:ascii="宋体" w:hAnsi="宋体" w:eastAsia="宋体" w:cs="宋体"/>
          <w:color w:val="auto"/>
          <w:sz w:val="24"/>
          <w:highlight w:val="none"/>
        </w:rPr>
        <w:tab/>
      </w:r>
    </w:p>
    <w:p w14:paraId="6090883B">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 供应商应认真阅读和充分理解磋商文件中所有的事项、格式条款和规范要求。供应商没有对磋商文件全面做出实质性响应是供应商的风险。没有按照磋商文件要求作出实质性响应的响应文件，</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w:t>
      </w:r>
    </w:p>
    <w:p w14:paraId="2477AF00">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1" w:name="_Toc183582211"/>
      <w:bookmarkStart w:id="82" w:name="_Toc183682348"/>
      <w:bookmarkStart w:id="83" w:name="_Toc217446040"/>
      <w:r>
        <w:rPr>
          <w:rFonts w:hint="eastAsia" w:ascii="宋体" w:hAnsi="宋体" w:eastAsia="宋体" w:cs="宋体"/>
          <w:color w:val="auto"/>
          <w:sz w:val="24"/>
          <w:szCs w:val="24"/>
          <w:highlight w:val="none"/>
        </w:rPr>
        <w:t>6. 磋商文件的澄清</w:t>
      </w:r>
      <w:bookmarkEnd w:id="81"/>
      <w:bookmarkEnd w:id="82"/>
      <w:r>
        <w:rPr>
          <w:rFonts w:hint="eastAsia" w:ascii="宋体" w:hAnsi="宋体" w:eastAsia="宋体" w:cs="宋体"/>
          <w:color w:val="auto"/>
          <w:sz w:val="24"/>
          <w:szCs w:val="24"/>
          <w:highlight w:val="none"/>
        </w:rPr>
        <w:t>和修改</w:t>
      </w:r>
      <w:bookmarkEnd w:id="83"/>
    </w:p>
    <w:p w14:paraId="25F303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3679010B">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84" w:name="_Toc208848971"/>
      <w:bookmarkStart w:id="85" w:name="_Toc217446041"/>
      <w:r>
        <w:rPr>
          <w:rFonts w:hint="eastAsia" w:ascii="宋体" w:hAnsi="宋体" w:eastAsia="宋体" w:cs="宋体"/>
          <w:color w:val="auto"/>
          <w:sz w:val="24"/>
          <w:szCs w:val="24"/>
          <w:highlight w:val="none"/>
        </w:rPr>
        <w:t>7. 答疑会和现场考察</w:t>
      </w:r>
      <w:bookmarkEnd w:id="84"/>
      <w:bookmarkEnd w:id="85"/>
    </w:p>
    <w:p w14:paraId="0226A98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本项目不组织答疑会</w:t>
      </w:r>
      <w:r>
        <w:rPr>
          <w:rFonts w:hint="eastAsia" w:ascii="宋体" w:hAnsi="宋体" w:cs="宋体"/>
          <w:color w:val="auto"/>
          <w:sz w:val="24"/>
          <w:highlight w:val="none"/>
          <w:lang w:val="en-US" w:eastAsia="zh-CN"/>
        </w:rPr>
        <w:t>和</w:t>
      </w:r>
      <w:r>
        <w:rPr>
          <w:rFonts w:hint="eastAsia" w:ascii="宋体" w:hAnsi="宋体" w:eastAsia="宋体" w:cs="宋体"/>
          <w:color w:val="auto"/>
          <w:sz w:val="24"/>
          <w:highlight w:val="none"/>
        </w:rPr>
        <w:t>现场考察。</w:t>
      </w:r>
    </w:p>
    <w:p w14:paraId="3CD26462">
      <w:pPr>
        <w:pStyle w:val="3"/>
        <w:spacing w:before="0" w:after="0" w:line="360" w:lineRule="auto"/>
        <w:jc w:val="center"/>
        <w:rPr>
          <w:rFonts w:hint="eastAsia" w:ascii="宋体" w:hAnsi="宋体" w:eastAsia="宋体" w:cs="宋体"/>
          <w:bCs w:val="0"/>
          <w:color w:val="auto"/>
          <w:sz w:val="24"/>
          <w:szCs w:val="24"/>
          <w:highlight w:val="none"/>
        </w:rPr>
      </w:pPr>
      <w:bookmarkStart w:id="86" w:name="_Toc77400780"/>
      <w:bookmarkStart w:id="87" w:name="_Toc217446042"/>
      <w:bookmarkStart w:id="88" w:name="_Toc89075876"/>
      <w:bookmarkStart w:id="89" w:name="_Toc183582214"/>
      <w:bookmarkStart w:id="90" w:name="_Toc183682351"/>
      <w:r>
        <w:rPr>
          <w:rFonts w:hint="eastAsia" w:ascii="宋体" w:hAnsi="宋体" w:eastAsia="宋体" w:cs="宋体"/>
          <w:bCs w:val="0"/>
          <w:color w:val="auto"/>
          <w:sz w:val="24"/>
          <w:szCs w:val="24"/>
          <w:highlight w:val="none"/>
        </w:rPr>
        <w:t>四、</w:t>
      </w:r>
      <w:bookmarkEnd w:id="86"/>
      <w:bookmarkEnd w:id="87"/>
      <w:bookmarkEnd w:id="88"/>
      <w:bookmarkEnd w:id="89"/>
      <w:bookmarkEnd w:id="90"/>
      <w:r>
        <w:rPr>
          <w:rFonts w:hint="eastAsia" w:ascii="宋体" w:hAnsi="宋体" w:eastAsia="宋体" w:cs="宋体"/>
          <w:bCs w:val="0"/>
          <w:color w:val="auto"/>
          <w:sz w:val="24"/>
          <w:szCs w:val="24"/>
          <w:highlight w:val="none"/>
        </w:rPr>
        <w:t>响应文件</w:t>
      </w:r>
    </w:p>
    <w:p w14:paraId="412926B2">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91" w:name="_Toc183682352"/>
      <w:bookmarkStart w:id="92" w:name="_Toc183582215"/>
      <w:bookmarkStart w:id="93" w:name="_Toc217446043"/>
      <w:r>
        <w:rPr>
          <w:rFonts w:hint="eastAsia" w:ascii="宋体" w:hAnsi="宋体" w:eastAsia="宋体" w:cs="宋体"/>
          <w:bCs w:val="0"/>
          <w:color w:val="auto"/>
          <w:sz w:val="24"/>
          <w:szCs w:val="24"/>
          <w:highlight w:val="none"/>
        </w:rPr>
        <w:t>8．响应文件的语言</w:t>
      </w:r>
      <w:bookmarkEnd w:id="91"/>
      <w:bookmarkEnd w:id="92"/>
      <w:bookmarkEnd w:id="93"/>
    </w:p>
    <w:p w14:paraId="5A62DA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8.1 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响应处理。</w:t>
      </w:r>
    </w:p>
    <w:p w14:paraId="456A70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翻译的中文资料与外文资料如果出现差异和矛盾时，以中文为准。但不能故意错误翻译，否则，供应商的响应文件将作为</w:t>
      </w:r>
      <w:r>
        <w:rPr>
          <w:rFonts w:hint="eastAsia" w:ascii="宋体" w:hAnsi="宋体" w:eastAsia="宋体" w:cs="宋体"/>
          <w:b/>
          <w:bCs/>
          <w:color w:val="auto"/>
          <w:sz w:val="24"/>
          <w:highlight w:val="none"/>
        </w:rPr>
        <w:t>无效响应处理</w:t>
      </w:r>
      <w:r>
        <w:rPr>
          <w:rFonts w:hint="eastAsia" w:ascii="宋体" w:hAnsi="宋体" w:eastAsia="宋体" w:cs="宋体"/>
          <w:color w:val="auto"/>
          <w:sz w:val="24"/>
          <w:highlight w:val="none"/>
        </w:rPr>
        <w:t>。</w:t>
      </w:r>
    </w:p>
    <w:p w14:paraId="78D50B2E">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94" w:name="_Toc183582216"/>
      <w:bookmarkStart w:id="95" w:name="_Toc217446044"/>
      <w:bookmarkStart w:id="96" w:name="_Toc183682353"/>
      <w:r>
        <w:rPr>
          <w:rFonts w:hint="eastAsia" w:ascii="宋体" w:hAnsi="宋体" w:eastAsia="宋体" w:cs="宋体"/>
          <w:color w:val="auto"/>
          <w:sz w:val="24"/>
          <w:szCs w:val="24"/>
          <w:highlight w:val="none"/>
        </w:rPr>
        <w:t>9．计量单位</w:t>
      </w:r>
      <w:bookmarkEnd w:id="94"/>
      <w:bookmarkEnd w:id="95"/>
      <w:bookmarkEnd w:id="96"/>
    </w:p>
    <w:p w14:paraId="748CE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除磋商文件中另有规定外，本采购项下的磋商均采用国家法定的计量单位。</w:t>
      </w:r>
    </w:p>
    <w:p w14:paraId="0569DF8C">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97" w:name="_Toc217446045"/>
      <w:r>
        <w:rPr>
          <w:rFonts w:hint="eastAsia" w:ascii="宋体" w:hAnsi="宋体" w:eastAsia="宋体" w:cs="宋体"/>
          <w:color w:val="auto"/>
          <w:sz w:val="24"/>
          <w:szCs w:val="24"/>
          <w:highlight w:val="none"/>
        </w:rPr>
        <w:t>10. 磋商货币</w:t>
      </w:r>
      <w:bookmarkEnd w:id="97"/>
    </w:p>
    <w:p w14:paraId="1470826D">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本次采购项目的磋商均以人民币报价。</w:t>
      </w:r>
    </w:p>
    <w:p w14:paraId="4BED3809">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98" w:name="_Toc217446046"/>
      <w:r>
        <w:rPr>
          <w:rFonts w:hint="eastAsia" w:ascii="宋体" w:hAnsi="宋体" w:eastAsia="宋体" w:cs="宋体"/>
          <w:color w:val="auto"/>
          <w:sz w:val="24"/>
          <w:szCs w:val="24"/>
          <w:highlight w:val="none"/>
        </w:rPr>
        <w:t>11. 联合体</w:t>
      </w:r>
      <w:bookmarkEnd w:id="98"/>
      <w:r>
        <w:rPr>
          <w:rFonts w:hint="eastAsia" w:ascii="宋体" w:hAnsi="宋体" w:eastAsia="宋体" w:cs="宋体"/>
          <w:color w:val="auto"/>
          <w:sz w:val="24"/>
          <w:szCs w:val="24"/>
          <w:highlight w:val="none"/>
        </w:rPr>
        <w:t>磋商</w:t>
      </w:r>
    </w:p>
    <w:p w14:paraId="4F4921B5">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详见“供应商须知前附表”第1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条。</w:t>
      </w:r>
    </w:p>
    <w:p w14:paraId="43079D04">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99" w:name="_Toc217446047"/>
      <w:r>
        <w:rPr>
          <w:rFonts w:hint="eastAsia" w:ascii="宋体" w:hAnsi="宋体" w:eastAsia="宋体" w:cs="宋体"/>
          <w:bCs w:val="0"/>
          <w:color w:val="auto"/>
          <w:sz w:val="24"/>
          <w:szCs w:val="24"/>
          <w:highlight w:val="none"/>
        </w:rPr>
        <w:t>12. 知识产权</w:t>
      </w:r>
      <w:bookmarkEnd w:id="99"/>
    </w:p>
    <w:p w14:paraId="34EBD2BF">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A12020">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采购人享有本项目实施过程中产生的知识成果及知识产权。</w:t>
      </w:r>
    </w:p>
    <w:p w14:paraId="09533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38141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12.4 如采用供应商所不拥有的知识产权，则在报价中必须包括合法获取该知识产权的相关费用。 </w:t>
      </w:r>
    </w:p>
    <w:p w14:paraId="36E58277">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00" w:name="_Toc217446048"/>
      <w:bookmarkStart w:id="101" w:name="_Toc183682354"/>
      <w:bookmarkStart w:id="102" w:name="_Toc183582217"/>
      <w:r>
        <w:rPr>
          <w:rFonts w:hint="eastAsia" w:ascii="宋体" w:hAnsi="宋体" w:eastAsia="宋体" w:cs="宋体"/>
          <w:color w:val="auto"/>
          <w:sz w:val="24"/>
          <w:szCs w:val="24"/>
          <w:highlight w:val="none"/>
        </w:rPr>
        <w:t>13．响应文件的组成</w:t>
      </w:r>
      <w:bookmarkEnd w:id="100"/>
      <w:bookmarkEnd w:id="101"/>
      <w:bookmarkEnd w:id="102"/>
    </w:p>
    <w:p w14:paraId="3373F5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磋商文件允许分包的，供应商拟在成交后将成交项目的非主体、非关键性工作交由他人完成的，应当在响应文件中载明。供应商编写的响应文件应包括下列部分：</w:t>
      </w:r>
    </w:p>
    <w:p w14:paraId="7F708B65">
      <w:pPr>
        <w:numPr>
          <w:ilvl w:val="0"/>
          <w:numId w:val="3"/>
        </w:numPr>
        <w:spacing w:line="360" w:lineRule="auto"/>
        <w:ind w:firstLine="480" w:firstLineChars="200"/>
        <w:jc w:val="left"/>
        <w:rPr>
          <w:rFonts w:hint="eastAsia" w:ascii="宋体" w:hAnsi="宋体" w:eastAsia="宋体" w:cs="宋体"/>
          <w:color w:val="auto"/>
          <w:sz w:val="24"/>
          <w:highlight w:val="none"/>
          <w:lang w:val="en-US" w:eastAsia="zh-CN"/>
        </w:rPr>
      </w:pPr>
      <w:bookmarkStart w:id="103" w:name="_Toc183582218"/>
      <w:bookmarkStart w:id="104" w:name="_Toc183682355"/>
      <w:bookmarkStart w:id="105" w:name="_Toc217446049"/>
      <w:r>
        <w:rPr>
          <w:rFonts w:hint="eastAsia" w:ascii="宋体" w:hAnsi="宋体" w:eastAsia="宋体" w:cs="宋体"/>
          <w:color w:val="auto"/>
          <w:sz w:val="24"/>
          <w:highlight w:val="none"/>
        </w:rPr>
        <w:t>响应函</w:t>
      </w:r>
      <w:r>
        <w:rPr>
          <w:rFonts w:hint="eastAsia" w:ascii="宋体" w:hAnsi="宋体" w:eastAsia="宋体" w:cs="宋体"/>
          <w:color w:val="auto"/>
          <w:sz w:val="24"/>
          <w:highlight w:val="none"/>
          <w:lang w:val="en-US" w:eastAsia="zh-CN"/>
        </w:rPr>
        <w:t xml:space="preserve">          </w:t>
      </w:r>
    </w:p>
    <w:p w14:paraId="1A3E1CF5">
      <w:pPr>
        <w:numPr>
          <w:ilvl w:val="0"/>
          <w:numId w:val="3"/>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报价明细表</w:t>
      </w:r>
    </w:p>
    <w:p w14:paraId="01D49EB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、身份证明书及授权委托书</w:t>
      </w:r>
    </w:p>
    <w:p w14:paraId="0F6AE88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（一）法定代表人身份证明书</w:t>
      </w:r>
    </w:p>
    <w:p w14:paraId="6DDC67A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（二）法定代表人授权委托书</w:t>
      </w:r>
    </w:p>
    <w:p w14:paraId="2B8FA07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供应商承诺函</w:t>
      </w:r>
    </w:p>
    <w:p w14:paraId="105710BD">
      <w:pPr>
        <w:spacing w:line="360" w:lineRule="auto"/>
        <w:ind w:firstLine="480" w:firstLineChars="200"/>
        <w:jc w:val="left"/>
        <w:rPr>
          <w:rFonts w:hint="eastAsia" w:ascii="宋体" w:hAnsi="宋体" w:eastAsia="宋体" w:cs="宋体"/>
          <w:strike w:val="0"/>
          <w:dstrike w:val="0"/>
          <w:color w:val="auto"/>
          <w:sz w:val="24"/>
          <w:highlight w:val="none"/>
          <w:lang w:val="en-US" w:eastAsia="zh-CN"/>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、供应商基本情况表</w:t>
      </w:r>
    </w:p>
    <w:p w14:paraId="5629E69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、拟配备人员情况</w:t>
      </w:r>
    </w:p>
    <w:p w14:paraId="05E3BCE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、供应商近年类似业绩情况表</w:t>
      </w:r>
    </w:p>
    <w:p w14:paraId="0F1EDF8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、商务</w:t>
      </w:r>
      <w:r>
        <w:rPr>
          <w:rFonts w:hint="eastAsia" w:ascii="宋体" w:hAnsi="宋体" w:cs="宋体"/>
          <w:color w:val="auto"/>
          <w:sz w:val="24"/>
          <w:highlight w:val="none"/>
          <w:lang w:eastAsia="zh-CN"/>
        </w:rPr>
        <w:t>、</w:t>
      </w:r>
      <w:r>
        <w:rPr>
          <w:rFonts w:hint="eastAsia" w:ascii="宋体" w:hAnsi="宋体" w:eastAsia="宋体" w:cs="宋体"/>
          <w:strike w:val="0"/>
          <w:dstrike w:val="0"/>
          <w:color w:val="auto"/>
          <w:sz w:val="24"/>
          <w:highlight w:val="none"/>
          <w:lang w:val="en-US" w:eastAsia="zh-CN"/>
        </w:rPr>
        <w:t>服务需求</w:t>
      </w:r>
      <w:r>
        <w:rPr>
          <w:rFonts w:hint="eastAsia" w:ascii="宋体" w:hAnsi="宋体" w:eastAsia="宋体" w:cs="宋体"/>
          <w:color w:val="auto"/>
          <w:sz w:val="24"/>
          <w:highlight w:val="none"/>
        </w:rPr>
        <w:t>偏离表</w:t>
      </w:r>
    </w:p>
    <w:p w14:paraId="52BB21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、服务方案</w:t>
      </w:r>
    </w:p>
    <w:p w14:paraId="078BBFEC">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政府采购政策</w:t>
      </w:r>
    </w:p>
    <w:p w14:paraId="3FAE982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十一</w:t>
      </w:r>
      <w:r>
        <w:rPr>
          <w:rFonts w:hint="eastAsia" w:ascii="宋体" w:hAnsi="宋体" w:eastAsia="宋体" w:cs="宋体"/>
          <w:color w:val="auto"/>
          <w:sz w:val="24"/>
          <w:highlight w:val="none"/>
        </w:rPr>
        <w:t>、供应商认为需要提供的其他资料</w:t>
      </w:r>
    </w:p>
    <w:p w14:paraId="1983CFEA">
      <w:pPr>
        <w:pStyle w:val="11"/>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（一）磋商保证金缴纳凭证</w:t>
      </w:r>
    </w:p>
    <w:p w14:paraId="58E1CC6A">
      <w:pPr>
        <w:pStyle w:val="30"/>
        <w:autoSpaceDE/>
        <w:autoSpaceDN/>
        <w:adjustRightInd/>
        <w:snapToGrid/>
        <w:spacing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color w:val="auto"/>
          <w:szCs w:val="24"/>
          <w:highlight w:val="none"/>
        </w:rPr>
        <w:t>（二）</w:t>
      </w:r>
      <w:r>
        <w:rPr>
          <w:rFonts w:hint="eastAsia" w:ascii="宋体" w:hAnsi="宋体" w:eastAsia="宋体" w:cs="宋体"/>
          <w:b w:val="0"/>
          <w:bCs w:val="0"/>
          <w:color w:val="auto"/>
          <w:sz w:val="24"/>
          <w:szCs w:val="24"/>
          <w:highlight w:val="none"/>
        </w:rPr>
        <w:t>其他</w:t>
      </w:r>
    </w:p>
    <w:p w14:paraId="6FD16479">
      <w:pPr>
        <w:pStyle w:val="4"/>
        <w:widowControl w:val="0"/>
        <w:tabs>
          <w:tab w:val="left" w:pos="3480"/>
        </w:tabs>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14．响应文件格式</w:t>
      </w:r>
      <w:bookmarkEnd w:id="103"/>
      <w:bookmarkEnd w:id="104"/>
      <w:bookmarkEnd w:id="105"/>
      <w:r>
        <w:rPr>
          <w:rFonts w:hint="eastAsia" w:ascii="宋体" w:hAnsi="宋体" w:eastAsia="宋体" w:cs="宋体"/>
          <w:color w:val="auto"/>
          <w:sz w:val="24"/>
          <w:szCs w:val="24"/>
          <w:highlight w:val="none"/>
        </w:rPr>
        <w:tab/>
      </w:r>
    </w:p>
    <w:p w14:paraId="250106AF">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供应商应严格按照磋商文件第三章中提供的“响应文件格式”填写相关内容。除明确允许供应商可以自行编写的外，供应商不得以“响应文件格式”规定之外的方式填写相关内容。</w:t>
      </w:r>
    </w:p>
    <w:p w14:paraId="6826CA84">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对于没有格式要求的响应文件由供应商自行编写。</w:t>
      </w:r>
    </w:p>
    <w:p w14:paraId="58BF4FF8">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06" w:name="_Toc183682360"/>
      <w:bookmarkStart w:id="107" w:name="_Toc217446050"/>
      <w:bookmarkStart w:id="108" w:name="_Toc183582223"/>
      <w:bookmarkStart w:id="109" w:name="_Toc183682361"/>
      <w:bookmarkStart w:id="110" w:name="_Toc217446051"/>
      <w:bookmarkStart w:id="111" w:name="_Toc183582224"/>
      <w:r>
        <w:rPr>
          <w:rFonts w:hint="eastAsia" w:ascii="宋体" w:hAnsi="宋体" w:eastAsia="宋体" w:cs="宋体"/>
          <w:bCs w:val="0"/>
          <w:color w:val="auto"/>
          <w:sz w:val="24"/>
          <w:szCs w:val="24"/>
          <w:highlight w:val="none"/>
        </w:rPr>
        <w:t>15．</w:t>
      </w:r>
      <w:bookmarkEnd w:id="106"/>
      <w:bookmarkEnd w:id="107"/>
      <w:bookmarkEnd w:id="108"/>
      <w:r>
        <w:rPr>
          <w:rFonts w:hint="eastAsia" w:ascii="宋体" w:hAnsi="宋体" w:eastAsia="宋体" w:cs="宋体"/>
          <w:bCs w:val="0"/>
          <w:color w:val="auto"/>
          <w:sz w:val="24"/>
          <w:szCs w:val="24"/>
          <w:highlight w:val="none"/>
        </w:rPr>
        <w:t>磋商保证金</w:t>
      </w:r>
    </w:p>
    <w:p w14:paraId="70264B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 供应商提供响应文件时，必须以人民币提交磋商文件规定数额的磋商保证金，并作为其响应文件的一部分。</w:t>
      </w:r>
    </w:p>
    <w:p w14:paraId="3644FF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15.2未按磋商文件要求在规定时间前缴纳规定数额磋商保证金的响应文件将被</w:t>
      </w:r>
      <w:r>
        <w:rPr>
          <w:rFonts w:hint="eastAsia" w:ascii="宋体" w:hAnsi="宋体" w:eastAsia="宋体" w:cs="宋体"/>
          <w:b/>
          <w:bCs/>
          <w:color w:val="auto"/>
          <w:sz w:val="24"/>
          <w:highlight w:val="none"/>
        </w:rPr>
        <w:t>拒收</w:t>
      </w:r>
      <w:r>
        <w:rPr>
          <w:rFonts w:hint="eastAsia" w:ascii="宋体" w:hAnsi="宋体" w:eastAsia="宋体" w:cs="宋体"/>
          <w:color w:val="auto"/>
          <w:sz w:val="24"/>
          <w:highlight w:val="none"/>
        </w:rPr>
        <w:t>。</w:t>
      </w:r>
    </w:p>
    <w:p w14:paraId="1D1A72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供应商所缴纳的磋商保证金不计利息。</w:t>
      </w:r>
    </w:p>
    <w:p w14:paraId="530CB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采购单位将在采购活动结束后及时退还供应商的磋商保证金，但因供应商自身原因导致无法及时退还的除外。未成交供应商的磋商保证金在成交通知书发出后5个工作日内退还，成交供应商的磋商保证金在采购合同签订后5个工作日内退还。</w:t>
      </w:r>
    </w:p>
    <w:p w14:paraId="18334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15.5发生下列情形之一的，采购单位将</w:t>
      </w:r>
      <w:r>
        <w:rPr>
          <w:rFonts w:hint="eastAsia" w:ascii="宋体" w:hAnsi="宋体" w:eastAsia="宋体" w:cs="宋体"/>
          <w:b/>
          <w:bCs/>
          <w:color w:val="auto"/>
          <w:sz w:val="24"/>
          <w:highlight w:val="none"/>
        </w:rPr>
        <w:t>不予退还</w:t>
      </w:r>
      <w:r>
        <w:rPr>
          <w:rFonts w:hint="eastAsia" w:ascii="宋体" w:hAnsi="宋体" w:eastAsia="宋体" w:cs="宋体"/>
          <w:color w:val="auto"/>
          <w:sz w:val="24"/>
          <w:highlight w:val="none"/>
        </w:rPr>
        <w:t>供应商缴纳的磋商保证金：</w:t>
      </w:r>
    </w:p>
    <w:p w14:paraId="593DD23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（1）供应商在提交响应文件截止时间后撤回响应文件的；</w:t>
      </w:r>
    </w:p>
    <w:p w14:paraId="00F403D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（2）供应商在响应文件中提供虚假材料的；</w:t>
      </w:r>
    </w:p>
    <w:p w14:paraId="171733B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（3）供应商不接受按响应文件规定对其磋商报价进行修正的；</w:t>
      </w:r>
    </w:p>
    <w:p w14:paraId="4694255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（4）除因不可抗力或响应文件认可的情形以外，成交供应商不与采购人签订合同的；</w:t>
      </w:r>
    </w:p>
    <w:p w14:paraId="6F7ADBC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（5）成交人未能在规定期限内与采购人签署合同协议书或提交履约保证金的；</w:t>
      </w:r>
    </w:p>
    <w:p w14:paraId="762B781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（6）供应商与采购人、其他供应商或者采购代理机构恶意串通的；</w:t>
      </w:r>
    </w:p>
    <w:p w14:paraId="5B8640E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（7）文件规定的其他情形；</w:t>
      </w:r>
    </w:p>
    <w:p w14:paraId="3114A7C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（8）符合法律、法规规定的其他情形的。</w:t>
      </w:r>
    </w:p>
    <w:bookmarkEnd w:id="109"/>
    <w:bookmarkEnd w:id="110"/>
    <w:bookmarkEnd w:id="111"/>
    <w:p w14:paraId="38F916C5">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12" w:name="_Toc217446052"/>
      <w:bookmarkStart w:id="113" w:name="_Toc183682362"/>
      <w:bookmarkStart w:id="114" w:name="_Toc183582225"/>
      <w:r>
        <w:rPr>
          <w:rFonts w:hint="eastAsia" w:ascii="宋体" w:hAnsi="宋体" w:eastAsia="宋体" w:cs="宋体"/>
          <w:bCs w:val="0"/>
          <w:color w:val="auto"/>
          <w:sz w:val="24"/>
          <w:szCs w:val="24"/>
          <w:highlight w:val="none"/>
        </w:rPr>
        <w:t>16．磋商有效期</w:t>
      </w:r>
    </w:p>
    <w:p w14:paraId="710606D5">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磋商有效期详见“供应商须知前附表”第</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条。磋商有效期短于此规定期限的响应文件，</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w:t>
      </w:r>
    </w:p>
    <w:p w14:paraId="6047A536">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特殊情况下，采购人可于磋商有效期满之前要求供应商同意延长有效期，要求与答复均应为书面形式。供应商可以拒绝上述要求，其磋商保证金不被没收。拒绝延长磋商有效期的供应商不得再参与该项目后续采购活动。同意延长磋商有效期的供应商不能修改其响应文件，关于磋商保证金的有关规定在延长的磋商有效期内继续有效。</w:t>
      </w:r>
    </w:p>
    <w:p w14:paraId="0EB015F2">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17．响应文件的印制和签署</w:t>
      </w:r>
      <w:bookmarkEnd w:id="112"/>
      <w:bookmarkEnd w:id="113"/>
      <w:bookmarkEnd w:id="114"/>
    </w:p>
    <w:p w14:paraId="0B85B209">
      <w:pPr>
        <w:tabs>
          <w:tab w:val="left" w:pos="1080"/>
        </w:tabs>
        <w:spacing w:line="360" w:lineRule="auto"/>
        <w:ind w:firstLine="480" w:firstLineChars="200"/>
        <w:rPr>
          <w:rFonts w:hint="eastAsia" w:ascii="宋体" w:hAnsi="宋体" w:eastAsia="宋体" w:cs="宋体"/>
          <w:color w:val="auto"/>
          <w:sz w:val="24"/>
          <w:szCs w:val="24"/>
          <w:highlight w:val="none"/>
          <w:lang w:val="en-US" w:eastAsia="zh-CN"/>
        </w:rPr>
      </w:pPr>
      <w:bookmarkStart w:id="115" w:name="_Toc89075877"/>
      <w:bookmarkStart w:id="116" w:name="_Toc217446053"/>
      <w:bookmarkStart w:id="117" w:name="_Toc183682363"/>
      <w:bookmarkStart w:id="118" w:name="_Toc183582226"/>
      <w:bookmarkStart w:id="119" w:name="_Toc77400781"/>
      <w:r>
        <w:rPr>
          <w:rFonts w:hint="eastAsia" w:ascii="宋体" w:hAnsi="宋体" w:eastAsia="宋体" w:cs="宋体"/>
          <w:color w:val="auto"/>
          <w:sz w:val="24"/>
          <w:szCs w:val="24"/>
          <w:highlight w:val="none"/>
          <w:lang w:val="en-US" w:eastAsia="zh-CN"/>
        </w:rPr>
        <w:t>本项目为全流程电子标，</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须按</w:t>
      </w:r>
      <w:r>
        <w:rPr>
          <w:rFonts w:hint="eastAsia" w:ascii="宋体" w:hAnsi="宋体" w:cs="宋体"/>
          <w:color w:val="auto"/>
          <w:sz w:val="24"/>
          <w:szCs w:val="24"/>
          <w:highlight w:val="none"/>
          <w:u w:val="none"/>
          <w:lang w:val="en-US" w:eastAsia="zh-CN"/>
        </w:rPr>
        <w:t>政采云平台</w:t>
      </w:r>
      <w:r>
        <w:rPr>
          <w:rFonts w:hint="eastAsia" w:ascii="宋体" w:hAnsi="宋体" w:eastAsia="宋体" w:cs="宋体"/>
          <w:color w:val="auto"/>
          <w:sz w:val="24"/>
          <w:szCs w:val="24"/>
          <w:highlight w:val="none"/>
          <w:lang w:val="en-US" w:eastAsia="zh-CN"/>
        </w:rPr>
        <w:t>要求上传并加密，开标时无需递交纸质版</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。标后，</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交纸质版</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1正2副至招标代理公司，用于档案资料编制。</w:t>
      </w:r>
    </w:p>
    <w:p w14:paraId="7B02C2B8">
      <w:pPr>
        <w:tabs>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响应文件份数详见第二章“供应商须知”前附表。</w:t>
      </w:r>
    </w:p>
    <w:p w14:paraId="7E022FBA">
      <w:pPr>
        <w:tabs>
          <w:tab w:val="left" w:pos="109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响应文件的正本和副本均需打印或用不褪色、不变质的墨水书写，并按磋商文件规定签字和盖章。响应文件副本可采用正本的复印件。</w:t>
      </w:r>
    </w:p>
    <w:p w14:paraId="522D6DD2">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18. </w:t>
      </w:r>
      <w:bookmarkEnd w:id="115"/>
      <w:bookmarkEnd w:id="116"/>
      <w:bookmarkEnd w:id="117"/>
      <w:bookmarkEnd w:id="118"/>
      <w:bookmarkEnd w:id="119"/>
      <w:r>
        <w:rPr>
          <w:rFonts w:hint="eastAsia" w:ascii="宋体" w:hAnsi="宋体" w:eastAsia="宋体" w:cs="宋体"/>
          <w:color w:val="auto"/>
          <w:kern w:val="0"/>
          <w:sz w:val="24"/>
          <w:highlight w:val="none"/>
          <w:lang w:bidi="ar"/>
        </w:rPr>
        <w:t>电子投标基本要求</w:t>
      </w:r>
    </w:p>
    <w:p w14:paraId="3D900067">
      <w:pPr>
        <w:pageBreakBefore w:val="0"/>
        <w:numPr>
          <w:ilvl w:val="0"/>
          <w:numId w:val="0"/>
        </w:numPr>
        <w:wordWrap/>
        <w:overflowPunct/>
        <w:topLinePunct w:val="0"/>
        <w:bidi w:val="0"/>
        <w:spacing w:line="360" w:lineRule="auto"/>
        <w:ind w:left="0" w:leftChars="0" w:right="0" w:rightChars="0" w:firstLine="481"/>
        <w:rPr>
          <w:rFonts w:hint="eastAsia" w:ascii="宋体" w:hAnsi="宋体" w:eastAsia="宋体" w:cs="宋体"/>
          <w:color w:val="auto"/>
          <w:sz w:val="24"/>
          <w:szCs w:val="24"/>
          <w:highlight w:val="none"/>
          <w:lang w:val="en-US" w:eastAsia="zh-CN"/>
        </w:rPr>
      </w:pPr>
      <w:bookmarkStart w:id="120" w:name="_Toc183582227"/>
      <w:bookmarkStart w:id="121" w:name="_Toc183682364"/>
      <w:bookmarkStart w:id="122" w:name="_Toc217446054"/>
      <w:r>
        <w:rPr>
          <w:rFonts w:hint="eastAsia" w:ascii="宋体" w:hAnsi="宋体" w:eastAsia="宋体" w:cs="宋体"/>
          <w:color w:val="auto"/>
          <w:kern w:val="0"/>
          <w:sz w:val="24"/>
          <w:szCs w:val="24"/>
          <w:highlight w:val="none"/>
          <w:lang w:eastAsia="zh-CN"/>
        </w:rPr>
        <w:t>18.1</w:t>
      </w:r>
      <w:r>
        <w:rPr>
          <w:rFonts w:hint="eastAsia" w:ascii="宋体" w:hAnsi="宋体" w:eastAsia="宋体" w:cs="宋体"/>
          <w:color w:val="auto"/>
          <w:kern w:val="0"/>
          <w:sz w:val="24"/>
          <w:szCs w:val="24"/>
          <w:highlight w:val="none"/>
        </w:rPr>
        <w:t>本项目实行全流程</w:t>
      </w:r>
      <w:r>
        <w:rPr>
          <w:rFonts w:hint="eastAsia" w:ascii="宋体" w:hAnsi="宋体" w:eastAsia="宋体" w:cs="宋体"/>
          <w:color w:val="auto"/>
          <w:sz w:val="24"/>
          <w:szCs w:val="24"/>
          <w:highlight w:val="none"/>
        </w:rPr>
        <w:t>电子交易方式</w:t>
      </w:r>
      <w:r>
        <w:rPr>
          <w:rFonts w:hint="eastAsia" w:ascii="宋体" w:hAnsi="宋体" w:eastAsia="宋体" w:cs="宋体"/>
          <w:color w:val="auto"/>
          <w:kern w:val="0"/>
          <w:sz w:val="24"/>
          <w:szCs w:val="24"/>
          <w:highlight w:val="none"/>
        </w:rPr>
        <w:t>，采用电子加密</w:t>
      </w:r>
      <w:r>
        <w:rPr>
          <w:rFonts w:hint="eastAsia" w:ascii="宋体" w:hAnsi="宋体" w:eastAsia="宋体" w:cs="宋体"/>
          <w:color w:val="auto"/>
          <w:kern w:val="0"/>
          <w:sz w:val="24"/>
          <w:szCs w:val="24"/>
          <w:highlight w:val="none"/>
          <w:lang w:eastAsia="zh-CN"/>
        </w:rPr>
        <w:t>响应文件（“.jmbs”格式）</w:t>
      </w:r>
      <w:r>
        <w:rPr>
          <w:rFonts w:hint="eastAsia" w:ascii="宋体" w:hAnsi="宋体" w:eastAsia="宋体" w:cs="宋体"/>
          <w:color w:val="auto"/>
          <w:kern w:val="0"/>
          <w:sz w:val="24"/>
          <w:szCs w:val="24"/>
          <w:highlight w:val="none"/>
        </w:rPr>
        <w:t>上传方式；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截止时间前，将“电子招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客户端”生成的“电子加密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”上传电子交易平台</w:t>
      </w:r>
      <w:r>
        <w:rPr>
          <w:rFonts w:hint="eastAsia" w:ascii="宋体" w:hAnsi="宋体" w:eastAsia="宋体" w:cs="宋体"/>
          <w:color w:val="auto"/>
          <w:sz w:val="24"/>
          <w:szCs w:val="24"/>
          <w:highlight w:val="none"/>
          <w:lang w:eastAsia="zh-CN"/>
        </w:rPr>
        <w:t>，成功上传电子加密响应文件后，可自行打印响应文件接收回执</w:t>
      </w:r>
      <w:r>
        <w:rPr>
          <w:rFonts w:hint="eastAsia" w:ascii="宋体" w:hAnsi="宋体" w:eastAsia="宋体" w:cs="宋体"/>
          <w:color w:val="auto"/>
          <w:sz w:val="24"/>
          <w:szCs w:val="24"/>
          <w:highlight w:val="none"/>
        </w:rPr>
        <w:t>。</w:t>
      </w:r>
    </w:p>
    <w:p w14:paraId="7FB4FBA8">
      <w:pPr>
        <w:tabs>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cs="宋体"/>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成交供应商须在</w:t>
      </w:r>
      <w:r>
        <w:rPr>
          <w:rFonts w:hint="eastAsia" w:ascii="宋体" w:hAnsi="宋体" w:eastAsia="宋体" w:cs="宋体"/>
          <w:b/>
          <w:bCs w:val="0"/>
          <w:color w:val="auto"/>
          <w:sz w:val="24"/>
          <w:szCs w:val="24"/>
          <w:highlight w:val="none"/>
          <w:lang w:val="en-US" w:eastAsia="zh-CN"/>
        </w:rPr>
        <w:t>磋商结束后五个工作日内</w:t>
      </w:r>
      <w:r>
        <w:rPr>
          <w:rFonts w:hint="eastAsia" w:ascii="宋体" w:hAnsi="宋体" w:eastAsia="宋体" w:cs="宋体"/>
          <w:b w:val="0"/>
          <w:bCs/>
          <w:color w:val="auto"/>
          <w:sz w:val="24"/>
          <w:szCs w:val="24"/>
          <w:highlight w:val="none"/>
          <w:lang w:val="en-US" w:eastAsia="zh-CN"/>
        </w:rPr>
        <w:t>向采购代理机构递交</w:t>
      </w:r>
      <w:r>
        <w:rPr>
          <w:rFonts w:hint="eastAsia" w:ascii="宋体" w:hAnsi="宋体" w:eastAsia="宋体" w:cs="宋体"/>
          <w:b/>
          <w:bCs w:val="0"/>
          <w:color w:val="auto"/>
          <w:sz w:val="24"/>
          <w:szCs w:val="24"/>
          <w:highlight w:val="none"/>
          <w:lang w:val="en-US" w:eastAsia="zh-CN"/>
        </w:rPr>
        <w:t>签章纸质版响应文件一正</w:t>
      </w:r>
      <w:r>
        <w:rPr>
          <w:rFonts w:hint="eastAsia" w:ascii="宋体" w:hAnsi="宋体" w:cs="宋体"/>
          <w:b/>
          <w:bCs w:val="0"/>
          <w:color w:val="auto"/>
          <w:sz w:val="24"/>
          <w:szCs w:val="24"/>
          <w:highlight w:val="none"/>
          <w:lang w:val="en-US" w:eastAsia="zh-CN"/>
        </w:rPr>
        <w:t>两</w:t>
      </w:r>
      <w:r>
        <w:rPr>
          <w:rFonts w:hint="eastAsia" w:ascii="宋体" w:hAnsi="宋体" w:eastAsia="宋体" w:cs="宋体"/>
          <w:b/>
          <w:bCs w:val="0"/>
          <w:color w:val="auto"/>
          <w:sz w:val="24"/>
          <w:szCs w:val="24"/>
          <w:highlight w:val="none"/>
          <w:lang w:val="en-US" w:eastAsia="zh-CN"/>
        </w:rPr>
        <w:t>副（用于档案资料编制）</w:t>
      </w:r>
      <w:r>
        <w:rPr>
          <w:rFonts w:hint="eastAsia" w:ascii="宋体" w:hAnsi="宋体" w:eastAsia="宋体" w:cs="宋体"/>
          <w:b w:val="0"/>
          <w:bCs/>
          <w:color w:val="auto"/>
          <w:sz w:val="24"/>
          <w:szCs w:val="24"/>
          <w:highlight w:val="none"/>
          <w:lang w:val="en-US" w:eastAsia="zh-CN"/>
        </w:rPr>
        <w:t>，纸质版响应文件须与政采云平台上传的电子版响应文件保持一致。响应文件的正本和副本应在其封面右上角清楚地标明“正本”或“副本”字样，统一用A4幅面纸印制，图纸、横道图等必须使用A3幅面印制的应折叠成A4幅面，并按招标文件规定签字和盖章，响应文件胶装成册并编码，每册装订应牢固、不易拆散和换页，不得采用活页装订</w:t>
      </w:r>
      <w:r>
        <w:rPr>
          <w:rFonts w:hint="eastAsia" w:ascii="宋体" w:hAnsi="宋体" w:eastAsia="宋体" w:cs="宋体"/>
          <w:color w:val="auto"/>
          <w:sz w:val="24"/>
          <w:highlight w:val="none"/>
          <w:lang w:val="zh-CN"/>
        </w:rPr>
        <w:t>。</w:t>
      </w:r>
    </w:p>
    <w:p w14:paraId="068539A5">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19．响应文件的</w:t>
      </w:r>
      <w:bookmarkEnd w:id="120"/>
      <w:bookmarkEnd w:id="121"/>
      <w:r>
        <w:rPr>
          <w:rFonts w:hint="eastAsia" w:ascii="宋体" w:hAnsi="宋体" w:eastAsia="宋体" w:cs="宋体"/>
          <w:bCs w:val="0"/>
          <w:color w:val="auto"/>
          <w:sz w:val="24"/>
          <w:szCs w:val="24"/>
          <w:highlight w:val="none"/>
        </w:rPr>
        <w:t>递交</w:t>
      </w:r>
      <w:bookmarkEnd w:id="122"/>
    </w:p>
    <w:p w14:paraId="326427F8">
      <w:pPr>
        <w:widowControl w:val="0"/>
        <w:spacing w:before="0" w:after="0" w:line="360" w:lineRule="auto"/>
        <w:ind w:firstLine="480" w:firstLineChars="200"/>
        <w:jc w:val="both"/>
        <w:outlineLvl w:val="9"/>
        <w:rPr>
          <w:rFonts w:hint="eastAsia" w:ascii="宋体" w:hAnsi="宋体" w:eastAsia="宋体" w:cs="宋体"/>
          <w:b w:val="0"/>
          <w:bCs/>
          <w:color w:val="auto"/>
          <w:sz w:val="24"/>
          <w:szCs w:val="24"/>
          <w:highlight w:val="none"/>
        </w:rPr>
      </w:pPr>
      <w:bookmarkStart w:id="123" w:name="_Toc183682365"/>
      <w:bookmarkStart w:id="124" w:name="_Toc217446055"/>
      <w:bookmarkStart w:id="125" w:name="_Toc183582228"/>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应在截止时间前通过</w:t>
      </w:r>
      <w:r>
        <w:rPr>
          <w:rFonts w:hint="eastAsia" w:ascii="宋体" w:hAnsi="宋体" w:cs="宋体"/>
          <w:b w:val="0"/>
          <w:bCs/>
          <w:color w:val="auto"/>
          <w:sz w:val="24"/>
          <w:szCs w:val="24"/>
          <w:highlight w:val="none"/>
          <w:lang w:eastAsia="zh-CN"/>
        </w:rPr>
        <w:t>政采云平台</w:t>
      </w:r>
      <w:r>
        <w:rPr>
          <w:rFonts w:hint="eastAsia" w:ascii="宋体" w:hAnsi="宋体" w:eastAsia="宋体" w:cs="宋体"/>
          <w:b w:val="0"/>
          <w:bCs/>
          <w:color w:val="auto"/>
          <w:sz w:val="24"/>
          <w:szCs w:val="24"/>
          <w:highlight w:val="none"/>
        </w:rPr>
        <w:t>递交电子</w:t>
      </w:r>
      <w:r>
        <w:rPr>
          <w:rFonts w:hint="eastAsia" w:ascii="宋体" w:hAnsi="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w:t>
      </w:r>
    </w:p>
    <w:p w14:paraId="2CE2B4DB">
      <w:pPr>
        <w:widowControl w:val="0"/>
        <w:spacing w:before="0" w:after="0" w:line="360" w:lineRule="auto"/>
        <w:ind w:firstLine="480" w:firstLineChars="200"/>
        <w:jc w:val="both"/>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递交地址：</w:t>
      </w:r>
      <w:r>
        <w:rPr>
          <w:rFonts w:hint="eastAsia" w:ascii="宋体" w:hAnsi="宋体" w:cs="宋体"/>
          <w:b w:val="0"/>
          <w:bCs/>
          <w:color w:val="auto"/>
          <w:sz w:val="24"/>
          <w:szCs w:val="24"/>
          <w:highlight w:val="none"/>
          <w:lang w:eastAsia="zh-CN"/>
        </w:rPr>
        <w:t>政采云平台</w:t>
      </w:r>
      <w:r>
        <w:rPr>
          <w:rFonts w:hint="eastAsia" w:ascii="宋体" w:hAnsi="宋体" w:eastAsia="宋体" w:cs="宋体"/>
          <w:b w:val="0"/>
          <w:bCs/>
          <w:color w:val="auto"/>
          <w:sz w:val="24"/>
          <w:szCs w:val="24"/>
          <w:highlight w:val="none"/>
        </w:rPr>
        <w:t>。</w:t>
      </w:r>
    </w:p>
    <w:p w14:paraId="2B830C99">
      <w:pPr>
        <w:pStyle w:val="6"/>
        <w:pageBreakBefore w:val="0"/>
        <w:wordWrap/>
        <w:overflowPunct/>
        <w:topLinePunct w:val="0"/>
        <w:bidi w:val="0"/>
        <w:spacing w:line="560" w:lineRule="exact"/>
        <w:ind w:left="0" w:leftChars="0" w:right="0" w:rightChars="0"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bookmarkEnd w:id="123"/>
      <w:bookmarkEnd w:id="124"/>
      <w:bookmarkEnd w:id="125"/>
      <w:r>
        <w:rPr>
          <w:rFonts w:hint="eastAsia" w:ascii="宋体" w:hAnsi="宋体" w:eastAsia="宋体" w:cs="宋体"/>
          <w:b/>
          <w:bCs/>
          <w:color w:val="auto"/>
          <w:sz w:val="24"/>
          <w:szCs w:val="24"/>
          <w:highlight w:val="none"/>
        </w:rPr>
        <w:t>响应文件的修改和撤回</w:t>
      </w:r>
    </w:p>
    <w:p w14:paraId="11E54364">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 xml:space="preserve">.1 </w:t>
      </w:r>
      <w:r>
        <w:rPr>
          <w:rFonts w:hint="eastAsia" w:ascii="宋体" w:hAnsi="宋体" w:cs="宋体"/>
          <w:b w:val="0"/>
          <w:bCs/>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上传截止时间前，可以对所上传的</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进行补充、修改或撤回。</w:t>
      </w:r>
    </w:p>
    <w:p w14:paraId="5FBE0F91">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.2 在</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上传截止时间之后，</w:t>
      </w:r>
      <w:r>
        <w:rPr>
          <w:rFonts w:hint="eastAsia" w:ascii="宋体" w:hAnsi="宋体" w:cs="宋体"/>
          <w:b w:val="0"/>
          <w:bCs/>
          <w:color w:val="auto"/>
          <w:sz w:val="24"/>
          <w:szCs w:val="24"/>
          <w:highlight w:val="none"/>
          <w:lang w:eastAsia="zh-CN"/>
        </w:rPr>
        <w:t>供应商</w:t>
      </w:r>
      <w:r>
        <w:rPr>
          <w:rFonts w:hint="eastAsia" w:ascii="宋体" w:hAnsi="宋体" w:eastAsia="宋体" w:cs="宋体"/>
          <w:color w:val="auto"/>
          <w:sz w:val="24"/>
          <w:szCs w:val="24"/>
          <w:highlight w:val="none"/>
        </w:rPr>
        <w:t>不得对其上传的</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做任何修改、补充或撤回。</w:t>
      </w:r>
    </w:p>
    <w:p w14:paraId="7E550072">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20</w:t>
      </w:r>
      <w:r>
        <w:rPr>
          <w:rFonts w:hint="eastAsia" w:ascii="宋体" w:hAnsi="宋体" w:eastAsia="宋体" w:cs="宋体"/>
          <w:color w:val="auto"/>
          <w:sz w:val="24"/>
          <w:szCs w:val="24"/>
          <w:highlight w:val="none"/>
        </w:rPr>
        <w:t xml:space="preserve">.3 </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中如果出现计算上或累加上的算术错误，可按以下原则进行修改：</w:t>
      </w:r>
    </w:p>
    <w:p w14:paraId="6B6BF669">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val="0"/>
          <w:color w:val="auto"/>
          <w:sz w:val="24"/>
          <w:szCs w:val="24"/>
          <w:highlight w:val="none"/>
        </w:rPr>
        <w:t>响应文件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内容与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报价明细表不一致的，以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为准</w:t>
      </w:r>
      <w:r>
        <w:rPr>
          <w:rFonts w:hint="eastAsia" w:ascii="宋体" w:hAnsi="宋体" w:cs="宋体"/>
          <w:color w:val="auto"/>
          <w:sz w:val="24"/>
          <w:szCs w:val="24"/>
          <w:highlight w:val="none"/>
          <w:lang w:eastAsia="zh-CN"/>
        </w:rPr>
        <w:t>；</w:t>
      </w:r>
    </w:p>
    <w:p w14:paraId="004D733C">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（2）用小写金额和大写金额不一致，应以大写金额为准；</w:t>
      </w:r>
    </w:p>
    <w:p w14:paraId="4429AE3A">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64975B7F">
      <w:pPr>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（4）单价金额小数点或者百分比有明显错位的，以</w:t>
      </w:r>
      <w:r>
        <w:rPr>
          <w:rFonts w:hint="eastAsia" w:ascii="宋体" w:hAnsi="宋体" w:eastAsia="宋体" w:cs="宋体"/>
          <w:color w:val="auto"/>
          <w:sz w:val="24"/>
          <w:szCs w:val="24"/>
          <w:highlight w:val="none"/>
          <w:lang w:eastAsia="zh-CN"/>
        </w:rPr>
        <w:t>投标函</w:t>
      </w:r>
      <w:r>
        <w:rPr>
          <w:rFonts w:hint="eastAsia" w:ascii="宋体" w:hAnsi="宋体" w:eastAsia="宋体" w:cs="宋体"/>
          <w:color w:val="auto"/>
          <w:sz w:val="24"/>
          <w:szCs w:val="24"/>
          <w:highlight w:val="none"/>
        </w:rPr>
        <w:t>的总价为准，并修改单价。</w:t>
      </w:r>
    </w:p>
    <w:p w14:paraId="65879D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同时出现两种以上不一致的，按照前款规定的顺序修正。修正后的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报价经</w:t>
      </w:r>
      <w:r>
        <w:rPr>
          <w:rFonts w:hint="eastAsia" w:ascii="宋体" w:hAnsi="宋体" w:cs="宋体"/>
          <w:b w:val="0"/>
          <w:bCs/>
          <w:color w:val="auto"/>
          <w:sz w:val="24"/>
          <w:szCs w:val="24"/>
          <w:highlight w:val="none"/>
          <w:lang w:eastAsia="zh-CN"/>
        </w:rPr>
        <w:t>供应商</w:t>
      </w:r>
      <w:r>
        <w:rPr>
          <w:rFonts w:hint="eastAsia" w:ascii="宋体" w:hAnsi="宋体" w:eastAsia="宋体" w:cs="宋体"/>
          <w:color w:val="auto"/>
          <w:sz w:val="24"/>
          <w:szCs w:val="24"/>
          <w:highlight w:val="none"/>
        </w:rPr>
        <w:t>确认后产生约束力，</w:t>
      </w:r>
      <w:r>
        <w:rPr>
          <w:rFonts w:hint="eastAsia" w:ascii="宋体" w:hAnsi="宋体" w:cs="宋体"/>
          <w:b w:val="0"/>
          <w:bCs/>
          <w:color w:val="auto"/>
          <w:sz w:val="24"/>
          <w:szCs w:val="24"/>
          <w:highlight w:val="none"/>
          <w:lang w:eastAsia="zh-CN"/>
        </w:rPr>
        <w:t>供应商</w:t>
      </w:r>
      <w:r>
        <w:rPr>
          <w:rFonts w:hint="eastAsia" w:ascii="宋体" w:hAnsi="宋体" w:eastAsia="宋体" w:cs="宋体"/>
          <w:color w:val="auto"/>
          <w:sz w:val="24"/>
          <w:szCs w:val="24"/>
          <w:highlight w:val="none"/>
        </w:rPr>
        <w:t>不确认的，其</w:t>
      </w:r>
      <w:r>
        <w:rPr>
          <w:rFonts w:hint="eastAsia" w:ascii="宋体" w:hAnsi="宋体" w:eastAsia="宋体" w:cs="宋体"/>
          <w:b/>
          <w:bCs/>
          <w:color w:val="auto"/>
          <w:sz w:val="24"/>
          <w:szCs w:val="24"/>
          <w:highlight w:val="none"/>
        </w:rPr>
        <w:t>响应无效</w:t>
      </w:r>
      <w:r>
        <w:rPr>
          <w:rFonts w:hint="eastAsia" w:ascii="宋体" w:hAnsi="宋体" w:eastAsia="宋体" w:cs="宋体"/>
          <w:color w:val="auto"/>
          <w:sz w:val="24"/>
          <w:highlight w:val="none"/>
          <w:lang w:val="zh-CN"/>
        </w:rPr>
        <w:t>。</w:t>
      </w:r>
    </w:p>
    <w:p w14:paraId="2BD1C2F2">
      <w:pPr>
        <w:pStyle w:val="3"/>
        <w:spacing w:before="0" w:after="0" w:line="360" w:lineRule="auto"/>
        <w:jc w:val="center"/>
        <w:rPr>
          <w:rFonts w:hint="eastAsia" w:ascii="宋体" w:hAnsi="宋体" w:eastAsia="宋体" w:cs="宋体"/>
          <w:color w:val="auto"/>
          <w:sz w:val="24"/>
          <w:szCs w:val="24"/>
          <w:highlight w:val="none"/>
        </w:rPr>
      </w:pPr>
      <w:bookmarkStart w:id="126" w:name="_Toc89075878"/>
      <w:bookmarkStart w:id="127" w:name="_Toc183582231"/>
      <w:bookmarkStart w:id="128" w:name="_Toc183682368"/>
      <w:bookmarkStart w:id="129" w:name="_Toc217446056"/>
      <w:bookmarkStart w:id="130" w:name="_Toc77400782"/>
      <w:r>
        <w:rPr>
          <w:rFonts w:hint="eastAsia" w:ascii="宋体" w:hAnsi="宋体" w:eastAsia="宋体" w:cs="宋体"/>
          <w:color w:val="auto"/>
          <w:sz w:val="24"/>
          <w:szCs w:val="24"/>
          <w:highlight w:val="none"/>
        </w:rPr>
        <w:t>五、磋商和</w:t>
      </w:r>
      <w:bookmarkEnd w:id="126"/>
      <w:bookmarkEnd w:id="127"/>
      <w:bookmarkEnd w:id="128"/>
      <w:bookmarkEnd w:id="129"/>
      <w:bookmarkEnd w:id="130"/>
      <w:r>
        <w:rPr>
          <w:rFonts w:hint="eastAsia" w:ascii="宋体" w:hAnsi="宋体" w:eastAsia="宋体" w:cs="宋体"/>
          <w:color w:val="auto"/>
          <w:sz w:val="24"/>
          <w:szCs w:val="24"/>
          <w:highlight w:val="none"/>
        </w:rPr>
        <w:t>成交</w:t>
      </w:r>
    </w:p>
    <w:p w14:paraId="7CDCA880">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31" w:name="_Toc217446057"/>
      <w:bookmarkStart w:id="132" w:name="_Toc183582232"/>
      <w:bookmarkStart w:id="133" w:name="_Toc183682369"/>
      <w:r>
        <w:rPr>
          <w:rFonts w:hint="eastAsia" w:ascii="宋体" w:hAnsi="宋体" w:eastAsia="宋体" w:cs="宋体"/>
          <w:bCs w:val="0"/>
          <w:color w:val="auto"/>
          <w:sz w:val="24"/>
          <w:szCs w:val="24"/>
          <w:highlight w:val="none"/>
        </w:rPr>
        <w:t>21．</w:t>
      </w:r>
      <w:bookmarkEnd w:id="131"/>
      <w:bookmarkEnd w:id="132"/>
      <w:bookmarkEnd w:id="133"/>
      <w:r>
        <w:rPr>
          <w:rFonts w:hint="eastAsia" w:ascii="宋体" w:hAnsi="宋体" w:eastAsia="宋体" w:cs="宋体"/>
          <w:bCs w:val="0"/>
          <w:color w:val="auto"/>
          <w:sz w:val="24"/>
          <w:szCs w:val="24"/>
          <w:highlight w:val="none"/>
        </w:rPr>
        <w:t>磋商</w:t>
      </w:r>
    </w:p>
    <w:p w14:paraId="7F67D010">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21.1 采购代理机构在磋商文件规定的时间和地点组织磋商，邀请所有</w:t>
      </w:r>
      <w:r>
        <w:rPr>
          <w:rFonts w:hint="eastAsia" w:ascii="宋体" w:hAnsi="宋体" w:eastAsia="宋体" w:cs="宋体"/>
          <w:color w:val="auto"/>
          <w:sz w:val="24"/>
          <w:szCs w:val="24"/>
          <w:highlight w:val="none"/>
        </w:rPr>
        <w:t>下载</w:t>
      </w:r>
      <w:r>
        <w:rPr>
          <w:rFonts w:hint="eastAsia" w:ascii="宋体" w:hAnsi="宋体" w:eastAsia="宋体" w:cs="宋体"/>
          <w:color w:val="auto"/>
          <w:sz w:val="24"/>
          <w:highlight w:val="none"/>
        </w:rPr>
        <w:t>了磋商文件并参与竞争的供应商</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lang w:val="en-US" w:eastAsia="zh-CN"/>
        </w:rPr>
        <w:t>磋商会议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未参加</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的视同认可</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结果，事后不得对采购相关人员、</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过程和</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结果提出异议，同时</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因未在线参加</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lang w:eastAsia="zh-CN"/>
        </w:rPr>
        <w:t>而导致</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文件无法按时解密等一切后果由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eastAsia="zh-CN"/>
        </w:rPr>
        <w:t>自行承担</w:t>
      </w:r>
      <w:r>
        <w:rPr>
          <w:rFonts w:hint="eastAsia" w:ascii="宋体" w:hAnsi="宋体" w:eastAsia="宋体" w:cs="宋体"/>
          <w:color w:val="auto"/>
          <w:sz w:val="24"/>
          <w:szCs w:val="24"/>
          <w:highlight w:val="none"/>
        </w:rPr>
        <w:t>。</w:t>
      </w:r>
    </w:p>
    <w:p w14:paraId="573CC351">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不足3家的，不得</w:t>
      </w:r>
      <w:r>
        <w:rPr>
          <w:rFonts w:hint="eastAsia" w:ascii="宋体" w:hAnsi="宋体" w:eastAsia="宋体" w:cs="宋体"/>
          <w:color w:val="auto"/>
          <w:sz w:val="24"/>
          <w:highlight w:val="none"/>
        </w:rPr>
        <w:t>磋商</w:t>
      </w:r>
      <w:r>
        <w:rPr>
          <w:rFonts w:hint="eastAsia" w:ascii="宋体" w:hAnsi="宋体" w:eastAsia="宋体" w:cs="宋体"/>
          <w:color w:val="auto"/>
          <w:sz w:val="24"/>
          <w:szCs w:val="24"/>
          <w:highlight w:val="none"/>
        </w:rPr>
        <w:t>。</w:t>
      </w:r>
    </w:p>
    <w:p w14:paraId="5EE669E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21.2 “响应函”中的大写金额与小写金额不一致的，以大写金额为准；总价金额与按单价计算的汇总金额不一致的，以单价计算的汇总金额为准；单价金额有明显小数点错误的，以总价为准，并修改单价</w:t>
      </w:r>
      <w:r>
        <w:rPr>
          <w:rFonts w:hint="eastAsia" w:ascii="宋体" w:hAnsi="宋体" w:cs="宋体"/>
          <w:color w:val="auto"/>
          <w:sz w:val="24"/>
          <w:highlight w:val="none"/>
          <w:lang w:eastAsia="zh-CN"/>
        </w:rPr>
        <w:t>。</w:t>
      </w:r>
    </w:p>
    <w:p w14:paraId="0550F9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响应文件中磋商报价明细表内容与“响应函”不一致的，以“响应函”为准。对不同文字文本响应文件的解释发生异议的，以中文文本为准。</w:t>
      </w:r>
    </w:p>
    <w:p w14:paraId="0A2272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如供应商对现场上的内容有异议的，应在获得磋商会主持人同意后当场提出。</w:t>
      </w:r>
    </w:p>
    <w:p w14:paraId="0DCA4035">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34" w:name="_Toc217446058"/>
      <w:r>
        <w:rPr>
          <w:rFonts w:hint="eastAsia" w:ascii="宋体" w:hAnsi="宋体" w:eastAsia="宋体" w:cs="宋体"/>
          <w:bCs w:val="0"/>
          <w:color w:val="auto"/>
          <w:sz w:val="24"/>
          <w:szCs w:val="24"/>
          <w:highlight w:val="none"/>
        </w:rPr>
        <w:t>22. 磋商程序</w:t>
      </w:r>
      <w:bookmarkEnd w:id="134"/>
    </w:p>
    <w:p w14:paraId="38E41434">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kern w:val="0"/>
          <w:sz w:val="24"/>
          <w:highlight w:val="none"/>
          <w:lang w:bidi="ar"/>
        </w:rPr>
        <w:t>1、本项目实行不见面</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无需到场参加</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当日，</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通过</w:t>
      </w:r>
      <w:r>
        <w:rPr>
          <w:rFonts w:hint="eastAsia" w:ascii="宋体" w:hAnsi="宋体" w:cs="宋体"/>
          <w:b w:val="0"/>
          <w:bCs/>
          <w:color w:val="auto"/>
          <w:sz w:val="24"/>
          <w:szCs w:val="24"/>
          <w:highlight w:val="none"/>
          <w:lang w:eastAsia="zh-CN"/>
        </w:rPr>
        <w:t>政采云平台</w:t>
      </w:r>
      <w:r>
        <w:rPr>
          <w:rFonts w:hint="eastAsia" w:ascii="宋体" w:hAnsi="宋体" w:eastAsia="宋体" w:cs="宋体"/>
          <w:color w:val="auto"/>
          <w:kern w:val="0"/>
          <w:sz w:val="24"/>
          <w:highlight w:val="none"/>
          <w:lang w:bidi="ar"/>
        </w:rPr>
        <w:t>参加</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会议，并在线进行</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解密、互动交流、澄清等投标活动。电子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在线解密具体要求如下：</w:t>
      </w:r>
    </w:p>
    <w:p w14:paraId="3DC19829">
      <w:pPr>
        <w:spacing w:line="360" w:lineRule="auto"/>
        <w:ind w:firstLine="240" w:firstLineChars="1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递交截止时间后，</w:t>
      </w:r>
      <w:r>
        <w:rPr>
          <w:rFonts w:hint="eastAsia" w:ascii="宋体" w:hAnsi="宋体" w:cs="宋体"/>
          <w:color w:val="auto"/>
          <w:kern w:val="0"/>
          <w:sz w:val="24"/>
          <w:highlight w:val="none"/>
          <w:lang w:eastAsia="zh-CN" w:bidi="ar"/>
        </w:rPr>
        <w:t>采购代理机构</w:t>
      </w:r>
      <w:r>
        <w:rPr>
          <w:rFonts w:hint="eastAsia" w:ascii="宋体" w:hAnsi="宋体" w:eastAsia="宋体" w:cs="宋体"/>
          <w:color w:val="auto"/>
          <w:kern w:val="0"/>
          <w:sz w:val="24"/>
          <w:highlight w:val="none"/>
          <w:lang w:bidi="ar"/>
        </w:rPr>
        <w:t>将在系统内公布</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名单。</w:t>
      </w:r>
    </w:p>
    <w:p w14:paraId="402E7FD4">
      <w:pPr>
        <w:spacing w:line="360" w:lineRule="auto"/>
        <w:ind w:firstLine="240" w:firstLineChars="1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r>
        <w:rPr>
          <w:rFonts w:hint="eastAsia" w:ascii="宋体" w:hAnsi="宋体" w:cs="宋体"/>
          <w:color w:val="auto"/>
          <w:kern w:val="0"/>
          <w:sz w:val="24"/>
          <w:highlight w:val="none"/>
          <w:lang w:eastAsia="zh-CN" w:bidi="ar"/>
        </w:rPr>
        <w:t>采购人</w:t>
      </w:r>
      <w:r>
        <w:rPr>
          <w:rFonts w:hint="eastAsia" w:ascii="宋体" w:hAnsi="宋体" w:eastAsia="宋体" w:cs="宋体"/>
          <w:color w:val="auto"/>
          <w:kern w:val="0"/>
          <w:sz w:val="24"/>
          <w:highlight w:val="none"/>
          <w:lang w:bidi="ar"/>
        </w:rPr>
        <w:t>按电子平台提示解密开始后进行在线解密（即远程解密），</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应在解密开始后30分钟内完成电子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的解密。</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未按规定完成解密的，视为放弃</w:t>
      </w:r>
      <w:r>
        <w:rPr>
          <w:rFonts w:hint="eastAsia" w:ascii="宋体" w:hAnsi="宋体" w:cs="宋体"/>
          <w:color w:val="auto"/>
          <w:kern w:val="0"/>
          <w:sz w:val="24"/>
          <w:highlight w:val="none"/>
          <w:lang w:eastAsia="zh-CN" w:bidi="ar"/>
        </w:rPr>
        <w:t>磋商</w:t>
      </w:r>
      <w:r>
        <w:rPr>
          <w:rFonts w:hint="eastAsia" w:ascii="宋体" w:hAnsi="宋体" w:eastAsia="宋体" w:cs="宋体"/>
          <w:color w:val="auto"/>
          <w:kern w:val="0"/>
          <w:sz w:val="24"/>
          <w:highlight w:val="none"/>
          <w:lang w:bidi="ar"/>
        </w:rPr>
        <w:t>。</w:t>
      </w:r>
    </w:p>
    <w:p w14:paraId="43766C43">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kern w:val="0"/>
          <w:sz w:val="24"/>
          <w:highlight w:val="none"/>
          <w:lang w:bidi="ar"/>
        </w:rPr>
        <w:t>2、</w:t>
      </w:r>
      <w:r>
        <w:rPr>
          <w:rFonts w:hint="eastAsia" w:ascii="宋体" w:hAnsi="宋体" w:cs="宋体"/>
          <w:color w:val="auto"/>
          <w:kern w:val="0"/>
          <w:sz w:val="24"/>
          <w:highlight w:val="none"/>
          <w:lang w:eastAsia="zh-CN" w:bidi="ar"/>
        </w:rPr>
        <w:t>采购人</w:t>
      </w:r>
      <w:r>
        <w:rPr>
          <w:rFonts w:hint="eastAsia" w:ascii="宋体" w:hAnsi="宋体" w:eastAsia="宋体" w:cs="宋体"/>
          <w:color w:val="auto"/>
          <w:kern w:val="0"/>
          <w:sz w:val="24"/>
          <w:highlight w:val="none"/>
          <w:lang w:bidi="ar"/>
        </w:rPr>
        <w:t>不接受书面</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必须在</w:t>
      </w:r>
      <w:r>
        <w:rPr>
          <w:rFonts w:hint="eastAsia" w:ascii="宋体" w:hAnsi="宋体" w:cs="宋体"/>
          <w:color w:val="auto"/>
          <w:kern w:val="0"/>
          <w:sz w:val="24"/>
          <w:highlight w:val="none"/>
          <w:lang w:val="en-US" w:eastAsia="zh-CN" w:bidi="ar"/>
        </w:rPr>
        <w:t>磋商</w:t>
      </w:r>
      <w:r>
        <w:rPr>
          <w:rFonts w:hint="eastAsia" w:ascii="宋体" w:hAnsi="宋体" w:eastAsia="宋体" w:cs="宋体"/>
          <w:color w:val="auto"/>
          <w:kern w:val="0"/>
          <w:sz w:val="24"/>
          <w:highlight w:val="none"/>
          <w:lang w:bidi="ar"/>
        </w:rPr>
        <w:t>截止时间前提交网上</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到电子招投标系统。</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是否</w:t>
      </w:r>
      <w:r>
        <w:rPr>
          <w:rFonts w:hint="eastAsia" w:ascii="宋体" w:hAnsi="宋体" w:cs="宋体"/>
          <w:color w:val="auto"/>
          <w:kern w:val="0"/>
          <w:sz w:val="24"/>
          <w:highlight w:val="none"/>
          <w:lang w:eastAsia="zh-CN" w:bidi="ar"/>
        </w:rPr>
        <w:t>磋商</w:t>
      </w:r>
      <w:r>
        <w:rPr>
          <w:rFonts w:hint="eastAsia" w:ascii="宋体" w:hAnsi="宋体" w:eastAsia="宋体" w:cs="宋体"/>
          <w:color w:val="auto"/>
          <w:kern w:val="0"/>
          <w:sz w:val="24"/>
          <w:highlight w:val="none"/>
          <w:lang w:bidi="ar"/>
        </w:rPr>
        <w:t>以网上递交的</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为准，</w:t>
      </w:r>
      <w:r>
        <w:rPr>
          <w:rFonts w:hint="eastAsia" w:ascii="宋体" w:hAnsi="宋体" w:cs="宋体"/>
          <w:color w:val="auto"/>
          <w:kern w:val="0"/>
          <w:sz w:val="24"/>
          <w:highlight w:val="none"/>
          <w:lang w:val="en-US" w:eastAsia="zh-CN" w:bidi="ar"/>
        </w:rPr>
        <w:t>磋商小组</w:t>
      </w:r>
      <w:r>
        <w:rPr>
          <w:rFonts w:hint="eastAsia" w:ascii="宋体" w:hAnsi="宋体" w:eastAsia="宋体" w:cs="宋体"/>
          <w:color w:val="auto"/>
          <w:kern w:val="0"/>
          <w:sz w:val="24"/>
          <w:highlight w:val="none"/>
          <w:lang w:bidi="ar"/>
        </w:rPr>
        <w:t>只对网上</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进行评审。</w:t>
      </w:r>
    </w:p>
    <w:p w14:paraId="1D276BB6">
      <w:pPr>
        <w:pageBreakBefore w:val="0"/>
        <w:shd w:val="clear" w:color="auto" w:fill="auto"/>
        <w:wordWrap/>
        <w:overflowPunct/>
        <w:topLinePunct w:val="0"/>
        <w:bidi w:val="0"/>
        <w:spacing w:line="560" w:lineRule="exact"/>
        <w:ind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澄清、说明或补正的形式：</w:t>
      </w:r>
    </w:p>
    <w:p w14:paraId="62AB40C8">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（1）对于响应文件中含义不明确、同类问题表述不一致或者有明显文字和计算错误的内容，评审委员会将通过“政府采购云平台”在线询标的方式要求供应商在规定的时间内作出必要的澄清、说明或者补正，</w:t>
      </w:r>
      <w:r>
        <w:rPr>
          <w:rFonts w:hint="eastAsia" w:ascii="宋体" w:hAnsi="宋体" w:eastAsia="宋体" w:cs="宋体"/>
          <w:b/>
          <w:bCs/>
          <w:color w:val="auto"/>
          <w:sz w:val="24"/>
          <w:szCs w:val="24"/>
          <w:highlight w:val="none"/>
          <w:lang w:val="en-US" w:eastAsia="zh-CN"/>
        </w:rPr>
        <w:t>供应商澄清、说明或补正时间为20分钟</w:t>
      </w:r>
      <w:r>
        <w:rPr>
          <w:rFonts w:hint="eastAsia" w:ascii="宋体" w:hAnsi="宋体" w:eastAsia="宋体" w:cs="宋体"/>
          <w:b w:val="0"/>
          <w:bCs w:val="0"/>
          <w:color w:val="auto"/>
          <w:sz w:val="24"/>
          <w:szCs w:val="24"/>
          <w:highlight w:val="none"/>
          <w:lang w:val="en-US" w:eastAsia="zh-CN"/>
        </w:rPr>
        <w:t>。</w:t>
      </w:r>
    </w:p>
    <w:p w14:paraId="01678206">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（2）供应商的澄清、说明或者补正应当通过“政府采购云平台”在线答复的方式提交，并加盖公章</w:t>
      </w:r>
      <w:r>
        <w:rPr>
          <w:rFonts w:hint="eastAsia" w:ascii="宋体" w:hAnsi="宋体" w:cs="宋体"/>
          <w:b w:val="0"/>
          <w:bCs w:val="0"/>
          <w:color w:val="auto"/>
          <w:sz w:val="24"/>
          <w:szCs w:val="24"/>
          <w:highlight w:val="none"/>
          <w:lang w:val="en-US" w:eastAsia="zh-CN"/>
        </w:rPr>
        <w:t>或</w:t>
      </w:r>
      <w:r>
        <w:rPr>
          <w:rFonts w:hint="eastAsia" w:ascii="宋体" w:hAnsi="宋体" w:eastAsia="宋体" w:cs="宋体"/>
          <w:b w:val="0"/>
          <w:bCs w:val="0"/>
          <w:color w:val="auto"/>
          <w:sz w:val="24"/>
          <w:szCs w:val="24"/>
          <w:highlight w:val="none"/>
          <w:lang w:val="en-US" w:eastAsia="zh-CN"/>
        </w:rPr>
        <w:t>电子印章，或者由法定代表人（负责人）或其授权的代表签字。供应商的澄清、说明或者补正不得超出响应文件的范围或者改变响应文件的实质性内容，不接受供应商主动对响应文件的澄清、说明或者补正。</w:t>
      </w:r>
    </w:p>
    <w:p w14:paraId="603D496B">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224371B">
      <w:pPr>
        <w:pageBreakBefore w:val="0"/>
        <w:shd w:val="clear" w:color="auto" w:fill="auto"/>
        <w:wordWrap/>
        <w:overflowPunct/>
        <w:topLinePunct w:val="0"/>
        <w:bidi w:val="0"/>
        <w:spacing w:line="560" w:lineRule="exact"/>
        <w:ind w:left="0" w:leftChars="0" w:right="0" w:rightChars="0"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评审人员对各供应商响应文件非实质性内容有疑议或异议，或者审查发现明显的文字或计算错误等，及时向评审委员会组长提出。经评审委员会商议认为需要供应商作出必要澄清、说明或者补正的，应当以在线询标形式要求供应商作出必要的澄清、说明或者补正</w:t>
      </w:r>
      <w:r>
        <w:rPr>
          <w:rFonts w:hint="eastAsia" w:ascii="宋体" w:hAnsi="宋体" w:cs="宋体"/>
          <w:color w:val="auto"/>
          <w:sz w:val="24"/>
          <w:szCs w:val="24"/>
          <w:highlight w:val="none"/>
          <w:lang w:val="en-US" w:eastAsia="zh-CN"/>
        </w:rPr>
        <w:t>并加盖供应商电子印章或公章</w:t>
      </w:r>
      <w:r>
        <w:rPr>
          <w:rFonts w:hint="eastAsia" w:ascii="宋体" w:hAnsi="宋体" w:eastAsia="宋体" w:cs="宋体"/>
          <w:color w:val="auto"/>
          <w:sz w:val="24"/>
          <w:szCs w:val="24"/>
          <w:highlight w:val="none"/>
          <w:lang w:val="en-US" w:eastAsia="zh-CN"/>
        </w:rPr>
        <w:t>。澄清、说明或者补正的内容应作为政府采购项目档案归档留存。</w:t>
      </w:r>
    </w:p>
    <w:p w14:paraId="5C6CD97D">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4 评审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1A42CEEA">
      <w:pPr>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22.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评审结果汇总完成后，除下列情形外，任何人不得修改评审结果：</w:t>
      </w:r>
    </w:p>
    <w:p w14:paraId="542EE2C7">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(一)分值汇总计算错误的；</w:t>
      </w:r>
    </w:p>
    <w:p w14:paraId="141E620D">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(二)分项评分超出评分标准范围的；</w:t>
      </w:r>
    </w:p>
    <w:p w14:paraId="557F2E60">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(三)评审委员会成员对客观评审因素评分不一致的；</w:t>
      </w:r>
    </w:p>
    <w:p w14:paraId="680CB62C">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(四)经评审委员会认定评分畸高、畸低的。</w:t>
      </w:r>
    </w:p>
    <w:p w14:paraId="7CE0E9A8">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报告签署前，经复核发现存在以上情形之一的，评审委员会应当当场修改评审结果，并在评审报告中记载；评审报告签署后，采购人或者采购代理机构发现存在以上情形之一的，应当组织原评审委员会进行重新评审，重新评审改变评审结果的，书面报告本级财政部门。</w:t>
      </w:r>
    </w:p>
    <w:p w14:paraId="71AFB81C">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供应商对本条第一款情形提出质疑的，采购人或者采购代理机构可以组织原评审委员会进行重新评审，重新评审改变评审结果的，应当书面报告本级财政部门。</w:t>
      </w:r>
    </w:p>
    <w:p w14:paraId="7AC19D96">
      <w:pPr>
        <w:pStyle w:val="103"/>
        <w:pageBreakBefore w:val="0"/>
        <w:wordWrap/>
        <w:overflowPunct/>
        <w:topLinePunct w:val="0"/>
        <w:bidi w:val="0"/>
        <w:spacing w:line="56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bidi="ar"/>
        </w:rPr>
        <w:t>22.6</w:t>
      </w:r>
      <w:r>
        <w:rPr>
          <w:rFonts w:hint="eastAsia" w:ascii="宋体" w:hAnsi="宋体" w:eastAsia="宋体" w:cs="宋体"/>
          <w:color w:val="auto"/>
          <w:sz w:val="24"/>
          <w:szCs w:val="24"/>
          <w:highlight w:val="none"/>
          <w:lang w:val="en-US" w:eastAsia="zh-CN"/>
        </w:rPr>
        <w:t>、供应商有以下情形之一的磋商无效：</w:t>
      </w:r>
    </w:p>
    <w:p w14:paraId="74695CE9">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未在</w:t>
      </w:r>
      <w:r>
        <w:rPr>
          <w:rFonts w:hint="eastAsia" w:ascii="宋体" w:hAnsi="宋体" w:cs="宋体"/>
          <w:color w:val="auto"/>
          <w:kern w:val="0"/>
          <w:sz w:val="24"/>
          <w:highlight w:val="none"/>
          <w:lang w:eastAsia="zh-CN" w:bidi="ar"/>
        </w:rPr>
        <w:t>磋商文件</w:t>
      </w:r>
      <w:r>
        <w:rPr>
          <w:rFonts w:hint="eastAsia" w:ascii="宋体" w:hAnsi="宋体" w:eastAsia="宋体" w:cs="宋体"/>
          <w:color w:val="auto"/>
          <w:kern w:val="0"/>
          <w:sz w:val="24"/>
          <w:highlight w:val="none"/>
          <w:lang w:bidi="ar"/>
        </w:rPr>
        <w:t>规定截止时间上传至交易系统的；</w:t>
      </w:r>
    </w:p>
    <w:p w14:paraId="4DF0F618">
      <w:pPr>
        <w:spacing w:line="360" w:lineRule="auto"/>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（2）因</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原因，</w:t>
      </w:r>
      <w:r>
        <w:rPr>
          <w:rFonts w:hint="eastAsia" w:ascii="宋体" w:hAnsi="宋体" w:cs="宋体"/>
          <w:color w:val="auto"/>
          <w:kern w:val="0"/>
          <w:sz w:val="24"/>
          <w:highlight w:val="none"/>
          <w:lang w:eastAsia="zh-CN" w:bidi="ar"/>
        </w:rPr>
        <w:t>供应商</w:t>
      </w:r>
      <w:r>
        <w:rPr>
          <w:rFonts w:hint="eastAsia" w:ascii="宋体" w:hAnsi="宋体" w:eastAsia="宋体" w:cs="宋体"/>
          <w:color w:val="auto"/>
          <w:kern w:val="0"/>
          <w:sz w:val="24"/>
          <w:highlight w:val="none"/>
          <w:lang w:bidi="ar"/>
        </w:rPr>
        <w:t>提交的电子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解密失败或无法导入的；</w:t>
      </w:r>
    </w:p>
    <w:p w14:paraId="0B2498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（3）电子</w:t>
      </w:r>
      <w:r>
        <w:rPr>
          <w:rFonts w:hint="eastAsia" w:ascii="宋体" w:hAnsi="宋体" w:cs="宋体"/>
          <w:color w:val="auto"/>
          <w:kern w:val="0"/>
          <w:sz w:val="24"/>
          <w:highlight w:val="none"/>
          <w:lang w:eastAsia="zh-CN" w:bidi="ar"/>
        </w:rPr>
        <w:t>响应文件</w:t>
      </w:r>
      <w:r>
        <w:rPr>
          <w:rFonts w:hint="eastAsia" w:ascii="宋体" w:hAnsi="宋体" w:eastAsia="宋体" w:cs="宋体"/>
          <w:color w:val="auto"/>
          <w:kern w:val="0"/>
          <w:sz w:val="24"/>
          <w:highlight w:val="none"/>
          <w:lang w:bidi="ar"/>
        </w:rPr>
        <w:t>未按</w:t>
      </w:r>
      <w:r>
        <w:rPr>
          <w:rFonts w:hint="eastAsia" w:ascii="宋体" w:hAnsi="宋体" w:cs="宋体"/>
          <w:color w:val="auto"/>
          <w:kern w:val="0"/>
          <w:sz w:val="24"/>
          <w:highlight w:val="none"/>
          <w:lang w:eastAsia="zh-CN" w:bidi="ar"/>
        </w:rPr>
        <w:t>磋商文件</w:t>
      </w:r>
      <w:r>
        <w:rPr>
          <w:rFonts w:hint="eastAsia" w:ascii="宋体" w:hAnsi="宋体" w:eastAsia="宋体" w:cs="宋体"/>
          <w:color w:val="auto"/>
          <w:kern w:val="0"/>
          <w:sz w:val="24"/>
          <w:highlight w:val="none"/>
          <w:lang w:bidi="ar"/>
        </w:rPr>
        <w:t>规定进行电子签章或电子签名的。</w:t>
      </w:r>
    </w:p>
    <w:p w14:paraId="61787E8A">
      <w:pPr>
        <w:pStyle w:val="4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）参加磋商的供应商在等待区等待通知，等待审查合格的供应商进行磋商并提交最终报价（磋商报价为二轮报价，以最后一轮报价进行评审）。</w:t>
      </w:r>
    </w:p>
    <w:p w14:paraId="2686249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（4）经磋商确定最终服务需求和提交最后报价的供应商后，由磋商小组采用综合评分法对提交最后报价的供应商的响应文件和最后报价进行综合评分</w:t>
      </w:r>
      <w:r>
        <w:rPr>
          <w:rFonts w:hint="eastAsia" w:ascii="宋体" w:hAnsi="宋体" w:cs="宋体"/>
          <w:color w:val="auto"/>
          <w:sz w:val="24"/>
          <w:highlight w:val="none"/>
          <w:lang w:eastAsia="zh-CN"/>
        </w:rPr>
        <w:t>。</w:t>
      </w:r>
    </w:p>
    <w:p w14:paraId="18C9C3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（5）磋商小组根据综合评分情况，按照评审得分由高到低顺序</w:t>
      </w:r>
      <w:r>
        <w:rPr>
          <w:rFonts w:hint="eastAsia" w:ascii="宋体" w:hAnsi="宋体" w:cs="宋体"/>
          <w:color w:val="auto"/>
          <w:sz w:val="24"/>
          <w:highlight w:val="none"/>
          <w:lang w:val="en-US" w:eastAsia="zh-CN"/>
        </w:rPr>
        <w:t>确定最终成交供应商</w:t>
      </w:r>
      <w:r>
        <w:rPr>
          <w:rFonts w:hint="eastAsia" w:ascii="宋体" w:hAnsi="宋体" w:eastAsia="宋体" w:cs="宋体"/>
          <w:color w:val="auto"/>
          <w:sz w:val="24"/>
          <w:highlight w:val="none"/>
        </w:rPr>
        <w:t>，并编写评审报告。</w:t>
      </w:r>
    </w:p>
    <w:p w14:paraId="10368CAF">
      <w:pPr>
        <w:pStyle w:val="4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（6）采购代理机构在评审结束后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个工作日内将评审报告送采购人确认。</w:t>
      </w:r>
    </w:p>
    <w:p w14:paraId="2ED9BAE3">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35" w:name="_Toc183682375"/>
      <w:bookmarkStart w:id="136" w:name="_Toc183582238"/>
      <w:bookmarkStart w:id="137" w:name="_Toc217446063"/>
      <w:r>
        <w:rPr>
          <w:rFonts w:hint="eastAsia" w:ascii="宋体" w:hAnsi="宋体" w:eastAsia="宋体" w:cs="宋体"/>
          <w:bCs w:val="0"/>
          <w:color w:val="auto"/>
          <w:sz w:val="24"/>
          <w:szCs w:val="24"/>
          <w:highlight w:val="none"/>
        </w:rPr>
        <w:t>23．成交通知</w:t>
      </w:r>
      <w:bookmarkEnd w:id="135"/>
      <w:bookmarkEnd w:id="136"/>
      <w:r>
        <w:rPr>
          <w:rFonts w:hint="eastAsia" w:ascii="宋体" w:hAnsi="宋体" w:eastAsia="宋体" w:cs="宋体"/>
          <w:bCs w:val="0"/>
          <w:color w:val="auto"/>
          <w:sz w:val="24"/>
          <w:szCs w:val="24"/>
          <w:highlight w:val="none"/>
        </w:rPr>
        <w:t>书</w:t>
      </w:r>
      <w:bookmarkEnd w:id="137"/>
    </w:p>
    <w:p w14:paraId="534B8AF6">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成交通知书为签订采购合同的依据，是合同的有效组成部分。</w:t>
      </w:r>
    </w:p>
    <w:p w14:paraId="09AE689C">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成交通知书对采购人和成交人均具有法律效力。成交通知书</w:t>
      </w:r>
      <w:r>
        <w:rPr>
          <w:rFonts w:hint="eastAsia" w:ascii="宋体" w:hAnsi="宋体" w:cs="宋体"/>
          <w:color w:val="auto"/>
          <w:sz w:val="24"/>
          <w:highlight w:val="none"/>
          <w:lang w:val="en-US" w:eastAsia="zh-CN"/>
        </w:rPr>
        <w:t>发出</w:t>
      </w:r>
      <w:r>
        <w:rPr>
          <w:rFonts w:hint="eastAsia" w:ascii="宋体" w:hAnsi="宋体" w:eastAsia="宋体" w:cs="宋体"/>
          <w:color w:val="auto"/>
          <w:sz w:val="24"/>
          <w:highlight w:val="none"/>
        </w:rPr>
        <w:t>后，采购人改变成交结果，或者成交人无正当理由放弃成交的，应当承担相应的法律责任。</w:t>
      </w:r>
    </w:p>
    <w:p w14:paraId="278C9F4B">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成交人的响应文件本应作为无效响应处理或者有采购法律法规规章规定的成交无效情形的，采购代理机构在取得有权主体的认定以后，应当宣布发出的成交通知书无效，并收回发出的成交通知书（成交人也应当缴回），依法重新确定成交人或者重新开展采购活动。</w:t>
      </w:r>
    </w:p>
    <w:p w14:paraId="5081217D">
      <w:pPr>
        <w:pStyle w:val="3"/>
        <w:spacing w:before="0" w:after="0" w:line="360" w:lineRule="auto"/>
        <w:jc w:val="center"/>
        <w:rPr>
          <w:rFonts w:hint="eastAsia" w:ascii="宋体" w:hAnsi="宋体" w:eastAsia="宋体" w:cs="宋体"/>
          <w:color w:val="auto"/>
          <w:sz w:val="24"/>
          <w:szCs w:val="24"/>
          <w:highlight w:val="none"/>
        </w:rPr>
      </w:pPr>
      <w:bookmarkStart w:id="138" w:name="_Toc217446064"/>
      <w:bookmarkStart w:id="139" w:name="_Toc183682377"/>
      <w:bookmarkStart w:id="140" w:name="_Toc183582240"/>
      <w:r>
        <w:rPr>
          <w:rFonts w:hint="eastAsia" w:ascii="宋体" w:hAnsi="宋体" w:eastAsia="宋体" w:cs="宋体"/>
          <w:color w:val="auto"/>
          <w:sz w:val="24"/>
          <w:szCs w:val="24"/>
          <w:highlight w:val="none"/>
        </w:rPr>
        <w:t>六、</w:t>
      </w:r>
      <w:bookmarkEnd w:id="138"/>
      <w:r>
        <w:rPr>
          <w:rFonts w:hint="eastAsia" w:ascii="宋体" w:hAnsi="宋体" w:eastAsia="宋体" w:cs="宋体"/>
          <w:color w:val="auto"/>
          <w:sz w:val="24"/>
          <w:szCs w:val="24"/>
          <w:highlight w:val="none"/>
        </w:rPr>
        <w:t>签订及履行合同</w:t>
      </w:r>
    </w:p>
    <w:p w14:paraId="486B86C4">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41" w:name="_Toc217446065"/>
      <w:r>
        <w:rPr>
          <w:rFonts w:hint="eastAsia" w:ascii="宋体" w:hAnsi="宋体" w:eastAsia="宋体" w:cs="宋体"/>
          <w:color w:val="auto"/>
          <w:sz w:val="24"/>
          <w:szCs w:val="24"/>
          <w:highlight w:val="none"/>
        </w:rPr>
        <w:t>24. 签订合同</w:t>
      </w:r>
      <w:bookmarkEnd w:id="141"/>
    </w:p>
    <w:p w14:paraId="792841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成交人在收到“成交通知书”后，应在法律法规规定的时间内与采购人签订采购合同。由于成交人的原因逾期未与采购人签订采购合同的，将视为放弃成交，取消其成交资格并将按相关规定进行处理。</w:t>
      </w:r>
    </w:p>
    <w:p w14:paraId="2AB1F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采购人不得向成交人提出任何不合理的要求，作为签订合同的条件，不得与成交人私下订立背离合同实质性内容的任何协议，所签订的合同不得对磋商文件和成交人响应文件作实质性修改。</w:t>
      </w:r>
    </w:p>
    <w:p w14:paraId="5AA73C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成交人因不可抗力原因不能履行采购合同或放弃成交的，采购人可以与排在成交人之后第一位的成交候选人签订采购合同，以此类推。</w:t>
      </w:r>
    </w:p>
    <w:p w14:paraId="559970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24.4 成交人在合同签订之后三个工作日内，将签订的合同</w:t>
      </w:r>
      <w:r>
        <w:rPr>
          <w:rFonts w:hint="eastAsia" w:ascii="宋体" w:hAnsi="宋体" w:eastAsia="宋体" w:cs="宋体"/>
          <w:color w:val="auto"/>
          <w:sz w:val="24"/>
          <w:highlight w:val="none"/>
          <w:lang w:val="en-US" w:eastAsia="zh-CN"/>
        </w:rPr>
        <w:t>扫描件</w:t>
      </w:r>
      <w:r>
        <w:rPr>
          <w:rFonts w:hint="eastAsia" w:ascii="宋体" w:hAnsi="宋体" w:eastAsia="宋体" w:cs="宋体"/>
          <w:color w:val="auto"/>
          <w:sz w:val="24"/>
          <w:highlight w:val="none"/>
        </w:rPr>
        <w:t>交至采购代理机构。</w:t>
      </w:r>
    </w:p>
    <w:p w14:paraId="0CECE9A3">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42" w:name="_Toc217446066"/>
      <w:r>
        <w:rPr>
          <w:rFonts w:hint="eastAsia" w:ascii="宋体" w:hAnsi="宋体" w:eastAsia="宋体" w:cs="宋体"/>
          <w:color w:val="auto"/>
          <w:sz w:val="24"/>
          <w:szCs w:val="24"/>
          <w:highlight w:val="none"/>
        </w:rPr>
        <w:t>25. 合同分包</w:t>
      </w:r>
      <w:bookmarkEnd w:id="142"/>
      <w:r>
        <w:rPr>
          <w:rFonts w:hint="eastAsia" w:ascii="宋体" w:hAnsi="宋体" w:eastAsia="宋体" w:cs="宋体"/>
          <w:color w:val="auto"/>
          <w:sz w:val="24"/>
          <w:szCs w:val="24"/>
          <w:highlight w:val="none"/>
        </w:rPr>
        <w:t>（如有）</w:t>
      </w:r>
    </w:p>
    <w:p w14:paraId="296099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若本项目允许分包的，经采购人同意，成交人可以依法采取分包方式履行合同。这种要求应当在合同签订之前征得采购人同意，并且分包供应商履行的分包项目的品牌、规格型号及技术要求等，必须与成交的一致。</w:t>
      </w:r>
    </w:p>
    <w:p w14:paraId="3D639B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采购合同实行分包履行的，成交人就采购项目和分包项目向采购人负责，分包供应商就分包项目承担责任。</w:t>
      </w:r>
    </w:p>
    <w:p w14:paraId="49DC1C1E">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43" w:name="_Toc217446067"/>
      <w:r>
        <w:rPr>
          <w:rFonts w:hint="eastAsia" w:ascii="宋体" w:hAnsi="宋体" w:eastAsia="宋体" w:cs="宋体"/>
          <w:color w:val="auto"/>
          <w:sz w:val="24"/>
          <w:szCs w:val="24"/>
          <w:highlight w:val="none"/>
        </w:rPr>
        <w:t>26. 采购人增加合同金额权</w:t>
      </w:r>
      <w:bookmarkEnd w:id="143"/>
      <w:r>
        <w:rPr>
          <w:rFonts w:hint="eastAsia" w:ascii="宋体" w:hAnsi="宋体" w:eastAsia="宋体" w:cs="宋体"/>
          <w:color w:val="auto"/>
          <w:sz w:val="24"/>
          <w:szCs w:val="24"/>
          <w:highlight w:val="none"/>
        </w:rPr>
        <w:t>利</w:t>
      </w:r>
    </w:p>
    <w:p w14:paraId="0B09A9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采购合同履行过程中，采购人需要追加与合同金额相同的服务的，在不改变合同其他条款的前提下，可以与成交供应商协商签订补充合同，但所有补充合同的采购金额不得超过原合同采购金额的百分之十。</w:t>
      </w:r>
    </w:p>
    <w:p w14:paraId="5914296D">
      <w:pPr>
        <w:pStyle w:val="4"/>
        <w:widowControl w:val="0"/>
        <w:spacing w:before="0" w:after="0" w:line="360" w:lineRule="auto"/>
        <w:ind w:firstLine="482" w:firstLineChars="200"/>
        <w:jc w:val="both"/>
        <w:rPr>
          <w:rFonts w:hint="eastAsia" w:ascii="宋体" w:hAnsi="宋体" w:eastAsia="宋体" w:cs="宋体"/>
          <w:b w:val="0"/>
          <w:color w:val="auto"/>
          <w:sz w:val="24"/>
          <w:szCs w:val="24"/>
          <w:highlight w:val="none"/>
        </w:rPr>
      </w:pPr>
      <w:bookmarkStart w:id="144" w:name="_Toc217446068"/>
      <w:r>
        <w:rPr>
          <w:rFonts w:hint="eastAsia" w:ascii="宋体" w:hAnsi="宋体" w:eastAsia="宋体" w:cs="宋体"/>
          <w:color w:val="auto"/>
          <w:sz w:val="24"/>
          <w:szCs w:val="24"/>
          <w:highlight w:val="none"/>
        </w:rPr>
        <w:t>27. 履约保证金</w:t>
      </w:r>
      <w:bookmarkEnd w:id="144"/>
    </w:p>
    <w:p w14:paraId="2E8553B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27.1 成交人应在合同签订之前缴纳磋商文件规定数额的履约保证金。</w:t>
      </w:r>
    </w:p>
    <w:p w14:paraId="070F19A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27.2 如果成交人在规定的合同签订时间内，没有按照磋商文件的规定缴纳履约保证金，且又无正当理由的，将视为放弃成交，其缴纳的磋商保证金将</w:t>
      </w:r>
      <w:r>
        <w:rPr>
          <w:rFonts w:hint="eastAsia" w:ascii="宋体" w:hAnsi="宋体" w:eastAsia="宋体" w:cs="宋体"/>
          <w:b/>
          <w:bCs/>
          <w:color w:val="auto"/>
          <w:sz w:val="24"/>
          <w:highlight w:val="none"/>
        </w:rPr>
        <w:t>不予退还</w:t>
      </w:r>
      <w:r>
        <w:rPr>
          <w:rFonts w:hint="eastAsia" w:ascii="宋体" w:hAnsi="宋体" w:eastAsia="宋体" w:cs="宋体"/>
          <w:color w:val="auto"/>
          <w:sz w:val="24"/>
          <w:highlight w:val="none"/>
        </w:rPr>
        <w:t>。</w:t>
      </w:r>
    </w:p>
    <w:p w14:paraId="1B29DEA0">
      <w:pPr>
        <w:pStyle w:val="4"/>
        <w:widowControl w:val="0"/>
        <w:spacing w:before="0" w:after="0" w:line="360" w:lineRule="auto"/>
        <w:ind w:firstLine="482" w:firstLineChars="200"/>
        <w:jc w:val="both"/>
        <w:rPr>
          <w:rFonts w:hint="eastAsia" w:ascii="宋体" w:hAnsi="宋体" w:eastAsia="宋体" w:cs="宋体"/>
          <w:color w:val="auto"/>
          <w:sz w:val="24"/>
          <w:szCs w:val="24"/>
          <w:highlight w:val="none"/>
        </w:rPr>
      </w:pPr>
      <w:bookmarkStart w:id="145" w:name="_Toc217446069"/>
      <w:r>
        <w:rPr>
          <w:rFonts w:hint="eastAsia" w:ascii="宋体" w:hAnsi="宋体" w:eastAsia="宋体" w:cs="宋体"/>
          <w:color w:val="auto"/>
          <w:sz w:val="24"/>
          <w:szCs w:val="24"/>
          <w:highlight w:val="none"/>
        </w:rPr>
        <w:t>2</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rPr>
        <w:t>. 履行合同</w:t>
      </w:r>
      <w:bookmarkEnd w:id="145"/>
    </w:p>
    <w:p w14:paraId="0B1723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成交人与采购人签订合同后，合同双方应严格执行合同条款，履行合同规定的义务，保证合同的顺利完成。</w:t>
      </w:r>
    </w:p>
    <w:p w14:paraId="2905FB46">
      <w:pPr>
        <w:pageBreakBefore w:val="0"/>
        <w:wordWrap/>
        <w:overflowPunct/>
        <w:topLinePunct w:val="0"/>
        <w:bidi w:val="0"/>
        <w:spacing w:line="560" w:lineRule="exact"/>
        <w:ind w:left="0" w:leftChars="0" w:right="0" w:righ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在合同履行过程中，如发生合同纠纷，合同双方应按照《中华人民共和国民法典》的有关规定进行处理。</w:t>
      </w:r>
      <w:bookmarkStart w:id="146" w:name="_Toc217446070"/>
    </w:p>
    <w:p w14:paraId="74DF8943">
      <w:pPr>
        <w:pageBreakBefore w:val="0"/>
        <w:wordWrap/>
        <w:overflowPunct/>
        <w:topLinePunct w:val="0"/>
        <w:bidi w:val="0"/>
        <w:spacing w:line="560" w:lineRule="exact"/>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验收</w:t>
      </w:r>
      <w:bookmarkEnd w:id="146"/>
    </w:p>
    <w:p w14:paraId="4085EC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采购人应严格按照国家财政部《关于进一步加强政府采购需求和履约验收管理的指导意见》（</w:t>
      </w:r>
      <w:r>
        <w:rPr>
          <w:rFonts w:hint="eastAsia" w:ascii="宋体" w:hAnsi="宋体" w:eastAsia="宋体" w:cs="宋体"/>
          <w:color w:val="auto"/>
          <w:sz w:val="24"/>
          <w:szCs w:val="24"/>
          <w:highlight w:val="none"/>
          <w:shd w:val="clear" w:color="auto" w:fill="FFFFFF"/>
        </w:rPr>
        <w:t>财库〔2016〕205号</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FFFFFF"/>
        </w:rPr>
        <w:t>根据采购项目的具体情况，自行组织项目验收或者委托采购代理机构邀请实际使用人</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参加本项目的其他</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或第三方专业机构及专家</w:t>
      </w:r>
      <w:r>
        <w:rPr>
          <w:rFonts w:hint="eastAsia" w:ascii="宋体" w:hAnsi="宋体" w:eastAsia="宋体" w:cs="宋体"/>
          <w:color w:val="auto"/>
          <w:sz w:val="24"/>
          <w:szCs w:val="24"/>
          <w:highlight w:val="none"/>
        </w:rPr>
        <w:t>进行验收</w:t>
      </w:r>
    </w:p>
    <w:bookmarkEnd w:id="139"/>
    <w:bookmarkEnd w:id="140"/>
    <w:p w14:paraId="6176FEE5">
      <w:pPr>
        <w:pStyle w:val="3"/>
        <w:spacing w:before="0" w:after="0" w:line="360" w:lineRule="auto"/>
        <w:jc w:val="center"/>
        <w:rPr>
          <w:rFonts w:hint="eastAsia" w:ascii="宋体" w:hAnsi="宋体" w:eastAsia="宋体" w:cs="宋体"/>
          <w:color w:val="auto"/>
          <w:sz w:val="24"/>
          <w:szCs w:val="24"/>
          <w:highlight w:val="none"/>
        </w:rPr>
      </w:pPr>
      <w:bookmarkStart w:id="147" w:name="_Toc217446074"/>
      <w:bookmarkStart w:id="148" w:name="_Toc183582243"/>
      <w:bookmarkStart w:id="149" w:name="_Toc183682380"/>
      <w:bookmarkStart w:id="150" w:name="_Toc5850_WPSOffice_Level1"/>
      <w:r>
        <w:rPr>
          <w:rFonts w:hint="eastAsia" w:ascii="宋体" w:hAnsi="宋体" w:eastAsia="宋体" w:cs="宋体"/>
          <w:color w:val="auto"/>
          <w:sz w:val="24"/>
          <w:szCs w:val="24"/>
          <w:highlight w:val="none"/>
        </w:rPr>
        <w:t>七、磋商纪律要求</w:t>
      </w:r>
      <w:bookmarkEnd w:id="147"/>
    </w:p>
    <w:p w14:paraId="3B4A19B7">
      <w:pPr>
        <w:pStyle w:val="4"/>
        <w:widowControl w:val="0"/>
        <w:spacing w:before="0" w:after="0" w:line="360" w:lineRule="auto"/>
        <w:ind w:firstLine="482" w:firstLineChars="200"/>
        <w:jc w:val="both"/>
        <w:rPr>
          <w:rFonts w:hint="eastAsia" w:ascii="宋体" w:hAnsi="宋体" w:eastAsia="宋体" w:cs="宋体"/>
          <w:bCs w:val="0"/>
          <w:color w:val="auto"/>
          <w:sz w:val="24"/>
          <w:szCs w:val="24"/>
          <w:highlight w:val="none"/>
        </w:rPr>
      </w:pPr>
      <w:bookmarkStart w:id="151" w:name="_Toc217446075"/>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w:t>
      </w:r>
      <w:r>
        <w:rPr>
          <w:rFonts w:hint="eastAsia" w:ascii="宋体" w:hAnsi="宋体" w:eastAsia="宋体" w:cs="宋体"/>
          <w:bCs w:val="0"/>
          <w:color w:val="auto"/>
          <w:sz w:val="24"/>
          <w:szCs w:val="24"/>
          <w:highlight w:val="none"/>
        </w:rPr>
        <w:t>供应商不得具有的情形</w:t>
      </w:r>
      <w:bookmarkEnd w:id="151"/>
    </w:p>
    <w:p w14:paraId="5FBE8383">
      <w:pPr>
        <w:pStyle w:val="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供应商参加磋商不得有下列情形：</w:t>
      </w:r>
    </w:p>
    <w:p w14:paraId="65A9D1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14:paraId="32141B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14:paraId="3F9A0A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（3）与采购单位、其他供应商恶意串通；</w:t>
      </w:r>
    </w:p>
    <w:p w14:paraId="3356ADEA">
      <w:pPr>
        <w:pStyle w:val="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（4）向采购单位、磋商小组成员行贿或者提供其他不正当利益；</w:t>
      </w:r>
    </w:p>
    <w:p w14:paraId="1DE6BBE4">
      <w:pPr>
        <w:pStyle w:val="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（5）拒绝有关部门的监督检查或者向监督检查部门提供虚假情况。</w:t>
      </w:r>
    </w:p>
    <w:p w14:paraId="41154FF5">
      <w:pPr>
        <w:pStyle w:val="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有上述情形之一的供应商，属于不合格供应商，其磋商或成交资格将被取消。</w:t>
      </w:r>
    </w:p>
    <w:p w14:paraId="7F41A968">
      <w:pPr>
        <w:pStyle w:val="3"/>
        <w:spacing w:before="0" w:after="0" w:line="360" w:lineRule="auto"/>
        <w:jc w:val="center"/>
        <w:rPr>
          <w:rFonts w:hint="eastAsia" w:ascii="宋体" w:hAnsi="宋体" w:eastAsia="宋体" w:cs="宋体"/>
          <w:b w:val="0"/>
          <w:bCs w:val="0"/>
          <w:color w:val="auto"/>
          <w:sz w:val="24"/>
          <w:szCs w:val="24"/>
          <w:highlight w:val="none"/>
        </w:rPr>
      </w:pPr>
      <w:bookmarkStart w:id="152" w:name="_Toc217446076"/>
      <w:r>
        <w:rPr>
          <w:rFonts w:hint="eastAsia" w:ascii="宋体" w:hAnsi="宋体" w:eastAsia="宋体" w:cs="宋体"/>
          <w:color w:val="auto"/>
          <w:sz w:val="24"/>
          <w:szCs w:val="24"/>
          <w:highlight w:val="none"/>
        </w:rPr>
        <w:t>八、</w:t>
      </w:r>
      <w:bookmarkEnd w:id="152"/>
      <w:r>
        <w:rPr>
          <w:rFonts w:hint="eastAsia" w:ascii="宋体" w:hAnsi="宋体" w:eastAsia="宋体" w:cs="宋体"/>
          <w:color w:val="auto"/>
          <w:sz w:val="24"/>
          <w:szCs w:val="24"/>
          <w:highlight w:val="none"/>
        </w:rPr>
        <w:t>支付合同价款</w:t>
      </w:r>
    </w:p>
    <w:bookmarkEnd w:id="148"/>
    <w:bookmarkEnd w:id="149"/>
    <w:p w14:paraId="429BB415">
      <w:pPr>
        <w:pStyle w:val="14"/>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.申请支付</w:t>
      </w:r>
    </w:p>
    <w:p w14:paraId="0DE76D53">
      <w:pPr>
        <w:pStyle w:val="14"/>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采购人应当按照政府采购合同规定，及时向中标供应商支付采购资金。</w:t>
      </w:r>
    </w:p>
    <w:p w14:paraId="3E3CF31C">
      <w:pPr>
        <w:pStyle w:val="14"/>
        <w:spacing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政府采购项目资金支付程序，按照国家有关财政资金支付管理的规定执行。</w:t>
      </w:r>
    </w:p>
    <w:p w14:paraId="353C3752">
      <w:pPr>
        <w:pStyle w:val="3"/>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九、质疑和投诉</w:t>
      </w:r>
    </w:p>
    <w:p w14:paraId="0929069F">
      <w:pPr>
        <w:pStyle w:val="14"/>
        <w:spacing w:after="0" w:line="360"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．质疑、投诉的接收和处理严格</w:t>
      </w:r>
      <w:r>
        <w:rPr>
          <w:rFonts w:hint="eastAsia" w:ascii="宋体" w:hAnsi="宋体" w:eastAsia="宋体" w:cs="宋体"/>
          <w:color w:val="auto"/>
          <w:sz w:val="24"/>
          <w:szCs w:val="24"/>
          <w:highlight w:val="none"/>
        </w:rPr>
        <w:t>按照</w:t>
      </w:r>
      <w:r>
        <w:rPr>
          <w:rFonts w:hint="eastAsia" w:ascii="宋体" w:hAnsi="宋体" w:eastAsia="宋体" w:cs="宋体"/>
          <w:color w:val="auto"/>
          <w:sz w:val="24"/>
          <w:highlight w:val="none"/>
        </w:rPr>
        <w:t>《中华人共和国政府采购法》、《政府采购质疑和投诉办法》、《财政部关于加强政府采购供应商投诉受理审查工作的通知》的规定办理</w:t>
      </w:r>
      <w:r>
        <w:rPr>
          <w:rFonts w:hint="eastAsia" w:ascii="宋体" w:hAnsi="宋体" w:cs="宋体"/>
          <w:color w:val="auto"/>
          <w:sz w:val="24"/>
          <w:highlight w:val="none"/>
          <w:lang w:eastAsia="zh-CN"/>
        </w:rPr>
        <w:t>。</w:t>
      </w:r>
    </w:p>
    <w:p w14:paraId="5E2B64A0">
      <w:pPr>
        <w:pStyle w:val="14"/>
        <w:spacing w:after="0" w:line="360" w:lineRule="auto"/>
        <w:ind w:left="0" w:leftChars="0"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磋商活动的供应商。</w:t>
      </w:r>
    </w:p>
    <w:p w14:paraId="54464431">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.2潜在供应商已依法获取其可质疑的采购文件的，可以对该文件提出质疑。对采购文件提出质疑的，应当在获取采购文件或者采购文件公告期限届满之日起7个工作日内提出。</w:t>
      </w:r>
    </w:p>
    <w:p w14:paraId="54C40EEF">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3供应商可以委托代理人进行质疑和投诉。其授权委托书应当载明代理人的姓名或者名称、代理事项、具体权限、期限和相关事项。供应商为法人或者其他组织的，应当由法定代表人、主要负责人签字或者盖章，并加盖公章。</w:t>
      </w:r>
    </w:p>
    <w:p w14:paraId="7649A08F">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代理人提出质疑和投诉，应当提交供应商签署的授权委托书。</w:t>
      </w:r>
    </w:p>
    <w:p w14:paraId="2D96AA87">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.4供应商提出质疑应当提交质疑函和必要的证明材料。质疑函应当包括下列内容：</w:t>
      </w:r>
    </w:p>
    <w:p w14:paraId="75F824A7">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（一）供应商的姓名或者名称、地址、邮编、联系人及联系电话；</w:t>
      </w:r>
    </w:p>
    <w:p w14:paraId="5AC27244">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（二）质疑项目的名称、编号；</w:t>
      </w:r>
    </w:p>
    <w:p w14:paraId="3E6297D2">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（三）具体、明确的质疑事项和与质疑事项相关的请求；</w:t>
      </w:r>
    </w:p>
    <w:p w14:paraId="2A10C01C">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w:t>
      </w:r>
    </w:p>
    <w:p w14:paraId="041526F5">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（五）必要的法律依据；</w:t>
      </w:r>
    </w:p>
    <w:p w14:paraId="6FB4888F">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（六）提出质疑的日期。</w:t>
      </w:r>
    </w:p>
    <w:p w14:paraId="72734A33">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供应商为法人或者其他组织的，应当由法定代表人、主要负责人或者其被授权人签字或盖章，并加盖公章。</w:t>
      </w:r>
    </w:p>
    <w:p w14:paraId="3FA739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接收质疑函的方式：书面形式</w:t>
      </w:r>
    </w:p>
    <w:p w14:paraId="567948D9">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联系部门：</w:t>
      </w:r>
      <w:r>
        <w:rPr>
          <w:rFonts w:hint="eastAsia" w:ascii="宋体" w:hAnsi="宋体" w:cs="宋体"/>
          <w:color w:val="auto"/>
          <w:sz w:val="24"/>
          <w:highlight w:val="none"/>
          <w:lang w:eastAsia="zh-CN"/>
        </w:rPr>
        <w:t>新疆卓恒工程项目管理有限公司</w:t>
      </w:r>
    </w:p>
    <w:p w14:paraId="344FC9C5">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王麒帆</w:t>
      </w:r>
    </w:p>
    <w:p w14:paraId="23160B5B">
      <w:pPr>
        <w:pStyle w:val="6"/>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Style w:val="40"/>
          <w:rFonts w:hint="eastAsia" w:ascii="宋体" w:hAnsi="宋体" w:cs="宋体"/>
          <w:bCs/>
          <w:color w:val="auto"/>
          <w:sz w:val="24"/>
          <w:highlight w:val="none"/>
          <w:lang w:val="en-US" w:eastAsia="zh-CN"/>
        </w:rPr>
        <w:t>17726787222</w:t>
      </w:r>
    </w:p>
    <w:p w14:paraId="0730349B">
      <w:pPr>
        <w:pStyle w:val="6"/>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通讯地址：</w:t>
      </w:r>
      <w:r>
        <w:rPr>
          <w:rFonts w:hint="eastAsia" w:ascii="宋体" w:hAnsi="宋体" w:cs="宋体"/>
          <w:color w:val="auto"/>
          <w:sz w:val="24"/>
          <w:highlight w:val="none"/>
          <w:lang w:eastAsia="zh-CN"/>
        </w:rPr>
        <w:t>新疆乌鲁木齐市水磨沟区龙盛街898号万科中央公园S2座10楼</w:t>
      </w:r>
    </w:p>
    <w:p w14:paraId="21236E75">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.5质疑供应商对采购人、采购代理机构的答复不满意，或者采购人、采购代理机构未在规定时间内作出答复的，可以在答复期满后15个工作日内向本办法第六条规定的相关部门提起投诉。</w:t>
      </w:r>
    </w:p>
    <w:p w14:paraId="1880A9FC">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.6投诉人投诉时，应当提交投诉书和必要的证明材料，并按照被投诉采购人、采购代理机构（以下简称被投诉人）和与投诉事项有关的供应商数量提供投诉书的副本。投诉书应当包括下列内容：</w:t>
      </w:r>
    </w:p>
    <w:p w14:paraId="652D25EF">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（一）投诉人和被投诉人的姓名或者名称、通讯地址、邮编、联系人及联系电话；</w:t>
      </w:r>
    </w:p>
    <w:p w14:paraId="531BACED">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（二）质疑和质疑答复情况说明及相关证明材料；</w:t>
      </w:r>
    </w:p>
    <w:p w14:paraId="73753BEE">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（三）具体、明确的投诉事项和与投诉事项相关的投诉请求；</w:t>
      </w:r>
    </w:p>
    <w:p w14:paraId="2A5D69C7">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w:t>
      </w:r>
    </w:p>
    <w:p w14:paraId="148A5546">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（五）法律依据；</w:t>
      </w:r>
    </w:p>
    <w:p w14:paraId="73972CCA">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（六）提起投诉的日期。</w:t>
      </w:r>
    </w:p>
    <w:p w14:paraId="359F0646">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投诉人为法人或者其他组织的，应当由法定代表人、主要负责人，或者其授权代表签字或者盖章，并加盖公章。</w:t>
      </w:r>
    </w:p>
    <w:p w14:paraId="100E81DD">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.7投诉人应当</w:t>
      </w:r>
      <w:r>
        <w:rPr>
          <w:rFonts w:hint="eastAsia" w:ascii="宋体" w:hAnsi="宋体" w:cs="宋体"/>
          <w:color w:val="auto"/>
          <w:sz w:val="24"/>
          <w:highlight w:val="none"/>
          <w:lang w:val="en-US" w:eastAsia="zh-CN"/>
        </w:rPr>
        <w:t>按照</w:t>
      </w:r>
      <w:r>
        <w:rPr>
          <w:rFonts w:hint="eastAsia" w:ascii="宋体" w:hAnsi="宋体" w:eastAsia="宋体" w:cs="宋体"/>
          <w:color w:val="auto"/>
          <w:sz w:val="24"/>
          <w:highlight w:val="none"/>
        </w:rPr>
        <w:t>《政府采购质疑和投诉办法》第七条第二款规定的信息内容，并按照其规定的方式提起投诉。</w:t>
      </w:r>
    </w:p>
    <w:p w14:paraId="14B22307">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投诉人提起投诉应当符合下列条件：</w:t>
      </w:r>
    </w:p>
    <w:p w14:paraId="34C30742">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（一）提起投诉前已依法进行质疑；</w:t>
      </w:r>
    </w:p>
    <w:p w14:paraId="45D800B3">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（二）投诉书内容符合本办法的规定；</w:t>
      </w:r>
    </w:p>
    <w:p w14:paraId="218FF40F">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（三）在投诉有效期限内提起投诉；</w:t>
      </w:r>
    </w:p>
    <w:p w14:paraId="33DAEB77">
      <w:pPr>
        <w:pStyle w:val="14"/>
        <w:spacing w:after="0"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（四）同一投诉事项未经相关部门投诉处理；</w:t>
      </w:r>
    </w:p>
    <w:p w14:paraId="0A0244F5">
      <w:pPr>
        <w:pStyle w:val="14"/>
        <w:spacing w:after="0" w:line="360" w:lineRule="auto"/>
        <w:ind w:left="0"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（五）财政部规定的其他条件。</w:t>
      </w:r>
    </w:p>
    <w:p w14:paraId="42A7A20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质疑函范本</w:t>
      </w:r>
    </w:p>
    <w:p w14:paraId="7CCF3978">
      <w:pPr>
        <w:adjustRightInd w:val="0"/>
        <w:snapToGrid w:val="0"/>
        <w:spacing w:before="312"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65759F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EF9947C">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94B2A5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BAF28F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3A97F05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30D0C1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403B64B">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EBC309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CFA276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p>
    <w:p w14:paraId="414F084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A365BA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96E13E5">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ED9C93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05911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A91CD2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515583D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6805FC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2B0EB0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F78F52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8BD4DA">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19E69075">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338B193">
      <w:pPr>
        <w:spacing w:line="360" w:lineRule="auto"/>
        <w:rPr>
          <w:rFonts w:hint="eastAsia" w:ascii="宋体" w:hAnsi="宋体" w:eastAsia="宋体" w:cs="宋体"/>
          <w:color w:val="auto"/>
          <w:sz w:val="24"/>
          <w:highlight w:val="none"/>
        </w:rPr>
      </w:pPr>
    </w:p>
    <w:p w14:paraId="5910F5B4">
      <w:pPr>
        <w:spacing w:line="360" w:lineRule="auto"/>
        <w:rPr>
          <w:rFonts w:hint="eastAsia" w:ascii="宋体" w:hAnsi="宋体" w:eastAsia="宋体" w:cs="宋体"/>
          <w:color w:val="auto"/>
          <w:sz w:val="24"/>
          <w:highlight w:val="none"/>
        </w:rPr>
      </w:pPr>
    </w:p>
    <w:p w14:paraId="39DA18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供应商（盖公章）：                      </w:t>
      </w:r>
    </w:p>
    <w:p w14:paraId="07291E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法定代表人、主要负责人或者其被授权人（签字或盖章)：                   </w:t>
      </w:r>
    </w:p>
    <w:p w14:paraId="5375E1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3C6041D">
      <w:pPr>
        <w:spacing w:line="360" w:lineRule="auto"/>
        <w:rPr>
          <w:rFonts w:hint="eastAsia" w:ascii="宋体" w:hAnsi="宋体" w:eastAsia="宋体" w:cs="宋体"/>
          <w:color w:val="auto"/>
          <w:sz w:val="24"/>
          <w:highlight w:val="none"/>
        </w:rPr>
      </w:pPr>
    </w:p>
    <w:p w14:paraId="2B3C95B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质疑函制作说明：</w:t>
      </w:r>
    </w:p>
    <w:p w14:paraId="055551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DBEC3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被授权人”的有关内容，并在附件中提交由质疑供应商签署的授权委托书。授权委托书应载明代理人的姓名或者名称、代理事项、具体权限、期限和相关事项。</w:t>
      </w:r>
    </w:p>
    <w:p w14:paraId="78BBF1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E0449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EAFD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D34A6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6.质疑供应商为法人或者其他组织的，质疑函应由法定代表人、主要负责人，或者其被授权人签字或者盖章，并加盖公章。</w:t>
      </w:r>
    </w:p>
    <w:p w14:paraId="042FE7E2">
      <w:pPr>
        <w:pStyle w:val="2"/>
        <w:spacing w:after="3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53" w:name="_Toc22945"/>
      <w:r>
        <w:rPr>
          <w:rFonts w:hint="eastAsia" w:ascii="宋体" w:hAnsi="宋体" w:eastAsia="宋体" w:cs="宋体"/>
          <w:color w:val="auto"/>
          <w:sz w:val="28"/>
          <w:szCs w:val="28"/>
          <w:highlight w:val="none"/>
        </w:rPr>
        <w:t>第三章  响应文件格式</w:t>
      </w:r>
      <w:bookmarkEnd w:id="150"/>
      <w:bookmarkEnd w:id="153"/>
    </w:p>
    <w:p w14:paraId="1C862DDC">
      <w:pPr>
        <w:spacing w:line="360" w:lineRule="auto"/>
        <w:rPr>
          <w:rFonts w:hint="eastAsia" w:ascii="宋体" w:hAnsi="宋体" w:eastAsia="宋体" w:cs="宋体"/>
          <w:color w:val="auto"/>
          <w:sz w:val="24"/>
          <w:highlight w:val="none"/>
          <w:u w:val="single"/>
        </w:rPr>
      </w:pPr>
      <w:bookmarkStart w:id="154" w:name="_Toc31271_WPSOffice_Level1"/>
      <w:r>
        <w:rPr>
          <w:rFonts w:hint="eastAsia" w:ascii="宋体" w:hAnsi="宋体" w:eastAsia="宋体" w:cs="宋体"/>
          <w:color w:val="auto"/>
          <w:sz w:val="24"/>
          <w:highlight w:val="none"/>
          <w:u w:val="single"/>
        </w:rPr>
        <w:t>响应文件封面示例</w:t>
      </w:r>
    </w:p>
    <w:p w14:paraId="22B71AFC">
      <w:pPr>
        <w:spacing w:line="360" w:lineRule="auto"/>
        <w:ind w:right="210"/>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bdr w:val="single" w:color="auto" w:sz="4" w:space="0"/>
        </w:rPr>
        <w:t>正本</w:t>
      </w:r>
    </w:p>
    <w:p w14:paraId="30266770">
      <w:pPr>
        <w:spacing w:line="360" w:lineRule="auto"/>
        <w:rPr>
          <w:rFonts w:hint="eastAsia" w:ascii="宋体" w:hAnsi="宋体" w:eastAsia="宋体" w:cs="宋体"/>
          <w:b/>
          <w:color w:val="auto"/>
          <w:sz w:val="24"/>
          <w:highlight w:val="none"/>
        </w:rPr>
      </w:pPr>
    </w:p>
    <w:p w14:paraId="7879E74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w:t>
      </w:r>
    </w:p>
    <w:p w14:paraId="0D7F414B">
      <w:pPr>
        <w:spacing w:line="360" w:lineRule="auto"/>
        <w:rPr>
          <w:rFonts w:hint="eastAsia" w:ascii="宋体" w:hAnsi="宋体" w:eastAsia="宋体" w:cs="宋体"/>
          <w:b/>
          <w:color w:val="auto"/>
          <w:sz w:val="24"/>
          <w:highlight w:val="none"/>
        </w:rPr>
      </w:pPr>
    </w:p>
    <w:p w14:paraId="794ACBDB">
      <w:pPr>
        <w:pStyle w:val="31"/>
        <w:spacing w:line="360" w:lineRule="auto"/>
        <w:rPr>
          <w:rFonts w:hint="eastAsia" w:ascii="宋体" w:hAnsi="宋体" w:eastAsia="宋体" w:cs="宋体"/>
          <w:b/>
          <w:color w:val="auto"/>
          <w:sz w:val="24"/>
          <w:szCs w:val="24"/>
          <w:highlight w:val="none"/>
        </w:rPr>
      </w:pPr>
    </w:p>
    <w:p w14:paraId="32BA573E">
      <w:pPr>
        <w:spacing w:line="360" w:lineRule="auto"/>
        <w:rPr>
          <w:rFonts w:hint="eastAsia" w:ascii="宋体" w:hAnsi="宋体" w:eastAsia="宋体" w:cs="宋体"/>
          <w:color w:val="auto"/>
          <w:sz w:val="24"/>
          <w:highlight w:val="none"/>
        </w:rPr>
      </w:pPr>
    </w:p>
    <w:p w14:paraId="236041B7">
      <w:pPr>
        <w:spacing w:line="360" w:lineRule="auto"/>
        <w:rPr>
          <w:rFonts w:hint="eastAsia" w:ascii="宋体" w:hAnsi="宋体" w:eastAsia="宋体" w:cs="宋体"/>
          <w:b/>
          <w:color w:val="auto"/>
          <w:sz w:val="24"/>
          <w:highlight w:val="none"/>
        </w:rPr>
      </w:pPr>
    </w:p>
    <w:p w14:paraId="7BB181BD">
      <w:pPr>
        <w:pStyle w:val="11"/>
        <w:spacing w:line="360" w:lineRule="auto"/>
        <w:rPr>
          <w:rFonts w:hint="eastAsia" w:ascii="宋体" w:hAnsi="宋体" w:eastAsia="宋体" w:cs="宋体"/>
          <w:b/>
          <w:color w:val="auto"/>
          <w:szCs w:val="24"/>
          <w:highlight w:val="none"/>
        </w:rPr>
      </w:pPr>
    </w:p>
    <w:p w14:paraId="4399016A">
      <w:pPr>
        <w:pStyle w:val="30"/>
        <w:spacing w:line="360" w:lineRule="auto"/>
        <w:ind w:firstLine="480"/>
        <w:rPr>
          <w:rFonts w:hint="eastAsia" w:ascii="宋体" w:hAnsi="宋体" w:eastAsia="宋体" w:cs="宋体"/>
          <w:color w:val="auto"/>
          <w:highlight w:val="none"/>
        </w:rPr>
      </w:pPr>
    </w:p>
    <w:p w14:paraId="452EC235">
      <w:pPr>
        <w:pStyle w:val="30"/>
        <w:spacing w:line="360" w:lineRule="auto"/>
        <w:ind w:firstLine="480"/>
        <w:rPr>
          <w:rFonts w:hint="eastAsia" w:ascii="宋体" w:hAnsi="宋体" w:eastAsia="宋体" w:cs="宋体"/>
          <w:color w:val="auto"/>
          <w:highlight w:val="none"/>
        </w:rPr>
      </w:pPr>
    </w:p>
    <w:p w14:paraId="1903346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p w14:paraId="4FD30C89">
      <w:pPr>
        <w:spacing w:line="360" w:lineRule="auto"/>
        <w:ind w:firstLine="504"/>
        <w:rPr>
          <w:rFonts w:hint="eastAsia" w:ascii="宋体" w:hAnsi="宋体" w:eastAsia="宋体" w:cs="宋体"/>
          <w:b/>
          <w:color w:val="auto"/>
          <w:sz w:val="24"/>
          <w:highlight w:val="none"/>
        </w:rPr>
      </w:pPr>
    </w:p>
    <w:p w14:paraId="5F42B292">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p>
    <w:p w14:paraId="7565C64F">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7BC1F8D9">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供应商名称（盖章）：</w:t>
      </w:r>
    </w:p>
    <w:p w14:paraId="2ADABBB9">
      <w:pPr>
        <w:spacing w:line="360" w:lineRule="auto"/>
        <w:ind w:firstLine="504"/>
        <w:rPr>
          <w:rFonts w:hint="eastAsia" w:ascii="宋体" w:hAnsi="宋体" w:eastAsia="宋体" w:cs="宋体"/>
          <w:b/>
          <w:color w:val="auto"/>
          <w:sz w:val="24"/>
          <w:highlight w:val="none"/>
        </w:rPr>
      </w:pPr>
    </w:p>
    <w:p w14:paraId="2F688200">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授权人和被授权人（签字或盖章）：</w:t>
      </w:r>
    </w:p>
    <w:p w14:paraId="190469C2">
      <w:pPr>
        <w:spacing w:line="360" w:lineRule="auto"/>
        <w:ind w:firstLine="504"/>
        <w:rPr>
          <w:rFonts w:hint="eastAsia" w:ascii="宋体" w:hAnsi="宋体" w:eastAsia="宋体" w:cs="宋体"/>
          <w:b/>
          <w:color w:val="auto"/>
          <w:sz w:val="24"/>
          <w:highlight w:val="none"/>
        </w:rPr>
      </w:pPr>
    </w:p>
    <w:p w14:paraId="19728893">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联系人：</w:t>
      </w:r>
    </w:p>
    <w:p w14:paraId="555F0D3C">
      <w:pPr>
        <w:spacing w:line="360" w:lineRule="auto"/>
        <w:ind w:firstLine="504"/>
        <w:rPr>
          <w:rFonts w:hint="eastAsia" w:ascii="宋体" w:hAnsi="宋体" w:eastAsia="宋体" w:cs="宋体"/>
          <w:b/>
          <w:color w:val="auto"/>
          <w:sz w:val="24"/>
          <w:highlight w:val="none"/>
        </w:rPr>
      </w:pPr>
    </w:p>
    <w:p w14:paraId="4D7F6FC6">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p w14:paraId="1A6021AE">
      <w:pPr>
        <w:spacing w:line="360" w:lineRule="auto"/>
        <w:ind w:firstLine="504"/>
        <w:rPr>
          <w:rFonts w:hint="eastAsia" w:ascii="宋体" w:hAnsi="宋体" w:eastAsia="宋体" w:cs="宋体"/>
          <w:b/>
          <w:color w:val="auto"/>
          <w:sz w:val="24"/>
          <w:highlight w:val="none"/>
        </w:rPr>
      </w:pPr>
    </w:p>
    <w:p w14:paraId="418284DC">
      <w:pPr>
        <w:spacing w:line="360" w:lineRule="auto"/>
        <w:ind w:firstLine="504"/>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编制时间：  年  月   日</w:t>
      </w:r>
    </w:p>
    <w:p w14:paraId="3BB2569C">
      <w:pPr>
        <w:spacing w:line="360" w:lineRule="auto"/>
        <w:ind w:firstLine="504"/>
        <w:rPr>
          <w:rFonts w:hint="eastAsia" w:ascii="宋体" w:hAnsi="宋体" w:eastAsia="宋体" w:cs="宋体"/>
          <w:b/>
          <w:color w:val="auto"/>
          <w:sz w:val="24"/>
          <w:highlight w:val="none"/>
        </w:rPr>
      </w:pPr>
    </w:p>
    <w:p w14:paraId="0AD0DBF1">
      <w:pPr>
        <w:spacing w:line="360" w:lineRule="auto"/>
        <w:ind w:firstLine="504"/>
        <w:rPr>
          <w:rFonts w:hint="eastAsia" w:ascii="宋体" w:hAnsi="宋体" w:eastAsia="宋体" w:cs="宋体"/>
          <w:b/>
          <w:color w:val="auto"/>
          <w:sz w:val="24"/>
          <w:highlight w:val="none"/>
        </w:rPr>
      </w:pPr>
    </w:p>
    <w:p w14:paraId="420B7DE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4F1AAA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目 录</w:t>
      </w:r>
    </w:p>
    <w:p w14:paraId="7219923A">
      <w:pPr>
        <w:spacing w:line="360" w:lineRule="auto"/>
        <w:ind w:firstLine="240" w:firstLineChars="100"/>
        <w:rPr>
          <w:rFonts w:hint="eastAsia" w:ascii="宋体" w:hAnsi="宋体" w:eastAsia="宋体" w:cs="宋体"/>
          <w:color w:val="auto"/>
          <w:sz w:val="24"/>
          <w:highlight w:val="none"/>
        </w:rPr>
      </w:pPr>
    </w:p>
    <w:p w14:paraId="0965574F">
      <w:pPr>
        <w:numPr>
          <w:ilvl w:val="0"/>
          <w:numId w:val="4"/>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响应函</w:t>
      </w:r>
      <w:r>
        <w:rPr>
          <w:rFonts w:hint="eastAsia" w:ascii="宋体" w:hAnsi="宋体" w:eastAsia="宋体" w:cs="宋体"/>
          <w:color w:val="auto"/>
          <w:sz w:val="24"/>
          <w:highlight w:val="none"/>
          <w:lang w:val="en-US" w:eastAsia="zh-CN"/>
        </w:rPr>
        <w:t xml:space="preserve">          </w:t>
      </w:r>
    </w:p>
    <w:p w14:paraId="7AA1FCF5">
      <w:pPr>
        <w:numPr>
          <w:ilvl w:val="0"/>
          <w:numId w:val="4"/>
        </w:num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报价明细表</w:t>
      </w:r>
    </w:p>
    <w:p w14:paraId="4844192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、身份证明书及授权委托书</w:t>
      </w:r>
    </w:p>
    <w:p w14:paraId="3A8939B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（一）法定代表人身份证明书</w:t>
      </w:r>
    </w:p>
    <w:p w14:paraId="4F0171E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（二）法定代表人授权委托书</w:t>
      </w:r>
    </w:p>
    <w:p w14:paraId="356BE6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供应商承诺函</w:t>
      </w:r>
    </w:p>
    <w:p w14:paraId="327F7C1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、供应商基本情况表</w:t>
      </w:r>
    </w:p>
    <w:p w14:paraId="784638F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、拟配备人员情况</w:t>
      </w:r>
    </w:p>
    <w:p w14:paraId="21B9B75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、供应商近年类似业绩情况表</w:t>
      </w:r>
    </w:p>
    <w:p w14:paraId="152805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、商务</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服务需求</w:t>
      </w:r>
      <w:r>
        <w:rPr>
          <w:rFonts w:hint="eastAsia" w:ascii="宋体" w:hAnsi="宋体" w:eastAsia="宋体" w:cs="宋体"/>
          <w:color w:val="auto"/>
          <w:sz w:val="24"/>
          <w:highlight w:val="none"/>
        </w:rPr>
        <w:t>偏离表</w:t>
      </w:r>
    </w:p>
    <w:p w14:paraId="04F704A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、服务方案</w:t>
      </w:r>
    </w:p>
    <w:p w14:paraId="2A3DFC1A">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十、</w:t>
      </w:r>
      <w:r>
        <w:rPr>
          <w:rFonts w:hint="eastAsia" w:ascii="宋体" w:hAnsi="宋体" w:cs="宋体"/>
          <w:color w:val="auto"/>
          <w:sz w:val="24"/>
          <w:highlight w:val="none"/>
          <w:lang w:eastAsia="zh-CN"/>
        </w:rPr>
        <w:t>政府采购政策</w:t>
      </w:r>
    </w:p>
    <w:p w14:paraId="15FEBF3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十一</w:t>
      </w:r>
      <w:r>
        <w:rPr>
          <w:rFonts w:hint="eastAsia" w:ascii="宋体" w:hAnsi="宋体" w:eastAsia="宋体" w:cs="宋体"/>
          <w:color w:val="auto"/>
          <w:sz w:val="24"/>
          <w:highlight w:val="none"/>
        </w:rPr>
        <w:t>、供应商认为需要提供的其他资料</w:t>
      </w:r>
    </w:p>
    <w:p w14:paraId="7729A914">
      <w:pPr>
        <w:pStyle w:val="11"/>
        <w:snapToGrid/>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（一）磋商保证金缴纳凭证</w:t>
      </w:r>
    </w:p>
    <w:p w14:paraId="39E15FCE">
      <w:pPr>
        <w:pStyle w:val="30"/>
        <w:autoSpaceDE/>
        <w:autoSpaceDN/>
        <w:adjustRightInd/>
        <w:snapToGrid/>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（二）供应商磋商报价函</w:t>
      </w:r>
    </w:p>
    <w:p w14:paraId="7A30EEB6">
      <w:pPr>
        <w:pStyle w:val="30"/>
        <w:autoSpaceDE/>
        <w:autoSpaceDN/>
        <w:adjustRightInd/>
        <w:snapToGrid/>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（三）其他</w:t>
      </w:r>
    </w:p>
    <w:p w14:paraId="22454A31">
      <w:pPr>
        <w:spacing w:line="360" w:lineRule="auto"/>
        <w:rPr>
          <w:rFonts w:hint="eastAsia" w:ascii="宋体" w:hAnsi="宋体" w:eastAsia="宋体" w:cs="宋体"/>
          <w:b/>
          <w:color w:val="auto"/>
          <w:sz w:val="24"/>
          <w:highlight w:val="none"/>
        </w:rPr>
      </w:pPr>
    </w:p>
    <w:p w14:paraId="6477A2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备注：供应商应按以上目录顺序</w:t>
      </w:r>
      <w:r>
        <w:rPr>
          <w:rFonts w:hint="eastAsia" w:ascii="宋体" w:hAnsi="宋体" w:cs="宋体"/>
          <w:b/>
          <w:color w:val="auto"/>
          <w:sz w:val="24"/>
          <w:highlight w:val="none"/>
          <w:lang w:val="en-US" w:eastAsia="zh-CN"/>
        </w:rPr>
        <w:t>编制</w:t>
      </w:r>
      <w:r>
        <w:rPr>
          <w:rFonts w:hint="eastAsia" w:ascii="宋体" w:hAnsi="宋体" w:eastAsia="宋体" w:cs="宋体"/>
          <w:b/>
          <w:color w:val="auto"/>
          <w:sz w:val="24"/>
          <w:highlight w:val="none"/>
        </w:rPr>
        <w:t>响应文件，并标注相应页码。</w:t>
      </w:r>
    </w:p>
    <w:p w14:paraId="0632ACE7">
      <w:pPr>
        <w:spacing w:line="360" w:lineRule="auto"/>
        <w:jc w:val="center"/>
        <w:rPr>
          <w:rFonts w:hint="eastAsia" w:ascii="宋体" w:hAnsi="宋体" w:eastAsia="宋体" w:cs="宋体"/>
          <w:b/>
          <w:color w:val="auto"/>
          <w:sz w:val="24"/>
          <w:highlight w:val="none"/>
        </w:rPr>
      </w:pPr>
    </w:p>
    <w:p w14:paraId="523E0353">
      <w:pPr>
        <w:spacing w:line="360" w:lineRule="auto"/>
        <w:jc w:val="center"/>
        <w:rPr>
          <w:rFonts w:hint="eastAsia" w:ascii="宋体" w:hAnsi="宋体" w:eastAsia="宋体" w:cs="宋体"/>
          <w:b/>
          <w:color w:val="auto"/>
          <w:sz w:val="24"/>
          <w:highlight w:val="none"/>
        </w:rPr>
      </w:pPr>
    </w:p>
    <w:p w14:paraId="01E4A2C9">
      <w:pPr>
        <w:spacing w:line="360" w:lineRule="auto"/>
        <w:jc w:val="center"/>
        <w:rPr>
          <w:rFonts w:hint="eastAsia" w:ascii="宋体" w:hAnsi="宋体" w:eastAsia="宋体" w:cs="宋体"/>
          <w:b/>
          <w:color w:val="auto"/>
          <w:sz w:val="24"/>
          <w:highlight w:val="none"/>
        </w:rPr>
      </w:pPr>
    </w:p>
    <w:p w14:paraId="6793CF3F">
      <w:pPr>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24"/>
          <w:szCs w:val="24"/>
          <w:highlight w:val="none"/>
        </w:rPr>
        <w:t>一、响 应 函</w:t>
      </w:r>
    </w:p>
    <w:p w14:paraId="70E8C37E">
      <w:pPr>
        <w:pStyle w:val="14"/>
        <w:spacing w:after="0" w:line="360" w:lineRule="auto"/>
        <w:ind w:left="0" w:leftChars="0" w:firstLine="480" w:firstLineChars="200"/>
        <w:rPr>
          <w:rFonts w:hint="eastAsia" w:ascii="宋体" w:hAnsi="宋体" w:eastAsia="宋体" w:cs="宋体"/>
          <w:bCs/>
          <w:color w:val="auto"/>
          <w:sz w:val="24"/>
          <w:highlight w:val="none"/>
        </w:rPr>
      </w:pPr>
    </w:p>
    <w:p w14:paraId="3E5584E8">
      <w:pPr>
        <w:pStyle w:val="14"/>
        <w:spacing w:after="0" w:line="360" w:lineRule="auto"/>
        <w:ind w:left="0" w:lef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_______（采购人名称）：</w:t>
      </w:r>
    </w:p>
    <w:p w14:paraId="236334B7">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（项目名称、项目编号）”项目磋商文件，决定参加贵单位组织的本项目磋商。我方授权</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（姓名、职务）代表我方</w:t>
      </w:r>
    </w:p>
    <w:p w14:paraId="7B458772">
      <w:pPr>
        <w:pStyle w:val="14"/>
        <w:spacing w:after="0" w:line="360" w:lineRule="auto"/>
        <w:ind w:left="0" w:leftChars="0" w:firstLine="0" w:firstLine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（供应商名称）全权处理本项目磋商的有关事宜。</w:t>
      </w:r>
    </w:p>
    <w:p w14:paraId="681027C0">
      <w:pPr>
        <w:pStyle w:val="13"/>
        <w:numPr>
          <w:ilvl w:val="0"/>
          <w:numId w:val="0"/>
        </w:numPr>
        <w:spacing w:line="360" w:lineRule="auto"/>
        <w:jc w:val="both"/>
        <w:rPr>
          <w:rFonts w:hint="eastAsia" w:ascii="宋体" w:hAnsi="宋体" w:eastAsia="宋体" w:cs="宋体"/>
          <w:bCs/>
          <w:color w:val="auto"/>
          <w:sz w:val="24"/>
          <w:highlight w:val="none"/>
        </w:rPr>
      </w:pPr>
      <w:r>
        <w:rPr>
          <w:rFonts w:hint="eastAsia" w:ascii="宋体" w:hAnsi="宋体" w:eastAsia="宋体" w:cs="宋体"/>
          <w:bCs/>
          <w:color w:val="auto"/>
          <w:kern w:val="2"/>
          <w:sz w:val="24"/>
          <w:szCs w:val="24"/>
          <w:highlight w:val="none"/>
          <w:lang w:val="en-US" w:eastAsia="zh-CN" w:bidi="ar-SA"/>
        </w:rPr>
        <w:t>我方自愿按照磋商文件规定的各项要求向采购人提供所需服务，</w:t>
      </w:r>
      <w:r>
        <w:rPr>
          <w:rFonts w:hint="eastAsia" w:ascii="宋体" w:hAnsi="宋体" w:eastAsia="宋体" w:cs="宋体"/>
          <w:bCs/>
          <w:color w:val="auto"/>
          <w:sz w:val="24"/>
          <w:highlight w:val="none"/>
        </w:rPr>
        <w:t>我方</w:t>
      </w:r>
      <w:r>
        <w:rPr>
          <w:rFonts w:hint="eastAsia" w:hAnsi="宋体" w:cs="宋体"/>
          <w:bCs/>
          <w:color w:val="auto"/>
          <w:sz w:val="24"/>
          <w:highlight w:val="none"/>
          <w:lang w:val="en-US" w:eastAsia="zh-CN"/>
        </w:rPr>
        <w:t>磋商总报价</w:t>
      </w:r>
      <w:r>
        <w:rPr>
          <w:rFonts w:hint="eastAsia" w:ascii="宋体" w:hAnsi="宋体" w:eastAsia="宋体" w:cs="宋体"/>
          <w:bCs/>
          <w:color w:val="auto"/>
          <w:sz w:val="24"/>
          <w:highlight w:val="none"/>
        </w:rPr>
        <w:t>为</w:t>
      </w:r>
      <w:r>
        <w:rPr>
          <w:rFonts w:hint="eastAsia" w:hAnsi="宋体" w:cs="宋体"/>
          <w:bCs/>
          <w:color w:val="auto"/>
          <w:sz w:val="24"/>
          <w:highlight w:val="none"/>
          <w:u w:val="single"/>
          <w:lang w:val="en-US" w:eastAsia="zh-CN"/>
        </w:rPr>
        <w:t xml:space="preserve">     </w:t>
      </w:r>
      <w:r>
        <w:rPr>
          <w:rFonts w:hint="eastAsia" w:hAnsi="宋体" w:cs="宋体"/>
          <w:bCs/>
          <w:color w:val="auto"/>
          <w:sz w:val="24"/>
          <w:highlight w:val="none"/>
          <w:u w:val="none"/>
          <w:lang w:val="en-US" w:eastAsia="zh-CN"/>
        </w:rPr>
        <w:t>元</w:t>
      </w:r>
      <w:r>
        <w:rPr>
          <w:rFonts w:hint="eastAsia" w:hAnsi="宋体" w:cs="宋体"/>
          <w:color w:val="auto"/>
          <w:sz w:val="24"/>
          <w:szCs w:val="24"/>
          <w:highlight w:val="none"/>
          <w:lang w:val="en-US" w:eastAsia="zh-CN"/>
        </w:rPr>
        <w:t>。</w:t>
      </w:r>
      <w:r>
        <w:rPr>
          <w:rFonts w:hint="eastAsia" w:ascii="宋体" w:hAnsi="宋体" w:eastAsia="宋体" w:cs="宋体"/>
          <w:bCs/>
          <w:color w:val="auto"/>
          <w:sz w:val="24"/>
          <w:highlight w:val="none"/>
          <w:lang w:val="en-US" w:eastAsia="zh-CN"/>
        </w:rPr>
        <w:t>磋商</w:t>
      </w:r>
      <w:r>
        <w:rPr>
          <w:rFonts w:hint="eastAsia" w:ascii="宋体" w:hAnsi="宋体" w:eastAsia="宋体" w:cs="宋体"/>
          <w:bCs/>
          <w:color w:val="auto"/>
          <w:sz w:val="24"/>
          <w:highlight w:val="none"/>
        </w:rPr>
        <w:t>有效期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从提交响应文件截止之日起</w:t>
      </w:r>
      <w:r>
        <w:rPr>
          <w:rFonts w:hint="eastAsia" w:hAnsi="宋体" w:cs="宋体"/>
          <w:bCs/>
          <w:color w:val="auto"/>
          <w:sz w:val="24"/>
          <w:highlight w:val="none"/>
          <w:u w:val="single"/>
          <w:lang w:val="en-US" w:eastAsia="zh-CN"/>
        </w:rPr>
        <w:t>6</w:t>
      </w:r>
      <w:r>
        <w:rPr>
          <w:rFonts w:hint="eastAsia" w:ascii="宋体" w:hAnsi="宋体" w:eastAsia="宋体" w:cs="宋体"/>
          <w:bCs/>
          <w:color w:val="auto"/>
          <w:sz w:val="24"/>
          <w:highlight w:val="none"/>
          <w:u w:val="single"/>
        </w:rPr>
        <w:t xml:space="preserve">0日历天 </w:t>
      </w:r>
      <w:r>
        <w:rPr>
          <w:rFonts w:hint="eastAsia" w:ascii="宋体" w:hAnsi="宋体" w:eastAsia="宋体" w:cs="宋体"/>
          <w:bCs/>
          <w:color w:val="auto"/>
          <w:sz w:val="24"/>
          <w:highlight w:val="none"/>
        </w:rPr>
        <w:t>。</w:t>
      </w:r>
    </w:p>
    <w:p w14:paraId="7C576203">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2、一旦我方成交，我方将严格履行合同规定的责任和义务，服务期</w:t>
      </w:r>
      <w:r>
        <w:rPr>
          <w:rFonts w:hint="eastAsia" w:ascii="宋体" w:hAnsi="宋体" w:eastAsia="宋体" w:cs="宋体"/>
          <w:bCs/>
          <w:color w:val="auto"/>
          <w:sz w:val="24"/>
          <w:highlight w:val="none"/>
          <w:u w:val="single"/>
        </w:rPr>
        <w:t xml:space="preserve"> 自合同签订之日</w:t>
      </w:r>
      <w:r>
        <w:rPr>
          <w:rFonts w:hint="eastAsia" w:ascii="宋体" w:hAnsi="宋体" w:eastAsia="宋体" w:cs="宋体"/>
          <w:bCs/>
          <w:color w:val="auto"/>
          <w:sz w:val="24"/>
          <w:highlight w:val="none"/>
          <w:u w:val="single"/>
          <w:lang w:val="en-US" w:eastAsia="zh-CN"/>
        </w:rPr>
        <w:t>至项目结算审核完成</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，服务地点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采购人</w:t>
      </w:r>
      <w:r>
        <w:rPr>
          <w:rFonts w:hint="eastAsia" w:ascii="宋体" w:hAnsi="宋体" w:eastAsia="宋体" w:cs="宋体"/>
          <w:bCs/>
          <w:color w:val="auto"/>
          <w:sz w:val="24"/>
          <w:highlight w:val="none"/>
          <w:u w:val="single"/>
          <w:lang w:eastAsia="zh-CN"/>
        </w:rPr>
        <w:t>指定地点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2831969B">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3、我方同意按照磋商文件的要求，向贵单位缴纳人民币</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）的磋商保证金。并承诺如发生符合“第二章供应商须知”第15.5条的任何情况时，我方将不要求退还磋商保证金。</w:t>
      </w:r>
    </w:p>
    <w:p w14:paraId="1459038E">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4、我方提交的响应文件满足磋商文件实质性要求。</w:t>
      </w:r>
    </w:p>
    <w:p w14:paraId="630E9790">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5、我方愿意提供采购人可能另外要求的，与磋商有关的文件资料，并保证我方已提供和将要提供的文件资料是真实、准确的。</w:t>
      </w:r>
    </w:p>
    <w:p w14:paraId="6C6883AD">
      <w:pPr>
        <w:pStyle w:val="14"/>
        <w:spacing w:after="0" w:line="360" w:lineRule="auto"/>
        <w:ind w:left="0" w:leftChars="0"/>
        <w:rPr>
          <w:rFonts w:hint="eastAsia" w:ascii="宋体" w:hAnsi="宋体" w:eastAsia="宋体" w:cs="宋体"/>
          <w:bCs/>
          <w:color w:val="auto"/>
          <w:sz w:val="24"/>
          <w:highlight w:val="none"/>
        </w:rPr>
      </w:pPr>
    </w:p>
    <w:p w14:paraId="65CACCCE">
      <w:pPr>
        <w:pStyle w:val="14"/>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供应商名称（盖章）：</w:t>
      </w:r>
    </w:p>
    <w:p w14:paraId="64250642">
      <w:pPr>
        <w:pStyle w:val="14"/>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rPr>
        <w:t xml:space="preserve"> </w:t>
      </w:r>
      <w:r>
        <w:rPr>
          <w:rFonts w:hint="eastAsia" w:ascii="宋体" w:hAnsi="宋体" w:cs="宋体"/>
          <w:bCs/>
          <w:color w:val="auto"/>
          <w:sz w:val="24"/>
          <w:highlight w:val="none"/>
          <w:lang w:eastAsia="zh-CN"/>
        </w:rPr>
        <w:t>法定代表人或被授权人</w:t>
      </w:r>
      <w:r>
        <w:rPr>
          <w:rFonts w:hint="eastAsia" w:ascii="宋体" w:hAnsi="宋体" w:eastAsia="宋体" w:cs="宋体"/>
          <w:bCs/>
          <w:color w:val="auto"/>
          <w:sz w:val="24"/>
          <w:highlight w:val="none"/>
        </w:rPr>
        <w:t>（签字或盖章）：</w:t>
      </w:r>
    </w:p>
    <w:p w14:paraId="1D41D4F8">
      <w:pPr>
        <w:pStyle w:val="14"/>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通讯地址：</w:t>
      </w:r>
    </w:p>
    <w:p w14:paraId="69401F8E">
      <w:pPr>
        <w:pStyle w:val="14"/>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14:paraId="13FD0702">
      <w:pPr>
        <w:pStyle w:val="14"/>
        <w:spacing w:after="0" w:line="360" w:lineRule="auto"/>
        <w:ind w:left="0" w:leftChars="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日    期：</w:t>
      </w:r>
      <w:r>
        <w:rPr>
          <w:rFonts w:hint="eastAsia" w:ascii="宋体" w:hAnsi="宋体" w:eastAsia="宋体" w:cs="宋体"/>
          <w:color w:val="auto"/>
          <w:sz w:val="24"/>
          <w:highlight w:val="none"/>
        </w:rPr>
        <w:t xml:space="preserve">     年     月    日</w:t>
      </w:r>
    </w:p>
    <w:p w14:paraId="1DF37A0C">
      <w:pPr>
        <w:pStyle w:val="3"/>
        <w:spacing w:before="0" w:after="0" w:line="360" w:lineRule="auto"/>
        <w:jc w:val="center"/>
        <w:rPr>
          <w:rFonts w:hint="default" w:ascii="宋体" w:hAnsi="宋体" w:eastAsia="宋体" w:cs="宋体"/>
          <w:color w:val="auto"/>
          <w:sz w:val="24"/>
          <w:szCs w:val="24"/>
          <w:highlight w:val="none"/>
          <w:lang w:val="en-US" w:eastAsia="zh-CN"/>
        </w:rPr>
      </w:pPr>
      <w:bookmarkStart w:id="155" w:name="_Toc217446083"/>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报价明细表</w:t>
      </w:r>
    </w:p>
    <w:p w14:paraId="4E076B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项目名称：</w:t>
      </w:r>
    </w:p>
    <w:p w14:paraId="19EE0148">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项目编号：</w:t>
      </w:r>
    </w:p>
    <w:tbl>
      <w:tblPr>
        <w:tblStyle w:val="32"/>
        <w:tblpPr w:leftFromText="180" w:rightFromText="180" w:vertAnchor="text" w:horzAnchor="margin" w:tblpXSpec="center" w:tblpY="2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3318"/>
        <w:gridCol w:w="1321"/>
        <w:gridCol w:w="2296"/>
      </w:tblGrid>
      <w:tr w14:paraId="0733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30" w:type="pct"/>
            <w:vAlign w:val="center"/>
          </w:tcPr>
          <w:p w14:paraId="33CF43C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供应商</w:t>
            </w:r>
          </w:p>
        </w:tc>
        <w:tc>
          <w:tcPr>
            <w:tcW w:w="4069" w:type="pct"/>
            <w:gridSpan w:val="3"/>
            <w:vAlign w:val="center"/>
          </w:tcPr>
          <w:p w14:paraId="133629F6">
            <w:pPr>
              <w:spacing w:line="360" w:lineRule="auto"/>
              <w:rPr>
                <w:rFonts w:hint="eastAsia" w:ascii="宋体" w:hAnsi="宋体" w:eastAsia="宋体" w:cs="宋体"/>
                <w:sz w:val="24"/>
                <w:highlight w:val="none"/>
              </w:rPr>
            </w:pPr>
          </w:p>
        </w:tc>
      </w:tr>
      <w:tr w14:paraId="619B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930" w:type="pct"/>
            <w:vAlign w:val="center"/>
          </w:tcPr>
          <w:p w14:paraId="3460F00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单位地址</w:t>
            </w:r>
          </w:p>
        </w:tc>
        <w:tc>
          <w:tcPr>
            <w:tcW w:w="4069" w:type="pct"/>
            <w:gridSpan w:val="3"/>
            <w:vAlign w:val="center"/>
          </w:tcPr>
          <w:p w14:paraId="17B963DB">
            <w:pPr>
              <w:spacing w:line="360" w:lineRule="auto"/>
              <w:rPr>
                <w:rFonts w:hint="eastAsia" w:ascii="宋体" w:hAnsi="宋体" w:eastAsia="宋体" w:cs="宋体"/>
                <w:sz w:val="24"/>
                <w:highlight w:val="none"/>
              </w:rPr>
            </w:pPr>
          </w:p>
        </w:tc>
      </w:tr>
      <w:tr w14:paraId="145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30" w:type="pct"/>
            <w:vAlign w:val="center"/>
          </w:tcPr>
          <w:p w14:paraId="2B354EF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1947" w:type="pct"/>
            <w:vAlign w:val="center"/>
          </w:tcPr>
          <w:p w14:paraId="72FCCBEA">
            <w:pPr>
              <w:spacing w:line="360" w:lineRule="auto"/>
              <w:rPr>
                <w:rFonts w:hint="eastAsia" w:ascii="宋体" w:hAnsi="宋体" w:eastAsia="宋体" w:cs="宋体"/>
                <w:sz w:val="24"/>
                <w:highlight w:val="none"/>
              </w:rPr>
            </w:pPr>
          </w:p>
        </w:tc>
        <w:tc>
          <w:tcPr>
            <w:tcW w:w="775" w:type="pct"/>
            <w:vAlign w:val="center"/>
          </w:tcPr>
          <w:p w14:paraId="764A68F3">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1347" w:type="pct"/>
            <w:vAlign w:val="center"/>
          </w:tcPr>
          <w:p w14:paraId="38A22362">
            <w:pPr>
              <w:spacing w:line="360" w:lineRule="auto"/>
              <w:rPr>
                <w:rFonts w:hint="eastAsia" w:ascii="宋体" w:hAnsi="宋体" w:eastAsia="宋体" w:cs="宋体"/>
                <w:sz w:val="24"/>
                <w:highlight w:val="none"/>
              </w:rPr>
            </w:pPr>
          </w:p>
        </w:tc>
      </w:tr>
      <w:tr w14:paraId="426B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30" w:type="pct"/>
            <w:vAlign w:val="center"/>
          </w:tcPr>
          <w:p w14:paraId="6931973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授权代表</w:t>
            </w:r>
          </w:p>
        </w:tc>
        <w:tc>
          <w:tcPr>
            <w:tcW w:w="1947" w:type="pct"/>
            <w:vAlign w:val="center"/>
          </w:tcPr>
          <w:p w14:paraId="12A32299">
            <w:pPr>
              <w:spacing w:line="360" w:lineRule="auto"/>
              <w:rPr>
                <w:rFonts w:hint="eastAsia" w:ascii="宋体" w:hAnsi="宋体" w:eastAsia="宋体" w:cs="宋体"/>
                <w:sz w:val="24"/>
                <w:highlight w:val="none"/>
              </w:rPr>
            </w:pPr>
          </w:p>
        </w:tc>
        <w:tc>
          <w:tcPr>
            <w:tcW w:w="775" w:type="pct"/>
            <w:vAlign w:val="center"/>
          </w:tcPr>
          <w:p w14:paraId="2D496705">
            <w:pPr>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1347" w:type="pct"/>
            <w:vAlign w:val="center"/>
          </w:tcPr>
          <w:p w14:paraId="5970B161">
            <w:pPr>
              <w:spacing w:line="360" w:lineRule="auto"/>
              <w:rPr>
                <w:rFonts w:hint="eastAsia" w:ascii="宋体" w:hAnsi="宋体" w:eastAsia="宋体" w:cs="宋体"/>
                <w:sz w:val="24"/>
                <w:highlight w:val="none"/>
              </w:rPr>
            </w:pPr>
          </w:p>
        </w:tc>
      </w:tr>
      <w:tr w14:paraId="4247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30" w:type="pct"/>
            <w:vAlign w:val="center"/>
          </w:tcPr>
          <w:p w14:paraId="21D767B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投标项目名称</w:t>
            </w:r>
          </w:p>
        </w:tc>
        <w:tc>
          <w:tcPr>
            <w:tcW w:w="4069" w:type="pct"/>
            <w:gridSpan w:val="3"/>
            <w:vAlign w:val="center"/>
          </w:tcPr>
          <w:p w14:paraId="448B4F58">
            <w:pPr>
              <w:spacing w:line="360" w:lineRule="auto"/>
              <w:rPr>
                <w:rFonts w:hint="eastAsia" w:ascii="宋体" w:hAnsi="宋体" w:eastAsia="宋体" w:cs="宋体"/>
                <w:sz w:val="24"/>
                <w:highlight w:val="none"/>
              </w:rPr>
            </w:pPr>
          </w:p>
        </w:tc>
      </w:tr>
      <w:tr w14:paraId="1990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930" w:type="pct"/>
            <w:vAlign w:val="center"/>
          </w:tcPr>
          <w:p w14:paraId="35CEE6A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项目编号</w:t>
            </w:r>
          </w:p>
        </w:tc>
        <w:tc>
          <w:tcPr>
            <w:tcW w:w="4069" w:type="pct"/>
            <w:gridSpan w:val="3"/>
            <w:vAlign w:val="center"/>
          </w:tcPr>
          <w:p w14:paraId="7F2A796D">
            <w:pPr>
              <w:spacing w:line="360" w:lineRule="auto"/>
              <w:rPr>
                <w:rFonts w:hint="eastAsia" w:ascii="宋体" w:hAnsi="宋体" w:eastAsia="宋体" w:cs="宋体"/>
                <w:sz w:val="24"/>
                <w:highlight w:val="none"/>
              </w:rPr>
            </w:pPr>
          </w:p>
        </w:tc>
      </w:tr>
      <w:tr w14:paraId="269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930" w:type="pct"/>
            <w:vAlign w:val="center"/>
          </w:tcPr>
          <w:p w14:paraId="60A7EAC3">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投标总价</w:t>
            </w:r>
            <w:r>
              <w:rPr>
                <w:rFonts w:hint="eastAsia" w:ascii="宋体" w:hAnsi="宋体" w:eastAsia="宋体" w:cs="宋体"/>
                <w:sz w:val="24"/>
                <w:highlight w:val="none"/>
                <w:lang w:val="en-US" w:eastAsia="zh-CN"/>
              </w:rPr>
              <w:t>(元）</w:t>
            </w:r>
          </w:p>
        </w:tc>
        <w:tc>
          <w:tcPr>
            <w:tcW w:w="4069" w:type="pct"/>
            <w:gridSpan w:val="3"/>
            <w:vAlign w:val="center"/>
          </w:tcPr>
          <w:p w14:paraId="3DD7631A">
            <w:pPr>
              <w:spacing w:line="360" w:lineRule="auto"/>
              <w:rPr>
                <w:rFonts w:hint="eastAsia" w:ascii="宋体" w:hAnsi="宋体" w:eastAsia="宋体" w:cs="宋体"/>
                <w:bCs/>
                <w:sz w:val="24"/>
                <w:highlight w:val="none"/>
                <w:u w:val="single"/>
              </w:rPr>
            </w:pPr>
            <w:r>
              <w:rPr>
                <w:rFonts w:hint="eastAsia" w:ascii="宋体" w:hAnsi="宋体" w:eastAsia="宋体" w:cs="宋体"/>
                <w:bCs/>
                <w:sz w:val="24"/>
                <w:highlight w:val="none"/>
              </w:rPr>
              <w:t>￥（小写）：</w:t>
            </w:r>
            <w:r>
              <w:rPr>
                <w:rFonts w:hint="eastAsia" w:ascii="宋体" w:hAnsi="宋体" w:eastAsia="宋体" w:cs="宋体"/>
                <w:bCs/>
                <w:sz w:val="24"/>
                <w:highlight w:val="none"/>
                <w:u w:val="single"/>
              </w:rPr>
              <w:t xml:space="preserve">                                         </w:t>
            </w:r>
          </w:p>
          <w:p w14:paraId="3FE39052">
            <w:pPr>
              <w:spacing w:line="360" w:lineRule="auto"/>
              <w:rPr>
                <w:rFonts w:hint="eastAsia" w:ascii="宋体" w:hAnsi="宋体" w:eastAsia="宋体" w:cs="宋体"/>
                <w:bCs/>
                <w:sz w:val="24"/>
                <w:highlight w:val="none"/>
              </w:rPr>
            </w:pPr>
          </w:p>
          <w:p w14:paraId="5D8337D1">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人民币（大写）：</w:t>
            </w:r>
            <w:r>
              <w:rPr>
                <w:rFonts w:hint="eastAsia" w:ascii="宋体" w:hAnsi="宋体" w:eastAsia="宋体" w:cs="宋体"/>
                <w:bCs/>
                <w:sz w:val="24"/>
                <w:highlight w:val="none"/>
                <w:u w:val="single"/>
              </w:rPr>
              <w:t xml:space="preserve">                                     </w:t>
            </w:r>
          </w:p>
          <w:p w14:paraId="106489FF">
            <w:pPr>
              <w:spacing w:line="360" w:lineRule="auto"/>
              <w:rPr>
                <w:rFonts w:hint="eastAsia" w:ascii="宋体" w:hAnsi="宋体" w:eastAsia="宋体" w:cs="宋体"/>
                <w:bCs/>
                <w:sz w:val="24"/>
                <w:highlight w:val="none"/>
              </w:rPr>
            </w:pPr>
          </w:p>
        </w:tc>
      </w:tr>
      <w:tr w14:paraId="0AD4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930" w:type="pct"/>
            <w:vAlign w:val="center"/>
          </w:tcPr>
          <w:p w14:paraId="231AAD4F">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造价服务</w:t>
            </w:r>
            <w:r>
              <w:rPr>
                <w:rFonts w:hint="eastAsia" w:ascii="宋体" w:hAnsi="宋体" w:eastAsia="宋体" w:cs="宋体"/>
                <w:sz w:val="24"/>
                <w:highlight w:val="none"/>
              </w:rPr>
              <w:t>期</w:t>
            </w:r>
            <w:r>
              <w:rPr>
                <w:rFonts w:hint="eastAsia" w:ascii="宋体" w:hAnsi="宋体" w:eastAsia="宋体" w:cs="宋体"/>
                <w:sz w:val="24"/>
                <w:highlight w:val="none"/>
                <w:lang w:val="en-US" w:eastAsia="zh-CN"/>
              </w:rPr>
              <w:t>限</w:t>
            </w:r>
          </w:p>
        </w:tc>
        <w:tc>
          <w:tcPr>
            <w:tcW w:w="4069" w:type="pct"/>
            <w:gridSpan w:val="3"/>
            <w:vAlign w:val="center"/>
          </w:tcPr>
          <w:p w14:paraId="42A763E9">
            <w:pPr>
              <w:spacing w:line="360" w:lineRule="auto"/>
              <w:jc w:val="center"/>
              <w:rPr>
                <w:rFonts w:hint="eastAsia" w:ascii="宋体" w:hAnsi="宋体" w:eastAsia="宋体" w:cs="宋体"/>
                <w:b/>
                <w:bCs/>
                <w:sz w:val="24"/>
                <w:highlight w:val="none"/>
              </w:rPr>
            </w:pPr>
          </w:p>
        </w:tc>
      </w:tr>
    </w:tbl>
    <w:p w14:paraId="76C8F0AD">
      <w:pPr>
        <w:spacing w:line="360" w:lineRule="auto"/>
        <w:rPr>
          <w:rFonts w:hint="eastAsia" w:ascii="宋体" w:hAnsi="宋体" w:cs="宋体"/>
          <w:color w:val="auto"/>
          <w:sz w:val="24"/>
          <w:highlight w:val="none"/>
        </w:rPr>
      </w:pPr>
    </w:p>
    <w:p w14:paraId="16B8FC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val="en-US" w:eastAsia="zh-CN"/>
        </w:rPr>
        <w:t>供应商应根据所投项目提供相应的“报价明细表”，多报错报漏报，投标无效</w:t>
      </w:r>
      <w:r>
        <w:rPr>
          <w:rFonts w:hint="eastAsia" w:ascii="宋体" w:hAnsi="宋体" w:cs="宋体"/>
          <w:color w:val="auto"/>
          <w:sz w:val="24"/>
          <w:highlight w:val="none"/>
        </w:rPr>
        <w:t>。</w:t>
      </w:r>
    </w:p>
    <w:p w14:paraId="0070DC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2、报价应包括</w:t>
      </w:r>
      <w:r>
        <w:rPr>
          <w:rFonts w:hint="eastAsia" w:ascii="宋体" w:hAnsi="宋体" w:cs="宋体"/>
          <w:color w:val="auto"/>
          <w:sz w:val="24"/>
          <w:highlight w:val="none"/>
          <w:lang w:val="en-US" w:eastAsia="zh-CN"/>
        </w:rPr>
        <w:t>完成全过程造价咨询任务所需的全部费用。</w:t>
      </w:r>
    </w:p>
    <w:p w14:paraId="0EA3C9B6">
      <w:pPr>
        <w:spacing w:line="360" w:lineRule="auto"/>
        <w:rPr>
          <w:rFonts w:hint="eastAsia" w:ascii="宋体" w:hAnsi="宋体" w:cs="宋体"/>
          <w:color w:val="auto"/>
          <w:sz w:val="24"/>
          <w:highlight w:val="none"/>
        </w:rPr>
      </w:pPr>
    </w:p>
    <w:p w14:paraId="05CD9FE6">
      <w:pPr>
        <w:spacing w:line="360" w:lineRule="auto"/>
        <w:rPr>
          <w:rFonts w:hint="eastAsia" w:ascii="宋体" w:hAnsi="宋体" w:cs="宋体"/>
          <w:color w:val="auto"/>
          <w:sz w:val="24"/>
          <w:highlight w:val="none"/>
        </w:rPr>
      </w:pPr>
    </w:p>
    <w:p w14:paraId="7DF06364">
      <w:pPr>
        <w:spacing w:line="360" w:lineRule="auto"/>
        <w:rPr>
          <w:rFonts w:hint="eastAsia" w:ascii="宋体" w:hAnsi="宋体" w:cs="宋体"/>
          <w:color w:val="auto"/>
          <w:sz w:val="24"/>
          <w:highlight w:val="none"/>
        </w:rPr>
      </w:pPr>
    </w:p>
    <w:p w14:paraId="2F47C61C">
      <w:pPr>
        <w:pStyle w:val="14"/>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名称（盖章）：</w:t>
      </w:r>
    </w:p>
    <w:p w14:paraId="559F66FD">
      <w:pPr>
        <w:pStyle w:val="14"/>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rPr>
        <w:t xml:space="preserve">                      授权人或被授权人（签字或盖章）：</w:t>
      </w:r>
    </w:p>
    <w:p w14:paraId="1B52C3E1">
      <w:pPr>
        <w:pStyle w:val="14"/>
        <w:spacing w:after="0" w:line="360" w:lineRule="auto"/>
        <w:ind w:left="0" w:leftChars="0"/>
        <w:jc w:val="center"/>
        <w:rPr>
          <w:rFonts w:ascii="宋体" w:hAnsi="宋体" w:cs="宋体"/>
          <w:bCs/>
          <w:color w:val="auto"/>
          <w:sz w:val="24"/>
          <w:highlight w:val="none"/>
        </w:rPr>
      </w:pP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日    期：</w:t>
      </w:r>
      <w:r>
        <w:rPr>
          <w:rFonts w:hint="eastAsia" w:ascii="宋体" w:hAnsi="宋体" w:cs="宋体"/>
          <w:color w:val="auto"/>
          <w:sz w:val="24"/>
          <w:highlight w:val="none"/>
        </w:rPr>
        <w:t xml:space="preserve">     年     月    日</w:t>
      </w:r>
    </w:p>
    <w:p w14:paraId="0CED8539">
      <w:pPr>
        <w:rPr>
          <w:rFonts w:hint="eastAsia" w:ascii="宋体" w:hAnsi="宋体" w:cs="宋体"/>
          <w:color w:val="auto"/>
          <w:sz w:val="24"/>
          <w:highlight w:val="none"/>
        </w:rPr>
      </w:pPr>
      <w:r>
        <w:rPr>
          <w:rFonts w:hint="eastAsia" w:ascii="宋体" w:hAnsi="宋体" w:cs="宋体"/>
          <w:color w:val="auto"/>
          <w:sz w:val="24"/>
          <w:highlight w:val="none"/>
        </w:rPr>
        <w:br w:type="page"/>
      </w:r>
    </w:p>
    <w:p w14:paraId="2BFD4D01">
      <w:pPr>
        <w:pStyle w:val="3"/>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身份证明书</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授权委托书</w:t>
      </w:r>
    </w:p>
    <w:p w14:paraId="75BAF3A4">
      <w:pPr>
        <w:bidi w:val="0"/>
        <w:rPr>
          <w:rFonts w:hint="eastAsia" w:ascii="宋体" w:hAnsi="宋体" w:cs="宋体"/>
          <w:color w:val="auto"/>
          <w:highlight w:val="none"/>
        </w:rPr>
      </w:pPr>
    </w:p>
    <w:p w14:paraId="06D4FC47">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（一）法定代表人身份证明书</w:t>
      </w:r>
    </w:p>
    <w:p w14:paraId="624CC8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                       </w:t>
      </w:r>
    </w:p>
    <w:p w14:paraId="466B33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                                             </w:t>
      </w:r>
    </w:p>
    <w:p w14:paraId="30A5B4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2CFA08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                                           </w:t>
      </w:r>
    </w:p>
    <w:p w14:paraId="7534C9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的法定代表人，为具有参加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（项目名称）的磋商、签署上述响应文件、进行合同谈判、签署合同和处理与之有关的一切事务权利的供应商。 </w:t>
      </w:r>
    </w:p>
    <w:p w14:paraId="666689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11A80A2">
      <w:pPr>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sz w:val="24"/>
          <w:highlight w:val="none"/>
        </w:rPr>
        <w:t>附：法定代表人身份证正反面复印件。</w:t>
      </w:r>
    </w:p>
    <w:p w14:paraId="7B889D55">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2849245</wp:posOffset>
                </wp:positionH>
                <wp:positionV relativeFrom="paragraph">
                  <wp:posOffset>147320</wp:posOffset>
                </wp:positionV>
                <wp:extent cx="2240915" cy="1086485"/>
                <wp:effectExtent l="4445" t="4445" r="15240" b="1397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86485"/>
                        </a:xfrm>
                        <a:prstGeom prst="rect">
                          <a:avLst/>
                        </a:prstGeom>
                        <a:solidFill>
                          <a:srgbClr val="FFFFFF"/>
                        </a:solidFill>
                        <a:ln w="9525">
                          <a:solidFill>
                            <a:srgbClr val="000000"/>
                          </a:solidFill>
                          <a:prstDash val="dash"/>
                          <a:miter lim="800000"/>
                        </a:ln>
                        <a:effectLst/>
                      </wps:spPr>
                      <wps:txbx>
                        <w:txbxContent>
                          <w:p w14:paraId="0F932852">
                            <w:pPr>
                              <w:jc w:val="center"/>
                              <w:rPr>
                                <w:rFonts w:ascii="宋体"/>
                              </w:rPr>
                            </w:pPr>
                          </w:p>
                          <w:p w14:paraId="48EBDF21">
                            <w:pPr>
                              <w:jc w:val="center"/>
                              <w:rPr>
                                <w:rFonts w:ascii="宋体" w:hAnsi="宋体"/>
                                <w:sz w:val="28"/>
                                <w:szCs w:val="28"/>
                              </w:rPr>
                            </w:pPr>
                            <w:r>
                              <w:rPr>
                                <w:rFonts w:hint="eastAsia" w:ascii="宋体" w:hAnsi="宋体"/>
                                <w:sz w:val="28"/>
                                <w:szCs w:val="28"/>
                                <w:lang w:val="en-US" w:eastAsia="zh-CN"/>
                              </w:rPr>
                              <w:t>法定代表人身份证</w:t>
                            </w:r>
                          </w:p>
                          <w:p w14:paraId="4BDB922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4.35pt;margin-top:11.6pt;height:85.55pt;width:176.45pt;z-index:251660288;v-text-anchor:middle;mso-width-relative:page;mso-height-relative:page;" fillcolor="#FFFFFF" filled="t" stroked="t" coordsize="21600,21600" o:gfxdata="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8W2Fe1gAAAAoBAAAPAAAAAAAAAAEAIAAAACIAAABkcnMvZG93bnJldi54bWxQSwECFAAUAAAA&#10;CACHTuJArudnhGICAAC8BAAADgAAAAAAAAABACAAAAAlAQAAZHJzL2Uyb0RvYy54bWxQSwUGAAAA&#10;AAYABgBZAQAA+QUAAAAA&#10;">
                <v:fill on="t" focussize="0,0"/>
                <v:stroke color="#000000" miterlimit="8" joinstyle="miter" dashstyle="dash"/>
                <v:imagedata o:title=""/>
                <o:lock v:ext="edit" aspectratio="f"/>
                <v:textbox>
                  <w:txbxContent>
                    <w:p w14:paraId="0F932852">
                      <w:pPr>
                        <w:jc w:val="center"/>
                        <w:rPr>
                          <w:rFonts w:ascii="宋体"/>
                        </w:rPr>
                      </w:pPr>
                    </w:p>
                    <w:p w14:paraId="48EBDF21">
                      <w:pPr>
                        <w:jc w:val="center"/>
                        <w:rPr>
                          <w:rFonts w:ascii="宋体" w:hAnsi="宋体"/>
                          <w:sz w:val="28"/>
                          <w:szCs w:val="28"/>
                        </w:rPr>
                      </w:pPr>
                      <w:r>
                        <w:rPr>
                          <w:rFonts w:hint="eastAsia" w:ascii="宋体" w:hAnsi="宋体"/>
                          <w:sz w:val="28"/>
                          <w:szCs w:val="28"/>
                          <w:lang w:val="en-US" w:eastAsia="zh-CN"/>
                        </w:rPr>
                        <w:t>法定代表人身份证</w:t>
                      </w:r>
                    </w:p>
                    <w:p w14:paraId="4BDB9223">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121285</wp:posOffset>
                </wp:positionV>
                <wp:extent cx="2240915" cy="1081405"/>
                <wp:effectExtent l="4445" t="4445" r="15240" b="63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14:paraId="4465BB26">
                            <w:pPr>
                              <w:jc w:val="center"/>
                              <w:rPr>
                                <w:rFonts w:ascii="宋体"/>
                              </w:rPr>
                            </w:pPr>
                          </w:p>
                          <w:p w14:paraId="386ECCF9">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14:paraId="2D8DA53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59264;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oX/c1QAAAAkBAAAPAAAAAAAAAAEAIAAAACIAAABkcnMvZG93bnJldi54bWxQSwECFAAUAAAACACH&#10;TuJA9NQ2mWACAAC+BAAADgAAAAAAAAABACAAAAAkAQAAZHJzL2Uyb0RvYy54bWxQSwUGAAAAAAYA&#10;BgBZAQAA9gUAAAAA&#10;">
                <v:fill on="t" focussize="0,0"/>
                <v:stroke color="#000000" miterlimit="8" joinstyle="miter" dashstyle="dash"/>
                <v:imagedata o:title=""/>
                <o:lock v:ext="edit" aspectratio="f"/>
                <v:textbox>
                  <w:txbxContent>
                    <w:p w14:paraId="4465BB26">
                      <w:pPr>
                        <w:jc w:val="center"/>
                        <w:rPr>
                          <w:rFonts w:ascii="宋体"/>
                        </w:rPr>
                      </w:pPr>
                    </w:p>
                    <w:p w14:paraId="386ECCF9">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14:paraId="2D8DA538">
                      <w:pPr>
                        <w:jc w:val="center"/>
                        <w:rPr>
                          <w:sz w:val="28"/>
                          <w:szCs w:val="28"/>
                        </w:rPr>
                      </w:pPr>
                      <w:r>
                        <w:rPr>
                          <w:rFonts w:hint="eastAsia" w:ascii="宋体" w:hAnsi="宋体"/>
                          <w:sz w:val="28"/>
                          <w:szCs w:val="28"/>
                        </w:rPr>
                        <w:t>（正面）</w:t>
                      </w:r>
                    </w:p>
                  </w:txbxContent>
                </v:textbox>
              </v:shape>
            </w:pict>
          </mc:Fallback>
        </mc:AlternateContent>
      </w:r>
    </w:p>
    <w:p w14:paraId="35C9B975">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F1B9851">
      <w:pPr>
        <w:spacing w:line="360" w:lineRule="auto"/>
        <w:jc w:val="both"/>
        <w:rPr>
          <w:rFonts w:hint="eastAsia" w:ascii="宋体" w:hAnsi="宋体" w:eastAsia="宋体" w:cs="宋体"/>
          <w:color w:val="auto"/>
          <w:sz w:val="24"/>
          <w:highlight w:val="none"/>
        </w:rPr>
      </w:pPr>
    </w:p>
    <w:p w14:paraId="28B649A2">
      <w:pPr>
        <w:spacing w:line="360" w:lineRule="auto"/>
        <w:jc w:val="both"/>
        <w:rPr>
          <w:rFonts w:hint="eastAsia" w:ascii="宋体" w:hAnsi="宋体" w:eastAsia="宋体" w:cs="宋体"/>
          <w:color w:val="auto"/>
          <w:sz w:val="24"/>
          <w:highlight w:val="none"/>
        </w:rPr>
      </w:pPr>
    </w:p>
    <w:p w14:paraId="4ADAD72C">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01F111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                   </w:t>
      </w:r>
      <w:r>
        <w:rPr>
          <w:rFonts w:hint="eastAsia" w:ascii="宋体" w:hAnsi="宋体" w:eastAsia="宋体" w:cs="宋体"/>
          <w:color w:val="auto"/>
          <w:sz w:val="24"/>
          <w:highlight w:val="none"/>
          <w:u w:val="single"/>
        </w:rPr>
        <w:t xml:space="preserve">；            </w:t>
      </w:r>
    </w:p>
    <w:p w14:paraId="0C26D4C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14:paraId="1D3835FA">
      <w:pPr>
        <w:spacing w:line="360" w:lineRule="auto"/>
        <w:jc w:val="center"/>
        <w:rPr>
          <w:rFonts w:hint="eastAsia" w:ascii="宋体" w:hAnsi="宋体" w:eastAsia="宋体" w:cs="宋体"/>
          <w:b/>
          <w:bCs/>
          <w:color w:val="auto"/>
          <w:sz w:val="24"/>
          <w:highlight w:val="none"/>
        </w:rPr>
      </w:pPr>
    </w:p>
    <w:p w14:paraId="4B2053B4">
      <w:pPr>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（二）法定代表人授权委托书</w:t>
      </w:r>
      <w:bookmarkEnd w:id="155"/>
    </w:p>
    <w:p w14:paraId="6178D115">
      <w:pPr>
        <w:spacing w:line="360" w:lineRule="auto"/>
        <w:rPr>
          <w:rFonts w:hint="eastAsia" w:ascii="宋体" w:hAnsi="宋体" w:eastAsia="宋体" w:cs="宋体"/>
          <w:color w:val="auto"/>
          <w:sz w:val="24"/>
          <w:highlight w:val="none"/>
        </w:rPr>
      </w:pPr>
    </w:p>
    <w:p w14:paraId="63EC71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w:t>
      </w:r>
      <w:r>
        <w:rPr>
          <w:rFonts w:hint="eastAsia" w:ascii="宋体" w:hAnsi="宋体" w:eastAsia="宋体" w:cs="宋体"/>
          <w:bCs/>
          <w:color w:val="auto"/>
          <w:sz w:val="24"/>
          <w:highlight w:val="none"/>
        </w:rPr>
        <w:t>采购人名称</w:t>
      </w:r>
      <w:r>
        <w:rPr>
          <w:rFonts w:hint="eastAsia" w:ascii="宋体" w:hAnsi="宋体" w:eastAsia="宋体" w:cs="宋体"/>
          <w:color w:val="auto"/>
          <w:sz w:val="24"/>
          <w:highlight w:val="none"/>
        </w:rPr>
        <w:t>）：</w:t>
      </w:r>
    </w:p>
    <w:p w14:paraId="53BF8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（被授权人姓名、职务）为我方 “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（项目名称、项目编号）</w:t>
      </w:r>
      <w:r>
        <w:rPr>
          <w:rFonts w:hint="eastAsia" w:ascii="宋体" w:hAnsi="宋体" w:eastAsia="宋体" w:cs="宋体"/>
          <w:color w:val="auto"/>
          <w:sz w:val="24"/>
          <w:highlight w:val="none"/>
        </w:rPr>
        <w:t>” 项目磋商活动的合法代表，以我方名义全权处理该项目有关磋商、签订合同以及执行合同等一切事宜。</w:t>
      </w:r>
    </w:p>
    <w:p w14:paraId="4331A2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被授权人无权转让本授权，特此声明。</w:t>
      </w:r>
    </w:p>
    <w:p w14:paraId="6A915D7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附：法定代表人及被授权人身份证正反面复印件。</w:t>
      </w:r>
    </w:p>
    <w:p w14:paraId="4C1D22A8">
      <w:pPr>
        <w:spacing w:line="360" w:lineRule="auto"/>
        <w:jc w:val="both"/>
        <w:rPr>
          <w:rFonts w:hint="eastAsia" w:ascii="宋体" w:hAnsi="宋体" w:eastAsia="宋体" w:cs="宋体"/>
          <w:color w:val="auto"/>
          <w:sz w:val="24"/>
          <w:highlight w:val="none"/>
          <w:lang w:val="en-US" w:eastAsia="zh-CN"/>
        </w:rPr>
      </w:pPr>
    </w:p>
    <w:p w14:paraId="4E886557">
      <w:pPr>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2585720</wp:posOffset>
                </wp:positionH>
                <wp:positionV relativeFrom="paragraph">
                  <wp:posOffset>147320</wp:posOffset>
                </wp:positionV>
                <wp:extent cx="2240915" cy="1086485"/>
                <wp:effectExtent l="4445" t="4445" r="15240" b="1397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86485"/>
                        </a:xfrm>
                        <a:prstGeom prst="rect">
                          <a:avLst/>
                        </a:prstGeom>
                        <a:solidFill>
                          <a:srgbClr val="FFFFFF"/>
                        </a:solidFill>
                        <a:ln w="9525">
                          <a:solidFill>
                            <a:srgbClr val="000000"/>
                          </a:solidFill>
                          <a:prstDash val="dash"/>
                          <a:miter lim="800000"/>
                        </a:ln>
                        <a:effectLst/>
                      </wps:spPr>
                      <wps:txbx>
                        <w:txbxContent>
                          <w:p w14:paraId="3B802BC9">
                            <w:pPr>
                              <w:jc w:val="center"/>
                              <w:rPr>
                                <w:rFonts w:ascii="宋体"/>
                              </w:rPr>
                            </w:pPr>
                          </w:p>
                          <w:p w14:paraId="379140AE">
                            <w:pPr>
                              <w:jc w:val="center"/>
                              <w:rPr>
                                <w:rFonts w:ascii="宋体" w:hAnsi="宋体"/>
                                <w:sz w:val="28"/>
                                <w:szCs w:val="28"/>
                              </w:rPr>
                            </w:pPr>
                            <w:r>
                              <w:rPr>
                                <w:rFonts w:hint="eastAsia" w:ascii="宋体" w:hAnsi="宋体"/>
                                <w:sz w:val="28"/>
                                <w:szCs w:val="28"/>
                                <w:lang w:val="en-US" w:eastAsia="zh-CN"/>
                              </w:rPr>
                              <w:t>法定代表人身份证</w:t>
                            </w:r>
                          </w:p>
                          <w:p w14:paraId="187E04BE">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3.6pt;margin-top:11.6pt;height:85.55pt;width:176.45pt;z-index:251664384;v-text-anchor:middle;mso-width-relative:page;mso-height-relative:page;" fillcolor="#FFFFFF" filled="t" stroked="t" coordsize="21600,21600" o:gfxdata="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FvOPdcAAAAKAQAADwAAAAAAAAABACAAAAAiAAAAZHJzL2Rvd25yZXYueG1sUEsBAhQAFAAA&#10;AAgAh07iQFEA+jViAgAAvAQAAA4AAAAAAAAAAQAgAAAAJgEAAGRycy9lMm9Eb2MueG1sUEsFBgAA&#10;AAAGAAYAWQEAAPoFAAAAAA==&#10;">
                <v:fill on="t" focussize="0,0"/>
                <v:stroke color="#000000" miterlimit="8" joinstyle="miter" dashstyle="dash"/>
                <v:imagedata o:title=""/>
                <o:lock v:ext="edit" aspectratio="f"/>
                <v:textbox>
                  <w:txbxContent>
                    <w:p w14:paraId="3B802BC9">
                      <w:pPr>
                        <w:jc w:val="center"/>
                        <w:rPr>
                          <w:rFonts w:ascii="宋体"/>
                        </w:rPr>
                      </w:pPr>
                    </w:p>
                    <w:p w14:paraId="379140AE">
                      <w:pPr>
                        <w:jc w:val="center"/>
                        <w:rPr>
                          <w:rFonts w:ascii="宋体" w:hAnsi="宋体"/>
                          <w:sz w:val="28"/>
                          <w:szCs w:val="28"/>
                        </w:rPr>
                      </w:pPr>
                      <w:r>
                        <w:rPr>
                          <w:rFonts w:hint="eastAsia" w:ascii="宋体" w:hAnsi="宋体"/>
                          <w:sz w:val="28"/>
                          <w:szCs w:val="28"/>
                          <w:lang w:val="en-US" w:eastAsia="zh-CN"/>
                        </w:rPr>
                        <w:t>法定代表人身份证</w:t>
                      </w:r>
                    </w:p>
                    <w:p w14:paraId="187E04BE">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144780</wp:posOffset>
                </wp:positionV>
                <wp:extent cx="2240915" cy="1081405"/>
                <wp:effectExtent l="4445" t="4445" r="15240" b="63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14:paraId="2C7E889B">
                            <w:pPr>
                              <w:jc w:val="center"/>
                              <w:rPr>
                                <w:rFonts w:ascii="宋体"/>
                              </w:rPr>
                            </w:pPr>
                          </w:p>
                          <w:p w14:paraId="49BC4188">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14:paraId="1B562708">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0.8pt;margin-top:11.4pt;height:85.15pt;width:176.45pt;z-index:251663360;v-text-anchor:middle;mso-width-relative:page;mso-height-relative:page;" fillcolor="#FFFFFF" filled="t" stroked="t" coordsize="21600,21600" o:gfxdata="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d&#10;/gXg1gAAAAkBAAAPAAAAAAAAAAEAIAAAACIAAABkcnMvZG93bnJldi54bWxQSwECFAAUAAAACACH&#10;TuJA6hTAAl8CAAC+BAAADgAAAAAAAAABACAAAAAlAQAAZHJzL2Uyb0RvYy54bWxQSwUGAAAAAAYA&#10;BgBZAQAA9gUAAAAA&#10;">
                <v:fill on="t" focussize="0,0"/>
                <v:stroke color="#000000" miterlimit="8" joinstyle="miter" dashstyle="dash"/>
                <v:imagedata o:title=""/>
                <o:lock v:ext="edit" aspectratio="f"/>
                <v:textbox>
                  <w:txbxContent>
                    <w:p w14:paraId="2C7E889B">
                      <w:pPr>
                        <w:jc w:val="center"/>
                        <w:rPr>
                          <w:rFonts w:ascii="宋体"/>
                        </w:rPr>
                      </w:pPr>
                    </w:p>
                    <w:p w14:paraId="49BC4188">
                      <w:pPr>
                        <w:jc w:val="center"/>
                        <w:rPr>
                          <w:rFonts w:hint="eastAsia" w:ascii="宋体" w:hAnsi="宋体"/>
                          <w:sz w:val="28"/>
                          <w:szCs w:val="28"/>
                          <w:lang w:val="en-US" w:eastAsia="zh-CN"/>
                        </w:rPr>
                      </w:pPr>
                      <w:r>
                        <w:rPr>
                          <w:rFonts w:hint="eastAsia" w:ascii="宋体" w:hAnsi="宋体"/>
                          <w:sz w:val="28"/>
                          <w:szCs w:val="28"/>
                          <w:lang w:val="en-US" w:eastAsia="zh-CN"/>
                        </w:rPr>
                        <w:t>法定代表人身份证</w:t>
                      </w:r>
                    </w:p>
                    <w:p w14:paraId="1B562708">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eastAsia="宋体" w:cs="宋体"/>
          <w:color w:val="auto"/>
          <w:sz w:val="24"/>
          <w:highlight w:val="none"/>
          <w:lang w:val="en-US" w:eastAsia="zh-CN"/>
        </w:rPr>
        <w:t xml:space="preserve">                                       </w:t>
      </w:r>
    </w:p>
    <w:p w14:paraId="642A9A95">
      <w:pPr>
        <w:spacing w:line="360" w:lineRule="auto"/>
        <w:jc w:val="both"/>
        <w:rPr>
          <w:rFonts w:hint="eastAsia" w:ascii="宋体" w:hAnsi="宋体" w:eastAsia="宋体" w:cs="宋体"/>
          <w:color w:val="auto"/>
          <w:sz w:val="24"/>
          <w:highlight w:val="none"/>
        </w:rPr>
      </w:pPr>
    </w:p>
    <w:p w14:paraId="10820FD3">
      <w:pPr>
        <w:spacing w:line="360" w:lineRule="auto"/>
        <w:jc w:val="both"/>
        <w:rPr>
          <w:rFonts w:hint="eastAsia" w:ascii="宋体" w:hAnsi="宋体" w:eastAsia="宋体" w:cs="宋体"/>
          <w:color w:val="auto"/>
          <w:sz w:val="24"/>
          <w:highlight w:val="none"/>
        </w:rPr>
      </w:pPr>
    </w:p>
    <w:p w14:paraId="0CCA58DA">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F651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2564130</wp:posOffset>
                </wp:positionH>
                <wp:positionV relativeFrom="paragraph">
                  <wp:posOffset>289560</wp:posOffset>
                </wp:positionV>
                <wp:extent cx="2240915" cy="1081405"/>
                <wp:effectExtent l="4445" t="4445" r="1524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14:paraId="37B92DE0">
                            <w:pPr>
                              <w:jc w:val="center"/>
                              <w:rPr>
                                <w:rFonts w:ascii="宋体"/>
                              </w:rPr>
                            </w:pPr>
                          </w:p>
                          <w:p w14:paraId="40709C17">
                            <w:pPr>
                              <w:jc w:val="center"/>
                              <w:rPr>
                                <w:rFonts w:ascii="宋体" w:hAnsi="宋体"/>
                                <w:sz w:val="28"/>
                                <w:szCs w:val="28"/>
                              </w:rPr>
                            </w:pPr>
                            <w:r>
                              <w:rPr>
                                <w:rFonts w:hint="eastAsia" w:ascii="宋体" w:hAnsi="宋体"/>
                                <w:sz w:val="28"/>
                                <w:szCs w:val="28"/>
                              </w:rPr>
                              <w:t>授权代表身份证</w:t>
                            </w:r>
                          </w:p>
                          <w:p w14:paraId="375F5CBA">
                            <w:pPr>
                              <w:jc w:val="center"/>
                              <w:rPr>
                                <w:sz w:val="28"/>
                                <w:szCs w:val="28"/>
                              </w:rPr>
                            </w:pPr>
                            <w:r>
                              <w:rPr>
                                <w:rFonts w:hint="eastAsia" w:ascii="宋体" w:hAnsi="宋体"/>
                                <w:sz w:val="28"/>
                                <w:szCs w:val="28"/>
                              </w:rPr>
                              <w:t>（</w:t>
                            </w:r>
                            <w:r>
                              <w:rPr>
                                <w:rFonts w:hint="eastAsia" w:ascii="宋体" w:hAnsi="宋体"/>
                                <w:sz w:val="28"/>
                                <w:szCs w:val="28"/>
                                <w:lang w:val="en-US" w:eastAsia="zh-CN"/>
                              </w:rPr>
                              <w:t>反</w:t>
                            </w:r>
                            <w:r>
                              <w:rPr>
                                <w:rFonts w:hint="eastAsia" w:ascii="宋体" w:hAnsi="宋体"/>
                                <w:sz w:val="28"/>
                                <w:szCs w:val="28"/>
                              </w:rPr>
                              <w:t>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1.9pt;margin-top:22.8pt;height:85.15pt;width:176.45pt;z-index:251662336;v-text-anchor:middle;mso-width-relative:page;mso-height-relative:page;" fillcolor="#FFFFFF" filled="t" stroked="t" coordsize="21600,21600" o:gfxdata="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IiYsTYAAAACgEAAA8AAAAAAAAAAQAgAAAAIgAAAGRycy9kb3ducmV2LnhtbFBLAQIUABQAAAAI&#10;AIdO4kDuHUDxXwIAALwEAAAOAAAAAAAAAAEAIAAAACcBAABkcnMvZTJvRG9jLnhtbFBLBQYAAAAA&#10;BgAGAFkBAAD4BQAAAAA=&#10;">
                <v:fill on="t" focussize="0,0"/>
                <v:stroke color="#000000" miterlimit="8" joinstyle="miter" dashstyle="dash"/>
                <v:imagedata o:title=""/>
                <o:lock v:ext="edit" aspectratio="f"/>
                <v:textbox>
                  <w:txbxContent>
                    <w:p w14:paraId="37B92DE0">
                      <w:pPr>
                        <w:jc w:val="center"/>
                        <w:rPr>
                          <w:rFonts w:ascii="宋体"/>
                        </w:rPr>
                      </w:pPr>
                    </w:p>
                    <w:p w14:paraId="40709C17">
                      <w:pPr>
                        <w:jc w:val="center"/>
                        <w:rPr>
                          <w:rFonts w:ascii="宋体" w:hAnsi="宋体"/>
                          <w:sz w:val="28"/>
                          <w:szCs w:val="28"/>
                        </w:rPr>
                      </w:pPr>
                      <w:r>
                        <w:rPr>
                          <w:rFonts w:hint="eastAsia" w:ascii="宋体" w:hAnsi="宋体"/>
                          <w:sz w:val="28"/>
                          <w:szCs w:val="28"/>
                        </w:rPr>
                        <w:t>授权代表身份证</w:t>
                      </w:r>
                    </w:p>
                    <w:p w14:paraId="375F5CBA">
                      <w:pPr>
                        <w:jc w:val="center"/>
                        <w:rPr>
                          <w:sz w:val="28"/>
                          <w:szCs w:val="28"/>
                        </w:rPr>
                      </w:pPr>
                      <w:r>
                        <w:rPr>
                          <w:rFonts w:hint="eastAsia" w:ascii="宋体" w:hAnsi="宋体"/>
                          <w:sz w:val="28"/>
                          <w:szCs w:val="28"/>
                        </w:rPr>
                        <w:t>（</w:t>
                      </w:r>
                      <w:r>
                        <w:rPr>
                          <w:rFonts w:hint="eastAsia" w:ascii="宋体" w:hAnsi="宋体"/>
                          <w:sz w:val="28"/>
                          <w:szCs w:val="28"/>
                          <w:lang w:val="en-US" w:eastAsia="zh-CN"/>
                        </w:rPr>
                        <w:t>反</w:t>
                      </w:r>
                      <w:r>
                        <w:rPr>
                          <w:rFonts w:hint="eastAsia" w:ascii="宋体" w:hAnsi="宋体"/>
                          <w:sz w:val="28"/>
                          <w:szCs w:val="28"/>
                        </w:rPr>
                        <w:t>面）</w:t>
                      </w:r>
                    </w:p>
                  </w:txbxContent>
                </v:textbox>
              </v:shap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280035</wp:posOffset>
                </wp:positionV>
                <wp:extent cx="2240915" cy="1081405"/>
                <wp:effectExtent l="4445" t="4445" r="15240" b="63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81405"/>
                        </a:xfrm>
                        <a:prstGeom prst="rect">
                          <a:avLst/>
                        </a:prstGeom>
                        <a:solidFill>
                          <a:srgbClr val="FFFFFF"/>
                        </a:solidFill>
                        <a:ln w="9525">
                          <a:solidFill>
                            <a:srgbClr val="000000"/>
                          </a:solidFill>
                          <a:prstDash val="dash"/>
                          <a:miter lim="800000"/>
                        </a:ln>
                        <a:effectLst/>
                      </wps:spPr>
                      <wps:txbx>
                        <w:txbxContent>
                          <w:p w14:paraId="371D9334">
                            <w:pPr>
                              <w:jc w:val="center"/>
                              <w:rPr>
                                <w:rFonts w:ascii="宋体"/>
                              </w:rPr>
                            </w:pPr>
                          </w:p>
                          <w:p w14:paraId="5288447D">
                            <w:pPr>
                              <w:jc w:val="center"/>
                              <w:rPr>
                                <w:rFonts w:ascii="宋体" w:hAnsi="宋体"/>
                                <w:sz w:val="28"/>
                                <w:szCs w:val="28"/>
                              </w:rPr>
                            </w:pPr>
                            <w:r>
                              <w:rPr>
                                <w:rFonts w:hint="eastAsia" w:ascii="宋体" w:hAnsi="宋体"/>
                                <w:sz w:val="28"/>
                                <w:szCs w:val="28"/>
                              </w:rPr>
                              <w:t>授权代表身份证</w:t>
                            </w:r>
                          </w:p>
                          <w:p w14:paraId="7090BD8B">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9.9pt;margin-top:22.05pt;height:85.15pt;width:176.45pt;z-index:251661312;v-text-anchor:middle;mso-width-relative:page;mso-height-relative:page;" fillcolor="#FFFFFF" filled="t" stroked="t" coordsize="21600,21600" o:gfxdata="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B&#10;v9+a1QAAAAkBAAAPAAAAAAAAAAEAIAAAACIAAABkcnMvZG93bnJldi54bWxQSwECFAAUAAAACACH&#10;TuJAEfrdQGACAAC8BAAADgAAAAAAAAABACAAAAAkAQAAZHJzL2Uyb0RvYy54bWxQSwUGAAAAAAYA&#10;BgBZAQAA9gUAAAAA&#10;">
                <v:fill on="t" focussize="0,0"/>
                <v:stroke color="#000000" miterlimit="8" joinstyle="miter" dashstyle="dash"/>
                <v:imagedata o:title=""/>
                <o:lock v:ext="edit" aspectratio="f"/>
                <v:textbox>
                  <w:txbxContent>
                    <w:p w14:paraId="371D9334">
                      <w:pPr>
                        <w:jc w:val="center"/>
                        <w:rPr>
                          <w:rFonts w:ascii="宋体"/>
                        </w:rPr>
                      </w:pPr>
                    </w:p>
                    <w:p w14:paraId="5288447D">
                      <w:pPr>
                        <w:jc w:val="center"/>
                        <w:rPr>
                          <w:rFonts w:ascii="宋体" w:hAnsi="宋体"/>
                          <w:sz w:val="28"/>
                          <w:szCs w:val="28"/>
                        </w:rPr>
                      </w:pPr>
                      <w:r>
                        <w:rPr>
                          <w:rFonts w:hint="eastAsia" w:ascii="宋体" w:hAnsi="宋体"/>
                          <w:sz w:val="28"/>
                          <w:szCs w:val="28"/>
                        </w:rPr>
                        <w:t>授权代表身份证</w:t>
                      </w:r>
                    </w:p>
                    <w:p w14:paraId="7090BD8B">
                      <w:pPr>
                        <w:jc w:val="center"/>
                        <w:rPr>
                          <w:sz w:val="28"/>
                          <w:szCs w:val="28"/>
                        </w:rPr>
                      </w:pPr>
                      <w:r>
                        <w:rPr>
                          <w:rFonts w:hint="eastAsia" w:ascii="宋体" w:hAnsi="宋体"/>
                          <w:sz w:val="28"/>
                          <w:szCs w:val="28"/>
                        </w:rPr>
                        <w:t>（正面）</w:t>
                      </w:r>
                    </w:p>
                  </w:txbxContent>
                </v:textbox>
              </v:shape>
            </w:pict>
          </mc:Fallback>
        </mc:AlternateContent>
      </w:r>
    </w:p>
    <w:p w14:paraId="557FB54D">
      <w:pPr>
        <w:spacing w:line="360" w:lineRule="auto"/>
        <w:jc w:val="center"/>
        <w:rPr>
          <w:rFonts w:hint="eastAsia" w:ascii="宋体" w:hAnsi="宋体" w:eastAsia="宋体" w:cs="宋体"/>
          <w:color w:val="auto"/>
          <w:sz w:val="24"/>
          <w:highlight w:val="none"/>
        </w:rPr>
      </w:pPr>
    </w:p>
    <w:p w14:paraId="5F29D71D">
      <w:pPr>
        <w:spacing w:line="360" w:lineRule="auto"/>
        <w:jc w:val="center"/>
        <w:rPr>
          <w:rFonts w:hint="eastAsia" w:ascii="宋体" w:hAnsi="宋体" w:eastAsia="宋体" w:cs="宋体"/>
          <w:color w:val="auto"/>
          <w:sz w:val="24"/>
          <w:highlight w:val="none"/>
        </w:rPr>
      </w:pPr>
    </w:p>
    <w:p w14:paraId="5C91D564">
      <w:pPr>
        <w:spacing w:line="360" w:lineRule="auto"/>
        <w:jc w:val="center"/>
        <w:rPr>
          <w:rFonts w:hint="eastAsia" w:ascii="宋体" w:hAnsi="宋体" w:eastAsia="宋体" w:cs="宋体"/>
          <w:color w:val="auto"/>
          <w:sz w:val="24"/>
          <w:highlight w:val="none"/>
        </w:rPr>
      </w:pPr>
    </w:p>
    <w:p w14:paraId="5D43E758">
      <w:pPr>
        <w:spacing w:line="360" w:lineRule="auto"/>
        <w:jc w:val="center"/>
        <w:rPr>
          <w:rFonts w:hint="eastAsia" w:ascii="宋体" w:hAnsi="宋体" w:eastAsia="宋体" w:cs="宋体"/>
          <w:color w:val="auto"/>
          <w:sz w:val="24"/>
          <w:highlight w:val="none"/>
        </w:rPr>
      </w:pPr>
    </w:p>
    <w:p w14:paraId="20A71C3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B1A1F7E">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供应商名称（盖章）：</w:t>
      </w:r>
    </w:p>
    <w:p w14:paraId="39991709">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法定代表人（签字或盖章）：</w:t>
      </w:r>
    </w:p>
    <w:p w14:paraId="2684FB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被授权人（签字）：</w:t>
      </w:r>
    </w:p>
    <w:p w14:paraId="3BDE084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0F652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14:paraId="4E1BBD0A">
      <w:pPr>
        <w:pStyle w:val="11"/>
        <w:snapToGrid/>
        <w:spacing w:line="360" w:lineRule="auto"/>
        <w:jc w:val="center"/>
        <w:rPr>
          <w:rFonts w:hint="eastAsia" w:ascii="宋体" w:hAnsi="宋体" w:eastAsia="宋体" w:cs="宋体"/>
          <w:b/>
          <w:bCs/>
          <w:color w:val="auto"/>
          <w:szCs w:val="24"/>
          <w:highlight w:val="none"/>
        </w:rPr>
      </w:pPr>
      <w:bookmarkStart w:id="156" w:name="_Toc217446088"/>
    </w:p>
    <w:p w14:paraId="389D4F16">
      <w:pP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br w:type="page"/>
      </w:r>
    </w:p>
    <w:p w14:paraId="782FA540">
      <w:pPr>
        <w:pStyle w:val="11"/>
        <w:snapToGrid/>
        <w:spacing w:line="360" w:lineRule="auto"/>
        <w:jc w:val="center"/>
        <w:outlineLvl w:val="1"/>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val="en-US" w:eastAsia="zh-CN"/>
        </w:rPr>
        <w:t>四、</w:t>
      </w:r>
      <w:r>
        <w:rPr>
          <w:rFonts w:hint="eastAsia" w:ascii="宋体" w:hAnsi="宋体" w:eastAsia="宋体" w:cs="宋体"/>
          <w:b/>
          <w:bCs/>
          <w:color w:val="auto"/>
          <w:szCs w:val="24"/>
          <w:highlight w:val="none"/>
        </w:rPr>
        <w:t>供应商承诺函</w:t>
      </w:r>
    </w:p>
    <w:p w14:paraId="56372838">
      <w:pPr>
        <w:pStyle w:val="11"/>
        <w:snapToGrid/>
        <w:spacing w:line="360" w:lineRule="auto"/>
        <w:jc w:val="center"/>
        <w:rPr>
          <w:rFonts w:hint="eastAsia" w:ascii="宋体" w:hAnsi="宋体" w:eastAsia="宋体" w:cs="宋体"/>
          <w:b/>
          <w:bCs/>
          <w:color w:val="auto"/>
          <w:szCs w:val="24"/>
          <w:highlight w:val="none"/>
        </w:rPr>
      </w:pPr>
    </w:p>
    <w:p w14:paraId="614D2951">
      <w:pPr>
        <w:pStyle w:val="14"/>
        <w:spacing w:after="0" w:line="360" w:lineRule="auto"/>
        <w:ind w:left="0" w:leftChars="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（采购人名称）：</w:t>
      </w:r>
    </w:p>
    <w:p w14:paraId="353318BC">
      <w:pPr>
        <w:pStyle w:val="14"/>
        <w:spacing w:after="0" w:line="360" w:lineRule="auto"/>
        <w:ind w:left="0" w:leftChars="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我方全面研究了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（项目名称、项目编号）”项目磋商文件，决定自愿参加贵单位组织的本项目磋商并承诺如下：</w:t>
      </w:r>
    </w:p>
    <w:p w14:paraId="26763293">
      <w:pPr>
        <w:pStyle w:val="14"/>
        <w:numPr>
          <w:ilvl w:val="0"/>
          <w:numId w:val="5"/>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w:t>
      </w:r>
      <w:r>
        <w:rPr>
          <w:rFonts w:hint="eastAsia" w:ascii="宋体" w:hAnsi="宋体" w:eastAsia="宋体" w:cs="宋体"/>
          <w:color w:val="auto"/>
          <w:kern w:val="0"/>
          <w:sz w:val="24"/>
          <w:highlight w:val="none"/>
        </w:rPr>
        <w:t>财务状况良好，不存在被责令停产停业、财产被接管、冻结或破产，不存在进入清算程序，或被宣告破产</w:t>
      </w:r>
      <w:r>
        <w:rPr>
          <w:rFonts w:hint="eastAsia" w:ascii="宋体" w:hAnsi="宋体" w:eastAsia="宋体" w:cs="宋体"/>
          <w:color w:val="auto"/>
          <w:sz w:val="24"/>
          <w:highlight w:val="none"/>
        </w:rPr>
        <w:t>；</w:t>
      </w:r>
    </w:p>
    <w:p w14:paraId="745A762E">
      <w:pPr>
        <w:pStyle w:val="14"/>
        <w:numPr>
          <w:ilvl w:val="0"/>
          <w:numId w:val="5"/>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期间，</w:t>
      </w:r>
      <w:r>
        <w:rPr>
          <w:rFonts w:hint="eastAsia" w:ascii="宋体" w:hAnsi="宋体" w:eastAsia="宋体" w:cs="宋体"/>
          <w:color w:val="auto"/>
          <w:sz w:val="24"/>
          <w:highlight w:val="none"/>
        </w:rPr>
        <w:t>我公司</w:t>
      </w:r>
      <w:r>
        <w:rPr>
          <w:rFonts w:hint="eastAsia" w:ascii="宋体" w:hAnsi="宋体" w:eastAsia="宋体" w:cs="宋体"/>
          <w:color w:val="auto"/>
          <w:kern w:val="0"/>
          <w:sz w:val="24"/>
          <w:highlight w:val="none"/>
        </w:rPr>
        <w:t>未列入</w:t>
      </w:r>
      <w:r>
        <w:rPr>
          <w:rFonts w:hint="eastAsia" w:ascii="宋体" w:hAnsi="宋体" w:cs="宋体"/>
          <w:color w:val="auto"/>
          <w:sz w:val="24"/>
          <w:szCs w:val="24"/>
          <w:highlight w:val="none"/>
        </w:rPr>
        <w:t>限制参与招投标活动的行政处罚期内，且不在下列名单被执行期或处罚内</w:t>
      </w:r>
      <w:r>
        <w:rPr>
          <w:rFonts w:hint="eastAsia" w:ascii="宋体" w:hAnsi="宋体" w:cs="宋体"/>
          <w:color w:val="auto"/>
          <w:sz w:val="24"/>
          <w:szCs w:val="24"/>
          <w:highlight w:val="none"/>
          <w:lang w:eastAsia="zh-CN"/>
        </w:rPr>
        <w:t>：</w:t>
      </w:r>
    </w:p>
    <w:p w14:paraId="2DDDBA2B">
      <w:pPr>
        <w:pStyle w:val="14"/>
        <w:numPr>
          <w:ilvl w:val="0"/>
          <w:numId w:val="0"/>
        </w:numPr>
        <w:spacing w:after="0"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szCs w:val="24"/>
          <w:highlight w:val="none"/>
        </w:rPr>
        <w:t>“信用中国”网站(https://www.creditchina.gov.cn/xinyongfuwu/?navPage=4)查询“重大税收违法失信主体”、“拖欠农民工工资失信联合惩戒对象名单”;</w:t>
      </w:r>
      <w:r>
        <w:rPr>
          <w:rFonts w:hint="eastAsia" w:ascii="宋体" w:hAnsi="宋体" w:cs="宋体"/>
          <w:color w:val="auto"/>
          <w:sz w:val="24"/>
          <w:szCs w:val="24"/>
          <w:highlight w:val="none"/>
          <w:lang w:val="en-US" w:eastAsia="zh-CN"/>
        </w:rPr>
        <w:t xml:space="preserve"> </w:t>
      </w:r>
    </w:p>
    <w:p w14:paraId="6F8CBFB6">
      <w:pPr>
        <w:pStyle w:val="14"/>
        <w:numPr>
          <w:ilvl w:val="0"/>
          <w:numId w:val="0"/>
        </w:numPr>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（2）全国建筑市场监管公共服务平台(http://jzsc.mohurd.gov.cn)查询“黑名单”及“失信联合惩戒记录”名单;</w:t>
      </w:r>
    </w:p>
    <w:p w14:paraId="5D2E72DD">
      <w:pPr>
        <w:pStyle w:val="14"/>
        <w:numPr>
          <w:ilvl w:val="0"/>
          <w:numId w:val="0"/>
        </w:numPr>
        <w:spacing w:after="0"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（3）国家企业信用信息公示系统(www.gsxt.gov.cn/index.html)查询“经营异常名录”及“严重违法失信名单”</w:t>
      </w:r>
      <w:r>
        <w:rPr>
          <w:rFonts w:hint="eastAsia" w:ascii="宋体" w:hAnsi="宋体" w:cs="宋体"/>
          <w:color w:val="auto"/>
          <w:sz w:val="24"/>
          <w:szCs w:val="24"/>
          <w:highlight w:val="none"/>
          <w:lang w:eastAsia="zh-CN"/>
        </w:rPr>
        <w:t>；</w:t>
      </w:r>
    </w:p>
    <w:p w14:paraId="427EA169">
      <w:pPr>
        <w:pStyle w:val="14"/>
        <w:numPr>
          <w:ilvl w:val="0"/>
          <w:numId w:val="0"/>
        </w:numPr>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“中国政府采购网”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网站的“政府采购严重违法失信行为记录名单”</w:t>
      </w:r>
      <w:r>
        <w:rPr>
          <w:rFonts w:hint="eastAsia" w:ascii="宋体" w:hAnsi="宋体" w:eastAsia="宋体" w:cs="宋体"/>
          <w:color w:val="auto"/>
          <w:sz w:val="24"/>
          <w:highlight w:val="none"/>
        </w:rPr>
        <w:t>；</w:t>
      </w:r>
    </w:p>
    <w:p w14:paraId="0D2FD928">
      <w:pPr>
        <w:pStyle w:val="14"/>
        <w:numPr>
          <w:ilvl w:val="0"/>
          <w:numId w:val="5"/>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我公司与采购人不存在利害关系，或可能影响磋商公正性的情形；</w:t>
      </w:r>
    </w:p>
    <w:p w14:paraId="14D4A24B">
      <w:pPr>
        <w:pStyle w:val="14"/>
        <w:numPr>
          <w:ilvl w:val="0"/>
          <w:numId w:val="5"/>
        </w:numPr>
        <w:spacing w:after="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我公司内部管理机构安排合理、公司管理组织健全、职责清晰、分工明确且具备良好的履约能力；</w:t>
      </w:r>
    </w:p>
    <w:p w14:paraId="037A0531">
      <w:pPr>
        <w:pStyle w:val="14"/>
        <w:spacing w:after="0" w:line="360" w:lineRule="auto"/>
        <w:ind w:left="0" w:leftChars="0" w:firstLine="480" w:firstLineChars="200"/>
        <w:jc w:val="center"/>
        <w:rPr>
          <w:rFonts w:hint="eastAsia" w:ascii="宋体" w:hAnsi="宋体" w:eastAsia="宋体" w:cs="宋体"/>
          <w:bCs/>
          <w:color w:val="auto"/>
          <w:sz w:val="24"/>
          <w:highlight w:val="none"/>
        </w:rPr>
      </w:pPr>
    </w:p>
    <w:p w14:paraId="710ADAF4">
      <w:pPr>
        <w:pStyle w:val="14"/>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供应商名称（盖章）：</w:t>
      </w:r>
    </w:p>
    <w:p w14:paraId="25798F8F">
      <w:pPr>
        <w:pStyle w:val="14"/>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法定代表人或被授权人（签字或盖章）：</w:t>
      </w:r>
    </w:p>
    <w:p w14:paraId="441111EF">
      <w:pPr>
        <w:pStyle w:val="14"/>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通讯地址：</w:t>
      </w:r>
    </w:p>
    <w:p w14:paraId="0411B889">
      <w:pPr>
        <w:pStyle w:val="14"/>
        <w:spacing w:after="0" w:line="360" w:lineRule="auto"/>
        <w:ind w:left="0" w:leftChars="0"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p w14:paraId="743CCE44">
      <w:pPr>
        <w:keepNext/>
        <w:keepLines/>
        <w:spacing w:line="360" w:lineRule="auto"/>
        <w:ind w:firstLine="480" w:firstLineChars="20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42600270">
      <w:pPr>
        <w:pStyle w:val="11"/>
        <w:snapToGrid/>
        <w:spacing w:line="360" w:lineRule="auto"/>
        <w:jc w:val="center"/>
        <w:outlineLvl w:val="1"/>
        <w:rPr>
          <w:rFonts w:hint="eastAsia" w:ascii="宋体" w:hAnsi="宋体" w:eastAsia="宋体" w:cs="宋体"/>
          <w:b/>
          <w:bCs/>
          <w:color w:val="auto"/>
          <w:szCs w:val="24"/>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szCs w:val="24"/>
          <w:highlight w:val="none"/>
        </w:rPr>
        <w:t>、</w:t>
      </w:r>
      <w:r>
        <w:rPr>
          <w:rFonts w:hint="eastAsia" w:ascii="宋体" w:hAnsi="宋体" w:eastAsia="宋体" w:cs="宋体"/>
          <w:b/>
          <w:bCs/>
          <w:color w:val="auto"/>
          <w:highlight w:val="none"/>
        </w:rPr>
        <w:t>供应商</w:t>
      </w:r>
      <w:r>
        <w:rPr>
          <w:rFonts w:hint="eastAsia" w:ascii="宋体" w:hAnsi="宋体" w:eastAsia="宋体" w:cs="宋体"/>
          <w:b/>
          <w:bCs/>
          <w:color w:val="auto"/>
          <w:szCs w:val="24"/>
          <w:highlight w:val="none"/>
        </w:rPr>
        <w:t>基本情况表</w:t>
      </w:r>
      <w:bookmarkEnd w:id="156"/>
    </w:p>
    <w:tbl>
      <w:tblPr>
        <w:tblStyle w:val="32"/>
        <w:tblW w:w="9104" w:type="dxa"/>
        <w:jc w:val="center"/>
        <w:tblLayout w:type="fixed"/>
        <w:tblCellMar>
          <w:top w:w="0" w:type="dxa"/>
          <w:left w:w="108" w:type="dxa"/>
          <w:bottom w:w="0" w:type="dxa"/>
          <w:right w:w="108" w:type="dxa"/>
        </w:tblCellMar>
      </w:tblPr>
      <w:tblGrid>
        <w:gridCol w:w="1581"/>
        <w:gridCol w:w="1000"/>
        <w:gridCol w:w="2847"/>
        <w:gridCol w:w="1537"/>
        <w:gridCol w:w="2139"/>
      </w:tblGrid>
      <w:tr w14:paraId="30819F39">
        <w:tblPrEx>
          <w:tblCellMar>
            <w:top w:w="0" w:type="dxa"/>
            <w:left w:w="108" w:type="dxa"/>
            <w:bottom w:w="0" w:type="dxa"/>
            <w:right w:w="108" w:type="dxa"/>
          </w:tblCellMar>
        </w:tblPrEx>
        <w:trPr>
          <w:trHeight w:val="945" w:hRule="atLeast"/>
          <w:jc w:val="center"/>
        </w:trPr>
        <w:tc>
          <w:tcPr>
            <w:tcW w:w="1581" w:type="dxa"/>
            <w:tcBorders>
              <w:top w:val="single" w:color="auto" w:sz="4" w:space="0"/>
              <w:left w:val="single" w:color="auto" w:sz="4" w:space="0"/>
              <w:bottom w:val="single" w:color="auto" w:sz="4" w:space="0"/>
              <w:right w:val="single" w:color="auto" w:sz="4" w:space="0"/>
            </w:tcBorders>
            <w:vAlign w:val="center"/>
          </w:tcPr>
          <w:p w14:paraId="420BD71E">
            <w:pPr>
              <w:pStyle w:val="8"/>
              <w:spacing w:line="360" w:lineRule="auto"/>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523" w:type="dxa"/>
            <w:gridSpan w:val="4"/>
            <w:tcBorders>
              <w:top w:val="single" w:color="auto" w:sz="4" w:space="0"/>
              <w:left w:val="nil"/>
              <w:bottom w:val="single" w:color="auto" w:sz="4" w:space="0"/>
              <w:right w:val="single" w:color="auto" w:sz="4" w:space="0"/>
            </w:tcBorders>
            <w:vAlign w:val="center"/>
          </w:tcPr>
          <w:p w14:paraId="6E816517">
            <w:pPr>
              <w:spacing w:line="360" w:lineRule="auto"/>
              <w:jc w:val="center"/>
              <w:rPr>
                <w:rFonts w:hint="eastAsia" w:ascii="宋体" w:hAnsi="宋体" w:eastAsia="宋体" w:cs="宋体"/>
                <w:color w:val="auto"/>
                <w:sz w:val="24"/>
                <w:highlight w:val="none"/>
              </w:rPr>
            </w:pPr>
          </w:p>
        </w:tc>
      </w:tr>
      <w:tr w14:paraId="14D7477F">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3D47A7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847" w:type="dxa"/>
            <w:gridSpan w:val="2"/>
            <w:tcBorders>
              <w:top w:val="single" w:color="auto" w:sz="4" w:space="0"/>
              <w:left w:val="nil"/>
              <w:bottom w:val="single" w:color="auto" w:sz="4" w:space="0"/>
              <w:right w:val="single" w:color="000000" w:sz="4" w:space="0"/>
            </w:tcBorders>
            <w:vAlign w:val="center"/>
          </w:tcPr>
          <w:p w14:paraId="350175F9">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2EB4EA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139" w:type="dxa"/>
            <w:tcBorders>
              <w:top w:val="nil"/>
              <w:left w:val="nil"/>
              <w:bottom w:val="single" w:color="auto" w:sz="4" w:space="0"/>
              <w:right w:val="single" w:color="auto" w:sz="4" w:space="0"/>
            </w:tcBorders>
            <w:vAlign w:val="center"/>
          </w:tcPr>
          <w:p w14:paraId="5B647872">
            <w:pPr>
              <w:spacing w:line="360" w:lineRule="auto"/>
              <w:jc w:val="center"/>
              <w:rPr>
                <w:rFonts w:hint="eastAsia" w:ascii="宋体" w:hAnsi="宋体" w:eastAsia="宋体" w:cs="宋体"/>
                <w:color w:val="auto"/>
                <w:sz w:val="24"/>
                <w:highlight w:val="none"/>
              </w:rPr>
            </w:pPr>
          </w:p>
        </w:tc>
      </w:tr>
      <w:tr w14:paraId="7E67B580">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03C777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3847" w:type="dxa"/>
            <w:gridSpan w:val="2"/>
            <w:tcBorders>
              <w:top w:val="single" w:color="auto" w:sz="4" w:space="0"/>
              <w:left w:val="nil"/>
              <w:bottom w:val="single" w:color="auto" w:sz="4" w:space="0"/>
              <w:right w:val="single" w:color="000000" w:sz="4" w:space="0"/>
            </w:tcBorders>
            <w:vAlign w:val="center"/>
          </w:tcPr>
          <w:p w14:paraId="0D84286D">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31DD27F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企业性质</w:t>
            </w:r>
          </w:p>
        </w:tc>
        <w:tc>
          <w:tcPr>
            <w:tcW w:w="2139" w:type="dxa"/>
            <w:tcBorders>
              <w:top w:val="nil"/>
              <w:left w:val="nil"/>
              <w:bottom w:val="single" w:color="auto" w:sz="4" w:space="0"/>
              <w:right w:val="single" w:color="auto" w:sz="4" w:space="0"/>
            </w:tcBorders>
            <w:vAlign w:val="center"/>
          </w:tcPr>
          <w:p w14:paraId="1229FBFA">
            <w:pPr>
              <w:spacing w:line="360" w:lineRule="auto"/>
              <w:jc w:val="center"/>
              <w:rPr>
                <w:rFonts w:hint="eastAsia" w:ascii="宋体" w:hAnsi="宋体" w:eastAsia="宋体" w:cs="宋体"/>
                <w:color w:val="auto"/>
                <w:sz w:val="24"/>
                <w:highlight w:val="none"/>
              </w:rPr>
            </w:pPr>
          </w:p>
        </w:tc>
      </w:tr>
      <w:tr w14:paraId="12E723D3">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7E94ED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社会统一信用代码</w:t>
            </w:r>
          </w:p>
        </w:tc>
        <w:tc>
          <w:tcPr>
            <w:tcW w:w="3847" w:type="dxa"/>
            <w:gridSpan w:val="2"/>
            <w:tcBorders>
              <w:top w:val="single" w:color="auto" w:sz="4" w:space="0"/>
              <w:left w:val="nil"/>
              <w:bottom w:val="single" w:color="auto" w:sz="4" w:space="0"/>
              <w:right w:val="single" w:color="000000" w:sz="4" w:space="0"/>
            </w:tcBorders>
            <w:vAlign w:val="center"/>
          </w:tcPr>
          <w:p w14:paraId="7254C378">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26339E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139" w:type="dxa"/>
            <w:tcBorders>
              <w:top w:val="nil"/>
              <w:left w:val="nil"/>
              <w:bottom w:val="single" w:color="auto" w:sz="4" w:space="0"/>
              <w:right w:val="single" w:color="auto" w:sz="4" w:space="0"/>
            </w:tcBorders>
            <w:vAlign w:val="center"/>
          </w:tcPr>
          <w:p w14:paraId="226D2B4A">
            <w:pPr>
              <w:spacing w:line="360" w:lineRule="auto"/>
              <w:jc w:val="center"/>
              <w:rPr>
                <w:rFonts w:hint="eastAsia" w:ascii="宋体" w:hAnsi="宋体" w:eastAsia="宋体" w:cs="宋体"/>
                <w:color w:val="auto"/>
                <w:sz w:val="24"/>
                <w:highlight w:val="none"/>
              </w:rPr>
            </w:pPr>
          </w:p>
        </w:tc>
      </w:tr>
      <w:tr w14:paraId="5D7D245D">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12B6E8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00" w:type="dxa"/>
            <w:tcBorders>
              <w:top w:val="nil"/>
              <w:left w:val="nil"/>
              <w:bottom w:val="single" w:color="auto" w:sz="4" w:space="0"/>
              <w:right w:val="single" w:color="auto" w:sz="4" w:space="0"/>
            </w:tcBorders>
            <w:vAlign w:val="center"/>
          </w:tcPr>
          <w:p w14:paraId="4A5CD4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847" w:type="dxa"/>
            <w:tcBorders>
              <w:top w:val="nil"/>
              <w:left w:val="nil"/>
              <w:bottom w:val="single" w:color="auto" w:sz="4" w:space="0"/>
              <w:right w:val="single" w:color="auto" w:sz="4" w:space="0"/>
            </w:tcBorders>
            <w:vAlign w:val="center"/>
          </w:tcPr>
          <w:p w14:paraId="00A80B5E">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335981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39" w:type="dxa"/>
            <w:tcBorders>
              <w:top w:val="nil"/>
              <w:left w:val="nil"/>
              <w:bottom w:val="single" w:color="auto" w:sz="4" w:space="0"/>
              <w:right w:val="single" w:color="auto" w:sz="4" w:space="0"/>
            </w:tcBorders>
            <w:vAlign w:val="center"/>
          </w:tcPr>
          <w:p w14:paraId="69AAC0AE">
            <w:pPr>
              <w:spacing w:line="360" w:lineRule="auto"/>
              <w:jc w:val="center"/>
              <w:rPr>
                <w:rFonts w:hint="eastAsia" w:ascii="宋体" w:hAnsi="宋体" w:eastAsia="宋体" w:cs="宋体"/>
                <w:color w:val="auto"/>
                <w:sz w:val="24"/>
                <w:highlight w:val="none"/>
              </w:rPr>
            </w:pPr>
          </w:p>
        </w:tc>
      </w:tr>
      <w:tr w14:paraId="75F52C71">
        <w:tblPrEx>
          <w:tblCellMar>
            <w:top w:w="0" w:type="dxa"/>
            <w:left w:w="108" w:type="dxa"/>
            <w:bottom w:w="0" w:type="dxa"/>
            <w:right w:w="108" w:type="dxa"/>
          </w:tblCellMar>
        </w:tblPrEx>
        <w:trPr>
          <w:trHeight w:val="945" w:hRule="atLeast"/>
          <w:jc w:val="center"/>
        </w:trPr>
        <w:tc>
          <w:tcPr>
            <w:tcW w:w="1581" w:type="dxa"/>
            <w:vMerge w:val="restart"/>
            <w:tcBorders>
              <w:top w:val="nil"/>
              <w:left w:val="single" w:color="auto" w:sz="4" w:space="0"/>
              <w:bottom w:val="single" w:color="auto" w:sz="4" w:space="0"/>
              <w:right w:val="single" w:color="auto" w:sz="4" w:space="0"/>
            </w:tcBorders>
            <w:vAlign w:val="center"/>
          </w:tcPr>
          <w:p w14:paraId="03E273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00" w:type="dxa"/>
            <w:tcBorders>
              <w:top w:val="nil"/>
              <w:left w:val="nil"/>
              <w:bottom w:val="single" w:color="auto" w:sz="4" w:space="0"/>
              <w:right w:val="single" w:color="auto" w:sz="4" w:space="0"/>
            </w:tcBorders>
            <w:vAlign w:val="center"/>
          </w:tcPr>
          <w:p w14:paraId="74BD99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847" w:type="dxa"/>
            <w:tcBorders>
              <w:top w:val="single" w:color="auto" w:sz="4" w:space="0"/>
              <w:left w:val="nil"/>
              <w:bottom w:val="single" w:color="auto" w:sz="4" w:space="0"/>
              <w:right w:val="single" w:color="000000" w:sz="4" w:space="0"/>
            </w:tcBorders>
            <w:vAlign w:val="center"/>
          </w:tcPr>
          <w:p w14:paraId="7211A285">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7851DC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139" w:type="dxa"/>
            <w:tcBorders>
              <w:top w:val="nil"/>
              <w:left w:val="nil"/>
              <w:bottom w:val="single" w:color="auto" w:sz="4" w:space="0"/>
              <w:right w:val="single" w:color="auto" w:sz="4" w:space="0"/>
            </w:tcBorders>
            <w:vAlign w:val="center"/>
          </w:tcPr>
          <w:p w14:paraId="2250D563">
            <w:pPr>
              <w:spacing w:line="360" w:lineRule="auto"/>
              <w:jc w:val="center"/>
              <w:rPr>
                <w:rFonts w:hint="eastAsia" w:ascii="宋体" w:hAnsi="宋体" w:eastAsia="宋体" w:cs="宋体"/>
                <w:color w:val="auto"/>
                <w:sz w:val="24"/>
                <w:highlight w:val="none"/>
              </w:rPr>
            </w:pPr>
          </w:p>
        </w:tc>
      </w:tr>
      <w:tr w14:paraId="7FE6DA85">
        <w:tblPrEx>
          <w:tblCellMar>
            <w:top w:w="0" w:type="dxa"/>
            <w:left w:w="108" w:type="dxa"/>
            <w:bottom w:w="0" w:type="dxa"/>
            <w:right w:w="108" w:type="dxa"/>
          </w:tblCellMar>
        </w:tblPrEx>
        <w:trPr>
          <w:trHeight w:val="945" w:hRule="atLeast"/>
          <w:jc w:val="center"/>
        </w:trPr>
        <w:tc>
          <w:tcPr>
            <w:tcW w:w="1581" w:type="dxa"/>
            <w:vMerge w:val="continue"/>
            <w:tcBorders>
              <w:top w:val="nil"/>
              <w:left w:val="single" w:color="auto" w:sz="4" w:space="0"/>
              <w:bottom w:val="single" w:color="auto" w:sz="4" w:space="0"/>
              <w:right w:val="single" w:color="auto" w:sz="4" w:space="0"/>
            </w:tcBorders>
            <w:vAlign w:val="center"/>
          </w:tcPr>
          <w:p w14:paraId="6C997C32">
            <w:pPr>
              <w:spacing w:line="360" w:lineRule="auto"/>
              <w:jc w:val="center"/>
              <w:rPr>
                <w:rFonts w:hint="eastAsia" w:ascii="宋体" w:hAnsi="宋体" w:eastAsia="宋体" w:cs="宋体"/>
                <w:color w:val="auto"/>
                <w:sz w:val="24"/>
                <w:highlight w:val="none"/>
              </w:rPr>
            </w:pPr>
          </w:p>
        </w:tc>
        <w:tc>
          <w:tcPr>
            <w:tcW w:w="1000" w:type="dxa"/>
            <w:tcBorders>
              <w:top w:val="nil"/>
              <w:left w:val="nil"/>
              <w:bottom w:val="single" w:color="auto" w:sz="4" w:space="0"/>
              <w:right w:val="single" w:color="auto" w:sz="4" w:space="0"/>
            </w:tcBorders>
            <w:vAlign w:val="center"/>
          </w:tcPr>
          <w:p w14:paraId="6D8DA0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p>
        </w:tc>
        <w:tc>
          <w:tcPr>
            <w:tcW w:w="2847" w:type="dxa"/>
            <w:tcBorders>
              <w:top w:val="single" w:color="auto" w:sz="4" w:space="0"/>
              <w:left w:val="nil"/>
              <w:bottom w:val="single" w:color="auto" w:sz="4" w:space="0"/>
              <w:right w:val="single" w:color="000000" w:sz="4" w:space="0"/>
            </w:tcBorders>
            <w:vAlign w:val="center"/>
          </w:tcPr>
          <w:p w14:paraId="300C6515">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28F77D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2139" w:type="dxa"/>
            <w:tcBorders>
              <w:top w:val="nil"/>
              <w:left w:val="nil"/>
              <w:bottom w:val="single" w:color="auto" w:sz="4" w:space="0"/>
              <w:right w:val="single" w:color="auto" w:sz="4" w:space="0"/>
            </w:tcBorders>
            <w:vAlign w:val="center"/>
          </w:tcPr>
          <w:p w14:paraId="27F173CE">
            <w:pPr>
              <w:spacing w:line="360" w:lineRule="auto"/>
              <w:jc w:val="center"/>
              <w:rPr>
                <w:rFonts w:hint="eastAsia" w:ascii="宋体" w:hAnsi="宋体" w:eastAsia="宋体" w:cs="宋体"/>
                <w:color w:val="auto"/>
                <w:sz w:val="24"/>
                <w:highlight w:val="none"/>
              </w:rPr>
            </w:pPr>
          </w:p>
        </w:tc>
      </w:tr>
      <w:tr w14:paraId="00AA6370">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6944EA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3847" w:type="dxa"/>
            <w:gridSpan w:val="2"/>
            <w:tcBorders>
              <w:top w:val="single" w:color="auto" w:sz="4" w:space="0"/>
              <w:left w:val="nil"/>
              <w:bottom w:val="single" w:color="auto" w:sz="4" w:space="0"/>
              <w:right w:val="single" w:color="000000" w:sz="4" w:space="0"/>
            </w:tcBorders>
            <w:vAlign w:val="center"/>
          </w:tcPr>
          <w:p w14:paraId="263552C9">
            <w:pPr>
              <w:spacing w:line="360" w:lineRule="auto"/>
              <w:jc w:val="center"/>
              <w:rPr>
                <w:rFonts w:hint="eastAsia" w:ascii="宋体" w:hAnsi="宋体" w:eastAsia="宋体" w:cs="宋体"/>
                <w:color w:val="auto"/>
                <w:sz w:val="24"/>
                <w:highlight w:val="none"/>
              </w:rPr>
            </w:pPr>
          </w:p>
        </w:tc>
        <w:tc>
          <w:tcPr>
            <w:tcW w:w="1537" w:type="dxa"/>
            <w:tcBorders>
              <w:top w:val="nil"/>
              <w:left w:val="nil"/>
              <w:bottom w:val="single" w:color="auto" w:sz="4" w:space="0"/>
              <w:right w:val="single" w:color="auto" w:sz="4" w:space="0"/>
            </w:tcBorders>
            <w:vAlign w:val="center"/>
          </w:tcPr>
          <w:p w14:paraId="46CC5E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139" w:type="dxa"/>
            <w:tcBorders>
              <w:top w:val="nil"/>
              <w:left w:val="nil"/>
              <w:bottom w:val="single" w:color="auto" w:sz="4" w:space="0"/>
              <w:right w:val="single" w:color="auto" w:sz="4" w:space="0"/>
            </w:tcBorders>
            <w:vAlign w:val="center"/>
          </w:tcPr>
          <w:p w14:paraId="4A8A9E3C">
            <w:pPr>
              <w:spacing w:line="360" w:lineRule="auto"/>
              <w:jc w:val="center"/>
              <w:rPr>
                <w:rFonts w:hint="eastAsia" w:ascii="宋体" w:hAnsi="宋体" w:eastAsia="宋体" w:cs="宋体"/>
                <w:color w:val="auto"/>
                <w:sz w:val="24"/>
                <w:highlight w:val="none"/>
              </w:rPr>
            </w:pPr>
          </w:p>
        </w:tc>
      </w:tr>
      <w:tr w14:paraId="28BE3956">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20735A7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523" w:type="dxa"/>
            <w:gridSpan w:val="4"/>
            <w:tcBorders>
              <w:top w:val="single" w:color="auto" w:sz="4" w:space="0"/>
              <w:left w:val="nil"/>
              <w:bottom w:val="single" w:color="auto" w:sz="4" w:space="0"/>
              <w:right w:val="single" w:color="000000" w:sz="4" w:space="0"/>
            </w:tcBorders>
            <w:vAlign w:val="center"/>
          </w:tcPr>
          <w:p w14:paraId="4E239AED">
            <w:pPr>
              <w:spacing w:line="360" w:lineRule="auto"/>
              <w:jc w:val="center"/>
              <w:rPr>
                <w:rFonts w:hint="eastAsia" w:ascii="宋体" w:hAnsi="宋体" w:eastAsia="宋体" w:cs="宋体"/>
                <w:color w:val="auto"/>
                <w:sz w:val="24"/>
                <w:highlight w:val="none"/>
              </w:rPr>
            </w:pPr>
          </w:p>
        </w:tc>
      </w:tr>
      <w:tr w14:paraId="7376A557">
        <w:tblPrEx>
          <w:tblCellMar>
            <w:top w:w="0" w:type="dxa"/>
            <w:left w:w="108" w:type="dxa"/>
            <w:bottom w:w="0" w:type="dxa"/>
            <w:right w:w="108" w:type="dxa"/>
          </w:tblCellMar>
        </w:tblPrEx>
        <w:trPr>
          <w:trHeight w:val="945" w:hRule="atLeast"/>
          <w:jc w:val="center"/>
        </w:trPr>
        <w:tc>
          <w:tcPr>
            <w:tcW w:w="1581" w:type="dxa"/>
            <w:tcBorders>
              <w:top w:val="nil"/>
              <w:left w:val="single" w:color="auto" w:sz="4" w:space="0"/>
              <w:bottom w:val="single" w:color="auto" w:sz="4" w:space="0"/>
              <w:right w:val="single" w:color="auto" w:sz="4" w:space="0"/>
            </w:tcBorders>
            <w:vAlign w:val="center"/>
          </w:tcPr>
          <w:p w14:paraId="231DEF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523" w:type="dxa"/>
            <w:gridSpan w:val="4"/>
            <w:tcBorders>
              <w:top w:val="single" w:color="auto" w:sz="4" w:space="0"/>
              <w:left w:val="nil"/>
              <w:bottom w:val="single" w:color="auto" w:sz="4" w:space="0"/>
              <w:right w:val="single" w:color="000000" w:sz="4" w:space="0"/>
            </w:tcBorders>
            <w:vAlign w:val="center"/>
          </w:tcPr>
          <w:p w14:paraId="2F352D00">
            <w:pPr>
              <w:spacing w:line="360" w:lineRule="auto"/>
              <w:jc w:val="center"/>
              <w:rPr>
                <w:rFonts w:hint="eastAsia" w:ascii="宋体" w:hAnsi="宋体" w:eastAsia="宋体" w:cs="宋体"/>
                <w:color w:val="auto"/>
                <w:sz w:val="24"/>
                <w:highlight w:val="none"/>
              </w:rPr>
            </w:pPr>
          </w:p>
        </w:tc>
      </w:tr>
    </w:tbl>
    <w:p w14:paraId="74287B5A">
      <w:pPr>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备注：1、</w:t>
      </w:r>
      <w:r>
        <w:rPr>
          <w:rFonts w:hint="eastAsia" w:ascii="宋体" w:hAnsi="宋体" w:eastAsia="宋体" w:cs="宋体"/>
          <w:color w:val="auto"/>
          <w:sz w:val="24"/>
          <w:highlight w:val="none"/>
        </w:rPr>
        <w:t>后附营业执照</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Hans"/>
        </w:rPr>
        <w:t>社保、纳税、银行出具的近1年内资信证明(</w:t>
      </w:r>
      <w:r>
        <w:rPr>
          <w:rFonts w:hint="eastAsia" w:ascii="宋体" w:hAnsi="宋体" w:cs="宋体"/>
          <w:color w:val="auto"/>
          <w:sz w:val="24"/>
          <w:highlight w:val="none"/>
          <w:lang w:eastAsia="zh-CN"/>
        </w:rPr>
        <w:t>2023年度</w:t>
      </w:r>
      <w:r>
        <w:rPr>
          <w:rFonts w:hint="eastAsia" w:ascii="宋体" w:hAnsi="宋体" w:eastAsia="宋体" w:cs="宋体"/>
          <w:color w:val="auto"/>
          <w:sz w:val="24"/>
          <w:highlight w:val="none"/>
          <w:lang w:eastAsia="zh-Hans"/>
        </w:rPr>
        <w:t>）或经审计的财务报告</w:t>
      </w:r>
      <w:r>
        <w:rPr>
          <w:rFonts w:hint="eastAsia" w:ascii="宋体" w:hAnsi="宋体" w:eastAsia="宋体" w:cs="宋体"/>
          <w:color w:val="auto"/>
          <w:sz w:val="24"/>
          <w:highlight w:val="none"/>
          <w:lang w:val="en-US" w:eastAsia="zh-CN"/>
        </w:rPr>
        <w:t>或会计报表</w:t>
      </w:r>
      <w:r>
        <w:rPr>
          <w:rFonts w:hint="eastAsia" w:ascii="宋体" w:hAnsi="宋体" w:eastAsia="宋体" w:cs="宋体"/>
          <w:color w:val="auto"/>
          <w:sz w:val="24"/>
          <w:highlight w:val="none"/>
          <w:lang w:eastAsia="zh-Hans"/>
        </w:rPr>
        <w:t>，新成立企业无需提供</w:t>
      </w:r>
      <w:r>
        <w:rPr>
          <w:rFonts w:hint="eastAsia" w:ascii="宋体" w:hAnsi="宋体" w:eastAsia="宋体" w:cs="宋体"/>
          <w:color w:val="auto"/>
          <w:sz w:val="24"/>
          <w:highlight w:val="none"/>
          <w:lang w:eastAsia="zh-CN"/>
        </w:rPr>
        <w:t>；</w:t>
      </w:r>
    </w:p>
    <w:p w14:paraId="5DB3F32F">
      <w:pPr>
        <w:adjustRightIn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Hans"/>
        </w:rPr>
        <w:t>提供</w:t>
      </w:r>
      <w:r>
        <w:rPr>
          <w:rFonts w:hint="eastAsia" w:ascii="宋体" w:hAnsi="宋体" w:cs="宋体"/>
          <w:color w:val="auto"/>
          <w:sz w:val="24"/>
          <w:highlight w:val="none"/>
          <w:lang w:val="en-US" w:eastAsia="zh-CN"/>
        </w:rPr>
        <w:t>相关资质证书</w:t>
      </w:r>
      <w:r>
        <w:rPr>
          <w:rFonts w:hint="eastAsia" w:ascii="宋体" w:hAnsi="宋体" w:eastAsia="宋体" w:cs="宋体"/>
          <w:color w:val="auto"/>
          <w:sz w:val="24"/>
          <w:highlight w:val="none"/>
        </w:rPr>
        <w:t>、说明承诺等</w:t>
      </w:r>
      <w:r>
        <w:rPr>
          <w:rFonts w:hint="eastAsia" w:ascii="宋体" w:hAnsi="宋体" w:eastAsia="宋体" w:cs="宋体"/>
          <w:color w:val="auto"/>
          <w:sz w:val="24"/>
          <w:highlight w:val="none"/>
          <w:lang w:eastAsia="zh-Hans"/>
        </w:rPr>
        <w:t>资格审查</w:t>
      </w:r>
      <w:r>
        <w:rPr>
          <w:rFonts w:hint="eastAsia" w:ascii="宋体" w:hAnsi="宋体" w:eastAsia="宋体" w:cs="宋体"/>
          <w:color w:val="auto"/>
          <w:sz w:val="24"/>
          <w:highlight w:val="none"/>
        </w:rPr>
        <w:t>相关资料。</w:t>
      </w:r>
    </w:p>
    <w:p w14:paraId="41545185">
      <w:pPr>
        <w:spacing w:line="360" w:lineRule="auto"/>
        <w:rPr>
          <w:rFonts w:hint="eastAsia" w:ascii="宋体" w:hAnsi="宋体" w:eastAsia="宋体" w:cs="宋体"/>
          <w:color w:val="auto"/>
          <w:sz w:val="24"/>
          <w:highlight w:val="none"/>
        </w:rPr>
      </w:pPr>
      <w:bookmarkStart w:id="157" w:name="_Toc217446089"/>
      <w:r>
        <w:rPr>
          <w:rFonts w:hint="eastAsia" w:ascii="宋体" w:hAnsi="宋体" w:eastAsia="宋体" w:cs="宋体"/>
          <w:bCs w:val="0"/>
          <w:color w:val="auto"/>
          <w:sz w:val="24"/>
          <w:szCs w:val="24"/>
          <w:highlight w:val="none"/>
        </w:rPr>
        <w:br w:type="page"/>
      </w:r>
    </w:p>
    <w:p w14:paraId="1FE98AEA">
      <w:pPr>
        <w:numPr>
          <w:ilvl w:val="0"/>
          <w:numId w:val="0"/>
        </w:numPr>
        <w:spacing w:line="360" w:lineRule="auto"/>
        <w:ind w:firstLine="2650" w:firstLineChars="1100"/>
        <w:jc w:val="both"/>
        <w:outlineLvl w:val="1"/>
        <w:rPr>
          <w:rFonts w:hint="eastAsia" w:ascii="宋体" w:hAnsi="宋体" w:eastAsia="宋体" w:cs="宋体"/>
          <w:b/>
          <w:bCs/>
          <w:color w:val="auto"/>
          <w:sz w:val="24"/>
          <w:highlight w:val="none"/>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highlight w:val="none"/>
        </w:rPr>
        <w:t>拟配备人员情况</w:t>
      </w:r>
    </w:p>
    <w:p w14:paraId="7C2615FA">
      <w:pPr>
        <w:pStyle w:val="6"/>
        <w:ind w:firstLine="2880" w:firstLineChars="1200"/>
        <w:rPr>
          <w:rFonts w:hint="eastAsia" w:ascii="宋体" w:hAnsi="宋体" w:eastAsia="宋体" w:cs="宋体"/>
          <w:b w:val="0"/>
          <w:bCs w:val="0"/>
          <w:color w:val="auto"/>
          <w:sz w:val="24"/>
          <w:highlight w:val="none"/>
        </w:rPr>
      </w:pPr>
    </w:p>
    <w:tbl>
      <w:tblPr>
        <w:tblStyle w:val="3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912"/>
        <w:gridCol w:w="915"/>
        <w:gridCol w:w="993"/>
        <w:gridCol w:w="1327"/>
        <w:gridCol w:w="701"/>
        <w:gridCol w:w="838"/>
        <w:gridCol w:w="955"/>
        <w:gridCol w:w="996"/>
      </w:tblGrid>
      <w:tr w14:paraId="31FF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1220" w:type="dxa"/>
            <w:vMerge w:val="restart"/>
            <w:vAlign w:val="center"/>
          </w:tcPr>
          <w:p w14:paraId="05FF8A9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12" w:type="dxa"/>
            <w:vMerge w:val="restart"/>
            <w:vAlign w:val="center"/>
          </w:tcPr>
          <w:p w14:paraId="5270106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15" w:type="dxa"/>
            <w:vMerge w:val="restart"/>
            <w:vAlign w:val="center"/>
          </w:tcPr>
          <w:p w14:paraId="0DC2DE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993" w:type="dxa"/>
            <w:vMerge w:val="restart"/>
            <w:vAlign w:val="center"/>
          </w:tcPr>
          <w:p w14:paraId="6627DD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职称或职务</w:t>
            </w:r>
          </w:p>
        </w:tc>
        <w:tc>
          <w:tcPr>
            <w:tcW w:w="1327" w:type="dxa"/>
            <w:vMerge w:val="restart"/>
            <w:vAlign w:val="center"/>
          </w:tcPr>
          <w:p w14:paraId="68935E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拟担任本项目职务/岗位</w:t>
            </w:r>
          </w:p>
        </w:tc>
        <w:tc>
          <w:tcPr>
            <w:tcW w:w="3490" w:type="dxa"/>
            <w:gridSpan w:val="4"/>
            <w:vAlign w:val="center"/>
          </w:tcPr>
          <w:p w14:paraId="46F6336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资格证明</w:t>
            </w:r>
          </w:p>
        </w:tc>
      </w:tr>
      <w:tr w14:paraId="323B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220" w:type="dxa"/>
            <w:vMerge w:val="continue"/>
            <w:vAlign w:val="center"/>
          </w:tcPr>
          <w:p w14:paraId="7C79E3E0">
            <w:pPr>
              <w:spacing w:line="360" w:lineRule="auto"/>
              <w:jc w:val="center"/>
              <w:rPr>
                <w:rFonts w:hint="eastAsia" w:ascii="宋体" w:hAnsi="宋体" w:eastAsia="宋体" w:cs="宋体"/>
                <w:color w:val="auto"/>
                <w:sz w:val="24"/>
                <w:highlight w:val="none"/>
              </w:rPr>
            </w:pPr>
          </w:p>
        </w:tc>
        <w:tc>
          <w:tcPr>
            <w:tcW w:w="912" w:type="dxa"/>
            <w:vMerge w:val="continue"/>
            <w:vAlign w:val="center"/>
          </w:tcPr>
          <w:p w14:paraId="3A1BEC23">
            <w:pPr>
              <w:spacing w:line="360" w:lineRule="auto"/>
              <w:jc w:val="center"/>
              <w:rPr>
                <w:rFonts w:hint="eastAsia" w:ascii="宋体" w:hAnsi="宋体" w:eastAsia="宋体" w:cs="宋体"/>
                <w:color w:val="auto"/>
                <w:sz w:val="24"/>
                <w:highlight w:val="none"/>
              </w:rPr>
            </w:pPr>
          </w:p>
        </w:tc>
        <w:tc>
          <w:tcPr>
            <w:tcW w:w="915" w:type="dxa"/>
            <w:vMerge w:val="continue"/>
            <w:vAlign w:val="center"/>
          </w:tcPr>
          <w:p w14:paraId="49B377E3">
            <w:pPr>
              <w:spacing w:line="360" w:lineRule="auto"/>
              <w:jc w:val="center"/>
              <w:rPr>
                <w:rFonts w:hint="eastAsia" w:ascii="宋体" w:hAnsi="宋体" w:eastAsia="宋体" w:cs="宋体"/>
                <w:color w:val="auto"/>
                <w:sz w:val="24"/>
                <w:highlight w:val="none"/>
              </w:rPr>
            </w:pPr>
          </w:p>
        </w:tc>
        <w:tc>
          <w:tcPr>
            <w:tcW w:w="993" w:type="dxa"/>
            <w:vMerge w:val="continue"/>
            <w:vAlign w:val="center"/>
          </w:tcPr>
          <w:p w14:paraId="3460C9EB">
            <w:pPr>
              <w:spacing w:line="360" w:lineRule="auto"/>
              <w:jc w:val="center"/>
              <w:rPr>
                <w:rFonts w:hint="eastAsia" w:ascii="宋体" w:hAnsi="宋体" w:eastAsia="宋体" w:cs="宋体"/>
                <w:color w:val="auto"/>
                <w:sz w:val="24"/>
                <w:highlight w:val="none"/>
              </w:rPr>
            </w:pPr>
          </w:p>
        </w:tc>
        <w:tc>
          <w:tcPr>
            <w:tcW w:w="1327" w:type="dxa"/>
            <w:vMerge w:val="continue"/>
            <w:vAlign w:val="center"/>
          </w:tcPr>
          <w:p w14:paraId="7A10E0E6">
            <w:pPr>
              <w:spacing w:line="360" w:lineRule="auto"/>
              <w:jc w:val="center"/>
              <w:rPr>
                <w:rFonts w:hint="eastAsia" w:ascii="宋体" w:hAnsi="宋体" w:eastAsia="宋体" w:cs="宋体"/>
                <w:color w:val="auto"/>
                <w:sz w:val="24"/>
                <w:highlight w:val="none"/>
              </w:rPr>
            </w:pPr>
          </w:p>
        </w:tc>
        <w:tc>
          <w:tcPr>
            <w:tcW w:w="701" w:type="dxa"/>
            <w:vAlign w:val="center"/>
          </w:tcPr>
          <w:p w14:paraId="38E1525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838" w:type="dxa"/>
            <w:vAlign w:val="center"/>
          </w:tcPr>
          <w:p w14:paraId="552B0B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955" w:type="dxa"/>
            <w:vAlign w:val="center"/>
          </w:tcPr>
          <w:p w14:paraId="5E24931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w:t>
            </w:r>
          </w:p>
        </w:tc>
        <w:tc>
          <w:tcPr>
            <w:tcW w:w="996" w:type="dxa"/>
            <w:vAlign w:val="center"/>
          </w:tcPr>
          <w:p w14:paraId="612F315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r>
      <w:tr w14:paraId="3F84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14:paraId="5D6130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12" w:type="dxa"/>
            <w:vAlign w:val="top"/>
          </w:tcPr>
          <w:p w14:paraId="522080FB">
            <w:pPr>
              <w:spacing w:line="360" w:lineRule="auto"/>
              <w:jc w:val="center"/>
              <w:rPr>
                <w:rFonts w:hint="eastAsia" w:ascii="宋体" w:hAnsi="宋体" w:eastAsia="宋体" w:cs="宋体"/>
                <w:color w:val="auto"/>
                <w:sz w:val="24"/>
                <w:highlight w:val="none"/>
              </w:rPr>
            </w:pPr>
          </w:p>
        </w:tc>
        <w:tc>
          <w:tcPr>
            <w:tcW w:w="915" w:type="dxa"/>
            <w:vAlign w:val="top"/>
          </w:tcPr>
          <w:p w14:paraId="43C2ECBA">
            <w:pPr>
              <w:spacing w:line="360" w:lineRule="auto"/>
              <w:jc w:val="center"/>
              <w:rPr>
                <w:rFonts w:hint="eastAsia" w:ascii="宋体" w:hAnsi="宋体" w:eastAsia="宋体" w:cs="宋体"/>
                <w:color w:val="auto"/>
                <w:sz w:val="24"/>
                <w:highlight w:val="none"/>
              </w:rPr>
            </w:pPr>
          </w:p>
        </w:tc>
        <w:tc>
          <w:tcPr>
            <w:tcW w:w="993" w:type="dxa"/>
            <w:vAlign w:val="top"/>
          </w:tcPr>
          <w:p w14:paraId="0A59FCDB">
            <w:pPr>
              <w:spacing w:line="360" w:lineRule="auto"/>
              <w:jc w:val="center"/>
              <w:rPr>
                <w:rFonts w:hint="eastAsia" w:ascii="宋体" w:hAnsi="宋体" w:eastAsia="宋体" w:cs="宋体"/>
                <w:color w:val="auto"/>
                <w:sz w:val="24"/>
                <w:highlight w:val="none"/>
              </w:rPr>
            </w:pPr>
          </w:p>
        </w:tc>
        <w:tc>
          <w:tcPr>
            <w:tcW w:w="1327" w:type="dxa"/>
            <w:vAlign w:val="top"/>
          </w:tcPr>
          <w:p w14:paraId="636CC589">
            <w:pPr>
              <w:spacing w:line="360" w:lineRule="auto"/>
              <w:jc w:val="center"/>
              <w:rPr>
                <w:rFonts w:hint="eastAsia" w:ascii="宋体" w:hAnsi="宋体" w:eastAsia="宋体" w:cs="宋体"/>
                <w:color w:val="auto"/>
                <w:sz w:val="24"/>
                <w:highlight w:val="none"/>
              </w:rPr>
            </w:pPr>
          </w:p>
        </w:tc>
        <w:tc>
          <w:tcPr>
            <w:tcW w:w="701" w:type="dxa"/>
            <w:vAlign w:val="top"/>
          </w:tcPr>
          <w:p w14:paraId="79CF0A54">
            <w:pPr>
              <w:spacing w:line="360" w:lineRule="auto"/>
              <w:jc w:val="center"/>
              <w:rPr>
                <w:rFonts w:hint="eastAsia" w:ascii="宋体" w:hAnsi="宋体" w:eastAsia="宋体" w:cs="宋体"/>
                <w:color w:val="auto"/>
                <w:sz w:val="24"/>
                <w:highlight w:val="none"/>
              </w:rPr>
            </w:pPr>
          </w:p>
        </w:tc>
        <w:tc>
          <w:tcPr>
            <w:tcW w:w="838" w:type="dxa"/>
            <w:vAlign w:val="top"/>
          </w:tcPr>
          <w:p w14:paraId="77CD8B41">
            <w:pPr>
              <w:spacing w:line="360" w:lineRule="auto"/>
              <w:jc w:val="center"/>
              <w:rPr>
                <w:rFonts w:hint="eastAsia" w:ascii="宋体" w:hAnsi="宋体" w:eastAsia="宋体" w:cs="宋体"/>
                <w:color w:val="auto"/>
                <w:sz w:val="24"/>
                <w:highlight w:val="none"/>
              </w:rPr>
            </w:pPr>
          </w:p>
        </w:tc>
        <w:tc>
          <w:tcPr>
            <w:tcW w:w="955" w:type="dxa"/>
            <w:vAlign w:val="top"/>
          </w:tcPr>
          <w:p w14:paraId="698FD645">
            <w:pPr>
              <w:spacing w:line="360" w:lineRule="auto"/>
              <w:jc w:val="center"/>
              <w:rPr>
                <w:rFonts w:hint="eastAsia" w:ascii="宋体" w:hAnsi="宋体" w:eastAsia="宋体" w:cs="宋体"/>
                <w:color w:val="auto"/>
                <w:sz w:val="24"/>
                <w:highlight w:val="none"/>
              </w:rPr>
            </w:pPr>
          </w:p>
        </w:tc>
        <w:tc>
          <w:tcPr>
            <w:tcW w:w="996" w:type="dxa"/>
            <w:vAlign w:val="top"/>
          </w:tcPr>
          <w:p w14:paraId="325C889A">
            <w:pPr>
              <w:spacing w:line="360" w:lineRule="auto"/>
              <w:jc w:val="center"/>
              <w:rPr>
                <w:rFonts w:hint="eastAsia" w:ascii="宋体" w:hAnsi="宋体" w:eastAsia="宋体" w:cs="宋体"/>
                <w:color w:val="auto"/>
                <w:sz w:val="24"/>
                <w:highlight w:val="none"/>
              </w:rPr>
            </w:pPr>
          </w:p>
        </w:tc>
      </w:tr>
      <w:tr w14:paraId="7523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14:paraId="1E5C15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12" w:type="dxa"/>
            <w:vAlign w:val="top"/>
          </w:tcPr>
          <w:p w14:paraId="0158C0D9">
            <w:pPr>
              <w:spacing w:line="360" w:lineRule="auto"/>
              <w:jc w:val="center"/>
              <w:rPr>
                <w:rFonts w:hint="eastAsia" w:ascii="宋体" w:hAnsi="宋体" w:eastAsia="宋体" w:cs="宋体"/>
                <w:color w:val="auto"/>
                <w:sz w:val="24"/>
                <w:highlight w:val="none"/>
              </w:rPr>
            </w:pPr>
          </w:p>
        </w:tc>
        <w:tc>
          <w:tcPr>
            <w:tcW w:w="915" w:type="dxa"/>
            <w:vAlign w:val="top"/>
          </w:tcPr>
          <w:p w14:paraId="1B78B268">
            <w:pPr>
              <w:spacing w:line="360" w:lineRule="auto"/>
              <w:jc w:val="center"/>
              <w:rPr>
                <w:rFonts w:hint="eastAsia" w:ascii="宋体" w:hAnsi="宋体" w:eastAsia="宋体" w:cs="宋体"/>
                <w:color w:val="auto"/>
                <w:sz w:val="24"/>
                <w:highlight w:val="none"/>
              </w:rPr>
            </w:pPr>
          </w:p>
        </w:tc>
        <w:tc>
          <w:tcPr>
            <w:tcW w:w="993" w:type="dxa"/>
            <w:vAlign w:val="top"/>
          </w:tcPr>
          <w:p w14:paraId="7EA47768">
            <w:pPr>
              <w:spacing w:line="360" w:lineRule="auto"/>
              <w:jc w:val="center"/>
              <w:rPr>
                <w:rFonts w:hint="eastAsia" w:ascii="宋体" w:hAnsi="宋体" w:eastAsia="宋体" w:cs="宋体"/>
                <w:color w:val="auto"/>
                <w:sz w:val="24"/>
                <w:highlight w:val="none"/>
              </w:rPr>
            </w:pPr>
          </w:p>
        </w:tc>
        <w:tc>
          <w:tcPr>
            <w:tcW w:w="1327" w:type="dxa"/>
            <w:vAlign w:val="top"/>
          </w:tcPr>
          <w:p w14:paraId="69654A36">
            <w:pPr>
              <w:spacing w:line="360" w:lineRule="auto"/>
              <w:jc w:val="center"/>
              <w:rPr>
                <w:rFonts w:hint="eastAsia" w:ascii="宋体" w:hAnsi="宋体" w:eastAsia="宋体" w:cs="宋体"/>
                <w:color w:val="auto"/>
                <w:sz w:val="24"/>
                <w:highlight w:val="none"/>
              </w:rPr>
            </w:pPr>
          </w:p>
        </w:tc>
        <w:tc>
          <w:tcPr>
            <w:tcW w:w="701" w:type="dxa"/>
            <w:vAlign w:val="top"/>
          </w:tcPr>
          <w:p w14:paraId="18B8E8ED">
            <w:pPr>
              <w:spacing w:line="360" w:lineRule="auto"/>
              <w:jc w:val="center"/>
              <w:rPr>
                <w:rFonts w:hint="eastAsia" w:ascii="宋体" w:hAnsi="宋体" w:eastAsia="宋体" w:cs="宋体"/>
                <w:color w:val="auto"/>
                <w:sz w:val="24"/>
                <w:highlight w:val="none"/>
              </w:rPr>
            </w:pPr>
          </w:p>
        </w:tc>
        <w:tc>
          <w:tcPr>
            <w:tcW w:w="838" w:type="dxa"/>
            <w:vAlign w:val="top"/>
          </w:tcPr>
          <w:p w14:paraId="7AA7F9D6">
            <w:pPr>
              <w:spacing w:line="360" w:lineRule="auto"/>
              <w:jc w:val="center"/>
              <w:rPr>
                <w:rFonts w:hint="eastAsia" w:ascii="宋体" w:hAnsi="宋体" w:eastAsia="宋体" w:cs="宋体"/>
                <w:color w:val="auto"/>
                <w:sz w:val="24"/>
                <w:highlight w:val="none"/>
              </w:rPr>
            </w:pPr>
          </w:p>
        </w:tc>
        <w:tc>
          <w:tcPr>
            <w:tcW w:w="955" w:type="dxa"/>
            <w:vAlign w:val="top"/>
          </w:tcPr>
          <w:p w14:paraId="0DCBDEC9">
            <w:pPr>
              <w:spacing w:line="360" w:lineRule="auto"/>
              <w:jc w:val="center"/>
              <w:rPr>
                <w:rFonts w:hint="eastAsia" w:ascii="宋体" w:hAnsi="宋体" w:eastAsia="宋体" w:cs="宋体"/>
                <w:color w:val="auto"/>
                <w:sz w:val="24"/>
                <w:highlight w:val="none"/>
              </w:rPr>
            </w:pPr>
          </w:p>
        </w:tc>
        <w:tc>
          <w:tcPr>
            <w:tcW w:w="996" w:type="dxa"/>
            <w:vAlign w:val="top"/>
          </w:tcPr>
          <w:p w14:paraId="7C81AA50">
            <w:pPr>
              <w:spacing w:line="360" w:lineRule="auto"/>
              <w:jc w:val="center"/>
              <w:rPr>
                <w:rFonts w:hint="eastAsia" w:ascii="宋体" w:hAnsi="宋体" w:eastAsia="宋体" w:cs="宋体"/>
                <w:color w:val="auto"/>
                <w:sz w:val="24"/>
                <w:highlight w:val="none"/>
              </w:rPr>
            </w:pPr>
          </w:p>
        </w:tc>
      </w:tr>
      <w:tr w14:paraId="582F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1220" w:type="dxa"/>
            <w:vAlign w:val="top"/>
          </w:tcPr>
          <w:p w14:paraId="5DF8A0A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12" w:type="dxa"/>
            <w:vAlign w:val="top"/>
          </w:tcPr>
          <w:p w14:paraId="4D94A56B">
            <w:pPr>
              <w:spacing w:line="360" w:lineRule="auto"/>
              <w:jc w:val="center"/>
              <w:rPr>
                <w:rFonts w:hint="eastAsia" w:ascii="宋体" w:hAnsi="宋体" w:eastAsia="宋体" w:cs="宋体"/>
                <w:color w:val="auto"/>
                <w:sz w:val="24"/>
                <w:highlight w:val="none"/>
              </w:rPr>
            </w:pPr>
          </w:p>
        </w:tc>
        <w:tc>
          <w:tcPr>
            <w:tcW w:w="915" w:type="dxa"/>
            <w:vAlign w:val="top"/>
          </w:tcPr>
          <w:p w14:paraId="380B9F09">
            <w:pPr>
              <w:spacing w:line="360" w:lineRule="auto"/>
              <w:jc w:val="center"/>
              <w:rPr>
                <w:rFonts w:hint="eastAsia" w:ascii="宋体" w:hAnsi="宋体" w:eastAsia="宋体" w:cs="宋体"/>
                <w:color w:val="auto"/>
                <w:sz w:val="24"/>
                <w:highlight w:val="none"/>
              </w:rPr>
            </w:pPr>
          </w:p>
        </w:tc>
        <w:tc>
          <w:tcPr>
            <w:tcW w:w="993" w:type="dxa"/>
            <w:vAlign w:val="top"/>
          </w:tcPr>
          <w:p w14:paraId="108C5FD9">
            <w:pPr>
              <w:spacing w:line="360" w:lineRule="auto"/>
              <w:jc w:val="center"/>
              <w:rPr>
                <w:rFonts w:hint="eastAsia" w:ascii="宋体" w:hAnsi="宋体" w:eastAsia="宋体" w:cs="宋体"/>
                <w:color w:val="auto"/>
                <w:sz w:val="24"/>
                <w:highlight w:val="none"/>
              </w:rPr>
            </w:pPr>
          </w:p>
        </w:tc>
        <w:tc>
          <w:tcPr>
            <w:tcW w:w="1327" w:type="dxa"/>
            <w:vAlign w:val="top"/>
          </w:tcPr>
          <w:p w14:paraId="22E8C837">
            <w:pPr>
              <w:spacing w:line="360" w:lineRule="auto"/>
              <w:jc w:val="center"/>
              <w:rPr>
                <w:rFonts w:hint="eastAsia" w:ascii="宋体" w:hAnsi="宋体" w:eastAsia="宋体" w:cs="宋体"/>
                <w:color w:val="auto"/>
                <w:sz w:val="24"/>
                <w:highlight w:val="none"/>
              </w:rPr>
            </w:pPr>
          </w:p>
        </w:tc>
        <w:tc>
          <w:tcPr>
            <w:tcW w:w="701" w:type="dxa"/>
            <w:vAlign w:val="top"/>
          </w:tcPr>
          <w:p w14:paraId="4099E2E2">
            <w:pPr>
              <w:spacing w:line="360" w:lineRule="auto"/>
              <w:jc w:val="center"/>
              <w:rPr>
                <w:rFonts w:hint="eastAsia" w:ascii="宋体" w:hAnsi="宋体" w:eastAsia="宋体" w:cs="宋体"/>
                <w:color w:val="auto"/>
                <w:sz w:val="24"/>
                <w:highlight w:val="none"/>
              </w:rPr>
            </w:pPr>
          </w:p>
        </w:tc>
        <w:tc>
          <w:tcPr>
            <w:tcW w:w="838" w:type="dxa"/>
            <w:vAlign w:val="top"/>
          </w:tcPr>
          <w:p w14:paraId="75330011">
            <w:pPr>
              <w:spacing w:line="360" w:lineRule="auto"/>
              <w:jc w:val="center"/>
              <w:rPr>
                <w:rFonts w:hint="eastAsia" w:ascii="宋体" w:hAnsi="宋体" w:eastAsia="宋体" w:cs="宋体"/>
                <w:color w:val="auto"/>
                <w:sz w:val="24"/>
                <w:highlight w:val="none"/>
              </w:rPr>
            </w:pPr>
          </w:p>
        </w:tc>
        <w:tc>
          <w:tcPr>
            <w:tcW w:w="955" w:type="dxa"/>
            <w:vAlign w:val="top"/>
          </w:tcPr>
          <w:p w14:paraId="53067F82">
            <w:pPr>
              <w:spacing w:line="360" w:lineRule="auto"/>
              <w:jc w:val="center"/>
              <w:rPr>
                <w:rFonts w:hint="eastAsia" w:ascii="宋体" w:hAnsi="宋体" w:eastAsia="宋体" w:cs="宋体"/>
                <w:color w:val="auto"/>
                <w:sz w:val="24"/>
                <w:highlight w:val="none"/>
              </w:rPr>
            </w:pPr>
          </w:p>
        </w:tc>
        <w:tc>
          <w:tcPr>
            <w:tcW w:w="996" w:type="dxa"/>
            <w:vAlign w:val="top"/>
          </w:tcPr>
          <w:p w14:paraId="47B16AD0">
            <w:pPr>
              <w:spacing w:line="360" w:lineRule="auto"/>
              <w:jc w:val="center"/>
              <w:rPr>
                <w:rFonts w:hint="eastAsia" w:ascii="宋体" w:hAnsi="宋体" w:eastAsia="宋体" w:cs="宋体"/>
                <w:color w:val="auto"/>
                <w:sz w:val="24"/>
                <w:highlight w:val="none"/>
              </w:rPr>
            </w:pPr>
          </w:p>
        </w:tc>
      </w:tr>
      <w:tr w14:paraId="1806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220" w:type="dxa"/>
            <w:vAlign w:val="top"/>
          </w:tcPr>
          <w:p w14:paraId="1BBE7F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912" w:type="dxa"/>
            <w:vAlign w:val="top"/>
          </w:tcPr>
          <w:p w14:paraId="43856CAE">
            <w:pPr>
              <w:spacing w:line="360" w:lineRule="auto"/>
              <w:jc w:val="center"/>
              <w:rPr>
                <w:rFonts w:hint="eastAsia" w:ascii="宋体" w:hAnsi="宋体" w:eastAsia="宋体" w:cs="宋体"/>
                <w:color w:val="auto"/>
                <w:sz w:val="24"/>
                <w:highlight w:val="none"/>
              </w:rPr>
            </w:pPr>
          </w:p>
        </w:tc>
        <w:tc>
          <w:tcPr>
            <w:tcW w:w="915" w:type="dxa"/>
            <w:vAlign w:val="top"/>
          </w:tcPr>
          <w:p w14:paraId="63FC9D1E">
            <w:pPr>
              <w:spacing w:line="360" w:lineRule="auto"/>
              <w:jc w:val="center"/>
              <w:rPr>
                <w:rFonts w:hint="eastAsia" w:ascii="宋体" w:hAnsi="宋体" w:eastAsia="宋体" w:cs="宋体"/>
                <w:color w:val="auto"/>
                <w:sz w:val="24"/>
                <w:highlight w:val="none"/>
              </w:rPr>
            </w:pPr>
          </w:p>
        </w:tc>
        <w:tc>
          <w:tcPr>
            <w:tcW w:w="993" w:type="dxa"/>
            <w:vAlign w:val="top"/>
          </w:tcPr>
          <w:p w14:paraId="2FDAE1D8">
            <w:pPr>
              <w:spacing w:line="360" w:lineRule="auto"/>
              <w:jc w:val="center"/>
              <w:rPr>
                <w:rFonts w:hint="eastAsia" w:ascii="宋体" w:hAnsi="宋体" w:eastAsia="宋体" w:cs="宋体"/>
                <w:color w:val="auto"/>
                <w:sz w:val="24"/>
                <w:highlight w:val="none"/>
              </w:rPr>
            </w:pPr>
          </w:p>
        </w:tc>
        <w:tc>
          <w:tcPr>
            <w:tcW w:w="1327" w:type="dxa"/>
            <w:vAlign w:val="top"/>
          </w:tcPr>
          <w:p w14:paraId="3636F849">
            <w:pPr>
              <w:spacing w:line="360" w:lineRule="auto"/>
              <w:jc w:val="center"/>
              <w:rPr>
                <w:rFonts w:hint="eastAsia" w:ascii="宋体" w:hAnsi="宋体" w:eastAsia="宋体" w:cs="宋体"/>
                <w:color w:val="auto"/>
                <w:sz w:val="24"/>
                <w:highlight w:val="none"/>
              </w:rPr>
            </w:pPr>
          </w:p>
        </w:tc>
        <w:tc>
          <w:tcPr>
            <w:tcW w:w="701" w:type="dxa"/>
            <w:vAlign w:val="top"/>
          </w:tcPr>
          <w:p w14:paraId="6B0DAF19">
            <w:pPr>
              <w:spacing w:line="360" w:lineRule="auto"/>
              <w:jc w:val="center"/>
              <w:rPr>
                <w:rFonts w:hint="eastAsia" w:ascii="宋体" w:hAnsi="宋体" w:eastAsia="宋体" w:cs="宋体"/>
                <w:color w:val="auto"/>
                <w:sz w:val="24"/>
                <w:highlight w:val="none"/>
              </w:rPr>
            </w:pPr>
          </w:p>
        </w:tc>
        <w:tc>
          <w:tcPr>
            <w:tcW w:w="838" w:type="dxa"/>
            <w:vAlign w:val="top"/>
          </w:tcPr>
          <w:p w14:paraId="5BA59610">
            <w:pPr>
              <w:spacing w:line="360" w:lineRule="auto"/>
              <w:jc w:val="center"/>
              <w:rPr>
                <w:rFonts w:hint="eastAsia" w:ascii="宋体" w:hAnsi="宋体" w:eastAsia="宋体" w:cs="宋体"/>
                <w:color w:val="auto"/>
                <w:sz w:val="24"/>
                <w:highlight w:val="none"/>
              </w:rPr>
            </w:pPr>
          </w:p>
        </w:tc>
        <w:tc>
          <w:tcPr>
            <w:tcW w:w="955" w:type="dxa"/>
            <w:vAlign w:val="top"/>
          </w:tcPr>
          <w:p w14:paraId="2B49F630">
            <w:pPr>
              <w:spacing w:line="360" w:lineRule="auto"/>
              <w:jc w:val="center"/>
              <w:rPr>
                <w:rFonts w:hint="eastAsia" w:ascii="宋体" w:hAnsi="宋体" w:eastAsia="宋体" w:cs="宋体"/>
                <w:color w:val="auto"/>
                <w:sz w:val="24"/>
                <w:highlight w:val="none"/>
              </w:rPr>
            </w:pPr>
          </w:p>
        </w:tc>
        <w:tc>
          <w:tcPr>
            <w:tcW w:w="996" w:type="dxa"/>
            <w:vAlign w:val="top"/>
          </w:tcPr>
          <w:p w14:paraId="17EE4D65">
            <w:pPr>
              <w:spacing w:line="360" w:lineRule="auto"/>
              <w:jc w:val="center"/>
              <w:rPr>
                <w:rFonts w:hint="eastAsia" w:ascii="宋体" w:hAnsi="宋体" w:eastAsia="宋体" w:cs="宋体"/>
                <w:color w:val="auto"/>
                <w:sz w:val="24"/>
                <w:highlight w:val="none"/>
              </w:rPr>
            </w:pPr>
          </w:p>
        </w:tc>
      </w:tr>
      <w:tr w14:paraId="1A0C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14:paraId="66DB0C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12" w:type="dxa"/>
            <w:vAlign w:val="top"/>
          </w:tcPr>
          <w:p w14:paraId="4A672DAE">
            <w:pPr>
              <w:spacing w:line="360" w:lineRule="auto"/>
              <w:jc w:val="center"/>
              <w:rPr>
                <w:rFonts w:hint="eastAsia" w:ascii="宋体" w:hAnsi="宋体" w:eastAsia="宋体" w:cs="宋体"/>
                <w:color w:val="auto"/>
                <w:sz w:val="24"/>
                <w:highlight w:val="none"/>
              </w:rPr>
            </w:pPr>
          </w:p>
        </w:tc>
        <w:tc>
          <w:tcPr>
            <w:tcW w:w="915" w:type="dxa"/>
            <w:vAlign w:val="top"/>
          </w:tcPr>
          <w:p w14:paraId="5A7ED925">
            <w:pPr>
              <w:spacing w:line="360" w:lineRule="auto"/>
              <w:jc w:val="center"/>
              <w:rPr>
                <w:rFonts w:hint="eastAsia" w:ascii="宋体" w:hAnsi="宋体" w:eastAsia="宋体" w:cs="宋体"/>
                <w:color w:val="auto"/>
                <w:sz w:val="24"/>
                <w:highlight w:val="none"/>
              </w:rPr>
            </w:pPr>
          </w:p>
        </w:tc>
        <w:tc>
          <w:tcPr>
            <w:tcW w:w="993" w:type="dxa"/>
            <w:vAlign w:val="top"/>
          </w:tcPr>
          <w:p w14:paraId="0A18B8AE">
            <w:pPr>
              <w:spacing w:line="360" w:lineRule="auto"/>
              <w:jc w:val="center"/>
              <w:rPr>
                <w:rFonts w:hint="eastAsia" w:ascii="宋体" w:hAnsi="宋体" w:eastAsia="宋体" w:cs="宋体"/>
                <w:color w:val="auto"/>
                <w:sz w:val="24"/>
                <w:highlight w:val="none"/>
              </w:rPr>
            </w:pPr>
          </w:p>
        </w:tc>
        <w:tc>
          <w:tcPr>
            <w:tcW w:w="1327" w:type="dxa"/>
            <w:vAlign w:val="top"/>
          </w:tcPr>
          <w:p w14:paraId="2A3FECBA">
            <w:pPr>
              <w:spacing w:line="360" w:lineRule="auto"/>
              <w:jc w:val="center"/>
              <w:rPr>
                <w:rFonts w:hint="eastAsia" w:ascii="宋体" w:hAnsi="宋体" w:eastAsia="宋体" w:cs="宋体"/>
                <w:color w:val="auto"/>
                <w:sz w:val="24"/>
                <w:highlight w:val="none"/>
              </w:rPr>
            </w:pPr>
          </w:p>
        </w:tc>
        <w:tc>
          <w:tcPr>
            <w:tcW w:w="701" w:type="dxa"/>
            <w:vAlign w:val="top"/>
          </w:tcPr>
          <w:p w14:paraId="22F17471">
            <w:pPr>
              <w:spacing w:line="360" w:lineRule="auto"/>
              <w:jc w:val="center"/>
              <w:rPr>
                <w:rFonts w:hint="eastAsia" w:ascii="宋体" w:hAnsi="宋体" w:eastAsia="宋体" w:cs="宋体"/>
                <w:color w:val="auto"/>
                <w:sz w:val="24"/>
                <w:highlight w:val="none"/>
              </w:rPr>
            </w:pPr>
          </w:p>
        </w:tc>
        <w:tc>
          <w:tcPr>
            <w:tcW w:w="838" w:type="dxa"/>
            <w:vAlign w:val="top"/>
          </w:tcPr>
          <w:p w14:paraId="6F48A329">
            <w:pPr>
              <w:spacing w:line="360" w:lineRule="auto"/>
              <w:jc w:val="center"/>
              <w:rPr>
                <w:rFonts w:hint="eastAsia" w:ascii="宋体" w:hAnsi="宋体" w:eastAsia="宋体" w:cs="宋体"/>
                <w:color w:val="auto"/>
                <w:sz w:val="24"/>
                <w:highlight w:val="none"/>
              </w:rPr>
            </w:pPr>
          </w:p>
        </w:tc>
        <w:tc>
          <w:tcPr>
            <w:tcW w:w="955" w:type="dxa"/>
            <w:vAlign w:val="top"/>
          </w:tcPr>
          <w:p w14:paraId="44AFF831">
            <w:pPr>
              <w:spacing w:line="360" w:lineRule="auto"/>
              <w:jc w:val="center"/>
              <w:rPr>
                <w:rFonts w:hint="eastAsia" w:ascii="宋体" w:hAnsi="宋体" w:eastAsia="宋体" w:cs="宋体"/>
                <w:color w:val="auto"/>
                <w:sz w:val="24"/>
                <w:highlight w:val="none"/>
              </w:rPr>
            </w:pPr>
          </w:p>
        </w:tc>
        <w:tc>
          <w:tcPr>
            <w:tcW w:w="996" w:type="dxa"/>
            <w:vAlign w:val="top"/>
          </w:tcPr>
          <w:p w14:paraId="739C3108">
            <w:pPr>
              <w:spacing w:line="360" w:lineRule="auto"/>
              <w:jc w:val="center"/>
              <w:rPr>
                <w:rFonts w:hint="eastAsia" w:ascii="宋体" w:hAnsi="宋体" w:eastAsia="宋体" w:cs="宋体"/>
                <w:color w:val="auto"/>
                <w:sz w:val="24"/>
                <w:highlight w:val="none"/>
              </w:rPr>
            </w:pPr>
          </w:p>
        </w:tc>
      </w:tr>
      <w:tr w14:paraId="7485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14:paraId="7B330C6C">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912" w:type="dxa"/>
            <w:vAlign w:val="top"/>
          </w:tcPr>
          <w:p w14:paraId="2AACA7F4">
            <w:pPr>
              <w:spacing w:line="360" w:lineRule="auto"/>
              <w:jc w:val="center"/>
              <w:rPr>
                <w:rFonts w:hint="eastAsia" w:ascii="宋体" w:hAnsi="宋体" w:eastAsia="宋体" w:cs="宋体"/>
                <w:color w:val="auto"/>
                <w:sz w:val="24"/>
                <w:highlight w:val="none"/>
              </w:rPr>
            </w:pPr>
          </w:p>
        </w:tc>
        <w:tc>
          <w:tcPr>
            <w:tcW w:w="915" w:type="dxa"/>
            <w:vAlign w:val="top"/>
          </w:tcPr>
          <w:p w14:paraId="55EB190A">
            <w:pPr>
              <w:spacing w:line="360" w:lineRule="auto"/>
              <w:jc w:val="center"/>
              <w:rPr>
                <w:rFonts w:hint="eastAsia" w:ascii="宋体" w:hAnsi="宋体" w:eastAsia="宋体" w:cs="宋体"/>
                <w:color w:val="auto"/>
                <w:sz w:val="24"/>
                <w:highlight w:val="none"/>
              </w:rPr>
            </w:pPr>
          </w:p>
        </w:tc>
        <w:tc>
          <w:tcPr>
            <w:tcW w:w="993" w:type="dxa"/>
            <w:vAlign w:val="top"/>
          </w:tcPr>
          <w:p w14:paraId="22F3548A">
            <w:pPr>
              <w:spacing w:line="360" w:lineRule="auto"/>
              <w:jc w:val="center"/>
              <w:rPr>
                <w:rFonts w:hint="eastAsia" w:ascii="宋体" w:hAnsi="宋体" w:eastAsia="宋体" w:cs="宋体"/>
                <w:color w:val="auto"/>
                <w:sz w:val="24"/>
                <w:highlight w:val="none"/>
              </w:rPr>
            </w:pPr>
          </w:p>
        </w:tc>
        <w:tc>
          <w:tcPr>
            <w:tcW w:w="1327" w:type="dxa"/>
            <w:vAlign w:val="top"/>
          </w:tcPr>
          <w:p w14:paraId="703EE475">
            <w:pPr>
              <w:spacing w:line="360" w:lineRule="auto"/>
              <w:jc w:val="center"/>
              <w:rPr>
                <w:rFonts w:hint="eastAsia" w:ascii="宋体" w:hAnsi="宋体" w:eastAsia="宋体" w:cs="宋体"/>
                <w:color w:val="auto"/>
                <w:sz w:val="24"/>
                <w:highlight w:val="none"/>
              </w:rPr>
            </w:pPr>
          </w:p>
        </w:tc>
        <w:tc>
          <w:tcPr>
            <w:tcW w:w="701" w:type="dxa"/>
            <w:vAlign w:val="top"/>
          </w:tcPr>
          <w:p w14:paraId="16ADB43D">
            <w:pPr>
              <w:spacing w:line="360" w:lineRule="auto"/>
              <w:jc w:val="center"/>
              <w:rPr>
                <w:rFonts w:hint="eastAsia" w:ascii="宋体" w:hAnsi="宋体" w:eastAsia="宋体" w:cs="宋体"/>
                <w:color w:val="auto"/>
                <w:sz w:val="24"/>
                <w:highlight w:val="none"/>
              </w:rPr>
            </w:pPr>
          </w:p>
        </w:tc>
        <w:tc>
          <w:tcPr>
            <w:tcW w:w="838" w:type="dxa"/>
            <w:vAlign w:val="top"/>
          </w:tcPr>
          <w:p w14:paraId="28DEA0E6">
            <w:pPr>
              <w:spacing w:line="360" w:lineRule="auto"/>
              <w:jc w:val="center"/>
              <w:rPr>
                <w:rFonts w:hint="eastAsia" w:ascii="宋体" w:hAnsi="宋体" w:eastAsia="宋体" w:cs="宋体"/>
                <w:color w:val="auto"/>
                <w:sz w:val="24"/>
                <w:highlight w:val="none"/>
              </w:rPr>
            </w:pPr>
          </w:p>
        </w:tc>
        <w:tc>
          <w:tcPr>
            <w:tcW w:w="955" w:type="dxa"/>
            <w:vAlign w:val="top"/>
          </w:tcPr>
          <w:p w14:paraId="25480CC6">
            <w:pPr>
              <w:spacing w:line="360" w:lineRule="auto"/>
              <w:jc w:val="center"/>
              <w:rPr>
                <w:rFonts w:hint="eastAsia" w:ascii="宋体" w:hAnsi="宋体" w:eastAsia="宋体" w:cs="宋体"/>
                <w:color w:val="auto"/>
                <w:sz w:val="24"/>
                <w:highlight w:val="none"/>
              </w:rPr>
            </w:pPr>
          </w:p>
        </w:tc>
        <w:tc>
          <w:tcPr>
            <w:tcW w:w="996" w:type="dxa"/>
            <w:vAlign w:val="top"/>
          </w:tcPr>
          <w:p w14:paraId="2FD7066F">
            <w:pPr>
              <w:spacing w:line="360" w:lineRule="auto"/>
              <w:jc w:val="center"/>
              <w:rPr>
                <w:rFonts w:hint="eastAsia" w:ascii="宋体" w:hAnsi="宋体" w:eastAsia="宋体" w:cs="宋体"/>
                <w:color w:val="auto"/>
                <w:sz w:val="24"/>
                <w:highlight w:val="none"/>
              </w:rPr>
            </w:pPr>
          </w:p>
        </w:tc>
      </w:tr>
      <w:tr w14:paraId="2D6F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14:paraId="719D7BEA">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912" w:type="dxa"/>
            <w:vAlign w:val="top"/>
          </w:tcPr>
          <w:p w14:paraId="5DA1133D">
            <w:pPr>
              <w:spacing w:line="360" w:lineRule="auto"/>
              <w:jc w:val="center"/>
              <w:rPr>
                <w:rFonts w:hint="eastAsia" w:ascii="宋体" w:hAnsi="宋体" w:eastAsia="宋体" w:cs="宋体"/>
                <w:color w:val="auto"/>
                <w:sz w:val="24"/>
                <w:highlight w:val="none"/>
              </w:rPr>
            </w:pPr>
          </w:p>
        </w:tc>
        <w:tc>
          <w:tcPr>
            <w:tcW w:w="915" w:type="dxa"/>
            <w:vAlign w:val="top"/>
          </w:tcPr>
          <w:p w14:paraId="49F589AB">
            <w:pPr>
              <w:spacing w:line="360" w:lineRule="auto"/>
              <w:jc w:val="center"/>
              <w:rPr>
                <w:rFonts w:hint="eastAsia" w:ascii="宋体" w:hAnsi="宋体" w:eastAsia="宋体" w:cs="宋体"/>
                <w:color w:val="auto"/>
                <w:sz w:val="24"/>
                <w:highlight w:val="none"/>
              </w:rPr>
            </w:pPr>
          </w:p>
        </w:tc>
        <w:tc>
          <w:tcPr>
            <w:tcW w:w="993" w:type="dxa"/>
            <w:vAlign w:val="top"/>
          </w:tcPr>
          <w:p w14:paraId="0F53DAF1">
            <w:pPr>
              <w:spacing w:line="360" w:lineRule="auto"/>
              <w:jc w:val="center"/>
              <w:rPr>
                <w:rFonts w:hint="eastAsia" w:ascii="宋体" w:hAnsi="宋体" w:eastAsia="宋体" w:cs="宋体"/>
                <w:color w:val="auto"/>
                <w:sz w:val="24"/>
                <w:highlight w:val="none"/>
              </w:rPr>
            </w:pPr>
          </w:p>
        </w:tc>
        <w:tc>
          <w:tcPr>
            <w:tcW w:w="1327" w:type="dxa"/>
            <w:vAlign w:val="top"/>
          </w:tcPr>
          <w:p w14:paraId="5FCA110C">
            <w:pPr>
              <w:spacing w:line="360" w:lineRule="auto"/>
              <w:jc w:val="center"/>
              <w:rPr>
                <w:rFonts w:hint="eastAsia" w:ascii="宋体" w:hAnsi="宋体" w:eastAsia="宋体" w:cs="宋体"/>
                <w:color w:val="auto"/>
                <w:sz w:val="24"/>
                <w:highlight w:val="none"/>
              </w:rPr>
            </w:pPr>
          </w:p>
        </w:tc>
        <w:tc>
          <w:tcPr>
            <w:tcW w:w="701" w:type="dxa"/>
            <w:vAlign w:val="top"/>
          </w:tcPr>
          <w:p w14:paraId="58C6CB4E">
            <w:pPr>
              <w:spacing w:line="360" w:lineRule="auto"/>
              <w:jc w:val="center"/>
              <w:rPr>
                <w:rFonts w:hint="eastAsia" w:ascii="宋体" w:hAnsi="宋体" w:eastAsia="宋体" w:cs="宋体"/>
                <w:color w:val="auto"/>
                <w:sz w:val="24"/>
                <w:highlight w:val="none"/>
              </w:rPr>
            </w:pPr>
          </w:p>
        </w:tc>
        <w:tc>
          <w:tcPr>
            <w:tcW w:w="838" w:type="dxa"/>
            <w:vAlign w:val="top"/>
          </w:tcPr>
          <w:p w14:paraId="5921D70D">
            <w:pPr>
              <w:spacing w:line="360" w:lineRule="auto"/>
              <w:jc w:val="center"/>
              <w:rPr>
                <w:rFonts w:hint="eastAsia" w:ascii="宋体" w:hAnsi="宋体" w:eastAsia="宋体" w:cs="宋体"/>
                <w:color w:val="auto"/>
                <w:sz w:val="24"/>
                <w:highlight w:val="none"/>
              </w:rPr>
            </w:pPr>
          </w:p>
        </w:tc>
        <w:tc>
          <w:tcPr>
            <w:tcW w:w="955" w:type="dxa"/>
            <w:vAlign w:val="top"/>
          </w:tcPr>
          <w:p w14:paraId="33DD0873">
            <w:pPr>
              <w:spacing w:line="360" w:lineRule="auto"/>
              <w:jc w:val="center"/>
              <w:rPr>
                <w:rFonts w:hint="eastAsia" w:ascii="宋体" w:hAnsi="宋体" w:eastAsia="宋体" w:cs="宋体"/>
                <w:color w:val="auto"/>
                <w:sz w:val="24"/>
                <w:highlight w:val="none"/>
              </w:rPr>
            </w:pPr>
          </w:p>
        </w:tc>
        <w:tc>
          <w:tcPr>
            <w:tcW w:w="996" w:type="dxa"/>
            <w:vAlign w:val="top"/>
          </w:tcPr>
          <w:p w14:paraId="5FDC083A">
            <w:pPr>
              <w:spacing w:line="360" w:lineRule="auto"/>
              <w:jc w:val="center"/>
              <w:rPr>
                <w:rFonts w:hint="eastAsia" w:ascii="宋体" w:hAnsi="宋体" w:eastAsia="宋体" w:cs="宋体"/>
                <w:color w:val="auto"/>
                <w:sz w:val="24"/>
                <w:highlight w:val="none"/>
              </w:rPr>
            </w:pPr>
          </w:p>
        </w:tc>
      </w:tr>
      <w:tr w14:paraId="3A5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220" w:type="dxa"/>
            <w:vAlign w:val="top"/>
          </w:tcPr>
          <w:p w14:paraId="339F785E">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12" w:type="dxa"/>
            <w:vAlign w:val="top"/>
          </w:tcPr>
          <w:p w14:paraId="4160E689">
            <w:pPr>
              <w:spacing w:line="360" w:lineRule="auto"/>
              <w:jc w:val="center"/>
              <w:rPr>
                <w:rFonts w:hint="eastAsia" w:ascii="宋体" w:hAnsi="宋体" w:eastAsia="宋体" w:cs="宋体"/>
                <w:color w:val="auto"/>
                <w:sz w:val="24"/>
                <w:highlight w:val="none"/>
              </w:rPr>
            </w:pPr>
          </w:p>
        </w:tc>
        <w:tc>
          <w:tcPr>
            <w:tcW w:w="915" w:type="dxa"/>
            <w:vAlign w:val="top"/>
          </w:tcPr>
          <w:p w14:paraId="3870568B">
            <w:pPr>
              <w:spacing w:line="360" w:lineRule="auto"/>
              <w:jc w:val="center"/>
              <w:rPr>
                <w:rFonts w:hint="eastAsia" w:ascii="宋体" w:hAnsi="宋体" w:eastAsia="宋体" w:cs="宋体"/>
                <w:color w:val="auto"/>
                <w:sz w:val="24"/>
                <w:highlight w:val="none"/>
              </w:rPr>
            </w:pPr>
          </w:p>
        </w:tc>
        <w:tc>
          <w:tcPr>
            <w:tcW w:w="993" w:type="dxa"/>
            <w:vAlign w:val="top"/>
          </w:tcPr>
          <w:p w14:paraId="2581F59F">
            <w:pPr>
              <w:spacing w:line="360" w:lineRule="auto"/>
              <w:jc w:val="center"/>
              <w:rPr>
                <w:rFonts w:hint="eastAsia" w:ascii="宋体" w:hAnsi="宋体" w:eastAsia="宋体" w:cs="宋体"/>
                <w:color w:val="auto"/>
                <w:sz w:val="24"/>
                <w:highlight w:val="none"/>
              </w:rPr>
            </w:pPr>
          </w:p>
        </w:tc>
        <w:tc>
          <w:tcPr>
            <w:tcW w:w="1327" w:type="dxa"/>
            <w:vAlign w:val="top"/>
          </w:tcPr>
          <w:p w14:paraId="44E5B16C">
            <w:pPr>
              <w:spacing w:line="360" w:lineRule="auto"/>
              <w:jc w:val="center"/>
              <w:rPr>
                <w:rFonts w:hint="eastAsia" w:ascii="宋体" w:hAnsi="宋体" w:eastAsia="宋体" w:cs="宋体"/>
                <w:color w:val="auto"/>
                <w:sz w:val="24"/>
                <w:highlight w:val="none"/>
              </w:rPr>
            </w:pPr>
          </w:p>
        </w:tc>
        <w:tc>
          <w:tcPr>
            <w:tcW w:w="701" w:type="dxa"/>
            <w:vAlign w:val="top"/>
          </w:tcPr>
          <w:p w14:paraId="4AD33A4F">
            <w:pPr>
              <w:spacing w:line="360" w:lineRule="auto"/>
              <w:jc w:val="center"/>
              <w:rPr>
                <w:rFonts w:hint="eastAsia" w:ascii="宋体" w:hAnsi="宋体" w:eastAsia="宋体" w:cs="宋体"/>
                <w:color w:val="auto"/>
                <w:sz w:val="24"/>
                <w:highlight w:val="none"/>
              </w:rPr>
            </w:pPr>
          </w:p>
        </w:tc>
        <w:tc>
          <w:tcPr>
            <w:tcW w:w="838" w:type="dxa"/>
            <w:vAlign w:val="top"/>
          </w:tcPr>
          <w:p w14:paraId="44113C33">
            <w:pPr>
              <w:spacing w:line="360" w:lineRule="auto"/>
              <w:jc w:val="center"/>
              <w:rPr>
                <w:rFonts w:hint="eastAsia" w:ascii="宋体" w:hAnsi="宋体" w:eastAsia="宋体" w:cs="宋体"/>
                <w:color w:val="auto"/>
                <w:sz w:val="24"/>
                <w:highlight w:val="none"/>
              </w:rPr>
            </w:pPr>
          </w:p>
        </w:tc>
        <w:tc>
          <w:tcPr>
            <w:tcW w:w="955" w:type="dxa"/>
            <w:vAlign w:val="top"/>
          </w:tcPr>
          <w:p w14:paraId="48FC95D2">
            <w:pPr>
              <w:spacing w:line="360" w:lineRule="auto"/>
              <w:jc w:val="center"/>
              <w:rPr>
                <w:rFonts w:hint="eastAsia" w:ascii="宋体" w:hAnsi="宋体" w:eastAsia="宋体" w:cs="宋体"/>
                <w:color w:val="auto"/>
                <w:sz w:val="24"/>
                <w:highlight w:val="none"/>
              </w:rPr>
            </w:pPr>
          </w:p>
        </w:tc>
        <w:tc>
          <w:tcPr>
            <w:tcW w:w="996" w:type="dxa"/>
            <w:vAlign w:val="top"/>
          </w:tcPr>
          <w:p w14:paraId="1E935F16">
            <w:pPr>
              <w:spacing w:line="360" w:lineRule="auto"/>
              <w:jc w:val="center"/>
              <w:rPr>
                <w:rFonts w:hint="eastAsia" w:ascii="宋体" w:hAnsi="宋体" w:eastAsia="宋体" w:cs="宋体"/>
                <w:color w:val="auto"/>
                <w:sz w:val="24"/>
                <w:highlight w:val="none"/>
              </w:rPr>
            </w:pPr>
          </w:p>
        </w:tc>
      </w:tr>
    </w:tbl>
    <w:p w14:paraId="0A337914">
      <w:pPr>
        <w:pStyle w:val="31"/>
        <w:numPr>
          <w:ilvl w:val="0"/>
          <w:numId w:val="0"/>
        </w:numPr>
        <w:rPr>
          <w:rFonts w:hint="eastAsia" w:ascii="宋体" w:hAnsi="宋体" w:cs="宋体"/>
          <w:color w:val="auto"/>
          <w:sz w:val="24"/>
          <w:szCs w:val="24"/>
          <w:highlight w:val="none"/>
        </w:rPr>
      </w:pPr>
    </w:p>
    <w:p w14:paraId="0495ECC1">
      <w:pPr>
        <w:pStyle w:val="48"/>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备注：1、拟配备人员由供应商自行确定，但应能够满足本项目的基本需求，并提供相关证明材料</w:t>
      </w:r>
      <w:r>
        <w:rPr>
          <w:rFonts w:hint="eastAsia" w:ascii="宋体" w:hAnsi="宋体" w:eastAsia="宋体" w:cs="宋体"/>
          <w:bCs/>
          <w:color w:val="auto"/>
          <w:sz w:val="24"/>
          <w:szCs w:val="24"/>
          <w:highlight w:val="none"/>
        </w:rPr>
        <w:t>及其它一切有利于项目服务人员的证明材料</w:t>
      </w:r>
      <w:r>
        <w:rPr>
          <w:rFonts w:hint="eastAsia" w:ascii="宋体" w:hAnsi="宋体" w:eastAsia="宋体" w:cs="宋体"/>
          <w:color w:val="auto"/>
          <w:sz w:val="24"/>
          <w:szCs w:val="24"/>
          <w:highlight w:val="none"/>
        </w:rPr>
        <w:t>。</w:t>
      </w:r>
    </w:p>
    <w:p w14:paraId="16942858">
      <w:pPr>
        <w:keepNext/>
        <w:keepLines/>
        <w:spacing w:line="360" w:lineRule="auto"/>
        <w:jc w:val="left"/>
        <w:rPr>
          <w:rFonts w:hint="eastAsia" w:ascii="宋体" w:hAnsi="宋体" w:eastAsia="宋体" w:cs="宋体"/>
          <w:color w:val="auto"/>
          <w:sz w:val="24"/>
          <w:highlight w:val="none"/>
        </w:rPr>
      </w:pPr>
    </w:p>
    <w:p w14:paraId="459D0F1A">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后附:</w:t>
      </w:r>
      <w:r>
        <w:rPr>
          <w:rFonts w:hint="eastAsia" w:ascii="宋体" w:hAnsi="宋体" w:eastAsia="宋体" w:cs="宋体"/>
          <w:color w:val="auto"/>
          <w:sz w:val="24"/>
          <w:szCs w:val="24"/>
          <w:highlight w:val="none"/>
        </w:rPr>
        <w:t>拟配备人员</w:t>
      </w:r>
      <w:r>
        <w:rPr>
          <w:rFonts w:hint="eastAsia" w:ascii="宋体" w:hAnsi="宋体" w:eastAsia="宋体" w:cs="宋体"/>
          <w:color w:val="auto"/>
          <w:sz w:val="24"/>
          <w:szCs w:val="24"/>
          <w:highlight w:val="none"/>
          <w:lang w:val="en-US" w:eastAsia="zh-CN"/>
        </w:rPr>
        <w:t>身份证、</w:t>
      </w:r>
      <w:r>
        <w:rPr>
          <w:rFonts w:hint="eastAsia" w:ascii="宋体" w:hAnsi="宋体" w:cs="宋体"/>
          <w:color w:val="auto"/>
          <w:sz w:val="24"/>
          <w:szCs w:val="24"/>
          <w:highlight w:val="none"/>
          <w:lang w:val="en-US" w:eastAsia="zh-CN"/>
        </w:rPr>
        <w:t>学历证、</w:t>
      </w:r>
      <w:r>
        <w:rPr>
          <w:rFonts w:hint="eastAsia" w:ascii="宋体" w:hAnsi="宋体" w:eastAsia="宋体" w:cs="宋体"/>
          <w:color w:val="auto"/>
          <w:sz w:val="24"/>
          <w:szCs w:val="24"/>
          <w:highlight w:val="none"/>
          <w:lang w:val="en-US" w:eastAsia="zh-CN"/>
        </w:rPr>
        <w:t>相关专业</w:t>
      </w:r>
      <w:r>
        <w:rPr>
          <w:rFonts w:hint="eastAsia" w:ascii="宋体" w:hAnsi="宋体" w:cs="宋体"/>
          <w:color w:val="auto"/>
          <w:sz w:val="24"/>
          <w:szCs w:val="24"/>
          <w:highlight w:val="none"/>
          <w:lang w:val="en-US" w:eastAsia="zh-CN"/>
        </w:rPr>
        <w:t>职称或注册或执业</w:t>
      </w:r>
      <w:r>
        <w:rPr>
          <w:rFonts w:hint="eastAsia" w:ascii="宋体" w:hAnsi="宋体" w:eastAsia="宋体" w:cs="宋体"/>
          <w:color w:val="auto"/>
          <w:sz w:val="24"/>
          <w:szCs w:val="24"/>
          <w:highlight w:val="none"/>
          <w:lang w:val="en-US" w:eastAsia="zh-CN"/>
        </w:rPr>
        <w:t>证书等。</w:t>
      </w:r>
      <w:r>
        <w:rPr>
          <w:rFonts w:hint="eastAsia" w:ascii="宋体" w:hAnsi="宋体" w:cs="宋体"/>
          <w:color w:val="auto"/>
          <w:sz w:val="24"/>
          <w:szCs w:val="24"/>
          <w:highlight w:val="none"/>
        </w:rPr>
        <w:br w:type="page"/>
      </w:r>
    </w:p>
    <w:p w14:paraId="4C67FDDF">
      <w:pPr>
        <w:pStyle w:val="31"/>
        <w:numPr>
          <w:ilvl w:val="0"/>
          <w:numId w:val="0"/>
        </w:numPr>
        <w:spacing w:line="360" w:lineRule="auto"/>
        <w:ind w:firstLine="2880" w:firstLineChars="1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w:t>
      </w:r>
      <w:r>
        <w:rPr>
          <w:rFonts w:hint="eastAsia" w:ascii="宋体" w:hAnsi="宋体" w:cs="宋体"/>
          <w:color w:val="auto"/>
          <w:sz w:val="24"/>
          <w:szCs w:val="24"/>
          <w:highlight w:val="none"/>
          <w:lang w:val="en-US" w:eastAsia="zh-CN"/>
        </w:rPr>
        <w:t>简介</w:t>
      </w:r>
    </w:p>
    <w:tbl>
      <w:tblPr>
        <w:tblStyle w:val="3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2740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5533F11">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136" w:type="dxa"/>
            <w:vAlign w:val="center"/>
          </w:tcPr>
          <w:p w14:paraId="547A2FA6">
            <w:pPr>
              <w:pStyle w:val="31"/>
              <w:numPr>
                <w:ilvl w:val="0"/>
                <w:numId w:val="0"/>
              </w:numPr>
              <w:spacing w:line="360" w:lineRule="auto"/>
              <w:rPr>
                <w:rFonts w:hint="eastAsia" w:ascii="宋体" w:hAnsi="宋体" w:cs="宋体"/>
                <w:color w:val="auto"/>
                <w:sz w:val="24"/>
                <w:szCs w:val="24"/>
                <w:highlight w:val="none"/>
                <w:lang w:val="en-US" w:eastAsia="zh-CN"/>
              </w:rPr>
            </w:pPr>
          </w:p>
        </w:tc>
        <w:tc>
          <w:tcPr>
            <w:tcW w:w="1421" w:type="dxa"/>
            <w:vAlign w:val="center"/>
          </w:tcPr>
          <w:p w14:paraId="5BBEC814">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1420" w:type="dxa"/>
            <w:vAlign w:val="center"/>
          </w:tcPr>
          <w:p w14:paraId="2762DEC5">
            <w:pPr>
              <w:pStyle w:val="31"/>
              <w:numPr>
                <w:ilvl w:val="0"/>
                <w:numId w:val="0"/>
              </w:numPr>
              <w:spacing w:line="360" w:lineRule="auto"/>
              <w:rPr>
                <w:rFonts w:hint="eastAsia" w:ascii="宋体" w:hAnsi="宋体" w:cs="宋体"/>
                <w:color w:val="auto"/>
                <w:sz w:val="24"/>
                <w:szCs w:val="24"/>
                <w:highlight w:val="none"/>
              </w:rPr>
            </w:pPr>
          </w:p>
        </w:tc>
        <w:tc>
          <w:tcPr>
            <w:tcW w:w="1267" w:type="dxa"/>
            <w:vAlign w:val="center"/>
          </w:tcPr>
          <w:p w14:paraId="349297FA">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2160" w:type="dxa"/>
            <w:vAlign w:val="center"/>
          </w:tcPr>
          <w:p w14:paraId="3CA5752D">
            <w:pPr>
              <w:pStyle w:val="31"/>
              <w:numPr>
                <w:ilvl w:val="0"/>
                <w:numId w:val="0"/>
              </w:numPr>
              <w:spacing w:line="360" w:lineRule="auto"/>
              <w:rPr>
                <w:rFonts w:hint="eastAsia" w:ascii="宋体" w:hAnsi="宋体" w:cs="宋体"/>
                <w:color w:val="auto"/>
                <w:sz w:val="24"/>
                <w:szCs w:val="24"/>
                <w:highlight w:val="none"/>
                <w:lang w:val="en-US" w:eastAsia="zh-CN"/>
              </w:rPr>
            </w:pPr>
          </w:p>
        </w:tc>
      </w:tr>
      <w:tr w14:paraId="5CBE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7CCCB01A">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136" w:type="dxa"/>
            <w:vAlign w:val="center"/>
          </w:tcPr>
          <w:p w14:paraId="3061AE06">
            <w:pPr>
              <w:pStyle w:val="31"/>
              <w:numPr>
                <w:ilvl w:val="0"/>
                <w:numId w:val="0"/>
              </w:numPr>
              <w:spacing w:line="360" w:lineRule="auto"/>
              <w:rPr>
                <w:rFonts w:hint="eastAsia" w:ascii="宋体" w:hAnsi="宋体" w:cs="宋体"/>
                <w:color w:val="auto"/>
                <w:sz w:val="24"/>
                <w:szCs w:val="24"/>
                <w:highlight w:val="none"/>
                <w:lang w:val="en-US" w:eastAsia="zh-CN"/>
              </w:rPr>
            </w:pPr>
          </w:p>
        </w:tc>
        <w:tc>
          <w:tcPr>
            <w:tcW w:w="1421" w:type="dxa"/>
            <w:vAlign w:val="center"/>
          </w:tcPr>
          <w:p w14:paraId="4AB94418">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职称</w:t>
            </w:r>
          </w:p>
        </w:tc>
        <w:tc>
          <w:tcPr>
            <w:tcW w:w="1420" w:type="dxa"/>
            <w:vAlign w:val="center"/>
          </w:tcPr>
          <w:p w14:paraId="4E39A656">
            <w:pPr>
              <w:pStyle w:val="31"/>
              <w:numPr>
                <w:ilvl w:val="0"/>
                <w:numId w:val="0"/>
              </w:numPr>
              <w:spacing w:line="360" w:lineRule="auto"/>
              <w:rPr>
                <w:rFonts w:hint="eastAsia" w:ascii="宋体" w:hAnsi="宋体" w:cs="宋体"/>
                <w:color w:val="auto"/>
                <w:sz w:val="24"/>
                <w:szCs w:val="24"/>
                <w:highlight w:val="none"/>
                <w:lang w:val="en-US" w:eastAsia="zh-CN"/>
              </w:rPr>
            </w:pPr>
          </w:p>
        </w:tc>
        <w:tc>
          <w:tcPr>
            <w:tcW w:w="1267" w:type="dxa"/>
            <w:vAlign w:val="center"/>
          </w:tcPr>
          <w:p w14:paraId="67D3B5C5">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2160" w:type="dxa"/>
            <w:vAlign w:val="center"/>
          </w:tcPr>
          <w:p w14:paraId="403480E9">
            <w:pPr>
              <w:pStyle w:val="31"/>
              <w:numPr>
                <w:ilvl w:val="0"/>
                <w:numId w:val="0"/>
              </w:numPr>
              <w:spacing w:line="360" w:lineRule="auto"/>
              <w:rPr>
                <w:rFonts w:hint="eastAsia" w:ascii="宋体" w:hAnsi="宋体" w:cs="宋体"/>
                <w:color w:val="auto"/>
                <w:sz w:val="24"/>
                <w:szCs w:val="24"/>
                <w:highlight w:val="none"/>
                <w:lang w:val="en-US" w:eastAsia="zh-CN"/>
              </w:rPr>
            </w:pPr>
          </w:p>
        </w:tc>
      </w:tr>
      <w:tr w14:paraId="3DB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41B7C8BE">
            <w:pPr>
              <w:pStyle w:val="31"/>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身份证号</w:t>
            </w:r>
          </w:p>
        </w:tc>
        <w:tc>
          <w:tcPr>
            <w:tcW w:w="2557" w:type="dxa"/>
            <w:gridSpan w:val="2"/>
            <w:vAlign w:val="center"/>
          </w:tcPr>
          <w:p w14:paraId="0691B7F3">
            <w:pPr>
              <w:pStyle w:val="31"/>
              <w:numPr>
                <w:ilvl w:val="0"/>
                <w:numId w:val="0"/>
              </w:numPr>
              <w:spacing w:line="360" w:lineRule="auto"/>
              <w:rPr>
                <w:rFonts w:hint="eastAsia" w:ascii="宋体" w:hAnsi="宋体" w:cs="宋体"/>
                <w:color w:val="auto"/>
                <w:sz w:val="24"/>
                <w:szCs w:val="24"/>
                <w:highlight w:val="none"/>
                <w:lang w:val="en-US" w:eastAsia="zh-CN"/>
              </w:rPr>
            </w:pPr>
          </w:p>
        </w:tc>
        <w:tc>
          <w:tcPr>
            <w:tcW w:w="2687" w:type="dxa"/>
            <w:gridSpan w:val="2"/>
            <w:vAlign w:val="center"/>
          </w:tcPr>
          <w:p w14:paraId="0A962518">
            <w:pPr>
              <w:pStyle w:val="31"/>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联系电话</w:t>
            </w:r>
          </w:p>
        </w:tc>
        <w:tc>
          <w:tcPr>
            <w:tcW w:w="2160" w:type="dxa"/>
            <w:vAlign w:val="center"/>
          </w:tcPr>
          <w:p w14:paraId="6BFF7873">
            <w:pPr>
              <w:pStyle w:val="31"/>
              <w:numPr>
                <w:ilvl w:val="0"/>
                <w:numId w:val="0"/>
              </w:numPr>
              <w:spacing w:line="360" w:lineRule="auto"/>
              <w:rPr>
                <w:rFonts w:hint="eastAsia" w:ascii="宋体" w:hAnsi="宋体" w:cs="宋体"/>
                <w:color w:val="auto"/>
                <w:sz w:val="24"/>
                <w:szCs w:val="24"/>
                <w:highlight w:val="none"/>
                <w:lang w:val="en-US" w:eastAsia="zh-CN"/>
              </w:rPr>
            </w:pPr>
          </w:p>
        </w:tc>
      </w:tr>
      <w:tr w14:paraId="2689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551FF400">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2557" w:type="dxa"/>
            <w:gridSpan w:val="2"/>
            <w:vAlign w:val="center"/>
          </w:tcPr>
          <w:p w14:paraId="520C7036">
            <w:pPr>
              <w:pStyle w:val="31"/>
              <w:numPr>
                <w:ilvl w:val="0"/>
                <w:numId w:val="0"/>
              </w:numPr>
              <w:spacing w:line="360" w:lineRule="auto"/>
              <w:rPr>
                <w:rFonts w:hint="eastAsia" w:ascii="宋体" w:hAnsi="宋体" w:cs="宋体"/>
                <w:color w:val="auto"/>
                <w:sz w:val="24"/>
                <w:szCs w:val="24"/>
                <w:highlight w:val="none"/>
                <w:lang w:val="en-US" w:eastAsia="zh-CN"/>
              </w:rPr>
            </w:pPr>
          </w:p>
        </w:tc>
        <w:tc>
          <w:tcPr>
            <w:tcW w:w="2687" w:type="dxa"/>
            <w:gridSpan w:val="2"/>
            <w:vAlign w:val="center"/>
          </w:tcPr>
          <w:p w14:paraId="501E2714">
            <w:pPr>
              <w:pStyle w:val="31"/>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从事项目管理工作年限</w:t>
            </w:r>
          </w:p>
        </w:tc>
        <w:tc>
          <w:tcPr>
            <w:tcW w:w="2160" w:type="dxa"/>
            <w:vAlign w:val="center"/>
          </w:tcPr>
          <w:p w14:paraId="69301C1C">
            <w:pPr>
              <w:pStyle w:val="31"/>
              <w:numPr>
                <w:ilvl w:val="0"/>
                <w:numId w:val="0"/>
              </w:numPr>
              <w:spacing w:line="360" w:lineRule="auto"/>
              <w:rPr>
                <w:rFonts w:hint="eastAsia" w:ascii="宋体" w:hAnsi="宋体" w:cs="宋体"/>
                <w:color w:val="auto"/>
                <w:sz w:val="24"/>
                <w:szCs w:val="24"/>
                <w:highlight w:val="none"/>
                <w:lang w:val="en-US" w:eastAsia="zh-CN"/>
              </w:rPr>
            </w:pPr>
          </w:p>
        </w:tc>
      </w:tr>
      <w:tr w14:paraId="391B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Align w:val="center"/>
          </w:tcPr>
          <w:p w14:paraId="76A9CCAF">
            <w:pPr>
              <w:pStyle w:val="31"/>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相关证书</w:t>
            </w:r>
          </w:p>
        </w:tc>
        <w:tc>
          <w:tcPr>
            <w:tcW w:w="7404" w:type="dxa"/>
            <w:gridSpan w:val="5"/>
            <w:vAlign w:val="center"/>
          </w:tcPr>
          <w:p w14:paraId="1F4957FF">
            <w:pPr>
              <w:pStyle w:val="31"/>
              <w:numPr>
                <w:ilvl w:val="0"/>
                <w:numId w:val="0"/>
              </w:numPr>
              <w:spacing w:line="360" w:lineRule="auto"/>
              <w:rPr>
                <w:rFonts w:hint="eastAsia" w:ascii="宋体" w:hAnsi="宋体" w:cs="宋体"/>
                <w:color w:val="auto"/>
                <w:sz w:val="24"/>
                <w:szCs w:val="24"/>
                <w:highlight w:val="none"/>
                <w:lang w:val="en-US" w:eastAsia="zh-CN"/>
              </w:rPr>
            </w:pPr>
          </w:p>
        </w:tc>
      </w:tr>
    </w:tbl>
    <w:p w14:paraId="20CB055A">
      <w:pPr>
        <w:pStyle w:val="31"/>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后附项目负责人身份证、劳动合同、相关职业或执业或职称证书、类似项目业绩等证明材料，证明材料不全酌情扣分，未提供不得分。</w:t>
      </w:r>
    </w:p>
    <w:p w14:paraId="336E95DC">
      <w:pPr>
        <w:pStyle w:val="31"/>
        <w:numPr>
          <w:ilvl w:val="0"/>
          <w:numId w:val="0"/>
        </w:numPr>
        <w:rPr>
          <w:rFonts w:hint="eastAsia" w:ascii="宋体" w:hAnsi="宋体" w:cs="宋体"/>
          <w:color w:val="auto"/>
          <w:sz w:val="24"/>
          <w:szCs w:val="24"/>
          <w:highlight w:val="none"/>
          <w:lang w:val="en-US" w:eastAsia="zh-CN"/>
        </w:rPr>
      </w:pPr>
    </w:p>
    <w:p w14:paraId="6215BEF3">
      <w:pPr>
        <w:pStyle w:val="31"/>
        <w:numPr>
          <w:ilvl w:val="0"/>
          <w:numId w:val="0"/>
        </w:numPr>
        <w:rPr>
          <w:rFonts w:hint="eastAsia" w:ascii="宋体" w:hAnsi="宋体" w:cs="宋体"/>
          <w:color w:val="auto"/>
          <w:sz w:val="24"/>
          <w:szCs w:val="24"/>
          <w:highlight w:val="none"/>
          <w:lang w:val="en-US" w:eastAsia="zh-CN"/>
        </w:rPr>
      </w:pPr>
    </w:p>
    <w:p w14:paraId="3982BC61">
      <w:pPr>
        <w:pStyle w:val="31"/>
        <w:numPr>
          <w:ilvl w:val="0"/>
          <w:numId w:val="0"/>
        </w:num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14:paraId="1E83EF11">
      <w:pPr>
        <w:pStyle w:val="31"/>
        <w:numPr>
          <w:ilvl w:val="0"/>
          <w:numId w:val="0"/>
        </w:numPr>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项目负责人近三年（20</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年1月1日</w:t>
      </w:r>
      <w:r>
        <w:rPr>
          <w:rFonts w:hint="eastAsia" w:ascii="宋体" w:hAnsi="宋体" w:cs="宋体"/>
          <w:color w:val="auto"/>
          <w:sz w:val="24"/>
          <w:szCs w:val="24"/>
          <w:highlight w:val="none"/>
          <w:lang w:val="en-US" w:eastAsia="zh-CN"/>
        </w:rPr>
        <w:t>至今</w:t>
      </w:r>
      <w:r>
        <w:rPr>
          <w:rFonts w:hint="eastAsia" w:ascii="宋体" w:hAnsi="宋体" w:cs="宋体"/>
          <w:color w:val="auto"/>
          <w:sz w:val="24"/>
          <w:szCs w:val="24"/>
          <w:highlight w:val="none"/>
          <w:lang w:eastAsia="zh-CN"/>
        </w:rPr>
        <w:t>，业绩认定日期以</w:t>
      </w:r>
      <w:r>
        <w:rPr>
          <w:rFonts w:hint="eastAsia" w:ascii="宋体" w:hAnsi="宋体" w:cs="宋体"/>
          <w:color w:val="auto"/>
          <w:sz w:val="24"/>
          <w:szCs w:val="24"/>
          <w:highlight w:val="none"/>
        </w:rPr>
        <w:t>以合同签订时间为准）完成的类似业绩应按下表提供。</w:t>
      </w:r>
    </w:p>
    <w:p w14:paraId="4EC65860">
      <w:pPr>
        <w:pStyle w:val="31"/>
        <w:numPr>
          <w:ilvl w:val="0"/>
          <w:numId w:val="0"/>
        </w:numPr>
        <w:rPr>
          <w:rFonts w:hint="eastAsia" w:ascii="宋体" w:hAnsi="宋体" w:cs="宋体"/>
          <w:color w:val="auto"/>
          <w:sz w:val="24"/>
          <w:szCs w:val="24"/>
          <w:highlight w:val="none"/>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005"/>
      </w:tblGrid>
      <w:tr w14:paraId="4BAA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4E102116">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005" w:type="dxa"/>
            <w:vAlign w:val="center"/>
          </w:tcPr>
          <w:p w14:paraId="467E6EB8">
            <w:pPr>
              <w:pStyle w:val="31"/>
              <w:numPr>
                <w:ilvl w:val="0"/>
                <w:numId w:val="0"/>
              </w:numPr>
              <w:rPr>
                <w:rFonts w:hint="eastAsia" w:ascii="宋体" w:hAnsi="宋体" w:cs="宋体"/>
                <w:color w:val="auto"/>
                <w:sz w:val="24"/>
                <w:szCs w:val="24"/>
                <w:highlight w:val="none"/>
              </w:rPr>
            </w:pPr>
          </w:p>
        </w:tc>
      </w:tr>
      <w:tr w14:paraId="20D2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336498C">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005" w:type="dxa"/>
            <w:vAlign w:val="center"/>
          </w:tcPr>
          <w:p w14:paraId="6F4456B1">
            <w:pPr>
              <w:pStyle w:val="31"/>
              <w:numPr>
                <w:ilvl w:val="0"/>
                <w:numId w:val="0"/>
              </w:numPr>
              <w:rPr>
                <w:rFonts w:hint="eastAsia" w:ascii="宋体" w:hAnsi="宋体" w:cs="宋体"/>
                <w:color w:val="auto"/>
                <w:sz w:val="24"/>
                <w:szCs w:val="24"/>
                <w:highlight w:val="none"/>
              </w:rPr>
            </w:pPr>
          </w:p>
        </w:tc>
      </w:tr>
      <w:tr w14:paraId="64CB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552CAC9">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发包人名称</w:t>
            </w:r>
          </w:p>
        </w:tc>
        <w:tc>
          <w:tcPr>
            <w:tcW w:w="6005" w:type="dxa"/>
            <w:vAlign w:val="center"/>
          </w:tcPr>
          <w:p w14:paraId="54529EA7">
            <w:pPr>
              <w:pStyle w:val="31"/>
              <w:numPr>
                <w:ilvl w:val="0"/>
                <w:numId w:val="0"/>
              </w:numPr>
              <w:rPr>
                <w:rFonts w:hint="eastAsia" w:ascii="宋体" w:hAnsi="宋体" w:cs="宋体"/>
                <w:color w:val="auto"/>
                <w:sz w:val="24"/>
                <w:szCs w:val="24"/>
                <w:highlight w:val="none"/>
              </w:rPr>
            </w:pPr>
          </w:p>
        </w:tc>
      </w:tr>
      <w:tr w14:paraId="1877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DD77BFF">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发包人地址</w:t>
            </w:r>
          </w:p>
        </w:tc>
        <w:tc>
          <w:tcPr>
            <w:tcW w:w="6005" w:type="dxa"/>
            <w:vAlign w:val="center"/>
          </w:tcPr>
          <w:p w14:paraId="6AB5355F">
            <w:pPr>
              <w:pStyle w:val="31"/>
              <w:numPr>
                <w:ilvl w:val="0"/>
                <w:numId w:val="0"/>
              </w:numPr>
              <w:rPr>
                <w:rFonts w:hint="eastAsia" w:ascii="宋体" w:hAnsi="宋体" w:cs="宋体"/>
                <w:color w:val="auto"/>
                <w:sz w:val="24"/>
                <w:szCs w:val="24"/>
                <w:highlight w:val="none"/>
              </w:rPr>
            </w:pPr>
          </w:p>
        </w:tc>
      </w:tr>
      <w:tr w14:paraId="408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051C9F2">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发包人联系人及电话</w:t>
            </w:r>
          </w:p>
        </w:tc>
        <w:tc>
          <w:tcPr>
            <w:tcW w:w="6005" w:type="dxa"/>
            <w:vAlign w:val="center"/>
          </w:tcPr>
          <w:p w14:paraId="73643610">
            <w:pPr>
              <w:pStyle w:val="31"/>
              <w:numPr>
                <w:ilvl w:val="0"/>
                <w:numId w:val="0"/>
              </w:numPr>
              <w:rPr>
                <w:rFonts w:hint="eastAsia" w:ascii="宋体" w:hAnsi="宋体" w:cs="宋体"/>
                <w:color w:val="auto"/>
                <w:sz w:val="24"/>
                <w:szCs w:val="24"/>
                <w:highlight w:val="none"/>
              </w:rPr>
            </w:pPr>
          </w:p>
        </w:tc>
      </w:tr>
      <w:tr w14:paraId="284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BA2FA7E">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005" w:type="dxa"/>
            <w:vAlign w:val="center"/>
          </w:tcPr>
          <w:p w14:paraId="032B6C98">
            <w:pPr>
              <w:pStyle w:val="31"/>
              <w:numPr>
                <w:ilvl w:val="0"/>
                <w:numId w:val="0"/>
              </w:numPr>
              <w:rPr>
                <w:rFonts w:hint="eastAsia" w:ascii="宋体" w:hAnsi="宋体" w:cs="宋体"/>
                <w:color w:val="auto"/>
                <w:sz w:val="24"/>
                <w:szCs w:val="24"/>
                <w:highlight w:val="none"/>
              </w:rPr>
            </w:pPr>
          </w:p>
        </w:tc>
      </w:tr>
      <w:tr w14:paraId="15AE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34DCDC6">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开工日期</w:t>
            </w:r>
          </w:p>
        </w:tc>
        <w:tc>
          <w:tcPr>
            <w:tcW w:w="6005" w:type="dxa"/>
            <w:vAlign w:val="center"/>
          </w:tcPr>
          <w:p w14:paraId="55AE7123">
            <w:pPr>
              <w:pStyle w:val="31"/>
              <w:numPr>
                <w:ilvl w:val="0"/>
                <w:numId w:val="0"/>
              </w:numPr>
              <w:rPr>
                <w:rFonts w:hint="eastAsia" w:ascii="宋体" w:hAnsi="宋体" w:cs="宋体"/>
                <w:color w:val="auto"/>
                <w:sz w:val="24"/>
                <w:szCs w:val="24"/>
                <w:highlight w:val="none"/>
              </w:rPr>
            </w:pPr>
          </w:p>
        </w:tc>
      </w:tr>
      <w:tr w14:paraId="5448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7F40663">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竣工日期</w:t>
            </w:r>
          </w:p>
        </w:tc>
        <w:tc>
          <w:tcPr>
            <w:tcW w:w="6005" w:type="dxa"/>
            <w:vAlign w:val="center"/>
          </w:tcPr>
          <w:p w14:paraId="0DE43734">
            <w:pPr>
              <w:pStyle w:val="31"/>
              <w:numPr>
                <w:ilvl w:val="0"/>
                <w:numId w:val="0"/>
              </w:numPr>
              <w:rPr>
                <w:rFonts w:hint="eastAsia" w:ascii="宋体" w:hAnsi="宋体" w:cs="宋体"/>
                <w:color w:val="auto"/>
                <w:sz w:val="24"/>
                <w:szCs w:val="24"/>
                <w:highlight w:val="none"/>
              </w:rPr>
            </w:pPr>
          </w:p>
        </w:tc>
      </w:tr>
      <w:tr w14:paraId="3E3F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391D838">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承担的工作</w:t>
            </w:r>
          </w:p>
        </w:tc>
        <w:tc>
          <w:tcPr>
            <w:tcW w:w="6005" w:type="dxa"/>
            <w:vAlign w:val="center"/>
          </w:tcPr>
          <w:p w14:paraId="3E62E1A7">
            <w:pPr>
              <w:pStyle w:val="31"/>
              <w:numPr>
                <w:ilvl w:val="0"/>
                <w:numId w:val="0"/>
              </w:numPr>
              <w:rPr>
                <w:rFonts w:hint="eastAsia" w:ascii="宋体" w:hAnsi="宋体" w:cs="宋体"/>
                <w:color w:val="auto"/>
                <w:sz w:val="24"/>
                <w:szCs w:val="24"/>
                <w:highlight w:val="none"/>
              </w:rPr>
            </w:pPr>
          </w:p>
        </w:tc>
      </w:tr>
      <w:tr w14:paraId="29B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62D8D30C">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工程质量</w:t>
            </w:r>
          </w:p>
        </w:tc>
        <w:tc>
          <w:tcPr>
            <w:tcW w:w="6005" w:type="dxa"/>
            <w:vAlign w:val="center"/>
          </w:tcPr>
          <w:p w14:paraId="0E234BD7">
            <w:pPr>
              <w:pStyle w:val="31"/>
              <w:numPr>
                <w:ilvl w:val="0"/>
                <w:numId w:val="0"/>
              </w:numPr>
              <w:rPr>
                <w:rFonts w:hint="eastAsia" w:ascii="宋体" w:hAnsi="宋体" w:cs="宋体"/>
                <w:color w:val="auto"/>
                <w:sz w:val="24"/>
                <w:szCs w:val="24"/>
                <w:highlight w:val="none"/>
              </w:rPr>
            </w:pPr>
          </w:p>
        </w:tc>
      </w:tr>
      <w:tr w14:paraId="72A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08BE4196">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6005" w:type="dxa"/>
            <w:vAlign w:val="center"/>
          </w:tcPr>
          <w:p w14:paraId="59A983CE">
            <w:pPr>
              <w:pStyle w:val="31"/>
              <w:numPr>
                <w:ilvl w:val="0"/>
                <w:numId w:val="0"/>
              </w:numPr>
              <w:rPr>
                <w:rFonts w:hint="eastAsia" w:ascii="宋体" w:hAnsi="宋体" w:cs="宋体"/>
                <w:color w:val="auto"/>
                <w:sz w:val="24"/>
                <w:szCs w:val="24"/>
                <w:highlight w:val="none"/>
              </w:rPr>
            </w:pPr>
          </w:p>
        </w:tc>
      </w:tr>
      <w:tr w14:paraId="3E72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584EDDC0">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6005" w:type="dxa"/>
            <w:vAlign w:val="center"/>
          </w:tcPr>
          <w:p w14:paraId="0DECF0E7">
            <w:pPr>
              <w:pStyle w:val="31"/>
              <w:numPr>
                <w:ilvl w:val="0"/>
                <w:numId w:val="0"/>
              </w:numPr>
              <w:rPr>
                <w:rFonts w:hint="eastAsia" w:ascii="宋体" w:hAnsi="宋体" w:cs="宋体"/>
                <w:color w:val="auto"/>
                <w:sz w:val="24"/>
                <w:szCs w:val="24"/>
                <w:highlight w:val="none"/>
              </w:rPr>
            </w:pPr>
          </w:p>
        </w:tc>
      </w:tr>
      <w:tr w14:paraId="02D6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2A782054">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总监理工程师及电话</w:t>
            </w:r>
          </w:p>
        </w:tc>
        <w:tc>
          <w:tcPr>
            <w:tcW w:w="6005" w:type="dxa"/>
            <w:vAlign w:val="center"/>
          </w:tcPr>
          <w:p w14:paraId="297EF6DC">
            <w:pPr>
              <w:pStyle w:val="31"/>
              <w:numPr>
                <w:ilvl w:val="0"/>
                <w:numId w:val="0"/>
              </w:numPr>
              <w:rPr>
                <w:rFonts w:hint="eastAsia" w:ascii="宋体" w:hAnsi="宋体" w:cs="宋体"/>
                <w:color w:val="auto"/>
                <w:sz w:val="24"/>
                <w:szCs w:val="24"/>
                <w:highlight w:val="none"/>
              </w:rPr>
            </w:pPr>
          </w:p>
        </w:tc>
      </w:tr>
      <w:tr w14:paraId="70FE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17" w:type="dxa"/>
            <w:vAlign w:val="center"/>
          </w:tcPr>
          <w:p w14:paraId="661F0A6F">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005" w:type="dxa"/>
            <w:vAlign w:val="center"/>
          </w:tcPr>
          <w:p w14:paraId="5E3F78FF">
            <w:pPr>
              <w:pStyle w:val="31"/>
              <w:numPr>
                <w:ilvl w:val="0"/>
                <w:numId w:val="0"/>
              </w:numPr>
              <w:rPr>
                <w:rFonts w:hint="eastAsia" w:ascii="宋体" w:hAnsi="宋体" w:cs="宋体"/>
                <w:color w:val="auto"/>
                <w:sz w:val="24"/>
                <w:szCs w:val="24"/>
                <w:highlight w:val="none"/>
              </w:rPr>
            </w:pPr>
          </w:p>
        </w:tc>
      </w:tr>
      <w:tr w14:paraId="65D0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vAlign w:val="center"/>
          </w:tcPr>
          <w:p w14:paraId="117BFA76">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6005" w:type="dxa"/>
            <w:vAlign w:val="center"/>
          </w:tcPr>
          <w:p w14:paraId="0BDCA420">
            <w:pPr>
              <w:pStyle w:val="31"/>
              <w:numPr>
                <w:ilvl w:val="0"/>
                <w:numId w:val="0"/>
              </w:numPr>
              <w:rPr>
                <w:rFonts w:hint="eastAsia" w:ascii="宋体" w:hAnsi="宋体" w:cs="宋体"/>
                <w:color w:val="auto"/>
                <w:sz w:val="24"/>
                <w:szCs w:val="24"/>
                <w:highlight w:val="none"/>
              </w:rPr>
            </w:pPr>
          </w:p>
        </w:tc>
      </w:tr>
    </w:tbl>
    <w:p w14:paraId="0457FD08">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213B8534">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本表后附项目负责人</w:t>
      </w:r>
      <w:r>
        <w:rPr>
          <w:rFonts w:hint="eastAsia" w:ascii="宋体" w:hAnsi="宋体" w:cs="宋体"/>
          <w:color w:val="auto"/>
          <w:sz w:val="24"/>
          <w:szCs w:val="24"/>
          <w:highlight w:val="none"/>
          <w:lang w:val="en-US" w:eastAsia="zh-CN"/>
        </w:rPr>
        <w:t>类似业绩证明材料，证明材料须反映出项目负责人，</w:t>
      </w:r>
      <w:r>
        <w:rPr>
          <w:rFonts w:hint="eastAsia" w:ascii="宋体" w:hAnsi="宋体" w:cs="宋体"/>
          <w:color w:val="auto"/>
          <w:sz w:val="24"/>
          <w:szCs w:val="24"/>
          <w:highlight w:val="none"/>
        </w:rPr>
        <w:t>业绩证明材料须反映项目负责人。</w:t>
      </w:r>
    </w:p>
    <w:p w14:paraId="79DBB420">
      <w:pPr>
        <w:pStyle w:val="31"/>
        <w:numPr>
          <w:ilvl w:val="0"/>
          <w:numId w:val="0"/>
        </w:numPr>
        <w:rPr>
          <w:rFonts w:hint="eastAsia" w:ascii="宋体" w:hAnsi="宋体" w:cs="宋体"/>
          <w:color w:val="auto"/>
          <w:sz w:val="24"/>
          <w:szCs w:val="24"/>
          <w:highlight w:val="none"/>
        </w:rPr>
      </w:pPr>
      <w:r>
        <w:rPr>
          <w:rFonts w:hint="eastAsia" w:ascii="宋体" w:hAnsi="宋体" w:cs="宋体"/>
          <w:color w:val="auto"/>
          <w:sz w:val="24"/>
          <w:szCs w:val="24"/>
          <w:highlight w:val="none"/>
        </w:rPr>
        <w:t>每张表格只填写一个项目，并标明序号。</w:t>
      </w:r>
    </w:p>
    <w:p w14:paraId="06F4A4CF">
      <w:pPr>
        <w:pStyle w:val="31"/>
        <w:numPr>
          <w:ilvl w:val="0"/>
          <w:numId w:val="0"/>
        </w:numPr>
        <w:rPr>
          <w:rFonts w:hint="eastAsia" w:ascii="宋体" w:hAnsi="宋体" w:cs="宋体"/>
          <w:color w:val="auto"/>
          <w:highlight w:val="none"/>
        </w:rPr>
      </w:pPr>
    </w:p>
    <w:p w14:paraId="70A18A29">
      <w:pPr>
        <w:pStyle w:val="48"/>
        <w:widowControl/>
        <w:spacing w:line="360" w:lineRule="auto"/>
        <w:jc w:val="left"/>
        <w:rPr>
          <w:rFonts w:hint="eastAsia" w:ascii="宋体" w:hAnsi="宋体" w:eastAsia="宋体" w:cs="宋体"/>
          <w:color w:val="auto"/>
          <w:sz w:val="24"/>
          <w:szCs w:val="24"/>
          <w:highlight w:val="none"/>
          <w:lang w:val="en-US" w:eastAsia="zh-CN"/>
        </w:rPr>
      </w:pPr>
    </w:p>
    <w:p w14:paraId="3AF98C05">
      <w:pPr>
        <w:pStyle w:val="3"/>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br w:type="page"/>
      </w:r>
      <w:r>
        <w:rPr>
          <w:rFonts w:hint="eastAsia" w:ascii="宋体" w:hAnsi="宋体" w:eastAsia="宋体" w:cs="宋体"/>
          <w:bCs w:val="0"/>
          <w:color w:val="auto"/>
          <w:sz w:val="24"/>
          <w:szCs w:val="24"/>
          <w:highlight w:val="none"/>
          <w:lang w:val="en-US" w:eastAsia="zh-CN"/>
        </w:rPr>
        <w:t>七</w:t>
      </w:r>
      <w:r>
        <w:rPr>
          <w:rFonts w:hint="eastAsia" w:ascii="宋体" w:hAnsi="宋体" w:eastAsia="宋体" w:cs="宋体"/>
          <w:bCs w:val="0"/>
          <w:color w:val="auto"/>
          <w:sz w:val="24"/>
          <w:szCs w:val="24"/>
          <w:highlight w:val="none"/>
        </w:rPr>
        <w:t>、</w:t>
      </w:r>
      <w:bookmarkEnd w:id="157"/>
      <w:r>
        <w:rPr>
          <w:rFonts w:hint="eastAsia" w:ascii="宋体" w:hAnsi="宋体" w:eastAsia="宋体" w:cs="宋体"/>
          <w:bCs w:val="0"/>
          <w:color w:val="auto"/>
          <w:sz w:val="24"/>
          <w:szCs w:val="24"/>
          <w:highlight w:val="none"/>
        </w:rPr>
        <w:t>供应商近年类似业绩情况表</w:t>
      </w:r>
    </w:p>
    <w:tbl>
      <w:tblPr>
        <w:tblStyle w:val="32"/>
        <w:tblW w:w="87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9"/>
        <w:gridCol w:w="1156"/>
        <w:gridCol w:w="1156"/>
        <w:gridCol w:w="1155"/>
        <w:gridCol w:w="1155"/>
        <w:gridCol w:w="1155"/>
        <w:gridCol w:w="1155"/>
        <w:gridCol w:w="1157"/>
        <w:gridCol w:w="9"/>
      </w:tblGrid>
      <w:tr w14:paraId="759D14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top w:val="single" w:color="auto" w:sz="4" w:space="0"/>
            </w:tcBorders>
            <w:vAlign w:val="center"/>
          </w:tcPr>
          <w:p w14:paraId="7F20C426">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56" w:type="dxa"/>
            <w:vAlign w:val="center"/>
          </w:tcPr>
          <w:p w14:paraId="1735591B">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w:t>
            </w:r>
          </w:p>
        </w:tc>
        <w:tc>
          <w:tcPr>
            <w:tcW w:w="1156" w:type="dxa"/>
            <w:vAlign w:val="center"/>
          </w:tcPr>
          <w:p w14:paraId="4F14CBDF">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w:t>
            </w:r>
          </w:p>
        </w:tc>
        <w:tc>
          <w:tcPr>
            <w:tcW w:w="1155" w:type="dxa"/>
            <w:vAlign w:val="center"/>
          </w:tcPr>
          <w:p w14:paraId="73405901">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w:t>
            </w:r>
          </w:p>
        </w:tc>
        <w:tc>
          <w:tcPr>
            <w:tcW w:w="1155" w:type="dxa"/>
            <w:vAlign w:val="center"/>
          </w:tcPr>
          <w:p w14:paraId="7526E38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1155" w:type="dxa"/>
            <w:vAlign w:val="center"/>
          </w:tcPr>
          <w:p w14:paraId="40FF29C2">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完成时间</w:t>
            </w:r>
          </w:p>
        </w:tc>
        <w:tc>
          <w:tcPr>
            <w:tcW w:w="1155" w:type="dxa"/>
            <w:vAlign w:val="center"/>
          </w:tcPr>
          <w:p w14:paraId="5643B444">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合同金额</w:t>
            </w:r>
          </w:p>
        </w:tc>
        <w:tc>
          <w:tcPr>
            <w:tcW w:w="1166" w:type="dxa"/>
            <w:gridSpan w:val="2"/>
            <w:tcBorders>
              <w:right w:val="single" w:color="auto" w:sz="4" w:space="0"/>
            </w:tcBorders>
            <w:vAlign w:val="center"/>
          </w:tcPr>
          <w:p w14:paraId="3B69F357">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0159A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54EAE80C">
            <w:pPr>
              <w:spacing w:line="360" w:lineRule="auto"/>
              <w:jc w:val="center"/>
              <w:rPr>
                <w:rFonts w:hint="eastAsia" w:ascii="宋体" w:hAnsi="宋体" w:eastAsia="宋体" w:cs="宋体"/>
                <w:color w:val="auto"/>
                <w:sz w:val="24"/>
                <w:highlight w:val="none"/>
              </w:rPr>
            </w:pPr>
          </w:p>
        </w:tc>
        <w:tc>
          <w:tcPr>
            <w:tcW w:w="1156" w:type="dxa"/>
            <w:vAlign w:val="center"/>
          </w:tcPr>
          <w:p w14:paraId="44254715">
            <w:pPr>
              <w:spacing w:line="360" w:lineRule="auto"/>
              <w:jc w:val="center"/>
              <w:rPr>
                <w:rFonts w:hint="eastAsia" w:ascii="宋体" w:hAnsi="宋体" w:eastAsia="宋体" w:cs="宋体"/>
                <w:color w:val="auto"/>
                <w:sz w:val="24"/>
                <w:highlight w:val="none"/>
              </w:rPr>
            </w:pPr>
          </w:p>
        </w:tc>
        <w:tc>
          <w:tcPr>
            <w:tcW w:w="1156" w:type="dxa"/>
            <w:vAlign w:val="center"/>
          </w:tcPr>
          <w:p w14:paraId="38DA8EE3">
            <w:pPr>
              <w:spacing w:line="360" w:lineRule="auto"/>
              <w:jc w:val="center"/>
              <w:rPr>
                <w:rFonts w:hint="eastAsia" w:ascii="宋体" w:hAnsi="宋体" w:eastAsia="宋体" w:cs="宋体"/>
                <w:color w:val="auto"/>
                <w:sz w:val="24"/>
                <w:highlight w:val="none"/>
              </w:rPr>
            </w:pPr>
          </w:p>
        </w:tc>
        <w:tc>
          <w:tcPr>
            <w:tcW w:w="1155" w:type="dxa"/>
            <w:vAlign w:val="center"/>
          </w:tcPr>
          <w:p w14:paraId="7BD1F4E4">
            <w:pPr>
              <w:spacing w:line="360" w:lineRule="auto"/>
              <w:jc w:val="center"/>
              <w:rPr>
                <w:rFonts w:hint="eastAsia" w:ascii="宋体" w:hAnsi="宋体" w:eastAsia="宋体" w:cs="宋体"/>
                <w:color w:val="auto"/>
                <w:sz w:val="24"/>
                <w:highlight w:val="none"/>
              </w:rPr>
            </w:pPr>
          </w:p>
        </w:tc>
        <w:tc>
          <w:tcPr>
            <w:tcW w:w="1155" w:type="dxa"/>
            <w:vAlign w:val="center"/>
          </w:tcPr>
          <w:p w14:paraId="0BB67E84">
            <w:pPr>
              <w:spacing w:line="360" w:lineRule="auto"/>
              <w:jc w:val="center"/>
              <w:rPr>
                <w:rFonts w:hint="eastAsia" w:ascii="宋体" w:hAnsi="宋体" w:eastAsia="宋体" w:cs="宋体"/>
                <w:color w:val="auto"/>
                <w:sz w:val="24"/>
                <w:highlight w:val="none"/>
              </w:rPr>
            </w:pPr>
          </w:p>
        </w:tc>
        <w:tc>
          <w:tcPr>
            <w:tcW w:w="1155" w:type="dxa"/>
            <w:vAlign w:val="center"/>
          </w:tcPr>
          <w:p w14:paraId="19150836">
            <w:pPr>
              <w:spacing w:line="360" w:lineRule="auto"/>
              <w:jc w:val="center"/>
              <w:rPr>
                <w:rFonts w:hint="eastAsia" w:ascii="宋体" w:hAnsi="宋体" w:eastAsia="宋体" w:cs="宋体"/>
                <w:color w:val="auto"/>
                <w:sz w:val="24"/>
                <w:highlight w:val="none"/>
              </w:rPr>
            </w:pPr>
          </w:p>
        </w:tc>
        <w:tc>
          <w:tcPr>
            <w:tcW w:w="1155" w:type="dxa"/>
            <w:vAlign w:val="center"/>
          </w:tcPr>
          <w:p w14:paraId="248D8CD2">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14:paraId="11BD9B59">
            <w:pPr>
              <w:spacing w:line="360" w:lineRule="auto"/>
              <w:jc w:val="center"/>
              <w:rPr>
                <w:rFonts w:hint="eastAsia" w:ascii="宋体" w:hAnsi="宋体" w:eastAsia="宋体" w:cs="宋体"/>
                <w:color w:val="auto"/>
                <w:sz w:val="24"/>
                <w:highlight w:val="none"/>
              </w:rPr>
            </w:pPr>
          </w:p>
        </w:tc>
      </w:tr>
      <w:tr w14:paraId="735FEA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403EBD55">
            <w:pPr>
              <w:spacing w:line="360" w:lineRule="auto"/>
              <w:jc w:val="center"/>
              <w:rPr>
                <w:rFonts w:hint="eastAsia" w:ascii="宋体" w:hAnsi="宋体" w:eastAsia="宋体" w:cs="宋体"/>
                <w:color w:val="auto"/>
                <w:sz w:val="24"/>
                <w:highlight w:val="none"/>
              </w:rPr>
            </w:pPr>
          </w:p>
        </w:tc>
        <w:tc>
          <w:tcPr>
            <w:tcW w:w="1156" w:type="dxa"/>
            <w:vAlign w:val="center"/>
          </w:tcPr>
          <w:p w14:paraId="76C04FAE">
            <w:pPr>
              <w:spacing w:line="360" w:lineRule="auto"/>
              <w:jc w:val="center"/>
              <w:rPr>
                <w:rFonts w:hint="eastAsia" w:ascii="宋体" w:hAnsi="宋体" w:eastAsia="宋体" w:cs="宋体"/>
                <w:color w:val="auto"/>
                <w:sz w:val="24"/>
                <w:highlight w:val="none"/>
              </w:rPr>
            </w:pPr>
          </w:p>
        </w:tc>
        <w:tc>
          <w:tcPr>
            <w:tcW w:w="1156" w:type="dxa"/>
            <w:vAlign w:val="center"/>
          </w:tcPr>
          <w:p w14:paraId="0829761E">
            <w:pPr>
              <w:spacing w:line="360" w:lineRule="auto"/>
              <w:jc w:val="center"/>
              <w:rPr>
                <w:rFonts w:hint="eastAsia" w:ascii="宋体" w:hAnsi="宋体" w:eastAsia="宋体" w:cs="宋体"/>
                <w:color w:val="auto"/>
                <w:sz w:val="24"/>
                <w:highlight w:val="none"/>
              </w:rPr>
            </w:pPr>
          </w:p>
        </w:tc>
        <w:tc>
          <w:tcPr>
            <w:tcW w:w="1155" w:type="dxa"/>
            <w:vAlign w:val="center"/>
          </w:tcPr>
          <w:p w14:paraId="76958F45">
            <w:pPr>
              <w:spacing w:line="360" w:lineRule="auto"/>
              <w:jc w:val="center"/>
              <w:rPr>
                <w:rFonts w:hint="eastAsia" w:ascii="宋体" w:hAnsi="宋体" w:eastAsia="宋体" w:cs="宋体"/>
                <w:color w:val="auto"/>
                <w:sz w:val="24"/>
                <w:highlight w:val="none"/>
              </w:rPr>
            </w:pPr>
          </w:p>
        </w:tc>
        <w:tc>
          <w:tcPr>
            <w:tcW w:w="1155" w:type="dxa"/>
            <w:vAlign w:val="center"/>
          </w:tcPr>
          <w:p w14:paraId="02E884B1">
            <w:pPr>
              <w:spacing w:line="360" w:lineRule="auto"/>
              <w:jc w:val="center"/>
              <w:rPr>
                <w:rFonts w:hint="eastAsia" w:ascii="宋体" w:hAnsi="宋体" w:eastAsia="宋体" w:cs="宋体"/>
                <w:color w:val="auto"/>
                <w:sz w:val="24"/>
                <w:highlight w:val="none"/>
              </w:rPr>
            </w:pPr>
          </w:p>
        </w:tc>
        <w:tc>
          <w:tcPr>
            <w:tcW w:w="1155" w:type="dxa"/>
            <w:vAlign w:val="center"/>
          </w:tcPr>
          <w:p w14:paraId="497A1C9D">
            <w:pPr>
              <w:spacing w:line="360" w:lineRule="auto"/>
              <w:jc w:val="center"/>
              <w:rPr>
                <w:rFonts w:hint="eastAsia" w:ascii="宋体" w:hAnsi="宋体" w:eastAsia="宋体" w:cs="宋体"/>
                <w:color w:val="auto"/>
                <w:sz w:val="24"/>
                <w:highlight w:val="none"/>
              </w:rPr>
            </w:pPr>
          </w:p>
        </w:tc>
        <w:tc>
          <w:tcPr>
            <w:tcW w:w="1155" w:type="dxa"/>
            <w:vAlign w:val="center"/>
          </w:tcPr>
          <w:p w14:paraId="3A33B94B">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14:paraId="2A9620EF">
            <w:pPr>
              <w:spacing w:line="360" w:lineRule="auto"/>
              <w:jc w:val="center"/>
              <w:rPr>
                <w:rFonts w:hint="eastAsia" w:ascii="宋体" w:hAnsi="宋体" w:eastAsia="宋体" w:cs="宋体"/>
                <w:color w:val="auto"/>
                <w:sz w:val="24"/>
                <w:highlight w:val="none"/>
              </w:rPr>
            </w:pPr>
          </w:p>
        </w:tc>
      </w:tr>
      <w:tr w14:paraId="5DF50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7D5C985B">
            <w:pPr>
              <w:spacing w:line="360" w:lineRule="auto"/>
              <w:jc w:val="center"/>
              <w:rPr>
                <w:rFonts w:hint="eastAsia" w:ascii="宋体" w:hAnsi="宋体" w:eastAsia="宋体" w:cs="宋体"/>
                <w:color w:val="auto"/>
                <w:sz w:val="24"/>
                <w:highlight w:val="none"/>
              </w:rPr>
            </w:pPr>
          </w:p>
        </w:tc>
        <w:tc>
          <w:tcPr>
            <w:tcW w:w="1156" w:type="dxa"/>
            <w:vAlign w:val="center"/>
          </w:tcPr>
          <w:p w14:paraId="476631F5">
            <w:pPr>
              <w:spacing w:line="360" w:lineRule="auto"/>
              <w:jc w:val="center"/>
              <w:rPr>
                <w:rFonts w:hint="eastAsia" w:ascii="宋体" w:hAnsi="宋体" w:eastAsia="宋体" w:cs="宋体"/>
                <w:color w:val="auto"/>
                <w:sz w:val="24"/>
                <w:highlight w:val="none"/>
              </w:rPr>
            </w:pPr>
          </w:p>
        </w:tc>
        <w:tc>
          <w:tcPr>
            <w:tcW w:w="1156" w:type="dxa"/>
            <w:vAlign w:val="center"/>
          </w:tcPr>
          <w:p w14:paraId="06CAB9F5">
            <w:pPr>
              <w:spacing w:line="360" w:lineRule="auto"/>
              <w:jc w:val="center"/>
              <w:rPr>
                <w:rFonts w:hint="eastAsia" w:ascii="宋体" w:hAnsi="宋体" w:eastAsia="宋体" w:cs="宋体"/>
                <w:color w:val="auto"/>
                <w:sz w:val="24"/>
                <w:highlight w:val="none"/>
              </w:rPr>
            </w:pPr>
          </w:p>
        </w:tc>
        <w:tc>
          <w:tcPr>
            <w:tcW w:w="1155" w:type="dxa"/>
            <w:vAlign w:val="center"/>
          </w:tcPr>
          <w:p w14:paraId="63B23F72">
            <w:pPr>
              <w:spacing w:line="360" w:lineRule="auto"/>
              <w:jc w:val="center"/>
              <w:rPr>
                <w:rFonts w:hint="eastAsia" w:ascii="宋体" w:hAnsi="宋体" w:eastAsia="宋体" w:cs="宋体"/>
                <w:color w:val="auto"/>
                <w:sz w:val="24"/>
                <w:highlight w:val="none"/>
              </w:rPr>
            </w:pPr>
          </w:p>
        </w:tc>
        <w:tc>
          <w:tcPr>
            <w:tcW w:w="1155" w:type="dxa"/>
            <w:vAlign w:val="center"/>
          </w:tcPr>
          <w:p w14:paraId="10FA080E">
            <w:pPr>
              <w:spacing w:line="360" w:lineRule="auto"/>
              <w:jc w:val="center"/>
              <w:rPr>
                <w:rFonts w:hint="eastAsia" w:ascii="宋体" w:hAnsi="宋体" w:eastAsia="宋体" w:cs="宋体"/>
                <w:color w:val="auto"/>
                <w:sz w:val="24"/>
                <w:highlight w:val="none"/>
              </w:rPr>
            </w:pPr>
          </w:p>
        </w:tc>
        <w:tc>
          <w:tcPr>
            <w:tcW w:w="1155" w:type="dxa"/>
            <w:vAlign w:val="center"/>
          </w:tcPr>
          <w:p w14:paraId="363DF051">
            <w:pPr>
              <w:spacing w:line="360" w:lineRule="auto"/>
              <w:jc w:val="center"/>
              <w:rPr>
                <w:rFonts w:hint="eastAsia" w:ascii="宋体" w:hAnsi="宋体" w:eastAsia="宋体" w:cs="宋体"/>
                <w:color w:val="auto"/>
                <w:sz w:val="24"/>
                <w:highlight w:val="none"/>
              </w:rPr>
            </w:pPr>
          </w:p>
        </w:tc>
        <w:tc>
          <w:tcPr>
            <w:tcW w:w="1155" w:type="dxa"/>
            <w:vAlign w:val="center"/>
          </w:tcPr>
          <w:p w14:paraId="65193FDC">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14:paraId="45ED0F11">
            <w:pPr>
              <w:spacing w:line="360" w:lineRule="auto"/>
              <w:jc w:val="center"/>
              <w:rPr>
                <w:rFonts w:hint="eastAsia" w:ascii="宋体" w:hAnsi="宋体" w:eastAsia="宋体" w:cs="宋体"/>
                <w:color w:val="auto"/>
                <w:sz w:val="24"/>
                <w:highlight w:val="none"/>
              </w:rPr>
            </w:pPr>
          </w:p>
        </w:tc>
      </w:tr>
      <w:tr w14:paraId="31221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vAlign w:val="center"/>
          </w:tcPr>
          <w:p w14:paraId="02B45687">
            <w:pPr>
              <w:spacing w:line="360" w:lineRule="auto"/>
              <w:jc w:val="center"/>
              <w:rPr>
                <w:rFonts w:hint="eastAsia" w:ascii="宋体" w:hAnsi="宋体" w:eastAsia="宋体" w:cs="宋体"/>
                <w:color w:val="auto"/>
                <w:sz w:val="24"/>
                <w:highlight w:val="none"/>
              </w:rPr>
            </w:pPr>
          </w:p>
        </w:tc>
        <w:tc>
          <w:tcPr>
            <w:tcW w:w="1156" w:type="dxa"/>
            <w:tcBorders>
              <w:right w:val="single" w:color="auto" w:sz="4" w:space="0"/>
            </w:tcBorders>
            <w:vAlign w:val="center"/>
          </w:tcPr>
          <w:p w14:paraId="016FE50A">
            <w:pPr>
              <w:spacing w:line="360" w:lineRule="auto"/>
              <w:jc w:val="center"/>
              <w:rPr>
                <w:rFonts w:hint="eastAsia" w:ascii="宋体" w:hAnsi="宋体" w:eastAsia="宋体" w:cs="宋体"/>
                <w:color w:val="auto"/>
                <w:sz w:val="24"/>
                <w:highlight w:val="none"/>
              </w:rPr>
            </w:pPr>
          </w:p>
        </w:tc>
        <w:tc>
          <w:tcPr>
            <w:tcW w:w="1156" w:type="dxa"/>
            <w:tcBorders>
              <w:left w:val="single" w:color="auto" w:sz="4" w:space="0"/>
            </w:tcBorders>
            <w:vAlign w:val="center"/>
          </w:tcPr>
          <w:p w14:paraId="66B23120">
            <w:pPr>
              <w:spacing w:line="360" w:lineRule="auto"/>
              <w:jc w:val="center"/>
              <w:rPr>
                <w:rFonts w:hint="eastAsia" w:ascii="宋体" w:hAnsi="宋体" w:eastAsia="宋体" w:cs="宋体"/>
                <w:color w:val="auto"/>
                <w:sz w:val="24"/>
                <w:highlight w:val="none"/>
              </w:rPr>
            </w:pPr>
          </w:p>
        </w:tc>
        <w:tc>
          <w:tcPr>
            <w:tcW w:w="1155" w:type="dxa"/>
            <w:tcBorders>
              <w:left w:val="single" w:color="auto" w:sz="4" w:space="0"/>
            </w:tcBorders>
            <w:vAlign w:val="center"/>
          </w:tcPr>
          <w:p w14:paraId="0F5583D6">
            <w:pPr>
              <w:spacing w:line="360" w:lineRule="auto"/>
              <w:jc w:val="center"/>
              <w:rPr>
                <w:rFonts w:hint="eastAsia" w:ascii="宋体" w:hAnsi="宋体" w:eastAsia="宋体" w:cs="宋体"/>
                <w:color w:val="auto"/>
                <w:sz w:val="24"/>
                <w:highlight w:val="none"/>
              </w:rPr>
            </w:pPr>
          </w:p>
        </w:tc>
        <w:tc>
          <w:tcPr>
            <w:tcW w:w="1155" w:type="dxa"/>
            <w:tcBorders>
              <w:left w:val="single" w:color="auto" w:sz="4" w:space="0"/>
            </w:tcBorders>
            <w:vAlign w:val="center"/>
          </w:tcPr>
          <w:p w14:paraId="1F57F24F">
            <w:pPr>
              <w:spacing w:line="360" w:lineRule="auto"/>
              <w:jc w:val="center"/>
              <w:rPr>
                <w:rFonts w:hint="eastAsia" w:ascii="宋体" w:hAnsi="宋体" w:eastAsia="宋体" w:cs="宋体"/>
                <w:color w:val="auto"/>
                <w:sz w:val="24"/>
                <w:highlight w:val="none"/>
              </w:rPr>
            </w:pPr>
          </w:p>
        </w:tc>
        <w:tc>
          <w:tcPr>
            <w:tcW w:w="1155" w:type="dxa"/>
            <w:vAlign w:val="center"/>
          </w:tcPr>
          <w:p w14:paraId="4CA37E93">
            <w:pPr>
              <w:spacing w:line="360" w:lineRule="auto"/>
              <w:jc w:val="center"/>
              <w:rPr>
                <w:rFonts w:hint="eastAsia" w:ascii="宋体" w:hAnsi="宋体" w:eastAsia="宋体" w:cs="宋体"/>
                <w:color w:val="auto"/>
                <w:sz w:val="24"/>
                <w:highlight w:val="none"/>
              </w:rPr>
            </w:pPr>
          </w:p>
        </w:tc>
        <w:tc>
          <w:tcPr>
            <w:tcW w:w="1155" w:type="dxa"/>
            <w:vAlign w:val="center"/>
          </w:tcPr>
          <w:p w14:paraId="335D6827">
            <w:pPr>
              <w:spacing w:line="360" w:lineRule="auto"/>
              <w:jc w:val="center"/>
              <w:rPr>
                <w:rFonts w:hint="eastAsia" w:ascii="宋体" w:hAnsi="宋体" w:eastAsia="宋体" w:cs="宋体"/>
                <w:color w:val="auto"/>
                <w:sz w:val="24"/>
                <w:highlight w:val="none"/>
              </w:rPr>
            </w:pPr>
          </w:p>
        </w:tc>
        <w:tc>
          <w:tcPr>
            <w:tcW w:w="1166" w:type="dxa"/>
            <w:gridSpan w:val="2"/>
            <w:tcBorders>
              <w:right w:val="single" w:color="auto" w:sz="4" w:space="0"/>
            </w:tcBorders>
            <w:vAlign w:val="center"/>
          </w:tcPr>
          <w:p w14:paraId="2C46588F">
            <w:pPr>
              <w:spacing w:line="360" w:lineRule="auto"/>
              <w:jc w:val="center"/>
              <w:rPr>
                <w:rFonts w:hint="eastAsia" w:ascii="宋体" w:hAnsi="宋体" w:eastAsia="宋体" w:cs="宋体"/>
                <w:color w:val="auto"/>
                <w:sz w:val="24"/>
                <w:highlight w:val="none"/>
              </w:rPr>
            </w:pPr>
          </w:p>
        </w:tc>
      </w:tr>
      <w:tr w14:paraId="563C7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0" w:hRule="atLeast"/>
          <w:jc w:val="center"/>
        </w:trPr>
        <w:tc>
          <w:tcPr>
            <w:tcW w:w="629" w:type="dxa"/>
            <w:tcBorders>
              <w:right w:val="single" w:color="auto" w:sz="4" w:space="0"/>
            </w:tcBorders>
            <w:vAlign w:val="center"/>
          </w:tcPr>
          <w:p w14:paraId="1A5EA971">
            <w:pPr>
              <w:spacing w:line="360" w:lineRule="auto"/>
              <w:rPr>
                <w:rFonts w:hint="eastAsia" w:ascii="宋体" w:hAnsi="宋体" w:eastAsia="宋体" w:cs="宋体"/>
                <w:color w:val="auto"/>
                <w:sz w:val="24"/>
                <w:highlight w:val="none"/>
              </w:rPr>
            </w:pPr>
          </w:p>
        </w:tc>
        <w:tc>
          <w:tcPr>
            <w:tcW w:w="1156" w:type="dxa"/>
            <w:tcBorders>
              <w:left w:val="single" w:color="auto" w:sz="4" w:space="0"/>
              <w:right w:val="single" w:color="auto" w:sz="4" w:space="0"/>
            </w:tcBorders>
            <w:vAlign w:val="center"/>
          </w:tcPr>
          <w:p w14:paraId="7EEE243D">
            <w:pPr>
              <w:spacing w:line="360" w:lineRule="auto"/>
              <w:rPr>
                <w:rFonts w:hint="eastAsia" w:ascii="宋体" w:hAnsi="宋体" w:eastAsia="宋体" w:cs="宋体"/>
                <w:color w:val="auto"/>
                <w:sz w:val="24"/>
                <w:highlight w:val="none"/>
              </w:rPr>
            </w:pPr>
          </w:p>
        </w:tc>
        <w:tc>
          <w:tcPr>
            <w:tcW w:w="1156" w:type="dxa"/>
            <w:tcBorders>
              <w:left w:val="single" w:color="auto" w:sz="4" w:space="0"/>
              <w:right w:val="single" w:color="auto" w:sz="4" w:space="0"/>
            </w:tcBorders>
            <w:vAlign w:val="center"/>
          </w:tcPr>
          <w:p w14:paraId="104AD18F">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14:paraId="4F3C0198">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14:paraId="7E029F75">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14:paraId="5C90820D">
            <w:pPr>
              <w:spacing w:line="360" w:lineRule="auto"/>
              <w:rPr>
                <w:rFonts w:hint="eastAsia" w:ascii="宋体" w:hAnsi="宋体" w:eastAsia="宋体" w:cs="宋体"/>
                <w:color w:val="auto"/>
                <w:sz w:val="24"/>
                <w:highlight w:val="none"/>
              </w:rPr>
            </w:pPr>
          </w:p>
        </w:tc>
        <w:tc>
          <w:tcPr>
            <w:tcW w:w="1155" w:type="dxa"/>
            <w:tcBorders>
              <w:left w:val="single" w:color="auto" w:sz="4" w:space="0"/>
              <w:right w:val="single" w:color="auto" w:sz="4" w:space="0"/>
            </w:tcBorders>
            <w:vAlign w:val="center"/>
          </w:tcPr>
          <w:p w14:paraId="124E354C">
            <w:pPr>
              <w:spacing w:line="360" w:lineRule="auto"/>
              <w:rPr>
                <w:rFonts w:hint="eastAsia" w:ascii="宋体" w:hAnsi="宋体" w:eastAsia="宋体" w:cs="宋体"/>
                <w:color w:val="auto"/>
                <w:sz w:val="24"/>
                <w:highlight w:val="none"/>
              </w:rPr>
            </w:pPr>
          </w:p>
        </w:tc>
        <w:tc>
          <w:tcPr>
            <w:tcW w:w="1166" w:type="dxa"/>
            <w:gridSpan w:val="2"/>
            <w:tcBorders>
              <w:left w:val="single" w:color="auto" w:sz="4" w:space="0"/>
              <w:right w:val="single" w:color="auto" w:sz="4" w:space="0"/>
            </w:tcBorders>
            <w:vAlign w:val="center"/>
          </w:tcPr>
          <w:p w14:paraId="31F78158">
            <w:pPr>
              <w:spacing w:line="360" w:lineRule="auto"/>
              <w:rPr>
                <w:rFonts w:hint="eastAsia" w:ascii="宋体" w:hAnsi="宋体" w:eastAsia="宋体" w:cs="宋体"/>
                <w:color w:val="auto"/>
                <w:sz w:val="24"/>
                <w:highlight w:val="none"/>
              </w:rPr>
            </w:pPr>
          </w:p>
        </w:tc>
      </w:tr>
      <w:tr w14:paraId="15F395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6D97EF82">
            <w:pPr>
              <w:spacing w:line="360" w:lineRule="auto"/>
              <w:rPr>
                <w:rFonts w:hint="eastAsia" w:ascii="宋体" w:hAnsi="宋体" w:eastAsia="宋体" w:cs="宋体"/>
                <w:color w:val="auto"/>
                <w:sz w:val="24"/>
                <w:highlight w:val="none"/>
              </w:rPr>
            </w:pPr>
          </w:p>
        </w:tc>
        <w:tc>
          <w:tcPr>
            <w:tcW w:w="1156" w:type="dxa"/>
            <w:vAlign w:val="center"/>
          </w:tcPr>
          <w:p w14:paraId="557B4590">
            <w:pPr>
              <w:spacing w:line="360" w:lineRule="auto"/>
              <w:rPr>
                <w:rFonts w:hint="eastAsia" w:ascii="宋体" w:hAnsi="宋体" w:eastAsia="宋体" w:cs="宋体"/>
                <w:color w:val="auto"/>
                <w:sz w:val="24"/>
                <w:highlight w:val="none"/>
              </w:rPr>
            </w:pPr>
          </w:p>
        </w:tc>
        <w:tc>
          <w:tcPr>
            <w:tcW w:w="1156" w:type="dxa"/>
            <w:vAlign w:val="center"/>
          </w:tcPr>
          <w:p w14:paraId="0D3BA083">
            <w:pPr>
              <w:spacing w:line="360" w:lineRule="auto"/>
              <w:rPr>
                <w:rFonts w:hint="eastAsia" w:ascii="宋体" w:hAnsi="宋体" w:eastAsia="宋体" w:cs="宋体"/>
                <w:color w:val="auto"/>
                <w:sz w:val="24"/>
                <w:highlight w:val="none"/>
              </w:rPr>
            </w:pPr>
          </w:p>
        </w:tc>
        <w:tc>
          <w:tcPr>
            <w:tcW w:w="1155" w:type="dxa"/>
            <w:vAlign w:val="center"/>
          </w:tcPr>
          <w:p w14:paraId="76CCEB5B">
            <w:pPr>
              <w:spacing w:line="360" w:lineRule="auto"/>
              <w:rPr>
                <w:rFonts w:hint="eastAsia" w:ascii="宋体" w:hAnsi="宋体" w:eastAsia="宋体" w:cs="宋体"/>
                <w:color w:val="auto"/>
                <w:sz w:val="24"/>
                <w:highlight w:val="none"/>
              </w:rPr>
            </w:pPr>
          </w:p>
        </w:tc>
        <w:tc>
          <w:tcPr>
            <w:tcW w:w="1155" w:type="dxa"/>
            <w:vAlign w:val="center"/>
          </w:tcPr>
          <w:p w14:paraId="523D23B2">
            <w:pPr>
              <w:spacing w:line="360" w:lineRule="auto"/>
              <w:rPr>
                <w:rFonts w:hint="eastAsia" w:ascii="宋体" w:hAnsi="宋体" w:eastAsia="宋体" w:cs="宋体"/>
                <w:color w:val="auto"/>
                <w:sz w:val="24"/>
                <w:highlight w:val="none"/>
              </w:rPr>
            </w:pPr>
          </w:p>
        </w:tc>
        <w:tc>
          <w:tcPr>
            <w:tcW w:w="1155" w:type="dxa"/>
            <w:vAlign w:val="center"/>
          </w:tcPr>
          <w:p w14:paraId="4D601DC4">
            <w:pPr>
              <w:spacing w:line="360" w:lineRule="auto"/>
              <w:rPr>
                <w:rFonts w:hint="eastAsia" w:ascii="宋体" w:hAnsi="宋体" w:eastAsia="宋体" w:cs="宋体"/>
                <w:color w:val="auto"/>
                <w:sz w:val="24"/>
                <w:highlight w:val="none"/>
              </w:rPr>
            </w:pPr>
          </w:p>
        </w:tc>
        <w:tc>
          <w:tcPr>
            <w:tcW w:w="1155" w:type="dxa"/>
            <w:tcBorders>
              <w:right w:val="single" w:color="auto" w:sz="4" w:space="0"/>
            </w:tcBorders>
            <w:vAlign w:val="center"/>
          </w:tcPr>
          <w:p w14:paraId="5528ECDB">
            <w:pPr>
              <w:spacing w:line="360" w:lineRule="auto"/>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14:paraId="63311AA9">
            <w:pPr>
              <w:spacing w:line="360" w:lineRule="auto"/>
              <w:rPr>
                <w:rFonts w:hint="eastAsia" w:ascii="宋体" w:hAnsi="宋体" w:eastAsia="宋体" w:cs="宋体"/>
                <w:color w:val="auto"/>
                <w:sz w:val="24"/>
                <w:highlight w:val="none"/>
              </w:rPr>
            </w:pPr>
          </w:p>
        </w:tc>
      </w:tr>
      <w:tr w14:paraId="73126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6F130EB7">
            <w:pPr>
              <w:spacing w:line="360" w:lineRule="auto"/>
              <w:jc w:val="center"/>
              <w:rPr>
                <w:rFonts w:hint="eastAsia" w:ascii="宋体" w:hAnsi="宋体" w:eastAsia="宋体" w:cs="宋体"/>
                <w:color w:val="auto"/>
                <w:sz w:val="24"/>
                <w:highlight w:val="none"/>
              </w:rPr>
            </w:pPr>
          </w:p>
        </w:tc>
        <w:tc>
          <w:tcPr>
            <w:tcW w:w="1156" w:type="dxa"/>
            <w:vAlign w:val="center"/>
          </w:tcPr>
          <w:p w14:paraId="4F900D20">
            <w:pPr>
              <w:spacing w:line="360" w:lineRule="auto"/>
              <w:jc w:val="center"/>
              <w:rPr>
                <w:rFonts w:hint="eastAsia" w:ascii="宋体" w:hAnsi="宋体" w:eastAsia="宋体" w:cs="宋体"/>
                <w:color w:val="auto"/>
                <w:sz w:val="24"/>
                <w:highlight w:val="none"/>
              </w:rPr>
            </w:pPr>
          </w:p>
        </w:tc>
        <w:tc>
          <w:tcPr>
            <w:tcW w:w="1156" w:type="dxa"/>
            <w:vAlign w:val="center"/>
          </w:tcPr>
          <w:p w14:paraId="24EDD4B9">
            <w:pPr>
              <w:spacing w:line="360" w:lineRule="auto"/>
              <w:jc w:val="center"/>
              <w:rPr>
                <w:rFonts w:hint="eastAsia" w:ascii="宋体" w:hAnsi="宋体" w:eastAsia="宋体" w:cs="宋体"/>
                <w:color w:val="auto"/>
                <w:sz w:val="24"/>
                <w:highlight w:val="none"/>
              </w:rPr>
            </w:pPr>
          </w:p>
        </w:tc>
        <w:tc>
          <w:tcPr>
            <w:tcW w:w="1155" w:type="dxa"/>
            <w:vAlign w:val="center"/>
          </w:tcPr>
          <w:p w14:paraId="47F98F07">
            <w:pPr>
              <w:spacing w:line="360" w:lineRule="auto"/>
              <w:jc w:val="center"/>
              <w:rPr>
                <w:rFonts w:hint="eastAsia" w:ascii="宋体" w:hAnsi="宋体" w:eastAsia="宋体" w:cs="宋体"/>
                <w:color w:val="auto"/>
                <w:sz w:val="24"/>
                <w:highlight w:val="none"/>
              </w:rPr>
            </w:pPr>
          </w:p>
        </w:tc>
        <w:tc>
          <w:tcPr>
            <w:tcW w:w="1155" w:type="dxa"/>
            <w:vAlign w:val="center"/>
          </w:tcPr>
          <w:p w14:paraId="4FAAE7CE">
            <w:pPr>
              <w:spacing w:line="360" w:lineRule="auto"/>
              <w:jc w:val="center"/>
              <w:rPr>
                <w:rFonts w:hint="eastAsia" w:ascii="宋体" w:hAnsi="宋体" w:eastAsia="宋体" w:cs="宋体"/>
                <w:color w:val="auto"/>
                <w:sz w:val="24"/>
                <w:highlight w:val="none"/>
              </w:rPr>
            </w:pPr>
          </w:p>
        </w:tc>
        <w:tc>
          <w:tcPr>
            <w:tcW w:w="1155" w:type="dxa"/>
            <w:vAlign w:val="center"/>
          </w:tcPr>
          <w:p w14:paraId="01F311EF">
            <w:pPr>
              <w:spacing w:line="360" w:lineRule="auto"/>
              <w:jc w:val="center"/>
              <w:rPr>
                <w:rFonts w:hint="eastAsia" w:ascii="宋体" w:hAnsi="宋体" w:eastAsia="宋体" w:cs="宋体"/>
                <w:color w:val="auto"/>
                <w:sz w:val="24"/>
                <w:highlight w:val="none"/>
              </w:rPr>
            </w:pPr>
          </w:p>
        </w:tc>
        <w:tc>
          <w:tcPr>
            <w:tcW w:w="1155" w:type="dxa"/>
            <w:tcBorders>
              <w:right w:val="single" w:color="auto" w:sz="4" w:space="0"/>
            </w:tcBorders>
            <w:vAlign w:val="center"/>
          </w:tcPr>
          <w:p w14:paraId="74FB84F2">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14:paraId="5F449A63">
            <w:pPr>
              <w:spacing w:line="360" w:lineRule="auto"/>
              <w:jc w:val="center"/>
              <w:rPr>
                <w:rFonts w:hint="eastAsia" w:ascii="宋体" w:hAnsi="宋体" w:eastAsia="宋体" w:cs="宋体"/>
                <w:color w:val="auto"/>
                <w:sz w:val="24"/>
                <w:highlight w:val="none"/>
              </w:rPr>
            </w:pPr>
          </w:p>
        </w:tc>
      </w:tr>
      <w:tr w14:paraId="168FE4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vAlign w:val="center"/>
          </w:tcPr>
          <w:p w14:paraId="1D80D3F7">
            <w:pPr>
              <w:spacing w:line="360" w:lineRule="auto"/>
              <w:jc w:val="center"/>
              <w:rPr>
                <w:rFonts w:hint="eastAsia" w:ascii="宋体" w:hAnsi="宋体" w:eastAsia="宋体" w:cs="宋体"/>
                <w:color w:val="auto"/>
                <w:sz w:val="24"/>
                <w:highlight w:val="none"/>
              </w:rPr>
            </w:pPr>
          </w:p>
        </w:tc>
        <w:tc>
          <w:tcPr>
            <w:tcW w:w="1156" w:type="dxa"/>
            <w:vAlign w:val="center"/>
          </w:tcPr>
          <w:p w14:paraId="73D152EE">
            <w:pPr>
              <w:spacing w:line="360" w:lineRule="auto"/>
              <w:jc w:val="center"/>
              <w:rPr>
                <w:rFonts w:hint="eastAsia" w:ascii="宋体" w:hAnsi="宋体" w:eastAsia="宋体" w:cs="宋体"/>
                <w:color w:val="auto"/>
                <w:sz w:val="24"/>
                <w:highlight w:val="none"/>
              </w:rPr>
            </w:pPr>
          </w:p>
        </w:tc>
        <w:tc>
          <w:tcPr>
            <w:tcW w:w="1156" w:type="dxa"/>
            <w:vAlign w:val="center"/>
          </w:tcPr>
          <w:p w14:paraId="6D8D645D">
            <w:pPr>
              <w:spacing w:line="360" w:lineRule="auto"/>
              <w:jc w:val="center"/>
              <w:rPr>
                <w:rFonts w:hint="eastAsia" w:ascii="宋体" w:hAnsi="宋体" w:eastAsia="宋体" w:cs="宋体"/>
                <w:color w:val="auto"/>
                <w:sz w:val="24"/>
                <w:highlight w:val="none"/>
              </w:rPr>
            </w:pPr>
          </w:p>
        </w:tc>
        <w:tc>
          <w:tcPr>
            <w:tcW w:w="1155" w:type="dxa"/>
            <w:vAlign w:val="center"/>
          </w:tcPr>
          <w:p w14:paraId="5BED6949">
            <w:pPr>
              <w:spacing w:line="360" w:lineRule="auto"/>
              <w:jc w:val="center"/>
              <w:rPr>
                <w:rFonts w:hint="eastAsia" w:ascii="宋体" w:hAnsi="宋体" w:eastAsia="宋体" w:cs="宋体"/>
                <w:color w:val="auto"/>
                <w:sz w:val="24"/>
                <w:highlight w:val="none"/>
              </w:rPr>
            </w:pPr>
          </w:p>
        </w:tc>
        <w:tc>
          <w:tcPr>
            <w:tcW w:w="1155" w:type="dxa"/>
            <w:vAlign w:val="center"/>
          </w:tcPr>
          <w:p w14:paraId="64D425F5">
            <w:pPr>
              <w:spacing w:line="360" w:lineRule="auto"/>
              <w:jc w:val="center"/>
              <w:rPr>
                <w:rFonts w:hint="eastAsia" w:ascii="宋体" w:hAnsi="宋体" w:eastAsia="宋体" w:cs="宋体"/>
                <w:color w:val="auto"/>
                <w:sz w:val="24"/>
                <w:highlight w:val="none"/>
              </w:rPr>
            </w:pPr>
          </w:p>
        </w:tc>
        <w:tc>
          <w:tcPr>
            <w:tcW w:w="1155" w:type="dxa"/>
            <w:vAlign w:val="center"/>
          </w:tcPr>
          <w:p w14:paraId="03662259">
            <w:pPr>
              <w:spacing w:line="360" w:lineRule="auto"/>
              <w:jc w:val="center"/>
              <w:rPr>
                <w:rFonts w:hint="eastAsia" w:ascii="宋体" w:hAnsi="宋体" w:eastAsia="宋体" w:cs="宋体"/>
                <w:color w:val="auto"/>
                <w:sz w:val="24"/>
                <w:highlight w:val="none"/>
              </w:rPr>
            </w:pPr>
          </w:p>
        </w:tc>
        <w:tc>
          <w:tcPr>
            <w:tcW w:w="1155" w:type="dxa"/>
            <w:tcBorders>
              <w:right w:val="single" w:color="auto" w:sz="4" w:space="0"/>
            </w:tcBorders>
            <w:vAlign w:val="center"/>
          </w:tcPr>
          <w:p w14:paraId="67D8B30B">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right w:val="single" w:color="auto" w:sz="4" w:space="0"/>
            </w:tcBorders>
            <w:vAlign w:val="center"/>
          </w:tcPr>
          <w:p w14:paraId="58A7EF8A">
            <w:pPr>
              <w:spacing w:line="360" w:lineRule="auto"/>
              <w:jc w:val="center"/>
              <w:rPr>
                <w:rFonts w:hint="eastAsia" w:ascii="宋体" w:hAnsi="宋体" w:eastAsia="宋体" w:cs="宋体"/>
                <w:color w:val="auto"/>
                <w:sz w:val="24"/>
                <w:highlight w:val="none"/>
              </w:rPr>
            </w:pPr>
          </w:p>
        </w:tc>
      </w:tr>
      <w:tr w14:paraId="3EAB13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bottom w:val="single" w:color="auto" w:sz="4" w:space="0"/>
            </w:tcBorders>
            <w:vAlign w:val="center"/>
          </w:tcPr>
          <w:p w14:paraId="56FF78B0">
            <w:pPr>
              <w:spacing w:line="360" w:lineRule="auto"/>
              <w:jc w:val="center"/>
              <w:rPr>
                <w:rFonts w:hint="eastAsia" w:ascii="宋体" w:hAnsi="宋体" w:eastAsia="宋体" w:cs="宋体"/>
                <w:color w:val="auto"/>
                <w:sz w:val="24"/>
                <w:highlight w:val="none"/>
              </w:rPr>
            </w:pPr>
          </w:p>
        </w:tc>
        <w:tc>
          <w:tcPr>
            <w:tcW w:w="1156" w:type="dxa"/>
            <w:tcBorders>
              <w:bottom w:val="single" w:color="auto" w:sz="4" w:space="0"/>
            </w:tcBorders>
            <w:vAlign w:val="center"/>
          </w:tcPr>
          <w:p w14:paraId="23CF39F6">
            <w:pPr>
              <w:spacing w:line="360" w:lineRule="auto"/>
              <w:jc w:val="center"/>
              <w:rPr>
                <w:rFonts w:hint="eastAsia" w:ascii="宋体" w:hAnsi="宋体" w:eastAsia="宋体" w:cs="宋体"/>
                <w:color w:val="auto"/>
                <w:sz w:val="24"/>
                <w:highlight w:val="none"/>
              </w:rPr>
            </w:pPr>
          </w:p>
        </w:tc>
        <w:tc>
          <w:tcPr>
            <w:tcW w:w="1156" w:type="dxa"/>
            <w:tcBorders>
              <w:bottom w:val="single" w:color="auto" w:sz="4" w:space="0"/>
            </w:tcBorders>
            <w:vAlign w:val="center"/>
          </w:tcPr>
          <w:p w14:paraId="065CD23C">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14:paraId="30C13192">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14:paraId="3B927432">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tcBorders>
            <w:vAlign w:val="center"/>
          </w:tcPr>
          <w:p w14:paraId="099D5B14">
            <w:pPr>
              <w:spacing w:line="360" w:lineRule="auto"/>
              <w:jc w:val="center"/>
              <w:rPr>
                <w:rFonts w:hint="eastAsia" w:ascii="宋体" w:hAnsi="宋体" w:eastAsia="宋体" w:cs="宋体"/>
                <w:color w:val="auto"/>
                <w:sz w:val="24"/>
                <w:highlight w:val="none"/>
              </w:rPr>
            </w:pPr>
          </w:p>
        </w:tc>
        <w:tc>
          <w:tcPr>
            <w:tcW w:w="1155" w:type="dxa"/>
            <w:tcBorders>
              <w:bottom w:val="single" w:color="auto" w:sz="4" w:space="0"/>
              <w:right w:val="single" w:color="auto" w:sz="4" w:space="0"/>
            </w:tcBorders>
            <w:vAlign w:val="center"/>
          </w:tcPr>
          <w:p w14:paraId="07C3B6EC">
            <w:pPr>
              <w:spacing w:line="360" w:lineRule="auto"/>
              <w:jc w:val="center"/>
              <w:rPr>
                <w:rFonts w:hint="eastAsia" w:ascii="宋体" w:hAnsi="宋体" w:eastAsia="宋体" w:cs="宋体"/>
                <w:color w:val="auto"/>
                <w:sz w:val="24"/>
                <w:highlight w:val="none"/>
              </w:rPr>
            </w:pPr>
          </w:p>
        </w:tc>
        <w:tc>
          <w:tcPr>
            <w:tcW w:w="1157" w:type="dxa"/>
            <w:tcBorders>
              <w:left w:val="single" w:color="auto" w:sz="4" w:space="0"/>
              <w:bottom w:val="single" w:color="auto" w:sz="4" w:space="0"/>
              <w:right w:val="single" w:color="auto" w:sz="4" w:space="0"/>
            </w:tcBorders>
            <w:vAlign w:val="center"/>
          </w:tcPr>
          <w:p w14:paraId="373F5B0C">
            <w:pPr>
              <w:spacing w:line="360" w:lineRule="auto"/>
              <w:jc w:val="center"/>
              <w:rPr>
                <w:rFonts w:hint="eastAsia" w:ascii="宋体" w:hAnsi="宋体" w:eastAsia="宋体" w:cs="宋体"/>
                <w:color w:val="auto"/>
                <w:sz w:val="24"/>
                <w:highlight w:val="none"/>
              </w:rPr>
            </w:pPr>
          </w:p>
        </w:tc>
      </w:tr>
      <w:tr w14:paraId="7E8EDB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48D3F9D6">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46BF5DF3">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2B0DFB29">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58A3956E">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63C20B65">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65FFDE24">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14:paraId="350B7BCE">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40D25DA6">
            <w:pPr>
              <w:spacing w:line="360" w:lineRule="auto"/>
              <w:jc w:val="center"/>
              <w:rPr>
                <w:rFonts w:hint="eastAsia" w:ascii="宋体" w:hAnsi="宋体" w:eastAsia="宋体" w:cs="宋体"/>
                <w:color w:val="auto"/>
                <w:sz w:val="24"/>
                <w:highlight w:val="none"/>
              </w:rPr>
            </w:pPr>
          </w:p>
        </w:tc>
      </w:tr>
      <w:tr w14:paraId="595391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18595F0D">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5CD7D3E3">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0B84C9E0">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5BEFE308">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3DF2003C">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4B7C8DAA">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14:paraId="2F8B01E0">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38B5F9C6">
            <w:pPr>
              <w:spacing w:line="360" w:lineRule="auto"/>
              <w:jc w:val="center"/>
              <w:rPr>
                <w:rFonts w:hint="eastAsia" w:ascii="宋体" w:hAnsi="宋体" w:eastAsia="宋体" w:cs="宋体"/>
                <w:color w:val="auto"/>
                <w:sz w:val="24"/>
                <w:highlight w:val="none"/>
              </w:rPr>
            </w:pPr>
          </w:p>
        </w:tc>
      </w:tr>
      <w:tr w14:paraId="017D1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bottom w:val="single" w:color="auto" w:sz="4" w:space="0"/>
            </w:tcBorders>
            <w:vAlign w:val="center"/>
          </w:tcPr>
          <w:p w14:paraId="59E37456">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37EAF116">
            <w:pPr>
              <w:spacing w:line="360" w:lineRule="auto"/>
              <w:jc w:val="center"/>
              <w:rPr>
                <w:rFonts w:hint="eastAsia" w:ascii="宋体" w:hAnsi="宋体" w:eastAsia="宋体" w:cs="宋体"/>
                <w:color w:val="auto"/>
                <w:sz w:val="24"/>
                <w:highlight w:val="none"/>
              </w:rPr>
            </w:pPr>
          </w:p>
        </w:tc>
        <w:tc>
          <w:tcPr>
            <w:tcW w:w="1156" w:type="dxa"/>
            <w:tcBorders>
              <w:top w:val="single" w:color="auto" w:sz="4" w:space="0"/>
              <w:bottom w:val="single" w:color="auto" w:sz="4" w:space="0"/>
            </w:tcBorders>
            <w:vAlign w:val="center"/>
          </w:tcPr>
          <w:p w14:paraId="7B69104A">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7C2843F4">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74955A21">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tcBorders>
            <w:vAlign w:val="center"/>
          </w:tcPr>
          <w:p w14:paraId="5373BE34">
            <w:pPr>
              <w:spacing w:line="360" w:lineRule="auto"/>
              <w:jc w:val="center"/>
              <w:rPr>
                <w:rFonts w:hint="eastAsia" w:ascii="宋体" w:hAnsi="宋体" w:eastAsia="宋体" w:cs="宋体"/>
                <w:color w:val="auto"/>
                <w:sz w:val="24"/>
                <w:highlight w:val="none"/>
              </w:rPr>
            </w:pPr>
          </w:p>
        </w:tc>
        <w:tc>
          <w:tcPr>
            <w:tcW w:w="1155" w:type="dxa"/>
            <w:tcBorders>
              <w:top w:val="single" w:color="auto" w:sz="4" w:space="0"/>
              <w:bottom w:val="single" w:color="auto" w:sz="4" w:space="0"/>
              <w:right w:val="single" w:color="auto" w:sz="4" w:space="0"/>
            </w:tcBorders>
            <w:vAlign w:val="center"/>
          </w:tcPr>
          <w:p w14:paraId="1772AEA2">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14:paraId="0B7BC425">
            <w:pPr>
              <w:spacing w:line="360" w:lineRule="auto"/>
              <w:jc w:val="center"/>
              <w:rPr>
                <w:rFonts w:hint="eastAsia" w:ascii="宋体" w:hAnsi="宋体" w:eastAsia="宋体" w:cs="宋体"/>
                <w:color w:val="auto"/>
                <w:sz w:val="24"/>
                <w:highlight w:val="none"/>
              </w:rPr>
            </w:pPr>
          </w:p>
        </w:tc>
      </w:tr>
      <w:tr w14:paraId="01D0A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0" w:hRule="atLeast"/>
          <w:jc w:val="center"/>
        </w:trPr>
        <w:tc>
          <w:tcPr>
            <w:tcW w:w="629" w:type="dxa"/>
            <w:tcBorders>
              <w:top w:val="single" w:color="auto" w:sz="4" w:space="0"/>
            </w:tcBorders>
            <w:vAlign w:val="center"/>
          </w:tcPr>
          <w:p w14:paraId="1345929D">
            <w:pPr>
              <w:spacing w:line="360" w:lineRule="auto"/>
              <w:jc w:val="center"/>
              <w:rPr>
                <w:rFonts w:hint="eastAsia" w:ascii="宋体" w:hAnsi="宋体" w:eastAsia="宋体" w:cs="宋体"/>
                <w:color w:val="auto"/>
                <w:sz w:val="24"/>
                <w:highlight w:val="none"/>
              </w:rPr>
            </w:pPr>
          </w:p>
        </w:tc>
        <w:tc>
          <w:tcPr>
            <w:tcW w:w="1156" w:type="dxa"/>
            <w:tcBorders>
              <w:top w:val="single" w:color="auto" w:sz="4" w:space="0"/>
            </w:tcBorders>
            <w:vAlign w:val="center"/>
          </w:tcPr>
          <w:p w14:paraId="0FF8215F">
            <w:pPr>
              <w:spacing w:line="360" w:lineRule="auto"/>
              <w:jc w:val="center"/>
              <w:rPr>
                <w:rFonts w:hint="eastAsia" w:ascii="宋体" w:hAnsi="宋体" w:eastAsia="宋体" w:cs="宋体"/>
                <w:color w:val="auto"/>
                <w:sz w:val="24"/>
                <w:highlight w:val="none"/>
              </w:rPr>
            </w:pPr>
          </w:p>
        </w:tc>
        <w:tc>
          <w:tcPr>
            <w:tcW w:w="1156" w:type="dxa"/>
            <w:tcBorders>
              <w:top w:val="single" w:color="auto" w:sz="4" w:space="0"/>
            </w:tcBorders>
            <w:vAlign w:val="center"/>
          </w:tcPr>
          <w:p w14:paraId="32930D0B">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14:paraId="3FE3F168">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14:paraId="15859AF5">
            <w:pPr>
              <w:spacing w:line="360" w:lineRule="auto"/>
              <w:jc w:val="center"/>
              <w:rPr>
                <w:rFonts w:hint="eastAsia" w:ascii="宋体" w:hAnsi="宋体" w:eastAsia="宋体" w:cs="宋体"/>
                <w:color w:val="auto"/>
                <w:sz w:val="24"/>
                <w:highlight w:val="none"/>
              </w:rPr>
            </w:pPr>
          </w:p>
        </w:tc>
        <w:tc>
          <w:tcPr>
            <w:tcW w:w="1155" w:type="dxa"/>
            <w:tcBorders>
              <w:top w:val="single" w:color="auto" w:sz="4" w:space="0"/>
            </w:tcBorders>
            <w:vAlign w:val="center"/>
          </w:tcPr>
          <w:p w14:paraId="08D740FF">
            <w:pPr>
              <w:spacing w:line="360" w:lineRule="auto"/>
              <w:jc w:val="center"/>
              <w:rPr>
                <w:rFonts w:hint="eastAsia" w:ascii="宋体" w:hAnsi="宋体" w:eastAsia="宋体" w:cs="宋体"/>
                <w:color w:val="auto"/>
                <w:sz w:val="24"/>
                <w:highlight w:val="none"/>
              </w:rPr>
            </w:pPr>
          </w:p>
        </w:tc>
        <w:tc>
          <w:tcPr>
            <w:tcW w:w="1155" w:type="dxa"/>
            <w:tcBorders>
              <w:top w:val="single" w:color="auto" w:sz="4" w:space="0"/>
              <w:right w:val="single" w:color="auto" w:sz="4" w:space="0"/>
            </w:tcBorders>
            <w:vAlign w:val="center"/>
          </w:tcPr>
          <w:p w14:paraId="561A966A">
            <w:pPr>
              <w:spacing w:line="360" w:lineRule="auto"/>
              <w:jc w:val="center"/>
              <w:rPr>
                <w:rFonts w:hint="eastAsia" w:ascii="宋体" w:hAnsi="宋体" w:eastAsia="宋体" w:cs="宋体"/>
                <w:color w:val="auto"/>
                <w:sz w:val="24"/>
                <w:highlight w:val="none"/>
              </w:rPr>
            </w:pPr>
          </w:p>
        </w:tc>
        <w:tc>
          <w:tcPr>
            <w:tcW w:w="1157" w:type="dxa"/>
            <w:tcBorders>
              <w:top w:val="single" w:color="auto" w:sz="4" w:space="0"/>
              <w:left w:val="single" w:color="auto" w:sz="4" w:space="0"/>
              <w:right w:val="single" w:color="auto" w:sz="4" w:space="0"/>
            </w:tcBorders>
            <w:vAlign w:val="center"/>
          </w:tcPr>
          <w:p w14:paraId="7FE5E4D2">
            <w:pPr>
              <w:spacing w:line="360" w:lineRule="auto"/>
              <w:jc w:val="center"/>
              <w:rPr>
                <w:rFonts w:hint="eastAsia" w:ascii="宋体" w:hAnsi="宋体" w:eastAsia="宋体" w:cs="宋体"/>
                <w:color w:val="auto"/>
                <w:sz w:val="24"/>
                <w:highlight w:val="none"/>
              </w:rPr>
            </w:pPr>
          </w:p>
        </w:tc>
      </w:tr>
    </w:tbl>
    <w:p w14:paraId="285369C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6CBED181">
      <w:pPr>
        <w:numPr>
          <w:ilvl w:val="0"/>
          <w:numId w:val="6"/>
        </w:num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本表后附：</w:t>
      </w:r>
      <w:r>
        <w:rPr>
          <w:rFonts w:hint="eastAsia" w:ascii="宋体" w:hAnsi="宋体" w:eastAsia="宋体" w:cs="宋体"/>
          <w:color w:val="auto"/>
          <w:kern w:val="0"/>
          <w:sz w:val="24"/>
          <w:highlight w:val="none"/>
        </w:rPr>
        <w:t>供应商近三年完成的</w:t>
      </w:r>
      <w:r>
        <w:rPr>
          <w:rFonts w:hint="eastAsia" w:ascii="宋体" w:hAnsi="宋体" w:eastAsia="宋体" w:cs="宋体"/>
          <w:caps/>
          <w:color w:val="auto"/>
          <w:sz w:val="24"/>
          <w:highlight w:val="none"/>
        </w:rPr>
        <w:t>类似业绩</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须提供</w:t>
      </w:r>
      <w:r>
        <w:rPr>
          <w:rFonts w:hint="eastAsia" w:ascii="宋体" w:hAnsi="宋体" w:cs="宋体"/>
          <w:bCs/>
          <w:color w:val="auto"/>
          <w:sz w:val="24"/>
          <w:highlight w:val="none"/>
          <w:lang w:val="en-US" w:eastAsia="zh-CN"/>
        </w:rPr>
        <w:t>中标通知书或</w:t>
      </w:r>
      <w:r>
        <w:rPr>
          <w:rFonts w:hint="eastAsia" w:ascii="宋体" w:hAnsi="宋体" w:eastAsia="宋体" w:cs="宋体"/>
          <w:color w:val="auto"/>
          <w:sz w:val="24"/>
          <w:highlight w:val="none"/>
        </w:rPr>
        <w:t>合同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合同至少包含合同首页、关键页、签订时间、双方签章页</w:t>
      </w:r>
      <w:r>
        <w:rPr>
          <w:rFonts w:hint="eastAsia" w:ascii="宋体" w:hAnsi="宋体" w:cs="宋体"/>
          <w:color w:val="auto"/>
          <w:sz w:val="24"/>
          <w:highlight w:val="none"/>
          <w:lang w:val="en-US" w:eastAsia="zh-CN"/>
        </w:rPr>
        <w:t>等</w:t>
      </w:r>
      <w:r>
        <w:rPr>
          <w:rFonts w:hint="eastAsia" w:ascii="宋体" w:hAnsi="宋体" w:cs="宋体"/>
          <w:color w:val="auto"/>
          <w:sz w:val="24"/>
          <w:highlight w:val="none"/>
          <w:lang w:eastAsia="zh-CN"/>
        </w:rPr>
        <w:t>）</w:t>
      </w:r>
      <w:r>
        <w:rPr>
          <w:rFonts w:hint="eastAsia" w:ascii="宋体" w:hAnsi="宋体" w:eastAsia="宋体" w:cs="宋体"/>
          <w:bCs/>
          <w:color w:val="auto"/>
          <w:sz w:val="24"/>
          <w:highlight w:val="none"/>
        </w:rPr>
        <w:t>；</w:t>
      </w:r>
    </w:p>
    <w:p w14:paraId="094CF42C">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2、具体年份要求：</w:t>
      </w:r>
      <w:r>
        <w:rPr>
          <w:rFonts w:hint="eastAsia" w:ascii="宋体" w:hAnsi="宋体" w:eastAsia="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年01月01日-</w:t>
      </w:r>
      <w:r>
        <w:rPr>
          <w:rFonts w:hint="eastAsia" w:ascii="宋体" w:hAnsi="宋体" w:cs="宋体"/>
          <w:color w:val="auto"/>
          <w:kern w:val="0"/>
          <w:sz w:val="24"/>
          <w:highlight w:val="none"/>
          <w:lang w:eastAsia="zh-CN"/>
        </w:rPr>
        <w:t>至今</w:t>
      </w:r>
      <w:r>
        <w:rPr>
          <w:rFonts w:hint="eastAsia" w:ascii="宋体" w:hAnsi="宋体" w:eastAsia="宋体" w:cs="宋体"/>
          <w:color w:val="auto"/>
          <w:sz w:val="24"/>
          <w:highlight w:val="none"/>
        </w:rPr>
        <w:t>。</w:t>
      </w:r>
    </w:p>
    <w:p w14:paraId="63923285">
      <w:pPr>
        <w:adjustRightInd w:val="0"/>
        <w:spacing w:line="360" w:lineRule="auto"/>
        <w:jc w:val="center"/>
        <w:rPr>
          <w:rFonts w:hint="eastAsia" w:ascii="宋体" w:hAnsi="宋体" w:eastAsia="宋体" w:cs="宋体"/>
          <w:color w:val="auto"/>
          <w:sz w:val="24"/>
          <w:highlight w:val="none"/>
        </w:rPr>
      </w:pPr>
    </w:p>
    <w:p w14:paraId="10A788F4">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供应商名称（盖章）：</w:t>
      </w:r>
    </w:p>
    <w:p w14:paraId="68AC71F7">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法定代表人或被授权人</w:t>
      </w:r>
      <w:r>
        <w:rPr>
          <w:rFonts w:hint="eastAsia" w:ascii="宋体" w:hAnsi="宋体" w:eastAsia="宋体" w:cs="宋体"/>
          <w:color w:val="auto"/>
          <w:sz w:val="24"/>
          <w:highlight w:val="none"/>
        </w:rPr>
        <w:t>（签字或盖章）</w:t>
      </w:r>
      <w:r>
        <w:rPr>
          <w:rFonts w:hint="eastAsia" w:ascii="宋体" w:hAnsi="宋体" w:eastAsia="宋体" w:cs="宋体"/>
          <w:bCs/>
          <w:color w:val="auto"/>
          <w:sz w:val="24"/>
          <w:highlight w:val="none"/>
        </w:rPr>
        <w:t>：</w:t>
      </w:r>
    </w:p>
    <w:p w14:paraId="614C2D65">
      <w:pPr>
        <w:keepNext/>
        <w:keepLines/>
        <w:spacing w:line="360" w:lineRule="auto"/>
        <w:jc w:val="center"/>
        <w:rPr>
          <w:rFonts w:hint="eastAsia" w:ascii="宋体" w:hAnsi="宋体" w:eastAsia="宋体" w:cs="宋体"/>
          <w:bCs/>
          <w:color w:val="auto"/>
          <w:kern w:val="0"/>
          <w:sz w:val="24"/>
          <w:highlight w:val="none"/>
        </w:rPr>
      </w:pPr>
      <w:bookmarkStart w:id="158" w:name="_Toc217446090"/>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日    期：     年     月    日</w:t>
      </w:r>
    </w:p>
    <w:p w14:paraId="32249ADE">
      <w:pPr>
        <w:pStyle w:val="3"/>
        <w:spacing w:before="0" w:after="0" w:line="360" w:lineRule="auto"/>
        <w:jc w:val="center"/>
        <w:rPr>
          <w:rFonts w:hint="eastAsia" w:ascii="宋体" w:hAnsi="宋体" w:eastAsia="宋体" w:cs="宋体"/>
          <w:bCs w:val="0"/>
          <w:color w:val="auto"/>
          <w:kern w:val="0"/>
          <w:sz w:val="24"/>
          <w:szCs w:val="24"/>
          <w:highlight w:val="none"/>
        </w:rPr>
      </w:pPr>
      <w:r>
        <w:rPr>
          <w:rFonts w:hint="eastAsia" w:ascii="宋体" w:hAnsi="宋体" w:eastAsia="宋体" w:cs="宋体"/>
          <w:b w:val="0"/>
          <w:color w:val="auto"/>
          <w:kern w:val="0"/>
          <w:sz w:val="24"/>
          <w:szCs w:val="24"/>
          <w:highlight w:val="none"/>
        </w:rPr>
        <w:br w:type="page"/>
      </w:r>
      <w:r>
        <w:rPr>
          <w:rFonts w:hint="eastAsia" w:ascii="宋体" w:hAnsi="宋体" w:eastAsia="宋体" w:cs="宋体"/>
          <w:bCs w:val="0"/>
          <w:color w:val="auto"/>
          <w:kern w:val="0"/>
          <w:sz w:val="24"/>
          <w:szCs w:val="24"/>
          <w:highlight w:val="none"/>
          <w:lang w:val="en-US" w:eastAsia="zh-CN"/>
        </w:rPr>
        <w:t>八</w:t>
      </w:r>
      <w:r>
        <w:rPr>
          <w:rFonts w:hint="eastAsia" w:ascii="宋体" w:hAnsi="宋体" w:eastAsia="宋体" w:cs="宋体"/>
          <w:bCs w:val="0"/>
          <w:color w:val="auto"/>
          <w:kern w:val="0"/>
          <w:sz w:val="24"/>
          <w:szCs w:val="24"/>
          <w:highlight w:val="none"/>
        </w:rPr>
        <w:t>、</w:t>
      </w:r>
      <w:bookmarkEnd w:id="158"/>
      <w:r>
        <w:rPr>
          <w:rFonts w:hint="eastAsia" w:ascii="宋体" w:hAnsi="宋体" w:eastAsia="宋体" w:cs="宋体"/>
          <w:bCs w:val="0"/>
          <w:color w:val="auto"/>
          <w:kern w:val="0"/>
          <w:sz w:val="24"/>
          <w:szCs w:val="24"/>
          <w:highlight w:val="none"/>
        </w:rPr>
        <w:t>商务</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lang w:val="en-US" w:eastAsia="zh-CN"/>
        </w:rPr>
        <w:t>服务需求</w:t>
      </w:r>
      <w:r>
        <w:rPr>
          <w:rFonts w:hint="eastAsia" w:ascii="宋体" w:hAnsi="宋体" w:eastAsia="宋体" w:cs="宋体"/>
          <w:bCs w:val="0"/>
          <w:color w:val="auto"/>
          <w:kern w:val="0"/>
          <w:sz w:val="24"/>
          <w:szCs w:val="24"/>
          <w:highlight w:val="none"/>
        </w:rPr>
        <w:t>偏离表</w:t>
      </w:r>
    </w:p>
    <w:p w14:paraId="688FC238">
      <w:pPr>
        <w:pStyle w:val="6"/>
        <w:spacing w:line="360" w:lineRule="auto"/>
        <w:ind w:firstLine="2891" w:firstLineChars="1200"/>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lang w:val="en-US" w:eastAsia="zh-CN"/>
        </w:rPr>
        <w:t>一）商务条款偏离表</w:t>
      </w:r>
    </w:p>
    <w:tbl>
      <w:tblPr>
        <w:tblStyle w:val="3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681"/>
        <w:gridCol w:w="1008"/>
        <w:gridCol w:w="1164"/>
      </w:tblGrid>
      <w:tr w14:paraId="3127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42" w:type="dxa"/>
            <w:shd w:val="clear" w:color="auto" w:fill="F3F3F3"/>
            <w:vAlign w:val="center"/>
          </w:tcPr>
          <w:p w14:paraId="7ED6BC29">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681" w:type="dxa"/>
            <w:shd w:val="clear" w:color="auto" w:fill="F3F3F3"/>
            <w:vAlign w:val="center"/>
          </w:tcPr>
          <w:p w14:paraId="4E811FD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主要商务条款</w:t>
            </w:r>
          </w:p>
        </w:tc>
        <w:tc>
          <w:tcPr>
            <w:tcW w:w="1008" w:type="dxa"/>
            <w:shd w:val="clear" w:color="auto" w:fill="F3F3F3"/>
            <w:vAlign w:val="center"/>
          </w:tcPr>
          <w:p w14:paraId="314CEA1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w:t>
            </w:r>
          </w:p>
          <w:p w14:paraId="0F7A241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w:t>
            </w:r>
          </w:p>
        </w:tc>
        <w:tc>
          <w:tcPr>
            <w:tcW w:w="1164" w:type="dxa"/>
            <w:shd w:val="clear" w:color="auto" w:fill="F3F3F3"/>
            <w:vAlign w:val="center"/>
          </w:tcPr>
          <w:p w14:paraId="6E2A22C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D68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16F47B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81" w:type="dxa"/>
            <w:vAlign w:val="center"/>
          </w:tcPr>
          <w:p w14:paraId="5F75FB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完全理解并接受对合格供应商、合格的服务质量和其他服务要求；</w:t>
            </w:r>
          </w:p>
        </w:tc>
        <w:tc>
          <w:tcPr>
            <w:tcW w:w="1008" w:type="dxa"/>
            <w:vAlign w:val="center"/>
          </w:tcPr>
          <w:p w14:paraId="5369A342">
            <w:pPr>
              <w:pStyle w:val="87"/>
              <w:keepNext w:val="0"/>
              <w:adjustRightInd/>
              <w:spacing w:before="0" w:after="0" w:line="360" w:lineRule="auto"/>
              <w:textAlignment w:val="auto"/>
              <w:rPr>
                <w:rFonts w:hint="eastAsia" w:ascii="宋体" w:hAnsi="宋体" w:eastAsia="宋体" w:cs="宋体"/>
                <w:snapToGrid/>
                <w:color w:val="auto"/>
                <w:spacing w:val="0"/>
                <w:kern w:val="2"/>
                <w:szCs w:val="24"/>
                <w:highlight w:val="none"/>
              </w:rPr>
            </w:pPr>
          </w:p>
        </w:tc>
        <w:tc>
          <w:tcPr>
            <w:tcW w:w="1164" w:type="dxa"/>
            <w:vAlign w:val="center"/>
          </w:tcPr>
          <w:p w14:paraId="32F85D9E">
            <w:pPr>
              <w:spacing w:line="360" w:lineRule="auto"/>
              <w:jc w:val="center"/>
              <w:rPr>
                <w:rFonts w:hint="eastAsia" w:ascii="宋体" w:hAnsi="宋体" w:eastAsia="宋体" w:cs="宋体"/>
                <w:color w:val="auto"/>
                <w:sz w:val="24"/>
                <w:highlight w:val="none"/>
              </w:rPr>
            </w:pPr>
          </w:p>
        </w:tc>
      </w:tr>
      <w:tr w14:paraId="3F8A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750BFF2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681" w:type="dxa"/>
            <w:vAlign w:val="center"/>
          </w:tcPr>
          <w:p w14:paraId="7D5984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完全理解并接受对供应商的各项须知、规约要求和责任义务；</w:t>
            </w:r>
          </w:p>
        </w:tc>
        <w:tc>
          <w:tcPr>
            <w:tcW w:w="1008" w:type="dxa"/>
            <w:vAlign w:val="center"/>
          </w:tcPr>
          <w:p w14:paraId="7769F43E">
            <w:pPr>
              <w:spacing w:line="360" w:lineRule="auto"/>
              <w:jc w:val="center"/>
              <w:rPr>
                <w:rFonts w:hint="eastAsia" w:ascii="宋体" w:hAnsi="宋体" w:eastAsia="宋体" w:cs="宋体"/>
                <w:color w:val="auto"/>
                <w:sz w:val="24"/>
                <w:highlight w:val="none"/>
              </w:rPr>
            </w:pPr>
          </w:p>
        </w:tc>
        <w:tc>
          <w:tcPr>
            <w:tcW w:w="1164" w:type="dxa"/>
            <w:vAlign w:val="center"/>
          </w:tcPr>
          <w:p w14:paraId="2A070F67">
            <w:pPr>
              <w:spacing w:line="360" w:lineRule="auto"/>
              <w:ind w:right="-35"/>
              <w:jc w:val="center"/>
              <w:rPr>
                <w:rFonts w:hint="eastAsia" w:ascii="宋体" w:hAnsi="宋体" w:eastAsia="宋体" w:cs="宋体"/>
                <w:color w:val="auto"/>
                <w:sz w:val="24"/>
                <w:highlight w:val="none"/>
              </w:rPr>
            </w:pPr>
          </w:p>
        </w:tc>
      </w:tr>
      <w:tr w14:paraId="3EBE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550874D2">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681" w:type="dxa"/>
            <w:vAlign w:val="center"/>
          </w:tcPr>
          <w:p w14:paraId="50949B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同意按本项目要求缴付相关款项；</w:t>
            </w:r>
          </w:p>
        </w:tc>
        <w:tc>
          <w:tcPr>
            <w:tcW w:w="1008" w:type="dxa"/>
            <w:vAlign w:val="center"/>
          </w:tcPr>
          <w:p w14:paraId="4BA235AF">
            <w:pPr>
              <w:spacing w:line="360" w:lineRule="auto"/>
              <w:jc w:val="center"/>
              <w:rPr>
                <w:rFonts w:hint="eastAsia" w:ascii="宋体" w:hAnsi="宋体" w:eastAsia="宋体" w:cs="宋体"/>
                <w:color w:val="auto"/>
                <w:sz w:val="24"/>
                <w:highlight w:val="none"/>
              </w:rPr>
            </w:pPr>
          </w:p>
        </w:tc>
        <w:tc>
          <w:tcPr>
            <w:tcW w:w="1164" w:type="dxa"/>
            <w:vAlign w:val="center"/>
          </w:tcPr>
          <w:p w14:paraId="6F6FFD38">
            <w:pPr>
              <w:spacing w:line="360" w:lineRule="auto"/>
              <w:ind w:right="-35"/>
              <w:jc w:val="center"/>
              <w:rPr>
                <w:rFonts w:hint="eastAsia" w:ascii="宋体" w:hAnsi="宋体" w:eastAsia="宋体" w:cs="宋体"/>
                <w:color w:val="auto"/>
                <w:sz w:val="24"/>
                <w:highlight w:val="none"/>
              </w:rPr>
            </w:pPr>
          </w:p>
        </w:tc>
      </w:tr>
      <w:tr w14:paraId="5AD7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2" w:type="dxa"/>
            <w:vAlign w:val="center"/>
          </w:tcPr>
          <w:p w14:paraId="266CC037">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681" w:type="dxa"/>
            <w:vAlign w:val="center"/>
          </w:tcPr>
          <w:p w14:paraId="3C52A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磋商有效期：从提交响应文件截止之日起</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0日历天</w:t>
            </w:r>
          </w:p>
        </w:tc>
        <w:tc>
          <w:tcPr>
            <w:tcW w:w="1008" w:type="dxa"/>
            <w:vAlign w:val="center"/>
          </w:tcPr>
          <w:p w14:paraId="63E92456">
            <w:pPr>
              <w:spacing w:line="360" w:lineRule="auto"/>
              <w:jc w:val="center"/>
              <w:rPr>
                <w:rFonts w:hint="eastAsia" w:ascii="宋体" w:hAnsi="宋体" w:eastAsia="宋体" w:cs="宋体"/>
                <w:color w:val="auto"/>
                <w:sz w:val="24"/>
                <w:highlight w:val="none"/>
              </w:rPr>
            </w:pPr>
          </w:p>
        </w:tc>
        <w:tc>
          <w:tcPr>
            <w:tcW w:w="1164" w:type="dxa"/>
            <w:vAlign w:val="center"/>
          </w:tcPr>
          <w:p w14:paraId="44D2CAA0">
            <w:pPr>
              <w:spacing w:line="360" w:lineRule="auto"/>
              <w:ind w:right="-35"/>
              <w:jc w:val="center"/>
              <w:rPr>
                <w:rFonts w:hint="eastAsia" w:ascii="宋体" w:hAnsi="宋体" w:eastAsia="宋体" w:cs="宋体"/>
                <w:color w:val="auto"/>
                <w:sz w:val="24"/>
                <w:highlight w:val="none"/>
              </w:rPr>
            </w:pPr>
          </w:p>
        </w:tc>
      </w:tr>
      <w:tr w14:paraId="078F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6625C6DF">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5681" w:type="dxa"/>
            <w:vAlign w:val="center"/>
          </w:tcPr>
          <w:p w14:paraId="3D025B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响应内容均涵盖磋商要求及一切费用和伴随服务；</w:t>
            </w:r>
          </w:p>
        </w:tc>
        <w:tc>
          <w:tcPr>
            <w:tcW w:w="1008" w:type="dxa"/>
            <w:vAlign w:val="center"/>
          </w:tcPr>
          <w:p w14:paraId="269181E0">
            <w:pPr>
              <w:spacing w:line="360" w:lineRule="auto"/>
              <w:jc w:val="center"/>
              <w:rPr>
                <w:rFonts w:hint="eastAsia" w:ascii="宋体" w:hAnsi="宋体" w:eastAsia="宋体" w:cs="宋体"/>
                <w:color w:val="auto"/>
                <w:sz w:val="24"/>
                <w:highlight w:val="none"/>
              </w:rPr>
            </w:pPr>
          </w:p>
        </w:tc>
        <w:tc>
          <w:tcPr>
            <w:tcW w:w="1164" w:type="dxa"/>
            <w:vAlign w:val="center"/>
          </w:tcPr>
          <w:p w14:paraId="7E45D330">
            <w:pPr>
              <w:pStyle w:val="87"/>
              <w:keepNext w:val="0"/>
              <w:adjustRightInd/>
              <w:spacing w:before="0" w:after="0" w:line="360" w:lineRule="auto"/>
              <w:textAlignment w:val="auto"/>
              <w:rPr>
                <w:rFonts w:hint="eastAsia" w:ascii="宋体" w:hAnsi="宋体" w:eastAsia="宋体" w:cs="宋体"/>
                <w:snapToGrid/>
                <w:color w:val="auto"/>
                <w:spacing w:val="0"/>
                <w:kern w:val="2"/>
                <w:szCs w:val="24"/>
                <w:highlight w:val="none"/>
              </w:rPr>
            </w:pPr>
          </w:p>
        </w:tc>
      </w:tr>
      <w:tr w14:paraId="3A1C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1C584D72">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5681" w:type="dxa"/>
            <w:vAlign w:val="center"/>
          </w:tcPr>
          <w:p w14:paraId="67F5EE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同意接受本项目服务期或相关进度安排要求；</w:t>
            </w:r>
          </w:p>
        </w:tc>
        <w:tc>
          <w:tcPr>
            <w:tcW w:w="1008" w:type="dxa"/>
            <w:vAlign w:val="center"/>
          </w:tcPr>
          <w:p w14:paraId="7BFFEA90">
            <w:pPr>
              <w:spacing w:line="360" w:lineRule="auto"/>
              <w:jc w:val="center"/>
              <w:rPr>
                <w:rFonts w:hint="eastAsia" w:ascii="宋体" w:hAnsi="宋体" w:eastAsia="宋体" w:cs="宋体"/>
                <w:color w:val="auto"/>
                <w:sz w:val="24"/>
                <w:highlight w:val="none"/>
              </w:rPr>
            </w:pPr>
          </w:p>
        </w:tc>
        <w:tc>
          <w:tcPr>
            <w:tcW w:w="1164" w:type="dxa"/>
            <w:vAlign w:val="center"/>
          </w:tcPr>
          <w:p w14:paraId="24DD7F05">
            <w:pPr>
              <w:spacing w:line="360" w:lineRule="auto"/>
              <w:jc w:val="center"/>
              <w:rPr>
                <w:rFonts w:hint="eastAsia" w:ascii="宋体" w:hAnsi="宋体" w:eastAsia="宋体" w:cs="宋体"/>
                <w:color w:val="auto"/>
                <w:sz w:val="24"/>
                <w:highlight w:val="none"/>
              </w:rPr>
            </w:pPr>
          </w:p>
        </w:tc>
      </w:tr>
      <w:tr w14:paraId="7BA1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14:paraId="53E4CE79">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5681" w:type="dxa"/>
            <w:vAlign w:val="center"/>
          </w:tcPr>
          <w:p w14:paraId="118C6AC8">
            <w:pPr>
              <w:pStyle w:val="19"/>
              <w:spacing w:line="36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同意采购人以任何形式对我方的响应文件内容的真实性和有效性进行审查、验证；</w:t>
            </w:r>
          </w:p>
        </w:tc>
        <w:tc>
          <w:tcPr>
            <w:tcW w:w="1008" w:type="dxa"/>
            <w:vAlign w:val="center"/>
          </w:tcPr>
          <w:p w14:paraId="7CF1DB6F">
            <w:pPr>
              <w:pStyle w:val="88"/>
              <w:numPr>
                <w:ilvl w:val="0"/>
                <w:numId w:val="0"/>
              </w:numPr>
              <w:spacing w:line="360" w:lineRule="auto"/>
              <w:rPr>
                <w:rFonts w:hint="eastAsia" w:ascii="宋体" w:hAnsi="宋体" w:eastAsia="宋体" w:cs="宋体"/>
                <w:color w:val="auto"/>
                <w:sz w:val="24"/>
                <w:szCs w:val="24"/>
                <w:highlight w:val="none"/>
              </w:rPr>
            </w:pPr>
          </w:p>
        </w:tc>
        <w:tc>
          <w:tcPr>
            <w:tcW w:w="1164" w:type="dxa"/>
            <w:vAlign w:val="center"/>
          </w:tcPr>
          <w:p w14:paraId="4AA60AA4">
            <w:pPr>
              <w:pStyle w:val="87"/>
              <w:keepNext w:val="0"/>
              <w:adjustRightInd/>
              <w:spacing w:before="0" w:after="0" w:line="360" w:lineRule="auto"/>
              <w:jc w:val="both"/>
              <w:textAlignment w:val="auto"/>
              <w:rPr>
                <w:rFonts w:hint="eastAsia" w:ascii="宋体" w:hAnsi="宋体" w:eastAsia="宋体" w:cs="宋体"/>
                <w:snapToGrid/>
                <w:color w:val="auto"/>
                <w:spacing w:val="0"/>
                <w:kern w:val="2"/>
                <w:szCs w:val="24"/>
                <w:highlight w:val="none"/>
              </w:rPr>
            </w:pPr>
          </w:p>
        </w:tc>
      </w:tr>
    </w:tbl>
    <w:p w14:paraId="739DD9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72D4A1FF">
      <w:pPr>
        <w:numPr>
          <w:ilvl w:val="0"/>
          <w:numId w:val="7"/>
        </w:numPr>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GB" w:eastAsia="en-GB"/>
        </w:rPr>
        <w:t>于上述要求，如</w:t>
      </w:r>
      <w:r>
        <w:rPr>
          <w:rFonts w:hint="eastAsia" w:ascii="宋体" w:hAnsi="宋体" w:eastAsia="宋体" w:cs="宋体"/>
          <w:color w:val="auto"/>
          <w:sz w:val="24"/>
          <w:highlight w:val="none"/>
          <w:lang w:val="en-GB"/>
        </w:rPr>
        <w:t>供应商</w:t>
      </w:r>
      <w:r>
        <w:rPr>
          <w:rFonts w:hint="eastAsia" w:ascii="宋体" w:hAnsi="宋体" w:eastAsia="宋体" w:cs="宋体"/>
          <w:color w:val="auto"/>
          <w:sz w:val="24"/>
          <w:highlight w:val="none"/>
          <w:lang w:val="en-GB" w:eastAsia="en-GB"/>
        </w:rPr>
        <w:t>完全响应，则请在“是否响应”栏内打“√”，对打“×”视为偏离，请在“偏离说明”栏内扼要说明偏离情况</w:t>
      </w:r>
      <w:r>
        <w:rPr>
          <w:rFonts w:hint="eastAsia" w:ascii="宋体" w:hAnsi="宋体" w:eastAsia="宋体" w:cs="宋体"/>
          <w:color w:val="auto"/>
          <w:sz w:val="24"/>
          <w:highlight w:val="none"/>
          <w:lang w:val="en-GB"/>
        </w:rPr>
        <w:t>；</w:t>
      </w:r>
    </w:p>
    <w:p w14:paraId="2226ACD1">
      <w:pPr>
        <w:numPr>
          <w:ilvl w:val="0"/>
          <w:numId w:val="7"/>
        </w:numPr>
        <w:spacing w:line="360" w:lineRule="auto"/>
        <w:rPr>
          <w:rFonts w:hint="eastAsia" w:ascii="宋体" w:hAnsi="宋体" w:eastAsia="宋体" w:cs="宋体"/>
          <w:color w:val="auto"/>
          <w:sz w:val="24"/>
          <w:highlight w:val="none"/>
          <w:lang w:val="en-GB" w:eastAsia="en-GB"/>
        </w:rPr>
      </w:pPr>
      <w:r>
        <w:rPr>
          <w:rFonts w:hint="eastAsia" w:ascii="宋体" w:hAnsi="宋体" w:eastAsia="宋体" w:cs="宋体"/>
          <w:color w:val="auto"/>
          <w:sz w:val="24"/>
          <w:highlight w:val="none"/>
          <w:lang w:val="en-GB"/>
        </w:rPr>
        <w:t>供应商</w:t>
      </w:r>
      <w:r>
        <w:rPr>
          <w:rFonts w:hint="eastAsia" w:ascii="宋体" w:hAnsi="宋体" w:eastAsia="宋体" w:cs="宋体"/>
          <w:color w:val="auto"/>
          <w:sz w:val="24"/>
          <w:highlight w:val="none"/>
          <w:lang w:val="en-GB" w:eastAsia="en-GB"/>
        </w:rPr>
        <w:t>应认真填写本响应表，若</w:t>
      </w:r>
      <w:r>
        <w:rPr>
          <w:rFonts w:hint="eastAsia" w:ascii="宋体" w:hAnsi="宋体" w:eastAsia="宋体" w:cs="宋体"/>
          <w:color w:val="auto"/>
          <w:sz w:val="24"/>
          <w:highlight w:val="none"/>
          <w:lang w:val="en-GB"/>
        </w:rPr>
        <w:t>磋商小组</w:t>
      </w:r>
      <w:r>
        <w:rPr>
          <w:rFonts w:hint="eastAsia" w:ascii="宋体" w:hAnsi="宋体" w:eastAsia="宋体" w:cs="宋体"/>
          <w:color w:val="auto"/>
          <w:sz w:val="24"/>
          <w:highlight w:val="none"/>
          <w:lang w:val="en-GB" w:eastAsia="en-GB"/>
        </w:rPr>
        <w:t>在评审期间，发现有虚假填写本响应表的，则将可能被视为存在两个</w:t>
      </w:r>
      <w:r>
        <w:rPr>
          <w:rFonts w:hint="eastAsia" w:ascii="宋体" w:hAnsi="宋体" w:eastAsia="宋体" w:cs="宋体"/>
          <w:color w:val="auto"/>
          <w:sz w:val="24"/>
          <w:highlight w:val="none"/>
        </w:rPr>
        <w:t>响应方案</w:t>
      </w:r>
      <w:r>
        <w:rPr>
          <w:rFonts w:hint="eastAsia" w:ascii="宋体" w:hAnsi="宋体" w:eastAsia="宋体" w:cs="宋体"/>
          <w:color w:val="auto"/>
          <w:sz w:val="24"/>
          <w:highlight w:val="none"/>
          <w:lang w:val="en-GB" w:eastAsia="en-GB"/>
        </w:rPr>
        <w:t>，</w:t>
      </w:r>
      <w:r>
        <w:rPr>
          <w:rFonts w:hint="eastAsia" w:ascii="宋体" w:hAnsi="宋体" w:eastAsia="宋体" w:cs="宋体"/>
          <w:color w:val="auto"/>
          <w:sz w:val="24"/>
          <w:highlight w:val="none"/>
          <w:lang w:val="en-GB"/>
        </w:rPr>
        <w:t>磋商小组</w:t>
      </w:r>
      <w:r>
        <w:rPr>
          <w:rFonts w:hint="eastAsia" w:ascii="宋体" w:hAnsi="宋体" w:eastAsia="宋体" w:cs="宋体"/>
          <w:color w:val="auto"/>
          <w:sz w:val="24"/>
          <w:highlight w:val="none"/>
          <w:lang w:val="en-GB" w:eastAsia="en-GB"/>
        </w:rPr>
        <w:t>将按本</w:t>
      </w:r>
      <w:r>
        <w:rPr>
          <w:rFonts w:hint="eastAsia" w:ascii="宋体" w:hAnsi="宋体" w:eastAsia="宋体" w:cs="宋体"/>
          <w:color w:val="auto"/>
          <w:sz w:val="24"/>
          <w:highlight w:val="none"/>
          <w:lang w:val="en-GB"/>
        </w:rPr>
        <w:t>磋商文件</w:t>
      </w:r>
      <w:r>
        <w:rPr>
          <w:rFonts w:hint="eastAsia" w:ascii="宋体" w:hAnsi="宋体" w:eastAsia="宋体" w:cs="宋体"/>
          <w:color w:val="auto"/>
          <w:sz w:val="24"/>
          <w:highlight w:val="none"/>
          <w:lang w:val="en-GB" w:eastAsia="en-GB"/>
        </w:rPr>
        <w:t>相关规定执行</w:t>
      </w:r>
      <w:r>
        <w:rPr>
          <w:rFonts w:hint="eastAsia" w:ascii="宋体" w:hAnsi="宋体" w:eastAsia="宋体" w:cs="宋体"/>
          <w:color w:val="auto"/>
          <w:sz w:val="24"/>
          <w:highlight w:val="none"/>
          <w:lang w:val="en-GB"/>
        </w:rPr>
        <w:t>；</w:t>
      </w:r>
    </w:p>
    <w:p w14:paraId="416CCC4E">
      <w:pPr>
        <w:numPr>
          <w:ilvl w:val="0"/>
          <w:numId w:val="7"/>
        </w:numPr>
        <w:spacing w:line="360" w:lineRule="auto"/>
        <w:rPr>
          <w:rFonts w:hint="eastAsia" w:ascii="宋体" w:hAnsi="宋体" w:eastAsia="宋体" w:cs="宋体"/>
          <w:color w:val="auto"/>
          <w:sz w:val="24"/>
          <w:highlight w:val="none"/>
          <w:lang w:val="en-GB" w:eastAsia="en-GB"/>
        </w:rPr>
      </w:pPr>
      <w:r>
        <w:rPr>
          <w:rFonts w:hint="eastAsia" w:ascii="宋体" w:hAnsi="宋体" w:eastAsia="宋体" w:cs="宋体"/>
          <w:color w:val="auto"/>
          <w:sz w:val="24"/>
          <w:highlight w:val="none"/>
          <w:lang w:val="en-GB" w:eastAsia="en-GB"/>
        </w:rPr>
        <w:t>本表内容不得擅自修改。</w:t>
      </w:r>
    </w:p>
    <w:p w14:paraId="59862E55">
      <w:pPr>
        <w:spacing w:line="360" w:lineRule="auto"/>
        <w:rPr>
          <w:rFonts w:hint="eastAsia" w:ascii="宋体" w:hAnsi="宋体" w:eastAsia="宋体" w:cs="宋体"/>
          <w:color w:val="auto"/>
          <w:sz w:val="24"/>
          <w:highlight w:val="none"/>
        </w:rPr>
      </w:pPr>
    </w:p>
    <w:p w14:paraId="52063320">
      <w:pPr>
        <w:pStyle w:val="31"/>
        <w:rPr>
          <w:rFonts w:hint="eastAsia" w:ascii="宋体" w:hAnsi="宋体" w:eastAsia="宋体" w:cs="宋体"/>
          <w:color w:val="auto"/>
          <w:sz w:val="24"/>
          <w:highlight w:val="none"/>
        </w:rPr>
      </w:pPr>
    </w:p>
    <w:p w14:paraId="2A897F74">
      <w:pPr>
        <w:rPr>
          <w:rFonts w:hint="eastAsia" w:ascii="宋体" w:hAnsi="宋体" w:cs="宋体"/>
          <w:color w:val="auto"/>
          <w:highlight w:val="none"/>
        </w:rPr>
      </w:pPr>
      <w:r>
        <w:rPr>
          <w:rFonts w:hint="eastAsia" w:ascii="宋体" w:hAnsi="宋体" w:cs="宋体"/>
          <w:color w:val="auto"/>
          <w:highlight w:val="none"/>
        </w:rPr>
        <w:br w:type="page"/>
      </w:r>
    </w:p>
    <w:p w14:paraId="7B208135">
      <w:pPr>
        <w:spacing w:before="0" w:after="0"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服务需求偏离表</w:t>
      </w:r>
    </w:p>
    <w:p w14:paraId="1BDC1020">
      <w:pPr>
        <w:keepNext/>
        <w:keepLines/>
        <w:spacing w:line="360" w:lineRule="auto"/>
        <w:rPr>
          <w:rFonts w:hint="eastAsia" w:ascii="宋体" w:hAnsi="宋体" w:eastAsia="宋体" w:cs="宋体"/>
          <w:color w:val="auto"/>
          <w:sz w:val="24"/>
          <w:highlight w:val="none"/>
        </w:rPr>
      </w:pP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58"/>
        <w:gridCol w:w="1703"/>
        <w:gridCol w:w="1666"/>
        <w:gridCol w:w="1725"/>
        <w:gridCol w:w="743"/>
        <w:gridCol w:w="779"/>
      </w:tblGrid>
      <w:tr w14:paraId="10BD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43" w:type="dxa"/>
            <w:vAlign w:val="center"/>
          </w:tcPr>
          <w:p w14:paraId="1D1F74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58" w:type="dxa"/>
            <w:vAlign w:val="center"/>
          </w:tcPr>
          <w:p w14:paraId="5A80C4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1703" w:type="dxa"/>
            <w:vAlign w:val="center"/>
          </w:tcPr>
          <w:p w14:paraId="09D403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条款号</w:t>
            </w:r>
          </w:p>
        </w:tc>
        <w:tc>
          <w:tcPr>
            <w:tcW w:w="1666" w:type="dxa"/>
            <w:vAlign w:val="center"/>
          </w:tcPr>
          <w:p w14:paraId="52ACD2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的要求</w:t>
            </w:r>
          </w:p>
        </w:tc>
        <w:tc>
          <w:tcPr>
            <w:tcW w:w="1725" w:type="dxa"/>
            <w:vAlign w:val="center"/>
          </w:tcPr>
          <w:p w14:paraId="374870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文件的响应</w:t>
            </w:r>
          </w:p>
        </w:tc>
        <w:tc>
          <w:tcPr>
            <w:tcW w:w="743" w:type="dxa"/>
            <w:vAlign w:val="center"/>
          </w:tcPr>
          <w:p w14:paraId="0141FD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779" w:type="dxa"/>
            <w:vAlign w:val="center"/>
          </w:tcPr>
          <w:p w14:paraId="3ED8CA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35AB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14:paraId="242C8644">
            <w:pPr>
              <w:spacing w:line="360" w:lineRule="auto"/>
              <w:rPr>
                <w:rFonts w:hint="eastAsia" w:ascii="宋体" w:hAnsi="宋体" w:eastAsia="宋体" w:cs="宋体"/>
                <w:color w:val="auto"/>
                <w:sz w:val="24"/>
                <w:highlight w:val="none"/>
              </w:rPr>
            </w:pPr>
          </w:p>
        </w:tc>
        <w:tc>
          <w:tcPr>
            <w:tcW w:w="1158" w:type="dxa"/>
            <w:vAlign w:val="top"/>
          </w:tcPr>
          <w:p w14:paraId="4DC431D9">
            <w:pPr>
              <w:spacing w:line="360" w:lineRule="auto"/>
              <w:rPr>
                <w:rFonts w:hint="eastAsia" w:ascii="宋体" w:hAnsi="宋体" w:eastAsia="宋体" w:cs="宋体"/>
                <w:color w:val="auto"/>
                <w:sz w:val="24"/>
                <w:highlight w:val="none"/>
              </w:rPr>
            </w:pPr>
          </w:p>
        </w:tc>
        <w:tc>
          <w:tcPr>
            <w:tcW w:w="1703" w:type="dxa"/>
            <w:vAlign w:val="top"/>
          </w:tcPr>
          <w:p w14:paraId="47A74114">
            <w:pPr>
              <w:spacing w:line="360" w:lineRule="auto"/>
              <w:rPr>
                <w:rFonts w:hint="eastAsia" w:ascii="宋体" w:hAnsi="宋体" w:eastAsia="宋体" w:cs="宋体"/>
                <w:color w:val="auto"/>
                <w:sz w:val="24"/>
                <w:highlight w:val="none"/>
              </w:rPr>
            </w:pPr>
          </w:p>
        </w:tc>
        <w:tc>
          <w:tcPr>
            <w:tcW w:w="1666" w:type="dxa"/>
            <w:vAlign w:val="top"/>
          </w:tcPr>
          <w:p w14:paraId="15CC1C7A">
            <w:pPr>
              <w:spacing w:line="360" w:lineRule="auto"/>
              <w:rPr>
                <w:rFonts w:hint="eastAsia" w:ascii="宋体" w:hAnsi="宋体" w:eastAsia="宋体" w:cs="宋体"/>
                <w:color w:val="auto"/>
                <w:sz w:val="24"/>
                <w:highlight w:val="none"/>
              </w:rPr>
            </w:pPr>
          </w:p>
        </w:tc>
        <w:tc>
          <w:tcPr>
            <w:tcW w:w="1725" w:type="dxa"/>
            <w:vAlign w:val="top"/>
          </w:tcPr>
          <w:p w14:paraId="305BCBD7">
            <w:pPr>
              <w:spacing w:line="360" w:lineRule="auto"/>
              <w:rPr>
                <w:rFonts w:hint="eastAsia" w:ascii="宋体" w:hAnsi="宋体" w:eastAsia="宋体" w:cs="宋体"/>
                <w:color w:val="auto"/>
                <w:sz w:val="24"/>
                <w:highlight w:val="none"/>
              </w:rPr>
            </w:pPr>
          </w:p>
        </w:tc>
        <w:tc>
          <w:tcPr>
            <w:tcW w:w="743" w:type="dxa"/>
            <w:vAlign w:val="top"/>
          </w:tcPr>
          <w:p w14:paraId="3FA8466D">
            <w:pPr>
              <w:spacing w:line="360" w:lineRule="auto"/>
              <w:rPr>
                <w:rFonts w:hint="eastAsia" w:ascii="宋体" w:hAnsi="宋体" w:eastAsia="宋体" w:cs="宋体"/>
                <w:color w:val="auto"/>
                <w:sz w:val="24"/>
                <w:highlight w:val="none"/>
              </w:rPr>
            </w:pPr>
          </w:p>
        </w:tc>
        <w:tc>
          <w:tcPr>
            <w:tcW w:w="779" w:type="dxa"/>
            <w:vAlign w:val="top"/>
          </w:tcPr>
          <w:p w14:paraId="5379B9C4">
            <w:pPr>
              <w:spacing w:line="360" w:lineRule="auto"/>
              <w:rPr>
                <w:rFonts w:hint="eastAsia" w:ascii="宋体" w:hAnsi="宋体" w:eastAsia="宋体" w:cs="宋体"/>
                <w:color w:val="auto"/>
                <w:sz w:val="24"/>
                <w:highlight w:val="none"/>
              </w:rPr>
            </w:pPr>
          </w:p>
        </w:tc>
      </w:tr>
      <w:tr w14:paraId="390E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14:paraId="597F3F6E">
            <w:pPr>
              <w:spacing w:line="360" w:lineRule="auto"/>
              <w:rPr>
                <w:rFonts w:hint="eastAsia" w:ascii="宋体" w:hAnsi="宋体" w:eastAsia="宋体" w:cs="宋体"/>
                <w:color w:val="auto"/>
                <w:sz w:val="24"/>
                <w:highlight w:val="none"/>
              </w:rPr>
            </w:pPr>
          </w:p>
        </w:tc>
        <w:tc>
          <w:tcPr>
            <w:tcW w:w="1158" w:type="dxa"/>
            <w:vAlign w:val="top"/>
          </w:tcPr>
          <w:p w14:paraId="391BA36F">
            <w:pPr>
              <w:spacing w:line="360" w:lineRule="auto"/>
              <w:rPr>
                <w:rFonts w:hint="eastAsia" w:ascii="宋体" w:hAnsi="宋体" w:eastAsia="宋体" w:cs="宋体"/>
                <w:color w:val="auto"/>
                <w:sz w:val="24"/>
                <w:highlight w:val="none"/>
              </w:rPr>
            </w:pPr>
          </w:p>
        </w:tc>
        <w:tc>
          <w:tcPr>
            <w:tcW w:w="1703" w:type="dxa"/>
            <w:vAlign w:val="top"/>
          </w:tcPr>
          <w:p w14:paraId="557CEC2A">
            <w:pPr>
              <w:spacing w:line="360" w:lineRule="auto"/>
              <w:rPr>
                <w:rFonts w:hint="eastAsia" w:ascii="宋体" w:hAnsi="宋体" w:eastAsia="宋体" w:cs="宋体"/>
                <w:color w:val="auto"/>
                <w:sz w:val="24"/>
                <w:highlight w:val="none"/>
              </w:rPr>
            </w:pPr>
          </w:p>
        </w:tc>
        <w:tc>
          <w:tcPr>
            <w:tcW w:w="1666" w:type="dxa"/>
            <w:vAlign w:val="top"/>
          </w:tcPr>
          <w:p w14:paraId="51D96BBE">
            <w:pPr>
              <w:spacing w:line="360" w:lineRule="auto"/>
              <w:rPr>
                <w:rFonts w:hint="eastAsia" w:ascii="宋体" w:hAnsi="宋体" w:eastAsia="宋体" w:cs="宋体"/>
                <w:color w:val="auto"/>
                <w:sz w:val="24"/>
                <w:highlight w:val="none"/>
              </w:rPr>
            </w:pPr>
          </w:p>
        </w:tc>
        <w:tc>
          <w:tcPr>
            <w:tcW w:w="1725" w:type="dxa"/>
            <w:vAlign w:val="top"/>
          </w:tcPr>
          <w:p w14:paraId="73CA8DF5">
            <w:pPr>
              <w:spacing w:line="360" w:lineRule="auto"/>
              <w:rPr>
                <w:rFonts w:hint="eastAsia" w:ascii="宋体" w:hAnsi="宋体" w:eastAsia="宋体" w:cs="宋体"/>
                <w:color w:val="auto"/>
                <w:sz w:val="24"/>
                <w:highlight w:val="none"/>
              </w:rPr>
            </w:pPr>
          </w:p>
        </w:tc>
        <w:tc>
          <w:tcPr>
            <w:tcW w:w="743" w:type="dxa"/>
            <w:vAlign w:val="top"/>
          </w:tcPr>
          <w:p w14:paraId="1FD8C24A">
            <w:pPr>
              <w:spacing w:line="360" w:lineRule="auto"/>
              <w:rPr>
                <w:rFonts w:hint="eastAsia" w:ascii="宋体" w:hAnsi="宋体" w:eastAsia="宋体" w:cs="宋体"/>
                <w:color w:val="auto"/>
                <w:sz w:val="24"/>
                <w:highlight w:val="none"/>
              </w:rPr>
            </w:pPr>
          </w:p>
        </w:tc>
        <w:tc>
          <w:tcPr>
            <w:tcW w:w="779" w:type="dxa"/>
            <w:vAlign w:val="top"/>
          </w:tcPr>
          <w:p w14:paraId="70D7C989">
            <w:pPr>
              <w:spacing w:line="360" w:lineRule="auto"/>
              <w:rPr>
                <w:rFonts w:hint="eastAsia" w:ascii="宋体" w:hAnsi="宋体" w:eastAsia="宋体" w:cs="宋体"/>
                <w:color w:val="auto"/>
                <w:sz w:val="24"/>
                <w:highlight w:val="none"/>
              </w:rPr>
            </w:pPr>
          </w:p>
        </w:tc>
      </w:tr>
      <w:tr w14:paraId="1A83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14:paraId="0447FCCA">
            <w:pPr>
              <w:spacing w:line="360" w:lineRule="auto"/>
              <w:rPr>
                <w:rFonts w:hint="eastAsia" w:ascii="宋体" w:hAnsi="宋体" w:eastAsia="宋体" w:cs="宋体"/>
                <w:color w:val="auto"/>
                <w:sz w:val="24"/>
                <w:highlight w:val="none"/>
              </w:rPr>
            </w:pPr>
          </w:p>
        </w:tc>
        <w:tc>
          <w:tcPr>
            <w:tcW w:w="1158" w:type="dxa"/>
            <w:vAlign w:val="top"/>
          </w:tcPr>
          <w:p w14:paraId="52B4F8BE">
            <w:pPr>
              <w:spacing w:line="360" w:lineRule="auto"/>
              <w:rPr>
                <w:rFonts w:hint="eastAsia" w:ascii="宋体" w:hAnsi="宋体" w:eastAsia="宋体" w:cs="宋体"/>
                <w:color w:val="auto"/>
                <w:sz w:val="24"/>
                <w:highlight w:val="none"/>
              </w:rPr>
            </w:pPr>
          </w:p>
        </w:tc>
        <w:tc>
          <w:tcPr>
            <w:tcW w:w="1703" w:type="dxa"/>
            <w:vAlign w:val="top"/>
          </w:tcPr>
          <w:p w14:paraId="6F6D50BB">
            <w:pPr>
              <w:spacing w:line="360" w:lineRule="auto"/>
              <w:rPr>
                <w:rFonts w:hint="eastAsia" w:ascii="宋体" w:hAnsi="宋体" w:eastAsia="宋体" w:cs="宋体"/>
                <w:color w:val="auto"/>
                <w:sz w:val="24"/>
                <w:highlight w:val="none"/>
              </w:rPr>
            </w:pPr>
          </w:p>
        </w:tc>
        <w:tc>
          <w:tcPr>
            <w:tcW w:w="1666" w:type="dxa"/>
            <w:vAlign w:val="top"/>
          </w:tcPr>
          <w:p w14:paraId="60AB82DD">
            <w:pPr>
              <w:spacing w:line="360" w:lineRule="auto"/>
              <w:rPr>
                <w:rFonts w:hint="eastAsia" w:ascii="宋体" w:hAnsi="宋体" w:eastAsia="宋体" w:cs="宋体"/>
                <w:color w:val="auto"/>
                <w:sz w:val="24"/>
                <w:highlight w:val="none"/>
              </w:rPr>
            </w:pPr>
          </w:p>
        </w:tc>
        <w:tc>
          <w:tcPr>
            <w:tcW w:w="1725" w:type="dxa"/>
            <w:vAlign w:val="top"/>
          </w:tcPr>
          <w:p w14:paraId="107ADF28">
            <w:pPr>
              <w:spacing w:line="360" w:lineRule="auto"/>
              <w:rPr>
                <w:rFonts w:hint="eastAsia" w:ascii="宋体" w:hAnsi="宋体" w:eastAsia="宋体" w:cs="宋体"/>
                <w:color w:val="auto"/>
                <w:sz w:val="24"/>
                <w:highlight w:val="none"/>
              </w:rPr>
            </w:pPr>
          </w:p>
        </w:tc>
        <w:tc>
          <w:tcPr>
            <w:tcW w:w="743" w:type="dxa"/>
            <w:vAlign w:val="top"/>
          </w:tcPr>
          <w:p w14:paraId="66727D8F">
            <w:pPr>
              <w:spacing w:line="360" w:lineRule="auto"/>
              <w:rPr>
                <w:rFonts w:hint="eastAsia" w:ascii="宋体" w:hAnsi="宋体" w:eastAsia="宋体" w:cs="宋体"/>
                <w:color w:val="auto"/>
                <w:sz w:val="24"/>
                <w:highlight w:val="none"/>
              </w:rPr>
            </w:pPr>
          </w:p>
        </w:tc>
        <w:tc>
          <w:tcPr>
            <w:tcW w:w="779" w:type="dxa"/>
            <w:vAlign w:val="top"/>
          </w:tcPr>
          <w:p w14:paraId="7BFC3D79">
            <w:pPr>
              <w:spacing w:line="360" w:lineRule="auto"/>
              <w:rPr>
                <w:rFonts w:hint="eastAsia" w:ascii="宋体" w:hAnsi="宋体" w:eastAsia="宋体" w:cs="宋体"/>
                <w:color w:val="auto"/>
                <w:sz w:val="24"/>
                <w:highlight w:val="none"/>
              </w:rPr>
            </w:pPr>
          </w:p>
        </w:tc>
      </w:tr>
      <w:tr w14:paraId="3D3B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14:paraId="0D89417F">
            <w:pPr>
              <w:spacing w:line="360" w:lineRule="auto"/>
              <w:rPr>
                <w:rFonts w:hint="eastAsia" w:ascii="宋体" w:hAnsi="宋体" w:eastAsia="宋体" w:cs="宋体"/>
                <w:color w:val="auto"/>
                <w:sz w:val="24"/>
                <w:highlight w:val="none"/>
              </w:rPr>
            </w:pPr>
          </w:p>
        </w:tc>
        <w:tc>
          <w:tcPr>
            <w:tcW w:w="1158" w:type="dxa"/>
            <w:vAlign w:val="top"/>
          </w:tcPr>
          <w:p w14:paraId="4B3B637F">
            <w:pPr>
              <w:spacing w:line="360" w:lineRule="auto"/>
              <w:rPr>
                <w:rFonts w:hint="eastAsia" w:ascii="宋体" w:hAnsi="宋体" w:eastAsia="宋体" w:cs="宋体"/>
                <w:color w:val="auto"/>
                <w:sz w:val="24"/>
                <w:highlight w:val="none"/>
              </w:rPr>
            </w:pPr>
          </w:p>
        </w:tc>
        <w:tc>
          <w:tcPr>
            <w:tcW w:w="1703" w:type="dxa"/>
            <w:vAlign w:val="top"/>
          </w:tcPr>
          <w:p w14:paraId="250EEE13">
            <w:pPr>
              <w:spacing w:line="360" w:lineRule="auto"/>
              <w:rPr>
                <w:rFonts w:hint="eastAsia" w:ascii="宋体" w:hAnsi="宋体" w:eastAsia="宋体" w:cs="宋体"/>
                <w:color w:val="auto"/>
                <w:sz w:val="24"/>
                <w:highlight w:val="none"/>
              </w:rPr>
            </w:pPr>
          </w:p>
        </w:tc>
        <w:tc>
          <w:tcPr>
            <w:tcW w:w="1666" w:type="dxa"/>
            <w:vAlign w:val="top"/>
          </w:tcPr>
          <w:p w14:paraId="19A87C80">
            <w:pPr>
              <w:spacing w:line="360" w:lineRule="auto"/>
              <w:rPr>
                <w:rFonts w:hint="eastAsia" w:ascii="宋体" w:hAnsi="宋体" w:eastAsia="宋体" w:cs="宋体"/>
                <w:color w:val="auto"/>
                <w:sz w:val="24"/>
                <w:highlight w:val="none"/>
              </w:rPr>
            </w:pPr>
          </w:p>
        </w:tc>
        <w:tc>
          <w:tcPr>
            <w:tcW w:w="1725" w:type="dxa"/>
            <w:vAlign w:val="top"/>
          </w:tcPr>
          <w:p w14:paraId="5F01988B">
            <w:pPr>
              <w:spacing w:line="360" w:lineRule="auto"/>
              <w:rPr>
                <w:rFonts w:hint="eastAsia" w:ascii="宋体" w:hAnsi="宋体" w:eastAsia="宋体" w:cs="宋体"/>
                <w:color w:val="auto"/>
                <w:sz w:val="24"/>
                <w:highlight w:val="none"/>
              </w:rPr>
            </w:pPr>
          </w:p>
        </w:tc>
        <w:tc>
          <w:tcPr>
            <w:tcW w:w="743" w:type="dxa"/>
            <w:vAlign w:val="top"/>
          </w:tcPr>
          <w:p w14:paraId="0071332E">
            <w:pPr>
              <w:spacing w:line="360" w:lineRule="auto"/>
              <w:rPr>
                <w:rFonts w:hint="eastAsia" w:ascii="宋体" w:hAnsi="宋体" w:eastAsia="宋体" w:cs="宋体"/>
                <w:color w:val="auto"/>
                <w:sz w:val="24"/>
                <w:highlight w:val="none"/>
              </w:rPr>
            </w:pPr>
          </w:p>
        </w:tc>
        <w:tc>
          <w:tcPr>
            <w:tcW w:w="779" w:type="dxa"/>
            <w:vAlign w:val="top"/>
          </w:tcPr>
          <w:p w14:paraId="71CE1F27">
            <w:pPr>
              <w:spacing w:line="360" w:lineRule="auto"/>
              <w:rPr>
                <w:rFonts w:hint="eastAsia" w:ascii="宋体" w:hAnsi="宋体" w:eastAsia="宋体" w:cs="宋体"/>
                <w:color w:val="auto"/>
                <w:sz w:val="24"/>
                <w:highlight w:val="none"/>
              </w:rPr>
            </w:pPr>
          </w:p>
        </w:tc>
      </w:tr>
      <w:tr w14:paraId="1D65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3" w:type="dxa"/>
            <w:vAlign w:val="top"/>
          </w:tcPr>
          <w:p w14:paraId="09930B28">
            <w:pPr>
              <w:spacing w:line="360" w:lineRule="auto"/>
              <w:rPr>
                <w:rFonts w:hint="eastAsia" w:ascii="宋体" w:hAnsi="宋体" w:eastAsia="宋体" w:cs="宋体"/>
                <w:color w:val="auto"/>
                <w:sz w:val="24"/>
                <w:highlight w:val="none"/>
              </w:rPr>
            </w:pPr>
          </w:p>
        </w:tc>
        <w:tc>
          <w:tcPr>
            <w:tcW w:w="1158" w:type="dxa"/>
            <w:vAlign w:val="top"/>
          </w:tcPr>
          <w:p w14:paraId="7D1FD212">
            <w:pPr>
              <w:spacing w:line="360" w:lineRule="auto"/>
              <w:rPr>
                <w:rFonts w:hint="eastAsia" w:ascii="宋体" w:hAnsi="宋体" w:eastAsia="宋体" w:cs="宋体"/>
                <w:color w:val="auto"/>
                <w:sz w:val="24"/>
                <w:highlight w:val="none"/>
              </w:rPr>
            </w:pPr>
          </w:p>
        </w:tc>
        <w:tc>
          <w:tcPr>
            <w:tcW w:w="1703" w:type="dxa"/>
            <w:vAlign w:val="top"/>
          </w:tcPr>
          <w:p w14:paraId="643D0464">
            <w:pPr>
              <w:spacing w:line="360" w:lineRule="auto"/>
              <w:rPr>
                <w:rFonts w:hint="eastAsia" w:ascii="宋体" w:hAnsi="宋体" w:eastAsia="宋体" w:cs="宋体"/>
                <w:color w:val="auto"/>
                <w:sz w:val="24"/>
                <w:highlight w:val="none"/>
              </w:rPr>
            </w:pPr>
          </w:p>
        </w:tc>
        <w:tc>
          <w:tcPr>
            <w:tcW w:w="1666" w:type="dxa"/>
            <w:vAlign w:val="top"/>
          </w:tcPr>
          <w:p w14:paraId="0B2D0B92">
            <w:pPr>
              <w:spacing w:line="360" w:lineRule="auto"/>
              <w:rPr>
                <w:rFonts w:hint="eastAsia" w:ascii="宋体" w:hAnsi="宋体" w:eastAsia="宋体" w:cs="宋体"/>
                <w:color w:val="auto"/>
                <w:sz w:val="24"/>
                <w:highlight w:val="none"/>
              </w:rPr>
            </w:pPr>
          </w:p>
        </w:tc>
        <w:tc>
          <w:tcPr>
            <w:tcW w:w="1725" w:type="dxa"/>
            <w:vAlign w:val="top"/>
          </w:tcPr>
          <w:p w14:paraId="7308B1E4">
            <w:pPr>
              <w:spacing w:line="360" w:lineRule="auto"/>
              <w:rPr>
                <w:rFonts w:hint="eastAsia" w:ascii="宋体" w:hAnsi="宋体" w:eastAsia="宋体" w:cs="宋体"/>
                <w:color w:val="auto"/>
                <w:sz w:val="24"/>
                <w:highlight w:val="none"/>
              </w:rPr>
            </w:pPr>
          </w:p>
        </w:tc>
        <w:tc>
          <w:tcPr>
            <w:tcW w:w="743" w:type="dxa"/>
            <w:vAlign w:val="top"/>
          </w:tcPr>
          <w:p w14:paraId="2F0B0106">
            <w:pPr>
              <w:spacing w:line="360" w:lineRule="auto"/>
              <w:rPr>
                <w:rFonts w:hint="eastAsia" w:ascii="宋体" w:hAnsi="宋体" w:eastAsia="宋体" w:cs="宋体"/>
                <w:color w:val="auto"/>
                <w:sz w:val="24"/>
                <w:highlight w:val="none"/>
              </w:rPr>
            </w:pPr>
          </w:p>
        </w:tc>
        <w:tc>
          <w:tcPr>
            <w:tcW w:w="779" w:type="dxa"/>
            <w:vAlign w:val="top"/>
          </w:tcPr>
          <w:p w14:paraId="68EA7CE4">
            <w:pPr>
              <w:spacing w:line="360" w:lineRule="auto"/>
              <w:rPr>
                <w:rFonts w:hint="eastAsia" w:ascii="宋体" w:hAnsi="宋体" w:eastAsia="宋体" w:cs="宋体"/>
                <w:color w:val="auto"/>
                <w:sz w:val="24"/>
                <w:highlight w:val="none"/>
              </w:rPr>
            </w:pPr>
          </w:p>
        </w:tc>
      </w:tr>
    </w:tbl>
    <w:p w14:paraId="5F5E23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应根据其提供的服务，对照</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“第四章 项目服务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”中的条款号逐项填写，“</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文件的响应”一栏应如实反映响应服务情况，不得复制</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内容，不得虚假响应，否则将视为未实质性响应</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要求，按无效</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处理。</w:t>
      </w:r>
    </w:p>
    <w:p w14:paraId="75C80802">
      <w:pPr>
        <w:rPr>
          <w:rFonts w:hint="eastAsia" w:ascii="宋体" w:hAnsi="宋体" w:cs="宋体"/>
          <w:color w:val="auto"/>
          <w:highlight w:val="none"/>
        </w:rPr>
        <w:sectPr>
          <w:footerReference r:id="rId11" w:type="default"/>
          <w:pgSz w:w="11906" w:h="16838"/>
          <w:pgMar w:top="1440" w:right="1800" w:bottom="1440" w:left="1800" w:header="851" w:footer="992" w:gutter="0"/>
          <w:pgNumType w:fmt="decimal"/>
          <w:cols w:space="720" w:num="1"/>
          <w:docGrid w:type="lines" w:linePitch="312" w:charSpace="0"/>
        </w:sectPr>
      </w:pPr>
    </w:p>
    <w:p w14:paraId="61552886">
      <w:pPr>
        <w:pStyle w:val="31"/>
        <w:spacing w:line="360" w:lineRule="auto"/>
        <w:ind w:firstLine="0"/>
        <w:jc w:val="center"/>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、服务方案</w:t>
      </w:r>
    </w:p>
    <w:p w14:paraId="628EAE46">
      <w:pPr>
        <w:spacing w:line="360" w:lineRule="auto"/>
        <w:jc w:val="center"/>
        <w:rPr>
          <w:rFonts w:hint="eastAsia" w:ascii="宋体" w:hAnsi="宋体" w:eastAsia="宋体" w:cs="宋体"/>
          <w:color w:val="auto"/>
          <w:kern w:val="44"/>
          <w:sz w:val="24"/>
          <w:highlight w:val="none"/>
        </w:rPr>
      </w:pPr>
    </w:p>
    <w:p w14:paraId="5E94F865">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w:t>供应商应根据磋商文件要求和本项目的具体情况，自行编制服务方案，格式自</w:t>
      </w:r>
      <w:r>
        <w:rPr>
          <w:rFonts w:hint="eastAsia" w:ascii="宋体" w:hAnsi="宋体" w:eastAsia="宋体" w:cs="宋体"/>
          <w:color w:val="auto"/>
          <w:szCs w:val="24"/>
          <w:highlight w:val="none"/>
        </w:rPr>
        <w:t>拟</w:t>
      </w:r>
      <w:r>
        <w:rPr>
          <w:rFonts w:hint="eastAsia" w:ascii="宋体" w:hAnsi="宋体" w:cs="宋体"/>
          <w:color w:val="auto"/>
          <w:szCs w:val="24"/>
          <w:highlight w:val="none"/>
          <w:lang w:eastAsia="zh-CN"/>
        </w:rPr>
        <w:t>。</w:t>
      </w:r>
    </w:p>
    <w:p w14:paraId="6574FBF3">
      <w:pPr>
        <w:bidi w:val="0"/>
        <w:rPr>
          <w:rFonts w:hint="eastAsia" w:ascii="宋体" w:hAnsi="宋体" w:cs="宋体"/>
          <w:color w:val="auto"/>
          <w:highlight w:val="none"/>
        </w:rPr>
      </w:pPr>
      <w:r>
        <w:rPr>
          <w:rFonts w:hint="eastAsia" w:ascii="宋体" w:hAnsi="宋体" w:cs="宋体"/>
          <w:color w:val="auto"/>
          <w:highlight w:val="none"/>
        </w:rPr>
        <w:t xml:space="preserve">   </w:t>
      </w:r>
    </w:p>
    <w:p w14:paraId="2006230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2020B1A">
      <w:pPr>
        <w:spacing w:line="360" w:lineRule="auto"/>
        <w:jc w:val="center"/>
        <w:outlineLvl w:val="1"/>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lang w:val="en-US" w:eastAsia="zh-CN"/>
        </w:rPr>
        <w:t>十</w:t>
      </w:r>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eastAsia="zh-CN"/>
        </w:rPr>
        <w:t>政府采购政策</w:t>
      </w:r>
    </w:p>
    <w:p w14:paraId="6B57730F">
      <w:pPr>
        <w:spacing w:line="360" w:lineRule="auto"/>
        <w:jc w:val="center"/>
        <w:rPr>
          <w:rFonts w:hint="eastAsia" w:ascii="宋体" w:hAnsi="宋体" w:eastAsia="宋体" w:cs="宋体"/>
          <w:color w:val="auto"/>
          <w:sz w:val="24"/>
          <w:highlight w:val="none"/>
        </w:rPr>
      </w:pPr>
    </w:p>
    <w:p w14:paraId="3AC4E547">
      <w:pPr>
        <w:pStyle w:val="13"/>
        <w:bidi w:val="0"/>
        <w:spacing w:line="360" w:lineRule="auto"/>
        <w:jc w:val="center"/>
        <w:rPr>
          <w:rFonts w:hint="eastAsia" w:hAnsi="宋体"/>
          <w:b/>
          <w:bCs/>
          <w:color w:val="auto"/>
          <w:sz w:val="22"/>
          <w:szCs w:val="22"/>
          <w:highlight w:val="none"/>
          <w:lang w:eastAsia="zh-CN"/>
        </w:rPr>
      </w:pPr>
      <w:r>
        <w:rPr>
          <w:rFonts w:hint="eastAsia" w:hAnsi="宋体"/>
          <w:b/>
          <w:bCs/>
          <w:color w:val="auto"/>
          <w:sz w:val="22"/>
          <w:szCs w:val="22"/>
          <w:highlight w:val="none"/>
        </w:rPr>
        <w:t>（一）中小企业声明函</w:t>
      </w:r>
    </w:p>
    <w:p w14:paraId="1D212913">
      <w:pPr>
        <w:snapToGrid w:val="0"/>
        <w:spacing w:line="360" w:lineRule="auto"/>
        <w:ind w:firstLine="480" w:firstLineChars="200"/>
        <w:rPr>
          <w:rFonts w:hint="eastAsia" w:ascii="宋体" w:hAnsi="宋体" w:eastAsia="宋体" w:cs="宋体"/>
          <w:i w:val="0"/>
          <w:iCs w:val="0"/>
          <w:color w:val="auto"/>
          <w:sz w:val="24"/>
          <w:szCs w:val="24"/>
          <w:highlight w:val="none"/>
        </w:rPr>
      </w:pPr>
    </w:p>
    <w:p w14:paraId="78CF2146">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DBD12C6">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（竞争性磋商文件中明确的所属行业）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w:t>
      </w:r>
      <w:r>
        <w:rPr>
          <w:rStyle w:val="38"/>
          <w:rFonts w:hint="eastAsia" w:ascii="宋体" w:hAnsi="宋体" w:eastAsia="宋体" w:cs="宋体"/>
          <w:i w:val="0"/>
          <w:iCs w:val="0"/>
          <w:color w:val="auto"/>
          <w:sz w:val="24"/>
          <w:szCs w:val="24"/>
          <w:highlight w:val="none"/>
        </w:rPr>
        <w:footnoteReference w:id="0"/>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1B6CDAE8">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2. </w:t>
      </w:r>
      <w:r>
        <w:rPr>
          <w:rFonts w:hint="eastAsia" w:ascii="宋体" w:hAnsi="宋体" w:eastAsia="宋体" w:cs="宋体"/>
          <w:i w:val="0"/>
          <w:iCs w:val="0"/>
          <w:color w:val="auto"/>
          <w:sz w:val="24"/>
          <w:szCs w:val="24"/>
          <w:highlight w:val="none"/>
          <w:u w:val="single"/>
        </w:rPr>
        <w:t>（标的名称）</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rPr>
        <w:t>（竞争性磋商文件中明确的所属行业）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rPr>
        <w:t>；</w:t>
      </w:r>
    </w:p>
    <w:p w14:paraId="299EB4DA">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p>
    <w:p w14:paraId="2340C97C">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以上企业，不属于大企业的分支机构，不存在控股股东为大企业的情形，也不存在与大企业的负责人为同一人的情形。</w:t>
      </w:r>
    </w:p>
    <w:p w14:paraId="44C5FE3D">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本企业对上述声明内容的真实性负责。如有虚假，将依法承担相应责任。</w:t>
      </w:r>
    </w:p>
    <w:p w14:paraId="27908C09">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1856365E">
      <w:pPr>
        <w:snapToGrid w:val="0"/>
        <w:spacing w:line="360" w:lineRule="auto"/>
        <w:ind w:firstLine="4320" w:firstLineChars="18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企业名称（盖章）：</w:t>
      </w:r>
    </w:p>
    <w:p w14:paraId="6A2CC397">
      <w:pPr>
        <w:snapToGrid w:val="0"/>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rPr>
        <w:t xml:space="preserve"> 日期：</w:t>
      </w:r>
    </w:p>
    <w:p w14:paraId="65A0FE39">
      <w:pPr>
        <w:rPr>
          <w:rFonts w:hint="eastAsia" w:ascii="宋体" w:hAnsi="宋体" w:cs="宋体"/>
          <w:b/>
          <w:bCs/>
          <w:color w:val="auto"/>
          <w:sz w:val="28"/>
          <w:szCs w:val="36"/>
          <w:highlight w:val="none"/>
          <w:lang w:val="en-US" w:eastAsia="zh-CN"/>
        </w:rPr>
      </w:pPr>
      <w:r>
        <w:rPr>
          <w:rFonts w:hint="eastAsia" w:ascii="宋体" w:hAnsi="宋体" w:cs="宋体"/>
          <w:b/>
          <w:bCs/>
          <w:color w:val="auto"/>
          <w:sz w:val="28"/>
          <w:szCs w:val="36"/>
          <w:highlight w:val="none"/>
          <w:lang w:val="en-US" w:eastAsia="zh-CN"/>
        </w:rPr>
        <w:br w:type="page"/>
      </w:r>
    </w:p>
    <w:p w14:paraId="052DDD48">
      <w:pPr>
        <w:pageBreakBefore w:val="0"/>
        <w:wordWrap/>
        <w:overflowPunct/>
        <w:topLinePunct w:val="0"/>
        <w:bidi w:val="0"/>
        <w:spacing w:line="560" w:lineRule="exact"/>
        <w:ind w:left="0" w:leftChars="0" w:right="0" w:rightChars="0"/>
        <w:jc w:val="center"/>
        <w:outlineLvl w:val="9"/>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pacing w:val="6"/>
          <w:sz w:val="24"/>
          <w:szCs w:val="24"/>
          <w:highlight w:val="none"/>
        </w:rPr>
        <w:t>残疾人福利性单位声明函</w:t>
      </w:r>
      <w:r>
        <w:rPr>
          <w:rFonts w:hint="eastAsia" w:ascii="宋体" w:hAnsi="宋体" w:eastAsia="宋体" w:cs="宋体"/>
          <w:b/>
          <w:color w:val="auto"/>
          <w:sz w:val="24"/>
          <w:szCs w:val="24"/>
          <w:highlight w:val="none"/>
        </w:rPr>
        <w:t>（如有）</w:t>
      </w:r>
    </w:p>
    <w:p w14:paraId="2F3D228C">
      <w:pPr>
        <w:pageBreakBefore w:val="0"/>
        <w:wordWrap/>
        <w:overflowPunct/>
        <w:topLinePunct w:val="0"/>
        <w:bidi w:val="0"/>
        <w:spacing w:line="560" w:lineRule="exact"/>
        <w:ind w:left="0" w:leftChars="0" w:right="0" w:rightChars="0"/>
        <w:rPr>
          <w:rFonts w:hint="eastAsia" w:ascii="宋体" w:hAnsi="宋体" w:eastAsia="宋体" w:cs="宋体"/>
          <w:b/>
          <w:color w:val="auto"/>
          <w:spacing w:val="6"/>
          <w:sz w:val="24"/>
          <w:szCs w:val="24"/>
          <w:highlight w:val="none"/>
        </w:rPr>
      </w:pPr>
    </w:p>
    <w:p w14:paraId="55BD525D">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项目投标活动提供本单位制造的货物（由本单位承担工程/提供服务），或者提供其他残疾人福利性单位制造的货物（不包括使用非残疾人福利性单位注册商标的货物）。</w:t>
      </w:r>
    </w:p>
    <w:p w14:paraId="55CF40F4">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A68DD54">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67E97907">
      <w:pPr>
        <w:pageBreakBefore w:val="0"/>
        <w:wordWrap/>
        <w:overflowPunct/>
        <w:topLinePunct w:val="0"/>
        <w:bidi w:val="0"/>
        <w:spacing w:line="560" w:lineRule="exact"/>
        <w:ind w:left="0" w:leftChars="0" w:right="0" w:rightChars="0" w:firstLine="504" w:firstLineChars="200"/>
        <w:rPr>
          <w:rFonts w:hint="eastAsia" w:ascii="宋体" w:hAnsi="宋体" w:eastAsia="宋体" w:cs="宋体"/>
          <w:color w:val="auto"/>
          <w:spacing w:val="6"/>
          <w:sz w:val="24"/>
          <w:szCs w:val="24"/>
          <w:highlight w:val="none"/>
        </w:rPr>
      </w:pPr>
    </w:p>
    <w:p w14:paraId="249E5770">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14:paraId="0866C2F7">
      <w:pPr>
        <w:pageBreakBefore w:val="0"/>
        <w:tabs>
          <w:tab w:val="left" w:pos="4860"/>
        </w:tabs>
        <w:wordWrap/>
        <w:overflowPunct/>
        <w:topLinePunct w:val="0"/>
        <w:bidi w:val="0"/>
        <w:spacing w:line="560" w:lineRule="exact"/>
        <w:ind w:left="0" w:leftChars="0" w:right="0" w:rightChars="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15CBB11F">
      <w:pPr>
        <w:pageBreakBefore w:val="0"/>
        <w:widowControl/>
        <w:wordWrap/>
        <w:overflowPunct/>
        <w:topLinePunct w:val="0"/>
        <w:bidi w:val="0"/>
        <w:adjustRightInd w:val="0"/>
        <w:snapToGrid w:val="0"/>
        <w:spacing w:line="560" w:lineRule="exact"/>
        <w:ind w:left="0" w:leftChars="0" w:right="0" w:rightChars="0"/>
        <w:rPr>
          <w:rFonts w:hint="eastAsia" w:ascii="宋体" w:hAnsi="宋体" w:eastAsia="宋体" w:cs="宋体"/>
          <w:color w:val="auto"/>
          <w:sz w:val="24"/>
          <w:szCs w:val="24"/>
          <w:highlight w:val="none"/>
        </w:rPr>
      </w:pPr>
    </w:p>
    <w:p w14:paraId="59A1DBE6">
      <w:pPr>
        <w:pageBreakBefore w:val="0"/>
        <w:wordWrap/>
        <w:overflowPunct/>
        <w:topLinePunct w:val="0"/>
        <w:bidi w:val="0"/>
        <w:spacing w:line="560" w:lineRule="exact"/>
        <w:ind w:left="0" w:leftChars="0" w:right="0" w:rightChars="0"/>
        <w:jc w:val="left"/>
        <w:rPr>
          <w:rFonts w:hint="eastAsia" w:ascii="宋体" w:hAnsi="宋体" w:eastAsia="宋体" w:cs="宋体"/>
          <w:bCs/>
          <w:color w:val="auto"/>
          <w:sz w:val="24"/>
          <w:szCs w:val="24"/>
          <w:highlight w:val="none"/>
        </w:rPr>
      </w:pPr>
    </w:p>
    <w:p w14:paraId="59902E22">
      <w:pPr>
        <w:pageBreakBefore w:val="0"/>
        <w:widowControl/>
        <w:wordWrap/>
        <w:overflowPunct/>
        <w:topLinePunct w:val="0"/>
        <w:bidi w:val="0"/>
        <w:spacing w:line="5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备注：须提供证明材料（能反映出企业残疾人的占比等情况的材料及残疾人证等）。</w:t>
      </w:r>
    </w:p>
    <w:p w14:paraId="71C54DD8">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330E0805">
      <w:pPr>
        <w:pageBreakBefore w:val="0"/>
        <w:wordWrap/>
        <w:overflowPunct/>
        <w:topLinePunct w:val="0"/>
        <w:bidi w:val="0"/>
        <w:spacing w:line="560" w:lineRule="exact"/>
        <w:ind w:left="0" w:leftChars="0" w:right="0" w:rightChars="0"/>
        <w:jc w:val="center"/>
        <w:rPr>
          <w:rFonts w:hint="eastAsia" w:ascii="宋体" w:hAnsi="宋体" w:eastAsia="宋体" w:cs="宋体"/>
          <w:b/>
          <w:bCs/>
          <w:color w:val="auto"/>
          <w:sz w:val="24"/>
          <w:szCs w:val="24"/>
          <w:highlight w:val="none"/>
        </w:rPr>
      </w:pPr>
    </w:p>
    <w:p w14:paraId="55BEB0F1">
      <w:pPr>
        <w:pageBreakBefore w:val="0"/>
        <w:widowControl/>
        <w:wordWrap/>
        <w:overflowPunct/>
        <w:topLinePunct w:val="0"/>
        <w:bidi w:val="0"/>
        <w:spacing w:line="560" w:lineRule="exact"/>
        <w:ind w:left="0" w:leftChars="0" w:right="0" w:rightChars="0"/>
        <w:jc w:val="center"/>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6477120C">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p>
    <w:p w14:paraId="799B8C95">
      <w:pPr>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1385EC1">
      <w:pPr>
        <w:pStyle w:val="13"/>
        <w:pageBreakBefore w:val="0"/>
        <w:wordWrap/>
        <w:overflowPunct/>
        <w:topLinePunct w:val="0"/>
        <w:bidi w:val="0"/>
        <w:spacing w:line="56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3BC3FE51">
      <w:pPr>
        <w:pStyle w:val="6"/>
        <w:spacing w:line="360" w:lineRule="auto"/>
        <w:ind w:firstLine="0" w:firstLineChars="0"/>
        <w:jc w:val="center"/>
        <w:outlineLvl w:val="1"/>
        <w:rPr>
          <w:rFonts w:hint="eastAsia" w:ascii="宋体" w:hAnsi="宋体" w:eastAsia="宋体" w:cs="宋体"/>
          <w:b/>
          <w:bCs/>
          <w:color w:val="auto"/>
          <w:kern w:val="0"/>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highlight w:val="none"/>
        </w:rPr>
        <w:t>十</w:t>
      </w:r>
      <w:r>
        <w:rPr>
          <w:rFonts w:hint="eastAsia" w:ascii="宋体" w:hAnsi="宋体" w:cs="宋体"/>
          <w:b/>
          <w:bCs/>
          <w:color w:val="auto"/>
          <w:kern w:val="0"/>
          <w:sz w:val="24"/>
          <w:highlight w:val="none"/>
          <w:lang w:val="en-US" w:eastAsia="zh-CN"/>
        </w:rPr>
        <w:t>一</w:t>
      </w:r>
      <w:r>
        <w:rPr>
          <w:rFonts w:hint="eastAsia" w:ascii="宋体" w:hAnsi="宋体" w:eastAsia="宋体" w:cs="宋体"/>
          <w:b/>
          <w:bCs/>
          <w:color w:val="auto"/>
          <w:kern w:val="0"/>
          <w:sz w:val="24"/>
          <w:highlight w:val="none"/>
        </w:rPr>
        <w:t>、供应商认为需要提供的其他资料</w:t>
      </w:r>
    </w:p>
    <w:p w14:paraId="0E009621">
      <w:pPr>
        <w:pStyle w:val="13"/>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（一）磋商保证金缴纳凭证</w:t>
      </w:r>
    </w:p>
    <w:tbl>
      <w:tblPr>
        <w:tblStyle w:val="3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025B5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8522" w:type="dxa"/>
            <w:tcBorders>
              <w:top w:val="single" w:color="auto" w:sz="4" w:space="0"/>
              <w:bottom w:val="single" w:color="auto" w:sz="4" w:space="0"/>
            </w:tcBorders>
            <w:vAlign w:val="center"/>
          </w:tcPr>
          <w:p w14:paraId="44A4E32B">
            <w:pPr>
              <w:pStyle w:val="1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磋商保证金缴纳凭证复印件</w:t>
            </w:r>
          </w:p>
        </w:tc>
      </w:tr>
    </w:tbl>
    <w:p w14:paraId="1A68F1AB">
      <w:pPr>
        <w:pStyle w:val="11"/>
        <w:kinsoku w:val="0"/>
        <w:wordWrap w:val="0"/>
        <w:overflowPunct w:val="0"/>
        <w:adjustRightInd w:val="0"/>
        <w:spacing w:line="360" w:lineRule="auto"/>
        <w:ind w:right="125"/>
        <w:jc w:val="center"/>
        <w:outlineLvl w:val="9"/>
        <w:rPr>
          <w:rStyle w:val="89"/>
          <w:rFonts w:hint="eastAsia" w:ascii="宋体" w:hAnsi="宋体" w:eastAsia="宋体" w:cs="宋体"/>
          <w:color w:val="auto"/>
          <w:sz w:val="24"/>
          <w:szCs w:val="24"/>
          <w:highlight w:val="none"/>
        </w:rPr>
      </w:pPr>
      <w:r>
        <w:rPr>
          <w:rStyle w:val="89"/>
          <w:rFonts w:hint="eastAsia" w:ascii="宋体" w:hAnsi="宋体" w:eastAsia="宋体" w:cs="宋体"/>
          <w:color w:val="auto"/>
          <w:sz w:val="24"/>
          <w:szCs w:val="24"/>
          <w:highlight w:val="none"/>
        </w:rPr>
        <w:br w:type="page"/>
      </w:r>
      <w:bookmarkStart w:id="159" w:name="_Toc26900"/>
      <w:bookmarkStart w:id="160" w:name="_Toc7728"/>
      <w:r>
        <w:rPr>
          <w:rFonts w:hint="eastAsia" w:ascii="宋体" w:hAnsi="宋体" w:eastAsia="宋体" w:cs="宋体"/>
          <w:b/>
          <w:bCs/>
          <w:color w:val="auto"/>
          <w:szCs w:val="24"/>
          <w:highlight w:val="none"/>
        </w:rPr>
        <w:t>（</w:t>
      </w:r>
      <w:r>
        <w:rPr>
          <w:rFonts w:hint="eastAsia" w:ascii="宋体" w:hAnsi="宋体" w:eastAsia="宋体" w:cs="宋体"/>
          <w:b/>
          <w:bCs/>
          <w:color w:val="auto"/>
          <w:szCs w:val="24"/>
          <w:highlight w:val="none"/>
          <w:lang w:val="en-US" w:eastAsia="zh-CN"/>
        </w:rPr>
        <w:t>二</w:t>
      </w:r>
      <w:r>
        <w:rPr>
          <w:rFonts w:hint="eastAsia" w:ascii="宋体" w:hAnsi="宋体" w:eastAsia="宋体" w:cs="宋体"/>
          <w:b/>
          <w:bCs/>
          <w:color w:val="auto"/>
          <w:szCs w:val="24"/>
          <w:highlight w:val="none"/>
        </w:rPr>
        <w:t>）</w:t>
      </w:r>
      <w:bookmarkEnd w:id="159"/>
      <w:bookmarkEnd w:id="160"/>
      <w:r>
        <w:rPr>
          <w:rStyle w:val="89"/>
          <w:rFonts w:hint="eastAsia" w:ascii="宋体" w:hAnsi="宋体" w:eastAsia="宋体" w:cs="宋体"/>
          <w:color w:val="auto"/>
          <w:sz w:val="24"/>
          <w:szCs w:val="24"/>
          <w:highlight w:val="none"/>
        </w:rPr>
        <w:t>其他</w:t>
      </w:r>
    </w:p>
    <w:p w14:paraId="6E7C8A6D">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供应商应当仔细核对磋商文件中有关</w:t>
      </w:r>
      <w:r>
        <w:rPr>
          <w:rFonts w:hint="eastAsia" w:ascii="宋体" w:hAnsi="宋体" w:eastAsia="宋体" w:cs="宋体"/>
          <w:b/>
          <w:bCs/>
          <w:color w:val="auto"/>
          <w:sz w:val="24"/>
          <w:highlight w:val="none"/>
        </w:rPr>
        <w:t>“响应无效”</w:t>
      </w:r>
      <w:r>
        <w:rPr>
          <w:rFonts w:hint="eastAsia" w:ascii="宋体" w:hAnsi="宋体" w:eastAsia="宋体" w:cs="宋体"/>
          <w:color w:val="auto"/>
          <w:sz w:val="24"/>
          <w:highlight w:val="none"/>
        </w:rPr>
        <w:t>和评审标准等条款内容，提供供应商认为应当附加的其它内容，以充分证明其磋商响应符合磋商文件要求，并为评审提供充分依据。</w:t>
      </w:r>
    </w:p>
    <w:p w14:paraId="40900A0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154"/>
    <w:p w14:paraId="65ACCE29">
      <w:pPr>
        <w:pStyle w:val="90"/>
        <w:numPr>
          <w:ilvl w:val="0"/>
          <w:numId w:val="8"/>
        </w:numPr>
        <w:spacing w:after="0" w:line="360" w:lineRule="auto"/>
        <w:jc w:val="center"/>
        <w:outlineLvl w:val="0"/>
        <w:rPr>
          <w:rStyle w:val="91"/>
          <w:rFonts w:hint="eastAsia" w:ascii="宋体" w:hAnsi="宋体" w:eastAsia="宋体" w:cs="宋体"/>
          <w:color w:val="auto"/>
          <w:sz w:val="28"/>
          <w:szCs w:val="28"/>
          <w:highlight w:val="none"/>
          <w:lang w:eastAsia="zh-CN"/>
        </w:rPr>
      </w:pPr>
      <w:bookmarkStart w:id="161" w:name="_Toc217446093"/>
      <w:r>
        <w:rPr>
          <w:rStyle w:val="89"/>
          <w:rFonts w:hint="eastAsia" w:ascii="宋体" w:hAnsi="宋体" w:eastAsia="宋体" w:cs="宋体"/>
          <w:color w:val="auto"/>
          <w:sz w:val="28"/>
          <w:szCs w:val="28"/>
          <w:highlight w:val="none"/>
          <w:lang w:eastAsia="zh-CN"/>
        </w:rPr>
        <w:t xml:space="preserve"> </w:t>
      </w:r>
      <w:bookmarkStart w:id="162" w:name="_Toc16989"/>
      <w:r>
        <w:rPr>
          <w:rStyle w:val="91"/>
          <w:rFonts w:hint="eastAsia" w:ascii="宋体" w:hAnsi="宋体" w:eastAsia="宋体" w:cs="宋体"/>
          <w:color w:val="auto"/>
          <w:sz w:val="28"/>
          <w:szCs w:val="28"/>
          <w:highlight w:val="none"/>
          <w:lang w:eastAsia="zh-CN"/>
        </w:rPr>
        <w:t>项目服务需求</w:t>
      </w:r>
      <w:bookmarkEnd w:id="162"/>
    </w:p>
    <w:bookmarkEnd w:id="161"/>
    <w:p w14:paraId="5B459629">
      <w:pPr>
        <w:numPr>
          <w:ilvl w:val="0"/>
          <w:numId w:val="9"/>
        </w:numPr>
        <w:adjustRightInd w:val="0"/>
        <w:snapToGrid w:val="0"/>
        <w:spacing w:line="360" w:lineRule="auto"/>
        <w:rPr>
          <w:rFonts w:hint="eastAsia" w:ascii="宋体" w:hAnsi="宋体" w:cs="宋体"/>
          <w:b w:val="0"/>
          <w:bCs w:val="0"/>
          <w:color w:val="auto"/>
          <w:kern w:val="0"/>
          <w:sz w:val="24"/>
          <w:szCs w:val="24"/>
          <w:highlight w:val="none"/>
          <w:lang w:val="en-US" w:eastAsia="zh-CN" w:bidi="ar-SA"/>
        </w:rPr>
      </w:pPr>
      <w:bookmarkStart w:id="163" w:name="_Toc17884_WPSOffice_Level1"/>
      <w:bookmarkStart w:id="164" w:name="_Toc447"/>
      <w:r>
        <w:rPr>
          <w:rFonts w:hint="eastAsia" w:ascii="宋体" w:hAnsi="宋体" w:cs="宋体"/>
          <w:b w:val="0"/>
          <w:bCs w:val="0"/>
          <w:color w:val="auto"/>
          <w:kern w:val="0"/>
          <w:sz w:val="24"/>
          <w:szCs w:val="24"/>
          <w:highlight w:val="none"/>
          <w:lang w:val="en-US" w:eastAsia="zh-CN" w:bidi="ar-SA"/>
        </w:rPr>
        <w:t>项目概况</w:t>
      </w:r>
    </w:p>
    <w:p w14:paraId="24BD0CF1">
      <w:pPr>
        <w:numPr>
          <w:ilvl w:val="0"/>
          <w:numId w:val="0"/>
        </w:numPr>
        <w:adjustRightInd w:val="0"/>
        <w:snapToGrid w:val="0"/>
        <w:spacing w:line="360" w:lineRule="auto"/>
        <w:ind w:firstLine="480" w:firstLineChars="200"/>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项目概况：西教学楼建筑面积3086.2平方米，2号宿舍楼建筑面积2490.84平方米。建设内容包括：拆除及垃圾外运、主体抗震加固、装修恢复、给排水管网改造、采暖管网改造、电气管网改造、火灾报警、消防及喷淋管网改造、屋面节能改造、外墙节能改造、更换外窗、室外疏散钢楼梯、施工车行路面恢复等。</w:t>
      </w:r>
    </w:p>
    <w:p w14:paraId="160FAF3B">
      <w:pPr>
        <w:numPr>
          <w:ilvl w:val="0"/>
          <w:numId w:val="0"/>
        </w:numPr>
        <w:adjustRightInd w:val="0"/>
        <w:snapToGrid w:val="0"/>
        <w:spacing w:line="360" w:lineRule="auto"/>
        <w:rPr>
          <w:rStyle w:val="92"/>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二、</w:t>
      </w:r>
      <w:r>
        <w:rPr>
          <w:rStyle w:val="92"/>
          <w:rFonts w:hint="eastAsia"/>
          <w:b w:val="0"/>
          <w:bCs w:val="0"/>
          <w:color w:val="auto"/>
          <w:sz w:val="24"/>
          <w:szCs w:val="24"/>
          <w:highlight w:val="none"/>
        </w:rPr>
        <w:t>服务期：自合同签订之日</w:t>
      </w:r>
      <w:r>
        <w:rPr>
          <w:rStyle w:val="92"/>
          <w:rFonts w:hint="eastAsia"/>
          <w:b w:val="0"/>
          <w:bCs w:val="0"/>
          <w:color w:val="auto"/>
          <w:sz w:val="24"/>
          <w:szCs w:val="24"/>
          <w:highlight w:val="none"/>
          <w:lang w:val="en-US" w:eastAsia="zh-CN"/>
        </w:rPr>
        <w:t>至项目结算审核完成。</w:t>
      </w:r>
    </w:p>
    <w:p w14:paraId="35EF5B64">
      <w:pPr>
        <w:numPr>
          <w:ilvl w:val="0"/>
          <w:numId w:val="0"/>
        </w:numPr>
        <w:adjustRightInd w:val="0"/>
        <w:snapToGrid w:val="0"/>
        <w:spacing w:line="360" w:lineRule="auto"/>
        <w:rPr>
          <w:rStyle w:val="92"/>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三、</w:t>
      </w:r>
      <w:r>
        <w:rPr>
          <w:rStyle w:val="92"/>
          <w:rFonts w:hint="eastAsia"/>
          <w:b w:val="0"/>
          <w:bCs w:val="0"/>
          <w:color w:val="auto"/>
          <w:sz w:val="24"/>
          <w:szCs w:val="24"/>
          <w:highlight w:val="none"/>
        </w:rPr>
        <w:t>服务地点：</w:t>
      </w:r>
      <w:r>
        <w:rPr>
          <w:rStyle w:val="92"/>
          <w:rFonts w:hint="eastAsia"/>
          <w:b w:val="0"/>
          <w:bCs w:val="0"/>
          <w:color w:val="auto"/>
          <w:sz w:val="24"/>
          <w:szCs w:val="24"/>
          <w:highlight w:val="none"/>
          <w:lang w:val="en-US" w:eastAsia="zh-CN"/>
        </w:rPr>
        <w:t>采购人</w:t>
      </w:r>
      <w:r>
        <w:rPr>
          <w:rStyle w:val="92"/>
          <w:rFonts w:hint="eastAsia"/>
          <w:b w:val="0"/>
          <w:bCs w:val="0"/>
          <w:color w:val="auto"/>
          <w:sz w:val="24"/>
          <w:szCs w:val="24"/>
          <w:highlight w:val="none"/>
          <w:lang w:eastAsia="zh-CN"/>
        </w:rPr>
        <w:t>指定地点</w:t>
      </w:r>
    </w:p>
    <w:p w14:paraId="78C1EB9E">
      <w:pPr>
        <w:adjustRightInd w:val="0"/>
        <w:snapToGrid w:val="0"/>
        <w:spacing w:line="360" w:lineRule="auto"/>
        <w:jc w:val="left"/>
        <w:outlineLvl w:val="9"/>
        <w:rPr>
          <w:rStyle w:val="92"/>
          <w:rFonts w:hint="eastAsia"/>
          <w:b w:val="0"/>
          <w:bCs w:val="0"/>
          <w:color w:val="auto"/>
          <w:sz w:val="24"/>
          <w:szCs w:val="24"/>
          <w:highlight w:val="none"/>
          <w:lang w:val="en-US" w:eastAsia="zh-CN"/>
        </w:rPr>
      </w:pPr>
      <w:r>
        <w:rPr>
          <w:rStyle w:val="92"/>
          <w:rFonts w:hint="eastAsia"/>
          <w:b w:val="0"/>
          <w:bCs w:val="0"/>
          <w:color w:val="auto"/>
          <w:sz w:val="24"/>
          <w:szCs w:val="24"/>
          <w:highlight w:val="none"/>
          <w:lang w:val="en-US"/>
        </w:rPr>
        <w:t>四、</w:t>
      </w:r>
      <w:r>
        <w:rPr>
          <w:rStyle w:val="92"/>
          <w:rFonts w:hint="eastAsia"/>
          <w:b w:val="0"/>
          <w:bCs w:val="0"/>
          <w:color w:val="auto"/>
          <w:sz w:val="24"/>
          <w:szCs w:val="24"/>
          <w:highlight w:val="none"/>
          <w:lang w:val="en-US" w:eastAsia="zh-CN"/>
        </w:rPr>
        <w:t>服务范围</w:t>
      </w:r>
    </w:p>
    <w:p w14:paraId="549814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bidi="ar-SA"/>
        </w:rPr>
      </w:pPr>
      <w:r>
        <w:rPr>
          <w:rFonts w:hint="eastAsia" w:ascii="宋体" w:hAnsi="宋体" w:eastAsia="宋体" w:cs="宋体"/>
          <w:color w:val="auto"/>
          <w:kern w:val="0"/>
          <w:sz w:val="24"/>
          <w:szCs w:val="24"/>
          <w:highlight w:val="none"/>
          <w:lang w:val="en-US" w:eastAsia="zh-CN"/>
        </w:rPr>
        <w:t>工程全过程造价咨询服务，包含但不限于招标控制价、设计测算、施工过程工程进度计量和支付、材料、机械、设备等市场的询价与核价、施工过程中的变更（签证）审核、工程竣工结算编制、配合财务决算编制、配合发包人委托的审计及公司业务内审等工作。</w:t>
      </w:r>
      <w:r>
        <w:rPr>
          <w:rFonts w:hint="eastAsia" w:ascii="宋体" w:hAnsi="宋体" w:cs="宋体"/>
          <w:color w:val="auto"/>
          <w:sz w:val="24"/>
          <w:szCs w:val="24"/>
          <w:highlight w:val="none"/>
          <w:lang w:bidi="ar-SA"/>
        </w:rPr>
        <w:t>。</w:t>
      </w:r>
    </w:p>
    <w:p w14:paraId="404ADBD4">
      <w:pPr>
        <w:spacing w:line="360" w:lineRule="auto"/>
        <w:ind w:left="0"/>
        <w:jc w:val="left"/>
        <w:rPr>
          <w:rFonts w:hint="eastAsia" w:ascii="宋体" w:hAnsi="宋体" w:cs="宋体"/>
          <w:color w:val="auto"/>
          <w:sz w:val="24"/>
          <w:highlight w:val="none"/>
        </w:rPr>
      </w:pPr>
      <w:r>
        <w:rPr>
          <w:rFonts w:hint="eastAsia" w:ascii="宋体" w:hAnsi="宋体" w:cs="宋体"/>
          <w:color w:val="auto"/>
          <w:sz w:val="24"/>
          <w:highlight w:val="none"/>
          <w:lang w:val="en-US" w:eastAsia="zh-CN" w:bidi="ar-SA"/>
        </w:rPr>
        <w:t>五</w:t>
      </w:r>
      <w:r>
        <w:rPr>
          <w:rFonts w:hint="eastAsia" w:ascii="宋体" w:hAnsi="宋体" w:eastAsia="宋体" w:cs="宋体"/>
          <w:color w:val="auto"/>
          <w:sz w:val="24"/>
          <w:highlight w:val="none"/>
          <w:lang w:eastAsia="zh-CN" w:bidi="ar-SA"/>
        </w:rPr>
        <w:t>、</w:t>
      </w:r>
      <w:r>
        <w:rPr>
          <w:rFonts w:hint="eastAsia" w:ascii="宋体" w:hAnsi="宋体" w:cs="宋体"/>
          <w:bCs/>
          <w:color w:val="auto"/>
          <w:sz w:val="24"/>
          <w:highlight w:val="none"/>
        </w:rPr>
        <w:t>工程造价咨询</w:t>
      </w:r>
      <w:r>
        <w:rPr>
          <w:rFonts w:hint="eastAsia" w:ascii="宋体" w:hAnsi="宋体" w:cs="宋体"/>
          <w:color w:val="auto"/>
          <w:sz w:val="24"/>
          <w:highlight w:val="none"/>
        </w:rPr>
        <w:t>工作还应满足下列要求</w:t>
      </w:r>
    </w:p>
    <w:p w14:paraId="398954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（1）对支付工程进度款及材料款进行审核；</w:t>
      </w:r>
    </w:p>
    <w:p w14:paraId="0BC196D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（2）参加工程例会,配合业主做好与承包方、监理方的工程协调工作；</w:t>
      </w:r>
    </w:p>
    <w:p w14:paraId="5B82135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（3）工程设计变更、现场签证控制与审查、增减工作量及价格的审定、对处理重大变更项目所需费用进行测算并提交经济分析报告。</w:t>
      </w:r>
    </w:p>
    <w:p w14:paraId="17A557E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（4）参与材料、设备的认质认价，材料数量及价格的咨询与审定；</w:t>
      </w:r>
    </w:p>
    <w:p w14:paraId="312CE2B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（5）必要时协助业主完成材料、设备等市场考察、询价工作；</w:t>
      </w:r>
    </w:p>
    <w:p w14:paraId="6A1A927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（6）甲方分包项目(如果有)工程预算的审核；</w:t>
      </w:r>
    </w:p>
    <w:p w14:paraId="56A4CC1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（7）根据工程进度，相关专业人员每星期来工地不少于一天，遇特殊情况，应甲方邀请能在三小时内到达工地商谈问题；</w:t>
      </w:r>
    </w:p>
    <w:p w14:paraId="081B6B9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bidi="ar-SA"/>
        </w:rPr>
        <w:t>其他与本项目相关的专业工程（如果发生时）的工程量清单及控制价编制、过程审核、结算编制工作；</w:t>
      </w:r>
    </w:p>
    <w:p w14:paraId="3B8BE94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（9）现场审计土建、水电主要造价人员不得随意变更，如变更需提前报经业主认可；</w:t>
      </w:r>
    </w:p>
    <w:p w14:paraId="7535C8E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（10）工程结算的审核，并提交结算审核报告；</w:t>
      </w:r>
    </w:p>
    <w:p w14:paraId="761C639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（11）根据工程实际情况，完成甲方交办的本项目其它造价审核工作。</w:t>
      </w:r>
    </w:p>
    <w:p w14:paraId="2FC9A3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bidi="ar-SA"/>
        </w:rPr>
      </w:pPr>
      <w:r>
        <w:rPr>
          <w:rFonts w:hint="eastAsia" w:ascii="宋体" w:hAnsi="宋体" w:cs="宋体"/>
          <w:color w:val="auto"/>
          <w:sz w:val="24"/>
          <w:highlight w:val="none"/>
        </w:rPr>
        <w:t>（12）对工程造价方面提出合理化建议，及时告知有关方面的政策变化。</w:t>
      </w:r>
    </w:p>
    <w:p w14:paraId="34DCBC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center"/>
        <w:textAlignment w:val="auto"/>
        <w:outlineLvl w:val="0"/>
        <w:rPr>
          <w:rStyle w:val="92"/>
          <w:rFonts w:hint="eastAsia"/>
          <w:color w:val="auto"/>
          <w:sz w:val="24"/>
          <w:szCs w:val="24"/>
          <w:highlight w:val="none"/>
        </w:rPr>
      </w:pPr>
      <w:r>
        <w:rPr>
          <w:rStyle w:val="92"/>
          <w:rFonts w:hint="eastAsia"/>
          <w:color w:val="auto"/>
          <w:sz w:val="28"/>
          <w:szCs w:val="28"/>
          <w:highlight w:val="none"/>
        </w:rPr>
        <w:t xml:space="preserve">第五章  </w:t>
      </w:r>
      <w:bookmarkEnd w:id="163"/>
      <w:bookmarkStart w:id="165" w:name="_Hlt101846155"/>
      <w:bookmarkEnd w:id="165"/>
      <w:bookmarkStart w:id="166" w:name="_Toc217446097"/>
      <w:bookmarkStart w:id="167" w:name="_Toc208849007"/>
      <w:bookmarkStart w:id="168" w:name="_Toc183582280"/>
      <w:bookmarkStart w:id="169" w:name="_Toc183682415"/>
      <w:r>
        <w:rPr>
          <w:rStyle w:val="92"/>
          <w:rFonts w:hint="eastAsia"/>
          <w:color w:val="auto"/>
          <w:sz w:val="28"/>
          <w:szCs w:val="28"/>
          <w:highlight w:val="none"/>
        </w:rPr>
        <w:t>评审办法</w:t>
      </w:r>
      <w:bookmarkEnd w:id="164"/>
    </w:p>
    <w:p w14:paraId="24D8D41C">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1. 总则</w:t>
      </w:r>
      <w:bookmarkEnd w:id="166"/>
      <w:bookmarkEnd w:id="167"/>
      <w:bookmarkEnd w:id="168"/>
      <w:bookmarkEnd w:id="169"/>
    </w:p>
    <w:p w14:paraId="12515D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中华人民共和国政府采购法实施条例》、《政府采购竞争性磋商采购方式管理暂行办法》（财政部财库〔2014〕214号）等法律法规、规章和相关规定，结合采购项目特点制定本评审办法。</w:t>
      </w:r>
    </w:p>
    <w:p w14:paraId="604FB1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 </w:t>
      </w:r>
      <w:r>
        <w:rPr>
          <w:rFonts w:hint="eastAsia" w:ascii="宋体" w:hAnsi="宋体" w:eastAsia="宋体" w:cs="宋体"/>
          <w:bCs/>
          <w:color w:val="auto"/>
          <w:sz w:val="24"/>
          <w:highlight w:val="none"/>
        </w:rPr>
        <w:t>评审工作由采购人负责组织，具体评审事务由采购人依法组建的磋商小组负责。磋商小组由采购人代表和有关技术、经济等方面的专家组成。</w:t>
      </w:r>
    </w:p>
    <w:p w14:paraId="75E31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评审工作应遵循公平、公正、科学及择优的原则。</w:t>
      </w:r>
    </w:p>
    <w:p w14:paraId="3A0603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磋商小组按照磋商文件规定的评审方法和标准进行评审，并独立履行下列职责：</w:t>
      </w:r>
    </w:p>
    <w:p w14:paraId="022DA4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（1）审查响应文件是否符合磋商文件要求，并作出评价；</w:t>
      </w:r>
    </w:p>
    <w:p w14:paraId="512470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（2）要求供应商对响应文件有关事项作出解释或者澄清；</w:t>
      </w:r>
    </w:p>
    <w:p w14:paraId="0467C1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（3）推荐成交候选供应商名单，或者受采购人委托按照事先确定的办法直接确定成交供应商；</w:t>
      </w:r>
    </w:p>
    <w:p w14:paraId="5BC363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（4）向采购单位或者有关部门报告非法干预评审工作的行为。</w:t>
      </w:r>
      <w:bookmarkStart w:id="170" w:name="_Toc217446098"/>
    </w:p>
    <w:p w14:paraId="6938AA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评审过程严格保密。供应商对磋商小组的评审过程或合同授予决定施加影响的任何行为都可能导致其响应文件无效。</w:t>
      </w:r>
    </w:p>
    <w:p w14:paraId="53AECA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1.6磋商小组决定响应文件的响应性应依据响应文件本身的内容，而不寻求外部的证据。</w:t>
      </w:r>
    </w:p>
    <w:p w14:paraId="43A677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1.7磋商小组发现磋商文件表述不明确或需要说明的事项，可提请采购单位书面解释说明。发现磋商文件违反有关法律、法规和规章的，可以拒绝评审，并向采购单位书面说明情况。</w:t>
      </w:r>
    </w:p>
    <w:p w14:paraId="1DDE3444">
      <w:pPr>
        <w:spacing w:line="360" w:lineRule="auto"/>
        <w:ind w:firstLine="482" w:firstLineChars="200"/>
        <w:outlineLvl w:val="1"/>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评审方法</w:t>
      </w:r>
    </w:p>
    <w:p w14:paraId="628AC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本项目评审方法为：综合评分法。</w:t>
      </w:r>
    </w:p>
    <w:p w14:paraId="6EA99763">
      <w:pPr>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评审程序</w:t>
      </w:r>
      <w:bookmarkEnd w:id="170"/>
    </w:p>
    <w:p w14:paraId="49A04A66">
      <w:pPr>
        <w:spacing w:line="360" w:lineRule="auto"/>
        <w:ind w:firstLine="480" w:firstLineChars="200"/>
        <w:rPr>
          <w:rFonts w:hint="eastAsia" w:ascii="宋体" w:hAnsi="宋体" w:eastAsia="宋体" w:cs="宋体"/>
          <w:color w:val="auto"/>
          <w:sz w:val="24"/>
          <w:highlight w:val="none"/>
        </w:rPr>
      </w:pPr>
      <w:bookmarkStart w:id="171" w:name="_Toc217446099"/>
      <w:r>
        <w:rPr>
          <w:rFonts w:hint="eastAsia" w:ascii="宋体" w:hAnsi="宋体" w:eastAsia="宋体" w:cs="宋体"/>
          <w:color w:val="auto"/>
          <w:sz w:val="24"/>
          <w:highlight w:val="none"/>
        </w:rPr>
        <w:t>3.1资格审查</w:t>
      </w:r>
    </w:p>
    <w:p w14:paraId="2C23CA45">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资格审查表</w:t>
      </w:r>
    </w:p>
    <w:tbl>
      <w:tblPr>
        <w:tblStyle w:val="3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3442"/>
        <w:gridCol w:w="5514"/>
      </w:tblGrid>
      <w:tr w14:paraId="05CE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494" w:type="dxa"/>
            <w:vAlign w:val="center"/>
          </w:tcPr>
          <w:p w14:paraId="69A67AE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442" w:type="dxa"/>
            <w:vAlign w:val="center"/>
          </w:tcPr>
          <w:p w14:paraId="02552E33">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审  查  项  目</w:t>
            </w:r>
          </w:p>
        </w:tc>
        <w:tc>
          <w:tcPr>
            <w:tcW w:w="5514" w:type="dxa"/>
            <w:vAlign w:val="center"/>
          </w:tcPr>
          <w:p w14:paraId="51ECF86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审  查  标  准</w:t>
            </w:r>
          </w:p>
        </w:tc>
      </w:tr>
      <w:tr w14:paraId="6E7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94" w:type="dxa"/>
            <w:vAlign w:val="center"/>
          </w:tcPr>
          <w:p w14:paraId="31C3E55E">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442" w:type="dxa"/>
            <w:vAlign w:val="center"/>
          </w:tcPr>
          <w:p w14:paraId="359C518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具有独立承担民事责任的能力；</w:t>
            </w:r>
          </w:p>
        </w:tc>
        <w:tc>
          <w:tcPr>
            <w:tcW w:w="5514" w:type="dxa"/>
            <w:vAlign w:val="center"/>
          </w:tcPr>
          <w:p w14:paraId="06EC91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val="en-US" w:eastAsia="zh-CN"/>
              </w:rPr>
              <w:t>法人营业执照或事业单位法人证书</w:t>
            </w:r>
          </w:p>
        </w:tc>
      </w:tr>
      <w:tr w14:paraId="44B9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494" w:type="dxa"/>
            <w:vAlign w:val="center"/>
          </w:tcPr>
          <w:p w14:paraId="2FBC25DD">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3442" w:type="dxa"/>
            <w:vAlign w:val="center"/>
          </w:tcPr>
          <w:p w14:paraId="0856129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具有良好的商业信誉和健全的财务会计制度；</w:t>
            </w:r>
          </w:p>
          <w:p w14:paraId="579A9C06">
            <w:pPr>
              <w:spacing w:line="360" w:lineRule="auto"/>
              <w:rPr>
                <w:rFonts w:hint="eastAsia" w:ascii="宋体" w:hAnsi="宋体" w:cs="宋体"/>
                <w:color w:val="auto"/>
                <w:sz w:val="24"/>
                <w:szCs w:val="24"/>
                <w:highlight w:val="none"/>
              </w:rPr>
            </w:pPr>
          </w:p>
        </w:tc>
        <w:tc>
          <w:tcPr>
            <w:tcW w:w="5514" w:type="dxa"/>
            <w:vAlign w:val="center"/>
          </w:tcPr>
          <w:p w14:paraId="3197D6D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须提供银行出具的近一年内资信证明(2023年度）或上一年度（2023年度）经审计的财务报告或上一年度（2023年度）会计报表，新成立企业无需提供。</w:t>
            </w:r>
          </w:p>
        </w:tc>
      </w:tr>
      <w:tr w14:paraId="6156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494" w:type="dxa"/>
            <w:vAlign w:val="center"/>
          </w:tcPr>
          <w:p w14:paraId="122A172B">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3442" w:type="dxa"/>
            <w:vAlign w:val="center"/>
          </w:tcPr>
          <w:p w14:paraId="33E4877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具有履行合同所必需的设备和专业技术能力；</w:t>
            </w:r>
          </w:p>
        </w:tc>
        <w:tc>
          <w:tcPr>
            <w:tcW w:w="5514" w:type="dxa"/>
            <w:vAlign w:val="center"/>
          </w:tcPr>
          <w:p w14:paraId="54680DB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（1）相关设备或设施的购置发票或单据（任一)或提供承诺函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（2）相关专业技术能力等证明材料或承诺函。</w:t>
            </w:r>
          </w:p>
        </w:tc>
      </w:tr>
      <w:tr w14:paraId="5311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494" w:type="dxa"/>
            <w:vAlign w:val="center"/>
          </w:tcPr>
          <w:p w14:paraId="15AB9613">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3442" w:type="dxa"/>
            <w:vAlign w:val="center"/>
          </w:tcPr>
          <w:p w14:paraId="14E3813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有依法缴纳税收和社会保障资金的良好记录；</w:t>
            </w:r>
          </w:p>
          <w:p w14:paraId="124C01BD">
            <w:pPr>
              <w:spacing w:line="360" w:lineRule="auto"/>
              <w:rPr>
                <w:rFonts w:hint="eastAsia" w:ascii="宋体" w:hAnsi="宋体" w:cs="宋体"/>
                <w:color w:val="auto"/>
                <w:sz w:val="24"/>
                <w:szCs w:val="24"/>
                <w:highlight w:val="none"/>
              </w:rPr>
            </w:pPr>
          </w:p>
        </w:tc>
        <w:tc>
          <w:tcPr>
            <w:tcW w:w="5514" w:type="dxa"/>
            <w:vAlign w:val="center"/>
          </w:tcPr>
          <w:p w14:paraId="689B524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须提供：（1）近6个月内任意1个月已依法缴纳税收的凭据；（2）近6个月内任意1个月已依法缴纳社会保险的凭据。（依法免税的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，应提供相应证明文件，新成立企业无需提供）</w:t>
            </w:r>
          </w:p>
        </w:tc>
      </w:tr>
      <w:tr w14:paraId="648B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494" w:type="dxa"/>
            <w:vAlign w:val="center"/>
          </w:tcPr>
          <w:p w14:paraId="7861558E">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3442" w:type="dxa"/>
            <w:vAlign w:val="center"/>
          </w:tcPr>
          <w:p w14:paraId="443884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参加投标活动前三年内，在经营活动中没有重大违法记录；</w:t>
            </w:r>
          </w:p>
          <w:p w14:paraId="541D1488">
            <w:pPr>
              <w:spacing w:line="360" w:lineRule="auto"/>
              <w:rPr>
                <w:rFonts w:hint="eastAsia" w:ascii="宋体" w:hAnsi="宋体" w:cs="宋体"/>
                <w:color w:val="auto"/>
                <w:sz w:val="24"/>
                <w:szCs w:val="24"/>
                <w:highlight w:val="none"/>
              </w:rPr>
            </w:pPr>
          </w:p>
        </w:tc>
        <w:tc>
          <w:tcPr>
            <w:tcW w:w="5514" w:type="dxa"/>
            <w:vAlign w:val="center"/>
          </w:tcPr>
          <w:p w14:paraId="61FD10E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须提供：书面声明（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自行承诺并承担后果，声明不实的，按《政府采购法》及相关法律法规中提供虚假材料的有关规定处理。</w:t>
            </w:r>
          </w:p>
        </w:tc>
      </w:tr>
      <w:tr w14:paraId="76B0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494" w:type="dxa"/>
            <w:vAlign w:val="center"/>
          </w:tcPr>
          <w:p w14:paraId="0CB837B9">
            <w:pPr>
              <w:spacing w:line="360" w:lineRule="auto"/>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3442" w:type="dxa"/>
            <w:vAlign w:val="center"/>
          </w:tcPr>
          <w:p w14:paraId="0B8230C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法律、行政法规规定的其他条件。</w:t>
            </w:r>
          </w:p>
        </w:tc>
        <w:tc>
          <w:tcPr>
            <w:tcW w:w="5514" w:type="dxa"/>
            <w:vAlign w:val="center"/>
          </w:tcPr>
          <w:p w14:paraId="0D94C31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须提供：承诺函（</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 xml:space="preserve">自行承诺并承担后果，声明函不实的，按《政府采购法》及相关法律法规中提供虚假材料的有关规定处理）。 </w:t>
            </w:r>
          </w:p>
        </w:tc>
      </w:tr>
      <w:tr w14:paraId="0E98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7" w:hRule="atLeast"/>
          <w:jc w:val="center"/>
        </w:trPr>
        <w:tc>
          <w:tcPr>
            <w:tcW w:w="494" w:type="dxa"/>
            <w:vAlign w:val="center"/>
          </w:tcPr>
          <w:p w14:paraId="51ADC269">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442" w:type="dxa"/>
            <w:vAlign w:val="center"/>
          </w:tcPr>
          <w:p w14:paraId="444F76F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供应商未被列入“信用中国”网站（www.creditchina.gov.cn）失信被执行人、重大税收违法失</w:t>
            </w:r>
            <w:r>
              <w:rPr>
                <w:rFonts w:hint="eastAsia" w:ascii="宋体" w:hAnsi="宋体" w:cs="宋体"/>
                <w:color w:val="auto"/>
                <w:sz w:val="24"/>
                <w:szCs w:val="24"/>
                <w:highlight w:val="none"/>
              </w:rPr>
              <w:t>法律、行政法规规定的其他条件</w:t>
            </w:r>
            <w:r>
              <w:rPr>
                <w:rFonts w:hint="eastAsia" w:ascii="宋体" w:hAnsi="宋体" w:cs="宋体"/>
                <w:color w:val="auto"/>
                <w:sz w:val="24"/>
                <w:szCs w:val="24"/>
                <w:highlight w:val="none"/>
                <w:lang w:eastAsia="zh-CN"/>
              </w:rPr>
              <w:t>信主体及中国政府采购网（www.ccgp.gov.cn）“政府采购严重违法失信行为信息记录”；</w:t>
            </w:r>
          </w:p>
        </w:tc>
        <w:tc>
          <w:tcPr>
            <w:tcW w:w="5514" w:type="dxa"/>
            <w:vAlign w:val="center"/>
          </w:tcPr>
          <w:p w14:paraId="298B734E">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须提供</w:t>
            </w:r>
            <w:r>
              <w:rPr>
                <w:rFonts w:hint="eastAsia" w:ascii="宋体" w:hAnsi="宋体" w:eastAsia="宋体" w:cs="宋体"/>
                <w:color w:val="auto"/>
                <w:kern w:val="0"/>
                <w:sz w:val="24"/>
                <w:szCs w:val="24"/>
                <w:highlight w:val="none"/>
                <w:lang w:val="en-US" w:eastAsia="zh-CN"/>
              </w:rPr>
              <w:t>网页查询截图。</w:t>
            </w:r>
          </w:p>
        </w:tc>
      </w:tr>
      <w:tr w14:paraId="3352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494" w:type="dxa"/>
            <w:vAlign w:val="center"/>
          </w:tcPr>
          <w:p w14:paraId="40B51284">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3442" w:type="dxa"/>
            <w:vAlign w:val="center"/>
          </w:tcPr>
          <w:p w14:paraId="5E756506">
            <w:pPr>
              <w:spacing w:line="360" w:lineRule="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tc>
        <w:tc>
          <w:tcPr>
            <w:tcW w:w="5514" w:type="dxa"/>
            <w:vAlign w:val="center"/>
          </w:tcPr>
          <w:p w14:paraId="00B90FB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须提供：书面声明（</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自行承诺并承担后果，声明不实的，按《政府采购法》及相关法律法规中提供虚假材料的有关规定处理。</w:t>
            </w:r>
          </w:p>
        </w:tc>
      </w:tr>
      <w:tr w14:paraId="6D02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4" w:type="dxa"/>
            <w:vAlign w:val="center"/>
          </w:tcPr>
          <w:p w14:paraId="286975B3">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442" w:type="dxa"/>
            <w:vAlign w:val="center"/>
          </w:tcPr>
          <w:p w14:paraId="6AA42EF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拟派项目负责人具有一级注册造价工程师资格，须在本单位注册，不接受临时注册；</w:t>
            </w:r>
          </w:p>
        </w:tc>
        <w:tc>
          <w:tcPr>
            <w:tcW w:w="5514" w:type="dxa"/>
            <w:vAlign w:val="center"/>
          </w:tcPr>
          <w:p w14:paraId="287C0B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须提供：</w:t>
            </w:r>
            <w:r>
              <w:rPr>
                <w:rFonts w:hint="eastAsia" w:ascii="宋体" w:hAnsi="宋体" w:cs="宋体"/>
                <w:color w:val="auto"/>
                <w:sz w:val="24"/>
                <w:szCs w:val="24"/>
                <w:highlight w:val="none"/>
                <w:lang w:val="en-US" w:eastAsia="zh-CN"/>
              </w:rPr>
              <w:t>项目负责人注册资格证书及本单位近3个月缴纳社保证明</w:t>
            </w:r>
            <w:r>
              <w:rPr>
                <w:rFonts w:hint="eastAsia" w:ascii="宋体" w:hAnsi="宋体" w:cs="宋体"/>
                <w:color w:val="auto"/>
                <w:sz w:val="24"/>
                <w:szCs w:val="24"/>
                <w:highlight w:val="none"/>
              </w:rPr>
              <w:t>。</w:t>
            </w:r>
          </w:p>
        </w:tc>
      </w:tr>
      <w:tr w14:paraId="1C6E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4" w:type="dxa"/>
            <w:vAlign w:val="center"/>
          </w:tcPr>
          <w:p w14:paraId="6435BF83">
            <w:pPr>
              <w:spacing w:line="360" w:lineRule="auto"/>
              <w:ind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442" w:type="dxa"/>
            <w:vAlign w:val="center"/>
          </w:tcPr>
          <w:p w14:paraId="0C5BE6F0">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本项目不接受联合体；</w:t>
            </w:r>
          </w:p>
        </w:tc>
        <w:tc>
          <w:tcPr>
            <w:tcW w:w="5514" w:type="dxa"/>
            <w:vAlign w:val="center"/>
          </w:tcPr>
          <w:p w14:paraId="12B7579E">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无须提供证明材料。</w:t>
            </w:r>
          </w:p>
        </w:tc>
      </w:tr>
      <w:tr w14:paraId="2030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494" w:type="dxa"/>
            <w:vAlign w:val="center"/>
          </w:tcPr>
          <w:p w14:paraId="7BE7CB43">
            <w:pPr>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3442" w:type="dxa"/>
            <w:vAlign w:val="center"/>
          </w:tcPr>
          <w:p w14:paraId="4B4803D5">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本项目为专门面向中小企业的政府采购项目。</w:t>
            </w:r>
          </w:p>
        </w:tc>
        <w:tc>
          <w:tcPr>
            <w:tcW w:w="5514" w:type="dxa"/>
            <w:vAlign w:val="center"/>
          </w:tcPr>
          <w:p w14:paraId="71F66BFB">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须提供《中小企业声明函》</w:t>
            </w:r>
          </w:p>
        </w:tc>
      </w:tr>
      <w:tr w14:paraId="660A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3936" w:type="dxa"/>
            <w:gridSpan w:val="2"/>
            <w:vAlign w:val="center"/>
          </w:tcPr>
          <w:p w14:paraId="65962A77">
            <w:pPr>
              <w:bidi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审查结果（通过√/不通过×）</w:t>
            </w:r>
          </w:p>
        </w:tc>
        <w:tc>
          <w:tcPr>
            <w:tcW w:w="5514" w:type="dxa"/>
            <w:vAlign w:val="center"/>
          </w:tcPr>
          <w:p w14:paraId="1C2FAC5B">
            <w:pPr>
              <w:bidi w:val="0"/>
              <w:spacing w:line="360" w:lineRule="auto"/>
              <w:rPr>
                <w:rFonts w:hint="eastAsia" w:ascii="宋体" w:hAnsi="宋体" w:cs="宋体"/>
                <w:color w:val="auto"/>
                <w:sz w:val="24"/>
                <w:szCs w:val="24"/>
                <w:highlight w:val="none"/>
              </w:rPr>
            </w:pPr>
          </w:p>
        </w:tc>
      </w:tr>
      <w:tr w14:paraId="26D2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9450" w:type="dxa"/>
            <w:gridSpan w:val="3"/>
            <w:vAlign w:val="center"/>
          </w:tcPr>
          <w:p w14:paraId="4ED41531">
            <w:pPr>
              <w:bidi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备注：如果</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文件中有一项未通过上述审查标准，</w:t>
            </w:r>
            <w:r>
              <w:rPr>
                <w:rFonts w:hint="eastAsia" w:ascii="宋体" w:hAnsi="宋体" w:cs="宋体"/>
                <w:color w:val="auto"/>
                <w:sz w:val="24"/>
                <w:szCs w:val="24"/>
                <w:highlight w:val="none"/>
                <w:lang w:eastAsia="zh-Hans"/>
              </w:rPr>
              <w:t>采购人</w:t>
            </w:r>
            <w:r>
              <w:rPr>
                <w:rFonts w:hint="eastAsia" w:ascii="宋体" w:hAnsi="宋体" w:cs="宋体"/>
                <w:color w:val="auto"/>
                <w:sz w:val="24"/>
                <w:szCs w:val="24"/>
                <w:highlight w:val="none"/>
              </w:rPr>
              <w:t>将认定整个</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文件不响应</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而予以无效处理，并且不允许</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通过修改或撤销其不符合要求的差异或保留，使之成为具有响应性的</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w:t>
            </w:r>
          </w:p>
        </w:tc>
      </w:tr>
    </w:tbl>
    <w:p w14:paraId="23A9C8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3.2符合性审查。评审小组依据磋商文件的规定，从响应文件的有效性、完整性和对磋商文件的响应程度进行审查，以确定是否对磋商文件的实质性要求作出响应。</w:t>
      </w:r>
      <w:bookmarkStart w:id="172" w:name="_Toc26573"/>
    </w:p>
    <w:p w14:paraId="39D4F230">
      <w:pPr>
        <w:spacing w:line="360" w:lineRule="auto"/>
        <w:ind w:firstLine="482" w:firstLineChars="20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符合性审查表</w:t>
      </w:r>
      <w:bookmarkEnd w:id="172"/>
      <w:r>
        <w:rPr>
          <w:rFonts w:hint="eastAsia" w:ascii="宋体" w:hAnsi="宋体" w:eastAsia="宋体" w:cs="宋体"/>
          <w:b/>
          <w:bCs/>
          <w:color w:val="auto"/>
          <w:sz w:val="24"/>
          <w:highlight w:val="none"/>
          <w:lang w:val="en-US" w:eastAsia="zh-CN"/>
        </w:rPr>
        <w:t xml:space="preserve">  </w:t>
      </w:r>
    </w:p>
    <w:tbl>
      <w:tblPr>
        <w:tblStyle w:val="3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3"/>
        <w:gridCol w:w="8740"/>
      </w:tblGrid>
      <w:tr w14:paraId="1065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713" w:type="dxa"/>
            <w:vMerge w:val="restart"/>
            <w:vAlign w:val="center"/>
          </w:tcPr>
          <w:p w14:paraId="2D1B0E6C">
            <w:pPr>
              <w:pStyle w:val="93"/>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740" w:type="dxa"/>
            <w:vMerge w:val="restart"/>
            <w:vAlign w:val="center"/>
          </w:tcPr>
          <w:p w14:paraId="26D044B7">
            <w:pPr>
              <w:pStyle w:val="93"/>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审  查  标  准</w:t>
            </w:r>
          </w:p>
        </w:tc>
      </w:tr>
      <w:tr w14:paraId="33E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713" w:type="dxa"/>
            <w:vMerge w:val="continue"/>
            <w:vAlign w:val="center"/>
          </w:tcPr>
          <w:p w14:paraId="271E945E">
            <w:pPr>
              <w:pStyle w:val="93"/>
              <w:spacing w:line="360" w:lineRule="auto"/>
              <w:jc w:val="center"/>
              <w:textAlignment w:val="center"/>
              <w:rPr>
                <w:rFonts w:hint="eastAsia" w:ascii="宋体" w:hAnsi="宋体" w:eastAsia="宋体" w:cs="宋体"/>
                <w:color w:val="auto"/>
                <w:highlight w:val="none"/>
              </w:rPr>
            </w:pPr>
          </w:p>
        </w:tc>
        <w:tc>
          <w:tcPr>
            <w:tcW w:w="8740" w:type="dxa"/>
            <w:vMerge w:val="continue"/>
            <w:vAlign w:val="center"/>
          </w:tcPr>
          <w:p w14:paraId="5D4F1312">
            <w:pPr>
              <w:pStyle w:val="93"/>
              <w:spacing w:line="360" w:lineRule="auto"/>
              <w:jc w:val="center"/>
              <w:textAlignment w:val="center"/>
              <w:rPr>
                <w:rFonts w:hint="eastAsia" w:ascii="宋体" w:hAnsi="宋体" w:eastAsia="宋体" w:cs="宋体"/>
                <w:color w:val="auto"/>
                <w:highlight w:val="none"/>
              </w:rPr>
            </w:pPr>
          </w:p>
        </w:tc>
      </w:tr>
      <w:tr w14:paraId="172D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4B1E2E53">
            <w:pPr>
              <w:pStyle w:val="93"/>
              <w:spacing w:line="360" w:lineRule="auto"/>
              <w:jc w:val="center"/>
              <w:textAlignment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8740" w:type="dxa"/>
            <w:vAlign w:val="center"/>
          </w:tcPr>
          <w:p w14:paraId="605C84F2">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按照磋商文件规定和要求签署、盖章；</w:t>
            </w:r>
          </w:p>
        </w:tc>
      </w:tr>
      <w:tr w14:paraId="7BAE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1DD5851B">
            <w:pPr>
              <w:pStyle w:val="93"/>
              <w:spacing w:line="360" w:lineRule="auto"/>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8740" w:type="dxa"/>
            <w:vAlign w:val="center"/>
          </w:tcPr>
          <w:p w14:paraId="684FDEE7">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按照磋商文件规定缴纳磋商保证金；</w:t>
            </w:r>
          </w:p>
        </w:tc>
      </w:tr>
      <w:tr w14:paraId="3453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3FA9174A">
            <w:pPr>
              <w:pStyle w:val="93"/>
              <w:spacing w:line="360" w:lineRule="auto"/>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8740" w:type="dxa"/>
            <w:vAlign w:val="center"/>
          </w:tcPr>
          <w:p w14:paraId="07FE9C33">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服务期、服务地点符合磋商文件规定；</w:t>
            </w:r>
          </w:p>
        </w:tc>
      </w:tr>
      <w:tr w14:paraId="6F9E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6164B7A4">
            <w:pPr>
              <w:pStyle w:val="93"/>
              <w:spacing w:line="360" w:lineRule="auto"/>
              <w:jc w:val="center"/>
              <w:textAlignment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8740" w:type="dxa"/>
            <w:vAlign w:val="center"/>
          </w:tcPr>
          <w:p w14:paraId="7BC198F9">
            <w:pPr>
              <w:pStyle w:val="93"/>
              <w:spacing w:line="360" w:lineRule="auto"/>
              <w:ind w:left="105" w:leftChars="50"/>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磋商总报价不得超过最高限价，且</w:t>
            </w:r>
            <w:r>
              <w:rPr>
                <w:rFonts w:hint="eastAsia" w:ascii="宋体" w:hAnsi="宋体" w:cs="宋体"/>
                <w:color w:val="auto"/>
                <w:sz w:val="24"/>
                <w:highlight w:val="none"/>
                <w:lang w:val="en-US" w:eastAsia="zh-CN"/>
              </w:rPr>
              <w:t>“报价明细表”不得修改删减，否则磋商无效。</w:t>
            </w:r>
          </w:p>
        </w:tc>
      </w:tr>
      <w:tr w14:paraId="4D1D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1B67E4D5">
            <w:pPr>
              <w:pStyle w:val="93"/>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5</w:t>
            </w:r>
          </w:p>
        </w:tc>
        <w:tc>
          <w:tcPr>
            <w:tcW w:w="8740" w:type="dxa"/>
            <w:vAlign w:val="center"/>
          </w:tcPr>
          <w:p w14:paraId="6C721F35">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按照磋商文件规定的格式要求编制响应文件，实质性响应磋商文件内容；</w:t>
            </w:r>
          </w:p>
        </w:tc>
      </w:tr>
      <w:tr w14:paraId="3110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44A7510D">
            <w:pPr>
              <w:pStyle w:val="93"/>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6</w:t>
            </w:r>
          </w:p>
        </w:tc>
        <w:tc>
          <w:tcPr>
            <w:tcW w:w="8740" w:type="dxa"/>
            <w:vAlign w:val="center"/>
          </w:tcPr>
          <w:p w14:paraId="6B09EF30">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响应文件不得附有采购人不能接受的条件；</w:t>
            </w:r>
          </w:p>
        </w:tc>
      </w:tr>
      <w:tr w14:paraId="7024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3" w:type="dxa"/>
            <w:vAlign w:val="center"/>
          </w:tcPr>
          <w:p w14:paraId="18E33C56">
            <w:pPr>
              <w:pStyle w:val="93"/>
              <w:spacing w:line="360" w:lineRule="auto"/>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8740" w:type="dxa"/>
            <w:vAlign w:val="center"/>
          </w:tcPr>
          <w:p w14:paraId="6013EF04">
            <w:pPr>
              <w:pStyle w:val="93"/>
              <w:spacing w:line="360" w:lineRule="auto"/>
              <w:ind w:left="105" w:leftChars="50"/>
              <w:textAlignment w:val="center"/>
              <w:rPr>
                <w:rFonts w:hint="eastAsia" w:ascii="宋体" w:hAnsi="宋体" w:eastAsia="宋体" w:cs="宋体"/>
                <w:color w:val="auto"/>
                <w:highlight w:val="none"/>
              </w:rPr>
            </w:pPr>
            <w:r>
              <w:rPr>
                <w:rFonts w:hint="eastAsia" w:ascii="宋体" w:hAnsi="宋体" w:eastAsia="宋体" w:cs="宋体"/>
                <w:color w:val="auto"/>
                <w:highlight w:val="none"/>
              </w:rPr>
              <w:t>响应文件实质性响应磋商文件要求；</w:t>
            </w:r>
          </w:p>
        </w:tc>
      </w:tr>
      <w:tr w14:paraId="5CD4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53" w:type="dxa"/>
            <w:gridSpan w:val="2"/>
            <w:vAlign w:val="center"/>
          </w:tcPr>
          <w:p w14:paraId="3B97E2F8">
            <w:pPr>
              <w:pStyle w:val="93"/>
              <w:spacing w:line="360" w:lineRule="auto"/>
              <w:ind w:left="105" w:leftChars="5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审查结果（通过/不通过）</w:t>
            </w:r>
          </w:p>
        </w:tc>
      </w:tr>
    </w:tbl>
    <w:p w14:paraId="29AC1DD5">
      <w:pPr>
        <w:pStyle w:val="12"/>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3.2.1在响应文件符合性审查过程中，如果出现磋商小组成员意见不一致的情况，按照少数服从多数的原则确定，但不得违背政府采购相关法律法规和磋商文件规定。</w:t>
      </w:r>
    </w:p>
    <w:p w14:paraId="66CDB1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3.3澄清有关问题。</w:t>
      </w:r>
      <w:bookmarkStart w:id="173" w:name="_Toc183682422"/>
      <w:bookmarkStart w:id="174" w:name="_Toc183582287"/>
      <w:bookmarkStart w:id="175" w:name="_Toc217446104"/>
      <w:r>
        <w:rPr>
          <w:rFonts w:hint="eastAsia" w:ascii="宋体" w:hAnsi="宋体" w:cs="宋体"/>
          <w:color w:val="auto"/>
          <w:sz w:val="24"/>
          <w:highlight w:val="none"/>
          <w:lang w:val="en-US" w:eastAsia="zh-CN"/>
        </w:rPr>
        <w:t>磋商小组</w:t>
      </w:r>
      <w:r>
        <w:rPr>
          <w:rFonts w:hint="eastAsia" w:ascii="宋体" w:hAnsi="宋体" w:eastAsia="宋体" w:cs="宋体"/>
          <w:color w:val="auto"/>
          <w:sz w:val="24"/>
          <w:highlight w:val="none"/>
        </w:rPr>
        <w:t>按照淸标整理形成成果决定是否要</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进行书面澄清、说明或补证，若需要形成质疑问卷，向</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发出问题澄清通知（包括质疑问卷）。</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针对评委会提出的问题在规定的时间内做澄清说明补证。</w:t>
      </w:r>
    </w:p>
    <w:bookmarkEnd w:id="173"/>
    <w:bookmarkEnd w:id="174"/>
    <w:bookmarkEnd w:id="175"/>
    <w:p w14:paraId="513677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3.4磋商。</w:t>
      </w:r>
      <w:r>
        <w:rPr>
          <w:rFonts w:hint="eastAsia" w:ascii="宋体" w:hAnsi="宋体" w:eastAsia="宋体" w:cs="宋体"/>
          <w:color w:val="auto"/>
          <w:sz w:val="24"/>
          <w:highlight w:val="none"/>
          <w:shd w:val="clear" w:color="auto" w:fill="FAFAFA"/>
        </w:rPr>
        <w:t>磋商小组所有成员应当集中与单一供应商分别进行磋商，</w:t>
      </w:r>
      <w:r>
        <w:rPr>
          <w:rFonts w:hint="eastAsia" w:ascii="宋体" w:hAnsi="宋体" w:eastAsia="宋体" w:cs="宋体"/>
          <w:color w:val="auto"/>
          <w:sz w:val="24"/>
          <w:highlight w:val="none"/>
        </w:rPr>
        <w:t>并给予所有通过资格、符合性审查的供应商平等的磋商机会。</w:t>
      </w:r>
    </w:p>
    <w:p w14:paraId="2B04BB3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3.4.1在磋商过程中，磋商小组可以根据磋商文件和磋商情况实质性变动服务需求中的技术、服务要求以及合同草案条款，但不得变动磋商文件中的其他内容。对磋商文件作出的实质性变动是磋商文件的有效组成部分</w:t>
      </w:r>
      <w:r>
        <w:rPr>
          <w:rFonts w:hint="eastAsia" w:ascii="宋体" w:hAnsi="宋体" w:cs="宋体"/>
          <w:color w:val="auto"/>
          <w:sz w:val="24"/>
          <w:highlight w:val="none"/>
          <w:lang w:eastAsia="zh-CN"/>
        </w:rPr>
        <w:t>。</w:t>
      </w:r>
    </w:p>
    <w:p w14:paraId="3FC392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最后报价是供应商响应文件的有效组成部分。</w:t>
      </w:r>
    </w:p>
    <w:p w14:paraId="21BC5D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3.5比较、评价。经磋商确定最终服务需求和提交最后报价的供应商后，由磋商小组采用综合评分法对提交最后报价的供应商的响应文件和最后报价进行综合评分，并推荐成交候选供应商名单。</w:t>
      </w:r>
    </w:p>
    <w:p w14:paraId="4CED09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3.5.1本项目采用综合评分法，</w:t>
      </w:r>
      <w:r>
        <w:rPr>
          <w:rFonts w:hint="eastAsia" w:ascii="宋体" w:hAnsi="宋体" w:eastAsia="宋体" w:cs="宋体"/>
          <w:color w:val="auto"/>
          <w:sz w:val="24"/>
          <w:highlight w:val="none"/>
          <w:shd w:val="clear" w:color="auto" w:fill="FAFAFA"/>
        </w:rPr>
        <w:t>磋商小组应当根据综合评分情况，按照评审得分由高到低顺序</w:t>
      </w:r>
      <w:r>
        <w:rPr>
          <w:rFonts w:hint="eastAsia" w:ascii="宋体" w:hAnsi="宋体" w:cs="宋体"/>
          <w:color w:val="auto"/>
          <w:sz w:val="24"/>
          <w:highlight w:val="none"/>
          <w:shd w:val="clear" w:color="auto" w:fill="FAFAFA"/>
          <w:lang w:val="en-US" w:eastAsia="zh-CN"/>
        </w:rPr>
        <w:t>确定最终供应商</w:t>
      </w:r>
      <w:r>
        <w:rPr>
          <w:rFonts w:hint="eastAsia" w:ascii="宋体" w:hAnsi="宋体" w:eastAsia="宋体" w:cs="宋体"/>
          <w:color w:val="auto"/>
          <w:sz w:val="24"/>
          <w:highlight w:val="none"/>
          <w:shd w:val="clear" w:color="auto" w:fill="FAFAFA"/>
        </w:rPr>
        <w:t>，并编写评审报告。评审得分相同的，按照最后报价由低到高的顺序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shd w:val="clear" w:color="auto" w:fill="FAFAFA"/>
        </w:rPr>
        <w:t>。评审得分且最后报价相同的，按照技术指标优劣顺序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rPr>
        <w:t>。</w:t>
      </w:r>
    </w:p>
    <w:p w14:paraId="44A4E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 编写评审报告。评审报告是磋商小组根据全体评审成员签字的原始评审记录和评审结果编写的报告，其主要内容包括：</w:t>
      </w:r>
    </w:p>
    <w:p w14:paraId="291769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（1）项目概况、磋商日期和地点；</w:t>
      </w:r>
    </w:p>
    <w:p w14:paraId="776657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（2）购买磋商文件的供应商名单和磋商小组成员名单；</w:t>
      </w:r>
    </w:p>
    <w:p w14:paraId="2C17B6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（3）评审方法和标准；</w:t>
      </w:r>
    </w:p>
    <w:p w14:paraId="299F8B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（4）磋商记录和评审情况及说明，包括响应无效供应商名单及原因；</w:t>
      </w:r>
    </w:p>
    <w:p w14:paraId="767508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（5）评审结果和成交候选供应商排序。</w:t>
      </w:r>
    </w:p>
    <w:p w14:paraId="05492BB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最终供应商确定结果</w:t>
      </w:r>
    </w:p>
    <w:p w14:paraId="7B6AE7D5">
      <w:pPr>
        <w:pStyle w:val="3"/>
        <w:spacing w:before="0" w:after="0" w:line="360" w:lineRule="auto"/>
        <w:ind w:firstLine="482" w:firstLineChars="200"/>
        <w:rPr>
          <w:rFonts w:hint="eastAsia" w:ascii="宋体" w:hAnsi="宋体" w:eastAsia="宋体" w:cs="宋体"/>
          <w:color w:val="auto"/>
          <w:sz w:val="24"/>
          <w:szCs w:val="24"/>
          <w:highlight w:val="none"/>
        </w:rPr>
      </w:pPr>
      <w:bookmarkStart w:id="176" w:name="_Toc217446103"/>
      <w:bookmarkStart w:id="177" w:name="_Toc217446060"/>
      <w:r>
        <w:rPr>
          <w:rFonts w:hint="eastAsia" w:ascii="宋体" w:hAnsi="宋体" w:eastAsia="宋体" w:cs="宋体"/>
          <w:color w:val="auto"/>
          <w:sz w:val="24"/>
          <w:szCs w:val="24"/>
          <w:highlight w:val="none"/>
        </w:rPr>
        <w:t>4. 评审细则及标准</w:t>
      </w:r>
      <w:bookmarkEnd w:id="176"/>
    </w:p>
    <w:p w14:paraId="158F5C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磋商小组只对通过符合性审查的响应文件，根据磋商文件的要求采用相同的评审程序、评分办法及标准进行评价和比较。</w:t>
      </w:r>
    </w:p>
    <w:p w14:paraId="084758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本次综合评分的主要因素是：商务、价格、服务、业绩、对磋商文件的响应程度以及响应文件规范性等。</w:t>
      </w:r>
    </w:p>
    <w:p w14:paraId="26DEAF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 除价格因素外，磋商小组成员应依据响应文件规定的评分标准和方法独立对其他因素进行比较打分。</w:t>
      </w:r>
    </w:p>
    <w:p w14:paraId="1F4714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评审时，磋商小组各成员应当独立对每个有效响应的文件进行评价、打分，然后汇总每个供应商每项评分因素的得分。</w:t>
      </w:r>
    </w:p>
    <w:p w14:paraId="5AFCD267">
      <w:pPr>
        <w:pStyle w:val="12"/>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4.5综合评分明细表</w:t>
      </w:r>
    </w:p>
    <w:p w14:paraId="22DA7AB1">
      <w:pPr>
        <w:pStyle w:val="12"/>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4.5.1综合评分明细表的制定以科学合理、降低磋商小组自由裁量权为原则。</w:t>
      </w:r>
    </w:p>
    <w:p w14:paraId="6B178E22">
      <w:pPr>
        <w:pStyle w:val="12"/>
        <w:tabs>
          <w:tab w:val="left" w:pos="60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4.5.2磋商小组将按照下述评分标准对通过符合性审查的响应文件进行详细评审，供应商评审得分等于所有评委评分的算术平均值，结果保留两位小数。</w:t>
      </w:r>
    </w:p>
    <w:p w14:paraId="2112EE68">
      <w:pPr>
        <w:pStyle w:val="12"/>
        <w:tabs>
          <w:tab w:val="left" w:pos="600"/>
        </w:tabs>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评审因素权重表</w:t>
      </w:r>
    </w:p>
    <w:tbl>
      <w:tblPr>
        <w:tblStyle w:val="32"/>
        <w:tblW w:w="5444" w:type="pct"/>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1457"/>
        <w:gridCol w:w="2373"/>
        <w:gridCol w:w="2705"/>
      </w:tblGrid>
      <w:tr w14:paraId="2CAB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78" w:type="pct"/>
            <w:tcBorders>
              <w:top w:val="single" w:color="auto" w:sz="4" w:space="0"/>
              <w:left w:val="single" w:color="auto" w:sz="4" w:space="0"/>
              <w:bottom w:val="single" w:color="auto" w:sz="4" w:space="0"/>
              <w:right w:val="single" w:color="auto" w:sz="4" w:space="0"/>
            </w:tcBorders>
            <w:vAlign w:val="center"/>
          </w:tcPr>
          <w:p w14:paraId="1BFF2FE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5" w:type="pct"/>
            <w:tcBorders>
              <w:top w:val="single" w:color="auto" w:sz="4" w:space="0"/>
              <w:left w:val="single" w:color="auto" w:sz="4" w:space="0"/>
              <w:bottom w:val="single" w:color="auto" w:sz="4" w:space="0"/>
              <w:right w:val="single" w:color="auto" w:sz="4" w:space="0"/>
            </w:tcBorders>
            <w:vAlign w:val="center"/>
          </w:tcPr>
          <w:p w14:paraId="08DD1A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78" w:type="pct"/>
            <w:tcBorders>
              <w:top w:val="single" w:color="auto" w:sz="4" w:space="0"/>
              <w:left w:val="single" w:color="auto" w:sz="4" w:space="0"/>
              <w:bottom w:val="single" w:color="auto" w:sz="4" w:space="0"/>
              <w:right w:val="single" w:color="auto" w:sz="4" w:space="0"/>
            </w:tcBorders>
            <w:vAlign w:val="center"/>
          </w:tcPr>
          <w:p w14:paraId="5432F4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57" w:type="pct"/>
            <w:tcBorders>
              <w:top w:val="single" w:color="auto" w:sz="4" w:space="0"/>
              <w:left w:val="single" w:color="auto" w:sz="4" w:space="0"/>
              <w:bottom w:val="single" w:color="auto" w:sz="4" w:space="0"/>
              <w:right w:val="single" w:color="auto" w:sz="4" w:space="0"/>
            </w:tcBorders>
            <w:vAlign w:val="center"/>
          </w:tcPr>
          <w:p w14:paraId="4D7D6E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766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8" w:type="pct"/>
            <w:tcBorders>
              <w:top w:val="single" w:color="auto" w:sz="4" w:space="0"/>
              <w:left w:val="single" w:color="auto" w:sz="4" w:space="0"/>
              <w:bottom w:val="single" w:color="auto" w:sz="4" w:space="0"/>
              <w:right w:val="single" w:color="auto" w:sz="4" w:space="0"/>
            </w:tcBorders>
            <w:vAlign w:val="center"/>
          </w:tcPr>
          <w:p w14:paraId="3B58AE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785" w:type="pct"/>
            <w:tcBorders>
              <w:top w:val="single" w:color="auto" w:sz="4" w:space="0"/>
              <w:left w:val="single" w:color="auto" w:sz="4" w:space="0"/>
              <w:bottom w:val="single" w:color="auto" w:sz="4" w:space="0"/>
              <w:right w:val="single" w:color="auto" w:sz="4" w:space="0"/>
            </w:tcBorders>
            <w:vAlign w:val="center"/>
          </w:tcPr>
          <w:p w14:paraId="55A786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1278" w:type="pct"/>
            <w:tcBorders>
              <w:top w:val="single" w:color="auto" w:sz="4" w:space="0"/>
              <w:left w:val="single" w:color="auto" w:sz="4" w:space="0"/>
              <w:bottom w:val="single" w:color="auto" w:sz="4" w:space="0"/>
              <w:right w:val="single" w:color="auto" w:sz="4" w:space="0"/>
            </w:tcBorders>
            <w:vAlign w:val="center"/>
          </w:tcPr>
          <w:p w14:paraId="46DEDE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商务、技术部分</w:t>
            </w:r>
          </w:p>
        </w:tc>
        <w:tc>
          <w:tcPr>
            <w:tcW w:w="1457" w:type="pct"/>
            <w:tcBorders>
              <w:top w:val="single" w:color="auto" w:sz="4" w:space="0"/>
              <w:left w:val="single" w:color="auto" w:sz="4" w:space="0"/>
              <w:bottom w:val="single" w:color="auto" w:sz="4" w:space="0"/>
              <w:right w:val="single" w:color="auto" w:sz="4" w:space="0"/>
            </w:tcBorders>
            <w:vAlign w:val="center"/>
          </w:tcPr>
          <w:p w14:paraId="69A920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r>
      <w:tr w14:paraId="4D3A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78" w:type="pct"/>
            <w:tcBorders>
              <w:top w:val="single" w:color="auto" w:sz="4" w:space="0"/>
              <w:left w:val="single" w:color="auto" w:sz="4" w:space="0"/>
              <w:bottom w:val="single" w:color="auto" w:sz="4" w:space="0"/>
              <w:right w:val="single" w:color="auto" w:sz="4" w:space="0"/>
            </w:tcBorders>
            <w:vAlign w:val="center"/>
          </w:tcPr>
          <w:p w14:paraId="1DBCF7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785" w:type="pct"/>
            <w:tcBorders>
              <w:top w:val="single" w:color="auto" w:sz="4" w:space="0"/>
              <w:left w:val="single" w:color="auto" w:sz="4" w:space="0"/>
              <w:bottom w:val="single" w:color="auto" w:sz="4" w:space="0"/>
              <w:right w:val="single" w:color="auto" w:sz="4" w:space="0"/>
            </w:tcBorders>
            <w:vAlign w:val="center"/>
          </w:tcPr>
          <w:p w14:paraId="3D03139B">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w:t>
            </w:r>
          </w:p>
        </w:tc>
        <w:tc>
          <w:tcPr>
            <w:tcW w:w="1278" w:type="pct"/>
            <w:tcBorders>
              <w:top w:val="single" w:color="auto" w:sz="4" w:space="0"/>
              <w:left w:val="single" w:color="auto" w:sz="4" w:space="0"/>
              <w:bottom w:val="single" w:color="auto" w:sz="4" w:space="0"/>
              <w:right w:val="single" w:color="auto" w:sz="4" w:space="0"/>
            </w:tcBorders>
            <w:vAlign w:val="center"/>
          </w:tcPr>
          <w:p w14:paraId="080AE23F">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0%</w:t>
            </w:r>
          </w:p>
        </w:tc>
        <w:tc>
          <w:tcPr>
            <w:tcW w:w="1457" w:type="pct"/>
            <w:tcBorders>
              <w:top w:val="single" w:color="auto" w:sz="4" w:space="0"/>
              <w:left w:val="single" w:color="auto" w:sz="4" w:space="0"/>
              <w:bottom w:val="single" w:color="auto" w:sz="4" w:space="0"/>
              <w:right w:val="single" w:color="auto" w:sz="4" w:space="0"/>
            </w:tcBorders>
            <w:vAlign w:val="center"/>
          </w:tcPr>
          <w:p w14:paraId="0778B70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bl>
    <w:p w14:paraId="0753DD35">
      <w:pPr>
        <w:spacing w:line="240" w:lineRule="auto"/>
        <w:ind w:firstLine="0" w:firstLineChars="0"/>
        <w:jc w:val="left"/>
        <w:rPr>
          <w:rFonts w:hint="eastAsia" w:ascii="宋体" w:hAnsi="宋体" w:eastAsia="宋体" w:cs="宋体"/>
          <w:color w:val="auto"/>
          <w:sz w:val="24"/>
          <w:szCs w:val="22"/>
          <w:highlight w:val="none"/>
          <w:lang w:bidi="zh-CN"/>
        </w:rPr>
      </w:pPr>
      <w:r>
        <w:rPr>
          <w:rFonts w:hint="eastAsia" w:ascii="宋体" w:hAnsi="宋体" w:eastAsia="宋体" w:cs="宋体"/>
          <w:color w:val="auto"/>
          <w:sz w:val="24"/>
          <w:szCs w:val="22"/>
          <w:highlight w:val="none"/>
          <w:lang w:bidi="zh-CN"/>
        </w:rPr>
        <w:br w:type="page"/>
      </w:r>
    </w:p>
    <w:p w14:paraId="4B736E26">
      <w:pPr>
        <w:spacing w:line="360" w:lineRule="auto"/>
        <w:ind w:firstLine="3373" w:firstLineChars="1400"/>
        <w:jc w:val="both"/>
        <w:rPr>
          <w:rFonts w:hint="eastAsia" w:ascii="宋体" w:hAnsi="宋体" w:eastAsia="宋体" w:cs="宋体"/>
          <w:color w:val="auto"/>
          <w:sz w:val="24"/>
          <w:szCs w:val="22"/>
          <w:highlight w:val="none"/>
          <w:lang w:bidi="zh-CN"/>
        </w:rPr>
      </w:pPr>
      <w:r>
        <w:rPr>
          <w:rFonts w:hint="eastAsia" w:ascii="宋体" w:hAnsi="宋体" w:eastAsia="宋体" w:cs="宋体"/>
          <w:b/>
          <w:bCs/>
          <w:color w:val="auto"/>
          <w:sz w:val="24"/>
          <w:szCs w:val="22"/>
          <w:highlight w:val="none"/>
          <w:lang w:bidi="zh-CN"/>
        </w:rPr>
        <w:t>商务、技术部分（</w:t>
      </w:r>
      <w:r>
        <w:rPr>
          <w:rFonts w:hint="eastAsia" w:ascii="宋体" w:hAnsi="宋体" w:cs="宋体"/>
          <w:b/>
          <w:bCs/>
          <w:color w:val="auto"/>
          <w:sz w:val="24"/>
          <w:szCs w:val="22"/>
          <w:highlight w:val="none"/>
          <w:lang w:val="en-US" w:bidi="zh-CN"/>
        </w:rPr>
        <w:t>9</w:t>
      </w:r>
      <w:r>
        <w:rPr>
          <w:rFonts w:hint="eastAsia" w:ascii="宋体" w:hAnsi="宋体" w:eastAsia="宋体" w:cs="宋体"/>
          <w:b/>
          <w:bCs/>
          <w:color w:val="auto"/>
          <w:sz w:val="24"/>
          <w:szCs w:val="22"/>
          <w:highlight w:val="none"/>
          <w:lang w:val="en-US" w:bidi="zh-CN"/>
        </w:rPr>
        <w:t>0</w:t>
      </w:r>
      <w:r>
        <w:rPr>
          <w:rFonts w:hint="eastAsia" w:ascii="宋体" w:hAnsi="宋体" w:eastAsia="宋体" w:cs="宋体"/>
          <w:b/>
          <w:bCs/>
          <w:color w:val="auto"/>
          <w:sz w:val="24"/>
          <w:szCs w:val="22"/>
          <w:highlight w:val="none"/>
          <w:lang w:bidi="zh-CN"/>
        </w:rPr>
        <w:t>分）</w:t>
      </w:r>
    </w:p>
    <w:tbl>
      <w:tblPr>
        <w:tblStyle w:val="32"/>
        <w:tblW w:w="92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1153"/>
        <w:gridCol w:w="821"/>
        <w:gridCol w:w="6591"/>
      </w:tblGrid>
      <w:tr w14:paraId="28E76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845" w:type="dxa"/>
            <w:gridSpan w:val="2"/>
            <w:tcBorders>
              <w:top w:val="single" w:color="auto" w:sz="4" w:space="0"/>
              <w:left w:val="single" w:color="auto" w:sz="4" w:space="0"/>
              <w:bottom w:val="single" w:color="auto" w:sz="4" w:space="0"/>
              <w:right w:val="single" w:color="auto" w:sz="4" w:space="0"/>
            </w:tcBorders>
            <w:vAlign w:val="center"/>
          </w:tcPr>
          <w:p w14:paraId="3588C528">
            <w:pPr>
              <w:bidi w:val="0"/>
              <w:spacing w:line="312" w:lineRule="auto"/>
              <w:jc w:val="center"/>
              <w:rPr>
                <w:rFonts w:hint="eastAsia" w:ascii="宋体" w:hAnsi="宋体" w:cs="宋体"/>
                <w:color w:val="auto"/>
                <w:sz w:val="24"/>
                <w:szCs w:val="24"/>
                <w:highlight w:val="none"/>
              </w:rPr>
            </w:pPr>
            <w:bookmarkStart w:id="178" w:name="OLE_LINK2"/>
            <w:r>
              <w:rPr>
                <w:rFonts w:hint="eastAsia" w:ascii="宋体" w:hAnsi="宋体" w:cs="宋体"/>
                <w:color w:val="auto"/>
                <w:sz w:val="24"/>
                <w:szCs w:val="24"/>
                <w:highlight w:val="none"/>
              </w:rPr>
              <w:t>名称</w:t>
            </w:r>
          </w:p>
        </w:tc>
        <w:tc>
          <w:tcPr>
            <w:tcW w:w="821" w:type="dxa"/>
            <w:tcBorders>
              <w:top w:val="single" w:color="auto" w:sz="4" w:space="0"/>
              <w:left w:val="single" w:color="auto" w:sz="4" w:space="0"/>
              <w:bottom w:val="single" w:color="auto" w:sz="4" w:space="0"/>
              <w:right w:val="single" w:color="auto" w:sz="4" w:space="0"/>
            </w:tcBorders>
            <w:vAlign w:val="center"/>
          </w:tcPr>
          <w:p w14:paraId="07BC576A">
            <w:pPr>
              <w:bidi w:val="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分值</w:t>
            </w:r>
          </w:p>
        </w:tc>
        <w:tc>
          <w:tcPr>
            <w:tcW w:w="6591" w:type="dxa"/>
            <w:tcBorders>
              <w:top w:val="single" w:color="auto" w:sz="4" w:space="0"/>
              <w:left w:val="single" w:color="auto" w:sz="4" w:space="0"/>
              <w:bottom w:val="single" w:color="auto" w:sz="4" w:space="0"/>
              <w:right w:val="single" w:color="auto" w:sz="4" w:space="0"/>
            </w:tcBorders>
            <w:vAlign w:val="center"/>
          </w:tcPr>
          <w:p w14:paraId="3C848407">
            <w:pPr>
              <w:bidi w:val="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r>
      <w:tr w14:paraId="2C8C0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vMerge w:val="restart"/>
            <w:tcBorders>
              <w:top w:val="single" w:color="auto" w:sz="4" w:space="0"/>
              <w:left w:val="single" w:color="auto" w:sz="4" w:space="0"/>
              <w:right w:val="single" w:color="auto" w:sz="4" w:space="0"/>
            </w:tcBorders>
            <w:vAlign w:val="center"/>
          </w:tcPr>
          <w:p w14:paraId="71079DA8">
            <w:pPr>
              <w:bidi w:val="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153" w:type="dxa"/>
            <w:tcBorders>
              <w:top w:val="single" w:color="auto" w:sz="4" w:space="0"/>
              <w:left w:val="single" w:color="auto" w:sz="4" w:space="0"/>
              <w:bottom w:val="single" w:color="auto" w:sz="4" w:space="0"/>
              <w:right w:val="single" w:color="auto" w:sz="4" w:space="0"/>
            </w:tcBorders>
            <w:vAlign w:val="center"/>
          </w:tcPr>
          <w:p w14:paraId="4DDA53E4">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企业业绩</w:t>
            </w:r>
          </w:p>
        </w:tc>
        <w:tc>
          <w:tcPr>
            <w:tcW w:w="821" w:type="dxa"/>
            <w:tcBorders>
              <w:top w:val="single" w:color="auto" w:sz="4" w:space="0"/>
              <w:left w:val="single" w:color="auto" w:sz="4" w:space="0"/>
              <w:bottom w:val="single" w:color="auto" w:sz="4" w:space="0"/>
              <w:right w:val="single" w:color="auto" w:sz="4" w:space="0"/>
            </w:tcBorders>
            <w:vAlign w:val="center"/>
          </w:tcPr>
          <w:p w14:paraId="4CAD4EC5">
            <w:pPr>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14:paraId="4899BB5E">
            <w:pPr>
              <w:spacing w:line="312" w:lineRule="auto"/>
              <w:jc w:val="left"/>
              <w:rPr>
                <w:rFonts w:hint="eastAsia" w:ascii="宋体" w:hAnsi="宋体" w:eastAsia="宋体" w:cs="宋体"/>
                <w:color w:val="auto"/>
                <w:kern w:val="0"/>
                <w:sz w:val="24"/>
                <w:szCs w:val="24"/>
                <w:highlight w:val="none"/>
                <w:shd w:val="clear" w:color="auto" w:fill="FFFFFF" w:themeFill="background1"/>
                <w:lang w:val="en-US" w:eastAsia="zh-CN"/>
              </w:rPr>
            </w:pPr>
            <w:r>
              <w:rPr>
                <w:rFonts w:hint="eastAsia" w:ascii="宋体" w:hAnsi="宋体" w:eastAsia="宋体" w:cs="宋体"/>
                <w:color w:val="auto"/>
                <w:sz w:val="24"/>
                <w:szCs w:val="24"/>
                <w:highlight w:val="none"/>
                <w:shd w:val="clear" w:color="auto" w:fill="FFFFFF" w:themeFill="background1"/>
                <w:lang w:val="en-US" w:eastAsia="zh-CN"/>
              </w:rPr>
              <w:t>供应商近三年（</w:t>
            </w:r>
            <w:r>
              <w:rPr>
                <w:rFonts w:hint="eastAsia" w:ascii="宋体" w:hAnsi="宋体" w:cs="宋体"/>
                <w:color w:val="auto"/>
                <w:sz w:val="24"/>
                <w:szCs w:val="24"/>
                <w:highlight w:val="none"/>
                <w:shd w:val="clear" w:color="auto" w:fill="FFFFFF" w:themeFill="background1"/>
                <w:lang w:val="en-US" w:eastAsia="zh-CN"/>
              </w:rPr>
              <w:t>2022年</w:t>
            </w:r>
            <w:r>
              <w:rPr>
                <w:rFonts w:hint="eastAsia" w:ascii="宋体" w:hAnsi="宋体" w:eastAsia="宋体" w:cs="宋体"/>
                <w:color w:val="auto"/>
                <w:sz w:val="24"/>
                <w:szCs w:val="24"/>
                <w:highlight w:val="none"/>
                <w:shd w:val="clear" w:color="auto" w:fill="FFFFFF" w:themeFill="background1"/>
                <w:lang w:val="en-US" w:eastAsia="zh-CN"/>
              </w:rPr>
              <w:t>01月01日-至今，业绩认定日期以服务合同签订日期为准）</w:t>
            </w:r>
            <w:r>
              <w:rPr>
                <w:rFonts w:hint="eastAsia" w:ascii="宋体" w:hAnsi="宋体" w:eastAsia="宋体" w:cs="宋体"/>
                <w:color w:val="auto"/>
                <w:kern w:val="0"/>
                <w:sz w:val="24"/>
                <w:szCs w:val="24"/>
                <w:highlight w:val="none"/>
                <w:shd w:val="clear" w:color="auto" w:fill="FFFFFF" w:themeFill="background1"/>
              </w:rPr>
              <w:t>承担过类似</w:t>
            </w:r>
            <w:r>
              <w:rPr>
                <w:rFonts w:hint="eastAsia" w:ascii="宋体" w:hAnsi="宋体" w:eastAsia="宋体" w:cs="宋体"/>
                <w:color w:val="auto"/>
                <w:kern w:val="0"/>
                <w:sz w:val="24"/>
                <w:szCs w:val="24"/>
                <w:highlight w:val="none"/>
                <w:shd w:val="clear" w:color="auto" w:fill="FFFFFF" w:themeFill="background1"/>
                <w:lang w:val="en-US" w:eastAsia="zh-CN"/>
              </w:rPr>
              <w:t>造价咨询服务项目业绩，每提供1项类似业绩得</w:t>
            </w:r>
            <w:r>
              <w:rPr>
                <w:rFonts w:hint="eastAsia" w:ascii="宋体" w:hAnsi="宋体" w:cs="宋体"/>
                <w:color w:val="auto"/>
                <w:kern w:val="0"/>
                <w:sz w:val="24"/>
                <w:szCs w:val="24"/>
                <w:highlight w:val="none"/>
                <w:shd w:val="clear" w:color="auto" w:fill="FFFFFF" w:themeFill="background1"/>
                <w:lang w:val="en-US" w:eastAsia="zh-CN"/>
              </w:rPr>
              <w:t>5</w:t>
            </w:r>
            <w:r>
              <w:rPr>
                <w:rFonts w:hint="eastAsia" w:ascii="宋体" w:hAnsi="宋体" w:eastAsia="宋体" w:cs="宋体"/>
                <w:color w:val="auto"/>
                <w:kern w:val="0"/>
                <w:sz w:val="24"/>
                <w:szCs w:val="24"/>
                <w:highlight w:val="none"/>
                <w:shd w:val="clear" w:color="auto" w:fill="FFFFFF" w:themeFill="background1"/>
                <w:lang w:val="en-US" w:eastAsia="zh-CN"/>
              </w:rPr>
              <w:t>分，满分</w:t>
            </w:r>
            <w:r>
              <w:rPr>
                <w:rFonts w:hint="eastAsia" w:ascii="宋体" w:hAnsi="宋体" w:cs="宋体"/>
                <w:color w:val="auto"/>
                <w:kern w:val="0"/>
                <w:sz w:val="24"/>
                <w:szCs w:val="24"/>
                <w:highlight w:val="none"/>
                <w:shd w:val="clear" w:color="auto" w:fill="FFFFFF" w:themeFill="background1"/>
                <w:lang w:val="en-US" w:eastAsia="zh-CN"/>
              </w:rPr>
              <w:t>20</w:t>
            </w:r>
            <w:r>
              <w:rPr>
                <w:rFonts w:hint="eastAsia" w:ascii="宋体" w:hAnsi="宋体" w:eastAsia="宋体" w:cs="宋体"/>
                <w:color w:val="auto"/>
                <w:kern w:val="0"/>
                <w:sz w:val="24"/>
                <w:szCs w:val="24"/>
                <w:highlight w:val="none"/>
                <w:shd w:val="clear" w:color="auto" w:fill="FFFFFF" w:themeFill="background1"/>
                <w:lang w:val="en-US" w:eastAsia="zh-CN"/>
              </w:rPr>
              <w:t>分；</w:t>
            </w:r>
          </w:p>
          <w:p w14:paraId="51206B73">
            <w:pPr>
              <w:spacing w:line="312" w:lineRule="auto"/>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themeFill="background1"/>
                <w:lang w:val="en-US" w:eastAsia="zh-CN"/>
              </w:rPr>
              <w:t>【</w:t>
            </w:r>
            <w:r>
              <w:rPr>
                <w:rFonts w:hint="eastAsia" w:ascii="宋体" w:hAnsi="宋体" w:eastAsia="宋体" w:cs="宋体"/>
                <w:color w:val="auto"/>
                <w:kern w:val="0"/>
                <w:sz w:val="24"/>
                <w:szCs w:val="24"/>
                <w:highlight w:val="none"/>
                <w:shd w:val="clear" w:color="auto" w:fill="FFFFFF" w:themeFill="background1"/>
              </w:rPr>
              <w:t>须提供</w:t>
            </w:r>
            <w:r>
              <w:rPr>
                <w:rFonts w:hint="eastAsia" w:ascii="宋体" w:hAnsi="宋体" w:eastAsia="宋体" w:cs="宋体"/>
                <w:color w:val="auto"/>
                <w:kern w:val="0"/>
                <w:sz w:val="24"/>
                <w:szCs w:val="24"/>
                <w:highlight w:val="none"/>
                <w:shd w:val="clear" w:color="auto" w:fill="FFFFFF" w:themeFill="background1"/>
                <w:lang w:val="en-US" w:eastAsia="zh-CN"/>
              </w:rPr>
              <w:t>类似项目业绩的</w:t>
            </w:r>
            <w:r>
              <w:rPr>
                <w:rFonts w:hint="eastAsia" w:ascii="宋体" w:hAnsi="宋体" w:eastAsia="宋体" w:cs="宋体"/>
                <w:color w:val="auto"/>
                <w:kern w:val="0"/>
                <w:sz w:val="24"/>
                <w:szCs w:val="24"/>
                <w:highlight w:val="none"/>
                <w:shd w:val="clear" w:color="auto" w:fill="FFFFFF" w:themeFill="background1"/>
              </w:rPr>
              <w:t>中标通知书</w:t>
            </w:r>
            <w:r>
              <w:rPr>
                <w:rFonts w:hint="eastAsia" w:ascii="宋体" w:hAnsi="宋体" w:cs="宋体"/>
                <w:color w:val="auto"/>
                <w:kern w:val="0"/>
                <w:sz w:val="24"/>
                <w:szCs w:val="24"/>
                <w:highlight w:val="none"/>
                <w:shd w:val="clear" w:color="auto" w:fill="FFFFFF" w:themeFill="background1"/>
                <w:lang w:val="en-US" w:eastAsia="zh-CN"/>
              </w:rPr>
              <w:t>或</w:t>
            </w:r>
            <w:r>
              <w:rPr>
                <w:rFonts w:hint="eastAsia" w:ascii="宋体" w:hAnsi="宋体" w:eastAsia="宋体" w:cs="宋体"/>
                <w:color w:val="auto"/>
                <w:kern w:val="0"/>
                <w:sz w:val="24"/>
                <w:szCs w:val="24"/>
                <w:highlight w:val="none"/>
                <w:shd w:val="clear" w:color="auto" w:fill="FFFFFF" w:themeFill="background1"/>
              </w:rPr>
              <w:t>合同（合同至少包括合同首页、关键页、签订时间、双方签章页等）</w:t>
            </w:r>
            <w:r>
              <w:rPr>
                <w:rFonts w:hint="eastAsia" w:ascii="宋体" w:hAnsi="宋体" w:eastAsia="宋体" w:cs="宋体"/>
                <w:color w:val="auto"/>
                <w:kern w:val="0"/>
                <w:sz w:val="24"/>
                <w:szCs w:val="24"/>
                <w:highlight w:val="none"/>
                <w:shd w:val="clear" w:color="auto" w:fill="FFFFFF" w:themeFill="background1"/>
                <w:lang w:val="en-US" w:eastAsia="zh-CN"/>
              </w:rPr>
              <w:t>】</w:t>
            </w:r>
          </w:p>
        </w:tc>
      </w:tr>
      <w:tr w14:paraId="084E5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vMerge w:val="continue"/>
            <w:tcBorders>
              <w:left w:val="single" w:color="auto" w:sz="4" w:space="0"/>
              <w:bottom w:val="single" w:color="auto" w:sz="4" w:space="0"/>
              <w:right w:val="single" w:color="auto" w:sz="4" w:space="0"/>
            </w:tcBorders>
            <w:vAlign w:val="center"/>
          </w:tcPr>
          <w:p w14:paraId="4E7EC4C1">
            <w:pPr>
              <w:bidi w:val="0"/>
              <w:spacing w:line="312" w:lineRule="auto"/>
              <w:jc w:val="center"/>
              <w:rPr>
                <w:rFonts w:hint="eastAsia" w:ascii="宋体" w:hAnsi="宋体" w:cs="宋体"/>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1A98B55">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821" w:type="dxa"/>
            <w:tcBorders>
              <w:top w:val="single" w:color="auto" w:sz="4" w:space="0"/>
              <w:left w:val="single" w:color="auto" w:sz="4" w:space="0"/>
              <w:bottom w:val="single" w:color="auto" w:sz="4" w:space="0"/>
              <w:right w:val="single" w:color="auto" w:sz="4" w:space="0"/>
            </w:tcBorders>
            <w:vAlign w:val="center"/>
          </w:tcPr>
          <w:p w14:paraId="55FDF147">
            <w:pPr>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24分</w:t>
            </w:r>
          </w:p>
        </w:tc>
        <w:tc>
          <w:tcPr>
            <w:tcW w:w="6591" w:type="dxa"/>
            <w:tcBorders>
              <w:top w:val="single" w:color="auto" w:sz="4" w:space="0"/>
              <w:left w:val="single" w:color="auto" w:sz="4" w:space="0"/>
              <w:bottom w:val="single" w:color="auto" w:sz="4" w:space="0"/>
              <w:right w:val="single" w:color="auto" w:sz="4" w:space="0"/>
            </w:tcBorders>
            <w:vAlign w:val="center"/>
          </w:tcPr>
          <w:p w14:paraId="13E0363D">
            <w:pPr>
              <w:widowControl/>
              <w:spacing w:line="312" w:lineRule="auto"/>
              <w:jc w:val="left"/>
              <w:rPr>
                <w:rFonts w:hint="eastAsia" w:ascii="宋体" w:hAnsi="宋体" w:eastAsia="宋体" w:cs="宋体"/>
                <w:color w:val="auto"/>
                <w:kern w:val="0"/>
                <w:sz w:val="24"/>
                <w:szCs w:val="24"/>
                <w:highlight w:val="none"/>
                <w:shd w:val="clear" w:color="auto" w:fill="FFFFFF" w:themeFill="background1"/>
              </w:rPr>
            </w:pPr>
            <w:r>
              <w:rPr>
                <w:rFonts w:hint="eastAsia" w:ascii="宋体" w:hAnsi="宋体" w:eastAsia="宋体" w:cs="宋体"/>
                <w:color w:val="auto"/>
                <w:kern w:val="0"/>
                <w:sz w:val="24"/>
                <w:szCs w:val="24"/>
                <w:highlight w:val="none"/>
                <w:shd w:val="clear" w:color="auto" w:fill="FFFFFF" w:themeFill="background1"/>
                <w:lang w:val="en-US" w:eastAsia="zh-CN"/>
              </w:rPr>
              <w:t>1.</w:t>
            </w:r>
            <w:r>
              <w:rPr>
                <w:rFonts w:hint="eastAsia" w:ascii="宋体" w:hAnsi="宋体" w:eastAsia="宋体" w:cs="宋体"/>
                <w:color w:val="auto"/>
                <w:kern w:val="0"/>
                <w:sz w:val="24"/>
                <w:szCs w:val="24"/>
                <w:highlight w:val="none"/>
                <w:shd w:val="clear" w:color="auto" w:fill="FFFFFF" w:themeFill="background1"/>
              </w:rPr>
              <w:t>拟投入项目的项目负责人具有相关专业高级职称得</w:t>
            </w:r>
            <w:r>
              <w:rPr>
                <w:rFonts w:hint="eastAsia" w:ascii="宋体" w:hAnsi="宋体" w:cs="宋体"/>
                <w:color w:val="auto"/>
                <w:kern w:val="0"/>
                <w:sz w:val="24"/>
                <w:szCs w:val="24"/>
                <w:highlight w:val="none"/>
                <w:shd w:val="clear" w:color="auto" w:fill="FFFFFF" w:themeFill="background1"/>
                <w:lang w:val="en-US" w:eastAsia="zh-CN"/>
              </w:rPr>
              <w:t>4</w:t>
            </w:r>
            <w:r>
              <w:rPr>
                <w:rFonts w:hint="eastAsia" w:ascii="宋体" w:hAnsi="宋体" w:eastAsia="宋体" w:cs="宋体"/>
                <w:color w:val="auto"/>
                <w:kern w:val="0"/>
                <w:sz w:val="24"/>
                <w:szCs w:val="24"/>
                <w:highlight w:val="none"/>
                <w:shd w:val="clear" w:color="auto" w:fill="FFFFFF" w:themeFill="background1"/>
              </w:rPr>
              <w:t>分，具有相关专业中级职称得</w:t>
            </w:r>
            <w:r>
              <w:rPr>
                <w:rFonts w:hint="eastAsia" w:ascii="宋体" w:hAnsi="宋体" w:eastAsia="宋体" w:cs="宋体"/>
                <w:color w:val="auto"/>
                <w:kern w:val="0"/>
                <w:sz w:val="24"/>
                <w:szCs w:val="24"/>
                <w:highlight w:val="none"/>
                <w:shd w:val="clear" w:color="auto" w:fill="FFFFFF" w:themeFill="background1"/>
                <w:lang w:val="en-US" w:eastAsia="zh-CN"/>
              </w:rPr>
              <w:t>2</w:t>
            </w:r>
            <w:r>
              <w:rPr>
                <w:rFonts w:hint="eastAsia" w:ascii="宋体" w:hAnsi="宋体" w:eastAsia="宋体" w:cs="宋体"/>
                <w:color w:val="auto"/>
                <w:kern w:val="0"/>
                <w:sz w:val="24"/>
                <w:szCs w:val="24"/>
                <w:highlight w:val="none"/>
                <w:shd w:val="clear" w:color="auto" w:fill="FFFFFF" w:themeFill="background1"/>
              </w:rPr>
              <w:t>分，未提供不得分。</w:t>
            </w:r>
          </w:p>
          <w:p w14:paraId="5D2231DD">
            <w:pPr>
              <w:spacing w:line="312" w:lineRule="auto"/>
              <w:rPr>
                <w:rFonts w:hint="eastAsia" w:ascii="宋体" w:hAnsi="宋体" w:eastAsia="宋体" w:cs="宋体"/>
                <w:color w:val="auto"/>
                <w:kern w:val="0"/>
                <w:sz w:val="24"/>
                <w:szCs w:val="24"/>
                <w:highlight w:val="none"/>
                <w:shd w:val="clear" w:color="auto" w:fill="FFFFFF" w:themeFill="background1"/>
                <w:lang w:val="en-US" w:eastAsia="zh-CN" w:bidi="ar-SA"/>
              </w:rPr>
            </w:pPr>
            <w:r>
              <w:rPr>
                <w:rFonts w:hint="eastAsia" w:ascii="宋体" w:hAnsi="宋体" w:eastAsia="宋体" w:cs="宋体"/>
                <w:color w:val="auto"/>
                <w:kern w:val="0"/>
                <w:sz w:val="24"/>
                <w:szCs w:val="24"/>
                <w:highlight w:val="none"/>
                <w:shd w:val="clear" w:color="auto" w:fill="FFFFFF" w:themeFill="background1"/>
                <w:lang w:val="en-US" w:eastAsia="zh-CN" w:bidi="ar-SA"/>
              </w:rPr>
              <w:t>【须提供项目负责人身份证、劳动合同、相关职业或执业或职称证书等证明材料，证明材料不全酌情扣分，未提供不得分。】</w:t>
            </w:r>
          </w:p>
          <w:p w14:paraId="1B6A3089">
            <w:pPr>
              <w:numPr>
                <w:ilvl w:val="0"/>
                <w:numId w:val="0"/>
              </w:numPr>
              <w:spacing w:line="312" w:lineRule="auto"/>
              <w:rPr>
                <w:rFonts w:hint="eastAsia" w:ascii="宋体" w:hAnsi="宋体" w:eastAsia="宋体" w:cs="宋体"/>
                <w:color w:val="auto"/>
                <w:kern w:val="0"/>
                <w:sz w:val="24"/>
                <w:szCs w:val="24"/>
                <w:highlight w:val="none"/>
                <w:shd w:val="clear" w:color="auto" w:fill="FFFFFF" w:themeFill="background1"/>
                <w:lang w:val="en-US" w:eastAsia="zh-CN" w:bidi="ar-SA"/>
              </w:rPr>
            </w:pPr>
            <w:r>
              <w:rPr>
                <w:rFonts w:hint="eastAsia" w:ascii="宋体" w:hAnsi="宋体" w:eastAsia="宋体" w:cs="宋体"/>
                <w:color w:val="auto"/>
                <w:kern w:val="0"/>
                <w:sz w:val="24"/>
                <w:szCs w:val="24"/>
                <w:highlight w:val="none"/>
                <w:shd w:val="clear" w:fill="FFFFFF" w:themeFill="background1"/>
                <w:lang w:val="en-US" w:eastAsia="zh-CN" w:bidi="ar-SA"/>
              </w:rPr>
              <w:t>2.</w:t>
            </w:r>
            <w:r>
              <w:rPr>
                <w:rFonts w:hint="eastAsia" w:ascii="宋体" w:hAnsi="宋体" w:eastAsia="宋体" w:cs="宋体"/>
                <w:color w:val="auto"/>
                <w:kern w:val="0"/>
                <w:sz w:val="24"/>
                <w:szCs w:val="24"/>
                <w:highlight w:val="none"/>
                <w:shd w:val="clear" w:color="auto" w:fill="FFFFFF" w:themeFill="background1"/>
                <w:lang w:val="en-US" w:eastAsia="zh-CN" w:bidi="ar-SA"/>
              </w:rPr>
              <w:t>拟派项目负责人提供近三年（</w:t>
            </w:r>
            <w:r>
              <w:rPr>
                <w:rFonts w:hint="eastAsia" w:ascii="宋体" w:hAnsi="宋体" w:cs="宋体"/>
                <w:color w:val="auto"/>
                <w:sz w:val="24"/>
                <w:szCs w:val="24"/>
                <w:highlight w:val="none"/>
                <w:shd w:val="clear" w:color="auto" w:fill="FFFFFF" w:themeFill="background1"/>
                <w:lang w:val="en-US" w:eastAsia="zh-CN"/>
              </w:rPr>
              <w:t>2022年</w:t>
            </w:r>
            <w:r>
              <w:rPr>
                <w:rFonts w:hint="eastAsia" w:ascii="宋体" w:hAnsi="宋体" w:eastAsia="宋体" w:cs="宋体"/>
                <w:color w:val="auto"/>
                <w:sz w:val="24"/>
                <w:szCs w:val="24"/>
                <w:highlight w:val="none"/>
                <w:shd w:val="clear" w:color="auto" w:fill="FFFFFF" w:themeFill="background1"/>
                <w:lang w:val="en-US" w:eastAsia="zh-CN"/>
              </w:rPr>
              <w:t>01月01日-至今，业绩认定日期以服务合同签订日期为准</w:t>
            </w:r>
            <w:r>
              <w:rPr>
                <w:rFonts w:hint="eastAsia" w:ascii="宋体" w:hAnsi="宋体" w:eastAsia="宋体" w:cs="宋体"/>
                <w:color w:val="auto"/>
                <w:kern w:val="0"/>
                <w:sz w:val="24"/>
                <w:szCs w:val="24"/>
                <w:highlight w:val="none"/>
                <w:shd w:val="clear" w:color="auto" w:fill="FFFFFF" w:themeFill="background1"/>
                <w:lang w:val="en-US" w:eastAsia="zh-CN" w:bidi="ar-SA"/>
              </w:rPr>
              <w:t xml:space="preserve">)类似项目造价咨询服务业绩，每提供一项得 </w:t>
            </w:r>
            <w:r>
              <w:rPr>
                <w:rFonts w:hint="eastAsia" w:ascii="宋体" w:hAnsi="宋体" w:cs="宋体"/>
                <w:color w:val="auto"/>
                <w:kern w:val="0"/>
                <w:sz w:val="24"/>
                <w:szCs w:val="24"/>
                <w:highlight w:val="none"/>
                <w:shd w:val="clear" w:color="auto" w:fill="FFFFFF" w:themeFill="background1"/>
                <w:lang w:val="en-US" w:eastAsia="zh-CN" w:bidi="ar-SA"/>
              </w:rPr>
              <w:t>10</w:t>
            </w:r>
            <w:r>
              <w:rPr>
                <w:rFonts w:hint="eastAsia" w:ascii="宋体" w:hAnsi="宋体" w:eastAsia="宋体" w:cs="宋体"/>
                <w:color w:val="auto"/>
                <w:kern w:val="0"/>
                <w:sz w:val="24"/>
                <w:szCs w:val="24"/>
                <w:highlight w:val="none"/>
                <w:shd w:val="clear" w:color="auto" w:fill="FFFFFF" w:themeFill="background1"/>
                <w:lang w:val="en-US" w:eastAsia="zh-CN" w:bidi="ar-SA"/>
              </w:rPr>
              <w:t xml:space="preserve"> 分，</w:t>
            </w:r>
            <w:r>
              <w:rPr>
                <w:rFonts w:hint="eastAsia" w:ascii="宋体" w:hAnsi="宋体" w:eastAsia="宋体" w:cs="宋体"/>
                <w:color w:val="auto"/>
                <w:kern w:val="0"/>
                <w:sz w:val="24"/>
                <w:szCs w:val="24"/>
                <w:highlight w:val="none"/>
                <w:shd w:val="clear" w:color="auto" w:fill="FFFFFF" w:themeFill="background1"/>
                <w:lang w:val="en-US" w:eastAsia="zh-CN"/>
              </w:rPr>
              <w:t>满分</w:t>
            </w:r>
            <w:r>
              <w:rPr>
                <w:rFonts w:hint="eastAsia" w:ascii="宋体" w:hAnsi="宋体" w:cs="宋体"/>
                <w:color w:val="auto"/>
                <w:kern w:val="0"/>
                <w:sz w:val="24"/>
                <w:szCs w:val="24"/>
                <w:highlight w:val="none"/>
                <w:shd w:val="clear" w:color="auto" w:fill="FFFFFF" w:themeFill="background1"/>
                <w:lang w:val="en-US" w:eastAsia="zh-CN"/>
              </w:rPr>
              <w:t>20</w:t>
            </w:r>
            <w:r>
              <w:rPr>
                <w:rFonts w:hint="eastAsia" w:ascii="宋体" w:hAnsi="宋体" w:eastAsia="宋体" w:cs="宋体"/>
                <w:color w:val="auto"/>
                <w:kern w:val="0"/>
                <w:sz w:val="24"/>
                <w:szCs w:val="24"/>
                <w:highlight w:val="none"/>
                <w:shd w:val="clear" w:color="auto" w:fill="FFFFFF" w:themeFill="background1"/>
                <w:lang w:val="en-US" w:eastAsia="zh-CN"/>
              </w:rPr>
              <w:t>分</w:t>
            </w:r>
            <w:r>
              <w:rPr>
                <w:rFonts w:hint="eastAsia" w:ascii="宋体" w:hAnsi="宋体" w:eastAsia="宋体" w:cs="宋体"/>
                <w:color w:val="auto"/>
                <w:kern w:val="0"/>
                <w:sz w:val="24"/>
                <w:szCs w:val="24"/>
                <w:highlight w:val="none"/>
                <w:shd w:val="clear" w:color="auto" w:fill="FFFFFF" w:themeFill="background1"/>
                <w:lang w:val="en-US" w:eastAsia="zh-CN" w:bidi="ar-SA"/>
              </w:rPr>
              <w:t>。</w:t>
            </w:r>
          </w:p>
          <w:p w14:paraId="654357AC">
            <w:pPr>
              <w:widowControl/>
              <w:spacing w:line="312" w:lineRule="auto"/>
              <w:jc w:val="left"/>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themeFill="background1"/>
                <w:lang w:val="en-US" w:eastAsia="zh-CN" w:bidi="ar-SA"/>
              </w:rPr>
              <w:t>【须提供</w:t>
            </w:r>
            <w:r>
              <w:rPr>
                <w:rFonts w:hint="eastAsia" w:ascii="宋体" w:hAnsi="宋体" w:eastAsia="宋体" w:cs="宋体"/>
                <w:color w:val="auto"/>
                <w:kern w:val="0"/>
                <w:sz w:val="24"/>
                <w:szCs w:val="24"/>
                <w:highlight w:val="none"/>
                <w:shd w:val="clear" w:color="auto" w:fill="FFFFFF" w:themeFill="background1"/>
              </w:rPr>
              <w:t>中标通知书</w:t>
            </w:r>
            <w:r>
              <w:rPr>
                <w:rFonts w:hint="eastAsia" w:ascii="宋体" w:hAnsi="宋体" w:cs="宋体"/>
                <w:color w:val="auto"/>
                <w:kern w:val="0"/>
                <w:sz w:val="24"/>
                <w:szCs w:val="24"/>
                <w:highlight w:val="none"/>
                <w:shd w:val="clear" w:color="auto" w:fill="FFFFFF" w:themeFill="background1"/>
                <w:lang w:val="en-US" w:eastAsia="zh-CN"/>
              </w:rPr>
              <w:t>或</w:t>
            </w:r>
            <w:r>
              <w:rPr>
                <w:rFonts w:hint="eastAsia" w:ascii="宋体" w:hAnsi="宋体" w:eastAsia="宋体" w:cs="宋体"/>
                <w:color w:val="auto"/>
                <w:kern w:val="0"/>
                <w:sz w:val="24"/>
                <w:szCs w:val="24"/>
                <w:highlight w:val="none"/>
                <w:shd w:val="clear" w:color="auto" w:fill="FFFFFF" w:themeFill="background1"/>
              </w:rPr>
              <w:t>合同（合同至少包括合同首页、关键页、签订时间、双方签章页等）</w:t>
            </w:r>
            <w:r>
              <w:rPr>
                <w:rFonts w:hint="eastAsia" w:ascii="宋体" w:hAnsi="宋体" w:eastAsia="宋体" w:cs="宋体"/>
                <w:color w:val="auto"/>
                <w:kern w:val="0"/>
                <w:sz w:val="24"/>
                <w:szCs w:val="24"/>
                <w:highlight w:val="none"/>
                <w:shd w:val="clear" w:color="auto" w:fill="FFFFFF" w:themeFill="background1"/>
                <w:lang w:eastAsia="zh-CN"/>
              </w:rPr>
              <w:t>、</w:t>
            </w:r>
            <w:r>
              <w:rPr>
                <w:rFonts w:hint="eastAsia" w:ascii="宋体" w:hAnsi="宋体" w:eastAsia="宋体" w:cs="宋体"/>
                <w:color w:val="auto"/>
                <w:kern w:val="0"/>
                <w:sz w:val="24"/>
                <w:szCs w:val="24"/>
                <w:highlight w:val="none"/>
                <w:shd w:val="clear" w:color="auto" w:fill="FFFFFF" w:themeFill="background1"/>
                <w:lang w:val="en-US" w:eastAsia="zh-CN"/>
              </w:rPr>
              <w:t>加盖本人注册章的结算定案单或加盖本人注册章的工程量清单或招标控制价扉页</w:t>
            </w:r>
            <w:r>
              <w:rPr>
                <w:rFonts w:hint="eastAsia" w:ascii="宋体" w:hAnsi="宋体" w:eastAsia="宋体" w:cs="宋体"/>
                <w:color w:val="auto"/>
                <w:kern w:val="0"/>
                <w:sz w:val="24"/>
                <w:szCs w:val="24"/>
                <w:highlight w:val="none"/>
                <w:shd w:val="clear" w:color="auto" w:fill="FFFFFF" w:themeFill="background1"/>
                <w:lang w:val="en-US" w:eastAsia="zh-CN" w:bidi="ar-SA"/>
              </w:rPr>
              <w:t>等证明材料，须体现项目负责人姓名，未提供不得分】</w:t>
            </w:r>
          </w:p>
        </w:tc>
      </w:tr>
      <w:tr w14:paraId="52E5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CE57B61">
            <w:pPr>
              <w:bidi w:val="0"/>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rPr>
              <w:t>2</w:t>
            </w:r>
          </w:p>
        </w:tc>
        <w:tc>
          <w:tcPr>
            <w:tcW w:w="1153" w:type="dxa"/>
            <w:tcBorders>
              <w:top w:val="single" w:color="auto" w:sz="4" w:space="0"/>
              <w:left w:val="single" w:color="auto" w:sz="4" w:space="0"/>
              <w:bottom w:val="single" w:color="auto" w:sz="4" w:space="0"/>
              <w:right w:val="single" w:color="auto" w:sz="4" w:space="0"/>
            </w:tcBorders>
            <w:vAlign w:val="center"/>
          </w:tcPr>
          <w:p w14:paraId="51B692D5">
            <w:pPr>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rPr>
              <w:t>拟配备人员</w:t>
            </w:r>
          </w:p>
        </w:tc>
        <w:tc>
          <w:tcPr>
            <w:tcW w:w="821" w:type="dxa"/>
            <w:tcBorders>
              <w:top w:val="single" w:color="auto" w:sz="4" w:space="0"/>
              <w:left w:val="single" w:color="auto" w:sz="4" w:space="0"/>
              <w:bottom w:val="single" w:color="auto" w:sz="4" w:space="0"/>
              <w:right w:val="single" w:color="auto" w:sz="4" w:space="0"/>
            </w:tcBorders>
            <w:vAlign w:val="center"/>
          </w:tcPr>
          <w:p w14:paraId="6CD01084">
            <w:pPr>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14:paraId="550C6849">
            <w:pPr>
              <w:widowControl/>
              <w:spacing w:line="312" w:lineRule="auto"/>
              <w:jc w:val="left"/>
              <w:rPr>
                <w:rFonts w:hint="eastAsia" w:ascii="宋体" w:hAnsi="宋体" w:eastAsia="宋体" w:cs="宋体"/>
                <w:color w:val="auto"/>
                <w:kern w:val="0"/>
                <w:sz w:val="24"/>
                <w:szCs w:val="24"/>
                <w:highlight w:val="none"/>
                <w:shd w:val="clear" w:color="auto" w:fill="FFFFFF" w:themeFill="background1"/>
              </w:rPr>
            </w:pPr>
            <w:r>
              <w:rPr>
                <w:rFonts w:hint="eastAsia" w:ascii="宋体" w:hAnsi="宋体" w:eastAsia="宋体" w:cs="宋体"/>
                <w:color w:val="auto"/>
                <w:kern w:val="0"/>
                <w:sz w:val="24"/>
                <w:szCs w:val="24"/>
                <w:highlight w:val="none"/>
                <w:shd w:val="clear" w:color="auto" w:fill="FFFFFF" w:themeFill="background1"/>
                <w:lang w:val="en-US" w:eastAsia="zh-CN"/>
              </w:rPr>
              <w:t>拟派专职技术人员配置：</w:t>
            </w:r>
          </w:p>
          <w:p w14:paraId="7F3F4F4C">
            <w:pPr>
              <w:widowControl/>
              <w:spacing w:line="312" w:lineRule="auto"/>
              <w:jc w:val="left"/>
              <w:rPr>
                <w:rFonts w:hint="eastAsia" w:ascii="宋体" w:hAnsi="宋体" w:eastAsia="宋体" w:cs="宋体"/>
                <w:color w:val="auto"/>
                <w:kern w:val="0"/>
                <w:sz w:val="24"/>
                <w:szCs w:val="24"/>
                <w:highlight w:val="none"/>
                <w:shd w:val="clear" w:color="auto" w:fill="FFFFFF" w:themeFill="background1"/>
              </w:rPr>
            </w:pPr>
            <w:r>
              <w:rPr>
                <w:rFonts w:hint="eastAsia" w:ascii="宋体" w:hAnsi="宋体" w:eastAsia="宋体" w:cs="宋体"/>
                <w:color w:val="auto"/>
                <w:kern w:val="0"/>
                <w:sz w:val="24"/>
                <w:szCs w:val="24"/>
                <w:highlight w:val="none"/>
                <w:shd w:val="clear" w:color="auto" w:fill="FFFFFF" w:themeFill="background1"/>
                <w:lang w:val="en-US" w:eastAsia="zh-CN"/>
              </w:rPr>
              <w:t>①一级注册造价师（土建专业），每具有一名得 2 分，最多计 2 项，且其中一名具备工程类高级职称加 1 分，满分5 分；</w:t>
            </w:r>
          </w:p>
          <w:p w14:paraId="735829B0">
            <w:pPr>
              <w:widowControl/>
              <w:spacing w:line="312" w:lineRule="auto"/>
              <w:jc w:val="left"/>
              <w:rPr>
                <w:rFonts w:hint="eastAsia" w:ascii="宋体" w:hAnsi="宋体" w:eastAsia="宋体" w:cs="宋体"/>
                <w:color w:val="auto"/>
                <w:kern w:val="0"/>
                <w:sz w:val="24"/>
                <w:szCs w:val="24"/>
                <w:highlight w:val="none"/>
                <w:shd w:val="clear" w:color="auto" w:fill="FFFFFF" w:themeFill="background1"/>
                <w:lang w:val="en-US" w:eastAsia="zh-CN"/>
              </w:rPr>
            </w:pPr>
            <w:r>
              <w:rPr>
                <w:rFonts w:hint="eastAsia" w:ascii="宋体" w:hAnsi="宋体" w:eastAsia="宋体" w:cs="宋体"/>
                <w:color w:val="auto"/>
                <w:kern w:val="0"/>
                <w:sz w:val="24"/>
                <w:szCs w:val="24"/>
                <w:highlight w:val="none"/>
                <w:shd w:val="clear" w:color="auto" w:fill="FFFFFF" w:themeFill="background1"/>
                <w:lang w:val="en-US" w:eastAsia="zh-CN"/>
              </w:rPr>
              <w:t xml:space="preserve">②一级注册造价师（安装专业），每具有一名得 2 分，最多计 2 项，满分 4 分； </w:t>
            </w:r>
          </w:p>
          <w:p w14:paraId="327FFDC4">
            <w:pPr>
              <w:widowControl/>
              <w:spacing w:line="312" w:lineRule="auto"/>
              <w:jc w:val="left"/>
              <w:rPr>
                <w:rFonts w:hint="eastAsia" w:ascii="宋体" w:hAnsi="宋体" w:eastAsia="宋体" w:cs="宋体"/>
                <w:color w:val="auto"/>
                <w:kern w:val="0"/>
                <w:sz w:val="24"/>
                <w:szCs w:val="24"/>
                <w:highlight w:val="none"/>
                <w:shd w:val="clear" w:color="auto" w:fill="FFFFFF" w:themeFill="background1"/>
                <w:lang w:val="en-US" w:eastAsia="zh-CN"/>
              </w:rPr>
            </w:pPr>
            <w:r>
              <w:rPr>
                <w:rFonts w:hint="eastAsia" w:ascii="宋体" w:hAnsi="宋体" w:eastAsia="宋体" w:cs="宋体"/>
                <w:color w:val="auto"/>
                <w:kern w:val="0"/>
                <w:sz w:val="24"/>
                <w:szCs w:val="24"/>
                <w:highlight w:val="none"/>
                <w:shd w:val="clear" w:color="auto" w:fill="FFFFFF" w:themeFill="background1"/>
                <w:lang w:val="en-US" w:eastAsia="zh-CN"/>
              </w:rPr>
              <w:t>③其他拟配备人员具有相关专业中级及以上职称或二级注册造价师，每具有一名得 1分，满分2分。</w:t>
            </w:r>
          </w:p>
          <w:p w14:paraId="3C4A6B4F">
            <w:pPr>
              <w:widowControl/>
              <w:spacing w:line="312" w:lineRule="auto"/>
              <w:jc w:val="left"/>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FFFFFF" w:themeFill="background1"/>
                <w:lang w:val="en-US" w:eastAsia="zh-CN" w:bidi="ar-SA"/>
              </w:rPr>
              <w:t>【须提供身份证、劳动合同、相关职业或执业或职称证书等证明材料，证明材料不全酌情扣分，未提供不得分。】</w:t>
            </w:r>
          </w:p>
        </w:tc>
      </w:tr>
      <w:tr w14:paraId="04DA1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5519B99">
            <w:pPr>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53" w:type="dxa"/>
            <w:tcBorders>
              <w:top w:val="single" w:color="auto" w:sz="4" w:space="0"/>
              <w:left w:val="single" w:color="auto" w:sz="4" w:space="0"/>
              <w:bottom w:val="single" w:color="auto" w:sz="4" w:space="0"/>
              <w:right w:val="single" w:color="auto" w:sz="4" w:space="0"/>
            </w:tcBorders>
            <w:vAlign w:val="center"/>
          </w:tcPr>
          <w:p w14:paraId="7430025A">
            <w:pPr>
              <w:spacing w:line="312" w:lineRule="auto"/>
              <w:jc w:val="center"/>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咨询服务</w:t>
            </w:r>
            <w:r>
              <w:rPr>
                <w:rFonts w:hint="eastAsia" w:ascii="宋体" w:hAnsi="宋体" w:cs="宋体"/>
                <w:color w:val="auto"/>
                <w:sz w:val="24"/>
                <w:szCs w:val="24"/>
                <w:highlight w:val="none"/>
              </w:rPr>
              <w:t>方案</w:t>
            </w:r>
          </w:p>
        </w:tc>
        <w:tc>
          <w:tcPr>
            <w:tcW w:w="821" w:type="dxa"/>
            <w:tcBorders>
              <w:top w:val="single" w:color="auto" w:sz="4" w:space="0"/>
              <w:left w:val="single" w:color="auto" w:sz="4" w:space="0"/>
              <w:bottom w:val="single" w:color="auto" w:sz="4" w:space="0"/>
              <w:right w:val="single" w:color="auto" w:sz="4" w:space="0"/>
            </w:tcBorders>
            <w:vAlign w:val="center"/>
          </w:tcPr>
          <w:p w14:paraId="11B4E51A">
            <w:pPr>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14:paraId="71BE036E">
            <w:pPr>
              <w:widowControl/>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根据供应商提供的咨询服务方案进行评审：</w:t>
            </w:r>
          </w:p>
          <w:p w14:paraId="4B40268D">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针对本项目的特点，应采取的方法和措施，需详细阐述项目造价咨询服务的计划和方案，内容包括不限于：</w:t>
            </w:r>
          </w:p>
          <w:p w14:paraId="2A5D9783">
            <w:pPr>
              <w:keepNext w:val="0"/>
              <w:keepLines w:val="0"/>
              <w:widowControl/>
              <w:suppressLineNumbers w:val="0"/>
              <w:spacing w:line="312"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对本项目服务内容的理解</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造价咨询服务的重难点分析；</w:t>
            </w:r>
            <w:r>
              <w:rPr>
                <w:rFonts w:hint="eastAsia" w:ascii="宋体" w:hAnsi="宋体" w:eastAsia="宋体" w:cs="宋体"/>
                <w:color w:val="auto"/>
                <w:sz w:val="24"/>
                <w:szCs w:val="24"/>
                <w:highlight w:val="none"/>
                <w:lang w:val="en-US" w:eastAsia="zh-CN"/>
              </w:rPr>
              <w:t>③服务目标和风险分析；④各阶段进度控制措施；⑤各个阶段质量保证措施；⑥</w:t>
            </w:r>
            <w:r>
              <w:rPr>
                <w:rFonts w:hint="eastAsia" w:ascii="宋体" w:hAnsi="宋体" w:eastAsia="宋体" w:cs="宋体"/>
                <w:color w:val="auto"/>
                <w:kern w:val="0"/>
                <w:sz w:val="24"/>
                <w:szCs w:val="24"/>
                <w:highlight w:val="none"/>
                <w:lang w:val="en-US" w:eastAsia="zh-CN" w:bidi="ar"/>
              </w:rPr>
              <w:t>变更、现场签证审核及防范索赔防范性对策</w:t>
            </w:r>
            <w:r>
              <w:rPr>
                <w:rFonts w:hint="eastAsia" w:ascii="宋体" w:hAnsi="宋体" w:eastAsia="宋体" w:cs="宋体"/>
                <w:color w:val="auto"/>
                <w:sz w:val="24"/>
                <w:szCs w:val="24"/>
                <w:highlight w:val="none"/>
                <w:lang w:val="en-US" w:eastAsia="zh-CN"/>
              </w:rPr>
              <w:t>。</w:t>
            </w:r>
          </w:p>
          <w:p w14:paraId="0ED22F25">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（1）以上每项方案非常详实完整，针对性、可操作性强，完全满足</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需求，一项得5分；</w:t>
            </w:r>
          </w:p>
          <w:p w14:paraId="12FBD3FE">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（2）以上每项方案较为详实，针对性、可操作性较强，能满足</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需求，一项得4分；</w:t>
            </w:r>
          </w:p>
          <w:p w14:paraId="124C55CE">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（3）以上每项方案针对性、可操作性一般，基本满足</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需求，一项得3分；</w:t>
            </w:r>
          </w:p>
          <w:p w14:paraId="589AB9C0">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（4）以上每项方案针对性、可操作性较差，基本不满足</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需求，一项得2分；</w:t>
            </w:r>
          </w:p>
          <w:p w14:paraId="3C43E18B">
            <w:pPr>
              <w:widowControl/>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（5）以上每项方案针对性、可操作性差，一项得1分；</w:t>
            </w:r>
          </w:p>
          <w:p w14:paraId="056DF1E4">
            <w:pPr>
              <w:widowControl/>
              <w:spacing w:line="312"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响应文件中未作针对性描述的不得分。</w:t>
            </w:r>
          </w:p>
        </w:tc>
      </w:tr>
      <w:tr w14:paraId="484C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BC19465">
            <w:pPr>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153" w:type="dxa"/>
            <w:tcBorders>
              <w:top w:val="single" w:color="auto" w:sz="4" w:space="0"/>
              <w:left w:val="single" w:color="auto" w:sz="4" w:space="0"/>
              <w:bottom w:val="single" w:color="auto" w:sz="4" w:space="0"/>
              <w:right w:val="single" w:color="auto" w:sz="4" w:space="0"/>
            </w:tcBorders>
            <w:vAlign w:val="center"/>
          </w:tcPr>
          <w:p w14:paraId="1C7478DE">
            <w:pPr>
              <w:widowControl/>
              <w:spacing w:line="312"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保密制度和保密措施</w:t>
            </w:r>
          </w:p>
        </w:tc>
        <w:tc>
          <w:tcPr>
            <w:tcW w:w="821" w:type="dxa"/>
            <w:tcBorders>
              <w:top w:val="single" w:color="auto" w:sz="4" w:space="0"/>
              <w:left w:val="single" w:color="auto" w:sz="4" w:space="0"/>
              <w:bottom w:val="single" w:color="auto" w:sz="4" w:space="0"/>
              <w:right w:val="single" w:color="auto" w:sz="4" w:space="0"/>
            </w:tcBorders>
            <w:vAlign w:val="center"/>
          </w:tcPr>
          <w:p w14:paraId="483EDDF7">
            <w:pPr>
              <w:widowControl/>
              <w:spacing w:line="312"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14:paraId="7F00F8B3">
            <w:pPr>
              <w:widowControl/>
              <w:spacing w:line="312" w:lineRule="auto"/>
              <w:rPr>
                <w:rFonts w:hint="default"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根据供应商提供的保密制度和保密措施进行评审：</w:t>
            </w:r>
          </w:p>
          <w:p w14:paraId="263973B5">
            <w:pPr>
              <w:widowControl/>
              <w:spacing w:line="312"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保密制度全面、保密措施有针对性，得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208979FC">
            <w:pPr>
              <w:widowControl/>
              <w:spacing w:line="312"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保密制度较全面、保密措施较有针对性，得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52D2ADAE">
            <w:pPr>
              <w:widowControl/>
              <w:spacing w:line="312"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保密制度全面性一般、保密措施针对性一般，得1分</w:t>
            </w:r>
            <w:r>
              <w:rPr>
                <w:rFonts w:hint="eastAsia" w:ascii="宋体" w:hAnsi="宋体" w:cs="宋体"/>
                <w:color w:val="auto"/>
                <w:sz w:val="24"/>
                <w:szCs w:val="24"/>
                <w:highlight w:val="none"/>
                <w:lang w:eastAsia="zh-CN"/>
              </w:rPr>
              <w:t>。</w:t>
            </w:r>
          </w:p>
          <w:p w14:paraId="73FFEF01">
            <w:pPr>
              <w:widowControl/>
              <w:spacing w:line="312"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4.未提供不得分。</w:t>
            </w:r>
          </w:p>
        </w:tc>
      </w:tr>
      <w:tr w14:paraId="3655A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6"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D4C1C0D">
            <w:pPr>
              <w:bidi w:val="0"/>
              <w:spacing w:line="312"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3" w:type="dxa"/>
            <w:tcBorders>
              <w:top w:val="single" w:color="auto" w:sz="4" w:space="0"/>
              <w:left w:val="single" w:color="auto" w:sz="4" w:space="0"/>
              <w:bottom w:val="single" w:color="auto" w:sz="4" w:space="0"/>
              <w:right w:val="single" w:color="auto" w:sz="4" w:space="0"/>
            </w:tcBorders>
            <w:vAlign w:val="center"/>
          </w:tcPr>
          <w:p w14:paraId="2F714BE6">
            <w:pPr>
              <w:spacing w:line="312"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优惠承诺或合理化建议</w:t>
            </w:r>
          </w:p>
        </w:tc>
        <w:tc>
          <w:tcPr>
            <w:tcW w:w="821" w:type="dxa"/>
            <w:tcBorders>
              <w:top w:val="single" w:color="auto" w:sz="4" w:space="0"/>
              <w:left w:val="single" w:color="auto" w:sz="4" w:space="0"/>
              <w:bottom w:val="single" w:color="auto" w:sz="4" w:space="0"/>
              <w:right w:val="single" w:color="auto" w:sz="4" w:space="0"/>
            </w:tcBorders>
            <w:vAlign w:val="center"/>
          </w:tcPr>
          <w:p w14:paraId="32A8A87F">
            <w:pPr>
              <w:spacing w:line="312"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6591" w:type="dxa"/>
            <w:tcBorders>
              <w:top w:val="single" w:color="auto" w:sz="4" w:space="0"/>
              <w:left w:val="single" w:color="auto" w:sz="4" w:space="0"/>
              <w:bottom w:val="single" w:color="auto" w:sz="4" w:space="0"/>
              <w:right w:val="single" w:color="auto" w:sz="4" w:space="0"/>
            </w:tcBorders>
            <w:vAlign w:val="center"/>
          </w:tcPr>
          <w:p w14:paraId="07BFC4CC">
            <w:pPr>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根据供应商针对本项目服务内容以外提出了其他优惠承诺和合理化建议。</w:t>
            </w:r>
          </w:p>
          <w:p w14:paraId="6C441E5F">
            <w:pPr>
              <w:spacing w:line="312"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每提供一条优惠承诺或合理化建议，且合理可行的，得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分，本项最多得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分；未提供不得分。</w:t>
            </w:r>
          </w:p>
        </w:tc>
      </w:tr>
      <w:bookmarkEnd w:id="178"/>
    </w:tbl>
    <w:p w14:paraId="5B284BE8">
      <w:pPr>
        <w:pStyle w:val="16"/>
        <w:spacing w:line="360" w:lineRule="auto"/>
        <w:jc w:val="center"/>
        <w:rPr>
          <w:rFonts w:hint="eastAsia" w:ascii="宋体" w:hAnsi="宋体" w:eastAsia="宋体" w:cs="宋体"/>
          <w:b/>
          <w:bCs/>
          <w:color w:val="auto"/>
          <w:sz w:val="24"/>
          <w:highlight w:val="none"/>
        </w:rPr>
      </w:pPr>
    </w:p>
    <w:p w14:paraId="0FF8250F">
      <w:pPr>
        <w:pStyle w:val="16"/>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报价部分评分标准（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p>
    <w:tbl>
      <w:tblPr>
        <w:tblStyle w:val="32"/>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594"/>
        <w:gridCol w:w="6866"/>
      </w:tblGrid>
      <w:tr w14:paraId="0BD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96" w:type="pct"/>
            <w:vAlign w:val="center"/>
          </w:tcPr>
          <w:p w14:paraId="3BE08F0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2"/>
                <w:szCs w:val="22"/>
                <w:highlight w:val="none"/>
                <w:lang w:val="zh-CN"/>
              </w:rPr>
              <w:t>序号</w:t>
            </w:r>
          </w:p>
        </w:tc>
        <w:tc>
          <w:tcPr>
            <w:tcW w:w="867" w:type="pct"/>
            <w:vAlign w:val="center"/>
          </w:tcPr>
          <w:p w14:paraId="77E7FD9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lang w:val="zh-CN"/>
              </w:rPr>
              <w:t>项目</w:t>
            </w:r>
          </w:p>
        </w:tc>
        <w:tc>
          <w:tcPr>
            <w:tcW w:w="3735" w:type="pct"/>
            <w:vAlign w:val="center"/>
          </w:tcPr>
          <w:p w14:paraId="6E187236">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w:t>
            </w:r>
            <w:r>
              <w:rPr>
                <w:rFonts w:hint="eastAsia" w:ascii="宋体" w:hAnsi="宋体" w:eastAsia="宋体" w:cs="宋体"/>
                <w:b/>
                <w:bCs/>
                <w:color w:val="auto"/>
                <w:sz w:val="24"/>
                <w:szCs w:val="24"/>
                <w:highlight w:val="none"/>
                <w:lang w:val="en-US" w:eastAsia="zh-CN"/>
              </w:rPr>
              <w:t>审</w:t>
            </w:r>
            <w:r>
              <w:rPr>
                <w:rFonts w:hint="eastAsia" w:ascii="宋体" w:hAnsi="宋体" w:eastAsia="宋体" w:cs="宋体"/>
                <w:b/>
                <w:bCs/>
                <w:color w:val="auto"/>
                <w:sz w:val="24"/>
                <w:szCs w:val="24"/>
                <w:highlight w:val="none"/>
                <w:lang w:val="zh-CN"/>
              </w:rPr>
              <w:t>标准</w:t>
            </w:r>
          </w:p>
        </w:tc>
      </w:tr>
      <w:tr w14:paraId="23CE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6" w:type="pct"/>
            <w:vAlign w:val="center"/>
          </w:tcPr>
          <w:p w14:paraId="28970FA7">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867" w:type="pct"/>
            <w:vAlign w:val="center"/>
          </w:tcPr>
          <w:p w14:paraId="487B617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w:t>
            </w:r>
          </w:p>
        </w:tc>
        <w:tc>
          <w:tcPr>
            <w:tcW w:w="3735" w:type="pct"/>
            <w:vAlign w:val="center"/>
          </w:tcPr>
          <w:p w14:paraId="091B113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报价最低的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的价格为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基准价，其价格分为满分，项目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过程中，不得去掉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报价中的最高报价和最低报价。</w:t>
            </w:r>
          </w:p>
          <w:p w14:paraId="2D0F88E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报价得分=（</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基准价/</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shd w:val="clear" w:color="auto" w:fill="auto"/>
                <w:lang w:val="zh-CN"/>
              </w:rPr>
              <w:t>报价）×</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0</w:t>
            </w:r>
          </w:p>
        </w:tc>
      </w:tr>
      <w:tr w14:paraId="7B5D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96" w:type="pct"/>
            <w:vMerge w:val="restart"/>
            <w:vAlign w:val="center"/>
          </w:tcPr>
          <w:p w14:paraId="1A94A90D">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政府采购政策</w:t>
            </w:r>
            <w:r>
              <w:rPr>
                <w:rFonts w:hint="eastAsia" w:ascii="宋体" w:hAnsi="宋体" w:eastAsia="宋体" w:cs="宋体"/>
                <w:color w:val="auto"/>
                <w:sz w:val="24"/>
                <w:szCs w:val="24"/>
                <w:highlight w:val="none"/>
                <w:lang w:val="en-US" w:eastAsia="zh-CN"/>
              </w:rPr>
              <w:t>说明</w:t>
            </w:r>
          </w:p>
        </w:tc>
        <w:tc>
          <w:tcPr>
            <w:tcW w:w="867" w:type="pct"/>
            <w:vMerge w:val="restart"/>
            <w:vAlign w:val="center"/>
          </w:tcPr>
          <w:p w14:paraId="0766C4FF">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3735" w:type="pct"/>
            <w:vAlign w:val="center"/>
          </w:tcPr>
          <w:p w14:paraId="2F814DFF">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根据工信部等部委发布的《关于印发中小企业划型标准规定的通知》（工信部联企业</w:t>
            </w:r>
            <w:r>
              <w:rPr>
                <w:rFonts w:hint="eastAsia" w:ascii="宋体" w:hAnsi="宋体" w:eastAsia="宋体" w:cs="宋体"/>
                <w:bCs/>
                <w:color w:val="auto"/>
                <w:sz w:val="24"/>
                <w:szCs w:val="24"/>
                <w:highlight w:val="none"/>
              </w:rPr>
              <w:t>〔2011〕300</w:t>
            </w:r>
            <w:r>
              <w:rPr>
                <w:rFonts w:hint="eastAsia" w:ascii="宋体" w:hAnsi="宋体" w:eastAsia="宋体" w:cs="宋体"/>
                <w:color w:val="auto"/>
                <w:sz w:val="24"/>
                <w:szCs w:val="24"/>
                <w:highlight w:val="none"/>
              </w:rPr>
              <w:t>号），按照本次</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的所属行业的划型标准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招标文件载明的行业）</w:t>
            </w:r>
            <w:r>
              <w:rPr>
                <w:rFonts w:hint="eastAsia" w:ascii="宋体" w:hAnsi="宋体" w:eastAsia="宋体" w:cs="宋体"/>
                <w:color w:val="auto"/>
                <w:sz w:val="24"/>
                <w:szCs w:val="24"/>
                <w:highlight w:val="none"/>
              </w:rPr>
              <w:t>，符合条件的中小企业须提供</w:t>
            </w:r>
            <w:r>
              <w:rPr>
                <w:rFonts w:hint="eastAsia" w:ascii="宋体" w:hAnsi="宋体" w:eastAsia="宋体" w:cs="宋体"/>
                <w:color w:val="auto"/>
                <w:sz w:val="24"/>
                <w:szCs w:val="24"/>
                <w:highlight w:val="none"/>
                <w:lang w:val="en-US" w:eastAsia="zh-CN"/>
              </w:rPr>
              <w:t>招标文件提供格式的</w:t>
            </w:r>
            <w:r>
              <w:rPr>
                <w:rFonts w:hint="eastAsia" w:ascii="宋体" w:hAnsi="宋体" w:eastAsia="宋体" w:cs="宋体"/>
                <w:color w:val="auto"/>
                <w:sz w:val="24"/>
                <w:szCs w:val="24"/>
                <w:highlight w:val="none"/>
              </w:rPr>
              <w:t>《中小企业声明函》。</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应当对其出具的《中小企业声明函》真实性负责，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出具的《中小企业声明函》内容不实的，属于提供虚假材料谋取中标，依照《中华人民共和国政府采购法》等国家有关规定追究相应责任。</w:t>
            </w:r>
          </w:p>
        </w:tc>
      </w:tr>
      <w:tr w14:paraId="05B2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6" w:type="pct"/>
            <w:vMerge w:val="continue"/>
            <w:vAlign w:val="center"/>
          </w:tcPr>
          <w:p w14:paraId="165701E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867" w:type="pct"/>
            <w:vMerge w:val="continue"/>
            <w:vAlign w:val="center"/>
          </w:tcPr>
          <w:p w14:paraId="15B7CDB9">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3735" w:type="pct"/>
            <w:vAlign w:val="center"/>
          </w:tcPr>
          <w:p w14:paraId="0939A382">
            <w:pPr>
              <w:pStyle w:val="48"/>
              <w:widowControl/>
              <w:numPr>
                <w:ilvl w:val="0"/>
                <w:numId w:val="0"/>
              </w:num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或《残疾人福利性单位声明函》或省级以上监狱管理局、戒毒管理局（含新疆生产建设兵团）出具的属于监狱企业的证明文件的供应商，</w:t>
            </w:r>
            <w:r>
              <w:rPr>
                <w:rFonts w:hint="eastAsia" w:ascii="宋体" w:hAnsi="宋体" w:cs="宋体"/>
                <w:color w:val="auto"/>
                <w:kern w:val="0"/>
                <w:sz w:val="24"/>
                <w:szCs w:val="24"/>
                <w:highlight w:val="none"/>
                <w:lang w:val="en-US" w:eastAsia="zh-CN" w:bidi="ar-SA"/>
              </w:rPr>
              <w:t>对于预留份额的政府采购项目，不执行价格评审政策优惠。</w:t>
            </w:r>
          </w:p>
        </w:tc>
      </w:tr>
      <w:tr w14:paraId="1E57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6" w:type="pct"/>
            <w:vMerge w:val="continue"/>
            <w:vAlign w:val="center"/>
          </w:tcPr>
          <w:p w14:paraId="4369B6DD">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867" w:type="pct"/>
            <w:vAlign w:val="center"/>
          </w:tcPr>
          <w:p w14:paraId="5A41594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3735" w:type="pct"/>
            <w:vAlign w:val="center"/>
          </w:tcPr>
          <w:p w14:paraId="0CA0B671">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视同小型、微型企业，享受预留份额、评审中价格扣除等政府采购促进中小企业发展的政府采购政策。向监狱企业采购的金额，计入面向中小企业采购的统计数据。</w:t>
            </w:r>
          </w:p>
        </w:tc>
      </w:tr>
      <w:tr w14:paraId="7664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6" w:type="pct"/>
            <w:vMerge w:val="continue"/>
            <w:vAlign w:val="center"/>
          </w:tcPr>
          <w:p w14:paraId="051069E6">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867" w:type="pct"/>
            <w:vAlign w:val="center"/>
          </w:tcPr>
          <w:p w14:paraId="79BA0B76">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3735" w:type="pct"/>
            <w:vAlign w:val="center"/>
          </w:tcPr>
          <w:p w14:paraId="2E9CCA14">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14:paraId="443A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6" w:type="pct"/>
            <w:vMerge w:val="continue"/>
            <w:vAlign w:val="center"/>
          </w:tcPr>
          <w:p w14:paraId="47C6E313">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宋体" w:hAnsi="宋体" w:eastAsia="宋体" w:cs="宋体"/>
                <w:color w:val="auto"/>
                <w:sz w:val="24"/>
                <w:szCs w:val="24"/>
                <w:highlight w:val="none"/>
              </w:rPr>
            </w:pPr>
          </w:p>
        </w:tc>
        <w:tc>
          <w:tcPr>
            <w:tcW w:w="867" w:type="pct"/>
            <w:vAlign w:val="center"/>
          </w:tcPr>
          <w:p w14:paraId="1B5E2EE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特别说明</w:t>
            </w:r>
          </w:p>
        </w:tc>
        <w:tc>
          <w:tcPr>
            <w:tcW w:w="3735" w:type="pct"/>
            <w:vAlign w:val="center"/>
          </w:tcPr>
          <w:p w14:paraId="3755D453">
            <w:pPr>
              <w:keepNext w:val="0"/>
              <w:keepLines w:val="0"/>
              <w:pageBreakBefore w:val="0"/>
              <w:widowControl w:val="0"/>
              <w:numPr>
                <w:ilvl w:val="0"/>
                <w:numId w:val="10"/>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政府采购促进中小企业发展管理办法》（财库〔2020〕46号，以下称《办法》）规定，以联合体形式参加政府采购活动，联合体各方均为中小企业的，联合体视同中小企业。其中，联合体各方均为小微企业的，联合体视同小微企业。</w:t>
            </w:r>
          </w:p>
          <w:p w14:paraId="622817AB">
            <w:pPr>
              <w:keepNext w:val="0"/>
              <w:keepLines w:val="0"/>
              <w:pageBreakBefore w:val="0"/>
              <w:widowControl w:val="0"/>
              <w:numPr>
                <w:ilvl w:val="0"/>
                <w:numId w:val="10"/>
              </w:numPr>
              <w:kinsoku/>
              <w:wordWrap/>
              <w:overflowPunct/>
              <w:topLinePunct w:val="0"/>
              <w:bidi w:val="0"/>
              <w:snapToGrid/>
              <w:spacing w:line="56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对于预留份额的政府采购项目，不执行价格评审政策优惠。</w:t>
            </w:r>
          </w:p>
        </w:tc>
      </w:tr>
    </w:tbl>
    <w:p w14:paraId="1EB85667">
      <w:pPr>
        <w:pStyle w:val="3"/>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采购终止</w:t>
      </w:r>
    </w:p>
    <w:p w14:paraId="0047AC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出现下列情形之一的，采购人或者采购代理机构应当终止竞争性磋商采购活动，发布项目终止公告并说明原因，重新开展采购活动:</w:t>
      </w:r>
    </w:p>
    <w:p w14:paraId="229855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（一)因情况变化，不再符合规定的竞争性磋商采购方式适用情形的;</w:t>
      </w:r>
    </w:p>
    <w:p w14:paraId="5F461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（二)出现影响采购公正的违法、违规行为的;</w:t>
      </w:r>
    </w:p>
    <w:p w14:paraId="32E8B4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shd w:val="clear" w:color="auto" w:fill="FAFAFA"/>
        </w:rPr>
        <w:t>除</w:t>
      </w:r>
      <w:r>
        <w:rPr>
          <w:rFonts w:hint="eastAsia" w:ascii="宋体" w:hAnsi="宋体" w:eastAsia="宋体" w:cs="宋体"/>
          <w:color w:val="auto"/>
          <w:sz w:val="24"/>
          <w:highlight w:val="none"/>
        </w:rPr>
        <w:t>《政府采购竞争性磋商采购方式管理暂行办法》（财政部财库〔2014〕214号）</w:t>
      </w:r>
      <w:r>
        <w:rPr>
          <w:rFonts w:hint="eastAsia" w:ascii="宋体" w:hAnsi="宋体" w:eastAsia="宋体" w:cs="宋体"/>
          <w:color w:val="auto"/>
          <w:sz w:val="24"/>
          <w:highlight w:val="none"/>
          <w:shd w:val="clear" w:color="auto" w:fill="FAFAFA"/>
        </w:rPr>
        <w:t>第二十一条第三款规定的情形外，在采购过程中符合要求的供应商或者报价未超过采购预算的供应商不足3家的</w:t>
      </w:r>
      <w:r>
        <w:rPr>
          <w:rFonts w:hint="eastAsia" w:ascii="宋体" w:hAnsi="宋体" w:eastAsia="宋体" w:cs="宋体"/>
          <w:color w:val="auto"/>
          <w:sz w:val="24"/>
          <w:highlight w:val="none"/>
        </w:rPr>
        <w:t>；</w:t>
      </w:r>
    </w:p>
    <w:p w14:paraId="6A6977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（四）因重大变故，采购任务取消的；</w:t>
      </w:r>
    </w:p>
    <w:p w14:paraId="79B572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（五）供应商的报价均低于了采购预算，采购人不能接受的。</w:t>
      </w:r>
    </w:p>
    <w:p w14:paraId="185D83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采购终止后，采购代理机构应在发布竞争性磋商公告的媒体上发布终止公告并说明原因。</w:t>
      </w:r>
    </w:p>
    <w:p w14:paraId="6BEF3D0A">
      <w:pPr>
        <w:pStyle w:val="3"/>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bookmarkEnd w:id="177"/>
      <w:bookmarkStart w:id="179" w:name="_Toc217446061"/>
      <w:r>
        <w:rPr>
          <w:rFonts w:hint="eastAsia" w:ascii="宋体" w:hAnsi="宋体" w:eastAsia="宋体" w:cs="宋体"/>
          <w:color w:val="auto"/>
          <w:sz w:val="24"/>
          <w:szCs w:val="24"/>
          <w:highlight w:val="none"/>
        </w:rPr>
        <w:t>成交</w:t>
      </w:r>
    </w:p>
    <w:p w14:paraId="2C8D9D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 成交原则</w:t>
      </w:r>
      <w:bookmarkEnd w:id="179"/>
      <w:r>
        <w:rPr>
          <w:rFonts w:hint="eastAsia" w:ascii="宋体" w:hAnsi="宋体" w:eastAsia="宋体" w:cs="宋体"/>
          <w:color w:val="auto"/>
          <w:sz w:val="24"/>
          <w:highlight w:val="none"/>
        </w:rPr>
        <w:t>：本项目根据磋商小组推荐的成交候选人名单，按顺序确定成交人。</w:t>
      </w:r>
    </w:p>
    <w:p w14:paraId="661B00B9">
      <w:pPr>
        <w:spacing w:line="360" w:lineRule="auto"/>
        <w:ind w:firstLine="480" w:firstLineChars="200"/>
        <w:rPr>
          <w:rFonts w:hint="eastAsia" w:ascii="宋体" w:hAnsi="宋体" w:eastAsia="宋体" w:cs="宋体"/>
          <w:color w:val="auto"/>
          <w:sz w:val="24"/>
          <w:highlight w:val="none"/>
        </w:rPr>
      </w:pPr>
      <w:bookmarkStart w:id="180" w:name="_Toc217446062"/>
      <w:r>
        <w:rPr>
          <w:rFonts w:hint="eastAsia" w:ascii="宋体" w:hAnsi="宋体" w:eastAsia="宋体" w:cs="宋体"/>
          <w:color w:val="auto"/>
          <w:sz w:val="24"/>
          <w:highlight w:val="none"/>
        </w:rPr>
        <w:t>6.2. 成交程序</w:t>
      </w:r>
      <w:bookmarkEnd w:id="180"/>
    </w:p>
    <w:p w14:paraId="799856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6.2.1 磋商小组将评审情况</w:t>
      </w:r>
      <w:r>
        <w:rPr>
          <w:rFonts w:hint="eastAsia" w:ascii="宋体" w:hAnsi="宋体" w:cs="宋体"/>
          <w:color w:val="auto"/>
          <w:sz w:val="24"/>
          <w:highlight w:val="none"/>
          <w:lang w:val="en-US" w:eastAsia="zh-CN"/>
        </w:rPr>
        <w:t>出具</w:t>
      </w:r>
      <w:r>
        <w:rPr>
          <w:rFonts w:hint="eastAsia" w:ascii="宋体" w:hAnsi="宋体" w:eastAsia="宋体" w:cs="宋体"/>
          <w:color w:val="auto"/>
          <w:sz w:val="24"/>
          <w:highlight w:val="none"/>
        </w:rPr>
        <w:t>报告，按照综合得分高低标明排列顺序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w:t>
      </w:r>
      <w:r>
        <w:rPr>
          <w:rFonts w:hint="eastAsia" w:ascii="宋体" w:hAnsi="宋体" w:cs="宋体"/>
          <w:color w:val="auto"/>
          <w:sz w:val="24"/>
          <w:highlight w:val="none"/>
          <w:lang w:val="en-US" w:eastAsia="zh-CN"/>
        </w:rPr>
        <w:t>确定最终供应商</w:t>
      </w:r>
      <w:r>
        <w:rPr>
          <w:rFonts w:hint="eastAsia" w:ascii="宋体" w:hAnsi="宋体" w:eastAsia="宋体" w:cs="宋体"/>
          <w:color w:val="auto"/>
          <w:sz w:val="24"/>
          <w:highlight w:val="none"/>
        </w:rPr>
        <w:t>。本项目采用综合评分法，评审结果按评审后得分由高到低顺序排列。</w:t>
      </w:r>
      <w:r>
        <w:rPr>
          <w:rFonts w:hint="eastAsia" w:ascii="宋体" w:hAnsi="宋体" w:eastAsia="宋体" w:cs="宋体"/>
          <w:color w:val="auto"/>
          <w:sz w:val="24"/>
          <w:highlight w:val="none"/>
          <w:shd w:val="clear" w:color="auto" w:fill="FAFAFA"/>
        </w:rPr>
        <w:t>评审得分相同的，按照最后报价由高到低的顺序</w:t>
      </w:r>
      <w:r>
        <w:rPr>
          <w:rFonts w:hint="eastAsia" w:ascii="宋体" w:hAnsi="宋体" w:cs="宋体"/>
          <w:color w:val="auto"/>
          <w:sz w:val="24"/>
          <w:highlight w:val="none"/>
          <w:shd w:val="clear" w:color="auto" w:fill="FAFAFA"/>
          <w:lang w:val="en-US" w:eastAsia="zh-CN"/>
        </w:rPr>
        <w:t>排序</w:t>
      </w:r>
      <w:r>
        <w:rPr>
          <w:rFonts w:hint="eastAsia" w:ascii="宋体" w:hAnsi="宋体" w:cs="宋体"/>
          <w:color w:val="auto"/>
          <w:sz w:val="24"/>
          <w:highlight w:val="none"/>
          <w:shd w:val="clear" w:color="auto" w:fill="FAFAFA"/>
          <w:lang w:eastAsia="zh-CN"/>
        </w:rPr>
        <w:t>，</w:t>
      </w:r>
      <w:r>
        <w:rPr>
          <w:rFonts w:hint="eastAsia" w:ascii="宋体" w:hAnsi="宋体" w:eastAsia="宋体" w:cs="宋体"/>
          <w:color w:val="auto"/>
          <w:sz w:val="24"/>
          <w:highlight w:val="none"/>
          <w:shd w:val="clear" w:color="auto" w:fill="FAFAFA"/>
        </w:rPr>
        <w:t>评审得分且最后报价相同的，按照技术指标优劣顺序</w:t>
      </w:r>
      <w:r>
        <w:rPr>
          <w:rFonts w:hint="eastAsia" w:ascii="宋体" w:hAnsi="宋体" w:cs="宋体"/>
          <w:color w:val="auto"/>
          <w:sz w:val="24"/>
          <w:highlight w:val="none"/>
          <w:shd w:val="clear" w:color="auto" w:fill="FAFAFA"/>
          <w:lang w:val="en-US" w:eastAsia="zh-CN"/>
        </w:rPr>
        <w:t>确定</w:t>
      </w:r>
      <w:r>
        <w:rPr>
          <w:rFonts w:hint="eastAsia" w:ascii="宋体" w:hAnsi="宋体" w:eastAsia="宋体" w:cs="宋体"/>
          <w:color w:val="auto"/>
          <w:sz w:val="24"/>
          <w:highlight w:val="none"/>
        </w:rPr>
        <w:t>。</w:t>
      </w:r>
    </w:p>
    <w:p w14:paraId="788CF2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6.2.2 采购代理机构在评审结束后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个工作日内将评审报告</w:t>
      </w:r>
      <w:r>
        <w:rPr>
          <w:rFonts w:hint="eastAsia" w:ascii="宋体" w:hAnsi="宋体" w:cs="宋体"/>
          <w:color w:val="auto"/>
          <w:sz w:val="24"/>
          <w:highlight w:val="none"/>
          <w:lang w:val="en-US" w:eastAsia="zh-CN"/>
        </w:rPr>
        <w:t>和结果</w:t>
      </w:r>
      <w:r>
        <w:rPr>
          <w:rFonts w:hint="eastAsia" w:ascii="宋体" w:hAnsi="宋体" w:eastAsia="宋体" w:cs="宋体"/>
          <w:color w:val="auto"/>
          <w:sz w:val="24"/>
          <w:highlight w:val="none"/>
        </w:rPr>
        <w:t>送至采购人。</w:t>
      </w:r>
    </w:p>
    <w:p w14:paraId="1DAB64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6.2.3 根据确定的成交人，在采购公告发布的媒体上发布成交公告</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同时向成交人发出成交通知书。</w:t>
      </w:r>
    </w:p>
    <w:p w14:paraId="517C0F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采购单位不退回响应文件和供应商的其他资料。</w:t>
      </w:r>
    </w:p>
    <w:bookmarkEnd w:id="171"/>
    <w:p w14:paraId="1EF49D3D">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181" w:name="_Toc208849022"/>
      <w:bookmarkStart w:id="182" w:name="_Toc183582297"/>
      <w:bookmarkStart w:id="183" w:name="_Toc217446105"/>
      <w:bookmarkStart w:id="184" w:name="_Toc183682432"/>
      <w:r>
        <w:rPr>
          <w:rFonts w:hint="eastAsia" w:ascii="宋体" w:hAnsi="宋体" w:eastAsia="宋体" w:cs="宋体"/>
          <w:bCs w:val="0"/>
          <w:color w:val="auto"/>
          <w:sz w:val="24"/>
          <w:szCs w:val="24"/>
          <w:highlight w:val="none"/>
        </w:rPr>
        <w:t xml:space="preserve">7. </w:t>
      </w:r>
      <w:bookmarkEnd w:id="181"/>
      <w:bookmarkEnd w:id="182"/>
      <w:bookmarkEnd w:id="183"/>
      <w:bookmarkEnd w:id="184"/>
      <w:r>
        <w:rPr>
          <w:rFonts w:hint="eastAsia" w:ascii="宋体" w:hAnsi="宋体" w:eastAsia="宋体" w:cs="宋体"/>
          <w:color w:val="auto"/>
          <w:sz w:val="24"/>
          <w:szCs w:val="24"/>
          <w:highlight w:val="none"/>
        </w:rPr>
        <w:t>评审专家在采购活动中承担以下义务：</w:t>
      </w:r>
    </w:p>
    <w:p w14:paraId="1332EA52">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7.1 遵纪守法，客观、公正、廉洁地履行职责。</w:t>
      </w:r>
    </w:p>
    <w:p w14:paraId="1429152B">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7.2 按照政府采购法律法规和磋商文件的规定要求对供应商的资格条件和供应商提供的产品价格、技术、服务等方面严格进行评判，提供科学合理、公平公正的评审意见，参与起草评审报告，并予签字确认。</w:t>
      </w:r>
    </w:p>
    <w:p w14:paraId="4910C5CE">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7.3 保守秘密。不得透露磋商情况，不得泄露供应商的响应文件及知悉的商业秘密，不得向供应商透露评审情况。</w:t>
      </w:r>
    </w:p>
    <w:p w14:paraId="1045933C">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7.4 发现供应商在政府采购活动中有不正当竞争或恶意串通等违规行为，及时向政府采购评审工作的组织者或相关部门报告并加以制止。</w:t>
      </w:r>
    </w:p>
    <w:p w14:paraId="4C3659A2">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7.5 解答有关方面对政府采购评审工作中有关问题的询问，配合采购人或者采购代理机构答复供应商质疑，配合相关部门的投诉处理工作等事宜。</w:t>
      </w:r>
    </w:p>
    <w:p w14:paraId="39D583AE">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7.6 法律、法规和规章规定的其他义务。</w:t>
      </w:r>
    </w:p>
    <w:p w14:paraId="170F9171">
      <w:pPr>
        <w:widowControl/>
        <w:autoSpaceDE w:val="0"/>
        <w:autoSpaceDN w:val="0"/>
        <w:spacing w:line="360" w:lineRule="auto"/>
        <w:ind w:firstLine="482" w:firstLineChars="200"/>
        <w:textAlignment w:val="bottom"/>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评审专家在采购活动中应当遵守以下工作纪律：</w:t>
      </w:r>
    </w:p>
    <w:p w14:paraId="19772C65">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8.1 应邀按时参加评审活动。遇特殊情况不能出席或途中遇阻不能按时参加评审的，应及时告知相关部门或者采购人或者采购代理机构，不得私自转托他人。</w:t>
      </w:r>
    </w:p>
    <w:p w14:paraId="697AEB1D">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8.2 不得参加与自己有利害关系的采购项目的评审活动。对与自己有利害关系的评审项目，如受到邀请，应主动提出回避。相关部门、采购人或采购代理机构也可要求该评审专家回避。</w:t>
      </w:r>
    </w:p>
    <w:p w14:paraId="489312D0">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35FE32AD">
      <w:pPr>
        <w:widowControl/>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8.3 评审过程中关闭通讯设备，不得与外界联系。因发生不可预见情况，确实需要与外界联系的，应当有在场工作人员陪同。</w:t>
      </w:r>
    </w:p>
    <w:p w14:paraId="544669EE">
      <w:pPr>
        <w:widowControl/>
        <w:autoSpaceDE w:val="0"/>
        <w:autoSpaceDN w:val="0"/>
        <w:spacing w:line="360" w:lineRule="auto"/>
        <w:ind w:firstLine="480" w:firstLineChars="200"/>
        <w:jc w:val="lef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磋商文件没有规定的方法和标准作为评审的依据；不得违反规定的评审格式评分和撰写评审意见；不得拒绝对自己的评审意见签字确认。</w:t>
      </w:r>
    </w:p>
    <w:p w14:paraId="07998A93">
      <w:pPr>
        <w:widowControl/>
        <w:autoSpaceDE w:val="0"/>
        <w:autoSpaceDN w:val="0"/>
        <w:spacing w:line="360" w:lineRule="auto"/>
        <w:ind w:firstLine="482" w:firstLineChars="200"/>
        <w:jc w:val="center"/>
        <w:textAlignment w:val="bottom"/>
        <w:outlineLvl w:val="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br w:type="page"/>
      </w:r>
      <w:bookmarkStart w:id="185" w:name="_Toc4405"/>
      <w:r>
        <w:rPr>
          <w:rFonts w:hint="eastAsia" w:ascii="宋体" w:hAnsi="宋体" w:eastAsia="宋体" w:cs="宋体"/>
          <w:b/>
          <w:bCs/>
          <w:color w:val="auto"/>
          <w:sz w:val="28"/>
          <w:szCs w:val="28"/>
          <w:highlight w:val="none"/>
        </w:rPr>
        <w:t>第六章  合同草案条款</w:t>
      </w:r>
      <w:bookmarkEnd w:id="185"/>
      <w:r>
        <w:rPr>
          <w:rFonts w:hint="eastAsia" w:ascii="宋体" w:hAnsi="宋体" w:eastAsia="宋体" w:cs="宋体"/>
          <w:b/>
          <w:bCs/>
          <w:color w:val="auto"/>
          <w:sz w:val="24"/>
          <w:highlight w:val="none"/>
          <w:lang w:val="en-US" w:eastAsia="zh-CN"/>
        </w:rPr>
        <w:t xml:space="preserve">   </w:t>
      </w:r>
    </w:p>
    <w:p w14:paraId="03A40F07">
      <w:pPr>
        <w:pStyle w:val="94"/>
        <w:widowControl/>
        <w:spacing w:line="360" w:lineRule="auto"/>
        <w:jc w:val="center"/>
        <w:rPr>
          <w:rStyle w:val="35"/>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w:t>
      </w:r>
    </w:p>
    <w:p w14:paraId="1D2F19BF">
      <w:pPr>
        <w:rPr>
          <w:rFonts w:hint="eastAsia" w:ascii="宋体" w:hAnsi="宋体" w:cs="宋体"/>
          <w:color w:val="auto"/>
          <w:highlight w:val="none"/>
        </w:rPr>
      </w:pPr>
    </w:p>
    <w:p w14:paraId="4B395B18">
      <w:pPr>
        <w:pStyle w:val="106"/>
        <w:snapToGrid w:val="0"/>
        <w:spacing w:line="360" w:lineRule="auto"/>
        <w:ind w:left="0" w:leftChars="0" w:firstLine="0" w:firstLineChars="0"/>
        <w:jc w:val="center"/>
        <w:textAlignment w:val="baseline"/>
        <w:rPr>
          <w:rFonts w:hint="eastAsia" w:ascii="宋体" w:hAnsi="宋体" w:eastAsia="宋体" w:cs="宋体"/>
          <w:b w:val="0"/>
          <w:bCs w:val="0"/>
          <w:color w:val="auto"/>
          <w:sz w:val="48"/>
          <w:szCs w:val="48"/>
          <w:highlight w:val="none"/>
          <w:lang w:val="en-US" w:eastAsia="zh-CN"/>
        </w:rPr>
      </w:pPr>
      <w:bookmarkStart w:id="186" w:name="_Toc425975610_WPSOffice_Level2"/>
      <w:r>
        <w:rPr>
          <w:rFonts w:hint="eastAsia" w:ascii="宋体" w:hAnsi="宋体" w:cs="宋体"/>
          <w:b w:val="0"/>
          <w:bCs w:val="0"/>
          <w:color w:val="auto"/>
          <w:sz w:val="48"/>
          <w:szCs w:val="48"/>
          <w:highlight w:val="none"/>
          <w:lang w:eastAsia="zh-CN"/>
        </w:rPr>
        <w:t>2025年现代职业教育质量提升计划（西教学楼、2号宿舍楼）抗震加固项目</w:t>
      </w:r>
      <w:r>
        <w:rPr>
          <w:rFonts w:hint="eastAsia" w:ascii="宋体" w:hAnsi="宋体" w:eastAsia="宋体" w:cs="宋体"/>
          <w:b w:val="0"/>
          <w:bCs w:val="0"/>
          <w:color w:val="auto"/>
          <w:sz w:val="48"/>
          <w:szCs w:val="48"/>
          <w:highlight w:val="none"/>
          <w:lang w:eastAsia="zh-CN"/>
        </w:rPr>
        <w:t>全过程造价咨询服务</w:t>
      </w:r>
    </w:p>
    <w:p w14:paraId="2266C9FF">
      <w:pPr>
        <w:pStyle w:val="106"/>
        <w:snapToGrid w:val="0"/>
        <w:spacing w:line="360" w:lineRule="auto"/>
        <w:jc w:val="center"/>
        <w:textAlignment w:val="baseline"/>
        <w:rPr>
          <w:rFonts w:hint="eastAsia" w:ascii="宋体" w:hAnsi="宋体" w:eastAsia="宋体" w:cs="宋体"/>
          <w:b w:val="0"/>
          <w:bCs w:val="0"/>
          <w:color w:val="auto"/>
          <w:sz w:val="44"/>
          <w:szCs w:val="44"/>
          <w:highlight w:val="none"/>
        </w:rPr>
      </w:pPr>
    </w:p>
    <w:p w14:paraId="64E98656">
      <w:pPr>
        <w:pStyle w:val="106"/>
        <w:snapToGrid w:val="0"/>
        <w:spacing w:line="360" w:lineRule="auto"/>
        <w:ind w:left="0" w:leftChars="0" w:firstLine="0" w:firstLineChars="0"/>
        <w:jc w:val="center"/>
        <w:textAlignment w:val="baseline"/>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rPr>
        <w:t>合</w:t>
      </w:r>
    </w:p>
    <w:p w14:paraId="5AA37FA2">
      <w:pPr>
        <w:pStyle w:val="106"/>
        <w:snapToGrid w:val="0"/>
        <w:spacing w:line="360" w:lineRule="auto"/>
        <w:ind w:left="0" w:leftChars="0" w:firstLine="0" w:firstLineChars="0"/>
        <w:jc w:val="center"/>
        <w:textAlignment w:val="baseline"/>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rPr>
        <w:t>同</w:t>
      </w:r>
      <w:bookmarkEnd w:id="186"/>
    </w:p>
    <w:p w14:paraId="2DA986B0">
      <w:pPr>
        <w:pStyle w:val="106"/>
        <w:snapToGrid w:val="0"/>
        <w:spacing w:line="360" w:lineRule="auto"/>
        <w:ind w:left="0" w:leftChars="0" w:firstLine="0" w:firstLineChars="0"/>
        <w:jc w:val="center"/>
        <w:textAlignment w:val="baseline"/>
        <w:rPr>
          <w:rFonts w:hint="eastAsia" w:ascii="宋体" w:hAnsi="宋体" w:eastAsia="宋体" w:cs="宋体"/>
          <w:b w:val="0"/>
          <w:bCs w:val="0"/>
          <w:color w:val="auto"/>
          <w:sz w:val="48"/>
          <w:szCs w:val="48"/>
          <w:highlight w:val="none"/>
        </w:rPr>
      </w:pPr>
      <w:r>
        <w:rPr>
          <w:rFonts w:hint="eastAsia" w:ascii="宋体" w:hAnsi="宋体" w:eastAsia="宋体" w:cs="宋体"/>
          <w:b w:val="0"/>
          <w:bCs w:val="0"/>
          <w:color w:val="auto"/>
          <w:sz w:val="48"/>
          <w:szCs w:val="48"/>
          <w:highlight w:val="none"/>
        </w:rPr>
        <w:t>书</w:t>
      </w:r>
    </w:p>
    <w:p w14:paraId="4B3695B8">
      <w:pPr>
        <w:pStyle w:val="106"/>
        <w:snapToGrid w:val="0"/>
        <w:spacing w:line="360" w:lineRule="auto"/>
        <w:ind w:firstLine="602"/>
        <w:textAlignment w:val="baseline"/>
        <w:rPr>
          <w:rFonts w:hint="eastAsia" w:ascii="宋体" w:hAnsi="宋体" w:eastAsia="宋体" w:cs="宋体"/>
          <w:b/>
          <w:bCs/>
          <w:color w:val="auto"/>
          <w:sz w:val="30"/>
          <w:szCs w:val="30"/>
          <w:highlight w:val="none"/>
        </w:rPr>
      </w:pPr>
    </w:p>
    <w:p w14:paraId="3C92C771">
      <w:pPr>
        <w:keepNext w:val="0"/>
        <w:keepLines w:val="0"/>
        <w:widowControl w:val="0"/>
        <w:kinsoku/>
        <w:wordWrap/>
        <w:overflowPunct/>
        <w:topLinePunct w:val="0"/>
        <w:autoSpaceDE/>
        <w:autoSpaceDN/>
        <w:bidi w:val="0"/>
        <w:spacing w:line="480" w:lineRule="exact"/>
        <w:ind w:left="0" w:leftChars="0" w:firstLine="442" w:firstLineChars="200"/>
        <w:jc w:val="center"/>
        <w:textAlignment w:val="auto"/>
        <w:rPr>
          <w:rFonts w:hint="eastAsia" w:ascii="宋体" w:hAnsi="宋体" w:eastAsia="宋体" w:cs="宋体"/>
          <w:b/>
          <w:bCs/>
          <w:color w:val="auto"/>
          <w:sz w:val="22"/>
          <w:szCs w:val="22"/>
          <w:highlight w:val="none"/>
          <w:lang w:val="en-US" w:eastAsia="zh-CN"/>
        </w:rPr>
      </w:pPr>
    </w:p>
    <w:p w14:paraId="6934207D">
      <w:pPr>
        <w:pStyle w:val="11"/>
        <w:rPr>
          <w:rFonts w:hint="eastAsia" w:ascii="宋体" w:hAnsi="宋体" w:eastAsia="宋体" w:cs="宋体"/>
          <w:b/>
          <w:bCs/>
          <w:color w:val="auto"/>
          <w:sz w:val="22"/>
          <w:szCs w:val="22"/>
          <w:highlight w:val="none"/>
          <w:lang w:val="en-US" w:eastAsia="zh-CN"/>
        </w:rPr>
      </w:pPr>
    </w:p>
    <w:p w14:paraId="6C3499C5">
      <w:pPr>
        <w:rPr>
          <w:rFonts w:hint="eastAsia" w:ascii="宋体" w:hAnsi="宋体" w:eastAsia="宋体" w:cs="宋体"/>
          <w:b/>
          <w:bCs/>
          <w:color w:val="auto"/>
          <w:sz w:val="22"/>
          <w:szCs w:val="22"/>
          <w:highlight w:val="none"/>
          <w:lang w:val="en-US" w:eastAsia="zh-CN"/>
        </w:rPr>
      </w:pPr>
    </w:p>
    <w:p w14:paraId="477D0ED6">
      <w:pPr>
        <w:widowControl/>
        <w:autoSpaceDE w:val="0"/>
        <w:autoSpaceDN w:val="0"/>
        <w:spacing w:line="480" w:lineRule="exact"/>
        <w:ind w:firstLine="560"/>
        <w:textAlignment w:val="bottom"/>
        <w:rPr>
          <w:rFonts w:hint="eastAsia" w:ascii="宋体" w:hAnsi="宋体" w:eastAsia="宋体" w:cs="宋体"/>
          <w:color w:val="auto"/>
          <w:sz w:val="28"/>
          <w:szCs w:val="28"/>
          <w:highlight w:val="none"/>
        </w:rPr>
      </w:pPr>
      <w:bookmarkStart w:id="187" w:name="_Toc472070093_WPSOffice_Level2"/>
    </w:p>
    <w:p w14:paraId="64D06AC4">
      <w:pPr>
        <w:widowControl/>
        <w:autoSpaceDE w:val="0"/>
        <w:autoSpaceDN w:val="0"/>
        <w:spacing w:line="480" w:lineRule="exact"/>
        <w:ind w:firstLine="560"/>
        <w:textAlignment w:val="bottom"/>
        <w:rPr>
          <w:rFonts w:hint="eastAsia" w:ascii="宋体" w:hAnsi="宋体" w:eastAsia="宋体" w:cs="宋体"/>
          <w:color w:val="auto"/>
          <w:sz w:val="28"/>
          <w:szCs w:val="28"/>
          <w:highlight w:val="none"/>
        </w:rPr>
      </w:pPr>
    </w:p>
    <w:bookmarkEnd w:id="187"/>
    <w:p w14:paraId="41A188D6">
      <w:pPr>
        <w:widowControl/>
        <w:autoSpaceDE w:val="0"/>
        <w:autoSpaceDN w:val="0"/>
        <w:spacing w:line="480" w:lineRule="exact"/>
        <w:ind w:firstLine="560"/>
        <w:textAlignment w:val="bottom"/>
        <w:rPr>
          <w:rFonts w:hint="eastAsia" w:ascii="宋体" w:hAnsi="宋体" w:eastAsia="宋体" w:cs="宋体"/>
          <w:color w:val="auto"/>
          <w:sz w:val="28"/>
          <w:szCs w:val="28"/>
          <w:highlight w:val="none"/>
        </w:rPr>
      </w:pPr>
      <w:bookmarkStart w:id="188" w:name="_Toc91585064_WPSOffice_Level2"/>
      <w:r>
        <w:rPr>
          <w:rFonts w:hint="eastAsia" w:ascii="宋体" w:hAnsi="宋体" w:eastAsia="宋体" w:cs="宋体"/>
          <w:color w:val="auto"/>
          <w:sz w:val="28"/>
          <w:szCs w:val="28"/>
          <w:highlight w:val="none"/>
        </w:rPr>
        <w:t>项目名称：[            ]</w:t>
      </w:r>
      <w:bookmarkEnd w:id="188"/>
    </w:p>
    <w:p w14:paraId="489129C8">
      <w:pPr>
        <w:widowControl/>
        <w:autoSpaceDE w:val="0"/>
        <w:autoSpaceDN w:val="0"/>
        <w:spacing w:line="480" w:lineRule="exact"/>
        <w:ind w:firstLine="560"/>
        <w:textAlignment w:val="bottom"/>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委托方（甲方）：[             ]</w:t>
      </w:r>
    </w:p>
    <w:p w14:paraId="7F1BC49F">
      <w:pPr>
        <w:spacing w:line="480" w:lineRule="exact"/>
        <w:ind w:firstLine="560"/>
        <w:rPr>
          <w:rFonts w:hint="eastAsia" w:ascii="宋体" w:hAnsi="宋体" w:eastAsia="宋体" w:cs="宋体"/>
          <w:color w:val="auto"/>
          <w:sz w:val="28"/>
          <w:szCs w:val="28"/>
          <w:highlight w:val="none"/>
        </w:rPr>
      </w:pPr>
      <w:bookmarkStart w:id="189" w:name="_Toc87220481_WPSOffice_Level2"/>
      <w:r>
        <w:rPr>
          <w:rFonts w:hint="eastAsia" w:ascii="宋体" w:hAnsi="宋体" w:eastAsia="宋体" w:cs="宋体"/>
          <w:color w:val="auto"/>
          <w:sz w:val="28"/>
          <w:szCs w:val="28"/>
          <w:highlight w:val="none"/>
        </w:rPr>
        <w:t>受托方（乙方）：[             ]</w:t>
      </w:r>
      <w:bookmarkEnd w:id="189"/>
    </w:p>
    <w:p w14:paraId="0C19563C">
      <w:pPr>
        <w:spacing w:line="480" w:lineRule="exact"/>
        <w:ind w:firstLine="560"/>
        <w:rPr>
          <w:rFonts w:hint="eastAsia" w:ascii="宋体" w:hAnsi="宋体" w:eastAsia="宋体" w:cs="宋体"/>
          <w:color w:val="auto"/>
          <w:highlight w:val="none"/>
        </w:rPr>
      </w:pPr>
      <w:bookmarkStart w:id="190" w:name="_Toc743617286_WPSOffice_Level2"/>
      <w:r>
        <w:rPr>
          <w:rFonts w:hint="eastAsia" w:ascii="宋体" w:hAnsi="宋体" w:eastAsia="宋体" w:cs="宋体"/>
          <w:color w:val="auto"/>
          <w:sz w:val="28"/>
          <w:szCs w:val="28"/>
          <w:highlight w:val="none"/>
        </w:rPr>
        <w:t>合同签订地：[             ]</w:t>
      </w:r>
      <w:bookmarkEnd w:id="190"/>
    </w:p>
    <w:p w14:paraId="0FD43464">
      <w:pPr>
        <w:pStyle w:val="11"/>
        <w:rPr>
          <w:rFonts w:hint="eastAsia" w:ascii="宋体" w:hAnsi="宋体" w:eastAsia="宋体" w:cs="宋体"/>
          <w:color w:val="auto"/>
          <w:highlight w:val="none"/>
          <w:lang w:val="en-US" w:eastAsia="zh-CN"/>
        </w:rPr>
      </w:pPr>
    </w:p>
    <w:p w14:paraId="5349B943">
      <w:pPr>
        <w:keepNext w:val="0"/>
        <w:keepLines w:val="0"/>
        <w:kinsoku/>
        <w:wordWrap/>
        <w:overflowPunct/>
        <w:topLinePunct w:val="0"/>
        <w:bidi w:val="0"/>
        <w:adjustRightInd/>
        <w:snapToGrid/>
        <w:spacing w:beforeLines="-2147483648" w:afterLines="-2147483648" w:line="240" w:lineRule="auto"/>
        <w:ind w:left="0" w:leftChars="0"/>
        <w:jc w:val="left"/>
        <w:textAlignment w:val="auto"/>
        <w:rPr>
          <w:rFonts w:hint="eastAsia" w:ascii="宋体" w:hAnsi="宋体" w:eastAsia="宋体" w:cs="宋体"/>
          <w:b/>
          <w:color w:val="auto"/>
          <w:kern w:val="44"/>
          <w:sz w:val="40"/>
          <w:szCs w:val="40"/>
          <w:highlight w:val="none"/>
        </w:rPr>
      </w:pPr>
      <w:bookmarkStart w:id="191" w:name="_Toc422322470"/>
      <w:bookmarkStart w:id="192" w:name="_Toc419045055"/>
      <w:r>
        <w:rPr>
          <w:rFonts w:hint="eastAsia" w:ascii="宋体" w:hAnsi="宋体" w:eastAsia="宋体" w:cs="宋体"/>
          <w:b/>
          <w:color w:val="auto"/>
          <w:kern w:val="44"/>
          <w:sz w:val="40"/>
          <w:szCs w:val="40"/>
          <w:highlight w:val="none"/>
        </w:rPr>
        <w:br w:type="page"/>
      </w:r>
    </w:p>
    <w:p w14:paraId="5E848567">
      <w:pPr>
        <w:keepNext w:val="0"/>
        <w:keepLines w:val="0"/>
        <w:tabs>
          <w:tab w:val="left" w:pos="3360"/>
          <w:tab w:val="center" w:pos="4153"/>
        </w:tabs>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b/>
          <w:color w:val="auto"/>
          <w:kern w:val="44"/>
          <w:sz w:val="40"/>
          <w:szCs w:val="40"/>
          <w:highlight w:val="none"/>
        </w:rPr>
      </w:pPr>
      <w:r>
        <w:rPr>
          <w:rFonts w:hint="eastAsia" w:ascii="宋体" w:hAnsi="宋体" w:eastAsia="宋体" w:cs="宋体"/>
          <w:b/>
          <w:color w:val="auto"/>
          <w:kern w:val="44"/>
          <w:sz w:val="40"/>
          <w:szCs w:val="40"/>
          <w:highlight w:val="none"/>
        </w:rPr>
        <w:t>第一部分  协议书</w:t>
      </w:r>
      <w:bookmarkEnd w:id="191"/>
      <w:bookmarkEnd w:id="192"/>
    </w:p>
    <w:p w14:paraId="1C369C0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single"/>
        </w:rPr>
      </w:pPr>
      <w:bookmarkStart w:id="193" w:name="7"/>
      <w:r>
        <w:rPr>
          <w:rFonts w:hint="eastAsia" w:ascii="宋体" w:hAnsi="宋体" w:eastAsia="宋体" w:cs="宋体"/>
          <w:color w:val="auto"/>
          <w:kern w:val="0"/>
          <w:sz w:val="28"/>
          <w:szCs w:val="28"/>
          <w:highlight w:val="none"/>
        </w:rPr>
        <w:t>委托人（</w:t>
      </w:r>
      <w:r>
        <w:rPr>
          <w:rFonts w:hint="eastAsia" w:ascii="宋体" w:hAnsi="宋体" w:eastAsia="宋体" w:cs="宋体"/>
          <w:color w:val="auto"/>
          <w:kern w:val="0"/>
          <w:sz w:val="28"/>
          <w:szCs w:val="28"/>
          <w:highlight w:val="none"/>
          <w:lang w:eastAsia="zh-CN"/>
        </w:rPr>
        <w:t>甲方，</w:t>
      </w:r>
      <w:r>
        <w:rPr>
          <w:rFonts w:hint="eastAsia" w:ascii="宋体" w:hAnsi="宋体" w:eastAsia="宋体" w:cs="宋体"/>
          <w:color w:val="auto"/>
          <w:kern w:val="0"/>
          <w:sz w:val="28"/>
          <w:szCs w:val="28"/>
          <w:highlight w:val="none"/>
        </w:rPr>
        <w:t>全称）：</w:t>
      </w:r>
      <w:r>
        <w:rPr>
          <w:rFonts w:hint="eastAsia" w:ascii="宋体" w:hAnsi="宋体" w:eastAsia="宋体" w:cs="宋体"/>
          <w:color w:val="auto"/>
          <w:kern w:val="0"/>
          <w:sz w:val="28"/>
          <w:szCs w:val="28"/>
          <w:highlight w:val="none"/>
          <w:u w:val="single"/>
        </w:rPr>
        <w:t xml:space="preserve">                           </w:t>
      </w:r>
    </w:p>
    <w:p w14:paraId="126760F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w:t>
      </w:r>
      <w:r>
        <w:rPr>
          <w:rFonts w:hint="eastAsia" w:ascii="宋体" w:hAnsi="宋体" w:eastAsia="宋体" w:cs="宋体"/>
          <w:color w:val="auto"/>
          <w:kern w:val="0"/>
          <w:sz w:val="28"/>
          <w:szCs w:val="28"/>
          <w:highlight w:val="none"/>
          <w:lang w:eastAsia="zh-CN"/>
        </w:rPr>
        <w:t>乙方，</w:t>
      </w:r>
      <w:r>
        <w:rPr>
          <w:rFonts w:hint="eastAsia" w:ascii="宋体" w:hAnsi="宋体" w:eastAsia="宋体" w:cs="宋体"/>
          <w:color w:val="auto"/>
          <w:kern w:val="0"/>
          <w:sz w:val="28"/>
          <w:szCs w:val="28"/>
          <w:highlight w:val="none"/>
        </w:rPr>
        <w:t>全称）：</w:t>
      </w:r>
      <w:r>
        <w:rPr>
          <w:rFonts w:hint="eastAsia" w:ascii="宋体" w:hAnsi="宋体" w:eastAsia="宋体" w:cs="宋体"/>
          <w:color w:val="auto"/>
          <w:kern w:val="0"/>
          <w:sz w:val="28"/>
          <w:szCs w:val="28"/>
          <w:highlight w:val="none"/>
          <w:u w:val="single"/>
        </w:rPr>
        <w:t xml:space="preserve">                           </w:t>
      </w:r>
    </w:p>
    <w:p w14:paraId="14BFD4A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color w:val="auto"/>
          <w:kern w:val="0"/>
          <w:sz w:val="28"/>
          <w:szCs w:val="28"/>
          <w:highlight w:val="none"/>
        </w:rPr>
      </w:pPr>
      <w:bookmarkStart w:id="194" w:name="_Toc422322471"/>
      <w:bookmarkStart w:id="195" w:name="_Toc419045056"/>
      <w:r>
        <w:rPr>
          <w:rFonts w:hint="eastAsia" w:ascii="宋体" w:hAnsi="宋体" w:eastAsia="宋体" w:cs="宋体"/>
          <w:b w:val="0"/>
          <w:bCs/>
          <w:color w:val="auto"/>
          <w:kern w:val="0"/>
          <w:sz w:val="28"/>
          <w:szCs w:val="28"/>
          <w:highlight w:val="none"/>
        </w:rPr>
        <w:t>甲、乙</w:t>
      </w:r>
      <w:r>
        <w:rPr>
          <w:rFonts w:hint="eastAsia" w:ascii="宋体" w:hAnsi="宋体" w:eastAsia="宋体" w:cs="宋体"/>
          <w:b w:val="0"/>
          <w:bCs/>
          <w:color w:val="auto"/>
          <w:kern w:val="0"/>
          <w:sz w:val="28"/>
          <w:szCs w:val="28"/>
          <w:highlight w:val="none"/>
          <w:lang w:eastAsia="zh-CN"/>
        </w:rPr>
        <w:t>双</w:t>
      </w:r>
      <w:r>
        <w:rPr>
          <w:rFonts w:hint="eastAsia" w:ascii="宋体" w:hAnsi="宋体" w:eastAsia="宋体" w:cs="宋体"/>
          <w:b w:val="0"/>
          <w:bCs/>
          <w:color w:val="auto"/>
          <w:kern w:val="0"/>
          <w:sz w:val="28"/>
          <w:szCs w:val="28"/>
          <w:highlight w:val="none"/>
        </w:rPr>
        <w:t>方经过平等协商，在真实、充分地表达各自意愿的基础上，根据《中华人民共和国民法典》及相关法律法规的规定，对甲方委托乙方就</w:t>
      </w:r>
      <w:r>
        <w:rPr>
          <w:rFonts w:hint="eastAsia" w:ascii="宋体" w:hAnsi="宋体" w:cs="宋体"/>
          <w:b w:val="0"/>
          <w:bCs/>
          <w:color w:val="auto"/>
          <w:kern w:val="0"/>
          <w:sz w:val="28"/>
          <w:szCs w:val="28"/>
          <w:highlight w:val="none"/>
          <w:lang w:eastAsia="zh-CN"/>
        </w:rPr>
        <w:t>2025年现代职业教育质量提升计划（西教学楼、2号宿舍楼）抗震加固项目</w:t>
      </w:r>
      <w:r>
        <w:rPr>
          <w:rFonts w:hint="eastAsia" w:ascii="宋体" w:hAnsi="宋体" w:eastAsia="宋体" w:cs="宋体"/>
          <w:b w:val="0"/>
          <w:bCs/>
          <w:color w:val="auto"/>
          <w:kern w:val="0"/>
          <w:sz w:val="28"/>
          <w:szCs w:val="28"/>
          <w:highlight w:val="none"/>
          <w:lang w:eastAsia="zh-CN"/>
        </w:rPr>
        <w:t>全过程造价咨询服务</w:t>
      </w:r>
      <w:r>
        <w:rPr>
          <w:rFonts w:hint="eastAsia" w:ascii="宋体" w:hAnsi="宋体" w:eastAsia="宋体" w:cs="宋体"/>
          <w:b w:val="0"/>
          <w:bCs/>
          <w:color w:val="auto"/>
          <w:kern w:val="0"/>
          <w:sz w:val="28"/>
          <w:szCs w:val="28"/>
          <w:highlight w:val="none"/>
        </w:rPr>
        <w:t>等相关事宜达成如下合同，由</w:t>
      </w:r>
      <w:r>
        <w:rPr>
          <w:rFonts w:hint="eastAsia" w:ascii="宋体" w:hAnsi="宋体" w:eastAsia="宋体" w:cs="宋体"/>
          <w:b w:val="0"/>
          <w:bCs/>
          <w:color w:val="auto"/>
          <w:kern w:val="0"/>
          <w:sz w:val="28"/>
          <w:szCs w:val="28"/>
          <w:highlight w:val="none"/>
          <w:lang w:eastAsia="zh-CN"/>
        </w:rPr>
        <w:t>双</w:t>
      </w:r>
      <w:r>
        <w:rPr>
          <w:rFonts w:hint="eastAsia" w:ascii="宋体" w:hAnsi="宋体" w:eastAsia="宋体" w:cs="宋体"/>
          <w:b w:val="0"/>
          <w:bCs/>
          <w:color w:val="auto"/>
          <w:kern w:val="0"/>
          <w:sz w:val="28"/>
          <w:szCs w:val="28"/>
          <w:highlight w:val="none"/>
        </w:rPr>
        <w:t>方共同恪守。</w:t>
      </w:r>
    </w:p>
    <w:p w14:paraId="419E5B68">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一、工程概况</w:t>
      </w:r>
      <w:bookmarkEnd w:id="194"/>
    </w:p>
    <w:p w14:paraId="3053E841">
      <w:pPr>
        <w:keepNext w:val="0"/>
        <w:keepLines w:val="0"/>
        <w:widowControl/>
        <w:tabs>
          <w:tab w:val="left" w:pos="312"/>
        </w:tabs>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1.工程名称：</w:t>
      </w:r>
      <w:r>
        <w:rPr>
          <w:rFonts w:hint="eastAsia" w:ascii="宋体" w:hAnsi="宋体" w:eastAsia="宋体" w:cs="宋体"/>
          <w:color w:val="auto"/>
          <w:kern w:val="0"/>
          <w:sz w:val="28"/>
          <w:szCs w:val="28"/>
          <w:highlight w:val="none"/>
          <w:u w:val="single"/>
        </w:rPr>
        <w:t xml:space="preserve">                                        </w:t>
      </w:r>
    </w:p>
    <w:p w14:paraId="359E2E53">
      <w:pPr>
        <w:keepNext w:val="0"/>
        <w:keepLines w:val="0"/>
        <w:widowControl/>
        <w:tabs>
          <w:tab w:val="left" w:pos="312"/>
        </w:tabs>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2.工程地点：</w:t>
      </w:r>
      <w:bookmarkEnd w:id="195"/>
      <w:r>
        <w:rPr>
          <w:rFonts w:hint="eastAsia" w:ascii="宋体" w:hAnsi="宋体" w:eastAsia="宋体" w:cs="宋体"/>
          <w:color w:val="auto"/>
          <w:kern w:val="0"/>
          <w:sz w:val="28"/>
          <w:szCs w:val="28"/>
          <w:highlight w:val="none"/>
          <w:u w:val="single"/>
        </w:rPr>
        <w:t xml:space="preserve">                                        </w:t>
      </w:r>
    </w:p>
    <w:p w14:paraId="2875DE8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3.工程规模：</w:t>
      </w:r>
      <w:r>
        <w:rPr>
          <w:rFonts w:hint="eastAsia" w:ascii="宋体" w:hAnsi="宋体" w:eastAsia="宋体" w:cs="宋体"/>
          <w:color w:val="auto"/>
          <w:kern w:val="0"/>
          <w:sz w:val="28"/>
          <w:szCs w:val="28"/>
          <w:highlight w:val="none"/>
          <w:u w:val="single"/>
        </w:rPr>
        <w:t xml:space="preserve">                                        </w:t>
      </w:r>
    </w:p>
    <w:p w14:paraId="55A042C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4.投资金额：</w:t>
      </w:r>
      <w:r>
        <w:rPr>
          <w:rFonts w:hint="eastAsia" w:ascii="宋体" w:hAnsi="宋体" w:eastAsia="宋体" w:cs="宋体"/>
          <w:color w:val="auto"/>
          <w:kern w:val="0"/>
          <w:sz w:val="28"/>
          <w:szCs w:val="28"/>
          <w:highlight w:val="none"/>
          <w:u w:val="single"/>
        </w:rPr>
        <w:t xml:space="preserve">                                        </w:t>
      </w:r>
    </w:p>
    <w:p w14:paraId="31ADD99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single"/>
          <w:lang w:bidi="ar"/>
        </w:rPr>
      </w:pPr>
      <w:r>
        <w:rPr>
          <w:rFonts w:hint="eastAsia" w:ascii="宋体" w:hAnsi="宋体" w:eastAsia="宋体" w:cs="宋体"/>
          <w:color w:val="auto"/>
          <w:kern w:val="0"/>
          <w:sz w:val="28"/>
          <w:szCs w:val="28"/>
          <w:highlight w:val="none"/>
        </w:rPr>
        <w:t>5.资金来源：</w:t>
      </w:r>
      <w:r>
        <w:rPr>
          <w:rFonts w:hint="eastAsia" w:ascii="宋体" w:hAnsi="宋体" w:eastAsia="宋体" w:cs="宋体"/>
          <w:color w:val="auto"/>
          <w:kern w:val="0"/>
          <w:sz w:val="28"/>
          <w:szCs w:val="28"/>
          <w:highlight w:val="none"/>
          <w:u w:val="single"/>
        </w:rPr>
        <w:t xml:space="preserve">                                        </w:t>
      </w:r>
    </w:p>
    <w:p w14:paraId="52CB825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6.建设工期或周期：</w:t>
      </w:r>
      <w:r>
        <w:rPr>
          <w:rFonts w:hint="eastAsia" w:ascii="宋体" w:hAnsi="宋体" w:eastAsia="宋体" w:cs="宋体"/>
          <w:color w:val="auto"/>
          <w:kern w:val="0"/>
          <w:sz w:val="28"/>
          <w:szCs w:val="28"/>
          <w:highlight w:val="none"/>
          <w:u w:val="single"/>
        </w:rPr>
        <w:t xml:space="preserve">                                  </w:t>
      </w:r>
    </w:p>
    <w:bookmarkEnd w:id="193"/>
    <w:p w14:paraId="43F57091">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196" w:name="_Toc419045059"/>
      <w:bookmarkStart w:id="197" w:name="_Toc422322472"/>
      <w:bookmarkStart w:id="198" w:name="_Toc141198725"/>
      <w:r>
        <w:rPr>
          <w:rFonts w:hint="eastAsia" w:ascii="宋体" w:hAnsi="宋体" w:eastAsia="宋体" w:cs="宋体"/>
          <w:b/>
          <w:color w:val="auto"/>
          <w:kern w:val="0"/>
          <w:sz w:val="28"/>
          <w:szCs w:val="28"/>
          <w:highlight w:val="none"/>
        </w:rPr>
        <w:t>二、服务范围及工作内容</w:t>
      </w:r>
      <w:bookmarkEnd w:id="196"/>
      <w:bookmarkEnd w:id="197"/>
      <w:bookmarkEnd w:id="198"/>
    </w:p>
    <w:p w14:paraId="756EBED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eastAsia" w:ascii="宋体" w:hAnsi="宋体" w:eastAsia="宋体" w:cs="宋体"/>
          <w:color w:val="auto"/>
          <w:kern w:val="0"/>
          <w:sz w:val="28"/>
          <w:szCs w:val="28"/>
          <w:highlight w:val="none"/>
        </w:rPr>
      </w:pPr>
      <w:bookmarkStart w:id="199" w:name="_Toc141198726"/>
      <w:r>
        <w:rPr>
          <w:rFonts w:hint="eastAsia" w:ascii="宋体" w:hAnsi="宋体" w:eastAsia="宋体" w:cs="宋体"/>
          <w:color w:val="auto"/>
          <w:kern w:val="0"/>
          <w:sz w:val="28"/>
          <w:szCs w:val="28"/>
          <w:highlight w:val="none"/>
        </w:rPr>
        <w:t>双方约定的服务范围及工作内容：</w:t>
      </w:r>
      <w:bookmarkEnd w:id="199"/>
      <w:r>
        <w:rPr>
          <w:rFonts w:hint="eastAsia" w:ascii="宋体" w:hAnsi="宋体" w:eastAsia="宋体" w:cs="宋体"/>
          <w:color w:val="auto"/>
          <w:kern w:val="0"/>
          <w:sz w:val="28"/>
          <w:szCs w:val="28"/>
          <w:highlight w:val="none"/>
          <w:u w:val="single"/>
        </w:rPr>
        <w:t xml:space="preserve">                      </w:t>
      </w:r>
    </w:p>
    <w:p w14:paraId="4967BA7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服务范围及工作内容详见附录A。</w:t>
      </w:r>
      <w:bookmarkStart w:id="200" w:name="_Toc419045060"/>
      <w:bookmarkStart w:id="201" w:name="9"/>
    </w:p>
    <w:p w14:paraId="36A863FB">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02" w:name="_Toc141198727"/>
      <w:bookmarkStart w:id="203" w:name="_Toc422322473"/>
      <w:r>
        <w:rPr>
          <w:rFonts w:hint="eastAsia" w:ascii="宋体" w:hAnsi="宋体" w:eastAsia="宋体" w:cs="宋体"/>
          <w:b/>
          <w:color w:val="auto"/>
          <w:kern w:val="0"/>
          <w:sz w:val="28"/>
          <w:szCs w:val="28"/>
          <w:highlight w:val="none"/>
        </w:rPr>
        <w:t>三、服务期限</w:t>
      </w:r>
      <w:bookmarkEnd w:id="200"/>
      <w:bookmarkEnd w:id="202"/>
      <w:bookmarkEnd w:id="203"/>
    </w:p>
    <w:p w14:paraId="79611CF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本合同约定的建设工程造价咨询服务自</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日开始实施，至</w:t>
      </w:r>
      <w:r>
        <w:rPr>
          <w:rFonts w:hint="eastAsia" w:ascii="宋体" w:hAnsi="宋体" w:eastAsia="宋体" w:cs="宋体"/>
          <w:color w:val="auto"/>
          <w:kern w:val="0"/>
          <w:sz w:val="28"/>
          <w:szCs w:val="28"/>
          <w:highlight w:val="none"/>
          <w:u w:val="single"/>
        </w:rPr>
        <w:t xml:space="preserve"> 出结算审计报告后</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rPr>
        <w:t>日终结。</w:t>
      </w:r>
      <w:bookmarkEnd w:id="201"/>
    </w:p>
    <w:p w14:paraId="37AD11B1">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04" w:name="_Toc141198728"/>
      <w:bookmarkStart w:id="205" w:name="_Toc419045061"/>
      <w:bookmarkStart w:id="206" w:name="_Toc422322474"/>
      <w:r>
        <w:rPr>
          <w:rFonts w:hint="eastAsia" w:ascii="宋体" w:hAnsi="宋体" w:eastAsia="宋体" w:cs="宋体"/>
          <w:b/>
          <w:color w:val="auto"/>
          <w:kern w:val="0"/>
          <w:sz w:val="28"/>
          <w:szCs w:val="28"/>
          <w:highlight w:val="none"/>
        </w:rPr>
        <w:t>四、质量标准</w:t>
      </w:r>
      <w:bookmarkEnd w:id="204"/>
      <w:bookmarkEnd w:id="205"/>
      <w:bookmarkEnd w:id="206"/>
    </w:p>
    <w:p w14:paraId="095EC46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eastAsia" w:ascii="宋体" w:hAnsi="宋体" w:eastAsia="宋体" w:cs="宋体"/>
          <w:color w:val="auto"/>
          <w:kern w:val="0"/>
          <w:sz w:val="28"/>
          <w:szCs w:val="28"/>
          <w:highlight w:val="none"/>
        </w:rPr>
      </w:pPr>
      <w:bookmarkStart w:id="207" w:name="_Toc141198729"/>
      <w:r>
        <w:rPr>
          <w:rFonts w:hint="eastAsia" w:ascii="宋体" w:hAnsi="宋体" w:eastAsia="宋体" w:cs="宋体"/>
          <w:color w:val="auto"/>
          <w:kern w:val="0"/>
          <w:sz w:val="28"/>
          <w:szCs w:val="28"/>
          <w:highlight w:val="none"/>
        </w:rPr>
        <w:t>工程造价咨询成果文件应符合：</w:t>
      </w:r>
      <w:r>
        <w:rPr>
          <w:rFonts w:hint="eastAsia" w:ascii="宋体" w:hAnsi="宋体" w:eastAsia="宋体" w:cs="宋体"/>
          <w:color w:val="auto"/>
          <w:kern w:val="0"/>
          <w:sz w:val="28"/>
          <w:szCs w:val="28"/>
          <w:highlight w:val="none"/>
          <w:u w:val="single"/>
          <w:lang w:eastAsia="zh-CN"/>
        </w:rPr>
        <w:t>采购文件“第四部分技术要求”</w:t>
      </w:r>
      <w:r>
        <w:rPr>
          <w:rFonts w:hint="eastAsia" w:ascii="宋体" w:hAnsi="宋体" w:eastAsia="宋体" w:cs="宋体"/>
          <w:color w:val="auto"/>
          <w:kern w:val="0"/>
          <w:sz w:val="28"/>
          <w:szCs w:val="28"/>
          <w:highlight w:val="none"/>
        </w:rPr>
        <w:t>。</w:t>
      </w:r>
      <w:bookmarkEnd w:id="207"/>
    </w:p>
    <w:p w14:paraId="23ECEE81">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08" w:name="_Toc422322475"/>
      <w:bookmarkStart w:id="209" w:name="_Toc141198730"/>
      <w:bookmarkStart w:id="210" w:name="_Toc419045062"/>
      <w:bookmarkStart w:id="211" w:name="12"/>
      <w:r>
        <w:rPr>
          <w:rFonts w:hint="eastAsia" w:ascii="宋体" w:hAnsi="宋体" w:eastAsia="宋体" w:cs="宋体"/>
          <w:b/>
          <w:color w:val="auto"/>
          <w:kern w:val="0"/>
          <w:sz w:val="28"/>
          <w:szCs w:val="28"/>
          <w:highlight w:val="none"/>
        </w:rPr>
        <w:t>五、酬金或计取方式</w:t>
      </w:r>
      <w:bookmarkEnd w:id="208"/>
      <w:bookmarkEnd w:id="209"/>
      <w:bookmarkEnd w:id="210"/>
      <w:r>
        <w:rPr>
          <w:rFonts w:hint="eastAsia" w:ascii="宋体" w:hAnsi="宋体" w:eastAsia="宋体" w:cs="宋体"/>
          <w:b/>
          <w:color w:val="auto"/>
          <w:kern w:val="0"/>
          <w:sz w:val="28"/>
          <w:szCs w:val="28"/>
          <w:highlight w:val="none"/>
        </w:rPr>
        <w:t xml:space="preserve">    </w:t>
      </w:r>
    </w:p>
    <w:p w14:paraId="16C0A90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1.酬金计取方式：</w:t>
      </w:r>
    </w:p>
    <w:p w14:paraId="20E4C7A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smallCaps/>
          <w:color w:val="auto"/>
          <w:kern w:val="0"/>
          <w:sz w:val="28"/>
          <w:szCs w:val="28"/>
          <w:highlight w:val="none"/>
        </w:rPr>
      </w:pPr>
      <w:r>
        <w:rPr>
          <w:rFonts w:hint="eastAsia" w:ascii="宋体" w:hAnsi="宋体" w:eastAsia="宋体" w:cs="宋体"/>
          <w:smallCaps/>
          <w:color w:val="auto"/>
          <w:kern w:val="0"/>
          <w:sz w:val="28"/>
          <w:szCs w:val="28"/>
          <w:highlight w:val="none"/>
        </w:rPr>
        <w:t>酬金或计取方式详见附录A。</w:t>
      </w:r>
    </w:p>
    <w:p w14:paraId="08BE354F">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color w:val="auto"/>
          <w:kern w:val="0"/>
          <w:sz w:val="28"/>
          <w:szCs w:val="28"/>
          <w:highlight w:val="none"/>
        </w:rPr>
      </w:pPr>
      <w:bookmarkStart w:id="212" w:name="_Toc422322476"/>
      <w:bookmarkStart w:id="213" w:name="_Toc419045058"/>
      <w:r>
        <w:rPr>
          <w:rFonts w:hint="eastAsia" w:ascii="宋体" w:hAnsi="宋体" w:eastAsia="宋体" w:cs="宋体"/>
          <w:b/>
          <w:color w:val="auto"/>
          <w:kern w:val="0"/>
          <w:sz w:val="28"/>
          <w:szCs w:val="28"/>
          <w:highlight w:val="none"/>
        </w:rPr>
        <w:t>六、合同文件的构成</w:t>
      </w:r>
      <w:bookmarkEnd w:id="212"/>
      <w:bookmarkEnd w:id="213"/>
    </w:p>
    <w:p w14:paraId="2BD633E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本协议书与下列文件一起构成合同文件:</w:t>
      </w:r>
    </w:p>
    <w:p w14:paraId="725FE5A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1.中标通知书或委托书（如果有）；</w:t>
      </w:r>
    </w:p>
    <w:p w14:paraId="121E851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2.投标函及投标函附录或造价咨询服务建议书（如果有）；</w:t>
      </w:r>
    </w:p>
    <w:p w14:paraId="0AE3C8C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3.专用条件及附录；</w:t>
      </w:r>
    </w:p>
    <w:p w14:paraId="3098460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4.通用条件；</w:t>
      </w:r>
    </w:p>
    <w:p w14:paraId="28D8230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5.其他合同文件。</w:t>
      </w:r>
    </w:p>
    <w:p w14:paraId="582F8DE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上述各项合同文件包括合同当事人就该项合同文件所作出的补充和修改，属于同一类内容的文件，应以最新签署的为准。</w:t>
      </w:r>
    </w:p>
    <w:p w14:paraId="48B63F5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在合同订立及履行过程中形成的与合同有关的文件（包括补充协议）均构成合同文件的组成部分。</w:t>
      </w:r>
    </w:p>
    <w:p w14:paraId="2CB1C68C">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14" w:name="_Toc419045057"/>
      <w:bookmarkStart w:id="215" w:name="_Toc141198731"/>
      <w:bookmarkStart w:id="216" w:name="_Toc422322477"/>
      <w:r>
        <w:rPr>
          <w:rFonts w:hint="eastAsia" w:ascii="宋体" w:hAnsi="宋体" w:eastAsia="宋体" w:cs="宋体"/>
          <w:b/>
          <w:color w:val="auto"/>
          <w:kern w:val="0"/>
          <w:sz w:val="28"/>
          <w:szCs w:val="28"/>
          <w:highlight w:val="none"/>
        </w:rPr>
        <w:t>七、</w:t>
      </w:r>
      <w:bookmarkStart w:id="217" w:name="8"/>
      <w:r>
        <w:rPr>
          <w:rFonts w:hint="eastAsia" w:ascii="宋体" w:hAnsi="宋体" w:eastAsia="宋体" w:cs="宋体"/>
          <w:b/>
          <w:color w:val="auto"/>
          <w:kern w:val="0"/>
          <w:sz w:val="28"/>
          <w:szCs w:val="28"/>
          <w:highlight w:val="none"/>
        </w:rPr>
        <w:t>词语</w:t>
      </w:r>
      <w:bookmarkEnd w:id="214"/>
      <w:r>
        <w:rPr>
          <w:rFonts w:hint="eastAsia" w:ascii="宋体" w:hAnsi="宋体" w:eastAsia="宋体" w:cs="宋体"/>
          <w:b/>
          <w:color w:val="auto"/>
          <w:kern w:val="0"/>
          <w:sz w:val="28"/>
          <w:szCs w:val="28"/>
          <w:highlight w:val="none"/>
        </w:rPr>
        <w:t>定义</w:t>
      </w:r>
      <w:bookmarkEnd w:id="215"/>
      <w:bookmarkEnd w:id="216"/>
    </w:p>
    <w:p w14:paraId="6B930CD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协议书中相关词语的含义与通用条件中的定义与解释相同。</w:t>
      </w:r>
      <w:bookmarkEnd w:id="217"/>
    </w:p>
    <w:p w14:paraId="0F74F9D8">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18" w:name="_Toc419045063"/>
      <w:bookmarkStart w:id="219" w:name="_Toc141198732"/>
      <w:bookmarkStart w:id="220" w:name="_Toc422322478"/>
      <w:r>
        <w:rPr>
          <w:rFonts w:hint="eastAsia" w:ascii="宋体" w:hAnsi="宋体" w:eastAsia="宋体" w:cs="宋体"/>
          <w:b/>
          <w:color w:val="auto"/>
          <w:kern w:val="0"/>
          <w:sz w:val="28"/>
          <w:szCs w:val="28"/>
          <w:highlight w:val="none"/>
        </w:rPr>
        <w:t>八、合同订立</w:t>
      </w:r>
      <w:bookmarkEnd w:id="218"/>
      <w:bookmarkEnd w:id="219"/>
      <w:bookmarkEnd w:id="220"/>
    </w:p>
    <w:p w14:paraId="44FF76F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1.订立时间：</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月</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日。</w:t>
      </w:r>
    </w:p>
    <w:p w14:paraId="7A72348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2.订立地点：</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6A6184D7">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21" w:name="_Toc141198733"/>
      <w:bookmarkStart w:id="222" w:name="_Toc419045064"/>
      <w:bookmarkStart w:id="223" w:name="_Toc422322479"/>
      <w:r>
        <w:rPr>
          <w:rFonts w:hint="eastAsia" w:ascii="宋体" w:hAnsi="宋体" w:eastAsia="宋体" w:cs="宋体"/>
          <w:b/>
          <w:color w:val="auto"/>
          <w:kern w:val="0"/>
          <w:sz w:val="28"/>
          <w:szCs w:val="28"/>
          <w:highlight w:val="none"/>
        </w:rPr>
        <w:t>九、合同生效</w:t>
      </w:r>
      <w:bookmarkEnd w:id="221"/>
      <w:bookmarkEnd w:id="222"/>
      <w:bookmarkEnd w:id="223"/>
    </w:p>
    <w:p w14:paraId="2CF1380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本合同自</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生效。</w:t>
      </w:r>
    </w:p>
    <w:p w14:paraId="50B9141D">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24" w:name="_Toc141198734"/>
      <w:bookmarkStart w:id="225" w:name="_Toc422322480"/>
      <w:bookmarkStart w:id="226" w:name="_Toc419045065"/>
      <w:r>
        <w:rPr>
          <w:rFonts w:hint="eastAsia" w:ascii="宋体" w:hAnsi="宋体" w:eastAsia="宋体" w:cs="宋体"/>
          <w:b/>
          <w:color w:val="auto"/>
          <w:kern w:val="0"/>
          <w:sz w:val="28"/>
          <w:szCs w:val="28"/>
          <w:highlight w:val="none"/>
        </w:rPr>
        <w:t>十、合同份数</w:t>
      </w:r>
      <w:bookmarkEnd w:id="224"/>
      <w:bookmarkEnd w:id="225"/>
      <w:bookmarkEnd w:id="226"/>
    </w:p>
    <w:p w14:paraId="06D8EC4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0"/>
        <w:rPr>
          <w:rFonts w:hint="eastAsia" w:ascii="宋体" w:hAnsi="宋体" w:eastAsia="宋体" w:cs="宋体"/>
          <w:b/>
          <w:color w:val="auto"/>
          <w:kern w:val="0"/>
          <w:sz w:val="28"/>
          <w:szCs w:val="28"/>
          <w:highlight w:val="none"/>
        </w:rPr>
      </w:pPr>
      <w:bookmarkStart w:id="227" w:name="_Toc141198735"/>
      <w:r>
        <w:rPr>
          <w:rFonts w:hint="eastAsia" w:ascii="宋体" w:hAnsi="宋体" w:eastAsia="宋体" w:cs="宋体"/>
          <w:color w:val="auto"/>
          <w:kern w:val="0"/>
          <w:sz w:val="28"/>
          <w:szCs w:val="28"/>
          <w:highlight w:val="none"/>
        </w:rPr>
        <w:t>本合同一式</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份，具有同等法律效力，其中委托人执</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份，咨询执</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份。</w:t>
      </w:r>
      <w:bookmarkEnd w:id="227"/>
    </w:p>
    <w:p w14:paraId="2899819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p>
    <w:p w14:paraId="7E4DD16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委托人</w:t>
      </w:r>
      <w:r>
        <w:rPr>
          <w:rFonts w:hint="eastAsia" w:ascii="宋体" w:hAnsi="宋体" w:eastAsia="宋体" w:cs="宋体"/>
          <w:color w:val="auto"/>
          <w:kern w:val="0"/>
          <w:sz w:val="28"/>
          <w:szCs w:val="28"/>
          <w:highlight w:val="none"/>
          <w:lang w:eastAsia="zh-CN"/>
        </w:rPr>
        <w:t>（盖章）</w:t>
      </w:r>
      <w:r>
        <w:rPr>
          <w:rFonts w:hint="eastAsia" w:ascii="宋体" w:hAnsi="宋体" w:cs="宋体"/>
          <w:color w:val="auto"/>
          <w:kern w:val="0"/>
          <w:sz w:val="28"/>
          <w:szCs w:val="28"/>
          <w:highlight w:val="none"/>
          <w:lang w:eastAsia="zh-CN"/>
        </w:rPr>
        <w:t>：</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lang w:eastAsia="zh-CN"/>
        </w:rPr>
        <w:t>乙方（盖章）</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u w:val="single"/>
        </w:rPr>
        <w:t xml:space="preserve">          </w:t>
      </w:r>
    </w:p>
    <w:p w14:paraId="64F7BDCD">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 xml:space="preserve">法定代表人或其授权        </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法定代表人或其授权</w:t>
      </w:r>
    </w:p>
    <w:p w14:paraId="4862F62C">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default" w:ascii="宋体" w:hAnsi="宋体" w:eastAsia="宋体" w:cs="宋体"/>
          <w:color w:val="auto"/>
          <w:kern w:val="0"/>
          <w:sz w:val="28"/>
          <w:szCs w:val="28"/>
          <w:highlight w:val="none"/>
          <w:lang w:val="en-US"/>
        </w:rPr>
      </w:pPr>
      <w:r>
        <w:rPr>
          <w:rFonts w:hint="eastAsia" w:ascii="宋体" w:hAnsi="宋体" w:cs="宋体"/>
          <w:b/>
          <w:color w:val="auto"/>
          <w:kern w:val="0"/>
          <w:sz w:val="28"/>
          <w:szCs w:val="28"/>
          <w:highlight w:val="none"/>
          <w:lang w:val="en-US" w:eastAsia="zh-CN"/>
        </w:rPr>
        <w:t>代表（签字或盖章）：         代表（签字或盖章）</w:t>
      </w:r>
      <w:r>
        <w:rPr>
          <w:rFonts w:hint="eastAsia" w:ascii="宋体" w:hAnsi="宋体" w:cs="宋体"/>
          <w:b/>
          <w:color w:val="auto"/>
          <w:kern w:val="0"/>
          <w:sz w:val="28"/>
          <w:szCs w:val="28"/>
          <w:highlight w:val="none"/>
          <w:lang w:eastAsia="zh-CN"/>
        </w:rPr>
        <w:t>：</w:t>
      </w:r>
    </w:p>
    <w:p w14:paraId="7841C18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组织机构代码：               组织机构代码：</w:t>
      </w:r>
    </w:p>
    <w:p w14:paraId="13D7246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纳税人识别码：               纳税人识别码：</w:t>
      </w:r>
    </w:p>
    <w:p w14:paraId="17EAAEA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住 所：</w:t>
      </w:r>
      <w:r>
        <w:rPr>
          <w:rFonts w:hint="eastAsia" w:ascii="宋体" w:hAnsi="宋体" w:eastAsia="宋体" w:cs="宋体"/>
          <w:color w:val="auto"/>
          <w:kern w:val="0"/>
          <w:sz w:val="28"/>
          <w:szCs w:val="28"/>
          <w:highlight w:val="none"/>
          <w:lang w:bidi="ar"/>
        </w:rPr>
        <w:t xml:space="preserve">                      </w:t>
      </w:r>
      <w:r>
        <w:rPr>
          <w:rFonts w:hint="eastAsia" w:ascii="宋体" w:hAnsi="宋体" w:eastAsia="宋体" w:cs="宋体"/>
          <w:color w:val="auto"/>
          <w:kern w:val="0"/>
          <w:sz w:val="28"/>
          <w:szCs w:val="28"/>
          <w:highlight w:val="none"/>
        </w:rPr>
        <w:t>住 所：</w:t>
      </w:r>
    </w:p>
    <w:p w14:paraId="28482CB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账 号：                      账 号：</w:t>
      </w:r>
    </w:p>
    <w:p w14:paraId="1A67151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邮政编码：                   邮政编码： </w:t>
      </w:r>
    </w:p>
    <w:p w14:paraId="314F54D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    话：                   电    话：</w:t>
      </w:r>
    </w:p>
    <w:p w14:paraId="71132053">
      <w:pPr>
        <w:keepNext w:val="0"/>
        <w:keepLines w:val="0"/>
        <w:widowControl/>
        <w:kinsoku/>
        <w:wordWrap/>
        <w:overflowPunct/>
        <w:topLinePunct w:val="0"/>
        <w:bidi w:val="0"/>
        <w:adjustRightInd w:val="0"/>
        <w:snapToGrid/>
        <w:spacing w:beforeLines="0" w:afterLines="0" w:line="480" w:lineRule="exact"/>
        <w:ind w:left="0" w:leftChars="0" w:firstLine="420" w:firstLineChars="200"/>
        <w:textAlignment w:val="auto"/>
        <w:rPr>
          <w:rFonts w:hint="eastAsia" w:ascii="宋体" w:hAnsi="宋体" w:cs="宋体"/>
          <w:color w:val="auto"/>
          <w:highlight w:val="none"/>
        </w:rPr>
      </w:pPr>
    </w:p>
    <w:bookmarkEnd w:id="211"/>
    <w:p w14:paraId="1A489D8E">
      <w:pPr>
        <w:keepNext w:val="0"/>
        <w:keepLines w:val="0"/>
        <w:pageBreakBefore/>
        <w:kinsoku/>
        <w:wordWrap/>
        <w:overflowPunct/>
        <w:topLinePunct w:val="0"/>
        <w:bidi w:val="0"/>
        <w:adjustRightInd w:val="0"/>
        <w:snapToGrid/>
        <w:spacing w:beforeLines="0" w:afterLines="0" w:line="480" w:lineRule="exact"/>
        <w:ind w:left="0" w:leftChars="0"/>
        <w:jc w:val="center"/>
        <w:textAlignment w:val="auto"/>
        <w:outlineLvl w:val="0"/>
        <w:rPr>
          <w:rFonts w:hint="eastAsia" w:ascii="宋体" w:hAnsi="宋体" w:eastAsia="宋体" w:cs="宋体"/>
          <w:b/>
          <w:color w:val="auto"/>
          <w:kern w:val="44"/>
          <w:sz w:val="28"/>
          <w:szCs w:val="28"/>
          <w:highlight w:val="none"/>
        </w:rPr>
      </w:pPr>
      <w:bookmarkStart w:id="228" w:name="_Toc419045066"/>
      <w:bookmarkStart w:id="229" w:name="_Toc422322481"/>
      <w:bookmarkStart w:id="230" w:name="_Toc141198736"/>
      <w:r>
        <w:rPr>
          <w:rFonts w:hint="eastAsia" w:ascii="宋体" w:hAnsi="宋体" w:eastAsia="宋体" w:cs="宋体"/>
          <w:b/>
          <w:color w:val="auto"/>
          <w:kern w:val="44"/>
          <w:sz w:val="28"/>
          <w:szCs w:val="28"/>
          <w:highlight w:val="none"/>
        </w:rPr>
        <w:t>第二部分   通用条件</w:t>
      </w:r>
      <w:bookmarkEnd w:id="228"/>
      <w:bookmarkEnd w:id="229"/>
      <w:bookmarkEnd w:id="230"/>
    </w:p>
    <w:p w14:paraId="316EC8FE">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31" w:name="_Toc422322482"/>
      <w:bookmarkStart w:id="232" w:name="_Toc419045067"/>
      <w:bookmarkStart w:id="233" w:name="_Toc141198737"/>
      <w:r>
        <w:rPr>
          <w:rFonts w:hint="eastAsia" w:ascii="宋体" w:hAnsi="宋体" w:eastAsia="宋体" w:cs="宋体"/>
          <w:b/>
          <w:color w:val="auto"/>
          <w:kern w:val="0"/>
          <w:sz w:val="28"/>
          <w:szCs w:val="28"/>
          <w:highlight w:val="none"/>
        </w:rPr>
        <w:t>1.词语定义、语言、解释顺序与适用法律</w:t>
      </w:r>
      <w:bookmarkEnd w:id="231"/>
      <w:bookmarkEnd w:id="232"/>
      <w:bookmarkEnd w:id="233"/>
    </w:p>
    <w:p w14:paraId="2FCC529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34" w:name="_Toc419045068"/>
      <w:bookmarkStart w:id="235" w:name="_Toc422322483"/>
      <w:r>
        <w:rPr>
          <w:rFonts w:hint="eastAsia" w:ascii="宋体" w:hAnsi="宋体" w:eastAsia="宋体" w:cs="宋体"/>
          <w:color w:val="auto"/>
          <w:kern w:val="28"/>
          <w:sz w:val="28"/>
          <w:szCs w:val="28"/>
          <w:highlight w:val="none"/>
        </w:rPr>
        <w:t>1.1词语定义</w:t>
      </w:r>
      <w:bookmarkEnd w:id="234"/>
      <w:bookmarkEnd w:id="235"/>
    </w:p>
    <w:p w14:paraId="1CA4C8C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组成本合同的全部文件中的下列名词和用语应具有本款所赋予的含义：</w:t>
      </w:r>
    </w:p>
    <w:p w14:paraId="27950C2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1.1.1“工程”是指按照本合同约定实施造价咨询与其他服务的建设工程。    </w:t>
      </w:r>
    </w:p>
    <w:p w14:paraId="35708CD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1.1.2“工程造价”是指工程项目建设过程中预计或实际支出的全部费用。</w:t>
      </w:r>
    </w:p>
    <w:p w14:paraId="39C5E59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1.1.3“委托人”是指本合同中委托造价咨询与其他服务的一方，及其合法的继承人或受让人。</w:t>
      </w:r>
    </w:p>
    <w:p w14:paraId="3FE914E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1.1.4“咨询人”是指本合同中提供造价咨询与其他服务的一方</w:t>
      </w:r>
      <w:r>
        <w:rPr>
          <w:rFonts w:hint="eastAsia" w:ascii="宋体" w:hAnsi="宋体" w:eastAsia="宋体" w:cs="宋体"/>
          <w:b/>
          <w:color w:val="auto"/>
          <w:kern w:val="0"/>
          <w:sz w:val="28"/>
          <w:szCs w:val="28"/>
          <w:highlight w:val="none"/>
        </w:rPr>
        <w:t>，</w:t>
      </w:r>
      <w:r>
        <w:rPr>
          <w:rFonts w:hint="eastAsia" w:ascii="宋体" w:hAnsi="宋体" w:eastAsia="宋体" w:cs="宋体"/>
          <w:color w:val="auto"/>
          <w:kern w:val="0"/>
          <w:sz w:val="28"/>
          <w:szCs w:val="28"/>
          <w:highlight w:val="none"/>
        </w:rPr>
        <w:t>及其合法的继承人。</w:t>
      </w:r>
    </w:p>
    <w:p w14:paraId="795D7E6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1.1.5“第三人”是指除委托人、咨询人以外与本咨询业务有关的当事人。</w:t>
      </w:r>
    </w:p>
    <w:p w14:paraId="707C4A8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1.1.6“正常工作”是指本合同订立时通用条件和专用条件中约定的咨询人的工作。</w:t>
      </w:r>
    </w:p>
    <w:p w14:paraId="420386A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1.1.7“附加工作”是指咨询人根据合同条件完成的正常工作以外的工作。</w:t>
      </w:r>
    </w:p>
    <w:p w14:paraId="342F5AE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1.1.8“项目咨询团队”是指咨询人指派负责履行本合同的团队，其团队成员为本合同的项目咨询人员。</w:t>
      </w:r>
    </w:p>
    <w:p w14:paraId="1BB30E5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1.1.9“项目负责人”是指由咨询人的法定代表人书面授权，在授权范围内负责履行本合同、主持项目咨询团队工作的负责人。</w:t>
      </w:r>
    </w:p>
    <w:p w14:paraId="685CD66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1.1.10“委托人代表”是指由委托人的法定代表人书面授权，在授权范围内行使委托人权利的人。</w:t>
      </w:r>
    </w:p>
    <w:p w14:paraId="31B115B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1.1.11“酬金”是指咨询人履行本合同义务，委托人按照本合同约定给付咨询人的金额。</w:t>
      </w:r>
    </w:p>
    <w:p w14:paraId="70D92AB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1.1.12“正常工作酬金”是指在协议书中载明的，咨询人完成正常工作，委托人应给付咨询人的酬金。</w:t>
      </w:r>
    </w:p>
    <w:p w14:paraId="42986F0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1.1.13“附加工作酬金”是指咨询人完成附加工作，委托人应给付咨询人的酬金。</w:t>
      </w:r>
    </w:p>
    <w:p w14:paraId="57C52E5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1.1.14 “书面形式”是指合同书、信件和数据电文（包括电报、电传、传真、电子数据交换和电子邮件）等可以有形地表现所载内容的形式。</w:t>
      </w:r>
    </w:p>
    <w:p w14:paraId="6B4A9BD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1.1.15 “不可抗力”是指委托人和咨询人在订立本合同时不可预见，在合同履行过程中不可避免并不能克服的自然灾害和社会性突发事件，如地震、海啸、瘟疫、水灾、骚乱、暴动、战争等情形。</w:t>
      </w:r>
    </w:p>
    <w:p w14:paraId="18FE4FE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36" w:name="_Toc419045069"/>
      <w:bookmarkStart w:id="237" w:name="_Toc422322484"/>
      <w:r>
        <w:rPr>
          <w:rFonts w:hint="eastAsia" w:ascii="宋体" w:hAnsi="宋体" w:eastAsia="宋体" w:cs="宋体"/>
          <w:color w:val="auto"/>
          <w:kern w:val="28"/>
          <w:sz w:val="28"/>
          <w:szCs w:val="28"/>
          <w:highlight w:val="none"/>
        </w:rPr>
        <w:t>1.2语言</w:t>
      </w:r>
      <w:bookmarkEnd w:id="236"/>
      <w:bookmarkEnd w:id="237"/>
    </w:p>
    <w:p w14:paraId="00DE8C6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本合同使用中文书写、解释和说明。如专用条件约定使用两种及以上语言文字时，应以中文为准。</w:t>
      </w:r>
    </w:p>
    <w:p w14:paraId="16572A3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38" w:name="_Toc419045070"/>
      <w:bookmarkStart w:id="239" w:name="_Toc422322485"/>
      <w:r>
        <w:rPr>
          <w:rFonts w:hint="eastAsia" w:ascii="宋体" w:hAnsi="宋体" w:eastAsia="宋体" w:cs="宋体"/>
          <w:color w:val="auto"/>
          <w:kern w:val="28"/>
          <w:sz w:val="28"/>
          <w:szCs w:val="28"/>
          <w:highlight w:val="none"/>
        </w:rPr>
        <w:t>1.3合同文件的优先顺序</w:t>
      </w:r>
      <w:bookmarkEnd w:id="238"/>
      <w:bookmarkEnd w:id="239"/>
    </w:p>
    <w:p w14:paraId="354725D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组成本合同的下列文件彼此应能相互解释、互为说明。除专用条件另有约定外，本合同文件的解释顺序如下：</w:t>
      </w:r>
    </w:p>
    <w:p w14:paraId="32374E4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1.协议书</w:t>
      </w:r>
    </w:p>
    <w:p w14:paraId="087946A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2.中标通知书或委托书（如果有）；</w:t>
      </w:r>
    </w:p>
    <w:p w14:paraId="4DA28B1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3.专用条件及附录；</w:t>
      </w:r>
    </w:p>
    <w:p w14:paraId="16A07A6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4.通用条件；</w:t>
      </w:r>
    </w:p>
    <w:p w14:paraId="05E3CDC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5.投标函及投标函附录或造价咨询服务建议书（如果有）；</w:t>
      </w:r>
    </w:p>
    <w:p w14:paraId="6EDB0B9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6.其他合同文件。</w:t>
      </w:r>
    </w:p>
    <w:p w14:paraId="00E1894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上述各项合同文件包括合同当事人就该项合同文件所作出的补充和修改，属于同一类内容的文件，应以最新签署的为准。</w:t>
      </w:r>
    </w:p>
    <w:p w14:paraId="233B21C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在合同订立及履行过程中形成的与合同有关的文件均构成合同文件的组成部分。</w:t>
      </w:r>
    </w:p>
    <w:p w14:paraId="74AA849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40" w:name="_Toc422322486"/>
      <w:bookmarkStart w:id="241" w:name="_Toc419045071"/>
      <w:r>
        <w:rPr>
          <w:rFonts w:hint="eastAsia" w:ascii="宋体" w:hAnsi="宋体" w:eastAsia="宋体" w:cs="宋体"/>
          <w:color w:val="auto"/>
          <w:kern w:val="28"/>
          <w:sz w:val="28"/>
          <w:szCs w:val="28"/>
          <w:highlight w:val="none"/>
        </w:rPr>
        <w:t>1.4适用法律</w:t>
      </w:r>
      <w:bookmarkEnd w:id="240"/>
      <w:bookmarkEnd w:id="241"/>
    </w:p>
    <w:p w14:paraId="57D286F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本合同适用中华人民共和国法律、行政法规、部门规章以及工程所在地的地方性法规、自治条例、单行条例和地方政府规章等。</w:t>
      </w:r>
    </w:p>
    <w:p w14:paraId="70F2FE4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合同当事人可以在专用条件中约定本合同适用的其他规范、规程、定额、技术标准等规范性文件。</w:t>
      </w:r>
    </w:p>
    <w:p w14:paraId="7CBEEA3B">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42" w:name="_Toc422322487"/>
      <w:bookmarkStart w:id="243" w:name="_Toc141198738"/>
      <w:r>
        <w:rPr>
          <w:rFonts w:hint="eastAsia" w:ascii="宋体" w:hAnsi="宋体" w:eastAsia="宋体" w:cs="宋体"/>
          <w:b/>
          <w:color w:val="auto"/>
          <w:kern w:val="0"/>
          <w:sz w:val="28"/>
          <w:szCs w:val="28"/>
          <w:highlight w:val="none"/>
        </w:rPr>
        <w:t>2.委托人的义务</w:t>
      </w:r>
      <w:bookmarkEnd w:id="242"/>
      <w:bookmarkEnd w:id="243"/>
    </w:p>
    <w:p w14:paraId="06BD332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44" w:name="_Toc422322488"/>
      <w:bookmarkStart w:id="245" w:name="_Toc419045072"/>
      <w:r>
        <w:rPr>
          <w:rFonts w:hint="eastAsia" w:ascii="宋体" w:hAnsi="宋体" w:eastAsia="宋体" w:cs="宋体"/>
          <w:color w:val="auto"/>
          <w:kern w:val="28"/>
          <w:sz w:val="28"/>
          <w:szCs w:val="28"/>
          <w:highlight w:val="none"/>
        </w:rPr>
        <w:t>2.1提供资料</w:t>
      </w:r>
      <w:bookmarkEnd w:id="244"/>
      <w:bookmarkEnd w:id="245"/>
    </w:p>
    <w:p w14:paraId="4F55C0A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78193CD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46" w:name="_Toc419045073"/>
      <w:bookmarkStart w:id="247" w:name="_Toc422322489"/>
      <w:r>
        <w:rPr>
          <w:rFonts w:hint="eastAsia" w:ascii="宋体" w:hAnsi="宋体" w:eastAsia="宋体" w:cs="宋体"/>
          <w:color w:val="auto"/>
          <w:kern w:val="28"/>
          <w:sz w:val="28"/>
          <w:szCs w:val="28"/>
          <w:highlight w:val="none"/>
        </w:rPr>
        <w:t>2.2提供工作条件</w:t>
      </w:r>
      <w:bookmarkEnd w:id="246"/>
      <w:bookmarkEnd w:id="247"/>
    </w:p>
    <w:p w14:paraId="25B59B0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委托人应为咨询人完成造价咨询提供必要的条件。</w:t>
      </w:r>
    </w:p>
    <w:p w14:paraId="6D240DE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2.2.1委托人需要咨询人派驻项目现场咨询人员的，除专用条件另有约定外，项目咨询人员有权无偿使用附录D中由委托人提供的房屋及设备。</w:t>
      </w:r>
    </w:p>
    <w:p w14:paraId="4DFAA33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2.2.2委托人应负责与本工程造价咨询业务有关的所有外部关系的协调，为咨询人履行本合同提供必要的外部条件。</w:t>
      </w:r>
    </w:p>
    <w:p w14:paraId="6DB19A8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48" w:name="_Toc419045074"/>
      <w:bookmarkStart w:id="249" w:name="_Toc422322490"/>
      <w:r>
        <w:rPr>
          <w:rFonts w:hint="eastAsia" w:ascii="宋体" w:hAnsi="宋体" w:eastAsia="宋体" w:cs="宋体"/>
          <w:color w:val="auto"/>
          <w:kern w:val="28"/>
          <w:sz w:val="28"/>
          <w:szCs w:val="28"/>
          <w:highlight w:val="none"/>
        </w:rPr>
        <w:t>2.3合理工作时限</w:t>
      </w:r>
      <w:bookmarkEnd w:id="248"/>
      <w:bookmarkEnd w:id="249"/>
    </w:p>
    <w:p w14:paraId="792CD2C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委托人应当为咨询人完成其咨询工作，设定合理的工作时限。</w:t>
      </w:r>
    </w:p>
    <w:p w14:paraId="1C72482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50" w:name="_Toc422322491"/>
      <w:bookmarkStart w:id="251" w:name="_Toc419045075"/>
      <w:r>
        <w:rPr>
          <w:rFonts w:hint="eastAsia" w:ascii="宋体" w:hAnsi="宋体" w:eastAsia="宋体" w:cs="宋体"/>
          <w:color w:val="auto"/>
          <w:kern w:val="28"/>
          <w:sz w:val="28"/>
          <w:szCs w:val="28"/>
          <w:highlight w:val="none"/>
        </w:rPr>
        <w:t>2.4委托人代表</w:t>
      </w:r>
      <w:bookmarkEnd w:id="250"/>
      <w:bookmarkEnd w:id="251"/>
    </w:p>
    <w:p w14:paraId="68A47EE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委托人应授权一名代表负责本合同的履行。委托人应在双方签订本合同7日内，将委托人代表的姓名和权限范围书面告知咨询人。委托人更换委托人代表时，应提前7日书面通知咨询人。</w:t>
      </w:r>
    </w:p>
    <w:p w14:paraId="30BEB24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52" w:name="_Toc419045076"/>
      <w:bookmarkStart w:id="253" w:name="_Toc422322492"/>
      <w:r>
        <w:rPr>
          <w:rFonts w:hint="eastAsia" w:ascii="宋体" w:hAnsi="宋体" w:eastAsia="宋体" w:cs="宋体"/>
          <w:color w:val="auto"/>
          <w:kern w:val="28"/>
          <w:sz w:val="28"/>
          <w:szCs w:val="28"/>
          <w:highlight w:val="none"/>
        </w:rPr>
        <w:t>2.5答复</w:t>
      </w:r>
      <w:bookmarkEnd w:id="252"/>
      <w:bookmarkEnd w:id="253"/>
    </w:p>
    <w:p w14:paraId="186A522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委托人应当在专用条件约定的时间内就咨询人以书面形式提交并要求做出答复的事宜给予书面答复。逾期未答复的，由此造成的工作延误和损失由委托人承担。</w:t>
      </w:r>
    </w:p>
    <w:p w14:paraId="707BF5F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54" w:name="_Toc419045077"/>
      <w:bookmarkStart w:id="255" w:name="_Toc422322493"/>
      <w:r>
        <w:rPr>
          <w:rFonts w:hint="eastAsia" w:ascii="宋体" w:hAnsi="宋体" w:eastAsia="宋体" w:cs="宋体"/>
          <w:color w:val="auto"/>
          <w:kern w:val="28"/>
          <w:sz w:val="28"/>
          <w:szCs w:val="28"/>
          <w:highlight w:val="none"/>
        </w:rPr>
        <w:t>2.6支付</w:t>
      </w:r>
      <w:bookmarkEnd w:id="254"/>
      <w:bookmarkEnd w:id="255"/>
    </w:p>
    <w:p w14:paraId="54A701D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委托人应当按照合同的约定，向咨询人支付酬金。</w:t>
      </w:r>
    </w:p>
    <w:p w14:paraId="020BFCAD">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outlineLvl w:val="0"/>
        <w:rPr>
          <w:rFonts w:hint="eastAsia" w:ascii="宋体" w:hAnsi="宋体" w:eastAsia="宋体" w:cs="宋体"/>
          <w:b/>
          <w:color w:val="auto"/>
          <w:kern w:val="0"/>
          <w:sz w:val="28"/>
          <w:szCs w:val="28"/>
          <w:highlight w:val="none"/>
        </w:rPr>
      </w:pPr>
      <w:bookmarkStart w:id="256" w:name="_Toc141198739"/>
      <w:bookmarkStart w:id="257" w:name="_Toc422322494"/>
      <w:bookmarkStart w:id="258" w:name="_Toc419045078"/>
      <w:r>
        <w:rPr>
          <w:rFonts w:hint="eastAsia" w:ascii="宋体" w:hAnsi="宋体" w:eastAsia="宋体" w:cs="宋体"/>
          <w:b/>
          <w:color w:val="auto"/>
          <w:kern w:val="0"/>
          <w:sz w:val="28"/>
          <w:szCs w:val="28"/>
          <w:highlight w:val="none"/>
        </w:rPr>
        <w:t>3.咨询人的义务</w:t>
      </w:r>
      <w:bookmarkEnd w:id="256"/>
      <w:bookmarkEnd w:id="257"/>
      <w:bookmarkEnd w:id="258"/>
    </w:p>
    <w:p w14:paraId="5D805DC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59" w:name="_Toc419045080"/>
      <w:bookmarkStart w:id="260" w:name="_Toc422322495"/>
      <w:bookmarkStart w:id="261" w:name="16"/>
      <w:r>
        <w:rPr>
          <w:rFonts w:hint="eastAsia" w:ascii="宋体" w:hAnsi="宋体" w:eastAsia="宋体" w:cs="宋体"/>
          <w:color w:val="auto"/>
          <w:kern w:val="28"/>
          <w:sz w:val="28"/>
          <w:szCs w:val="28"/>
          <w:highlight w:val="none"/>
        </w:rPr>
        <w:t>3.1 项目咨询团队及人员</w:t>
      </w:r>
      <w:bookmarkEnd w:id="259"/>
      <w:bookmarkEnd w:id="260"/>
    </w:p>
    <w:p w14:paraId="6026931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3.1.1项目咨询团队的主要人员应具有专用条件约定的资格条件，团队人员的数量应符合专用条件的约定。</w:t>
      </w:r>
    </w:p>
    <w:p w14:paraId="67CF991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3.1.2项目负责人</w:t>
      </w:r>
    </w:p>
    <w:p w14:paraId="7C06F17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咨询人应以书面形式授权一名项目负责人负责履行本合同、主持项目咨询团队工作。采用招标程序签署本合同的，项目负责人应当与投标文件载明的一致。</w:t>
      </w:r>
    </w:p>
    <w:p w14:paraId="23021E3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3.1.3在本合同履行过程中，咨询人员应保持相对稳定，以保证咨询工作正常进行。</w:t>
      </w:r>
    </w:p>
    <w:p w14:paraId="0C0B938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D89010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3.1.4咨询人员有下列情形之一，委托人要求咨询人更换的，咨询人应当更换：</w:t>
      </w:r>
    </w:p>
    <w:p w14:paraId="1836918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（1）存在严重过失行为的；</w:t>
      </w:r>
    </w:p>
    <w:p w14:paraId="2C4C2E1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（2）存在违法行为不能履行职责的；</w:t>
      </w:r>
    </w:p>
    <w:p w14:paraId="20EC1AC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（3）涉嫌犯罪的；</w:t>
      </w:r>
    </w:p>
    <w:p w14:paraId="39F5B1E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（4）不能胜任岗位职责的；</w:t>
      </w:r>
    </w:p>
    <w:p w14:paraId="0BC480A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（5）严重违反职业道德的；</w:t>
      </w:r>
    </w:p>
    <w:p w14:paraId="206CE97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（6）专用条件约定的其他情形。</w:t>
      </w:r>
    </w:p>
    <w:p w14:paraId="1C20DF1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62" w:name="_Toc422322496"/>
      <w:r>
        <w:rPr>
          <w:rFonts w:hint="eastAsia" w:ascii="宋体" w:hAnsi="宋体" w:eastAsia="宋体" w:cs="宋体"/>
          <w:color w:val="auto"/>
          <w:kern w:val="28"/>
          <w:sz w:val="28"/>
          <w:szCs w:val="28"/>
          <w:highlight w:val="none"/>
        </w:rPr>
        <w:t>3.2 咨询人的工作要求</w:t>
      </w:r>
      <w:bookmarkEnd w:id="262"/>
    </w:p>
    <w:p w14:paraId="1BB73ED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49F74F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3.2.2咨询人应当在专用条件约定的时间内，按照专用条件约定的份数、组成向委托人提交咨询成果文件。</w:t>
      </w:r>
    </w:p>
    <w:p w14:paraId="25119A5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21CD5E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3.2.3咨询人提交的工程造价咨询成果文件，除加盖咨询人单位公章、工程造价咨询企业执业印章外，还必须按要求加盖参加咨询工作人员的执业（从业）资格印章。</w:t>
      </w:r>
    </w:p>
    <w:p w14:paraId="07BCA24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3.2.4咨询人应在专用条件约定的时间内，对委托人以书面形式提出的建议或者异议给予书面答复。</w:t>
      </w:r>
    </w:p>
    <w:p w14:paraId="3B2D8CF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3.2.5咨询人从事工程造价咨询活动，应当遵循独立、客观、公正、诚</w:t>
      </w:r>
    </w:p>
    <w:p w14:paraId="36F6188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实信用的原则，不得损害社会公共利益和他人的合法权益。</w:t>
      </w:r>
    </w:p>
    <w:p w14:paraId="46C9002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3.2.6咨询人承诺按照法律规定及合同约定，完成合同范围内的建设工程造价咨询服务，不转包承接的造价咨询服务业务。</w:t>
      </w:r>
    </w:p>
    <w:p w14:paraId="32034F3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63" w:name="_Toc419045081"/>
      <w:bookmarkStart w:id="264" w:name="_Toc422322497"/>
      <w:r>
        <w:rPr>
          <w:rFonts w:hint="eastAsia" w:ascii="宋体" w:hAnsi="宋体" w:eastAsia="宋体" w:cs="宋体"/>
          <w:color w:val="auto"/>
          <w:kern w:val="28"/>
          <w:sz w:val="28"/>
          <w:szCs w:val="28"/>
          <w:highlight w:val="none"/>
        </w:rPr>
        <w:t>3.3咨询人的工作依据</w:t>
      </w:r>
      <w:bookmarkEnd w:id="263"/>
      <w:bookmarkEnd w:id="264"/>
    </w:p>
    <w:p w14:paraId="6DE0AE9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咨询人应在专用条件内与委托人协商明确履行本合同约定的咨询服务需要适用的技术标准、规范、定额等工作依据，但不得违反国家及工程所在地的强制性标准、规范。</w:t>
      </w:r>
    </w:p>
    <w:p w14:paraId="73D3E3F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咨询人应自行配备本条所述的技术标准、规范、定额等相关资料。必须由委托人提供的资料，应在附录C中载明。需要委托人协助才能获得的资料，委托人应予以协助。</w:t>
      </w:r>
    </w:p>
    <w:p w14:paraId="6E4C4F2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65" w:name="_Toc419045082"/>
      <w:bookmarkStart w:id="266" w:name="_Toc422322498"/>
      <w:r>
        <w:rPr>
          <w:rFonts w:hint="eastAsia" w:ascii="宋体" w:hAnsi="宋体" w:eastAsia="宋体" w:cs="宋体"/>
          <w:color w:val="auto"/>
          <w:kern w:val="28"/>
          <w:sz w:val="28"/>
          <w:szCs w:val="28"/>
          <w:highlight w:val="none"/>
        </w:rPr>
        <w:t>3.4使用委托人房屋及设备的返还</w:t>
      </w:r>
      <w:bookmarkEnd w:id="265"/>
      <w:bookmarkEnd w:id="266"/>
    </w:p>
    <w:p w14:paraId="3097178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项目咨询人员使用委托人提供的房屋及设备的，咨询人应妥善使用和保管，在本合同终止时将上述房屋及设备按专用条件约定的时间和方式返还委托人。</w:t>
      </w:r>
    </w:p>
    <w:bookmarkEnd w:id="261"/>
    <w:p w14:paraId="54033313">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bookmarkStart w:id="267" w:name="_Toc422322499"/>
      <w:bookmarkStart w:id="268" w:name="_Toc419045083"/>
      <w:bookmarkStart w:id="269" w:name="19"/>
      <w:r>
        <w:rPr>
          <w:rFonts w:hint="eastAsia" w:ascii="宋体" w:hAnsi="宋体" w:eastAsia="宋体" w:cs="宋体"/>
          <w:b/>
          <w:color w:val="auto"/>
          <w:kern w:val="0"/>
          <w:sz w:val="28"/>
          <w:szCs w:val="28"/>
          <w:highlight w:val="none"/>
        </w:rPr>
        <w:t>4.违约责任</w:t>
      </w:r>
      <w:bookmarkEnd w:id="267"/>
      <w:bookmarkEnd w:id="268"/>
    </w:p>
    <w:p w14:paraId="72F0DA4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bookmarkStart w:id="270" w:name="_Toc422322500"/>
      <w:r>
        <w:rPr>
          <w:rFonts w:hint="eastAsia" w:ascii="宋体" w:hAnsi="宋体" w:eastAsia="宋体" w:cs="宋体"/>
          <w:color w:val="auto"/>
          <w:kern w:val="28"/>
          <w:sz w:val="28"/>
          <w:szCs w:val="28"/>
          <w:highlight w:val="none"/>
        </w:rPr>
        <w:t>4.1</w:t>
      </w:r>
      <w:bookmarkEnd w:id="270"/>
      <w:bookmarkStart w:id="271" w:name="_Toc419045086"/>
      <w:bookmarkStart w:id="272" w:name="_Toc422322502"/>
      <w:r>
        <w:rPr>
          <w:rFonts w:hint="eastAsia" w:ascii="宋体" w:hAnsi="宋体" w:eastAsia="宋体" w:cs="宋体"/>
          <w:color w:val="auto"/>
          <w:kern w:val="28"/>
          <w:sz w:val="28"/>
          <w:szCs w:val="28"/>
          <w:highlight w:val="none"/>
        </w:rPr>
        <w:t>本合同约定的任何义务若甲乙双方不能履行均视为违约，除不可抗力及政府重大政策调整等因素外，违约方将承担因此引起的违约责任。</w:t>
      </w:r>
    </w:p>
    <w:p w14:paraId="505977F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28"/>
          <w:sz w:val="28"/>
          <w:szCs w:val="28"/>
          <w:highlight w:val="none"/>
          <w:lang w:val="en-US" w:eastAsia="zh-CN"/>
        </w:rPr>
        <w:t>4.2</w:t>
      </w:r>
      <w:r>
        <w:rPr>
          <w:rFonts w:hint="eastAsia" w:ascii="宋体" w:hAnsi="宋体" w:eastAsia="宋体" w:cs="宋体"/>
          <w:color w:val="auto"/>
          <w:kern w:val="28"/>
          <w:sz w:val="28"/>
          <w:szCs w:val="28"/>
          <w:highlight w:val="none"/>
        </w:rPr>
        <w:t>乙方按本合同约定给甲方提供的服务，若发生质量问题或无法满足项目服务需求，乙方无条件承担全部法律责任。</w:t>
      </w:r>
    </w:p>
    <w:p w14:paraId="11E1AB2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28"/>
          <w:sz w:val="28"/>
          <w:szCs w:val="28"/>
          <w:highlight w:val="none"/>
          <w:lang w:val="en-US" w:eastAsia="zh-CN"/>
        </w:rPr>
        <w:t xml:space="preserve">4.3 </w:t>
      </w:r>
      <w:r>
        <w:rPr>
          <w:rFonts w:hint="eastAsia" w:ascii="宋体" w:hAnsi="宋体" w:eastAsia="宋体" w:cs="宋体"/>
          <w:color w:val="auto"/>
          <w:kern w:val="28"/>
          <w:sz w:val="28"/>
          <w:szCs w:val="28"/>
          <w:highlight w:val="none"/>
        </w:rPr>
        <w:t>其它违约行为按照《中华人民共和国民法典》和相关法律执行。</w:t>
      </w:r>
    </w:p>
    <w:p w14:paraId="6593D4EE">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5.支付</w:t>
      </w:r>
      <w:bookmarkEnd w:id="271"/>
      <w:bookmarkEnd w:id="272"/>
    </w:p>
    <w:p w14:paraId="4DB7963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b/>
          <w:color w:val="auto"/>
          <w:kern w:val="28"/>
          <w:sz w:val="28"/>
          <w:szCs w:val="28"/>
          <w:highlight w:val="none"/>
        </w:rPr>
      </w:pPr>
      <w:bookmarkStart w:id="273" w:name="_Toc419045087"/>
      <w:bookmarkStart w:id="274" w:name="_Toc422322503"/>
      <w:r>
        <w:rPr>
          <w:rFonts w:hint="eastAsia" w:ascii="宋体" w:hAnsi="宋体" w:eastAsia="宋体" w:cs="宋体"/>
          <w:color w:val="auto"/>
          <w:kern w:val="28"/>
          <w:sz w:val="28"/>
          <w:szCs w:val="28"/>
          <w:highlight w:val="none"/>
        </w:rPr>
        <w:t>5.1支付货币</w:t>
      </w:r>
      <w:bookmarkEnd w:id="273"/>
      <w:bookmarkEnd w:id="274"/>
    </w:p>
    <w:p w14:paraId="0BAC783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除专用条件另有约定外，酬金均以人民币支付。涉及外币支付的，所采用的货币种类和汇率等在专用条件中约定。</w:t>
      </w:r>
    </w:p>
    <w:p w14:paraId="1A72CDC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75" w:name="_Toc422322504"/>
      <w:r>
        <w:rPr>
          <w:rFonts w:hint="eastAsia" w:ascii="宋体" w:hAnsi="宋体" w:eastAsia="宋体" w:cs="宋体"/>
          <w:color w:val="auto"/>
          <w:kern w:val="28"/>
          <w:sz w:val="28"/>
          <w:szCs w:val="28"/>
          <w:highlight w:val="none"/>
        </w:rPr>
        <w:t>5.2支付申请</w:t>
      </w:r>
      <w:bookmarkEnd w:id="275"/>
    </w:p>
    <w:p w14:paraId="4252448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14:paraId="1A2599C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76" w:name="_Toc422322505"/>
      <w:r>
        <w:rPr>
          <w:rFonts w:hint="eastAsia" w:ascii="宋体" w:hAnsi="宋体" w:eastAsia="宋体" w:cs="宋体"/>
          <w:color w:val="auto"/>
          <w:kern w:val="28"/>
          <w:sz w:val="28"/>
          <w:szCs w:val="28"/>
          <w:highlight w:val="none"/>
        </w:rPr>
        <w:t>5.3 支付酬金</w:t>
      </w:r>
      <w:bookmarkEnd w:id="276"/>
    </w:p>
    <w:p w14:paraId="77147DE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支付酬金包括正常工作酬金、附加工作酬金、合理化建议奖励金额及费用。</w:t>
      </w:r>
    </w:p>
    <w:p w14:paraId="583C15A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77" w:name="_Toc422322506"/>
      <w:r>
        <w:rPr>
          <w:rFonts w:hint="eastAsia" w:ascii="宋体" w:hAnsi="宋体" w:eastAsia="宋体" w:cs="宋体"/>
          <w:color w:val="auto"/>
          <w:kern w:val="28"/>
          <w:sz w:val="28"/>
          <w:szCs w:val="28"/>
          <w:highlight w:val="none"/>
        </w:rPr>
        <w:t>5.4有异议部分的支付</w:t>
      </w:r>
      <w:bookmarkEnd w:id="277"/>
    </w:p>
    <w:p w14:paraId="534AFA3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委托人对咨询人提交的支付申请书有异议时，应当在收到咨询人提交的支付申请书后7日内，以书面形式向咨询人发出异议通知。无异议部分的款项应按期支付，有异议部分的款项按第7条约定办理。</w:t>
      </w:r>
    </w:p>
    <w:p w14:paraId="5FB46E3D">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bookmarkStart w:id="278" w:name="_Toc422322507"/>
      <w:bookmarkStart w:id="279" w:name="_Toc419045088"/>
      <w:r>
        <w:rPr>
          <w:rFonts w:hint="eastAsia" w:ascii="宋体" w:hAnsi="宋体" w:eastAsia="宋体" w:cs="宋体"/>
          <w:b/>
          <w:color w:val="auto"/>
          <w:kern w:val="0"/>
          <w:sz w:val="28"/>
          <w:szCs w:val="28"/>
          <w:highlight w:val="none"/>
        </w:rPr>
        <w:t>6.合同变更、解除与终止</w:t>
      </w:r>
      <w:bookmarkEnd w:id="278"/>
      <w:bookmarkEnd w:id="279"/>
    </w:p>
    <w:p w14:paraId="72023EE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bookmarkStart w:id="280" w:name="_Toc419045089"/>
      <w:bookmarkStart w:id="281" w:name="_Toc422322508"/>
      <w:r>
        <w:rPr>
          <w:rFonts w:hint="eastAsia" w:ascii="宋体" w:hAnsi="宋体" w:eastAsia="宋体" w:cs="宋体"/>
          <w:color w:val="auto"/>
          <w:kern w:val="28"/>
          <w:sz w:val="28"/>
          <w:szCs w:val="28"/>
          <w:highlight w:val="none"/>
        </w:rPr>
        <w:t>6.1合同变更</w:t>
      </w:r>
      <w:bookmarkEnd w:id="280"/>
      <w:bookmarkEnd w:id="281"/>
      <w:r>
        <w:rPr>
          <w:rFonts w:hint="eastAsia" w:ascii="宋体" w:hAnsi="宋体" w:eastAsia="宋体" w:cs="宋体"/>
          <w:color w:val="auto"/>
          <w:kern w:val="0"/>
          <w:sz w:val="28"/>
          <w:szCs w:val="28"/>
          <w:highlight w:val="none"/>
        </w:rPr>
        <w:t xml:space="preserve"> </w:t>
      </w:r>
    </w:p>
    <w:p w14:paraId="0151ED1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6.1.1 任何一方以书面形式提出变更请求时，双方经协商一致后可进行变更。</w:t>
      </w:r>
    </w:p>
    <w:p w14:paraId="4589230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10FB532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58C4F0C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6.1.4 因工程规模、服务范围及工作内容的变化等导致咨询人的工作量增减时，服务酬金应作相应调整，调整方法由双方在专用条件中约定。</w:t>
      </w:r>
    </w:p>
    <w:p w14:paraId="16E8335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bookmarkStart w:id="282" w:name="_Toc419045090"/>
      <w:bookmarkStart w:id="283" w:name="_Toc422322509"/>
      <w:r>
        <w:rPr>
          <w:rFonts w:hint="eastAsia" w:ascii="宋体" w:hAnsi="宋体" w:eastAsia="宋体" w:cs="宋体"/>
          <w:color w:val="auto"/>
          <w:kern w:val="28"/>
          <w:sz w:val="28"/>
          <w:szCs w:val="28"/>
          <w:highlight w:val="none"/>
        </w:rPr>
        <w:t>6.2合同解除</w:t>
      </w:r>
      <w:bookmarkEnd w:id="282"/>
      <w:bookmarkEnd w:id="283"/>
    </w:p>
    <w:p w14:paraId="2086373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6.2.1 委托人与咨询人协商一致，可以解除合同。</w:t>
      </w:r>
    </w:p>
    <w:p w14:paraId="2907CE7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6.2.2 有下列情形之一的，合同当事人一方或双方可以解除合同：</w:t>
      </w:r>
    </w:p>
    <w:p w14:paraId="2104BAE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（1）咨询人将本合同约定的工程造价咨询服务工作全部或部分转包给他人，委托人可以解除合同；</w:t>
      </w:r>
    </w:p>
    <w:p w14:paraId="1E7BD2F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（2）咨询人提供的造价咨询服务不符合合同约定的要求，经委托人催告仍不能达到合同约定要求的，委托人可以解除合同；</w:t>
      </w:r>
    </w:p>
    <w:p w14:paraId="0BAF72A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（3）委托人未按合同约定支付服务酬金，经咨询人催告后，在28天内仍未支付的，咨询人可以解除合同；</w:t>
      </w:r>
    </w:p>
    <w:p w14:paraId="57330F6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（4）因不可抗力致使合同无法履行；</w:t>
      </w:r>
    </w:p>
    <w:p w14:paraId="2BF0D09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（5）因一方违约致使合同无法实际履行或实际履行已无必要。</w:t>
      </w:r>
    </w:p>
    <w:p w14:paraId="3EDE669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除上述情形外，双方可以根据委托的服务范围及工作内容，在专用条件中约定解除合同的其他条件。</w:t>
      </w:r>
    </w:p>
    <w:p w14:paraId="6B7C832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6.2.3 任何一方提出解除合同的，应提前30天书面通知对方。</w:t>
      </w:r>
    </w:p>
    <w:p w14:paraId="4AF140A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6.2.4合同解除后，委托人应按照合同约定向咨询人支付已完成部分的咨询服务酬金。</w:t>
      </w:r>
    </w:p>
    <w:p w14:paraId="0A578D9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44AA9A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smallCaps/>
          <w:color w:val="auto"/>
          <w:kern w:val="0"/>
          <w:sz w:val="28"/>
          <w:szCs w:val="28"/>
          <w:highlight w:val="none"/>
        </w:rPr>
      </w:pPr>
      <w:r>
        <w:rPr>
          <w:rFonts w:hint="eastAsia" w:ascii="宋体" w:hAnsi="宋体" w:eastAsia="宋体" w:cs="宋体"/>
          <w:color w:val="auto"/>
          <w:kern w:val="0"/>
          <w:sz w:val="28"/>
          <w:szCs w:val="28"/>
          <w:highlight w:val="none"/>
        </w:rPr>
        <w:t>6.2.5本合同解除后，本合同约定的有关结算、争议解决方式的条款仍然有效。</w:t>
      </w:r>
    </w:p>
    <w:p w14:paraId="5B306C4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smallCaps/>
          <w:color w:val="auto"/>
          <w:kern w:val="0"/>
          <w:sz w:val="28"/>
          <w:szCs w:val="28"/>
          <w:highlight w:val="none"/>
        </w:rPr>
      </w:pPr>
      <w:bookmarkStart w:id="284" w:name="_Toc422322510"/>
      <w:r>
        <w:rPr>
          <w:rFonts w:hint="eastAsia" w:ascii="宋体" w:hAnsi="宋体" w:eastAsia="宋体" w:cs="宋体"/>
          <w:color w:val="auto"/>
          <w:kern w:val="28"/>
          <w:sz w:val="28"/>
          <w:szCs w:val="28"/>
          <w:highlight w:val="none"/>
        </w:rPr>
        <w:t>6.3 合同终止</w:t>
      </w:r>
      <w:bookmarkEnd w:id="284"/>
    </w:p>
    <w:p w14:paraId="209D2D9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smallCaps/>
          <w:color w:val="auto"/>
          <w:kern w:val="0"/>
          <w:sz w:val="28"/>
          <w:szCs w:val="28"/>
          <w:highlight w:val="none"/>
        </w:rPr>
        <w:t>除合同解除外，以下条</w:t>
      </w:r>
      <w:r>
        <w:rPr>
          <w:rFonts w:hint="eastAsia" w:ascii="宋体" w:hAnsi="宋体" w:eastAsia="宋体" w:cs="宋体"/>
          <w:color w:val="auto"/>
          <w:kern w:val="0"/>
          <w:sz w:val="28"/>
          <w:szCs w:val="28"/>
          <w:highlight w:val="none"/>
        </w:rPr>
        <w:t>件全部满足时，本合同终止：</w:t>
      </w:r>
    </w:p>
    <w:p w14:paraId="573E07F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（1）咨询人完成本合同约定的全部工作；</w:t>
      </w:r>
    </w:p>
    <w:p w14:paraId="30B148D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（2）委托人与咨询人结清并支付酬金；</w:t>
      </w:r>
    </w:p>
    <w:p w14:paraId="14088A5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（3）咨询人将委托人提供的资料交还。</w:t>
      </w:r>
    </w:p>
    <w:p w14:paraId="2F496D52">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bookmarkStart w:id="285" w:name="_Toc422322511"/>
      <w:bookmarkStart w:id="286" w:name="_Toc419045091"/>
      <w:r>
        <w:rPr>
          <w:rFonts w:hint="eastAsia" w:ascii="宋体" w:hAnsi="宋体" w:eastAsia="宋体" w:cs="宋体"/>
          <w:b/>
          <w:color w:val="auto"/>
          <w:kern w:val="0"/>
          <w:sz w:val="28"/>
          <w:szCs w:val="28"/>
          <w:highlight w:val="none"/>
        </w:rPr>
        <w:t>7.争议解决</w:t>
      </w:r>
      <w:bookmarkEnd w:id="269"/>
      <w:bookmarkEnd w:id="285"/>
      <w:bookmarkEnd w:id="286"/>
    </w:p>
    <w:p w14:paraId="0AA2A8B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bookmarkStart w:id="287" w:name="_Toc422322512"/>
      <w:bookmarkStart w:id="288" w:name="_Toc419045092"/>
      <w:r>
        <w:rPr>
          <w:rFonts w:hint="eastAsia" w:ascii="宋体" w:hAnsi="宋体" w:eastAsia="宋体" w:cs="宋体"/>
          <w:smallCaps/>
          <w:color w:val="auto"/>
          <w:kern w:val="28"/>
          <w:sz w:val="28"/>
          <w:szCs w:val="28"/>
          <w:highlight w:val="none"/>
        </w:rPr>
        <w:t>7.1协商</w:t>
      </w:r>
      <w:bookmarkEnd w:id="287"/>
      <w:bookmarkEnd w:id="288"/>
    </w:p>
    <w:p w14:paraId="7FF457A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双方应本着诚实信用的原则协商解决本合同履行过程中发生的争议。</w:t>
      </w:r>
      <w:bookmarkStart w:id="289" w:name="37"/>
    </w:p>
    <w:p w14:paraId="09CA5D7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bookmarkStart w:id="290" w:name="_Toc419045093"/>
      <w:bookmarkStart w:id="291" w:name="_Toc422322513"/>
      <w:r>
        <w:rPr>
          <w:rFonts w:hint="eastAsia" w:ascii="宋体" w:hAnsi="宋体" w:eastAsia="宋体" w:cs="宋体"/>
          <w:smallCaps/>
          <w:color w:val="auto"/>
          <w:kern w:val="28"/>
          <w:sz w:val="28"/>
          <w:szCs w:val="28"/>
          <w:highlight w:val="none"/>
        </w:rPr>
        <w:t>7.2</w:t>
      </w:r>
      <w:bookmarkEnd w:id="289"/>
      <w:r>
        <w:rPr>
          <w:rFonts w:hint="eastAsia" w:ascii="宋体" w:hAnsi="宋体" w:eastAsia="宋体" w:cs="宋体"/>
          <w:smallCaps/>
          <w:color w:val="auto"/>
          <w:kern w:val="28"/>
          <w:sz w:val="28"/>
          <w:szCs w:val="28"/>
          <w:highlight w:val="none"/>
        </w:rPr>
        <w:t>调解</w:t>
      </w:r>
      <w:bookmarkEnd w:id="290"/>
      <w:bookmarkEnd w:id="291"/>
    </w:p>
    <w:p w14:paraId="4737B18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如果双方不能在14日内或双方商定的其他时间内解决本合同争议，可以将其提交给专用条件约定的或事后达成协议的调解人进行调解。</w:t>
      </w:r>
    </w:p>
    <w:p w14:paraId="46CFBD5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bookmarkStart w:id="292" w:name="38"/>
      <w:bookmarkStart w:id="293" w:name="_Toc419045094"/>
      <w:bookmarkStart w:id="294" w:name="_Toc422322514"/>
      <w:r>
        <w:rPr>
          <w:rFonts w:hint="eastAsia" w:ascii="宋体" w:hAnsi="宋体" w:eastAsia="宋体" w:cs="宋体"/>
          <w:smallCaps/>
          <w:color w:val="auto"/>
          <w:kern w:val="28"/>
          <w:sz w:val="28"/>
          <w:szCs w:val="28"/>
          <w:highlight w:val="none"/>
        </w:rPr>
        <w:t>7.</w:t>
      </w:r>
      <w:bookmarkEnd w:id="292"/>
      <w:r>
        <w:rPr>
          <w:rFonts w:hint="eastAsia" w:ascii="宋体" w:hAnsi="宋体" w:eastAsia="宋体" w:cs="宋体"/>
          <w:smallCaps/>
          <w:color w:val="auto"/>
          <w:kern w:val="28"/>
          <w:sz w:val="28"/>
          <w:szCs w:val="28"/>
          <w:highlight w:val="none"/>
        </w:rPr>
        <w:t>3仲裁或诉讼</w:t>
      </w:r>
      <w:bookmarkEnd w:id="293"/>
      <w:bookmarkEnd w:id="294"/>
    </w:p>
    <w:p w14:paraId="14AF6AA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双方均有权不经调解直接向专用条件约定的仲裁机构申请仲裁或向有管辖权的人民法院提起诉讼。</w:t>
      </w:r>
    </w:p>
    <w:p w14:paraId="2BB1F649">
      <w:pPr>
        <w:keepNext w:val="0"/>
        <w:keepLines w:val="0"/>
        <w:widowControl/>
        <w:kinsoku/>
        <w:wordWrap/>
        <w:overflowPunct/>
        <w:topLinePunct w:val="0"/>
        <w:bidi w:val="0"/>
        <w:adjustRightInd w:val="0"/>
        <w:snapToGrid/>
        <w:spacing w:beforeLines="0" w:afterLines="0" w:line="480" w:lineRule="exact"/>
        <w:ind w:left="0" w:leftChars="0" w:firstLine="562" w:firstLineChars="200"/>
        <w:textAlignment w:val="auto"/>
        <w:rPr>
          <w:rFonts w:hint="eastAsia" w:ascii="宋体" w:hAnsi="宋体" w:eastAsia="宋体" w:cs="宋体"/>
          <w:b/>
          <w:color w:val="auto"/>
          <w:kern w:val="0"/>
          <w:sz w:val="28"/>
          <w:szCs w:val="28"/>
          <w:highlight w:val="none"/>
        </w:rPr>
      </w:pPr>
      <w:bookmarkStart w:id="295" w:name="_Toc422322515"/>
      <w:bookmarkStart w:id="296" w:name="_Toc419045095"/>
      <w:r>
        <w:rPr>
          <w:rFonts w:hint="eastAsia" w:ascii="宋体" w:hAnsi="宋体" w:eastAsia="宋体" w:cs="宋体"/>
          <w:b/>
          <w:color w:val="auto"/>
          <w:kern w:val="0"/>
          <w:sz w:val="28"/>
          <w:szCs w:val="28"/>
          <w:highlight w:val="none"/>
        </w:rPr>
        <w:t>8.其他</w:t>
      </w:r>
      <w:bookmarkEnd w:id="295"/>
      <w:bookmarkEnd w:id="296"/>
    </w:p>
    <w:p w14:paraId="35E02AB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297" w:name="39"/>
      <w:bookmarkStart w:id="298" w:name="_Toc419045096"/>
      <w:bookmarkStart w:id="299" w:name="_Toc422322516"/>
      <w:r>
        <w:rPr>
          <w:rFonts w:hint="eastAsia" w:ascii="宋体" w:hAnsi="宋体" w:eastAsia="宋体" w:cs="宋体"/>
          <w:smallCaps/>
          <w:color w:val="auto"/>
          <w:kern w:val="28"/>
          <w:sz w:val="28"/>
          <w:szCs w:val="28"/>
          <w:highlight w:val="none"/>
        </w:rPr>
        <w:t>8.1</w:t>
      </w:r>
      <w:bookmarkEnd w:id="297"/>
      <w:r>
        <w:rPr>
          <w:rFonts w:hint="eastAsia" w:ascii="宋体" w:hAnsi="宋体" w:eastAsia="宋体" w:cs="宋体"/>
          <w:color w:val="auto"/>
          <w:kern w:val="28"/>
          <w:sz w:val="28"/>
          <w:szCs w:val="28"/>
          <w:highlight w:val="none"/>
        </w:rPr>
        <w:t>考察及相关费用</w:t>
      </w:r>
      <w:bookmarkEnd w:id="298"/>
      <w:bookmarkEnd w:id="299"/>
    </w:p>
    <w:p w14:paraId="0150328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除专用条件另有约定外，咨询人经委托人同意进行考察发生的费用由委托人审核后另行支付。差旅费及相关费用的承担由双方在专用条件中约定。</w:t>
      </w:r>
    </w:p>
    <w:p w14:paraId="1296A1E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300" w:name="_Toc422322517"/>
      <w:r>
        <w:rPr>
          <w:rFonts w:hint="eastAsia" w:ascii="宋体" w:hAnsi="宋体" w:eastAsia="宋体" w:cs="宋体"/>
          <w:color w:val="auto"/>
          <w:kern w:val="28"/>
          <w:sz w:val="28"/>
          <w:szCs w:val="28"/>
          <w:highlight w:val="none"/>
        </w:rPr>
        <w:t>8.2奖励</w:t>
      </w:r>
      <w:bookmarkEnd w:id="300"/>
    </w:p>
    <w:p w14:paraId="1B906CB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28"/>
          <w:sz w:val="28"/>
          <w:szCs w:val="28"/>
          <w:highlight w:val="none"/>
        </w:rPr>
      </w:pPr>
      <w:r>
        <w:rPr>
          <w:rFonts w:hint="eastAsia" w:ascii="宋体" w:hAnsi="宋体" w:eastAsia="宋体" w:cs="宋体"/>
          <w:color w:val="auto"/>
          <w:kern w:val="0"/>
          <w:sz w:val="28"/>
          <w:szCs w:val="28"/>
          <w:highlight w:val="none"/>
        </w:rPr>
        <w:t>对于咨询人在服务过程中提出合理化建议，使委托人获得效益的，双方在专用条件中约定奖励金额的确定方法。奖励金额在合理化建议被采纳后，与最近一期的正常工作酬金同期支付。</w:t>
      </w:r>
    </w:p>
    <w:p w14:paraId="0C273F4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301" w:name="_Toc422322518"/>
      <w:r>
        <w:rPr>
          <w:rFonts w:hint="eastAsia" w:ascii="宋体" w:hAnsi="宋体" w:eastAsia="宋体" w:cs="宋体"/>
          <w:color w:val="auto"/>
          <w:kern w:val="28"/>
          <w:sz w:val="28"/>
          <w:szCs w:val="28"/>
          <w:highlight w:val="none"/>
        </w:rPr>
        <w:t>8.3保密</w:t>
      </w:r>
      <w:bookmarkEnd w:id="301"/>
    </w:p>
    <w:p w14:paraId="22E5669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在本合同履行期间或专用条件约定的期限内，双方不得泄露对方申明的保密资料，亦不得泄露与实施工程有关的第三人所提供的保密资料。保密事项在专用条件中约定。</w:t>
      </w:r>
    </w:p>
    <w:p w14:paraId="1DB4224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color w:val="auto"/>
          <w:kern w:val="0"/>
          <w:sz w:val="28"/>
          <w:szCs w:val="28"/>
          <w:highlight w:val="none"/>
        </w:rPr>
      </w:pPr>
      <w:bookmarkStart w:id="302" w:name="_Toc419045097"/>
      <w:bookmarkStart w:id="303" w:name="_Toc422322519"/>
      <w:r>
        <w:rPr>
          <w:rFonts w:hint="eastAsia" w:ascii="宋体" w:hAnsi="宋体" w:eastAsia="宋体" w:cs="宋体"/>
          <w:color w:val="auto"/>
          <w:kern w:val="28"/>
          <w:sz w:val="28"/>
          <w:szCs w:val="28"/>
          <w:highlight w:val="none"/>
        </w:rPr>
        <w:t>8.4</w:t>
      </w:r>
      <w:bookmarkEnd w:id="302"/>
      <w:r>
        <w:rPr>
          <w:rFonts w:hint="eastAsia" w:ascii="宋体" w:hAnsi="宋体" w:eastAsia="宋体" w:cs="宋体"/>
          <w:color w:val="auto"/>
          <w:kern w:val="28"/>
          <w:sz w:val="28"/>
          <w:szCs w:val="28"/>
          <w:highlight w:val="none"/>
        </w:rPr>
        <w:t>联络</w:t>
      </w:r>
      <w:bookmarkEnd w:id="303"/>
    </w:p>
    <w:p w14:paraId="3CB5E10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8.4.1与合同有关的通知、指示、要求、决定等，均应采用书面形式，并应在专用条件约定的期限内送达接收人和送达地点。</w:t>
      </w:r>
    </w:p>
    <w:p w14:paraId="208CB29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6FE4CFB3">
      <w:pPr>
        <w:keepNext w:val="0"/>
        <w:keepLines w:val="0"/>
        <w:widowControl/>
        <w:tabs>
          <w:tab w:val="left" w:pos="5085"/>
        </w:tabs>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8.4.3委托人和咨询人应当及时签收另一方送达至送达地点和指定接收人的往来函件，如确有充分证据证明一方无正当理由拒不签收的，视为认可往来函件的内容。</w:t>
      </w:r>
    </w:p>
    <w:p w14:paraId="06E4FCC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outlineLvl w:val="1"/>
        <w:rPr>
          <w:rFonts w:hint="eastAsia" w:ascii="宋体" w:hAnsi="宋体" w:eastAsia="宋体" w:cs="宋体"/>
          <w:color w:val="auto"/>
          <w:kern w:val="28"/>
          <w:sz w:val="28"/>
          <w:szCs w:val="28"/>
          <w:highlight w:val="none"/>
        </w:rPr>
      </w:pPr>
      <w:bookmarkStart w:id="304" w:name="_Toc422322520"/>
      <w:r>
        <w:rPr>
          <w:rFonts w:hint="eastAsia" w:ascii="宋体" w:hAnsi="宋体" w:eastAsia="宋体" w:cs="宋体"/>
          <w:color w:val="auto"/>
          <w:kern w:val="28"/>
          <w:sz w:val="28"/>
          <w:szCs w:val="28"/>
          <w:highlight w:val="none"/>
        </w:rPr>
        <w:t>8.5知识产权</w:t>
      </w:r>
      <w:bookmarkEnd w:id="304"/>
    </w:p>
    <w:p w14:paraId="1B0F201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099C77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DD26FA3">
      <w:pPr>
        <w:keepNext w:val="0"/>
        <w:keepLines w:val="0"/>
        <w:widowControl/>
        <w:kinsoku/>
        <w:wordWrap/>
        <w:overflowPunct/>
        <w:topLinePunct w:val="0"/>
        <w:autoSpaceDE w:val="0"/>
        <w:autoSpaceDN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双方保证在履行本合同过程中不侵犯对方及第三方的知识产权。因咨询人侵犯他人知识产权所引起的责任，由咨询人承担；因委托人提供的基础资料导致侵权的，由委托人承担责任。</w:t>
      </w:r>
    </w:p>
    <w:p w14:paraId="70D54B1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除专用条件另有约定外，双方均有权在履行本合同保密义务并且不损害对方利益的情况下，将履行本合同形成的有关成果文件用于企业宣传、申报奖项以及接受上级主管部门的检查。</w:t>
      </w:r>
    </w:p>
    <w:p w14:paraId="0995B97D">
      <w:pPr>
        <w:keepNext w:val="0"/>
        <w:keepLines w:val="0"/>
        <w:pageBreakBefore/>
        <w:kinsoku/>
        <w:wordWrap/>
        <w:overflowPunct/>
        <w:topLinePunct w:val="0"/>
        <w:bidi w:val="0"/>
        <w:adjustRightInd w:val="0"/>
        <w:snapToGrid/>
        <w:spacing w:beforeLines="0" w:afterLines="0" w:line="480" w:lineRule="exact"/>
        <w:ind w:left="0" w:leftChars="0" w:firstLine="562" w:firstLineChars="200"/>
        <w:jc w:val="center"/>
        <w:textAlignment w:val="auto"/>
        <w:outlineLvl w:val="0"/>
        <w:rPr>
          <w:rFonts w:hint="eastAsia" w:ascii="宋体" w:hAnsi="宋体" w:eastAsia="宋体" w:cs="宋体"/>
          <w:b/>
          <w:color w:val="auto"/>
          <w:kern w:val="44"/>
          <w:sz w:val="28"/>
          <w:szCs w:val="28"/>
          <w:highlight w:val="none"/>
        </w:rPr>
      </w:pPr>
      <w:bookmarkStart w:id="305" w:name="_Toc422322521"/>
      <w:bookmarkStart w:id="306" w:name="_Toc419045098"/>
      <w:bookmarkStart w:id="307" w:name="_Toc141198740"/>
      <w:r>
        <w:rPr>
          <w:rFonts w:hint="eastAsia" w:ascii="宋体" w:hAnsi="宋体" w:eastAsia="宋体" w:cs="宋体"/>
          <w:b/>
          <w:color w:val="auto"/>
          <w:kern w:val="44"/>
          <w:sz w:val="28"/>
          <w:szCs w:val="28"/>
          <w:highlight w:val="none"/>
        </w:rPr>
        <w:t>第三部分  专用条件</w:t>
      </w:r>
      <w:bookmarkEnd w:id="305"/>
      <w:bookmarkEnd w:id="306"/>
      <w:bookmarkEnd w:id="307"/>
      <w:bookmarkStart w:id="308" w:name="45"/>
    </w:p>
    <w:bookmarkEnd w:id="308"/>
    <w:p w14:paraId="77BCAED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甲、乙</w:t>
      </w:r>
      <w:r>
        <w:rPr>
          <w:rFonts w:hint="eastAsia" w:ascii="宋体" w:hAnsi="宋体" w:eastAsia="宋体" w:cs="宋体"/>
          <w:color w:val="auto"/>
          <w:kern w:val="0"/>
          <w:sz w:val="28"/>
          <w:szCs w:val="28"/>
          <w:highlight w:val="none"/>
          <w:u w:val="none"/>
          <w:lang w:eastAsia="zh-CN"/>
        </w:rPr>
        <w:t>双方</w:t>
      </w:r>
      <w:r>
        <w:rPr>
          <w:rFonts w:hint="eastAsia" w:ascii="宋体" w:hAnsi="宋体" w:eastAsia="宋体" w:cs="宋体"/>
          <w:color w:val="auto"/>
          <w:kern w:val="0"/>
          <w:sz w:val="28"/>
          <w:szCs w:val="28"/>
          <w:highlight w:val="none"/>
          <w:u w:val="none"/>
        </w:rPr>
        <w:t>经过平等协商，在真实、充分地表达各自意愿的基础上，根据《中华人民共和国民法典》及相关法律法规的规定，对甲方委托乙方就</w:t>
      </w:r>
      <w:r>
        <w:rPr>
          <w:rFonts w:hint="eastAsia" w:ascii="宋体" w:hAnsi="宋体" w:cs="宋体"/>
          <w:color w:val="auto"/>
          <w:kern w:val="0"/>
          <w:sz w:val="28"/>
          <w:szCs w:val="28"/>
          <w:highlight w:val="none"/>
          <w:u w:val="none"/>
          <w:lang w:eastAsia="zh-CN"/>
        </w:rPr>
        <w:t>2025年现代职业教育质量提升计划（西教学楼、2号宿舍楼）抗震加固项目</w:t>
      </w:r>
      <w:r>
        <w:rPr>
          <w:rFonts w:hint="eastAsia" w:ascii="宋体" w:hAnsi="宋体" w:eastAsia="宋体" w:cs="宋体"/>
          <w:color w:val="auto"/>
          <w:kern w:val="0"/>
          <w:sz w:val="28"/>
          <w:szCs w:val="28"/>
          <w:highlight w:val="none"/>
          <w:u w:val="none"/>
          <w:lang w:eastAsia="zh-CN"/>
        </w:rPr>
        <w:t>全过程造价咨询服务</w:t>
      </w:r>
      <w:r>
        <w:rPr>
          <w:rFonts w:hint="eastAsia" w:ascii="宋体" w:hAnsi="宋体" w:eastAsia="宋体" w:cs="宋体"/>
          <w:color w:val="auto"/>
          <w:kern w:val="0"/>
          <w:sz w:val="28"/>
          <w:szCs w:val="28"/>
          <w:highlight w:val="none"/>
          <w:u w:val="none"/>
        </w:rPr>
        <w:t>等相关事宜达成如下合同，由</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方共同恪守。</w:t>
      </w:r>
    </w:p>
    <w:p w14:paraId="337B627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第一条 定义</w:t>
      </w:r>
    </w:p>
    <w:p w14:paraId="0FD43E3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1.1“服务费用”：乙方按照合同约定完成全部服务并达到甲方验收要求所涉及的全部费用。</w:t>
      </w:r>
    </w:p>
    <w:p w14:paraId="6ADC2AA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1.2“服务”：本合同第二条所述的服务。</w:t>
      </w:r>
    </w:p>
    <w:p w14:paraId="5A76018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1.3“不可抗力”：地震、台风、水灾、火灾、战争、政府重大政策调整以及其它本合同各方不能预见，并且对其发生和后果不能防止或不能避免且不可克服的客观情况。</w:t>
      </w:r>
    </w:p>
    <w:p w14:paraId="567730F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1.4“一方”：甲方或乙方或丙方。</w:t>
      </w:r>
    </w:p>
    <w:p w14:paraId="1E7B3DB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1.5“</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方”：甲方、乙方。</w:t>
      </w:r>
    </w:p>
    <w:p w14:paraId="544D9A0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第二条 乙方提供服务的内容和要求</w:t>
      </w:r>
    </w:p>
    <w:p w14:paraId="2C02C94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2.1乙方应积极、负责地按照本合同的条款和条件，为甲方提供全过程造价服务，并保证按甲方要求的时限和行业公认的准则，保质保量地完成甲方所委托之服务事项。</w:t>
      </w:r>
    </w:p>
    <w:p w14:paraId="44A810A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2.2乙方应根据服务事项的进度及三方议定的计划日程，及时向甲方提供本合同所列的项目交付成果。</w:t>
      </w:r>
    </w:p>
    <w:p w14:paraId="7C88219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2.3乙方应接受甲方的监督，并根据甲方的要求和意见，24小时内调整工作日程和工作计划。</w:t>
      </w:r>
    </w:p>
    <w:p w14:paraId="6E64327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2.4乙方组建项目全过程造价服务团队人员数量及资质不得低于乙方提交响应文件中的项目主要参与人员一览表的数量及资质要求。乙方应保证项目组人员的稳定性，不得随意更换。甲方有权要求调换不能胜任的项目组成员。乙方接到甲方要求调换项目组成员的通知后，应于2日内向甲方提供调换后的项目组成人员信息并附同等资质，经甲方确认后，1日内完成调换。若乙方未经甲方书面许可私自调换项目组人员，甲方有权要求乙方承担合同价款10%的违约金。</w:t>
      </w:r>
    </w:p>
    <w:p w14:paraId="37737A3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2.5乙方应按照甲方要求指定项目负责人以及成员提供驻场支撑，在成果交付周期内按照甲方要求进行相关工作的支撑及服务工作，在此期间内项目负责人的差旅费、住宿费等均由乙方承担。</w:t>
      </w:r>
    </w:p>
    <w:p w14:paraId="0B2366E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2.6服务内容</w:t>
      </w:r>
    </w:p>
    <w:p w14:paraId="2E0515E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具体以采购文件第四部分项目需求说明为准。</w:t>
      </w:r>
    </w:p>
    <w:p w14:paraId="1530F39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2.7履行期限</w:t>
      </w:r>
    </w:p>
    <w:p w14:paraId="45D2DD3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2.7.1乙方应在签订合同后，在自治区党员教育中心基础建设工程项目完成建设，且工作成果经甲方验收合格。若需延长时间，应获得甲方的书面许可。</w:t>
      </w:r>
    </w:p>
    <w:p w14:paraId="33F136B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履行地点：乌鲁木齐。</w:t>
      </w:r>
    </w:p>
    <w:p w14:paraId="4759B60A">
      <w:pPr>
        <w:keepNext w:val="0"/>
        <w:keepLines w:val="0"/>
        <w:widowControl/>
        <w:numPr>
          <w:ilvl w:val="0"/>
          <w:numId w:val="11"/>
        </w:numPr>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为保证乙方有效进行服务工作，乙方应当一次性告知甲方应当提供的材料内容，如未履行一次性告知义务，导致服务工作延期的，由乙方承担迟延交付成果的责任。</w:t>
      </w:r>
    </w:p>
    <w:p w14:paraId="7CB97042">
      <w:pPr>
        <w:keepNext w:val="0"/>
        <w:keepLines w:val="0"/>
        <w:widowControl/>
        <w:numPr>
          <w:ilvl w:val="-1"/>
          <w:numId w:val="0"/>
        </w:numPr>
        <w:kinsoku/>
        <w:wordWrap/>
        <w:overflowPunct/>
        <w:topLinePunct w:val="0"/>
        <w:bidi w:val="0"/>
        <w:adjustRightInd w:val="0"/>
        <w:snapToGrid/>
        <w:spacing w:beforeLines="0" w:afterLines="0" w:line="480" w:lineRule="exact"/>
        <w:ind w:left="420" w:leftChars="200" w:firstLine="0" w:firstLineChars="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甲方应当向乙方提供下列协作事项：</w:t>
      </w:r>
    </w:p>
    <w:p w14:paraId="2BBF502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3.1提供相关资料。</w:t>
      </w:r>
    </w:p>
    <w:p w14:paraId="4D71B48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3.2提供必要的工作条件。</w:t>
      </w:r>
    </w:p>
    <w:p w14:paraId="6EDA109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3.3其他配合协作事项。</w:t>
      </w:r>
    </w:p>
    <w:p w14:paraId="638C945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第四条 全过程造价服务的协调和进度</w:t>
      </w:r>
    </w:p>
    <w:p w14:paraId="47A7695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4.1乙方的项目负责人应按三方约定的项目进程关键时间点与甲方的指定代表开会，讨论有关项目的进度、成果及其它相关问题。若因乙方原因致使无法按约召开会议，由乙方以其他形式报告有关项目的进度、成果及其它相关问题，并承担因此对甲方造成的全部损失。</w:t>
      </w:r>
    </w:p>
    <w:p w14:paraId="24C5FF0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4.2若有需要，甲方可以指定其代表或项目人员每周参与乙方的项目负责人组织召开的项目进程例会，并按</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方约定的项目进程关键时间点指定代表与乙方的项目负责人开会，讨论有关项目的进度、成果及其它相关问题。</w:t>
      </w:r>
    </w:p>
    <w:p w14:paraId="325C07E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第五条 费用及支付</w:t>
      </w:r>
    </w:p>
    <w:p w14:paraId="6BA9B4C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.1 服务费用</w:t>
      </w:r>
    </w:p>
    <w:p w14:paraId="59242BA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.1.1 全过程造价费用总计人民币大写：[              ]，小写￥[                  ]元（含6%增值税、专家评审费等一切乙方为完成本合同需要支出的费用）。（其中不含税金额：￥               元，人民币大写：              整；税金：￥          元，人民币大写：                  元整）除另有书面约定外，甲方无需就本合同项下委托事项向乙方另行支付其他任何费用。</w:t>
      </w:r>
    </w:p>
    <w:p w14:paraId="4EDBBFA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.2服务费用的具体支付方式和时间如下：</w:t>
      </w:r>
    </w:p>
    <w:p w14:paraId="121A025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.2.1本合同分</w:t>
      </w:r>
      <w:r>
        <w:rPr>
          <w:rFonts w:hint="eastAsia" w:ascii="宋体" w:hAnsi="宋体" w:eastAsia="宋体" w:cs="宋体"/>
          <w:color w:val="auto"/>
          <w:kern w:val="0"/>
          <w:sz w:val="28"/>
          <w:szCs w:val="28"/>
          <w:highlight w:val="none"/>
          <w:u w:val="none"/>
          <w:lang w:val="en-US" w:eastAsia="zh-CN"/>
        </w:rPr>
        <w:t>两</w:t>
      </w:r>
      <w:r>
        <w:rPr>
          <w:rFonts w:hint="eastAsia" w:ascii="宋体" w:hAnsi="宋体" w:eastAsia="宋体" w:cs="宋体"/>
          <w:color w:val="auto"/>
          <w:kern w:val="0"/>
          <w:sz w:val="28"/>
          <w:szCs w:val="28"/>
          <w:highlight w:val="none"/>
          <w:u w:val="none"/>
        </w:rPr>
        <w:t>次付款，若因财政拨款进度影响甲方付款，不视为甲方违约，应以财政拨款实际到款日后30个工作日内向乙方付款。</w:t>
      </w:r>
    </w:p>
    <w:p w14:paraId="7CEBA71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.2.2合同签订后，乙方向</w:t>
      </w:r>
      <w:r>
        <w:rPr>
          <w:rFonts w:hint="eastAsia" w:ascii="宋体" w:hAnsi="宋体" w:eastAsia="宋体" w:cs="宋体"/>
          <w:color w:val="auto"/>
          <w:kern w:val="0"/>
          <w:sz w:val="28"/>
          <w:szCs w:val="28"/>
          <w:highlight w:val="none"/>
          <w:u w:val="none"/>
          <w:lang w:eastAsia="zh-CN"/>
        </w:rPr>
        <w:t>甲方提交</w:t>
      </w:r>
      <w:r>
        <w:rPr>
          <w:rFonts w:hint="eastAsia" w:ascii="宋体" w:hAnsi="宋体" w:eastAsia="宋体" w:cs="宋体"/>
          <w:color w:val="auto"/>
          <w:kern w:val="0"/>
          <w:sz w:val="28"/>
          <w:szCs w:val="28"/>
          <w:highlight w:val="none"/>
          <w:u w:val="none"/>
        </w:rPr>
        <w:t>清单控制价成果文件递交后</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日，</w:t>
      </w:r>
      <w:r>
        <w:rPr>
          <w:rFonts w:hint="eastAsia" w:ascii="宋体" w:hAnsi="宋体" w:eastAsia="宋体" w:cs="宋体"/>
          <w:color w:val="auto"/>
          <w:kern w:val="0"/>
          <w:sz w:val="28"/>
          <w:szCs w:val="28"/>
          <w:highlight w:val="none"/>
          <w:u w:val="none"/>
        </w:rPr>
        <w:t>支付合同价款的</w:t>
      </w:r>
      <w:r>
        <w:rPr>
          <w:rFonts w:hint="eastAsia" w:ascii="宋体" w:hAnsi="宋体" w:cs="宋体"/>
          <w:color w:val="auto"/>
          <w:kern w:val="0"/>
          <w:sz w:val="28"/>
          <w:szCs w:val="28"/>
          <w:highlight w:val="none"/>
          <w:u w:val="none"/>
          <w:lang w:eastAsia="zh-CN"/>
        </w:rPr>
        <w:t xml:space="preserve"> </w:t>
      </w:r>
      <w:r>
        <w:rPr>
          <w:rFonts w:hint="eastAsia" w:ascii="宋体" w:hAnsi="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rPr>
        <w:t xml:space="preserve">%支，即  </w:t>
      </w:r>
      <w:r>
        <w:rPr>
          <w:rFonts w:hint="eastAsia" w:ascii="宋体" w:hAnsi="宋体" w:eastAsia="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rPr>
        <w:t>元[大写:                 ]。</w:t>
      </w:r>
    </w:p>
    <w:p w14:paraId="41864AC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.2.3工程结算审查完成后</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日</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rPr>
        <w:t>甲方向乙方支付</w:t>
      </w:r>
      <w:r>
        <w:rPr>
          <w:rFonts w:hint="eastAsia" w:ascii="宋体" w:hAnsi="宋体" w:eastAsia="宋体" w:cs="宋体"/>
          <w:color w:val="auto"/>
          <w:kern w:val="0"/>
          <w:sz w:val="28"/>
          <w:szCs w:val="28"/>
          <w:highlight w:val="none"/>
          <w:u w:val="none"/>
          <w:lang w:eastAsia="zh-CN"/>
        </w:rPr>
        <w:t>合同价款</w:t>
      </w:r>
      <w:r>
        <w:rPr>
          <w:rFonts w:hint="eastAsia" w:ascii="宋体" w:hAnsi="宋体" w:eastAsia="宋体" w:cs="宋体"/>
          <w:color w:val="auto"/>
          <w:kern w:val="0"/>
          <w:sz w:val="28"/>
          <w:szCs w:val="28"/>
          <w:highlight w:val="none"/>
          <w:u w:val="none"/>
        </w:rPr>
        <w:t>的</w:t>
      </w: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0%， 即           元[大写:        ]。</w:t>
      </w:r>
    </w:p>
    <w:p w14:paraId="21FDC31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付款前10日乙方应提供正规发票。乙方未在甲方付款前提供同等金额的符合甲方财务做账需求的发票的，付款时间顺延，甲方不承担违约责任。</w:t>
      </w:r>
    </w:p>
    <w:p w14:paraId="15245C1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.3甲方收取发票并抵扣的行为，不视为甲方对乙方履约行为的确认。乙方开具发票与合同约定的实际业务保持一致。如乙方开具发票时涉及的服务类别、服务价款与本合同不一致，需</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方依据业务实际情况签订相关补充协议，乙方面保证开票合规，保证甲方实现进行税额合法抵扣，否则由乙方承担因此而造成的损失。</w:t>
      </w:r>
    </w:p>
    <w:p w14:paraId="2EC8FB7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.4乙方纳税人主体身份发生变更，应自变更之日起5日内，以书面形式告知甲方。</w:t>
      </w:r>
    </w:p>
    <w:p w14:paraId="5E66F07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.5根据本合同约定，若乙方应当支付违约金或承担违约责任，则甲方有权从任何一笔付款中直接扣除相应金额。</w:t>
      </w:r>
    </w:p>
    <w:p w14:paraId="2420081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.6乙方账户信息如下，甲方按照合同约定支付相应费用到下列账户即视为甲方完成付款义务：</w:t>
      </w:r>
    </w:p>
    <w:p w14:paraId="533EC66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乙方信息如下：</w:t>
      </w:r>
    </w:p>
    <w:p w14:paraId="53E762A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户  名：[       ]</w:t>
      </w:r>
    </w:p>
    <w:p w14:paraId="4EBC7FB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开户行：[       ]</w:t>
      </w:r>
    </w:p>
    <w:p w14:paraId="310A18D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帐  号：[       ]</w:t>
      </w:r>
    </w:p>
    <w:p w14:paraId="234272A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银行地址：[      ]</w:t>
      </w:r>
    </w:p>
    <w:p w14:paraId="1DBAB1D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w:t>
      </w:r>
      <w:r>
        <w:rPr>
          <w:rFonts w:hint="eastAsia" w:ascii="宋体" w:hAnsi="宋体" w:eastAsia="宋体" w:cs="宋体"/>
          <w:color w:val="auto"/>
          <w:kern w:val="0"/>
          <w:sz w:val="28"/>
          <w:szCs w:val="28"/>
          <w:highlight w:val="none"/>
          <w:u w:val="none"/>
          <w:lang w:val="en-US" w:eastAsia="zh-CN"/>
        </w:rPr>
        <w:t>六</w:t>
      </w:r>
      <w:r>
        <w:rPr>
          <w:rFonts w:hint="eastAsia" w:ascii="宋体" w:hAnsi="宋体" w:eastAsia="宋体" w:cs="宋体"/>
          <w:color w:val="auto"/>
          <w:kern w:val="0"/>
          <w:sz w:val="28"/>
          <w:szCs w:val="28"/>
          <w:highlight w:val="none"/>
          <w:u w:val="none"/>
        </w:rPr>
        <w:t>条 保密要求</w:t>
      </w:r>
    </w:p>
    <w:p w14:paraId="7777FF0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6</w:t>
      </w:r>
      <w:r>
        <w:rPr>
          <w:rFonts w:hint="eastAsia" w:ascii="宋体" w:hAnsi="宋体" w:eastAsia="宋体" w:cs="宋体"/>
          <w:color w:val="auto"/>
          <w:kern w:val="0"/>
          <w:sz w:val="28"/>
          <w:szCs w:val="28"/>
          <w:highlight w:val="none"/>
          <w:u w:val="none"/>
        </w:rPr>
        <w:t>.1甲方对其向乙方按照本合同（或就本合同）所提供/披露的各类技术和商业资料、规格说明、图纸、文件及专有技术（统称“项目资料”）享有合法知识产权及所有权。</w:t>
      </w:r>
    </w:p>
    <w:p w14:paraId="7747EA6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6</w:t>
      </w:r>
      <w:r>
        <w:rPr>
          <w:rFonts w:hint="eastAsia" w:ascii="宋体" w:hAnsi="宋体" w:eastAsia="宋体" w:cs="宋体"/>
          <w:color w:val="auto"/>
          <w:kern w:val="0"/>
          <w:sz w:val="28"/>
          <w:szCs w:val="28"/>
          <w:highlight w:val="none"/>
          <w:u w:val="none"/>
        </w:rPr>
        <w:t>.2乙方应将甲方提供的所有资料作为秘密予以保护。除本合同授权实施的行为外，不得将甲方提供的资料部分地或全部地对外披露，乙、丙方仅可为本合同的目的向其确有知悉必要的雇员披露甲方提供的项目资料，但同时须指示其雇员遵守本条规定的保密及不披露义务，如雇员未履行保密及不披露义务视为乙方违反保密义务，由乙方承担违约责任并赔偿甲方损失。乙方仅可为履行本合同之目的对项目资料进行复制。乙方应当在本合同终止或解除时将项目资料原件全部返还甲方，并销毁所有复制件。乙方应当妥善保管项目资料，并对项目资料在乙方期间发生的被盗、泄露或其他有损项目资料安全保密性的事件承担全部责任，因此造成甲方损失的，乙方应负责赔偿。</w:t>
      </w:r>
    </w:p>
    <w:p w14:paraId="382D87A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6</w:t>
      </w:r>
      <w:r>
        <w:rPr>
          <w:rFonts w:hint="eastAsia" w:ascii="宋体" w:hAnsi="宋体" w:eastAsia="宋体" w:cs="宋体"/>
          <w:color w:val="auto"/>
          <w:kern w:val="0"/>
          <w:sz w:val="28"/>
          <w:szCs w:val="28"/>
          <w:highlight w:val="none"/>
          <w:u w:val="none"/>
        </w:rPr>
        <w:t>.3出现下述情况时，本条对项目资料的限制不适用：</w:t>
      </w:r>
    </w:p>
    <w:p w14:paraId="4D924F2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（1）并非乙方及乙方相关人员的过错而已经进入公有领域的；</w:t>
      </w:r>
    </w:p>
    <w:p w14:paraId="37996AE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（2）已通过甲方或者乙方的有关记录证明是由乙方的；</w:t>
      </w:r>
    </w:p>
    <w:p w14:paraId="1E95763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（3）法律要求乙方披露的，但乙方应在合理的时间提前通知甲方，使其得以采取其认为必要的保护措施。</w:t>
      </w:r>
    </w:p>
    <w:p w14:paraId="3E36EBD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6</w:t>
      </w:r>
      <w:r>
        <w:rPr>
          <w:rFonts w:hint="eastAsia" w:ascii="宋体" w:hAnsi="宋体" w:eastAsia="宋体" w:cs="宋体"/>
          <w:color w:val="auto"/>
          <w:kern w:val="0"/>
          <w:sz w:val="28"/>
          <w:szCs w:val="28"/>
          <w:highlight w:val="none"/>
          <w:u w:val="none"/>
        </w:rPr>
        <w:t>.4保密信息包括但不限于项目设计资料、技术规格、工艺流程、工作计划及其他未公开的工作秘密。如乙方违反本合同关于保密的约定，应赔偿因此而给甲方造成的一切损失并承担合同价款30%的违约金。</w:t>
      </w:r>
    </w:p>
    <w:p w14:paraId="5514F96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6</w:t>
      </w:r>
      <w:r>
        <w:rPr>
          <w:rFonts w:hint="eastAsia" w:ascii="宋体" w:hAnsi="宋体" w:eastAsia="宋体" w:cs="宋体"/>
          <w:color w:val="auto"/>
          <w:kern w:val="0"/>
          <w:sz w:val="28"/>
          <w:szCs w:val="28"/>
          <w:highlight w:val="none"/>
          <w:u w:val="none"/>
        </w:rPr>
        <w:t>.5本保密条款的约定不因本合同的中止、解除或终止而无效。</w:t>
      </w:r>
    </w:p>
    <w:p w14:paraId="1A83F88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w:t>
      </w:r>
      <w:r>
        <w:rPr>
          <w:rFonts w:hint="eastAsia" w:ascii="宋体" w:hAnsi="宋体" w:eastAsia="宋体" w:cs="宋体"/>
          <w:color w:val="auto"/>
          <w:kern w:val="0"/>
          <w:sz w:val="28"/>
          <w:szCs w:val="28"/>
          <w:highlight w:val="none"/>
          <w:u w:val="none"/>
          <w:lang w:val="en-US" w:eastAsia="zh-CN"/>
        </w:rPr>
        <w:t>七</w:t>
      </w:r>
      <w:r>
        <w:rPr>
          <w:rFonts w:hint="eastAsia" w:ascii="宋体" w:hAnsi="宋体" w:eastAsia="宋体" w:cs="宋体"/>
          <w:color w:val="auto"/>
          <w:kern w:val="0"/>
          <w:sz w:val="28"/>
          <w:szCs w:val="28"/>
          <w:highlight w:val="none"/>
          <w:u w:val="none"/>
        </w:rPr>
        <w:t>条 本合同的变更必须由</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方协商一致，并以书面形式确定。</w:t>
      </w:r>
    </w:p>
    <w:p w14:paraId="1A0061D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w:t>
      </w:r>
      <w:r>
        <w:rPr>
          <w:rFonts w:hint="eastAsia" w:ascii="宋体" w:hAnsi="宋体" w:eastAsia="宋体" w:cs="宋体"/>
          <w:color w:val="auto"/>
          <w:kern w:val="0"/>
          <w:sz w:val="28"/>
          <w:szCs w:val="28"/>
          <w:highlight w:val="none"/>
          <w:u w:val="none"/>
          <w:lang w:val="en-US" w:eastAsia="zh-CN"/>
        </w:rPr>
        <w:t>八</w:t>
      </w:r>
      <w:r>
        <w:rPr>
          <w:rFonts w:hint="eastAsia" w:ascii="宋体" w:hAnsi="宋体" w:eastAsia="宋体" w:cs="宋体"/>
          <w:color w:val="auto"/>
          <w:kern w:val="0"/>
          <w:sz w:val="28"/>
          <w:szCs w:val="28"/>
          <w:highlight w:val="none"/>
          <w:u w:val="none"/>
        </w:rPr>
        <w:t>条 未经甲方书面同意，乙方不得将本合同项目部分或全部工作转由第三人承担，否则甲方有权解除本合同，并赔偿因此而给甲方造成的一切损失并承担合同中相应费用30%的违约金，乙方承担连带赔偿责任。</w:t>
      </w:r>
    </w:p>
    <w:p w14:paraId="489EAD5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w:t>
      </w:r>
      <w:r>
        <w:rPr>
          <w:rFonts w:hint="eastAsia" w:ascii="宋体" w:hAnsi="宋体" w:eastAsia="宋体" w:cs="宋体"/>
          <w:color w:val="auto"/>
          <w:kern w:val="0"/>
          <w:sz w:val="28"/>
          <w:szCs w:val="28"/>
          <w:highlight w:val="none"/>
          <w:u w:val="none"/>
          <w:lang w:val="en-US" w:eastAsia="zh-CN"/>
        </w:rPr>
        <w:t>九</w:t>
      </w:r>
      <w:r>
        <w:rPr>
          <w:rFonts w:hint="eastAsia" w:ascii="宋体" w:hAnsi="宋体" w:eastAsia="宋体" w:cs="宋体"/>
          <w:color w:val="auto"/>
          <w:kern w:val="0"/>
          <w:sz w:val="28"/>
          <w:szCs w:val="28"/>
          <w:highlight w:val="none"/>
          <w:u w:val="none"/>
        </w:rPr>
        <w:t xml:space="preserve">条 </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方确定，按以下标准和方式对乙方提交的服务成果进行验收：</w:t>
      </w:r>
    </w:p>
    <w:p w14:paraId="7144600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9</w:t>
      </w: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乙方</w:t>
      </w:r>
      <w:r>
        <w:rPr>
          <w:rFonts w:hint="eastAsia" w:ascii="宋体" w:hAnsi="宋体" w:eastAsia="宋体" w:cs="宋体"/>
          <w:color w:val="auto"/>
          <w:kern w:val="0"/>
          <w:sz w:val="28"/>
          <w:szCs w:val="28"/>
          <w:highlight w:val="none"/>
          <w:u w:val="none"/>
        </w:rPr>
        <w:t>应在整个项目竣工验收合格、竣工结算审查完成后【5】日内出具完整项目全过程造价报告等，并将以上审查资料纸质版【  】份及电子版移交甲方，其中纸质版应该由乙方的授权代表签字，加盖公章并附授权委托书、法定代表人身份证明书、身份证复印件、授权代表身份证复印件。</w:t>
      </w:r>
    </w:p>
    <w:p w14:paraId="22A1128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9</w:t>
      </w:r>
      <w:r>
        <w:rPr>
          <w:rFonts w:hint="eastAsia" w:ascii="宋体" w:hAnsi="宋体" w:eastAsia="宋体" w:cs="宋体"/>
          <w:color w:val="auto"/>
          <w:kern w:val="0"/>
          <w:sz w:val="28"/>
          <w:szCs w:val="28"/>
          <w:highlight w:val="none"/>
          <w:u w:val="none"/>
        </w:rPr>
        <w:t>.2服务成果的验收标准：达到了本合同所列要求。</w:t>
      </w:r>
    </w:p>
    <w:p w14:paraId="688F233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第十条 造价服务要求</w:t>
      </w:r>
    </w:p>
    <w:p w14:paraId="6B4EE3D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.1 项目咨询团队及人员</w:t>
      </w:r>
    </w:p>
    <w:p w14:paraId="74B7C86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.1.1项目负责人</w:t>
      </w:r>
    </w:p>
    <w:p w14:paraId="6237CA6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乙方应以书面形式授权一名项目负责人负责履行本合同、主持项目咨询团队工作。采用招标程序签署本合同的，项目负责人应当与投标文件载明的一致。</w:t>
      </w:r>
    </w:p>
    <w:p w14:paraId="76AD4B3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.1.2在本合同履行过程中，乙方人员应保持相对稳定，以保证咨询工作正常进行。</w:t>
      </w:r>
    </w:p>
    <w:p w14:paraId="0CBE7BA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乙方可根据工程进展和工作需要等情形调整项目咨询团队人员。乙方不得更换项目负责人。乙方更换项目咨询团队其他人员，应提前向甲方书面报告，经甲方同意后以相当资格与能力的人员替换。</w:t>
      </w:r>
    </w:p>
    <w:p w14:paraId="650962F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.1.3乙方有下列情形之一，甲方要求乙方更换的，乙方应当更换：</w:t>
      </w:r>
    </w:p>
    <w:p w14:paraId="73BDBD9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（1）存在严重过失行为的；</w:t>
      </w:r>
    </w:p>
    <w:p w14:paraId="0F356D7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（2）存在违法行为不能履行职责的；</w:t>
      </w:r>
    </w:p>
    <w:p w14:paraId="61E6D50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（3）涉嫌犯罪的；</w:t>
      </w:r>
    </w:p>
    <w:p w14:paraId="24CA075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（4）不能胜任岗位职责的；</w:t>
      </w:r>
    </w:p>
    <w:p w14:paraId="564F3AB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（5）严重违反职业道德的；</w:t>
      </w:r>
    </w:p>
    <w:p w14:paraId="1E345F3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（6）专用条件约定的其他情形。</w:t>
      </w:r>
    </w:p>
    <w:p w14:paraId="21A7A43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 乙方的工作要求</w:t>
      </w:r>
    </w:p>
    <w:p w14:paraId="0A75665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2.1乙方应当按照本合同约定的时间等要求向甲方提供与工程造价咨询业务有关的资料，包括工程造价咨询企业的资质证书及承担本合同业务的团队人员名单等，并按合同约定的服务范围和工作内容实施咨询业务。</w:t>
      </w:r>
    </w:p>
    <w:p w14:paraId="4E70962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.2.2乙方应当在本合同约定的时间内，按照本合同约定的份数、组成向甲方提交咨询成果文件。</w:t>
      </w:r>
    </w:p>
    <w:p w14:paraId="5870605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乙方提供造价咨询服务以及出具工程造价咨询成果文件应符合现行国家或行业有关规定、标准、规范的要求。甲方要求的工程造价咨询成果文件质量标准高于现行国家或行业标准的，不增加服务酬金。</w:t>
      </w:r>
    </w:p>
    <w:p w14:paraId="4A36096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.2.3乙方提交的工程造价咨询成果文件或财务决算成功文件时，除加盖乙方单位公章、工程造价咨询企业执业印章外，还必须按要求加盖参加咨询工作人员的执业（从业）资格印章。</w:t>
      </w:r>
    </w:p>
    <w:p w14:paraId="1B8C1D7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.2.4乙方应在专用条件约定的时间内，对甲方以书面形式提出的建议或者异议给予书面答复。</w:t>
      </w:r>
    </w:p>
    <w:p w14:paraId="3FB939F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.2.5乙方从事工程造价咨询，应当遵循独立、客观、公正、诚实信用的原则，不得损害社会公共利益和他人的合法权益。</w:t>
      </w:r>
    </w:p>
    <w:p w14:paraId="03BC9C1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0</w:t>
      </w:r>
      <w:r>
        <w:rPr>
          <w:rFonts w:hint="eastAsia" w:ascii="宋体" w:hAnsi="宋体" w:eastAsia="宋体" w:cs="宋体"/>
          <w:color w:val="auto"/>
          <w:kern w:val="0"/>
          <w:sz w:val="28"/>
          <w:szCs w:val="28"/>
          <w:highlight w:val="none"/>
          <w:u w:val="none"/>
        </w:rPr>
        <w:t>.2.6乙方承诺按照法律规定及合同约定，完成合同范围内的建设工程造价咨询服务，不转包承接的造价咨询服务业务。</w:t>
      </w:r>
    </w:p>
    <w:p w14:paraId="2A27B06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eastAsia="zh-CN"/>
        </w:rPr>
        <w:t>第</w:t>
      </w:r>
      <w:r>
        <w:rPr>
          <w:rFonts w:hint="eastAsia" w:ascii="宋体" w:hAnsi="宋体" w:eastAsia="宋体" w:cs="宋体"/>
          <w:b w:val="0"/>
          <w:bCs w:val="0"/>
          <w:color w:val="auto"/>
          <w:kern w:val="0"/>
          <w:sz w:val="28"/>
          <w:szCs w:val="28"/>
          <w:highlight w:val="none"/>
          <w:u w:val="none"/>
        </w:rPr>
        <w:t>十</w:t>
      </w:r>
      <w:r>
        <w:rPr>
          <w:rFonts w:hint="eastAsia" w:ascii="宋体" w:hAnsi="宋体" w:eastAsia="宋体" w:cs="宋体"/>
          <w:b w:val="0"/>
          <w:bCs w:val="0"/>
          <w:color w:val="auto"/>
          <w:kern w:val="0"/>
          <w:sz w:val="28"/>
          <w:szCs w:val="28"/>
          <w:highlight w:val="none"/>
          <w:u w:val="none"/>
          <w:lang w:val="en-US" w:eastAsia="zh-CN"/>
        </w:rPr>
        <w:t>一</w:t>
      </w:r>
      <w:r>
        <w:rPr>
          <w:rFonts w:hint="eastAsia" w:ascii="宋体" w:hAnsi="宋体" w:eastAsia="宋体" w:cs="宋体"/>
          <w:b w:val="0"/>
          <w:bCs w:val="0"/>
          <w:color w:val="auto"/>
          <w:kern w:val="0"/>
          <w:sz w:val="28"/>
          <w:szCs w:val="28"/>
          <w:highlight w:val="none"/>
          <w:u w:val="none"/>
        </w:rPr>
        <w:t>条  违约责任</w:t>
      </w:r>
    </w:p>
    <w:p w14:paraId="1431B97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rPr>
        <w:t>.1乙方违反本合同约定，提供服务成果不符合合同及甲方要求的，由乙方负责按照甲方要求在5日内更正和重做，由此产生的费用由乙方承担</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lang w:val="en-US" w:eastAsia="zh-CN"/>
        </w:rPr>
        <w:t>工期不予顺延</w:t>
      </w:r>
      <w:r>
        <w:rPr>
          <w:rFonts w:hint="eastAsia" w:ascii="宋体" w:hAnsi="宋体" w:eastAsia="宋体" w:cs="宋体"/>
          <w:color w:val="auto"/>
          <w:kern w:val="0"/>
          <w:sz w:val="28"/>
          <w:szCs w:val="28"/>
          <w:highlight w:val="none"/>
          <w:u w:val="none"/>
        </w:rPr>
        <w:t>。乙方再次提交的服务成果不符合合同及甲方要求的，甲方有权单方解除本合同，乙方承担合同相应价款30%的违约金，</w:t>
      </w:r>
      <w:r>
        <w:rPr>
          <w:rFonts w:hint="eastAsia" w:ascii="宋体" w:hAnsi="宋体" w:eastAsia="宋体" w:cs="宋体"/>
          <w:color w:val="auto"/>
          <w:kern w:val="0"/>
          <w:sz w:val="28"/>
          <w:szCs w:val="28"/>
          <w:highlight w:val="none"/>
          <w:u w:val="none"/>
          <w:lang w:eastAsia="zh-CN"/>
        </w:rPr>
        <w:t>并</w:t>
      </w:r>
      <w:r>
        <w:rPr>
          <w:rFonts w:hint="eastAsia" w:ascii="宋体" w:hAnsi="宋体" w:eastAsia="宋体" w:cs="宋体"/>
          <w:color w:val="auto"/>
          <w:kern w:val="0"/>
          <w:sz w:val="28"/>
          <w:szCs w:val="28"/>
          <w:highlight w:val="none"/>
          <w:u w:val="none"/>
        </w:rPr>
        <w:t>承担甲方一切损失及因解决此纠纷造成的一切费用，包括但不限于诉讼费用、调查费用、律师费用、公证费用、和解金额、甲方向任意第三方支付的费用或生效法律文书中规定的赔偿金额。乙方承担连带赔偿责任。</w:t>
      </w:r>
    </w:p>
    <w:p w14:paraId="352B92B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none"/>
        </w:rPr>
        <w:t>.2本合同因乙方原因解除的，乙方应退还已收取甲方的全部款项（如有），并向甲方支付合同相应金额30%的违约金，并承担由此给甲方造成的一切损失和费用，包括但不限于诉讼费用、调查费用、律师费用、公证费用、和解金额、甲方向任意第三方支付的费用或生效法律文书中规定的赔偿金额。</w:t>
      </w:r>
    </w:p>
    <w:p w14:paraId="417D58E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.3 除不可抗力因素外，乙方未按本合同约定日期给甲方提供服务或影响验收期限的</w:t>
      </w:r>
      <w:r>
        <w:rPr>
          <w:rFonts w:hint="eastAsia" w:ascii="宋体" w:hAnsi="宋体" w:eastAsia="宋体" w:cs="宋体"/>
          <w:color w:val="auto"/>
          <w:kern w:val="0"/>
          <w:sz w:val="28"/>
          <w:szCs w:val="28"/>
          <w:highlight w:val="none"/>
          <w:u w:val="none"/>
          <w:lang w:eastAsia="zh-CN"/>
        </w:rPr>
        <w:t>，</w:t>
      </w:r>
      <w:r>
        <w:rPr>
          <w:rFonts w:hint="eastAsia" w:ascii="宋体" w:hAnsi="宋体" w:eastAsia="宋体" w:cs="宋体"/>
          <w:color w:val="auto"/>
          <w:kern w:val="0"/>
          <w:sz w:val="28"/>
          <w:szCs w:val="28"/>
          <w:highlight w:val="none"/>
          <w:u w:val="none"/>
        </w:rPr>
        <w:t>迟延提交</w:t>
      </w:r>
      <w:r>
        <w:rPr>
          <w:rFonts w:hint="eastAsia" w:ascii="宋体" w:hAnsi="宋体" w:eastAsia="宋体" w:cs="宋体"/>
          <w:color w:val="auto"/>
          <w:kern w:val="0"/>
          <w:sz w:val="28"/>
          <w:szCs w:val="28"/>
          <w:highlight w:val="none"/>
          <w:u w:val="none"/>
          <w:lang w:val="en-US" w:eastAsia="zh-CN"/>
        </w:rPr>
        <w:t>服务成果的任一材料</w:t>
      </w:r>
      <w:r>
        <w:rPr>
          <w:rFonts w:hint="eastAsia" w:ascii="宋体" w:hAnsi="宋体" w:eastAsia="宋体" w:cs="宋体"/>
          <w:color w:val="auto"/>
          <w:kern w:val="0"/>
          <w:sz w:val="28"/>
          <w:szCs w:val="28"/>
          <w:highlight w:val="none"/>
          <w:u w:val="none"/>
        </w:rPr>
        <w:t>的，每延迟一天乙方向甲方支付合同总金额0.5％的违约金，违约金不超过合同总金额的5%；迟延超过10日的，甲方有权单方解除本合同，要求乙方赔偿合同价款30%的违约金，并承担因此给甲方造成的一切损失。</w:t>
      </w:r>
    </w:p>
    <w:p w14:paraId="306B2A9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.4 乙方不履行服务和承诺内容，每发生一次，甲方有权要求乙方赔偿合同总金额5%的违约金；如发生超过3次以上，甲方有权解除合同，要求乙方赔偿合同总金额30%的违约金，并承担因此给甲方造成的一切损失。</w:t>
      </w:r>
    </w:p>
    <w:p w14:paraId="32E24AD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.5 如乙方所供服务存在质量问题或无法满足项目服务需求，由乙方无条件更换符合要求的服务，涉及到第三方提出侵权等责任及费用由乙方承担。造成严重影响的，甲方有权解除合同，要求乙方赔偿合同总金额30%的违约金，并承担因此给甲方造成的一切损失。</w:t>
      </w:r>
    </w:p>
    <w:p w14:paraId="29347BB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.6 乙方应在合同签订后5个日历日内按照投标文件要求安排项目负责人以及成员提供驻场支撑，在成果交付周期内按照甲方要求进行相关工作的支撑及服务工作，在此期间内项目负责人的差旅费、住宿费等均由乙方承担。</w:t>
      </w:r>
    </w:p>
    <w:p w14:paraId="012033B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.7 乙方组建项目团队人员资质不得低于乙方提交响应文件中的项目主要参与人员一览表的资质要求，否则甲方有权要求乙方进行更换，超过10个日历日未进行更换，自甲方要求变更之日起，甲方将按照伍仟元/天从支付合同款中扣除，超过30个日历日未进行更换，甲方有权解除合同并要求乙方承担合同价款5%的违约金，未经甲方书面批准，擅自更换项目负责人，乙方向甲方支付合同总金额0.5％的违约金，甲方可直接从支付合同款中扣除。</w:t>
      </w:r>
    </w:p>
    <w:p w14:paraId="3412E1A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.8 乙方应保证项目组人员的稳定性，不得随意更换。服务期间确需人员变动，必须提前7个日历日提出申请，经甲方书面同意后方可替换。</w:t>
      </w:r>
    </w:p>
    <w:p w14:paraId="58046F4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.9 甲方有权要求调换不能胜任的项目组成员。乙方接到甲方要求调换项目组成员的通知后，应于7个日历日内向甲方提供调换后的项目组成人员信息，并经甲方确认后完成调换。若乙方未经甲方书面许可私自调换项目组人员，乙方向甲方支付合同总金额0.5％的违约金，甲方可直接从支付合同款中扣除。</w:t>
      </w:r>
    </w:p>
    <w:p w14:paraId="5E87E54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.10 乙方应及时完成造价服务各阶段资料，延期超过30日历日的，每延迟一日乙方向甲方支付合同总金额0.5％的违约金，违约金不超过合同总金额的5%。</w:t>
      </w:r>
    </w:p>
    <w:p w14:paraId="4EE0C01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.11 未经甲方书面同意，乙方不得转包、分包本合同项下的委托事项，否则，甲方有权终止项目解除合同，要求乙方赔偿合同价款30%的违约金，并承担因此给甲方造成的一切损失。</w:t>
      </w:r>
    </w:p>
    <w:p w14:paraId="4593038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.12 甲方通过诉讼等方式主张权利的，由乙方承担一切费用，包括但不限于诉讼费、公证费、调查费、律师费、保险费等。</w:t>
      </w:r>
    </w:p>
    <w:p w14:paraId="1759146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11</w:t>
      </w:r>
      <w:r>
        <w:rPr>
          <w:rFonts w:hint="eastAsia" w:ascii="宋体" w:hAnsi="宋体" w:eastAsia="宋体" w:cs="宋体"/>
          <w:color w:val="auto"/>
          <w:kern w:val="0"/>
          <w:sz w:val="28"/>
          <w:szCs w:val="28"/>
          <w:highlight w:val="none"/>
          <w:u w:val="none"/>
        </w:rPr>
        <w:t>.13 除不可抗力原因外，甲方未能按照本合同约定支付相关费用的，每逾期1日，甲方应当按照合同总费用0.5%向乙方支付违约金，违约金不超过合同总金额的5%。</w:t>
      </w:r>
    </w:p>
    <w:p w14:paraId="0E1C323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eastAsia="zh-CN"/>
        </w:rPr>
        <w:t>第</w:t>
      </w:r>
      <w:r>
        <w:rPr>
          <w:rFonts w:hint="eastAsia" w:ascii="宋体" w:hAnsi="宋体" w:eastAsia="宋体" w:cs="宋体"/>
          <w:b w:val="0"/>
          <w:bCs w:val="0"/>
          <w:color w:val="auto"/>
          <w:kern w:val="0"/>
          <w:sz w:val="28"/>
          <w:szCs w:val="28"/>
          <w:highlight w:val="none"/>
          <w:u w:val="none"/>
        </w:rPr>
        <w:t>十</w:t>
      </w:r>
      <w:r>
        <w:rPr>
          <w:rFonts w:hint="eastAsia" w:ascii="宋体" w:hAnsi="宋体" w:eastAsia="宋体" w:cs="宋体"/>
          <w:b w:val="0"/>
          <w:bCs w:val="0"/>
          <w:color w:val="auto"/>
          <w:kern w:val="0"/>
          <w:sz w:val="28"/>
          <w:szCs w:val="28"/>
          <w:highlight w:val="none"/>
          <w:u w:val="none"/>
          <w:lang w:val="en-US" w:eastAsia="zh-CN"/>
        </w:rPr>
        <w:t>二</w:t>
      </w:r>
      <w:r>
        <w:rPr>
          <w:rFonts w:hint="eastAsia" w:ascii="宋体" w:hAnsi="宋体" w:eastAsia="宋体" w:cs="宋体"/>
          <w:b w:val="0"/>
          <w:bCs w:val="0"/>
          <w:color w:val="auto"/>
          <w:kern w:val="0"/>
          <w:sz w:val="28"/>
          <w:szCs w:val="28"/>
          <w:highlight w:val="none"/>
          <w:u w:val="none"/>
          <w:lang w:eastAsia="zh-CN"/>
        </w:rPr>
        <w:t>条</w:t>
      </w:r>
      <w:r>
        <w:rPr>
          <w:rFonts w:hint="eastAsia" w:ascii="宋体" w:hAnsi="宋体" w:eastAsia="宋体" w:cs="宋体"/>
          <w:b w:val="0"/>
          <w:bCs w:val="0"/>
          <w:color w:val="auto"/>
          <w:kern w:val="0"/>
          <w:sz w:val="28"/>
          <w:szCs w:val="28"/>
          <w:highlight w:val="none"/>
          <w:u w:val="none"/>
        </w:rPr>
        <w:t xml:space="preserve"> 合同生效、变更、暂停、解除与终止</w:t>
      </w:r>
    </w:p>
    <w:p w14:paraId="1231DC0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.1生效</w:t>
      </w:r>
    </w:p>
    <w:p w14:paraId="66B6A52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除法律另有规定或者专用条件另有约定外，</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方的法定代表人或其授权代理人在协议书上签字并盖单位章后本合同生效。</w:t>
      </w:r>
    </w:p>
    <w:p w14:paraId="6B33704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.2变更</w:t>
      </w:r>
    </w:p>
    <w:p w14:paraId="6E97021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.2.1 任何一方提出变更请求时，</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方经协商一致后可进行变更。</w:t>
      </w:r>
    </w:p>
    <w:p w14:paraId="00AFFE7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.2.2因非乙方原因导致乙方履行合同期限延长、内容增加时，乙方应当将此情况与可能产生的影响及时通知甲方。增加的工作时间、工作内容应视为附加工作。无附加工作酬金。</w:t>
      </w:r>
    </w:p>
    <w:p w14:paraId="480C136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2.3合同生效后，如果实际情况发生变化使得乙方不能完成全部或部分工作时，乙方应立即通知甲方。除不可抗力外，其善后工作以及恢复服务的准备工作应为附加工作，无附加工作酬金。乙方用于恢复服务的准备时间不应超过</w:t>
      </w:r>
      <w:r>
        <w:rPr>
          <w:rFonts w:hint="eastAsia" w:ascii="宋体" w:hAnsi="宋体" w:eastAsia="宋体" w:cs="宋体"/>
          <w:color w:val="auto"/>
          <w:kern w:val="0"/>
          <w:sz w:val="28"/>
          <w:szCs w:val="28"/>
          <w:highlight w:val="none"/>
          <w:u w:val="none"/>
          <w:lang w:val="en-US" w:eastAsia="zh-CN"/>
        </w:rPr>
        <w:t>5</w:t>
      </w:r>
      <w:r>
        <w:rPr>
          <w:rFonts w:hint="eastAsia" w:ascii="宋体" w:hAnsi="宋体" w:eastAsia="宋体" w:cs="宋体"/>
          <w:color w:val="auto"/>
          <w:kern w:val="0"/>
          <w:sz w:val="28"/>
          <w:szCs w:val="28"/>
          <w:highlight w:val="none"/>
          <w:u w:val="none"/>
        </w:rPr>
        <w:t>天。</w:t>
      </w:r>
    </w:p>
    <w:p w14:paraId="3539DE5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.2.4合同签订后，遇有与工程相关的法律法规、标准颁布或修订的，</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方应遵照执行。</w:t>
      </w:r>
    </w:p>
    <w:p w14:paraId="1B84E9C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.2.5 因非乙方原因造成工程概算投资额或建筑安装工程费增加时，正常工作酬金不作调整。</w:t>
      </w:r>
    </w:p>
    <w:p w14:paraId="4973146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.2.6 因工程规模、造范围的变化导致乙方的正常工作量减少时，甲方按照正常工作酬金应作相应调整，乙方对此不持异议。</w:t>
      </w:r>
    </w:p>
    <w:p w14:paraId="35CE688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.3 暂停与解除</w:t>
      </w:r>
    </w:p>
    <w:p w14:paraId="08CAF34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除</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方协商一致可以解除本合同外，当一方无正当理由未履行本合同约定的义务时，另一方可以根据本合同约定暂停履行本合同直至解除本合同。</w:t>
      </w:r>
    </w:p>
    <w:p w14:paraId="1FDBEA0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.4 在本合同有效期内，由于</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方无法预见和控制的原因导致本合同全部或部分无法继续履行或继续履行已无意义，经</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方协商一致，可以解除本合同或乙方的部分义务。在解除之前，乙方应作出合理安排，使开支减至最小。</w:t>
      </w:r>
    </w:p>
    <w:p w14:paraId="2578931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解除本合同的协议必须采取书面形式，协议未达成之前，本合同仍然有效。</w:t>
      </w:r>
    </w:p>
    <w:p w14:paraId="31E8D4F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none"/>
        </w:rPr>
        <w:t>.5 终止</w:t>
      </w:r>
    </w:p>
    <w:p w14:paraId="3C3CF29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以下条件全部满足时，本合同即告终止：</w:t>
      </w:r>
    </w:p>
    <w:p w14:paraId="5083338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（1）乙方完成本合同约定的全部工作；</w:t>
      </w:r>
    </w:p>
    <w:p w14:paraId="55AAE52C">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（2）甲方与乙方结清并支付全部酬金。</w:t>
      </w:r>
    </w:p>
    <w:p w14:paraId="2D39848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三</w:t>
      </w:r>
      <w:r>
        <w:rPr>
          <w:rFonts w:hint="eastAsia" w:ascii="宋体" w:hAnsi="宋体" w:eastAsia="宋体" w:cs="宋体"/>
          <w:b w:val="0"/>
          <w:bCs w:val="0"/>
          <w:color w:val="auto"/>
          <w:kern w:val="0"/>
          <w:sz w:val="28"/>
          <w:szCs w:val="28"/>
          <w:highlight w:val="none"/>
          <w:u w:val="none"/>
        </w:rPr>
        <w:t>条 侵权处理</w:t>
      </w:r>
    </w:p>
    <w:p w14:paraId="6D16C0A2">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color w:val="auto"/>
          <w:kern w:val="0"/>
          <w:sz w:val="28"/>
          <w:szCs w:val="28"/>
          <w:highlight w:val="none"/>
          <w:u w:val="none"/>
        </w:rPr>
        <w:t>乙</w:t>
      </w:r>
      <w:r>
        <w:rPr>
          <w:rFonts w:hint="eastAsia" w:ascii="宋体" w:hAnsi="宋体" w:eastAsia="宋体" w:cs="宋体"/>
          <w:b w:val="0"/>
          <w:bCs w:val="0"/>
          <w:color w:val="auto"/>
          <w:kern w:val="0"/>
          <w:sz w:val="28"/>
          <w:szCs w:val="28"/>
          <w:highlight w:val="none"/>
          <w:u w:val="none"/>
        </w:rPr>
        <w:t>方应当保证，在其依本合同为甲方提供全过程造价过程中或其为甲方提供的服务成果不侵犯任何第三人的合法权益。</w:t>
      </w:r>
    </w:p>
    <w:p w14:paraId="3B4C63B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如果在侵权指控的审理过程中有关司法机关禁止甲方继续使用服务成果的部分或全部，乙方应负责处理，并应采取以下措施之一：</w:t>
      </w:r>
    </w:p>
    <w:p w14:paraId="3C83512F">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（1）使甲方免费重新获得使用上述服务成果的权利；</w:t>
      </w:r>
    </w:p>
    <w:p w14:paraId="1CE2DDE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（2）在收到甲方的通知之日起5日内免费更换或改造服务成果，使甲方不受上述禁令限制继续使用服务成果；</w:t>
      </w:r>
    </w:p>
    <w:p w14:paraId="3A7295F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（3）其它使甲方对上述服务成果拥有合法使用权，或其它弥补甲方受损利益、实现合同目的的合理方式。</w:t>
      </w:r>
    </w:p>
    <w:p w14:paraId="235EBD7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乙方采取上述措施不能免除乙方就甲方因此遭受的损失进行赔偿的义务。</w:t>
      </w:r>
    </w:p>
    <w:p w14:paraId="3308ECE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四</w:t>
      </w:r>
      <w:r>
        <w:rPr>
          <w:rFonts w:hint="eastAsia" w:ascii="宋体" w:hAnsi="宋体" w:eastAsia="宋体" w:cs="宋体"/>
          <w:b w:val="0"/>
          <w:bCs w:val="0"/>
          <w:color w:val="auto"/>
          <w:kern w:val="0"/>
          <w:sz w:val="28"/>
          <w:szCs w:val="28"/>
          <w:highlight w:val="none"/>
          <w:u w:val="none"/>
        </w:rPr>
        <w:t>条 知识产权</w:t>
      </w:r>
    </w:p>
    <w:p w14:paraId="2D39E0F5">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1</w:t>
      </w:r>
      <w:r>
        <w:rPr>
          <w:rFonts w:hint="eastAsia" w:ascii="宋体" w:hAnsi="宋体" w:eastAsia="宋体" w:cs="宋体"/>
          <w:b w:val="0"/>
          <w:bCs w:val="0"/>
          <w:color w:val="auto"/>
          <w:kern w:val="0"/>
          <w:sz w:val="28"/>
          <w:szCs w:val="28"/>
          <w:highlight w:val="none"/>
          <w:u w:val="none"/>
          <w:lang w:val="en-US" w:eastAsia="zh-CN"/>
        </w:rPr>
        <w:t>4</w:t>
      </w:r>
      <w:r>
        <w:rPr>
          <w:rFonts w:hint="eastAsia" w:ascii="宋体" w:hAnsi="宋体" w:eastAsia="宋体" w:cs="宋体"/>
          <w:b w:val="0"/>
          <w:bCs w:val="0"/>
          <w:color w:val="auto"/>
          <w:kern w:val="0"/>
          <w:sz w:val="28"/>
          <w:szCs w:val="28"/>
          <w:highlight w:val="none"/>
          <w:u w:val="none"/>
        </w:rPr>
        <w:t>.1乙方所完成的服务成果的所有权利，包括但不限于知识产权、专利申请权、所有权，均归甲方所有。</w:t>
      </w:r>
    </w:p>
    <w:p w14:paraId="4713C91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1</w:t>
      </w:r>
      <w:r>
        <w:rPr>
          <w:rFonts w:hint="eastAsia" w:ascii="宋体" w:hAnsi="宋体" w:eastAsia="宋体" w:cs="宋体"/>
          <w:b w:val="0"/>
          <w:bCs w:val="0"/>
          <w:color w:val="auto"/>
          <w:kern w:val="0"/>
          <w:sz w:val="28"/>
          <w:szCs w:val="28"/>
          <w:highlight w:val="none"/>
          <w:u w:val="none"/>
          <w:lang w:val="en-US" w:eastAsia="zh-CN"/>
        </w:rPr>
        <w:t>4</w:t>
      </w:r>
      <w:r>
        <w:rPr>
          <w:rFonts w:hint="eastAsia" w:ascii="宋体" w:hAnsi="宋体" w:eastAsia="宋体" w:cs="宋体"/>
          <w:b w:val="0"/>
          <w:bCs w:val="0"/>
          <w:color w:val="auto"/>
          <w:kern w:val="0"/>
          <w:sz w:val="28"/>
          <w:szCs w:val="28"/>
          <w:highlight w:val="none"/>
          <w:u w:val="none"/>
        </w:rPr>
        <w:t>.2甲方利用乙方提交的服务成果所完成的新成果的所有权利，包括但不限于知识产权、专利申请权和所有权，均归甲方所有。</w:t>
      </w:r>
    </w:p>
    <w:p w14:paraId="67179A1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五</w:t>
      </w:r>
      <w:r>
        <w:rPr>
          <w:rFonts w:hint="eastAsia" w:ascii="宋体" w:hAnsi="宋体" w:eastAsia="宋体" w:cs="宋体"/>
          <w:b w:val="0"/>
          <w:bCs w:val="0"/>
          <w:color w:val="auto"/>
          <w:kern w:val="0"/>
          <w:sz w:val="28"/>
          <w:szCs w:val="28"/>
          <w:highlight w:val="none"/>
          <w:u w:val="none"/>
        </w:rPr>
        <w:t xml:space="preserve">条 </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方确定，乙方在向甲方提供服务过程中及提交服务成果后，根据甲方要求，为甲方指定的人员提供不限次数的免费技术指导和培训。</w:t>
      </w:r>
    </w:p>
    <w:p w14:paraId="4F30BF1D">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六</w:t>
      </w:r>
      <w:r>
        <w:rPr>
          <w:rFonts w:hint="eastAsia" w:ascii="宋体" w:hAnsi="宋体" w:eastAsia="宋体" w:cs="宋体"/>
          <w:b w:val="0"/>
          <w:bCs w:val="0"/>
          <w:color w:val="auto"/>
          <w:kern w:val="0"/>
          <w:sz w:val="28"/>
          <w:szCs w:val="28"/>
          <w:highlight w:val="none"/>
          <w:u w:val="none"/>
        </w:rPr>
        <w:t>条 一方变更项目联系人的，应当在相关事项发生之日起3日内以书面形式通知甲方。未及时通知并影响本合同履行或造成对方损失的，应承担相应的责任。</w:t>
      </w:r>
    </w:p>
    <w:p w14:paraId="5576620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七</w:t>
      </w:r>
      <w:r>
        <w:rPr>
          <w:rFonts w:hint="eastAsia" w:ascii="宋体" w:hAnsi="宋体" w:eastAsia="宋体" w:cs="宋体"/>
          <w:b w:val="0"/>
          <w:bCs w:val="0"/>
          <w:color w:val="auto"/>
          <w:kern w:val="0"/>
          <w:sz w:val="28"/>
          <w:szCs w:val="28"/>
          <w:highlight w:val="none"/>
          <w:u w:val="none"/>
        </w:rPr>
        <w:t>条 出现下列情形，致使本合同的履行成为不必要或不可能的，可以解除本合同：</w:t>
      </w:r>
    </w:p>
    <w:p w14:paraId="3A0644F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（1）</w:t>
      </w:r>
      <w:r>
        <w:rPr>
          <w:rFonts w:hint="eastAsia" w:ascii="宋体" w:hAnsi="宋体" w:eastAsia="宋体" w:cs="宋体"/>
          <w:b w:val="0"/>
          <w:bCs w:val="0"/>
          <w:color w:val="auto"/>
          <w:kern w:val="0"/>
          <w:sz w:val="28"/>
          <w:szCs w:val="28"/>
          <w:highlight w:val="none"/>
          <w:u w:val="none"/>
        </w:rPr>
        <w:t>若发生不可抗力。</w:t>
      </w:r>
    </w:p>
    <w:p w14:paraId="3DA5E37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（2）</w:t>
      </w:r>
      <w:r>
        <w:rPr>
          <w:rFonts w:hint="eastAsia" w:ascii="宋体" w:hAnsi="宋体" w:eastAsia="宋体" w:cs="宋体"/>
          <w:b w:val="0"/>
          <w:bCs w:val="0"/>
          <w:color w:val="auto"/>
          <w:kern w:val="0"/>
          <w:sz w:val="28"/>
          <w:szCs w:val="28"/>
          <w:highlight w:val="none"/>
          <w:u w:val="none"/>
        </w:rPr>
        <w:t>本合同约定的其他解除情形。</w:t>
      </w:r>
    </w:p>
    <w:p w14:paraId="762EF32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第十</w:t>
      </w:r>
      <w:r>
        <w:rPr>
          <w:rFonts w:hint="eastAsia" w:ascii="宋体" w:hAnsi="宋体" w:eastAsia="宋体" w:cs="宋体"/>
          <w:b w:val="0"/>
          <w:bCs w:val="0"/>
          <w:color w:val="auto"/>
          <w:kern w:val="0"/>
          <w:sz w:val="28"/>
          <w:szCs w:val="28"/>
          <w:highlight w:val="none"/>
          <w:u w:val="none"/>
          <w:lang w:val="en-US" w:eastAsia="zh-CN"/>
        </w:rPr>
        <w:t>八</w:t>
      </w:r>
      <w:r>
        <w:rPr>
          <w:rFonts w:hint="eastAsia" w:ascii="宋体" w:hAnsi="宋体" w:eastAsia="宋体" w:cs="宋体"/>
          <w:b w:val="0"/>
          <w:bCs w:val="0"/>
          <w:color w:val="auto"/>
          <w:kern w:val="0"/>
          <w:sz w:val="28"/>
          <w:szCs w:val="28"/>
          <w:highlight w:val="none"/>
          <w:u w:val="none"/>
        </w:rPr>
        <w:t>条 本合同适用中华人民共和国法律。所有因本合同引起的或与本合同有关的任何争议将通过</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方友好协商解决。如果</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方不能通过友好协商解决争议，则任何一方均可采取下述第 2种争议解决方式：</w:t>
      </w:r>
    </w:p>
    <w:p w14:paraId="49B25113">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 xml:space="preserve">（1） </w:t>
      </w:r>
      <w:r>
        <w:rPr>
          <w:rFonts w:hint="eastAsia" w:ascii="宋体" w:hAnsi="宋体" w:eastAsia="宋体" w:cs="宋体"/>
          <w:b w:val="0"/>
          <w:bCs w:val="0"/>
          <w:color w:val="auto"/>
          <w:kern w:val="0"/>
          <w:sz w:val="28"/>
          <w:szCs w:val="28"/>
          <w:highlight w:val="none"/>
          <w:u w:val="none"/>
        </w:rPr>
        <w:t>将该争议提交[乌鲁木齐]仲裁委员会，按照申请仲裁时该会的仲裁规则进行仲裁，仲裁在[ 甲方当地 ]进行。</w:t>
      </w:r>
    </w:p>
    <w:p w14:paraId="57BEFB3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（2）</w:t>
      </w:r>
      <w:r>
        <w:rPr>
          <w:rFonts w:hint="eastAsia" w:ascii="宋体" w:hAnsi="宋体" w:eastAsia="宋体" w:cs="宋体"/>
          <w:b w:val="0"/>
          <w:bCs w:val="0"/>
          <w:color w:val="auto"/>
          <w:kern w:val="0"/>
          <w:sz w:val="28"/>
          <w:szCs w:val="28"/>
          <w:highlight w:val="none"/>
          <w:u w:val="none"/>
        </w:rPr>
        <w:t>向甲方所在地有管辖权的人民法院起诉。</w:t>
      </w:r>
    </w:p>
    <w:p w14:paraId="6B8AAF8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仲裁或诉讼进行过程中，</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方将继续履行本合同未涉仲裁或诉讼的其它部分。</w:t>
      </w:r>
    </w:p>
    <w:p w14:paraId="22E42CF1">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rPr>
        <w:t>第</w:t>
      </w:r>
      <w:r>
        <w:rPr>
          <w:rFonts w:hint="eastAsia" w:ascii="宋体" w:hAnsi="宋体" w:eastAsia="宋体" w:cs="宋体"/>
          <w:b w:val="0"/>
          <w:bCs w:val="0"/>
          <w:color w:val="auto"/>
          <w:kern w:val="0"/>
          <w:sz w:val="28"/>
          <w:szCs w:val="28"/>
          <w:highlight w:val="none"/>
          <w:u w:val="none"/>
          <w:lang w:val="en-US" w:eastAsia="zh-CN"/>
        </w:rPr>
        <w:t>十九</w:t>
      </w:r>
      <w:r>
        <w:rPr>
          <w:rFonts w:hint="eastAsia" w:ascii="宋体" w:hAnsi="宋体" w:eastAsia="宋体" w:cs="宋体"/>
          <w:b w:val="0"/>
          <w:bCs w:val="0"/>
          <w:color w:val="auto"/>
          <w:kern w:val="0"/>
          <w:sz w:val="28"/>
          <w:szCs w:val="28"/>
          <w:highlight w:val="none"/>
          <w:u w:val="none"/>
        </w:rPr>
        <w:t>条 合同生效及其他</w:t>
      </w:r>
    </w:p>
    <w:p w14:paraId="000EDA1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b w:val="0"/>
          <w:bCs w:val="0"/>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19</w:t>
      </w:r>
      <w:r>
        <w:rPr>
          <w:rFonts w:hint="eastAsia" w:ascii="宋体" w:hAnsi="宋体" w:eastAsia="宋体" w:cs="宋体"/>
          <w:b w:val="0"/>
          <w:bCs w:val="0"/>
          <w:color w:val="auto"/>
          <w:kern w:val="0"/>
          <w:sz w:val="28"/>
          <w:szCs w:val="28"/>
          <w:highlight w:val="none"/>
          <w:u w:val="none"/>
        </w:rPr>
        <w:t>.1任何一方未得另一方书面同意不得向任何第</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方透露本合同的签订及其内容。</w:t>
      </w:r>
    </w:p>
    <w:p w14:paraId="49667BA4">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b w:val="0"/>
          <w:bCs w:val="0"/>
          <w:color w:val="auto"/>
          <w:kern w:val="0"/>
          <w:sz w:val="28"/>
          <w:szCs w:val="28"/>
          <w:highlight w:val="none"/>
          <w:u w:val="none"/>
          <w:lang w:val="en-US" w:eastAsia="zh-CN"/>
        </w:rPr>
        <w:t>19</w:t>
      </w:r>
      <w:r>
        <w:rPr>
          <w:rFonts w:hint="eastAsia" w:ascii="宋体" w:hAnsi="宋体" w:eastAsia="宋体" w:cs="宋体"/>
          <w:b w:val="0"/>
          <w:bCs w:val="0"/>
          <w:color w:val="auto"/>
          <w:kern w:val="0"/>
          <w:sz w:val="28"/>
          <w:szCs w:val="28"/>
          <w:highlight w:val="none"/>
          <w:u w:val="none"/>
        </w:rPr>
        <w:t>.2任何与合同相关但未在合同中明确规定的事项将由</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方友好协商并达成合同予以解决。对合同内容做出的任何修改和补充应为书面形式，由</w:t>
      </w:r>
      <w:r>
        <w:rPr>
          <w:rFonts w:hint="eastAsia" w:ascii="宋体" w:hAnsi="宋体" w:eastAsia="宋体" w:cs="宋体"/>
          <w:b w:val="0"/>
          <w:bCs w:val="0"/>
          <w:color w:val="auto"/>
          <w:kern w:val="0"/>
          <w:sz w:val="28"/>
          <w:szCs w:val="28"/>
          <w:highlight w:val="none"/>
          <w:u w:val="none"/>
          <w:lang w:eastAsia="zh-CN"/>
        </w:rPr>
        <w:t>双</w:t>
      </w:r>
      <w:r>
        <w:rPr>
          <w:rFonts w:hint="eastAsia" w:ascii="宋体" w:hAnsi="宋体" w:eastAsia="宋体" w:cs="宋体"/>
          <w:b w:val="0"/>
          <w:bCs w:val="0"/>
          <w:color w:val="auto"/>
          <w:kern w:val="0"/>
          <w:sz w:val="28"/>
          <w:szCs w:val="28"/>
          <w:highlight w:val="none"/>
          <w:u w:val="none"/>
        </w:rPr>
        <w:t>方签字盖章后成为合同</w:t>
      </w:r>
      <w:r>
        <w:rPr>
          <w:rFonts w:hint="eastAsia" w:ascii="宋体" w:hAnsi="宋体" w:eastAsia="宋体" w:cs="宋体"/>
          <w:color w:val="auto"/>
          <w:kern w:val="0"/>
          <w:sz w:val="28"/>
          <w:szCs w:val="28"/>
          <w:highlight w:val="none"/>
          <w:u w:val="none"/>
        </w:rPr>
        <w:t>不可分割的部分。本合同与补充合同或补充协议冲突时，以补充合同或补充协议为准。</w:t>
      </w:r>
    </w:p>
    <w:p w14:paraId="16EA975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19</w:t>
      </w:r>
      <w:r>
        <w:rPr>
          <w:rFonts w:hint="eastAsia" w:ascii="宋体" w:hAnsi="宋体" w:eastAsia="宋体" w:cs="宋体"/>
          <w:color w:val="auto"/>
          <w:kern w:val="0"/>
          <w:sz w:val="28"/>
          <w:szCs w:val="28"/>
          <w:highlight w:val="none"/>
          <w:u w:val="none"/>
        </w:rPr>
        <w:t>.3甲方与乙方因履行本合同或与本合同有关的一切通知都必须按照本合同中的地址，以书面信函形式或甲方与乙方确认的传真或类似的通讯方式进行。采用信函形式的应使用挂号信或者特快专递送达。如使用传真或类似的通讯方式，通知日期即为通讯发出日期，如使用挂号信件或特快专递，通知日期即为邮件寄出日期并以邮戳为准。</w:t>
      </w:r>
    </w:p>
    <w:p w14:paraId="7A469309">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甲  方：[       ] </w:t>
      </w:r>
    </w:p>
    <w:p w14:paraId="5894ABEB">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地  址：[       ]      邮  编：[        ]</w:t>
      </w:r>
    </w:p>
    <w:p w14:paraId="74DF9DEE">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联系人：[       ]      电  话：[        ]</w:t>
      </w:r>
    </w:p>
    <w:p w14:paraId="4783432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 xml:space="preserve">乙  方：[       ] </w:t>
      </w:r>
    </w:p>
    <w:p w14:paraId="03925EF8">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地  址：[       ]      邮  编：[        ]</w:t>
      </w:r>
    </w:p>
    <w:p w14:paraId="261C7747">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联系人：[       ]      电  话：[        ]</w:t>
      </w:r>
    </w:p>
    <w:p w14:paraId="2FC5A00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p>
    <w:p w14:paraId="47FC0500">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19</w:t>
      </w:r>
      <w:r>
        <w:rPr>
          <w:rFonts w:hint="eastAsia" w:ascii="宋体" w:hAnsi="宋体" w:eastAsia="宋体" w:cs="宋体"/>
          <w:color w:val="auto"/>
          <w:kern w:val="0"/>
          <w:sz w:val="28"/>
          <w:szCs w:val="28"/>
          <w:highlight w:val="none"/>
          <w:u w:val="none"/>
        </w:rPr>
        <w:t>.4</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方同意，如果之间的纠纷以仲裁或诉讼方式解决的，仲裁委或人民法院可以按照本协议通知条款约定的各方地址、联系人、电子邮箱号码完成民事审判中的所有送达程序，各方均无异议。</w:t>
      </w:r>
    </w:p>
    <w:p w14:paraId="29D33A36">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lang w:val="en-US" w:eastAsia="zh-CN"/>
        </w:rPr>
        <w:t>19</w:t>
      </w:r>
      <w:r>
        <w:rPr>
          <w:rFonts w:hint="eastAsia" w:ascii="宋体" w:hAnsi="宋体" w:eastAsia="宋体" w:cs="宋体"/>
          <w:color w:val="auto"/>
          <w:kern w:val="0"/>
          <w:sz w:val="28"/>
          <w:szCs w:val="28"/>
          <w:highlight w:val="none"/>
          <w:u w:val="none"/>
        </w:rPr>
        <w:t>.5本合同的任何内容不应被视为或解释为</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方之间具有合资、合伙、代理、劳动关系。</w:t>
      </w:r>
    </w:p>
    <w:p w14:paraId="1BF83FAA">
      <w:pPr>
        <w:keepNext w:val="0"/>
        <w:keepLines w:val="0"/>
        <w:widowControl/>
        <w:kinsoku/>
        <w:wordWrap/>
        <w:overflowPunct/>
        <w:topLinePunct w:val="0"/>
        <w:bidi w:val="0"/>
        <w:adjustRightInd w:val="0"/>
        <w:snapToGrid/>
        <w:spacing w:beforeLines="0" w:afterLines="0" w:line="480" w:lineRule="exact"/>
        <w:ind w:left="0" w:leftChars="0" w:firstLine="560" w:firstLineChars="200"/>
        <w:textAlignment w:val="auto"/>
        <w:rPr>
          <w:rFonts w:hint="eastAsia" w:ascii="宋体" w:hAnsi="宋体" w:eastAsia="宋体" w:cs="宋体"/>
          <w:color w:val="auto"/>
          <w:kern w:val="0"/>
          <w:sz w:val="28"/>
          <w:szCs w:val="28"/>
          <w:highlight w:val="none"/>
          <w:u w:val="single"/>
        </w:rPr>
        <w:sectPr>
          <w:footerReference r:id="rId12" w:type="default"/>
          <w:pgSz w:w="11906" w:h="16838"/>
          <w:pgMar w:top="1440" w:right="1800" w:bottom="1440" w:left="1800" w:header="851" w:footer="992" w:gutter="0"/>
          <w:lnNumType w:countBy="0" w:distance="360"/>
          <w:pgNumType w:fmt="decimal"/>
          <w:cols w:space="720" w:num="1"/>
          <w:docGrid w:linePitch="312" w:charSpace="0"/>
        </w:sectPr>
      </w:pPr>
      <w:r>
        <w:rPr>
          <w:rFonts w:hint="eastAsia" w:ascii="宋体" w:hAnsi="宋体" w:eastAsia="宋体" w:cs="宋体"/>
          <w:color w:val="auto"/>
          <w:kern w:val="0"/>
          <w:sz w:val="28"/>
          <w:szCs w:val="28"/>
          <w:highlight w:val="none"/>
          <w:u w:val="none"/>
        </w:rPr>
        <w:t>第二十条 本合同自甲、乙</w:t>
      </w:r>
      <w:r>
        <w:rPr>
          <w:rFonts w:hint="eastAsia" w:ascii="宋体" w:hAnsi="宋体" w:eastAsia="宋体" w:cs="宋体"/>
          <w:color w:val="auto"/>
          <w:kern w:val="0"/>
          <w:sz w:val="28"/>
          <w:szCs w:val="28"/>
          <w:highlight w:val="none"/>
          <w:u w:val="none"/>
          <w:lang w:eastAsia="zh-CN"/>
        </w:rPr>
        <w:t>双</w:t>
      </w:r>
      <w:r>
        <w:rPr>
          <w:rFonts w:hint="eastAsia" w:ascii="宋体" w:hAnsi="宋体" w:eastAsia="宋体" w:cs="宋体"/>
          <w:color w:val="auto"/>
          <w:kern w:val="0"/>
          <w:sz w:val="28"/>
          <w:szCs w:val="28"/>
          <w:highlight w:val="none"/>
          <w:u w:val="none"/>
        </w:rPr>
        <w:t>方签字盖章之日生效。本合同一式[</w:t>
      </w:r>
      <w:r>
        <w:rPr>
          <w:rFonts w:hint="eastAsia" w:ascii="宋体" w:hAnsi="宋体" w:eastAsia="宋体" w:cs="宋体"/>
          <w:color w:val="auto"/>
          <w:kern w:val="0"/>
          <w:sz w:val="28"/>
          <w:szCs w:val="28"/>
          <w:highlight w:val="none"/>
          <w:u w:val="none"/>
          <w:lang w:eastAsia="zh-CN"/>
        </w:rPr>
        <w:t>捌</w:t>
      </w:r>
      <w:r>
        <w:rPr>
          <w:rFonts w:hint="eastAsia" w:ascii="宋体" w:hAnsi="宋体" w:eastAsia="宋体" w:cs="宋体"/>
          <w:color w:val="auto"/>
          <w:kern w:val="0"/>
          <w:sz w:val="28"/>
          <w:szCs w:val="28"/>
          <w:highlight w:val="none"/>
          <w:u w:val="none"/>
        </w:rPr>
        <w:t xml:space="preserve">]份，甲方执[ </w:t>
      </w:r>
      <w:r>
        <w:rPr>
          <w:rFonts w:hint="eastAsia" w:ascii="宋体" w:hAnsi="宋体" w:eastAsia="宋体" w:cs="宋体"/>
          <w:color w:val="auto"/>
          <w:kern w:val="0"/>
          <w:sz w:val="28"/>
          <w:szCs w:val="28"/>
          <w:highlight w:val="none"/>
          <w:u w:val="none"/>
          <w:lang w:eastAsia="zh-CN"/>
        </w:rPr>
        <w:t>陆</w:t>
      </w:r>
      <w:r>
        <w:rPr>
          <w:rFonts w:hint="eastAsia" w:ascii="宋体" w:hAnsi="宋体" w:eastAsia="宋体" w:cs="宋体"/>
          <w:color w:val="auto"/>
          <w:kern w:val="0"/>
          <w:sz w:val="28"/>
          <w:szCs w:val="28"/>
          <w:highlight w:val="none"/>
          <w:u w:val="none"/>
        </w:rPr>
        <w:t xml:space="preserve"> ]份，乙方执[ </w:t>
      </w:r>
      <w:r>
        <w:rPr>
          <w:rFonts w:hint="eastAsia" w:ascii="宋体" w:hAnsi="宋体" w:eastAsia="宋体" w:cs="宋体"/>
          <w:color w:val="auto"/>
          <w:kern w:val="0"/>
          <w:sz w:val="28"/>
          <w:szCs w:val="28"/>
          <w:highlight w:val="none"/>
          <w:u w:val="none"/>
          <w:lang w:eastAsia="zh-CN"/>
        </w:rPr>
        <w:t>贰</w:t>
      </w:r>
      <w:r>
        <w:rPr>
          <w:rFonts w:hint="eastAsia" w:ascii="宋体" w:hAnsi="宋体" w:eastAsia="宋体" w:cs="宋体"/>
          <w:color w:val="auto"/>
          <w:kern w:val="0"/>
          <w:sz w:val="28"/>
          <w:szCs w:val="28"/>
          <w:highlight w:val="none"/>
          <w:u w:val="none"/>
        </w:rPr>
        <w:t xml:space="preserve"> ]份具有同等法律效力。</w:t>
      </w:r>
    </w:p>
    <w:p w14:paraId="517E5C23">
      <w:pPr>
        <w:keepNext w:val="0"/>
        <w:keepLines w:val="0"/>
        <w:pageBreakBefore/>
        <w:kinsoku/>
        <w:wordWrap/>
        <w:overflowPunct/>
        <w:topLinePunct w:val="0"/>
        <w:bidi w:val="0"/>
        <w:adjustRightInd w:val="0"/>
        <w:snapToGrid/>
        <w:spacing w:beforeLines="0" w:afterLines="0" w:line="480" w:lineRule="exact"/>
        <w:ind w:left="0" w:leftChars="0"/>
        <w:jc w:val="center"/>
        <w:textAlignment w:val="auto"/>
        <w:outlineLvl w:val="0"/>
        <w:rPr>
          <w:rFonts w:hint="eastAsia" w:ascii="宋体" w:hAnsi="宋体" w:eastAsia="宋体" w:cs="宋体"/>
          <w:b/>
          <w:color w:val="auto"/>
          <w:kern w:val="44"/>
          <w:sz w:val="28"/>
          <w:szCs w:val="28"/>
          <w:highlight w:val="none"/>
        </w:rPr>
      </w:pPr>
      <w:bookmarkStart w:id="309" w:name="_Toc422322557"/>
      <w:bookmarkStart w:id="310" w:name="_Toc141198748"/>
      <w:bookmarkStart w:id="311" w:name="_Toc419045126"/>
      <w:r>
        <w:rPr>
          <w:rFonts w:hint="eastAsia" w:ascii="宋体" w:hAnsi="宋体" w:eastAsia="宋体" w:cs="宋体"/>
          <w:b/>
          <w:color w:val="auto"/>
          <w:kern w:val="44"/>
          <w:sz w:val="28"/>
          <w:szCs w:val="28"/>
          <w:highlight w:val="none"/>
        </w:rPr>
        <w:t>附录A 服务范围及工作内容、酬金一览表</w:t>
      </w:r>
      <w:bookmarkEnd w:id="309"/>
      <w:bookmarkEnd w:id="310"/>
      <w:bookmarkEnd w:id="311"/>
    </w:p>
    <w:tbl>
      <w:tblPr>
        <w:tblStyle w:val="32"/>
        <w:tblW w:w="12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274"/>
        <w:gridCol w:w="2708"/>
        <w:gridCol w:w="1163"/>
        <w:gridCol w:w="2089"/>
        <w:gridCol w:w="2633"/>
        <w:gridCol w:w="913"/>
      </w:tblGrid>
      <w:tr w14:paraId="1FF7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28E86A1">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w:t>
            </w:r>
          </w:p>
          <w:p w14:paraId="5A1561BD">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阶段</w:t>
            </w:r>
          </w:p>
        </w:tc>
        <w:tc>
          <w:tcPr>
            <w:tcW w:w="498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D0C0BB0">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服务范围及工作内容</w:t>
            </w:r>
          </w:p>
        </w:tc>
        <w:tc>
          <w:tcPr>
            <w:tcW w:w="588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4BA84D8">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酬金</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FC53146">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r>
      <w:tr w14:paraId="27AB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DCB2243">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05D5FC38">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服务范围</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7BC3574F">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工作内容</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6FC34657">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收费基数</w:t>
            </w: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57CF23BF">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收费标准（比例）</w:t>
            </w: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74C7D75A">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酬金数额（单位：万元）</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4A65A2C">
            <w:pPr>
              <w:keepNext w:val="0"/>
              <w:keepLines w:val="0"/>
              <w:kinsoku/>
              <w:wordWrap/>
              <w:overflowPunct/>
              <w:topLinePunct w:val="0"/>
              <w:bidi w:val="0"/>
              <w:adjustRightInd w:val="0"/>
              <w:snapToGrid/>
              <w:spacing w:beforeLines="0" w:afterLines="0" w:line="480" w:lineRule="exact"/>
              <w:ind w:left="0" w:leftChars="0"/>
              <w:jc w:val="center"/>
              <w:textAlignment w:val="auto"/>
              <w:rPr>
                <w:rFonts w:hint="eastAsia" w:ascii="宋体" w:hAnsi="宋体" w:eastAsia="宋体" w:cs="宋体"/>
                <w:color w:val="auto"/>
                <w:kern w:val="0"/>
                <w:sz w:val="28"/>
                <w:szCs w:val="28"/>
                <w:highlight w:val="none"/>
              </w:rPr>
            </w:pPr>
          </w:p>
        </w:tc>
      </w:tr>
      <w:tr w14:paraId="269C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89B6BD1">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决策</w:t>
            </w:r>
          </w:p>
          <w:p w14:paraId="2D4B8D67">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4EAD2C67">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投资估算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33CBF32D">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41DC4CE6">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0AFA1A3C">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0573E045">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2ECFB5DA">
            <w:pPr>
              <w:spacing w:beforeLines="0" w:afterLines="0" w:line="540" w:lineRule="exact"/>
              <w:jc w:val="center"/>
              <w:rPr>
                <w:rFonts w:hint="eastAsia" w:ascii="宋体" w:hAnsi="宋体" w:cs="宋体"/>
                <w:color w:val="auto"/>
                <w:kern w:val="0"/>
                <w:sz w:val="24"/>
                <w:szCs w:val="24"/>
                <w:highlight w:val="none"/>
              </w:rPr>
            </w:pPr>
          </w:p>
        </w:tc>
      </w:tr>
      <w:tr w14:paraId="6052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08CBC60">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5DE86A15">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经济评价</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52FADC62">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62D92127">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0E26C5C3">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72912A49">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78BDF2EA">
            <w:pPr>
              <w:spacing w:beforeLines="0" w:afterLines="0" w:line="540" w:lineRule="exact"/>
              <w:jc w:val="center"/>
              <w:rPr>
                <w:rFonts w:hint="eastAsia" w:ascii="宋体" w:hAnsi="宋体" w:cs="宋体"/>
                <w:color w:val="auto"/>
                <w:kern w:val="0"/>
                <w:sz w:val="24"/>
                <w:szCs w:val="24"/>
                <w:highlight w:val="none"/>
              </w:rPr>
            </w:pPr>
          </w:p>
        </w:tc>
      </w:tr>
      <w:tr w14:paraId="5908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15531F6">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278835E8">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023F69C9">
            <w:pPr>
              <w:spacing w:beforeLines="0" w:afterLines="0" w:line="540" w:lineRule="exact"/>
              <w:jc w:val="center"/>
              <w:rPr>
                <w:rFonts w:hint="eastAsia" w:ascii="宋体" w:hAnsi="宋体" w:cs="宋体"/>
                <w:color w:val="auto"/>
                <w:kern w:val="0"/>
                <w:sz w:val="24"/>
                <w:szCs w:val="24"/>
                <w:highlight w:val="none"/>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4E721AF1">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137DDE17">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7E1EA54A">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1993E703">
            <w:pPr>
              <w:spacing w:beforeLines="0" w:afterLines="0" w:line="540" w:lineRule="exact"/>
              <w:jc w:val="center"/>
              <w:rPr>
                <w:rFonts w:hint="eastAsia" w:ascii="宋体" w:hAnsi="宋体" w:cs="宋体"/>
                <w:color w:val="auto"/>
                <w:kern w:val="0"/>
                <w:sz w:val="24"/>
                <w:szCs w:val="24"/>
                <w:highlight w:val="none"/>
              </w:rPr>
            </w:pPr>
          </w:p>
        </w:tc>
      </w:tr>
      <w:tr w14:paraId="3CCE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73CB06F">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设计</w:t>
            </w:r>
          </w:p>
          <w:p w14:paraId="0D1569BC">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456CBF58">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设计概算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6A31C146">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05E1A7AD">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4F1433FF">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22BFC1B4">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333C50E5">
            <w:pPr>
              <w:spacing w:beforeLines="0" w:afterLines="0" w:line="540" w:lineRule="exact"/>
              <w:jc w:val="center"/>
              <w:rPr>
                <w:rFonts w:hint="eastAsia" w:ascii="宋体" w:hAnsi="宋体" w:cs="宋体"/>
                <w:color w:val="auto"/>
                <w:kern w:val="0"/>
                <w:sz w:val="24"/>
                <w:szCs w:val="24"/>
                <w:highlight w:val="none"/>
              </w:rPr>
            </w:pPr>
          </w:p>
        </w:tc>
      </w:tr>
      <w:tr w14:paraId="57DB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31369BD">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0CF707C2">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施工图预算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0CFCEAC6">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03A46DDE">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69BB829E">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0B90C5F0">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097EDF8C">
            <w:pPr>
              <w:spacing w:beforeLines="0" w:afterLines="0" w:line="540" w:lineRule="exact"/>
              <w:jc w:val="center"/>
              <w:rPr>
                <w:rFonts w:hint="eastAsia" w:ascii="宋体" w:hAnsi="宋体" w:cs="宋体"/>
                <w:color w:val="auto"/>
                <w:kern w:val="0"/>
                <w:sz w:val="24"/>
                <w:szCs w:val="24"/>
                <w:highlight w:val="none"/>
              </w:rPr>
            </w:pPr>
          </w:p>
        </w:tc>
      </w:tr>
      <w:tr w14:paraId="5D2F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9ECB7A6">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0B917AEF">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703DD373">
            <w:pPr>
              <w:spacing w:beforeLines="0" w:afterLines="0" w:line="540" w:lineRule="exact"/>
              <w:jc w:val="center"/>
              <w:rPr>
                <w:rFonts w:hint="eastAsia" w:ascii="宋体" w:hAnsi="宋体" w:cs="宋体"/>
                <w:color w:val="auto"/>
                <w:kern w:val="0"/>
                <w:sz w:val="24"/>
                <w:szCs w:val="24"/>
                <w:highlight w:val="none"/>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6B4E2D47">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1ABAA6E7">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69970B1B">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B1EC12C">
            <w:pPr>
              <w:spacing w:beforeLines="0" w:afterLines="0" w:line="540" w:lineRule="exact"/>
              <w:jc w:val="center"/>
              <w:rPr>
                <w:rFonts w:hint="eastAsia" w:ascii="宋体" w:hAnsi="宋体" w:cs="宋体"/>
                <w:color w:val="auto"/>
                <w:kern w:val="0"/>
                <w:sz w:val="24"/>
                <w:szCs w:val="24"/>
                <w:highlight w:val="none"/>
              </w:rPr>
            </w:pPr>
          </w:p>
        </w:tc>
      </w:tr>
      <w:tr w14:paraId="618C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388BA0B">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发承包</w:t>
            </w:r>
          </w:p>
          <w:p w14:paraId="34B61491">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78551014">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工程量清单</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282C7D13">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71999BAA">
            <w:pPr>
              <w:widowControl/>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6196FAF5">
            <w:pPr>
              <w:widowControl/>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032927FB">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06A16B9A">
            <w:pPr>
              <w:spacing w:beforeLines="0" w:afterLines="0" w:line="540" w:lineRule="exact"/>
              <w:jc w:val="center"/>
              <w:rPr>
                <w:rFonts w:hint="eastAsia" w:ascii="宋体" w:hAnsi="宋体" w:cs="宋体"/>
                <w:color w:val="auto"/>
                <w:kern w:val="0"/>
                <w:sz w:val="24"/>
                <w:szCs w:val="24"/>
                <w:highlight w:val="none"/>
              </w:rPr>
            </w:pPr>
          </w:p>
        </w:tc>
      </w:tr>
      <w:tr w14:paraId="6D8A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2F44342">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7612CD68">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最高投标限价</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0D295E27">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11767D61">
            <w:pPr>
              <w:widowControl/>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11C843CE">
            <w:pPr>
              <w:widowControl/>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3BDB9330">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042C9AE1">
            <w:pPr>
              <w:spacing w:beforeLines="0" w:afterLines="0" w:line="540" w:lineRule="exact"/>
              <w:jc w:val="center"/>
              <w:rPr>
                <w:rFonts w:hint="eastAsia" w:ascii="宋体" w:hAnsi="宋体" w:cs="宋体"/>
                <w:color w:val="auto"/>
                <w:kern w:val="0"/>
                <w:sz w:val="24"/>
                <w:szCs w:val="24"/>
                <w:highlight w:val="none"/>
              </w:rPr>
            </w:pPr>
          </w:p>
        </w:tc>
      </w:tr>
      <w:tr w14:paraId="56B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E3504E1">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36966FDE">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投标报价分析</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698CB700">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3DE18DA8">
            <w:pPr>
              <w:widowControl/>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099BD03E">
            <w:pPr>
              <w:widowControl/>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1C481EFA">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6F1C460">
            <w:pPr>
              <w:spacing w:beforeLines="0" w:afterLines="0" w:line="540" w:lineRule="exact"/>
              <w:jc w:val="center"/>
              <w:rPr>
                <w:rFonts w:hint="eastAsia" w:ascii="宋体" w:hAnsi="宋体" w:cs="宋体"/>
                <w:color w:val="auto"/>
                <w:kern w:val="0"/>
                <w:sz w:val="24"/>
                <w:szCs w:val="24"/>
                <w:highlight w:val="none"/>
              </w:rPr>
            </w:pPr>
          </w:p>
        </w:tc>
      </w:tr>
      <w:tr w14:paraId="1059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32FAF49">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182F4EBA">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清标报告</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00B8B233">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43D2F117">
            <w:pPr>
              <w:widowControl/>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3183D834">
            <w:pPr>
              <w:widowControl/>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26195E61">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6ED5BB8B">
            <w:pPr>
              <w:spacing w:beforeLines="0" w:afterLines="0" w:line="540" w:lineRule="exact"/>
              <w:jc w:val="center"/>
              <w:rPr>
                <w:rFonts w:hint="eastAsia" w:ascii="宋体" w:hAnsi="宋体" w:cs="宋体"/>
                <w:color w:val="auto"/>
                <w:kern w:val="0"/>
                <w:sz w:val="24"/>
                <w:szCs w:val="24"/>
                <w:highlight w:val="none"/>
              </w:rPr>
            </w:pPr>
          </w:p>
        </w:tc>
      </w:tr>
      <w:tr w14:paraId="55B7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63E346">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7825CAAF">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3BE07379">
            <w:pPr>
              <w:spacing w:beforeLines="0" w:afterLines="0" w:line="540" w:lineRule="exact"/>
              <w:jc w:val="center"/>
              <w:rPr>
                <w:rFonts w:hint="eastAsia" w:ascii="宋体" w:hAnsi="宋体" w:cs="宋体"/>
                <w:color w:val="auto"/>
                <w:kern w:val="0"/>
                <w:sz w:val="24"/>
                <w:szCs w:val="24"/>
                <w:highlight w:val="none"/>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248DCF78">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46342677">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2EF9288B">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20084458">
            <w:pPr>
              <w:spacing w:beforeLines="0" w:afterLines="0" w:line="540" w:lineRule="exact"/>
              <w:jc w:val="center"/>
              <w:rPr>
                <w:rFonts w:hint="eastAsia" w:ascii="宋体" w:hAnsi="宋体" w:cs="宋体"/>
                <w:color w:val="auto"/>
                <w:kern w:val="0"/>
                <w:sz w:val="24"/>
                <w:szCs w:val="24"/>
                <w:highlight w:val="none"/>
              </w:rPr>
            </w:pPr>
          </w:p>
        </w:tc>
      </w:tr>
      <w:tr w14:paraId="62D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DB85FDE">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实施</w:t>
            </w:r>
          </w:p>
          <w:p w14:paraId="6FB9AC96">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2EE9ABB1">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资金使用计划</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5478F4EE">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7651629B">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5B2463D0">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558864F6">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3EA2CB1">
            <w:pPr>
              <w:spacing w:beforeLines="0" w:afterLines="0" w:line="540" w:lineRule="exact"/>
              <w:jc w:val="center"/>
              <w:rPr>
                <w:rFonts w:hint="eastAsia" w:ascii="宋体" w:hAnsi="宋体" w:cs="宋体"/>
                <w:color w:val="auto"/>
                <w:kern w:val="0"/>
                <w:sz w:val="24"/>
                <w:szCs w:val="24"/>
                <w:highlight w:val="none"/>
              </w:rPr>
            </w:pPr>
          </w:p>
        </w:tc>
      </w:tr>
      <w:tr w14:paraId="49E9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B2CDE9">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372AFE60">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工程计量与工程款审核</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7B60E005">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405D2D07">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0D2518FF">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7DF7D403">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79B7D6B2">
            <w:pPr>
              <w:spacing w:beforeLines="0" w:afterLines="0" w:line="540" w:lineRule="exact"/>
              <w:jc w:val="center"/>
              <w:rPr>
                <w:rFonts w:hint="eastAsia" w:ascii="宋体" w:hAnsi="宋体" w:cs="宋体"/>
                <w:color w:val="auto"/>
                <w:kern w:val="0"/>
                <w:sz w:val="24"/>
                <w:szCs w:val="24"/>
                <w:highlight w:val="none"/>
              </w:rPr>
            </w:pPr>
          </w:p>
        </w:tc>
      </w:tr>
      <w:tr w14:paraId="526E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15A6A22">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730EA22C">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合同价款调整</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2726B594">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649E6FCA">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439F57F7">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2AC7BF3B">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071A4236">
            <w:pPr>
              <w:spacing w:beforeLines="0" w:afterLines="0" w:line="540" w:lineRule="exact"/>
              <w:jc w:val="center"/>
              <w:rPr>
                <w:rFonts w:hint="eastAsia" w:ascii="宋体" w:hAnsi="宋体" w:cs="宋体"/>
                <w:color w:val="auto"/>
                <w:kern w:val="0"/>
                <w:sz w:val="24"/>
                <w:szCs w:val="24"/>
                <w:highlight w:val="none"/>
              </w:rPr>
            </w:pPr>
          </w:p>
        </w:tc>
      </w:tr>
      <w:tr w14:paraId="4D8E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43DD67A">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547E3BA2">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工程变更、索赔、签证</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1DC0B023">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1A56D7C5">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53ED9577">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4AE33794">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7FC6A078">
            <w:pPr>
              <w:spacing w:beforeLines="0" w:afterLines="0" w:line="540" w:lineRule="exact"/>
              <w:jc w:val="center"/>
              <w:rPr>
                <w:rFonts w:hint="eastAsia" w:ascii="宋体" w:hAnsi="宋体" w:cs="宋体"/>
                <w:color w:val="auto"/>
                <w:kern w:val="0"/>
                <w:sz w:val="24"/>
                <w:szCs w:val="24"/>
                <w:highlight w:val="none"/>
              </w:rPr>
            </w:pPr>
          </w:p>
        </w:tc>
      </w:tr>
      <w:tr w14:paraId="1741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7F08B9">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18B29E87">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工程实施阶段造价控制</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15C80864">
            <w:pPr>
              <w:spacing w:beforeLines="0" w:afterLines="0" w:line="540" w:lineRule="exact"/>
              <w:jc w:val="center"/>
              <w:rPr>
                <w:rFonts w:hint="eastAsia" w:ascii="宋体" w:hAnsi="宋体" w:cs="宋体"/>
                <w:color w:val="auto"/>
                <w:kern w:val="0"/>
                <w:sz w:val="24"/>
                <w:szCs w:val="24"/>
                <w:highlight w:val="none"/>
              </w:rPr>
            </w:pP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17E41499">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4FA538E6">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0F4056C1">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02760EC4">
            <w:pPr>
              <w:spacing w:beforeLines="0" w:afterLines="0" w:line="540" w:lineRule="exact"/>
              <w:jc w:val="center"/>
              <w:rPr>
                <w:rFonts w:hint="eastAsia" w:ascii="宋体" w:hAnsi="宋体" w:cs="宋体"/>
                <w:color w:val="auto"/>
                <w:kern w:val="0"/>
                <w:sz w:val="24"/>
                <w:szCs w:val="24"/>
                <w:highlight w:val="none"/>
              </w:rPr>
            </w:pPr>
          </w:p>
        </w:tc>
      </w:tr>
      <w:tr w14:paraId="78DB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3659BEC">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05081013">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其他：现场实际工作量</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1307538C">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□核查</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19968840">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095DF5A1">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662E9615">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541806A6">
            <w:pPr>
              <w:spacing w:beforeLines="0" w:afterLines="0" w:line="540" w:lineRule="exact"/>
              <w:jc w:val="center"/>
              <w:rPr>
                <w:rFonts w:hint="eastAsia" w:ascii="宋体" w:hAnsi="宋体" w:cs="宋体"/>
                <w:color w:val="auto"/>
                <w:kern w:val="0"/>
                <w:sz w:val="24"/>
                <w:szCs w:val="24"/>
                <w:highlight w:val="none"/>
              </w:rPr>
            </w:pPr>
          </w:p>
        </w:tc>
      </w:tr>
      <w:tr w14:paraId="65ED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470547E">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竣工</w:t>
            </w:r>
          </w:p>
          <w:p w14:paraId="5F6B05B3">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阶段</w:t>
            </w: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6190FBF5">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竣工结算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263103AE">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2B4AC9CB">
            <w:pPr>
              <w:spacing w:beforeLines="0" w:afterLines="0" w:line="540" w:lineRule="exact"/>
              <w:jc w:val="center"/>
              <w:rPr>
                <w:rFonts w:hint="eastAsia" w:ascii="宋体" w:hAnsi="宋体" w:cs="宋体"/>
                <w:color w:val="auto"/>
                <w:kern w:val="0"/>
                <w:sz w:val="18"/>
                <w:szCs w:val="18"/>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13574D1B">
            <w:pPr>
              <w:spacing w:beforeLines="0" w:afterLines="0" w:line="540" w:lineRule="exact"/>
              <w:jc w:val="center"/>
              <w:rPr>
                <w:rFonts w:hint="eastAsia" w:ascii="宋体" w:hAnsi="宋体" w:cs="宋体"/>
                <w:color w:val="auto"/>
                <w:kern w:val="0"/>
                <w:sz w:val="18"/>
                <w:szCs w:val="18"/>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50D7BD51">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6E71DCEF">
            <w:pPr>
              <w:spacing w:beforeLines="0" w:afterLines="0" w:line="540" w:lineRule="exact"/>
              <w:jc w:val="center"/>
              <w:rPr>
                <w:rFonts w:hint="eastAsia" w:ascii="宋体" w:hAnsi="宋体" w:cs="宋体"/>
                <w:color w:val="auto"/>
                <w:kern w:val="0"/>
                <w:sz w:val="24"/>
                <w:szCs w:val="24"/>
                <w:highlight w:val="none"/>
              </w:rPr>
            </w:pPr>
          </w:p>
        </w:tc>
      </w:tr>
      <w:tr w14:paraId="25D0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857CD9F">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center"/>
          </w:tcPr>
          <w:p w14:paraId="7E7CEAB0">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竣工决算</w:t>
            </w:r>
          </w:p>
        </w:tc>
        <w:tc>
          <w:tcPr>
            <w:tcW w:w="2708" w:type="dxa"/>
            <w:tcBorders>
              <w:top w:val="single" w:color="auto" w:sz="4" w:space="0"/>
              <w:left w:val="single" w:color="auto" w:sz="4" w:space="0"/>
              <w:bottom w:val="single" w:color="auto" w:sz="4" w:space="0"/>
              <w:right w:val="single" w:color="auto" w:sz="4" w:space="0"/>
              <w:tl2br w:val="nil"/>
              <w:tr2bl w:val="nil"/>
            </w:tcBorders>
            <w:vAlign w:val="center"/>
          </w:tcPr>
          <w:p w14:paraId="3E017F64">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□编制□审核□调整</w:t>
            </w:r>
          </w:p>
        </w:tc>
        <w:tc>
          <w:tcPr>
            <w:tcW w:w="1163" w:type="dxa"/>
            <w:tcBorders>
              <w:top w:val="single" w:color="auto" w:sz="4" w:space="0"/>
              <w:left w:val="single" w:color="auto" w:sz="4" w:space="0"/>
              <w:bottom w:val="single" w:color="auto" w:sz="4" w:space="0"/>
              <w:right w:val="single" w:color="auto" w:sz="4" w:space="0"/>
              <w:tl2br w:val="nil"/>
              <w:tr2bl w:val="nil"/>
            </w:tcBorders>
            <w:vAlign w:val="center"/>
          </w:tcPr>
          <w:p w14:paraId="6A5E6E54">
            <w:pPr>
              <w:spacing w:beforeLines="0" w:afterLines="0" w:line="540" w:lineRule="exact"/>
              <w:jc w:val="center"/>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center"/>
          </w:tcPr>
          <w:p w14:paraId="58082180">
            <w:pPr>
              <w:spacing w:beforeLines="0" w:afterLines="0" w:line="540" w:lineRule="exact"/>
              <w:jc w:val="center"/>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center"/>
          </w:tcPr>
          <w:p w14:paraId="6125526B">
            <w:pPr>
              <w:spacing w:beforeLines="0" w:afterLines="0" w:line="540" w:lineRule="exact"/>
              <w:jc w:val="center"/>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14:paraId="6C16B7DE">
            <w:pPr>
              <w:spacing w:beforeLines="0" w:afterLines="0" w:line="540" w:lineRule="exact"/>
              <w:jc w:val="center"/>
              <w:rPr>
                <w:rFonts w:hint="eastAsia" w:ascii="宋体" w:hAnsi="宋体" w:cs="宋体"/>
                <w:color w:val="auto"/>
                <w:kern w:val="0"/>
                <w:sz w:val="24"/>
                <w:szCs w:val="24"/>
                <w:highlight w:val="none"/>
              </w:rPr>
            </w:pPr>
          </w:p>
        </w:tc>
      </w:tr>
      <w:tr w14:paraId="480A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65D706F">
            <w:pPr>
              <w:spacing w:beforeLines="0" w:afterLines="0" w:line="540" w:lineRule="exact"/>
              <w:jc w:val="center"/>
              <w:rPr>
                <w:rFonts w:hint="eastAsia" w:ascii="宋体" w:hAnsi="宋体" w:cs="宋体"/>
                <w:color w:val="auto"/>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l2br w:val="nil"/>
              <w:tr2bl w:val="nil"/>
            </w:tcBorders>
            <w:vAlign w:val="top"/>
          </w:tcPr>
          <w:p w14:paraId="70501853">
            <w:pPr>
              <w:spacing w:beforeLines="0" w:afterLines="0" w:line="540" w:lineRule="exact"/>
              <w:ind w:left="0" w:leftChars="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其他：材料市场价格</w:t>
            </w:r>
          </w:p>
        </w:tc>
        <w:tc>
          <w:tcPr>
            <w:tcW w:w="2708" w:type="dxa"/>
            <w:tcBorders>
              <w:top w:val="single" w:color="auto" w:sz="4" w:space="0"/>
              <w:left w:val="single" w:color="auto" w:sz="4" w:space="0"/>
              <w:bottom w:val="single" w:color="auto" w:sz="4" w:space="0"/>
              <w:right w:val="single" w:color="auto" w:sz="4" w:space="0"/>
              <w:tl2br w:val="nil"/>
              <w:tr2bl w:val="nil"/>
            </w:tcBorders>
            <w:vAlign w:val="top"/>
          </w:tcPr>
          <w:p w14:paraId="20D88B0C">
            <w:pPr>
              <w:spacing w:beforeLines="0" w:afterLines="0" w:line="540" w:lineRule="exact"/>
              <w:ind w:left="0" w:leftChars="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14:paraId="223CC2DF">
            <w:pPr>
              <w:spacing w:beforeLines="0" w:afterLines="0" w:line="540" w:lineRule="exact"/>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top"/>
          </w:tcPr>
          <w:p w14:paraId="73B4698B">
            <w:pPr>
              <w:spacing w:beforeLines="0" w:afterLines="0" w:line="540" w:lineRule="exact"/>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top"/>
          </w:tcPr>
          <w:p w14:paraId="4D881756">
            <w:pPr>
              <w:spacing w:beforeLines="0" w:afterLines="0" w:line="540" w:lineRule="exact"/>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14:paraId="7D7A4261">
            <w:pPr>
              <w:spacing w:beforeLines="0" w:afterLines="0" w:line="540" w:lineRule="exact"/>
              <w:jc w:val="center"/>
              <w:rPr>
                <w:rFonts w:hint="eastAsia" w:ascii="宋体" w:hAnsi="宋体" w:cs="宋体"/>
                <w:color w:val="auto"/>
                <w:kern w:val="0"/>
                <w:sz w:val="24"/>
                <w:szCs w:val="24"/>
                <w:highlight w:val="none"/>
              </w:rPr>
            </w:pPr>
          </w:p>
        </w:tc>
      </w:tr>
      <w:tr w14:paraId="3A17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58" w:type="dxa"/>
            <w:tcBorders>
              <w:top w:val="single" w:color="auto" w:sz="4" w:space="0"/>
              <w:left w:val="single" w:color="auto" w:sz="4" w:space="0"/>
              <w:bottom w:val="single" w:color="auto" w:sz="4" w:space="0"/>
              <w:right w:val="single" w:color="auto" w:sz="4" w:space="0"/>
              <w:tl2br w:val="nil"/>
              <w:tr2bl w:val="nil"/>
            </w:tcBorders>
            <w:vAlign w:val="center"/>
          </w:tcPr>
          <w:p w14:paraId="7714D6D5">
            <w:pPr>
              <w:spacing w:beforeLines="0" w:afterLines="0" w:line="540" w:lineRule="exact"/>
              <w:ind w:left="0" w:leftChars="0"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p>
          <w:p w14:paraId="1E17A0A3">
            <w:pPr>
              <w:spacing w:beforeLines="0" w:afterLines="0" w:line="54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w:t>
            </w:r>
          </w:p>
        </w:tc>
        <w:tc>
          <w:tcPr>
            <w:tcW w:w="2274" w:type="dxa"/>
            <w:tcBorders>
              <w:top w:val="single" w:color="auto" w:sz="4" w:space="0"/>
              <w:left w:val="single" w:color="auto" w:sz="4" w:space="0"/>
              <w:bottom w:val="single" w:color="auto" w:sz="4" w:space="0"/>
              <w:right w:val="single" w:color="auto" w:sz="4" w:space="0"/>
              <w:tl2br w:val="nil"/>
              <w:tr2bl w:val="nil"/>
            </w:tcBorders>
            <w:vAlign w:val="top"/>
          </w:tcPr>
          <w:p w14:paraId="35C2B5D4">
            <w:pPr>
              <w:spacing w:beforeLines="0" w:afterLines="0" w:line="540" w:lineRule="exact"/>
              <w:ind w:left="0" w:leftChars="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工程造价鉴定</w:t>
            </w:r>
          </w:p>
        </w:tc>
        <w:tc>
          <w:tcPr>
            <w:tcW w:w="2708" w:type="dxa"/>
            <w:tcBorders>
              <w:top w:val="single" w:color="auto" w:sz="4" w:space="0"/>
              <w:left w:val="single" w:color="auto" w:sz="4" w:space="0"/>
              <w:bottom w:val="single" w:color="auto" w:sz="4" w:space="0"/>
              <w:right w:val="single" w:color="auto" w:sz="4" w:space="0"/>
              <w:tl2br w:val="nil"/>
              <w:tr2bl w:val="nil"/>
            </w:tcBorders>
            <w:vAlign w:val="top"/>
          </w:tcPr>
          <w:p w14:paraId="500C04E0">
            <w:pPr>
              <w:spacing w:beforeLines="0" w:afterLines="0" w:line="540" w:lineRule="exact"/>
              <w:ind w:left="0" w:leftChars="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审核</w:t>
            </w:r>
          </w:p>
        </w:tc>
        <w:tc>
          <w:tcPr>
            <w:tcW w:w="1163" w:type="dxa"/>
            <w:tcBorders>
              <w:top w:val="single" w:color="auto" w:sz="4" w:space="0"/>
              <w:left w:val="single" w:color="auto" w:sz="4" w:space="0"/>
              <w:bottom w:val="single" w:color="auto" w:sz="4" w:space="0"/>
              <w:right w:val="single" w:color="auto" w:sz="4" w:space="0"/>
              <w:tl2br w:val="nil"/>
              <w:tr2bl w:val="nil"/>
            </w:tcBorders>
            <w:vAlign w:val="top"/>
          </w:tcPr>
          <w:p w14:paraId="2C5BD2AF">
            <w:pPr>
              <w:spacing w:beforeLines="0" w:afterLines="0" w:line="540" w:lineRule="exact"/>
              <w:rPr>
                <w:rFonts w:hint="eastAsia" w:ascii="宋体" w:hAnsi="宋体" w:cs="宋体"/>
                <w:color w:val="auto"/>
                <w:kern w:val="0"/>
                <w:sz w:val="24"/>
                <w:szCs w:val="24"/>
                <w:highlight w:val="none"/>
              </w:rPr>
            </w:pPr>
          </w:p>
        </w:tc>
        <w:tc>
          <w:tcPr>
            <w:tcW w:w="2089" w:type="dxa"/>
            <w:tcBorders>
              <w:top w:val="single" w:color="auto" w:sz="4" w:space="0"/>
              <w:left w:val="single" w:color="auto" w:sz="4" w:space="0"/>
              <w:bottom w:val="single" w:color="auto" w:sz="4" w:space="0"/>
              <w:right w:val="single" w:color="auto" w:sz="4" w:space="0"/>
              <w:tl2br w:val="nil"/>
              <w:tr2bl w:val="nil"/>
            </w:tcBorders>
            <w:vAlign w:val="top"/>
          </w:tcPr>
          <w:p w14:paraId="110F1129">
            <w:pPr>
              <w:spacing w:beforeLines="0" w:afterLines="0" w:line="540" w:lineRule="exact"/>
              <w:rPr>
                <w:rFonts w:hint="eastAsia" w:ascii="宋体" w:hAnsi="宋体" w:cs="宋体"/>
                <w:color w:val="auto"/>
                <w:kern w:val="0"/>
                <w:sz w:val="24"/>
                <w:szCs w:val="24"/>
                <w:highlight w:val="none"/>
              </w:rPr>
            </w:pPr>
          </w:p>
        </w:tc>
        <w:tc>
          <w:tcPr>
            <w:tcW w:w="2633" w:type="dxa"/>
            <w:tcBorders>
              <w:top w:val="single" w:color="auto" w:sz="4" w:space="0"/>
              <w:left w:val="single" w:color="auto" w:sz="4" w:space="0"/>
              <w:bottom w:val="single" w:color="auto" w:sz="4" w:space="0"/>
              <w:right w:val="single" w:color="auto" w:sz="4" w:space="0"/>
              <w:tl2br w:val="nil"/>
              <w:tr2bl w:val="nil"/>
            </w:tcBorders>
            <w:vAlign w:val="top"/>
          </w:tcPr>
          <w:p w14:paraId="7652E3C9">
            <w:pPr>
              <w:spacing w:beforeLines="0" w:afterLines="0" w:line="540" w:lineRule="exact"/>
              <w:rPr>
                <w:rFonts w:hint="eastAsia" w:ascii="宋体" w:hAnsi="宋体" w:cs="宋体"/>
                <w:color w:val="auto"/>
                <w:kern w:val="0"/>
                <w:sz w:val="24"/>
                <w:szCs w:val="24"/>
                <w:highlight w:val="none"/>
              </w:rPr>
            </w:pPr>
          </w:p>
        </w:tc>
        <w:tc>
          <w:tcPr>
            <w:tcW w:w="913" w:type="dxa"/>
            <w:tcBorders>
              <w:top w:val="single" w:color="auto" w:sz="4" w:space="0"/>
              <w:left w:val="single" w:color="auto" w:sz="4" w:space="0"/>
              <w:bottom w:val="single" w:color="auto" w:sz="4" w:space="0"/>
              <w:right w:val="single" w:color="auto" w:sz="4" w:space="0"/>
              <w:tl2br w:val="nil"/>
              <w:tr2bl w:val="nil"/>
            </w:tcBorders>
            <w:vAlign w:val="top"/>
          </w:tcPr>
          <w:p w14:paraId="2D43BF95">
            <w:pPr>
              <w:spacing w:beforeLines="0" w:afterLines="0" w:line="540" w:lineRule="exact"/>
              <w:jc w:val="center"/>
              <w:rPr>
                <w:rFonts w:hint="eastAsia" w:ascii="宋体" w:hAnsi="宋体" w:cs="宋体"/>
                <w:color w:val="auto"/>
                <w:kern w:val="0"/>
                <w:sz w:val="24"/>
                <w:szCs w:val="24"/>
                <w:highlight w:val="none"/>
              </w:rPr>
            </w:pPr>
          </w:p>
        </w:tc>
      </w:tr>
    </w:tbl>
    <w:p w14:paraId="44599E13">
      <w:pPr>
        <w:widowControl/>
        <w:spacing w:beforeLines="0" w:afterLines="0" w:line="540" w:lineRule="exact"/>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注：</w:t>
      </w:r>
      <w:bookmarkStart w:id="312" w:name="_Toc419045127"/>
      <w:bookmarkStart w:id="313" w:name="_Toc422322558"/>
      <w:r>
        <w:rPr>
          <w:rFonts w:hint="eastAsia" w:ascii="宋体" w:hAnsi="宋体" w:cs="宋体"/>
          <w:color w:val="auto"/>
          <w:kern w:val="0"/>
          <w:sz w:val="24"/>
          <w:szCs w:val="24"/>
          <w:highlight w:val="none"/>
        </w:rPr>
        <w:t>1.附录A中服务范围及工作内容未涉及的可在“其他”项中列明。</w:t>
      </w:r>
    </w:p>
    <w:p w14:paraId="4EF7FF42">
      <w:pPr>
        <w:widowControl/>
        <w:spacing w:beforeLines="0" w:afterLines="0" w:line="5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实行全过程造价咨询的工程，服务范围及工作内容为决策阶段：投资估算的编制，经济评价的编制；发承包阶段：工程量清单编制，最高投标限价编制，清标报告的编制；实施阶段：工程计量与工程款审核，合同价款调整审核，工程变更、索赔、签证审核，现场实际工作量核查；竣工阶段：竣工结算审核，材料市场价格审核；其他服务：工程造价鉴定审核等，酬金及计取方式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11AAFFDC">
      <w:pPr>
        <w:widowControl/>
        <w:spacing w:beforeLines="0" w:afterLines="0" w:line="360" w:lineRule="auto"/>
        <w:jc w:val="left"/>
        <w:rPr>
          <w:rFonts w:hint="eastAsia" w:ascii="宋体" w:hAnsi="宋体" w:cs="宋体"/>
          <w:color w:val="auto"/>
          <w:kern w:val="0"/>
          <w:sz w:val="24"/>
          <w:szCs w:val="24"/>
          <w:highlight w:val="none"/>
        </w:rPr>
        <w:sectPr>
          <w:pgSz w:w="16838" w:h="11906" w:orient="landscape"/>
          <w:pgMar w:top="1803" w:right="1440" w:bottom="1438" w:left="1440" w:header="851" w:footer="992" w:gutter="0"/>
          <w:lnNumType w:countBy="0" w:distance="360"/>
          <w:pgNumType w:fmt="decimal"/>
          <w:cols w:space="720" w:num="1"/>
          <w:docGrid w:linePitch="312" w:charSpace="0"/>
        </w:sectPr>
      </w:pPr>
    </w:p>
    <w:p w14:paraId="346D295B">
      <w:pPr>
        <w:pageBreakBefore/>
        <w:spacing w:beforeLines="0" w:afterLines="0" w:line="500" w:lineRule="exact"/>
        <w:jc w:val="center"/>
        <w:outlineLvl w:val="0"/>
        <w:rPr>
          <w:rFonts w:hint="eastAsia" w:ascii="宋体" w:hAnsi="宋体" w:cs="宋体"/>
          <w:b/>
          <w:color w:val="auto"/>
          <w:kern w:val="44"/>
          <w:sz w:val="24"/>
          <w:szCs w:val="24"/>
          <w:highlight w:val="none"/>
        </w:rPr>
      </w:pPr>
      <w:bookmarkStart w:id="314" w:name="_Toc141198749"/>
      <w:r>
        <w:rPr>
          <w:rFonts w:hint="eastAsia" w:ascii="宋体" w:hAnsi="宋体" w:cs="宋体"/>
          <w:b/>
          <w:color w:val="auto"/>
          <w:kern w:val="44"/>
          <w:sz w:val="24"/>
          <w:szCs w:val="24"/>
          <w:highlight w:val="none"/>
        </w:rPr>
        <w:t>附录B 咨询人提交成果文件一览表</w:t>
      </w:r>
      <w:bookmarkEnd w:id="312"/>
      <w:bookmarkEnd w:id="313"/>
      <w:bookmarkEnd w:id="314"/>
    </w:p>
    <w:tbl>
      <w:tblPr>
        <w:tblStyle w:val="32"/>
        <w:tblW w:w="14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3685"/>
        <w:gridCol w:w="3528"/>
        <w:gridCol w:w="1716"/>
        <w:gridCol w:w="940"/>
        <w:gridCol w:w="2309"/>
      </w:tblGrid>
      <w:tr w14:paraId="16F3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14:paraId="538AFF21">
            <w:pPr>
              <w:spacing w:beforeLines="0" w:afterLines="0" w:line="480" w:lineRule="exact"/>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服务阶段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3371D3EA">
            <w:pPr>
              <w:spacing w:beforeLines="0" w:afterLines="0"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成果文件名称</w:t>
            </w: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6AE6EA06">
            <w:pPr>
              <w:spacing w:beforeLines="0" w:afterLines="0"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成果文件组成</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55CCA866">
            <w:pPr>
              <w:spacing w:beforeLines="0" w:afterLines="0"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提交时间</w:t>
            </w: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381F9E66">
            <w:pPr>
              <w:spacing w:beforeLines="0" w:afterLines="0"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份数</w:t>
            </w: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0BACF1DE">
            <w:pPr>
              <w:spacing w:beforeLines="0" w:afterLines="0" w:line="48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质量标准</w:t>
            </w:r>
          </w:p>
        </w:tc>
      </w:tr>
      <w:tr w14:paraId="1A61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A2925FA">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决策阶段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28AECC5F">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07FE4A5E">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272370C6">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4A8FA325">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28EB79DE">
            <w:pPr>
              <w:spacing w:beforeLines="0" w:afterLines="0" w:line="480" w:lineRule="exact"/>
              <w:jc w:val="center"/>
              <w:rPr>
                <w:rFonts w:hint="eastAsia" w:ascii="宋体" w:hAnsi="宋体" w:cs="宋体"/>
                <w:color w:val="auto"/>
                <w:kern w:val="0"/>
                <w:sz w:val="24"/>
                <w:szCs w:val="24"/>
                <w:highlight w:val="none"/>
              </w:rPr>
            </w:pPr>
          </w:p>
        </w:tc>
      </w:tr>
      <w:tr w14:paraId="5C69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4CD955">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39D974E0">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1F433DF8">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32EA1E4E">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1FDDA1E6">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2C2C7AA5">
            <w:pPr>
              <w:spacing w:beforeLines="0" w:afterLines="0" w:line="480" w:lineRule="exact"/>
              <w:jc w:val="center"/>
              <w:rPr>
                <w:rFonts w:hint="eastAsia" w:ascii="宋体" w:hAnsi="宋体" w:cs="宋体"/>
                <w:color w:val="auto"/>
                <w:kern w:val="0"/>
                <w:sz w:val="24"/>
                <w:szCs w:val="24"/>
                <w:highlight w:val="none"/>
              </w:rPr>
            </w:pPr>
          </w:p>
        </w:tc>
      </w:tr>
      <w:tr w14:paraId="64ED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836D0BD">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50D6E8C8">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4D429678">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2575E2C4">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0A05B58A">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0222B91D">
            <w:pPr>
              <w:spacing w:beforeLines="0" w:afterLines="0" w:line="480" w:lineRule="exact"/>
              <w:jc w:val="center"/>
              <w:rPr>
                <w:rFonts w:hint="eastAsia" w:ascii="宋体" w:hAnsi="宋体" w:cs="宋体"/>
                <w:color w:val="auto"/>
                <w:kern w:val="0"/>
                <w:sz w:val="24"/>
                <w:szCs w:val="24"/>
                <w:highlight w:val="none"/>
              </w:rPr>
            </w:pPr>
          </w:p>
        </w:tc>
      </w:tr>
      <w:tr w14:paraId="0592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CEC1CF7">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设计阶段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1148389C">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128EE4F9">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2222EFE6">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65ADC14B">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35754110">
            <w:pPr>
              <w:spacing w:beforeLines="0" w:afterLines="0" w:line="480" w:lineRule="exact"/>
              <w:jc w:val="center"/>
              <w:rPr>
                <w:rFonts w:hint="eastAsia" w:ascii="宋体" w:hAnsi="宋体" w:cs="宋体"/>
                <w:color w:val="auto"/>
                <w:kern w:val="0"/>
                <w:sz w:val="24"/>
                <w:szCs w:val="24"/>
                <w:highlight w:val="none"/>
              </w:rPr>
            </w:pPr>
          </w:p>
        </w:tc>
      </w:tr>
      <w:tr w14:paraId="48E2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A4CE3F4">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614DBED4">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7C88E81C">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6ADBDE78">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41E9619D">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67581705">
            <w:pPr>
              <w:spacing w:beforeLines="0" w:afterLines="0" w:line="480" w:lineRule="exact"/>
              <w:jc w:val="center"/>
              <w:rPr>
                <w:rFonts w:hint="eastAsia" w:ascii="宋体" w:hAnsi="宋体" w:cs="宋体"/>
                <w:color w:val="auto"/>
                <w:kern w:val="0"/>
                <w:sz w:val="24"/>
                <w:szCs w:val="24"/>
                <w:highlight w:val="none"/>
              </w:rPr>
            </w:pPr>
          </w:p>
        </w:tc>
      </w:tr>
      <w:tr w14:paraId="1536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E59A4BF">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4980B887">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139DF538">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755DEEA3">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1E150AA9">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11880C8D">
            <w:pPr>
              <w:spacing w:beforeLines="0" w:afterLines="0" w:line="480" w:lineRule="exact"/>
              <w:jc w:val="center"/>
              <w:rPr>
                <w:rFonts w:hint="eastAsia" w:ascii="宋体" w:hAnsi="宋体" w:cs="宋体"/>
                <w:color w:val="auto"/>
                <w:kern w:val="0"/>
                <w:sz w:val="24"/>
                <w:szCs w:val="24"/>
                <w:highlight w:val="none"/>
              </w:rPr>
            </w:pPr>
          </w:p>
        </w:tc>
      </w:tr>
      <w:tr w14:paraId="23DF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C47BFEB">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发承包阶段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10D5601F">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662633E1">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509731B3">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732852B8">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47548317">
            <w:pPr>
              <w:spacing w:beforeLines="0" w:afterLines="0" w:line="480" w:lineRule="exact"/>
              <w:jc w:val="center"/>
              <w:rPr>
                <w:rFonts w:hint="eastAsia" w:ascii="宋体" w:hAnsi="宋体" w:cs="宋体"/>
                <w:color w:val="auto"/>
                <w:kern w:val="0"/>
                <w:sz w:val="24"/>
                <w:szCs w:val="24"/>
                <w:highlight w:val="none"/>
              </w:rPr>
            </w:pPr>
          </w:p>
        </w:tc>
      </w:tr>
      <w:tr w14:paraId="173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0F31BAA">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4C8E0E08">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36FDD5AF">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18C491C4">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3603C471">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0F5E71D4">
            <w:pPr>
              <w:spacing w:beforeLines="0" w:afterLines="0" w:line="480" w:lineRule="exact"/>
              <w:jc w:val="center"/>
              <w:rPr>
                <w:rFonts w:hint="eastAsia" w:ascii="宋体" w:hAnsi="宋体" w:cs="宋体"/>
                <w:color w:val="auto"/>
                <w:kern w:val="0"/>
                <w:sz w:val="24"/>
                <w:szCs w:val="24"/>
                <w:highlight w:val="none"/>
              </w:rPr>
            </w:pPr>
          </w:p>
        </w:tc>
      </w:tr>
      <w:tr w14:paraId="2AF6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EAACB52">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0D724DBD">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7BA3380B">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69ED80F3">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285D5899">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57B9FFA7">
            <w:pPr>
              <w:spacing w:beforeLines="0" w:afterLines="0" w:line="480" w:lineRule="exact"/>
              <w:jc w:val="center"/>
              <w:rPr>
                <w:rFonts w:hint="eastAsia" w:ascii="宋体" w:hAnsi="宋体" w:cs="宋体"/>
                <w:color w:val="auto"/>
                <w:kern w:val="0"/>
                <w:sz w:val="24"/>
                <w:szCs w:val="24"/>
                <w:highlight w:val="none"/>
              </w:rPr>
            </w:pPr>
          </w:p>
        </w:tc>
      </w:tr>
      <w:tr w14:paraId="7157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4646B21">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实施阶段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1D7AD0ED">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1A8E42F0">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18961BB8">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653B4E3D">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2B35ED57">
            <w:pPr>
              <w:spacing w:beforeLines="0" w:afterLines="0" w:line="480" w:lineRule="exact"/>
              <w:jc w:val="center"/>
              <w:rPr>
                <w:rFonts w:hint="eastAsia" w:ascii="宋体" w:hAnsi="宋体" w:cs="宋体"/>
                <w:color w:val="auto"/>
                <w:kern w:val="0"/>
                <w:sz w:val="24"/>
                <w:szCs w:val="24"/>
                <w:highlight w:val="none"/>
              </w:rPr>
            </w:pPr>
          </w:p>
        </w:tc>
      </w:tr>
      <w:tr w14:paraId="217A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8D853D0">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1BBF02C2">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04F2750B">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435B385D">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78A22760">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76D4683F">
            <w:pPr>
              <w:spacing w:beforeLines="0" w:afterLines="0" w:line="480" w:lineRule="exact"/>
              <w:jc w:val="center"/>
              <w:rPr>
                <w:rFonts w:hint="eastAsia" w:ascii="宋体" w:hAnsi="宋体" w:cs="宋体"/>
                <w:color w:val="auto"/>
                <w:kern w:val="0"/>
                <w:sz w:val="24"/>
                <w:szCs w:val="24"/>
                <w:highlight w:val="none"/>
              </w:rPr>
            </w:pPr>
          </w:p>
        </w:tc>
      </w:tr>
      <w:tr w14:paraId="51EF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A6740E5">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0994B300">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50607C89">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683E395B">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68169FC4">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6DB6FAAF">
            <w:pPr>
              <w:spacing w:beforeLines="0" w:afterLines="0" w:line="480" w:lineRule="exact"/>
              <w:jc w:val="center"/>
              <w:rPr>
                <w:rFonts w:hint="eastAsia" w:ascii="宋体" w:hAnsi="宋体" w:cs="宋体"/>
                <w:color w:val="auto"/>
                <w:kern w:val="0"/>
                <w:sz w:val="24"/>
                <w:szCs w:val="24"/>
                <w:highlight w:val="none"/>
              </w:rPr>
            </w:pPr>
          </w:p>
        </w:tc>
      </w:tr>
      <w:tr w14:paraId="4B6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2C2E27">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竣工阶段</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15105AE5">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68B4C796">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40C39AC1">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5615C40F">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61DAD213">
            <w:pPr>
              <w:spacing w:beforeLines="0" w:afterLines="0" w:line="480" w:lineRule="exact"/>
              <w:jc w:val="center"/>
              <w:rPr>
                <w:rFonts w:hint="eastAsia" w:ascii="宋体" w:hAnsi="宋体" w:cs="宋体"/>
                <w:color w:val="auto"/>
                <w:kern w:val="0"/>
                <w:sz w:val="24"/>
                <w:szCs w:val="24"/>
                <w:highlight w:val="none"/>
              </w:rPr>
            </w:pPr>
          </w:p>
        </w:tc>
      </w:tr>
      <w:tr w14:paraId="04B8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6E3AA5">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4CFC0AC1">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5CFD28DB">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4AA2B694">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4B1CB2C6">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52AD6012">
            <w:pPr>
              <w:spacing w:beforeLines="0" w:afterLines="0" w:line="480" w:lineRule="exact"/>
              <w:jc w:val="center"/>
              <w:rPr>
                <w:rFonts w:hint="eastAsia" w:ascii="宋体" w:hAnsi="宋体" w:cs="宋体"/>
                <w:color w:val="auto"/>
                <w:kern w:val="0"/>
                <w:sz w:val="24"/>
                <w:szCs w:val="24"/>
                <w:highlight w:val="none"/>
              </w:rPr>
            </w:pPr>
          </w:p>
        </w:tc>
      </w:tr>
      <w:tr w14:paraId="2D01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C5F5EEA">
            <w:pPr>
              <w:spacing w:beforeLines="0" w:afterLines="0" w:line="480" w:lineRule="exact"/>
              <w:jc w:val="center"/>
              <w:rPr>
                <w:rFonts w:hint="eastAsia" w:ascii="宋体" w:hAnsi="宋体" w:cs="宋体"/>
                <w:color w:val="auto"/>
                <w:kern w:val="0"/>
                <w:sz w:val="24"/>
                <w:szCs w:val="24"/>
                <w:highlight w:val="none"/>
              </w:rPr>
            </w:pP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0FE02D80">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4BBCAD74">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50E1C57B">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162C09A0">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18A6B7A9">
            <w:pPr>
              <w:spacing w:beforeLines="0" w:afterLines="0" w:line="480" w:lineRule="exact"/>
              <w:jc w:val="center"/>
              <w:rPr>
                <w:rFonts w:hint="eastAsia" w:ascii="宋体" w:hAnsi="宋体" w:cs="宋体"/>
                <w:color w:val="auto"/>
                <w:kern w:val="0"/>
                <w:sz w:val="24"/>
                <w:szCs w:val="24"/>
                <w:highlight w:val="none"/>
              </w:rPr>
            </w:pPr>
          </w:p>
        </w:tc>
      </w:tr>
      <w:tr w14:paraId="3ECC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90" w:type="dxa"/>
            <w:tcBorders>
              <w:top w:val="single" w:color="auto" w:sz="4" w:space="0"/>
              <w:left w:val="single" w:color="auto" w:sz="4" w:space="0"/>
              <w:bottom w:val="single" w:color="auto" w:sz="4" w:space="0"/>
              <w:right w:val="single" w:color="auto" w:sz="4" w:space="0"/>
              <w:tl2br w:val="nil"/>
              <w:tr2bl w:val="nil"/>
            </w:tcBorders>
            <w:vAlign w:val="center"/>
          </w:tcPr>
          <w:p w14:paraId="2EE4AF8B">
            <w:pPr>
              <w:spacing w:beforeLines="0" w:afterLines="0" w:line="48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其他服务</w:t>
            </w:r>
          </w:p>
        </w:tc>
        <w:tc>
          <w:tcPr>
            <w:tcW w:w="3685" w:type="dxa"/>
            <w:tcBorders>
              <w:top w:val="single" w:color="auto" w:sz="4" w:space="0"/>
              <w:left w:val="single" w:color="auto" w:sz="4" w:space="0"/>
              <w:bottom w:val="single" w:color="auto" w:sz="4" w:space="0"/>
              <w:right w:val="single" w:color="auto" w:sz="4" w:space="0"/>
              <w:tl2br w:val="nil"/>
              <w:tr2bl w:val="nil"/>
            </w:tcBorders>
            <w:vAlign w:val="center"/>
          </w:tcPr>
          <w:p w14:paraId="2116E139">
            <w:pPr>
              <w:spacing w:beforeLines="0" w:afterLines="0" w:line="480" w:lineRule="exact"/>
              <w:jc w:val="center"/>
              <w:rPr>
                <w:rFonts w:hint="eastAsia" w:ascii="宋体" w:hAnsi="宋体" w:cs="宋体"/>
                <w:color w:val="auto"/>
                <w:kern w:val="0"/>
                <w:sz w:val="24"/>
                <w:szCs w:val="24"/>
                <w:highlight w:val="none"/>
              </w:rPr>
            </w:pPr>
          </w:p>
        </w:tc>
        <w:tc>
          <w:tcPr>
            <w:tcW w:w="3528" w:type="dxa"/>
            <w:tcBorders>
              <w:top w:val="single" w:color="auto" w:sz="4" w:space="0"/>
              <w:left w:val="single" w:color="auto" w:sz="4" w:space="0"/>
              <w:bottom w:val="single" w:color="auto" w:sz="4" w:space="0"/>
              <w:right w:val="single" w:color="auto" w:sz="4" w:space="0"/>
              <w:tl2br w:val="nil"/>
              <w:tr2bl w:val="nil"/>
            </w:tcBorders>
            <w:vAlign w:val="center"/>
          </w:tcPr>
          <w:p w14:paraId="4004F967">
            <w:pPr>
              <w:spacing w:beforeLines="0" w:afterLines="0" w:line="480" w:lineRule="exact"/>
              <w:jc w:val="center"/>
              <w:rPr>
                <w:rFonts w:hint="eastAsia" w:ascii="宋体" w:hAnsi="宋体" w:cs="宋体"/>
                <w:color w:val="auto"/>
                <w:kern w:val="0"/>
                <w:sz w:val="24"/>
                <w:szCs w:val="24"/>
                <w:highlight w:val="none"/>
              </w:rPr>
            </w:pP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1668BFD0">
            <w:pPr>
              <w:spacing w:beforeLines="0" w:afterLines="0" w:line="480" w:lineRule="exact"/>
              <w:jc w:val="center"/>
              <w:rPr>
                <w:rFonts w:hint="eastAsia" w:ascii="宋体" w:hAnsi="宋体" w:cs="宋体"/>
                <w:color w:val="auto"/>
                <w:kern w:val="0"/>
                <w:sz w:val="24"/>
                <w:szCs w:val="24"/>
                <w:highlight w:val="none"/>
              </w:rPr>
            </w:pPr>
          </w:p>
        </w:tc>
        <w:tc>
          <w:tcPr>
            <w:tcW w:w="940" w:type="dxa"/>
            <w:tcBorders>
              <w:top w:val="single" w:color="auto" w:sz="4" w:space="0"/>
              <w:left w:val="single" w:color="auto" w:sz="4" w:space="0"/>
              <w:bottom w:val="single" w:color="auto" w:sz="4" w:space="0"/>
              <w:right w:val="single" w:color="auto" w:sz="4" w:space="0"/>
              <w:tl2br w:val="nil"/>
              <w:tr2bl w:val="nil"/>
            </w:tcBorders>
            <w:vAlign w:val="center"/>
          </w:tcPr>
          <w:p w14:paraId="07070532">
            <w:pPr>
              <w:spacing w:beforeLines="0" w:afterLines="0" w:line="480" w:lineRule="exact"/>
              <w:jc w:val="center"/>
              <w:rPr>
                <w:rFonts w:hint="eastAsia" w:ascii="宋体" w:hAnsi="宋体" w:cs="宋体"/>
                <w:color w:val="auto"/>
                <w:kern w:val="0"/>
                <w:sz w:val="24"/>
                <w:szCs w:val="24"/>
                <w:highlight w:val="none"/>
              </w:rPr>
            </w:pPr>
          </w:p>
        </w:tc>
        <w:tc>
          <w:tcPr>
            <w:tcW w:w="2309" w:type="dxa"/>
            <w:tcBorders>
              <w:top w:val="single" w:color="auto" w:sz="4" w:space="0"/>
              <w:left w:val="single" w:color="auto" w:sz="4" w:space="0"/>
              <w:bottom w:val="single" w:color="auto" w:sz="4" w:space="0"/>
              <w:right w:val="single" w:color="auto" w:sz="4" w:space="0"/>
              <w:tl2br w:val="nil"/>
              <w:tr2bl w:val="nil"/>
            </w:tcBorders>
            <w:vAlign w:val="center"/>
          </w:tcPr>
          <w:p w14:paraId="2145BA59">
            <w:pPr>
              <w:spacing w:beforeLines="0" w:afterLines="0" w:line="480" w:lineRule="exact"/>
              <w:jc w:val="center"/>
              <w:rPr>
                <w:rFonts w:hint="eastAsia" w:ascii="宋体" w:hAnsi="宋体" w:cs="宋体"/>
                <w:color w:val="auto"/>
                <w:kern w:val="0"/>
                <w:sz w:val="24"/>
                <w:szCs w:val="24"/>
                <w:highlight w:val="none"/>
              </w:rPr>
            </w:pPr>
          </w:p>
        </w:tc>
      </w:tr>
    </w:tbl>
    <w:p w14:paraId="63BF2FE9">
      <w:pPr>
        <w:widowControl/>
        <w:spacing w:beforeLines="0" w:afterLines="0" w:line="360" w:lineRule="auto"/>
        <w:jc w:val="left"/>
        <w:rPr>
          <w:rFonts w:hint="eastAsia" w:ascii="宋体" w:hAnsi="宋体" w:cs="宋体"/>
          <w:b/>
          <w:color w:val="auto"/>
          <w:kern w:val="0"/>
          <w:sz w:val="24"/>
          <w:szCs w:val="24"/>
          <w:highlight w:val="none"/>
        </w:rPr>
        <w:sectPr>
          <w:pgSz w:w="16838" w:h="11906" w:orient="landscape"/>
          <w:pgMar w:top="1803" w:right="1440" w:bottom="1438" w:left="1440" w:header="851" w:footer="992" w:gutter="0"/>
          <w:lnNumType w:countBy="0" w:distance="360"/>
          <w:pgNumType w:fmt="decimal"/>
          <w:cols w:space="720" w:num="1"/>
          <w:docGrid w:linePitch="312" w:charSpace="0"/>
        </w:sectPr>
      </w:pPr>
    </w:p>
    <w:p w14:paraId="4824BA94">
      <w:pPr>
        <w:pageBreakBefore/>
        <w:spacing w:beforeLines="0" w:afterLines="0" w:line="500" w:lineRule="exact"/>
        <w:jc w:val="center"/>
        <w:outlineLvl w:val="0"/>
        <w:rPr>
          <w:rFonts w:hint="eastAsia" w:ascii="宋体" w:hAnsi="宋体" w:cs="宋体"/>
          <w:b/>
          <w:color w:val="auto"/>
          <w:kern w:val="44"/>
          <w:sz w:val="24"/>
          <w:szCs w:val="24"/>
          <w:highlight w:val="none"/>
        </w:rPr>
      </w:pPr>
      <w:bookmarkStart w:id="315" w:name="_Toc422322559"/>
      <w:bookmarkStart w:id="316" w:name="_Toc141198750"/>
      <w:bookmarkStart w:id="317" w:name="_Toc419045128"/>
      <w:r>
        <w:rPr>
          <w:rFonts w:hint="eastAsia" w:ascii="宋体" w:hAnsi="宋体" w:cs="宋体"/>
          <w:b/>
          <w:color w:val="auto"/>
          <w:kern w:val="44"/>
          <w:sz w:val="24"/>
          <w:szCs w:val="24"/>
          <w:highlight w:val="none"/>
        </w:rPr>
        <w:t>附录C　委托人提供资料一览表</w:t>
      </w:r>
      <w:bookmarkEnd w:id="315"/>
      <w:bookmarkEnd w:id="316"/>
      <w:bookmarkEnd w:id="317"/>
    </w:p>
    <w:tbl>
      <w:tblPr>
        <w:tblStyle w:val="32"/>
        <w:tblW w:w="7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5175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4F2C5548">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2F8BEC9D">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份数</w:t>
            </w: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1982C109">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提供时间</w:t>
            </w: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276D42D2">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09A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53E1F9A4">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355B4993">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123A2EAD">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00C448D">
            <w:pPr>
              <w:spacing w:beforeLines="0" w:afterLines="0" w:line="500" w:lineRule="exact"/>
              <w:jc w:val="center"/>
              <w:rPr>
                <w:rFonts w:hint="eastAsia" w:ascii="宋体" w:hAnsi="宋体" w:cs="宋体"/>
                <w:color w:val="auto"/>
                <w:kern w:val="0"/>
                <w:sz w:val="24"/>
                <w:szCs w:val="24"/>
                <w:highlight w:val="none"/>
              </w:rPr>
            </w:pPr>
          </w:p>
        </w:tc>
      </w:tr>
      <w:tr w14:paraId="6EE8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18758553">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6DF10EB9">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054149FC">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E581408">
            <w:pPr>
              <w:spacing w:beforeLines="0" w:afterLines="0" w:line="500" w:lineRule="exact"/>
              <w:jc w:val="center"/>
              <w:rPr>
                <w:rFonts w:hint="eastAsia" w:ascii="宋体" w:hAnsi="宋体" w:cs="宋体"/>
                <w:color w:val="auto"/>
                <w:kern w:val="0"/>
                <w:sz w:val="24"/>
                <w:szCs w:val="24"/>
                <w:highlight w:val="none"/>
              </w:rPr>
            </w:pPr>
          </w:p>
        </w:tc>
      </w:tr>
      <w:tr w14:paraId="7D60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42588A03">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32358C4E">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5DB1452D">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69FB5E47">
            <w:pPr>
              <w:spacing w:beforeLines="0" w:afterLines="0" w:line="500" w:lineRule="exact"/>
              <w:jc w:val="center"/>
              <w:rPr>
                <w:rFonts w:hint="eastAsia" w:ascii="宋体" w:hAnsi="宋体" w:cs="宋体"/>
                <w:color w:val="auto"/>
                <w:kern w:val="0"/>
                <w:sz w:val="24"/>
                <w:szCs w:val="24"/>
                <w:highlight w:val="none"/>
              </w:rPr>
            </w:pPr>
          </w:p>
        </w:tc>
      </w:tr>
      <w:tr w14:paraId="08D5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3F1FCC86">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3EE6F579">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365EE3EC">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0C81F0B2">
            <w:pPr>
              <w:spacing w:beforeLines="0" w:afterLines="0" w:line="500" w:lineRule="exact"/>
              <w:jc w:val="center"/>
              <w:rPr>
                <w:rFonts w:hint="eastAsia" w:ascii="宋体" w:hAnsi="宋体" w:cs="宋体"/>
                <w:color w:val="auto"/>
                <w:kern w:val="0"/>
                <w:sz w:val="24"/>
                <w:szCs w:val="24"/>
                <w:highlight w:val="none"/>
              </w:rPr>
            </w:pPr>
          </w:p>
        </w:tc>
      </w:tr>
      <w:tr w14:paraId="23A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0752CB02">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49FB87EB">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7AED8232">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53274C14">
            <w:pPr>
              <w:spacing w:beforeLines="0" w:afterLines="0" w:line="500" w:lineRule="exact"/>
              <w:jc w:val="center"/>
              <w:rPr>
                <w:rFonts w:hint="eastAsia" w:ascii="宋体" w:hAnsi="宋体" w:cs="宋体"/>
                <w:color w:val="auto"/>
                <w:kern w:val="0"/>
                <w:sz w:val="24"/>
                <w:szCs w:val="24"/>
                <w:highlight w:val="none"/>
              </w:rPr>
            </w:pPr>
          </w:p>
        </w:tc>
      </w:tr>
      <w:tr w14:paraId="43E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41A7FF60">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3CDA898C">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33E5572D">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5F72058">
            <w:pPr>
              <w:spacing w:beforeLines="0" w:afterLines="0" w:line="500" w:lineRule="exact"/>
              <w:jc w:val="center"/>
              <w:rPr>
                <w:rFonts w:hint="eastAsia" w:ascii="宋体" w:hAnsi="宋体" w:cs="宋体"/>
                <w:color w:val="auto"/>
                <w:kern w:val="0"/>
                <w:sz w:val="24"/>
                <w:szCs w:val="24"/>
                <w:highlight w:val="none"/>
              </w:rPr>
            </w:pPr>
          </w:p>
        </w:tc>
      </w:tr>
      <w:tr w14:paraId="1B8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51711A3C">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06B3BC83">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067F2112">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7E720017">
            <w:pPr>
              <w:spacing w:beforeLines="0" w:afterLines="0" w:line="500" w:lineRule="exact"/>
              <w:jc w:val="center"/>
              <w:rPr>
                <w:rFonts w:hint="eastAsia" w:ascii="宋体" w:hAnsi="宋体" w:cs="宋体"/>
                <w:color w:val="auto"/>
                <w:kern w:val="0"/>
                <w:sz w:val="24"/>
                <w:szCs w:val="24"/>
                <w:highlight w:val="none"/>
              </w:rPr>
            </w:pPr>
          </w:p>
        </w:tc>
      </w:tr>
      <w:tr w14:paraId="0EDC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14951837">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65666351">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6AE6369D">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7A0C49FF">
            <w:pPr>
              <w:spacing w:beforeLines="0" w:afterLines="0" w:line="500" w:lineRule="exact"/>
              <w:jc w:val="center"/>
              <w:rPr>
                <w:rFonts w:hint="eastAsia" w:ascii="宋体" w:hAnsi="宋体" w:cs="宋体"/>
                <w:color w:val="auto"/>
                <w:kern w:val="0"/>
                <w:sz w:val="24"/>
                <w:szCs w:val="24"/>
                <w:highlight w:val="none"/>
              </w:rPr>
            </w:pPr>
          </w:p>
        </w:tc>
      </w:tr>
      <w:tr w14:paraId="6833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03B3ED8C">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2A37D613">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61D9E849">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73F58A60">
            <w:pPr>
              <w:spacing w:beforeLines="0" w:afterLines="0" w:line="500" w:lineRule="exact"/>
              <w:jc w:val="center"/>
              <w:rPr>
                <w:rFonts w:hint="eastAsia" w:ascii="宋体" w:hAnsi="宋体" w:cs="宋体"/>
                <w:color w:val="auto"/>
                <w:kern w:val="0"/>
                <w:sz w:val="24"/>
                <w:szCs w:val="24"/>
                <w:highlight w:val="none"/>
              </w:rPr>
            </w:pPr>
          </w:p>
        </w:tc>
      </w:tr>
      <w:tr w14:paraId="26D8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64DBE3D1">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105675C2">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28BD59B5">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7E9906F6">
            <w:pPr>
              <w:spacing w:beforeLines="0" w:afterLines="0" w:line="500" w:lineRule="exact"/>
              <w:jc w:val="center"/>
              <w:rPr>
                <w:rFonts w:hint="eastAsia" w:ascii="宋体" w:hAnsi="宋体" w:cs="宋体"/>
                <w:color w:val="auto"/>
                <w:kern w:val="0"/>
                <w:sz w:val="24"/>
                <w:szCs w:val="24"/>
                <w:highlight w:val="none"/>
              </w:rPr>
            </w:pPr>
          </w:p>
        </w:tc>
      </w:tr>
      <w:tr w14:paraId="3E9E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37695205">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0A5D6A4F">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256DC086">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295DA549">
            <w:pPr>
              <w:spacing w:beforeLines="0" w:afterLines="0" w:line="500" w:lineRule="exact"/>
              <w:jc w:val="center"/>
              <w:rPr>
                <w:rFonts w:hint="eastAsia" w:ascii="宋体" w:hAnsi="宋体" w:cs="宋体"/>
                <w:color w:val="auto"/>
                <w:kern w:val="0"/>
                <w:sz w:val="24"/>
                <w:szCs w:val="24"/>
                <w:highlight w:val="none"/>
              </w:rPr>
            </w:pPr>
          </w:p>
        </w:tc>
      </w:tr>
      <w:tr w14:paraId="3D5D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2A7D82EF">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6F376FF6">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7D1E258B">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33008CC">
            <w:pPr>
              <w:spacing w:beforeLines="0" w:afterLines="0" w:line="500" w:lineRule="exact"/>
              <w:jc w:val="center"/>
              <w:rPr>
                <w:rFonts w:hint="eastAsia" w:ascii="宋体" w:hAnsi="宋体" w:cs="宋体"/>
                <w:color w:val="auto"/>
                <w:kern w:val="0"/>
                <w:sz w:val="24"/>
                <w:szCs w:val="24"/>
                <w:highlight w:val="none"/>
              </w:rPr>
            </w:pPr>
          </w:p>
        </w:tc>
      </w:tr>
      <w:tr w14:paraId="609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5116F752">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42477D2C">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0CC6F794">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2D40AAD6">
            <w:pPr>
              <w:spacing w:beforeLines="0" w:afterLines="0" w:line="500" w:lineRule="exact"/>
              <w:jc w:val="center"/>
              <w:rPr>
                <w:rFonts w:hint="eastAsia" w:ascii="宋体" w:hAnsi="宋体" w:cs="宋体"/>
                <w:color w:val="auto"/>
                <w:kern w:val="0"/>
                <w:sz w:val="24"/>
                <w:szCs w:val="24"/>
                <w:highlight w:val="none"/>
              </w:rPr>
            </w:pPr>
          </w:p>
        </w:tc>
      </w:tr>
      <w:tr w14:paraId="506F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27738C3A">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5B75B87E">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4B7D36BB">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2ABB6904">
            <w:pPr>
              <w:spacing w:beforeLines="0" w:afterLines="0" w:line="500" w:lineRule="exact"/>
              <w:jc w:val="center"/>
              <w:rPr>
                <w:rFonts w:hint="eastAsia" w:ascii="宋体" w:hAnsi="宋体" w:cs="宋体"/>
                <w:color w:val="auto"/>
                <w:kern w:val="0"/>
                <w:sz w:val="24"/>
                <w:szCs w:val="24"/>
                <w:highlight w:val="none"/>
              </w:rPr>
            </w:pPr>
          </w:p>
        </w:tc>
      </w:tr>
      <w:tr w14:paraId="0AE6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221F676B">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5468D2EE">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628F9771">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1A29626">
            <w:pPr>
              <w:spacing w:beforeLines="0" w:afterLines="0" w:line="500" w:lineRule="exact"/>
              <w:jc w:val="center"/>
              <w:rPr>
                <w:rFonts w:hint="eastAsia" w:ascii="宋体" w:hAnsi="宋体" w:cs="宋体"/>
                <w:color w:val="auto"/>
                <w:kern w:val="0"/>
                <w:sz w:val="24"/>
                <w:szCs w:val="24"/>
                <w:highlight w:val="none"/>
              </w:rPr>
            </w:pPr>
          </w:p>
        </w:tc>
      </w:tr>
      <w:tr w14:paraId="7680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2377724A">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4FBEB151">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050CD508">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6099BB14">
            <w:pPr>
              <w:spacing w:beforeLines="0" w:afterLines="0" w:line="500" w:lineRule="exact"/>
              <w:jc w:val="center"/>
              <w:rPr>
                <w:rFonts w:hint="eastAsia" w:ascii="宋体" w:hAnsi="宋体" w:cs="宋体"/>
                <w:color w:val="auto"/>
                <w:kern w:val="0"/>
                <w:sz w:val="24"/>
                <w:szCs w:val="24"/>
                <w:highlight w:val="none"/>
              </w:rPr>
            </w:pPr>
          </w:p>
        </w:tc>
      </w:tr>
      <w:tr w14:paraId="014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14FBF2B7">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50D215DB">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14318FF0">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4FAF3AC3">
            <w:pPr>
              <w:spacing w:beforeLines="0" w:afterLines="0" w:line="500" w:lineRule="exact"/>
              <w:jc w:val="center"/>
              <w:rPr>
                <w:rFonts w:hint="eastAsia" w:ascii="宋体" w:hAnsi="宋体" w:cs="宋体"/>
                <w:color w:val="auto"/>
                <w:kern w:val="0"/>
                <w:sz w:val="24"/>
                <w:szCs w:val="24"/>
                <w:highlight w:val="none"/>
              </w:rPr>
            </w:pPr>
          </w:p>
        </w:tc>
      </w:tr>
      <w:tr w14:paraId="5208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63CCF551">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12391AC7">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23A49C66">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510E15A2">
            <w:pPr>
              <w:spacing w:beforeLines="0" w:afterLines="0" w:line="500" w:lineRule="exact"/>
              <w:jc w:val="center"/>
              <w:rPr>
                <w:rFonts w:hint="eastAsia" w:ascii="宋体" w:hAnsi="宋体" w:cs="宋体"/>
                <w:color w:val="auto"/>
                <w:kern w:val="0"/>
                <w:sz w:val="24"/>
                <w:szCs w:val="24"/>
                <w:highlight w:val="none"/>
              </w:rPr>
            </w:pPr>
          </w:p>
        </w:tc>
      </w:tr>
      <w:tr w14:paraId="48F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41A1A846">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76416202">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61F89E30">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097F6205">
            <w:pPr>
              <w:spacing w:beforeLines="0" w:afterLines="0" w:line="500" w:lineRule="exact"/>
              <w:jc w:val="center"/>
              <w:rPr>
                <w:rFonts w:hint="eastAsia" w:ascii="宋体" w:hAnsi="宋体" w:cs="宋体"/>
                <w:color w:val="auto"/>
                <w:kern w:val="0"/>
                <w:sz w:val="24"/>
                <w:szCs w:val="24"/>
                <w:highlight w:val="none"/>
              </w:rPr>
            </w:pPr>
          </w:p>
        </w:tc>
      </w:tr>
      <w:tr w14:paraId="6558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3A86316D">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02D7988F">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65B0AF08">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240C9B96">
            <w:pPr>
              <w:spacing w:beforeLines="0" w:afterLines="0" w:line="500" w:lineRule="exact"/>
              <w:jc w:val="center"/>
              <w:rPr>
                <w:rFonts w:hint="eastAsia" w:ascii="宋体" w:hAnsi="宋体" w:cs="宋体"/>
                <w:color w:val="auto"/>
                <w:kern w:val="0"/>
                <w:sz w:val="24"/>
                <w:szCs w:val="24"/>
                <w:highlight w:val="none"/>
              </w:rPr>
            </w:pPr>
          </w:p>
        </w:tc>
      </w:tr>
      <w:tr w14:paraId="28A9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478BE34B">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72B8322C">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431263F6">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49EBD398">
            <w:pPr>
              <w:spacing w:beforeLines="0" w:afterLines="0" w:line="500" w:lineRule="exact"/>
              <w:jc w:val="center"/>
              <w:rPr>
                <w:rFonts w:hint="eastAsia" w:ascii="宋体" w:hAnsi="宋体" w:cs="宋体"/>
                <w:color w:val="auto"/>
                <w:kern w:val="0"/>
                <w:sz w:val="24"/>
                <w:szCs w:val="24"/>
                <w:highlight w:val="none"/>
              </w:rPr>
            </w:pPr>
          </w:p>
        </w:tc>
      </w:tr>
      <w:tr w14:paraId="0F9B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2D883688">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30CA264A">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2A48470B">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3550B63D">
            <w:pPr>
              <w:spacing w:beforeLines="0" w:afterLines="0" w:line="500" w:lineRule="exact"/>
              <w:jc w:val="center"/>
              <w:rPr>
                <w:rFonts w:hint="eastAsia" w:ascii="宋体" w:hAnsi="宋体" w:cs="宋体"/>
                <w:color w:val="auto"/>
                <w:kern w:val="0"/>
                <w:sz w:val="24"/>
                <w:szCs w:val="24"/>
                <w:highlight w:val="none"/>
              </w:rPr>
            </w:pPr>
          </w:p>
        </w:tc>
      </w:tr>
      <w:tr w14:paraId="3022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35527408">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43533458">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212A7BF2">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6ABF8F7E">
            <w:pPr>
              <w:spacing w:beforeLines="0" w:afterLines="0" w:line="500" w:lineRule="exact"/>
              <w:jc w:val="center"/>
              <w:rPr>
                <w:rFonts w:hint="eastAsia" w:ascii="宋体" w:hAnsi="宋体" w:cs="宋体"/>
                <w:color w:val="auto"/>
                <w:kern w:val="0"/>
                <w:sz w:val="24"/>
                <w:szCs w:val="24"/>
                <w:highlight w:val="none"/>
              </w:rPr>
            </w:pPr>
          </w:p>
        </w:tc>
      </w:tr>
      <w:tr w14:paraId="664F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Borders>
              <w:top w:val="single" w:color="auto" w:sz="4" w:space="0"/>
              <w:left w:val="single" w:color="auto" w:sz="4" w:space="0"/>
              <w:bottom w:val="single" w:color="auto" w:sz="4" w:space="0"/>
              <w:right w:val="single" w:color="auto" w:sz="4" w:space="0"/>
              <w:tl2br w:val="nil"/>
              <w:tr2bl w:val="nil"/>
            </w:tcBorders>
            <w:vAlign w:val="center"/>
          </w:tcPr>
          <w:p w14:paraId="68793F87">
            <w:pPr>
              <w:spacing w:beforeLines="0" w:afterLines="0" w:line="500" w:lineRule="exact"/>
              <w:jc w:val="center"/>
              <w:rPr>
                <w:rFonts w:hint="eastAsia" w:ascii="宋体" w:hAnsi="宋体" w:cs="宋体"/>
                <w:color w:val="auto"/>
                <w:kern w:val="0"/>
                <w:sz w:val="24"/>
                <w:szCs w:val="24"/>
                <w:highlight w:val="none"/>
              </w:rPr>
            </w:pPr>
          </w:p>
        </w:tc>
        <w:tc>
          <w:tcPr>
            <w:tcW w:w="837" w:type="dxa"/>
            <w:tcBorders>
              <w:top w:val="single" w:color="auto" w:sz="4" w:space="0"/>
              <w:left w:val="single" w:color="auto" w:sz="4" w:space="0"/>
              <w:bottom w:val="single" w:color="auto" w:sz="4" w:space="0"/>
              <w:right w:val="single" w:color="auto" w:sz="4" w:space="0"/>
              <w:tl2br w:val="nil"/>
              <w:tr2bl w:val="nil"/>
            </w:tcBorders>
            <w:vAlign w:val="center"/>
          </w:tcPr>
          <w:p w14:paraId="2B392187">
            <w:pPr>
              <w:spacing w:beforeLines="0" w:afterLines="0" w:line="500" w:lineRule="exact"/>
              <w:jc w:val="center"/>
              <w:rPr>
                <w:rFonts w:hint="eastAsia" w:ascii="宋体" w:hAnsi="宋体" w:cs="宋体"/>
                <w:color w:val="auto"/>
                <w:kern w:val="0"/>
                <w:sz w:val="24"/>
                <w:szCs w:val="24"/>
                <w:highlight w:val="none"/>
              </w:rPr>
            </w:pPr>
          </w:p>
        </w:tc>
        <w:tc>
          <w:tcPr>
            <w:tcW w:w="1338" w:type="dxa"/>
            <w:tcBorders>
              <w:top w:val="single" w:color="auto" w:sz="4" w:space="0"/>
              <w:left w:val="single" w:color="auto" w:sz="4" w:space="0"/>
              <w:bottom w:val="single" w:color="auto" w:sz="4" w:space="0"/>
              <w:right w:val="single" w:color="auto" w:sz="4" w:space="0"/>
              <w:tl2br w:val="nil"/>
              <w:tr2bl w:val="nil"/>
            </w:tcBorders>
            <w:vAlign w:val="center"/>
          </w:tcPr>
          <w:p w14:paraId="4DDCE696">
            <w:pPr>
              <w:spacing w:beforeLines="0" w:afterLines="0" w:line="500" w:lineRule="exact"/>
              <w:jc w:val="center"/>
              <w:rPr>
                <w:rFonts w:hint="eastAsia" w:ascii="宋体" w:hAnsi="宋体" w:cs="宋体"/>
                <w:color w:val="auto"/>
                <w:kern w:val="0"/>
                <w:sz w:val="24"/>
                <w:szCs w:val="24"/>
                <w:highlight w:val="none"/>
              </w:rPr>
            </w:pPr>
          </w:p>
        </w:tc>
        <w:tc>
          <w:tcPr>
            <w:tcW w:w="2207" w:type="dxa"/>
            <w:tcBorders>
              <w:top w:val="single" w:color="auto" w:sz="4" w:space="0"/>
              <w:left w:val="single" w:color="auto" w:sz="4" w:space="0"/>
              <w:bottom w:val="single" w:color="auto" w:sz="4" w:space="0"/>
              <w:right w:val="single" w:color="auto" w:sz="4" w:space="0"/>
              <w:tl2br w:val="nil"/>
              <w:tr2bl w:val="nil"/>
            </w:tcBorders>
            <w:vAlign w:val="center"/>
          </w:tcPr>
          <w:p w14:paraId="5BC157D2">
            <w:pPr>
              <w:spacing w:beforeLines="0" w:afterLines="0" w:line="500" w:lineRule="exact"/>
              <w:jc w:val="center"/>
              <w:rPr>
                <w:rFonts w:hint="eastAsia" w:ascii="宋体" w:hAnsi="宋体" w:cs="宋体"/>
                <w:color w:val="auto"/>
                <w:kern w:val="0"/>
                <w:sz w:val="24"/>
                <w:szCs w:val="24"/>
                <w:highlight w:val="none"/>
              </w:rPr>
            </w:pPr>
          </w:p>
        </w:tc>
      </w:tr>
    </w:tbl>
    <w:p w14:paraId="3EDA2F79">
      <w:pPr>
        <w:keepNext/>
        <w:keepLines/>
        <w:widowControl/>
        <w:spacing w:beforeLines="0" w:afterLines="0" w:line="578" w:lineRule="auto"/>
        <w:jc w:val="center"/>
        <w:outlineLvl w:val="0"/>
        <w:rPr>
          <w:rFonts w:hint="eastAsia" w:ascii="宋体" w:hAnsi="宋体" w:cs="宋体"/>
          <w:b/>
          <w:color w:val="auto"/>
          <w:kern w:val="44"/>
          <w:sz w:val="24"/>
          <w:szCs w:val="24"/>
          <w:highlight w:val="none"/>
        </w:rPr>
        <w:sectPr>
          <w:pgSz w:w="11906" w:h="16838"/>
          <w:pgMar w:top="1440" w:right="1800" w:bottom="1440" w:left="1800" w:header="851" w:footer="992" w:gutter="0"/>
          <w:lnNumType w:countBy="0" w:distance="360"/>
          <w:pgNumType w:fmt="decimal"/>
          <w:cols w:space="720" w:num="1"/>
          <w:docGrid w:linePitch="312" w:charSpace="0"/>
        </w:sectPr>
      </w:pPr>
      <w:bookmarkStart w:id="318" w:name="_Toc419045129"/>
    </w:p>
    <w:p w14:paraId="12F68CE1">
      <w:pPr>
        <w:pageBreakBefore/>
        <w:spacing w:beforeLines="0" w:afterLines="0" w:line="500" w:lineRule="exact"/>
        <w:jc w:val="center"/>
        <w:outlineLvl w:val="0"/>
        <w:rPr>
          <w:rFonts w:hint="eastAsia" w:ascii="宋体" w:hAnsi="宋体" w:cs="宋体"/>
          <w:b/>
          <w:color w:val="auto"/>
          <w:kern w:val="44"/>
          <w:sz w:val="24"/>
          <w:szCs w:val="24"/>
          <w:highlight w:val="none"/>
        </w:rPr>
      </w:pPr>
      <w:bookmarkStart w:id="319" w:name="_Toc141198751"/>
      <w:bookmarkStart w:id="320" w:name="_Toc422322560"/>
      <w:r>
        <w:rPr>
          <w:rFonts w:hint="eastAsia" w:ascii="宋体" w:hAnsi="宋体" w:cs="宋体"/>
          <w:b/>
          <w:color w:val="auto"/>
          <w:kern w:val="44"/>
          <w:sz w:val="24"/>
          <w:szCs w:val="24"/>
          <w:highlight w:val="none"/>
        </w:rPr>
        <w:t>附录D 委托人提供房屋及设备一览表</w:t>
      </w:r>
      <w:bookmarkEnd w:id="318"/>
      <w:bookmarkEnd w:id="319"/>
      <w:bookmarkEnd w:id="320"/>
    </w:p>
    <w:tbl>
      <w:tblPr>
        <w:tblStyle w:val="32"/>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929"/>
        <w:gridCol w:w="2368"/>
        <w:gridCol w:w="2006"/>
      </w:tblGrid>
      <w:tr w14:paraId="26F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31DE088D">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68CB260C">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67FAFF8F">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面积、型号及规格</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0658913">
            <w:pPr>
              <w:spacing w:beforeLines="0" w:afterLines="0" w:line="500" w:lineRule="exact"/>
              <w:ind w:left="0" w:leftChars="0" w:firstLine="0" w:firstLine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提供时间</w:t>
            </w:r>
          </w:p>
        </w:tc>
      </w:tr>
      <w:tr w14:paraId="4AE4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7BA37905">
            <w:pPr>
              <w:spacing w:beforeLines="0" w:afterLines="0" w:line="5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358502B9">
            <w:pPr>
              <w:spacing w:beforeLines="0" w:afterLines="0" w:line="5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6E868598">
            <w:pPr>
              <w:spacing w:beforeLines="0" w:afterLines="0" w:line="500" w:lineRule="exact"/>
              <w:ind w:firstLine="120" w:firstLine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DAD7E53">
            <w:pPr>
              <w:spacing w:beforeLines="0" w:afterLines="0" w:line="5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r>
      <w:tr w14:paraId="0A08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5B4D99CD">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4C65A65E">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7D584A1A">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52BDDA33">
            <w:pPr>
              <w:spacing w:beforeLines="0" w:afterLines="0" w:line="500" w:lineRule="exact"/>
              <w:jc w:val="center"/>
              <w:rPr>
                <w:rFonts w:hint="eastAsia" w:ascii="宋体" w:hAnsi="宋体" w:cs="宋体"/>
                <w:color w:val="auto"/>
                <w:kern w:val="0"/>
                <w:sz w:val="24"/>
                <w:szCs w:val="24"/>
                <w:highlight w:val="none"/>
              </w:rPr>
            </w:pPr>
          </w:p>
        </w:tc>
      </w:tr>
      <w:tr w14:paraId="3FEF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30C8E8D6">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271EAF85">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1CC2D9DB">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5053301B">
            <w:pPr>
              <w:spacing w:beforeLines="0" w:afterLines="0" w:line="500" w:lineRule="exact"/>
              <w:jc w:val="center"/>
              <w:rPr>
                <w:rFonts w:hint="eastAsia" w:ascii="宋体" w:hAnsi="宋体" w:cs="宋体"/>
                <w:color w:val="auto"/>
                <w:kern w:val="0"/>
                <w:sz w:val="24"/>
                <w:szCs w:val="24"/>
                <w:highlight w:val="none"/>
              </w:rPr>
            </w:pPr>
          </w:p>
        </w:tc>
      </w:tr>
      <w:tr w14:paraId="1FED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77FCEE42">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234C73C2">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06DA5F39">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5772042D">
            <w:pPr>
              <w:spacing w:beforeLines="0" w:afterLines="0" w:line="500" w:lineRule="exact"/>
              <w:jc w:val="center"/>
              <w:rPr>
                <w:rFonts w:hint="eastAsia" w:ascii="宋体" w:hAnsi="宋体" w:cs="宋体"/>
                <w:color w:val="auto"/>
                <w:kern w:val="0"/>
                <w:sz w:val="24"/>
                <w:szCs w:val="24"/>
                <w:highlight w:val="none"/>
              </w:rPr>
            </w:pPr>
          </w:p>
        </w:tc>
      </w:tr>
      <w:tr w14:paraId="008F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6ACD6F70">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2509B5D7">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76FE949C">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2827F23">
            <w:pPr>
              <w:spacing w:beforeLines="0" w:afterLines="0" w:line="500" w:lineRule="exact"/>
              <w:jc w:val="center"/>
              <w:rPr>
                <w:rFonts w:hint="eastAsia" w:ascii="宋体" w:hAnsi="宋体" w:cs="宋体"/>
                <w:color w:val="auto"/>
                <w:kern w:val="0"/>
                <w:sz w:val="24"/>
                <w:szCs w:val="24"/>
                <w:highlight w:val="none"/>
              </w:rPr>
            </w:pPr>
          </w:p>
        </w:tc>
      </w:tr>
      <w:tr w14:paraId="3EC4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12044A6">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7C6FF665">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80A51E0">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79AD18F">
            <w:pPr>
              <w:spacing w:beforeLines="0" w:afterLines="0" w:line="500" w:lineRule="exact"/>
              <w:jc w:val="center"/>
              <w:rPr>
                <w:rFonts w:hint="eastAsia" w:ascii="宋体" w:hAnsi="宋体" w:cs="宋体"/>
                <w:color w:val="auto"/>
                <w:kern w:val="0"/>
                <w:sz w:val="24"/>
                <w:szCs w:val="24"/>
                <w:highlight w:val="none"/>
              </w:rPr>
            </w:pPr>
          </w:p>
        </w:tc>
      </w:tr>
      <w:tr w14:paraId="147A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4514BAEE">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1F766EB4">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70FD078A">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CFD400D">
            <w:pPr>
              <w:spacing w:beforeLines="0" w:afterLines="0" w:line="500" w:lineRule="exact"/>
              <w:jc w:val="center"/>
              <w:rPr>
                <w:rFonts w:hint="eastAsia" w:ascii="宋体" w:hAnsi="宋体" w:cs="宋体"/>
                <w:color w:val="auto"/>
                <w:kern w:val="0"/>
                <w:sz w:val="24"/>
                <w:szCs w:val="24"/>
                <w:highlight w:val="none"/>
              </w:rPr>
            </w:pPr>
          </w:p>
        </w:tc>
      </w:tr>
      <w:tr w14:paraId="29D8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FA15E05">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6715D38D">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37FE3A07">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2DC8F208">
            <w:pPr>
              <w:spacing w:beforeLines="0" w:afterLines="0" w:line="500" w:lineRule="exact"/>
              <w:jc w:val="center"/>
              <w:rPr>
                <w:rFonts w:hint="eastAsia" w:ascii="宋体" w:hAnsi="宋体" w:cs="宋体"/>
                <w:color w:val="auto"/>
                <w:kern w:val="0"/>
                <w:sz w:val="24"/>
                <w:szCs w:val="24"/>
                <w:highlight w:val="none"/>
              </w:rPr>
            </w:pPr>
          </w:p>
        </w:tc>
      </w:tr>
      <w:tr w14:paraId="6EEC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915F3A9">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5D599E5E">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03DABA0B">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799C516">
            <w:pPr>
              <w:spacing w:beforeLines="0" w:afterLines="0" w:line="500" w:lineRule="exact"/>
              <w:jc w:val="center"/>
              <w:rPr>
                <w:rFonts w:hint="eastAsia" w:ascii="宋体" w:hAnsi="宋体" w:cs="宋体"/>
                <w:color w:val="auto"/>
                <w:kern w:val="0"/>
                <w:sz w:val="24"/>
                <w:szCs w:val="24"/>
                <w:highlight w:val="none"/>
              </w:rPr>
            </w:pPr>
          </w:p>
        </w:tc>
      </w:tr>
      <w:tr w14:paraId="5A04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8387087">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025C4CEB">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6A5E91F7">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4CE307BC">
            <w:pPr>
              <w:spacing w:beforeLines="0" w:afterLines="0" w:line="500" w:lineRule="exact"/>
              <w:jc w:val="center"/>
              <w:rPr>
                <w:rFonts w:hint="eastAsia" w:ascii="宋体" w:hAnsi="宋体" w:cs="宋体"/>
                <w:color w:val="auto"/>
                <w:kern w:val="0"/>
                <w:sz w:val="24"/>
                <w:szCs w:val="24"/>
                <w:highlight w:val="none"/>
              </w:rPr>
            </w:pPr>
          </w:p>
        </w:tc>
      </w:tr>
      <w:tr w14:paraId="35FA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6B6B94B">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2FF915C2">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63BC924E">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AE412D2">
            <w:pPr>
              <w:spacing w:beforeLines="0" w:afterLines="0" w:line="500" w:lineRule="exact"/>
              <w:jc w:val="center"/>
              <w:rPr>
                <w:rFonts w:hint="eastAsia" w:ascii="宋体" w:hAnsi="宋体" w:cs="宋体"/>
                <w:color w:val="auto"/>
                <w:kern w:val="0"/>
                <w:sz w:val="24"/>
                <w:szCs w:val="24"/>
                <w:highlight w:val="none"/>
              </w:rPr>
            </w:pPr>
          </w:p>
        </w:tc>
      </w:tr>
      <w:tr w14:paraId="39F1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18E166E4">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23D62EC3">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78318845">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C05AF1C">
            <w:pPr>
              <w:spacing w:beforeLines="0" w:afterLines="0" w:line="500" w:lineRule="exact"/>
              <w:jc w:val="center"/>
              <w:rPr>
                <w:rFonts w:hint="eastAsia" w:ascii="宋体" w:hAnsi="宋体" w:cs="宋体"/>
                <w:color w:val="auto"/>
                <w:kern w:val="0"/>
                <w:sz w:val="24"/>
                <w:szCs w:val="24"/>
                <w:highlight w:val="none"/>
              </w:rPr>
            </w:pPr>
          </w:p>
        </w:tc>
      </w:tr>
      <w:tr w14:paraId="3F8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433EA76F">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30EB5C24">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41912F82">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A9C04E3">
            <w:pPr>
              <w:spacing w:beforeLines="0" w:afterLines="0" w:line="500" w:lineRule="exact"/>
              <w:jc w:val="center"/>
              <w:rPr>
                <w:rFonts w:hint="eastAsia" w:ascii="宋体" w:hAnsi="宋体" w:cs="宋体"/>
                <w:color w:val="auto"/>
                <w:kern w:val="0"/>
                <w:sz w:val="24"/>
                <w:szCs w:val="24"/>
                <w:highlight w:val="none"/>
              </w:rPr>
            </w:pPr>
          </w:p>
        </w:tc>
      </w:tr>
      <w:tr w14:paraId="200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3A726BDE">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64301230">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77E04B2">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6F65F747">
            <w:pPr>
              <w:spacing w:beforeLines="0" w:afterLines="0" w:line="500" w:lineRule="exact"/>
              <w:jc w:val="center"/>
              <w:rPr>
                <w:rFonts w:hint="eastAsia" w:ascii="宋体" w:hAnsi="宋体" w:cs="宋体"/>
                <w:color w:val="auto"/>
                <w:kern w:val="0"/>
                <w:sz w:val="24"/>
                <w:szCs w:val="24"/>
                <w:highlight w:val="none"/>
              </w:rPr>
            </w:pPr>
          </w:p>
        </w:tc>
      </w:tr>
      <w:tr w14:paraId="29E9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3CE5B55F">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5AB8941E">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BE839FD">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290A93AE">
            <w:pPr>
              <w:spacing w:beforeLines="0" w:afterLines="0" w:line="500" w:lineRule="exact"/>
              <w:jc w:val="center"/>
              <w:rPr>
                <w:rFonts w:hint="eastAsia" w:ascii="宋体" w:hAnsi="宋体" w:cs="宋体"/>
                <w:color w:val="auto"/>
                <w:kern w:val="0"/>
                <w:sz w:val="24"/>
                <w:szCs w:val="24"/>
                <w:highlight w:val="none"/>
              </w:rPr>
            </w:pPr>
          </w:p>
        </w:tc>
      </w:tr>
      <w:tr w14:paraId="4CA7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18A63E40">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471B1757">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306AF694">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50D347CF">
            <w:pPr>
              <w:spacing w:beforeLines="0" w:afterLines="0" w:line="500" w:lineRule="exact"/>
              <w:jc w:val="center"/>
              <w:rPr>
                <w:rFonts w:hint="eastAsia" w:ascii="宋体" w:hAnsi="宋体" w:cs="宋体"/>
                <w:color w:val="auto"/>
                <w:kern w:val="0"/>
                <w:sz w:val="24"/>
                <w:szCs w:val="24"/>
                <w:highlight w:val="none"/>
              </w:rPr>
            </w:pPr>
          </w:p>
        </w:tc>
      </w:tr>
      <w:tr w14:paraId="022B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3AC90111">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4D2F8FF4">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088B6F22">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3190A527">
            <w:pPr>
              <w:spacing w:beforeLines="0" w:afterLines="0" w:line="500" w:lineRule="exact"/>
              <w:jc w:val="center"/>
              <w:rPr>
                <w:rFonts w:hint="eastAsia" w:ascii="宋体" w:hAnsi="宋体" w:cs="宋体"/>
                <w:color w:val="auto"/>
                <w:kern w:val="0"/>
                <w:sz w:val="24"/>
                <w:szCs w:val="24"/>
                <w:highlight w:val="none"/>
              </w:rPr>
            </w:pPr>
          </w:p>
        </w:tc>
      </w:tr>
      <w:tr w14:paraId="1C65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642F8C64">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072BDA36">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0D7C971">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68F09A78">
            <w:pPr>
              <w:spacing w:beforeLines="0" w:afterLines="0" w:line="500" w:lineRule="exact"/>
              <w:jc w:val="center"/>
              <w:rPr>
                <w:rFonts w:hint="eastAsia" w:ascii="宋体" w:hAnsi="宋体" w:cs="宋体"/>
                <w:color w:val="auto"/>
                <w:kern w:val="0"/>
                <w:sz w:val="24"/>
                <w:szCs w:val="24"/>
                <w:highlight w:val="none"/>
              </w:rPr>
            </w:pPr>
          </w:p>
        </w:tc>
      </w:tr>
      <w:tr w14:paraId="2E47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E98DB86">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5457E426">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015EC9AB">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446746B3">
            <w:pPr>
              <w:spacing w:beforeLines="0" w:afterLines="0" w:line="500" w:lineRule="exact"/>
              <w:jc w:val="center"/>
              <w:rPr>
                <w:rFonts w:hint="eastAsia" w:ascii="宋体" w:hAnsi="宋体" w:cs="宋体"/>
                <w:color w:val="auto"/>
                <w:kern w:val="0"/>
                <w:sz w:val="24"/>
                <w:szCs w:val="24"/>
                <w:highlight w:val="none"/>
              </w:rPr>
            </w:pPr>
          </w:p>
        </w:tc>
      </w:tr>
      <w:tr w14:paraId="52A0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058CDD70">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5AB04C0A">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FFB6B04">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6C0B3C2">
            <w:pPr>
              <w:spacing w:beforeLines="0" w:afterLines="0" w:line="500" w:lineRule="exact"/>
              <w:jc w:val="center"/>
              <w:rPr>
                <w:rFonts w:hint="eastAsia" w:ascii="宋体" w:hAnsi="宋体" w:cs="宋体"/>
                <w:color w:val="auto"/>
                <w:kern w:val="0"/>
                <w:sz w:val="24"/>
                <w:szCs w:val="24"/>
                <w:highlight w:val="none"/>
              </w:rPr>
            </w:pPr>
          </w:p>
        </w:tc>
      </w:tr>
      <w:tr w14:paraId="1FAF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5470BAB0">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56334C84">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28AB5A0E">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0F78884B">
            <w:pPr>
              <w:spacing w:beforeLines="0" w:afterLines="0" w:line="500" w:lineRule="exact"/>
              <w:jc w:val="center"/>
              <w:rPr>
                <w:rFonts w:hint="eastAsia" w:ascii="宋体" w:hAnsi="宋体" w:cs="宋体"/>
                <w:color w:val="auto"/>
                <w:kern w:val="0"/>
                <w:sz w:val="24"/>
                <w:szCs w:val="24"/>
                <w:highlight w:val="none"/>
              </w:rPr>
            </w:pPr>
          </w:p>
        </w:tc>
      </w:tr>
      <w:tr w14:paraId="65E3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6115B3C7">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4399AAD4">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44F85A5D">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1A8910C7">
            <w:pPr>
              <w:spacing w:beforeLines="0" w:afterLines="0" w:line="500" w:lineRule="exact"/>
              <w:jc w:val="center"/>
              <w:rPr>
                <w:rFonts w:hint="eastAsia" w:ascii="宋体" w:hAnsi="宋体" w:cs="宋体"/>
                <w:color w:val="auto"/>
                <w:kern w:val="0"/>
                <w:sz w:val="24"/>
                <w:szCs w:val="24"/>
                <w:highlight w:val="none"/>
              </w:rPr>
            </w:pPr>
          </w:p>
        </w:tc>
      </w:tr>
      <w:tr w14:paraId="6EDD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76B76CF">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07EB1F5A">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0FFDE4F5">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544E9463">
            <w:pPr>
              <w:spacing w:beforeLines="0" w:afterLines="0" w:line="500" w:lineRule="exact"/>
              <w:jc w:val="center"/>
              <w:rPr>
                <w:rFonts w:hint="eastAsia" w:ascii="宋体" w:hAnsi="宋体" w:cs="宋体"/>
                <w:color w:val="auto"/>
                <w:kern w:val="0"/>
                <w:sz w:val="24"/>
                <w:szCs w:val="24"/>
                <w:highlight w:val="none"/>
              </w:rPr>
            </w:pPr>
          </w:p>
        </w:tc>
      </w:tr>
      <w:tr w14:paraId="2D40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6" w:type="dxa"/>
            <w:tcBorders>
              <w:top w:val="single" w:color="auto" w:sz="4" w:space="0"/>
              <w:left w:val="single" w:color="auto" w:sz="4" w:space="0"/>
              <w:bottom w:val="single" w:color="auto" w:sz="4" w:space="0"/>
              <w:right w:val="single" w:color="auto" w:sz="4" w:space="0"/>
              <w:tl2br w:val="nil"/>
              <w:tr2bl w:val="nil"/>
            </w:tcBorders>
            <w:vAlign w:val="center"/>
          </w:tcPr>
          <w:p w14:paraId="25ABCED8">
            <w:pPr>
              <w:spacing w:beforeLines="0" w:afterLines="0" w:line="500" w:lineRule="exact"/>
              <w:jc w:val="center"/>
              <w:rPr>
                <w:rFonts w:hint="eastAsia" w:ascii="宋体" w:hAnsi="宋体" w:cs="宋体"/>
                <w:color w:val="auto"/>
                <w:kern w:val="0"/>
                <w:sz w:val="24"/>
                <w:szCs w:val="24"/>
                <w:highlight w:val="none"/>
              </w:rPr>
            </w:pPr>
          </w:p>
        </w:tc>
        <w:tc>
          <w:tcPr>
            <w:tcW w:w="929" w:type="dxa"/>
            <w:tcBorders>
              <w:top w:val="single" w:color="auto" w:sz="4" w:space="0"/>
              <w:left w:val="single" w:color="auto" w:sz="4" w:space="0"/>
              <w:bottom w:val="single" w:color="auto" w:sz="4" w:space="0"/>
              <w:right w:val="single" w:color="auto" w:sz="4" w:space="0"/>
              <w:tl2br w:val="nil"/>
              <w:tr2bl w:val="nil"/>
            </w:tcBorders>
            <w:vAlign w:val="center"/>
          </w:tcPr>
          <w:p w14:paraId="3C7BB64D">
            <w:pPr>
              <w:spacing w:beforeLines="0" w:afterLines="0" w:line="500" w:lineRule="exact"/>
              <w:jc w:val="center"/>
              <w:rPr>
                <w:rFonts w:hint="eastAsia" w:ascii="宋体" w:hAnsi="宋体" w:cs="宋体"/>
                <w:color w:val="auto"/>
                <w:kern w:val="0"/>
                <w:sz w:val="24"/>
                <w:szCs w:val="24"/>
                <w:highlight w:val="none"/>
              </w:rPr>
            </w:pPr>
          </w:p>
        </w:tc>
        <w:tc>
          <w:tcPr>
            <w:tcW w:w="2368" w:type="dxa"/>
            <w:tcBorders>
              <w:top w:val="single" w:color="auto" w:sz="4" w:space="0"/>
              <w:left w:val="single" w:color="auto" w:sz="4" w:space="0"/>
              <w:bottom w:val="single" w:color="auto" w:sz="4" w:space="0"/>
              <w:right w:val="single" w:color="auto" w:sz="4" w:space="0"/>
              <w:tl2br w:val="nil"/>
              <w:tr2bl w:val="nil"/>
            </w:tcBorders>
            <w:vAlign w:val="center"/>
          </w:tcPr>
          <w:p w14:paraId="534E5923">
            <w:pPr>
              <w:spacing w:beforeLines="0" w:afterLines="0" w:line="500" w:lineRule="exact"/>
              <w:jc w:val="center"/>
              <w:rPr>
                <w:rFonts w:hint="eastAsia" w:ascii="宋体" w:hAnsi="宋体" w:cs="宋体"/>
                <w:color w:val="auto"/>
                <w:kern w:val="0"/>
                <w:sz w:val="24"/>
                <w:szCs w:val="24"/>
                <w:highlight w:val="none"/>
              </w:rPr>
            </w:pPr>
          </w:p>
        </w:tc>
        <w:tc>
          <w:tcPr>
            <w:tcW w:w="2006" w:type="dxa"/>
            <w:tcBorders>
              <w:top w:val="single" w:color="auto" w:sz="4" w:space="0"/>
              <w:left w:val="single" w:color="auto" w:sz="4" w:space="0"/>
              <w:bottom w:val="single" w:color="auto" w:sz="4" w:space="0"/>
              <w:right w:val="single" w:color="auto" w:sz="4" w:space="0"/>
              <w:tl2br w:val="nil"/>
              <w:tr2bl w:val="nil"/>
            </w:tcBorders>
            <w:vAlign w:val="center"/>
          </w:tcPr>
          <w:p w14:paraId="79481616">
            <w:pPr>
              <w:spacing w:beforeLines="0" w:afterLines="0" w:line="500" w:lineRule="exact"/>
              <w:jc w:val="center"/>
              <w:rPr>
                <w:rFonts w:hint="eastAsia" w:ascii="宋体" w:hAnsi="宋体" w:cs="宋体"/>
                <w:color w:val="auto"/>
                <w:kern w:val="0"/>
                <w:sz w:val="24"/>
                <w:szCs w:val="24"/>
                <w:highlight w:val="none"/>
              </w:rPr>
            </w:pPr>
          </w:p>
        </w:tc>
      </w:tr>
    </w:tbl>
    <w:p w14:paraId="4DA83382">
      <w:pPr>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01B038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3"/>
        <w:rPr>
          <w:rFonts w:hint="eastAsia" w:ascii="宋体" w:hAnsi="宋体" w:eastAsia="宋体" w:cs="宋体"/>
          <w:snapToGrid w:val="0"/>
          <w:color w:val="auto"/>
          <w:spacing w:val="-9"/>
          <w:kern w:val="0"/>
          <w:sz w:val="24"/>
          <w:szCs w:val="24"/>
          <w:highlight w:val="none"/>
          <w:lang w:eastAsia="en-US"/>
        </w:rPr>
      </w:pPr>
      <w:bookmarkStart w:id="321" w:name="_Toc30479"/>
      <w:r>
        <w:rPr>
          <w:rFonts w:hint="eastAsia" w:ascii="宋体" w:hAnsi="宋体" w:eastAsia="宋体" w:cs="宋体"/>
          <w:snapToGrid w:val="0"/>
          <w:color w:val="auto"/>
          <w:spacing w:val="-9"/>
          <w:kern w:val="0"/>
          <w:sz w:val="24"/>
          <w:szCs w:val="24"/>
          <w:highlight w:val="none"/>
          <w:lang w:eastAsia="en-US"/>
        </w:rPr>
        <w:t>附件</w:t>
      </w:r>
      <w:r>
        <w:rPr>
          <w:rFonts w:hint="eastAsia" w:ascii="宋体" w:hAnsi="宋体" w:eastAsia="宋体" w:cs="宋体"/>
          <w:snapToGrid w:val="0"/>
          <w:color w:val="auto"/>
          <w:spacing w:val="-9"/>
          <w:kern w:val="0"/>
          <w:sz w:val="24"/>
          <w:szCs w:val="24"/>
          <w:highlight w:val="none"/>
          <w:lang w:val="en-US" w:eastAsia="zh-CN"/>
        </w:rPr>
        <w:t>1：</w:t>
      </w:r>
      <w:r>
        <w:rPr>
          <w:rFonts w:hint="eastAsia" w:ascii="宋体" w:hAnsi="宋体" w:eastAsia="宋体" w:cs="宋体"/>
          <w:snapToGrid w:val="0"/>
          <w:color w:val="auto"/>
          <w:spacing w:val="-9"/>
          <w:kern w:val="0"/>
          <w:sz w:val="24"/>
          <w:szCs w:val="24"/>
          <w:highlight w:val="none"/>
          <w:lang w:eastAsia="en-US"/>
        </w:rPr>
        <w:t>政府采购促进中小企业发展管理办法</w:t>
      </w:r>
      <w:bookmarkEnd w:id="321"/>
    </w:p>
    <w:p w14:paraId="424E5C3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hint="eastAsia" w:ascii="宋体" w:hAnsi="宋体" w:eastAsia="宋体" w:cs="宋体"/>
          <w:b/>
          <w:bCs/>
          <w:snapToGrid w:val="0"/>
          <w:color w:val="auto"/>
          <w:spacing w:val="-9"/>
          <w:kern w:val="0"/>
          <w:sz w:val="31"/>
          <w:szCs w:val="31"/>
          <w:highlight w:val="none"/>
          <w:lang w:eastAsia="en-US"/>
        </w:rPr>
      </w:pPr>
      <w:r>
        <w:rPr>
          <w:rFonts w:hint="eastAsia" w:ascii="宋体" w:hAnsi="宋体" w:eastAsia="宋体" w:cs="宋体"/>
          <w:b/>
          <w:bCs/>
          <w:snapToGrid w:val="0"/>
          <w:color w:val="auto"/>
          <w:spacing w:val="-9"/>
          <w:kern w:val="0"/>
          <w:sz w:val="31"/>
          <w:szCs w:val="31"/>
          <w:highlight w:val="none"/>
          <w:lang w:eastAsia="en-US"/>
        </w:rPr>
        <w:t>政府采购促进中小企业发展管理办法</w:t>
      </w:r>
    </w:p>
    <w:p w14:paraId="09BC972E">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第一条  为了发挥政府采购的政策功能，</w:t>
      </w:r>
      <w:r>
        <w:rPr>
          <w:rFonts w:hint="eastAsia" w:ascii="宋体" w:hAnsi="宋体" w:eastAsia="宋体" w:cs="宋体"/>
          <w:snapToGrid w:val="0"/>
          <w:color w:val="auto"/>
          <w:spacing w:val="5"/>
          <w:kern w:val="0"/>
          <w:sz w:val="24"/>
          <w:szCs w:val="24"/>
          <w:highlight w:val="none"/>
          <w:lang w:val="en-US" w:eastAsia="en-US" w:bidi="ar-SA"/>
        </w:rPr>
        <w:t>促进中小企业</w:t>
      </w:r>
      <w:r>
        <w:rPr>
          <w:rFonts w:hint="eastAsia" w:ascii="宋体" w:hAnsi="宋体" w:eastAsia="宋体" w:cs="宋体"/>
          <w:snapToGrid w:val="0"/>
          <w:color w:val="auto"/>
          <w:spacing w:val="-3"/>
          <w:kern w:val="0"/>
          <w:sz w:val="24"/>
          <w:szCs w:val="24"/>
          <w:highlight w:val="none"/>
          <w:lang w:val="en-US" w:eastAsia="en-US" w:bidi="ar-SA"/>
        </w:rPr>
        <w:t>健康发展，根据《中华人民共和国政府采购法</w:t>
      </w:r>
      <w:r>
        <w:rPr>
          <w:rFonts w:hint="eastAsia" w:ascii="宋体" w:hAnsi="宋体" w:eastAsia="宋体" w:cs="宋体"/>
          <w:snapToGrid w:val="0"/>
          <w:color w:val="auto"/>
          <w:spacing w:val="-4"/>
          <w:kern w:val="0"/>
          <w:sz w:val="24"/>
          <w:szCs w:val="24"/>
          <w:highlight w:val="none"/>
          <w:lang w:val="en-US" w:eastAsia="en-US" w:bidi="ar-SA"/>
        </w:rPr>
        <w:t>》、《中华人民</w:t>
      </w:r>
      <w:r>
        <w:rPr>
          <w:rFonts w:hint="eastAsia" w:ascii="宋体" w:hAnsi="宋体" w:eastAsia="宋体" w:cs="宋体"/>
          <w:snapToGrid w:val="0"/>
          <w:color w:val="auto"/>
          <w:spacing w:val="8"/>
          <w:kern w:val="0"/>
          <w:sz w:val="24"/>
          <w:szCs w:val="24"/>
          <w:highlight w:val="none"/>
          <w:lang w:val="en-US" w:eastAsia="en-US" w:bidi="ar-SA"/>
        </w:rPr>
        <w:t>共和国中小企业促进法》等有关法律法规，制定本办法。</w:t>
      </w:r>
    </w:p>
    <w:p w14:paraId="09F3E6FB">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第二条  本办法所称中小企业，是指在中华人民共和国</w:t>
      </w:r>
      <w:r>
        <w:rPr>
          <w:rFonts w:hint="eastAsia" w:ascii="宋体" w:hAnsi="宋体" w:eastAsia="宋体" w:cs="宋体"/>
          <w:snapToGrid w:val="0"/>
          <w:color w:val="auto"/>
          <w:spacing w:val="8"/>
          <w:kern w:val="0"/>
          <w:sz w:val="24"/>
          <w:szCs w:val="24"/>
          <w:highlight w:val="none"/>
          <w:lang w:val="en-US" w:eastAsia="en-US" w:bidi="ar-SA"/>
        </w:rPr>
        <w:t>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A97B36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第三条  采购人在政府采购活动中应当通过</w:t>
      </w:r>
      <w:r>
        <w:rPr>
          <w:rFonts w:hint="eastAsia" w:ascii="宋体" w:hAnsi="宋体" w:eastAsia="宋体" w:cs="宋体"/>
          <w:snapToGrid w:val="0"/>
          <w:color w:val="auto"/>
          <w:spacing w:val="18"/>
          <w:kern w:val="0"/>
          <w:sz w:val="24"/>
          <w:szCs w:val="24"/>
          <w:highlight w:val="none"/>
          <w:lang w:val="en-US" w:eastAsia="en-US" w:bidi="ar-SA"/>
        </w:rPr>
        <w:t>加强采购</w:t>
      </w:r>
      <w:r>
        <w:rPr>
          <w:rFonts w:hint="eastAsia" w:ascii="宋体" w:hAnsi="宋体" w:eastAsia="宋体" w:cs="宋体"/>
          <w:snapToGrid w:val="0"/>
          <w:color w:val="auto"/>
          <w:spacing w:val="8"/>
          <w:kern w:val="0"/>
          <w:sz w:val="24"/>
          <w:szCs w:val="24"/>
          <w:highlight w:val="none"/>
          <w:lang w:val="en-US" w:eastAsia="en-US" w:bidi="ar-SA"/>
        </w:rPr>
        <w:t>需求管理，落实预留采购份额、价格评审优惠、优先采购等措施，提高中小企业在政府采购中的份额，支持中小企业发</w:t>
      </w:r>
      <w:r>
        <w:rPr>
          <w:rFonts w:hint="eastAsia" w:ascii="宋体" w:hAnsi="宋体" w:eastAsia="宋体" w:cs="宋体"/>
          <w:snapToGrid w:val="0"/>
          <w:color w:val="auto"/>
          <w:spacing w:val="-7"/>
          <w:kern w:val="0"/>
          <w:sz w:val="24"/>
          <w:szCs w:val="24"/>
          <w:highlight w:val="none"/>
          <w:lang w:val="en-US" w:eastAsia="en-US" w:bidi="ar-SA"/>
        </w:rPr>
        <w:t>展。</w:t>
      </w:r>
    </w:p>
    <w:p w14:paraId="5171D7D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4"/>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第四条  在政府采购活动中，供应商提供的货物、工程</w:t>
      </w:r>
      <w:r>
        <w:rPr>
          <w:rFonts w:hint="eastAsia" w:ascii="宋体" w:hAnsi="宋体" w:eastAsia="宋体" w:cs="宋体"/>
          <w:snapToGrid w:val="0"/>
          <w:color w:val="auto"/>
          <w:spacing w:val="8"/>
          <w:kern w:val="0"/>
          <w:sz w:val="24"/>
          <w:szCs w:val="24"/>
          <w:highlight w:val="none"/>
          <w:lang w:val="en-US" w:eastAsia="en-US" w:bidi="ar-SA"/>
        </w:rPr>
        <w:t>或者服务符合下列情形的，享受本办法规定的中小企业扶持</w:t>
      </w:r>
      <w:r>
        <w:rPr>
          <w:rFonts w:hint="eastAsia" w:ascii="宋体" w:hAnsi="宋体" w:eastAsia="宋体" w:cs="宋体"/>
          <w:snapToGrid w:val="0"/>
          <w:color w:val="auto"/>
          <w:spacing w:val="-2"/>
          <w:kern w:val="0"/>
          <w:sz w:val="24"/>
          <w:szCs w:val="24"/>
          <w:highlight w:val="none"/>
          <w:lang w:val="en-US" w:eastAsia="en-US" w:bidi="ar-SA"/>
        </w:rPr>
        <w:t>政策：</w:t>
      </w:r>
    </w:p>
    <w:p w14:paraId="44AB710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（一）在货物采购项目中，货物由中小企业制造，即货</w:t>
      </w:r>
    </w:p>
    <w:p w14:paraId="1CA33AE2">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物由中小企业生产且使用该中小企业商号或者注册商标；</w:t>
      </w:r>
    </w:p>
    <w:p w14:paraId="6AEB4A00">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both"/>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（二）在工程采购项目中，工程由中小企业承建，即工</w:t>
      </w:r>
    </w:p>
    <w:p w14:paraId="65278E3F">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程施工单位为中小企业；</w:t>
      </w:r>
    </w:p>
    <w:p w14:paraId="7818D58F">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（三）在服务采购项目中，服务由中小企业承接，即提供服务的人员为中小企业依照《中华人民共和国劳动合同法》订立劳动合同的从业人员。</w:t>
      </w:r>
    </w:p>
    <w:p w14:paraId="65D919E1">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在货物采购项目中，供应商提供的货物既有中小企业制造货物，也有大型企业制造货物的，不享受本办法规定的中小企业扶持政策。</w:t>
      </w:r>
    </w:p>
    <w:p w14:paraId="65C61726">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以联合体形式参加政府采购活动，联合体各方均为中小企业的，联合体视同中小企业。其中，联合体各方</w:t>
      </w:r>
      <w:r>
        <w:rPr>
          <w:rFonts w:hint="eastAsia" w:ascii="宋体" w:hAnsi="宋体" w:eastAsia="宋体" w:cs="宋体"/>
          <w:snapToGrid w:val="0"/>
          <w:color w:val="auto"/>
          <w:spacing w:val="8"/>
          <w:kern w:val="0"/>
          <w:sz w:val="24"/>
          <w:szCs w:val="24"/>
          <w:highlight w:val="none"/>
          <w:lang w:val="en-US" w:eastAsia="en-US" w:bidi="ar-SA"/>
        </w:rPr>
        <w:t>均为小微</w:t>
      </w:r>
      <w:r>
        <w:rPr>
          <w:rFonts w:hint="eastAsia" w:ascii="宋体" w:hAnsi="宋体" w:eastAsia="宋体" w:cs="宋体"/>
          <w:snapToGrid w:val="0"/>
          <w:color w:val="auto"/>
          <w:spacing w:val="7"/>
          <w:kern w:val="0"/>
          <w:sz w:val="24"/>
          <w:szCs w:val="24"/>
          <w:highlight w:val="none"/>
          <w:lang w:val="en-US" w:eastAsia="en-US" w:bidi="ar-SA"/>
        </w:rPr>
        <w:t>企业的，联合体视同小微企业。</w:t>
      </w:r>
    </w:p>
    <w:p w14:paraId="5590D9F0">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第五条  采购人在政府采购活动中应当合理</w:t>
      </w:r>
      <w:r>
        <w:rPr>
          <w:rFonts w:hint="eastAsia" w:ascii="宋体" w:hAnsi="宋体" w:eastAsia="宋体" w:cs="宋体"/>
          <w:snapToGrid w:val="0"/>
          <w:color w:val="auto"/>
          <w:spacing w:val="18"/>
          <w:kern w:val="0"/>
          <w:sz w:val="24"/>
          <w:szCs w:val="24"/>
          <w:highlight w:val="none"/>
          <w:lang w:val="en-US" w:eastAsia="en-US" w:bidi="ar-SA"/>
        </w:rPr>
        <w:t>确定采购</w:t>
      </w:r>
      <w:r>
        <w:rPr>
          <w:rFonts w:hint="eastAsia" w:ascii="宋体" w:hAnsi="宋体" w:eastAsia="宋体" w:cs="宋体"/>
          <w:snapToGrid w:val="0"/>
          <w:color w:val="auto"/>
          <w:spacing w:val="8"/>
          <w:kern w:val="0"/>
          <w:sz w:val="24"/>
          <w:szCs w:val="24"/>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C402C71">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第六条  主管预算单位应当组织评估本部门</w:t>
      </w:r>
      <w:r>
        <w:rPr>
          <w:rFonts w:hint="eastAsia" w:ascii="宋体" w:hAnsi="宋体" w:eastAsia="宋体" w:cs="宋体"/>
          <w:snapToGrid w:val="0"/>
          <w:color w:val="auto"/>
          <w:spacing w:val="18"/>
          <w:kern w:val="0"/>
          <w:sz w:val="24"/>
          <w:szCs w:val="24"/>
          <w:highlight w:val="none"/>
          <w:lang w:val="en-US" w:eastAsia="en-US" w:bidi="ar-SA"/>
        </w:rPr>
        <w:t>及所属单</w:t>
      </w:r>
      <w:r>
        <w:rPr>
          <w:rFonts w:hint="eastAsia" w:ascii="宋体" w:hAnsi="宋体" w:eastAsia="宋体" w:cs="宋体"/>
          <w:snapToGrid w:val="0"/>
          <w:color w:val="auto"/>
          <w:spacing w:val="8"/>
          <w:kern w:val="0"/>
          <w:sz w:val="24"/>
          <w:szCs w:val="24"/>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hint="eastAsia" w:ascii="宋体" w:hAnsi="宋体" w:eastAsia="宋体" w:cs="宋体"/>
          <w:snapToGrid w:val="0"/>
          <w:color w:val="auto"/>
          <w:spacing w:val="-4"/>
          <w:kern w:val="0"/>
          <w:sz w:val="24"/>
          <w:szCs w:val="24"/>
          <w:highlight w:val="none"/>
          <w:lang w:val="en-US" w:eastAsia="en-US" w:bidi="ar-SA"/>
        </w:rPr>
        <w:t>列示。</w:t>
      </w:r>
    </w:p>
    <w:p w14:paraId="07ABE60D">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hint="eastAsia" w:ascii="宋体" w:hAnsi="宋体" w:eastAsia="宋体" w:cs="宋体"/>
          <w:snapToGrid w:val="0"/>
          <w:color w:val="auto"/>
          <w:spacing w:val="19"/>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符合下列情形之一的，可不专门面向中小企业预留采购份额：</w:t>
      </w:r>
    </w:p>
    <w:p w14:paraId="6BFFC8D7">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56" w:firstLineChars="200"/>
        <w:jc w:val="left"/>
        <w:textAlignment w:val="baseline"/>
        <w:rPr>
          <w:rFonts w:hint="eastAsia" w:ascii="宋体" w:hAnsi="宋体" w:eastAsia="宋体" w:cs="宋体"/>
          <w:snapToGrid w:val="0"/>
          <w:color w:val="auto"/>
          <w:spacing w:val="19"/>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（一）法律法规和国家有关政策明确规定优先或者应当面向事业单位、社会组织等非企业主体采购的；</w:t>
      </w:r>
    </w:p>
    <w:p w14:paraId="43B601C3">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（二）因确需使用不可替代的专利、专有技术，基础设施限制，或者提供特定公共服务等原因，只能从中小企业之外的供应商处采购的；</w:t>
      </w:r>
    </w:p>
    <w:p w14:paraId="005D8AC7">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（三）按照本办法规定预留采购份额无法确保充分供应、充分竞争，或者存在可能影响政府采购目标实现的情形；</w:t>
      </w:r>
    </w:p>
    <w:p w14:paraId="7127A556">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（四）框架协议采购项目；</w:t>
      </w:r>
    </w:p>
    <w:p w14:paraId="2E3FA973">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（五）省级以上人民政府财政部门规定的其他情形。</w:t>
      </w:r>
    </w:p>
    <w:p w14:paraId="211EBA98">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除上述情形外，其他均为适宜由中小企业提供的情形。</w:t>
      </w:r>
    </w:p>
    <w:p w14:paraId="48D1F8D8">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7"/>
          <w:kern w:val="0"/>
          <w:sz w:val="24"/>
          <w:szCs w:val="24"/>
          <w:highlight w:val="none"/>
          <w:lang w:val="en-US" w:eastAsia="en-US" w:bidi="ar-SA"/>
        </w:rPr>
        <w:t>第七条  采购限额标准以上，200</w:t>
      </w:r>
      <w:r>
        <w:rPr>
          <w:rFonts w:hint="eastAsia" w:ascii="宋体" w:hAnsi="宋体" w:eastAsia="宋体" w:cs="宋体"/>
          <w:snapToGrid w:val="0"/>
          <w:color w:val="auto"/>
          <w:spacing w:val="-38"/>
          <w:kern w:val="0"/>
          <w:sz w:val="24"/>
          <w:szCs w:val="24"/>
          <w:highlight w:val="none"/>
          <w:lang w:val="en-US" w:eastAsia="en-US" w:bidi="ar-SA"/>
        </w:rPr>
        <w:t xml:space="preserve"> </w:t>
      </w:r>
      <w:r>
        <w:rPr>
          <w:rFonts w:hint="eastAsia" w:ascii="宋体" w:hAnsi="宋体" w:eastAsia="宋体" w:cs="宋体"/>
          <w:snapToGrid w:val="0"/>
          <w:color w:val="auto"/>
          <w:spacing w:val="7"/>
          <w:kern w:val="0"/>
          <w:sz w:val="24"/>
          <w:szCs w:val="24"/>
          <w:highlight w:val="none"/>
          <w:lang w:val="en-US" w:eastAsia="en-US" w:bidi="ar-SA"/>
        </w:rPr>
        <w:t>万元以下的货物和服</w:t>
      </w:r>
      <w:r>
        <w:rPr>
          <w:rFonts w:hint="eastAsia" w:ascii="宋体" w:hAnsi="宋体" w:eastAsia="宋体" w:cs="宋体"/>
          <w:snapToGrid w:val="0"/>
          <w:color w:val="auto"/>
          <w:spacing w:val="9"/>
          <w:kern w:val="0"/>
          <w:sz w:val="24"/>
          <w:szCs w:val="24"/>
          <w:highlight w:val="none"/>
          <w:lang w:val="en-US" w:eastAsia="en-US" w:bidi="ar-SA"/>
        </w:rPr>
        <w:t>务采购项目、400</w:t>
      </w:r>
      <w:r>
        <w:rPr>
          <w:rFonts w:hint="eastAsia" w:ascii="宋体" w:hAnsi="宋体" w:eastAsia="宋体" w:cs="宋体"/>
          <w:snapToGrid w:val="0"/>
          <w:color w:val="auto"/>
          <w:spacing w:val="-31"/>
          <w:kern w:val="0"/>
          <w:sz w:val="24"/>
          <w:szCs w:val="24"/>
          <w:highlight w:val="none"/>
          <w:lang w:val="en-US" w:eastAsia="en-US" w:bidi="ar-SA"/>
        </w:rPr>
        <w:t xml:space="preserve"> </w:t>
      </w:r>
      <w:r>
        <w:rPr>
          <w:rFonts w:hint="eastAsia" w:ascii="宋体" w:hAnsi="宋体" w:eastAsia="宋体" w:cs="宋体"/>
          <w:snapToGrid w:val="0"/>
          <w:color w:val="auto"/>
          <w:spacing w:val="9"/>
          <w:kern w:val="0"/>
          <w:sz w:val="24"/>
          <w:szCs w:val="24"/>
          <w:highlight w:val="none"/>
          <w:lang w:val="en-US" w:eastAsia="en-US" w:bidi="ar-SA"/>
        </w:rPr>
        <w:t>万元以下的工程采购项目，适宜由中小企</w:t>
      </w:r>
      <w:r>
        <w:rPr>
          <w:rFonts w:hint="eastAsia" w:ascii="宋体" w:hAnsi="宋体" w:eastAsia="宋体" w:cs="宋体"/>
          <w:snapToGrid w:val="0"/>
          <w:color w:val="auto"/>
          <w:spacing w:val="8"/>
          <w:kern w:val="0"/>
          <w:sz w:val="24"/>
          <w:szCs w:val="24"/>
          <w:highlight w:val="none"/>
          <w:lang w:val="en-US" w:eastAsia="en-US" w:bidi="ar-SA"/>
        </w:rPr>
        <w:t>业提供的，采购人应当专门面向中小企业采购。</w:t>
      </w:r>
    </w:p>
    <w:p w14:paraId="607E2147">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5"/>
          <w:kern w:val="0"/>
          <w:sz w:val="24"/>
          <w:szCs w:val="24"/>
          <w:highlight w:val="none"/>
          <w:lang w:val="en-US" w:eastAsia="en-US" w:bidi="ar-SA"/>
        </w:rPr>
        <w:t>第八条  超过</w:t>
      </w:r>
      <w:r>
        <w:rPr>
          <w:rFonts w:hint="eastAsia" w:ascii="宋体" w:hAnsi="宋体" w:eastAsia="宋体" w:cs="宋体"/>
          <w:snapToGrid w:val="0"/>
          <w:color w:val="auto"/>
          <w:spacing w:val="-37"/>
          <w:kern w:val="0"/>
          <w:sz w:val="24"/>
          <w:szCs w:val="24"/>
          <w:highlight w:val="none"/>
          <w:lang w:val="en-US" w:eastAsia="en-US" w:bidi="ar-SA"/>
        </w:rPr>
        <w:t xml:space="preserve"> </w:t>
      </w:r>
      <w:r>
        <w:rPr>
          <w:rFonts w:hint="eastAsia" w:ascii="宋体" w:hAnsi="宋体" w:eastAsia="宋体" w:cs="宋体"/>
          <w:snapToGrid w:val="0"/>
          <w:color w:val="auto"/>
          <w:spacing w:val="15"/>
          <w:kern w:val="0"/>
          <w:sz w:val="24"/>
          <w:szCs w:val="24"/>
          <w:highlight w:val="none"/>
          <w:lang w:val="en-US" w:eastAsia="en-US" w:bidi="ar-SA"/>
        </w:rPr>
        <w:t>200</w:t>
      </w:r>
      <w:r>
        <w:rPr>
          <w:rFonts w:hint="eastAsia" w:ascii="宋体" w:hAnsi="宋体" w:eastAsia="宋体" w:cs="宋体"/>
          <w:snapToGrid w:val="0"/>
          <w:color w:val="auto"/>
          <w:spacing w:val="-41"/>
          <w:kern w:val="0"/>
          <w:sz w:val="24"/>
          <w:szCs w:val="24"/>
          <w:highlight w:val="none"/>
          <w:lang w:val="en-US" w:eastAsia="en-US" w:bidi="ar-SA"/>
        </w:rPr>
        <w:t xml:space="preserve"> </w:t>
      </w:r>
      <w:r>
        <w:rPr>
          <w:rFonts w:hint="eastAsia" w:ascii="宋体" w:hAnsi="宋体" w:eastAsia="宋体" w:cs="宋体"/>
          <w:snapToGrid w:val="0"/>
          <w:color w:val="auto"/>
          <w:spacing w:val="15"/>
          <w:kern w:val="0"/>
          <w:sz w:val="24"/>
          <w:szCs w:val="24"/>
          <w:highlight w:val="none"/>
          <w:lang w:val="en-US" w:eastAsia="en-US" w:bidi="ar-SA"/>
        </w:rPr>
        <w:t>万元的货物和服务采购项目、超过</w:t>
      </w:r>
      <w:r>
        <w:rPr>
          <w:rFonts w:hint="eastAsia" w:ascii="宋体" w:hAnsi="宋体" w:eastAsia="宋体" w:cs="宋体"/>
          <w:snapToGrid w:val="0"/>
          <w:color w:val="auto"/>
          <w:spacing w:val="10"/>
          <w:kern w:val="0"/>
          <w:sz w:val="24"/>
          <w:szCs w:val="24"/>
          <w:highlight w:val="none"/>
          <w:lang w:val="en-US" w:eastAsia="en-US" w:bidi="ar-SA"/>
        </w:rPr>
        <w:t>400</w:t>
      </w:r>
      <w:r>
        <w:rPr>
          <w:rFonts w:hint="eastAsia" w:ascii="宋体" w:hAnsi="宋体" w:eastAsia="宋体" w:cs="宋体"/>
          <w:snapToGrid w:val="0"/>
          <w:color w:val="auto"/>
          <w:spacing w:val="-38"/>
          <w:kern w:val="0"/>
          <w:sz w:val="24"/>
          <w:szCs w:val="24"/>
          <w:highlight w:val="none"/>
          <w:lang w:val="en-US" w:eastAsia="en-US" w:bidi="ar-SA"/>
        </w:rPr>
        <w:t xml:space="preserve"> </w:t>
      </w:r>
      <w:r>
        <w:rPr>
          <w:rFonts w:hint="eastAsia" w:ascii="宋体" w:hAnsi="宋体" w:eastAsia="宋体" w:cs="宋体"/>
          <w:snapToGrid w:val="0"/>
          <w:color w:val="auto"/>
          <w:spacing w:val="10"/>
          <w:kern w:val="0"/>
          <w:sz w:val="24"/>
          <w:szCs w:val="24"/>
          <w:highlight w:val="none"/>
          <w:lang w:val="en-US" w:eastAsia="en-US" w:bidi="ar-SA"/>
        </w:rPr>
        <w:t>万元的工程采购项目中适宜由中小企业提供的，预留该</w:t>
      </w:r>
      <w:r>
        <w:rPr>
          <w:rFonts w:hint="eastAsia" w:ascii="宋体" w:hAnsi="宋体" w:eastAsia="宋体" w:cs="宋体"/>
          <w:snapToGrid w:val="0"/>
          <w:color w:val="auto"/>
          <w:spacing w:val="11"/>
          <w:kern w:val="0"/>
          <w:sz w:val="24"/>
          <w:szCs w:val="24"/>
          <w:highlight w:val="none"/>
          <w:lang w:val="en-US" w:eastAsia="en-US" w:bidi="ar-SA"/>
        </w:rPr>
        <w:t>部分采购项目预算总额的</w:t>
      </w:r>
      <w:r>
        <w:rPr>
          <w:rFonts w:hint="eastAsia" w:ascii="宋体" w:hAnsi="宋体" w:eastAsia="宋体" w:cs="宋体"/>
          <w:snapToGrid w:val="0"/>
          <w:color w:val="auto"/>
          <w:spacing w:val="-55"/>
          <w:kern w:val="0"/>
          <w:sz w:val="24"/>
          <w:szCs w:val="24"/>
          <w:highlight w:val="none"/>
          <w:lang w:val="en-US" w:eastAsia="en-US" w:bidi="ar-SA"/>
        </w:rPr>
        <w:t xml:space="preserve"> </w:t>
      </w:r>
      <w:r>
        <w:rPr>
          <w:rFonts w:hint="eastAsia" w:ascii="宋体" w:hAnsi="宋体" w:eastAsia="宋体" w:cs="宋体"/>
          <w:snapToGrid w:val="0"/>
          <w:color w:val="auto"/>
          <w:spacing w:val="11"/>
          <w:kern w:val="0"/>
          <w:sz w:val="24"/>
          <w:szCs w:val="24"/>
          <w:highlight w:val="none"/>
          <w:lang w:val="en-US" w:eastAsia="en-US" w:bidi="ar-SA"/>
        </w:rPr>
        <w:t>30%以上专门面向</w:t>
      </w:r>
      <w:r>
        <w:rPr>
          <w:rFonts w:hint="eastAsia" w:ascii="宋体" w:hAnsi="宋体" w:eastAsia="宋体" w:cs="宋体"/>
          <w:snapToGrid w:val="0"/>
          <w:color w:val="auto"/>
          <w:spacing w:val="10"/>
          <w:kern w:val="0"/>
          <w:sz w:val="24"/>
          <w:szCs w:val="24"/>
          <w:highlight w:val="none"/>
          <w:lang w:val="en-US" w:eastAsia="en-US" w:bidi="ar-SA"/>
        </w:rPr>
        <w:t>中小企业采购，</w:t>
      </w:r>
      <w:r>
        <w:rPr>
          <w:rFonts w:hint="eastAsia" w:ascii="宋体" w:hAnsi="宋体" w:eastAsia="宋体" w:cs="宋体"/>
          <w:snapToGrid w:val="0"/>
          <w:color w:val="auto"/>
          <w:spacing w:val="11"/>
          <w:kern w:val="0"/>
          <w:sz w:val="24"/>
          <w:szCs w:val="24"/>
          <w:highlight w:val="none"/>
          <w:lang w:val="en-US" w:eastAsia="en-US" w:bidi="ar-SA"/>
        </w:rPr>
        <w:t>其中预留给小微企业的比例不低于</w:t>
      </w:r>
      <w:r>
        <w:rPr>
          <w:rFonts w:hint="eastAsia" w:ascii="宋体" w:hAnsi="宋体" w:eastAsia="宋体" w:cs="宋体"/>
          <w:snapToGrid w:val="0"/>
          <w:color w:val="auto"/>
          <w:spacing w:val="-59"/>
          <w:kern w:val="0"/>
          <w:sz w:val="24"/>
          <w:szCs w:val="24"/>
          <w:highlight w:val="none"/>
          <w:lang w:val="en-US" w:eastAsia="en-US" w:bidi="ar-SA"/>
        </w:rPr>
        <w:t xml:space="preserve"> </w:t>
      </w:r>
      <w:r>
        <w:rPr>
          <w:rFonts w:hint="eastAsia" w:ascii="宋体" w:hAnsi="宋体" w:eastAsia="宋体" w:cs="宋体"/>
          <w:snapToGrid w:val="0"/>
          <w:color w:val="auto"/>
          <w:spacing w:val="11"/>
          <w:kern w:val="0"/>
          <w:sz w:val="24"/>
          <w:szCs w:val="24"/>
          <w:highlight w:val="none"/>
          <w:lang w:val="en-US" w:eastAsia="en-US" w:bidi="ar-SA"/>
        </w:rPr>
        <w:t>60%。预留份额通</w:t>
      </w:r>
      <w:r>
        <w:rPr>
          <w:rFonts w:hint="eastAsia" w:ascii="宋体" w:hAnsi="宋体" w:eastAsia="宋体" w:cs="宋体"/>
          <w:snapToGrid w:val="0"/>
          <w:color w:val="auto"/>
          <w:spacing w:val="10"/>
          <w:kern w:val="0"/>
          <w:sz w:val="24"/>
          <w:szCs w:val="24"/>
          <w:highlight w:val="none"/>
          <w:lang w:val="en-US" w:eastAsia="en-US" w:bidi="ar-SA"/>
        </w:rPr>
        <w:t>过下列</w:t>
      </w:r>
      <w:r>
        <w:rPr>
          <w:rFonts w:hint="eastAsia" w:ascii="宋体" w:hAnsi="宋体" w:eastAsia="宋体" w:cs="宋体"/>
          <w:snapToGrid w:val="0"/>
          <w:color w:val="auto"/>
          <w:spacing w:val="3"/>
          <w:kern w:val="0"/>
          <w:sz w:val="24"/>
          <w:szCs w:val="24"/>
          <w:highlight w:val="none"/>
          <w:lang w:val="en-US" w:eastAsia="en-US" w:bidi="ar-SA"/>
        </w:rPr>
        <w:t>措施进行：</w:t>
      </w:r>
    </w:p>
    <w:p w14:paraId="56DFE0D4">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hint="eastAsia" w:ascii="宋体" w:hAnsi="宋体" w:eastAsia="宋体" w:cs="宋体"/>
          <w:snapToGrid w:val="0"/>
          <w:color w:val="auto"/>
          <w:spacing w:val="10"/>
          <w:kern w:val="0"/>
          <w:sz w:val="24"/>
          <w:szCs w:val="24"/>
          <w:highlight w:val="none"/>
          <w:lang w:val="en-US" w:eastAsia="en-US" w:bidi="ar-SA"/>
        </w:rPr>
      </w:pPr>
      <w:r>
        <w:rPr>
          <w:rFonts w:hint="eastAsia" w:ascii="宋体" w:hAnsi="宋体" w:eastAsia="宋体" w:cs="宋体"/>
          <w:snapToGrid w:val="0"/>
          <w:color w:val="auto"/>
          <w:spacing w:val="10"/>
          <w:kern w:val="0"/>
          <w:sz w:val="24"/>
          <w:szCs w:val="24"/>
          <w:highlight w:val="none"/>
          <w:lang w:val="en-US" w:eastAsia="en-US" w:bidi="ar-SA"/>
        </w:rPr>
        <w:t>（一）将采购项目整体或者设置采购包专门面向中小企业采购；</w:t>
      </w:r>
    </w:p>
    <w:p w14:paraId="2638B4CB">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hint="eastAsia" w:ascii="宋体" w:hAnsi="宋体" w:eastAsia="宋体" w:cs="宋体"/>
          <w:snapToGrid w:val="0"/>
          <w:color w:val="auto"/>
          <w:spacing w:val="10"/>
          <w:kern w:val="0"/>
          <w:sz w:val="24"/>
          <w:szCs w:val="24"/>
          <w:highlight w:val="none"/>
          <w:lang w:val="en-US" w:eastAsia="en-US" w:bidi="ar-SA"/>
        </w:rPr>
      </w:pPr>
      <w:r>
        <w:rPr>
          <w:rFonts w:hint="eastAsia" w:ascii="宋体" w:hAnsi="宋体" w:eastAsia="宋体" w:cs="宋体"/>
          <w:snapToGrid w:val="0"/>
          <w:color w:val="auto"/>
          <w:spacing w:val="10"/>
          <w:kern w:val="0"/>
          <w:sz w:val="24"/>
          <w:szCs w:val="24"/>
          <w:highlight w:val="none"/>
          <w:lang w:val="en-US" w:eastAsia="en-US" w:bidi="ar-SA"/>
        </w:rPr>
        <w:t>（二）要求供应商以联合体形式参加采购活动，且联合体中中小企业承担的部分达到一定比例；</w:t>
      </w:r>
    </w:p>
    <w:p w14:paraId="6D9AD1C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20" w:firstLineChars="200"/>
        <w:jc w:val="left"/>
        <w:textAlignment w:val="baseline"/>
        <w:rPr>
          <w:rFonts w:hint="eastAsia" w:ascii="宋体" w:hAnsi="宋体" w:eastAsia="宋体" w:cs="宋体"/>
          <w:snapToGrid w:val="0"/>
          <w:color w:val="auto"/>
          <w:spacing w:val="10"/>
          <w:kern w:val="0"/>
          <w:sz w:val="24"/>
          <w:szCs w:val="24"/>
          <w:highlight w:val="none"/>
          <w:lang w:val="en-US" w:eastAsia="en-US" w:bidi="ar-SA"/>
        </w:rPr>
      </w:pPr>
      <w:r>
        <w:rPr>
          <w:rFonts w:hint="eastAsia" w:ascii="宋体" w:hAnsi="宋体" w:eastAsia="宋体" w:cs="宋体"/>
          <w:snapToGrid w:val="0"/>
          <w:color w:val="auto"/>
          <w:spacing w:val="10"/>
          <w:kern w:val="0"/>
          <w:sz w:val="24"/>
          <w:szCs w:val="24"/>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53FAD93A">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第九条  对于经主管预算单位统筹后未预留</w:t>
      </w:r>
      <w:r>
        <w:rPr>
          <w:rFonts w:hint="eastAsia" w:ascii="宋体" w:hAnsi="宋体" w:eastAsia="宋体" w:cs="宋体"/>
          <w:snapToGrid w:val="0"/>
          <w:color w:val="auto"/>
          <w:spacing w:val="18"/>
          <w:kern w:val="0"/>
          <w:sz w:val="24"/>
          <w:szCs w:val="24"/>
          <w:highlight w:val="none"/>
          <w:lang w:val="en-US" w:eastAsia="en-US" w:bidi="ar-SA"/>
        </w:rPr>
        <w:t>份额专门</w:t>
      </w:r>
      <w:r>
        <w:rPr>
          <w:rFonts w:hint="eastAsia" w:ascii="宋体" w:hAnsi="宋体" w:eastAsia="宋体" w:cs="宋体"/>
          <w:snapToGrid w:val="0"/>
          <w:color w:val="auto"/>
          <w:spacing w:val="8"/>
          <w:kern w:val="0"/>
          <w:sz w:val="24"/>
          <w:szCs w:val="24"/>
          <w:highlight w:val="none"/>
          <w:lang w:val="en-US" w:eastAsia="en-US" w:bidi="ar-SA"/>
        </w:rPr>
        <w:t>面向中小企业采购的采购项目，以及预留份额项目中的非预留部分采购包，采购人、采购代理机构应当对符合本办法规</w:t>
      </w:r>
      <w:r>
        <w:rPr>
          <w:rFonts w:hint="eastAsia" w:ascii="宋体" w:hAnsi="宋体" w:eastAsia="宋体" w:cs="宋体"/>
          <w:snapToGrid w:val="0"/>
          <w:color w:val="auto"/>
          <w:spacing w:val="5"/>
          <w:kern w:val="0"/>
          <w:sz w:val="24"/>
          <w:szCs w:val="24"/>
          <w:highlight w:val="none"/>
          <w:lang w:val="en-US" w:eastAsia="en-US" w:bidi="ar-SA"/>
        </w:rPr>
        <w:t>定的小微企业报价给予</w:t>
      </w:r>
      <w:r>
        <w:rPr>
          <w:rFonts w:hint="eastAsia" w:ascii="宋体" w:hAnsi="宋体" w:eastAsia="宋体" w:cs="宋体"/>
          <w:snapToGrid w:val="0"/>
          <w:color w:val="auto"/>
          <w:spacing w:val="-59"/>
          <w:kern w:val="0"/>
          <w:sz w:val="24"/>
          <w:szCs w:val="24"/>
          <w:highlight w:val="none"/>
          <w:lang w:val="en-US" w:eastAsia="en-US" w:bidi="ar-SA"/>
        </w:rPr>
        <w:t xml:space="preserve"> </w:t>
      </w:r>
      <w:r>
        <w:rPr>
          <w:rFonts w:hint="eastAsia" w:ascii="宋体" w:hAnsi="宋体" w:eastAsia="宋体" w:cs="宋体"/>
          <w:snapToGrid w:val="0"/>
          <w:color w:val="auto"/>
          <w:spacing w:val="5"/>
          <w:kern w:val="0"/>
          <w:sz w:val="24"/>
          <w:szCs w:val="24"/>
          <w:highlight w:val="none"/>
          <w:lang w:val="en-US" w:eastAsia="en-US" w:bidi="ar-SA"/>
        </w:rPr>
        <w:t>6%—</w:t>
      </w:r>
      <w:r>
        <w:rPr>
          <w:rFonts w:hint="eastAsia" w:ascii="宋体" w:hAnsi="宋体" w:eastAsia="宋体" w:cs="宋体"/>
          <w:snapToGrid w:val="0"/>
          <w:color w:val="auto"/>
          <w:spacing w:val="-121"/>
          <w:kern w:val="0"/>
          <w:sz w:val="24"/>
          <w:szCs w:val="24"/>
          <w:highlight w:val="none"/>
          <w:lang w:val="en-US" w:eastAsia="en-US" w:bidi="ar-SA"/>
        </w:rPr>
        <w:t xml:space="preserve"> </w:t>
      </w:r>
      <w:r>
        <w:rPr>
          <w:rFonts w:hint="eastAsia" w:ascii="宋体" w:hAnsi="宋体" w:eastAsia="宋体" w:cs="宋体"/>
          <w:snapToGrid w:val="0"/>
          <w:color w:val="auto"/>
          <w:spacing w:val="5"/>
          <w:kern w:val="0"/>
          <w:sz w:val="24"/>
          <w:szCs w:val="24"/>
          <w:highlight w:val="none"/>
          <w:lang w:val="en-US" w:eastAsia="en-US" w:bidi="ar-SA"/>
        </w:rPr>
        <w:t>10%（工程项</w:t>
      </w:r>
      <w:r>
        <w:rPr>
          <w:rFonts w:hint="eastAsia" w:ascii="宋体" w:hAnsi="宋体" w:eastAsia="宋体" w:cs="宋体"/>
          <w:snapToGrid w:val="0"/>
          <w:color w:val="auto"/>
          <w:spacing w:val="4"/>
          <w:kern w:val="0"/>
          <w:sz w:val="24"/>
          <w:szCs w:val="24"/>
          <w:highlight w:val="none"/>
          <w:lang w:val="en-US" w:eastAsia="en-US" w:bidi="ar-SA"/>
        </w:rPr>
        <w:t>目为3%—5%）的扣</w:t>
      </w:r>
      <w:r>
        <w:rPr>
          <w:rFonts w:hint="eastAsia" w:ascii="宋体" w:hAnsi="宋体" w:eastAsia="宋体" w:cs="宋体"/>
          <w:snapToGrid w:val="0"/>
          <w:color w:val="auto"/>
          <w:spacing w:val="8"/>
          <w:kern w:val="0"/>
          <w:sz w:val="24"/>
          <w:szCs w:val="24"/>
          <w:highlight w:val="none"/>
          <w:lang w:val="en-US" w:eastAsia="en-US" w:bidi="ar-SA"/>
        </w:rPr>
        <w:t>除，用扣除后的价格参加评审。适用招标投标法的政府采购</w:t>
      </w:r>
      <w:r>
        <w:rPr>
          <w:rFonts w:hint="eastAsia" w:ascii="宋体" w:hAnsi="宋体" w:eastAsia="宋体" w:cs="宋体"/>
          <w:snapToGrid w:val="0"/>
          <w:color w:val="auto"/>
          <w:spacing w:val="1"/>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工程建设项目，采用综合评估法但未采用低价优先法计算价格分的，评标时应当在采用原报价进行评分的基础上增加其</w:t>
      </w:r>
      <w:r>
        <w:rPr>
          <w:rFonts w:hint="eastAsia" w:ascii="宋体" w:hAnsi="宋体" w:eastAsia="宋体" w:cs="宋体"/>
          <w:snapToGrid w:val="0"/>
          <w:color w:val="auto"/>
          <w:spacing w:val="5"/>
          <w:kern w:val="0"/>
          <w:sz w:val="24"/>
          <w:szCs w:val="24"/>
          <w:highlight w:val="none"/>
          <w:lang w:val="en-US" w:eastAsia="en-US" w:bidi="ar-SA"/>
        </w:rPr>
        <w:t>价格得分的</w:t>
      </w:r>
      <w:r>
        <w:rPr>
          <w:rFonts w:hint="eastAsia" w:ascii="宋体" w:hAnsi="宋体" w:eastAsia="宋体" w:cs="宋体"/>
          <w:snapToGrid w:val="0"/>
          <w:color w:val="auto"/>
          <w:spacing w:val="-44"/>
          <w:kern w:val="0"/>
          <w:sz w:val="24"/>
          <w:szCs w:val="24"/>
          <w:highlight w:val="none"/>
          <w:lang w:val="en-US" w:eastAsia="en-US" w:bidi="ar-SA"/>
        </w:rPr>
        <w:t xml:space="preserve"> </w:t>
      </w:r>
      <w:r>
        <w:rPr>
          <w:rFonts w:hint="eastAsia" w:ascii="宋体" w:hAnsi="宋体" w:eastAsia="宋体" w:cs="宋体"/>
          <w:snapToGrid w:val="0"/>
          <w:color w:val="auto"/>
          <w:spacing w:val="5"/>
          <w:kern w:val="0"/>
          <w:sz w:val="24"/>
          <w:szCs w:val="24"/>
          <w:highlight w:val="none"/>
          <w:lang w:val="en-US" w:eastAsia="en-US" w:bidi="ar-SA"/>
        </w:rPr>
        <w:t>3%—5%作为其价格分。</w:t>
      </w:r>
    </w:p>
    <w:p w14:paraId="65962B02">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1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接受大中型企业与小微企业组成联合体或者允许大中</w:t>
      </w:r>
      <w:r>
        <w:rPr>
          <w:rFonts w:hint="eastAsia" w:ascii="宋体" w:hAnsi="宋体" w:eastAsia="宋体" w:cs="宋体"/>
          <w:snapToGrid w:val="0"/>
          <w:color w:val="auto"/>
          <w:spacing w:val="8"/>
          <w:kern w:val="0"/>
          <w:sz w:val="24"/>
          <w:szCs w:val="24"/>
          <w:highlight w:val="none"/>
          <w:lang w:val="en-US" w:eastAsia="en-US" w:bidi="ar-SA"/>
        </w:rPr>
        <w:t>型企业向一家或者多家小微企业分包的采购项目，对于联合</w:t>
      </w:r>
      <w:r>
        <w:rPr>
          <w:rFonts w:hint="eastAsia" w:ascii="宋体" w:hAnsi="宋体" w:eastAsia="宋体" w:cs="宋体"/>
          <w:snapToGrid w:val="0"/>
          <w:color w:val="auto"/>
          <w:spacing w:val="21"/>
          <w:kern w:val="0"/>
          <w:sz w:val="24"/>
          <w:szCs w:val="24"/>
          <w:highlight w:val="none"/>
          <w:lang w:val="en-US" w:eastAsia="en-US" w:bidi="ar-SA"/>
        </w:rPr>
        <w:t>协议或者分包意向协议约定小微企业的合同份额占到合同</w:t>
      </w:r>
      <w:r>
        <w:rPr>
          <w:rFonts w:hint="eastAsia" w:ascii="宋体" w:hAnsi="宋体" w:eastAsia="宋体" w:cs="宋体"/>
          <w:snapToGrid w:val="0"/>
          <w:color w:val="auto"/>
          <w:spacing w:val="10"/>
          <w:kern w:val="0"/>
          <w:sz w:val="24"/>
          <w:szCs w:val="24"/>
          <w:highlight w:val="none"/>
          <w:lang w:val="en-US" w:eastAsia="en-US" w:bidi="ar-SA"/>
        </w:rPr>
        <w:t>总金额</w:t>
      </w:r>
      <w:r>
        <w:rPr>
          <w:rFonts w:hint="eastAsia" w:ascii="宋体" w:hAnsi="宋体" w:eastAsia="宋体" w:cs="宋体"/>
          <w:snapToGrid w:val="0"/>
          <w:color w:val="auto"/>
          <w:spacing w:val="-45"/>
          <w:kern w:val="0"/>
          <w:sz w:val="24"/>
          <w:szCs w:val="24"/>
          <w:highlight w:val="none"/>
          <w:lang w:val="en-US" w:eastAsia="en-US" w:bidi="ar-SA"/>
        </w:rPr>
        <w:t xml:space="preserve"> </w:t>
      </w:r>
      <w:r>
        <w:rPr>
          <w:rFonts w:hint="eastAsia" w:ascii="宋体" w:hAnsi="宋体" w:eastAsia="宋体" w:cs="宋体"/>
          <w:snapToGrid w:val="0"/>
          <w:color w:val="auto"/>
          <w:spacing w:val="10"/>
          <w:kern w:val="0"/>
          <w:sz w:val="24"/>
          <w:szCs w:val="24"/>
          <w:highlight w:val="none"/>
          <w:lang w:val="en-US" w:eastAsia="en-US" w:bidi="ar-SA"/>
        </w:rPr>
        <w:t>30%以上的，采购人、采购代理机构应当对联合体或</w:t>
      </w:r>
      <w:r>
        <w:rPr>
          <w:rFonts w:hint="eastAsia" w:ascii="宋体" w:hAnsi="宋体" w:eastAsia="宋体" w:cs="宋体"/>
          <w:snapToGrid w:val="0"/>
          <w:color w:val="auto"/>
          <w:spacing w:val="5"/>
          <w:kern w:val="0"/>
          <w:sz w:val="24"/>
          <w:szCs w:val="24"/>
          <w:highlight w:val="none"/>
          <w:lang w:val="en-US" w:eastAsia="en-US" w:bidi="ar-SA"/>
        </w:rPr>
        <w:t>者大中型企业的报价给予</w:t>
      </w:r>
      <w:r>
        <w:rPr>
          <w:rFonts w:hint="eastAsia" w:ascii="宋体" w:hAnsi="宋体" w:eastAsia="宋体" w:cs="宋体"/>
          <w:snapToGrid w:val="0"/>
          <w:color w:val="auto"/>
          <w:spacing w:val="-44"/>
          <w:kern w:val="0"/>
          <w:sz w:val="24"/>
          <w:szCs w:val="24"/>
          <w:highlight w:val="none"/>
          <w:lang w:val="en-US" w:eastAsia="en-US" w:bidi="ar-SA"/>
        </w:rPr>
        <w:t xml:space="preserve"> </w:t>
      </w:r>
      <w:r>
        <w:rPr>
          <w:rFonts w:hint="eastAsia" w:ascii="宋体" w:hAnsi="宋体" w:eastAsia="宋体" w:cs="宋体"/>
          <w:snapToGrid w:val="0"/>
          <w:color w:val="auto"/>
          <w:spacing w:val="5"/>
          <w:kern w:val="0"/>
          <w:sz w:val="24"/>
          <w:szCs w:val="24"/>
          <w:highlight w:val="none"/>
          <w:lang w:val="en-US" w:eastAsia="en-US" w:bidi="ar-SA"/>
        </w:rPr>
        <w:t>2%-3%（工程项目为</w:t>
      </w:r>
      <w:r>
        <w:rPr>
          <w:rFonts w:hint="eastAsia" w:ascii="宋体" w:hAnsi="宋体" w:eastAsia="宋体" w:cs="宋体"/>
          <w:snapToGrid w:val="0"/>
          <w:color w:val="auto"/>
          <w:spacing w:val="-39"/>
          <w:kern w:val="0"/>
          <w:sz w:val="24"/>
          <w:szCs w:val="24"/>
          <w:highlight w:val="none"/>
          <w:lang w:val="en-US" w:eastAsia="en-US" w:bidi="ar-SA"/>
        </w:rPr>
        <w:t xml:space="preserve"> </w:t>
      </w:r>
      <w:r>
        <w:rPr>
          <w:rFonts w:hint="eastAsia" w:ascii="宋体" w:hAnsi="宋体" w:eastAsia="宋体" w:cs="宋体"/>
          <w:snapToGrid w:val="0"/>
          <w:color w:val="auto"/>
          <w:spacing w:val="5"/>
          <w:kern w:val="0"/>
          <w:sz w:val="24"/>
          <w:szCs w:val="24"/>
          <w:highlight w:val="none"/>
          <w:lang w:val="en-US" w:eastAsia="en-US" w:bidi="ar-SA"/>
        </w:rPr>
        <w:t>1%—2%）的扣</w:t>
      </w:r>
      <w:r>
        <w:rPr>
          <w:rFonts w:hint="eastAsia" w:ascii="宋体" w:hAnsi="宋体" w:eastAsia="宋体" w:cs="宋体"/>
          <w:snapToGrid w:val="0"/>
          <w:color w:val="auto"/>
          <w:spacing w:val="8"/>
          <w:kern w:val="0"/>
          <w:sz w:val="24"/>
          <w:szCs w:val="24"/>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hint="eastAsia" w:ascii="宋体" w:hAnsi="宋体" w:eastAsia="宋体" w:cs="宋体"/>
          <w:snapToGrid w:val="0"/>
          <w:color w:val="auto"/>
          <w:spacing w:val="4"/>
          <w:kern w:val="0"/>
          <w:sz w:val="24"/>
          <w:szCs w:val="24"/>
          <w:highlight w:val="none"/>
          <w:lang w:val="en-US" w:eastAsia="en-US" w:bidi="ar-SA"/>
        </w:rPr>
        <w:t>价格得分的</w:t>
      </w:r>
      <w:r>
        <w:rPr>
          <w:rFonts w:hint="eastAsia" w:ascii="宋体" w:hAnsi="宋体" w:eastAsia="宋体" w:cs="宋体"/>
          <w:snapToGrid w:val="0"/>
          <w:color w:val="auto"/>
          <w:spacing w:val="-38"/>
          <w:kern w:val="0"/>
          <w:sz w:val="24"/>
          <w:szCs w:val="24"/>
          <w:highlight w:val="none"/>
          <w:lang w:val="en-US" w:eastAsia="en-US" w:bidi="ar-SA"/>
        </w:rPr>
        <w:t xml:space="preserve"> </w:t>
      </w:r>
      <w:r>
        <w:rPr>
          <w:rFonts w:hint="eastAsia" w:ascii="宋体" w:hAnsi="宋体" w:eastAsia="宋体" w:cs="宋体"/>
          <w:snapToGrid w:val="0"/>
          <w:color w:val="auto"/>
          <w:spacing w:val="4"/>
          <w:kern w:val="0"/>
          <w:sz w:val="24"/>
          <w:szCs w:val="24"/>
          <w:highlight w:val="none"/>
          <w:lang w:val="en-US" w:eastAsia="en-US" w:bidi="ar-SA"/>
        </w:rPr>
        <w:t>1%—2%作为其价格分。组成联合</w:t>
      </w:r>
      <w:r>
        <w:rPr>
          <w:rFonts w:hint="eastAsia" w:ascii="宋体" w:hAnsi="宋体" w:eastAsia="宋体" w:cs="宋体"/>
          <w:snapToGrid w:val="0"/>
          <w:color w:val="auto"/>
          <w:spacing w:val="3"/>
          <w:kern w:val="0"/>
          <w:sz w:val="24"/>
          <w:szCs w:val="24"/>
          <w:highlight w:val="none"/>
          <w:lang w:val="en-US" w:eastAsia="en-US" w:bidi="ar-SA"/>
        </w:rPr>
        <w:t>体或者接受分包</w:t>
      </w:r>
      <w:r>
        <w:rPr>
          <w:rFonts w:hint="eastAsia" w:ascii="宋体" w:hAnsi="宋体" w:eastAsia="宋体" w:cs="宋体"/>
          <w:snapToGrid w:val="0"/>
          <w:color w:val="auto"/>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的小微企业与联合体内其他企业、分包企业之间存在直接控股、管理关系的，不享受价格扣除优惠政策。</w:t>
      </w:r>
    </w:p>
    <w:p w14:paraId="4641E1C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8"/>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价格扣除比例或者价格分加分比例对小型企业和微型</w:t>
      </w:r>
      <w:r>
        <w:rPr>
          <w:rFonts w:hint="eastAsia" w:ascii="宋体" w:hAnsi="宋体" w:eastAsia="宋体" w:cs="宋体"/>
          <w:snapToGrid w:val="0"/>
          <w:color w:val="auto"/>
          <w:spacing w:val="8"/>
          <w:kern w:val="0"/>
          <w:sz w:val="24"/>
          <w:szCs w:val="24"/>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14:paraId="68D143B4">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第十条  采购人应当严格按照本办法规定和</w:t>
      </w:r>
      <w:r>
        <w:rPr>
          <w:rFonts w:hint="eastAsia" w:ascii="宋体" w:hAnsi="宋体" w:eastAsia="宋体" w:cs="宋体"/>
          <w:snapToGrid w:val="0"/>
          <w:color w:val="auto"/>
          <w:spacing w:val="18"/>
          <w:kern w:val="0"/>
          <w:sz w:val="24"/>
          <w:szCs w:val="24"/>
          <w:highlight w:val="none"/>
          <w:lang w:val="en-US" w:eastAsia="en-US" w:bidi="ar-SA"/>
        </w:rPr>
        <w:t>主管预算</w:t>
      </w:r>
      <w:r>
        <w:rPr>
          <w:rFonts w:hint="eastAsia" w:ascii="宋体" w:hAnsi="宋体" w:eastAsia="宋体" w:cs="宋体"/>
          <w:snapToGrid w:val="0"/>
          <w:color w:val="auto"/>
          <w:spacing w:val="8"/>
          <w:kern w:val="0"/>
          <w:sz w:val="24"/>
          <w:szCs w:val="24"/>
          <w:highlight w:val="none"/>
          <w:lang w:val="en-US" w:eastAsia="en-US" w:bidi="ar-SA"/>
        </w:rPr>
        <w:t>单位制定的预留采购份额具体方案开展采购活动。预留份额的采购项目或者采购包，通过发布公告方式邀请供应商后，</w:t>
      </w:r>
      <w:r>
        <w:rPr>
          <w:rFonts w:hint="eastAsia" w:ascii="宋体" w:hAnsi="宋体" w:eastAsia="宋体" w:cs="宋体"/>
          <w:snapToGrid w:val="0"/>
          <w:color w:val="auto"/>
          <w:spacing w:val="6"/>
          <w:kern w:val="0"/>
          <w:sz w:val="24"/>
          <w:szCs w:val="24"/>
          <w:highlight w:val="none"/>
          <w:lang w:val="en-US" w:eastAsia="en-US" w:bidi="ar-SA"/>
        </w:rPr>
        <w:t>符合资格条件的中小企业数量不足</w:t>
      </w:r>
      <w:r>
        <w:rPr>
          <w:rFonts w:hint="eastAsia" w:ascii="宋体" w:hAnsi="宋体" w:eastAsia="宋体" w:cs="宋体"/>
          <w:snapToGrid w:val="0"/>
          <w:color w:val="auto"/>
          <w:spacing w:val="-47"/>
          <w:kern w:val="0"/>
          <w:sz w:val="24"/>
          <w:szCs w:val="24"/>
          <w:highlight w:val="none"/>
          <w:lang w:val="en-US" w:eastAsia="en-US" w:bidi="ar-SA"/>
        </w:rPr>
        <w:t xml:space="preserve"> </w:t>
      </w:r>
      <w:r>
        <w:rPr>
          <w:rFonts w:hint="eastAsia" w:ascii="宋体" w:hAnsi="宋体" w:eastAsia="宋体" w:cs="宋体"/>
          <w:snapToGrid w:val="0"/>
          <w:color w:val="auto"/>
          <w:spacing w:val="6"/>
          <w:kern w:val="0"/>
          <w:sz w:val="24"/>
          <w:szCs w:val="24"/>
          <w:highlight w:val="none"/>
          <w:lang w:val="en-US" w:eastAsia="en-US" w:bidi="ar-SA"/>
        </w:rPr>
        <w:t>3</w:t>
      </w:r>
      <w:r>
        <w:rPr>
          <w:rFonts w:hint="eastAsia" w:ascii="宋体" w:hAnsi="宋体" w:eastAsia="宋体" w:cs="宋体"/>
          <w:snapToGrid w:val="0"/>
          <w:color w:val="auto"/>
          <w:spacing w:val="-49"/>
          <w:kern w:val="0"/>
          <w:sz w:val="24"/>
          <w:szCs w:val="24"/>
          <w:highlight w:val="none"/>
          <w:lang w:val="en-US" w:eastAsia="en-US" w:bidi="ar-SA"/>
        </w:rPr>
        <w:t xml:space="preserve"> </w:t>
      </w:r>
      <w:r>
        <w:rPr>
          <w:rFonts w:hint="eastAsia" w:ascii="宋体" w:hAnsi="宋体" w:eastAsia="宋体" w:cs="宋体"/>
          <w:snapToGrid w:val="0"/>
          <w:color w:val="auto"/>
          <w:spacing w:val="6"/>
          <w:kern w:val="0"/>
          <w:sz w:val="24"/>
          <w:szCs w:val="24"/>
          <w:highlight w:val="none"/>
          <w:lang w:val="en-US" w:eastAsia="en-US" w:bidi="ar-SA"/>
        </w:rPr>
        <w:t>家的，应当中止采购活</w:t>
      </w:r>
      <w:r>
        <w:rPr>
          <w:rFonts w:hint="eastAsia" w:ascii="宋体" w:hAnsi="宋体" w:eastAsia="宋体" w:cs="宋体"/>
          <w:snapToGrid w:val="0"/>
          <w:color w:val="auto"/>
          <w:spacing w:val="8"/>
          <w:kern w:val="0"/>
          <w:sz w:val="24"/>
          <w:szCs w:val="24"/>
          <w:highlight w:val="none"/>
          <w:lang w:val="en-US" w:eastAsia="en-US" w:bidi="ar-SA"/>
        </w:rPr>
        <w:t>动，视同未预留份额的采购项目或者采购包，按照本办法第</w:t>
      </w:r>
      <w:r>
        <w:rPr>
          <w:rFonts w:hint="eastAsia" w:ascii="宋体" w:hAnsi="宋体" w:eastAsia="宋体" w:cs="宋体"/>
          <w:snapToGrid w:val="0"/>
          <w:color w:val="auto"/>
          <w:spacing w:val="7"/>
          <w:kern w:val="0"/>
          <w:sz w:val="24"/>
          <w:szCs w:val="24"/>
          <w:highlight w:val="none"/>
          <w:lang w:val="en-US" w:eastAsia="en-US" w:bidi="ar-SA"/>
        </w:rPr>
        <w:t>九条有关规定重新组织采购活动。</w:t>
      </w:r>
    </w:p>
    <w:p w14:paraId="5B96402D">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第十一条</w:t>
      </w:r>
      <w:r>
        <w:rPr>
          <w:rFonts w:hint="eastAsia" w:ascii="宋体" w:hAnsi="宋体" w:eastAsia="宋体" w:cs="宋体"/>
          <w:snapToGrid w:val="0"/>
          <w:color w:val="auto"/>
          <w:spacing w:val="37"/>
          <w:kern w:val="0"/>
          <w:sz w:val="24"/>
          <w:szCs w:val="24"/>
          <w:highlight w:val="none"/>
          <w:lang w:val="en-US" w:eastAsia="en-US" w:bidi="ar-SA"/>
        </w:rPr>
        <w:t xml:space="preserve">  </w:t>
      </w:r>
      <w:r>
        <w:rPr>
          <w:rFonts w:hint="eastAsia" w:ascii="宋体" w:hAnsi="宋体" w:eastAsia="宋体" w:cs="宋体"/>
          <w:snapToGrid w:val="0"/>
          <w:color w:val="auto"/>
          <w:spacing w:val="3"/>
          <w:kern w:val="0"/>
          <w:sz w:val="24"/>
          <w:szCs w:val="24"/>
          <w:highlight w:val="none"/>
          <w:lang w:val="en-US" w:eastAsia="en-US" w:bidi="ar-SA"/>
        </w:rPr>
        <w:t>中小企业参加政府采购活动，应当出具本办</w:t>
      </w:r>
      <w:r>
        <w:rPr>
          <w:rFonts w:hint="eastAsia" w:ascii="宋体" w:hAnsi="宋体" w:eastAsia="宋体" w:cs="宋体"/>
          <w:snapToGrid w:val="0"/>
          <w:color w:val="auto"/>
          <w:spacing w:val="2"/>
          <w:kern w:val="0"/>
          <w:sz w:val="24"/>
          <w:szCs w:val="24"/>
          <w:highlight w:val="none"/>
          <w:lang w:val="en-US" w:eastAsia="en-US" w:bidi="ar-SA"/>
        </w:rPr>
        <w:t>法规定的《中小企业声明函》（附</w:t>
      </w:r>
      <w:r>
        <w:rPr>
          <w:rFonts w:hint="eastAsia" w:ascii="宋体" w:hAnsi="宋体" w:eastAsia="宋体" w:cs="宋体"/>
          <w:snapToGrid w:val="0"/>
          <w:color w:val="auto"/>
          <w:spacing w:val="-36"/>
          <w:kern w:val="0"/>
          <w:sz w:val="24"/>
          <w:szCs w:val="24"/>
          <w:highlight w:val="none"/>
          <w:lang w:val="en-US" w:eastAsia="en-US" w:bidi="ar-SA"/>
        </w:rPr>
        <w:t xml:space="preserve"> </w:t>
      </w:r>
      <w:r>
        <w:rPr>
          <w:rFonts w:hint="eastAsia" w:ascii="宋体" w:hAnsi="宋体" w:eastAsia="宋体" w:cs="宋体"/>
          <w:snapToGrid w:val="0"/>
          <w:color w:val="auto"/>
          <w:spacing w:val="2"/>
          <w:kern w:val="0"/>
          <w:sz w:val="24"/>
          <w:szCs w:val="24"/>
          <w:highlight w:val="none"/>
          <w:lang w:val="en-US" w:eastAsia="en-US" w:bidi="ar-SA"/>
        </w:rPr>
        <w:t>1</w:t>
      </w:r>
      <w:r>
        <w:rPr>
          <w:rFonts w:hint="eastAsia" w:ascii="宋体" w:hAnsi="宋体" w:eastAsia="宋体" w:cs="宋体"/>
          <w:snapToGrid w:val="0"/>
          <w:color w:val="auto"/>
          <w:spacing w:val="-50"/>
          <w:kern w:val="0"/>
          <w:sz w:val="24"/>
          <w:szCs w:val="24"/>
          <w:highlight w:val="none"/>
          <w:lang w:val="en-US" w:eastAsia="en-US" w:bidi="ar-SA"/>
        </w:rPr>
        <w:t>），</w:t>
      </w:r>
      <w:r>
        <w:rPr>
          <w:rFonts w:hint="eastAsia" w:ascii="宋体" w:hAnsi="宋体" w:eastAsia="宋体" w:cs="宋体"/>
          <w:snapToGrid w:val="0"/>
          <w:color w:val="auto"/>
          <w:spacing w:val="2"/>
          <w:kern w:val="0"/>
          <w:sz w:val="24"/>
          <w:szCs w:val="24"/>
          <w:highlight w:val="none"/>
          <w:lang w:val="en-US" w:eastAsia="en-US" w:bidi="ar-SA"/>
        </w:rPr>
        <w:t>否则不得享受相关中</w:t>
      </w:r>
      <w:r>
        <w:rPr>
          <w:rFonts w:hint="eastAsia" w:ascii="宋体" w:hAnsi="宋体" w:eastAsia="宋体" w:cs="宋体"/>
          <w:snapToGrid w:val="0"/>
          <w:color w:val="auto"/>
          <w:spacing w:val="8"/>
          <w:kern w:val="0"/>
          <w:sz w:val="24"/>
          <w:szCs w:val="24"/>
          <w:highlight w:val="none"/>
          <w:lang w:val="en-US" w:eastAsia="en-US" w:bidi="ar-SA"/>
        </w:rPr>
        <w:t>小企业扶持政策。任何单位和个人不得要求供应商提供《中小企业声明函》之外的中小企业身份证明文件。</w:t>
      </w:r>
    </w:p>
    <w:p w14:paraId="55A3562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9"/>
        <w:jc w:val="left"/>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 xml:space="preserve">第十二条  </w:t>
      </w:r>
      <w:r>
        <w:rPr>
          <w:rFonts w:hint="eastAsia" w:ascii="宋体" w:hAnsi="宋体" w:eastAsia="宋体" w:cs="宋体"/>
          <w:snapToGrid w:val="0"/>
          <w:color w:val="auto"/>
          <w:spacing w:val="2"/>
          <w:kern w:val="0"/>
          <w:sz w:val="24"/>
          <w:szCs w:val="24"/>
          <w:highlight w:val="none"/>
          <w:lang w:val="en-US" w:eastAsia="en-US" w:bidi="ar-SA"/>
        </w:rPr>
        <w:t>采购项目涉及中小企业采购的，采购文件应当明确以下内容：</w:t>
      </w:r>
    </w:p>
    <w:p w14:paraId="6A33EFBD">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（一）预留份额的采购项目或者采购包，明确该项目或</w:t>
      </w:r>
      <w:r>
        <w:rPr>
          <w:rFonts w:hint="eastAsia" w:ascii="宋体" w:hAnsi="宋体" w:eastAsia="宋体" w:cs="宋体"/>
          <w:snapToGrid w:val="0"/>
          <w:color w:val="auto"/>
          <w:spacing w:val="11"/>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相关采购包专门面向中小企业采购，以及相关标的及预算金</w:t>
      </w:r>
      <w:r>
        <w:rPr>
          <w:rFonts w:hint="eastAsia" w:ascii="宋体" w:hAnsi="宋体" w:eastAsia="宋体" w:cs="宋体"/>
          <w:snapToGrid w:val="0"/>
          <w:color w:val="auto"/>
          <w:spacing w:val="-6"/>
          <w:kern w:val="0"/>
          <w:sz w:val="24"/>
          <w:szCs w:val="24"/>
          <w:highlight w:val="none"/>
          <w:lang w:val="en-US" w:eastAsia="en-US" w:bidi="ar-SA"/>
        </w:rPr>
        <w:t>额；</w:t>
      </w:r>
    </w:p>
    <w:p w14:paraId="58FCA2C1">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（二）要求以联合体形式参加或者合同分包的，明确联 合协议或者分包意向协议中中小企业合同金额应当达到的比例，并作为供应商资格条件；</w:t>
      </w:r>
    </w:p>
    <w:p w14:paraId="6D54D8AA">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（三）非预留份额的采购项目或者采购包，明确有关价格扣除比例或者价格分加分比例；</w:t>
      </w:r>
    </w:p>
    <w:p w14:paraId="4BB3869C">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（四）规定依据本办法规定享受扶持政策获得政府采购合同的，小微企业不得将合同分包给大中型企业，中型企业不得将合同分包给大型企业；</w:t>
      </w:r>
    </w:p>
    <w:p w14:paraId="0857AE65">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（五）采购人认为具备相关条件的，明确对中小企业在资金支付期限、预付款比例等方面的优惠措施；</w:t>
      </w:r>
    </w:p>
    <w:p w14:paraId="1F0E4EDE">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（六）明确采购标的对应的中小企业划分标准所属行业；</w:t>
      </w:r>
    </w:p>
    <w:p w14:paraId="3DBE77A8">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9"/>
        <w:jc w:val="left"/>
        <w:textAlignment w:val="baseline"/>
        <w:rPr>
          <w:rFonts w:hint="eastAsia" w:ascii="宋体" w:hAnsi="宋体" w:eastAsia="宋体" w:cs="宋体"/>
          <w:snapToGrid w:val="0"/>
          <w:color w:val="auto"/>
          <w:spacing w:val="5"/>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（七）法律法规和省级以上人民政府财政部门规定的其他事项。</w:t>
      </w:r>
    </w:p>
    <w:p w14:paraId="548905E9">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en-US" w:bidi="ar-SA"/>
        </w:rPr>
        <w:t>第十三条</w:t>
      </w:r>
      <w:r>
        <w:rPr>
          <w:rFonts w:hint="eastAsia" w:ascii="宋体" w:hAnsi="宋体" w:eastAsia="宋体" w:cs="宋体"/>
          <w:snapToGrid w:val="0"/>
          <w:color w:val="auto"/>
          <w:spacing w:val="36"/>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中标、成交供应商享受本办法规定的中小企业扶持政策的，采购人、采购代理机构应当随中标、成交结果公开中标、成交供应商的《中小企业声明函》。</w:t>
      </w:r>
    </w:p>
    <w:p w14:paraId="5BB4ABF4">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适用招标投标法的政府采购工程建设项目，应当在公示中标候选人时公开中标候选</w:t>
      </w:r>
      <w:r>
        <w:rPr>
          <w:rFonts w:hint="eastAsia" w:ascii="宋体" w:hAnsi="宋体" w:eastAsia="宋体" w:cs="宋体"/>
          <w:snapToGrid w:val="0"/>
          <w:color w:val="auto"/>
          <w:spacing w:val="2"/>
          <w:kern w:val="0"/>
          <w:sz w:val="24"/>
          <w:szCs w:val="24"/>
          <w:highlight w:val="none"/>
          <w:lang w:val="en-US" w:eastAsia="en-US" w:bidi="ar-SA"/>
        </w:rPr>
        <w:t>人的《中小企业声明函》。</w:t>
      </w:r>
    </w:p>
    <w:p w14:paraId="5543DEA0">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第十四条  对于通过预留采购项目、预留专门采购包、</w:t>
      </w:r>
      <w:r>
        <w:rPr>
          <w:rFonts w:hint="eastAsia" w:ascii="宋体" w:hAnsi="宋体" w:eastAsia="宋体" w:cs="宋体"/>
          <w:snapToGrid w:val="0"/>
          <w:color w:val="auto"/>
          <w:spacing w:val="21"/>
          <w:kern w:val="0"/>
          <w:sz w:val="24"/>
          <w:szCs w:val="24"/>
          <w:highlight w:val="none"/>
          <w:lang w:val="en-US" w:eastAsia="en-US" w:bidi="ar-SA"/>
        </w:rPr>
        <w:t>要求以联合体形式参加或者合同分包等措施签订的采购合</w:t>
      </w:r>
      <w:r>
        <w:rPr>
          <w:rFonts w:hint="eastAsia" w:ascii="宋体" w:hAnsi="宋体" w:eastAsia="宋体" w:cs="宋体"/>
          <w:snapToGrid w:val="0"/>
          <w:color w:val="auto"/>
          <w:spacing w:val="8"/>
          <w:kern w:val="0"/>
          <w:sz w:val="24"/>
          <w:szCs w:val="24"/>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14:paraId="7D3EF43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第十五条  鼓励各地区、各部门在采购活动中允许中小</w:t>
      </w:r>
      <w:r>
        <w:rPr>
          <w:rFonts w:hint="eastAsia" w:ascii="宋体" w:hAnsi="宋体" w:eastAsia="宋体" w:cs="宋体"/>
          <w:snapToGrid w:val="0"/>
          <w:color w:val="auto"/>
          <w:spacing w:val="8"/>
          <w:kern w:val="0"/>
          <w:sz w:val="24"/>
          <w:szCs w:val="24"/>
          <w:highlight w:val="none"/>
          <w:lang w:val="en-US" w:eastAsia="en-US" w:bidi="ar-SA"/>
        </w:rPr>
        <w:t>企业引入信用担保手段，为中小企业在投标（响应）保证、履约保证等方面提供专业化服务。鼓励中小企业依法合规通</w:t>
      </w:r>
      <w:r>
        <w:rPr>
          <w:rFonts w:hint="eastAsia" w:ascii="宋体" w:hAnsi="宋体" w:eastAsia="宋体" w:cs="宋体"/>
          <w:snapToGrid w:val="0"/>
          <w:color w:val="auto"/>
          <w:spacing w:val="6"/>
          <w:kern w:val="0"/>
          <w:sz w:val="24"/>
          <w:szCs w:val="24"/>
          <w:highlight w:val="none"/>
          <w:lang w:val="en-US" w:eastAsia="en-US" w:bidi="ar-SA"/>
        </w:rPr>
        <w:t>过政府采购合同融资。</w:t>
      </w:r>
    </w:p>
    <w:p w14:paraId="2C503C81">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8"/>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第十六条  政府采购监督检查、投诉处理及政府采购行</w:t>
      </w:r>
      <w:r>
        <w:rPr>
          <w:rFonts w:hint="eastAsia" w:ascii="宋体" w:hAnsi="宋体" w:eastAsia="宋体" w:cs="宋体"/>
          <w:snapToGrid w:val="0"/>
          <w:color w:val="auto"/>
          <w:spacing w:val="17"/>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政处罚中对中小企业的认定，由货物制造商或者工程、服务</w:t>
      </w:r>
      <w:r>
        <w:rPr>
          <w:rFonts w:hint="eastAsia" w:ascii="宋体" w:hAnsi="宋体" w:eastAsia="宋体" w:cs="宋体"/>
          <w:snapToGrid w:val="0"/>
          <w:color w:val="auto"/>
          <w:spacing w:val="21"/>
          <w:kern w:val="0"/>
          <w:sz w:val="24"/>
          <w:szCs w:val="24"/>
          <w:highlight w:val="none"/>
          <w:lang w:val="en-US" w:eastAsia="en-US" w:bidi="ar-SA"/>
        </w:rPr>
        <w:t>供应商注册登记所在地的县级以上人民政府中小企业主管</w:t>
      </w:r>
      <w:r>
        <w:rPr>
          <w:rFonts w:hint="eastAsia" w:ascii="宋体" w:hAnsi="宋体" w:eastAsia="宋体" w:cs="宋体"/>
          <w:snapToGrid w:val="0"/>
          <w:color w:val="auto"/>
          <w:spacing w:val="3"/>
          <w:kern w:val="0"/>
          <w:sz w:val="24"/>
          <w:szCs w:val="24"/>
          <w:highlight w:val="none"/>
          <w:lang w:val="en-US" w:eastAsia="en-US" w:bidi="ar-SA"/>
        </w:rPr>
        <w:t>部门负责。</w:t>
      </w:r>
    </w:p>
    <w:p w14:paraId="376FA550">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jc w:val="left"/>
        <w:textAlignment w:val="baseline"/>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17"/>
          <w:kern w:val="0"/>
          <w:sz w:val="24"/>
          <w:szCs w:val="24"/>
          <w:highlight w:val="none"/>
          <w:lang w:val="en-US" w:eastAsia="en-US" w:bidi="ar-SA"/>
        </w:rPr>
        <w:t>中小企业主管部门应当在收到财政部门或者有关招标</w:t>
      </w:r>
      <w:r>
        <w:rPr>
          <w:rFonts w:hint="eastAsia" w:ascii="宋体" w:hAnsi="宋体" w:eastAsia="宋体" w:cs="宋体"/>
          <w:snapToGrid w:val="0"/>
          <w:color w:val="auto"/>
          <w:spacing w:val="11"/>
          <w:kern w:val="0"/>
          <w:sz w:val="24"/>
          <w:szCs w:val="24"/>
          <w:highlight w:val="none"/>
          <w:lang w:val="en-US" w:eastAsia="en-US" w:bidi="ar-SA"/>
        </w:rPr>
        <w:t>投标行政监督部门关于协助开展中小企业认定函后10</w:t>
      </w:r>
      <w:r>
        <w:rPr>
          <w:rFonts w:hint="eastAsia" w:ascii="宋体" w:hAnsi="宋体" w:eastAsia="宋体" w:cs="宋体"/>
          <w:snapToGrid w:val="0"/>
          <w:color w:val="auto"/>
          <w:spacing w:val="-48"/>
          <w:kern w:val="0"/>
          <w:sz w:val="24"/>
          <w:szCs w:val="24"/>
          <w:highlight w:val="none"/>
          <w:lang w:val="en-US" w:eastAsia="en-US" w:bidi="ar-SA"/>
        </w:rPr>
        <w:t xml:space="preserve"> </w:t>
      </w:r>
      <w:r>
        <w:rPr>
          <w:rFonts w:hint="eastAsia" w:ascii="宋体" w:hAnsi="宋体" w:eastAsia="宋体" w:cs="宋体"/>
          <w:snapToGrid w:val="0"/>
          <w:color w:val="auto"/>
          <w:spacing w:val="11"/>
          <w:kern w:val="0"/>
          <w:sz w:val="24"/>
          <w:szCs w:val="24"/>
          <w:highlight w:val="none"/>
          <w:lang w:val="en-US" w:eastAsia="en-US" w:bidi="ar-SA"/>
        </w:rPr>
        <w:t>个工</w:t>
      </w:r>
      <w:r>
        <w:rPr>
          <w:rFonts w:hint="eastAsia" w:ascii="宋体" w:hAnsi="宋体" w:eastAsia="宋体" w:cs="宋体"/>
          <w:snapToGrid w:val="0"/>
          <w:color w:val="auto"/>
          <w:spacing w:val="6"/>
          <w:kern w:val="0"/>
          <w:sz w:val="24"/>
          <w:szCs w:val="24"/>
          <w:highlight w:val="none"/>
          <w:lang w:val="en-US" w:eastAsia="en-US" w:bidi="ar-SA"/>
        </w:rPr>
        <w:t>作日内做出书面答复。</w:t>
      </w:r>
    </w:p>
    <w:p w14:paraId="0D18BB04">
      <w:pPr>
        <w:keepNext w:val="0"/>
        <w:keepLines w:val="0"/>
        <w:pageBreakBefore w:val="0"/>
        <w:numPr>
          <w:ilvl w:val="0"/>
          <w:numId w:val="0"/>
        </w:numPr>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50" w:firstLineChars="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第十七条</w:t>
      </w:r>
      <w:r>
        <w:rPr>
          <w:rFonts w:hint="eastAsia" w:ascii="宋体" w:hAnsi="宋体" w:eastAsia="宋体" w:cs="宋体"/>
          <w:snapToGrid w:val="0"/>
          <w:color w:val="auto"/>
          <w:spacing w:val="5"/>
          <w:kern w:val="0"/>
          <w:sz w:val="24"/>
          <w:szCs w:val="24"/>
          <w:highlight w:val="none"/>
          <w:lang w:val="en-US" w:eastAsia="zh-CN" w:bidi="ar-SA"/>
        </w:rPr>
        <w:t xml:space="preserve"> </w:t>
      </w:r>
      <w:r>
        <w:rPr>
          <w:rFonts w:hint="eastAsia" w:ascii="宋体" w:hAnsi="宋体" w:eastAsia="宋体" w:cs="宋体"/>
          <w:snapToGrid w:val="0"/>
          <w:color w:val="auto"/>
          <w:spacing w:val="17"/>
          <w:kern w:val="0"/>
          <w:sz w:val="24"/>
          <w:szCs w:val="24"/>
          <w:highlight w:val="none"/>
          <w:lang w:val="en-US" w:eastAsia="en-US" w:bidi="ar-SA"/>
        </w:rPr>
        <w:t xml:space="preserve"> 各地区、各部门应当对涉及中小企业采购的预算项目实施全过</w:t>
      </w:r>
      <w:r>
        <w:rPr>
          <w:rFonts w:hint="eastAsia" w:ascii="宋体" w:hAnsi="宋体" w:eastAsia="宋体" w:cs="宋体"/>
          <w:snapToGrid w:val="0"/>
          <w:color w:val="auto"/>
          <w:spacing w:val="8"/>
          <w:kern w:val="0"/>
          <w:sz w:val="24"/>
          <w:szCs w:val="24"/>
          <w:highlight w:val="none"/>
          <w:lang w:val="en-US" w:eastAsia="en-US" w:bidi="ar-SA"/>
        </w:rPr>
        <w:t>程绩效管理，合理设置绩效目标和指标，落实扶持中小企业有关政策要求，定期开展绩效监控和评价，强化绩效评价结果应用。</w:t>
      </w:r>
    </w:p>
    <w:p w14:paraId="2FF7901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12" w:firstLineChars="200"/>
        <w:jc w:val="left"/>
        <w:textAlignment w:val="baseline"/>
        <w:rPr>
          <w:rFonts w:hint="eastAsia" w:ascii="宋体" w:hAnsi="宋体" w:eastAsia="宋体" w:cs="宋体"/>
          <w:snapToGrid w:val="0"/>
          <w:color w:val="auto"/>
          <w:spacing w:val="8"/>
          <w:kern w:val="0"/>
          <w:position w:val="18"/>
          <w:sz w:val="24"/>
          <w:szCs w:val="24"/>
          <w:highlight w:val="none"/>
          <w:lang w:val="en-US" w:eastAsia="en-US" w:bidi="ar-SA"/>
        </w:rPr>
      </w:pPr>
      <w:r>
        <w:rPr>
          <w:rFonts w:hint="eastAsia" w:ascii="宋体" w:hAnsi="宋体" w:eastAsia="宋体" w:cs="宋体"/>
          <w:snapToGrid w:val="0"/>
          <w:color w:val="auto"/>
          <w:spacing w:val="8"/>
          <w:kern w:val="0"/>
          <w:position w:val="18"/>
          <w:sz w:val="24"/>
          <w:szCs w:val="24"/>
          <w:highlight w:val="none"/>
          <w:lang w:val="en-US" w:eastAsia="en-US" w:bidi="ar-SA"/>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C1D3AF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560" w:lineRule="exact"/>
        <w:ind w:right="0" w:rightChars="0" w:firstLine="556" w:firstLineChars="200"/>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第十九条  采购人未按本办法规定为中小企</w:t>
      </w:r>
      <w:r>
        <w:rPr>
          <w:rFonts w:hint="eastAsia" w:ascii="宋体" w:hAnsi="宋体" w:eastAsia="宋体" w:cs="宋体"/>
          <w:snapToGrid w:val="0"/>
          <w:color w:val="auto"/>
          <w:spacing w:val="18"/>
          <w:kern w:val="0"/>
          <w:sz w:val="24"/>
          <w:szCs w:val="24"/>
          <w:highlight w:val="none"/>
          <w:lang w:val="en-US" w:eastAsia="en-US" w:bidi="ar-SA"/>
        </w:rPr>
        <w:t>业预留采</w:t>
      </w:r>
      <w:r>
        <w:rPr>
          <w:rFonts w:hint="eastAsia" w:ascii="宋体" w:hAnsi="宋体" w:eastAsia="宋体" w:cs="宋体"/>
          <w:snapToGrid w:val="0"/>
          <w:color w:val="auto"/>
          <w:spacing w:val="8"/>
          <w:kern w:val="0"/>
          <w:sz w:val="24"/>
          <w:szCs w:val="24"/>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hint="eastAsia" w:ascii="宋体" w:hAnsi="宋体" w:eastAsia="宋体" w:cs="宋体"/>
          <w:snapToGrid w:val="0"/>
          <w:color w:val="auto"/>
          <w:spacing w:val="5"/>
          <w:kern w:val="0"/>
          <w:sz w:val="24"/>
          <w:szCs w:val="24"/>
          <w:highlight w:val="none"/>
          <w:lang w:val="en-US" w:eastAsia="en-US" w:bidi="ar-SA"/>
        </w:rPr>
        <w:t>追究法律责任。</w:t>
      </w:r>
    </w:p>
    <w:p w14:paraId="0060460D">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93"/>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9"/>
          <w:kern w:val="0"/>
          <w:sz w:val="24"/>
          <w:szCs w:val="24"/>
          <w:highlight w:val="none"/>
          <w:lang w:val="en-US" w:eastAsia="en-US" w:bidi="ar-SA"/>
        </w:rPr>
        <w:t>第二十条  供应商按照本办法规定提供声明</w:t>
      </w:r>
      <w:r>
        <w:rPr>
          <w:rFonts w:hint="eastAsia" w:ascii="宋体" w:hAnsi="宋体" w:eastAsia="宋体" w:cs="宋体"/>
          <w:snapToGrid w:val="0"/>
          <w:color w:val="auto"/>
          <w:spacing w:val="18"/>
          <w:kern w:val="0"/>
          <w:sz w:val="24"/>
          <w:szCs w:val="24"/>
          <w:highlight w:val="none"/>
          <w:lang w:val="en-US" w:eastAsia="en-US" w:bidi="ar-SA"/>
        </w:rPr>
        <w:t>函内容不</w:t>
      </w:r>
      <w:r>
        <w:rPr>
          <w:rFonts w:hint="eastAsia" w:ascii="宋体" w:hAnsi="宋体" w:eastAsia="宋体" w:cs="宋体"/>
          <w:snapToGrid w:val="0"/>
          <w:color w:val="auto"/>
          <w:spacing w:val="8"/>
          <w:kern w:val="0"/>
          <w:sz w:val="24"/>
          <w:szCs w:val="24"/>
          <w:highlight w:val="none"/>
          <w:lang w:val="en-US" w:eastAsia="en-US" w:bidi="ar-SA"/>
        </w:rPr>
        <w:t>实的，属于提供虚假材料谋取中标、成交，依照《中华人民共和国政府采购法》等国家有关规定追究相应责任。</w:t>
      </w:r>
    </w:p>
    <w:p w14:paraId="643AB719">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638"/>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适用招标投标法的政府采购工程建设项目，</w:t>
      </w:r>
      <w:r>
        <w:rPr>
          <w:rFonts w:hint="eastAsia" w:ascii="宋体" w:hAnsi="宋体" w:eastAsia="宋体" w:cs="宋体"/>
          <w:snapToGrid w:val="0"/>
          <w:color w:val="auto"/>
          <w:spacing w:val="6"/>
          <w:kern w:val="0"/>
          <w:sz w:val="24"/>
          <w:szCs w:val="24"/>
          <w:highlight w:val="none"/>
          <w:lang w:val="en-US" w:eastAsia="zh-CN" w:bidi="ar-SA"/>
        </w:rPr>
        <w:t>供应商</w:t>
      </w:r>
      <w:r>
        <w:rPr>
          <w:rFonts w:hint="eastAsia" w:ascii="宋体" w:hAnsi="宋体" w:eastAsia="宋体" w:cs="宋体"/>
          <w:snapToGrid w:val="0"/>
          <w:color w:val="auto"/>
          <w:spacing w:val="6"/>
          <w:kern w:val="0"/>
          <w:sz w:val="24"/>
          <w:szCs w:val="24"/>
          <w:highlight w:val="none"/>
          <w:lang w:val="en-US" w:eastAsia="en-US" w:bidi="ar-SA"/>
        </w:rPr>
        <w:t>按照本办法规定提供声明函内容不实的，属于弄虚作假骗取</w:t>
      </w:r>
      <w:r>
        <w:rPr>
          <w:rFonts w:hint="eastAsia" w:ascii="宋体" w:hAnsi="宋体" w:eastAsia="宋体" w:cs="宋体"/>
          <w:snapToGrid w:val="0"/>
          <w:color w:val="auto"/>
          <w:spacing w:val="5"/>
          <w:kern w:val="0"/>
          <w:sz w:val="24"/>
          <w:szCs w:val="24"/>
          <w:highlight w:val="none"/>
          <w:lang w:val="en-US" w:eastAsia="en-US" w:bidi="ar-SA"/>
        </w:rPr>
        <w:t>中标，</w:t>
      </w:r>
      <w:r>
        <w:rPr>
          <w:rFonts w:hint="eastAsia" w:ascii="宋体" w:hAnsi="宋体" w:eastAsia="宋体" w:cs="宋体"/>
          <w:snapToGrid w:val="0"/>
          <w:color w:val="auto"/>
          <w:spacing w:val="8"/>
          <w:kern w:val="0"/>
          <w:sz w:val="24"/>
          <w:szCs w:val="24"/>
          <w:highlight w:val="none"/>
          <w:lang w:val="en-US" w:eastAsia="en-US" w:bidi="ar-SA"/>
        </w:rPr>
        <w:t>依照《中华人民共和国招标投标法》等国家有关规定追究相</w:t>
      </w:r>
      <w:r>
        <w:rPr>
          <w:rFonts w:hint="eastAsia" w:ascii="宋体" w:hAnsi="宋体" w:eastAsia="宋体" w:cs="宋体"/>
          <w:snapToGrid w:val="0"/>
          <w:color w:val="auto"/>
          <w:spacing w:val="2"/>
          <w:kern w:val="0"/>
          <w:sz w:val="24"/>
          <w:szCs w:val="24"/>
          <w:highlight w:val="none"/>
          <w:lang w:val="en-US" w:eastAsia="en-US" w:bidi="ar-SA"/>
        </w:rPr>
        <w:t>应责任。</w:t>
      </w:r>
    </w:p>
    <w:p w14:paraId="0CE8A2AB">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702"/>
        <w:jc w:val="both"/>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第二十一条  财政部门、中小企业主管部门及其工作人</w:t>
      </w:r>
      <w:r>
        <w:rPr>
          <w:rFonts w:hint="eastAsia" w:ascii="宋体" w:hAnsi="宋体" w:eastAsia="宋体" w:cs="宋体"/>
          <w:snapToGrid w:val="0"/>
          <w:color w:val="auto"/>
          <w:spacing w:val="8"/>
          <w:kern w:val="0"/>
          <w:sz w:val="24"/>
          <w:szCs w:val="24"/>
          <w:highlight w:val="none"/>
          <w:lang w:val="en-US" w:eastAsia="en-US" w:bidi="ar-SA"/>
        </w:rPr>
        <w:t>员在履行职责中违反本办法规定及存在其他滥用职权、玩忽职守、徇私舞弊等违法违纪行为的，依照《</w:t>
      </w:r>
      <w:r>
        <w:rPr>
          <w:rFonts w:hint="eastAsia" w:ascii="宋体" w:hAnsi="宋体" w:eastAsia="宋体" w:cs="宋体"/>
          <w:snapToGrid w:val="0"/>
          <w:color w:val="auto"/>
          <w:kern w:val="0"/>
          <w:sz w:val="24"/>
          <w:szCs w:val="24"/>
          <w:highlight w:val="none"/>
          <w:lang w:val="en-US" w:eastAsia="en-US" w:bidi="ar-SA"/>
        </w:rPr>
        <w:fldChar w:fldCharType="begin"/>
      </w:r>
      <w:r>
        <w:rPr>
          <w:rFonts w:hint="eastAsia" w:ascii="宋体" w:hAnsi="宋体" w:eastAsia="宋体" w:cs="宋体"/>
          <w:snapToGrid w:val="0"/>
          <w:color w:val="auto"/>
          <w:kern w:val="0"/>
          <w:sz w:val="24"/>
          <w:szCs w:val="24"/>
          <w:highlight w:val="none"/>
          <w:lang w:val="en-US" w:eastAsia="en-US" w:bidi="ar-SA"/>
        </w:rPr>
        <w:instrText xml:space="preserve"> HYPERLINK "http://10.162.100.18:168/golaw?dbnm=gjfg&amp;flid=1116012014128049" </w:instrText>
      </w:r>
      <w:r>
        <w:rPr>
          <w:rFonts w:hint="eastAsia" w:ascii="宋体" w:hAnsi="宋体" w:eastAsia="宋体" w:cs="宋体"/>
          <w:snapToGrid w:val="0"/>
          <w:color w:val="auto"/>
          <w:kern w:val="0"/>
          <w:sz w:val="24"/>
          <w:szCs w:val="24"/>
          <w:highlight w:val="none"/>
          <w:lang w:val="en-US" w:eastAsia="en-US" w:bidi="ar-SA"/>
        </w:rPr>
        <w:fldChar w:fldCharType="separate"/>
      </w:r>
      <w:r>
        <w:rPr>
          <w:rFonts w:hint="eastAsia" w:ascii="宋体" w:hAnsi="宋体" w:eastAsia="宋体" w:cs="宋体"/>
          <w:snapToGrid w:val="0"/>
          <w:color w:val="auto"/>
          <w:spacing w:val="8"/>
          <w:kern w:val="0"/>
          <w:sz w:val="24"/>
          <w:szCs w:val="24"/>
          <w:highlight w:val="none"/>
          <w:lang w:val="en-US" w:eastAsia="en-US" w:bidi="ar-SA"/>
        </w:rPr>
        <w:t>中华人民共和国</w:t>
      </w:r>
      <w:r>
        <w:rPr>
          <w:rFonts w:hint="eastAsia" w:ascii="宋体" w:hAnsi="宋体" w:eastAsia="宋体" w:cs="宋体"/>
          <w:snapToGrid w:val="0"/>
          <w:color w:val="auto"/>
          <w:spacing w:val="8"/>
          <w:kern w:val="0"/>
          <w:sz w:val="24"/>
          <w:szCs w:val="24"/>
          <w:highlight w:val="none"/>
          <w:lang w:val="en-US" w:eastAsia="en-US" w:bidi="ar-SA"/>
        </w:rPr>
        <w:fldChar w:fldCharType="end"/>
      </w:r>
      <w:r>
        <w:rPr>
          <w:rFonts w:hint="eastAsia" w:ascii="宋体" w:hAnsi="宋体" w:eastAsia="宋体" w:cs="宋体"/>
          <w:snapToGrid w:val="0"/>
          <w:color w:val="auto"/>
          <w:spacing w:val="-14"/>
          <w:kern w:val="0"/>
          <w:sz w:val="24"/>
          <w:szCs w:val="24"/>
          <w:highlight w:val="none"/>
          <w:lang w:val="en-US" w:eastAsia="en-US" w:bidi="ar-SA"/>
        </w:rPr>
        <w:t>政府采购法》、《</w:t>
      </w:r>
      <w:r>
        <w:rPr>
          <w:rFonts w:hint="eastAsia" w:ascii="宋体" w:hAnsi="宋体" w:eastAsia="宋体" w:cs="宋体"/>
          <w:snapToGrid w:val="0"/>
          <w:color w:val="auto"/>
          <w:kern w:val="0"/>
          <w:sz w:val="24"/>
          <w:szCs w:val="24"/>
          <w:highlight w:val="none"/>
          <w:lang w:val="en-US" w:eastAsia="en-US" w:bidi="ar-SA"/>
        </w:rPr>
        <w:fldChar w:fldCharType="begin"/>
      </w:r>
      <w:r>
        <w:rPr>
          <w:rFonts w:hint="eastAsia" w:ascii="宋体" w:hAnsi="宋体" w:eastAsia="宋体" w:cs="宋体"/>
          <w:snapToGrid w:val="0"/>
          <w:color w:val="auto"/>
          <w:kern w:val="0"/>
          <w:sz w:val="24"/>
          <w:szCs w:val="24"/>
          <w:highlight w:val="none"/>
          <w:lang w:val="en-US" w:eastAsia="en-US" w:bidi="ar-SA"/>
        </w:rPr>
        <w:instrText xml:space="preserve"> HYPERLINK "http://10.162.100.18:168/golaw?dbnm=gjfg&amp;flid=111601200501" </w:instrText>
      </w:r>
      <w:r>
        <w:rPr>
          <w:rFonts w:hint="eastAsia" w:ascii="宋体" w:hAnsi="宋体" w:eastAsia="宋体" w:cs="宋体"/>
          <w:snapToGrid w:val="0"/>
          <w:color w:val="auto"/>
          <w:kern w:val="0"/>
          <w:sz w:val="24"/>
          <w:szCs w:val="24"/>
          <w:highlight w:val="none"/>
          <w:lang w:val="en-US" w:eastAsia="en-US" w:bidi="ar-SA"/>
        </w:rPr>
        <w:fldChar w:fldCharType="separate"/>
      </w:r>
      <w:r>
        <w:rPr>
          <w:rFonts w:hint="eastAsia" w:ascii="宋体" w:hAnsi="宋体" w:eastAsia="宋体" w:cs="宋体"/>
          <w:snapToGrid w:val="0"/>
          <w:color w:val="auto"/>
          <w:spacing w:val="-14"/>
          <w:kern w:val="0"/>
          <w:sz w:val="24"/>
          <w:szCs w:val="24"/>
          <w:highlight w:val="none"/>
          <w:lang w:val="en-US" w:eastAsia="en-US" w:bidi="ar-SA"/>
        </w:rPr>
        <w:t>中华人民共和国公务员法</w:t>
      </w:r>
      <w:r>
        <w:rPr>
          <w:rFonts w:hint="eastAsia" w:ascii="宋体" w:hAnsi="宋体" w:eastAsia="宋体" w:cs="宋体"/>
          <w:snapToGrid w:val="0"/>
          <w:color w:val="auto"/>
          <w:spacing w:val="-14"/>
          <w:kern w:val="0"/>
          <w:sz w:val="24"/>
          <w:szCs w:val="24"/>
          <w:highlight w:val="none"/>
          <w:lang w:val="en-US" w:eastAsia="en-US" w:bidi="ar-SA"/>
        </w:rPr>
        <w:fldChar w:fldCharType="end"/>
      </w:r>
      <w:r>
        <w:rPr>
          <w:rFonts w:hint="eastAsia" w:ascii="宋体" w:hAnsi="宋体" w:eastAsia="宋体" w:cs="宋体"/>
          <w:snapToGrid w:val="0"/>
          <w:color w:val="auto"/>
          <w:spacing w:val="-14"/>
          <w:kern w:val="0"/>
          <w:sz w:val="24"/>
          <w:szCs w:val="24"/>
          <w:highlight w:val="none"/>
          <w:lang w:val="en-US" w:eastAsia="en-US" w:bidi="ar-SA"/>
        </w:rPr>
        <w:t>》、《</w:t>
      </w:r>
      <w:r>
        <w:rPr>
          <w:rFonts w:hint="eastAsia" w:ascii="宋体" w:hAnsi="宋体" w:eastAsia="宋体" w:cs="宋体"/>
          <w:snapToGrid w:val="0"/>
          <w:color w:val="auto"/>
          <w:kern w:val="0"/>
          <w:sz w:val="24"/>
          <w:szCs w:val="24"/>
          <w:highlight w:val="none"/>
          <w:lang w:val="en-US" w:eastAsia="en-US" w:bidi="ar-SA"/>
        </w:rPr>
        <w:fldChar w:fldCharType="begin"/>
      </w:r>
      <w:r>
        <w:rPr>
          <w:rFonts w:hint="eastAsia" w:ascii="宋体" w:hAnsi="宋体" w:eastAsia="宋体" w:cs="宋体"/>
          <w:snapToGrid w:val="0"/>
          <w:color w:val="auto"/>
          <w:kern w:val="0"/>
          <w:sz w:val="24"/>
          <w:szCs w:val="24"/>
          <w:highlight w:val="none"/>
          <w:lang w:val="en-US" w:eastAsia="en-US" w:bidi="ar-SA"/>
        </w:rPr>
        <w:instrText xml:space="preserve"> HYPERLINK "http://10.162.100.18:168/golaw?dbnm=gjfg&amp;flid=1117032010100014" </w:instrText>
      </w:r>
      <w:r>
        <w:rPr>
          <w:rFonts w:hint="eastAsia" w:ascii="宋体" w:hAnsi="宋体" w:eastAsia="宋体" w:cs="宋体"/>
          <w:snapToGrid w:val="0"/>
          <w:color w:val="auto"/>
          <w:kern w:val="0"/>
          <w:sz w:val="24"/>
          <w:szCs w:val="24"/>
          <w:highlight w:val="none"/>
          <w:lang w:val="en-US" w:eastAsia="en-US" w:bidi="ar-SA"/>
        </w:rPr>
        <w:fldChar w:fldCharType="separate"/>
      </w:r>
      <w:r>
        <w:rPr>
          <w:rFonts w:hint="eastAsia" w:ascii="宋体" w:hAnsi="宋体" w:eastAsia="宋体" w:cs="宋体"/>
          <w:snapToGrid w:val="0"/>
          <w:color w:val="auto"/>
          <w:spacing w:val="-14"/>
          <w:kern w:val="0"/>
          <w:sz w:val="24"/>
          <w:szCs w:val="24"/>
          <w:highlight w:val="none"/>
          <w:lang w:val="en-US" w:eastAsia="en-US" w:bidi="ar-SA"/>
        </w:rPr>
        <w:t>中华人民共和</w:t>
      </w:r>
      <w:r>
        <w:rPr>
          <w:rFonts w:hint="eastAsia" w:ascii="宋体" w:hAnsi="宋体" w:eastAsia="宋体" w:cs="宋体"/>
          <w:snapToGrid w:val="0"/>
          <w:color w:val="auto"/>
          <w:spacing w:val="-14"/>
          <w:kern w:val="0"/>
          <w:sz w:val="24"/>
          <w:szCs w:val="24"/>
          <w:highlight w:val="none"/>
          <w:lang w:val="en-US" w:eastAsia="en-US" w:bidi="ar-SA"/>
        </w:rPr>
        <w:fldChar w:fldCharType="end"/>
      </w:r>
      <w:r>
        <w:rPr>
          <w:rFonts w:hint="eastAsia" w:ascii="宋体" w:hAnsi="宋体" w:eastAsia="宋体" w:cs="宋体"/>
          <w:snapToGrid w:val="0"/>
          <w:color w:val="auto"/>
          <w:spacing w:val="-3"/>
          <w:kern w:val="0"/>
          <w:sz w:val="24"/>
          <w:szCs w:val="24"/>
          <w:highlight w:val="none"/>
          <w:lang w:val="en-US" w:eastAsia="en-US" w:bidi="ar-SA"/>
        </w:rPr>
        <w:t>国监察法》、《</w:t>
      </w:r>
      <w:r>
        <w:rPr>
          <w:rFonts w:hint="eastAsia" w:ascii="宋体" w:hAnsi="宋体" w:eastAsia="宋体" w:cs="宋体"/>
          <w:snapToGrid w:val="0"/>
          <w:color w:val="auto"/>
          <w:kern w:val="0"/>
          <w:sz w:val="24"/>
          <w:szCs w:val="24"/>
          <w:highlight w:val="none"/>
          <w:lang w:val="en-US" w:eastAsia="en-US" w:bidi="ar-SA"/>
        </w:rPr>
        <w:fldChar w:fldCharType="begin"/>
      </w:r>
      <w:r>
        <w:rPr>
          <w:rFonts w:hint="eastAsia" w:ascii="宋体" w:hAnsi="宋体" w:eastAsia="宋体" w:cs="宋体"/>
          <w:snapToGrid w:val="0"/>
          <w:color w:val="auto"/>
          <w:kern w:val="0"/>
          <w:sz w:val="24"/>
          <w:szCs w:val="24"/>
          <w:highlight w:val="none"/>
          <w:lang w:val="en-US" w:eastAsia="en-US" w:bidi="ar-SA"/>
        </w:rPr>
        <w:instrText xml:space="preserve"> HYPERLINK "http://10.162.100.18:168/golaw?dbnm=gjfg&amp;flid=1129012015130679" </w:instrText>
      </w:r>
      <w:r>
        <w:rPr>
          <w:rFonts w:hint="eastAsia" w:ascii="宋体" w:hAnsi="宋体" w:eastAsia="宋体" w:cs="宋体"/>
          <w:snapToGrid w:val="0"/>
          <w:color w:val="auto"/>
          <w:kern w:val="0"/>
          <w:sz w:val="24"/>
          <w:szCs w:val="24"/>
          <w:highlight w:val="none"/>
          <w:lang w:val="en-US" w:eastAsia="en-US" w:bidi="ar-SA"/>
        </w:rPr>
        <w:fldChar w:fldCharType="separate"/>
      </w:r>
      <w:r>
        <w:rPr>
          <w:rFonts w:hint="eastAsia" w:ascii="宋体" w:hAnsi="宋体" w:eastAsia="宋体" w:cs="宋体"/>
          <w:snapToGrid w:val="0"/>
          <w:color w:val="auto"/>
          <w:spacing w:val="-3"/>
          <w:kern w:val="0"/>
          <w:sz w:val="24"/>
          <w:szCs w:val="24"/>
          <w:highlight w:val="none"/>
          <w:lang w:val="en-US" w:eastAsia="en-US" w:bidi="ar-SA"/>
        </w:rPr>
        <w:t>中华人民共和国政府采购法实施条例</w:t>
      </w:r>
      <w:r>
        <w:rPr>
          <w:rFonts w:hint="eastAsia" w:ascii="宋体" w:hAnsi="宋体" w:eastAsia="宋体" w:cs="宋体"/>
          <w:snapToGrid w:val="0"/>
          <w:color w:val="auto"/>
          <w:spacing w:val="-3"/>
          <w:kern w:val="0"/>
          <w:sz w:val="24"/>
          <w:szCs w:val="24"/>
          <w:highlight w:val="none"/>
          <w:lang w:val="en-US" w:eastAsia="en-US" w:bidi="ar-SA"/>
        </w:rPr>
        <w:fldChar w:fldCharType="end"/>
      </w:r>
      <w:r>
        <w:rPr>
          <w:rFonts w:hint="eastAsia" w:ascii="宋体" w:hAnsi="宋体" w:eastAsia="宋体" w:cs="宋体"/>
          <w:snapToGrid w:val="0"/>
          <w:color w:val="auto"/>
          <w:spacing w:val="-3"/>
          <w:kern w:val="0"/>
          <w:sz w:val="24"/>
          <w:szCs w:val="24"/>
          <w:highlight w:val="none"/>
          <w:lang w:val="en-US" w:eastAsia="en-US" w:bidi="ar-SA"/>
        </w:rPr>
        <w:t>》等</w:t>
      </w:r>
      <w:r>
        <w:rPr>
          <w:rFonts w:hint="eastAsia" w:ascii="宋体" w:hAnsi="宋体" w:eastAsia="宋体" w:cs="宋体"/>
          <w:snapToGrid w:val="0"/>
          <w:color w:val="auto"/>
          <w:spacing w:val="-4"/>
          <w:kern w:val="0"/>
          <w:sz w:val="24"/>
          <w:szCs w:val="24"/>
          <w:highlight w:val="none"/>
          <w:lang w:val="en-US" w:eastAsia="en-US" w:bidi="ar-SA"/>
        </w:rPr>
        <w:t>国家</w:t>
      </w:r>
      <w:r>
        <w:rPr>
          <w:rFonts w:hint="eastAsia" w:ascii="宋体" w:hAnsi="宋体" w:eastAsia="宋体" w:cs="宋体"/>
          <w:snapToGrid w:val="0"/>
          <w:color w:val="auto"/>
          <w:spacing w:val="9"/>
          <w:kern w:val="0"/>
          <w:sz w:val="24"/>
          <w:szCs w:val="24"/>
          <w:highlight w:val="none"/>
          <w:lang w:val="en-US" w:eastAsia="en-US" w:bidi="ar-SA"/>
        </w:rPr>
        <w:t>有关规定追究相应责任；涉嫌犯罪的，依法</w:t>
      </w:r>
      <w:r>
        <w:rPr>
          <w:rFonts w:hint="eastAsia" w:ascii="宋体" w:hAnsi="宋体" w:eastAsia="宋体" w:cs="宋体"/>
          <w:snapToGrid w:val="0"/>
          <w:color w:val="auto"/>
          <w:spacing w:val="8"/>
          <w:kern w:val="0"/>
          <w:sz w:val="24"/>
          <w:szCs w:val="24"/>
          <w:highlight w:val="none"/>
          <w:lang w:val="en-US" w:eastAsia="en-US" w:bidi="ar-SA"/>
        </w:rPr>
        <w:t>移送有关国家机</w:t>
      </w:r>
      <w:r>
        <w:rPr>
          <w:rFonts w:hint="eastAsia" w:ascii="宋体" w:hAnsi="宋体" w:eastAsia="宋体" w:cs="宋体"/>
          <w:snapToGrid w:val="0"/>
          <w:color w:val="auto"/>
          <w:spacing w:val="-1"/>
          <w:kern w:val="0"/>
          <w:sz w:val="24"/>
          <w:szCs w:val="24"/>
          <w:highlight w:val="none"/>
          <w:lang w:val="en-US" w:eastAsia="en-US" w:bidi="ar-SA"/>
        </w:rPr>
        <w:t>关处理。</w:t>
      </w:r>
    </w:p>
    <w:p w14:paraId="503EC69A">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第二十二条</w:t>
      </w:r>
      <w:r>
        <w:rPr>
          <w:rFonts w:hint="eastAsia" w:ascii="宋体" w:hAnsi="宋体" w:eastAsia="宋体" w:cs="宋体"/>
          <w:b/>
          <w:bCs/>
          <w:snapToGrid w:val="0"/>
          <w:color w:val="auto"/>
          <w:spacing w:val="8"/>
          <w:kern w:val="0"/>
          <w:sz w:val="24"/>
          <w:szCs w:val="24"/>
          <w:highlight w:val="none"/>
          <w:lang w:val="en-US" w:eastAsia="en-US" w:bidi="ar-SA"/>
        </w:rPr>
        <w:t xml:space="preserve">  </w:t>
      </w:r>
      <w:r>
        <w:rPr>
          <w:rFonts w:hint="eastAsia" w:ascii="宋体" w:hAnsi="宋体" w:eastAsia="宋体" w:cs="宋体"/>
          <w:snapToGrid w:val="0"/>
          <w:color w:val="auto"/>
          <w:spacing w:val="8"/>
          <w:kern w:val="0"/>
          <w:sz w:val="24"/>
          <w:szCs w:val="24"/>
          <w:highlight w:val="none"/>
          <w:lang w:val="en-US" w:eastAsia="en-US" w:bidi="ar-SA"/>
        </w:rPr>
        <w:t>对外援助项目、国家相关资格或者资质管理制度另有规定的项目，不适用本办法。</w:t>
      </w:r>
    </w:p>
    <w:p w14:paraId="5174A5D2">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第二十三条</w:t>
      </w:r>
      <w:r>
        <w:rPr>
          <w:rFonts w:hint="eastAsia" w:ascii="宋体" w:hAnsi="宋体" w:eastAsia="宋体" w:cs="宋体"/>
          <w:snapToGrid w:val="0"/>
          <w:color w:val="auto"/>
          <w:spacing w:val="8"/>
          <w:kern w:val="0"/>
          <w:sz w:val="24"/>
          <w:szCs w:val="24"/>
          <w:highlight w:val="none"/>
          <w:lang w:val="en-US" w:eastAsia="en-US" w:bidi="ar-SA"/>
        </w:rPr>
        <w:t xml:space="preserve">  关于视同中小企业的其他主体的政府采</w:t>
      </w:r>
    </w:p>
    <w:p w14:paraId="051E2736">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8"/>
          <w:kern w:val="0"/>
          <w:sz w:val="24"/>
          <w:szCs w:val="24"/>
          <w:highlight w:val="none"/>
          <w:lang w:val="en-US" w:eastAsia="en-US" w:bidi="ar-SA"/>
        </w:rPr>
        <w:t>购扶持政策，由财政部会同有关部门另行规定。</w:t>
      </w:r>
    </w:p>
    <w:p w14:paraId="51A1656A">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第二十四条</w:t>
      </w:r>
      <w:r>
        <w:rPr>
          <w:rFonts w:hint="eastAsia" w:ascii="宋体" w:hAnsi="宋体" w:eastAsia="宋体" w:cs="宋体"/>
          <w:snapToGrid w:val="0"/>
          <w:color w:val="auto"/>
          <w:spacing w:val="8"/>
          <w:kern w:val="0"/>
          <w:sz w:val="24"/>
          <w:szCs w:val="24"/>
          <w:highlight w:val="none"/>
          <w:lang w:val="en-US" w:eastAsia="en-US" w:bidi="ar-SA"/>
        </w:rPr>
        <w:t xml:space="preserve">  省级财政部门可以会同中小企业主管部门根据本办法的规定制定具体实施办法。</w:t>
      </w:r>
    </w:p>
    <w:p w14:paraId="2A11ED48">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500" w:firstLineChars="200"/>
        <w:jc w:val="left"/>
        <w:textAlignment w:val="baseline"/>
        <w:rPr>
          <w:rFonts w:hint="eastAsia" w:ascii="宋体" w:hAnsi="宋体" w:eastAsia="宋体" w:cs="宋体"/>
          <w:snapToGrid w:val="0"/>
          <w:color w:val="auto"/>
          <w:spacing w:val="8"/>
          <w:kern w:val="0"/>
          <w:sz w:val="24"/>
          <w:szCs w:val="24"/>
          <w:highlight w:val="none"/>
          <w:lang w:val="en-US" w:eastAsia="en-US" w:bidi="ar-SA"/>
        </w:rPr>
      </w:pPr>
      <w:r>
        <w:rPr>
          <w:rFonts w:hint="eastAsia" w:ascii="宋体" w:hAnsi="宋体" w:eastAsia="宋体" w:cs="宋体"/>
          <w:snapToGrid w:val="0"/>
          <w:color w:val="auto"/>
          <w:spacing w:val="5"/>
          <w:kern w:val="0"/>
          <w:sz w:val="24"/>
          <w:szCs w:val="24"/>
          <w:highlight w:val="none"/>
          <w:lang w:val="en-US" w:eastAsia="en-US" w:bidi="ar-SA"/>
        </w:rPr>
        <w:t>第二十五条</w:t>
      </w:r>
      <w:r>
        <w:rPr>
          <w:rFonts w:hint="eastAsia" w:ascii="宋体" w:hAnsi="宋体" w:eastAsia="宋体" w:cs="宋体"/>
          <w:snapToGrid w:val="0"/>
          <w:color w:val="auto"/>
          <w:spacing w:val="8"/>
          <w:kern w:val="0"/>
          <w:sz w:val="24"/>
          <w:szCs w:val="24"/>
          <w:highlight w:val="none"/>
          <w:lang w:val="en-US" w:eastAsia="en-US" w:bidi="ar-SA"/>
        </w:rPr>
        <w:t xml:space="preserve">  本办法自</w:t>
      </w:r>
      <w:r>
        <w:rPr>
          <w:rFonts w:hint="eastAsia" w:ascii="宋体" w:hAnsi="宋体" w:cs="宋体"/>
          <w:snapToGrid w:val="0"/>
          <w:color w:val="auto"/>
          <w:spacing w:val="8"/>
          <w:kern w:val="0"/>
          <w:sz w:val="24"/>
          <w:szCs w:val="24"/>
          <w:highlight w:val="none"/>
          <w:lang w:val="en-US" w:eastAsia="zh-CN" w:bidi="ar-SA"/>
        </w:rPr>
        <w:t>2022年</w:t>
      </w:r>
      <w:r>
        <w:rPr>
          <w:rFonts w:hint="eastAsia" w:ascii="宋体" w:hAnsi="宋体" w:eastAsia="宋体" w:cs="宋体"/>
          <w:snapToGrid w:val="0"/>
          <w:color w:val="auto"/>
          <w:spacing w:val="8"/>
          <w:kern w:val="0"/>
          <w:sz w:val="24"/>
          <w:szCs w:val="24"/>
          <w:highlight w:val="none"/>
          <w:lang w:val="en-US" w:eastAsia="en-US" w:bidi="ar-SA"/>
        </w:rPr>
        <w:t>1月1日起施行。《财政部工业和信息化部关于印发〈政府采购促进中小企业发展暂行办法〉的通知》（财库（2011﹞181号）同时废止。</w:t>
      </w:r>
    </w:p>
    <w:p w14:paraId="7D43931E">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hint="eastAsia" w:ascii="宋体" w:hAnsi="宋体" w:eastAsia="宋体" w:cs="宋体"/>
          <w:snapToGrid w:val="0"/>
          <w:color w:val="auto"/>
          <w:kern w:val="0"/>
          <w:sz w:val="24"/>
          <w:szCs w:val="24"/>
          <w:highlight w:val="none"/>
          <w:lang w:eastAsia="en-US"/>
        </w:rPr>
      </w:pPr>
    </w:p>
    <w:p w14:paraId="1A0A772A">
      <w:pPr>
        <w:keepNext w:val="0"/>
        <w:keepLines w:val="0"/>
        <w:pageBreakBefore w:val="0"/>
        <w:kinsoku w:val="0"/>
        <w:wordWrap/>
        <w:overflowPunct/>
        <w:topLinePunct w:val="0"/>
        <w:autoSpaceDE w:val="0"/>
        <w:autoSpaceDN w:val="0"/>
        <w:bidi w:val="0"/>
        <w:adjustRightInd w:val="0"/>
        <w:snapToGrid w:val="0"/>
        <w:spacing w:before="0" w:beforeLines="0" w:after="0" w:afterLines="0" w:line="560" w:lineRule="exact"/>
        <w:ind w:left="0" w:leftChars="0" w:right="0" w:rightChars="0"/>
        <w:jc w:val="left"/>
        <w:textAlignment w:val="baseline"/>
        <w:rPr>
          <w:rFonts w:hint="eastAsia" w:ascii="宋体" w:hAnsi="宋体" w:eastAsia="宋体" w:cs="宋体"/>
          <w:snapToGrid w:val="0"/>
          <w:color w:val="auto"/>
          <w:kern w:val="0"/>
          <w:sz w:val="31"/>
          <w:szCs w:val="31"/>
          <w:highlight w:val="none"/>
          <w:lang w:val="en-US" w:eastAsia="en-US" w:bidi="ar-SA"/>
        </w:rPr>
      </w:pPr>
    </w:p>
    <w:p w14:paraId="7C507E7A">
      <w:pPr>
        <w:keepNext w:val="0"/>
        <w:keepLines w:val="0"/>
        <w:pageBreakBefore w:val="0"/>
        <w:wordWrap/>
        <w:overflowPunct/>
        <w:topLinePunct w:val="0"/>
        <w:bidi w:val="0"/>
        <w:spacing w:line="560" w:lineRule="exact"/>
        <w:ind w:left="0" w:leftChars="0" w:right="0" w:rightChars="0"/>
        <w:rPr>
          <w:rFonts w:hint="eastAsia" w:ascii="宋体" w:hAnsi="宋体" w:cs="宋体"/>
          <w:color w:val="auto"/>
          <w:highlight w:val="none"/>
        </w:rPr>
        <w:sectPr>
          <w:headerReference r:id="rId13" w:type="default"/>
          <w:footerReference r:id="rId14" w:type="default"/>
          <w:pgSz w:w="11906" w:h="16839"/>
          <w:pgMar w:top="1431" w:right="1785" w:bottom="1378" w:left="1785" w:header="0" w:footer="1212" w:gutter="0"/>
          <w:pgNumType w:fmt="decimal"/>
          <w:cols w:space="720" w:num="1"/>
        </w:sectPr>
      </w:pPr>
    </w:p>
    <w:p w14:paraId="7AF300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left"/>
        <w:textAlignment w:val="baseline"/>
        <w:outlineLvl w:val="3"/>
        <w:rPr>
          <w:rFonts w:hint="eastAsia" w:ascii="宋体" w:hAnsi="宋体" w:eastAsia="宋体" w:cs="宋体"/>
          <w:snapToGrid w:val="0"/>
          <w:color w:val="auto"/>
          <w:spacing w:val="-9"/>
          <w:kern w:val="0"/>
          <w:sz w:val="24"/>
          <w:szCs w:val="24"/>
          <w:highlight w:val="none"/>
          <w:lang w:val="en-US" w:eastAsia="zh-CN"/>
        </w:rPr>
      </w:pPr>
      <w:bookmarkStart w:id="322" w:name="_Toc25114"/>
      <w:r>
        <w:rPr>
          <w:rFonts w:hint="eastAsia" w:ascii="宋体" w:hAnsi="宋体" w:eastAsia="宋体" w:cs="宋体"/>
          <w:snapToGrid w:val="0"/>
          <w:color w:val="auto"/>
          <w:spacing w:val="-9"/>
          <w:kern w:val="0"/>
          <w:sz w:val="24"/>
          <w:szCs w:val="24"/>
          <w:highlight w:val="none"/>
          <w:lang w:eastAsia="en-US"/>
        </w:rPr>
        <w:t>附件</w:t>
      </w:r>
      <w:r>
        <w:rPr>
          <w:rFonts w:hint="eastAsia" w:ascii="宋体" w:hAnsi="宋体" w:eastAsia="宋体" w:cs="宋体"/>
          <w:snapToGrid w:val="0"/>
          <w:color w:val="auto"/>
          <w:spacing w:val="-9"/>
          <w:kern w:val="0"/>
          <w:sz w:val="24"/>
          <w:szCs w:val="24"/>
          <w:highlight w:val="none"/>
          <w:lang w:val="en-US" w:eastAsia="zh-CN"/>
        </w:rPr>
        <w:t>2：关于进一步加大政府采购支持中小企业力度的通知</w:t>
      </w:r>
      <w:bookmarkEnd w:id="322"/>
    </w:p>
    <w:p w14:paraId="2C443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textAlignment w:val="baseline"/>
        <w:rPr>
          <w:rFonts w:hint="eastAsia" w:ascii="宋体" w:hAnsi="宋体" w:eastAsia="宋体" w:cs="宋体"/>
          <w:b/>
          <w:bCs/>
          <w:i w:val="0"/>
          <w:iCs w:val="0"/>
          <w:caps w:val="0"/>
          <w:color w:val="auto"/>
          <w:spacing w:val="0"/>
          <w:kern w:val="0"/>
          <w:sz w:val="24"/>
          <w:szCs w:val="24"/>
          <w:highlight w:val="none"/>
          <w:shd w:val="clear" w:fill="FFFFFF"/>
          <w:vertAlign w:val="baseline"/>
          <w:lang w:val="en-US" w:eastAsia="zh-CN" w:bidi="ar"/>
        </w:rPr>
      </w:pPr>
      <w:r>
        <w:rPr>
          <w:rFonts w:hint="eastAsia" w:ascii="宋体" w:hAnsi="宋体" w:eastAsia="宋体" w:cs="宋体"/>
          <w:b/>
          <w:bCs/>
          <w:i w:val="0"/>
          <w:iCs w:val="0"/>
          <w:caps w:val="0"/>
          <w:color w:val="auto"/>
          <w:spacing w:val="0"/>
          <w:kern w:val="0"/>
          <w:sz w:val="24"/>
          <w:szCs w:val="24"/>
          <w:highlight w:val="none"/>
          <w:shd w:val="clear" w:fill="FFFFFF"/>
          <w:vertAlign w:val="baseline"/>
          <w:lang w:val="en-US" w:eastAsia="zh-CN" w:bidi="ar"/>
        </w:rPr>
        <w:t>关于进一步加大政府采购支持中小企业力度的通知</w:t>
      </w:r>
    </w:p>
    <w:p w14:paraId="58642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60" w:lineRule="auto"/>
        <w:ind w:left="0" w:right="0" w:firstLine="0"/>
        <w:jc w:val="center"/>
        <w:textAlignment w:val="baseline"/>
        <w:rPr>
          <w:rFonts w:hint="eastAsia" w:ascii="宋体" w:hAnsi="宋体" w:eastAsia="宋体" w:cs="宋体"/>
          <w:i w:val="0"/>
          <w:iCs w:val="0"/>
          <w:caps w:val="0"/>
          <w:color w:val="auto"/>
          <w:spacing w:val="0"/>
          <w:sz w:val="24"/>
          <w:szCs w:val="24"/>
          <w:highlight w:val="none"/>
          <w:u w:val="none"/>
        </w:rPr>
      </w:pPr>
      <w:r>
        <w:rPr>
          <w:rFonts w:hint="eastAsia" w:ascii="宋体" w:hAnsi="宋体" w:eastAsia="宋体" w:cs="宋体"/>
          <w:b/>
          <w:bCs/>
          <w:i w:val="0"/>
          <w:iCs w:val="0"/>
          <w:caps w:val="0"/>
          <w:color w:val="auto"/>
          <w:spacing w:val="0"/>
          <w:kern w:val="0"/>
          <w:sz w:val="24"/>
          <w:szCs w:val="24"/>
          <w:highlight w:val="none"/>
          <w:u w:val="none"/>
          <w:shd w:val="clear" w:fill="FFFFFF"/>
          <w:vertAlign w:val="baseline"/>
          <w:lang w:val="en-US" w:eastAsia="zh-CN" w:bidi="ar"/>
        </w:rPr>
        <w:t>财库〔2022〕19号</w:t>
      </w:r>
    </w:p>
    <w:p w14:paraId="35F80FA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各中央预算单位，各省、自治区、直辖市、计划单列市财政厅（局），新疆生产建设兵团财政局：</w:t>
      </w:r>
    </w:p>
    <w:p w14:paraId="2FA30C6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3C78C6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w:t>
      </w:r>
      <w:r>
        <w:rPr>
          <w:rFonts w:hint="eastAsia" w:ascii="宋体" w:hAnsi="宋体" w:eastAsia="宋体" w:cs="宋体"/>
          <w:b/>
          <w:bCs/>
          <w:i w:val="0"/>
          <w:iCs w:val="0"/>
          <w:caps w:val="0"/>
          <w:color w:val="auto"/>
          <w:spacing w:val="0"/>
          <w:sz w:val="24"/>
          <w:szCs w:val="24"/>
          <w:highlight w:val="none"/>
          <w:u w:val="none"/>
          <w:shd w:val="clear" w:fill="FFFFFF"/>
          <w:vertAlign w:val="baseline"/>
        </w:rPr>
        <w:t>一、严格落实支持中小企业政府采购政策。</w:t>
      </w:r>
      <w:r>
        <w:rPr>
          <w:rFonts w:hint="eastAsia" w:ascii="宋体" w:hAnsi="宋体" w:eastAsia="宋体" w:cs="宋体"/>
          <w:i w:val="0"/>
          <w:iCs w:val="0"/>
          <w:caps w:val="0"/>
          <w:color w:val="auto"/>
          <w:spacing w:val="0"/>
          <w:sz w:val="24"/>
          <w:szCs w:val="24"/>
          <w:highlight w:val="none"/>
          <w:u w:val="none"/>
          <w:shd w:val="clear"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E00E47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w:t>
      </w:r>
      <w:r>
        <w:rPr>
          <w:rFonts w:hint="eastAsia" w:ascii="宋体" w:hAnsi="宋体" w:eastAsia="宋体" w:cs="宋体"/>
          <w:b/>
          <w:bCs/>
          <w:i w:val="0"/>
          <w:iCs w:val="0"/>
          <w:caps w:val="0"/>
          <w:color w:val="auto"/>
          <w:spacing w:val="0"/>
          <w:sz w:val="24"/>
          <w:szCs w:val="24"/>
          <w:highlight w:val="none"/>
          <w:u w:val="none"/>
          <w:shd w:val="clear" w:fill="FFFFFF"/>
          <w:vertAlign w:val="baseline"/>
        </w:rPr>
        <w:t>二、调整对小微企业的价格评审优惠幅度。</w:t>
      </w:r>
      <w:r>
        <w:rPr>
          <w:rFonts w:hint="eastAsia" w:ascii="宋体" w:hAnsi="宋体" w:eastAsia="宋体" w:cs="宋体"/>
          <w:i w:val="0"/>
          <w:iCs w:val="0"/>
          <w:caps w:val="0"/>
          <w:color w:val="auto"/>
          <w:spacing w:val="0"/>
          <w:sz w:val="24"/>
          <w:szCs w:val="24"/>
          <w:highlight w:val="none"/>
          <w:u w:val="none"/>
          <w:shd w:val="clear"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EAE44D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w:t>
      </w:r>
      <w:r>
        <w:rPr>
          <w:rFonts w:hint="eastAsia" w:ascii="宋体" w:hAnsi="宋体" w:eastAsia="宋体" w:cs="宋体"/>
          <w:b/>
          <w:bCs/>
          <w:i w:val="0"/>
          <w:iCs w:val="0"/>
          <w:caps w:val="0"/>
          <w:color w:val="auto"/>
          <w:spacing w:val="0"/>
          <w:sz w:val="24"/>
          <w:szCs w:val="24"/>
          <w:highlight w:val="none"/>
          <w:u w:val="none"/>
          <w:shd w:val="clear" w:fill="FFFFFF"/>
          <w:vertAlign w:val="baseline"/>
        </w:rPr>
        <w:t>三、提高政府采购工程面向中小企业预留份额。</w:t>
      </w:r>
      <w:r>
        <w:rPr>
          <w:rFonts w:hint="eastAsia" w:ascii="宋体" w:hAnsi="宋体" w:eastAsia="宋体" w:cs="宋体"/>
          <w:i w:val="0"/>
          <w:iCs w:val="0"/>
          <w:caps w:val="0"/>
          <w:color w:val="auto"/>
          <w:spacing w:val="0"/>
          <w:sz w:val="24"/>
          <w:szCs w:val="24"/>
          <w:highlight w:val="none"/>
          <w:u w:val="none"/>
          <w:shd w:val="clear"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BF8BA1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w:t>
      </w:r>
      <w:r>
        <w:rPr>
          <w:rFonts w:hint="eastAsia" w:ascii="宋体" w:hAnsi="宋体" w:eastAsia="宋体" w:cs="宋体"/>
          <w:b/>
          <w:bCs/>
          <w:i w:val="0"/>
          <w:iCs w:val="0"/>
          <w:caps w:val="0"/>
          <w:color w:val="auto"/>
          <w:spacing w:val="0"/>
          <w:sz w:val="24"/>
          <w:szCs w:val="24"/>
          <w:highlight w:val="none"/>
          <w:u w:val="none"/>
          <w:shd w:val="clear" w:fill="FFFFFF"/>
          <w:vertAlign w:val="baseline"/>
        </w:rPr>
        <w:t>四、认真做好组织实施。</w:t>
      </w:r>
      <w:r>
        <w:rPr>
          <w:rFonts w:hint="eastAsia" w:ascii="宋体" w:hAnsi="宋体" w:eastAsia="宋体" w:cs="宋体"/>
          <w:i w:val="0"/>
          <w:iCs w:val="0"/>
          <w:caps w:val="0"/>
          <w:color w:val="auto"/>
          <w:spacing w:val="0"/>
          <w:sz w:val="24"/>
          <w:szCs w:val="24"/>
          <w:highlight w:val="none"/>
          <w:u w:val="none"/>
          <w:shd w:val="clear" w:fill="FFFFFF"/>
          <w:vertAlign w:val="baseline"/>
        </w:rPr>
        <w:t>各地区、各部门应当加强组织领导，明确工作责任，细化执行要求，强化监督检查，确保国务院部署落实到位，对通知执行中出现的问题要及时向财政部报告。</w:t>
      </w:r>
    </w:p>
    <w:p w14:paraId="4965835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本通知自2022年7月1日起执行。</w:t>
      </w:r>
    </w:p>
    <w:p w14:paraId="7153A4B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财 政 部</w:t>
      </w:r>
    </w:p>
    <w:p w14:paraId="54C5772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baseline"/>
        <w:rPr>
          <w:rFonts w:hint="eastAsia" w:ascii="宋体" w:hAnsi="宋体" w:eastAsia="宋体" w:cs="宋体"/>
          <w:i w:val="0"/>
          <w:iCs w:val="0"/>
          <w:caps w:val="0"/>
          <w:color w:val="auto"/>
          <w:spacing w:val="0"/>
          <w:sz w:val="24"/>
          <w:szCs w:val="24"/>
          <w:highlight w:val="none"/>
          <w:u w:val="none"/>
          <w:shd w:val="clear" w:fill="FFFFFF"/>
          <w:vertAlign w:val="baseline"/>
        </w:rPr>
      </w:pPr>
      <w:r>
        <w:rPr>
          <w:rFonts w:hint="eastAsia" w:ascii="宋体" w:hAnsi="宋体" w:eastAsia="宋体" w:cs="宋体"/>
          <w:i w:val="0"/>
          <w:iCs w:val="0"/>
          <w:caps w:val="0"/>
          <w:color w:val="auto"/>
          <w:spacing w:val="0"/>
          <w:sz w:val="24"/>
          <w:szCs w:val="24"/>
          <w:highlight w:val="none"/>
          <w:u w:val="none"/>
          <w:shd w:val="clear" w:fill="FFFFFF"/>
          <w:vertAlign w:val="baseline"/>
        </w:rPr>
        <w:t>　　2022年5月30日</w:t>
      </w:r>
    </w:p>
    <w:p w14:paraId="1B71FEF4">
      <w:pPr>
        <w:spacing w:line="360" w:lineRule="auto"/>
        <w:rPr>
          <w:rFonts w:hint="eastAsia" w:ascii="宋体" w:hAnsi="宋体" w:eastAsia="宋体" w:cs="宋体"/>
          <w:i w:val="0"/>
          <w:iCs w:val="0"/>
          <w:caps w:val="0"/>
          <w:color w:val="auto"/>
          <w:spacing w:val="0"/>
          <w:sz w:val="24"/>
          <w:szCs w:val="24"/>
          <w:highlight w:val="none"/>
          <w:u w:val="none"/>
          <w:shd w:val="clear" w:fill="FFFFFF"/>
          <w:vertAlign w:val="baseline"/>
        </w:rPr>
      </w:pPr>
      <w:r>
        <w:rPr>
          <w:rFonts w:hint="eastAsia" w:ascii="宋体" w:hAnsi="宋体" w:eastAsia="宋体" w:cs="宋体"/>
          <w:i w:val="0"/>
          <w:iCs w:val="0"/>
          <w:caps w:val="0"/>
          <w:color w:val="auto"/>
          <w:spacing w:val="0"/>
          <w:sz w:val="24"/>
          <w:szCs w:val="24"/>
          <w:highlight w:val="none"/>
          <w:u w:val="none"/>
          <w:shd w:val="clear" w:fill="FFFFFF"/>
          <w:vertAlign w:val="baseline"/>
        </w:rPr>
        <w:br w:type="page"/>
      </w:r>
    </w:p>
    <w:p w14:paraId="703C451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3"/>
        <w:rPr>
          <w:rFonts w:hint="eastAsia" w:ascii="宋体" w:hAnsi="宋体" w:eastAsia="宋体" w:cs="宋体"/>
          <w:snapToGrid w:val="0"/>
          <w:color w:val="auto"/>
          <w:spacing w:val="-9"/>
          <w:kern w:val="0"/>
          <w:sz w:val="24"/>
          <w:szCs w:val="24"/>
          <w:highlight w:val="none"/>
          <w:lang w:val="en-US" w:eastAsia="zh-CN"/>
        </w:rPr>
      </w:pPr>
      <w:bookmarkStart w:id="323" w:name="_Toc11667"/>
      <w:r>
        <w:rPr>
          <w:rFonts w:hint="eastAsia" w:ascii="宋体" w:hAnsi="宋体" w:eastAsia="宋体" w:cs="宋体"/>
          <w:snapToGrid w:val="0"/>
          <w:color w:val="auto"/>
          <w:spacing w:val="-9"/>
          <w:kern w:val="0"/>
          <w:sz w:val="24"/>
          <w:szCs w:val="24"/>
          <w:highlight w:val="none"/>
          <w:lang w:val="en-US" w:eastAsia="zh-CN"/>
        </w:rPr>
        <w:t>附件3：关于印发中小企业划型标准规定的通知</w:t>
      </w:r>
      <w:bookmarkEnd w:id="323"/>
    </w:p>
    <w:p w14:paraId="15CB8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shd w:val="clear" w:fill="FFFFFF"/>
          <w:vertAlign w:val="baseline"/>
          <w:lang w:val="en-US" w:eastAsia="zh-CN" w:bidi="ar"/>
        </w:rPr>
        <w:t>关于印发中小企业划型标准规定的通知</w:t>
      </w:r>
    </w:p>
    <w:p w14:paraId="1CD32B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工信部联企业〔2011〕300号</w:t>
      </w:r>
    </w:p>
    <w:p w14:paraId="5049AE05">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各省、自治区、直辖市人民政府，国务院各部委、各直属机构及有关单位：</w:t>
      </w:r>
    </w:p>
    <w:p w14:paraId="44BE81C3">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88E9BF1">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工业和信息化部</w:t>
      </w:r>
    </w:p>
    <w:p w14:paraId="46ADC2C3">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国家统计局</w:t>
      </w:r>
    </w:p>
    <w:p w14:paraId="76EFF6A3">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国家发展和改革委员会</w:t>
      </w:r>
    </w:p>
    <w:p w14:paraId="6BF621FA">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财政部</w:t>
      </w:r>
    </w:p>
    <w:p w14:paraId="1ACD44FE">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二○一一年六月十八日</w:t>
      </w:r>
    </w:p>
    <w:p w14:paraId="15D4F0E8">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eastAsia" w:cs="宋体"/>
          <w:color w:val="auto"/>
          <w:sz w:val="24"/>
          <w:szCs w:val="24"/>
          <w:highlight w:val="none"/>
        </w:rPr>
      </w:pPr>
      <w:r>
        <w:rPr>
          <w:rStyle w:val="35"/>
          <w:rFonts w:hint="eastAsia" w:ascii="宋体" w:hAnsi="宋体" w:eastAsia="宋体" w:cs="宋体"/>
          <w:i w:val="0"/>
          <w:iCs w:val="0"/>
          <w:caps w:val="0"/>
          <w:color w:val="auto"/>
          <w:spacing w:val="0"/>
          <w:sz w:val="24"/>
          <w:szCs w:val="24"/>
          <w:highlight w:val="none"/>
          <w:u w:val="none"/>
          <w:shd w:val="clear" w:fill="FFFFFF"/>
          <w:vertAlign w:val="baseline"/>
        </w:rPr>
        <w:t>中小企业划型标准规定</w:t>
      </w:r>
    </w:p>
    <w:p w14:paraId="01F040D0">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一、根据《中华人民共和国中小企业促进法》和《国务院关于进一步促进中小企业发展的若干意见》(国发〔2009〕36号)，制定本规定。</w:t>
      </w:r>
    </w:p>
    <w:p w14:paraId="4200E4C0">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二、中小企业划分为中型、小型、微型三种类型，具体标准根据企业从业人员、营业收入、资产总额等指标，结合行业特点制定。</w:t>
      </w:r>
    </w:p>
    <w:p w14:paraId="7024A6CD">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447DD5">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四、各行业划型标准为：</w:t>
      </w:r>
    </w:p>
    <w:p w14:paraId="5C693C0C">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（一）农、林、牧、渔业。营业收入20000万元以下的为中小微型企业。其中，营业收入500万元及以上的为中型企业，营业收入50万元及以上的为小型企业，营业收入50万元以下的为微型企业。</w:t>
      </w:r>
    </w:p>
    <w:p w14:paraId="6E9B87B5">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67828A">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061A8F4">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C2B9600">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86C70F3">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CBD0D7">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2FB8A8">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7DA695">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DDBD6B">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36DF24">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70D608">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F6604E">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2D3E32">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4EA525">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6B9D3BD">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（十六）其他未列明行业。从业人员300人以下的为中小微型企业。其中，从业人员100人及以上的为中型企业；从业人员10人及以上的为小型企业；从业人员10人以下的为微型企业。</w:t>
      </w:r>
    </w:p>
    <w:p w14:paraId="11D0D40E">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五、企业类型的划分以统计部门的统计数据为依据。</w:t>
      </w:r>
    </w:p>
    <w:p w14:paraId="02AEB064">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六、本规定适用于在中华人民共和国境内依法设立的各类所有制和各种组织形式的企业。个体工商户和本规定以外的行业，参照本规定进行划型。</w:t>
      </w:r>
    </w:p>
    <w:p w14:paraId="20778514">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p>
    <w:p w14:paraId="63972459">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八、本规定由工业和信息化部、国家统计局会同有关部门根据《国民经济行业分类》修订情况和企业发展变化情况适时修订。</w:t>
      </w:r>
    </w:p>
    <w:p w14:paraId="75FE7469">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宋体" w:hAnsi="宋体" w:eastAsia="宋体" w:cs="宋体"/>
          <w:i w:val="0"/>
          <w:iCs w:val="0"/>
          <w:caps w:val="0"/>
          <w:color w:val="auto"/>
          <w:spacing w:val="0"/>
          <w:sz w:val="24"/>
          <w:szCs w:val="24"/>
          <w:highlight w:val="none"/>
          <w:u w:val="none"/>
          <w:shd w:val="clear" w:fill="FFFFFF"/>
          <w:vertAlign w:val="baseline"/>
          <w:lang w:eastAsia="zh-CN"/>
        </w:rPr>
      </w:pPr>
      <w:r>
        <w:rPr>
          <w:rFonts w:hint="eastAsia" w:ascii="宋体" w:hAnsi="宋体" w:eastAsia="宋体" w:cs="宋体"/>
          <w:i w:val="0"/>
          <w:iCs w:val="0"/>
          <w:caps w:val="0"/>
          <w:color w:val="auto"/>
          <w:spacing w:val="0"/>
          <w:sz w:val="24"/>
          <w:szCs w:val="24"/>
          <w:highlight w:val="none"/>
          <w:u w:val="none"/>
          <w:shd w:val="clear" w:fill="FFFFFF"/>
          <w:vertAlign w:val="baseline"/>
        </w:rPr>
        <w:t>　　九、本规定由工业和信息化部、国家统计局会同有关部门负责解释。</w:t>
      </w:r>
    </w:p>
    <w:p w14:paraId="5E81D4F6">
      <w:pPr>
        <w:pStyle w:val="2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fill="FFFFFF"/>
          <w:vertAlign w:val="baseline"/>
        </w:rPr>
        <w:t>　　十、本规定自发布之日起执行，原国家经贸委、原国家计委、财政部和国家统计局2003年颁布的《中小企业标准暂行规定》同时废止。</w:t>
      </w:r>
    </w:p>
    <w:p w14:paraId="33921A18">
      <w:pPr>
        <w:pStyle w:val="6"/>
        <w:ind w:left="0" w:leftChars="0" w:firstLine="0" w:firstLineChars="0"/>
        <w:rPr>
          <w:rFonts w:hint="eastAsia" w:ascii="宋体" w:hAnsi="宋体" w:cs="宋体"/>
          <w:color w:val="auto"/>
          <w:sz w:val="24"/>
          <w:szCs w:val="24"/>
          <w:highlight w:val="none"/>
          <w:lang w:val="en-US" w:eastAsia="zh-CN"/>
        </w:rPr>
      </w:pPr>
    </w:p>
    <w:p w14:paraId="2734DD5A">
      <w:pPr>
        <w:rPr>
          <w:rFonts w:hint="eastAsia" w:ascii="宋体" w:hAnsi="宋体" w:cs="宋体"/>
          <w:color w:val="auto"/>
          <w:sz w:val="24"/>
          <w:szCs w:val="24"/>
          <w:highlight w:val="none"/>
        </w:rPr>
      </w:pPr>
    </w:p>
    <w:p w14:paraId="44A8CF44">
      <w:pPr>
        <w:spacing w:line="360" w:lineRule="auto"/>
        <w:rPr>
          <w:rFonts w:hint="eastAsia" w:ascii="宋体" w:hAnsi="宋体" w:eastAsia="宋体" w:cs="宋体"/>
          <w:color w:val="auto"/>
          <w:sz w:val="24"/>
          <w:szCs w:val="24"/>
          <w:highlight w:val="none"/>
        </w:rPr>
      </w:pPr>
    </w:p>
    <w:p w14:paraId="48259C51">
      <w:pPr>
        <w:spacing w:line="360" w:lineRule="auto"/>
        <w:rPr>
          <w:rFonts w:hint="eastAsia" w:ascii="宋体" w:hAnsi="宋体" w:eastAsia="宋体" w:cs="宋体"/>
          <w:color w:val="auto"/>
          <w:sz w:val="24"/>
          <w:szCs w:val="24"/>
          <w:highlight w:val="none"/>
        </w:rPr>
      </w:pPr>
    </w:p>
    <w:p w14:paraId="121630DF">
      <w:pPr>
        <w:spacing w:line="360" w:lineRule="auto"/>
        <w:rPr>
          <w:rFonts w:hint="eastAsia" w:ascii="宋体" w:hAnsi="宋体" w:eastAsia="宋体" w:cs="宋体"/>
          <w:color w:val="auto"/>
          <w:kern w:val="0"/>
          <w:sz w:val="24"/>
          <w:szCs w:val="24"/>
          <w:highlight w:val="none"/>
          <w:lang w:val="en-US" w:eastAsia="zh-CN"/>
        </w:rPr>
      </w:pPr>
    </w:p>
    <w:p w14:paraId="77AE13E8">
      <w:pPr>
        <w:spacing w:line="360" w:lineRule="auto"/>
        <w:rPr>
          <w:rFonts w:hint="eastAsia" w:ascii="宋体" w:hAnsi="宋体" w:eastAsia="宋体" w:cs="宋体"/>
          <w:color w:val="auto"/>
          <w:kern w:val="0"/>
          <w:sz w:val="24"/>
          <w:szCs w:val="24"/>
          <w:highlight w:val="none"/>
          <w:lang w:val="en-US" w:eastAsia="zh-CN"/>
        </w:rPr>
      </w:pPr>
    </w:p>
    <w:p w14:paraId="71BFA9BD">
      <w:pPr>
        <w:spacing w:line="360" w:lineRule="auto"/>
        <w:rPr>
          <w:rFonts w:hint="eastAsia" w:ascii="宋体" w:hAnsi="宋体" w:eastAsia="宋体" w:cs="宋体"/>
          <w:color w:val="auto"/>
          <w:kern w:val="0"/>
          <w:sz w:val="24"/>
          <w:highlight w:val="none"/>
          <w:lang w:val="en-US" w:eastAsia="zh-CN"/>
        </w:rPr>
      </w:pPr>
    </w:p>
    <w:p w14:paraId="3C5895CC">
      <w:pPr>
        <w:spacing w:line="360" w:lineRule="auto"/>
        <w:rPr>
          <w:rFonts w:hint="eastAsia" w:ascii="宋体" w:hAnsi="宋体" w:eastAsia="宋体" w:cs="宋体"/>
          <w:color w:val="auto"/>
          <w:kern w:val="0"/>
          <w:sz w:val="24"/>
          <w:highlight w:val="none"/>
          <w:lang w:val="en-US" w:eastAsia="zh-CN"/>
        </w:rPr>
      </w:pPr>
    </w:p>
    <w:p w14:paraId="1BB998DE">
      <w:pPr>
        <w:spacing w:line="360" w:lineRule="auto"/>
        <w:rPr>
          <w:rFonts w:hint="eastAsia" w:ascii="宋体" w:hAnsi="宋体" w:eastAsia="宋体" w:cs="宋体"/>
          <w:color w:val="auto"/>
          <w:kern w:val="0"/>
          <w:sz w:val="24"/>
          <w:highlight w:val="none"/>
          <w:lang w:val="en-US" w:eastAsia="zh-CN"/>
        </w:rPr>
      </w:pPr>
    </w:p>
    <w:p w14:paraId="7E45E902">
      <w:pPr>
        <w:spacing w:line="360" w:lineRule="auto"/>
        <w:rPr>
          <w:rFonts w:hint="eastAsia" w:ascii="宋体" w:hAnsi="宋体" w:eastAsia="宋体" w:cs="宋体"/>
          <w:color w:val="auto"/>
          <w:kern w:val="0"/>
          <w:sz w:val="24"/>
          <w:highlight w:val="none"/>
          <w:lang w:val="en-US" w:eastAsia="zh-CN"/>
        </w:rPr>
      </w:pPr>
    </w:p>
    <w:p w14:paraId="07A103BA">
      <w:pPr>
        <w:spacing w:line="360" w:lineRule="auto"/>
        <w:rPr>
          <w:rFonts w:hint="eastAsia" w:ascii="宋体" w:hAnsi="宋体" w:eastAsia="宋体" w:cs="宋体"/>
          <w:color w:val="auto"/>
          <w:kern w:val="0"/>
          <w:sz w:val="24"/>
          <w:highlight w:val="none"/>
          <w:lang w:val="en-US" w:eastAsia="zh-CN"/>
        </w:rPr>
      </w:pPr>
    </w:p>
    <w:p w14:paraId="61A3DC55">
      <w:pPr>
        <w:spacing w:line="360" w:lineRule="auto"/>
        <w:rPr>
          <w:rFonts w:hint="eastAsia" w:ascii="宋体" w:hAnsi="宋体" w:eastAsia="宋体" w:cs="宋体"/>
          <w:color w:val="auto"/>
          <w:kern w:val="0"/>
          <w:sz w:val="24"/>
          <w:highlight w:val="none"/>
          <w:lang w:val="en-US" w:eastAsia="zh-CN"/>
        </w:rPr>
      </w:pPr>
    </w:p>
    <w:p w14:paraId="70FDF0F4">
      <w:pPr>
        <w:rPr>
          <w:rFonts w:hint="eastAsia" w:ascii="宋体" w:hAnsi="宋体" w:cs="宋体"/>
          <w:color w:val="auto"/>
          <w:highlight w:val="none"/>
        </w:rPr>
      </w:pPr>
    </w:p>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FC9A296-F4E2-4B34-A5D1-F8F77DDD4CF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3717F44-6EBB-4F97-B8A4-5F6B0F663EE1}"/>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48B3">
    <w:pPr>
      <w:pStyle w:val="15"/>
      <w:tabs>
        <w:tab w:val="center" w:pos="4153"/>
        <w:tab w:val="right" w:pos="8306"/>
      </w:tabs>
      <w:jc w:val="both"/>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447A">
    <w:pPr>
      <w:pStyle w:val="15"/>
      <w:framePr w:wrap="around" w:vAnchor="margin" w:hAnchor="text" w:xAlign="center" w:y="1"/>
      <w:tabs>
        <w:tab w:val="center" w:pos="4153"/>
        <w:tab w:val="right" w:pos="8306"/>
      </w:tabs>
      <w:rPr>
        <w:rStyle w:val="96"/>
      </w:rPr>
    </w:pPr>
  </w:p>
  <w:p w14:paraId="0BE6E226">
    <w:pPr>
      <w:pStyle w:val="15"/>
      <w:tabs>
        <w:tab w:val="center" w:pos="4153"/>
        <w:tab w:val="right" w:pos="8306"/>
      </w:tabs>
      <w:rPr>
        <w:rStyle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2A08">
    <w:pPr>
      <w:pStyle w:val="15"/>
      <w:tabs>
        <w:tab w:val="center" w:pos="4153"/>
        <w:tab w:val="right" w:pos="8306"/>
      </w:tabs>
      <w:rPr>
        <w:rFonts w:hint="eastAsia" w:ascii="宋体" w:hAnsi="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BB3C8">
    <w:pPr>
      <w:pStyle w:val="1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CD7F9">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DFCD7F9">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108B">
    <w:pPr>
      <w:pStyle w:val="15"/>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A859">
    <w:pPr>
      <w:pStyle w:val="15"/>
      <w:tabs>
        <w:tab w:val="center" w:pos="4153"/>
        <w:tab w:val="right" w:pos="8306"/>
        <w:tab w:val="clear" w:pos="4140"/>
        <w:tab w:val="clear" w:pos="8300"/>
      </w:tabs>
      <w:spacing w:beforeLines="0" w:afterLines="0"/>
      <w:jc w:val="center"/>
      <w:rPr>
        <w:rFonts w:hint="default"/>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CB893">
                          <w:pPr>
                            <w:pStyle w:val="15"/>
                            <w:tabs>
                              <w:tab w:val="center" w:pos="4153"/>
                              <w:tab w:val="right" w:pos="8306"/>
                              <w:tab w:val="clear" w:pos="4140"/>
                              <w:tab w:val="clear" w:pos="8300"/>
                            </w:tabs>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3ACB893">
                    <w:pPr>
                      <w:pStyle w:val="15"/>
                      <w:tabs>
                        <w:tab w:val="center" w:pos="4153"/>
                        <w:tab w:val="right" w:pos="8306"/>
                        <w:tab w:val="clear" w:pos="4140"/>
                        <w:tab w:val="clear" w:pos="8300"/>
                      </w:tabs>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0CCD">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C584E">
                          <w:pPr>
                            <w:pStyle w:val="15"/>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58C584E">
                    <w:pPr>
                      <w:pStyle w:val="15"/>
                      <w:tabs>
                        <w:tab w:val="center" w:pos="4153"/>
                        <w:tab w:val="right" w:pos="8306"/>
                        <w:tab w:val="clear" w:pos="4140"/>
                        <w:tab w:val="clear" w:pos="8300"/>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3A10">
    <w:pPr>
      <w:pStyle w:val="15"/>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1A2143">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051A2143">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44142D3">
      <w:pPr>
        <w:pStyle w:val="2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A04C1">
    <w:pPr>
      <w:pStyle w:val="17"/>
      <w:pBdr>
        <w:top w:val="none" w:color="auto" w:sz="0" w:space="1"/>
        <w:left w:val="none" w:color="auto" w:sz="0" w:space="4"/>
        <w:bottom w:val="none" w:color="auto" w:sz="0" w:space="1"/>
        <w:right w:val="none" w:color="auto" w:sz="0" w:space="4"/>
      </w:pBdr>
      <w:tabs>
        <w:tab w:val="center" w:pos="4153"/>
        <w:tab w:val="right" w:pos="8306"/>
      </w:tabs>
      <w:jc w:val="both"/>
      <w:rPr>
        <w:rStyle w:val="40"/>
        <w:rFonts w:hint="eastAsia"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F18A">
    <w:pPr>
      <w:pStyle w:val="17"/>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DCE5">
    <w:pPr>
      <w:pStyle w:val="17"/>
      <w:pBdr>
        <w:bottom w:val="none" w:color="auto" w:sz="0" w:space="1"/>
      </w:pBdr>
      <w:tabs>
        <w:tab w:val="center" w:pos="4153"/>
        <w:tab w:val="right" w:pos="8306"/>
      </w:tabs>
      <w:jc w:val="both"/>
      <w:rPr>
        <w:rStyle w:val="40"/>
        <w:rFonts w:hint="eastAsia" w:ascii="宋体" w:hAnsi="宋体" w:cs="宋体"/>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7CA5">
    <w:pPr>
      <w:pStyle w:val="17"/>
      <w:pBdr>
        <w:bottom w:val="none" w:color="auto" w:sz="0" w:space="1"/>
      </w:pBdr>
      <w:tabs>
        <w:tab w:val="center" w:pos="4153"/>
        <w:tab w:val="right" w:pos="8306"/>
        <w:tab w:val="clear" w:pos="4140"/>
        <w:tab w:val="clear" w:pos="8300"/>
      </w:tabs>
      <w:jc w:val="both"/>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15112">
    <w:pPr>
      <w:pStyle w:val="17"/>
      <w:pBdr>
        <w:top w:val="none" w:color="auto" w:sz="0" w:space="1"/>
        <w:left w:val="none" w:color="auto" w:sz="0" w:space="4"/>
        <w:bottom w:val="none" w:color="auto" w:sz="0" w:space="1"/>
        <w:right w:val="none" w:color="auto" w:sz="0" w:space="4"/>
      </w:pBdr>
      <w:tabs>
        <w:tab w:val="center" w:pos="4153"/>
        <w:tab w:val="right" w:pos="8306"/>
      </w:tabs>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2B2EC"/>
    <w:multiLevelType w:val="singleLevel"/>
    <w:tmpl w:val="A3A2B2EC"/>
    <w:lvl w:ilvl="0" w:tentative="0">
      <w:start w:val="1"/>
      <w:numFmt w:val="decimal"/>
      <w:suff w:val="nothing"/>
      <w:lvlText w:val="（%1）"/>
      <w:lvlJc w:val="left"/>
    </w:lvl>
  </w:abstractNum>
  <w:abstractNum w:abstractNumId="1">
    <w:nsid w:val="B098FA64"/>
    <w:multiLevelType w:val="singleLevel"/>
    <w:tmpl w:val="B098FA64"/>
    <w:lvl w:ilvl="0" w:tentative="0">
      <w:start w:val="1"/>
      <w:numFmt w:val="chineseCounting"/>
      <w:suff w:val="nothing"/>
      <w:lvlText w:val="%1、"/>
      <w:lvlJc w:val="left"/>
      <w:rPr>
        <w:rFonts w:hint="eastAsia"/>
      </w:rPr>
    </w:lvl>
  </w:abstractNum>
  <w:abstractNum w:abstractNumId="2">
    <w:nsid w:val="BFCF7851"/>
    <w:multiLevelType w:val="singleLevel"/>
    <w:tmpl w:val="BFCF7851"/>
    <w:lvl w:ilvl="0" w:tentative="0">
      <w:start w:val="1"/>
      <w:numFmt w:val="chineseCounting"/>
      <w:suff w:val="nothing"/>
      <w:lvlText w:val="%1、"/>
      <w:lvlJc w:val="left"/>
      <w:rPr>
        <w:rFonts w:hint="eastAsia"/>
      </w:rPr>
    </w:lvl>
  </w:abstractNum>
  <w:abstractNum w:abstractNumId="3">
    <w:nsid w:val="DFDED8CC"/>
    <w:multiLevelType w:val="singleLevel"/>
    <w:tmpl w:val="DFDED8CC"/>
    <w:lvl w:ilvl="0" w:tentative="0">
      <w:start w:val="3"/>
      <w:numFmt w:val="chineseCounting"/>
      <w:suff w:val="space"/>
      <w:lvlText w:val="第%1条"/>
      <w:lvlJc w:val="left"/>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6"/>
    <w:multiLevelType w:val="multilevel"/>
    <w:tmpl w:val="00000006"/>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C"/>
    <w:multiLevelType w:val="multilevel"/>
    <w:tmpl w:val="0000000C"/>
    <w:lvl w:ilvl="0" w:tentative="0">
      <w:start w:val="1"/>
      <w:numFmt w:val="decimal"/>
      <w:lvlText w:val="%1、"/>
      <w:lvlJc w:val="left"/>
      <w:pPr>
        <w:tabs>
          <w:tab w:val="left" w:pos="740"/>
        </w:tabs>
        <w:ind w:left="1081" w:hanging="1081"/>
      </w:pPr>
      <w:rPr>
        <w:rFonts w:hint="default"/>
      </w:rPr>
    </w:lvl>
    <w:lvl w:ilvl="1" w:tentative="0">
      <w:start w:val="1"/>
      <w:numFmt w:val="decimal"/>
      <w:pStyle w:val="88"/>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F"/>
    <w:multiLevelType w:val="singleLevel"/>
    <w:tmpl w:val="0000000F"/>
    <w:lvl w:ilvl="0" w:tentative="0">
      <w:start w:val="4"/>
      <w:numFmt w:val="chineseCounting"/>
      <w:suff w:val="space"/>
      <w:lvlText w:val="第%1章"/>
      <w:lvlJc w:val="left"/>
      <w:rPr>
        <w:rFonts w:hint="eastAsia"/>
      </w:rPr>
    </w:lvl>
  </w:abstractNum>
  <w:abstractNum w:abstractNumId="9">
    <w:nsid w:val="00000011"/>
    <w:multiLevelType w:val="singleLevel"/>
    <w:tmpl w:val="00000011"/>
    <w:lvl w:ilvl="0" w:tentative="0">
      <w:start w:val="1"/>
      <w:numFmt w:val="decimal"/>
      <w:suff w:val="nothing"/>
      <w:lvlText w:val="%1、"/>
      <w:lvlJc w:val="left"/>
    </w:lvl>
  </w:abstractNum>
  <w:abstractNum w:abstractNumId="10">
    <w:nsid w:val="781AC5AB"/>
    <w:multiLevelType w:val="singleLevel"/>
    <w:tmpl w:val="781AC5AB"/>
    <w:lvl w:ilvl="0" w:tentative="0">
      <w:start w:val="1"/>
      <w:numFmt w:val="chineseCounting"/>
      <w:suff w:val="nothing"/>
      <w:lvlText w:val="%1、"/>
      <w:lvlJc w:val="left"/>
      <w:rPr>
        <w:rFonts w:hint="eastAsia"/>
      </w:rPr>
    </w:lvl>
  </w:abstractNum>
  <w:num w:numId="1">
    <w:abstractNumId w:val="5"/>
  </w:num>
  <w:num w:numId="2">
    <w:abstractNumId w:val="7"/>
  </w:num>
  <w:num w:numId="3">
    <w:abstractNumId w:val="1"/>
  </w:num>
  <w:num w:numId="4">
    <w:abstractNumId w:val="2"/>
  </w:num>
  <w:num w:numId="5">
    <w:abstractNumId w:val="4"/>
  </w:num>
  <w:num w:numId="6">
    <w:abstractNumId w:val="9"/>
  </w:num>
  <w:num w:numId="7">
    <w:abstractNumId w:val="6"/>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jQ2NWQxYzc3YzI1OGNmZGUwODg2ZWQ4MjZhY2YifQ=="/>
  </w:docVars>
  <w:rsids>
    <w:rsidRoot w:val="123A441B"/>
    <w:rsid w:val="00BA1A55"/>
    <w:rsid w:val="01F43CD3"/>
    <w:rsid w:val="03C05701"/>
    <w:rsid w:val="04D6716D"/>
    <w:rsid w:val="051F7F12"/>
    <w:rsid w:val="06423A4F"/>
    <w:rsid w:val="066D1E2E"/>
    <w:rsid w:val="06BF6017"/>
    <w:rsid w:val="0A8A3743"/>
    <w:rsid w:val="0BE37DBE"/>
    <w:rsid w:val="0C605BA6"/>
    <w:rsid w:val="0CCD39B6"/>
    <w:rsid w:val="0D185287"/>
    <w:rsid w:val="0D5C248D"/>
    <w:rsid w:val="0E5D4874"/>
    <w:rsid w:val="0EB9159E"/>
    <w:rsid w:val="0ED378B9"/>
    <w:rsid w:val="0EEA3884"/>
    <w:rsid w:val="0F470A30"/>
    <w:rsid w:val="0F966FC3"/>
    <w:rsid w:val="11421E72"/>
    <w:rsid w:val="123A441B"/>
    <w:rsid w:val="15314E44"/>
    <w:rsid w:val="1544690F"/>
    <w:rsid w:val="17A41BFA"/>
    <w:rsid w:val="17F931B6"/>
    <w:rsid w:val="17FB475A"/>
    <w:rsid w:val="182E5BAC"/>
    <w:rsid w:val="1A1529DF"/>
    <w:rsid w:val="1A4D516F"/>
    <w:rsid w:val="1A622797"/>
    <w:rsid w:val="1AA2222B"/>
    <w:rsid w:val="1B4A6C53"/>
    <w:rsid w:val="1BF45491"/>
    <w:rsid w:val="1C161DDD"/>
    <w:rsid w:val="1DBF1F86"/>
    <w:rsid w:val="1DF932BF"/>
    <w:rsid w:val="1FC24B67"/>
    <w:rsid w:val="1FFD4989"/>
    <w:rsid w:val="23B8569F"/>
    <w:rsid w:val="27F46908"/>
    <w:rsid w:val="292D759C"/>
    <w:rsid w:val="29DB2AE2"/>
    <w:rsid w:val="2AE15CAC"/>
    <w:rsid w:val="2C485186"/>
    <w:rsid w:val="2CBB28F7"/>
    <w:rsid w:val="2D080D06"/>
    <w:rsid w:val="2D8E38A0"/>
    <w:rsid w:val="2DBF0D1A"/>
    <w:rsid w:val="2DCFC95F"/>
    <w:rsid w:val="2DDA2B4A"/>
    <w:rsid w:val="31983C81"/>
    <w:rsid w:val="32246E76"/>
    <w:rsid w:val="3331778D"/>
    <w:rsid w:val="339B332F"/>
    <w:rsid w:val="340578EC"/>
    <w:rsid w:val="34BD084F"/>
    <w:rsid w:val="36395C65"/>
    <w:rsid w:val="36622038"/>
    <w:rsid w:val="372A5C06"/>
    <w:rsid w:val="380C3CE6"/>
    <w:rsid w:val="3AC038CC"/>
    <w:rsid w:val="3B1121B0"/>
    <w:rsid w:val="3C1B3503"/>
    <w:rsid w:val="3DDE968F"/>
    <w:rsid w:val="3F935E0D"/>
    <w:rsid w:val="3FF96F8E"/>
    <w:rsid w:val="405C1C05"/>
    <w:rsid w:val="41540B2E"/>
    <w:rsid w:val="41575D4F"/>
    <w:rsid w:val="41C34BBB"/>
    <w:rsid w:val="43EC352F"/>
    <w:rsid w:val="441575C8"/>
    <w:rsid w:val="4A083872"/>
    <w:rsid w:val="4B651A58"/>
    <w:rsid w:val="4B887D52"/>
    <w:rsid w:val="4C2D62F9"/>
    <w:rsid w:val="4C2F7CAC"/>
    <w:rsid w:val="4E5E38D3"/>
    <w:rsid w:val="4EC20699"/>
    <w:rsid w:val="4ED83D33"/>
    <w:rsid w:val="4FEB45A6"/>
    <w:rsid w:val="508546A4"/>
    <w:rsid w:val="50D71499"/>
    <w:rsid w:val="52FD57DB"/>
    <w:rsid w:val="53CC6146"/>
    <w:rsid w:val="541A1764"/>
    <w:rsid w:val="55EE7135"/>
    <w:rsid w:val="566B4385"/>
    <w:rsid w:val="56C23D0E"/>
    <w:rsid w:val="57365804"/>
    <w:rsid w:val="57520A37"/>
    <w:rsid w:val="581A689B"/>
    <w:rsid w:val="595D0507"/>
    <w:rsid w:val="598E333A"/>
    <w:rsid w:val="5BC742D5"/>
    <w:rsid w:val="5CA76229"/>
    <w:rsid w:val="5E237D1E"/>
    <w:rsid w:val="5EB94156"/>
    <w:rsid w:val="5EE77BFE"/>
    <w:rsid w:val="5EF534F9"/>
    <w:rsid w:val="5F7F95CE"/>
    <w:rsid w:val="5FEC6BD7"/>
    <w:rsid w:val="60936FAB"/>
    <w:rsid w:val="609A58AD"/>
    <w:rsid w:val="62E53311"/>
    <w:rsid w:val="63035EDD"/>
    <w:rsid w:val="6673343A"/>
    <w:rsid w:val="668E310B"/>
    <w:rsid w:val="67BE1FB5"/>
    <w:rsid w:val="68490718"/>
    <w:rsid w:val="686A3B55"/>
    <w:rsid w:val="69C72D1C"/>
    <w:rsid w:val="69D93B2D"/>
    <w:rsid w:val="6A8DFB81"/>
    <w:rsid w:val="6A9455F7"/>
    <w:rsid w:val="6ADE4EFE"/>
    <w:rsid w:val="6B5D44EB"/>
    <w:rsid w:val="6CE060A9"/>
    <w:rsid w:val="6D7472E1"/>
    <w:rsid w:val="6E2319C2"/>
    <w:rsid w:val="6EEA2692"/>
    <w:rsid w:val="701030CC"/>
    <w:rsid w:val="71A85333"/>
    <w:rsid w:val="72701E27"/>
    <w:rsid w:val="7284298E"/>
    <w:rsid w:val="736A004D"/>
    <w:rsid w:val="73D4167B"/>
    <w:rsid w:val="744077DC"/>
    <w:rsid w:val="7583265B"/>
    <w:rsid w:val="75C9322D"/>
    <w:rsid w:val="75DF2E4D"/>
    <w:rsid w:val="776DBCD2"/>
    <w:rsid w:val="78A12BAE"/>
    <w:rsid w:val="78FB5E7B"/>
    <w:rsid w:val="79F20B92"/>
    <w:rsid w:val="79FE3D22"/>
    <w:rsid w:val="7A5E4AFC"/>
    <w:rsid w:val="7DFBA247"/>
    <w:rsid w:val="7E0B4041"/>
    <w:rsid w:val="7E6D6019"/>
    <w:rsid w:val="90D3160C"/>
    <w:rsid w:val="9EFB9F89"/>
    <w:rsid w:val="9FDC697C"/>
    <w:rsid w:val="BD754652"/>
    <w:rsid w:val="BF5A68AF"/>
    <w:rsid w:val="BFFE6155"/>
    <w:rsid w:val="ED7D4F7C"/>
    <w:rsid w:val="ED7E5C95"/>
    <w:rsid w:val="EDF2B4D8"/>
    <w:rsid w:val="FD7F2BCE"/>
    <w:rsid w:val="FFE74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widowControl w:val="0"/>
      <w:spacing w:after="0" w:line="240" w:lineRule="auto"/>
      <w:jc w:val="center"/>
      <w:outlineLvl w:val="0"/>
    </w:pPr>
    <w:rPr>
      <w:rFonts w:ascii="仿宋" w:hAnsi="仿宋" w:eastAsia="仿宋" w:cs="仿宋"/>
      <w:b/>
      <w:bCs/>
      <w:kern w:val="44"/>
      <w:sz w:val="32"/>
      <w:szCs w:val="4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92"/>
    <w:qFormat/>
    <w:uiPriority w:val="0"/>
    <w:pPr>
      <w:widowControl/>
      <w:spacing w:before="150" w:after="150" w:line="360" w:lineRule="atLeast"/>
      <w:ind w:left="0" w:right="0"/>
      <w:jc w:val="center"/>
      <w:outlineLvl w:val="2"/>
    </w:pPr>
    <w:rPr>
      <w:rFonts w:ascii="宋体" w:hAnsi="宋体" w:eastAsia="宋体" w:cs="宋体"/>
      <w:b/>
      <w:bCs/>
      <w:kern w:val="0"/>
      <w:sz w:val="27"/>
      <w:szCs w:val="27"/>
      <w:lang w:val="en-US" w:eastAsia="zh-CN" w:bidi="ar-SA"/>
    </w:rPr>
  </w:style>
  <w:style w:type="paragraph" w:styleId="5">
    <w:name w:val="heading 4"/>
    <w:basedOn w:val="1"/>
    <w:next w:val="1"/>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cs="Times New Roman"/>
      <w:b/>
      <w:sz w:val="28"/>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 w:type="paragraph" w:styleId="7">
    <w:name w:val="caption"/>
    <w:basedOn w:val="1"/>
    <w:next w:val="1"/>
    <w:qFormat/>
    <w:uiPriority w:val="0"/>
    <w:rPr>
      <w:rFonts w:ascii="Arial" w:hAnsi="Arial" w:eastAsia="黑体" w:cs="Arial"/>
      <w:sz w:val="20"/>
      <w:szCs w:val="20"/>
    </w:rPr>
  </w:style>
  <w:style w:type="paragraph" w:styleId="8">
    <w:name w:val="toa heading"/>
    <w:basedOn w:val="1"/>
    <w:next w:val="1"/>
    <w:qFormat/>
    <w:uiPriority w:val="0"/>
    <w:pPr>
      <w:widowControl w:val="0"/>
      <w:spacing w:before="120" w:after="0"/>
      <w:ind w:left="0" w:right="0"/>
      <w:jc w:val="both"/>
    </w:pPr>
    <w:rPr>
      <w:rFonts w:ascii="Arial" w:hAnsi="Arial" w:eastAsia="宋体" w:cs="Arial"/>
      <w:kern w:val="2"/>
      <w:sz w:val="24"/>
      <w:szCs w:val="24"/>
      <w:lang w:val="en-US" w:eastAsia="zh-CN" w:bidi="ar-SA"/>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pPr>
      <w:widowControl w:val="0"/>
      <w:snapToGrid w:val="0"/>
      <w:spacing w:after="0" w:line="400" w:lineRule="exact"/>
      <w:jc w:val="left"/>
    </w:pPr>
    <w:rPr>
      <w:rFonts w:ascii="黑体" w:hAnsi="Times New Roman" w:eastAsia="黑体" w:cs="黑体"/>
      <w:kern w:val="0"/>
      <w:sz w:val="24"/>
      <w:szCs w:val="20"/>
      <w:lang w:val="en-US" w:eastAsia="zh-CN" w:bidi="ar-SA"/>
    </w:rPr>
  </w:style>
  <w:style w:type="paragraph" w:styleId="12">
    <w:name w:val="Body Text Indent"/>
    <w:basedOn w:val="1"/>
    <w:qFormat/>
    <w:uiPriority w:val="0"/>
    <w:pPr>
      <w:widowControl w:val="0"/>
      <w:spacing w:after="0"/>
      <w:ind w:firstLine="620"/>
      <w:jc w:val="both"/>
    </w:pPr>
    <w:rPr>
      <w:rFonts w:ascii="Times New Roman" w:hAnsi="Times New Roman" w:eastAsia="楷体_GB2312" w:cs="Times New Roman"/>
      <w:kern w:val="0"/>
      <w:sz w:val="30"/>
      <w:szCs w:val="20"/>
      <w:lang w:val="en-US" w:eastAsia="zh-CN" w:bidi="ar-SA"/>
    </w:rPr>
  </w:style>
  <w:style w:type="paragraph" w:styleId="13">
    <w:name w:val="Plain Text"/>
    <w:basedOn w:val="1"/>
    <w:qFormat/>
    <w:uiPriority w:val="0"/>
    <w:pPr>
      <w:widowControl w:val="0"/>
      <w:spacing w:after="0"/>
      <w:jc w:val="both"/>
    </w:pPr>
    <w:rPr>
      <w:rFonts w:ascii="宋体" w:hAnsi="Courier New" w:eastAsia="宋体" w:cs="宋体"/>
      <w:kern w:val="0"/>
      <w:sz w:val="20"/>
      <w:szCs w:val="20"/>
      <w:lang w:val="en-US" w:eastAsia="zh-CN" w:bidi="ar-SA"/>
    </w:rPr>
  </w:style>
  <w:style w:type="paragraph" w:styleId="14">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1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val="en-US" w:eastAsia="zh-CN" w:bidi="ar-SA"/>
    </w:rPr>
  </w:style>
  <w:style w:type="paragraph" w:styleId="16">
    <w:name w:val="envelope return"/>
    <w:basedOn w:val="1"/>
    <w:qFormat/>
    <w:uiPriority w:val="0"/>
    <w:pPr>
      <w:snapToGrid w:val="0"/>
    </w:pPr>
    <w:rPr>
      <w:rFonts w:ascii="Arial" w:hAnsi="Arial" w:eastAsia="宋体" w:cs="Arial"/>
    </w:rPr>
  </w:style>
  <w:style w:type="paragraph" w:styleId="17">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0"/>
      <w:sz w:val="18"/>
      <w:szCs w:val="18"/>
      <w:lang w:val="en-US" w:eastAsia="zh-CN" w:bidi="ar-SA"/>
    </w:rPr>
  </w:style>
  <w:style w:type="paragraph" w:styleId="18">
    <w:name w:val="toc 1"/>
    <w:basedOn w:val="1"/>
    <w:next w:val="1"/>
    <w:qFormat/>
    <w:uiPriority w:val="0"/>
    <w:pPr>
      <w:widowControl w:val="0"/>
      <w:spacing w:before="120" w:after="120"/>
      <w:ind w:left="0" w:right="0"/>
      <w:jc w:val="left"/>
    </w:pPr>
    <w:rPr>
      <w:rFonts w:ascii="Calibri" w:hAnsi="Calibri" w:eastAsia="宋体" w:cs="Calibri"/>
      <w:b/>
      <w:bCs/>
      <w:caps/>
      <w:kern w:val="2"/>
      <w:sz w:val="20"/>
      <w:szCs w:val="20"/>
      <w:lang w:val="en-US" w:eastAsia="zh-CN" w:bidi="ar-SA"/>
    </w:rPr>
  </w:style>
  <w:style w:type="paragraph" w:styleId="19">
    <w:name w:val="index heading"/>
    <w:basedOn w:val="1"/>
    <w:next w:val="20"/>
    <w:qFormat/>
    <w:uiPriority w:val="0"/>
    <w:pPr>
      <w:adjustRightInd w:val="0"/>
      <w:spacing w:line="312" w:lineRule="atLeast"/>
      <w:textAlignment w:val="baseline"/>
    </w:pPr>
    <w:rPr>
      <w:rFonts w:ascii="Arial" w:hAnsi="Arial" w:eastAsia="仿宋" w:cs="Arial"/>
      <w:b/>
      <w:bCs/>
      <w:kern w:val="0"/>
      <w:sz w:val="32"/>
      <w:szCs w:val="20"/>
    </w:rPr>
  </w:style>
  <w:style w:type="paragraph" w:styleId="20">
    <w:name w:val="index 1"/>
    <w:basedOn w:val="1"/>
    <w:next w:val="1"/>
    <w:qFormat/>
    <w:uiPriority w:val="0"/>
    <w:rPr>
      <w:rFonts w:ascii="Times New Roman" w:hAnsi="Times New Roman" w:eastAsia="宋体" w:cs="Times New Roman"/>
    </w:rPr>
  </w:style>
  <w:style w:type="paragraph" w:styleId="21">
    <w:name w:val="Subtitle"/>
    <w:basedOn w:val="1"/>
    <w:next w:val="1"/>
    <w:link w:val="109"/>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22">
    <w:name w:val="footnote text"/>
    <w:basedOn w:val="1"/>
    <w:unhideWhenUsed/>
    <w:qFormat/>
    <w:uiPriority w:val="99"/>
    <w:pPr>
      <w:snapToGrid w:val="0"/>
      <w:jc w:val="left"/>
    </w:pPr>
    <w:rPr>
      <w:sz w:val="18"/>
      <w:szCs w:val="18"/>
    </w:rPr>
  </w:style>
  <w:style w:type="paragraph" w:styleId="23">
    <w:name w:val="toc 6"/>
    <w:next w:val="1"/>
    <w:unhideWhenUsed/>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4">
    <w:name w:val="List 5"/>
    <w:basedOn w:val="1"/>
    <w:qFormat/>
    <w:uiPriority w:val="0"/>
    <w:pPr>
      <w:ind w:left="2100" w:hanging="420"/>
    </w:pPr>
    <w:rPr>
      <w:rFonts w:ascii="Times New Roman" w:hAnsi="Times New Roman" w:eastAsia="楷体_GB2312" w:cs="Times New Roman"/>
      <w:sz w:val="32"/>
      <w:szCs w:val="20"/>
    </w:rPr>
  </w:style>
  <w:style w:type="paragraph" w:styleId="25">
    <w:name w:val="index 7"/>
    <w:basedOn w:val="1"/>
    <w:next w:val="1"/>
    <w:qFormat/>
    <w:uiPriority w:val="0"/>
    <w:pPr>
      <w:autoSpaceDE/>
      <w:autoSpaceDN/>
      <w:adjustRightInd/>
      <w:ind w:left="1200" w:leftChars="1200"/>
    </w:pPr>
    <w:rPr>
      <w:color w:val="auto"/>
      <w:kern w:val="2"/>
      <w:szCs w:val="24"/>
    </w:rPr>
  </w:style>
  <w:style w:type="paragraph" w:styleId="26">
    <w:name w:val="toc 2"/>
    <w:basedOn w:val="1"/>
    <w:next w:val="1"/>
    <w:unhideWhenUsed/>
    <w:qFormat/>
    <w:uiPriority w:val="39"/>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宋体" w:eastAsia="宋体" w:cs="Times New Roman"/>
      <w:color w:val="000000"/>
      <w:sz w:val="24"/>
      <w:szCs w:val="24"/>
    </w:rPr>
  </w:style>
  <w:style w:type="paragraph" w:styleId="28">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29">
    <w:name w:val="Title"/>
    <w:basedOn w:val="1"/>
    <w:next w:val="1"/>
    <w:link w:val="108"/>
    <w:qFormat/>
    <w:uiPriority w:val="10"/>
    <w:pPr>
      <w:spacing w:before="60" w:after="60"/>
      <w:jc w:val="left"/>
      <w:outlineLvl w:val="0"/>
    </w:pPr>
    <w:rPr>
      <w:rFonts w:ascii="Cambria" w:hAnsi="Cambria" w:eastAsia="宋体" w:cs="Times New Roman"/>
      <w:bCs/>
      <w:szCs w:val="32"/>
    </w:rPr>
  </w:style>
  <w:style w:type="paragraph" w:styleId="30">
    <w:name w:val="Body Text First Indent"/>
    <w:basedOn w:val="11"/>
    <w:next w:val="1"/>
    <w:qFormat/>
    <w:uiPriority w:val="0"/>
    <w:pPr>
      <w:widowControl w:val="0"/>
      <w:autoSpaceDE w:val="0"/>
      <w:autoSpaceDN w:val="0"/>
      <w:adjustRightInd w:val="0"/>
      <w:snapToGrid w:val="0"/>
      <w:spacing w:after="0" w:line="360" w:lineRule="auto"/>
      <w:ind w:firstLine="420" w:firstLineChars="200"/>
      <w:jc w:val="left"/>
    </w:pPr>
    <w:rPr>
      <w:rFonts w:ascii="Arial" w:hAnsi="Arial" w:eastAsia="黑体" w:cs="Arial"/>
      <w:kern w:val="0"/>
      <w:sz w:val="24"/>
      <w:szCs w:val="21"/>
      <w:lang w:val="en-US" w:eastAsia="zh-CN" w:bidi="ar-SA"/>
    </w:rPr>
  </w:style>
  <w:style w:type="paragraph" w:styleId="31">
    <w:name w:val="Body Text First Indent 2"/>
    <w:basedOn w:val="12"/>
    <w:qFormat/>
    <w:uiPriority w:val="0"/>
    <w:pPr>
      <w:ind w:firstLine="420"/>
    </w:pPr>
    <w:rPr>
      <w:rFonts w:ascii="Times New Roman" w:hAnsi="Times New Roman" w:eastAsia="宋体" w:cs="Times New Roman"/>
    </w:rPr>
  </w:style>
  <w:style w:type="table" w:styleId="33">
    <w:name w:val="Table Grid"/>
    <w:basedOn w:val="3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rFonts w:ascii="Times New Roman" w:hAnsi="Times New Roman" w:eastAsia="宋体" w:cs="Times New Roman"/>
      <w:b/>
      <w:sz w:val="21"/>
    </w:rPr>
  </w:style>
  <w:style w:type="character" w:styleId="36">
    <w:name w:val="Hyperlink"/>
    <w:qFormat/>
    <w:uiPriority w:val="0"/>
    <w:rPr>
      <w:rFonts w:ascii="Times New Roman" w:hAnsi="Times New Roman" w:eastAsia="微软雅黑" w:cs="Times New Roman"/>
      <w:color w:val="0000FF"/>
      <w:u w:val="single"/>
    </w:rPr>
  </w:style>
  <w:style w:type="character" w:styleId="37">
    <w:name w:val="annotation reference"/>
    <w:qFormat/>
    <w:uiPriority w:val="0"/>
    <w:rPr>
      <w:rFonts w:ascii="Times New Roman" w:hAnsi="Times New Roman" w:eastAsia="宋体"/>
      <w:sz w:val="21"/>
      <w:szCs w:val="21"/>
    </w:rPr>
  </w:style>
  <w:style w:type="character" w:styleId="38">
    <w:name w:val="footnote reference"/>
    <w:basedOn w:val="34"/>
    <w:unhideWhenUsed/>
    <w:qFormat/>
    <w:uiPriority w:val="99"/>
    <w:rPr>
      <w:vertAlign w:val="superscript"/>
    </w:rPr>
  </w:style>
  <w:style w:type="character" w:customStyle="1" w:styleId="39">
    <w:name w:val="UserStyle_3"/>
    <w:qFormat/>
    <w:uiPriority w:val="0"/>
    <w:rPr>
      <w:rFonts w:ascii="宋体" w:hAnsi="宋体" w:eastAsia="宋体" w:cs="Times New Roman"/>
      <w:b/>
      <w:sz w:val="32"/>
      <w:szCs w:val="32"/>
    </w:rPr>
  </w:style>
  <w:style w:type="character" w:customStyle="1" w:styleId="40">
    <w:name w:val="NormalCharacter"/>
    <w:link w:val="41"/>
    <w:qFormat/>
    <w:uiPriority w:val="0"/>
  </w:style>
  <w:style w:type="paragraph" w:customStyle="1" w:styleId="41">
    <w:name w:val="UserStyle_20"/>
    <w:basedOn w:val="1"/>
    <w:link w:val="40"/>
    <w:qFormat/>
    <w:uiPriority w:val="0"/>
    <w:pPr>
      <w:spacing w:after="160" w:line="240" w:lineRule="exact"/>
      <w:jc w:val="left"/>
    </w:pPr>
    <w:rPr>
      <w:rFonts w:ascii="Verdana" w:hAnsi="Verdana" w:eastAsia="仿宋_GB2312" w:cs="Times New Roman"/>
      <w:kern w:val="0"/>
      <w:sz w:val="24"/>
      <w:szCs w:val="20"/>
      <w:lang w:eastAsia="en-US"/>
    </w:rPr>
  </w:style>
  <w:style w:type="paragraph" w:customStyle="1" w:styleId="42">
    <w:name w:val="UserStyle_5"/>
    <w:basedOn w:val="1"/>
    <w:link w:val="40"/>
    <w:qFormat/>
    <w:uiPriority w:val="0"/>
    <w:pPr>
      <w:widowControl/>
      <w:spacing w:after="160" w:line="240" w:lineRule="exact"/>
      <w:jc w:val="left"/>
      <w:textAlignment w:val="baseline"/>
    </w:pPr>
  </w:style>
  <w:style w:type="paragraph" w:customStyle="1" w:styleId="43">
    <w:name w:val="UserStyle_0"/>
    <w:basedOn w:val="1"/>
    <w:qFormat/>
    <w:uiPriority w:val="0"/>
    <w:rPr>
      <w:rFonts w:ascii="Courier New" w:hAnsi="Courier New" w:eastAsia="宋体" w:cs="Times New Roman"/>
      <w:sz w:val="20"/>
    </w:rPr>
  </w:style>
  <w:style w:type="paragraph" w:customStyle="1" w:styleId="44">
    <w:name w:val="BodyText1I2"/>
    <w:basedOn w:val="45"/>
    <w:next w:val="46"/>
    <w:qFormat/>
    <w:uiPriority w:val="0"/>
    <w:pPr>
      <w:ind w:leftChars="0"/>
    </w:pPr>
    <w:rPr>
      <w:rFonts w:ascii="Calibri" w:hAnsi="Calibri" w:eastAsia="宋体" w:cs="Times New Roman"/>
      <w:sz w:val="21"/>
      <w:szCs w:val="22"/>
    </w:rPr>
  </w:style>
  <w:style w:type="paragraph" w:customStyle="1" w:styleId="45">
    <w:name w:val="BodyTextIndent"/>
    <w:basedOn w:val="1"/>
    <w:qFormat/>
    <w:uiPriority w:val="0"/>
    <w:pPr>
      <w:spacing w:after="120"/>
      <w:ind w:left="420" w:leftChars="200"/>
    </w:pPr>
    <w:rPr>
      <w:rFonts w:ascii="Times New Roman" w:hAnsi="Times New Roman" w:eastAsia="宋体" w:cs="Times New Roman"/>
      <w:sz w:val="24"/>
      <w:szCs w:val="24"/>
    </w:rPr>
  </w:style>
  <w:style w:type="paragraph" w:customStyle="1" w:styleId="46">
    <w:name w:val="BodyText"/>
    <w:basedOn w:val="1"/>
    <w:next w:val="1"/>
    <w:qFormat/>
    <w:uiPriority w:val="0"/>
    <w:rPr>
      <w:rFonts w:ascii="Times New Roman" w:hAnsi="Times New Roman" w:eastAsia="黑体" w:cs="Times New Roman"/>
      <w:kern w:val="0"/>
      <w:sz w:val="36"/>
      <w:szCs w:val="36"/>
    </w:rPr>
  </w:style>
  <w:style w:type="paragraph" w:customStyle="1" w:styleId="4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正文_2_0"/>
    <w:basedOn w:val="49"/>
    <w:next w:val="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2_1"/>
    <w:basedOn w:val="50"/>
    <w:next w:val="71"/>
    <w:qFormat/>
    <w:uiPriority w:val="0"/>
    <w:rPr>
      <w:szCs w:val="24"/>
    </w:rPr>
  </w:style>
  <w:style w:type="paragraph" w:customStyle="1" w:styleId="50">
    <w:name w:val="正文_3_0"/>
    <w:basedOn w:val="51"/>
    <w:next w:val="54"/>
    <w:qFormat/>
    <w:uiPriority w:val="0"/>
  </w:style>
  <w:style w:type="paragraph" w:customStyle="1" w:styleId="51">
    <w:name w:val="Normal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Body Text_0"/>
    <w:basedOn w:val="53"/>
    <w:qFormat/>
    <w:uiPriority w:val="0"/>
    <w:pPr>
      <w:spacing w:after="120"/>
    </w:pPr>
  </w:style>
  <w:style w:type="paragraph" w:customStyle="1" w:styleId="53">
    <w:name w:val="Normal_1"/>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缩进_0_0_1"/>
    <w:basedOn w:val="55"/>
    <w:unhideWhenUsed/>
    <w:qFormat/>
    <w:uiPriority w:val="0"/>
    <w:pPr>
      <w:ind w:firstLine="420" w:firstLineChars="200"/>
    </w:pPr>
  </w:style>
  <w:style w:type="paragraph" w:customStyle="1" w:styleId="55">
    <w:name w:val="正文_0_1_1"/>
    <w:basedOn w:val="56"/>
    <w:next w:val="68"/>
    <w:qFormat/>
    <w:uiPriority w:val="0"/>
    <w:rPr>
      <w:rFonts w:eastAsia="Calibri"/>
    </w:rPr>
  </w:style>
  <w:style w:type="paragraph" w:customStyle="1" w:styleId="56">
    <w:name w:val="正文_3_1"/>
    <w:basedOn w:val="57"/>
    <w:next w:val="60"/>
    <w:qFormat/>
    <w:uiPriority w:val="0"/>
    <w:rPr>
      <w:rFonts w:ascii="Calibri" w:hAnsi="Calibri"/>
      <w:sz w:val="21"/>
      <w:szCs w:val="22"/>
    </w:rPr>
  </w:style>
  <w:style w:type="paragraph" w:customStyle="1" w:styleId="57">
    <w:name w:val="Normal_0_1"/>
    <w:basedOn w:val="58"/>
    <w:qFormat/>
    <w:uiPriority w:val="0"/>
    <w:rPr>
      <w:rFonts w:ascii="黑体" w:hAnsi="黑体" w:eastAsia="黑体"/>
      <w:b/>
      <w:sz w:val="32"/>
      <w:szCs w:val="24"/>
    </w:rPr>
  </w:style>
  <w:style w:type="paragraph" w:customStyle="1" w:styleId="58">
    <w:name w:val="Normal_2"/>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Body Text_1"/>
    <w:basedOn w:val="58"/>
    <w:qFormat/>
    <w:uiPriority w:val="0"/>
    <w:pPr>
      <w:spacing w:after="120"/>
    </w:pPr>
  </w:style>
  <w:style w:type="paragraph" w:customStyle="1" w:styleId="60">
    <w:name w:val="正文缩进_0_0_0"/>
    <w:basedOn w:val="61"/>
    <w:unhideWhenUsed/>
    <w:qFormat/>
    <w:uiPriority w:val="0"/>
    <w:pPr>
      <w:ind w:firstLine="420" w:firstLineChars="200"/>
    </w:pPr>
  </w:style>
  <w:style w:type="paragraph" w:customStyle="1" w:styleId="61">
    <w:name w:val="正文_0_1_0"/>
    <w:basedOn w:val="62"/>
    <w:next w:val="63"/>
    <w:qFormat/>
    <w:uiPriority w:val="0"/>
    <w:rPr>
      <w:rFonts w:eastAsia="Calibri"/>
    </w:rPr>
  </w:style>
  <w:style w:type="paragraph" w:customStyle="1" w:styleId="62">
    <w:name w:val="正文_1_1"/>
    <w:next w:val="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脚注文本_0"/>
    <w:basedOn w:val="64"/>
    <w:next w:val="66"/>
    <w:unhideWhenUsed/>
    <w:qFormat/>
    <w:uiPriority w:val="99"/>
    <w:pPr>
      <w:snapToGrid w:val="0"/>
      <w:jc w:val="left"/>
    </w:pPr>
    <w:rPr>
      <w:rFonts w:ascii="Calibri" w:hAnsi="Calibri" w:eastAsia="Calibri"/>
      <w:sz w:val="18"/>
    </w:rPr>
  </w:style>
  <w:style w:type="paragraph" w:customStyle="1" w:styleId="64">
    <w:name w:val="正文_0_2"/>
    <w:next w:val="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页脚_0_0"/>
    <w:basedOn w:val="64"/>
    <w:unhideWhenUsed/>
    <w:qFormat/>
    <w:uiPriority w:val="99"/>
    <w:pPr>
      <w:tabs>
        <w:tab w:val="center" w:pos="4153"/>
        <w:tab w:val="right" w:pos="8306"/>
      </w:tabs>
      <w:snapToGrid w:val="0"/>
      <w:jc w:val="left"/>
    </w:pPr>
    <w:rPr>
      <w:sz w:val="18"/>
      <w:szCs w:val="18"/>
    </w:rPr>
  </w:style>
  <w:style w:type="paragraph" w:customStyle="1" w:styleId="66">
    <w:name w:val="正文_2"/>
    <w:next w:val="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文本_0"/>
    <w:basedOn w:val="48"/>
    <w:qFormat/>
    <w:uiPriority w:val="0"/>
  </w:style>
  <w:style w:type="paragraph" w:customStyle="1" w:styleId="68">
    <w:name w:val="脚注文本1"/>
    <w:basedOn w:val="69"/>
    <w:next w:val="70"/>
    <w:unhideWhenUsed/>
    <w:qFormat/>
    <w:uiPriority w:val="0"/>
    <w:pPr>
      <w:snapToGrid w:val="0"/>
      <w:jc w:val="left"/>
    </w:pPr>
    <w:rPr>
      <w:kern w:val="0"/>
      <w:sz w:val="18"/>
      <w:szCs w:val="18"/>
    </w:rPr>
  </w:style>
  <w:style w:type="paragraph" w:customStyle="1" w:styleId="69">
    <w:name w:val="正文_1_0"/>
    <w:next w:val="68"/>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索引 51"/>
    <w:basedOn w:val="69"/>
    <w:next w:val="69"/>
    <w:unhideWhenUsed/>
    <w:qFormat/>
    <w:uiPriority w:val="99"/>
    <w:pPr>
      <w:ind w:left="1680"/>
    </w:pPr>
  </w:style>
  <w:style w:type="paragraph" w:customStyle="1" w:styleId="71">
    <w:name w:val="No Spacing_0"/>
    <w:basedOn w:val="72"/>
    <w:qFormat/>
    <w:uiPriority w:val="1"/>
  </w:style>
  <w:style w:type="paragraph" w:customStyle="1" w:styleId="72">
    <w:name w:val="正文_5"/>
    <w:basedOn w:val="66"/>
    <w:next w:val="73"/>
    <w:qFormat/>
    <w:uiPriority w:val="0"/>
    <w:rPr>
      <w:rFonts w:ascii="Calibri" w:hAnsi="Calibri"/>
      <w:szCs w:val="22"/>
    </w:rPr>
  </w:style>
  <w:style w:type="paragraph" w:customStyle="1" w:styleId="73">
    <w:name w:val="段_0"/>
    <w:next w:val="72"/>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4">
    <w:name w:val="正文1_0"/>
    <w:basedOn w:val="75"/>
    <w:qFormat/>
    <w:uiPriority w:val="0"/>
    <w:pPr>
      <w:widowControl/>
      <w:spacing w:before="120" w:after="120"/>
      <w:ind w:firstLine="200" w:firstLineChars="200"/>
      <w:jc w:val="left"/>
    </w:pPr>
    <w:rPr>
      <w:rFonts w:ascii="Times New Roman" w:hAnsi="Times New Roman" w:eastAsia="Adobe 仿宋 Std R"/>
    </w:rPr>
  </w:style>
  <w:style w:type="paragraph" w:customStyle="1" w:styleId="75">
    <w:name w:val="正文_3"/>
    <w:basedOn w:val="76"/>
    <w:next w:val="78"/>
    <w:qFormat/>
    <w:uiPriority w:val="0"/>
  </w:style>
  <w:style w:type="paragraph" w:customStyle="1" w:styleId="76">
    <w:name w:val="Normal_0"/>
    <w:basedOn w:val="77"/>
    <w:next w:val="31"/>
    <w:qFormat/>
    <w:uiPriority w:val="0"/>
    <w:rPr>
      <w:rFonts w:ascii="Calibri" w:hAnsi="Calibri"/>
      <w:sz w:val="21"/>
    </w:rPr>
  </w:style>
  <w:style w:type="paragraph" w:customStyle="1" w:styleId="77">
    <w:name w:val="正文1"/>
    <w:next w:val="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正文缩进_0_0"/>
    <w:basedOn w:val="79"/>
    <w:unhideWhenUsed/>
    <w:qFormat/>
    <w:uiPriority w:val="0"/>
    <w:pPr>
      <w:ind w:firstLine="420" w:firstLineChars="200"/>
    </w:pPr>
  </w:style>
  <w:style w:type="paragraph" w:customStyle="1" w:styleId="79">
    <w:name w:val="正文_2_0_0"/>
    <w:basedOn w:val="80"/>
    <w:next w:val="84"/>
    <w:qFormat/>
    <w:uiPriority w:val="0"/>
    <w:rPr>
      <w:rFonts w:cs="Calibri"/>
      <w:szCs w:val="21"/>
    </w:rPr>
  </w:style>
  <w:style w:type="paragraph" w:customStyle="1" w:styleId="80">
    <w:name w:val="正文_3_0_0"/>
    <w:basedOn w:val="81"/>
    <w:next w:val="82"/>
    <w:qFormat/>
    <w:uiPriority w:val="0"/>
    <w:rPr>
      <w:rFonts w:ascii="Calibri" w:hAnsi="Calibri"/>
    </w:rPr>
  </w:style>
  <w:style w:type="paragraph" w:customStyle="1" w:styleId="81">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文本_1_0_0"/>
    <w:basedOn w:val="83"/>
    <w:qFormat/>
    <w:uiPriority w:val="0"/>
    <w:pPr>
      <w:spacing w:after="120"/>
    </w:pPr>
  </w:style>
  <w:style w:type="paragraph" w:customStyle="1" w:styleId="83">
    <w:name w:val="正文_2_0_0_0_0"/>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首行缩进 2_4"/>
    <w:basedOn w:val="85"/>
    <w:unhideWhenUsed/>
    <w:qFormat/>
    <w:uiPriority w:val="99"/>
    <w:pPr>
      <w:ind w:firstLine="420" w:firstLineChars="200"/>
    </w:pPr>
  </w:style>
  <w:style w:type="paragraph" w:customStyle="1" w:styleId="85">
    <w:name w:val="正文文本缩进_5"/>
    <w:basedOn w:val="86"/>
    <w:qFormat/>
    <w:uiPriority w:val="0"/>
    <w:pPr>
      <w:spacing w:line="500" w:lineRule="exact"/>
      <w:ind w:left="1588" w:leftChars="832" w:firstLine="433" w:firstLineChars="196"/>
    </w:pPr>
    <w:rPr>
      <w:kern w:val="0"/>
      <w:sz w:val="24"/>
    </w:rPr>
  </w:style>
  <w:style w:type="paragraph" w:customStyle="1" w:styleId="86">
    <w:name w:val="正文_2_0_0_0"/>
    <w:next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88">
    <w:name w:val="题注5"/>
    <w:basedOn w:val="1"/>
    <w:next w:val="7"/>
    <w:qFormat/>
    <w:uiPriority w:val="0"/>
    <w:pPr>
      <w:numPr>
        <w:ilvl w:val="1"/>
        <w:numId w:val="2"/>
      </w:numPr>
      <w:tabs>
        <w:tab w:val="left" w:pos="0"/>
        <w:tab w:val="left" w:pos="720"/>
      </w:tabs>
      <w:spacing w:line="360" w:lineRule="auto"/>
      <w:ind w:left="720" w:hanging="720"/>
    </w:pPr>
    <w:rPr>
      <w:rFonts w:ascii="Times New Roman" w:hAnsi="Times New Roman" w:eastAsia="宋体" w:cs="Times New Roman"/>
      <w:b/>
      <w:color w:val="000000"/>
      <w:sz w:val="28"/>
      <w:szCs w:val="28"/>
    </w:rPr>
  </w:style>
  <w:style w:type="character" w:customStyle="1" w:styleId="89">
    <w:name w:val="标题 1 Char Char"/>
    <w:link w:val="2"/>
    <w:qFormat/>
    <w:uiPriority w:val="0"/>
    <w:rPr>
      <w:rFonts w:ascii="仿宋" w:hAnsi="仿宋" w:eastAsia="仿宋" w:cs="仿宋"/>
      <w:b/>
      <w:bCs/>
      <w:kern w:val="44"/>
      <w:sz w:val="32"/>
      <w:szCs w:val="44"/>
      <w:lang w:val="en-US" w:eastAsia="zh-CN" w:bidi="ar-SA"/>
    </w:rPr>
  </w:style>
  <w:style w:type="paragraph" w:customStyle="1" w:styleId="90">
    <w:name w:val="首行缩进:  0.85 厘米"/>
    <w:basedOn w:val="1"/>
    <w:qFormat/>
    <w:uiPriority w:val="0"/>
    <w:pPr>
      <w:widowControl/>
      <w:spacing w:after="100" w:line="360" w:lineRule="auto"/>
      <w:ind w:firstLine="482"/>
      <w:jc w:val="left"/>
    </w:pPr>
    <w:rPr>
      <w:rFonts w:ascii="Times New Roman" w:hAnsi="Times New Roman" w:eastAsia="宋体" w:cs="Times New Roman"/>
      <w:kern w:val="0"/>
      <w:sz w:val="24"/>
      <w:lang w:eastAsia="en-US"/>
    </w:rPr>
  </w:style>
  <w:style w:type="character" w:customStyle="1" w:styleId="91">
    <w:name w:val="标题 1 Char"/>
    <w:link w:val="2"/>
    <w:qFormat/>
    <w:uiPriority w:val="0"/>
    <w:rPr>
      <w:rFonts w:ascii="Times New Roman" w:hAnsi="Times New Roman" w:eastAsia="宋体" w:cs="Times New Roman"/>
      <w:b/>
      <w:bCs/>
      <w:kern w:val="44"/>
      <w:sz w:val="44"/>
      <w:szCs w:val="44"/>
    </w:rPr>
  </w:style>
  <w:style w:type="character" w:customStyle="1" w:styleId="92">
    <w:name w:val="标题 3 Char"/>
    <w:link w:val="4"/>
    <w:qFormat/>
    <w:uiPriority w:val="0"/>
    <w:rPr>
      <w:rFonts w:ascii="宋体" w:hAnsi="宋体" w:eastAsia="宋体" w:cs="宋体"/>
      <w:b/>
      <w:bCs/>
      <w:kern w:val="0"/>
      <w:sz w:val="27"/>
      <w:szCs w:val="27"/>
      <w:lang w:val="en-US" w:eastAsia="zh-CN" w:bidi="ar-SA"/>
    </w:rPr>
  </w:style>
  <w:style w:type="paragraph" w:customStyle="1" w:styleId="93">
    <w:name w:val="WPS Plain"/>
    <w:basedOn w:val="1"/>
    <w:qFormat/>
    <w:uiPriority w:val="0"/>
    <w:pPr>
      <w:widowControl/>
      <w:adjustRightInd/>
      <w:spacing w:line="240" w:lineRule="auto"/>
      <w:jc w:val="left"/>
      <w:textAlignment w:val="auto"/>
    </w:pPr>
    <w:rPr>
      <w:rFonts w:ascii="Times New Roman" w:hAnsi="Times New Roman" w:eastAsia="宋体" w:cs="Times New Roman"/>
      <w:sz w:val="24"/>
      <w:szCs w:val="24"/>
    </w:rPr>
  </w:style>
  <w:style w:type="paragraph" w:customStyle="1" w:styleId="94">
    <w:name w:val="Normal (Web)"/>
    <w:basedOn w:val="1"/>
    <w:qFormat/>
    <w:uiPriority w:val="0"/>
    <w:pPr>
      <w:spacing w:before="0" w:beforeLines="0" w:beforeAutospacing="0" w:after="0" w:afterLines="0" w:afterAutospacing="0"/>
      <w:ind w:left="0" w:right="0"/>
      <w:jc w:val="left"/>
    </w:pPr>
    <w:rPr>
      <w:rFonts w:ascii="Times New Roman" w:hAnsi="Times New Roman" w:eastAsia="宋体" w:cs="Times New Roman"/>
      <w:kern w:val="0"/>
      <w:sz w:val="24"/>
      <w:lang w:val="en-US" w:eastAsia="zh-CN"/>
    </w:rPr>
  </w:style>
  <w:style w:type="character" w:customStyle="1" w:styleId="95">
    <w:name w:val="三级目录"/>
    <w:qFormat/>
    <w:uiPriority w:val="1902"/>
    <w:rPr>
      <w:rFonts w:ascii="宋体" w:hAnsi="宋体"/>
      <w:b/>
      <w:bCs/>
      <w:sz w:val="23"/>
    </w:rPr>
  </w:style>
  <w:style w:type="character" w:customStyle="1" w:styleId="96">
    <w:name w:val="PageNumber"/>
    <w:qFormat/>
    <w:uiPriority w:val="0"/>
    <w:rPr>
      <w:rFonts w:ascii="Times New Roman" w:hAnsi="Times New Roman" w:eastAsia="宋体" w:cs="Times New Roman"/>
    </w:rPr>
  </w:style>
  <w:style w:type="paragraph" w:customStyle="1" w:styleId="97">
    <w:name w:val="正文缩进1"/>
    <w:basedOn w:val="1"/>
    <w:qFormat/>
    <w:uiPriority w:val="0"/>
    <w:pPr>
      <w:ind w:firstLine="420" w:firstLineChars="200"/>
    </w:pPr>
  </w:style>
  <w:style w:type="paragraph" w:customStyle="1" w:styleId="9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9">
    <w:name w:val="_Style 7"/>
    <w:basedOn w:val="2"/>
    <w:next w:val="1"/>
    <w:qFormat/>
    <w:uiPriority w:val="0"/>
    <w:pPr>
      <w:keepNext/>
      <w:keepLines/>
      <w:widowControl w:val="0"/>
      <w:autoSpaceDE w:val="0"/>
      <w:autoSpaceDN w:val="0"/>
      <w:spacing w:before="340" w:beforeAutospacing="0" w:after="330" w:afterAutospacing="0" w:line="578" w:lineRule="auto"/>
      <w:outlineLvl w:val="9"/>
    </w:pPr>
    <w:rPr>
      <w:rFonts w:cs="宋体"/>
      <w:kern w:val="44"/>
      <w:sz w:val="44"/>
      <w:szCs w:val="44"/>
      <w:lang w:val="en-US" w:eastAsia="en-US"/>
    </w:rPr>
  </w:style>
  <w:style w:type="paragraph" w:customStyle="1" w:styleId="100">
    <w:name w:val="无间隔1"/>
    <w:next w:val="1"/>
    <w:qFormat/>
    <w:uiPriority w:val="1"/>
    <w:pPr>
      <w:widowControl w:val="0"/>
    </w:pPr>
    <w:rPr>
      <w:rFonts w:ascii="Calibri" w:hAnsi="Calibri" w:eastAsia="仿宋_GB2312" w:cs="Times New Roman"/>
      <w:kern w:val="2"/>
      <w:sz w:val="28"/>
      <w:szCs w:val="21"/>
      <w:lang w:val="en-US" w:eastAsia="zh-CN" w:bidi="ar-SA"/>
    </w:rPr>
  </w:style>
  <w:style w:type="paragraph" w:styleId="101">
    <w:name w:val="List Paragraph"/>
    <w:basedOn w:val="1"/>
    <w:qFormat/>
    <w:uiPriority w:val="0"/>
    <w:pPr>
      <w:ind w:firstLine="420" w:firstLineChars="200"/>
    </w:pPr>
    <w:rPr>
      <w:rFonts w:ascii="Calibri" w:hAnsi="Calibri"/>
      <w:szCs w:val="22"/>
    </w:rPr>
  </w:style>
  <w:style w:type="paragraph" w:customStyle="1" w:styleId="102">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3">
    <w:name w:val="4正文"/>
    <w:basedOn w:val="1"/>
    <w:qFormat/>
    <w:uiPriority w:val="0"/>
    <w:pPr>
      <w:snapToGrid w:val="0"/>
      <w:spacing w:line="360" w:lineRule="auto"/>
      <w:ind w:firstLine="480" w:firstLineChars="200"/>
    </w:pPr>
    <w:rPr>
      <w:rFonts w:eastAsia="仿宋"/>
      <w:sz w:val="24"/>
    </w:rPr>
  </w:style>
  <w:style w:type="paragraph" w:customStyle="1" w:styleId="104">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05">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106">
    <w:name w:val="p0"/>
    <w:basedOn w:val="1"/>
    <w:qFormat/>
    <w:uiPriority w:val="0"/>
    <w:pPr>
      <w:jc w:val="both"/>
    </w:pPr>
    <w:rPr>
      <w:rFonts w:ascii="Times New Roman" w:hAnsi="Times New Roman" w:cs="Times New Roman"/>
      <w:sz w:val="21"/>
      <w:szCs w:val="21"/>
    </w:rPr>
  </w:style>
  <w:style w:type="character" w:customStyle="1" w:styleId="107">
    <w:name w:val="15"/>
    <w:qFormat/>
    <w:uiPriority w:val="0"/>
    <w:rPr>
      <w:rFonts w:hint="default" w:ascii="Times New Roman" w:hAnsi="Times New Roman" w:cs="Times New Roman"/>
      <w:color w:val="464445"/>
      <w:u w:val="none"/>
    </w:rPr>
  </w:style>
  <w:style w:type="character" w:customStyle="1" w:styleId="108">
    <w:name w:val="标题 Char"/>
    <w:link w:val="29"/>
    <w:qFormat/>
    <w:uiPriority w:val="10"/>
    <w:rPr>
      <w:rFonts w:ascii="Cambria" w:hAnsi="Cambria" w:eastAsia="宋体" w:cs="Times New Roman"/>
      <w:bCs/>
      <w:szCs w:val="32"/>
    </w:rPr>
  </w:style>
  <w:style w:type="character" w:customStyle="1" w:styleId="109">
    <w:name w:val="副标题 Char"/>
    <w:link w:val="21"/>
    <w:qFormat/>
    <w:uiPriority w:val="11"/>
    <w:rPr>
      <w:rFonts w:ascii="Calibri Light" w:hAnsi="Calibri Light" w:cs="Times New Roman"/>
      <w:b/>
      <w:bCs/>
      <w:kern w:val="28"/>
      <w:sz w:val="32"/>
      <w:szCs w:val="32"/>
    </w:rPr>
  </w:style>
  <w:style w:type="paragraph" w:customStyle="1" w:styleId="110">
    <w:name w:val="Normal (Web)_e3ffb6d1-280f-4ca8-a7ea-d278170ff79d"/>
    <w:basedOn w:val="1"/>
    <w:qFormat/>
    <w:uiPriority w:val="0"/>
    <w:pPr>
      <w:jc w:val="left"/>
    </w:pPr>
    <w:rPr>
      <w:kern w:val="0"/>
      <w:sz w:val="24"/>
    </w:rPr>
  </w:style>
  <w:style w:type="paragraph" w:customStyle="1" w:styleId="111">
    <w:name w:val="引文目录标题1"/>
    <w:basedOn w:val="1"/>
    <w:qFormat/>
    <w:uiPriority w:val="0"/>
    <w:pPr>
      <w:spacing w:before="120" w:beforeAutospacing="0" w:afterAutospacing="0"/>
    </w:pPr>
    <w:rPr>
      <w:rFonts w:ascii="Arial" w:hAnsi="Arial" w:eastAsia="仿宋"/>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433</Words>
  <Characters>507</Characters>
  <Lines>0</Lines>
  <Paragraphs>0</Paragraphs>
  <TotalTime>11</TotalTime>
  <ScaleCrop>false</ScaleCrop>
  <LinksUpToDate>false</LinksUpToDate>
  <CharactersWithSpaces>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2024-05-18T14:37:00Z</dcterms:created>
  <dc:creator>王冰寒</dc:creator>
  <cp:lastModifiedBy>NTKO</cp:lastModifiedBy>
  <dcterms:modified xsi:type="dcterms:W3CDTF">2025-02-27T10:05:38Z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A933A2C4AC304F87A8A925CE3D7392F5_13</vt:lpwstr>
  </property>
  <property fmtid="{D5CDD505-2E9C-101B-9397-08002B2CF9AE}" pid="4" name="KSOTemplateDocerSaveRecord">
    <vt:lpwstr>eyJoZGlkIjoiYjVjZDhiOTg5NTYxNTlkZTRjZmNiMGQ3ZjMzZTQ3MTAiLCJ1c2VySWQiOiI2MjU0MTEwMzMifQ==</vt:lpwstr>
  </property>
</Properties>
</file>