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212C5">
      <w:pPr>
        <w:jc w:val="center"/>
        <w:rPr>
          <w:rFonts w:hint="eastAsia" w:ascii="宋体" w:hAnsi="宋体" w:cs="宋体"/>
          <w:b/>
          <w:color w:val="auto"/>
          <w:sz w:val="48"/>
          <w:szCs w:val="48"/>
          <w:highlight w:val="none"/>
          <w:lang w:val="en-US" w:eastAsia="zh-CN"/>
        </w:rPr>
      </w:pPr>
    </w:p>
    <w:p w14:paraId="6F788CC6">
      <w:pPr>
        <w:jc w:val="center"/>
        <w:outlineLvl w:val="0"/>
        <w:rPr>
          <w:rFonts w:hint="eastAsia" w:ascii="宋体" w:hAnsi="宋体" w:eastAsia="宋体" w:cs="宋体"/>
          <w:b/>
          <w:color w:val="auto"/>
          <w:kern w:val="0"/>
          <w:sz w:val="48"/>
          <w:szCs w:val="48"/>
          <w:highlight w:val="none"/>
          <w:lang w:val="en-US" w:eastAsia="zh-CN"/>
        </w:rPr>
      </w:pPr>
      <w:r>
        <w:rPr>
          <w:rFonts w:hint="eastAsia" w:ascii="宋体" w:hAnsi="宋体" w:cs="宋体"/>
          <w:b/>
          <w:color w:val="auto"/>
          <w:kern w:val="0"/>
          <w:sz w:val="48"/>
          <w:szCs w:val="48"/>
          <w:highlight w:val="none"/>
          <w:lang w:val="en-US" w:eastAsia="zh-CN"/>
        </w:rPr>
        <w:t>青河县萨尔托海乡山区喀拉乔拉片区电力基础设施建设项目</w:t>
      </w:r>
    </w:p>
    <w:p w14:paraId="173B719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lang w:eastAsia="zh-CN"/>
        </w:rPr>
        <w:t>采购项目</w:t>
      </w:r>
      <w:r>
        <w:rPr>
          <w:rFonts w:hint="eastAsia" w:ascii="宋体" w:hAnsi="宋体" w:eastAsia="宋体" w:cs="宋体"/>
          <w:color w:val="auto"/>
          <w:sz w:val="32"/>
          <w:szCs w:val="32"/>
          <w:highlight w:val="none"/>
          <w:lang w:eastAsia="zh-CN"/>
        </w:rPr>
        <w:t>编号：</w:t>
      </w:r>
      <w:r>
        <w:rPr>
          <w:rFonts w:hint="eastAsia" w:ascii="宋体" w:hAnsi="宋体" w:cs="宋体"/>
          <w:color w:val="auto"/>
          <w:sz w:val="32"/>
          <w:szCs w:val="32"/>
          <w:highlight w:val="none"/>
          <w:lang w:val="en-US" w:eastAsia="zh-CN"/>
        </w:rPr>
        <w:t>XJHS-2025-58</w:t>
      </w:r>
    </w:p>
    <w:p w14:paraId="78AA1AE4">
      <w:pPr>
        <w:pStyle w:val="11"/>
        <w:ind w:left="0" w:leftChars="0" w:firstLine="0" w:firstLineChars="0"/>
        <w:rPr>
          <w:rFonts w:hint="eastAsia" w:ascii="宋体" w:hAnsi="宋体" w:eastAsia="宋体" w:cs="宋体"/>
          <w:color w:val="auto"/>
          <w:highlight w:val="none"/>
        </w:rPr>
      </w:pPr>
    </w:p>
    <w:p w14:paraId="1AF27540">
      <w:pPr>
        <w:pStyle w:val="11"/>
        <w:rPr>
          <w:rFonts w:hint="eastAsia" w:ascii="宋体" w:hAnsi="宋体" w:eastAsia="宋体" w:cs="宋体"/>
          <w:color w:val="auto"/>
          <w:highlight w:val="none"/>
        </w:rPr>
      </w:pPr>
    </w:p>
    <w:p w14:paraId="4367D8E2">
      <w:pPr>
        <w:pStyle w:val="11"/>
        <w:rPr>
          <w:rFonts w:hint="eastAsia" w:ascii="宋体" w:hAnsi="宋体" w:eastAsia="宋体" w:cs="宋体"/>
          <w:color w:val="auto"/>
          <w:highlight w:val="none"/>
        </w:rPr>
      </w:pPr>
    </w:p>
    <w:p w14:paraId="19086A4F">
      <w:pPr>
        <w:jc w:val="center"/>
        <w:rPr>
          <w:rFonts w:hint="eastAsia" w:ascii="宋体" w:hAnsi="宋体" w:eastAsia="宋体" w:cs="宋体"/>
          <w:b/>
          <w:color w:val="auto"/>
          <w:sz w:val="56"/>
          <w:szCs w:val="22"/>
          <w:highlight w:val="none"/>
        </w:rPr>
      </w:pPr>
    </w:p>
    <w:p w14:paraId="74E87942">
      <w:pPr>
        <w:jc w:val="center"/>
        <w:rPr>
          <w:rFonts w:hint="eastAsia" w:ascii="宋体" w:hAnsi="宋体" w:eastAsia="宋体" w:cs="宋体"/>
          <w:b/>
          <w:color w:val="auto"/>
          <w:sz w:val="56"/>
          <w:szCs w:val="22"/>
          <w:highlight w:val="none"/>
        </w:rPr>
      </w:pPr>
      <w:r>
        <w:rPr>
          <w:rFonts w:hint="eastAsia" w:ascii="宋体" w:hAnsi="宋体" w:eastAsia="宋体" w:cs="宋体"/>
          <w:b/>
          <w:color w:val="auto"/>
          <w:sz w:val="56"/>
          <w:szCs w:val="22"/>
          <w:highlight w:val="none"/>
        </w:rPr>
        <w:t>竞 争 性 谈 判 文 件</w:t>
      </w:r>
    </w:p>
    <w:p w14:paraId="25CA8D5B">
      <w:pPr>
        <w:autoSpaceDE w:val="0"/>
        <w:autoSpaceDN w:val="0"/>
        <w:adjustRightInd w:val="0"/>
        <w:spacing w:line="460" w:lineRule="exact"/>
        <w:jc w:val="both"/>
        <w:rPr>
          <w:rFonts w:hint="eastAsia" w:ascii="宋体" w:hAnsi="宋体" w:eastAsia="宋体" w:cs="宋体"/>
          <w:b/>
          <w:bCs w:val="0"/>
          <w:color w:val="auto"/>
          <w:sz w:val="36"/>
          <w:szCs w:val="36"/>
          <w:highlight w:val="none"/>
        </w:rPr>
      </w:pPr>
    </w:p>
    <w:p w14:paraId="436F00E0">
      <w:pPr>
        <w:pStyle w:val="11"/>
        <w:ind w:left="0" w:leftChars="0" w:firstLine="0" w:firstLineChars="0"/>
        <w:rPr>
          <w:rFonts w:hint="eastAsia" w:ascii="宋体" w:hAnsi="宋体" w:eastAsia="宋体" w:cs="宋体"/>
          <w:bCs/>
          <w:color w:val="auto"/>
          <w:sz w:val="28"/>
          <w:szCs w:val="28"/>
          <w:highlight w:val="none"/>
          <w:lang w:val="zh-CN"/>
        </w:rPr>
      </w:pPr>
    </w:p>
    <w:p w14:paraId="687FC30E">
      <w:pPr>
        <w:rPr>
          <w:rFonts w:hint="eastAsia"/>
          <w:color w:val="auto"/>
          <w:highlight w:val="none"/>
          <w:lang w:val="zh-CN"/>
        </w:rPr>
      </w:pPr>
    </w:p>
    <w:p w14:paraId="14A27450">
      <w:pPr>
        <w:snapToGrid w:val="0"/>
        <w:spacing w:line="360" w:lineRule="auto"/>
        <w:jc w:val="left"/>
        <w:rPr>
          <w:rFonts w:hint="eastAsia" w:ascii="宋体" w:hAnsi="宋体" w:eastAsia="宋体"/>
          <w:sz w:val="28"/>
          <w:szCs w:val="28"/>
          <w:highlight w:val="none"/>
          <w:lang w:eastAsia="zh-CN"/>
        </w:rPr>
      </w:pPr>
      <w:r>
        <w:rPr>
          <w:rFonts w:hint="eastAsia" w:ascii="宋体" w:hAnsi="宋体"/>
          <w:sz w:val="28"/>
          <w:szCs w:val="28"/>
          <w:highlight w:val="none"/>
        </w:rPr>
        <w:t>采购人（盖章）：</w:t>
      </w:r>
      <w:r>
        <w:rPr>
          <w:rFonts w:hint="eastAsia" w:ascii="宋体" w:hAnsi="宋体"/>
          <w:sz w:val="28"/>
          <w:szCs w:val="28"/>
          <w:highlight w:val="none"/>
          <w:lang w:eastAsia="zh-CN"/>
        </w:rPr>
        <w:t>青河县萨尔托海乡人民政府</w:t>
      </w:r>
    </w:p>
    <w:p w14:paraId="53DBEA79">
      <w:pPr>
        <w:snapToGrid w:val="0"/>
        <w:spacing w:line="360" w:lineRule="auto"/>
        <w:jc w:val="left"/>
        <w:rPr>
          <w:rFonts w:hint="default" w:ascii="宋体" w:hAnsi="宋体" w:eastAsia="宋体"/>
          <w:sz w:val="28"/>
          <w:szCs w:val="28"/>
          <w:highlight w:val="none"/>
          <w:lang w:val="en-US" w:eastAsia="zh-CN"/>
        </w:rPr>
      </w:pPr>
      <w:r>
        <w:rPr>
          <w:rFonts w:hint="eastAsia" w:ascii="宋体" w:hAnsi="宋体"/>
          <w:sz w:val="28"/>
          <w:szCs w:val="28"/>
          <w:highlight w:val="none"/>
        </w:rPr>
        <w:t>联系人：</w:t>
      </w:r>
      <w:r>
        <w:rPr>
          <w:rFonts w:hint="eastAsia" w:ascii="宋体" w:hAnsi="宋体"/>
          <w:sz w:val="28"/>
          <w:szCs w:val="28"/>
          <w:highlight w:val="none"/>
          <w:lang w:val="en-US" w:eastAsia="zh-CN"/>
        </w:rPr>
        <w:t>胡阿提</w:t>
      </w:r>
    </w:p>
    <w:p w14:paraId="71A2F54B">
      <w:pPr>
        <w:snapToGrid w:val="0"/>
        <w:spacing w:line="360" w:lineRule="auto"/>
        <w:jc w:val="left"/>
        <w:rPr>
          <w:rFonts w:ascii="宋体" w:hAnsi="宋体"/>
          <w:sz w:val="28"/>
          <w:szCs w:val="28"/>
          <w:highlight w:val="none"/>
        </w:rPr>
      </w:pPr>
      <w:r>
        <w:rPr>
          <w:rFonts w:hint="eastAsia" w:ascii="宋体" w:hAnsi="宋体"/>
          <w:sz w:val="28"/>
          <w:szCs w:val="28"/>
          <w:highlight w:val="none"/>
        </w:rPr>
        <w:t>联系电话：</w:t>
      </w:r>
      <w:r>
        <w:rPr>
          <w:rFonts w:hint="eastAsia" w:ascii="宋体" w:hAnsi="宋体"/>
          <w:sz w:val="28"/>
          <w:szCs w:val="28"/>
          <w:highlight w:val="none"/>
          <w:lang w:val="en-US" w:eastAsia="zh-CN"/>
        </w:rPr>
        <w:t>17690797095</w:t>
      </w:r>
    </w:p>
    <w:p w14:paraId="33FB2722">
      <w:pPr>
        <w:snapToGrid w:val="0"/>
        <w:spacing w:line="360" w:lineRule="auto"/>
        <w:jc w:val="left"/>
        <w:rPr>
          <w:rFonts w:hint="eastAsia" w:ascii="宋体" w:hAnsi="宋体" w:eastAsia="宋体"/>
          <w:sz w:val="28"/>
          <w:szCs w:val="28"/>
          <w:highlight w:val="none"/>
          <w:lang w:eastAsia="zh-CN"/>
        </w:rPr>
      </w:pPr>
      <w:r>
        <w:rPr>
          <w:rFonts w:hint="eastAsia" w:ascii="宋体" w:hAnsi="宋体"/>
          <w:sz w:val="28"/>
          <w:szCs w:val="28"/>
          <w:highlight w:val="none"/>
        </w:rPr>
        <w:t>地址：</w:t>
      </w:r>
      <w:r>
        <w:rPr>
          <w:rFonts w:hint="eastAsia" w:ascii="宋体" w:hAnsi="宋体"/>
          <w:sz w:val="28"/>
          <w:szCs w:val="28"/>
          <w:highlight w:val="none"/>
          <w:lang w:eastAsia="zh-CN"/>
        </w:rPr>
        <w:t>阿勒泰地区青河县萨尔托海乡人民政府</w:t>
      </w:r>
    </w:p>
    <w:p w14:paraId="16B2D697">
      <w:pPr>
        <w:snapToGrid w:val="0"/>
        <w:spacing w:line="360" w:lineRule="auto"/>
        <w:jc w:val="left"/>
        <w:rPr>
          <w:rFonts w:hint="eastAsia" w:ascii="宋体" w:hAnsi="宋体" w:eastAsia="宋体"/>
          <w:sz w:val="28"/>
          <w:szCs w:val="28"/>
          <w:highlight w:val="none"/>
          <w:lang w:eastAsia="zh-CN"/>
        </w:rPr>
      </w:pPr>
      <w:r>
        <w:rPr>
          <w:rFonts w:hint="eastAsia" w:ascii="宋体" w:hAnsi="宋体"/>
          <w:sz w:val="28"/>
          <w:szCs w:val="28"/>
          <w:highlight w:val="none"/>
        </w:rPr>
        <w:t>代理机构（盖章）：</w:t>
      </w:r>
      <w:r>
        <w:rPr>
          <w:rFonts w:hint="eastAsia" w:ascii="宋体" w:hAnsi="宋体"/>
          <w:sz w:val="28"/>
          <w:szCs w:val="28"/>
          <w:highlight w:val="none"/>
          <w:lang w:eastAsia="zh-CN"/>
        </w:rPr>
        <w:t>新疆坤合企业管理咨询有限公司</w:t>
      </w:r>
    </w:p>
    <w:p w14:paraId="7A63F583">
      <w:pPr>
        <w:snapToGrid w:val="0"/>
        <w:spacing w:line="360" w:lineRule="auto"/>
        <w:jc w:val="left"/>
        <w:rPr>
          <w:rFonts w:hint="eastAsia" w:ascii="宋体" w:hAnsi="宋体" w:eastAsia="宋体"/>
          <w:sz w:val="28"/>
          <w:szCs w:val="28"/>
          <w:highlight w:val="none"/>
          <w:lang w:eastAsia="zh-CN"/>
        </w:rPr>
      </w:pPr>
      <w:r>
        <w:rPr>
          <w:rFonts w:hint="eastAsia" w:ascii="宋体" w:hAnsi="宋体"/>
          <w:sz w:val="28"/>
          <w:szCs w:val="28"/>
          <w:highlight w:val="none"/>
        </w:rPr>
        <w:t>联系人：</w:t>
      </w:r>
      <w:r>
        <w:rPr>
          <w:rFonts w:hint="eastAsia" w:ascii="宋体" w:hAnsi="宋体"/>
          <w:sz w:val="28"/>
          <w:szCs w:val="28"/>
          <w:highlight w:val="none"/>
          <w:lang w:val="en-US" w:eastAsia="zh-CN"/>
        </w:rPr>
        <w:t>李英豪</w:t>
      </w:r>
    </w:p>
    <w:p w14:paraId="2B453456">
      <w:pPr>
        <w:snapToGrid w:val="0"/>
        <w:spacing w:line="360" w:lineRule="auto"/>
        <w:jc w:val="left"/>
        <w:rPr>
          <w:rFonts w:hint="default" w:ascii="宋体" w:hAnsi="宋体" w:eastAsia="宋体"/>
          <w:sz w:val="28"/>
          <w:szCs w:val="28"/>
          <w:highlight w:val="none"/>
          <w:lang w:val="en-US" w:eastAsia="zh-CN"/>
        </w:rPr>
      </w:pPr>
      <w:r>
        <w:rPr>
          <w:rFonts w:hint="eastAsia" w:ascii="宋体" w:hAnsi="宋体"/>
          <w:sz w:val="28"/>
          <w:szCs w:val="28"/>
          <w:highlight w:val="none"/>
        </w:rPr>
        <w:t>联系电话：</w:t>
      </w:r>
      <w:r>
        <w:rPr>
          <w:rFonts w:hint="eastAsia" w:ascii="宋体" w:hAnsi="宋体"/>
          <w:sz w:val="28"/>
          <w:szCs w:val="28"/>
          <w:highlight w:val="none"/>
          <w:lang w:val="en-US" w:eastAsia="zh-CN"/>
        </w:rPr>
        <w:t>18209065210</w:t>
      </w:r>
    </w:p>
    <w:p w14:paraId="72FA3940">
      <w:pPr>
        <w:snapToGrid w:val="0"/>
        <w:spacing w:line="360" w:lineRule="auto"/>
        <w:jc w:val="left"/>
        <w:rPr>
          <w:rFonts w:hint="eastAsia" w:ascii="宋体" w:hAnsi="宋体" w:eastAsia="宋体"/>
          <w:sz w:val="28"/>
          <w:szCs w:val="28"/>
          <w:highlight w:val="none"/>
          <w:lang w:eastAsia="zh-CN"/>
        </w:rPr>
      </w:pPr>
      <w:r>
        <w:rPr>
          <w:rFonts w:hint="eastAsia" w:ascii="宋体" w:hAnsi="宋体"/>
          <w:sz w:val="28"/>
          <w:szCs w:val="28"/>
          <w:highlight w:val="none"/>
        </w:rPr>
        <w:t>地址：</w:t>
      </w:r>
      <w:r>
        <w:rPr>
          <w:rFonts w:hint="eastAsia" w:ascii="宋体" w:hAnsi="宋体"/>
          <w:sz w:val="28"/>
          <w:szCs w:val="28"/>
          <w:highlight w:val="none"/>
          <w:lang w:eastAsia="zh-CN"/>
        </w:rPr>
        <w:t>新疆乌鲁木齐市水磨沟区南湖东路372号综合楼1栋24层2401</w:t>
      </w:r>
    </w:p>
    <w:p w14:paraId="10B7F622">
      <w:pPr>
        <w:snapToGrid w:val="0"/>
        <w:spacing w:line="360" w:lineRule="auto"/>
        <w:ind w:right="17" w:firstLine="980" w:firstLineChars="350"/>
        <w:jc w:val="left"/>
        <w:rPr>
          <w:rFonts w:ascii="宋体" w:hAnsi="宋体"/>
          <w:sz w:val="28"/>
          <w:szCs w:val="28"/>
          <w:highlight w:val="none"/>
        </w:rPr>
      </w:pPr>
    </w:p>
    <w:p w14:paraId="23AA65D0">
      <w:pPr>
        <w:pStyle w:val="14"/>
        <w:snapToGrid w:val="0"/>
        <w:spacing w:line="360" w:lineRule="auto"/>
        <w:jc w:val="center"/>
        <w:rPr>
          <w:rFonts w:hAnsi="宋体"/>
          <w:sz w:val="30"/>
          <w:szCs w:val="30"/>
          <w:highlight w:val="none"/>
        </w:rPr>
      </w:pPr>
    </w:p>
    <w:p w14:paraId="496145F1">
      <w:pPr>
        <w:pStyle w:val="14"/>
        <w:snapToGrid w:val="0"/>
        <w:spacing w:line="360" w:lineRule="auto"/>
        <w:jc w:val="center"/>
        <w:rPr>
          <w:rFonts w:hAnsi="宋体"/>
          <w:sz w:val="30"/>
          <w:szCs w:val="30"/>
          <w:highlight w:val="none"/>
        </w:rPr>
      </w:pPr>
    </w:p>
    <w:p w14:paraId="29FF2704">
      <w:pPr>
        <w:autoSpaceDE w:val="0"/>
        <w:autoSpaceDN w:val="0"/>
        <w:adjustRightInd w:val="0"/>
        <w:spacing w:line="600" w:lineRule="auto"/>
        <w:jc w:val="center"/>
        <w:rPr>
          <w:rFonts w:hint="default"/>
          <w:color w:val="auto"/>
          <w:highlight w:val="none"/>
          <w:lang w:val="en-US" w:eastAsia="zh-CN"/>
        </w:rPr>
        <w:sectPr>
          <w:pgSz w:w="11907" w:h="16840"/>
          <w:pgMar w:top="1020" w:right="1287" w:bottom="1020" w:left="1247" w:header="851"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pPr>
      <w:r>
        <w:rPr>
          <w:rFonts w:hint="eastAsia" w:hAnsi="宋体"/>
          <w:sz w:val="30"/>
          <w:szCs w:val="30"/>
          <w:highlight w:val="none"/>
        </w:rPr>
        <w:t>二〇二</w:t>
      </w:r>
      <w:r>
        <w:rPr>
          <w:rFonts w:hint="eastAsia" w:hAnsi="宋体" w:eastAsia="宋体"/>
          <w:sz w:val="30"/>
          <w:szCs w:val="30"/>
          <w:highlight w:val="none"/>
          <w:lang w:val="en-US" w:eastAsia="zh-CN"/>
        </w:rPr>
        <w:t>五</w:t>
      </w:r>
      <w:r>
        <w:rPr>
          <w:rFonts w:hint="eastAsia" w:hAnsi="宋体"/>
          <w:sz w:val="30"/>
          <w:szCs w:val="30"/>
          <w:highlight w:val="none"/>
        </w:rPr>
        <w:t>年</w:t>
      </w:r>
      <w:r>
        <w:rPr>
          <w:rFonts w:hint="eastAsia" w:hAnsi="宋体" w:eastAsia="宋体"/>
          <w:sz w:val="30"/>
          <w:szCs w:val="30"/>
          <w:highlight w:val="none"/>
          <w:lang w:val="en-US" w:eastAsia="zh-CN"/>
        </w:rPr>
        <w:t>三</w:t>
      </w:r>
      <w:r>
        <w:rPr>
          <w:rFonts w:hint="eastAsia" w:hAnsi="宋体"/>
          <w:sz w:val="30"/>
          <w:szCs w:val="30"/>
          <w:highlight w:val="none"/>
        </w:rPr>
        <w:t>月</w:t>
      </w:r>
    </w:p>
    <w:p w14:paraId="17CCC726">
      <w:pPr>
        <w:tabs>
          <w:tab w:val="left" w:pos="321"/>
          <w:tab w:val="center" w:pos="4746"/>
        </w:tabs>
        <w:spacing w:before="0" w:beforeLines="0" w:after="0" w:afterLines="0" w:line="240" w:lineRule="auto"/>
        <w:ind w:left="0" w:leftChars="0" w:right="0" w:rightChars="0" w:firstLine="0" w:firstLineChars="0"/>
        <w:jc w:val="both"/>
        <w:rPr>
          <w:highlight w:val="none"/>
        </w:rPr>
      </w:pPr>
    </w:p>
    <w:sdt>
      <w:sdtPr>
        <w:rPr>
          <w:rFonts w:ascii="宋体" w:hAnsi="宋体" w:eastAsia="宋体" w:cs="Times New Roman"/>
          <w:kern w:val="2"/>
          <w:sz w:val="21"/>
          <w:szCs w:val="24"/>
          <w:highlight w:val="none"/>
          <w:lang w:val="en-US" w:eastAsia="zh-CN" w:bidi="ar-SA"/>
        </w:rPr>
        <w:id w:val="147461152"/>
        <w15:color w:val="DBDBDB"/>
        <w:docPartObj>
          <w:docPartGallery w:val="Table of Contents"/>
          <w:docPartUnique/>
        </w:docPartObj>
      </w:sdtPr>
      <w:sdtEndPr>
        <w:rPr>
          <w:rFonts w:ascii="Times New Roman" w:hAnsi="Times New Roman" w:eastAsia="宋体" w:cs="Times New Roman"/>
          <w:color w:val="auto"/>
          <w:kern w:val="2"/>
          <w:sz w:val="24"/>
          <w:szCs w:val="24"/>
          <w:highlight w:val="none"/>
          <w:lang w:val="en-US" w:eastAsia="zh-CN" w:bidi="ar-SA"/>
        </w:rPr>
      </w:sdtEndPr>
      <w:sdtContent>
        <w:p w14:paraId="78209641">
          <w:pPr>
            <w:spacing w:before="0" w:beforeLines="0" w:after="0" w:afterLines="0" w:line="240" w:lineRule="auto"/>
            <w:ind w:left="0" w:leftChars="0" w:right="0" w:rightChars="0" w:firstLine="0" w:firstLineChars="0"/>
            <w:jc w:val="center"/>
            <w:rPr>
              <w:sz w:val="40"/>
              <w:szCs w:val="40"/>
              <w:highlight w:val="none"/>
            </w:rPr>
          </w:pPr>
          <w:r>
            <w:rPr>
              <w:rFonts w:ascii="宋体" w:hAnsi="宋体" w:eastAsia="宋体"/>
              <w:sz w:val="32"/>
              <w:szCs w:val="40"/>
              <w:highlight w:val="none"/>
            </w:rPr>
            <w:t>目</w:t>
          </w:r>
          <w:r>
            <w:rPr>
              <w:rFonts w:hint="eastAsia" w:ascii="宋体" w:hAnsi="宋体" w:eastAsia="宋体"/>
              <w:sz w:val="32"/>
              <w:szCs w:val="40"/>
              <w:highlight w:val="none"/>
              <w:lang w:val="en-US" w:eastAsia="zh-CN"/>
            </w:rPr>
            <w:t xml:space="preserve">  </w:t>
          </w:r>
          <w:r>
            <w:rPr>
              <w:rFonts w:ascii="宋体" w:hAnsi="宋体" w:eastAsia="宋体"/>
              <w:sz w:val="32"/>
              <w:szCs w:val="40"/>
              <w:highlight w:val="none"/>
            </w:rPr>
            <w:t>录</w:t>
          </w:r>
        </w:p>
        <w:p w14:paraId="58C70DB0">
          <w:pPr>
            <w:pStyle w:val="18"/>
            <w:tabs>
              <w:tab w:val="right" w:leader="dot" w:pos="9373"/>
            </w:tabs>
            <w:rPr>
              <w:highlight w:val="none"/>
            </w:rPr>
          </w:pPr>
          <w:r>
            <w:rPr>
              <w:color w:val="auto"/>
              <w:highlight w:val="none"/>
            </w:rPr>
            <w:fldChar w:fldCharType="begin"/>
          </w:r>
          <w:r>
            <w:rPr>
              <w:color w:val="auto"/>
              <w:highlight w:val="none"/>
            </w:rPr>
            <w:instrText xml:space="preserve">TOC \o "1-3" \h \u </w:instrText>
          </w:r>
          <w:r>
            <w:rPr>
              <w:color w:val="auto"/>
              <w:highlight w:val="none"/>
            </w:rPr>
            <w:fldChar w:fldCharType="separate"/>
          </w:r>
        </w:p>
        <w:p w14:paraId="768FB999">
          <w:pPr>
            <w:pStyle w:val="18"/>
            <w:tabs>
              <w:tab w:val="right" w:leader="dot" w:pos="9373"/>
            </w:tabs>
            <w:spacing w:line="480" w:lineRule="auto"/>
            <w:rPr>
              <w:rFonts w:hint="eastAsia" w:ascii="宋体" w:hAnsi="宋体" w:eastAsia="宋体" w:cs="宋体"/>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_Toc11231 </w:instrText>
          </w:r>
          <w:r>
            <w:rPr>
              <w:rFonts w:hint="eastAsia" w:ascii="宋体" w:hAnsi="宋体" w:eastAsia="宋体" w:cs="宋体"/>
              <w:highlight w:val="none"/>
            </w:rPr>
            <w:fldChar w:fldCharType="separate"/>
          </w:r>
          <w:r>
            <w:rPr>
              <w:rFonts w:hint="eastAsia" w:ascii="宋体" w:hAnsi="宋体" w:eastAsia="宋体" w:cs="宋体"/>
              <w:bCs w:val="0"/>
              <w:szCs w:val="32"/>
              <w:highlight w:val="none"/>
            </w:rPr>
            <w:t>竞争性</w:t>
          </w:r>
          <w:r>
            <w:rPr>
              <w:rFonts w:hint="eastAsia" w:ascii="宋体" w:hAnsi="宋体" w:eastAsia="宋体" w:cs="宋体"/>
              <w:bCs w:val="0"/>
              <w:szCs w:val="32"/>
              <w:highlight w:val="none"/>
              <w:lang w:val="en-US" w:eastAsia="zh-CN"/>
            </w:rPr>
            <w:t>谈判</w:t>
          </w:r>
          <w:r>
            <w:rPr>
              <w:rFonts w:hint="eastAsia" w:ascii="宋体" w:hAnsi="宋体" w:eastAsia="宋体" w:cs="宋体"/>
              <w:bCs w:val="0"/>
              <w:szCs w:val="32"/>
              <w:highlight w:val="none"/>
            </w:rPr>
            <w:t>公告</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_Toc11231 \h </w:instrText>
          </w:r>
          <w:r>
            <w:rPr>
              <w:rFonts w:hint="eastAsia" w:ascii="宋体" w:hAnsi="宋体" w:eastAsia="宋体" w:cs="宋体"/>
              <w:highlight w:val="none"/>
            </w:rPr>
            <w:fldChar w:fldCharType="separate"/>
          </w:r>
          <w:r>
            <w:rPr>
              <w:rFonts w:hint="eastAsia" w:ascii="宋体" w:hAnsi="宋体" w:eastAsia="宋体" w:cs="宋体"/>
              <w:highlight w:val="none"/>
            </w:rPr>
            <w:t>1</w:t>
          </w:r>
          <w:r>
            <w:rPr>
              <w:rFonts w:hint="eastAsia" w:ascii="宋体" w:hAnsi="宋体" w:eastAsia="宋体" w:cs="宋体"/>
              <w:highlight w:val="none"/>
            </w:rPr>
            <w:fldChar w:fldCharType="end"/>
          </w:r>
          <w:r>
            <w:rPr>
              <w:rFonts w:hint="eastAsia" w:ascii="宋体" w:hAnsi="宋体" w:eastAsia="宋体" w:cs="宋体"/>
              <w:color w:val="auto"/>
              <w:highlight w:val="none"/>
            </w:rPr>
            <w:fldChar w:fldCharType="end"/>
          </w:r>
        </w:p>
        <w:p w14:paraId="706A9A55">
          <w:pPr>
            <w:pStyle w:val="18"/>
            <w:tabs>
              <w:tab w:val="right" w:leader="dot" w:pos="9373"/>
            </w:tabs>
            <w:spacing w:line="480" w:lineRule="auto"/>
            <w:rPr>
              <w:rFonts w:hint="eastAsia" w:ascii="宋体" w:hAnsi="宋体" w:eastAsia="宋体" w:cs="宋体"/>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_Toc15010 </w:instrText>
          </w:r>
          <w:r>
            <w:rPr>
              <w:rFonts w:hint="eastAsia" w:ascii="宋体" w:hAnsi="宋体" w:eastAsia="宋体" w:cs="宋体"/>
              <w:highlight w:val="none"/>
            </w:rPr>
            <w:fldChar w:fldCharType="separate"/>
          </w:r>
          <w:r>
            <w:rPr>
              <w:rFonts w:hint="eastAsia" w:ascii="宋体" w:hAnsi="宋体" w:eastAsia="宋体" w:cs="宋体"/>
              <w:highlight w:val="none"/>
            </w:rPr>
            <w:t>第一章</w:t>
          </w:r>
          <w:r>
            <w:rPr>
              <w:rFonts w:hint="eastAsia" w:ascii="宋体" w:hAnsi="宋体" w:eastAsia="宋体" w:cs="宋体"/>
              <w:highlight w:val="none"/>
              <w:lang w:val="en-US" w:eastAsia="zh-CN"/>
            </w:rPr>
            <w:t xml:space="preserve">  项目谈判有关说明</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_Toc15010 \h </w:instrText>
          </w:r>
          <w:r>
            <w:rPr>
              <w:rFonts w:hint="eastAsia" w:ascii="宋体" w:hAnsi="宋体" w:eastAsia="宋体" w:cs="宋体"/>
              <w:highlight w:val="none"/>
            </w:rPr>
            <w:fldChar w:fldCharType="separate"/>
          </w:r>
          <w:r>
            <w:rPr>
              <w:rFonts w:hint="eastAsia" w:ascii="宋体" w:hAnsi="宋体" w:eastAsia="宋体" w:cs="宋体"/>
              <w:highlight w:val="none"/>
            </w:rPr>
            <w:t>9</w:t>
          </w:r>
          <w:r>
            <w:rPr>
              <w:rFonts w:hint="eastAsia" w:ascii="宋体" w:hAnsi="宋体" w:eastAsia="宋体" w:cs="宋体"/>
              <w:highlight w:val="none"/>
            </w:rPr>
            <w:fldChar w:fldCharType="end"/>
          </w:r>
          <w:r>
            <w:rPr>
              <w:rFonts w:hint="eastAsia" w:ascii="宋体" w:hAnsi="宋体" w:eastAsia="宋体" w:cs="宋体"/>
              <w:color w:val="auto"/>
              <w:highlight w:val="none"/>
            </w:rPr>
            <w:fldChar w:fldCharType="end"/>
          </w:r>
        </w:p>
        <w:p w14:paraId="0A178F1E">
          <w:pPr>
            <w:pStyle w:val="18"/>
            <w:tabs>
              <w:tab w:val="right" w:leader="dot" w:pos="9373"/>
            </w:tabs>
            <w:spacing w:line="480" w:lineRule="auto"/>
            <w:rPr>
              <w:rFonts w:hint="eastAsia" w:ascii="宋体" w:hAnsi="宋体" w:eastAsia="宋体" w:cs="宋体"/>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_Toc28852 </w:instrText>
          </w:r>
          <w:r>
            <w:rPr>
              <w:rFonts w:hint="eastAsia" w:ascii="宋体" w:hAnsi="宋体" w:eastAsia="宋体" w:cs="宋体"/>
              <w:highlight w:val="none"/>
            </w:rPr>
            <w:fldChar w:fldCharType="separate"/>
          </w:r>
          <w:r>
            <w:rPr>
              <w:rFonts w:hint="eastAsia" w:ascii="宋体" w:hAnsi="宋体" w:eastAsia="宋体" w:cs="宋体"/>
              <w:highlight w:val="none"/>
            </w:rPr>
            <w:t xml:space="preserve">第二章  </w:t>
          </w:r>
          <w:r>
            <w:rPr>
              <w:rFonts w:hint="eastAsia" w:ascii="宋体" w:hAnsi="宋体" w:eastAsia="宋体" w:cs="宋体"/>
              <w:highlight w:val="none"/>
              <w:lang w:val="en-US" w:eastAsia="zh-CN"/>
            </w:rPr>
            <w:t>报价人</w:t>
          </w:r>
          <w:r>
            <w:rPr>
              <w:rFonts w:hint="eastAsia" w:ascii="宋体" w:hAnsi="宋体" w:eastAsia="宋体" w:cs="宋体"/>
              <w:highlight w:val="none"/>
            </w:rPr>
            <w:t>须知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_Toc28852 \h </w:instrText>
          </w:r>
          <w:r>
            <w:rPr>
              <w:rFonts w:hint="eastAsia" w:ascii="宋体" w:hAnsi="宋体" w:eastAsia="宋体" w:cs="宋体"/>
              <w:highlight w:val="none"/>
            </w:rPr>
            <w:fldChar w:fldCharType="separate"/>
          </w:r>
          <w:r>
            <w:rPr>
              <w:rFonts w:hint="eastAsia" w:ascii="宋体" w:hAnsi="宋体" w:eastAsia="宋体" w:cs="宋体"/>
              <w:highlight w:val="none"/>
            </w:rPr>
            <w:t>10</w:t>
          </w:r>
          <w:r>
            <w:rPr>
              <w:rFonts w:hint="eastAsia" w:ascii="宋体" w:hAnsi="宋体" w:eastAsia="宋体" w:cs="宋体"/>
              <w:highlight w:val="none"/>
            </w:rPr>
            <w:fldChar w:fldCharType="end"/>
          </w:r>
          <w:r>
            <w:rPr>
              <w:rFonts w:hint="eastAsia" w:ascii="宋体" w:hAnsi="宋体" w:eastAsia="宋体" w:cs="宋体"/>
              <w:color w:val="auto"/>
              <w:highlight w:val="none"/>
            </w:rPr>
            <w:fldChar w:fldCharType="end"/>
          </w:r>
        </w:p>
        <w:p w14:paraId="40AD384C">
          <w:pPr>
            <w:pStyle w:val="21"/>
            <w:tabs>
              <w:tab w:val="right" w:leader="dot" w:pos="9373"/>
            </w:tabs>
            <w:spacing w:line="480" w:lineRule="auto"/>
            <w:ind w:left="0" w:leftChars="0" w:firstLine="0" w:firstLineChars="0"/>
            <w:rPr>
              <w:rFonts w:hint="eastAsia" w:ascii="宋体" w:hAnsi="宋体" w:eastAsia="宋体" w:cs="宋体"/>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_Toc28466 </w:instrText>
          </w:r>
          <w:r>
            <w:rPr>
              <w:rFonts w:hint="eastAsia" w:ascii="宋体" w:hAnsi="宋体" w:eastAsia="宋体" w:cs="宋体"/>
              <w:highlight w:val="none"/>
            </w:rPr>
            <w:fldChar w:fldCharType="separate"/>
          </w:r>
          <w:r>
            <w:rPr>
              <w:rFonts w:hint="eastAsia" w:ascii="宋体" w:hAnsi="宋体" w:eastAsia="宋体" w:cs="宋体"/>
              <w:bCs/>
              <w:szCs w:val="52"/>
              <w:highlight w:val="none"/>
            </w:rPr>
            <w:t>第三章</w:t>
          </w:r>
          <w:r>
            <w:rPr>
              <w:rFonts w:hint="eastAsia" w:ascii="宋体" w:hAnsi="宋体" w:eastAsia="宋体" w:cs="宋体"/>
              <w:bCs/>
              <w:szCs w:val="52"/>
              <w:highlight w:val="none"/>
              <w:lang w:val="en-US" w:eastAsia="zh-CN"/>
            </w:rPr>
            <w:t xml:space="preserve">  </w:t>
          </w:r>
          <w:r>
            <w:rPr>
              <w:rFonts w:hint="eastAsia" w:ascii="宋体" w:hAnsi="宋体" w:eastAsia="宋体" w:cs="宋体"/>
              <w:bCs/>
              <w:szCs w:val="52"/>
              <w:highlight w:val="none"/>
            </w:rPr>
            <w:t>采购需求、技术参数、规格</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_Toc28466 \h </w:instrText>
          </w:r>
          <w:r>
            <w:rPr>
              <w:rFonts w:hint="eastAsia" w:ascii="宋体" w:hAnsi="宋体" w:eastAsia="宋体" w:cs="宋体"/>
              <w:highlight w:val="none"/>
            </w:rPr>
            <w:fldChar w:fldCharType="separate"/>
          </w:r>
          <w:r>
            <w:rPr>
              <w:rFonts w:hint="eastAsia" w:ascii="宋体" w:hAnsi="宋体" w:eastAsia="宋体" w:cs="宋体"/>
              <w:highlight w:val="none"/>
            </w:rPr>
            <w:t>23</w:t>
          </w:r>
          <w:r>
            <w:rPr>
              <w:rFonts w:hint="eastAsia" w:ascii="宋体" w:hAnsi="宋体" w:eastAsia="宋体" w:cs="宋体"/>
              <w:highlight w:val="none"/>
            </w:rPr>
            <w:fldChar w:fldCharType="end"/>
          </w:r>
          <w:r>
            <w:rPr>
              <w:rFonts w:hint="eastAsia" w:ascii="宋体" w:hAnsi="宋体" w:eastAsia="宋体" w:cs="宋体"/>
              <w:color w:val="auto"/>
              <w:highlight w:val="none"/>
            </w:rPr>
            <w:fldChar w:fldCharType="end"/>
          </w:r>
        </w:p>
        <w:p w14:paraId="535EA97F">
          <w:pPr>
            <w:pStyle w:val="18"/>
            <w:tabs>
              <w:tab w:val="right" w:leader="dot" w:pos="9373"/>
            </w:tabs>
            <w:spacing w:line="480" w:lineRule="auto"/>
            <w:rPr>
              <w:rFonts w:hint="eastAsia" w:ascii="宋体" w:hAnsi="宋体" w:eastAsia="宋体" w:cs="宋体"/>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_Toc10077 </w:instrText>
          </w:r>
          <w:r>
            <w:rPr>
              <w:rFonts w:hint="eastAsia" w:ascii="宋体" w:hAnsi="宋体" w:eastAsia="宋体" w:cs="宋体"/>
              <w:highlight w:val="none"/>
            </w:rPr>
            <w:fldChar w:fldCharType="separate"/>
          </w:r>
          <w:r>
            <w:rPr>
              <w:rFonts w:hint="eastAsia" w:ascii="宋体" w:hAnsi="宋体" w:eastAsia="宋体" w:cs="宋体"/>
              <w:highlight w:val="none"/>
            </w:rPr>
            <w:t>第</w:t>
          </w:r>
          <w:r>
            <w:rPr>
              <w:rFonts w:hint="eastAsia" w:ascii="宋体" w:hAnsi="宋体" w:eastAsia="宋体" w:cs="宋体"/>
              <w:highlight w:val="none"/>
              <w:lang w:val="en-US" w:eastAsia="zh-CN"/>
            </w:rPr>
            <w:t>四</w:t>
          </w:r>
          <w:r>
            <w:rPr>
              <w:rFonts w:hint="eastAsia" w:ascii="宋体" w:hAnsi="宋体" w:eastAsia="宋体" w:cs="宋体"/>
              <w:highlight w:val="none"/>
              <w:lang w:eastAsia="zh-CN"/>
            </w:rPr>
            <w:t>章</w:t>
          </w:r>
          <w:r>
            <w:rPr>
              <w:rFonts w:hint="eastAsia" w:ascii="宋体" w:hAnsi="宋体" w:eastAsia="宋体" w:cs="宋体"/>
              <w:highlight w:val="none"/>
            </w:rPr>
            <w:t xml:space="preserve">  </w:t>
          </w:r>
          <w:r>
            <w:rPr>
              <w:rFonts w:hint="eastAsia" w:ascii="宋体" w:hAnsi="宋体" w:eastAsia="宋体" w:cs="宋体"/>
              <w:bCs/>
              <w:highlight w:val="none"/>
            </w:rPr>
            <w:t>合同</w:t>
          </w:r>
          <w:r>
            <w:rPr>
              <w:rFonts w:hint="eastAsia" w:ascii="宋体" w:hAnsi="宋体" w:eastAsia="宋体" w:cs="宋体"/>
              <w:bCs/>
              <w:highlight w:val="none"/>
              <w:lang w:eastAsia="zh-CN"/>
            </w:rPr>
            <w:t>范本（仅参考）</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_Toc10077 \h </w:instrText>
          </w:r>
          <w:r>
            <w:rPr>
              <w:rFonts w:hint="eastAsia" w:ascii="宋体" w:hAnsi="宋体" w:eastAsia="宋体" w:cs="宋体"/>
              <w:highlight w:val="none"/>
            </w:rPr>
            <w:fldChar w:fldCharType="separate"/>
          </w:r>
          <w:r>
            <w:rPr>
              <w:rFonts w:hint="eastAsia" w:ascii="宋体" w:hAnsi="宋体" w:eastAsia="宋体" w:cs="宋体"/>
              <w:highlight w:val="none"/>
            </w:rPr>
            <w:t>24</w:t>
          </w:r>
          <w:r>
            <w:rPr>
              <w:rFonts w:hint="eastAsia" w:ascii="宋体" w:hAnsi="宋体" w:eastAsia="宋体" w:cs="宋体"/>
              <w:highlight w:val="none"/>
            </w:rPr>
            <w:fldChar w:fldCharType="end"/>
          </w:r>
          <w:r>
            <w:rPr>
              <w:rFonts w:hint="eastAsia" w:ascii="宋体" w:hAnsi="宋体" w:eastAsia="宋体" w:cs="宋体"/>
              <w:color w:val="auto"/>
              <w:highlight w:val="none"/>
            </w:rPr>
            <w:fldChar w:fldCharType="end"/>
          </w:r>
        </w:p>
        <w:p w14:paraId="3580F4A9">
          <w:pPr>
            <w:pStyle w:val="18"/>
            <w:tabs>
              <w:tab w:val="right" w:leader="dot" w:pos="9373"/>
            </w:tabs>
            <w:spacing w:line="480" w:lineRule="auto"/>
            <w:rPr>
              <w:rFonts w:hint="eastAsia" w:ascii="宋体" w:hAnsi="宋体" w:eastAsia="宋体" w:cs="宋体"/>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_Toc27517 </w:instrText>
          </w:r>
          <w:r>
            <w:rPr>
              <w:rFonts w:hint="eastAsia" w:ascii="宋体" w:hAnsi="宋体" w:eastAsia="宋体" w:cs="宋体"/>
              <w:highlight w:val="none"/>
            </w:rPr>
            <w:fldChar w:fldCharType="separate"/>
          </w:r>
          <w:r>
            <w:rPr>
              <w:rFonts w:hint="eastAsia" w:ascii="宋体" w:hAnsi="宋体" w:eastAsia="宋体" w:cs="宋体"/>
              <w:szCs w:val="32"/>
              <w:highlight w:val="none"/>
            </w:rPr>
            <w:t>第</w:t>
          </w:r>
          <w:r>
            <w:rPr>
              <w:rFonts w:hint="eastAsia" w:ascii="宋体" w:hAnsi="宋体" w:eastAsia="宋体" w:cs="宋体"/>
              <w:szCs w:val="32"/>
              <w:highlight w:val="none"/>
              <w:lang w:val="en-US" w:eastAsia="zh-CN"/>
            </w:rPr>
            <w:t>五</w:t>
          </w:r>
          <w:r>
            <w:rPr>
              <w:rFonts w:hint="eastAsia" w:ascii="宋体" w:hAnsi="宋体" w:eastAsia="宋体" w:cs="宋体"/>
              <w:szCs w:val="32"/>
              <w:highlight w:val="none"/>
            </w:rPr>
            <w:t xml:space="preserve">章  </w:t>
          </w:r>
          <w:r>
            <w:rPr>
              <w:rFonts w:hint="eastAsia" w:ascii="宋体" w:hAnsi="宋体" w:eastAsia="宋体" w:cs="宋体"/>
              <w:szCs w:val="32"/>
              <w:highlight w:val="none"/>
              <w:lang w:eastAsia="zh-CN"/>
            </w:rPr>
            <w:t>谈判响应文件</w:t>
          </w:r>
          <w:r>
            <w:rPr>
              <w:rFonts w:hint="eastAsia" w:ascii="宋体" w:hAnsi="宋体" w:eastAsia="宋体" w:cs="宋体"/>
              <w:szCs w:val="32"/>
              <w:highlight w:val="none"/>
            </w:rPr>
            <w:t>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_Toc27517 \h </w:instrText>
          </w:r>
          <w:r>
            <w:rPr>
              <w:rFonts w:hint="eastAsia" w:ascii="宋体" w:hAnsi="宋体" w:eastAsia="宋体" w:cs="宋体"/>
              <w:highlight w:val="none"/>
            </w:rPr>
            <w:fldChar w:fldCharType="separate"/>
          </w:r>
          <w:r>
            <w:rPr>
              <w:rFonts w:hint="eastAsia" w:ascii="宋体" w:hAnsi="宋体" w:eastAsia="宋体" w:cs="宋体"/>
              <w:highlight w:val="none"/>
            </w:rPr>
            <w:t>86</w:t>
          </w:r>
          <w:r>
            <w:rPr>
              <w:rFonts w:hint="eastAsia" w:ascii="宋体" w:hAnsi="宋体" w:eastAsia="宋体" w:cs="宋体"/>
              <w:highlight w:val="none"/>
            </w:rPr>
            <w:fldChar w:fldCharType="end"/>
          </w:r>
          <w:r>
            <w:rPr>
              <w:rFonts w:hint="eastAsia" w:ascii="宋体" w:hAnsi="宋体" w:eastAsia="宋体" w:cs="宋体"/>
              <w:color w:val="auto"/>
              <w:highlight w:val="none"/>
            </w:rPr>
            <w:fldChar w:fldCharType="end"/>
          </w:r>
        </w:p>
        <w:p w14:paraId="0D6116F8">
          <w:pPr>
            <w:pStyle w:val="18"/>
            <w:tabs>
              <w:tab w:val="right" w:leader="dot" w:pos="9373"/>
            </w:tabs>
            <w:spacing w:line="480" w:lineRule="auto"/>
            <w:rPr>
              <w:rFonts w:hint="eastAsia" w:ascii="宋体" w:hAnsi="宋体" w:eastAsia="宋体" w:cs="宋体"/>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_Toc24292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评审标准</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_Toc24292 \h </w:instrText>
          </w:r>
          <w:r>
            <w:rPr>
              <w:rFonts w:hint="eastAsia" w:ascii="宋体" w:hAnsi="宋体" w:eastAsia="宋体" w:cs="宋体"/>
              <w:highlight w:val="none"/>
            </w:rPr>
            <w:fldChar w:fldCharType="separate"/>
          </w:r>
          <w:r>
            <w:rPr>
              <w:rFonts w:hint="eastAsia" w:ascii="宋体" w:hAnsi="宋体" w:eastAsia="宋体" w:cs="宋体"/>
              <w:highlight w:val="none"/>
            </w:rPr>
            <w:t>110</w:t>
          </w:r>
          <w:r>
            <w:rPr>
              <w:rFonts w:hint="eastAsia" w:ascii="宋体" w:hAnsi="宋体" w:eastAsia="宋体" w:cs="宋体"/>
              <w:highlight w:val="none"/>
            </w:rPr>
            <w:fldChar w:fldCharType="end"/>
          </w:r>
          <w:r>
            <w:rPr>
              <w:rFonts w:hint="eastAsia" w:ascii="宋体" w:hAnsi="宋体" w:eastAsia="宋体" w:cs="宋体"/>
              <w:color w:val="auto"/>
              <w:highlight w:val="none"/>
            </w:rPr>
            <w:fldChar w:fldCharType="end"/>
          </w:r>
        </w:p>
        <w:p w14:paraId="78F08806">
          <w:pPr>
            <w:rPr>
              <w:color w:val="auto"/>
              <w:highlight w:val="none"/>
            </w:rPr>
          </w:pPr>
          <w:r>
            <w:rPr>
              <w:color w:val="auto"/>
              <w:highlight w:val="none"/>
            </w:rPr>
            <w:fldChar w:fldCharType="end"/>
          </w:r>
        </w:p>
      </w:sdtContent>
    </w:sdt>
    <w:p w14:paraId="327D02D9">
      <w:pPr>
        <w:pStyle w:val="7"/>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380" w:lineRule="exact"/>
        <w:ind w:leftChars="-50" w:right="62" w:rightChars="0"/>
        <w:jc w:val="center"/>
        <w:textAlignment w:val="auto"/>
        <w:rPr>
          <w:rFonts w:hint="default" w:ascii="宋体" w:hAnsi="宋体"/>
          <w:bCs w:val="0"/>
          <w:sz w:val="32"/>
          <w:szCs w:val="32"/>
          <w:highlight w:val="none"/>
          <w:lang w:val="en-US" w:eastAsia="zh-CN"/>
        </w:rPr>
        <w:sectPr>
          <w:footerReference r:id="rId3" w:type="default"/>
          <w:pgSz w:w="11907" w:h="16840"/>
          <w:pgMar w:top="1021" w:right="1287" w:bottom="1021" w:left="1247" w:header="851"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pPr>
      <w:bookmarkStart w:id="0" w:name="_Toc24134"/>
      <w:bookmarkStart w:id="1" w:name="_Toc17082"/>
      <w:bookmarkStart w:id="2" w:name="_Toc8422"/>
      <w:bookmarkStart w:id="3" w:name="_Toc10298"/>
    </w:p>
    <w:bookmarkEnd w:id="0"/>
    <w:bookmarkEnd w:id="1"/>
    <w:p w14:paraId="754F3677">
      <w:pPr>
        <w:pStyle w:val="7"/>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380" w:lineRule="exact"/>
        <w:ind w:leftChars="-50" w:right="62" w:rightChars="0"/>
        <w:jc w:val="center"/>
        <w:textAlignment w:val="auto"/>
        <w:rPr>
          <w:rFonts w:hint="eastAsia" w:ascii="宋体" w:hAnsi="宋体"/>
          <w:bCs w:val="0"/>
          <w:sz w:val="32"/>
          <w:szCs w:val="32"/>
          <w:highlight w:val="none"/>
          <w:lang w:val="en-US" w:eastAsia="zh-CN"/>
        </w:rPr>
      </w:pPr>
      <w:bookmarkStart w:id="4" w:name="_Toc11231"/>
      <w:r>
        <w:rPr>
          <w:rFonts w:hint="eastAsia" w:ascii="宋体" w:hAnsi="宋体"/>
          <w:bCs w:val="0"/>
          <w:sz w:val="32"/>
          <w:szCs w:val="32"/>
          <w:highlight w:val="none"/>
          <w:lang w:val="en-US" w:eastAsia="zh-CN"/>
        </w:rPr>
        <w:t>青河县萨尔托海乡山区喀拉乔拉片区电力基础设施建设项目</w:t>
      </w:r>
    </w:p>
    <w:p w14:paraId="36BA24B8">
      <w:pPr>
        <w:pStyle w:val="7"/>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380" w:lineRule="exact"/>
        <w:ind w:leftChars="-50" w:right="62" w:rightChars="0"/>
        <w:jc w:val="center"/>
        <w:textAlignment w:val="auto"/>
        <w:rPr>
          <w:rFonts w:hint="eastAsia" w:ascii="宋体" w:hAnsi="宋体"/>
          <w:bCs w:val="0"/>
          <w:sz w:val="32"/>
          <w:szCs w:val="32"/>
          <w:highlight w:val="none"/>
        </w:rPr>
      </w:pPr>
      <w:r>
        <w:rPr>
          <w:rFonts w:hint="eastAsia" w:ascii="宋体" w:hAnsi="宋体"/>
          <w:bCs w:val="0"/>
          <w:sz w:val="32"/>
          <w:szCs w:val="32"/>
          <w:highlight w:val="none"/>
        </w:rPr>
        <w:t>竞争性</w:t>
      </w:r>
      <w:r>
        <w:rPr>
          <w:rFonts w:hint="eastAsia" w:ascii="宋体" w:hAnsi="宋体" w:eastAsia="宋体"/>
          <w:bCs w:val="0"/>
          <w:sz w:val="32"/>
          <w:szCs w:val="32"/>
          <w:highlight w:val="none"/>
          <w:lang w:val="en-US" w:eastAsia="zh-CN"/>
        </w:rPr>
        <w:t>谈判</w:t>
      </w:r>
      <w:r>
        <w:rPr>
          <w:rFonts w:hint="eastAsia" w:ascii="宋体" w:hAnsi="宋体"/>
          <w:bCs w:val="0"/>
          <w:sz w:val="32"/>
          <w:szCs w:val="32"/>
          <w:highlight w:val="none"/>
        </w:rPr>
        <w:t>公告</w:t>
      </w:r>
      <w:bookmarkEnd w:id="4"/>
    </w:p>
    <w:p w14:paraId="52D8E873">
      <w:pPr>
        <w:widowControl/>
        <w:spacing w:line="360" w:lineRule="auto"/>
        <w:ind w:right="720"/>
        <w:jc w:val="left"/>
        <w:rPr>
          <w:rFonts w:ascii="宋体" w:hAnsi="宋体" w:cs="宋体"/>
          <w:b/>
          <w:bCs/>
          <w:kern w:val="0"/>
          <w:sz w:val="24"/>
          <w:szCs w:val="24"/>
          <w:highlight w:val="none"/>
        </w:rPr>
      </w:pPr>
      <w:r>
        <w:rPr>
          <w:rFonts w:ascii="仿宋" w:hAnsi="仿宋" w:eastAsia="仿宋" w:cs="仿宋"/>
          <w:sz w:val="27"/>
          <w:szCs w:val="27"/>
          <w:highlight w:val="none"/>
        </w:rPr>
        <w:t xml:space="preserve"> </w:t>
      </w:r>
      <w:r>
        <w:rPr>
          <w:rFonts w:hint="eastAsia" w:ascii="宋体" w:hAnsi="宋体" w:cs="宋体"/>
          <w:b/>
          <w:bCs/>
          <w:kern w:val="0"/>
          <w:sz w:val="24"/>
          <w:szCs w:val="24"/>
          <w:highlight w:val="none"/>
        </w:rPr>
        <w:t>项目概况</w:t>
      </w:r>
    </w:p>
    <w:p w14:paraId="036D1615">
      <w:pPr>
        <w:widowControl/>
        <w:spacing w:line="360" w:lineRule="auto"/>
        <w:ind w:right="720"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lang w:val="en-US" w:eastAsia="zh-CN"/>
        </w:rPr>
        <w:t>青河县萨尔托海乡山区喀拉乔拉片区电力基础设施建设项目</w:t>
      </w:r>
      <w:r>
        <w:rPr>
          <w:rFonts w:hint="eastAsia" w:ascii="宋体" w:hAnsi="宋体" w:cs="宋体"/>
          <w:kern w:val="0"/>
          <w:sz w:val="24"/>
          <w:szCs w:val="24"/>
          <w:highlight w:val="none"/>
        </w:rPr>
        <w:t>的潜在供应商应在政采云平台获取</w:t>
      </w:r>
      <w:r>
        <w:rPr>
          <w:rFonts w:hint="eastAsia" w:ascii="宋体" w:hAnsi="宋体" w:cs="宋体"/>
          <w:kern w:val="0"/>
          <w:sz w:val="24"/>
          <w:szCs w:val="24"/>
          <w:highlight w:val="none"/>
          <w:lang w:eastAsia="zh-CN"/>
        </w:rPr>
        <w:t>谈判文件</w:t>
      </w:r>
      <w:r>
        <w:rPr>
          <w:rFonts w:hint="eastAsia" w:ascii="宋体" w:hAnsi="宋体" w:cs="宋体"/>
          <w:kern w:val="0"/>
          <w:sz w:val="24"/>
          <w:szCs w:val="24"/>
          <w:highlight w:val="none"/>
        </w:rPr>
        <w:t>，并于</w:t>
      </w:r>
      <w:r>
        <w:rPr>
          <w:rFonts w:hint="eastAsia" w:ascii="宋体" w:hAnsi="宋体" w:cs="宋体"/>
          <w:kern w:val="0"/>
          <w:sz w:val="24"/>
          <w:szCs w:val="24"/>
          <w:highlight w:val="none"/>
          <w:lang w:eastAsia="zh-CN"/>
        </w:rPr>
        <w:t>202</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lang w:eastAsia="zh-CN"/>
        </w:rPr>
        <w:t>年</w:t>
      </w:r>
      <w:r>
        <w:rPr>
          <w:rFonts w:hint="eastAsia" w:ascii="宋体" w:hAnsi="宋体" w:cs="宋体"/>
          <w:kern w:val="0"/>
          <w:sz w:val="24"/>
          <w:szCs w:val="24"/>
          <w:highlight w:val="none"/>
          <w:lang w:val="en-US" w:eastAsia="zh-CN"/>
        </w:rPr>
        <w:t>03</w:t>
      </w:r>
      <w:r>
        <w:rPr>
          <w:rFonts w:hint="eastAsia" w:ascii="宋体" w:hAnsi="宋体" w:cs="宋体"/>
          <w:kern w:val="0"/>
          <w:sz w:val="24"/>
          <w:szCs w:val="24"/>
          <w:highlight w:val="none"/>
          <w:lang w:eastAsia="zh-CN"/>
        </w:rPr>
        <w:t>月</w:t>
      </w:r>
      <w:r>
        <w:rPr>
          <w:rFonts w:hint="eastAsia" w:ascii="宋体" w:hAnsi="宋体" w:cs="宋体"/>
          <w:kern w:val="0"/>
          <w:sz w:val="24"/>
          <w:szCs w:val="24"/>
          <w:highlight w:val="none"/>
          <w:lang w:val="en-US" w:eastAsia="zh-CN"/>
        </w:rPr>
        <w:t>14</w:t>
      </w:r>
      <w:r>
        <w:rPr>
          <w:rFonts w:hint="eastAsia" w:ascii="宋体" w:hAnsi="宋体" w:cs="宋体"/>
          <w:kern w:val="0"/>
          <w:sz w:val="24"/>
          <w:szCs w:val="24"/>
          <w:highlight w:val="none"/>
          <w:lang w:eastAsia="zh-CN"/>
        </w:rPr>
        <w:t>日1</w:t>
      </w: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lang w:eastAsia="zh-CN"/>
        </w:rPr>
        <w:t>时00分</w:t>
      </w:r>
      <w:r>
        <w:rPr>
          <w:rFonts w:hint="eastAsia" w:ascii="宋体" w:hAnsi="宋体" w:cs="宋体"/>
          <w:kern w:val="0"/>
          <w:sz w:val="24"/>
          <w:szCs w:val="24"/>
          <w:highlight w:val="none"/>
        </w:rPr>
        <w:t>（北京时间）前提交响应文件。</w:t>
      </w:r>
    </w:p>
    <w:p w14:paraId="1B9A31F3">
      <w:pPr>
        <w:widowControl/>
        <w:spacing w:line="360" w:lineRule="auto"/>
        <w:jc w:val="left"/>
        <w:outlineLvl w:val="1"/>
        <w:rPr>
          <w:rFonts w:ascii="宋体" w:hAnsi="宋体" w:cs="宋体"/>
          <w:kern w:val="0"/>
          <w:sz w:val="24"/>
          <w:szCs w:val="24"/>
          <w:highlight w:val="none"/>
        </w:rPr>
      </w:pPr>
      <w:bookmarkStart w:id="5" w:name="_Toc26986"/>
      <w:bookmarkStart w:id="6" w:name="_Toc2968"/>
      <w:r>
        <w:rPr>
          <w:rFonts w:hint="eastAsia" w:ascii="宋体" w:hAnsi="宋体" w:cs="宋体"/>
          <w:b/>
          <w:kern w:val="0"/>
          <w:sz w:val="24"/>
          <w:szCs w:val="24"/>
          <w:highlight w:val="none"/>
        </w:rPr>
        <w:t>一、项目基本情况</w:t>
      </w:r>
      <w:bookmarkEnd w:id="5"/>
      <w:bookmarkEnd w:id="6"/>
    </w:p>
    <w:p w14:paraId="6D694752">
      <w:pPr>
        <w:widowControl/>
        <w:spacing w:line="360" w:lineRule="auto"/>
        <w:jc w:val="left"/>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rPr>
        <w:t>项目编号：</w:t>
      </w:r>
      <w:r>
        <w:rPr>
          <w:rFonts w:hint="eastAsia" w:ascii="宋体" w:hAnsi="宋体" w:cs="宋体"/>
          <w:kern w:val="0"/>
          <w:sz w:val="24"/>
          <w:szCs w:val="24"/>
          <w:highlight w:val="none"/>
          <w:lang w:eastAsia="zh-CN"/>
        </w:rPr>
        <w:t>XJHS-2025-58</w:t>
      </w:r>
    </w:p>
    <w:p w14:paraId="2095AE4D">
      <w:pPr>
        <w:widowControl/>
        <w:spacing w:line="360" w:lineRule="auto"/>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rPr>
        <w:t>项目名称：</w:t>
      </w:r>
      <w:r>
        <w:rPr>
          <w:rFonts w:hint="eastAsia" w:ascii="宋体" w:hAnsi="宋体" w:cs="宋体"/>
          <w:kern w:val="0"/>
          <w:sz w:val="24"/>
          <w:szCs w:val="24"/>
          <w:highlight w:val="none"/>
          <w:lang w:val="en-US" w:eastAsia="zh-CN"/>
        </w:rPr>
        <w:t>青河县萨尔托海乡山区喀拉乔拉片区电力基础设施建设项目</w:t>
      </w:r>
    </w:p>
    <w:p w14:paraId="7B491632">
      <w:pPr>
        <w:pStyle w:val="2"/>
        <w:ind w:left="0" w:leftChars="0" w:firstLine="0" w:firstLineChars="0"/>
        <w:rPr>
          <w:rFonts w:hint="default"/>
          <w:highlight w:val="none"/>
          <w:lang w:val="en-US" w:eastAsia="zh-CN"/>
        </w:rPr>
      </w:pPr>
      <w:r>
        <w:rPr>
          <w:rFonts w:hint="eastAsia" w:ascii="宋体" w:hAnsi="宋体" w:cs="宋体"/>
          <w:kern w:val="0"/>
          <w:sz w:val="24"/>
          <w:szCs w:val="24"/>
          <w:highlight w:val="none"/>
          <w:lang w:val="en-US" w:eastAsia="zh-CN"/>
        </w:rPr>
        <w:t>采购方式：竞争性谈判</w:t>
      </w:r>
    </w:p>
    <w:p w14:paraId="17D6AAFE">
      <w:pPr>
        <w:widowControl/>
        <w:spacing w:line="360" w:lineRule="auto"/>
        <w:jc w:val="left"/>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rPr>
        <w:t>预算金额（元）：</w:t>
      </w:r>
      <w:r>
        <w:rPr>
          <w:rFonts w:hint="eastAsia" w:ascii="宋体" w:hAnsi="宋体" w:cs="宋体"/>
          <w:kern w:val="0"/>
          <w:sz w:val="24"/>
          <w:szCs w:val="24"/>
          <w:highlight w:val="none"/>
          <w:lang w:val="en-US" w:eastAsia="zh-CN"/>
        </w:rPr>
        <w:t>3000000.00元</w:t>
      </w:r>
    </w:p>
    <w:p w14:paraId="36434DCA">
      <w:pPr>
        <w:keepNext w:val="0"/>
        <w:keepLines w:val="0"/>
        <w:widowControl/>
        <w:suppressLineNumbers w:val="0"/>
        <w:jc w:val="left"/>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rPr>
        <w:t>最高限价（元）：</w:t>
      </w:r>
      <w:r>
        <w:rPr>
          <w:rFonts w:hint="eastAsia" w:ascii="宋体" w:hAnsi="宋体" w:cs="宋体"/>
          <w:kern w:val="0"/>
          <w:sz w:val="24"/>
          <w:szCs w:val="24"/>
          <w:highlight w:val="none"/>
          <w:lang w:val="en-US" w:eastAsia="zh-CN"/>
        </w:rPr>
        <w:t>2394908.00</w:t>
      </w:r>
      <w:r>
        <w:rPr>
          <w:rFonts w:hint="eastAsia" w:asciiTheme="minorEastAsia" w:hAnsiTheme="minorEastAsia" w:eastAsiaTheme="minorEastAsia" w:cstheme="minorEastAsia"/>
          <w:b w:val="0"/>
          <w:bCs w:val="0"/>
          <w:color w:val="auto"/>
          <w:sz w:val="24"/>
          <w:szCs w:val="24"/>
          <w:highlight w:val="none"/>
          <w:lang w:val="en-US" w:eastAsia="zh-CN"/>
        </w:rPr>
        <w:t>元</w:t>
      </w:r>
    </w:p>
    <w:p w14:paraId="5DE23546">
      <w:pPr>
        <w:widowControl/>
        <w:spacing w:line="360" w:lineRule="auto"/>
        <w:jc w:val="left"/>
        <w:outlineLvl w:val="0"/>
        <w:rPr>
          <w:rFonts w:hint="eastAsia" w:ascii="宋体" w:hAnsi="宋体" w:eastAsia="宋体" w:cs="宋体"/>
          <w:kern w:val="0"/>
          <w:sz w:val="24"/>
          <w:szCs w:val="24"/>
          <w:highlight w:val="none"/>
          <w:lang w:eastAsia="zh-CN"/>
        </w:rPr>
      </w:pPr>
      <w:bookmarkStart w:id="7" w:name="_Toc5088"/>
      <w:bookmarkStart w:id="8" w:name="_Toc27308"/>
      <w:r>
        <w:rPr>
          <w:rFonts w:hint="eastAsia" w:ascii="宋体" w:hAnsi="宋体" w:cs="宋体"/>
          <w:kern w:val="0"/>
          <w:sz w:val="24"/>
          <w:szCs w:val="24"/>
          <w:highlight w:val="none"/>
        </w:rPr>
        <w:t>采购需求：</w:t>
      </w:r>
      <w:bookmarkEnd w:id="7"/>
      <w:bookmarkEnd w:id="8"/>
      <w:r>
        <w:rPr>
          <w:rFonts w:hint="eastAsia" w:ascii="宋体" w:hAnsi="宋体" w:eastAsia="宋体" w:cs="宋体"/>
          <w:kern w:val="0"/>
          <w:sz w:val="24"/>
          <w:szCs w:val="24"/>
          <w:highlight w:val="none"/>
          <w:lang w:val="en-US" w:eastAsia="zh-CN"/>
        </w:rPr>
        <w:t>具体内容详见工程量清单</w:t>
      </w:r>
      <w:r>
        <w:rPr>
          <w:rFonts w:hint="eastAsia" w:ascii="宋体" w:hAnsi="宋体" w:eastAsia="宋体" w:cs="宋体"/>
          <w:kern w:val="0"/>
          <w:sz w:val="24"/>
          <w:szCs w:val="24"/>
          <w:highlight w:val="none"/>
          <w:lang w:eastAsia="zh-CN"/>
        </w:rPr>
        <w:t>。</w:t>
      </w:r>
    </w:p>
    <w:p w14:paraId="6C1B06EA">
      <w:pPr>
        <w:widowControl/>
        <w:spacing w:line="360" w:lineRule="auto"/>
        <w:jc w:val="lef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合同履行期限：</w:t>
      </w:r>
      <w:r>
        <w:rPr>
          <w:rFonts w:hint="eastAsia" w:ascii="宋体" w:hAnsi="宋体" w:cs="宋体"/>
          <w:kern w:val="0"/>
          <w:sz w:val="24"/>
          <w:szCs w:val="24"/>
          <w:highlight w:val="none"/>
          <w:lang w:eastAsia="zh-CN"/>
        </w:rPr>
        <w:t>详见谈判文件</w:t>
      </w:r>
    </w:p>
    <w:p w14:paraId="2687E685">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本项目(不接受)联合体投标。</w:t>
      </w:r>
    </w:p>
    <w:p w14:paraId="7AFB835A">
      <w:pPr>
        <w:widowControl/>
        <w:spacing w:line="360" w:lineRule="auto"/>
        <w:jc w:val="left"/>
        <w:outlineLvl w:val="1"/>
        <w:rPr>
          <w:rFonts w:ascii="宋体" w:hAnsi="宋体" w:cs="宋体"/>
          <w:kern w:val="0"/>
          <w:sz w:val="24"/>
          <w:szCs w:val="24"/>
          <w:highlight w:val="none"/>
        </w:rPr>
      </w:pPr>
      <w:bookmarkStart w:id="9" w:name="_Toc29317"/>
      <w:bookmarkStart w:id="10" w:name="_Toc23006"/>
      <w:r>
        <w:rPr>
          <w:rFonts w:hint="eastAsia" w:ascii="宋体" w:hAnsi="宋体" w:cs="宋体"/>
          <w:b/>
          <w:kern w:val="0"/>
          <w:sz w:val="24"/>
          <w:szCs w:val="24"/>
          <w:highlight w:val="none"/>
        </w:rPr>
        <w:t>二、申请人的资格要求：</w:t>
      </w:r>
      <w:bookmarkEnd w:id="9"/>
      <w:bookmarkEnd w:id="10"/>
    </w:p>
    <w:p w14:paraId="5535825D">
      <w:pPr>
        <w:spacing w:line="360" w:lineRule="auto"/>
        <w:outlineLvl w:val="2"/>
        <w:rPr>
          <w:rFonts w:ascii="宋体" w:hAnsi="宋体" w:cs="宋体"/>
          <w:sz w:val="24"/>
          <w:szCs w:val="24"/>
          <w:highlight w:val="none"/>
        </w:rPr>
      </w:pPr>
      <w:bookmarkStart w:id="11" w:name="_Toc11219"/>
      <w:bookmarkStart w:id="12" w:name="_Toc328"/>
      <w:r>
        <w:rPr>
          <w:rFonts w:hint="eastAsia" w:ascii="宋体" w:hAnsi="宋体" w:cs="宋体"/>
          <w:sz w:val="24"/>
          <w:szCs w:val="24"/>
          <w:highlight w:val="none"/>
        </w:rPr>
        <w:t>1.满足《中华人民共和国政府采购法》第二十二条规定；</w:t>
      </w:r>
      <w:bookmarkEnd w:id="11"/>
      <w:bookmarkEnd w:id="12"/>
    </w:p>
    <w:p w14:paraId="327C5EDC">
      <w:pPr>
        <w:spacing w:line="360" w:lineRule="auto"/>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2.落实政府采购政策需满足的资格要求：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政府采购促进中小企业发展管理办法》（财库[2020]46号）</w:t>
      </w:r>
      <w:r>
        <w:rPr>
          <w:rFonts w:hint="eastAsia" w:asciiTheme="minorEastAsia" w:hAnsiTheme="minorEastAsia" w:eastAsiaTheme="minorEastAsia" w:cstheme="minorEastAsia"/>
          <w:color w:val="auto"/>
          <w:kern w:val="2"/>
          <w:sz w:val="24"/>
          <w:szCs w:val="24"/>
          <w:highlight w:val="none"/>
          <w:shd w:val="clear" w:color="auto" w:fill="FFFFFF"/>
          <w:lang w:eastAsia="zh-CN"/>
        </w:rPr>
        <w:t>本项目专门面向中小企业。</w:t>
      </w:r>
    </w:p>
    <w:p w14:paraId="4AD4B1E4">
      <w:pPr>
        <w:numPr>
          <w:ilvl w:val="0"/>
          <w:numId w:val="2"/>
        </w:numPr>
        <w:spacing w:line="360" w:lineRule="auto"/>
        <w:rPr>
          <w:rFonts w:ascii="宋体" w:hAnsi="宋体" w:cs="宋体"/>
          <w:sz w:val="24"/>
          <w:szCs w:val="24"/>
          <w:highlight w:val="none"/>
        </w:rPr>
      </w:pPr>
      <w:r>
        <w:rPr>
          <w:rFonts w:hint="eastAsia" w:ascii="宋体" w:hAnsi="宋体" w:cs="宋体"/>
          <w:sz w:val="24"/>
          <w:szCs w:val="24"/>
          <w:highlight w:val="none"/>
        </w:rPr>
        <w:t>本项目的特定资格要求：</w:t>
      </w:r>
    </w:p>
    <w:p w14:paraId="54BA54CD">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（1）供应商须是中华人民共和国境内注册，具有有效的营业执照；</w:t>
      </w:r>
    </w:p>
    <w:p w14:paraId="1F2AE5C9">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（2）供应商须具备电力工程施工总承包三级(含)以上或者输变电工程专业承包三级(含)以上资质；</w:t>
      </w:r>
    </w:p>
    <w:p w14:paraId="2A4DAF14">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（3）供应商拟派项目经理须具备机电专业二级及以上资格，具有有效的安全生产考核合格证书，且未担任其他在施建设工程项目的项目经理；并在人员、设备、资金等方面具有相应的施工能力；</w:t>
      </w:r>
    </w:p>
    <w:p w14:paraId="7A6B5D8E">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（4）供应商须提供有效的安全生产许可证；</w:t>
      </w:r>
    </w:p>
    <w:p w14:paraId="4F72E3A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供应商不得为“信用中国网站（www.creditchina.gov.cn）中列入失信被执行人和税收违法黑名单的供应商，不得为中国政府采购网（www.ccgp.gov.cn）政府采购严重违法失信行为记录名单中被财政部门禁止参加政府采购活动的供应商。</w:t>
      </w:r>
    </w:p>
    <w:p w14:paraId="47815EE2">
      <w:pPr>
        <w:widowControl/>
        <w:spacing w:line="360" w:lineRule="auto"/>
        <w:jc w:val="left"/>
        <w:outlineLvl w:val="1"/>
        <w:rPr>
          <w:rFonts w:hint="eastAsia" w:ascii="宋体" w:hAnsi="宋体" w:eastAsia="宋体" w:cs="宋体"/>
          <w:kern w:val="0"/>
          <w:sz w:val="24"/>
          <w:szCs w:val="24"/>
          <w:highlight w:val="none"/>
          <w:lang w:eastAsia="zh-CN"/>
        </w:rPr>
      </w:pPr>
      <w:bookmarkStart w:id="13" w:name="_Toc18053"/>
      <w:bookmarkStart w:id="14" w:name="_Toc18646"/>
      <w:r>
        <w:rPr>
          <w:rFonts w:hint="eastAsia" w:ascii="宋体" w:hAnsi="宋体" w:cs="宋体"/>
          <w:b/>
          <w:kern w:val="0"/>
          <w:sz w:val="24"/>
          <w:szCs w:val="24"/>
          <w:highlight w:val="none"/>
        </w:rPr>
        <w:t>三、获取</w:t>
      </w:r>
      <w:r>
        <w:rPr>
          <w:rFonts w:hint="eastAsia" w:ascii="宋体" w:hAnsi="宋体" w:cs="宋体"/>
          <w:b/>
          <w:kern w:val="0"/>
          <w:sz w:val="24"/>
          <w:szCs w:val="24"/>
          <w:highlight w:val="none"/>
          <w:lang w:eastAsia="zh-CN"/>
        </w:rPr>
        <w:t>谈判文件</w:t>
      </w:r>
      <w:bookmarkEnd w:id="13"/>
      <w:bookmarkEnd w:id="14"/>
    </w:p>
    <w:p w14:paraId="6021F3FA">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时间：202</w:t>
      </w:r>
      <w:r>
        <w:rPr>
          <w:rFonts w:hint="eastAsia" w:ascii="宋体" w:hAnsi="宋体" w:eastAsia="宋体" w:cs="宋体"/>
          <w:kern w:val="0"/>
          <w:sz w:val="24"/>
          <w:szCs w:val="24"/>
          <w:highlight w:val="none"/>
          <w:lang w:val="en-US" w:eastAsia="zh-CN"/>
        </w:rPr>
        <w:t>5</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03</w:t>
      </w:r>
      <w:r>
        <w:rPr>
          <w:rFonts w:hint="eastAsia" w:ascii="宋体" w:hAnsi="宋体" w:cs="宋体"/>
          <w:kern w:val="0"/>
          <w:sz w:val="24"/>
          <w:szCs w:val="24"/>
          <w:highlight w:val="none"/>
        </w:rPr>
        <w:t>月</w:t>
      </w:r>
      <w:r>
        <w:rPr>
          <w:rFonts w:hint="eastAsia" w:ascii="宋体" w:hAnsi="宋体" w:eastAsia="宋体" w:cs="宋体"/>
          <w:kern w:val="0"/>
          <w:sz w:val="24"/>
          <w:szCs w:val="24"/>
          <w:highlight w:val="none"/>
          <w:lang w:val="en-US" w:eastAsia="zh-CN"/>
        </w:rPr>
        <w:t>10</w:t>
      </w:r>
      <w:r>
        <w:rPr>
          <w:rFonts w:hint="eastAsia" w:ascii="宋体" w:hAnsi="宋体" w:cs="宋体"/>
          <w:kern w:val="0"/>
          <w:sz w:val="24"/>
          <w:szCs w:val="24"/>
          <w:highlight w:val="none"/>
        </w:rPr>
        <w:t>日至202</w:t>
      </w:r>
      <w:r>
        <w:rPr>
          <w:rFonts w:hint="eastAsia" w:ascii="宋体" w:hAnsi="宋体" w:eastAsia="宋体" w:cs="宋体"/>
          <w:kern w:val="0"/>
          <w:sz w:val="24"/>
          <w:szCs w:val="24"/>
          <w:highlight w:val="none"/>
          <w:lang w:val="en-US" w:eastAsia="zh-CN"/>
        </w:rPr>
        <w:t>5</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03</w:t>
      </w:r>
      <w:r>
        <w:rPr>
          <w:rFonts w:hint="eastAsia" w:ascii="宋体" w:hAnsi="宋体" w:cs="宋体"/>
          <w:kern w:val="0"/>
          <w:sz w:val="24"/>
          <w:szCs w:val="24"/>
          <w:highlight w:val="none"/>
        </w:rPr>
        <w:t>月</w:t>
      </w:r>
      <w:r>
        <w:rPr>
          <w:rFonts w:hint="eastAsia" w:ascii="宋体" w:hAnsi="宋体" w:eastAsia="宋体" w:cs="宋体"/>
          <w:kern w:val="0"/>
          <w:sz w:val="24"/>
          <w:szCs w:val="24"/>
          <w:highlight w:val="none"/>
          <w:lang w:val="en-US" w:eastAsia="zh-CN"/>
        </w:rPr>
        <w:t>13</w:t>
      </w:r>
      <w:r>
        <w:rPr>
          <w:rFonts w:hint="eastAsia" w:ascii="宋体" w:hAnsi="宋体" w:cs="宋体"/>
          <w:kern w:val="0"/>
          <w:sz w:val="24"/>
          <w:szCs w:val="24"/>
          <w:highlight w:val="none"/>
        </w:rPr>
        <w:t>日，每天上午</w:t>
      </w:r>
      <w:r>
        <w:rPr>
          <w:rFonts w:hint="eastAsia" w:ascii="宋体" w:hAnsi="宋体" w:cs="宋体"/>
          <w:kern w:val="0"/>
          <w:sz w:val="24"/>
          <w:szCs w:val="24"/>
          <w:highlight w:val="none"/>
          <w:lang w:val="en-US" w:eastAsia="zh-CN"/>
        </w:rPr>
        <w:t>0</w:t>
      </w:r>
      <w:r>
        <w:rPr>
          <w:rFonts w:hint="eastAsia" w:ascii="宋体" w:hAnsi="宋体" w:cs="宋体"/>
          <w:kern w:val="0"/>
          <w:sz w:val="24"/>
          <w:szCs w:val="24"/>
          <w:highlight w:val="none"/>
        </w:rPr>
        <w:t>0:00至1</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:00，下午1</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:00至</w:t>
      </w:r>
      <w:r>
        <w:rPr>
          <w:rFonts w:hint="eastAsia" w:ascii="宋体" w:hAnsi="宋体" w:cs="宋体"/>
          <w:kern w:val="0"/>
          <w:sz w:val="24"/>
          <w:szCs w:val="24"/>
          <w:highlight w:val="none"/>
          <w:lang w:val="en-US" w:eastAsia="zh-CN"/>
        </w:rPr>
        <w:t>23</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59</w:t>
      </w:r>
      <w:r>
        <w:rPr>
          <w:rFonts w:hint="eastAsia" w:ascii="宋体" w:hAnsi="宋体" w:cs="宋体"/>
          <w:kern w:val="0"/>
          <w:sz w:val="24"/>
          <w:szCs w:val="24"/>
          <w:highlight w:val="none"/>
        </w:rPr>
        <w:t>。（北京时间，法定节假日除外）</w:t>
      </w:r>
    </w:p>
    <w:p w14:paraId="4FAC317B">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地点：政采云平台（https://www.zcygov.cn/）</w:t>
      </w:r>
    </w:p>
    <w:p w14:paraId="0EEF34A6">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方式：供应商登录政采云平台https://www.zcygov.cn/在线申请获取采购文件（进入“项目采购”应用，在获取采购文件菜单中选择项目，申请获取采购文件）。</w:t>
      </w:r>
    </w:p>
    <w:p w14:paraId="332411DD">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售价：0</w:t>
      </w:r>
    </w:p>
    <w:p w14:paraId="56C047D3">
      <w:pPr>
        <w:widowControl/>
        <w:spacing w:line="360" w:lineRule="auto"/>
        <w:jc w:val="left"/>
        <w:outlineLvl w:val="1"/>
        <w:rPr>
          <w:rFonts w:ascii="宋体" w:hAnsi="宋体" w:cs="宋体"/>
          <w:kern w:val="0"/>
          <w:sz w:val="24"/>
          <w:szCs w:val="24"/>
          <w:highlight w:val="none"/>
        </w:rPr>
      </w:pPr>
      <w:bookmarkStart w:id="15" w:name="_Toc32028"/>
      <w:bookmarkStart w:id="16" w:name="_Toc13553"/>
      <w:r>
        <w:rPr>
          <w:rFonts w:hint="eastAsia" w:ascii="宋体" w:hAnsi="宋体" w:cs="宋体"/>
          <w:b/>
          <w:kern w:val="0"/>
          <w:sz w:val="24"/>
          <w:szCs w:val="24"/>
          <w:highlight w:val="none"/>
        </w:rPr>
        <w:t>四、提交</w:t>
      </w:r>
      <w:r>
        <w:rPr>
          <w:rFonts w:hint="eastAsia" w:ascii="宋体" w:hAnsi="宋体" w:eastAsia="宋体" w:cs="宋体"/>
          <w:b/>
          <w:kern w:val="0"/>
          <w:sz w:val="24"/>
          <w:szCs w:val="24"/>
          <w:highlight w:val="none"/>
          <w:lang w:eastAsia="zh-CN"/>
        </w:rPr>
        <w:t>响应文件</w:t>
      </w:r>
      <w:r>
        <w:rPr>
          <w:rFonts w:hint="eastAsia" w:ascii="宋体" w:hAnsi="宋体" w:cs="宋体"/>
          <w:b/>
          <w:kern w:val="0"/>
          <w:sz w:val="24"/>
          <w:szCs w:val="24"/>
          <w:highlight w:val="none"/>
        </w:rPr>
        <w:t>截止时间、开标时间和地点</w:t>
      </w:r>
      <w:bookmarkEnd w:id="15"/>
      <w:bookmarkEnd w:id="16"/>
    </w:p>
    <w:p w14:paraId="3FB44236">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提交</w:t>
      </w:r>
      <w:r>
        <w:rPr>
          <w:rFonts w:hint="eastAsia" w:ascii="宋体" w:hAnsi="宋体" w:eastAsia="宋体" w:cs="宋体"/>
          <w:kern w:val="0"/>
          <w:sz w:val="24"/>
          <w:szCs w:val="24"/>
          <w:highlight w:val="none"/>
          <w:lang w:eastAsia="zh-CN"/>
        </w:rPr>
        <w:t>响应文件</w:t>
      </w:r>
      <w:r>
        <w:rPr>
          <w:rFonts w:hint="eastAsia" w:ascii="宋体" w:hAnsi="宋体" w:cs="宋体"/>
          <w:kern w:val="0"/>
          <w:sz w:val="24"/>
          <w:szCs w:val="24"/>
          <w:highlight w:val="none"/>
        </w:rPr>
        <w:t>截止时间：</w:t>
      </w:r>
      <w:r>
        <w:rPr>
          <w:rFonts w:hint="eastAsia" w:ascii="宋体" w:hAnsi="宋体" w:cs="宋体"/>
          <w:kern w:val="0"/>
          <w:sz w:val="24"/>
          <w:szCs w:val="24"/>
          <w:highlight w:val="none"/>
          <w:lang w:eastAsia="zh-CN"/>
        </w:rPr>
        <w:t>202</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lang w:eastAsia="zh-CN"/>
        </w:rPr>
        <w:t>年</w:t>
      </w:r>
      <w:r>
        <w:rPr>
          <w:rFonts w:hint="eastAsia" w:ascii="宋体" w:hAnsi="宋体" w:cs="宋体"/>
          <w:kern w:val="0"/>
          <w:sz w:val="24"/>
          <w:szCs w:val="24"/>
          <w:highlight w:val="none"/>
          <w:lang w:val="en-US" w:eastAsia="zh-CN"/>
        </w:rPr>
        <w:t>03</w:t>
      </w:r>
      <w:r>
        <w:rPr>
          <w:rFonts w:hint="eastAsia" w:ascii="宋体" w:hAnsi="宋体" w:cs="宋体"/>
          <w:kern w:val="0"/>
          <w:sz w:val="24"/>
          <w:szCs w:val="24"/>
          <w:highlight w:val="none"/>
          <w:lang w:eastAsia="zh-CN"/>
        </w:rPr>
        <w:t>月</w:t>
      </w:r>
      <w:r>
        <w:rPr>
          <w:rFonts w:hint="eastAsia" w:ascii="宋体" w:hAnsi="宋体" w:cs="宋体"/>
          <w:kern w:val="0"/>
          <w:sz w:val="24"/>
          <w:szCs w:val="24"/>
          <w:highlight w:val="none"/>
          <w:lang w:val="en-US" w:eastAsia="zh-CN"/>
        </w:rPr>
        <w:t>14</w:t>
      </w:r>
      <w:r>
        <w:rPr>
          <w:rFonts w:hint="eastAsia" w:ascii="宋体" w:hAnsi="宋体" w:cs="宋体"/>
          <w:kern w:val="0"/>
          <w:sz w:val="24"/>
          <w:szCs w:val="24"/>
          <w:highlight w:val="none"/>
          <w:lang w:eastAsia="zh-CN"/>
        </w:rPr>
        <w:t>日1</w:t>
      </w: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lang w:eastAsia="zh-CN"/>
        </w:rPr>
        <w:t>时00分</w:t>
      </w:r>
      <w:r>
        <w:rPr>
          <w:rFonts w:hint="eastAsia" w:ascii="宋体" w:hAnsi="宋体" w:cs="宋体"/>
          <w:kern w:val="0"/>
          <w:sz w:val="24"/>
          <w:szCs w:val="24"/>
          <w:highlight w:val="none"/>
        </w:rPr>
        <w:t>（北京时间）</w:t>
      </w:r>
    </w:p>
    <w:p w14:paraId="549F45E8">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开标时间：</w:t>
      </w:r>
      <w:r>
        <w:rPr>
          <w:rFonts w:hint="eastAsia" w:ascii="宋体" w:hAnsi="宋体" w:cs="宋体"/>
          <w:kern w:val="0"/>
          <w:sz w:val="24"/>
          <w:szCs w:val="24"/>
          <w:highlight w:val="none"/>
          <w:lang w:eastAsia="zh-CN"/>
        </w:rPr>
        <w:t>202</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lang w:eastAsia="zh-CN"/>
        </w:rPr>
        <w:t>年</w:t>
      </w:r>
      <w:r>
        <w:rPr>
          <w:rFonts w:hint="eastAsia" w:ascii="宋体" w:hAnsi="宋体" w:cs="宋体"/>
          <w:kern w:val="0"/>
          <w:sz w:val="24"/>
          <w:szCs w:val="24"/>
          <w:highlight w:val="none"/>
          <w:lang w:val="en-US" w:eastAsia="zh-CN"/>
        </w:rPr>
        <w:t>03</w:t>
      </w:r>
      <w:r>
        <w:rPr>
          <w:rFonts w:hint="eastAsia" w:ascii="宋体" w:hAnsi="宋体" w:cs="宋体"/>
          <w:kern w:val="0"/>
          <w:sz w:val="24"/>
          <w:szCs w:val="24"/>
          <w:highlight w:val="none"/>
          <w:lang w:eastAsia="zh-CN"/>
        </w:rPr>
        <w:t>月</w:t>
      </w:r>
      <w:r>
        <w:rPr>
          <w:rFonts w:hint="eastAsia" w:ascii="宋体" w:hAnsi="宋体" w:cs="宋体"/>
          <w:kern w:val="0"/>
          <w:sz w:val="24"/>
          <w:szCs w:val="24"/>
          <w:highlight w:val="none"/>
          <w:lang w:val="en-US" w:eastAsia="zh-CN"/>
        </w:rPr>
        <w:t>14</w:t>
      </w:r>
      <w:r>
        <w:rPr>
          <w:rFonts w:hint="eastAsia" w:ascii="宋体" w:hAnsi="宋体" w:cs="宋体"/>
          <w:kern w:val="0"/>
          <w:sz w:val="24"/>
          <w:szCs w:val="24"/>
          <w:highlight w:val="none"/>
          <w:lang w:eastAsia="zh-CN"/>
        </w:rPr>
        <w:t>日1</w:t>
      </w: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lang w:eastAsia="zh-CN"/>
        </w:rPr>
        <w:t>时00分</w:t>
      </w:r>
      <w:r>
        <w:rPr>
          <w:rFonts w:hint="eastAsia" w:ascii="宋体" w:hAnsi="宋体" w:cs="宋体"/>
          <w:kern w:val="0"/>
          <w:sz w:val="24"/>
          <w:szCs w:val="24"/>
          <w:highlight w:val="none"/>
        </w:rPr>
        <w:t>（北京时间）</w:t>
      </w:r>
    </w:p>
    <w:p w14:paraId="57DE6118">
      <w:pPr>
        <w:widowControl/>
        <w:spacing w:line="360" w:lineRule="auto"/>
        <w:jc w:val="left"/>
        <w:rPr>
          <w:rFonts w:hint="eastAsia" w:ascii="宋体" w:hAnsi="宋体" w:cs="宋体"/>
          <w:kern w:val="0"/>
          <w:sz w:val="24"/>
          <w:szCs w:val="24"/>
          <w:highlight w:val="none"/>
        </w:rPr>
      </w:pPr>
      <w:r>
        <w:rPr>
          <w:rFonts w:hint="eastAsia" w:ascii="宋体" w:hAnsi="宋体" w:cs="宋体"/>
          <w:kern w:val="0"/>
          <w:sz w:val="24"/>
          <w:szCs w:val="24"/>
          <w:highlight w:val="none"/>
        </w:rPr>
        <w:t>地点：政采云平台（https://www.zcygov.cn/）</w:t>
      </w:r>
    </w:p>
    <w:p w14:paraId="4422DB2E">
      <w:pPr>
        <w:widowControl/>
        <w:spacing w:line="360" w:lineRule="auto"/>
        <w:jc w:val="left"/>
        <w:outlineLvl w:val="1"/>
        <w:rPr>
          <w:rFonts w:ascii="宋体" w:hAnsi="宋体" w:cs="宋体"/>
          <w:kern w:val="0"/>
          <w:sz w:val="24"/>
          <w:szCs w:val="24"/>
          <w:highlight w:val="none"/>
        </w:rPr>
      </w:pPr>
      <w:bookmarkStart w:id="17" w:name="_Toc14136"/>
      <w:bookmarkStart w:id="18" w:name="_Toc12940"/>
      <w:r>
        <w:rPr>
          <w:rFonts w:hint="eastAsia" w:ascii="宋体" w:hAnsi="宋体" w:cs="宋体"/>
          <w:b/>
          <w:kern w:val="0"/>
          <w:sz w:val="24"/>
          <w:szCs w:val="24"/>
          <w:highlight w:val="none"/>
        </w:rPr>
        <w:t>五、公告期限</w:t>
      </w:r>
      <w:bookmarkEnd w:id="17"/>
      <w:bookmarkEnd w:id="18"/>
    </w:p>
    <w:p w14:paraId="605AC244">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自本公告发布之日起</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个工作日。</w:t>
      </w:r>
    </w:p>
    <w:p w14:paraId="479539C0">
      <w:pPr>
        <w:widowControl/>
        <w:spacing w:line="360" w:lineRule="auto"/>
        <w:jc w:val="left"/>
        <w:outlineLvl w:val="1"/>
        <w:rPr>
          <w:rFonts w:ascii="宋体" w:hAnsi="宋体" w:cs="宋体"/>
          <w:kern w:val="0"/>
          <w:sz w:val="24"/>
          <w:szCs w:val="24"/>
          <w:highlight w:val="none"/>
        </w:rPr>
      </w:pPr>
      <w:bookmarkStart w:id="19" w:name="_Toc32486"/>
      <w:bookmarkStart w:id="20" w:name="_Toc28655"/>
      <w:r>
        <w:rPr>
          <w:rFonts w:hint="eastAsia" w:ascii="宋体" w:hAnsi="宋体" w:cs="宋体"/>
          <w:b/>
          <w:kern w:val="0"/>
          <w:sz w:val="24"/>
          <w:szCs w:val="24"/>
          <w:highlight w:val="none"/>
        </w:rPr>
        <w:t>六、其他补充事宜</w:t>
      </w:r>
      <w:bookmarkEnd w:id="19"/>
      <w:bookmarkEnd w:id="20"/>
    </w:p>
    <w:p w14:paraId="1DA9BA99">
      <w:pPr>
        <w:widowControl/>
        <w:spacing w:line="360" w:lineRule="auto"/>
        <w:jc w:val="left"/>
        <w:outlineLvl w:val="2"/>
        <w:rPr>
          <w:rFonts w:ascii="宋体" w:hAnsi="宋体" w:cs="宋体"/>
          <w:kern w:val="0"/>
          <w:sz w:val="24"/>
          <w:szCs w:val="24"/>
          <w:highlight w:val="none"/>
        </w:rPr>
      </w:pPr>
      <w:bookmarkStart w:id="21" w:name="_Toc20121"/>
      <w:bookmarkStart w:id="22" w:name="_Toc27019"/>
      <w:r>
        <w:rPr>
          <w:rFonts w:hint="eastAsia" w:ascii="宋体" w:hAnsi="宋体" w:cs="宋体"/>
          <w:kern w:val="0"/>
          <w:sz w:val="24"/>
          <w:szCs w:val="24"/>
          <w:highlight w:val="none"/>
        </w:rPr>
        <w:t>1、请</w:t>
      </w:r>
      <w:r>
        <w:rPr>
          <w:rFonts w:hint="eastAsia" w:ascii="宋体" w:hAnsi="宋体" w:eastAsia="宋体" w:cs="宋体"/>
          <w:kern w:val="0"/>
          <w:sz w:val="24"/>
          <w:szCs w:val="24"/>
          <w:highlight w:val="none"/>
          <w:lang w:eastAsia="zh-CN"/>
        </w:rPr>
        <w:t>供应商</w:t>
      </w:r>
      <w:r>
        <w:rPr>
          <w:rFonts w:hint="eastAsia" w:ascii="宋体" w:hAnsi="宋体" w:cs="宋体"/>
          <w:kern w:val="0"/>
          <w:sz w:val="24"/>
          <w:szCs w:val="24"/>
          <w:highlight w:val="none"/>
        </w:rPr>
        <w:t>随时关注本项目的澄清、答疑、变更事项。</w:t>
      </w:r>
      <w:bookmarkEnd w:id="21"/>
      <w:bookmarkEnd w:id="22"/>
    </w:p>
    <w:p w14:paraId="3F7D2D36">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2、本项目实行电子招投标，供应商须登录政采云平台申请获取</w:t>
      </w:r>
      <w:r>
        <w:rPr>
          <w:rFonts w:hint="eastAsia" w:ascii="宋体" w:hAnsi="宋体" w:cs="宋体"/>
          <w:kern w:val="0"/>
          <w:sz w:val="24"/>
          <w:szCs w:val="24"/>
          <w:highlight w:val="none"/>
          <w:lang w:eastAsia="zh-CN"/>
        </w:rPr>
        <w:t>谈判文件</w:t>
      </w:r>
      <w:r>
        <w:rPr>
          <w:rFonts w:hint="eastAsia" w:ascii="宋体" w:hAnsi="宋体" w:cs="宋体"/>
          <w:kern w:val="0"/>
          <w:sz w:val="24"/>
          <w:szCs w:val="24"/>
          <w:highlight w:val="none"/>
        </w:rPr>
        <w:t>，并通过政采云电子投标客户端制作</w:t>
      </w:r>
      <w:r>
        <w:rPr>
          <w:rFonts w:hint="eastAsia" w:ascii="宋体" w:hAnsi="宋体" w:eastAsia="宋体" w:cs="宋体"/>
          <w:kern w:val="0"/>
          <w:sz w:val="24"/>
          <w:szCs w:val="24"/>
          <w:highlight w:val="none"/>
          <w:lang w:eastAsia="zh-CN"/>
        </w:rPr>
        <w:t>响应文件</w:t>
      </w:r>
      <w:r>
        <w:rPr>
          <w:rFonts w:hint="eastAsia" w:ascii="宋体" w:hAnsi="宋体" w:cs="宋体"/>
          <w:kern w:val="0"/>
          <w:sz w:val="24"/>
          <w:szCs w:val="24"/>
          <w:highlight w:val="none"/>
        </w:rPr>
        <w:t>，同时自行承担与投标有关的一切费用。</w:t>
      </w:r>
    </w:p>
    <w:p w14:paraId="29663AB5">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3、各供应商应在开标前应确保成为政采云平台供应商，并完成 CA 数字证书(符合国密标准) 申领。因未注册入库、未办理CA数字证书等原因造成无法投标或投标失败等后果由供应商自行承担。</w:t>
      </w:r>
    </w:p>
    <w:p w14:paraId="25076F94">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4、供应商可前往新疆政府采购网(http://www.ccgp-xinjiang.gov.cn/) 下载专区，下载政采云电子投标客户端，安装完成后，可通过账号密码或CA登录客户端进行响应文件制作。在使用政采云电子投标客户端时，建议使用WIN7及以上操作系统。如需咨询，请联系新疆CA服务热线 0991-2819290。</w:t>
      </w:r>
    </w:p>
    <w:p w14:paraId="1F5316DF">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5、本项目采用不见面开标，供应商须在投标截止时间前通过CA在政采云平台上传加密的电子响应文件。供应商对不见面开评标系统的技术操作咨询，可通过 https://edu.zcygov.cn/luban/xinjiang-e-biding 自助查询，也可在政采云帮助中心常见问题解答和操作流程讲解视频中自助查询，网址为：https://service.zcygov.cn/#/help，“项目采购”—“操作流程-电子招投标”— “政府采购项目电子交易管理操作指南-供应商”版面获取操作指南，同时对自助查询无法解决的问题可通过钉钉群及政采云在线客服获取服务支持。</w:t>
      </w:r>
    </w:p>
    <w:p w14:paraId="5CF52B59">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6、供应商在开标前须提前配置好电脑浏览器(建议使用360浏览器或谷歌浏览器) ，开标时请使用制作加密电子响应文件的CA锁进行解密及报价确认。本项目响应文件解密时间定为30分钟，如因自身原因导致无法正常解密，后果由供应商自行承担。</w:t>
      </w:r>
    </w:p>
    <w:p w14:paraId="1254FB87">
      <w:pPr>
        <w:widowControl/>
        <w:jc w:val="left"/>
        <w:outlineLvl w:val="1"/>
        <w:rPr>
          <w:rFonts w:ascii="宋体" w:hAnsi="宋体" w:cs="宋体"/>
          <w:kern w:val="0"/>
          <w:sz w:val="24"/>
          <w:szCs w:val="24"/>
          <w:highlight w:val="none"/>
        </w:rPr>
      </w:pPr>
      <w:bookmarkStart w:id="23" w:name="_Toc14707"/>
      <w:bookmarkStart w:id="24" w:name="_Toc477"/>
      <w:r>
        <w:rPr>
          <w:rFonts w:hint="eastAsia" w:ascii="宋体" w:hAnsi="宋体" w:cs="宋体"/>
          <w:b/>
          <w:kern w:val="0"/>
          <w:sz w:val="24"/>
          <w:szCs w:val="24"/>
          <w:highlight w:val="none"/>
        </w:rPr>
        <w:t>七、凡对本次采购提出询问，请按以下方式联系。</w:t>
      </w:r>
      <w:bookmarkEnd w:id="23"/>
      <w:bookmarkEnd w:id="24"/>
    </w:p>
    <w:p w14:paraId="438FB72B">
      <w:pPr>
        <w:spacing w:line="360" w:lineRule="auto"/>
        <w:ind w:firstLine="240" w:firstLineChars="100"/>
        <w:outlineLvl w:val="2"/>
        <w:rPr>
          <w:rFonts w:ascii="宋体" w:hAnsi="宋体" w:cs="宋体"/>
          <w:sz w:val="24"/>
          <w:szCs w:val="24"/>
          <w:highlight w:val="none"/>
        </w:rPr>
      </w:pPr>
      <w:bookmarkStart w:id="25" w:name="_Toc32053"/>
      <w:bookmarkStart w:id="26" w:name="_Toc23910"/>
      <w:r>
        <w:rPr>
          <w:rFonts w:hint="eastAsia" w:ascii="宋体" w:hAnsi="宋体" w:cs="宋体"/>
          <w:sz w:val="24"/>
          <w:szCs w:val="24"/>
          <w:highlight w:val="none"/>
        </w:rPr>
        <w:t>1.采购人信息</w:t>
      </w:r>
      <w:bookmarkEnd w:id="25"/>
      <w:bookmarkEnd w:id="26"/>
    </w:p>
    <w:p w14:paraId="42028B86">
      <w:pPr>
        <w:spacing w:line="360" w:lineRule="auto"/>
        <w:ind w:firstLine="240" w:firstLineChars="100"/>
        <w:rPr>
          <w:rFonts w:hint="eastAsia" w:ascii="宋体" w:hAnsi="宋体" w:eastAsia="宋体" w:cs="宋体"/>
          <w:sz w:val="24"/>
          <w:szCs w:val="24"/>
          <w:highlight w:val="none"/>
          <w:lang w:eastAsia="zh-CN"/>
        </w:rPr>
      </w:pPr>
      <w:r>
        <w:rPr>
          <w:rFonts w:hint="eastAsia" w:ascii="宋体" w:hAnsi="宋体" w:cs="宋体"/>
          <w:sz w:val="24"/>
          <w:szCs w:val="24"/>
          <w:highlight w:val="none"/>
        </w:rPr>
        <w:t>名 称：</w:t>
      </w:r>
      <w:r>
        <w:rPr>
          <w:rFonts w:hint="eastAsia" w:ascii="宋体" w:hAnsi="宋体" w:cs="宋体"/>
          <w:sz w:val="24"/>
          <w:szCs w:val="24"/>
          <w:highlight w:val="none"/>
          <w:lang w:eastAsia="zh-CN"/>
        </w:rPr>
        <w:t>青河县萨尔托海乡人民政府</w:t>
      </w:r>
    </w:p>
    <w:p w14:paraId="10CC27BB">
      <w:pPr>
        <w:spacing w:line="360" w:lineRule="auto"/>
        <w:ind w:firstLine="240" w:firstLineChars="100"/>
        <w:rPr>
          <w:rFonts w:hint="eastAsia" w:ascii="宋体" w:hAnsi="宋体" w:eastAsia="宋体" w:cs="宋体"/>
          <w:sz w:val="24"/>
          <w:szCs w:val="24"/>
          <w:highlight w:val="none"/>
          <w:lang w:eastAsia="zh-CN"/>
        </w:rPr>
      </w:pPr>
      <w:r>
        <w:rPr>
          <w:rFonts w:hint="eastAsia" w:ascii="宋体" w:hAnsi="宋体" w:cs="宋体"/>
          <w:sz w:val="24"/>
          <w:szCs w:val="24"/>
          <w:highlight w:val="none"/>
        </w:rPr>
        <w:t>地 址：</w:t>
      </w:r>
      <w:r>
        <w:rPr>
          <w:rFonts w:hint="eastAsia" w:ascii="宋体" w:hAnsi="宋体" w:cs="宋体"/>
          <w:sz w:val="24"/>
          <w:szCs w:val="24"/>
          <w:highlight w:val="none"/>
          <w:lang w:eastAsia="zh-CN"/>
        </w:rPr>
        <w:t>阿勒泰地区青河县富民路</w:t>
      </w:r>
    </w:p>
    <w:p w14:paraId="0A37EB23">
      <w:pPr>
        <w:spacing w:line="360" w:lineRule="auto"/>
        <w:ind w:firstLine="240" w:firstLineChars="100"/>
        <w:rPr>
          <w:rFonts w:hint="default" w:ascii="宋体" w:hAnsi="宋体" w:eastAsia="宋体" w:cs="宋体"/>
          <w:sz w:val="24"/>
          <w:szCs w:val="24"/>
          <w:highlight w:val="none"/>
          <w:lang w:val="en-US" w:eastAsia="zh-CN"/>
        </w:rPr>
      </w:pPr>
      <w:r>
        <w:rPr>
          <w:rFonts w:hint="eastAsia" w:ascii="宋体" w:hAnsi="宋体" w:cs="宋体"/>
          <w:sz w:val="24"/>
          <w:szCs w:val="24"/>
          <w:highlight w:val="none"/>
        </w:rPr>
        <w:t>联系方式</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17690797095</w:t>
      </w:r>
    </w:p>
    <w:p w14:paraId="32C9F695">
      <w:pPr>
        <w:spacing w:line="360" w:lineRule="auto"/>
        <w:ind w:firstLine="240" w:firstLineChars="100"/>
        <w:outlineLvl w:val="2"/>
        <w:rPr>
          <w:rFonts w:ascii="宋体" w:hAnsi="宋体" w:cs="宋体"/>
          <w:sz w:val="24"/>
          <w:szCs w:val="24"/>
          <w:highlight w:val="none"/>
        </w:rPr>
      </w:pPr>
      <w:bookmarkStart w:id="27" w:name="_Toc753"/>
      <w:bookmarkStart w:id="28" w:name="_Toc11515"/>
      <w:r>
        <w:rPr>
          <w:rFonts w:hint="eastAsia" w:ascii="宋体" w:hAnsi="宋体" w:cs="宋体"/>
          <w:sz w:val="24"/>
          <w:szCs w:val="24"/>
          <w:highlight w:val="none"/>
        </w:rPr>
        <w:t>2.</w:t>
      </w:r>
      <w:r>
        <w:rPr>
          <w:rFonts w:hint="eastAsia" w:ascii="宋体" w:hAnsi="宋体" w:cs="宋体"/>
          <w:sz w:val="24"/>
          <w:szCs w:val="24"/>
          <w:highlight w:val="none"/>
          <w:lang w:eastAsia="zh-CN"/>
        </w:rPr>
        <w:t>采购代理机构</w:t>
      </w:r>
      <w:r>
        <w:rPr>
          <w:rFonts w:hint="eastAsia" w:ascii="宋体" w:hAnsi="宋体" w:cs="宋体"/>
          <w:sz w:val="24"/>
          <w:szCs w:val="24"/>
          <w:highlight w:val="none"/>
        </w:rPr>
        <w:t>信息</w:t>
      </w:r>
      <w:bookmarkEnd w:id="27"/>
      <w:bookmarkEnd w:id="28"/>
    </w:p>
    <w:p w14:paraId="0130A122">
      <w:pPr>
        <w:spacing w:line="360" w:lineRule="auto"/>
        <w:ind w:firstLine="240" w:firstLineChars="100"/>
        <w:rPr>
          <w:rFonts w:hint="eastAsia" w:ascii="宋体" w:hAnsi="宋体" w:eastAsia="宋体" w:cs="宋体"/>
          <w:sz w:val="24"/>
          <w:szCs w:val="24"/>
          <w:highlight w:val="none"/>
          <w:lang w:eastAsia="zh-CN"/>
        </w:rPr>
      </w:pPr>
      <w:r>
        <w:rPr>
          <w:rFonts w:hint="eastAsia" w:ascii="宋体" w:hAnsi="宋体" w:cs="宋体"/>
          <w:sz w:val="24"/>
          <w:szCs w:val="24"/>
          <w:highlight w:val="none"/>
        </w:rPr>
        <w:t>名 称：</w:t>
      </w:r>
      <w:r>
        <w:rPr>
          <w:rFonts w:hint="eastAsia" w:ascii="宋体" w:hAnsi="宋体" w:cs="宋体"/>
          <w:sz w:val="24"/>
          <w:szCs w:val="24"/>
          <w:highlight w:val="none"/>
          <w:lang w:eastAsia="zh-CN"/>
        </w:rPr>
        <w:t>新疆坤合企业管理咨询有限公司</w:t>
      </w:r>
    </w:p>
    <w:p w14:paraId="1B80B17F">
      <w:pPr>
        <w:spacing w:line="360" w:lineRule="auto"/>
        <w:ind w:firstLine="240" w:firstLineChars="100"/>
        <w:rPr>
          <w:rFonts w:hint="eastAsia" w:ascii="宋体" w:hAnsi="宋体" w:eastAsia="宋体" w:cs="宋体"/>
          <w:sz w:val="24"/>
          <w:szCs w:val="24"/>
          <w:highlight w:val="none"/>
          <w:lang w:eastAsia="zh-CN"/>
        </w:rPr>
      </w:pPr>
      <w:r>
        <w:rPr>
          <w:rFonts w:hint="eastAsia" w:ascii="宋体" w:hAnsi="宋体" w:cs="宋体"/>
          <w:sz w:val="24"/>
          <w:szCs w:val="24"/>
          <w:highlight w:val="none"/>
        </w:rPr>
        <w:t>地 址：</w:t>
      </w:r>
      <w:r>
        <w:rPr>
          <w:rFonts w:hint="eastAsia" w:ascii="宋体" w:hAnsi="宋体" w:cs="宋体"/>
          <w:sz w:val="24"/>
          <w:szCs w:val="24"/>
          <w:highlight w:val="none"/>
          <w:lang w:eastAsia="zh-CN"/>
        </w:rPr>
        <w:t>新疆乌鲁木齐市水磨沟区南湖东路372号综合楼1栋24层2401</w:t>
      </w:r>
    </w:p>
    <w:p w14:paraId="14F3115B">
      <w:pPr>
        <w:spacing w:line="360" w:lineRule="auto"/>
        <w:ind w:firstLine="240" w:firstLineChars="100"/>
        <w:outlineLvl w:val="2"/>
        <w:rPr>
          <w:rFonts w:ascii="宋体" w:hAnsi="宋体" w:cs="宋体"/>
          <w:sz w:val="24"/>
          <w:szCs w:val="24"/>
          <w:highlight w:val="none"/>
        </w:rPr>
      </w:pPr>
      <w:bookmarkStart w:id="29" w:name="_Toc9442"/>
      <w:bookmarkStart w:id="30" w:name="_Toc26781"/>
      <w:r>
        <w:rPr>
          <w:rFonts w:hint="eastAsia" w:ascii="宋体" w:hAnsi="宋体" w:cs="宋体"/>
          <w:sz w:val="24"/>
          <w:szCs w:val="24"/>
          <w:highlight w:val="none"/>
        </w:rPr>
        <w:t>3.项目联系方式</w:t>
      </w:r>
      <w:bookmarkEnd w:id="29"/>
      <w:bookmarkEnd w:id="30"/>
    </w:p>
    <w:p w14:paraId="7E7C7576">
      <w:pPr>
        <w:spacing w:line="360" w:lineRule="auto"/>
        <w:ind w:firstLine="240" w:firstLineChars="100"/>
        <w:rPr>
          <w:rFonts w:hint="eastAsia" w:ascii="宋体" w:hAnsi="宋体" w:eastAsia="宋体" w:cs="宋体"/>
          <w:sz w:val="24"/>
          <w:szCs w:val="24"/>
          <w:highlight w:val="none"/>
          <w:lang w:eastAsia="zh-CN"/>
        </w:rPr>
      </w:pPr>
      <w:r>
        <w:rPr>
          <w:rFonts w:hint="eastAsia" w:ascii="宋体" w:hAnsi="宋体" w:cs="宋体"/>
          <w:sz w:val="24"/>
          <w:szCs w:val="24"/>
          <w:highlight w:val="none"/>
        </w:rPr>
        <w:t>项目联系人：</w:t>
      </w:r>
      <w:r>
        <w:rPr>
          <w:rFonts w:hint="eastAsia" w:ascii="宋体" w:hAnsi="宋体" w:cs="宋体"/>
          <w:sz w:val="24"/>
          <w:szCs w:val="24"/>
          <w:highlight w:val="none"/>
          <w:lang w:val="en-US" w:eastAsia="zh-CN"/>
        </w:rPr>
        <w:t>孙学强</w:t>
      </w:r>
    </w:p>
    <w:p w14:paraId="20CF3AFD">
      <w:pPr>
        <w:ind w:firstLine="240" w:firstLineChars="100"/>
        <w:rPr>
          <w:rFonts w:hint="default" w:eastAsia="宋体"/>
          <w:highlight w:val="none"/>
          <w:lang w:val="en-US" w:eastAsia="zh-CN"/>
        </w:rPr>
      </w:pPr>
      <w:r>
        <w:rPr>
          <w:rFonts w:hint="eastAsia" w:ascii="宋体" w:hAnsi="宋体" w:cs="宋体"/>
          <w:sz w:val="24"/>
          <w:szCs w:val="24"/>
          <w:highlight w:val="none"/>
        </w:rPr>
        <w:t>电 话：</w:t>
      </w:r>
      <w:r>
        <w:rPr>
          <w:rFonts w:hint="eastAsia" w:ascii="宋体" w:hAnsi="宋体" w:cs="宋体"/>
          <w:sz w:val="24"/>
          <w:szCs w:val="24"/>
          <w:highlight w:val="none"/>
          <w:lang w:val="en-US" w:eastAsia="zh-CN"/>
        </w:rPr>
        <w:t>18209065210</w:t>
      </w:r>
    </w:p>
    <w:p w14:paraId="0F568394">
      <w:pPr>
        <w:pStyle w:val="47"/>
        <w:spacing w:line="276" w:lineRule="auto"/>
        <w:ind w:left="1314" w:leftChars="456" w:hanging="220" w:hangingChars="100"/>
        <w:rPr>
          <w:rFonts w:hint="default" w:ascii="宋体" w:hAnsi="宋体" w:eastAsia="宋体" w:cs="宋体"/>
          <w:highlight w:val="none"/>
          <w:lang w:val="en-US" w:eastAsia="zh-CN"/>
        </w:rPr>
      </w:pPr>
    </w:p>
    <w:p w14:paraId="49EB5731">
      <w:pPr>
        <w:keepNext w:val="0"/>
        <w:keepLines w:val="0"/>
        <w:pageBreakBefore w:val="0"/>
        <w:kinsoku/>
        <w:wordWrap/>
        <w:overflowPunct/>
        <w:topLinePunct w:val="0"/>
        <w:autoSpaceDE/>
        <w:autoSpaceDN/>
        <w:bidi w:val="0"/>
        <w:spacing w:line="340" w:lineRule="exact"/>
        <w:ind w:firstLine="1200" w:firstLineChars="500"/>
        <w:textAlignment w:val="auto"/>
        <w:rPr>
          <w:rFonts w:hint="eastAsia" w:asciiTheme="minorEastAsia" w:hAnsiTheme="minorEastAsia" w:eastAsiaTheme="minorEastAsia" w:cstheme="minorEastAsia"/>
          <w:b w:val="0"/>
          <w:bCs/>
          <w:color w:val="auto"/>
          <w:kern w:val="44"/>
          <w:sz w:val="24"/>
          <w:szCs w:val="24"/>
          <w:highlight w:val="none"/>
        </w:rPr>
      </w:pPr>
    </w:p>
    <w:p w14:paraId="10618C8F">
      <w:pPr>
        <w:spacing w:line="360" w:lineRule="auto"/>
        <w:ind w:firstLine="1200" w:firstLineChars="500"/>
        <w:rPr>
          <w:rFonts w:hint="eastAsia" w:asciiTheme="minorEastAsia" w:hAnsiTheme="minorEastAsia" w:eastAsiaTheme="minorEastAsia" w:cstheme="minorEastAsia"/>
          <w:b w:val="0"/>
          <w:bCs/>
          <w:color w:val="auto"/>
          <w:kern w:val="44"/>
          <w:sz w:val="24"/>
          <w:szCs w:val="24"/>
          <w:highlight w:val="none"/>
        </w:rPr>
      </w:pPr>
    </w:p>
    <w:p w14:paraId="16CABE98">
      <w:pPr>
        <w:pStyle w:val="11"/>
        <w:ind w:left="0" w:leftChars="0" w:firstLine="0" w:firstLineChars="0"/>
        <w:rPr>
          <w:rFonts w:hint="eastAsia" w:asciiTheme="minorEastAsia" w:hAnsiTheme="minorEastAsia" w:eastAsiaTheme="minorEastAsia" w:cstheme="minorEastAsia"/>
          <w:b w:val="0"/>
          <w:bCs/>
          <w:color w:val="auto"/>
          <w:sz w:val="24"/>
          <w:szCs w:val="24"/>
          <w:highlight w:val="none"/>
          <w:lang w:val="en-US" w:eastAsia="zh-CN"/>
        </w:rPr>
      </w:pPr>
    </w:p>
    <w:bookmarkEnd w:id="2"/>
    <w:bookmarkEnd w:id="3"/>
    <w:p w14:paraId="655509D2">
      <w:pPr>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br w:type="page"/>
      </w:r>
    </w:p>
    <w:p w14:paraId="0553120E">
      <w:pPr>
        <w:pStyle w:val="9"/>
        <w:jc w:val="center"/>
        <w:outlineLvl w:val="0"/>
        <w:rPr>
          <w:rFonts w:hint="default"/>
          <w:color w:val="auto"/>
          <w:highlight w:val="none"/>
          <w:lang w:val="en-US" w:eastAsia="zh-CN"/>
        </w:rPr>
      </w:pPr>
      <w:bookmarkStart w:id="31" w:name="_Toc24707"/>
      <w:r>
        <w:rPr>
          <w:rFonts w:hint="eastAsia" w:ascii="宋体" w:hAnsi="宋体" w:cs="宋体"/>
          <w:color w:val="auto"/>
          <w:sz w:val="28"/>
          <w:szCs w:val="28"/>
          <w:highlight w:val="none"/>
          <w:lang w:val="en-US" w:eastAsia="zh-CN"/>
        </w:rPr>
        <w:t>供应商须知前附表</w:t>
      </w:r>
      <w:bookmarkEnd w:id="31"/>
    </w:p>
    <w:tbl>
      <w:tblPr>
        <w:tblStyle w:val="25"/>
        <w:tblW w:w="9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45"/>
        <w:gridCol w:w="6947"/>
      </w:tblGrid>
      <w:tr w14:paraId="47395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vAlign w:val="center"/>
          </w:tcPr>
          <w:p w14:paraId="63B7BD41">
            <w:pPr>
              <w:pageBreakBefore w:val="0"/>
              <w:kinsoku/>
              <w:wordWrap/>
              <w:overflowPunct/>
              <w:topLinePunct w:val="0"/>
              <w:bidi w:val="0"/>
              <w:spacing w:line="360" w:lineRule="auto"/>
              <w:ind w:right="-108" w:rightChars="-45"/>
              <w:jc w:val="center"/>
              <w:rPr>
                <w:rFonts w:hint="eastAsia" w:asciiTheme="minorEastAsia" w:hAnsiTheme="minorEastAsia" w:eastAsiaTheme="minorEastAsia" w:cstheme="minorEastAsia"/>
                <w:color w:val="auto"/>
                <w:spacing w:val="40"/>
                <w:kern w:val="24"/>
                <w:sz w:val="24"/>
                <w:szCs w:val="24"/>
                <w:highlight w:val="none"/>
              </w:rPr>
            </w:pPr>
            <w:r>
              <w:rPr>
                <w:rFonts w:hint="eastAsia" w:asciiTheme="minorEastAsia" w:hAnsiTheme="minorEastAsia" w:eastAsiaTheme="minorEastAsia" w:cstheme="minorEastAsia"/>
                <w:color w:val="auto"/>
                <w:spacing w:val="40"/>
                <w:kern w:val="24"/>
                <w:sz w:val="24"/>
                <w:szCs w:val="24"/>
                <w:highlight w:val="none"/>
              </w:rPr>
              <w:t>序号</w:t>
            </w:r>
          </w:p>
        </w:tc>
        <w:tc>
          <w:tcPr>
            <w:tcW w:w="2045" w:type="dxa"/>
            <w:tcMar>
              <w:top w:w="0" w:type="dxa"/>
              <w:left w:w="108" w:type="dxa"/>
              <w:bottom w:w="0" w:type="dxa"/>
              <w:right w:w="108" w:type="dxa"/>
            </w:tcMar>
            <w:vAlign w:val="center"/>
          </w:tcPr>
          <w:p w14:paraId="70343A0F">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40"/>
                <w:kern w:val="24"/>
                <w:sz w:val="24"/>
                <w:szCs w:val="24"/>
                <w:highlight w:val="none"/>
                <w:lang w:eastAsia="zh-CN"/>
              </w:rPr>
            </w:pPr>
            <w:r>
              <w:rPr>
                <w:rFonts w:hint="eastAsia" w:asciiTheme="minorEastAsia" w:hAnsiTheme="minorEastAsia" w:eastAsiaTheme="minorEastAsia" w:cstheme="minorEastAsia"/>
                <w:color w:val="auto"/>
                <w:spacing w:val="40"/>
                <w:kern w:val="24"/>
                <w:sz w:val="24"/>
                <w:szCs w:val="24"/>
                <w:highlight w:val="none"/>
                <w:lang w:eastAsia="zh-CN"/>
              </w:rPr>
              <w:t>名称</w:t>
            </w:r>
          </w:p>
        </w:tc>
        <w:tc>
          <w:tcPr>
            <w:tcW w:w="6947" w:type="dxa"/>
            <w:vAlign w:val="center"/>
          </w:tcPr>
          <w:p w14:paraId="02370FA5">
            <w:pPr>
              <w:pageBreakBefore w:val="0"/>
              <w:kinsoku/>
              <w:wordWrap/>
              <w:overflowPunct/>
              <w:topLinePunct w:val="0"/>
              <w:bidi w:val="0"/>
              <w:spacing w:line="360" w:lineRule="auto"/>
              <w:ind w:right="5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           容</w:t>
            </w:r>
          </w:p>
        </w:tc>
      </w:tr>
      <w:tr w14:paraId="74372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17" w:type="dxa"/>
            <w:vAlign w:val="center"/>
          </w:tcPr>
          <w:p w14:paraId="5BBB9B76">
            <w:pPr>
              <w:pageBreakBefore w:val="0"/>
              <w:kinsoku/>
              <w:wordWrap/>
              <w:overflowPunct/>
              <w:topLinePunct w:val="0"/>
              <w:bidi w:val="0"/>
              <w:spacing w:line="360" w:lineRule="auto"/>
              <w:ind w:right="-108" w:rightChars="-45"/>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045" w:type="dxa"/>
            <w:tcMar>
              <w:top w:w="0" w:type="dxa"/>
              <w:left w:w="108" w:type="dxa"/>
              <w:bottom w:w="0" w:type="dxa"/>
              <w:right w:w="108" w:type="dxa"/>
            </w:tcMar>
            <w:vAlign w:val="center"/>
          </w:tcPr>
          <w:p w14:paraId="0EF1F9F0">
            <w:pPr>
              <w:pageBreakBefore w:val="0"/>
              <w:kinsoku/>
              <w:wordWrap/>
              <w:overflowPunct/>
              <w:topLinePunct w:val="0"/>
              <w:bidi w:val="0"/>
              <w:spacing w:line="360" w:lineRule="auto"/>
              <w:ind w:right="-49" w:right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w:t>
            </w:r>
            <w:r>
              <w:rPr>
                <w:rFonts w:hint="eastAsia" w:asciiTheme="minorEastAsia" w:hAnsiTheme="minorEastAsia" w:eastAsiaTheme="minorEastAsia" w:cstheme="minorEastAsia"/>
                <w:color w:val="auto"/>
                <w:sz w:val="24"/>
                <w:szCs w:val="24"/>
                <w:highlight w:val="none"/>
                <w:lang w:val="en-US" w:eastAsia="zh-CN"/>
              </w:rPr>
              <w:t>目名称</w:t>
            </w:r>
          </w:p>
        </w:tc>
        <w:tc>
          <w:tcPr>
            <w:tcW w:w="6947" w:type="dxa"/>
            <w:shd w:val="clear" w:color="auto" w:fill="auto"/>
            <w:vAlign w:val="center"/>
          </w:tcPr>
          <w:p w14:paraId="355003A9">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青河县萨尔托海乡山区喀拉乔拉片区电力基础设施建设项目</w:t>
            </w:r>
          </w:p>
        </w:tc>
      </w:tr>
      <w:tr w14:paraId="5E3A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17" w:type="dxa"/>
            <w:vAlign w:val="center"/>
          </w:tcPr>
          <w:p w14:paraId="1C4D75C9">
            <w:pPr>
              <w:pageBreakBefore w:val="0"/>
              <w:kinsoku/>
              <w:wordWrap/>
              <w:overflowPunct/>
              <w:topLinePunct w:val="0"/>
              <w:bidi w:val="0"/>
              <w:spacing w:line="360" w:lineRule="auto"/>
              <w:ind w:right="-108" w:rightChars="-45"/>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2045" w:type="dxa"/>
            <w:tcMar>
              <w:top w:w="0" w:type="dxa"/>
              <w:left w:w="108" w:type="dxa"/>
              <w:bottom w:w="0" w:type="dxa"/>
              <w:right w:w="108" w:type="dxa"/>
            </w:tcMar>
            <w:vAlign w:val="center"/>
          </w:tcPr>
          <w:p w14:paraId="7652ECF1">
            <w:pPr>
              <w:pageBreakBefore w:val="0"/>
              <w:kinsoku/>
              <w:wordWrap/>
              <w:overflowPunct/>
              <w:topLinePunct w:val="0"/>
              <w:bidi w:val="0"/>
              <w:spacing w:line="360" w:lineRule="auto"/>
              <w:ind w:right="-48" w:rightChars="-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项目编号</w:t>
            </w:r>
          </w:p>
        </w:tc>
        <w:tc>
          <w:tcPr>
            <w:tcW w:w="6947" w:type="dxa"/>
            <w:shd w:val="clear" w:color="auto" w:fill="auto"/>
            <w:vAlign w:val="center"/>
          </w:tcPr>
          <w:p w14:paraId="32D55534">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XJHS-2025-58</w:t>
            </w:r>
          </w:p>
        </w:tc>
      </w:tr>
      <w:tr w14:paraId="44E66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17" w:type="dxa"/>
            <w:vAlign w:val="center"/>
          </w:tcPr>
          <w:p w14:paraId="746C9B16">
            <w:pPr>
              <w:pageBreakBefore w:val="0"/>
              <w:kinsoku/>
              <w:wordWrap/>
              <w:overflowPunct/>
              <w:topLinePunct w:val="0"/>
              <w:bidi w:val="0"/>
              <w:spacing w:line="360" w:lineRule="auto"/>
              <w:ind w:right="-108" w:rightChars="-45"/>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2045" w:type="dxa"/>
            <w:tcMar>
              <w:top w:w="0" w:type="dxa"/>
              <w:left w:w="108" w:type="dxa"/>
              <w:bottom w:w="0" w:type="dxa"/>
              <w:right w:w="108" w:type="dxa"/>
            </w:tcMar>
            <w:vAlign w:val="center"/>
          </w:tcPr>
          <w:p w14:paraId="5088C94B">
            <w:pPr>
              <w:pageBreakBefore w:val="0"/>
              <w:kinsoku/>
              <w:wordWrap/>
              <w:overflowPunct/>
              <w:topLinePunct w:val="0"/>
              <w:bidi w:val="0"/>
              <w:spacing w:line="360" w:lineRule="auto"/>
              <w:ind w:right="-48" w:rightChars="-2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采购服务内</w:t>
            </w:r>
            <w:r>
              <w:rPr>
                <w:rFonts w:hint="eastAsia" w:asciiTheme="minorEastAsia" w:hAnsiTheme="minorEastAsia" w:eastAsiaTheme="minorEastAsia" w:cstheme="minorEastAsia"/>
                <w:color w:val="auto"/>
                <w:sz w:val="24"/>
                <w:szCs w:val="24"/>
                <w:highlight w:val="none"/>
              </w:rPr>
              <w:t>容</w:t>
            </w:r>
          </w:p>
        </w:tc>
        <w:tc>
          <w:tcPr>
            <w:tcW w:w="6947" w:type="dxa"/>
            <w:shd w:val="clear" w:color="auto" w:fill="auto"/>
            <w:vAlign w:val="center"/>
          </w:tcPr>
          <w:p w14:paraId="7CDE4DEA">
            <w:pPr>
              <w:widowControl/>
              <w:spacing w:line="360" w:lineRule="auto"/>
              <w:jc w:val="left"/>
              <w:outlineLvl w:val="0"/>
              <w:rPr>
                <w:rFonts w:hint="eastAsia" w:eastAsia="宋体" w:asciiTheme="minorEastAsia" w:hAnsiTheme="minorEastAsia" w:cstheme="minorEastAsia"/>
                <w:color w:val="auto"/>
                <w:sz w:val="24"/>
                <w:szCs w:val="24"/>
                <w:highlight w:val="none"/>
                <w:lang w:val="en-US" w:eastAsia="zh-CN"/>
              </w:rPr>
            </w:pPr>
            <w:r>
              <w:rPr>
                <w:rFonts w:hint="eastAsia" w:eastAsia="宋体" w:asciiTheme="minorEastAsia" w:hAnsiTheme="minorEastAsia" w:cstheme="minorEastAsia"/>
                <w:color w:val="auto"/>
                <w:sz w:val="24"/>
                <w:szCs w:val="24"/>
                <w:highlight w:val="none"/>
                <w:lang w:val="en-US" w:eastAsia="zh-CN"/>
              </w:rPr>
              <w:t>具体内容详见工程量清单。</w:t>
            </w:r>
          </w:p>
        </w:tc>
      </w:tr>
      <w:tr w14:paraId="3BF73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17" w:type="dxa"/>
            <w:vAlign w:val="center"/>
          </w:tcPr>
          <w:p w14:paraId="2FB7FB88">
            <w:pPr>
              <w:pageBreakBefore w:val="0"/>
              <w:kinsoku/>
              <w:wordWrap/>
              <w:overflowPunct/>
              <w:topLinePunct w:val="0"/>
              <w:bidi w:val="0"/>
              <w:spacing w:line="360" w:lineRule="auto"/>
              <w:ind w:right="-108" w:rightChars="-45"/>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2045" w:type="dxa"/>
            <w:tcMar>
              <w:top w:w="0" w:type="dxa"/>
              <w:left w:w="108" w:type="dxa"/>
              <w:bottom w:w="0" w:type="dxa"/>
              <w:right w:w="108" w:type="dxa"/>
            </w:tcMar>
            <w:vAlign w:val="center"/>
          </w:tcPr>
          <w:p w14:paraId="2E4669AC">
            <w:pPr>
              <w:pageBreakBefore w:val="0"/>
              <w:kinsoku/>
              <w:wordWrap/>
              <w:overflowPunct/>
              <w:topLinePunct w:val="0"/>
              <w:bidi w:val="0"/>
              <w:spacing w:line="360" w:lineRule="auto"/>
              <w:ind w:right="-48" w:rightChars="-2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采购单位名称</w:t>
            </w:r>
          </w:p>
        </w:tc>
        <w:tc>
          <w:tcPr>
            <w:tcW w:w="6947" w:type="dxa"/>
            <w:vAlign w:val="center"/>
          </w:tcPr>
          <w:p w14:paraId="681B052B">
            <w:pPr>
              <w:pageBreakBefore w:val="0"/>
              <w:kinsoku/>
              <w:wordWrap/>
              <w:overflowPunct/>
              <w:topLinePunct w:val="0"/>
              <w:bidi w:val="0"/>
              <w:spacing w:line="360" w:lineRule="auto"/>
              <w:ind w:right="56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青河县萨尔托海乡人民政府</w:t>
            </w:r>
          </w:p>
        </w:tc>
      </w:tr>
      <w:tr w14:paraId="67B88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17" w:type="dxa"/>
            <w:vAlign w:val="center"/>
          </w:tcPr>
          <w:p w14:paraId="25DA1446">
            <w:pPr>
              <w:pageBreakBefore w:val="0"/>
              <w:kinsoku/>
              <w:wordWrap/>
              <w:overflowPunct/>
              <w:topLinePunct w:val="0"/>
              <w:bidi w:val="0"/>
              <w:spacing w:line="360" w:lineRule="auto"/>
              <w:ind w:right="-108" w:rightChars="-45"/>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2045" w:type="dxa"/>
            <w:tcMar>
              <w:top w:w="0" w:type="dxa"/>
              <w:left w:w="108" w:type="dxa"/>
              <w:bottom w:w="0" w:type="dxa"/>
              <w:right w:w="108" w:type="dxa"/>
            </w:tcMar>
            <w:vAlign w:val="center"/>
          </w:tcPr>
          <w:p w14:paraId="22918D2B">
            <w:pPr>
              <w:pageBreakBefore w:val="0"/>
              <w:kinsoku/>
              <w:wordWrap/>
              <w:overflowPunct/>
              <w:topLinePunct w:val="0"/>
              <w:bidi w:val="0"/>
              <w:spacing w:line="360" w:lineRule="auto"/>
              <w:ind w:right="-48" w:rightChars="-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w:t>
            </w:r>
            <w:r>
              <w:rPr>
                <w:rFonts w:hint="eastAsia" w:asciiTheme="minorEastAsia" w:hAnsiTheme="minorEastAsia" w:eastAsiaTheme="minorEastAsia" w:cstheme="minorEastAsia"/>
                <w:color w:val="auto"/>
                <w:sz w:val="24"/>
                <w:szCs w:val="24"/>
                <w:highlight w:val="none"/>
                <w:lang w:val="en-US" w:eastAsia="zh-CN"/>
              </w:rPr>
              <w:t>单位</w:t>
            </w:r>
            <w:r>
              <w:rPr>
                <w:rFonts w:hint="eastAsia" w:asciiTheme="minorEastAsia" w:hAnsiTheme="minorEastAsia" w:eastAsiaTheme="minorEastAsia" w:cstheme="minorEastAsia"/>
                <w:color w:val="auto"/>
                <w:sz w:val="24"/>
                <w:szCs w:val="24"/>
                <w:highlight w:val="none"/>
              </w:rPr>
              <w:t>地点</w:t>
            </w:r>
          </w:p>
        </w:tc>
        <w:tc>
          <w:tcPr>
            <w:tcW w:w="6947" w:type="dxa"/>
            <w:vAlign w:val="center"/>
          </w:tcPr>
          <w:p w14:paraId="1F3DA5B4">
            <w:pPr>
              <w:pageBreakBefore w:val="0"/>
              <w:kinsoku/>
              <w:wordWrap/>
              <w:overflowPunct/>
              <w:topLinePunct w:val="0"/>
              <w:bidi w:val="0"/>
              <w:spacing w:line="360" w:lineRule="auto"/>
              <w:ind w:right="56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阿勒泰地区青河县萨尔托海乡人民政府</w:t>
            </w:r>
          </w:p>
        </w:tc>
      </w:tr>
      <w:tr w14:paraId="70058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44F0F254">
            <w:pPr>
              <w:pageBreakBefore w:val="0"/>
              <w:kinsoku/>
              <w:wordWrap/>
              <w:overflowPunct/>
              <w:topLinePunct w:val="0"/>
              <w:bidi w:val="0"/>
              <w:spacing w:line="360" w:lineRule="auto"/>
              <w:ind w:right="-108" w:rightChars="-45"/>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2045" w:type="dxa"/>
            <w:tcMar>
              <w:top w:w="0" w:type="dxa"/>
              <w:left w:w="108" w:type="dxa"/>
              <w:bottom w:w="0" w:type="dxa"/>
              <w:right w:w="108" w:type="dxa"/>
            </w:tcMar>
            <w:vAlign w:val="center"/>
          </w:tcPr>
          <w:p w14:paraId="65FE74CC">
            <w:pPr>
              <w:keepNext w:val="0"/>
              <w:keepLines w:val="0"/>
              <w:pageBreakBefore w:val="0"/>
              <w:widowControl w:val="0"/>
              <w:kinsoku/>
              <w:wordWrap/>
              <w:overflowPunct/>
              <w:topLinePunct w:val="0"/>
              <w:autoSpaceDE/>
              <w:autoSpaceDN/>
              <w:bidi w:val="0"/>
              <w:adjustRightInd/>
              <w:snapToGrid/>
              <w:spacing w:line="360" w:lineRule="auto"/>
              <w:ind w:right="-48" w:rightChars="-2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采购最高限价</w:t>
            </w:r>
          </w:p>
        </w:tc>
        <w:tc>
          <w:tcPr>
            <w:tcW w:w="6947" w:type="dxa"/>
            <w:vAlign w:val="center"/>
          </w:tcPr>
          <w:p w14:paraId="13A0C644">
            <w:pPr>
              <w:pageBreakBefore w:val="0"/>
              <w:kinsoku/>
              <w:wordWrap/>
              <w:overflowPunct/>
              <w:topLinePunct w:val="0"/>
              <w:bidi w:val="0"/>
              <w:spacing w:line="360" w:lineRule="auto"/>
              <w:ind w:right="56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2394908.00元（大写：贰佰叁拾玖万肆仟玖佰零捌元整）</w:t>
            </w:r>
          </w:p>
          <w:p w14:paraId="241C26FC">
            <w:pPr>
              <w:pStyle w:val="23"/>
              <w:keepNext w:val="0"/>
              <w:keepLines w:val="0"/>
              <w:widowControl/>
              <w:suppressLineNumbers w:val="0"/>
              <w:spacing w:before="75" w:beforeAutospacing="0" w:after="75" w:afterAutospacing="0" w:line="360" w:lineRule="auto"/>
              <w:ind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（此金额为最高限价，超过或等于限价的报价为无效报价）</w:t>
            </w:r>
          </w:p>
        </w:tc>
      </w:tr>
      <w:tr w14:paraId="4A00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32D5AD92">
            <w:pPr>
              <w:pageBreakBefore w:val="0"/>
              <w:kinsoku/>
              <w:wordWrap/>
              <w:overflowPunct/>
              <w:topLinePunct w:val="0"/>
              <w:bidi w:val="0"/>
              <w:spacing w:line="360" w:lineRule="auto"/>
              <w:ind w:right="-108" w:rightChars="-45"/>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2045" w:type="dxa"/>
            <w:tcMar>
              <w:top w:w="0" w:type="dxa"/>
              <w:left w:w="108" w:type="dxa"/>
              <w:bottom w:w="0" w:type="dxa"/>
              <w:right w:w="108" w:type="dxa"/>
            </w:tcMar>
            <w:vAlign w:val="center"/>
          </w:tcPr>
          <w:p w14:paraId="4444FD80">
            <w:pPr>
              <w:pageBreakBefore w:val="0"/>
              <w:kinsoku/>
              <w:wordWrap/>
              <w:overflowPunct/>
              <w:topLinePunct w:val="0"/>
              <w:bidi w:val="0"/>
              <w:spacing w:line="360" w:lineRule="auto"/>
              <w:ind w:right="-48" w:rightChars="-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方式</w:t>
            </w:r>
          </w:p>
        </w:tc>
        <w:tc>
          <w:tcPr>
            <w:tcW w:w="6947" w:type="dxa"/>
            <w:vAlign w:val="center"/>
          </w:tcPr>
          <w:p w14:paraId="5DE53616">
            <w:pPr>
              <w:pageBreakBefore w:val="0"/>
              <w:kinsoku/>
              <w:wordWrap/>
              <w:overflowPunct/>
              <w:topLinePunct w:val="0"/>
              <w:bidi w:val="0"/>
              <w:spacing w:line="360" w:lineRule="auto"/>
              <w:ind w:right="56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竞争性谈判</w:t>
            </w:r>
          </w:p>
        </w:tc>
      </w:tr>
      <w:tr w14:paraId="5CDF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7" w:type="dxa"/>
            <w:vAlign w:val="center"/>
          </w:tcPr>
          <w:p w14:paraId="00270F02">
            <w:pPr>
              <w:pageBreakBefore w:val="0"/>
              <w:kinsoku/>
              <w:wordWrap/>
              <w:overflowPunct/>
              <w:topLinePunct w:val="0"/>
              <w:bidi w:val="0"/>
              <w:spacing w:line="360" w:lineRule="auto"/>
              <w:ind w:right="-108" w:rightChars="-45"/>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2045" w:type="dxa"/>
            <w:tcMar>
              <w:top w:w="0" w:type="dxa"/>
              <w:left w:w="108" w:type="dxa"/>
              <w:bottom w:w="0" w:type="dxa"/>
              <w:right w:w="108" w:type="dxa"/>
            </w:tcMar>
            <w:vAlign w:val="center"/>
          </w:tcPr>
          <w:p w14:paraId="63DEE5E2">
            <w:pPr>
              <w:pageBreakBefore w:val="0"/>
              <w:kinsoku/>
              <w:wordWrap/>
              <w:overflowPunct/>
              <w:topLinePunct w:val="0"/>
              <w:bidi w:val="0"/>
              <w:spacing w:line="360" w:lineRule="auto"/>
              <w:ind w:right="-48" w:rightChars="-2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资金来源</w:t>
            </w:r>
          </w:p>
        </w:tc>
        <w:tc>
          <w:tcPr>
            <w:tcW w:w="6947" w:type="dxa"/>
            <w:vAlign w:val="center"/>
          </w:tcPr>
          <w:p w14:paraId="13860442">
            <w:pPr>
              <w:pageBreakBefore w:val="0"/>
              <w:kinsoku/>
              <w:wordWrap/>
              <w:overflowPunct/>
              <w:topLinePunct w:val="0"/>
              <w:bidi w:val="0"/>
              <w:spacing w:line="360" w:lineRule="auto"/>
              <w:ind w:right="560"/>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衔接资金</w:t>
            </w:r>
          </w:p>
        </w:tc>
      </w:tr>
      <w:tr w14:paraId="288DC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7" w:type="dxa"/>
            <w:vAlign w:val="center"/>
          </w:tcPr>
          <w:p w14:paraId="00DC1AE7">
            <w:pPr>
              <w:pageBreakBefore w:val="0"/>
              <w:kinsoku/>
              <w:wordWrap/>
              <w:overflowPunct/>
              <w:topLinePunct w:val="0"/>
              <w:bidi w:val="0"/>
              <w:spacing w:line="360" w:lineRule="auto"/>
              <w:ind w:right="-108" w:rightChars="-45"/>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2045" w:type="dxa"/>
            <w:tcMar>
              <w:top w:w="0" w:type="dxa"/>
              <w:left w:w="108" w:type="dxa"/>
              <w:bottom w:w="0" w:type="dxa"/>
              <w:right w:w="108" w:type="dxa"/>
            </w:tcMar>
            <w:vAlign w:val="center"/>
          </w:tcPr>
          <w:p w14:paraId="6DDCF811">
            <w:pPr>
              <w:pageBreakBefore w:val="0"/>
              <w:kinsoku/>
              <w:wordWrap/>
              <w:overflowPunct/>
              <w:topLinePunct w:val="0"/>
              <w:bidi w:val="0"/>
              <w:spacing w:line="360" w:lineRule="auto"/>
              <w:ind w:right="-48" w:rightChars="-2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资金到位情况</w:t>
            </w:r>
          </w:p>
        </w:tc>
        <w:tc>
          <w:tcPr>
            <w:tcW w:w="6947" w:type="dxa"/>
            <w:vAlign w:val="center"/>
          </w:tcPr>
          <w:p w14:paraId="715D1E78">
            <w:pPr>
              <w:pageBreakBefore w:val="0"/>
              <w:kinsoku/>
              <w:wordWrap/>
              <w:overflowPunct/>
              <w:topLinePunct w:val="0"/>
              <w:bidi w:val="0"/>
              <w:spacing w:line="360" w:lineRule="auto"/>
              <w:ind w:right="56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已到位</w:t>
            </w:r>
          </w:p>
        </w:tc>
      </w:tr>
      <w:tr w14:paraId="7561A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7" w:type="dxa"/>
            <w:vAlign w:val="center"/>
          </w:tcPr>
          <w:p w14:paraId="5FB283EB">
            <w:pPr>
              <w:pageBreakBefore w:val="0"/>
              <w:kinsoku/>
              <w:wordWrap/>
              <w:overflowPunct/>
              <w:topLinePunct w:val="0"/>
              <w:bidi w:val="0"/>
              <w:spacing w:line="360" w:lineRule="auto"/>
              <w:ind w:right="-108" w:rightChars="-45"/>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2045" w:type="dxa"/>
            <w:tcMar>
              <w:top w:w="0" w:type="dxa"/>
              <w:left w:w="108" w:type="dxa"/>
              <w:bottom w:w="0" w:type="dxa"/>
              <w:right w:w="108" w:type="dxa"/>
            </w:tcMar>
            <w:vAlign w:val="center"/>
          </w:tcPr>
          <w:p w14:paraId="3123A050">
            <w:pPr>
              <w:pageBreakBefore w:val="0"/>
              <w:kinsoku/>
              <w:wordWrap/>
              <w:overflowPunct/>
              <w:topLinePunct w:val="0"/>
              <w:bidi w:val="0"/>
              <w:spacing w:line="360" w:lineRule="auto"/>
              <w:ind w:right="-48" w:rightChars="-20"/>
              <w:jc w:val="center"/>
              <w:rPr>
                <w:rFonts w:hint="eastAsia" w:asciiTheme="minorEastAsia" w:hAnsiTheme="minorEastAsia" w:eastAsiaTheme="minorEastAsia" w:cstheme="minorEastAsia"/>
                <w:color w:val="FF0000"/>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计划工期</w:t>
            </w:r>
          </w:p>
        </w:tc>
        <w:tc>
          <w:tcPr>
            <w:tcW w:w="6947" w:type="dxa"/>
            <w:vAlign w:val="center"/>
          </w:tcPr>
          <w:p w14:paraId="19EEBA09">
            <w:pPr>
              <w:spacing w:line="36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计划工期：2025年6月-2025年9月</w:t>
            </w:r>
          </w:p>
          <w:p w14:paraId="4E4071A0">
            <w:pPr>
              <w:pageBreakBefore w:val="0"/>
              <w:kinsoku/>
              <w:wordWrap/>
              <w:overflowPunct/>
              <w:topLinePunct w:val="0"/>
              <w:bidi w:val="0"/>
              <w:spacing w:line="360" w:lineRule="auto"/>
              <w:ind w:right="560"/>
              <w:rPr>
                <w:rFonts w:hint="eastAsia" w:asciiTheme="minorEastAsia" w:hAnsiTheme="minorEastAsia" w:eastAsiaTheme="minorEastAsia" w:cstheme="minorEastAsia"/>
                <w:color w:val="FF0000"/>
                <w:sz w:val="24"/>
                <w:szCs w:val="24"/>
                <w:highlight w:val="none"/>
                <w:lang w:val="en-US"/>
              </w:rPr>
            </w:pPr>
            <w:r>
              <w:rPr>
                <w:rFonts w:hint="eastAsia" w:ascii="宋体" w:hAnsi="宋体" w:eastAsia="宋体" w:cs="宋体"/>
                <w:color w:val="auto"/>
                <w:kern w:val="2"/>
                <w:sz w:val="24"/>
                <w:szCs w:val="24"/>
                <w:highlight w:val="none"/>
                <w:lang w:val="en-US" w:eastAsia="zh-CN" w:bidi="ar-SA"/>
              </w:rPr>
              <w:t>（如遇特殊情况无法施工，工期相应顺延，总工期不变。具体工期以甲方签订为准）</w:t>
            </w:r>
          </w:p>
        </w:tc>
      </w:tr>
      <w:tr w14:paraId="6C7A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3D167526">
            <w:pPr>
              <w:pageBreakBefore w:val="0"/>
              <w:kinsoku/>
              <w:wordWrap/>
              <w:overflowPunct/>
              <w:topLinePunct w:val="0"/>
              <w:bidi w:val="0"/>
              <w:spacing w:line="360" w:lineRule="auto"/>
              <w:ind w:right="-108" w:rightChars="-45"/>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w:t>
            </w:r>
          </w:p>
        </w:tc>
        <w:tc>
          <w:tcPr>
            <w:tcW w:w="2045" w:type="dxa"/>
            <w:tcMar>
              <w:top w:w="0" w:type="dxa"/>
              <w:left w:w="108" w:type="dxa"/>
              <w:bottom w:w="0" w:type="dxa"/>
              <w:right w:w="108" w:type="dxa"/>
            </w:tcMar>
            <w:vAlign w:val="center"/>
          </w:tcPr>
          <w:p w14:paraId="2D523599">
            <w:pPr>
              <w:pageBreakBefore w:val="0"/>
              <w:kinsoku/>
              <w:wordWrap/>
              <w:overflowPunct/>
              <w:topLinePunct w:val="0"/>
              <w:bidi w:val="0"/>
              <w:spacing w:line="360" w:lineRule="auto"/>
              <w:ind w:right="-48" w:rightChars="-2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质量</w:t>
            </w:r>
          </w:p>
        </w:tc>
        <w:tc>
          <w:tcPr>
            <w:tcW w:w="6947" w:type="dxa"/>
            <w:vAlign w:val="center"/>
          </w:tcPr>
          <w:p w14:paraId="2F81EC5B">
            <w:pPr>
              <w:pageBreakBefore w:val="0"/>
              <w:kinsoku/>
              <w:wordWrap/>
              <w:overflowPunct/>
              <w:topLinePunct w:val="0"/>
              <w:bidi w:val="0"/>
              <w:spacing w:line="360" w:lineRule="auto"/>
              <w:ind w:right="56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合格</w:t>
            </w:r>
          </w:p>
        </w:tc>
      </w:tr>
      <w:tr w14:paraId="2C343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17" w:type="dxa"/>
            <w:vAlign w:val="center"/>
          </w:tcPr>
          <w:p w14:paraId="0B52B1B9">
            <w:pPr>
              <w:pageBreakBefore w:val="0"/>
              <w:kinsoku/>
              <w:wordWrap/>
              <w:overflowPunct/>
              <w:topLinePunct w:val="0"/>
              <w:bidi w:val="0"/>
              <w:spacing w:line="360" w:lineRule="auto"/>
              <w:ind w:right="-108" w:rightChars="-45"/>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w:t>
            </w:r>
          </w:p>
        </w:tc>
        <w:tc>
          <w:tcPr>
            <w:tcW w:w="2045" w:type="dxa"/>
            <w:tcMar>
              <w:top w:w="0" w:type="dxa"/>
              <w:left w:w="108" w:type="dxa"/>
              <w:bottom w:w="0" w:type="dxa"/>
              <w:right w:w="108" w:type="dxa"/>
            </w:tcMar>
            <w:vAlign w:val="center"/>
          </w:tcPr>
          <w:p w14:paraId="31915CF7">
            <w:pPr>
              <w:pageBreakBefore w:val="0"/>
              <w:kinsoku/>
              <w:wordWrap/>
              <w:overflowPunct/>
              <w:topLinePunct w:val="0"/>
              <w:bidi w:val="0"/>
              <w:spacing w:line="360" w:lineRule="auto"/>
              <w:ind w:right="-48" w:rightChars="-2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报价</w:t>
            </w:r>
          </w:p>
        </w:tc>
        <w:tc>
          <w:tcPr>
            <w:tcW w:w="6947" w:type="dxa"/>
            <w:vAlign w:val="center"/>
          </w:tcPr>
          <w:p w14:paraId="7F96367C">
            <w:pPr>
              <w:pageBreakBefore w:val="0"/>
              <w:tabs>
                <w:tab w:val="left" w:pos="5760"/>
              </w:tabs>
              <w:kinsoku/>
              <w:wordWrap/>
              <w:overflowPunct/>
              <w:topLinePunct w:val="0"/>
              <w:bidi w:val="0"/>
              <w:spacing w:line="360" w:lineRule="auto"/>
              <w:ind w:right="-40" w:right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直接报价（二次或多次报价）</w:t>
            </w:r>
          </w:p>
        </w:tc>
      </w:tr>
      <w:tr w14:paraId="6F0A8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17" w:type="dxa"/>
            <w:vAlign w:val="center"/>
          </w:tcPr>
          <w:p w14:paraId="56820D80">
            <w:pPr>
              <w:pageBreakBefore w:val="0"/>
              <w:kinsoku/>
              <w:wordWrap/>
              <w:overflowPunct/>
              <w:topLinePunct w:val="0"/>
              <w:bidi w:val="0"/>
              <w:spacing w:line="360" w:lineRule="auto"/>
              <w:ind w:right="-108" w:rightChars="-45"/>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w:t>
            </w:r>
          </w:p>
        </w:tc>
        <w:tc>
          <w:tcPr>
            <w:tcW w:w="2045" w:type="dxa"/>
            <w:tcMar>
              <w:top w:w="0" w:type="dxa"/>
              <w:left w:w="108" w:type="dxa"/>
              <w:bottom w:w="0" w:type="dxa"/>
              <w:right w:w="108" w:type="dxa"/>
            </w:tcMar>
            <w:vAlign w:val="center"/>
          </w:tcPr>
          <w:p w14:paraId="47B45389">
            <w:pPr>
              <w:pageBreakBefore w:val="0"/>
              <w:kinsoku/>
              <w:wordWrap/>
              <w:overflowPunct/>
              <w:topLinePunct w:val="0"/>
              <w:bidi w:val="0"/>
              <w:spacing w:line="360" w:lineRule="auto"/>
              <w:ind w:right="-48" w:rightChars="-2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报价货币</w:t>
            </w:r>
          </w:p>
        </w:tc>
        <w:tc>
          <w:tcPr>
            <w:tcW w:w="6947" w:type="dxa"/>
            <w:vAlign w:val="center"/>
          </w:tcPr>
          <w:p w14:paraId="09CB82E6">
            <w:pPr>
              <w:pageBreakBefore w:val="0"/>
              <w:kinsoku/>
              <w:wordWrap/>
              <w:overflowPunct/>
              <w:topLinePunct w:val="0"/>
              <w:bidi w:val="0"/>
              <w:spacing w:line="360" w:lineRule="auto"/>
              <w:ind w:right="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人民币</w:t>
            </w:r>
          </w:p>
        </w:tc>
      </w:tr>
      <w:tr w14:paraId="6B34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17" w:type="dxa"/>
            <w:vAlign w:val="center"/>
          </w:tcPr>
          <w:p w14:paraId="54BDFDA0">
            <w:pPr>
              <w:pageBreakBefore w:val="0"/>
              <w:kinsoku/>
              <w:wordWrap/>
              <w:overflowPunct/>
              <w:topLinePunct w:val="0"/>
              <w:bidi w:val="0"/>
              <w:spacing w:line="360" w:lineRule="auto"/>
              <w:ind w:right="-108" w:rightChars="-45"/>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4</w:t>
            </w:r>
          </w:p>
        </w:tc>
        <w:tc>
          <w:tcPr>
            <w:tcW w:w="2045" w:type="dxa"/>
            <w:tcMar>
              <w:top w:w="0" w:type="dxa"/>
              <w:left w:w="108" w:type="dxa"/>
              <w:bottom w:w="0" w:type="dxa"/>
              <w:right w:w="108" w:type="dxa"/>
            </w:tcMar>
            <w:vAlign w:val="center"/>
          </w:tcPr>
          <w:p w14:paraId="55C53861">
            <w:pPr>
              <w:pageBreakBefore w:val="0"/>
              <w:kinsoku/>
              <w:wordWrap/>
              <w:overflowPunct/>
              <w:topLinePunct w:val="0"/>
              <w:bidi w:val="0"/>
              <w:spacing w:line="360" w:lineRule="auto"/>
              <w:ind w:right="-48" w:rightChars="-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shd w:val="clear" w:color="auto" w:fill="FFFFFF"/>
                <w:lang w:eastAsia="zh-CN"/>
              </w:rPr>
              <w:t>谈判保证金</w:t>
            </w:r>
          </w:p>
        </w:tc>
        <w:tc>
          <w:tcPr>
            <w:tcW w:w="6947" w:type="dxa"/>
            <w:vAlign w:val="center"/>
          </w:tcPr>
          <w:p w14:paraId="5E7E79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保证金形式：</w:t>
            </w:r>
            <w:r>
              <w:rPr>
                <w:rFonts w:hint="eastAsia" w:asciiTheme="minorEastAsia" w:hAnsiTheme="minorEastAsia" w:eastAsiaTheme="minorEastAsia" w:cstheme="minorEastAsia"/>
                <w:color w:val="auto"/>
                <w:sz w:val="24"/>
                <w:szCs w:val="24"/>
                <w:highlight w:val="none"/>
              </w:rPr>
              <w:t>电汇或银行转账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银行保函。</w:t>
            </w:r>
          </w:p>
          <w:p w14:paraId="03D816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保证金数额：</w:t>
            </w:r>
            <w:r>
              <w:rPr>
                <w:rFonts w:hint="eastAsia" w:asciiTheme="minorEastAsia" w:hAnsiTheme="minorEastAsia" w:eastAsiaTheme="minorEastAsia" w:cstheme="minorEastAsia"/>
                <w:color w:val="auto"/>
                <w:sz w:val="24"/>
                <w:szCs w:val="24"/>
                <w:highlight w:val="none"/>
                <w:lang w:val="en-US" w:eastAsia="zh-CN"/>
              </w:rPr>
              <w:t>人民币20000</w:t>
            </w:r>
            <w:r>
              <w:rPr>
                <w:rFonts w:hint="eastAsia" w:asciiTheme="minorEastAsia" w:hAnsiTheme="minorEastAsia" w:eastAsiaTheme="minorEastAsia" w:cstheme="minorEastAsia"/>
                <w:color w:val="auto"/>
                <w:sz w:val="24"/>
                <w:szCs w:val="24"/>
                <w:highlight w:val="none"/>
              </w:rPr>
              <w:t>元</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大写：贰万元整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由基本账户转入新疆坤合企业管理咨询有限公司</w:t>
            </w:r>
          </w:p>
          <w:p w14:paraId="647C0E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收款单位全称：</w:t>
            </w:r>
            <w:r>
              <w:rPr>
                <w:rFonts w:hint="eastAsia" w:asciiTheme="minorEastAsia" w:hAnsiTheme="minorEastAsia" w:eastAsiaTheme="minorEastAsia" w:cstheme="minorEastAsia"/>
                <w:color w:val="auto"/>
                <w:sz w:val="24"/>
                <w:szCs w:val="24"/>
                <w:highlight w:val="none"/>
                <w:lang w:val="en-US" w:eastAsia="zh-CN"/>
              </w:rPr>
              <w:t>新疆坤合企业管理咨询有限公司</w:t>
            </w:r>
          </w:p>
          <w:p w14:paraId="3E9C9D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银行账号：</w:t>
            </w:r>
            <w:r>
              <w:rPr>
                <w:rFonts w:hint="eastAsia" w:asciiTheme="minorEastAsia" w:hAnsiTheme="minorEastAsia" w:eastAsiaTheme="minorEastAsia" w:cstheme="minorEastAsia"/>
                <w:color w:val="auto"/>
                <w:sz w:val="24"/>
                <w:szCs w:val="24"/>
                <w:highlight w:val="none"/>
                <w:lang w:val="en-US" w:eastAsia="zh-CN"/>
              </w:rPr>
              <w:t>991905225710301</w:t>
            </w:r>
          </w:p>
          <w:p w14:paraId="7DFE0E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开户行：</w:t>
            </w:r>
            <w:r>
              <w:rPr>
                <w:rFonts w:hint="eastAsia" w:asciiTheme="minorEastAsia" w:hAnsiTheme="minorEastAsia" w:eastAsiaTheme="minorEastAsia" w:cstheme="minorEastAsia"/>
                <w:color w:val="auto"/>
                <w:sz w:val="24"/>
                <w:szCs w:val="24"/>
                <w:highlight w:val="none"/>
                <w:lang w:val="en-US" w:eastAsia="zh-CN"/>
              </w:rPr>
              <w:t>招商银行股份有限公司乌鲁木齐南湖东路支行</w:t>
            </w:r>
          </w:p>
          <w:p w14:paraId="4328F8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银行行号：</w:t>
            </w:r>
            <w:r>
              <w:rPr>
                <w:rFonts w:hint="eastAsia" w:asciiTheme="minorEastAsia" w:hAnsiTheme="minorEastAsia" w:eastAsiaTheme="minorEastAsia" w:cstheme="minorEastAsia"/>
                <w:color w:val="auto"/>
                <w:sz w:val="24"/>
                <w:szCs w:val="24"/>
                <w:highlight w:val="none"/>
                <w:lang w:val="en-US" w:eastAsia="zh-CN"/>
              </w:rPr>
              <w:t>308881029139</w:t>
            </w:r>
          </w:p>
          <w:p w14:paraId="17CB6A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以电汇或银行转账形式缴纳保证金的供应商注意事项：</w:t>
            </w:r>
          </w:p>
          <w:p w14:paraId="4AFACC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在汇款附言（或银行摘要）中，标明项目编号、包号（如分包）。每个项目须按照分包分别提交投标保证金。</w:t>
            </w:r>
          </w:p>
          <w:p w14:paraId="6E9B99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投标保函提交方式：</w:t>
            </w:r>
            <w:r>
              <w:rPr>
                <w:rFonts w:hint="eastAsia" w:asciiTheme="minorEastAsia" w:hAnsiTheme="minorEastAsia" w:eastAsiaTheme="minorEastAsia" w:cstheme="minorEastAsia"/>
                <w:color w:val="auto"/>
                <w:sz w:val="24"/>
                <w:szCs w:val="24"/>
                <w:highlight w:val="none"/>
                <w:lang w:val="en-US" w:eastAsia="zh-CN"/>
              </w:rPr>
              <w:t>供应商可通过"政采云平台金融服务中心"(https://jinrong.zcygov.cn/)，申请办理投标电子保函，成功出函的等效于缴纳投标保证金。投标保证金（投标电子保函）有效期与投标有效期一致。</w:t>
            </w:r>
          </w:p>
          <w:p w14:paraId="19E268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注：1、投标人无需来我单位开收据，投标书中提供保证金电汇凭证即可。2、采购人或者采购代理机构应当自中标通知书发出之日起5个工作日内退还未中标供应商的投标保证金，自政府采购合同签订之日起5个工作日内退还中标供应商的投标保证金。</w:t>
            </w:r>
          </w:p>
        </w:tc>
      </w:tr>
      <w:tr w14:paraId="2C6A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17" w:type="dxa"/>
            <w:vAlign w:val="center"/>
          </w:tcPr>
          <w:p w14:paraId="512B1FC9">
            <w:pPr>
              <w:pageBreakBefore w:val="0"/>
              <w:kinsoku/>
              <w:wordWrap/>
              <w:overflowPunct/>
              <w:topLinePunct w:val="0"/>
              <w:bidi w:val="0"/>
              <w:spacing w:line="360" w:lineRule="auto"/>
              <w:ind w:right="-108" w:rightChars="-45"/>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w:t>
            </w:r>
          </w:p>
        </w:tc>
        <w:tc>
          <w:tcPr>
            <w:tcW w:w="2045" w:type="dxa"/>
            <w:tcMar>
              <w:top w:w="0" w:type="dxa"/>
              <w:left w:w="108" w:type="dxa"/>
              <w:bottom w:w="0" w:type="dxa"/>
              <w:right w:w="108" w:type="dxa"/>
            </w:tcMar>
            <w:vAlign w:val="center"/>
          </w:tcPr>
          <w:p w14:paraId="42CEED4F">
            <w:pPr>
              <w:keepNext w:val="0"/>
              <w:keepLines w:val="0"/>
              <w:pageBreakBefore w:val="0"/>
              <w:widowControl w:val="0"/>
              <w:kinsoku/>
              <w:wordWrap/>
              <w:overflowPunct/>
              <w:topLinePunct w:val="0"/>
              <w:autoSpaceDE/>
              <w:autoSpaceDN/>
              <w:bidi w:val="0"/>
              <w:adjustRightInd/>
              <w:snapToGrid/>
              <w:spacing w:line="360" w:lineRule="auto"/>
              <w:ind w:right="-48" w:rightChars="-2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谈判供应商资格要求</w:t>
            </w:r>
          </w:p>
          <w:p w14:paraId="5CA46050">
            <w:pPr>
              <w:pageBreakBefore w:val="0"/>
              <w:kinsoku/>
              <w:wordWrap/>
              <w:overflowPunct/>
              <w:topLinePunct w:val="0"/>
              <w:bidi w:val="0"/>
              <w:spacing w:line="360" w:lineRule="auto"/>
              <w:ind w:right="-48" w:rightChars="-20"/>
              <w:jc w:val="center"/>
              <w:rPr>
                <w:rFonts w:hint="eastAsia" w:asciiTheme="minorEastAsia" w:hAnsiTheme="minorEastAsia" w:eastAsiaTheme="minorEastAsia" w:cstheme="minorEastAsia"/>
                <w:color w:val="auto"/>
                <w:sz w:val="24"/>
                <w:szCs w:val="24"/>
                <w:highlight w:val="none"/>
              </w:rPr>
            </w:pPr>
          </w:p>
        </w:tc>
        <w:tc>
          <w:tcPr>
            <w:tcW w:w="6947" w:type="dxa"/>
            <w:vAlign w:val="center"/>
          </w:tcPr>
          <w:p w14:paraId="53E59708">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资格要求：</w:t>
            </w:r>
          </w:p>
          <w:p w14:paraId="7BEA5C10">
            <w:pPr>
              <w:pStyle w:val="47"/>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color w:val="auto"/>
                <w:kern w:val="2"/>
                <w:sz w:val="24"/>
                <w:szCs w:val="24"/>
                <w:highlight w:val="none"/>
                <w:shd w:val="clear" w:color="auto" w:fill="FFFFFF"/>
                <w:lang w:eastAsia="zh-CN"/>
              </w:rPr>
            </w:pPr>
            <w:r>
              <w:rPr>
                <w:rFonts w:hint="eastAsia" w:asciiTheme="minorEastAsia" w:hAnsiTheme="minorEastAsia" w:eastAsiaTheme="minorEastAsia" w:cstheme="minorEastAsia"/>
                <w:color w:val="auto"/>
                <w:kern w:val="2"/>
                <w:sz w:val="24"/>
                <w:szCs w:val="24"/>
                <w:highlight w:val="none"/>
                <w:shd w:val="clear" w:color="auto" w:fill="FFFFFF"/>
                <w:lang w:eastAsia="zh-CN"/>
              </w:rPr>
              <w:t>1.满足《中华人民共和国政府采购法》第二十二条规定；</w:t>
            </w:r>
          </w:p>
          <w:p w14:paraId="751F0557">
            <w:pPr>
              <w:pStyle w:val="47"/>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color w:val="auto"/>
                <w:kern w:val="2"/>
                <w:sz w:val="24"/>
                <w:szCs w:val="24"/>
                <w:highlight w:val="none"/>
                <w:shd w:val="clear" w:color="auto" w:fill="FFFFFF"/>
                <w:lang w:eastAsia="zh-CN"/>
              </w:rPr>
            </w:pPr>
            <w:r>
              <w:rPr>
                <w:rFonts w:hint="eastAsia" w:asciiTheme="minorEastAsia" w:hAnsiTheme="minorEastAsia" w:eastAsiaTheme="minorEastAsia" w:cstheme="minorEastAsia"/>
                <w:color w:val="auto"/>
                <w:kern w:val="2"/>
                <w:sz w:val="24"/>
                <w:szCs w:val="24"/>
                <w:highlight w:val="none"/>
                <w:shd w:val="clear" w:color="auto" w:fill="FFFFFF"/>
                <w:lang w:eastAsia="zh-CN"/>
              </w:rPr>
              <w:t>2.落实政府采购政策需满足的资格要求：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政府采购促进中小企业发展管理办法》（财库[2020]46号）</w:t>
            </w:r>
            <w:r>
              <w:rPr>
                <w:rFonts w:hint="eastAsia" w:asciiTheme="minorEastAsia" w:hAnsiTheme="minorEastAsia" w:eastAsiaTheme="minorEastAsia" w:cstheme="minorEastAsia"/>
                <w:color w:val="auto"/>
                <w:kern w:val="2"/>
                <w:sz w:val="24"/>
                <w:szCs w:val="24"/>
                <w:highlight w:val="none"/>
                <w:shd w:val="clear" w:color="auto" w:fill="FFFFFF"/>
                <w:lang w:eastAsia="zh-CN"/>
              </w:rPr>
              <w:t>本项目专门面向中小企业。</w:t>
            </w:r>
          </w:p>
          <w:p w14:paraId="71FF7ED4">
            <w:pPr>
              <w:pStyle w:val="47"/>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color w:val="auto"/>
                <w:kern w:val="2"/>
                <w:sz w:val="24"/>
                <w:szCs w:val="24"/>
                <w:highlight w:val="none"/>
                <w:shd w:val="clear" w:color="auto" w:fill="FFFFFF"/>
                <w:lang w:eastAsia="zh-CN"/>
              </w:rPr>
            </w:pPr>
            <w:r>
              <w:rPr>
                <w:rFonts w:hint="eastAsia" w:asciiTheme="minorEastAsia" w:hAnsiTheme="minorEastAsia" w:eastAsiaTheme="minorEastAsia" w:cstheme="minorEastAsia"/>
                <w:color w:val="auto"/>
                <w:kern w:val="2"/>
                <w:sz w:val="24"/>
                <w:szCs w:val="24"/>
                <w:highlight w:val="none"/>
                <w:shd w:val="clear" w:color="auto" w:fill="FFFFFF"/>
                <w:lang w:eastAsia="zh-CN"/>
              </w:rPr>
              <w:t>3.本项目的特定资格要求：</w:t>
            </w:r>
          </w:p>
          <w:p w14:paraId="7D6975C6">
            <w:pPr>
              <w:pStyle w:val="47"/>
              <w:keepNext w:val="0"/>
              <w:keepLines w:val="0"/>
              <w:pageBreakBefore w:val="0"/>
              <w:numPr>
                <w:ilvl w:val="0"/>
                <w:numId w:val="0"/>
              </w:numPr>
              <w:kinsoku/>
              <w:wordWrap/>
              <w:overflowPunct/>
              <w:topLinePunct w:val="0"/>
              <w:autoSpaceDE/>
              <w:autoSpaceDN/>
              <w:bidi w:val="0"/>
              <w:spacing w:line="360" w:lineRule="auto"/>
              <w:ind w:leftChars="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（1）供应商须是中华人民共和国境内注册，具有有效的营业执照；</w:t>
            </w:r>
          </w:p>
          <w:p w14:paraId="360963BE">
            <w:pPr>
              <w:pStyle w:val="47"/>
              <w:keepNext w:val="0"/>
              <w:keepLines w:val="0"/>
              <w:pageBreakBefore w:val="0"/>
              <w:numPr>
                <w:ilvl w:val="0"/>
                <w:numId w:val="0"/>
              </w:numPr>
              <w:kinsoku/>
              <w:wordWrap/>
              <w:overflowPunct/>
              <w:topLinePunct w:val="0"/>
              <w:autoSpaceDE/>
              <w:autoSpaceDN/>
              <w:bidi w:val="0"/>
              <w:spacing w:line="360" w:lineRule="auto"/>
              <w:ind w:leftChars="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（2）供应商须具备电力工程施工总承包三级(含)以上或者输变电工程专业承包三级(含)以上资质；</w:t>
            </w:r>
          </w:p>
          <w:p w14:paraId="32D518A9">
            <w:pPr>
              <w:pStyle w:val="47"/>
              <w:keepNext w:val="0"/>
              <w:keepLines w:val="0"/>
              <w:pageBreakBefore w:val="0"/>
              <w:numPr>
                <w:ilvl w:val="0"/>
                <w:numId w:val="0"/>
              </w:numPr>
              <w:kinsoku/>
              <w:wordWrap/>
              <w:overflowPunct/>
              <w:topLinePunct w:val="0"/>
              <w:autoSpaceDE/>
              <w:autoSpaceDN/>
              <w:bidi w:val="0"/>
              <w:spacing w:line="360" w:lineRule="auto"/>
              <w:ind w:leftChars="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（3）供应商拟派项目经理须具备机电专业二级及以上资格，具有有效的安全生产考核合格证书，且未担任其他在施建设工程项目的项目经理；并在人员、设备、资金等方面具有相应的施工能力；</w:t>
            </w:r>
          </w:p>
          <w:p w14:paraId="71007F4E">
            <w:pPr>
              <w:pStyle w:val="47"/>
              <w:keepNext w:val="0"/>
              <w:keepLines w:val="0"/>
              <w:pageBreakBefore w:val="0"/>
              <w:numPr>
                <w:ilvl w:val="0"/>
                <w:numId w:val="0"/>
              </w:numPr>
              <w:kinsoku/>
              <w:wordWrap/>
              <w:overflowPunct/>
              <w:topLinePunct w:val="0"/>
              <w:autoSpaceDE/>
              <w:autoSpaceDN/>
              <w:bidi w:val="0"/>
              <w:spacing w:line="360" w:lineRule="auto"/>
              <w:ind w:leftChars="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（4）供应商须提供有效的安全生产许可证；</w:t>
            </w:r>
          </w:p>
          <w:p w14:paraId="3DE108E6">
            <w:pPr>
              <w:pStyle w:val="47"/>
              <w:keepNext w:val="0"/>
              <w:keepLines w:val="0"/>
              <w:pageBreakBefore w:val="0"/>
              <w:numPr>
                <w:ilvl w:val="0"/>
                <w:numId w:val="0"/>
              </w:numPr>
              <w:kinsoku/>
              <w:wordWrap/>
              <w:overflowPunct/>
              <w:topLinePunct w:val="0"/>
              <w:autoSpaceDE/>
              <w:autoSpaceDN/>
              <w:bidi w:val="0"/>
              <w:spacing w:line="360" w:lineRule="auto"/>
              <w:ind w:leftChars="0"/>
              <w:textAlignment w:val="auto"/>
              <w:rPr>
                <w:rFonts w:hint="default" w:asciiTheme="minorEastAsia" w:hAnsiTheme="minorEastAsia" w:eastAsiaTheme="minorEastAsia" w:cstheme="minorEastAsia"/>
                <w:color w:val="auto"/>
                <w:sz w:val="24"/>
                <w:szCs w:val="24"/>
                <w:highlight w:val="none"/>
                <w:lang w:val="en-US"/>
              </w:rPr>
            </w:pPr>
            <w:r>
              <w:rPr>
                <w:rFonts w:hint="default" w:asciiTheme="minorEastAsia" w:hAnsiTheme="minorEastAsia" w:eastAsiaTheme="minorEastAsia" w:cstheme="minorEastAsia"/>
                <w:color w:val="auto"/>
                <w:sz w:val="24"/>
                <w:szCs w:val="24"/>
                <w:highlight w:val="none"/>
                <w:lang w:val="en-US" w:eastAsia="zh-CN"/>
              </w:rPr>
              <w:t>（5）供应商不得为“信用中国网站（www.creditchina.gov.cn）中列入失信被执行人和税收违法黑名单的供应商，不得为中国政府采购网（www.ccgp.gov.cn）政府采购严重违法失信行为记录名单中被财政部门禁止参加政府采购活动的供应商。</w:t>
            </w:r>
          </w:p>
        </w:tc>
      </w:tr>
      <w:tr w14:paraId="28825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817" w:type="dxa"/>
            <w:vAlign w:val="center"/>
          </w:tcPr>
          <w:p w14:paraId="70571555">
            <w:pPr>
              <w:pageBreakBefore w:val="0"/>
              <w:kinsoku/>
              <w:wordWrap/>
              <w:overflowPunct/>
              <w:topLinePunct w:val="0"/>
              <w:bidi w:val="0"/>
              <w:spacing w:line="360" w:lineRule="auto"/>
              <w:ind w:right="-108" w:rightChars="-45"/>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w:t>
            </w:r>
          </w:p>
        </w:tc>
        <w:tc>
          <w:tcPr>
            <w:tcW w:w="2045" w:type="dxa"/>
            <w:tcMar>
              <w:top w:w="0" w:type="dxa"/>
              <w:left w:w="108" w:type="dxa"/>
              <w:bottom w:w="0" w:type="dxa"/>
              <w:right w:w="108" w:type="dxa"/>
            </w:tcMar>
            <w:vAlign w:val="center"/>
          </w:tcPr>
          <w:p w14:paraId="44361D5B">
            <w:pPr>
              <w:keepNext w:val="0"/>
              <w:keepLines w:val="0"/>
              <w:pageBreakBefore w:val="0"/>
              <w:widowControl w:val="0"/>
              <w:kinsoku/>
              <w:wordWrap/>
              <w:overflowPunct/>
              <w:topLinePunct w:val="0"/>
              <w:autoSpaceDE/>
              <w:autoSpaceDN/>
              <w:bidi w:val="0"/>
              <w:adjustRightInd/>
              <w:snapToGrid/>
              <w:spacing w:line="360" w:lineRule="auto"/>
              <w:ind w:right="-48" w:rightChars="-2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谈判响应文件</w:t>
            </w:r>
          </w:p>
          <w:p w14:paraId="57D3BF5D">
            <w:pPr>
              <w:keepNext w:val="0"/>
              <w:keepLines w:val="0"/>
              <w:pageBreakBefore w:val="0"/>
              <w:widowControl w:val="0"/>
              <w:kinsoku/>
              <w:wordWrap/>
              <w:overflowPunct/>
              <w:topLinePunct w:val="0"/>
              <w:autoSpaceDE/>
              <w:autoSpaceDN/>
              <w:bidi w:val="0"/>
              <w:adjustRightInd/>
              <w:snapToGrid/>
              <w:spacing w:line="360" w:lineRule="auto"/>
              <w:ind w:right="-48" w:rightChars="-2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有效期</w:t>
            </w:r>
          </w:p>
        </w:tc>
        <w:tc>
          <w:tcPr>
            <w:tcW w:w="6947" w:type="dxa"/>
            <w:vAlign w:val="center"/>
          </w:tcPr>
          <w:p w14:paraId="74885601">
            <w:pPr>
              <w:pageBreakBefore w:val="0"/>
              <w:kinsoku/>
              <w:wordWrap/>
              <w:overflowPunct/>
              <w:topLinePunct w:val="0"/>
              <w:bidi w:val="0"/>
              <w:spacing w:line="360" w:lineRule="auto"/>
              <w:ind w:right="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90</w:t>
            </w:r>
            <w:r>
              <w:rPr>
                <w:rFonts w:hint="eastAsia" w:asciiTheme="minorEastAsia" w:hAnsiTheme="minorEastAsia" w:eastAsiaTheme="minorEastAsia" w:cstheme="minorEastAsia"/>
                <w:color w:val="auto"/>
                <w:sz w:val="24"/>
                <w:szCs w:val="24"/>
                <w:highlight w:val="none"/>
              </w:rPr>
              <w:t>天</w:t>
            </w:r>
          </w:p>
        </w:tc>
      </w:tr>
      <w:tr w14:paraId="7C094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817" w:type="dxa"/>
            <w:vAlign w:val="center"/>
          </w:tcPr>
          <w:p w14:paraId="751F3107">
            <w:pPr>
              <w:pageBreakBefore w:val="0"/>
              <w:kinsoku/>
              <w:wordWrap/>
              <w:overflowPunct/>
              <w:topLinePunct w:val="0"/>
              <w:bidi w:val="0"/>
              <w:spacing w:line="360" w:lineRule="auto"/>
              <w:ind w:right="-108" w:rightChars="-45"/>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17</w:t>
            </w:r>
          </w:p>
        </w:tc>
        <w:tc>
          <w:tcPr>
            <w:tcW w:w="2045" w:type="dxa"/>
            <w:tcMar>
              <w:top w:w="0" w:type="dxa"/>
              <w:left w:w="57" w:type="dxa"/>
              <w:bottom w:w="0" w:type="dxa"/>
              <w:right w:w="57" w:type="dxa"/>
            </w:tcMar>
            <w:vAlign w:val="center"/>
          </w:tcPr>
          <w:p w14:paraId="5D9842B7">
            <w:pPr>
              <w:keepNext w:val="0"/>
              <w:keepLines w:val="0"/>
              <w:pageBreakBefore w:val="0"/>
              <w:widowControl w:val="0"/>
              <w:kinsoku/>
              <w:wordWrap/>
              <w:overflowPunct/>
              <w:topLinePunct w:val="0"/>
              <w:autoSpaceDE/>
              <w:autoSpaceDN/>
              <w:bidi w:val="0"/>
              <w:adjustRightInd/>
              <w:snapToGrid/>
              <w:spacing w:line="360" w:lineRule="auto"/>
              <w:ind w:right="-48" w:rightChars="-2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文件澄清或修改的时间</w:t>
            </w:r>
          </w:p>
        </w:tc>
        <w:tc>
          <w:tcPr>
            <w:tcW w:w="6947" w:type="dxa"/>
            <w:vAlign w:val="center"/>
          </w:tcPr>
          <w:p w14:paraId="3D3EEEE5">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提交首次响应文件截止之日3个工作日前</w:t>
            </w:r>
          </w:p>
        </w:tc>
      </w:tr>
      <w:tr w14:paraId="3556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17" w:type="dxa"/>
            <w:vAlign w:val="center"/>
          </w:tcPr>
          <w:p w14:paraId="3A528F06">
            <w:pPr>
              <w:pageBreakBefore w:val="0"/>
              <w:kinsoku/>
              <w:wordWrap/>
              <w:overflowPunct/>
              <w:topLinePunct w:val="0"/>
              <w:bidi w:val="0"/>
              <w:spacing w:line="360" w:lineRule="auto"/>
              <w:ind w:right="-108" w:rightChars="-45"/>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8</w:t>
            </w:r>
          </w:p>
        </w:tc>
        <w:tc>
          <w:tcPr>
            <w:tcW w:w="2045" w:type="dxa"/>
            <w:tcMar>
              <w:top w:w="0" w:type="dxa"/>
              <w:left w:w="108" w:type="dxa"/>
              <w:bottom w:w="0" w:type="dxa"/>
              <w:right w:w="108" w:type="dxa"/>
            </w:tcMar>
            <w:vAlign w:val="center"/>
          </w:tcPr>
          <w:p w14:paraId="0DA3C309">
            <w:pPr>
              <w:pageBreakBefore w:val="0"/>
              <w:kinsoku/>
              <w:wordWrap/>
              <w:overflowPunct/>
              <w:topLinePunct w:val="0"/>
              <w:bidi w:val="0"/>
              <w:spacing w:line="360" w:lineRule="auto"/>
              <w:ind w:right="-48" w:rightChars="-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谈判响应文件</w:t>
            </w:r>
            <w:r>
              <w:rPr>
                <w:rFonts w:hint="eastAsia" w:asciiTheme="minorEastAsia" w:hAnsiTheme="minorEastAsia" w:eastAsiaTheme="minorEastAsia" w:cstheme="minorEastAsia"/>
                <w:color w:val="auto"/>
                <w:sz w:val="24"/>
                <w:szCs w:val="24"/>
                <w:highlight w:val="none"/>
              </w:rPr>
              <w:t>的数目</w:t>
            </w:r>
          </w:p>
        </w:tc>
        <w:tc>
          <w:tcPr>
            <w:tcW w:w="6947" w:type="dxa"/>
            <w:vAlign w:val="center"/>
          </w:tcPr>
          <w:p w14:paraId="60DAB1CE">
            <w:pPr>
              <w:keepNext w:val="0"/>
              <w:keepLines w:val="0"/>
              <w:pageBreakBefore w:val="0"/>
              <w:widowControl w:val="0"/>
              <w:kinsoku/>
              <w:wordWrap/>
              <w:overflowPunct/>
              <w:topLinePunct w:val="0"/>
              <w:autoSpaceDE/>
              <w:autoSpaceDN/>
              <w:bidi w:val="0"/>
              <w:adjustRightInd/>
              <w:snapToGrid/>
              <w:spacing w:line="360" w:lineRule="auto"/>
              <w:ind w:right="561"/>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eastAsia="zh-CN"/>
              </w:rPr>
              <w:t>响应文件：</w:t>
            </w:r>
            <w:r>
              <w:rPr>
                <w:rFonts w:hint="eastAsia" w:asciiTheme="minorEastAsia" w:hAnsiTheme="minorEastAsia" w:eastAsiaTheme="minorEastAsia" w:cstheme="minorEastAsia"/>
                <w:b w:val="0"/>
                <w:bCs w:val="0"/>
                <w:color w:val="auto"/>
                <w:sz w:val="24"/>
                <w:szCs w:val="24"/>
                <w:highlight w:val="none"/>
                <w:lang w:val="en-US" w:eastAsia="zh-CN"/>
              </w:rPr>
              <w:t>中标单位提供</w:t>
            </w:r>
            <w:r>
              <w:rPr>
                <w:rFonts w:hint="eastAsia" w:asciiTheme="minorEastAsia" w:hAnsiTheme="minorEastAsia" w:eastAsiaTheme="minorEastAsia" w:cstheme="minorEastAsia"/>
                <w:b w:val="0"/>
                <w:bCs w:val="0"/>
                <w:color w:val="auto"/>
                <w:sz w:val="24"/>
                <w:szCs w:val="24"/>
                <w:highlight w:val="none"/>
              </w:rPr>
              <w:t>正本</w:t>
            </w:r>
            <w:r>
              <w:rPr>
                <w:rFonts w:hint="eastAsia" w:asciiTheme="minorEastAsia" w:hAnsiTheme="minorEastAsia" w:eastAsiaTheme="minorEastAsia" w:cstheme="minorEastAsia"/>
                <w:b w:val="0"/>
                <w:bCs w:val="0"/>
                <w:color w:val="auto"/>
                <w:sz w:val="24"/>
                <w:szCs w:val="24"/>
                <w:highlight w:val="none"/>
                <w:lang w:eastAsia="zh-CN"/>
              </w:rPr>
              <w:t>壹</w:t>
            </w:r>
            <w:r>
              <w:rPr>
                <w:rFonts w:hint="eastAsia" w:asciiTheme="minorEastAsia" w:hAnsiTheme="minorEastAsia" w:eastAsiaTheme="minorEastAsia" w:cstheme="minorEastAsia"/>
                <w:b w:val="0"/>
                <w:bCs w:val="0"/>
                <w:color w:val="auto"/>
                <w:sz w:val="24"/>
                <w:szCs w:val="24"/>
                <w:highlight w:val="none"/>
              </w:rPr>
              <w:t>份、副本</w:t>
            </w:r>
            <w:r>
              <w:rPr>
                <w:rFonts w:hint="eastAsia" w:asciiTheme="minorEastAsia" w:hAnsiTheme="minorEastAsia" w:eastAsiaTheme="minorEastAsia" w:cstheme="minorEastAsia"/>
                <w:b w:val="0"/>
                <w:bCs w:val="0"/>
                <w:color w:val="auto"/>
                <w:sz w:val="24"/>
                <w:szCs w:val="24"/>
                <w:highlight w:val="none"/>
                <w:lang w:val="en-US" w:eastAsia="zh-CN"/>
              </w:rPr>
              <w:t>肆</w:t>
            </w:r>
            <w:r>
              <w:rPr>
                <w:rFonts w:hint="eastAsia" w:asciiTheme="minorEastAsia" w:hAnsiTheme="minorEastAsia" w:eastAsiaTheme="minorEastAsia" w:cstheme="minorEastAsia"/>
                <w:b w:val="0"/>
                <w:bCs w:val="0"/>
                <w:color w:val="auto"/>
                <w:sz w:val="24"/>
                <w:szCs w:val="24"/>
                <w:highlight w:val="none"/>
              </w:rPr>
              <w:t>份</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电子版U盘2份</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未中标单位提供</w:t>
            </w:r>
            <w:r>
              <w:rPr>
                <w:rFonts w:hint="eastAsia" w:asciiTheme="minorEastAsia" w:hAnsiTheme="minorEastAsia" w:eastAsiaTheme="minorEastAsia" w:cstheme="minorEastAsia"/>
                <w:b w:val="0"/>
                <w:bCs w:val="0"/>
                <w:color w:val="auto"/>
                <w:sz w:val="24"/>
                <w:szCs w:val="24"/>
                <w:highlight w:val="none"/>
              </w:rPr>
              <w:t>正本</w:t>
            </w:r>
            <w:r>
              <w:rPr>
                <w:rFonts w:hint="eastAsia" w:asciiTheme="minorEastAsia" w:hAnsiTheme="minorEastAsia" w:eastAsiaTheme="minorEastAsia" w:cstheme="minorEastAsia"/>
                <w:b w:val="0"/>
                <w:bCs w:val="0"/>
                <w:color w:val="auto"/>
                <w:sz w:val="24"/>
                <w:szCs w:val="24"/>
                <w:highlight w:val="none"/>
                <w:lang w:eastAsia="zh-CN"/>
              </w:rPr>
              <w:t>壹</w:t>
            </w:r>
            <w:r>
              <w:rPr>
                <w:rFonts w:hint="eastAsia" w:asciiTheme="minorEastAsia" w:hAnsiTheme="minorEastAsia" w:eastAsiaTheme="minorEastAsia" w:cstheme="minorEastAsia"/>
                <w:b w:val="0"/>
                <w:bCs w:val="0"/>
                <w:color w:val="auto"/>
                <w:sz w:val="24"/>
                <w:szCs w:val="24"/>
                <w:highlight w:val="none"/>
              </w:rPr>
              <w:t>份</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电子版U盘2份。</w:t>
            </w:r>
          </w:p>
          <w:p w14:paraId="3E62390B">
            <w:pPr>
              <w:keepNext w:val="0"/>
              <w:keepLines w:val="0"/>
              <w:pageBreakBefore w:val="0"/>
              <w:widowControl w:val="0"/>
              <w:kinsoku/>
              <w:wordWrap/>
              <w:overflowPunct/>
              <w:topLinePunct w:val="0"/>
              <w:autoSpaceDE/>
              <w:autoSpaceDN/>
              <w:bidi w:val="0"/>
              <w:adjustRightInd/>
              <w:snapToGrid/>
              <w:spacing w:line="360" w:lineRule="auto"/>
              <w:ind w:right="-40" w:rightChars="0"/>
              <w:textAlignment w:val="auto"/>
              <w:rPr>
                <w:rFonts w:hint="default" w:asciiTheme="minorEastAsia" w:hAnsiTheme="minorEastAsia" w:eastAsiaTheme="minorEastAsia" w:cstheme="minorEastAsia"/>
                <w:color w:val="auto"/>
                <w:sz w:val="24"/>
                <w:szCs w:val="24"/>
                <w:highlight w:val="none"/>
                <w:lang w:val="en-US"/>
              </w:rPr>
            </w:pPr>
            <w:r>
              <w:rPr>
                <w:rFonts w:hint="eastAsia" w:ascii="宋体" w:hAnsi="宋体" w:eastAsia="宋体" w:cs="宋体"/>
                <w:b w:val="0"/>
                <w:bCs/>
                <w:color w:val="auto"/>
                <w:sz w:val="24"/>
                <w:szCs w:val="24"/>
                <w:highlight w:val="none"/>
              </w:rPr>
              <w:t>现场无需递交</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请中标（成交）单位在结果</w:t>
            </w:r>
            <w:r>
              <w:rPr>
                <w:rFonts w:hint="eastAsia" w:ascii="宋体" w:hAnsi="宋体" w:eastAsia="宋体" w:cs="宋体"/>
                <w:b w:val="0"/>
                <w:bCs/>
                <w:color w:val="auto"/>
                <w:sz w:val="24"/>
                <w:szCs w:val="24"/>
                <w:highlight w:val="none"/>
              </w:rPr>
              <w:t>公示后</w:t>
            </w:r>
            <w:r>
              <w:rPr>
                <w:rFonts w:hint="eastAsia" w:ascii="宋体" w:hAnsi="宋体" w:cs="宋体"/>
                <w:b w:val="0"/>
                <w:bCs/>
                <w:color w:val="auto"/>
                <w:sz w:val="24"/>
                <w:szCs w:val="24"/>
                <w:highlight w:val="none"/>
                <w:lang w:val="en-US" w:eastAsia="zh-CN"/>
              </w:rPr>
              <w:t>与招标代理机构联系，</w:t>
            </w:r>
            <w:r>
              <w:rPr>
                <w:rFonts w:hint="eastAsia" w:ascii="宋体" w:hAnsi="宋体" w:eastAsia="宋体" w:cs="宋体"/>
                <w:b w:val="0"/>
                <w:bCs/>
                <w:color w:val="auto"/>
                <w:sz w:val="24"/>
                <w:szCs w:val="24"/>
                <w:highlight w:val="none"/>
              </w:rPr>
              <w:t>提供</w:t>
            </w:r>
            <w:r>
              <w:rPr>
                <w:rFonts w:hint="eastAsia" w:ascii="宋体" w:hAnsi="宋体" w:cs="宋体"/>
                <w:b w:val="0"/>
                <w:bCs/>
                <w:color w:val="auto"/>
                <w:sz w:val="24"/>
                <w:szCs w:val="24"/>
                <w:highlight w:val="none"/>
                <w:lang w:val="en-US" w:eastAsia="zh-CN"/>
              </w:rPr>
              <w:t>纸质版响应文件</w:t>
            </w:r>
            <w:r>
              <w:rPr>
                <w:rFonts w:hint="eastAsia" w:asciiTheme="minorEastAsia" w:hAnsiTheme="minorEastAsia" w:eastAsiaTheme="minorEastAsia" w:cstheme="minorEastAsia"/>
                <w:b w:val="0"/>
                <w:bCs w:val="0"/>
                <w:color w:val="auto"/>
                <w:sz w:val="24"/>
                <w:szCs w:val="24"/>
                <w:highlight w:val="none"/>
                <w:lang w:val="en-US" w:eastAsia="zh-CN"/>
              </w:rPr>
              <w:t>。</w:t>
            </w:r>
          </w:p>
        </w:tc>
      </w:tr>
      <w:tr w14:paraId="6CDAC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817" w:type="dxa"/>
            <w:vAlign w:val="center"/>
          </w:tcPr>
          <w:p w14:paraId="50B77E1A">
            <w:pPr>
              <w:pageBreakBefore w:val="0"/>
              <w:kinsoku/>
              <w:wordWrap/>
              <w:overflowPunct/>
              <w:topLinePunct w:val="0"/>
              <w:bidi w:val="0"/>
              <w:spacing w:line="360" w:lineRule="auto"/>
              <w:ind w:right="-108" w:rightChars="-45"/>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9</w:t>
            </w:r>
          </w:p>
        </w:tc>
        <w:tc>
          <w:tcPr>
            <w:tcW w:w="2045" w:type="dxa"/>
            <w:tcMar>
              <w:top w:w="0" w:type="dxa"/>
              <w:left w:w="51" w:type="dxa"/>
              <w:bottom w:w="0" w:type="dxa"/>
              <w:right w:w="51" w:type="dxa"/>
            </w:tcMar>
            <w:vAlign w:val="center"/>
          </w:tcPr>
          <w:p w14:paraId="2E08FA7D">
            <w:pPr>
              <w:keepNext w:val="0"/>
              <w:keepLines w:val="0"/>
              <w:pageBreakBefore w:val="0"/>
              <w:widowControl w:val="0"/>
              <w:kinsoku/>
              <w:wordWrap/>
              <w:overflowPunct/>
              <w:topLinePunct w:val="0"/>
              <w:autoSpaceDE/>
              <w:autoSpaceDN/>
              <w:bidi w:val="0"/>
              <w:adjustRightInd/>
              <w:snapToGrid/>
              <w:spacing w:line="360" w:lineRule="auto"/>
              <w:ind w:right="-48" w:rightChars="-2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谈判响应文件递交时间及递交地点</w:t>
            </w:r>
          </w:p>
        </w:tc>
        <w:tc>
          <w:tcPr>
            <w:tcW w:w="6947" w:type="dxa"/>
            <w:vAlign w:val="center"/>
          </w:tcPr>
          <w:p w14:paraId="7131385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auto"/>
                <w:sz w:val="24"/>
                <w:szCs w:val="24"/>
                <w:highlight w:val="yellow"/>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谈判响应文件递交时间:2025年03月14日16时00分（北京时间）</w:t>
            </w:r>
          </w:p>
          <w:p w14:paraId="2010DEAD">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谈判响应文件递交地点:政采云平台（https://www.zcygov.cn/）</w:t>
            </w:r>
          </w:p>
        </w:tc>
      </w:tr>
      <w:tr w14:paraId="3C514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17" w:type="dxa"/>
            <w:vAlign w:val="center"/>
          </w:tcPr>
          <w:p w14:paraId="5391C651">
            <w:pPr>
              <w:pageBreakBefore w:val="0"/>
              <w:kinsoku/>
              <w:wordWrap/>
              <w:overflowPunct/>
              <w:topLinePunct w:val="0"/>
              <w:bidi w:val="0"/>
              <w:spacing w:line="360" w:lineRule="auto"/>
              <w:ind w:right="-108" w:rightChars="-45"/>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p>
        </w:tc>
        <w:tc>
          <w:tcPr>
            <w:tcW w:w="2045" w:type="dxa"/>
            <w:tcMar>
              <w:top w:w="0" w:type="dxa"/>
              <w:left w:w="108" w:type="dxa"/>
              <w:bottom w:w="0" w:type="dxa"/>
              <w:right w:w="108" w:type="dxa"/>
            </w:tcMar>
            <w:vAlign w:val="center"/>
          </w:tcPr>
          <w:p w14:paraId="4CDA6EBD">
            <w:pPr>
              <w:pageBreakBefore w:val="0"/>
              <w:kinsoku/>
              <w:wordWrap/>
              <w:overflowPunct/>
              <w:topLinePunct w:val="0"/>
              <w:bidi w:val="0"/>
              <w:spacing w:line="360" w:lineRule="auto"/>
              <w:ind w:right="-48" w:rightChars="-20"/>
              <w:jc w:val="center"/>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谈判时间、地点</w:t>
            </w:r>
          </w:p>
        </w:tc>
        <w:tc>
          <w:tcPr>
            <w:tcW w:w="6947" w:type="dxa"/>
            <w:vAlign w:val="center"/>
          </w:tcPr>
          <w:p w14:paraId="41F2DA1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谈判时间：2025年03月14日16时00分（北京时间）</w:t>
            </w:r>
          </w:p>
          <w:p w14:paraId="6A24A9A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谈判地点：政采云平台（https://www.zcygov.cn/） </w:t>
            </w:r>
          </w:p>
        </w:tc>
      </w:tr>
      <w:tr w14:paraId="2DC9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17" w:type="dxa"/>
            <w:vAlign w:val="center"/>
          </w:tcPr>
          <w:p w14:paraId="13A7C8E4">
            <w:pPr>
              <w:pageBreakBefore w:val="0"/>
              <w:kinsoku/>
              <w:wordWrap/>
              <w:overflowPunct/>
              <w:topLinePunct w:val="0"/>
              <w:bidi w:val="0"/>
              <w:spacing w:line="360" w:lineRule="auto"/>
              <w:ind w:right="-108" w:rightChars="-45"/>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w:t>
            </w:r>
          </w:p>
        </w:tc>
        <w:tc>
          <w:tcPr>
            <w:tcW w:w="2045" w:type="dxa"/>
            <w:tcMar>
              <w:top w:w="0" w:type="dxa"/>
              <w:left w:w="108" w:type="dxa"/>
              <w:bottom w:w="0" w:type="dxa"/>
              <w:right w:w="108" w:type="dxa"/>
            </w:tcMar>
            <w:vAlign w:val="center"/>
          </w:tcPr>
          <w:p w14:paraId="33DF88CE">
            <w:pPr>
              <w:keepNext w:val="0"/>
              <w:keepLines w:val="0"/>
              <w:pageBreakBefore w:val="0"/>
              <w:widowControl w:val="0"/>
              <w:kinsoku/>
              <w:wordWrap/>
              <w:overflowPunct/>
              <w:topLinePunct w:val="0"/>
              <w:autoSpaceDE/>
              <w:autoSpaceDN/>
              <w:bidi w:val="0"/>
              <w:adjustRightInd/>
              <w:snapToGrid/>
              <w:spacing w:line="360" w:lineRule="auto"/>
              <w:ind w:right="-48" w:rightChars="-2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评审地点</w:t>
            </w:r>
          </w:p>
        </w:tc>
        <w:tc>
          <w:tcPr>
            <w:tcW w:w="6947" w:type="dxa"/>
            <w:vAlign w:val="center"/>
          </w:tcPr>
          <w:p w14:paraId="4637DE7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政采云平台（https://www.zcygov.cn/）</w:t>
            </w:r>
          </w:p>
        </w:tc>
      </w:tr>
      <w:tr w14:paraId="4AD6A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17" w:type="dxa"/>
            <w:vAlign w:val="center"/>
          </w:tcPr>
          <w:p w14:paraId="7824CBCA">
            <w:pPr>
              <w:pageBreakBefore w:val="0"/>
              <w:kinsoku/>
              <w:wordWrap/>
              <w:overflowPunct/>
              <w:topLinePunct w:val="0"/>
              <w:bidi w:val="0"/>
              <w:spacing w:line="360" w:lineRule="auto"/>
              <w:ind w:right="-108" w:rightChars="-45"/>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w:t>
            </w:r>
          </w:p>
        </w:tc>
        <w:tc>
          <w:tcPr>
            <w:tcW w:w="2045" w:type="dxa"/>
            <w:tcMar>
              <w:top w:w="0" w:type="dxa"/>
              <w:left w:w="108" w:type="dxa"/>
              <w:bottom w:w="0" w:type="dxa"/>
              <w:right w:w="108" w:type="dxa"/>
            </w:tcMar>
            <w:vAlign w:val="center"/>
          </w:tcPr>
          <w:p w14:paraId="6D42E365">
            <w:pPr>
              <w:keepNext w:val="0"/>
              <w:keepLines w:val="0"/>
              <w:pageBreakBefore w:val="0"/>
              <w:widowControl w:val="0"/>
              <w:kinsoku/>
              <w:wordWrap/>
              <w:overflowPunct/>
              <w:topLinePunct w:val="0"/>
              <w:autoSpaceDE/>
              <w:autoSpaceDN/>
              <w:bidi w:val="0"/>
              <w:adjustRightInd/>
              <w:snapToGrid/>
              <w:spacing w:line="360" w:lineRule="auto"/>
              <w:ind w:right="-48" w:rightChars="-2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谈判顺序</w:t>
            </w:r>
          </w:p>
        </w:tc>
        <w:tc>
          <w:tcPr>
            <w:tcW w:w="6947" w:type="dxa"/>
            <w:vAlign w:val="center"/>
          </w:tcPr>
          <w:p w14:paraId="55C935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按递交谈判响应文件的顺序谈判</w:t>
            </w:r>
          </w:p>
        </w:tc>
      </w:tr>
      <w:tr w14:paraId="3EFFB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17" w:type="dxa"/>
            <w:vAlign w:val="center"/>
          </w:tcPr>
          <w:p w14:paraId="5E129163">
            <w:pPr>
              <w:pageBreakBefore w:val="0"/>
              <w:kinsoku/>
              <w:wordWrap/>
              <w:overflowPunct/>
              <w:topLinePunct w:val="0"/>
              <w:bidi w:val="0"/>
              <w:spacing w:line="360" w:lineRule="auto"/>
              <w:ind w:right="-108" w:rightChars="-45"/>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23</w:t>
            </w:r>
          </w:p>
        </w:tc>
        <w:tc>
          <w:tcPr>
            <w:tcW w:w="2045" w:type="dxa"/>
            <w:tcMar>
              <w:top w:w="0" w:type="dxa"/>
              <w:left w:w="108" w:type="dxa"/>
              <w:bottom w:w="0" w:type="dxa"/>
              <w:right w:w="108" w:type="dxa"/>
            </w:tcMar>
            <w:vAlign w:val="center"/>
          </w:tcPr>
          <w:p w14:paraId="24071956">
            <w:pPr>
              <w:keepNext w:val="0"/>
              <w:keepLines w:val="0"/>
              <w:pageBreakBefore w:val="0"/>
              <w:widowControl w:val="0"/>
              <w:kinsoku/>
              <w:wordWrap/>
              <w:overflowPunct/>
              <w:topLinePunct w:val="0"/>
              <w:autoSpaceDE/>
              <w:autoSpaceDN/>
              <w:bidi w:val="0"/>
              <w:adjustRightInd/>
              <w:snapToGrid/>
              <w:spacing w:line="360" w:lineRule="auto"/>
              <w:ind w:right="-48" w:rightChars="-2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谈判内容</w:t>
            </w:r>
          </w:p>
        </w:tc>
        <w:tc>
          <w:tcPr>
            <w:tcW w:w="6947" w:type="dxa"/>
            <w:vAlign w:val="center"/>
          </w:tcPr>
          <w:p w14:paraId="46E062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谈判小组针对谈判响应文件的商务、技术、经济标以及工期等内容进行谈判。</w:t>
            </w:r>
          </w:p>
        </w:tc>
      </w:tr>
      <w:tr w14:paraId="07B9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17" w:type="dxa"/>
            <w:vAlign w:val="center"/>
          </w:tcPr>
          <w:p w14:paraId="69369ADD">
            <w:pPr>
              <w:pageBreakBefore w:val="0"/>
              <w:kinsoku/>
              <w:wordWrap/>
              <w:overflowPunct/>
              <w:topLinePunct w:val="0"/>
              <w:bidi w:val="0"/>
              <w:spacing w:line="360" w:lineRule="auto"/>
              <w:ind w:right="-108" w:rightChars="-45"/>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24</w:t>
            </w:r>
          </w:p>
        </w:tc>
        <w:tc>
          <w:tcPr>
            <w:tcW w:w="2045" w:type="dxa"/>
            <w:tcMar>
              <w:top w:w="0" w:type="dxa"/>
              <w:left w:w="108" w:type="dxa"/>
              <w:bottom w:w="0" w:type="dxa"/>
              <w:right w:w="108" w:type="dxa"/>
            </w:tcMar>
            <w:vAlign w:val="center"/>
          </w:tcPr>
          <w:p w14:paraId="726D2744">
            <w:pPr>
              <w:pageBreakBefore w:val="0"/>
              <w:kinsoku/>
              <w:wordWrap/>
              <w:overflowPunct/>
              <w:topLinePunct w:val="0"/>
              <w:bidi w:val="0"/>
              <w:spacing w:line="360" w:lineRule="auto"/>
              <w:ind w:right="-48" w:rightChars="-2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评标办法</w:t>
            </w:r>
          </w:p>
        </w:tc>
        <w:tc>
          <w:tcPr>
            <w:tcW w:w="6947" w:type="dxa"/>
            <w:vAlign w:val="center"/>
          </w:tcPr>
          <w:p w14:paraId="7821818D">
            <w:pPr>
              <w:keepNext w:val="0"/>
              <w:keepLines w:val="0"/>
              <w:pageBreakBefore w:val="0"/>
              <w:widowControl w:val="0"/>
              <w:kinsoku/>
              <w:wordWrap/>
              <w:overflowPunct/>
              <w:topLinePunct w:val="0"/>
              <w:autoSpaceDE/>
              <w:autoSpaceDN/>
              <w:bidi w:val="0"/>
              <w:adjustRightInd/>
              <w:snapToGrid/>
              <w:spacing w:line="360" w:lineRule="auto"/>
              <w:ind w:right="-40" w:right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u w:val="none"/>
              </w:rPr>
              <w:t>竞争性谈判</w:t>
            </w:r>
            <w:r>
              <w:rPr>
                <w:rFonts w:hint="eastAsia" w:asciiTheme="minorEastAsia" w:hAnsiTheme="minorEastAsia" w:eastAsiaTheme="minorEastAsia" w:cstheme="minorEastAsia"/>
                <w:b/>
                <w:bCs/>
                <w:color w:val="auto"/>
                <w:sz w:val="24"/>
                <w:szCs w:val="24"/>
                <w:highlight w:val="none"/>
                <w:u w:val="none"/>
                <w:lang w:eastAsia="zh-CN"/>
              </w:rPr>
              <w:t>采用最低评标价法：</w:t>
            </w:r>
            <w:r>
              <w:rPr>
                <w:rFonts w:hint="eastAsia" w:asciiTheme="minorEastAsia" w:hAnsiTheme="minorEastAsia" w:eastAsiaTheme="minorEastAsia" w:cstheme="minorEastAsia"/>
                <w:b/>
                <w:bCs/>
                <w:color w:val="auto"/>
                <w:sz w:val="24"/>
                <w:szCs w:val="24"/>
                <w:highlight w:val="none"/>
                <w:u w:val="none"/>
              </w:rPr>
              <w:t>第一轮根据</w:t>
            </w:r>
            <w:r>
              <w:rPr>
                <w:rFonts w:hint="eastAsia" w:asciiTheme="minorEastAsia" w:hAnsiTheme="minorEastAsia" w:eastAsiaTheme="minorEastAsia" w:cstheme="minorEastAsia"/>
                <w:b/>
                <w:bCs/>
                <w:color w:val="auto"/>
                <w:sz w:val="24"/>
                <w:szCs w:val="24"/>
                <w:highlight w:val="none"/>
                <w:u w:val="none"/>
                <w:lang w:eastAsia="zh-CN"/>
              </w:rPr>
              <w:t>响应文件</w:t>
            </w:r>
            <w:r>
              <w:rPr>
                <w:rFonts w:hint="eastAsia" w:asciiTheme="minorEastAsia" w:hAnsiTheme="minorEastAsia" w:eastAsiaTheme="minorEastAsia" w:cstheme="minorEastAsia"/>
                <w:b/>
                <w:bCs/>
                <w:color w:val="auto"/>
                <w:sz w:val="24"/>
                <w:szCs w:val="24"/>
                <w:highlight w:val="none"/>
                <w:u w:val="none"/>
              </w:rPr>
              <w:t>能够详细列明全部技术、工程质量且技术、商务均能全部满足采购文件实质性响应要求者且可进行下一轮，投标人的报价明显低于其他通过符合性检查投标人的报价，有可能影响履约的，投标人能</w:t>
            </w:r>
            <w:r>
              <w:rPr>
                <w:rFonts w:hint="eastAsia" w:asciiTheme="minorEastAsia" w:hAnsiTheme="minorEastAsia" w:eastAsiaTheme="minorEastAsia" w:cstheme="minorEastAsia"/>
                <w:b/>
                <w:bCs/>
                <w:color w:val="auto"/>
                <w:sz w:val="24"/>
                <w:szCs w:val="24"/>
                <w:highlight w:val="none"/>
                <w:u w:val="none"/>
                <w:lang w:eastAsia="zh-CN"/>
              </w:rPr>
              <w:t>在</w:t>
            </w:r>
            <w:r>
              <w:rPr>
                <w:rFonts w:hint="eastAsia" w:asciiTheme="minorEastAsia" w:hAnsiTheme="minorEastAsia" w:eastAsiaTheme="minorEastAsia" w:cstheme="minorEastAsia"/>
                <w:b/>
                <w:bCs/>
                <w:color w:val="auto"/>
                <w:sz w:val="24"/>
                <w:szCs w:val="24"/>
                <w:highlight w:val="none"/>
                <w:u w:val="none"/>
              </w:rPr>
              <w:t>规定</w:t>
            </w:r>
            <w:r>
              <w:rPr>
                <w:rFonts w:hint="eastAsia" w:asciiTheme="minorEastAsia" w:hAnsiTheme="minorEastAsia" w:eastAsiaTheme="minorEastAsia" w:cstheme="minorEastAsia"/>
                <w:b/>
                <w:bCs/>
                <w:color w:val="auto"/>
                <w:sz w:val="24"/>
                <w:szCs w:val="24"/>
                <w:highlight w:val="none"/>
                <w:u w:val="none"/>
                <w:lang w:eastAsia="zh-CN"/>
              </w:rPr>
              <w:t>时间内提出</w:t>
            </w:r>
            <w:r>
              <w:rPr>
                <w:rFonts w:hint="eastAsia" w:asciiTheme="minorEastAsia" w:hAnsiTheme="minorEastAsia" w:eastAsiaTheme="minorEastAsia" w:cstheme="minorEastAsia"/>
                <w:b/>
                <w:bCs/>
                <w:color w:val="auto"/>
                <w:sz w:val="24"/>
                <w:szCs w:val="24"/>
                <w:highlight w:val="none"/>
                <w:u w:val="none"/>
              </w:rPr>
              <w:t>证明其报价合理性</w:t>
            </w:r>
            <w:r>
              <w:rPr>
                <w:rFonts w:hint="eastAsia" w:asciiTheme="minorEastAsia" w:hAnsiTheme="minorEastAsia" w:eastAsiaTheme="minorEastAsia" w:cstheme="minorEastAsia"/>
                <w:b/>
                <w:bCs/>
                <w:color w:val="auto"/>
                <w:sz w:val="24"/>
                <w:szCs w:val="24"/>
                <w:highlight w:val="none"/>
                <w:u w:val="none"/>
                <w:lang w:eastAsia="zh-CN"/>
              </w:rPr>
              <w:t>，否则视为不能</w:t>
            </w:r>
            <w:r>
              <w:rPr>
                <w:rFonts w:hint="eastAsia" w:asciiTheme="minorEastAsia" w:hAnsiTheme="minorEastAsia" w:eastAsiaTheme="minorEastAsia" w:cstheme="minorEastAsia"/>
                <w:b/>
                <w:bCs/>
                <w:color w:val="auto"/>
                <w:sz w:val="24"/>
                <w:szCs w:val="24"/>
                <w:highlight w:val="none"/>
                <w:u w:val="none"/>
              </w:rPr>
              <w:t>履约</w:t>
            </w:r>
            <w:r>
              <w:rPr>
                <w:rFonts w:hint="eastAsia" w:asciiTheme="minorEastAsia" w:hAnsiTheme="minorEastAsia" w:eastAsiaTheme="minorEastAsia" w:cstheme="minorEastAsia"/>
                <w:b/>
                <w:bCs/>
                <w:color w:val="auto"/>
                <w:sz w:val="24"/>
                <w:szCs w:val="24"/>
                <w:highlight w:val="none"/>
                <w:u w:val="none"/>
                <w:lang w:eastAsia="zh-CN"/>
              </w:rPr>
              <w:t>做否决投标处理</w:t>
            </w:r>
            <w:r>
              <w:rPr>
                <w:rFonts w:hint="eastAsia" w:asciiTheme="minorEastAsia" w:hAnsiTheme="minorEastAsia" w:eastAsiaTheme="minorEastAsia" w:cstheme="minorEastAsia"/>
                <w:b/>
                <w:bCs/>
                <w:color w:val="auto"/>
                <w:sz w:val="24"/>
                <w:szCs w:val="24"/>
                <w:highlight w:val="none"/>
                <w:u w:val="none"/>
              </w:rPr>
              <w:t>。</w:t>
            </w:r>
            <w:r>
              <w:rPr>
                <w:rFonts w:hint="eastAsia" w:asciiTheme="minorEastAsia" w:hAnsiTheme="minorEastAsia" w:eastAsiaTheme="minorEastAsia" w:cstheme="minorEastAsia"/>
                <w:b/>
                <w:bCs/>
                <w:color w:val="auto"/>
                <w:sz w:val="24"/>
                <w:szCs w:val="24"/>
                <w:highlight w:val="none"/>
                <w:u w:val="none"/>
                <w:lang w:eastAsia="zh-CN"/>
              </w:rPr>
              <w:t>最终轮报价报总价，</w:t>
            </w:r>
            <w:r>
              <w:rPr>
                <w:rFonts w:hint="eastAsia" w:asciiTheme="minorEastAsia" w:hAnsiTheme="minorEastAsia" w:eastAsiaTheme="minorEastAsia" w:cstheme="minorEastAsia"/>
                <w:b/>
                <w:bCs/>
                <w:color w:val="auto"/>
                <w:sz w:val="24"/>
                <w:szCs w:val="24"/>
                <w:highlight w:val="none"/>
                <w:u w:val="none"/>
              </w:rPr>
              <w:t>谈判结束后，谈判小组应当从全部技术、工程质量</w:t>
            </w:r>
            <w:r>
              <w:rPr>
                <w:rFonts w:hint="eastAsia" w:asciiTheme="minorEastAsia" w:hAnsiTheme="minorEastAsia" w:eastAsiaTheme="minorEastAsia" w:cstheme="minorEastAsia"/>
                <w:b/>
                <w:bCs/>
                <w:color w:val="auto"/>
                <w:sz w:val="24"/>
                <w:szCs w:val="24"/>
                <w:highlight w:val="none"/>
                <w:u w:val="none"/>
                <w:lang w:eastAsia="zh-CN"/>
              </w:rPr>
              <w:t>等</w:t>
            </w:r>
            <w:r>
              <w:rPr>
                <w:rFonts w:hint="eastAsia" w:asciiTheme="minorEastAsia" w:hAnsiTheme="minorEastAsia" w:eastAsiaTheme="minorEastAsia" w:cstheme="minorEastAsia"/>
                <w:b/>
                <w:bCs/>
                <w:color w:val="auto"/>
                <w:sz w:val="24"/>
                <w:szCs w:val="24"/>
                <w:highlight w:val="none"/>
                <w:u w:val="none"/>
              </w:rPr>
              <w:t>均能全部满足采购文件实质性响应要求的供应商中，按照最后报价</w:t>
            </w:r>
            <w:r>
              <w:rPr>
                <w:rFonts w:hint="eastAsia" w:asciiTheme="minorEastAsia" w:hAnsiTheme="minorEastAsia" w:eastAsiaTheme="minorEastAsia" w:cstheme="minorEastAsia"/>
                <w:b/>
                <w:bCs/>
                <w:color w:val="auto"/>
                <w:sz w:val="24"/>
                <w:szCs w:val="24"/>
                <w:highlight w:val="none"/>
                <w:u w:val="none"/>
                <w:lang w:val="en-US" w:eastAsia="zh-CN"/>
              </w:rPr>
              <w:t>最低报价的报价人作为成交供应商</w:t>
            </w:r>
            <w:r>
              <w:rPr>
                <w:rFonts w:hint="eastAsia" w:asciiTheme="minorEastAsia" w:hAnsiTheme="minorEastAsia" w:eastAsiaTheme="minorEastAsia" w:cstheme="minorEastAsia"/>
                <w:b/>
                <w:bCs/>
                <w:color w:val="auto"/>
                <w:sz w:val="24"/>
                <w:szCs w:val="24"/>
                <w:highlight w:val="none"/>
                <w:u w:val="none"/>
              </w:rPr>
              <w:t>，并编写评审报告。</w:t>
            </w:r>
          </w:p>
        </w:tc>
      </w:tr>
      <w:tr w14:paraId="2D107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17" w:type="dxa"/>
            <w:vAlign w:val="center"/>
          </w:tcPr>
          <w:p w14:paraId="001A93FE">
            <w:pPr>
              <w:pageBreakBefore w:val="0"/>
              <w:kinsoku/>
              <w:wordWrap/>
              <w:overflowPunct/>
              <w:topLinePunct w:val="0"/>
              <w:bidi w:val="0"/>
              <w:spacing w:line="360" w:lineRule="auto"/>
              <w:ind w:right="-108" w:rightChars="-45"/>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25</w:t>
            </w:r>
          </w:p>
        </w:tc>
        <w:tc>
          <w:tcPr>
            <w:tcW w:w="2045" w:type="dxa"/>
            <w:tcMar>
              <w:top w:w="0" w:type="dxa"/>
              <w:left w:w="108" w:type="dxa"/>
              <w:bottom w:w="0" w:type="dxa"/>
              <w:right w:w="108" w:type="dxa"/>
            </w:tcMar>
            <w:vAlign w:val="center"/>
          </w:tcPr>
          <w:p w14:paraId="6F323701">
            <w:pPr>
              <w:pageBreakBefore w:val="0"/>
              <w:kinsoku/>
              <w:wordWrap/>
              <w:overflowPunct/>
              <w:topLinePunct w:val="0"/>
              <w:bidi w:val="0"/>
              <w:spacing w:line="360" w:lineRule="auto"/>
              <w:ind w:right="-48" w:rightChars="-2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签订合同</w:t>
            </w:r>
          </w:p>
        </w:tc>
        <w:tc>
          <w:tcPr>
            <w:tcW w:w="6947" w:type="dxa"/>
            <w:vAlign w:val="center"/>
          </w:tcPr>
          <w:p w14:paraId="2B806220">
            <w:pPr>
              <w:pageBreakBefore w:val="0"/>
              <w:kinsoku/>
              <w:wordWrap/>
              <w:overflowPunct/>
              <w:topLinePunct w:val="0"/>
              <w:bidi w:val="0"/>
              <w:spacing w:line="360" w:lineRule="auto"/>
              <w:ind w:right="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成交通知书发出</w:t>
            </w:r>
            <w:r>
              <w:rPr>
                <w:rFonts w:hint="eastAsia" w:asciiTheme="minorEastAsia" w:hAnsiTheme="minorEastAsia" w:eastAsiaTheme="minorEastAsia" w:cstheme="minorEastAsia"/>
                <w:color w:val="auto"/>
                <w:sz w:val="24"/>
                <w:szCs w:val="24"/>
                <w:highlight w:val="none"/>
              </w:rPr>
              <w:t>后</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rPr>
              <w:t>内</w:t>
            </w:r>
          </w:p>
        </w:tc>
      </w:tr>
      <w:tr w14:paraId="3F76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Align w:val="center"/>
          </w:tcPr>
          <w:p w14:paraId="23377F1A">
            <w:pPr>
              <w:pageBreakBefore w:val="0"/>
              <w:kinsoku/>
              <w:wordWrap/>
              <w:overflowPunct/>
              <w:topLinePunct w:val="0"/>
              <w:bidi w:val="0"/>
              <w:spacing w:line="360" w:lineRule="auto"/>
              <w:ind w:right="-108" w:rightChars="-45"/>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6</w:t>
            </w:r>
          </w:p>
        </w:tc>
        <w:tc>
          <w:tcPr>
            <w:tcW w:w="2045" w:type="dxa"/>
            <w:tcMar>
              <w:top w:w="0" w:type="dxa"/>
              <w:left w:w="108" w:type="dxa"/>
              <w:bottom w:w="0" w:type="dxa"/>
              <w:right w:w="108" w:type="dxa"/>
            </w:tcMar>
            <w:vAlign w:val="center"/>
          </w:tcPr>
          <w:p w14:paraId="2D7E36B9">
            <w:pPr>
              <w:pageBreakBefore w:val="0"/>
              <w:kinsoku/>
              <w:wordWrap/>
              <w:overflowPunct/>
              <w:topLinePunct w:val="0"/>
              <w:bidi w:val="0"/>
              <w:spacing w:line="360" w:lineRule="auto"/>
              <w:ind w:right="-48" w:rightChars="-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付款方式</w:t>
            </w:r>
          </w:p>
        </w:tc>
        <w:tc>
          <w:tcPr>
            <w:tcW w:w="6947" w:type="dxa"/>
            <w:vAlign w:val="center"/>
          </w:tcPr>
          <w:p w14:paraId="5B5AC107">
            <w:pPr>
              <w:pageBreakBefore w:val="0"/>
              <w:kinsoku/>
              <w:wordWrap/>
              <w:overflowPunct/>
              <w:topLinePunct w:val="0"/>
              <w:bidi w:val="0"/>
              <w:spacing w:line="360" w:lineRule="auto"/>
              <w:ind w:right="11" w:rightChars="0"/>
              <w:rPr>
                <w:rFonts w:hint="default" w:eastAsia="宋体" w:asciiTheme="minorEastAsia" w:hAnsiTheme="minorEastAsia" w:cstheme="minorEastAsia"/>
                <w:color w:val="auto"/>
                <w:sz w:val="24"/>
                <w:szCs w:val="24"/>
                <w:highlight w:val="none"/>
                <w:lang w:val="en-US" w:eastAsia="zh-CN"/>
              </w:rPr>
            </w:pPr>
            <w:r>
              <w:rPr>
                <w:rFonts w:hint="eastAsia" w:ascii="宋体" w:hAnsi="宋体" w:cs="宋体"/>
                <w:sz w:val="24"/>
                <w:highlight w:val="none"/>
              </w:rPr>
              <w:t>合同签订后甲方付款至合同价（不含备用金）的30%预付款，按照施工进度付款至合同价</w:t>
            </w:r>
            <w:r>
              <w:rPr>
                <w:rFonts w:hint="eastAsia" w:ascii="宋体" w:hAnsi="宋体" w:eastAsia="宋体" w:cs="宋体"/>
                <w:sz w:val="24"/>
                <w:highlight w:val="none"/>
                <w:lang w:val="en-US" w:eastAsia="zh-CN"/>
              </w:rPr>
              <w:t>60%</w:t>
            </w:r>
            <w:r>
              <w:rPr>
                <w:rFonts w:hint="eastAsia" w:ascii="宋体" w:hAnsi="宋体" w:cs="宋体"/>
                <w:sz w:val="24"/>
                <w:highlight w:val="none"/>
              </w:rPr>
              <w:t>，完成工程目标并验收合格后付款至合同价款（不含备用金）的90%，竣工结算完成并将全部竣工资料做好交与发包方后支付至结算审定价的97%，留结算审定价的3%质量保修金或同等金额的保函，待竣工验收合格一年后，无质量问题，退还质保金</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具体以双方签订合同为准）</w:t>
            </w:r>
          </w:p>
        </w:tc>
      </w:tr>
      <w:tr w14:paraId="412D2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817" w:type="dxa"/>
            <w:vAlign w:val="center"/>
          </w:tcPr>
          <w:p w14:paraId="2BF88A71">
            <w:pPr>
              <w:pageBreakBefore w:val="0"/>
              <w:kinsoku/>
              <w:wordWrap/>
              <w:overflowPunct/>
              <w:topLinePunct w:val="0"/>
              <w:bidi w:val="0"/>
              <w:spacing w:line="360" w:lineRule="auto"/>
              <w:ind w:right="-108" w:rightChars="-45"/>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7</w:t>
            </w:r>
          </w:p>
        </w:tc>
        <w:tc>
          <w:tcPr>
            <w:tcW w:w="2045" w:type="dxa"/>
            <w:tcMar>
              <w:top w:w="0" w:type="dxa"/>
              <w:left w:w="108" w:type="dxa"/>
              <w:bottom w:w="0" w:type="dxa"/>
              <w:right w:w="108" w:type="dxa"/>
            </w:tcMar>
            <w:vAlign w:val="center"/>
          </w:tcPr>
          <w:p w14:paraId="1021538A">
            <w:pPr>
              <w:pageBreakBefore w:val="0"/>
              <w:kinsoku/>
              <w:wordWrap/>
              <w:overflowPunct/>
              <w:topLinePunct w:val="0"/>
              <w:bidi w:val="0"/>
              <w:spacing w:line="360" w:lineRule="auto"/>
              <w:ind w:right="-48" w:rightChars="-2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采购</w:t>
            </w:r>
            <w:r>
              <w:rPr>
                <w:rFonts w:hint="eastAsia" w:asciiTheme="minorEastAsia" w:hAnsiTheme="minorEastAsia" w:eastAsiaTheme="minorEastAsia" w:cstheme="minorEastAsia"/>
                <w:color w:val="auto"/>
                <w:sz w:val="24"/>
                <w:szCs w:val="24"/>
                <w:highlight w:val="none"/>
                <w:lang w:eastAsia="zh-CN"/>
              </w:rPr>
              <w:t>代理</w:t>
            </w:r>
            <w:r>
              <w:rPr>
                <w:rFonts w:hint="eastAsia" w:asciiTheme="minorEastAsia" w:hAnsiTheme="minorEastAsia" w:eastAsiaTheme="minorEastAsia" w:cstheme="minorEastAsia"/>
                <w:color w:val="auto"/>
                <w:sz w:val="24"/>
                <w:szCs w:val="24"/>
                <w:highlight w:val="none"/>
              </w:rPr>
              <w:t>服务费</w:t>
            </w:r>
          </w:p>
        </w:tc>
        <w:tc>
          <w:tcPr>
            <w:tcW w:w="6947" w:type="dxa"/>
            <w:vAlign w:val="center"/>
          </w:tcPr>
          <w:p w14:paraId="6046665B">
            <w:pPr>
              <w:tabs>
                <w:tab w:val="left" w:pos="840"/>
              </w:tabs>
              <w:spacing w:line="360" w:lineRule="auto"/>
              <w:ind w:left="12" w:leftChars="0" w:hanging="12" w:hangingChars="5"/>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采购代理服务费：政府采购代理服务费按国家发改委计价格[2002]1980号文、发改办价格[2003]857号文计取。</w:t>
            </w:r>
          </w:p>
        </w:tc>
      </w:tr>
      <w:tr w14:paraId="48EC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817" w:type="dxa"/>
            <w:vAlign w:val="center"/>
          </w:tcPr>
          <w:p w14:paraId="0FAF88D9">
            <w:pPr>
              <w:pageBreakBefore w:val="0"/>
              <w:kinsoku/>
              <w:wordWrap/>
              <w:overflowPunct/>
              <w:topLinePunct w:val="0"/>
              <w:bidi w:val="0"/>
              <w:spacing w:line="360" w:lineRule="auto"/>
              <w:ind w:right="-108" w:rightChars="-45"/>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28</w:t>
            </w:r>
          </w:p>
        </w:tc>
        <w:tc>
          <w:tcPr>
            <w:tcW w:w="2045" w:type="dxa"/>
            <w:tcMar>
              <w:top w:w="0" w:type="dxa"/>
              <w:left w:w="108" w:type="dxa"/>
              <w:bottom w:w="0" w:type="dxa"/>
              <w:right w:w="108" w:type="dxa"/>
            </w:tcMar>
            <w:vAlign w:val="center"/>
          </w:tcPr>
          <w:p w14:paraId="7765DDE2">
            <w:pPr>
              <w:pageBreakBefore w:val="0"/>
              <w:kinsoku/>
              <w:wordWrap/>
              <w:overflowPunct/>
              <w:topLinePunct w:val="0"/>
              <w:bidi w:val="0"/>
              <w:spacing w:line="360" w:lineRule="auto"/>
              <w:ind w:right="-48" w:rightChars="-2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履约担保</w:t>
            </w:r>
          </w:p>
        </w:tc>
        <w:tc>
          <w:tcPr>
            <w:tcW w:w="6947" w:type="dxa"/>
            <w:vAlign w:val="center"/>
          </w:tcPr>
          <w:p w14:paraId="54C95334">
            <w:pPr>
              <w:tabs>
                <w:tab w:val="left" w:pos="840"/>
              </w:tabs>
              <w:spacing w:line="360" w:lineRule="auto"/>
              <w:ind w:left="12" w:leftChars="0" w:hanging="12" w:hangingChars="5"/>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履约担保的形式：</w:t>
            </w:r>
            <w:bookmarkStart w:id="32" w:name="EBb919df66e89e445baf1a87b9696b29e4"/>
            <w:r>
              <w:rPr>
                <w:rFonts w:hint="eastAsia" w:asciiTheme="minorEastAsia" w:hAnsiTheme="minorEastAsia" w:eastAsiaTheme="minorEastAsia" w:cstheme="minorEastAsia"/>
                <w:color w:val="auto"/>
                <w:kern w:val="2"/>
                <w:sz w:val="24"/>
                <w:szCs w:val="24"/>
                <w:highlight w:val="none"/>
                <w:lang w:val="en-US" w:eastAsia="zh-CN" w:bidi="ar-SA"/>
              </w:rPr>
              <w:t>银行转账或银行保函</w:t>
            </w:r>
            <w:bookmarkEnd w:id="32"/>
          </w:p>
          <w:p w14:paraId="1BDE8992">
            <w:pPr>
              <w:tabs>
                <w:tab w:val="left" w:pos="840"/>
              </w:tabs>
              <w:spacing w:line="360" w:lineRule="auto"/>
              <w:ind w:left="12" w:leftChars="0" w:hanging="12" w:hangingChars="5"/>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履约担保的金额：</w:t>
            </w:r>
            <w:bookmarkStart w:id="33" w:name="EBdaa33af3cb9f48889050d0852ea52410"/>
            <w:r>
              <w:rPr>
                <w:rFonts w:hint="eastAsia" w:asciiTheme="minorEastAsia" w:hAnsiTheme="minorEastAsia" w:eastAsiaTheme="minorEastAsia" w:cstheme="minorEastAsia"/>
                <w:color w:val="auto"/>
                <w:kern w:val="2"/>
                <w:sz w:val="24"/>
                <w:szCs w:val="24"/>
                <w:highlight w:val="none"/>
                <w:lang w:val="en-US" w:eastAsia="zh-CN" w:bidi="ar-SA"/>
              </w:rPr>
              <w:t>签约合同价（不含暂列金额）的5%</w:t>
            </w:r>
            <w:bookmarkEnd w:id="33"/>
          </w:p>
        </w:tc>
      </w:tr>
      <w:tr w14:paraId="00059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817" w:type="dxa"/>
            <w:vAlign w:val="center"/>
          </w:tcPr>
          <w:p w14:paraId="22F9F1A1">
            <w:pPr>
              <w:pageBreakBefore w:val="0"/>
              <w:kinsoku/>
              <w:wordWrap/>
              <w:overflowPunct/>
              <w:topLinePunct w:val="0"/>
              <w:bidi w:val="0"/>
              <w:spacing w:line="360" w:lineRule="auto"/>
              <w:ind w:right="-108" w:rightChars="-45"/>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29</w:t>
            </w:r>
          </w:p>
        </w:tc>
        <w:tc>
          <w:tcPr>
            <w:tcW w:w="2045" w:type="dxa"/>
            <w:tcMar>
              <w:top w:w="0" w:type="dxa"/>
              <w:left w:w="108" w:type="dxa"/>
              <w:bottom w:w="0" w:type="dxa"/>
              <w:right w:w="108" w:type="dxa"/>
            </w:tcMar>
            <w:vAlign w:val="center"/>
          </w:tcPr>
          <w:p w14:paraId="78E6C42B">
            <w:pPr>
              <w:pageBreakBefore w:val="0"/>
              <w:kinsoku/>
              <w:wordWrap/>
              <w:overflowPunct/>
              <w:topLinePunct w:val="0"/>
              <w:bidi w:val="0"/>
              <w:spacing w:line="360" w:lineRule="auto"/>
              <w:ind w:right="-48" w:rightChars="-2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农民工工资保证金</w:t>
            </w:r>
          </w:p>
        </w:tc>
        <w:tc>
          <w:tcPr>
            <w:tcW w:w="6947" w:type="dxa"/>
            <w:vAlign w:val="center"/>
          </w:tcPr>
          <w:p w14:paraId="65BF2D51">
            <w:pPr>
              <w:tabs>
                <w:tab w:val="left" w:pos="840"/>
              </w:tabs>
              <w:spacing w:line="360" w:lineRule="auto"/>
              <w:ind w:left="12" w:leftChars="0" w:hanging="12" w:hangingChars="5"/>
              <w:rPr>
                <w:rFonts w:hint="default" w:eastAsia="宋体" w:asciiTheme="minorEastAsia" w:hAnsiTheme="minorEastAsia" w:cstheme="minorEastAsia"/>
                <w:color w:val="auto"/>
                <w:kern w:val="2"/>
                <w:sz w:val="24"/>
                <w:szCs w:val="24"/>
                <w:highlight w:val="none"/>
                <w:lang w:val="en-US" w:eastAsia="zh-CN" w:bidi="ar-SA"/>
              </w:rPr>
            </w:pPr>
            <w:bookmarkStart w:id="34" w:name="EB7db8a8d8a4d7406e8f2cdbcda65cf7fc"/>
            <w:r>
              <w:rPr>
                <w:rFonts w:hint="eastAsia" w:asciiTheme="minorEastAsia" w:hAnsiTheme="minorEastAsia" w:eastAsiaTheme="minorEastAsia" w:cstheme="minorEastAsia"/>
                <w:color w:val="auto"/>
                <w:kern w:val="2"/>
                <w:sz w:val="24"/>
                <w:szCs w:val="24"/>
                <w:highlight w:val="none"/>
                <w:lang w:val="en-US" w:eastAsia="zh-CN" w:bidi="ar-SA"/>
              </w:rPr>
              <w:t>根据人社部新规：工程建设领域农民工工资保证金规定（2021.11.1日施行）及新疆维吾尔自治区有关最新规定执行</w:t>
            </w:r>
            <w:bookmarkEnd w:id="34"/>
            <w:r>
              <w:rPr>
                <w:rFonts w:hint="eastAsia" w:asciiTheme="minorEastAsia" w:hAnsiTheme="minorEastAsia" w:eastAsiaTheme="minorEastAsia" w:cstheme="minorEastAsia"/>
                <w:color w:val="auto"/>
                <w:kern w:val="2"/>
                <w:sz w:val="24"/>
                <w:szCs w:val="24"/>
                <w:highlight w:val="none"/>
                <w:lang w:val="en-US" w:eastAsia="zh-CN" w:bidi="ar-SA"/>
              </w:rPr>
              <w:t>。</w:t>
            </w:r>
            <w:r>
              <w:rPr>
                <w:rFonts w:hint="eastAsia" w:ascii="宋体" w:hAnsi="宋体" w:cs="宋体"/>
                <w:color w:val="auto"/>
                <w:sz w:val="24"/>
                <w:szCs w:val="24"/>
                <w:highlight w:val="none"/>
              </w:rPr>
              <w:t>在签订合同前，中标人应按阿地建财【2016】198号文《关于推行工程建设领域农民工工资银行保函的通知》中规定的农民工工资保证金交纳比例（农民工工资保证金按中标合同价款500万元以下的4%、500万元至1000万元的3%、1000万元至1亿元的2%、1亿元以上的1%的标准缴纳。），以现金的形式向发包人交纳农民工工资保证金。农民工工资保证金应交入发包人指定帐户，用于支付民工工资保证金。发包人在确认收到农民工工资保证金，方可与承包人签订施工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供应商后附无拖欠农民工工资证明。（无证明需后附佐证材料为何无证明）</w:t>
            </w:r>
          </w:p>
        </w:tc>
      </w:tr>
      <w:tr w14:paraId="7E594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817" w:type="dxa"/>
            <w:vAlign w:val="center"/>
          </w:tcPr>
          <w:p w14:paraId="275A0CCB">
            <w:pPr>
              <w:pageBreakBefore w:val="0"/>
              <w:kinsoku/>
              <w:wordWrap/>
              <w:overflowPunct/>
              <w:topLinePunct w:val="0"/>
              <w:bidi w:val="0"/>
              <w:spacing w:line="360" w:lineRule="auto"/>
              <w:ind w:right="-108" w:rightChars="-45"/>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30</w:t>
            </w:r>
          </w:p>
        </w:tc>
        <w:tc>
          <w:tcPr>
            <w:tcW w:w="2045" w:type="dxa"/>
            <w:tcMar>
              <w:top w:w="0" w:type="dxa"/>
              <w:left w:w="108" w:type="dxa"/>
              <w:bottom w:w="0" w:type="dxa"/>
              <w:right w:w="108" w:type="dxa"/>
            </w:tcMar>
            <w:vAlign w:val="center"/>
          </w:tcPr>
          <w:p w14:paraId="162A3E45">
            <w:pPr>
              <w:pageBreakBefore w:val="0"/>
              <w:kinsoku/>
              <w:wordWrap/>
              <w:overflowPunct/>
              <w:topLinePunct w:val="0"/>
              <w:bidi w:val="0"/>
              <w:spacing w:line="360" w:lineRule="auto"/>
              <w:ind w:right="-48" w:rightChars="-2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施工企业安全生产费用</w:t>
            </w:r>
          </w:p>
        </w:tc>
        <w:tc>
          <w:tcPr>
            <w:tcW w:w="6947" w:type="dxa"/>
            <w:vAlign w:val="center"/>
          </w:tcPr>
          <w:p w14:paraId="7017EEF2">
            <w:pPr>
              <w:tabs>
                <w:tab w:val="left" w:pos="840"/>
              </w:tabs>
              <w:spacing w:line="360" w:lineRule="auto"/>
              <w:ind w:left="12" w:leftChars="0" w:hanging="12" w:hangingChars="5"/>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根据国家及自治区最新相关规定执行</w:t>
            </w:r>
          </w:p>
        </w:tc>
      </w:tr>
      <w:tr w14:paraId="2419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817" w:type="dxa"/>
            <w:vAlign w:val="center"/>
          </w:tcPr>
          <w:p w14:paraId="602A2338">
            <w:pPr>
              <w:pageBreakBefore w:val="0"/>
              <w:kinsoku/>
              <w:wordWrap/>
              <w:overflowPunct/>
              <w:topLinePunct w:val="0"/>
              <w:bidi w:val="0"/>
              <w:spacing w:line="360" w:lineRule="auto"/>
              <w:ind w:right="-108" w:rightChars="-45"/>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31</w:t>
            </w:r>
          </w:p>
        </w:tc>
        <w:tc>
          <w:tcPr>
            <w:tcW w:w="2045" w:type="dxa"/>
            <w:tcMar>
              <w:top w:w="0" w:type="dxa"/>
              <w:left w:w="108" w:type="dxa"/>
              <w:bottom w:w="0" w:type="dxa"/>
              <w:right w:w="108" w:type="dxa"/>
            </w:tcMar>
            <w:vAlign w:val="center"/>
          </w:tcPr>
          <w:p w14:paraId="71CED7D6">
            <w:pPr>
              <w:pageBreakBefore w:val="0"/>
              <w:kinsoku/>
              <w:wordWrap/>
              <w:overflowPunct/>
              <w:topLinePunct w:val="0"/>
              <w:bidi w:val="0"/>
              <w:spacing w:line="360" w:lineRule="auto"/>
              <w:ind w:right="-48" w:rightChars="-2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中标结果公示</w:t>
            </w:r>
          </w:p>
        </w:tc>
        <w:tc>
          <w:tcPr>
            <w:tcW w:w="6947" w:type="dxa"/>
            <w:vAlign w:val="center"/>
          </w:tcPr>
          <w:p w14:paraId="7772E524">
            <w:pPr>
              <w:tabs>
                <w:tab w:val="left" w:pos="840"/>
              </w:tabs>
              <w:spacing w:line="360" w:lineRule="auto"/>
              <w:ind w:left="12" w:leftChars="0" w:hanging="12" w:hangingChars="5"/>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在新疆政府采购网公示1个工作日</w:t>
            </w:r>
          </w:p>
        </w:tc>
      </w:tr>
      <w:tr w14:paraId="6FDF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817" w:type="dxa"/>
            <w:vAlign w:val="center"/>
          </w:tcPr>
          <w:p w14:paraId="71FBD4B1">
            <w:pPr>
              <w:pageBreakBefore w:val="0"/>
              <w:kinsoku/>
              <w:wordWrap/>
              <w:overflowPunct/>
              <w:topLinePunct w:val="0"/>
              <w:bidi w:val="0"/>
              <w:spacing w:line="360" w:lineRule="auto"/>
              <w:ind w:right="-108" w:rightChars="-45"/>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32</w:t>
            </w:r>
          </w:p>
        </w:tc>
        <w:tc>
          <w:tcPr>
            <w:tcW w:w="2045" w:type="dxa"/>
            <w:tcMar>
              <w:top w:w="0" w:type="dxa"/>
              <w:left w:w="108" w:type="dxa"/>
              <w:bottom w:w="0" w:type="dxa"/>
              <w:right w:w="108" w:type="dxa"/>
            </w:tcMar>
            <w:vAlign w:val="center"/>
          </w:tcPr>
          <w:p w14:paraId="6586CA47">
            <w:pPr>
              <w:pageBreakBefore w:val="0"/>
              <w:kinsoku/>
              <w:wordWrap/>
              <w:overflowPunct/>
              <w:topLinePunct w:val="0"/>
              <w:bidi w:val="0"/>
              <w:spacing w:line="360" w:lineRule="auto"/>
              <w:ind w:right="-48" w:rightChars="-2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备注1</w:t>
            </w:r>
          </w:p>
        </w:tc>
        <w:tc>
          <w:tcPr>
            <w:tcW w:w="6947" w:type="dxa"/>
            <w:vAlign w:val="center"/>
          </w:tcPr>
          <w:p w14:paraId="0BEC1FE8">
            <w:pPr>
              <w:numPr>
                <w:ilvl w:val="0"/>
                <w:numId w:val="3"/>
              </w:numPr>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本项目实行网上投标，采用电子</w:t>
            </w:r>
            <w:r>
              <w:rPr>
                <w:rFonts w:hint="eastAsia" w:eastAsia="宋体" w:cs="Times New Roman"/>
                <w:highlight w:val="none"/>
                <w:lang w:val="en-US" w:eastAsia="zh-CN"/>
              </w:rPr>
              <w:t>响应文件</w:t>
            </w:r>
            <w:r>
              <w:rPr>
                <w:rFonts w:hint="eastAsia" w:ascii="Times New Roman" w:hAnsi="Times New Roman" w:eastAsia="宋体" w:cs="Times New Roman"/>
                <w:highlight w:val="none"/>
                <w:lang w:val="en-US" w:eastAsia="zh-CN"/>
              </w:rPr>
              <w:t>。若供应商参与投标，自行承担投标一切费用。</w:t>
            </w:r>
          </w:p>
          <w:p w14:paraId="2B2DB350">
            <w:pPr>
              <w:numPr>
                <w:ilvl w:val="0"/>
                <w:numId w:val="3"/>
              </w:numPr>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各供应商应在开标前确保成为新疆维吾尔自治区政府采购网正式注册入库供应商，并完成CA数字证书申领。因未注册入库、未办理CA数字证书等原因造成无法投标或投标失败等后果由供应商自行承担。</w:t>
            </w:r>
          </w:p>
          <w:p w14:paraId="678BDDA2">
            <w:pPr>
              <w:numPr>
                <w:ilvl w:val="0"/>
                <w:numId w:val="3"/>
              </w:numPr>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投标供应商应当在投标截止时间前，将生成的“电子加密</w:t>
            </w:r>
            <w:r>
              <w:rPr>
                <w:rFonts w:hint="eastAsia" w:eastAsia="宋体" w:cs="Times New Roman"/>
                <w:highlight w:val="none"/>
                <w:lang w:val="en-US" w:eastAsia="zh-CN"/>
              </w:rPr>
              <w:t>响应文件</w:t>
            </w:r>
            <w:r>
              <w:rPr>
                <w:rFonts w:hint="eastAsia" w:ascii="Times New Roman" w:hAnsi="Times New Roman" w:eastAsia="宋体" w:cs="Times New Roman"/>
                <w:highlight w:val="none"/>
                <w:lang w:val="en-US" w:eastAsia="zh-CN"/>
              </w:rPr>
              <w:t>”上传递交至“政府采购云平台”。投标截止时间以后上传递交的</w:t>
            </w:r>
            <w:r>
              <w:rPr>
                <w:rFonts w:hint="eastAsia" w:eastAsia="宋体" w:cs="Times New Roman"/>
                <w:highlight w:val="none"/>
                <w:lang w:val="en-US" w:eastAsia="zh-CN"/>
              </w:rPr>
              <w:t>响应文件</w:t>
            </w:r>
            <w:r>
              <w:rPr>
                <w:rFonts w:hint="eastAsia" w:ascii="Times New Roman" w:hAnsi="Times New Roman" w:eastAsia="宋体" w:cs="Times New Roman"/>
                <w:highlight w:val="none"/>
                <w:lang w:val="en-US" w:eastAsia="zh-CN"/>
              </w:rPr>
              <w:t>将被“政府采购云平台”拒收。</w:t>
            </w:r>
          </w:p>
          <w:p w14:paraId="45B55F25">
            <w:pPr>
              <w:numPr>
                <w:ilvl w:val="0"/>
                <w:numId w:val="3"/>
              </w:numPr>
              <w:spacing w:line="360" w:lineRule="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eastAsia="宋体" w:cs="Times New Roman"/>
                <w:highlight w:val="none"/>
                <w:lang w:val="en-US" w:eastAsia="zh-CN"/>
              </w:rPr>
              <w:t>响应文件</w:t>
            </w:r>
            <w:r>
              <w:rPr>
                <w:rFonts w:hint="eastAsia" w:ascii="Times New Roman" w:hAnsi="Times New Roman" w:eastAsia="宋体" w:cs="Times New Roman"/>
                <w:highlight w:val="none"/>
                <w:lang w:val="en-US" w:eastAsia="zh-CN"/>
              </w:rPr>
              <w:t>解密时间为30分钟，供应商可以登录“政采云”平台，用“项目采购-开标评标”功能进行解密</w:t>
            </w:r>
            <w:r>
              <w:rPr>
                <w:rFonts w:hint="eastAsia" w:eastAsia="宋体" w:cs="Times New Roman"/>
                <w:highlight w:val="none"/>
                <w:lang w:val="en-US" w:eastAsia="zh-CN"/>
              </w:rPr>
              <w:t>响应文件</w:t>
            </w:r>
            <w:r>
              <w:rPr>
                <w:rFonts w:hint="eastAsia" w:ascii="Times New Roman" w:hAnsi="Times New Roman" w:eastAsia="宋体" w:cs="Times New Roman"/>
                <w:highlight w:val="none"/>
                <w:lang w:val="en-US" w:eastAsia="zh-CN"/>
              </w:rPr>
              <w:t>。若供应商在招标规定的时间内未按时解密的，视为</w:t>
            </w:r>
            <w:r>
              <w:rPr>
                <w:rFonts w:hint="eastAsia" w:eastAsia="宋体" w:cs="Times New Roman"/>
                <w:highlight w:val="none"/>
                <w:lang w:val="en-US" w:eastAsia="zh-CN"/>
              </w:rPr>
              <w:t>响应文件</w:t>
            </w:r>
            <w:r>
              <w:rPr>
                <w:rFonts w:hint="eastAsia" w:ascii="Times New Roman" w:hAnsi="Times New Roman" w:eastAsia="宋体" w:cs="Times New Roman"/>
                <w:highlight w:val="none"/>
                <w:lang w:val="en-US" w:eastAsia="zh-CN"/>
              </w:rPr>
              <w:t>撤回。因网上招标系统故障导致所有供应商均解密失败，由采购人或采购代理机构现场请示项目主管部门处理</w:t>
            </w:r>
            <w:r>
              <w:rPr>
                <w:rFonts w:hint="eastAsia" w:cs="Times New Roman"/>
                <w:highlight w:val="none"/>
                <w:lang w:val="en-US" w:eastAsia="zh-CN"/>
              </w:rPr>
              <w:t>。</w:t>
            </w:r>
          </w:p>
        </w:tc>
      </w:tr>
      <w:tr w14:paraId="16A9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17" w:type="dxa"/>
            <w:vAlign w:val="center"/>
          </w:tcPr>
          <w:p w14:paraId="1FC73709">
            <w:pPr>
              <w:pageBreakBefore w:val="0"/>
              <w:kinsoku/>
              <w:wordWrap/>
              <w:overflowPunct/>
              <w:topLinePunct w:val="0"/>
              <w:bidi w:val="0"/>
              <w:spacing w:line="360" w:lineRule="auto"/>
              <w:ind w:right="-108" w:rightChars="-45"/>
              <w:jc w:val="center"/>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33</w:t>
            </w:r>
          </w:p>
        </w:tc>
        <w:tc>
          <w:tcPr>
            <w:tcW w:w="2045" w:type="dxa"/>
            <w:tcMar>
              <w:top w:w="0" w:type="dxa"/>
              <w:left w:w="108" w:type="dxa"/>
              <w:bottom w:w="0" w:type="dxa"/>
              <w:right w:w="108" w:type="dxa"/>
            </w:tcMar>
            <w:vAlign w:val="center"/>
          </w:tcPr>
          <w:p w14:paraId="4C252B73">
            <w:pPr>
              <w:keepNext w:val="0"/>
              <w:keepLines w:val="0"/>
              <w:pageBreakBefore w:val="0"/>
              <w:widowControl w:val="0"/>
              <w:kinsoku/>
              <w:wordWrap/>
              <w:overflowPunct/>
              <w:topLinePunct w:val="0"/>
              <w:autoSpaceDE/>
              <w:autoSpaceDN/>
              <w:bidi w:val="0"/>
              <w:adjustRightInd/>
              <w:snapToGrid/>
              <w:spacing w:line="360" w:lineRule="auto"/>
              <w:ind w:right="-48" w:rightChars="-20"/>
              <w:jc w:val="center"/>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备注2</w:t>
            </w:r>
          </w:p>
        </w:tc>
        <w:tc>
          <w:tcPr>
            <w:tcW w:w="6947" w:type="dxa"/>
            <w:vAlign w:val="center"/>
          </w:tcPr>
          <w:p w14:paraId="47C8B8C4">
            <w:pPr>
              <w:numPr>
                <w:ilvl w:val="0"/>
                <w:numId w:val="4"/>
              </w:numPr>
              <w:spacing w:line="360" w:lineRule="auto"/>
              <w:rPr>
                <w:rFonts w:hint="eastAsia"/>
                <w:highlight w:val="none"/>
              </w:rPr>
            </w:pPr>
            <w:r>
              <w:rPr>
                <w:rFonts w:hint="eastAsia"/>
                <w:highlight w:val="none"/>
              </w:rPr>
              <w:t>供应商所报服务等同或不得低于</w:t>
            </w:r>
            <w:r>
              <w:rPr>
                <w:rFonts w:hint="eastAsia"/>
                <w:highlight w:val="none"/>
                <w:lang w:eastAsia="zh-CN"/>
              </w:rPr>
              <w:t>谈判</w:t>
            </w:r>
            <w:r>
              <w:rPr>
                <w:rFonts w:hint="eastAsia"/>
                <w:highlight w:val="none"/>
              </w:rPr>
              <w:t>文件要求的</w:t>
            </w:r>
            <w:r>
              <w:rPr>
                <w:rFonts w:hint="eastAsia"/>
                <w:highlight w:val="none"/>
                <w:lang w:eastAsia="zh-CN"/>
              </w:rPr>
              <w:t>服务</w:t>
            </w:r>
            <w:r>
              <w:rPr>
                <w:rFonts w:hint="eastAsia"/>
                <w:highlight w:val="none"/>
              </w:rPr>
              <w:t>要求。任何对</w:t>
            </w:r>
            <w:r>
              <w:rPr>
                <w:rFonts w:hint="eastAsia"/>
                <w:highlight w:val="none"/>
                <w:lang w:eastAsia="zh-CN"/>
              </w:rPr>
              <w:t>谈判</w:t>
            </w:r>
            <w:r>
              <w:rPr>
                <w:rFonts w:hint="eastAsia"/>
                <w:highlight w:val="none"/>
              </w:rPr>
              <w:t>文件的忽略或误解不能作为响应文件存在缺陷或瑕疵的理由，其风险由供应商承担。</w:t>
            </w:r>
          </w:p>
          <w:p w14:paraId="6CF7FA43">
            <w:pPr>
              <w:numPr>
                <w:ilvl w:val="0"/>
                <w:numId w:val="4"/>
              </w:numPr>
              <w:spacing w:line="360" w:lineRule="auto"/>
              <w:ind w:left="0" w:leftChars="0" w:firstLine="0" w:firstLineChars="0"/>
              <w:rPr>
                <w:rFonts w:hint="eastAsia"/>
                <w:highlight w:val="none"/>
              </w:rPr>
            </w:pPr>
            <w:r>
              <w:rPr>
                <w:rFonts w:hint="eastAsia"/>
                <w:highlight w:val="none"/>
              </w:rPr>
              <w:t>供应商应保证，在中华人民共和国境内使用投标成果、服务或其任何一部分时，不会产生因第三方提出侵犯其专利权或其它知识产权而引起的法律和经济纠纷。</w:t>
            </w:r>
          </w:p>
          <w:p w14:paraId="31BC9B3B">
            <w:pPr>
              <w:pStyle w:val="2"/>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lang w:val="en-US" w:eastAsia="zh-CN"/>
              </w:rPr>
            </w:pPr>
            <w:r>
              <w:rPr>
                <w:rFonts w:hint="eastAsia" w:ascii="Times New Roman" w:hAnsi="Times New Roman" w:eastAsia="Times New Roman" w:cs="Times New Roman"/>
                <w:sz w:val="24"/>
                <w:szCs w:val="24"/>
                <w:highlight w:val="none"/>
                <w:lang w:val="en-US" w:eastAsia="zh-CN"/>
              </w:rPr>
              <w:t>后附对</w:t>
            </w:r>
            <w:r>
              <w:rPr>
                <w:rFonts w:hint="eastAsia" w:eastAsia="Times New Roman" w:cs="Times New Roman"/>
                <w:sz w:val="24"/>
                <w:szCs w:val="24"/>
                <w:highlight w:val="none"/>
                <w:lang w:val="en-US" w:eastAsia="zh-CN"/>
              </w:rPr>
              <w:t>响应文件</w:t>
            </w:r>
            <w:r>
              <w:rPr>
                <w:rFonts w:hint="eastAsia" w:ascii="Times New Roman" w:hAnsi="Times New Roman" w:eastAsia="Times New Roman" w:cs="Times New Roman"/>
                <w:sz w:val="24"/>
                <w:szCs w:val="24"/>
                <w:highlight w:val="none"/>
                <w:lang w:val="en-US" w:eastAsia="zh-CN"/>
              </w:rPr>
              <w:t>中提供的所有资料真实性进行承诺</w:t>
            </w:r>
            <w:r>
              <w:rPr>
                <w:rFonts w:hint="eastAsia" w:eastAsia="Times New Roman" w:cs="Times New Roman"/>
                <w:sz w:val="24"/>
                <w:szCs w:val="24"/>
                <w:highlight w:val="none"/>
                <w:lang w:val="en-US" w:eastAsia="zh-CN"/>
              </w:rPr>
              <w:t>并由法定代表人和授权委托人签字和盖章，对项目经理必须到场进行承诺由法定代表人签字盖章及项目经理签字</w:t>
            </w:r>
            <w:r>
              <w:rPr>
                <w:rFonts w:hint="eastAsia" w:ascii="Times New Roman" w:hAnsi="Times New Roman" w:eastAsia="Times New Roman" w:cs="Times New Roman"/>
                <w:sz w:val="24"/>
                <w:szCs w:val="24"/>
                <w:highlight w:val="none"/>
                <w:lang w:val="en-US" w:eastAsia="zh-CN"/>
              </w:rPr>
              <w:t>，信用中国查询时间为文件发布之日之后开标截至之日之前。以上条件若有一项不满足责视为无效</w:t>
            </w:r>
            <w:r>
              <w:rPr>
                <w:rFonts w:hint="eastAsia" w:eastAsia="Times New Roman" w:cs="Times New Roman"/>
                <w:sz w:val="24"/>
                <w:szCs w:val="24"/>
                <w:highlight w:val="none"/>
                <w:lang w:val="en-US" w:eastAsia="zh-CN"/>
              </w:rPr>
              <w:t>响应文件</w:t>
            </w:r>
            <w:r>
              <w:rPr>
                <w:rFonts w:hint="eastAsia" w:ascii="Times New Roman" w:hAnsi="Times New Roman" w:eastAsia="Times New Roman" w:cs="Times New Roman"/>
                <w:sz w:val="24"/>
                <w:szCs w:val="24"/>
                <w:highlight w:val="none"/>
                <w:lang w:val="en-US" w:eastAsia="zh-CN"/>
              </w:rPr>
              <w:t>。</w:t>
            </w:r>
          </w:p>
        </w:tc>
      </w:tr>
      <w:tr w14:paraId="4F082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817" w:type="dxa"/>
            <w:vAlign w:val="center"/>
          </w:tcPr>
          <w:p w14:paraId="05F04268">
            <w:pPr>
              <w:pageBreakBefore w:val="0"/>
              <w:kinsoku/>
              <w:wordWrap/>
              <w:overflowPunct/>
              <w:topLinePunct w:val="0"/>
              <w:bidi w:val="0"/>
              <w:spacing w:line="360" w:lineRule="auto"/>
              <w:ind w:right="-108" w:rightChars="-45"/>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34</w:t>
            </w:r>
          </w:p>
        </w:tc>
        <w:tc>
          <w:tcPr>
            <w:tcW w:w="2045" w:type="dxa"/>
            <w:tcMar>
              <w:top w:w="0" w:type="dxa"/>
              <w:left w:w="108" w:type="dxa"/>
              <w:bottom w:w="0" w:type="dxa"/>
              <w:right w:w="108" w:type="dxa"/>
            </w:tcMar>
            <w:vAlign w:val="center"/>
          </w:tcPr>
          <w:p w14:paraId="3C4ACF1B">
            <w:pPr>
              <w:keepNext w:val="0"/>
              <w:keepLines w:val="0"/>
              <w:pageBreakBefore w:val="0"/>
              <w:widowControl w:val="0"/>
              <w:kinsoku/>
              <w:wordWrap/>
              <w:overflowPunct/>
              <w:topLinePunct w:val="0"/>
              <w:autoSpaceDE/>
              <w:autoSpaceDN/>
              <w:bidi w:val="0"/>
              <w:adjustRightInd/>
              <w:snapToGrid/>
              <w:spacing w:line="360" w:lineRule="auto"/>
              <w:ind w:right="-48" w:rightChars="-20"/>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解释权</w:t>
            </w:r>
          </w:p>
        </w:tc>
        <w:tc>
          <w:tcPr>
            <w:tcW w:w="6947" w:type="dxa"/>
            <w:vAlign w:val="center"/>
          </w:tcPr>
          <w:p w14:paraId="7B3084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构成本谈判文件的各个组成文件应互为解释，互为说明；如有不明确或不一致，构成合同文件组成内容，以合同文件约定内容为准，且以专用合同条款约定的合同文件优先顺序解释；除谈判文件中有特别规定外，仅适用于招标投标阶段的规定，按谈判公告（投标邀请书）、供应商须知、评标办法、响应文件格式的先后顺序解释；同一组成文件中就同一事项的规定或约定不一致的，以编排顺序在后者为准；同一组成文件不同版本之间有不一致的，以形成时间在后者为准。按本款前述规定仍不成形成结论的，由采购人负责解释。</w:t>
            </w:r>
          </w:p>
        </w:tc>
      </w:tr>
      <w:tr w14:paraId="6C64B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809" w:type="dxa"/>
            <w:gridSpan w:val="3"/>
            <w:vAlign w:val="center"/>
          </w:tcPr>
          <w:p w14:paraId="4A2920D0">
            <w:pPr>
              <w:keepNext w:val="0"/>
              <w:keepLines w:val="0"/>
              <w:pageBreakBefore w:val="0"/>
              <w:widowControl w:val="0"/>
              <w:numPr>
                <w:ilvl w:val="0"/>
                <w:numId w:val="0"/>
              </w:numPr>
              <w:tabs>
                <w:tab w:val="left" w:pos="2580"/>
              </w:tabs>
              <w:kinsoku/>
              <w:wordWrap/>
              <w:overflowPunct/>
              <w:topLinePunct w:val="0"/>
              <w:autoSpaceDE/>
              <w:autoSpaceDN/>
              <w:bidi w:val="0"/>
              <w:adjustRightInd/>
              <w:snapToGrid/>
              <w:spacing w:line="360" w:lineRule="auto"/>
              <w:ind w:left="0" w:leftChars="0" w:firstLine="0" w:firstLineChars="0"/>
              <w:textAlignment w:val="auto"/>
              <w:rPr>
                <w:rFonts w:hint="default" w:asciiTheme="minorEastAsia" w:hAnsiTheme="minorEastAsia" w:eastAsiaTheme="minorEastAsia" w:cstheme="minorEastAsia"/>
                <w:color w:val="auto"/>
                <w:kern w:val="2"/>
                <w:sz w:val="24"/>
                <w:szCs w:val="24"/>
                <w:highlight w:val="none"/>
                <w:lang w:val="en-US" w:eastAsia="zh-CN" w:bidi="ar-SA"/>
              </w:rPr>
            </w:pPr>
          </w:p>
        </w:tc>
      </w:tr>
    </w:tbl>
    <w:p w14:paraId="2CC8D411">
      <w:pPr>
        <w:pageBreakBefore w:val="0"/>
        <w:kinsoku/>
        <w:wordWrap/>
        <w:overflowPunct/>
        <w:topLinePunct w:val="0"/>
        <w:bidi w:val="0"/>
        <w:spacing w:line="360" w:lineRule="auto"/>
        <w:ind w:right="560"/>
        <w:rPr>
          <w:rFonts w:hint="eastAsia"/>
          <w:color w:val="auto"/>
          <w:highlight w:val="none"/>
        </w:rPr>
      </w:pPr>
      <w:r>
        <w:rPr>
          <w:rFonts w:hint="eastAsia" w:ascii="宋体" w:hAnsi="宋体" w:eastAsia="宋体" w:cs="宋体"/>
          <w:color w:val="auto"/>
          <w:sz w:val="24"/>
          <w:highlight w:val="none"/>
        </w:rPr>
        <w:br w:type="page"/>
      </w:r>
      <w:bookmarkStart w:id="35" w:name="_Toc19400"/>
      <w:bookmarkStart w:id="36" w:name="_Toc14477"/>
    </w:p>
    <w:p w14:paraId="1CF1449B">
      <w:pPr>
        <w:pStyle w:val="7"/>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auto"/>
          <w:highlight w:val="none"/>
          <w:lang w:val="en-US"/>
        </w:rPr>
      </w:pPr>
      <w:bookmarkStart w:id="37" w:name="_Toc15010"/>
      <w:r>
        <w:rPr>
          <w:rFonts w:hint="eastAsia"/>
          <w:color w:val="auto"/>
          <w:highlight w:val="none"/>
        </w:rPr>
        <w:t>第一章</w:t>
      </w:r>
      <w:r>
        <w:rPr>
          <w:rFonts w:hint="eastAsia"/>
          <w:color w:val="auto"/>
          <w:highlight w:val="none"/>
          <w:lang w:val="en-US" w:eastAsia="zh-CN"/>
        </w:rPr>
        <w:t xml:space="preserve">  项目谈判有关说明</w:t>
      </w:r>
      <w:bookmarkEnd w:id="35"/>
      <w:bookmarkEnd w:id="36"/>
      <w:bookmarkEnd w:id="37"/>
    </w:p>
    <w:p w14:paraId="67A21D4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新疆坤合企业管理咨询有限公司</w:t>
      </w:r>
      <w:r>
        <w:rPr>
          <w:rFonts w:hint="eastAsia" w:ascii="宋体" w:hAnsi="宋体" w:eastAsia="宋体" w:cs="宋体"/>
          <w:color w:val="auto"/>
          <w:sz w:val="24"/>
          <w:highlight w:val="none"/>
        </w:rPr>
        <w:t>受</w:t>
      </w:r>
      <w:r>
        <w:rPr>
          <w:rFonts w:hint="eastAsia" w:ascii="宋体" w:hAnsi="宋体" w:cs="宋体"/>
          <w:color w:val="auto"/>
          <w:sz w:val="24"/>
          <w:highlight w:val="none"/>
          <w:u w:val="single"/>
          <w:lang w:val="en-US" w:eastAsia="zh-CN"/>
        </w:rPr>
        <w:t>青河县萨尔托海乡人民政府</w:t>
      </w:r>
      <w:r>
        <w:rPr>
          <w:rFonts w:hint="eastAsia" w:ascii="宋体" w:hAnsi="宋体" w:eastAsia="宋体" w:cs="宋体"/>
          <w:color w:val="auto"/>
          <w:sz w:val="24"/>
          <w:highlight w:val="none"/>
        </w:rPr>
        <w:t>委托，</w:t>
      </w:r>
      <w:r>
        <w:rPr>
          <w:rFonts w:hint="eastAsia" w:ascii="宋体" w:hAnsi="宋体" w:eastAsia="宋体" w:cs="宋体"/>
          <w:color w:val="auto"/>
          <w:sz w:val="24"/>
          <w:highlight w:val="none"/>
          <w:lang w:eastAsia="zh-CN"/>
        </w:rPr>
        <w:t>对</w:t>
      </w:r>
      <w:r>
        <w:rPr>
          <w:rFonts w:hint="eastAsia" w:ascii="宋体" w:hAnsi="宋体" w:eastAsia="宋体" w:cs="宋体"/>
          <w:color w:val="auto"/>
          <w:sz w:val="24"/>
          <w:highlight w:val="none"/>
        </w:rPr>
        <w:t>本项目进行</w:t>
      </w:r>
      <w:r>
        <w:rPr>
          <w:rFonts w:hint="eastAsia" w:ascii="宋体" w:hAnsi="宋体" w:cs="宋体"/>
          <w:color w:val="auto"/>
          <w:sz w:val="24"/>
          <w:highlight w:val="none"/>
          <w:u w:val="single"/>
          <w:lang w:val="en-US" w:eastAsia="zh-CN"/>
        </w:rPr>
        <w:t>竞争性谈判</w:t>
      </w:r>
      <w:r>
        <w:rPr>
          <w:rFonts w:hint="eastAsia" w:ascii="宋体" w:hAnsi="宋体" w:eastAsia="宋体" w:cs="宋体"/>
          <w:color w:val="auto"/>
          <w:sz w:val="24"/>
          <w:highlight w:val="none"/>
        </w:rPr>
        <w:t>采购</w:t>
      </w:r>
      <w:r>
        <w:rPr>
          <w:rFonts w:hint="eastAsia" w:ascii="宋体" w:hAnsi="宋体" w:cs="宋体"/>
          <w:color w:val="auto"/>
          <w:sz w:val="24"/>
          <w:highlight w:val="none"/>
          <w:lang w:eastAsia="zh-CN"/>
        </w:rPr>
        <w:t>招标</w:t>
      </w:r>
      <w:r>
        <w:rPr>
          <w:rFonts w:hint="eastAsia" w:ascii="宋体" w:hAnsi="宋体" w:eastAsia="宋体" w:cs="宋体"/>
          <w:color w:val="auto"/>
          <w:sz w:val="24"/>
          <w:highlight w:val="none"/>
        </w:rPr>
        <w:t>。</w:t>
      </w:r>
    </w:p>
    <w:p w14:paraId="0C33BC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 w:val="0"/>
          <w:bCs/>
          <w:color w:val="auto"/>
          <w:sz w:val="24"/>
          <w:highlight w:val="none"/>
        </w:rPr>
      </w:pPr>
      <w:r>
        <w:rPr>
          <w:rFonts w:hint="eastAsia" w:ascii="宋体" w:hAnsi="宋体" w:cs="宋体"/>
          <w:b w:val="0"/>
          <w:bCs/>
          <w:color w:val="auto"/>
          <w:sz w:val="24"/>
          <w:highlight w:val="none"/>
          <w:lang w:val="en-US" w:eastAsia="zh-CN"/>
        </w:rPr>
        <w:t>一、竞争性谈判项目</w:t>
      </w:r>
      <w:r>
        <w:rPr>
          <w:rFonts w:hint="eastAsia" w:ascii="宋体" w:hAnsi="宋体" w:eastAsia="宋体" w:cs="宋体"/>
          <w:b w:val="0"/>
          <w:bCs/>
          <w:color w:val="auto"/>
          <w:sz w:val="24"/>
          <w:highlight w:val="none"/>
        </w:rPr>
        <w:t>编号：</w:t>
      </w:r>
      <w:r>
        <w:rPr>
          <w:rFonts w:hint="eastAsia" w:ascii="宋体" w:hAnsi="宋体" w:cs="宋体"/>
          <w:b w:val="0"/>
          <w:bCs/>
          <w:color w:val="auto"/>
          <w:sz w:val="24"/>
          <w:highlight w:val="none"/>
          <w:lang w:val="en-US" w:eastAsia="zh-CN"/>
        </w:rPr>
        <w:t>XJHS-2025-58</w:t>
      </w:r>
    </w:p>
    <w:p w14:paraId="52DFB08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二、竞争性谈判</w:t>
      </w:r>
      <w:r>
        <w:rPr>
          <w:rFonts w:hint="eastAsia" w:ascii="宋体" w:hAnsi="宋体" w:eastAsia="宋体" w:cs="宋体"/>
          <w:b w:val="0"/>
          <w:bCs/>
          <w:color w:val="auto"/>
          <w:sz w:val="24"/>
          <w:highlight w:val="none"/>
        </w:rPr>
        <w:t>项目名称：</w:t>
      </w:r>
      <w:r>
        <w:rPr>
          <w:rFonts w:hint="eastAsia" w:ascii="宋体" w:hAnsi="宋体" w:cs="宋体"/>
          <w:b w:val="0"/>
          <w:bCs/>
          <w:color w:val="auto"/>
          <w:sz w:val="24"/>
          <w:highlight w:val="none"/>
          <w:lang w:val="en-US" w:eastAsia="zh-CN"/>
        </w:rPr>
        <w:t>青河县萨尔托海乡山区喀拉乔拉片区电力基础设施建设项目</w:t>
      </w:r>
    </w:p>
    <w:p w14:paraId="7890453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三</w:t>
      </w:r>
      <w:r>
        <w:rPr>
          <w:rFonts w:hint="eastAsia" w:ascii="宋体" w:hAnsi="宋体" w:cs="宋体"/>
          <w:b w:val="0"/>
          <w:bCs/>
          <w:color w:val="auto"/>
          <w:sz w:val="24"/>
          <w:highlight w:val="none"/>
          <w:lang w:eastAsia="zh-CN"/>
        </w:rPr>
        <w:t>、</w:t>
      </w:r>
      <w:r>
        <w:rPr>
          <w:rFonts w:hint="eastAsia" w:ascii="宋体" w:hAnsi="宋体" w:eastAsia="宋体" w:cs="宋体"/>
          <w:b w:val="0"/>
          <w:bCs/>
          <w:color w:val="auto"/>
          <w:sz w:val="24"/>
          <w:highlight w:val="none"/>
          <w:lang w:eastAsia="zh-CN"/>
        </w:rPr>
        <w:t>重要</w:t>
      </w:r>
      <w:r>
        <w:rPr>
          <w:rFonts w:hint="eastAsia" w:ascii="宋体" w:hAnsi="宋体" w:eastAsia="宋体" w:cs="宋体"/>
          <w:b w:val="0"/>
          <w:bCs/>
          <w:color w:val="auto"/>
          <w:sz w:val="24"/>
          <w:highlight w:val="none"/>
        </w:rPr>
        <w:t>说明：</w:t>
      </w:r>
    </w:p>
    <w:p w14:paraId="234530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default" w:ascii="宋体" w:hAnsi="宋体" w:eastAsia="宋体" w:cs="宋体"/>
          <w:color w:val="auto"/>
          <w:sz w:val="24"/>
          <w:highlight w:val="none"/>
          <w:lang w:val="en-US" w:eastAsia="zh-CN"/>
        </w:rPr>
      </w:pPr>
      <w:bookmarkStart w:id="38" w:name="_Toc11351"/>
      <w:bookmarkStart w:id="39" w:name="_Toc24646"/>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建设</w:t>
      </w:r>
      <w:r>
        <w:rPr>
          <w:rFonts w:hint="eastAsia" w:ascii="宋体" w:hAnsi="宋体" w:eastAsia="宋体" w:cs="宋体"/>
          <w:color w:val="auto"/>
          <w:sz w:val="24"/>
          <w:highlight w:val="none"/>
        </w:rPr>
        <w:t>地点：</w:t>
      </w:r>
      <w:bookmarkEnd w:id="38"/>
      <w:bookmarkEnd w:id="39"/>
      <w:r>
        <w:rPr>
          <w:rFonts w:hint="eastAsia" w:ascii="宋体" w:hAnsi="宋体" w:cs="宋体"/>
          <w:b w:val="0"/>
          <w:bCs/>
          <w:color w:val="auto"/>
          <w:sz w:val="24"/>
          <w:highlight w:val="none"/>
          <w:lang w:val="en-US" w:eastAsia="zh-CN"/>
        </w:rPr>
        <w:t>青河县</w:t>
      </w:r>
    </w:p>
    <w:p w14:paraId="5B6F53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2、采购</w:t>
      </w:r>
      <w:r>
        <w:rPr>
          <w:rFonts w:hint="eastAsia" w:ascii="宋体" w:hAnsi="宋体" w:cs="宋体"/>
          <w:color w:val="auto"/>
          <w:sz w:val="24"/>
          <w:highlight w:val="none"/>
          <w:lang w:val="en-US" w:eastAsia="zh-CN"/>
        </w:rPr>
        <w:t>服务</w:t>
      </w:r>
      <w:r>
        <w:rPr>
          <w:rFonts w:hint="eastAsia" w:ascii="宋体" w:hAnsi="宋体" w:eastAsia="宋体" w:cs="宋体"/>
          <w:color w:val="auto"/>
          <w:sz w:val="24"/>
          <w:highlight w:val="none"/>
          <w:lang w:val="en-US" w:eastAsia="zh-CN"/>
        </w:rPr>
        <w:t>范围：详见工程量清单。</w:t>
      </w:r>
    </w:p>
    <w:p w14:paraId="403E7C87">
      <w:pPr>
        <w:spacing w:line="400" w:lineRule="exact"/>
        <w:ind w:firstLine="480" w:firstLineChars="200"/>
        <w:jc w:val="left"/>
        <w:rPr>
          <w:rFonts w:hint="default" w:ascii="宋体" w:hAnsi="宋体" w:eastAsia="宋体" w:cs="宋体"/>
          <w:color w:val="auto"/>
          <w:kern w:val="2"/>
          <w:sz w:val="24"/>
          <w:szCs w:val="24"/>
          <w:highlight w:val="none"/>
          <w:lang w:val="en-US" w:eastAsia="zh-CN" w:bidi="ar-SA"/>
        </w:rPr>
      </w:pPr>
      <w:bookmarkStart w:id="40" w:name="_Toc18969"/>
      <w:bookmarkStart w:id="41" w:name="_Toc9989"/>
      <w:r>
        <w:rPr>
          <w:rFonts w:hint="eastAsia" w:ascii="宋体" w:hAnsi="宋体" w:eastAsia="宋体" w:cs="宋体"/>
          <w:color w:val="auto"/>
          <w:kern w:val="2"/>
          <w:sz w:val="24"/>
          <w:szCs w:val="24"/>
          <w:highlight w:val="none"/>
          <w:lang w:val="en-US" w:eastAsia="zh-CN" w:bidi="ar-SA"/>
        </w:rPr>
        <w:t>3、</w:t>
      </w:r>
      <w:bookmarkEnd w:id="40"/>
      <w:bookmarkEnd w:id="41"/>
      <w:r>
        <w:rPr>
          <w:rFonts w:hint="eastAsia" w:ascii="宋体" w:hAnsi="宋体" w:eastAsia="宋体" w:cs="宋体"/>
          <w:color w:val="auto"/>
          <w:kern w:val="2"/>
          <w:sz w:val="24"/>
          <w:szCs w:val="24"/>
          <w:highlight w:val="none"/>
          <w:lang w:val="en-US" w:eastAsia="zh-CN" w:bidi="ar-SA"/>
        </w:rPr>
        <w:t>计划工期：</w:t>
      </w:r>
      <w:bookmarkStart w:id="42" w:name="EB0d091e0719694966b92a75ce85bb72db"/>
      <w:r>
        <w:rPr>
          <w:rFonts w:hint="eastAsia" w:ascii="宋体" w:hAnsi="宋体" w:eastAsia="宋体" w:cs="宋体"/>
          <w:color w:val="auto"/>
          <w:kern w:val="2"/>
          <w:sz w:val="24"/>
          <w:szCs w:val="24"/>
          <w:highlight w:val="none"/>
          <w:lang w:val="en-US" w:eastAsia="zh-CN" w:bidi="ar-SA"/>
        </w:rPr>
        <w:t>2025年6月-2025年9月（如遇特殊情况无法施工，工期相应顺延，总工期不变）</w:t>
      </w:r>
      <w:bookmarkEnd w:id="42"/>
    </w:p>
    <w:p w14:paraId="20E0EA1C">
      <w:pPr>
        <w:spacing w:line="400" w:lineRule="exact"/>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kern w:val="2"/>
          <w:sz w:val="24"/>
          <w:szCs w:val="24"/>
          <w:highlight w:val="none"/>
          <w:lang w:val="en-US" w:eastAsia="zh-CN" w:bidi="ar-SA"/>
        </w:rPr>
        <w:t>本次的谈判内容为：</w:t>
      </w:r>
      <w:r>
        <w:rPr>
          <w:rFonts w:hint="eastAsia" w:ascii="宋体" w:hAnsi="宋体" w:cs="宋体"/>
          <w:color w:val="auto"/>
          <w:kern w:val="2"/>
          <w:sz w:val="24"/>
          <w:szCs w:val="24"/>
          <w:highlight w:val="none"/>
          <w:lang w:val="en-US" w:eastAsia="zh-CN" w:bidi="ar-SA"/>
        </w:rPr>
        <w:t>青河县萨尔托海乡山区喀拉乔拉片区电力基础设施建设项目</w:t>
      </w:r>
      <w:r>
        <w:rPr>
          <w:rFonts w:hint="eastAsia" w:ascii="宋体" w:hAnsi="宋体" w:eastAsia="宋体" w:cs="宋体"/>
          <w:color w:val="auto"/>
          <w:sz w:val="24"/>
          <w:highlight w:val="none"/>
          <w:lang w:val="en-US" w:eastAsia="zh-CN"/>
        </w:rPr>
        <w:t>（具体要求，详见竞谈文件、图纸及工程量清单）；</w:t>
      </w:r>
    </w:p>
    <w:p w14:paraId="6556B57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四、</w:t>
      </w:r>
      <w:r>
        <w:rPr>
          <w:rFonts w:hint="eastAsia" w:ascii="宋体" w:hAnsi="宋体" w:cs="宋体"/>
          <w:b w:val="0"/>
          <w:bCs/>
          <w:color w:val="auto"/>
          <w:sz w:val="24"/>
          <w:highlight w:val="none"/>
          <w:lang w:val="en-US" w:eastAsia="zh-CN"/>
        </w:rPr>
        <w:t>采购</w:t>
      </w:r>
      <w:r>
        <w:rPr>
          <w:rFonts w:hint="eastAsia" w:ascii="宋体" w:hAnsi="宋体" w:eastAsia="宋体" w:cs="宋体"/>
          <w:b w:val="0"/>
          <w:bCs/>
          <w:color w:val="auto"/>
          <w:sz w:val="24"/>
          <w:highlight w:val="none"/>
        </w:rPr>
        <w:t>内</w:t>
      </w:r>
      <w:r>
        <w:rPr>
          <w:rFonts w:hint="eastAsia" w:ascii="宋体" w:hAnsi="宋体" w:eastAsia="宋体" w:cs="宋体"/>
          <w:b w:val="0"/>
          <w:bCs/>
          <w:color w:val="auto"/>
          <w:sz w:val="24"/>
          <w:highlight w:val="none"/>
          <w:lang w:eastAsia="zh-CN"/>
        </w:rPr>
        <w:t>容：因本项目涉及电力接口衔接问题，青河县本地无</w:t>
      </w:r>
      <w:r>
        <w:rPr>
          <w:rFonts w:hint="eastAsia" w:ascii="宋体" w:hAnsi="宋体" w:eastAsia="宋体" w:cs="宋体"/>
          <w:b w:val="0"/>
          <w:bCs/>
          <w:color w:val="auto"/>
          <w:sz w:val="24"/>
          <w:highlight w:val="none"/>
          <w:lang w:val="en-US" w:eastAsia="zh-CN"/>
        </w:rPr>
        <w:t>法</w:t>
      </w:r>
      <w:r>
        <w:rPr>
          <w:rFonts w:hint="eastAsia" w:ascii="宋体" w:hAnsi="宋体" w:eastAsia="宋体" w:cs="宋体"/>
          <w:b w:val="0"/>
          <w:bCs/>
          <w:color w:val="auto"/>
          <w:sz w:val="24"/>
          <w:highlight w:val="none"/>
          <w:lang w:eastAsia="zh-CN"/>
        </w:rPr>
        <w:t>满足需各供应商与富蕴县供电公司进行对接，电力接口由富蕴县片区为始发点。</w:t>
      </w:r>
    </w:p>
    <w:p w14:paraId="633FB81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val="0"/>
          <w:bCs/>
          <w:color w:val="auto"/>
          <w:sz w:val="36"/>
          <w:szCs w:val="36"/>
          <w:highlight w:val="none"/>
        </w:rPr>
      </w:pPr>
      <w:r>
        <w:rPr>
          <w:rFonts w:hint="eastAsia" w:ascii="宋体" w:hAnsi="宋体" w:eastAsia="宋体" w:cs="宋体"/>
          <w:b w:val="0"/>
          <w:bCs/>
          <w:color w:val="auto"/>
          <w:sz w:val="24"/>
          <w:highlight w:val="none"/>
        </w:rPr>
        <w:t>详见第三章</w:t>
      </w:r>
      <w:r>
        <w:rPr>
          <w:rFonts w:hint="eastAsia" w:ascii="宋体" w:hAnsi="宋体" w:cs="宋体"/>
          <w:b w:val="0"/>
          <w:bCs/>
          <w:color w:val="auto"/>
          <w:sz w:val="24"/>
          <w:highlight w:val="none"/>
          <w:lang w:eastAsia="zh-CN"/>
        </w:rPr>
        <w:t>“采购需求、技术参数、规格</w:t>
      </w:r>
      <w:r>
        <w:rPr>
          <w:rFonts w:hint="eastAsia" w:ascii="宋体" w:hAnsi="宋体" w:cs="宋体"/>
          <w:b w:val="0"/>
          <w:bCs/>
          <w:color w:val="auto"/>
          <w:sz w:val="24"/>
          <w:szCs w:val="24"/>
          <w:highlight w:val="none"/>
          <w:lang w:eastAsia="zh-CN"/>
        </w:rPr>
        <w:t>”</w:t>
      </w:r>
    </w:p>
    <w:p w14:paraId="2116F48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五、</w:t>
      </w:r>
      <w:r>
        <w:rPr>
          <w:rFonts w:hint="eastAsia" w:ascii="宋体" w:hAnsi="宋体" w:cs="宋体"/>
          <w:b w:val="0"/>
          <w:bCs/>
          <w:color w:val="auto"/>
          <w:sz w:val="24"/>
          <w:highlight w:val="none"/>
          <w:lang w:val="en-US" w:eastAsia="zh-CN"/>
        </w:rPr>
        <w:t>谈判</w:t>
      </w:r>
      <w:r>
        <w:rPr>
          <w:rFonts w:hint="eastAsia" w:ascii="宋体" w:hAnsi="宋体" w:eastAsia="宋体" w:cs="宋体"/>
          <w:b w:val="0"/>
          <w:bCs/>
          <w:color w:val="auto"/>
          <w:sz w:val="24"/>
          <w:highlight w:val="none"/>
        </w:rPr>
        <w:t>保证金数额：详见</w:t>
      </w:r>
      <w:r>
        <w:rPr>
          <w:rFonts w:hint="eastAsia" w:ascii="宋体" w:hAnsi="宋体" w:cs="宋体"/>
          <w:b w:val="0"/>
          <w:bCs/>
          <w:color w:val="auto"/>
          <w:sz w:val="24"/>
          <w:highlight w:val="none"/>
          <w:lang w:eastAsia="zh-CN"/>
        </w:rPr>
        <w:t>供应商须知前附表</w:t>
      </w:r>
      <w:r>
        <w:rPr>
          <w:rFonts w:hint="eastAsia" w:ascii="宋体" w:hAnsi="宋体" w:eastAsia="宋体" w:cs="宋体"/>
          <w:b w:val="0"/>
          <w:bCs/>
          <w:color w:val="auto"/>
          <w:sz w:val="24"/>
          <w:highlight w:val="none"/>
        </w:rPr>
        <w:t>第1</w:t>
      </w:r>
      <w:r>
        <w:rPr>
          <w:rFonts w:hint="eastAsia" w:ascii="宋体" w:hAnsi="宋体" w:cs="宋体"/>
          <w:b w:val="0"/>
          <w:bCs/>
          <w:color w:val="auto"/>
          <w:sz w:val="24"/>
          <w:highlight w:val="none"/>
          <w:lang w:val="en-US" w:eastAsia="zh-CN"/>
        </w:rPr>
        <w:t>4</w:t>
      </w:r>
      <w:r>
        <w:rPr>
          <w:rFonts w:hint="eastAsia" w:ascii="宋体" w:hAnsi="宋体" w:eastAsia="宋体" w:cs="宋体"/>
          <w:b w:val="0"/>
          <w:bCs/>
          <w:color w:val="auto"/>
          <w:sz w:val="24"/>
          <w:highlight w:val="none"/>
        </w:rPr>
        <w:t>条。</w:t>
      </w:r>
    </w:p>
    <w:p w14:paraId="7634658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六、特别提示</w:t>
      </w:r>
    </w:p>
    <w:p w14:paraId="2CE918D1">
      <w:pPr>
        <w:keepNext w:val="0"/>
        <w:keepLines w:val="0"/>
        <w:pageBreakBefore w:val="0"/>
        <w:kinsoku/>
        <w:wordWrap/>
        <w:overflowPunct/>
        <w:topLinePunct w:val="0"/>
        <w:autoSpaceDE/>
        <w:autoSpaceDN/>
        <w:bidi w:val="0"/>
        <w:spacing w:line="360" w:lineRule="auto"/>
        <w:ind w:firstLine="236" w:firstLineChars="98"/>
        <w:textAlignment w:val="auto"/>
        <w:rPr>
          <w:rFonts w:hint="eastAsia" w:ascii="宋体" w:hAnsi="宋体" w:eastAsia="宋体" w:cs="宋体"/>
          <w:color w:val="auto"/>
          <w:sz w:val="24"/>
          <w:highlight w:val="none"/>
          <w:lang w:val="en-US"/>
        </w:rPr>
      </w:pP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招标代理付费</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由中标人支付代理服务费。</w:t>
      </w:r>
      <w:r>
        <w:rPr>
          <w:rFonts w:hint="eastAsia" w:ascii="宋体" w:hAnsi="宋体" w:cs="宋体"/>
          <w:color w:val="auto"/>
          <w:sz w:val="24"/>
          <w:highlight w:val="none"/>
          <w:lang w:val="en-US" w:eastAsia="zh-CN"/>
        </w:rPr>
        <w:t>领取中标通知书时，中标人一次性付清</w:t>
      </w:r>
      <w:r>
        <w:rPr>
          <w:rFonts w:hint="eastAsia" w:ascii="宋体" w:hAnsi="宋体" w:eastAsia="宋体" w:cs="宋体"/>
          <w:color w:val="auto"/>
          <w:sz w:val="24"/>
          <w:highlight w:val="none"/>
          <w:lang w:val="en-US" w:eastAsia="zh-CN"/>
        </w:rPr>
        <w:t>。</w:t>
      </w:r>
    </w:p>
    <w:p w14:paraId="643A7E85">
      <w:pPr>
        <w:pageBreakBefore w:val="0"/>
        <w:kinsoku/>
        <w:wordWrap/>
        <w:overflowPunct/>
        <w:topLinePunct w:val="0"/>
        <w:bidi w:val="0"/>
        <w:spacing w:line="360" w:lineRule="auto"/>
        <w:ind w:firstLine="480"/>
        <w:rPr>
          <w:rFonts w:hint="eastAsia" w:ascii="宋体" w:hAnsi="宋体" w:eastAsia="宋体" w:cs="宋体"/>
          <w:color w:val="auto"/>
          <w:sz w:val="24"/>
          <w:highlight w:val="none"/>
        </w:rPr>
      </w:pPr>
    </w:p>
    <w:p w14:paraId="5292FFD3">
      <w:pPr>
        <w:pageBreakBefore w:val="0"/>
        <w:kinsoku/>
        <w:wordWrap/>
        <w:overflowPunct/>
        <w:topLinePunct w:val="0"/>
        <w:bidi w:val="0"/>
        <w:spacing w:line="360" w:lineRule="auto"/>
        <w:ind w:firstLine="480"/>
        <w:rPr>
          <w:rFonts w:hint="eastAsia" w:ascii="宋体" w:hAnsi="宋体" w:eastAsia="宋体" w:cs="宋体"/>
          <w:color w:val="auto"/>
          <w:sz w:val="24"/>
          <w:highlight w:val="none"/>
        </w:rPr>
      </w:pPr>
    </w:p>
    <w:p w14:paraId="03BA453F">
      <w:pPr>
        <w:pStyle w:val="7"/>
        <w:pageBreakBefore w:val="0"/>
        <w:kinsoku/>
        <w:wordWrap/>
        <w:overflowPunct/>
        <w:topLinePunct w:val="0"/>
        <w:bidi w:val="0"/>
        <w:spacing w:line="360" w:lineRule="auto"/>
        <w:jc w:val="center"/>
        <w:rPr>
          <w:rFonts w:hint="eastAsia" w:ascii="宋体" w:hAnsi="宋体" w:eastAsia="宋体" w:cs="宋体"/>
          <w:color w:val="auto"/>
          <w:sz w:val="32"/>
          <w:highlight w:val="none"/>
        </w:rPr>
      </w:pPr>
      <w:r>
        <w:rPr>
          <w:rFonts w:hint="eastAsia" w:ascii="宋体" w:hAnsi="宋体" w:eastAsia="宋体" w:cs="宋体"/>
          <w:color w:val="auto"/>
          <w:highlight w:val="none"/>
        </w:rPr>
        <w:br w:type="page"/>
      </w:r>
      <w:bookmarkStart w:id="43" w:name="_Toc28852"/>
      <w:bookmarkStart w:id="44" w:name="_Toc11200"/>
      <w:bookmarkStart w:id="45" w:name="_Toc12353"/>
      <w:r>
        <w:rPr>
          <w:rFonts w:hint="eastAsia" w:ascii="宋体" w:hAnsi="宋体" w:eastAsia="宋体" w:cs="宋体"/>
          <w:color w:val="auto"/>
          <w:sz w:val="32"/>
          <w:highlight w:val="none"/>
        </w:rPr>
        <w:t xml:space="preserve">第二章  </w:t>
      </w:r>
      <w:r>
        <w:rPr>
          <w:rFonts w:hint="eastAsia" w:ascii="宋体" w:hAnsi="宋体" w:cs="宋体"/>
          <w:color w:val="auto"/>
          <w:sz w:val="32"/>
          <w:highlight w:val="none"/>
          <w:lang w:val="en-US" w:eastAsia="zh-CN"/>
        </w:rPr>
        <w:t>报价人</w:t>
      </w:r>
      <w:r>
        <w:rPr>
          <w:rFonts w:hint="eastAsia" w:ascii="宋体" w:hAnsi="宋体" w:eastAsia="宋体" w:cs="宋体"/>
          <w:color w:val="auto"/>
          <w:sz w:val="32"/>
          <w:highlight w:val="none"/>
        </w:rPr>
        <w:t>须知</w:t>
      </w:r>
      <w:bookmarkEnd w:id="43"/>
      <w:bookmarkEnd w:id="44"/>
      <w:bookmarkEnd w:id="45"/>
    </w:p>
    <w:p w14:paraId="0ED661BC">
      <w:pPr>
        <w:pStyle w:val="8"/>
        <w:pageBreakBefore w:val="0"/>
        <w:kinsoku/>
        <w:wordWrap/>
        <w:overflowPunct/>
        <w:topLinePunct w:val="0"/>
        <w:bidi w:val="0"/>
        <w:spacing w:line="360" w:lineRule="auto"/>
        <w:jc w:val="center"/>
        <w:rPr>
          <w:rFonts w:hint="eastAsia" w:ascii="宋体" w:hAnsi="宋体" w:eastAsia="宋体" w:cs="宋体"/>
          <w:color w:val="auto"/>
          <w:sz w:val="28"/>
          <w:szCs w:val="28"/>
          <w:highlight w:val="none"/>
        </w:rPr>
      </w:pPr>
      <w:bookmarkStart w:id="46" w:name="_Toc24673"/>
      <w:bookmarkStart w:id="47" w:name="_Toc11031"/>
      <w:bookmarkStart w:id="48" w:name="_Toc17623"/>
      <w:r>
        <w:rPr>
          <w:rFonts w:hint="eastAsia" w:ascii="宋体" w:hAnsi="宋体" w:eastAsia="宋体" w:cs="宋体"/>
          <w:color w:val="auto"/>
          <w:sz w:val="28"/>
          <w:szCs w:val="28"/>
          <w:highlight w:val="none"/>
        </w:rPr>
        <w:t>一、总  则</w:t>
      </w:r>
      <w:bookmarkEnd w:id="46"/>
      <w:bookmarkEnd w:id="47"/>
      <w:bookmarkEnd w:id="48"/>
    </w:p>
    <w:p w14:paraId="1E349165">
      <w:pPr>
        <w:pageBreakBefore w:val="0"/>
        <w:kinsoku/>
        <w:wordWrap/>
        <w:overflowPunct/>
        <w:topLinePunct w:val="0"/>
        <w:bidi w:val="0"/>
        <w:spacing w:line="360" w:lineRule="auto"/>
        <w:outlineLvl w:val="2"/>
        <w:rPr>
          <w:rFonts w:hint="eastAsia" w:ascii="宋体" w:hAnsi="宋体" w:eastAsia="宋体" w:cs="宋体"/>
          <w:b/>
          <w:color w:val="auto"/>
          <w:sz w:val="24"/>
          <w:highlight w:val="none"/>
        </w:rPr>
      </w:pPr>
      <w:bookmarkStart w:id="49" w:name="_Toc8716"/>
      <w:bookmarkStart w:id="50" w:name="_Toc24765"/>
      <w:r>
        <w:rPr>
          <w:rFonts w:hint="eastAsia" w:ascii="宋体" w:hAnsi="宋体" w:eastAsia="宋体" w:cs="宋体"/>
          <w:b/>
          <w:color w:val="auto"/>
          <w:sz w:val="24"/>
          <w:highlight w:val="none"/>
        </w:rPr>
        <w:t>1、适用范围</w:t>
      </w:r>
      <w:bookmarkEnd w:id="49"/>
      <w:bookmarkEnd w:id="50"/>
    </w:p>
    <w:p w14:paraId="7BBDEC40">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1.1</w:t>
      </w:r>
      <w:r>
        <w:rPr>
          <w:rFonts w:hint="eastAsia" w:ascii="宋体" w:hAnsi="宋体" w:eastAsia="宋体" w:cs="宋体"/>
          <w:color w:val="auto"/>
          <w:sz w:val="24"/>
          <w:highlight w:val="none"/>
        </w:rPr>
        <w:t xml:space="preserve"> 本</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rPr>
        <w:t>文件仅适用于本次</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项目。</w:t>
      </w:r>
    </w:p>
    <w:p w14:paraId="60F9D29A">
      <w:pPr>
        <w:pageBreakBefore w:val="0"/>
        <w:kinsoku/>
        <w:wordWrap/>
        <w:overflowPunct/>
        <w:topLinePunct w:val="0"/>
        <w:bidi w:val="0"/>
        <w:spacing w:line="360" w:lineRule="auto"/>
        <w:outlineLvl w:val="2"/>
        <w:rPr>
          <w:rFonts w:hint="eastAsia" w:ascii="宋体" w:hAnsi="宋体" w:eastAsia="宋体" w:cs="宋体"/>
          <w:b/>
          <w:color w:val="auto"/>
          <w:sz w:val="24"/>
          <w:highlight w:val="none"/>
        </w:rPr>
      </w:pPr>
      <w:bookmarkStart w:id="51" w:name="_Toc17792"/>
      <w:bookmarkStart w:id="52" w:name="_Toc22587"/>
      <w:r>
        <w:rPr>
          <w:rFonts w:hint="eastAsia" w:ascii="宋体" w:hAnsi="宋体" w:eastAsia="宋体" w:cs="宋体"/>
          <w:b/>
          <w:color w:val="auto"/>
          <w:sz w:val="24"/>
          <w:highlight w:val="none"/>
        </w:rPr>
        <w:t>2、合格的</w:t>
      </w:r>
      <w:r>
        <w:rPr>
          <w:rFonts w:hint="eastAsia" w:ascii="宋体" w:hAnsi="宋体" w:cs="宋体"/>
          <w:b/>
          <w:color w:val="auto"/>
          <w:sz w:val="24"/>
          <w:highlight w:val="none"/>
          <w:lang w:val="en-US" w:eastAsia="zh-CN"/>
        </w:rPr>
        <w:t>报价</w:t>
      </w:r>
      <w:r>
        <w:rPr>
          <w:rFonts w:hint="eastAsia" w:ascii="宋体" w:hAnsi="宋体" w:eastAsia="宋体" w:cs="宋体"/>
          <w:b/>
          <w:color w:val="auto"/>
          <w:sz w:val="24"/>
          <w:highlight w:val="none"/>
        </w:rPr>
        <w:t>人</w:t>
      </w:r>
      <w:bookmarkEnd w:id="51"/>
      <w:bookmarkEnd w:id="52"/>
    </w:p>
    <w:p w14:paraId="1DCEDC62">
      <w:pPr>
        <w:pageBreakBefore w:val="0"/>
        <w:kinsoku/>
        <w:wordWrap/>
        <w:overflowPunct/>
        <w:topLinePunct w:val="0"/>
        <w:bidi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w:t>
      </w:r>
      <w:r>
        <w:rPr>
          <w:rFonts w:hint="eastAsia" w:ascii="宋体" w:hAnsi="宋体" w:cs="宋体"/>
          <w:b w:val="0"/>
          <w:bCs/>
          <w:color w:val="auto"/>
          <w:sz w:val="24"/>
          <w:highlight w:val="none"/>
          <w:lang w:val="en-US" w:eastAsia="zh-CN"/>
        </w:rPr>
        <w:t>报价</w:t>
      </w:r>
      <w:r>
        <w:rPr>
          <w:rFonts w:hint="eastAsia" w:ascii="宋体" w:hAnsi="宋体" w:eastAsia="宋体" w:cs="宋体"/>
          <w:b w:val="0"/>
          <w:bCs/>
          <w:color w:val="auto"/>
          <w:sz w:val="24"/>
          <w:highlight w:val="none"/>
        </w:rPr>
        <w:t>人</w:t>
      </w:r>
      <w:r>
        <w:rPr>
          <w:rFonts w:hint="eastAsia" w:ascii="宋体" w:hAnsi="宋体" w:eastAsia="宋体" w:cs="宋体"/>
          <w:color w:val="auto"/>
          <w:sz w:val="24"/>
          <w:highlight w:val="none"/>
        </w:rPr>
        <w:t>资格要求：</w:t>
      </w:r>
    </w:p>
    <w:p w14:paraId="4DF2A1DD">
      <w:pPr>
        <w:pageBreakBefore w:val="0"/>
        <w:kinsoku/>
        <w:wordWrap/>
        <w:overflowPunct/>
        <w:topLinePunct w:val="0"/>
        <w:bidi w:val="0"/>
        <w:spacing w:line="360" w:lineRule="auto"/>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2.1.</w:t>
      </w:r>
      <w:r>
        <w:rPr>
          <w:rFonts w:hint="eastAsia" w:ascii="宋体" w:hAnsi="宋体" w:eastAsia="宋体" w:cs="宋体"/>
          <w:b w:val="0"/>
          <w:bCs/>
          <w:color w:val="auto"/>
          <w:sz w:val="24"/>
          <w:highlight w:val="none"/>
          <w:lang w:eastAsia="zh-CN"/>
        </w:rPr>
        <w:t>1</w:t>
      </w:r>
      <w:r>
        <w:rPr>
          <w:rFonts w:hint="eastAsia" w:ascii="宋体" w:hAnsi="宋体" w:eastAsia="宋体" w:cs="宋体"/>
          <w:b w:val="0"/>
          <w:bCs/>
          <w:color w:val="auto"/>
          <w:sz w:val="24"/>
          <w:highlight w:val="none"/>
          <w:lang w:val="en-US" w:eastAsia="zh-CN"/>
        </w:rPr>
        <w:t xml:space="preserve">供应商须是中华人民共和国境内注册，具有有效的营业执照； </w:t>
      </w:r>
    </w:p>
    <w:p w14:paraId="445EA720">
      <w:pPr>
        <w:pageBreakBefore w:val="0"/>
        <w:kinsoku/>
        <w:wordWrap/>
        <w:overflowPunct/>
        <w:topLinePunct w:val="0"/>
        <w:bidi w:val="0"/>
        <w:spacing w:line="360" w:lineRule="auto"/>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2.1.2</w:t>
      </w:r>
      <w:r>
        <w:rPr>
          <w:rFonts w:hint="eastAsia" w:ascii="宋体" w:hAnsi="宋体" w:eastAsia="宋体" w:cs="宋体"/>
          <w:sz w:val="24"/>
          <w:szCs w:val="24"/>
          <w:highlight w:val="none"/>
          <w:lang w:val="en-US" w:eastAsia="zh-CN"/>
        </w:rPr>
        <w:t>供应商须具备电力工程施工总承包三级(含)以上或者输变电工程专业承包三级(含)以上资质；</w:t>
      </w:r>
    </w:p>
    <w:p w14:paraId="7AF8C5C0">
      <w:pPr>
        <w:pageBreakBefore w:val="0"/>
        <w:kinsoku/>
        <w:wordWrap/>
        <w:overflowPunct/>
        <w:topLinePunct w:val="0"/>
        <w:bidi w:val="0"/>
        <w:spacing w:line="360" w:lineRule="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2.1.3供应商拟派项目经理须具备机电专业二级及以上资格，具有有效的安全生产考核合格证书，且未担任其他在施建设工程项目的项目经理；并在人员、设备、资金等方面具有相应的施工能力；</w:t>
      </w:r>
    </w:p>
    <w:p w14:paraId="5A92E483">
      <w:pPr>
        <w:pageBreakBefore w:val="0"/>
        <w:kinsoku/>
        <w:wordWrap/>
        <w:overflowPunct/>
        <w:topLinePunct w:val="0"/>
        <w:bidi w:val="0"/>
        <w:spacing w:line="360" w:lineRule="auto"/>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2.1.4</w:t>
      </w:r>
      <w:r>
        <w:rPr>
          <w:rFonts w:hint="eastAsia" w:ascii="宋体" w:hAnsi="宋体" w:eastAsia="宋体" w:cs="宋体"/>
          <w:b w:val="0"/>
          <w:bCs/>
          <w:color w:val="auto"/>
          <w:sz w:val="24"/>
          <w:highlight w:val="none"/>
          <w:lang w:val="en-US" w:eastAsia="zh-CN"/>
        </w:rPr>
        <w:t>供应商须提供有效的安全生产许可证；</w:t>
      </w:r>
    </w:p>
    <w:p w14:paraId="3332DD46">
      <w:pPr>
        <w:pageBreakBefore w:val="0"/>
        <w:kinsoku/>
        <w:wordWrap/>
        <w:overflowPunct/>
        <w:topLinePunct w:val="0"/>
        <w:bidi w:val="0"/>
        <w:spacing w:line="360" w:lineRule="auto"/>
        <w:rPr>
          <w:rFonts w:hint="eastAsia" w:asciiTheme="minorEastAsia" w:hAnsiTheme="minorEastAsia" w:eastAsiaTheme="minorEastAsia" w:cstheme="minorEastAsia"/>
          <w:color w:val="auto"/>
          <w:kern w:val="2"/>
          <w:sz w:val="24"/>
          <w:szCs w:val="24"/>
          <w:highlight w:val="none"/>
          <w:shd w:val="clear" w:color="auto" w:fill="FFFFFF"/>
          <w:lang w:val="en-US" w:eastAsia="zh-CN"/>
        </w:rPr>
      </w:pPr>
      <w:r>
        <w:rPr>
          <w:rFonts w:hint="eastAsia" w:ascii="宋体" w:hAnsi="宋体" w:cs="宋体"/>
          <w:b w:val="0"/>
          <w:bCs/>
          <w:color w:val="auto"/>
          <w:sz w:val="24"/>
          <w:highlight w:val="none"/>
          <w:lang w:val="en-US" w:eastAsia="zh-CN"/>
        </w:rPr>
        <w:t>2.1.5</w:t>
      </w:r>
      <w:r>
        <w:rPr>
          <w:rFonts w:hint="eastAsia" w:ascii="宋体" w:hAnsi="宋体" w:eastAsia="宋体" w:cs="宋体"/>
          <w:b w:val="0"/>
          <w:bCs/>
          <w:color w:val="auto"/>
          <w:sz w:val="24"/>
          <w:highlight w:val="none"/>
          <w:lang w:val="en-US" w:eastAsia="zh-CN"/>
        </w:rPr>
        <w:t>供应商不得为“信用中国网站（www.creditchina.gov.cn）中列入失信被执行人和税收违法黑名单的供应商，不得为中国政府采购网（www.ccgp.gov.cn）政府采购严重违法失信行为记录名单中被财政部门禁止参加政府采购活动的供应商</w:t>
      </w:r>
      <w:r>
        <w:rPr>
          <w:rFonts w:hint="eastAsia" w:ascii="宋体" w:hAnsi="宋体" w:cs="宋体"/>
          <w:b w:val="0"/>
          <w:bCs/>
          <w:color w:val="auto"/>
          <w:sz w:val="24"/>
          <w:highlight w:val="none"/>
          <w:lang w:val="en-US" w:eastAsia="zh-CN"/>
        </w:rPr>
        <w:t>。</w:t>
      </w:r>
    </w:p>
    <w:p w14:paraId="4B6731AD">
      <w:pPr>
        <w:pageBreakBefore w:val="0"/>
        <w:kinsoku/>
        <w:wordWrap/>
        <w:overflowPunct/>
        <w:topLinePunct w:val="0"/>
        <w:bidi w:val="0"/>
        <w:spacing w:line="360" w:lineRule="auto"/>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2</w:t>
      </w:r>
      <w:r>
        <w:rPr>
          <w:rFonts w:hint="eastAsia" w:ascii="宋体" w:hAnsi="宋体" w:cs="宋体"/>
          <w:b w:val="0"/>
          <w:bCs/>
          <w:color w:val="auto"/>
          <w:sz w:val="24"/>
          <w:highlight w:val="none"/>
          <w:lang w:val="en-US" w:eastAsia="zh-CN"/>
        </w:rPr>
        <w:t>.1.6本项目不接受联合体投标。</w:t>
      </w:r>
    </w:p>
    <w:p w14:paraId="7FF652C5">
      <w:pPr>
        <w:pageBreakBefore w:val="0"/>
        <w:kinsoku/>
        <w:wordWrap/>
        <w:overflowPunct/>
        <w:topLinePunct w:val="0"/>
        <w:bidi w:val="0"/>
        <w:spacing w:line="360" w:lineRule="auto"/>
        <w:rPr>
          <w:rFonts w:hint="eastAsia" w:ascii="宋体" w:hAnsi="宋体" w:eastAsia="宋体" w:cs="宋体"/>
          <w:b w:val="0"/>
          <w:bCs/>
          <w:color w:val="auto"/>
          <w:sz w:val="24"/>
          <w:highlight w:val="none"/>
          <w:lang w:val="en-US" w:eastAsia="zh-CN"/>
        </w:rPr>
      </w:pPr>
      <w:r>
        <w:rPr>
          <w:rFonts w:hint="eastAsia" w:ascii="宋体" w:hAnsi="宋体" w:eastAsia="宋体" w:cs="宋体"/>
          <w:b/>
          <w:bCs w:val="0"/>
          <w:color w:val="auto"/>
          <w:sz w:val="24"/>
          <w:highlight w:val="none"/>
          <w:lang w:val="en-US" w:eastAsia="zh-CN"/>
        </w:rPr>
        <w:t xml:space="preserve">2.2 </w:t>
      </w:r>
      <w:r>
        <w:rPr>
          <w:rFonts w:hint="eastAsia" w:ascii="宋体" w:hAnsi="宋体" w:eastAsia="宋体" w:cs="宋体"/>
          <w:b w:val="0"/>
          <w:bCs/>
          <w:color w:val="auto"/>
          <w:sz w:val="24"/>
          <w:highlight w:val="none"/>
          <w:lang w:val="en-US" w:eastAsia="zh-CN"/>
        </w:rPr>
        <w:t>报价人在本次竞争性谈判中，必须遵守《中华人民共和国政府采购法》的规定。</w:t>
      </w:r>
    </w:p>
    <w:p w14:paraId="55327D2A">
      <w:pPr>
        <w:pageBreakBefore w:val="0"/>
        <w:kinsoku/>
        <w:wordWrap/>
        <w:overflowPunct/>
        <w:topLinePunct w:val="0"/>
        <w:bidi w:val="0"/>
        <w:spacing w:line="360" w:lineRule="auto"/>
        <w:outlineLvl w:val="2"/>
        <w:rPr>
          <w:rFonts w:hint="eastAsia" w:ascii="宋体" w:hAnsi="宋体" w:eastAsia="宋体" w:cs="宋体"/>
          <w:b/>
          <w:color w:val="auto"/>
          <w:sz w:val="24"/>
          <w:highlight w:val="none"/>
        </w:rPr>
      </w:pPr>
      <w:bookmarkStart w:id="53" w:name="_Toc19605"/>
      <w:bookmarkStart w:id="54" w:name="_Toc4635"/>
      <w:r>
        <w:rPr>
          <w:rFonts w:hint="eastAsia" w:ascii="宋体" w:hAnsi="宋体" w:eastAsia="宋体" w:cs="宋体"/>
          <w:b/>
          <w:color w:val="auto"/>
          <w:sz w:val="24"/>
          <w:highlight w:val="none"/>
        </w:rPr>
        <w:t>3、定义</w:t>
      </w:r>
      <w:bookmarkEnd w:id="53"/>
      <w:bookmarkEnd w:id="54"/>
    </w:p>
    <w:p w14:paraId="11ECBD03">
      <w:pPr>
        <w:rPr>
          <w:rFonts w:hint="eastAsia"/>
          <w:color w:val="auto"/>
          <w:highlight w:val="none"/>
          <w:lang w:val="en-US" w:eastAsia="zh-CN"/>
        </w:rPr>
      </w:pPr>
      <w:r>
        <w:rPr>
          <w:rFonts w:hint="eastAsia"/>
          <w:color w:val="auto"/>
          <w:highlight w:val="none"/>
        </w:rPr>
        <w:t>3.1 “</w:t>
      </w:r>
      <w:r>
        <w:rPr>
          <w:rFonts w:hint="eastAsia"/>
          <w:color w:val="auto"/>
          <w:highlight w:val="none"/>
          <w:lang w:eastAsia="zh-CN"/>
        </w:rPr>
        <w:t>采购人</w:t>
      </w:r>
      <w:r>
        <w:rPr>
          <w:rFonts w:hint="eastAsia"/>
          <w:color w:val="auto"/>
          <w:highlight w:val="none"/>
        </w:rPr>
        <w:t>”为</w:t>
      </w:r>
      <w:r>
        <w:rPr>
          <w:rFonts w:hint="eastAsia" w:ascii="宋体" w:hAnsi="宋体" w:cs="宋体"/>
          <w:b/>
          <w:bCs/>
          <w:color w:val="auto"/>
          <w:sz w:val="24"/>
          <w:highlight w:val="none"/>
          <w:lang w:val="en-US" w:eastAsia="zh-CN"/>
        </w:rPr>
        <w:t>青河县萨尔托海乡人民政府</w:t>
      </w:r>
    </w:p>
    <w:p w14:paraId="4CD0C914">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3.2</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合格报价</w:t>
      </w:r>
      <w:r>
        <w:rPr>
          <w:rFonts w:hint="eastAsia" w:ascii="宋体" w:hAnsi="宋体" w:eastAsia="宋体" w:cs="宋体"/>
          <w:color w:val="auto"/>
          <w:sz w:val="24"/>
          <w:highlight w:val="none"/>
        </w:rPr>
        <w:t>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成功获取谈判文件的供应商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系指</w:t>
      </w:r>
      <w:r>
        <w:rPr>
          <w:rFonts w:hint="eastAsia" w:ascii="宋体" w:hAnsi="宋体" w:cs="宋体"/>
          <w:color w:val="auto"/>
          <w:sz w:val="24"/>
          <w:highlight w:val="none"/>
          <w:lang w:val="en-US" w:eastAsia="zh-CN"/>
        </w:rPr>
        <w:t>在新疆政府采购网下载了谈判文件、提交了谈判响应文件的报价</w:t>
      </w:r>
      <w:r>
        <w:rPr>
          <w:rFonts w:hint="eastAsia" w:ascii="宋体" w:hAnsi="宋体" w:eastAsia="宋体" w:cs="宋体"/>
          <w:color w:val="auto"/>
          <w:sz w:val="24"/>
          <w:highlight w:val="none"/>
        </w:rPr>
        <w:t>人，中标后即为中标人，签订合同后即为卖方。</w:t>
      </w:r>
    </w:p>
    <w:p w14:paraId="77147F51">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3.3</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代理</w:t>
      </w:r>
      <w:r>
        <w:rPr>
          <w:rFonts w:hint="eastAsia" w:ascii="宋体" w:hAnsi="宋体" w:eastAsia="宋体" w:cs="宋体"/>
          <w:color w:val="auto"/>
          <w:sz w:val="24"/>
          <w:highlight w:val="none"/>
        </w:rPr>
        <w:t>机构”为</w:t>
      </w:r>
      <w:r>
        <w:rPr>
          <w:rFonts w:hint="eastAsia" w:ascii="宋体" w:hAnsi="宋体" w:cs="宋体"/>
          <w:color w:val="auto"/>
          <w:sz w:val="24"/>
          <w:highlight w:val="none"/>
          <w:lang w:eastAsia="zh-CN"/>
        </w:rPr>
        <w:t>新疆坤合企业管理咨询有限公司</w:t>
      </w:r>
      <w:r>
        <w:rPr>
          <w:rFonts w:hint="eastAsia" w:ascii="宋体" w:hAnsi="宋体" w:eastAsia="宋体" w:cs="宋体"/>
          <w:color w:val="auto"/>
          <w:sz w:val="24"/>
          <w:highlight w:val="none"/>
        </w:rPr>
        <w:t>。</w:t>
      </w:r>
    </w:p>
    <w:p w14:paraId="7967FB64">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3.4</w:t>
      </w:r>
      <w:r>
        <w:rPr>
          <w:rFonts w:hint="eastAsia" w:ascii="宋体" w:hAnsi="宋体" w:eastAsia="宋体" w:cs="宋体"/>
          <w:color w:val="auto"/>
          <w:sz w:val="24"/>
          <w:highlight w:val="none"/>
        </w:rPr>
        <w:t xml:space="preserve"> “货物”系指卖方按合同要求，须向买方提供的一切产品及其他技术资料和材料。</w:t>
      </w:r>
    </w:p>
    <w:p w14:paraId="78D1458A">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3.5</w:t>
      </w:r>
      <w:r>
        <w:rPr>
          <w:rFonts w:hint="eastAsia" w:ascii="宋体" w:hAnsi="宋体" w:eastAsia="宋体" w:cs="宋体"/>
          <w:color w:val="auto"/>
          <w:sz w:val="24"/>
          <w:highlight w:val="none"/>
        </w:rPr>
        <w:t xml:space="preserve"> “服务”系指按合同规定卖方须承担的</w:t>
      </w:r>
      <w:r>
        <w:rPr>
          <w:rFonts w:hint="eastAsia" w:ascii="宋体" w:hAnsi="宋体" w:cs="宋体"/>
          <w:color w:val="auto"/>
          <w:sz w:val="24"/>
          <w:highlight w:val="none"/>
          <w:lang w:eastAsia="zh-CN"/>
        </w:rPr>
        <w:t>货物供应</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及售后服务等其他类似的义务。</w:t>
      </w:r>
    </w:p>
    <w:p w14:paraId="45DDD027">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3.6</w:t>
      </w:r>
      <w:r>
        <w:rPr>
          <w:rFonts w:hint="eastAsia" w:ascii="宋体" w:hAnsi="宋体" w:eastAsia="宋体" w:cs="宋体"/>
          <w:color w:val="auto"/>
          <w:sz w:val="24"/>
          <w:highlight w:val="none"/>
        </w:rPr>
        <w:t xml:space="preserve"> “卖方”系指提供合同货物和服务的</w:t>
      </w:r>
      <w:r>
        <w:rPr>
          <w:rFonts w:hint="eastAsia" w:ascii="宋体" w:hAnsi="宋体" w:cs="宋体"/>
          <w:color w:val="auto"/>
          <w:sz w:val="24"/>
          <w:highlight w:val="none"/>
          <w:lang w:val="en-US" w:eastAsia="zh-CN"/>
        </w:rPr>
        <w:t>报价</w:t>
      </w:r>
      <w:r>
        <w:rPr>
          <w:rFonts w:hint="eastAsia" w:ascii="宋体" w:hAnsi="宋体" w:eastAsia="宋体" w:cs="宋体"/>
          <w:color w:val="auto"/>
          <w:sz w:val="24"/>
          <w:highlight w:val="none"/>
        </w:rPr>
        <w:t>人。</w:t>
      </w:r>
    </w:p>
    <w:p w14:paraId="58F95F1B">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3.7</w:t>
      </w:r>
      <w:r>
        <w:rPr>
          <w:rFonts w:hint="eastAsia" w:ascii="宋体" w:hAnsi="宋体" w:eastAsia="宋体" w:cs="宋体"/>
          <w:color w:val="auto"/>
          <w:sz w:val="24"/>
          <w:highlight w:val="none"/>
        </w:rPr>
        <w:t xml:space="preserve"> “买方”系指购买货物的单位。</w:t>
      </w:r>
    </w:p>
    <w:p w14:paraId="3FBD5C65">
      <w:pPr>
        <w:pageBreakBefore w:val="0"/>
        <w:kinsoku/>
        <w:wordWrap/>
        <w:overflowPunct/>
        <w:topLinePunct w:val="0"/>
        <w:bidi w:val="0"/>
        <w:spacing w:line="360" w:lineRule="auto"/>
        <w:outlineLvl w:val="2"/>
        <w:rPr>
          <w:rFonts w:hint="eastAsia" w:ascii="宋体" w:hAnsi="宋体" w:eastAsia="宋体" w:cs="宋体"/>
          <w:b/>
          <w:color w:val="auto"/>
          <w:sz w:val="24"/>
          <w:highlight w:val="none"/>
        </w:rPr>
      </w:pPr>
      <w:bookmarkStart w:id="55" w:name="_Toc29432"/>
      <w:bookmarkStart w:id="56" w:name="_Toc22423"/>
      <w:r>
        <w:rPr>
          <w:rFonts w:hint="eastAsia" w:ascii="宋体" w:hAnsi="宋体" w:eastAsia="宋体" w:cs="宋体"/>
          <w:b/>
          <w:color w:val="auto"/>
          <w:sz w:val="24"/>
          <w:highlight w:val="none"/>
        </w:rPr>
        <w:t>4、</w:t>
      </w:r>
      <w:r>
        <w:rPr>
          <w:rFonts w:hint="eastAsia" w:ascii="宋体" w:hAnsi="宋体" w:cs="宋体"/>
          <w:b/>
          <w:color w:val="auto"/>
          <w:sz w:val="24"/>
          <w:highlight w:val="none"/>
          <w:lang w:val="en-US" w:eastAsia="zh-CN"/>
        </w:rPr>
        <w:t>谈判</w:t>
      </w:r>
      <w:r>
        <w:rPr>
          <w:rFonts w:hint="eastAsia" w:ascii="宋体" w:hAnsi="宋体" w:eastAsia="宋体" w:cs="宋体"/>
          <w:b/>
          <w:color w:val="auto"/>
          <w:sz w:val="24"/>
          <w:highlight w:val="none"/>
        </w:rPr>
        <w:t>费用</w:t>
      </w:r>
      <w:bookmarkEnd w:id="55"/>
      <w:bookmarkEnd w:id="56"/>
    </w:p>
    <w:p w14:paraId="455E4236">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4.1</w:t>
      </w:r>
      <w:r>
        <w:rPr>
          <w:rFonts w:hint="eastAsia" w:ascii="宋体" w:hAnsi="宋体" w:eastAsia="宋体" w:cs="宋体"/>
          <w:color w:val="auto"/>
          <w:sz w:val="24"/>
          <w:highlight w:val="none"/>
        </w:rPr>
        <w:t xml:space="preserve"> 无论本次结果如何，</w:t>
      </w:r>
      <w:r>
        <w:rPr>
          <w:rFonts w:hint="eastAsia" w:ascii="宋体" w:hAnsi="宋体" w:cs="宋体"/>
          <w:color w:val="auto"/>
          <w:sz w:val="24"/>
          <w:highlight w:val="none"/>
          <w:lang w:val="en-US" w:eastAsia="zh-CN"/>
        </w:rPr>
        <w:t>报价</w:t>
      </w:r>
      <w:r>
        <w:rPr>
          <w:rFonts w:hint="eastAsia" w:ascii="宋体" w:hAnsi="宋体" w:eastAsia="宋体" w:cs="宋体"/>
          <w:color w:val="auto"/>
          <w:sz w:val="24"/>
          <w:highlight w:val="none"/>
        </w:rPr>
        <w:t>人须自行承担所有与参加</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rPr>
        <w:t>有关的全部费用。</w:t>
      </w:r>
    </w:p>
    <w:p w14:paraId="2184B10C">
      <w:pPr>
        <w:pStyle w:val="8"/>
        <w:pageBreakBefore w:val="0"/>
        <w:kinsoku/>
        <w:wordWrap/>
        <w:overflowPunct/>
        <w:topLinePunct w:val="0"/>
        <w:bidi w:val="0"/>
        <w:spacing w:line="360" w:lineRule="auto"/>
        <w:ind w:firstLine="3626" w:firstLineChars="1290"/>
        <w:rPr>
          <w:rFonts w:hint="eastAsia" w:ascii="宋体" w:hAnsi="宋体" w:eastAsia="宋体" w:cs="宋体"/>
          <w:color w:val="auto"/>
          <w:sz w:val="28"/>
          <w:highlight w:val="none"/>
        </w:rPr>
      </w:pPr>
      <w:bookmarkStart w:id="57" w:name="_Toc11505"/>
      <w:bookmarkStart w:id="58" w:name="_Toc26514"/>
      <w:bookmarkStart w:id="59" w:name="_Toc21674"/>
      <w:r>
        <w:rPr>
          <w:rFonts w:hint="eastAsia" w:ascii="宋体" w:hAnsi="宋体" w:eastAsia="宋体" w:cs="宋体"/>
          <w:color w:val="auto"/>
          <w:sz w:val="28"/>
          <w:highlight w:val="none"/>
        </w:rPr>
        <w:t>二、</w:t>
      </w:r>
      <w:r>
        <w:rPr>
          <w:rFonts w:hint="eastAsia" w:ascii="宋体" w:hAnsi="宋体" w:cs="宋体"/>
          <w:color w:val="auto"/>
          <w:sz w:val="28"/>
          <w:highlight w:val="none"/>
          <w:lang w:val="en-US" w:eastAsia="zh-CN"/>
        </w:rPr>
        <w:t>竞争性谈判</w:t>
      </w:r>
      <w:r>
        <w:rPr>
          <w:rFonts w:hint="eastAsia" w:ascii="宋体" w:hAnsi="宋体" w:eastAsia="宋体" w:cs="宋体"/>
          <w:color w:val="auto"/>
          <w:sz w:val="28"/>
          <w:highlight w:val="none"/>
        </w:rPr>
        <w:t>文件</w:t>
      </w:r>
      <w:bookmarkEnd w:id="57"/>
      <w:bookmarkEnd w:id="58"/>
      <w:bookmarkEnd w:id="59"/>
    </w:p>
    <w:p w14:paraId="1576E53F">
      <w:pPr>
        <w:pageBreakBefore w:val="0"/>
        <w:kinsoku/>
        <w:wordWrap/>
        <w:overflowPunct/>
        <w:topLinePunct w:val="0"/>
        <w:bidi w:val="0"/>
        <w:spacing w:line="360" w:lineRule="auto"/>
        <w:outlineLvl w:val="2"/>
        <w:rPr>
          <w:rFonts w:hint="eastAsia" w:ascii="宋体" w:hAnsi="宋体" w:eastAsia="宋体" w:cs="宋体"/>
          <w:b/>
          <w:color w:val="auto"/>
          <w:sz w:val="24"/>
          <w:highlight w:val="none"/>
        </w:rPr>
      </w:pPr>
      <w:bookmarkStart w:id="60" w:name="_Toc11147"/>
      <w:bookmarkStart w:id="61" w:name="_Toc18055"/>
      <w:r>
        <w:rPr>
          <w:rFonts w:hint="eastAsia" w:ascii="宋体" w:hAnsi="宋体" w:eastAsia="宋体" w:cs="宋体"/>
          <w:b/>
          <w:color w:val="auto"/>
          <w:sz w:val="24"/>
          <w:highlight w:val="none"/>
        </w:rPr>
        <w:t>5、</w:t>
      </w:r>
      <w:r>
        <w:rPr>
          <w:rFonts w:hint="eastAsia" w:ascii="宋体" w:hAnsi="宋体" w:cs="宋体"/>
          <w:b/>
          <w:color w:val="auto"/>
          <w:sz w:val="24"/>
          <w:highlight w:val="none"/>
          <w:lang w:val="en-US" w:eastAsia="zh-CN"/>
        </w:rPr>
        <w:t>竞争性谈判</w:t>
      </w:r>
      <w:r>
        <w:rPr>
          <w:rFonts w:hint="eastAsia" w:ascii="宋体" w:hAnsi="宋体" w:eastAsia="宋体" w:cs="宋体"/>
          <w:b/>
          <w:color w:val="auto"/>
          <w:sz w:val="24"/>
          <w:highlight w:val="none"/>
        </w:rPr>
        <w:t>文件</w:t>
      </w:r>
      <w:bookmarkEnd w:id="60"/>
      <w:bookmarkEnd w:id="61"/>
    </w:p>
    <w:p w14:paraId="08B50BB8">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5.1 </w:t>
      </w:r>
      <w:r>
        <w:rPr>
          <w:rFonts w:hint="eastAsia" w:ascii="宋体" w:hAnsi="宋体" w:cs="宋体"/>
          <w:color w:val="auto"/>
          <w:sz w:val="24"/>
          <w:highlight w:val="none"/>
          <w:lang w:val="en-US" w:eastAsia="zh-CN"/>
        </w:rPr>
        <w:t>竞争性谈判</w:t>
      </w:r>
      <w:r>
        <w:rPr>
          <w:rFonts w:hint="eastAsia" w:ascii="宋体" w:hAnsi="宋体" w:eastAsia="宋体" w:cs="宋体"/>
          <w:color w:val="auto"/>
          <w:sz w:val="24"/>
          <w:highlight w:val="none"/>
        </w:rPr>
        <w:t>文件用以阐明所的内容，</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rPr>
        <w:t>程序及合同条款，包括：</w:t>
      </w:r>
    </w:p>
    <w:p w14:paraId="7E784CD1">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5.1.1</w:t>
      </w:r>
      <w:r>
        <w:rPr>
          <w:rFonts w:hint="eastAsia" w:ascii="宋体" w:hAnsi="宋体" w:cs="宋体"/>
          <w:color w:val="auto"/>
          <w:sz w:val="24"/>
          <w:highlight w:val="none"/>
          <w:lang w:val="en-US" w:eastAsia="zh-CN"/>
        </w:rPr>
        <w:t>谈判说明</w:t>
      </w:r>
      <w:r>
        <w:rPr>
          <w:rFonts w:hint="eastAsia" w:ascii="宋体" w:hAnsi="宋体" w:eastAsia="宋体" w:cs="宋体"/>
          <w:color w:val="auto"/>
          <w:sz w:val="24"/>
          <w:highlight w:val="none"/>
        </w:rPr>
        <w:t>；</w:t>
      </w:r>
    </w:p>
    <w:p w14:paraId="38179F4B">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5.1.2 </w:t>
      </w:r>
      <w:r>
        <w:rPr>
          <w:rFonts w:hint="eastAsia" w:ascii="宋体" w:hAnsi="宋体" w:cs="宋体"/>
          <w:color w:val="auto"/>
          <w:sz w:val="24"/>
          <w:highlight w:val="none"/>
          <w:lang w:val="en-US" w:eastAsia="zh-CN"/>
        </w:rPr>
        <w:t>报价</w:t>
      </w:r>
      <w:r>
        <w:rPr>
          <w:rFonts w:hint="eastAsia" w:ascii="宋体" w:hAnsi="宋体" w:eastAsia="宋体" w:cs="宋体"/>
          <w:color w:val="auto"/>
          <w:sz w:val="24"/>
          <w:highlight w:val="none"/>
        </w:rPr>
        <w:t>人须知；</w:t>
      </w:r>
    </w:p>
    <w:p w14:paraId="627B70BA">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5.1.3 技术规格要求；</w:t>
      </w:r>
    </w:p>
    <w:p w14:paraId="447A0583">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5.1.4 合同条款；</w:t>
      </w:r>
    </w:p>
    <w:p w14:paraId="7C88934B">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5.1.5 特殊条款；</w:t>
      </w:r>
    </w:p>
    <w:p w14:paraId="05A87CA8">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5.2</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报价</w:t>
      </w:r>
      <w:r>
        <w:rPr>
          <w:rFonts w:hint="eastAsia" w:ascii="宋体" w:hAnsi="宋体" w:eastAsia="宋体" w:cs="宋体"/>
          <w:color w:val="auto"/>
          <w:sz w:val="24"/>
          <w:highlight w:val="none"/>
        </w:rPr>
        <w:t>人应仔细阅读</w:t>
      </w:r>
      <w:r>
        <w:rPr>
          <w:rFonts w:hint="eastAsia" w:ascii="宋体" w:hAnsi="宋体" w:cs="宋体"/>
          <w:color w:val="auto"/>
          <w:sz w:val="24"/>
          <w:highlight w:val="none"/>
          <w:lang w:eastAsia="zh-CN"/>
        </w:rPr>
        <w:t>谈判</w:t>
      </w:r>
      <w:r>
        <w:rPr>
          <w:rFonts w:hint="eastAsia" w:ascii="宋体" w:hAnsi="宋体" w:eastAsia="宋体" w:cs="宋体"/>
          <w:color w:val="auto"/>
          <w:sz w:val="24"/>
          <w:highlight w:val="none"/>
        </w:rPr>
        <w:t>文件中所有内容。</w:t>
      </w:r>
      <w:r>
        <w:rPr>
          <w:rFonts w:hint="eastAsia" w:ascii="宋体" w:hAnsi="宋体" w:cs="宋体"/>
          <w:color w:val="auto"/>
          <w:sz w:val="24"/>
          <w:highlight w:val="none"/>
          <w:lang w:val="en-US" w:eastAsia="zh-CN"/>
        </w:rPr>
        <w:t>代理</w:t>
      </w:r>
      <w:r>
        <w:rPr>
          <w:rFonts w:hint="eastAsia" w:ascii="宋体" w:hAnsi="宋体" w:eastAsia="宋体" w:cs="宋体"/>
          <w:color w:val="auto"/>
          <w:sz w:val="24"/>
          <w:highlight w:val="none"/>
        </w:rPr>
        <w:t>机构将拒绝未按照</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rPr>
        <w:t>文件的要求提供全部资料或提交的</w:t>
      </w:r>
      <w:r>
        <w:rPr>
          <w:rFonts w:hint="eastAsia" w:ascii="宋体" w:hAnsi="宋体" w:cs="宋体"/>
          <w:color w:val="auto"/>
          <w:sz w:val="24"/>
          <w:highlight w:val="none"/>
          <w:lang w:eastAsia="zh-CN"/>
        </w:rPr>
        <w:t>谈</w:t>
      </w:r>
      <w:r>
        <w:rPr>
          <w:rFonts w:hint="eastAsia" w:ascii="宋体" w:hAnsi="宋体" w:eastAsia="宋体" w:cs="宋体"/>
          <w:color w:val="auto"/>
          <w:sz w:val="24"/>
          <w:highlight w:val="none"/>
          <w:lang w:eastAsia="zh-CN"/>
        </w:rPr>
        <w:t>判响应文件</w:t>
      </w:r>
      <w:r>
        <w:rPr>
          <w:rFonts w:hint="eastAsia" w:ascii="宋体" w:hAnsi="宋体" w:eastAsia="宋体" w:cs="宋体"/>
          <w:color w:val="auto"/>
          <w:sz w:val="24"/>
          <w:highlight w:val="none"/>
        </w:rPr>
        <w:t>未对</w:t>
      </w:r>
      <w:r>
        <w:rPr>
          <w:rFonts w:hint="eastAsia" w:ascii="宋体" w:hAnsi="宋体" w:eastAsia="宋体" w:cs="宋体"/>
          <w:color w:val="auto"/>
          <w:sz w:val="24"/>
          <w:highlight w:val="none"/>
          <w:lang w:val="en-US" w:eastAsia="zh-CN"/>
        </w:rPr>
        <w:t>谈判</w:t>
      </w:r>
      <w:r>
        <w:rPr>
          <w:rFonts w:hint="eastAsia" w:ascii="宋体" w:hAnsi="宋体" w:eastAsia="宋体" w:cs="宋体"/>
          <w:color w:val="auto"/>
          <w:sz w:val="24"/>
          <w:highlight w:val="none"/>
        </w:rPr>
        <w:t>文件做出实质性响应的</w:t>
      </w:r>
      <w:r>
        <w:rPr>
          <w:rFonts w:hint="eastAsia" w:ascii="宋体" w:hAnsi="宋体" w:eastAsia="宋体" w:cs="宋体"/>
          <w:color w:val="auto"/>
          <w:sz w:val="24"/>
          <w:highlight w:val="none"/>
          <w:lang w:val="en-US" w:eastAsia="zh-CN"/>
        </w:rPr>
        <w:t>报价</w:t>
      </w:r>
      <w:r>
        <w:rPr>
          <w:rFonts w:hint="eastAsia" w:ascii="宋体" w:hAnsi="宋体" w:eastAsia="宋体" w:cs="宋体"/>
          <w:color w:val="auto"/>
          <w:sz w:val="24"/>
          <w:highlight w:val="none"/>
        </w:rPr>
        <w:t>。</w:t>
      </w:r>
    </w:p>
    <w:p w14:paraId="5602FB48">
      <w:pPr>
        <w:pageBreakBefore w:val="0"/>
        <w:kinsoku/>
        <w:wordWrap/>
        <w:overflowPunct/>
        <w:topLinePunct w:val="0"/>
        <w:bidi w:val="0"/>
        <w:spacing w:line="360" w:lineRule="auto"/>
        <w:outlineLvl w:val="2"/>
        <w:rPr>
          <w:rFonts w:hint="eastAsia" w:ascii="宋体" w:hAnsi="宋体" w:eastAsia="宋体" w:cs="宋体"/>
          <w:b/>
          <w:bCs w:val="0"/>
          <w:color w:val="auto"/>
          <w:sz w:val="24"/>
          <w:highlight w:val="none"/>
          <w:u w:val="none"/>
          <w:lang w:eastAsia="zh-CN"/>
        </w:rPr>
      </w:pPr>
      <w:bookmarkStart w:id="62" w:name="_Toc27074"/>
      <w:bookmarkStart w:id="63" w:name="_Toc158"/>
      <w:r>
        <w:rPr>
          <w:rFonts w:hint="eastAsia" w:ascii="宋体" w:hAnsi="宋体" w:eastAsia="宋体" w:cs="宋体"/>
          <w:b/>
          <w:bCs w:val="0"/>
          <w:color w:val="auto"/>
          <w:sz w:val="24"/>
          <w:highlight w:val="none"/>
          <w:u w:val="none"/>
          <w:lang w:eastAsia="zh-CN"/>
        </w:rPr>
        <w:t>6、</w:t>
      </w:r>
      <w:r>
        <w:rPr>
          <w:rFonts w:hint="eastAsia" w:ascii="宋体" w:hAnsi="宋体" w:eastAsia="宋体" w:cs="宋体"/>
          <w:b/>
          <w:bCs w:val="0"/>
          <w:color w:val="auto"/>
          <w:sz w:val="24"/>
          <w:highlight w:val="none"/>
          <w:u w:val="none"/>
          <w:lang w:val="en-US" w:eastAsia="zh-CN"/>
        </w:rPr>
        <w:t>谈判</w:t>
      </w:r>
      <w:r>
        <w:rPr>
          <w:rFonts w:hint="eastAsia" w:ascii="宋体" w:hAnsi="宋体" w:eastAsia="宋体" w:cs="宋体"/>
          <w:b/>
          <w:bCs w:val="0"/>
          <w:color w:val="auto"/>
          <w:sz w:val="24"/>
          <w:highlight w:val="none"/>
          <w:u w:val="none"/>
          <w:lang w:eastAsia="zh-CN"/>
        </w:rPr>
        <w:t>文件的澄清</w:t>
      </w:r>
      <w:bookmarkEnd w:id="62"/>
      <w:bookmarkEnd w:id="63"/>
    </w:p>
    <w:p w14:paraId="54D137C3">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6.1</w:t>
      </w:r>
      <w:r>
        <w:rPr>
          <w:rFonts w:hint="eastAsia" w:ascii="宋体" w:hAnsi="宋体" w:eastAsia="宋体" w:cs="宋体"/>
          <w:color w:val="auto"/>
          <w:sz w:val="24"/>
          <w:highlight w:val="none"/>
        </w:rPr>
        <w:t xml:space="preserve"> 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曰。</w:t>
      </w:r>
    </w:p>
    <w:p w14:paraId="1AFA47F6">
      <w:pPr>
        <w:pageBreakBefore w:val="0"/>
        <w:kinsoku/>
        <w:wordWrap/>
        <w:overflowPunct/>
        <w:topLinePunct w:val="0"/>
        <w:bidi w:val="0"/>
        <w:spacing w:line="360" w:lineRule="auto"/>
        <w:outlineLvl w:val="2"/>
        <w:rPr>
          <w:rFonts w:hint="eastAsia" w:ascii="宋体" w:hAnsi="宋体" w:eastAsia="宋体" w:cs="宋体"/>
          <w:b/>
          <w:color w:val="auto"/>
          <w:sz w:val="24"/>
          <w:highlight w:val="none"/>
        </w:rPr>
      </w:pPr>
      <w:bookmarkStart w:id="64" w:name="_Toc601"/>
      <w:bookmarkStart w:id="65" w:name="_Toc640"/>
      <w:r>
        <w:rPr>
          <w:rFonts w:hint="eastAsia" w:ascii="宋体" w:hAnsi="宋体" w:eastAsia="宋体" w:cs="宋体"/>
          <w:b/>
          <w:color w:val="auto"/>
          <w:sz w:val="24"/>
          <w:highlight w:val="none"/>
        </w:rPr>
        <w:t>7、</w:t>
      </w:r>
      <w:r>
        <w:rPr>
          <w:rFonts w:hint="eastAsia" w:ascii="宋体" w:hAnsi="宋体" w:cs="宋体"/>
          <w:b/>
          <w:color w:val="auto"/>
          <w:sz w:val="24"/>
          <w:highlight w:val="none"/>
          <w:lang w:val="en-US" w:eastAsia="zh-CN"/>
        </w:rPr>
        <w:t>谈判</w:t>
      </w:r>
      <w:r>
        <w:rPr>
          <w:rFonts w:hint="eastAsia" w:ascii="宋体" w:hAnsi="宋体" w:eastAsia="宋体" w:cs="宋体"/>
          <w:b/>
          <w:color w:val="auto"/>
          <w:sz w:val="24"/>
          <w:highlight w:val="none"/>
        </w:rPr>
        <w:t>文件的修改</w:t>
      </w:r>
      <w:bookmarkEnd w:id="64"/>
      <w:bookmarkEnd w:id="65"/>
    </w:p>
    <w:p w14:paraId="62D08B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7.1</w:t>
      </w:r>
      <w:r>
        <w:rPr>
          <w:rFonts w:hint="eastAsia" w:ascii="宋体" w:hAnsi="宋体" w:eastAsia="宋体" w:cs="宋体"/>
          <w:color w:val="auto"/>
          <w:sz w:val="24"/>
          <w:highlight w:val="none"/>
        </w:rPr>
        <w:t xml:space="preserve"> 在</w:t>
      </w:r>
      <w:r>
        <w:rPr>
          <w:rFonts w:hint="eastAsia" w:ascii="宋体" w:hAnsi="宋体" w:cs="宋体"/>
          <w:color w:val="auto"/>
          <w:sz w:val="24"/>
          <w:highlight w:val="none"/>
          <w:lang w:val="en-US" w:eastAsia="zh-CN"/>
        </w:rPr>
        <w:t>开标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24</w:t>
      </w:r>
      <w:r>
        <w:rPr>
          <w:rFonts w:hint="eastAsia" w:ascii="宋体" w:hAnsi="宋体" w:eastAsia="宋体" w:cs="宋体"/>
          <w:color w:val="auto"/>
          <w:sz w:val="24"/>
          <w:highlight w:val="none"/>
        </w:rPr>
        <w:t>小时以前，</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人都可能以《文件补充》的方式修改</w:t>
      </w:r>
      <w:r>
        <w:rPr>
          <w:rFonts w:hint="eastAsia" w:ascii="宋体" w:hAnsi="宋体" w:eastAsia="宋体" w:cs="宋体"/>
          <w:color w:val="auto"/>
          <w:kern w:val="2"/>
          <w:sz w:val="24"/>
          <w:szCs w:val="24"/>
          <w:highlight w:val="none"/>
          <w:lang w:val="en-US" w:eastAsia="zh-CN" w:bidi="ar-SA"/>
        </w:rPr>
        <w:t>竞争性谈判文件</w:t>
      </w:r>
      <w:r>
        <w:rPr>
          <w:rFonts w:hint="eastAsia" w:ascii="宋体" w:hAnsi="宋体" w:eastAsia="宋体" w:cs="宋体"/>
          <w:color w:val="auto"/>
          <w:sz w:val="24"/>
          <w:highlight w:val="none"/>
        </w:rPr>
        <w:t>文件</w:t>
      </w:r>
      <w:r>
        <w:rPr>
          <w:rFonts w:hint="eastAsia" w:ascii="宋体" w:hAnsi="宋体" w:cs="宋体"/>
          <w:color w:val="auto"/>
          <w:sz w:val="24"/>
          <w:highlight w:val="none"/>
          <w:lang w:eastAsia="zh-CN"/>
        </w:rPr>
        <w:t>，代理公司将于开标前</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天在本次谈判公告刊登的媒体（新疆政府采购网（http://www.ccgp-xinjiang.gov.cn/）上</w:t>
      </w:r>
      <w:r>
        <w:rPr>
          <w:rFonts w:hint="eastAsia" w:ascii="宋体" w:hAnsi="宋体" w:cs="宋体"/>
          <w:color w:val="auto"/>
          <w:sz w:val="24"/>
          <w:highlight w:val="none"/>
          <w:lang w:val="en-US" w:eastAsia="zh-CN"/>
        </w:rPr>
        <w:t>予</w:t>
      </w:r>
      <w:r>
        <w:rPr>
          <w:rFonts w:hint="eastAsia" w:ascii="宋体" w:hAnsi="宋体" w:cs="宋体"/>
          <w:color w:val="auto"/>
          <w:sz w:val="24"/>
          <w:highlight w:val="none"/>
          <w:lang w:eastAsia="zh-CN"/>
        </w:rPr>
        <w:t>以公</w:t>
      </w:r>
      <w:r>
        <w:rPr>
          <w:rFonts w:hint="eastAsia" w:ascii="宋体" w:hAnsi="宋体" w:cs="宋体"/>
          <w:color w:val="auto"/>
          <w:sz w:val="24"/>
          <w:highlight w:val="none"/>
          <w:lang w:val="en-US" w:eastAsia="zh-CN"/>
        </w:rPr>
        <w:t>布</w:t>
      </w:r>
      <w:r>
        <w:rPr>
          <w:rFonts w:hint="eastAsia" w:ascii="宋体" w:hAnsi="宋体" w:cs="宋体"/>
          <w:color w:val="auto"/>
          <w:sz w:val="24"/>
          <w:highlight w:val="none"/>
          <w:lang w:eastAsia="zh-CN"/>
        </w:rPr>
        <w:t>，该补充或修改的内容为</w:t>
      </w:r>
      <w:r>
        <w:rPr>
          <w:rFonts w:hint="eastAsia" w:ascii="宋体" w:hAnsi="宋体" w:eastAsia="宋体" w:cs="宋体"/>
          <w:color w:val="auto"/>
          <w:kern w:val="2"/>
          <w:sz w:val="24"/>
          <w:szCs w:val="24"/>
          <w:highlight w:val="none"/>
          <w:lang w:val="en-US" w:eastAsia="zh-CN" w:bidi="ar-SA"/>
        </w:rPr>
        <w:t>竞争性谈判文件</w:t>
      </w:r>
      <w:r>
        <w:rPr>
          <w:rFonts w:hint="eastAsia" w:ascii="宋体" w:hAnsi="宋体" w:cs="宋体"/>
          <w:color w:val="auto"/>
          <w:sz w:val="24"/>
          <w:highlight w:val="none"/>
          <w:lang w:eastAsia="zh-CN"/>
        </w:rPr>
        <w:t>文件的组成部分；补充或修改不足</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天的，应顺延投标截至时间</w:t>
      </w:r>
      <w:r>
        <w:rPr>
          <w:rFonts w:hint="eastAsia" w:ascii="宋体" w:hAnsi="宋体" w:eastAsia="宋体" w:cs="宋体"/>
          <w:color w:val="auto"/>
          <w:sz w:val="24"/>
          <w:highlight w:val="none"/>
        </w:rPr>
        <w:t>。</w:t>
      </w:r>
    </w:p>
    <w:p w14:paraId="351B9B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auto"/>
          <w:kern w:val="0"/>
          <w:sz w:val="24"/>
          <w:highlight w:val="none"/>
        </w:rPr>
      </w:pPr>
      <w:r>
        <w:rPr>
          <w:rFonts w:hint="eastAsia" w:ascii="宋体" w:hAnsi="宋体" w:eastAsia="宋体" w:cs="宋体"/>
          <w:b/>
          <w:color w:val="auto"/>
          <w:sz w:val="24"/>
          <w:highlight w:val="none"/>
        </w:rPr>
        <w:t>7.2</w:t>
      </w:r>
      <w:r>
        <w:rPr>
          <w:rFonts w:hint="eastAsia" w:ascii="宋体" w:hAnsi="宋体" w:eastAsia="宋体" w:cs="宋体"/>
          <w:color w:val="auto"/>
          <w:sz w:val="24"/>
          <w:highlight w:val="none"/>
        </w:rPr>
        <w:t xml:space="preserve"> 《</w:t>
      </w:r>
      <w:r>
        <w:rPr>
          <w:rFonts w:hint="eastAsia" w:ascii="宋体" w:hAnsi="宋体" w:eastAsia="宋体" w:cs="宋体"/>
          <w:color w:val="auto"/>
          <w:kern w:val="2"/>
          <w:sz w:val="24"/>
          <w:szCs w:val="24"/>
          <w:highlight w:val="none"/>
          <w:lang w:val="en-US" w:eastAsia="zh-CN" w:bidi="ar-SA"/>
        </w:rPr>
        <w:t>竞争性谈判文件</w:t>
      </w:r>
      <w:r>
        <w:rPr>
          <w:rFonts w:hint="eastAsia" w:ascii="宋体" w:hAnsi="宋体" w:eastAsia="宋体" w:cs="宋体"/>
          <w:color w:val="auto"/>
          <w:sz w:val="24"/>
          <w:highlight w:val="none"/>
        </w:rPr>
        <w:t>补充》作为</w:t>
      </w:r>
      <w:r>
        <w:rPr>
          <w:rFonts w:hint="eastAsia" w:ascii="宋体" w:hAnsi="宋体" w:eastAsia="宋体" w:cs="宋体"/>
          <w:color w:val="auto"/>
          <w:kern w:val="2"/>
          <w:sz w:val="24"/>
          <w:szCs w:val="24"/>
          <w:highlight w:val="none"/>
          <w:lang w:val="en-US" w:eastAsia="zh-CN" w:bidi="ar-SA"/>
        </w:rPr>
        <w:t>竞争性谈判文件</w:t>
      </w:r>
      <w:r>
        <w:rPr>
          <w:rFonts w:hint="eastAsia" w:ascii="宋体" w:hAnsi="宋体" w:eastAsia="宋体" w:cs="宋体"/>
          <w:color w:val="auto"/>
          <w:sz w:val="24"/>
          <w:highlight w:val="none"/>
        </w:rPr>
        <w:t>的组成部分，对</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人具有同等约束力。如果</w:t>
      </w:r>
      <w:r>
        <w:rPr>
          <w:rFonts w:hint="eastAsia" w:ascii="宋体" w:hAnsi="宋体" w:eastAsia="宋体" w:cs="宋体"/>
          <w:color w:val="auto"/>
          <w:kern w:val="2"/>
          <w:sz w:val="24"/>
          <w:szCs w:val="24"/>
          <w:highlight w:val="none"/>
          <w:lang w:val="en-US" w:eastAsia="zh-CN" w:bidi="ar-SA"/>
        </w:rPr>
        <w:t>竞争性谈判文件</w:t>
      </w:r>
      <w:r>
        <w:rPr>
          <w:rFonts w:hint="eastAsia" w:ascii="宋体" w:hAnsi="宋体" w:eastAsia="宋体" w:cs="宋体"/>
          <w:color w:val="auto"/>
          <w:sz w:val="24"/>
          <w:highlight w:val="none"/>
        </w:rPr>
        <w:t>补充内容与此</w:t>
      </w:r>
      <w:r>
        <w:rPr>
          <w:rFonts w:hint="eastAsia" w:ascii="宋体" w:hAnsi="宋体" w:eastAsia="宋体" w:cs="宋体"/>
          <w:color w:val="auto"/>
          <w:kern w:val="2"/>
          <w:sz w:val="24"/>
          <w:szCs w:val="24"/>
          <w:highlight w:val="none"/>
          <w:lang w:val="en-US" w:eastAsia="zh-CN" w:bidi="ar-SA"/>
        </w:rPr>
        <w:t>竞争性谈判文件</w:t>
      </w:r>
      <w:r>
        <w:rPr>
          <w:rFonts w:hint="eastAsia" w:ascii="宋体" w:hAnsi="宋体" w:eastAsia="宋体" w:cs="宋体"/>
          <w:color w:val="auto"/>
          <w:sz w:val="24"/>
          <w:highlight w:val="none"/>
        </w:rPr>
        <w:t>补充发出之前的</w:t>
      </w:r>
      <w:r>
        <w:rPr>
          <w:rFonts w:hint="eastAsia" w:ascii="宋体" w:hAnsi="宋体" w:eastAsia="宋体" w:cs="宋体"/>
          <w:color w:val="auto"/>
          <w:kern w:val="2"/>
          <w:sz w:val="24"/>
          <w:szCs w:val="24"/>
          <w:highlight w:val="none"/>
          <w:lang w:val="en-US" w:eastAsia="zh-CN" w:bidi="ar-SA"/>
        </w:rPr>
        <w:t>竞争性谈判文件</w:t>
      </w:r>
      <w:r>
        <w:rPr>
          <w:rFonts w:hint="eastAsia" w:ascii="宋体" w:hAnsi="宋体" w:eastAsia="宋体" w:cs="宋体"/>
          <w:snapToGrid w:val="0"/>
          <w:color w:val="auto"/>
          <w:kern w:val="0"/>
          <w:sz w:val="24"/>
          <w:highlight w:val="none"/>
        </w:rPr>
        <w:t>等书面材料中相关内容相冲突，请</w:t>
      </w:r>
      <w:r>
        <w:rPr>
          <w:rFonts w:hint="eastAsia" w:ascii="宋体" w:hAnsi="宋体" w:cs="宋体"/>
          <w:snapToGrid w:val="0"/>
          <w:color w:val="auto"/>
          <w:kern w:val="0"/>
          <w:sz w:val="24"/>
          <w:highlight w:val="none"/>
          <w:lang w:val="en-US" w:eastAsia="zh-CN"/>
        </w:rPr>
        <w:t>投标</w:t>
      </w:r>
      <w:r>
        <w:rPr>
          <w:rFonts w:hint="eastAsia" w:ascii="宋体" w:hAnsi="宋体" w:eastAsia="宋体" w:cs="宋体"/>
          <w:snapToGrid w:val="0"/>
          <w:color w:val="auto"/>
          <w:kern w:val="0"/>
          <w:sz w:val="24"/>
          <w:highlight w:val="none"/>
        </w:rPr>
        <w:t>人执行</w:t>
      </w:r>
      <w:r>
        <w:rPr>
          <w:rFonts w:hint="eastAsia" w:ascii="宋体" w:hAnsi="宋体" w:eastAsia="宋体" w:cs="宋体"/>
          <w:color w:val="auto"/>
          <w:kern w:val="2"/>
          <w:sz w:val="24"/>
          <w:szCs w:val="24"/>
          <w:highlight w:val="none"/>
          <w:lang w:val="en-US" w:eastAsia="zh-CN" w:bidi="ar-SA"/>
        </w:rPr>
        <w:t>竞争性谈判文件</w:t>
      </w:r>
      <w:r>
        <w:rPr>
          <w:rFonts w:hint="eastAsia" w:ascii="宋体" w:hAnsi="宋体" w:eastAsia="宋体" w:cs="宋体"/>
          <w:snapToGrid w:val="0"/>
          <w:color w:val="auto"/>
          <w:kern w:val="0"/>
          <w:sz w:val="24"/>
          <w:highlight w:val="none"/>
        </w:rPr>
        <w:t>补充的相关内容，先前发出的文件等书面材料中相关内容自动废止。</w:t>
      </w:r>
    </w:p>
    <w:p w14:paraId="647A4E76">
      <w:pPr>
        <w:pageBreakBefore w:val="0"/>
        <w:kinsoku/>
        <w:wordWrap/>
        <w:overflowPunct/>
        <w:topLinePunct w:val="0"/>
        <w:bidi w:val="0"/>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7.3</w:t>
      </w:r>
      <w:r>
        <w:rPr>
          <w:rFonts w:hint="eastAsia" w:ascii="宋体" w:hAnsi="宋体" w:eastAsia="宋体" w:cs="宋体"/>
          <w:snapToGrid w:val="0"/>
          <w:color w:val="auto"/>
          <w:kern w:val="0"/>
          <w:sz w:val="24"/>
          <w:highlight w:val="none"/>
        </w:rPr>
        <w:t xml:space="preserve"> 为使</w:t>
      </w:r>
      <w:r>
        <w:rPr>
          <w:rFonts w:hint="eastAsia" w:ascii="宋体" w:hAnsi="宋体" w:cs="宋体"/>
          <w:snapToGrid w:val="0"/>
          <w:color w:val="auto"/>
          <w:kern w:val="0"/>
          <w:sz w:val="24"/>
          <w:highlight w:val="none"/>
          <w:lang w:eastAsia="zh-CN"/>
        </w:rPr>
        <w:t>投标人</w:t>
      </w:r>
      <w:r>
        <w:rPr>
          <w:rFonts w:hint="eastAsia" w:ascii="宋体" w:hAnsi="宋体" w:eastAsia="宋体" w:cs="宋体"/>
          <w:snapToGrid w:val="0"/>
          <w:color w:val="auto"/>
          <w:kern w:val="0"/>
          <w:sz w:val="24"/>
          <w:highlight w:val="none"/>
        </w:rPr>
        <w:t>在编制</w:t>
      </w:r>
      <w:r>
        <w:rPr>
          <w:rFonts w:hint="eastAsia" w:ascii="宋体" w:hAnsi="宋体" w:eastAsia="宋体" w:cs="宋体"/>
          <w:snapToGrid w:val="0"/>
          <w:color w:val="auto"/>
          <w:kern w:val="0"/>
          <w:sz w:val="24"/>
          <w:highlight w:val="none"/>
          <w:lang w:eastAsia="zh-CN"/>
        </w:rPr>
        <w:t>谈判响应</w:t>
      </w:r>
      <w:r>
        <w:rPr>
          <w:rFonts w:hint="eastAsia" w:ascii="宋体" w:hAnsi="宋体" w:cs="宋体"/>
          <w:snapToGrid w:val="0"/>
          <w:color w:val="auto"/>
          <w:kern w:val="0"/>
          <w:sz w:val="24"/>
          <w:highlight w:val="none"/>
          <w:lang w:eastAsia="zh-CN"/>
        </w:rPr>
        <w:t>文件</w:t>
      </w:r>
      <w:r>
        <w:rPr>
          <w:rFonts w:hint="eastAsia" w:ascii="宋体" w:hAnsi="宋体" w:eastAsia="宋体" w:cs="宋体"/>
          <w:snapToGrid w:val="0"/>
          <w:color w:val="auto"/>
          <w:kern w:val="0"/>
          <w:sz w:val="24"/>
          <w:highlight w:val="none"/>
        </w:rPr>
        <w:t>时把《文件补充》内容考虑进去，</w:t>
      </w:r>
      <w:r>
        <w:rPr>
          <w:rFonts w:hint="eastAsia" w:ascii="宋体" w:hAnsi="宋体" w:cs="宋体"/>
          <w:snapToGrid w:val="0"/>
          <w:color w:val="auto"/>
          <w:kern w:val="0"/>
          <w:sz w:val="24"/>
          <w:highlight w:val="none"/>
          <w:lang w:val="en-US" w:eastAsia="zh-CN"/>
        </w:rPr>
        <w:t>采购</w:t>
      </w:r>
      <w:r>
        <w:rPr>
          <w:rFonts w:hint="eastAsia" w:ascii="宋体" w:hAnsi="宋体" w:eastAsia="宋体" w:cs="宋体"/>
          <w:snapToGrid w:val="0"/>
          <w:color w:val="auto"/>
          <w:kern w:val="0"/>
          <w:sz w:val="24"/>
          <w:highlight w:val="none"/>
        </w:rPr>
        <w:t>人可以相应延长</w:t>
      </w:r>
      <w:r>
        <w:rPr>
          <w:rFonts w:hint="eastAsia" w:ascii="宋体" w:hAnsi="宋体" w:cs="宋体"/>
          <w:snapToGrid w:val="0"/>
          <w:color w:val="auto"/>
          <w:kern w:val="0"/>
          <w:sz w:val="24"/>
          <w:highlight w:val="none"/>
          <w:lang w:val="en-US" w:eastAsia="zh-CN"/>
        </w:rPr>
        <w:t>谈判截止</w:t>
      </w:r>
      <w:r>
        <w:rPr>
          <w:rFonts w:hint="eastAsia" w:ascii="宋体" w:hAnsi="宋体" w:eastAsia="宋体" w:cs="宋体"/>
          <w:snapToGrid w:val="0"/>
          <w:color w:val="auto"/>
          <w:kern w:val="0"/>
          <w:sz w:val="24"/>
          <w:highlight w:val="none"/>
        </w:rPr>
        <w:t>日期，具体时间将在《文件补充》中写明。</w:t>
      </w:r>
    </w:p>
    <w:p w14:paraId="5CBCB019">
      <w:pPr>
        <w:pStyle w:val="11"/>
        <w:spacing w:line="36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snapToGrid w:val="0"/>
          <w:color w:val="auto"/>
          <w:kern w:val="0"/>
          <w:sz w:val="24"/>
          <w:szCs w:val="24"/>
          <w:highlight w:val="none"/>
          <w:lang w:val="en-US" w:eastAsia="zh-CN" w:bidi="ar-SA"/>
        </w:rPr>
        <w:t xml:space="preserve">7.4 </w:t>
      </w:r>
      <w:r>
        <w:rPr>
          <w:rFonts w:hint="eastAsia" w:ascii="宋体" w:hAnsi="宋体" w:eastAsia="宋体" w:cs="宋体"/>
          <w:color w:val="auto"/>
          <w:kern w:val="2"/>
          <w:sz w:val="24"/>
          <w:szCs w:val="24"/>
          <w:highlight w:val="none"/>
          <w:lang w:val="en-US" w:eastAsia="zh-CN" w:bidi="ar-SA"/>
        </w:rPr>
        <w:t>对于投标人澄清要求</w:t>
      </w:r>
      <w:r>
        <w:rPr>
          <w:rFonts w:hint="eastAsia" w:ascii="宋体" w:hAnsi="宋体" w:cs="宋体"/>
          <w:color w:val="auto"/>
          <w:kern w:val="2"/>
          <w:sz w:val="24"/>
          <w:szCs w:val="24"/>
          <w:highlight w:val="none"/>
          <w:lang w:val="en-US" w:eastAsia="zh-CN" w:bidi="ar-SA"/>
        </w:rPr>
        <w:t>有必要时</w:t>
      </w:r>
      <w:r>
        <w:rPr>
          <w:rFonts w:hint="eastAsia" w:ascii="宋体" w:hAnsi="宋体" w:eastAsia="宋体" w:cs="宋体"/>
          <w:color w:val="auto"/>
          <w:kern w:val="2"/>
          <w:sz w:val="24"/>
          <w:szCs w:val="24"/>
          <w:highlight w:val="none"/>
          <w:lang w:val="en-US" w:eastAsia="zh-CN" w:bidi="ar-SA"/>
        </w:rPr>
        <w:t>，或者竞争性谈判文件的修改补充文件，</w:t>
      </w:r>
      <w:r>
        <w:rPr>
          <w:rFonts w:hint="eastAsia" w:ascii="宋体" w:hAnsi="宋体" w:cs="宋体"/>
          <w:color w:val="auto"/>
          <w:kern w:val="2"/>
          <w:sz w:val="24"/>
          <w:szCs w:val="24"/>
          <w:highlight w:val="none"/>
          <w:lang w:val="en-US" w:eastAsia="zh-CN" w:bidi="ar-SA"/>
        </w:rPr>
        <w:t>采购</w:t>
      </w:r>
      <w:r>
        <w:rPr>
          <w:rFonts w:hint="eastAsia" w:ascii="宋体" w:hAnsi="宋体" w:eastAsia="宋体" w:cs="宋体"/>
          <w:color w:val="auto"/>
          <w:kern w:val="2"/>
          <w:sz w:val="24"/>
          <w:szCs w:val="24"/>
          <w:highlight w:val="none"/>
          <w:lang w:val="en-US" w:eastAsia="zh-CN" w:bidi="ar-SA"/>
        </w:rPr>
        <w:t>机构均将在本次竞争性谈判公告刊登的媒体（新疆政府采购（http://www.ccgp-xinjiang.gov.cn/）上予以公布。请各投标人注意！</w:t>
      </w:r>
    </w:p>
    <w:p w14:paraId="41E768EE">
      <w:pPr>
        <w:pStyle w:val="8"/>
        <w:pageBreakBefore w:val="0"/>
        <w:kinsoku/>
        <w:wordWrap/>
        <w:overflowPunct/>
        <w:topLinePunct w:val="0"/>
        <w:bidi w:val="0"/>
        <w:spacing w:line="360" w:lineRule="auto"/>
        <w:ind w:firstLine="3204" w:firstLineChars="1140"/>
        <w:rPr>
          <w:rFonts w:hint="eastAsia" w:ascii="宋体" w:hAnsi="宋体" w:eastAsia="宋体" w:cs="宋体"/>
          <w:snapToGrid w:val="0"/>
          <w:color w:val="auto"/>
          <w:kern w:val="0"/>
          <w:sz w:val="28"/>
          <w:highlight w:val="none"/>
        </w:rPr>
      </w:pPr>
      <w:bookmarkStart w:id="66" w:name="_Toc3801"/>
      <w:bookmarkStart w:id="67" w:name="_Toc30784"/>
      <w:bookmarkStart w:id="68" w:name="_Toc15024"/>
      <w:r>
        <w:rPr>
          <w:rFonts w:hint="eastAsia" w:ascii="宋体" w:hAnsi="宋体" w:eastAsia="宋体" w:cs="宋体"/>
          <w:snapToGrid w:val="0"/>
          <w:color w:val="auto"/>
          <w:kern w:val="0"/>
          <w:sz w:val="28"/>
          <w:highlight w:val="none"/>
        </w:rPr>
        <w:t>三、</w:t>
      </w:r>
      <w:r>
        <w:rPr>
          <w:rFonts w:hint="eastAsia" w:ascii="宋体" w:hAnsi="宋体" w:cs="宋体"/>
          <w:snapToGrid w:val="0"/>
          <w:color w:val="auto"/>
          <w:kern w:val="0"/>
          <w:sz w:val="28"/>
          <w:highlight w:val="none"/>
          <w:lang w:eastAsia="zh-CN"/>
        </w:rPr>
        <w:t>谈判响应文件</w:t>
      </w:r>
      <w:r>
        <w:rPr>
          <w:rFonts w:hint="eastAsia" w:ascii="宋体" w:hAnsi="宋体" w:eastAsia="宋体" w:cs="宋体"/>
          <w:snapToGrid w:val="0"/>
          <w:color w:val="auto"/>
          <w:kern w:val="0"/>
          <w:sz w:val="28"/>
          <w:highlight w:val="none"/>
        </w:rPr>
        <w:t>的编制</w:t>
      </w:r>
      <w:bookmarkEnd w:id="66"/>
      <w:bookmarkEnd w:id="67"/>
      <w:bookmarkEnd w:id="68"/>
    </w:p>
    <w:p w14:paraId="4AD57A4F">
      <w:pPr>
        <w:pageBreakBefore w:val="0"/>
        <w:kinsoku/>
        <w:wordWrap/>
        <w:overflowPunct/>
        <w:topLinePunct w:val="0"/>
        <w:bidi w:val="0"/>
        <w:spacing w:line="360" w:lineRule="auto"/>
        <w:outlineLvl w:val="2"/>
        <w:rPr>
          <w:rFonts w:hint="eastAsia" w:ascii="宋体" w:hAnsi="宋体" w:eastAsia="宋体" w:cs="宋体"/>
          <w:b/>
          <w:color w:val="auto"/>
          <w:sz w:val="24"/>
          <w:highlight w:val="none"/>
        </w:rPr>
      </w:pPr>
      <w:bookmarkStart w:id="69" w:name="_Toc7386"/>
      <w:bookmarkStart w:id="70" w:name="_Toc3202"/>
      <w:r>
        <w:rPr>
          <w:rFonts w:hint="eastAsia" w:ascii="宋体" w:hAnsi="宋体" w:eastAsia="宋体" w:cs="宋体"/>
          <w:b/>
          <w:color w:val="auto"/>
          <w:sz w:val="24"/>
          <w:highlight w:val="none"/>
        </w:rPr>
        <w:t>8、</w:t>
      </w:r>
      <w:r>
        <w:rPr>
          <w:rFonts w:hint="eastAsia" w:ascii="宋体" w:hAnsi="宋体" w:cs="宋体"/>
          <w:b/>
          <w:color w:val="auto"/>
          <w:sz w:val="24"/>
          <w:highlight w:val="none"/>
          <w:lang w:eastAsia="zh-CN"/>
        </w:rPr>
        <w:t>谈判响应文件</w:t>
      </w:r>
      <w:r>
        <w:rPr>
          <w:rFonts w:hint="eastAsia" w:ascii="宋体" w:hAnsi="宋体" w:eastAsia="宋体" w:cs="宋体"/>
          <w:b/>
          <w:color w:val="auto"/>
          <w:sz w:val="24"/>
          <w:highlight w:val="none"/>
        </w:rPr>
        <w:t>的编写</w:t>
      </w:r>
      <w:bookmarkEnd w:id="69"/>
      <w:bookmarkEnd w:id="70"/>
    </w:p>
    <w:p w14:paraId="5EA9D7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8.1</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报价人</w:t>
      </w:r>
      <w:r>
        <w:rPr>
          <w:rFonts w:hint="eastAsia" w:ascii="宋体" w:hAnsi="宋体" w:eastAsia="宋体" w:cs="宋体"/>
          <w:color w:val="auto"/>
          <w:sz w:val="24"/>
          <w:highlight w:val="none"/>
        </w:rPr>
        <w:t>应仔细阅读</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rPr>
        <w:t>文件，了解文件的要求。在充分理解</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rPr>
        <w:t>文件提出的技术要求、服务和商务条件后，编制</w:t>
      </w:r>
      <w:r>
        <w:rPr>
          <w:rFonts w:hint="eastAsia" w:ascii="宋体" w:hAnsi="宋体" w:cs="宋体"/>
          <w:color w:val="auto"/>
          <w:sz w:val="24"/>
          <w:highlight w:val="none"/>
          <w:lang w:eastAsia="zh-CN"/>
        </w:rPr>
        <w:t>谈判响应文件</w:t>
      </w:r>
      <w:r>
        <w:rPr>
          <w:rFonts w:hint="eastAsia" w:ascii="宋体" w:hAnsi="宋体" w:eastAsia="宋体" w:cs="宋体"/>
          <w:color w:val="auto"/>
          <w:sz w:val="24"/>
          <w:highlight w:val="none"/>
        </w:rPr>
        <w:t>。</w:t>
      </w:r>
    </w:p>
    <w:p w14:paraId="1F0B42F3">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color w:val="auto"/>
          <w:sz w:val="24"/>
          <w:highlight w:val="none"/>
        </w:rPr>
      </w:pPr>
      <w:bookmarkStart w:id="71" w:name="_Toc15192"/>
      <w:bookmarkStart w:id="72" w:name="_Toc24921"/>
      <w:r>
        <w:rPr>
          <w:rFonts w:hint="eastAsia" w:ascii="宋体" w:hAnsi="宋体" w:eastAsia="宋体" w:cs="宋体"/>
          <w:b/>
          <w:color w:val="auto"/>
          <w:sz w:val="24"/>
          <w:highlight w:val="none"/>
        </w:rPr>
        <w:t>9、</w:t>
      </w:r>
      <w:r>
        <w:rPr>
          <w:rFonts w:hint="eastAsia" w:ascii="宋体" w:hAnsi="宋体" w:cs="宋体"/>
          <w:b/>
          <w:color w:val="auto"/>
          <w:sz w:val="24"/>
          <w:highlight w:val="none"/>
          <w:lang w:eastAsia="zh-CN"/>
        </w:rPr>
        <w:t>谈判及报价</w:t>
      </w:r>
      <w:r>
        <w:rPr>
          <w:rFonts w:hint="eastAsia" w:ascii="宋体" w:hAnsi="宋体" w:eastAsia="宋体" w:cs="宋体"/>
          <w:b/>
          <w:color w:val="auto"/>
          <w:sz w:val="24"/>
          <w:highlight w:val="none"/>
        </w:rPr>
        <w:t>语言</w:t>
      </w:r>
      <w:bookmarkEnd w:id="71"/>
      <w:bookmarkEnd w:id="72"/>
    </w:p>
    <w:p w14:paraId="2FDA39C8">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9.1 </w:t>
      </w:r>
      <w:r>
        <w:rPr>
          <w:rFonts w:hint="eastAsia" w:ascii="宋体" w:hAnsi="宋体" w:cs="宋体"/>
          <w:color w:val="auto"/>
          <w:sz w:val="24"/>
          <w:highlight w:val="none"/>
          <w:lang w:eastAsia="zh-CN"/>
        </w:rPr>
        <w:t>报价人</w:t>
      </w:r>
      <w:r>
        <w:rPr>
          <w:rFonts w:hint="eastAsia" w:ascii="宋体" w:hAnsi="宋体" w:eastAsia="宋体" w:cs="宋体"/>
          <w:color w:val="auto"/>
          <w:sz w:val="24"/>
          <w:highlight w:val="none"/>
        </w:rPr>
        <w:t>的</w:t>
      </w:r>
      <w:r>
        <w:rPr>
          <w:rFonts w:hint="eastAsia" w:ascii="宋体" w:hAnsi="宋体" w:cs="宋体"/>
          <w:color w:val="auto"/>
          <w:sz w:val="24"/>
          <w:highlight w:val="none"/>
          <w:lang w:eastAsia="zh-CN"/>
        </w:rPr>
        <w:t>谈判响应文件</w:t>
      </w:r>
      <w:r>
        <w:rPr>
          <w:rFonts w:hint="eastAsia" w:ascii="宋体" w:hAnsi="宋体" w:eastAsia="宋体" w:cs="宋体"/>
          <w:color w:val="auto"/>
          <w:sz w:val="24"/>
          <w:highlight w:val="none"/>
        </w:rPr>
        <w:t>以及</w:t>
      </w:r>
      <w:r>
        <w:rPr>
          <w:rFonts w:hint="eastAsia" w:ascii="宋体" w:hAnsi="宋体" w:cs="宋体"/>
          <w:color w:val="auto"/>
          <w:sz w:val="24"/>
          <w:highlight w:val="none"/>
          <w:lang w:eastAsia="zh-CN"/>
        </w:rPr>
        <w:t>报价人</w:t>
      </w:r>
      <w:r>
        <w:rPr>
          <w:rFonts w:hint="eastAsia" w:ascii="宋体" w:hAnsi="宋体" w:eastAsia="宋体" w:cs="宋体"/>
          <w:color w:val="auto"/>
          <w:sz w:val="24"/>
          <w:highlight w:val="none"/>
        </w:rPr>
        <w:t>与</w:t>
      </w:r>
      <w:r>
        <w:rPr>
          <w:rFonts w:hint="eastAsia" w:ascii="宋体" w:hAnsi="宋体" w:cs="宋体"/>
          <w:color w:val="auto"/>
          <w:sz w:val="24"/>
          <w:highlight w:val="none"/>
          <w:lang w:val="en-US" w:eastAsia="zh-CN"/>
        </w:rPr>
        <w:t>代理</w:t>
      </w:r>
      <w:r>
        <w:rPr>
          <w:rFonts w:hint="eastAsia" w:ascii="宋体" w:hAnsi="宋体" w:eastAsia="宋体" w:cs="宋体"/>
          <w:color w:val="auto"/>
          <w:sz w:val="24"/>
          <w:highlight w:val="none"/>
        </w:rPr>
        <w:t>机构就有关</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rPr>
        <w:t>活动的所有来往函电均应使用中文。如果</w:t>
      </w:r>
      <w:r>
        <w:rPr>
          <w:rFonts w:hint="eastAsia" w:ascii="宋体" w:hAnsi="宋体" w:cs="宋体"/>
          <w:color w:val="auto"/>
          <w:sz w:val="24"/>
          <w:highlight w:val="none"/>
          <w:lang w:eastAsia="zh-CN"/>
        </w:rPr>
        <w:t>谈判响应文件</w:t>
      </w:r>
      <w:r>
        <w:rPr>
          <w:rFonts w:hint="eastAsia" w:ascii="宋体" w:hAnsi="宋体" w:eastAsia="宋体" w:cs="宋体"/>
          <w:color w:val="auto"/>
          <w:sz w:val="24"/>
          <w:highlight w:val="none"/>
        </w:rPr>
        <w:t>或与</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rPr>
        <w:t>有关的其他文件、信件及来往函电以其他语言书写，</w:t>
      </w:r>
      <w:r>
        <w:rPr>
          <w:rFonts w:hint="eastAsia" w:ascii="宋体" w:hAnsi="宋体" w:cs="宋体"/>
          <w:color w:val="auto"/>
          <w:sz w:val="24"/>
          <w:highlight w:val="none"/>
          <w:lang w:eastAsia="zh-CN"/>
        </w:rPr>
        <w:t>报价人</w:t>
      </w:r>
      <w:r>
        <w:rPr>
          <w:rFonts w:hint="eastAsia" w:ascii="宋体" w:hAnsi="宋体" w:eastAsia="宋体" w:cs="宋体"/>
          <w:color w:val="auto"/>
          <w:sz w:val="24"/>
          <w:highlight w:val="none"/>
        </w:rPr>
        <w:t>应将其译成中文。</w:t>
      </w:r>
    </w:p>
    <w:p w14:paraId="7573317B">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9.2</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谈判响应文件</w:t>
      </w:r>
      <w:r>
        <w:rPr>
          <w:rFonts w:hint="eastAsia" w:ascii="宋体" w:hAnsi="宋体" w:eastAsia="宋体" w:cs="宋体"/>
          <w:color w:val="auto"/>
          <w:sz w:val="24"/>
          <w:highlight w:val="none"/>
        </w:rPr>
        <w:t>中使用的计量单位除</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rPr>
        <w:t>文件中有特殊规定外，一律使用法定计量单位。</w:t>
      </w:r>
    </w:p>
    <w:p w14:paraId="45A6C256">
      <w:pPr>
        <w:pageBreakBefore w:val="0"/>
        <w:kinsoku/>
        <w:wordWrap/>
        <w:overflowPunct/>
        <w:topLinePunct w:val="0"/>
        <w:bidi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w:t>
      </w:r>
      <w:r>
        <w:rPr>
          <w:rFonts w:hint="eastAsia" w:ascii="宋体" w:hAnsi="宋体" w:cs="宋体"/>
          <w:b/>
          <w:color w:val="auto"/>
          <w:sz w:val="24"/>
          <w:highlight w:val="none"/>
          <w:lang w:eastAsia="zh-CN"/>
        </w:rPr>
        <w:t>谈判响应文件</w:t>
      </w:r>
      <w:r>
        <w:rPr>
          <w:rFonts w:hint="eastAsia" w:ascii="宋体" w:hAnsi="宋体" w:eastAsia="宋体" w:cs="宋体"/>
          <w:b/>
          <w:color w:val="auto"/>
          <w:sz w:val="24"/>
          <w:highlight w:val="none"/>
        </w:rPr>
        <w:t>构成：</w:t>
      </w:r>
      <w:r>
        <w:rPr>
          <w:rFonts w:hint="eastAsia" w:ascii="宋体" w:hAnsi="宋体" w:cs="宋体"/>
          <w:b/>
          <w:color w:val="auto"/>
          <w:sz w:val="24"/>
          <w:szCs w:val="24"/>
          <w:highlight w:val="none"/>
          <w:lang w:eastAsia="zh-CN"/>
        </w:rPr>
        <w:t>响应文件</w:t>
      </w:r>
      <w:r>
        <w:rPr>
          <w:rFonts w:hint="eastAsia" w:ascii="宋体" w:hAnsi="宋体" w:cs="宋体"/>
          <w:b/>
          <w:color w:val="auto"/>
          <w:sz w:val="24"/>
          <w:szCs w:val="24"/>
          <w:highlight w:val="none"/>
        </w:rPr>
        <w:t>的组成和顺序:</w:t>
      </w:r>
      <w:r>
        <w:rPr>
          <w:rFonts w:hint="eastAsia" w:ascii="宋体" w:hAnsi="宋体" w:cs="宋体"/>
          <w:b/>
          <w:color w:val="auto"/>
          <w:sz w:val="24"/>
          <w:szCs w:val="24"/>
          <w:highlight w:val="none"/>
          <w:lang w:eastAsia="zh-CN"/>
        </w:rPr>
        <w:t>响应文件</w:t>
      </w:r>
      <w:r>
        <w:rPr>
          <w:rFonts w:hint="eastAsia" w:ascii="宋体" w:hAnsi="宋体" w:cs="宋体"/>
          <w:b/>
          <w:color w:val="auto"/>
          <w:sz w:val="24"/>
          <w:szCs w:val="24"/>
          <w:highlight w:val="none"/>
        </w:rPr>
        <w:t>由经济报价部分、商务部分、技术部分三部分组成</w:t>
      </w:r>
      <w:r>
        <w:rPr>
          <w:rFonts w:hint="eastAsia" w:ascii="宋体" w:hAnsi="宋体" w:eastAsia="宋体" w:cs="宋体"/>
          <w:b/>
          <w:color w:val="auto"/>
          <w:sz w:val="24"/>
          <w:highlight w:val="none"/>
        </w:rPr>
        <w:t>。详细如下：</w:t>
      </w:r>
    </w:p>
    <w:p w14:paraId="4CA6A9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10.1</w:t>
      </w:r>
      <w:r>
        <w:rPr>
          <w:rFonts w:hint="eastAsia" w:ascii="宋体" w:hAnsi="宋体" w:cs="宋体"/>
          <w:b w:val="0"/>
          <w:bCs/>
          <w:color w:val="auto"/>
          <w:sz w:val="24"/>
          <w:highlight w:val="none"/>
          <w:lang w:val="en-US" w:eastAsia="zh-CN"/>
        </w:rPr>
        <w:t>.1报价</w:t>
      </w:r>
      <w:r>
        <w:rPr>
          <w:rFonts w:hint="eastAsia" w:ascii="宋体" w:hAnsi="宋体" w:eastAsia="宋体" w:cs="宋体"/>
          <w:b w:val="0"/>
          <w:bCs/>
          <w:color w:val="auto"/>
          <w:sz w:val="24"/>
          <w:highlight w:val="none"/>
        </w:rPr>
        <w:t>函；</w:t>
      </w:r>
    </w:p>
    <w:p w14:paraId="6B3495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10.</w:t>
      </w:r>
      <w:r>
        <w:rPr>
          <w:rFonts w:hint="eastAsia" w:ascii="宋体" w:hAnsi="宋体" w:cs="宋体"/>
          <w:b w:val="0"/>
          <w:bCs/>
          <w:color w:val="auto"/>
          <w:sz w:val="24"/>
          <w:highlight w:val="none"/>
          <w:lang w:val="en-US" w:eastAsia="zh-CN"/>
        </w:rPr>
        <w:t>1.2</w:t>
      </w:r>
      <w:r>
        <w:rPr>
          <w:rFonts w:hint="eastAsia" w:ascii="宋体" w:hAnsi="宋体" w:eastAsia="宋体" w:cs="宋体"/>
          <w:b w:val="0"/>
          <w:bCs/>
          <w:color w:val="auto"/>
          <w:sz w:val="24"/>
          <w:highlight w:val="none"/>
          <w:lang w:val="en-US" w:eastAsia="zh-CN"/>
        </w:rPr>
        <w:t>报价一览表</w:t>
      </w:r>
      <w:r>
        <w:rPr>
          <w:rFonts w:hint="eastAsia" w:ascii="宋体" w:hAnsi="宋体" w:cs="宋体"/>
          <w:b w:val="0"/>
          <w:bCs/>
          <w:color w:val="auto"/>
          <w:sz w:val="24"/>
          <w:highlight w:val="none"/>
          <w:lang w:val="en-US" w:eastAsia="zh-CN"/>
        </w:rPr>
        <w:t>；</w:t>
      </w:r>
    </w:p>
    <w:p w14:paraId="6D39C2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10.</w:t>
      </w:r>
      <w:r>
        <w:rPr>
          <w:rFonts w:hint="eastAsia" w:ascii="宋体" w:hAnsi="宋体" w:cs="宋体"/>
          <w:b w:val="0"/>
          <w:bCs/>
          <w:color w:val="auto"/>
          <w:sz w:val="24"/>
          <w:highlight w:val="none"/>
          <w:lang w:val="en-US" w:eastAsia="zh-CN"/>
        </w:rPr>
        <w:t>1.</w:t>
      </w:r>
      <w:r>
        <w:rPr>
          <w:rFonts w:hint="eastAsia" w:ascii="宋体" w:hAnsi="宋体" w:eastAsia="宋体" w:cs="宋体"/>
          <w:b w:val="0"/>
          <w:bCs/>
          <w:color w:val="auto"/>
          <w:sz w:val="24"/>
          <w:highlight w:val="none"/>
        </w:rPr>
        <w:t>3</w:t>
      </w:r>
      <w:r>
        <w:rPr>
          <w:rFonts w:hint="eastAsia" w:ascii="宋体" w:hAnsi="宋体" w:cs="宋体"/>
          <w:b w:val="0"/>
          <w:bCs/>
          <w:color w:val="auto"/>
          <w:sz w:val="24"/>
          <w:highlight w:val="none"/>
          <w:lang w:val="en-US" w:eastAsia="zh-CN"/>
        </w:rPr>
        <w:t>经济标报价明细▲；</w:t>
      </w:r>
    </w:p>
    <w:p w14:paraId="0D70B6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10.</w:t>
      </w:r>
      <w:r>
        <w:rPr>
          <w:rFonts w:hint="eastAsia" w:ascii="宋体" w:hAnsi="宋体" w:cs="宋体"/>
          <w:b w:val="0"/>
          <w:bCs/>
          <w:color w:val="auto"/>
          <w:sz w:val="24"/>
          <w:highlight w:val="none"/>
          <w:lang w:val="en-US" w:eastAsia="zh-CN"/>
        </w:rPr>
        <w:t>1.</w:t>
      </w:r>
      <w:r>
        <w:rPr>
          <w:rFonts w:hint="eastAsia" w:ascii="宋体" w:hAnsi="宋体" w:eastAsia="宋体" w:cs="宋体"/>
          <w:b w:val="0"/>
          <w:bCs/>
          <w:color w:val="auto"/>
          <w:sz w:val="24"/>
          <w:highlight w:val="none"/>
          <w:lang w:val="en-US" w:eastAsia="zh-CN"/>
        </w:rPr>
        <w:t>4商务条款偏离表</w:t>
      </w:r>
      <w:r>
        <w:rPr>
          <w:rFonts w:hint="eastAsia" w:ascii="宋体" w:hAnsi="宋体" w:cs="宋体"/>
          <w:b w:val="0"/>
          <w:bCs/>
          <w:color w:val="auto"/>
          <w:sz w:val="24"/>
          <w:highlight w:val="none"/>
          <w:lang w:val="en-US" w:eastAsia="zh-CN"/>
        </w:rPr>
        <w:t>；</w:t>
      </w:r>
    </w:p>
    <w:p w14:paraId="16C646FE">
      <w:pPr>
        <w:pageBreakBefore w:val="0"/>
        <w:kinsoku/>
        <w:wordWrap/>
        <w:overflowPunct/>
        <w:topLinePunct w:val="0"/>
        <w:bidi w:val="0"/>
        <w:spacing w:line="360" w:lineRule="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rPr>
        <w:t>10.</w:t>
      </w:r>
      <w:r>
        <w:rPr>
          <w:rFonts w:hint="eastAsia" w:ascii="宋体" w:hAnsi="宋体" w:eastAsia="宋体" w:cs="宋体"/>
          <w:b w:val="0"/>
          <w:bCs/>
          <w:color w:val="auto"/>
          <w:sz w:val="24"/>
          <w:highlight w:val="none"/>
          <w:lang w:val="en-US" w:eastAsia="zh-CN"/>
        </w:rPr>
        <w:t>1.5投标人的资格声明</w:t>
      </w:r>
      <w:r>
        <w:rPr>
          <w:rFonts w:hint="eastAsia" w:ascii="宋体" w:hAnsi="宋体" w:cs="宋体"/>
          <w:b w:val="0"/>
          <w:bCs/>
          <w:color w:val="auto"/>
          <w:sz w:val="24"/>
          <w:highlight w:val="none"/>
          <w:lang w:val="en-US" w:eastAsia="zh-CN"/>
        </w:rPr>
        <w:t>；</w:t>
      </w:r>
    </w:p>
    <w:p w14:paraId="14B95DC6">
      <w:pPr>
        <w:pageBreakBefore w:val="0"/>
        <w:kinsoku/>
        <w:wordWrap/>
        <w:overflowPunct/>
        <w:topLinePunct w:val="0"/>
        <w:bidi w:val="0"/>
        <w:spacing w:line="360" w:lineRule="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10.1.6法人营业执照函</w:t>
      </w:r>
      <w:r>
        <w:rPr>
          <w:rFonts w:hint="eastAsia" w:ascii="宋体" w:hAnsi="宋体" w:cs="宋体"/>
          <w:b w:val="0"/>
          <w:bCs/>
          <w:color w:val="auto"/>
          <w:sz w:val="24"/>
          <w:highlight w:val="none"/>
          <w:lang w:val="en-US" w:eastAsia="zh-CN"/>
        </w:rPr>
        <w:t>；</w:t>
      </w:r>
    </w:p>
    <w:p w14:paraId="0285EFFE">
      <w:pPr>
        <w:pageBreakBefore w:val="0"/>
        <w:kinsoku/>
        <w:wordWrap/>
        <w:overflowPunct/>
        <w:topLinePunct w:val="0"/>
        <w:bidi w:val="0"/>
        <w:spacing w:line="360" w:lineRule="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10.1.7法定代表人证明书</w:t>
      </w:r>
      <w:r>
        <w:rPr>
          <w:rFonts w:hint="eastAsia" w:ascii="宋体" w:hAnsi="宋体" w:cs="宋体"/>
          <w:b w:val="0"/>
          <w:bCs/>
          <w:color w:val="auto"/>
          <w:sz w:val="24"/>
          <w:highlight w:val="none"/>
          <w:lang w:val="en-US" w:eastAsia="zh-CN"/>
        </w:rPr>
        <w:t>；</w:t>
      </w:r>
    </w:p>
    <w:p w14:paraId="5F56C036">
      <w:pPr>
        <w:pageBreakBefore w:val="0"/>
        <w:kinsoku/>
        <w:wordWrap/>
        <w:overflowPunct/>
        <w:topLinePunct w:val="0"/>
        <w:bidi w:val="0"/>
        <w:spacing w:line="360" w:lineRule="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10.1.8法定代表人授权委托书</w:t>
      </w:r>
      <w:r>
        <w:rPr>
          <w:rFonts w:hint="eastAsia" w:ascii="宋体" w:hAnsi="宋体" w:cs="宋体"/>
          <w:b w:val="0"/>
          <w:bCs/>
          <w:color w:val="auto"/>
          <w:sz w:val="24"/>
          <w:highlight w:val="none"/>
          <w:lang w:val="en-US" w:eastAsia="zh-CN"/>
        </w:rPr>
        <w:t>；</w:t>
      </w:r>
    </w:p>
    <w:p w14:paraId="11B8A1B0">
      <w:pPr>
        <w:pageBreakBefore w:val="0"/>
        <w:kinsoku/>
        <w:wordWrap/>
        <w:overflowPunct/>
        <w:topLinePunct w:val="0"/>
        <w:bidi w:val="0"/>
        <w:spacing w:line="360" w:lineRule="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10.1.9报价人证明谈判资格合格的相关证件证明的复印件</w:t>
      </w:r>
      <w:r>
        <w:rPr>
          <w:rFonts w:hint="eastAsia" w:ascii="宋体" w:hAnsi="宋体" w:cs="宋体"/>
          <w:b w:val="0"/>
          <w:bCs/>
          <w:color w:val="auto"/>
          <w:sz w:val="24"/>
          <w:highlight w:val="none"/>
          <w:lang w:val="en-US" w:eastAsia="zh-CN"/>
        </w:rPr>
        <w:t>▲；</w:t>
      </w:r>
    </w:p>
    <w:p w14:paraId="739D5D24">
      <w:pPr>
        <w:pageBreakBefore w:val="0"/>
        <w:kinsoku/>
        <w:wordWrap/>
        <w:overflowPunct/>
        <w:topLinePunct w:val="0"/>
        <w:bidi w:val="0"/>
        <w:spacing w:line="360" w:lineRule="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10.1.10谈判保证金缴款凭证复印件</w:t>
      </w:r>
      <w:r>
        <w:rPr>
          <w:rFonts w:hint="eastAsia" w:ascii="宋体" w:hAnsi="宋体" w:cs="宋体"/>
          <w:b w:val="0"/>
          <w:bCs/>
          <w:color w:val="auto"/>
          <w:sz w:val="24"/>
          <w:highlight w:val="none"/>
          <w:lang w:val="en-US" w:eastAsia="zh-CN"/>
        </w:rPr>
        <w:t>；</w:t>
      </w:r>
    </w:p>
    <w:p w14:paraId="650DECDA">
      <w:pPr>
        <w:pageBreakBefore w:val="0"/>
        <w:kinsoku/>
        <w:wordWrap/>
        <w:overflowPunct/>
        <w:topLinePunct w:val="0"/>
        <w:bidi w:val="0"/>
        <w:spacing w:line="360" w:lineRule="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10.1.11</w:t>
      </w:r>
      <w:r>
        <w:rPr>
          <w:rFonts w:hint="eastAsia" w:ascii="宋体" w:hAnsi="宋体" w:cs="宋体"/>
          <w:b w:val="0"/>
          <w:bCs/>
          <w:color w:val="auto"/>
          <w:sz w:val="24"/>
          <w:highlight w:val="none"/>
          <w:lang w:val="en-US" w:eastAsia="zh-CN"/>
        </w:rPr>
        <w:t>项目管理机构组成表；</w:t>
      </w:r>
    </w:p>
    <w:p w14:paraId="5FAD5CB7">
      <w:pPr>
        <w:pageBreakBefore w:val="0"/>
        <w:kinsoku/>
        <w:wordWrap/>
        <w:overflowPunct/>
        <w:topLinePunct w:val="0"/>
        <w:bidi w:val="0"/>
        <w:spacing w:line="360" w:lineRule="auto"/>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10.1.12</w:t>
      </w:r>
      <w:r>
        <w:rPr>
          <w:rFonts w:hint="eastAsia" w:ascii="宋体" w:hAnsi="宋体" w:cs="宋体"/>
          <w:b w:val="0"/>
          <w:bCs/>
          <w:color w:val="auto"/>
          <w:sz w:val="24"/>
          <w:highlight w:val="none"/>
          <w:lang w:val="en-US" w:eastAsia="zh-CN"/>
        </w:rPr>
        <w:t>项目负责人简历表；</w:t>
      </w:r>
    </w:p>
    <w:p w14:paraId="0A5097C2">
      <w:pPr>
        <w:pageBreakBefore w:val="0"/>
        <w:kinsoku/>
        <w:wordWrap/>
        <w:overflowPunct/>
        <w:topLinePunct w:val="0"/>
        <w:bidi w:val="0"/>
        <w:spacing w:line="360" w:lineRule="auto"/>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10.1.13项目管理人员简历表</w:t>
      </w:r>
      <w:r>
        <w:rPr>
          <w:rFonts w:hint="eastAsia" w:ascii="宋体" w:hAnsi="宋体" w:cs="宋体"/>
          <w:b w:val="0"/>
          <w:bCs/>
          <w:color w:val="auto"/>
          <w:sz w:val="24"/>
          <w:highlight w:val="none"/>
          <w:lang w:val="en-US" w:eastAsia="zh-CN"/>
        </w:rPr>
        <w:t>；</w:t>
      </w:r>
    </w:p>
    <w:p w14:paraId="3943CD10">
      <w:pPr>
        <w:pageBreakBefore w:val="0"/>
        <w:kinsoku/>
        <w:wordWrap/>
        <w:overflowPunct/>
        <w:topLinePunct w:val="0"/>
        <w:bidi w:val="0"/>
        <w:spacing w:line="360" w:lineRule="auto"/>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10.1.14近三年完成的类似项目情况表</w:t>
      </w:r>
      <w:r>
        <w:rPr>
          <w:rFonts w:hint="eastAsia" w:ascii="宋体" w:hAnsi="宋体" w:cs="宋体"/>
          <w:b w:val="0"/>
          <w:bCs/>
          <w:color w:val="auto"/>
          <w:sz w:val="24"/>
          <w:highlight w:val="none"/>
          <w:lang w:val="en-US" w:eastAsia="zh-CN"/>
        </w:rPr>
        <w:t>；</w:t>
      </w:r>
    </w:p>
    <w:p w14:paraId="4642F15C">
      <w:pPr>
        <w:pageBreakBefore w:val="0"/>
        <w:kinsoku/>
        <w:wordWrap/>
        <w:overflowPunct/>
        <w:topLinePunct w:val="0"/>
        <w:bidi w:val="0"/>
        <w:spacing w:line="360" w:lineRule="auto"/>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10.1.15报价单位（供应商）反商业贿赂承诺书</w:t>
      </w:r>
      <w:r>
        <w:rPr>
          <w:rFonts w:hint="eastAsia" w:ascii="宋体" w:hAnsi="宋体" w:cs="宋体"/>
          <w:b w:val="0"/>
          <w:bCs/>
          <w:color w:val="auto"/>
          <w:sz w:val="24"/>
          <w:highlight w:val="none"/>
          <w:lang w:val="en-US" w:eastAsia="zh-CN"/>
        </w:rPr>
        <w:t>；</w:t>
      </w:r>
    </w:p>
    <w:p w14:paraId="671638F9">
      <w:pPr>
        <w:pageBreakBefore w:val="0"/>
        <w:kinsoku/>
        <w:wordWrap/>
        <w:overflowPunct/>
        <w:topLinePunct w:val="0"/>
        <w:bidi w:val="0"/>
        <w:spacing w:line="360" w:lineRule="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10.1.16无不良信用行为信息承诺书；</w:t>
      </w:r>
    </w:p>
    <w:p w14:paraId="2D801DCD">
      <w:pPr>
        <w:pageBreakBefore w:val="0"/>
        <w:kinsoku/>
        <w:wordWrap/>
        <w:overflowPunct/>
        <w:topLinePunct w:val="0"/>
        <w:bidi w:val="0"/>
        <w:spacing w:line="360" w:lineRule="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10.1.17不拖欠农民工工资承诺书；</w:t>
      </w:r>
    </w:p>
    <w:p w14:paraId="5B16251F">
      <w:pPr>
        <w:pageBreakBefore w:val="0"/>
        <w:kinsoku/>
        <w:wordWrap/>
        <w:overflowPunct/>
        <w:topLinePunct w:val="0"/>
        <w:bidi w:val="0"/>
        <w:spacing w:line="360" w:lineRule="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10.1.18投标建造师无在建项目承诺书；</w:t>
      </w:r>
    </w:p>
    <w:p w14:paraId="7876D0D5">
      <w:pPr>
        <w:pageBreakBefore w:val="0"/>
        <w:kinsoku/>
        <w:wordWrap/>
        <w:overflowPunct/>
        <w:topLinePunct w:val="0"/>
        <w:bidi w:val="0"/>
        <w:spacing w:line="360" w:lineRule="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10.1.19关于对本响应文件中提供资料真实性的承诺；</w:t>
      </w:r>
    </w:p>
    <w:p w14:paraId="4D9118A5">
      <w:pPr>
        <w:pageBreakBefore w:val="0"/>
        <w:kinsoku/>
        <w:wordWrap/>
        <w:overflowPunct/>
        <w:topLinePunct w:val="0"/>
        <w:bidi w:val="0"/>
        <w:spacing w:line="360" w:lineRule="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10.1.20关于《中华人民共和国政府采购法》第二十二条的承诺书；</w:t>
      </w:r>
    </w:p>
    <w:p w14:paraId="4EC09323">
      <w:pPr>
        <w:pageBreakBefore w:val="0"/>
        <w:kinsoku/>
        <w:wordWrap/>
        <w:overflowPunct/>
        <w:topLinePunct w:val="0"/>
        <w:bidi w:val="0"/>
        <w:spacing w:line="360" w:lineRule="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10.1.21其他投标人认为有必要提供的资料；</w:t>
      </w:r>
    </w:p>
    <w:p w14:paraId="37FCD62D">
      <w:pPr>
        <w:pageBreakBefore w:val="0"/>
        <w:kinsoku/>
        <w:wordWrap/>
        <w:overflowPunct/>
        <w:topLinePunct w:val="0"/>
        <w:bidi w:val="0"/>
        <w:spacing w:line="360" w:lineRule="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10.1.22技术部分</w:t>
      </w:r>
    </w:p>
    <w:p w14:paraId="399386B7">
      <w:pPr>
        <w:pageBreakBefore w:val="0"/>
        <w:kinsoku/>
        <w:wordWrap/>
        <w:overflowPunct/>
        <w:topLinePunct w:val="0"/>
        <w:bidi w:val="0"/>
        <w:spacing w:line="360" w:lineRule="auto"/>
        <w:rPr>
          <w:rFonts w:hint="eastAsia" w:ascii="宋体" w:hAnsi="宋体" w:eastAsia="宋体" w:cs="宋体"/>
          <w:b/>
          <w:bCs w:val="0"/>
          <w:color w:val="auto"/>
          <w:sz w:val="24"/>
          <w:highlight w:val="none"/>
        </w:rPr>
      </w:pPr>
      <w:r>
        <w:rPr>
          <w:rFonts w:hint="eastAsia" w:ascii="宋体" w:hAnsi="宋体" w:cs="宋体"/>
          <w:b/>
          <w:bCs w:val="0"/>
          <w:color w:val="auto"/>
          <w:sz w:val="24"/>
          <w:highlight w:val="none"/>
          <w:lang w:val="en-US" w:eastAsia="zh-CN"/>
        </w:rPr>
        <w:t>备注：10.1.1至10.1.22属于评审内容，请认真编写！</w:t>
      </w:r>
    </w:p>
    <w:p w14:paraId="2DBC0D28">
      <w:pPr>
        <w:outlineLvl w:val="2"/>
        <w:rPr>
          <w:rFonts w:hint="eastAsia" w:ascii="宋体" w:hAnsi="宋体" w:eastAsia="宋体" w:cs="宋体"/>
          <w:b/>
          <w:color w:val="auto"/>
          <w:sz w:val="24"/>
          <w:highlight w:val="none"/>
        </w:rPr>
      </w:pPr>
      <w:bookmarkStart w:id="73" w:name="_Toc7501"/>
      <w:bookmarkStart w:id="74" w:name="_Toc6030"/>
      <w:r>
        <w:rPr>
          <w:rFonts w:hint="eastAsia" w:ascii="宋体" w:hAnsi="宋体" w:eastAsia="宋体" w:cs="宋体"/>
          <w:b/>
          <w:color w:val="auto"/>
          <w:sz w:val="24"/>
          <w:highlight w:val="none"/>
        </w:rPr>
        <w:t>11、报价：</w:t>
      </w:r>
      <w:bookmarkEnd w:id="73"/>
      <w:bookmarkEnd w:id="74"/>
    </w:p>
    <w:p w14:paraId="1D334285">
      <w:pPr>
        <w:spacing w:line="360" w:lineRule="auto"/>
        <w:rPr>
          <w:rFonts w:hint="eastAsia" w:ascii="宋体" w:hAnsi="宋体" w:cs="宋体"/>
          <w:b/>
          <w:bCs/>
          <w:color w:val="auto"/>
          <w:sz w:val="24"/>
          <w:szCs w:val="24"/>
          <w:highlight w:val="none"/>
        </w:rPr>
      </w:pPr>
      <w:r>
        <w:rPr>
          <w:rFonts w:hint="eastAsia" w:ascii="宋体" w:hAnsi="宋体" w:cs="宋体"/>
          <w:b w:val="0"/>
          <w:bCs w:val="0"/>
          <w:color w:val="auto"/>
          <w:sz w:val="24"/>
          <w:szCs w:val="24"/>
          <w:highlight w:val="none"/>
          <w:lang w:val="en-US" w:eastAsia="zh-CN"/>
        </w:rPr>
        <w:t xml:space="preserve">11.1 </w:t>
      </w:r>
      <w:r>
        <w:rPr>
          <w:rFonts w:hint="eastAsia" w:ascii="宋体" w:hAnsi="宋体" w:cs="宋体"/>
          <w:b/>
          <w:bCs/>
          <w:color w:val="auto"/>
          <w:sz w:val="24"/>
          <w:szCs w:val="24"/>
          <w:highlight w:val="none"/>
        </w:rPr>
        <w:t>投标</w:t>
      </w:r>
      <w:r>
        <w:rPr>
          <w:rFonts w:hint="eastAsia" w:ascii="宋体" w:hAnsi="宋体" w:cs="宋体"/>
          <w:b/>
          <w:bCs/>
          <w:color w:val="auto"/>
          <w:sz w:val="24"/>
          <w:szCs w:val="24"/>
          <w:highlight w:val="none"/>
          <w:lang w:eastAsia="zh-CN"/>
        </w:rPr>
        <w:t>总</w:t>
      </w:r>
      <w:r>
        <w:rPr>
          <w:rFonts w:hint="eastAsia" w:ascii="宋体" w:hAnsi="宋体" w:cs="宋体"/>
          <w:b/>
          <w:bCs/>
          <w:color w:val="auto"/>
          <w:sz w:val="24"/>
          <w:szCs w:val="24"/>
          <w:highlight w:val="none"/>
        </w:rPr>
        <w:t>报价超</w:t>
      </w:r>
      <w:r>
        <w:rPr>
          <w:rFonts w:hint="eastAsia" w:ascii="宋体" w:hAnsi="宋体" w:eastAsia="宋体" w:cs="宋体"/>
          <w:b/>
          <w:bCs/>
          <w:color w:val="auto"/>
          <w:sz w:val="24"/>
          <w:szCs w:val="24"/>
          <w:highlight w:val="none"/>
          <w:lang w:val="en-US" w:eastAsia="zh-CN"/>
        </w:rPr>
        <w:t>过或等于</w:t>
      </w:r>
      <w:r>
        <w:rPr>
          <w:rFonts w:hint="eastAsia" w:ascii="宋体" w:hAnsi="宋体" w:cs="宋体"/>
          <w:b/>
          <w:bCs/>
          <w:color w:val="auto"/>
          <w:sz w:val="24"/>
          <w:szCs w:val="24"/>
          <w:highlight w:val="none"/>
          <w:lang w:eastAsia="zh-CN"/>
        </w:rPr>
        <w:t>最高限价</w:t>
      </w:r>
      <w:r>
        <w:rPr>
          <w:rFonts w:hint="eastAsia" w:ascii="宋体" w:hAnsi="宋体" w:cs="宋体"/>
          <w:b/>
          <w:bCs/>
          <w:color w:val="auto"/>
          <w:sz w:val="24"/>
          <w:szCs w:val="24"/>
          <w:highlight w:val="none"/>
        </w:rPr>
        <w:t>金额的，其报价无效，不进入评标阶段。</w:t>
      </w:r>
    </w:p>
    <w:p w14:paraId="53955827">
      <w:pPr>
        <w:spacing w:line="440" w:lineRule="exact"/>
        <w:rPr>
          <w:rFonts w:hint="eastAsia" w:ascii="宋体" w:hAnsi="宋体" w:cs="宋体"/>
          <w:color w:val="auto"/>
          <w:sz w:val="24"/>
          <w:highlight w:val="none"/>
        </w:rPr>
      </w:pPr>
      <w:r>
        <w:rPr>
          <w:rFonts w:hint="eastAsia" w:ascii="宋体" w:hAnsi="宋体" w:cs="宋体"/>
          <w:color w:val="auto"/>
          <w:sz w:val="24"/>
          <w:highlight w:val="none"/>
          <w:lang w:val="en-US" w:eastAsia="zh-CN"/>
        </w:rPr>
        <w:t>11.2</w:t>
      </w:r>
      <w:r>
        <w:rPr>
          <w:rFonts w:hint="eastAsia" w:ascii="宋体" w:hAnsi="宋体" w:cs="宋体"/>
          <w:color w:val="auto"/>
          <w:sz w:val="24"/>
          <w:highlight w:val="none"/>
        </w:rPr>
        <w:t>投标人应在明细报价表上标明综合单价和总价。如综合单价和总价不符，以综合单价累计为准；综合单价金额小数点有明显错位的，应以总价为准，并修改综合单价；小写和大写不符，以大写为准；投标人如果不同意上述修改原则，其投标将被拒绝。投标人应在投标报价表中标明其提供的所有货物及其相关工作范围内所有费用的总价，</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方不接受任何有选择性的报价。</w:t>
      </w:r>
    </w:p>
    <w:p w14:paraId="3FD98C58">
      <w:pPr>
        <w:spacing w:line="440" w:lineRule="exact"/>
        <w:rPr>
          <w:rFonts w:hint="eastAsia"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.3</w:t>
      </w:r>
      <w:r>
        <w:rPr>
          <w:rFonts w:hint="eastAsia" w:ascii="宋体" w:hAnsi="宋体" w:cs="宋体"/>
          <w:color w:val="auto"/>
          <w:sz w:val="24"/>
          <w:highlight w:val="none"/>
          <w:lang w:val="en-US" w:eastAsia="zh-CN"/>
        </w:rPr>
        <w:t>报价</w:t>
      </w:r>
      <w:r>
        <w:rPr>
          <w:rFonts w:hint="eastAsia" w:ascii="宋体" w:hAnsi="宋体" w:cs="宋体"/>
          <w:color w:val="auto"/>
          <w:sz w:val="24"/>
          <w:highlight w:val="none"/>
        </w:rPr>
        <w:t>人如果免费提供某项产品、部件或服务，除在价格栏中填写“0”外，还必须在备注栏中声明免费或赠送。</w:t>
      </w:r>
    </w:p>
    <w:p w14:paraId="4E75F4E9">
      <w:pPr>
        <w:spacing w:line="440" w:lineRule="exac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.4投标报价时应注意包括下列几项费用：</w:t>
      </w:r>
    </w:p>
    <w:p w14:paraId="2F215E07">
      <w:pPr>
        <w:spacing w:line="440" w:lineRule="exac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中特别要求的备品备件、易损件和专用工具的费用；</w:t>
      </w:r>
    </w:p>
    <w:p w14:paraId="17D41611">
      <w:pPr>
        <w:spacing w:line="440" w:lineRule="exac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中特别要求的</w:t>
      </w:r>
      <w:r>
        <w:rPr>
          <w:rFonts w:hint="eastAsia"/>
          <w:color w:val="auto"/>
          <w:sz w:val="24"/>
          <w:szCs w:val="24"/>
          <w:highlight w:val="none"/>
          <w:vertAlign w:val="baseline"/>
          <w:lang w:val="en-US" w:eastAsia="zh-CN"/>
        </w:rPr>
        <w:t>货物的供应、运输、装卸、安装、调试、税费等</w:t>
      </w:r>
      <w:r>
        <w:rPr>
          <w:rFonts w:hint="eastAsia" w:ascii="宋体" w:hAnsi="宋体" w:cs="宋体"/>
          <w:color w:val="auto"/>
          <w:sz w:val="24"/>
          <w:highlight w:val="none"/>
        </w:rPr>
        <w:t>全部费用；</w:t>
      </w:r>
    </w:p>
    <w:p w14:paraId="0BF68E3F">
      <w:pPr>
        <w:spacing w:line="44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报价</w:t>
      </w:r>
      <w:r>
        <w:rPr>
          <w:rFonts w:hint="eastAsia" w:ascii="宋体" w:hAnsi="宋体" w:cs="宋体"/>
          <w:color w:val="auto"/>
          <w:sz w:val="24"/>
          <w:highlight w:val="none"/>
        </w:rPr>
        <w:t>人提供的在中华人民共和国制造的货物，其货物的投标价即交货价中，包括制造、组装该货物所使用的零部件及原材料已付的全部关税、销售税和其他税</w:t>
      </w:r>
      <w:r>
        <w:rPr>
          <w:rFonts w:hint="eastAsia" w:ascii="宋体" w:hAnsi="宋体" w:cs="宋体"/>
          <w:color w:val="auto"/>
          <w:sz w:val="24"/>
          <w:highlight w:val="none"/>
          <w:lang w:eastAsia="zh-CN"/>
        </w:rPr>
        <w:t>；</w:t>
      </w:r>
    </w:p>
    <w:p w14:paraId="07245735">
      <w:pPr>
        <w:spacing w:line="440" w:lineRule="exact"/>
        <w:rPr>
          <w:rFonts w:hint="eastAsia" w:ascii="宋体" w:hAnsi="宋体" w:cs="宋体"/>
          <w:color w:val="auto"/>
          <w:sz w:val="24"/>
          <w:highlight w:val="none"/>
        </w:rPr>
      </w:pPr>
      <w:r>
        <w:rPr>
          <w:rFonts w:hint="eastAsia" w:ascii="宋体" w:hAnsi="宋体" w:cs="宋体"/>
          <w:color w:val="auto"/>
          <w:sz w:val="24"/>
          <w:highlight w:val="none"/>
        </w:rPr>
        <w:t>（4）综合单价必须包括</w:t>
      </w:r>
      <w:r>
        <w:rPr>
          <w:rFonts w:hint="eastAsia"/>
          <w:color w:val="auto"/>
          <w:sz w:val="24"/>
          <w:szCs w:val="24"/>
          <w:highlight w:val="none"/>
          <w:vertAlign w:val="baseline"/>
          <w:lang w:val="en-US" w:eastAsia="zh-CN"/>
        </w:rPr>
        <w:t>供应、运输、装卸、安装、调试、税费等</w:t>
      </w:r>
      <w:r>
        <w:rPr>
          <w:rFonts w:hint="eastAsia" w:ascii="宋体" w:hAnsi="宋体" w:cs="宋体"/>
          <w:color w:val="auto"/>
          <w:sz w:val="24"/>
          <w:highlight w:val="none"/>
        </w:rPr>
        <w:t>全部报价。</w:t>
      </w:r>
    </w:p>
    <w:p w14:paraId="113433B1">
      <w:pPr>
        <w:spacing w:line="440" w:lineRule="exact"/>
        <w:rPr>
          <w:rFonts w:hint="eastAsia"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.5</w:t>
      </w:r>
      <w:r>
        <w:rPr>
          <w:rFonts w:hint="eastAsia" w:ascii="宋体" w:hAnsi="宋体" w:cs="宋体"/>
          <w:b w:val="0"/>
          <w:bCs/>
          <w:color w:val="auto"/>
          <w:sz w:val="24"/>
          <w:highlight w:val="none"/>
          <w:lang w:val="en-US" w:eastAsia="zh-CN"/>
        </w:rPr>
        <w:t>报价</w:t>
      </w:r>
      <w:r>
        <w:rPr>
          <w:rFonts w:hint="eastAsia" w:ascii="宋体" w:hAnsi="宋体" w:cs="宋体"/>
          <w:color w:val="auto"/>
          <w:sz w:val="24"/>
          <w:highlight w:val="none"/>
        </w:rPr>
        <w:t>人应对投标货物提供完整的详细的书面说明。</w:t>
      </w:r>
    </w:p>
    <w:p w14:paraId="2240C360">
      <w:pPr>
        <w:spacing w:line="440" w:lineRule="exac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.6投标报价单位为人民币。各项价格必须清楚、准确、详细。</w:t>
      </w:r>
    </w:p>
    <w:p w14:paraId="065EBAA9">
      <w:pPr>
        <w:spacing w:line="440" w:lineRule="exact"/>
        <w:rPr>
          <w:rFonts w:hint="eastAsia" w:ascii="宋体" w:hAnsi="宋体" w:cs="宋体"/>
          <w:color w:val="auto"/>
          <w:sz w:val="24"/>
          <w:highlight w:val="none"/>
        </w:rPr>
      </w:pPr>
      <w:r>
        <w:rPr>
          <w:rFonts w:hint="eastAsia" w:ascii="宋体" w:hAnsi="宋体" w:cs="宋体"/>
          <w:color w:val="auto"/>
          <w:sz w:val="24"/>
          <w:highlight w:val="none"/>
          <w:lang w:val="en-US" w:eastAsia="zh-CN"/>
        </w:rPr>
        <w:t>11.7</w:t>
      </w:r>
      <w:r>
        <w:rPr>
          <w:rFonts w:hint="eastAsia" w:ascii="宋体" w:hAnsi="宋体" w:cs="宋体"/>
          <w:color w:val="auto"/>
          <w:sz w:val="24"/>
          <w:highlight w:val="none"/>
        </w:rPr>
        <w:t>报价方提供的在中华人民共和国制造的货物，或已在中华人民共和国境内的、国外生产的、已经进口货物，其货物的报价即交货价中，包括制造、组装该货物所使用的零部件及原材料已付的全部关税、销售税和其他税。</w:t>
      </w:r>
    </w:p>
    <w:p w14:paraId="3FFE4602">
      <w:pPr>
        <w:pageBreakBefore w:val="0"/>
        <w:kinsoku/>
        <w:wordWrap/>
        <w:overflowPunct/>
        <w:topLinePunct w:val="0"/>
        <w:bidi w:val="0"/>
        <w:spacing w:line="360" w:lineRule="auto"/>
        <w:outlineLvl w:val="2"/>
        <w:rPr>
          <w:rFonts w:hint="eastAsia" w:ascii="宋体" w:hAnsi="宋体" w:eastAsia="宋体" w:cs="宋体"/>
          <w:b/>
          <w:color w:val="auto"/>
          <w:sz w:val="24"/>
          <w:highlight w:val="none"/>
        </w:rPr>
      </w:pPr>
      <w:bookmarkStart w:id="75" w:name="_Toc4435"/>
      <w:bookmarkStart w:id="76" w:name="_Toc15408"/>
      <w:r>
        <w:rPr>
          <w:rFonts w:hint="eastAsia" w:ascii="宋体" w:hAnsi="宋体" w:eastAsia="宋体" w:cs="宋体"/>
          <w:b/>
          <w:color w:val="auto"/>
          <w:sz w:val="24"/>
          <w:highlight w:val="none"/>
        </w:rPr>
        <w:t>12、</w:t>
      </w:r>
      <w:r>
        <w:rPr>
          <w:rFonts w:hint="eastAsia" w:ascii="宋体" w:hAnsi="宋体" w:cs="宋体"/>
          <w:b/>
          <w:color w:val="auto"/>
          <w:sz w:val="24"/>
          <w:highlight w:val="none"/>
          <w:lang w:val="en-US" w:eastAsia="zh-CN"/>
        </w:rPr>
        <w:t>报价</w:t>
      </w:r>
      <w:r>
        <w:rPr>
          <w:rFonts w:hint="eastAsia" w:ascii="宋体" w:hAnsi="宋体" w:eastAsia="宋体" w:cs="宋体"/>
          <w:b/>
          <w:color w:val="auto"/>
          <w:sz w:val="24"/>
          <w:highlight w:val="none"/>
        </w:rPr>
        <w:t>货币</w:t>
      </w:r>
      <w:bookmarkEnd w:id="75"/>
      <w:bookmarkEnd w:id="76"/>
    </w:p>
    <w:p w14:paraId="5F1A142E">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12.1</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报价</w:t>
      </w:r>
      <w:r>
        <w:rPr>
          <w:rFonts w:hint="eastAsia" w:ascii="宋体" w:hAnsi="宋体" w:eastAsia="宋体" w:cs="宋体"/>
          <w:color w:val="auto"/>
          <w:sz w:val="24"/>
          <w:highlight w:val="none"/>
        </w:rPr>
        <w:t>应以人民币报价。</w:t>
      </w:r>
    </w:p>
    <w:p w14:paraId="380F5B6F">
      <w:pPr>
        <w:pageBreakBefore w:val="0"/>
        <w:kinsoku/>
        <w:wordWrap/>
        <w:overflowPunct/>
        <w:topLinePunct w:val="0"/>
        <w:bidi w:val="0"/>
        <w:spacing w:line="360" w:lineRule="auto"/>
        <w:outlineLvl w:val="2"/>
        <w:rPr>
          <w:rFonts w:hint="eastAsia" w:ascii="宋体" w:hAnsi="宋体" w:eastAsia="宋体" w:cs="宋体"/>
          <w:b/>
          <w:color w:val="auto"/>
          <w:sz w:val="24"/>
          <w:highlight w:val="none"/>
        </w:rPr>
      </w:pPr>
      <w:bookmarkStart w:id="77" w:name="_Toc12550"/>
      <w:bookmarkStart w:id="78" w:name="_Toc2105"/>
      <w:r>
        <w:rPr>
          <w:rFonts w:hint="eastAsia" w:ascii="宋体" w:hAnsi="宋体" w:eastAsia="宋体" w:cs="宋体"/>
          <w:b/>
          <w:color w:val="auto"/>
          <w:sz w:val="24"/>
          <w:highlight w:val="none"/>
        </w:rPr>
        <w:t>13、证明</w:t>
      </w:r>
      <w:r>
        <w:rPr>
          <w:rFonts w:hint="eastAsia" w:ascii="宋体" w:hAnsi="宋体" w:cs="宋体"/>
          <w:b/>
          <w:color w:val="auto"/>
          <w:sz w:val="24"/>
          <w:highlight w:val="none"/>
          <w:lang w:eastAsia="zh-CN"/>
        </w:rPr>
        <w:t>报价人</w:t>
      </w:r>
      <w:r>
        <w:rPr>
          <w:rFonts w:hint="eastAsia" w:ascii="宋体" w:hAnsi="宋体" w:eastAsia="宋体" w:cs="宋体"/>
          <w:b/>
          <w:color w:val="auto"/>
          <w:sz w:val="24"/>
          <w:highlight w:val="none"/>
        </w:rPr>
        <w:t>资格的文件</w:t>
      </w:r>
      <w:bookmarkEnd w:id="77"/>
      <w:bookmarkEnd w:id="78"/>
    </w:p>
    <w:p w14:paraId="02B473EA">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13.1</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报价人</w:t>
      </w:r>
      <w:r>
        <w:rPr>
          <w:rFonts w:hint="eastAsia" w:ascii="宋体" w:hAnsi="宋体" w:eastAsia="宋体" w:cs="宋体"/>
          <w:color w:val="auto"/>
          <w:sz w:val="24"/>
          <w:highlight w:val="none"/>
        </w:rPr>
        <w:t>应提交证明其有资格参加</w:t>
      </w:r>
      <w:r>
        <w:rPr>
          <w:rFonts w:hint="eastAsia" w:ascii="宋体" w:hAnsi="宋体" w:cs="宋体"/>
          <w:color w:val="auto"/>
          <w:sz w:val="24"/>
          <w:highlight w:val="none"/>
          <w:lang w:eastAsia="zh-CN"/>
        </w:rPr>
        <w:t>谈判</w:t>
      </w:r>
      <w:r>
        <w:rPr>
          <w:rFonts w:hint="eastAsia" w:ascii="宋体" w:hAnsi="宋体" w:eastAsia="宋体" w:cs="宋体"/>
          <w:color w:val="auto"/>
          <w:sz w:val="24"/>
          <w:highlight w:val="none"/>
        </w:rPr>
        <w:t>和一旦</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则有能力履行合同的文件，并作为其</w:t>
      </w:r>
      <w:r>
        <w:rPr>
          <w:rFonts w:hint="eastAsia" w:ascii="宋体" w:hAnsi="宋体" w:cs="宋体"/>
          <w:color w:val="auto"/>
          <w:sz w:val="24"/>
          <w:highlight w:val="none"/>
          <w:lang w:eastAsia="zh-CN"/>
        </w:rPr>
        <w:t>谈判响应文件</w:t>
      </w:r>
      <w:r>
        <w:rPr>
          <w:rFonts w:hint="eastAsia" w:ascii="宋体" w:hAnsi="宋体" w:eastAsia="宋体" w:cs="宋体"/>
          <w:color w:val="auto"/>
          <w:sz w:val="24"/>
          <w:highlight w:val="none"/>
        </w:rPr>
        <w:t>的一部分。详细如下：</w:t>
      </w:r>
    </w:p>
    <w:p w14:paraId="2C52B7D7">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13.1.1 </w:t>
      </w:r>
      <w:r>
        <w:rPr>
          <w:rFonts w:hint="eastAsia" w:ascii="宋体" w:hAnsi="宋体" w:cs="宋体"/>
          <w:color w:val="auto"/>
          <w:sz w:val="24"/>
          <w:highlight w:val="none"/>
          <w:lang w:val="en-US" w:eastAsia="zh-CN"/>
        </w:rPr>
        <w:t>报价人</w:t>
      </w:r>
      <w:r>
        <w:rPr>
          <w:rFonts w:hint="eastAsia" w:ascii="宋体" w:hAnsi="宋体" w:eastAsia="宋体" w:cs="宋体"/>
          <w:color w:val="auto"/>
          <w:sz w:val="24"/>
          <w:highlight w:val="none"/>
        </w:rPr>
        <w:t>有效“营业执照”副本内页</w:t>
      </w:r>
      <w:r>
        <w:rPr>
          <w:rFonts w:hint="eastAsia" w:ascii="宋体" w:hAnsi="宋体" w:cs="宋体"/>
          <w:color w:val="auto"/>
          <w:sz w:val="24"/>
          <w:highlight w:val="none"/>
          <w:lang w:eastAsia="zh-CN"/>
        </w:rPr>
        <w:t>、资质证件、安全生产许可证、</w:t>
      </w:r>
      <w:r>
        <w:rPr>
          <w:rFonts w:hint="eastAsia" w:asciiTheme="minorEastAsia" w:hAnsiTheme="minorEastAsia" w:eastAsiaTheme="minorEastAsia" w:cstheme="minorEastAsia"/>
          <w:color w:val="auto"/>
          <w:kern w:val="2"/>
          <w:sz w:val="24"/>
          <w:szCs w:val="24"/>
          <w:highlight w:val="none"/>
          <w:shd w:val="clear" w:color="auto" w:fill="FFFFFF"/>
          <w:lang w:val="en-US" w:eastAsia="zh-CN"/>
        </w:rPr>
        <w:t>基本账户开户许可证或基本存款帐户信息</w:t>
      </w:r>
      <w:r>
        <w:rPr>
          <w:rFonts w:hint="eastAsia" w:ascii="宋体" w:hAnsi="宋体" w:eastAsia="宋体" w:cs="宋体"/>
          <w:color w:val="auto"/>
          <w:sz w:val="24"/>
          <w:highlight w:val="none"/>
        </w:rPr>
        <w:t>；</w:t>
      </w:r>
    </w:p>
    <w:p w14:paraId="40A9D37D">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13.1.2 法人代表资格证明书</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法人代表身份证</w:t>
      </w:r>
      <w:r>
        <w:rPr>
          <w:rFonts w:hint="eastAsia" w:ascii="宋体" w:hAnsi="宋体" w:cs="宋体"/>
          <w:color w:val="auto"/>
          <w:sz w:val="24"/>
          <w:highlight w:val="none"/>
          <w:lang w:eastAsia="zh-CN"/>
        </w:rPr>
        <w:t>复印件及</w:t>
      </w:r>
      <w:r>
        <w:rPr>
          <w:rFonts w:hint="eastAsia" w:ascii="宋体" w:hAnsi="宋体" w:cs="宋体"/>
          <w:color w:val="auto"/>
          <w:sz w:val="24"/>
          <w:highlight w:val="none"/>
          <w:lang w:val="en-US" w:eastAsia="zh-CN"/>
        </w:rPr>
        <w:t>法人近3个月由本单位社保缴费凭证及个人明细（提供银行划款凭证）、</w:t>
      </w:r>
      <w:r>
        <w:rPr>
          <w:rFonts w:hint="eastAsia" w:ascii="宋体" w:hAnsi="宋体" w:eastAsia="宋体" w:cs="宋体"/>
          <w:color w:val="auto"/>
          <w:sz w:val="24"/>
          <w:highlight w:val="none"/>
        </w:rPr>
        <w:t>法人代表授权书</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委托代理人身份证</w:t>
      </w:r>
      <w:r>
        <w:rPr>
          <w:rFonts w:hint="eastAsia" w:ascii="宋体" w:hAnsi="宋体" w:cs="宋体"/>
          <w:color w:val="auto"/>
          <w:sz w:val="24"/>
          <w:highlight w:val="none"/>
          <w:lang w:val="en-US" w:eastAsia="zh-CN"/>
        </w:rPr>
        <w:t>复印件及委托代理人近3个月由本单位社保缴费凭证及个人明细（提供银行划款凭证）</w:t>
      </w:r>
      <w:r>
        <w:rPr>
          <w:rFonts w:hint="eastAsia" w:ascii="宋体" w:hAnsi="宋体" w:eastAsia="宋体" w:cs="宋体"/>
          <w:color w:val="auto"/>
          <w:sz w:val="24"/>
          <w:highlight w:val="none"/>
        </w:rPr>
        <w:t>；</w:t>
      </w:r>
    </w:p>
    <w:p w14:paraId="26FE3160">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近三年度经审计的《财务审计报告书》（2024年</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月后成立的新公司可不提供）“近3年财务状况”（2021年-2023年）年应附流动资金来源证明及经会计师事务所或审计机构审计的财务会计报表，包括资产负债表、现金流量表、利润表和财务情况说明书的复印件；</w:t>
      </w:r>
    </w:p>
    <w:p w14:paraId="30FFA537">
      <w:pPr>
        <w:pageBreakBefore w:val="0"/>
        <w:kinsoku/>
        <w:wordWrap/>
        <w:overflowPunct/>
        <w:topLinePunct w:val="0"/>
        <w:bidi w:val="0"/>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13.1.4最近3个月的缴纳税收的完税证明或税务部门出具的纳税证明（银行缴纳凭证无效）；如依法免税的，提供相应文件证明；</w:t>
      </w:r>
    </w:p>
    <w:p w14:paraId="2F588234">
      <w:pPr>
        <w:pageBreakBefore w:val="0"/>
        <w:kinsoku/>
        <w:wordWrap/>
        <w:overflowPunct/>
        <w:topLinePunct w:val="0"/>
        <w:bidi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13.1.</w:t>
      </w:r>
      <w:r>
        <w:rPr>
          <w:rFonts w:hint="eastAsia" w:ascii="宋体" w:hAnsi="宋体" w:cs="宋体"/>
          <w:color w:val="auto"/>
          <w:sz w:val="24"/>
          <w:highlight w:val="none"/>
          <w:lang w:val="en-US" w:eastAsia="zh-CN"/>
        </w:rPr>
        <w:t>5最近3个月的缴纳社保证明材料（提供银行划款凭证）加盖公章。如依法不需要缴纳社会保障资金的，提供相应文件证明；</w:t>
      </w:r>
    </w:p>
    <w:p w14:paraId="11967510">
      <w:pPr>
        <w:pageBreakBefore w:val="0"/>
        <w:kinsoku/>
        <w:wordWrap/>
        <w:overflowPunct/>
        <w:topLinePunct w:val="0"/>
        <w:bidi w:val="0"/>
        <w:spacing w:line="360" w:lineRule="auto"/>
        <w:rPr>
          <w:rFonts w:hint="eastAsia" w:asciiTheme="minorEastAsia" w:hAnsiTheme="minorEastAsia" w:eastAsiaTheme="minorEastAsia" w:cstheme="minorEastAsia"/>
          <w:color w:val="auto"/>
          <w:kern w:val="2"/>
          <w:sz w:val="24"/>
          <w:szCs w:val="24"/>
          <w:highlight w:val="none"/>
          <w:shd w:val="clear" w:color="auto" w:fill="FFFFFF"/>
          <w:lang w:val="en-US" w:eastAsia="zh-CN"/>
        </w:rPr>
      </w:pPr>
      <w:r>
        <w:rPr>
          <w:rFonts w:hint="eastAsia" w:ascii="宋体" w:hAnsi="宋体" w:eastAsia="宋体" w:cs="宋体"/>
          <w:color w:val="auto"/>
          <w:sz w:val="24"/>
          <w:highlight w:val="none"/>
          <w:lang w:val="en-US" w:eastAsia="zh-CN"/>
        </w:rPr>
        <w:t>13.1.</w:t>
      </w:r>
      <w:r>
        <w:rPr>
          <w:rFonts w:hint="eastAsia" w:ascii="宋体" w:hAnsi="宋体" w:cs="宋体"/>
          <w:color w:val="auto"/>
          <w:sz w:val="24"/>
          <w:highlight w:val="none"/>
          <w:lang w:val="en-US" w:eastAsia="zh-CN"/>
        </w:rPr>
        <w:t>6参加政府采购活动前3年内在经营活动中没有重大违法记录的书面声明（提供《投标人资格声明函》）</w:t>
      </w:r>
    </w:p>
    <w:p w14:paraId="796C97D8">
      <w:pPr>
        <w:pageBreakBefore w:val="0"/>
        <w:kinsoku/>
        <w:wordWrap/>
        <w:overflowPunct/>
        <w:topLinePunct w:val="0"/>
        <w:bidi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13.1.</w:t>
      </w:r>
      <w:r>
        <w:rPr>
          <w:rFonts w:hint="eastAsia" w:ascii="宋体" w:hAnsi="宋体" w:cs="宋体"/>
          <w:color w:val="auto"/>
          <w:sz w:val="24"/>
          <w:highlight w:val="none"/>
          <w:lang w:val="en-US" w:eastAsia="zh-CN"/>
        </w:rPr>
        <w:t>7不存在“</w:t>
      </w:r>
      <w:r>
        <w:rPr>
          <w:rFonts w:hint="eastAsia" w:asciiTheme="minorEastAsia" w:hAnsiTheme="minorEastAsia" w:eastAsiaTheme="minorEastAsia" w:cstheme="minorEastAsia"/>
          <w:color w:val="auto"/>
          <w:kern w:val="2"/>
          <w:sz w:val="24"/>
          <w:szCs w:val="24"/>
          <w:highlight w:val="none"/>
          <w:shd w:val="clear" w:color="auto" w:fill="FFFFFF"/>
          <w:lang w:val="en-US" w:eastAsia="zh-CN"/>
        </w:rPr>
        <w:t>单位负责人为同一人或者存在直接控股、管理关系的不同供应商，不得参加同一合同项下的政府采购活动”的书面声明（提供《投标人资格声明函》）；</w:t>
      </w:r>
    </w:p>
    <w:p w14:paraId="447C49EF">
      <w:pPr>
        <w:pageBreakBefore w:val="0"/>
        <w:kinsoku/>
        <w:wordWrap/>
        <w:overflowPunct/>
        <w:topLinePunct w:val="0"/>
        <w:bidi w:val="0"/>
        <w:spacing w:line="360" w:lineRule="auto"/>
        <w:rPr>
          <w:rFonts w:hint="eastAsia" w:asciiTheme="minorEastAsia" w:hAnsiTheme="minorEastAsia" w:eastAsiaTheme="minorEastAsia" w:cstheme="minorEastAsia"/>
          <w:kern w:val="2"/>
          <w:sz w:val="24"/>
          <w:szCs w:val="24"/>
          <w:highlight w:val="none"/>
          <w:shd w:val="clear" w:color="auto" w:fill="FFFFFF"/>
          <w:lang w:val="en-US" w:eastAsia="zh-CN"/>
        </w:rPr>
      </w:pPr>
      <w:r>
        <w:rPr>
          <w:rFonts w:hint="eastAsia" w:ascii="宋体" w:hAnsi="宋体" w:eastAsia="宋体" w:cs="宋体"/>
          <w:color w:val="auto"/>
          <w:sz w:val="24"/>
          <w:highlight w:val="none"/>
          <w:lang w:val="en-US" w:eastAsia="zh-CN"/>
        </w:rPr>
        <w:t>13.1.</w:t>
      </w:r>
      <w:r>
        <w:rPr>
          <w:rFonts w:hint="eastAsia" w:ascii="宋体" w:hAnsi="宋体" w:cs="宋体"/>
          <w:color w:val="auto"/>
          <w:sz w:val="24"/>
          <w:highlight w:val="none"/>
          <w:lang w:val="en-US" w:eastAsia="zh-CN"/>
        </w:rPr>
        <w:t>8</w:t>
      </w:r>
      <w:r>
        <w:rPr>
          <w:rFonts w:hint="eastAsia" w:asciiTheme="minorEastAsia" w:hAnsiTheme="minorEastAsia" w:eastAsiaTheme="minorEastAsia" w:cstheme="minorEastAsia"/>
          <w:kern w:val="2"/>
          <w:sz w:val="24"/>
          <w:szCs w:val="24"/>
          <w:highlight w:val="none"/>
          <w:shd w:val="clear" w:color="auto" w:fill="FFFFFF"/>
          <w:lang w:val="en-US" w:eastAsia="zh-CN"/>
        </w:rPr>
        <w:t>有效的中小微企业声明函；</w:t>
      </w:r>
    </w:p>
    <w:p w14:paraId="7ADE1C40">
      <w:pPr>
        <w:pageBreakBefore w:val="0"/>
        <w:kinsoku/>
        <w:wordWrap/>
        <w:overflowPunct/>
        <w:topLinePunct w:val="0"/>
        <w:bidi w:val="0"/>
        <w:spacing w:line="360" w:lineRule="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宋体" w:hAnsi="宋体" w:eastAsia="宋体" w:cs="宋体"/>
          <w:color w:val="auto"/>
          <w:sz w:val="24"/>
          <w:highlight w:val="none"/>
          <w:lang w:val="en-US" w:eastAsia="zh-CN"/>
        </w:rPr>
        <w:t>13.1.</w:t>
      </w:r>
      <w:r>
        <w:rPr>
          <w:rFonts w:hint="eastAsia" w:ascii="宋体" w:hAnsi="宋体" w:cs="宋体"/>
          <w:color w:val="auto"/>
          <w:sz w:val="24"/>
          <w:highlight w:val="none"/>
          <w:lang w:val="en-US" w:eastAsia="zh-CN"/>
        </w:rPr>
        <w:t>9</w:t>
      </w:r>
      <w:r>
        <w:rPr>
          <w:rFonts w:hint="eastAsia" w:asciiTheme="minorEastAsia" w:hAnsiTheme="minorEastAsia" w:eastAsiaTheme="minorEastAsia" w:cstheme="minorEastAsia"/>
          <w:b w:val="0"/>
          <w:bCs w:val="0"/>
          <w:color w:val="auto"/>
          <w:sz w:val="24"/>
          <w:szCs w:val="24"/>
          <w:highlight w:val="none"/>
          <w:lang w:val="en-US" w:eastAsia="zh-CN"/>
        </w:rPr>
        <w:t>“信用中国”网站、中国政府采购网查询截图；</w:t>
      </w:r>
    </w:p>
    <w:p w14:paraId="683B47A8">
      <w:pPr>
        <w:pageBreakBefore w:val="0"/>
        <w:kinsoku/>
        <w:wordWrap/>
        <w:overflowPunct/>
        <w:topLinePunct w:val="0"/>
        <w:bidi w:val="0"/>
        <w:spacing w:line="360" w:lineRule="auto"/>
        <w:rPr>
          <w:rFonts w:hint="eastAsia" w:ascii="宋体" w:hAnsi="宋体" w:eastAsia="宋体" w:cs="宋体"/>
          <w:color w:val="auto"/>
          <w:sz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13.1.10</w:t>
      </w:r>
      <w:r>
        <w:rPr>
          <w:rFonts w:hint="eastAsia" w:ascii="宋体" w:hAnsi="宋体" w:eastAsia="宋体" w:cs="宋体"/>
          <w:color w:val="auto"/>
          <w:sz w:val="24"/>
          <w:highlight w:val="none"/>
          <w:lang w:val="en-US" w:eastAsia="zh-CN"/>
        </w:rPr>
        <w:t>其他</w:t>
      </w:r>
      <w:r>
        <w:rPr>
          <w:rFonts w:hint="eastAsia" w:ascii="宋体" w:hAnsi="宋体" w:cs="宋体"/>
          <w:color w:val="auto"/>
          <w:sz w:val="24"/>
          <w:highlight w:val="none"/>
          <w:lang w:val="en-US" w:eastAsia="zh-CN"/>
        </w:rPr>
        <w:t>谈判文件</w:t>
      </w:r>
      <w:r>
        <w:rPr>
          <w:rFonts w:hint="eastAsia" w:ascii="宋体" w:hAnsi="宋体" w:eastAsia="宋体" w:cs="宋体"/>
          <w:color w:val="auto"/>
          <w:sz w:val="24"/>
          <w:highlight w:val="none"/>
          <w:lang w:val="en-US" w:eastAsia="zh-CN"/>
        </w:rPr>
        <w:t>中要求列出的资格证明文件；</w:t>
      </w:r>
    </w:p>
    <w:p w14:paraId="0035C0EB">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13.1.</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认为有必要提供的声明及文件资料。</w:t>
      </w:r>
    </w:p>
    <w:p w14:paraId="5A018F7F">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lang w:eastAsia="zh-CN"/>
        </w:rPr>
        <w:t>注</w:t>
      </w:r>
      <w:r>
        <w:rPr>
          <w:rFonts w:hint="eastAsia" w:asciiTheme="minorEastAsia" w:hAnsiTheme="minorEastAsia" w:eastAsiaTheme="minorEastAsia" w:cstheme="minorEastAsia"/>
          <w:b/>
          <w:bCs/>
          <w:color w:val="auto"/>
          <w:szCs w:val="21"/>
          <w:highlight w:val="none"/>
        </w:rPr>
        <w:t>：</w:t>
      </w:r>
    </w:p>
    <w:p w14:paraId="2B6BB60C">
      <w:pPr>
        <w:spacing w:line="360" w:lineRule="auto"/>
        <w:ind w:firstLine="241" w:firstLineChars="1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Cs w:val="21"/>
          <w:highlight w:val="none"/>
        </w:rPr>
        <w:t>（1</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highlight w:val="none"/>
        </w:rPr>
        <w:t>投标人应自行承担所提供上述资料任何错漏而导致的一切后果。</w:t>
      </w:r>
    </w:p>
    <w:p w14:paraId="08ADA45B">
      <w:pPr>
        <w:keepNext w:val="0"/>
        <w:keepLines w:val="0"/>
        <w:pageBreakBefore w:val="0"/>
        <w:kinsoku/>
        <w:wordWrap/>
        <w:overflowPunct/>
        <w:topLinePunct w:val="0"/>
        <w:autoSpaceDE/>
        <w:autoSpaceDN/>
        <w:bidi w:val="0"/>
        <w:adjustRightInd/>
        <w:snapToGrid/>
        <w:spacing w:line="320" w:lineRule="exact"/>
        <w:ind w:firstLine="236" w:firstLineChars="98"/>
        <w:textAlignment w:val="auto"/>
        <w:outlineLvl w:val="9"/>
        <w:rPr>
          <w:rFonts w:hint="eastAsia"/>
          <w:highlight w:val="none"/>
          <w:lang w:val="en-US" w:eastAsia="zh-CN"/>
        </w:rPr>
      </w:pPr>
      <w:r>
        <w:rPr>
          <w:rFonts w:hint="eastAsia" w:asciiTheme="minorEastAsia" w:hAnsiTheme="minorEastAsia" w:eastAsiaTheme="minorEastAsia" w:cstheme="minorEastAsia"/>
          <w:b/>
          <w:bCs/>
          <w:color w:val="auto"/>
          <w:szCs w:val="21"/>
          <w:highlight w:val="none"/>
        </w:rPr>
        <w:t>（</w:t>
      </w:r>
      <w:r>
        <w:rPr>
          <w:rFonts w:hint="eastAsia" w:asciiTheme="minorEastAsia" w:hAnsiTheme="minorEastAsia" w:eastAsiaTheme="minorEastAsia" w:cstheme="minorEastAsia"/>
          <w:b/>
          <w:bCs/>
          <w:color w:val="auto"/>
          <w:szCs w:val="21"/>
          <w:highlight w:val="none"/>
          <w:lang w:val="en-US" w:eastAsia="zh-CN"/>
        </w:rPr>
        <w:t>2</w:t>
      </w:r>
      <w:r>
        <w:rPr>
          <w:rFonts w:hint="eastAsia" w:asciiTheme="minorEastAsia" w:hAnsiTheme="minorEastAsia" w:eastAsiaTheme="minorEastAsia" w:cstheme="minorEastAsia"/>
          <w:b/>
          <w:bCs/>
          <w:color w:val="auto"/>
          <w:szCs w:val="21"/>
          <w:highlight w:val="none"/>
        </w:rPr>
        <w:t>）</w:t>
      </w:r>
      <w:r>
        <w:rPr>
          <w:rFonts w:hint="eastAsia" w:asciiTheme="minorEastAsia" w:hAnsiTheme="minorEastAsia" w:eastAsiaTheme="minorEastAsia" w:cstheme="minorEastAsia"/>
          <w:b/>
          <w:bCs/>
          <w:color w:val="auto"/>
          <w:highlight w:val="none"/>
        </w:rPr>
        <w:t>所附的资格证明文件的复印件或影印件含糊不清，导致无法辨认的，其投标将被否决。</w:t>
      </w:r>
    </w:p>
    <w:p w14:paraId="55E5C8D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w:t>
      </w:r>
      <w:r>
        <w:rPr>
          <w:rFonts w:hint="eastAsia" w:ascii="宋体" w:hAnsi="宋体" w:cs="宋体"/>
          <w:b/>
          <w:color w:val="auto"/>
          <w:sz w:val="24"/>
          <w:highlight w:val="none"/>
          <w:lang w:eastAsia="zh-CN"/>
        </w:rPr>
        <w:t>报价人</w:t>
      </w:r>
      <w:r>
        <w:rPr>
          <w:rFonts w:hint="eastAsia" w:ascii="宋体" w:hAnsi="宋体" w:eastAsia="宋体" w:cs="宋体"/>
          <w:b/>
          <w:color w:val="auto"/>
          <w:sz w:val="24"/>
          <w:highlight w:val="none"/>
        </w:rPr>
        <w:t>应逐条详细阅读</w:t>
      </w:r>
      <w:r>
        <w:rPr>
          <w:rFonts w:hint="eastAsia" w:ascii="宋体" w:hAnsi="宋体" w:cs="宋体"/>
          <w:b/>
          <w:color w:val="auto"/>
          <w:sz w:val="24"/>
          <w:highlight w:val="none"/>
          <w:lang w:eastAsia="zh-CN"/>
        </w:rPr>
        <w:t>谈判</w:t>
      </w:r>
      <w:r>
        <w:rPr>
          <w:rFonts w:hint="eastAsia" w:ascii="宋体" w:hAnsi="宋体" w:eastAsia="宋体" w:cs="宋体"/>
          <w:b/>
          <w:color w:val="auto"/>
          <w:sz w:val="24"/>
          <w:highlight w:val="none"/>
        </w:rPr>
        <w:t>文件有关要求，表明所提供的服务是否对文件做出实质性响应。</w:t>
      </w:r>
    </w:p>
    <w:p w14:paraId="50E7F52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2"/>
        <w:rPr>
          <w:rFonts w:hint="eastAsia" w:ascii="宋体" w:hAnsi="宋体" w:eastAsia="宋体" w:cs="宋体"/>
          <w:b/>
          <w:color w:val="auto"/>
          <w:sz w:val="24"/>
          <w:highlight w:val="none"/>
        </w:rPr>
      </w:pPr>
      <w:bookmarkStart w:id="79" w:name="_Toc16973"/>
      <w:bookmarkStart w:id="80" w:name="_Toc1857"/>
      <w:r>
        <w:rPr>
          <w:rFonts w:hint="eastAsia" w:ascii="宋体" w:hAnsi="宋体" w:eastAsia="宋体" w:cs="宋体"/>
          <w:b/>
          <w:color w:val="auto"/>
          <w:sz w:val="24"/>
          <w:highlight w:val="none"/>
        </w:rPr>
        <w:t>15、</w:t>
      </w:r>
      <w:r>
        <w:rPr>
          <w:rFonts w:hint="eastAsia" w:ascii="宋体" w:hAnsi="宋体" w:cs="宋体"/>
          <w:b/>
          <w:color w:val="auto"/>
          <w:sz w:val="24"/>
          <w:highlight w:val="none"/>
          <w:lang w:eastAsia="zh-CN"/>
        </w:rPr>
        <w:t>谈判响应文件</w:t>
      </w:r>
      <w:r>
        <w:rPr>
          <w:rFonts w:hint="eastAsia" w:ascii="宋体" w:hAnsi="宋体" w:eastAsia="宋体" w:cs="宋体"/>
          <w:b/>
          <w:color w:val="auto"/>
          <w:sz w:val="24"/>
          <w:highlight w:val="none"/>
        </w:rPr>
        <w:t>的有效期</w:t>
      </w:r>
      <w:bookmarkEnd w:id="79"/>
      <w:bookmarkEnd w:id="80"/>
    </w:p>
    <w:p w14:paraId="59729A4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b/>
          <w:color w:val="auto"/>
          <w:sz w:val="24"/>
          <w:highlight w:val="none"/>
        </w:rPr>
        <w:t>15.1</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谈判响应文件</w:t>
      </w:r>
      <w:r>
        <w:rPr>
          <w:rFonts w:hint="eastAsia" w:ascii="宋体" w:hAnsi="宋体" w:eastAsia="宋体" w:cs="宋体"/>
          <w:color w:val="auto"/>
          <w:sz w:val="24"/>
          <w:highlight w:val="none"/>
        </w:rPr>
        <w:t>从实质</w:t>
      </w:r>
      <w:r>
        <w:rPr>
          <w:rFonts w:hint="eastAsia" w:ascii="宋体" w:hAnsi="宋体" w:cs="宋体"/>
          <w:color w:val="auto"/>
          <w:sz w:val="24"/>
          <w:highlight w:val="none"/>
          <w:lang w:eastAsia="zh-CN"/>
        </w:rPr>
        <w:t>谈判</w:t>
      </w:r>
      <w:r>
        <w:rPr>
          <w:rFonts w:hint="eastAsia" w:ascii="宋体" w:hAnsi="宋体" w:eastAsia="宋体" w:cs="宋体"/>
          <w:color w:val="auto"/>
          <w:sz w:val="24"/>
          <w:highlight w:val="none"/>
        </w:rPr>
        <w:t>之日起</w:t>
      </w:r>
      <w:r>
        <w:rPr>
          <w:rFonts w:hint="eastAsia" w:ascii="宋体" w:hAnsi="宋体" w:cs="宋体"/>
          <w:color w:val="auto"/>
          <w:sz w:val="24"/>
          <w:highlight w:val="none"/>
          <w:lang w:val="en-US" w:eastAsia="zh-CN"/>
        </w:rPr>
        <w:t>90</w:t>
      </w:r>
      <w:r>
        <w:rPr>
          <w:rFonts w:hint="eastAsia" w:ascii="宋体" w:hAnsi="宋体" w:eastAsia="宋体" w:cs="宋体"/>
          <w:color w:val="auto"/>
          <w:sz w:val="24"/>
          <w:highlight w:val="none"/>
        </w:rPr>
        <w:t>天内有效。</w:t>
      </w:r>
    </w:p>
    <w:p w14:paraId="4DBB8AE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b/>
          <w:color w:val="auto"/>
          <w:sz w:val="24"/>
          <w:highlight w:val="none"/>
        </w:rPr>
        <w:t>15.2</w:t>
      </w:r>
      <w:r>
        <w:rPr>
          <w:rFonts w:hint="eastAsia" w:ascii="宋体" w:hAnsi="宋体" w:eastAsia="宋体" w:cs="宋体"/>
          <w:color w:val="auto"/>
          <w:sz w:val="24"/>
          <w:highlight w:val="none"/>
        </w:rPr>
        <w:t xml:space="preserve"> 如遇特殊情况，在原</w:t>
      </w:r>
      <w:r>
        <w:rPr>
          <w:rFonts w:hint="eastAsia" w:ascii="宋体" w:hAnsi="宋体" w:cs="宋体"/>
          <w:color w:val="auto"/>
          <w:sz w:val="24"/>
          <w:highlight w:val="none"/>
          <w:lang w:val="en-US" w:eastAsia="zh-CN"/>
        </w:rPr>
        <w:t>报价</w:t>
      </w:r>
      <w:r>
        <w:rPr>
          <w:rFonts w:hint="eastAsia" w:ascii="宋体" w:hAnsi="宋体" w:eastAsia="宋体" w:cs="宋体"/>
          <w:color w:val="auto"/>
          <w:sz w:val="24"/>
          <w:highlight w:val="none"/>
        </w:rPr>
        <w:t>有效期届满之前，</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人可与</w:t>
      </w:r>
      <w:r>
        <w:rPr>
          <w:rFonts w:hint="eastAsia" w:ascii="宋体" w:hAnsi="宋体" w:cs="宋体"/>
          <w:color w:val="auto"/>
          <w:sz w:val="24"/>
          <w:highlight w:val="none"/>
          <w:lang w:eastAsia="zh-CN"/>
        </w:rPr>
        <w:t>报价人</w:t>
      </w:r>
      <w:r>
        <w:rPr>
          <w:rFonts w:hint="eastAsia" w:ascii="宋体" w:hAnsi="宋体" w:eastAsia="宋体" w:cs="宋体"/>
          <w:color w:val="auto"/>
          <w:sz w:val="24"/>
          <w:highlight w:val="none"/>
        </w:rPr>
        <w:t>协商延长</w:t>
      </w:r>
      <w:r>
        <w:rPr>
          <w:rFonts w:hint="eastAsia" w:ascii="宋体" w:hAnsi="宋体" w:cs="宋体"/>
          <w:color w:val="auto"/>
          <w:sz w:val="24"/>
          <w:highlight w:val="none"/>
          <w:lang w:eastAsia="zh-CN"/>
        </w:rPr>
        <w:t>谈判响应文件</w:t>
      </w:r>
      <w:r>
        <w:rPr>
          <w:rFonts w:hint="eastAsia" w:ascii="宋体" w:hAnsi="宋体" w:eastAsia="宋体" w:cs="宋体"/>
          <w:color w:val="auto"/>
          <w:sz w:val="24"/>
          <w:highlight w:val="none"/>
        </w:rPr>
        <w:t>的有效期，并经</w:t>
      </w:r>
      <w:r>
        <w:rPr>
          <w:rFonts w:hint="eastAsia" w:ascii="宋体" w:hAnsi="宋体" w:cs="宋体"/>
          <w:color w:val="auto"/>
          <w:sz w:val="24"/>
          <w:highlight w:val="none"/>
          <w:lang w:eastAsia="zh-CN"/>
        </w:rPr>
        <w:t>报价人</w:t>
      </w:r>
      <w:r>
        <w:rPr>
          <w:rFonts w:hint="eastAsia" w:ascii="宋体" w:hAnsi="宋体" w:eastAsia="宋体" w:cs="宋体"/>
          <w:color w:val="auto"/>
          <w:sz w:val="24"/>
          <w:highlight w:val="none"/>
        </w:rPr>
        <w:t>确认。</w:t>
      </w:r>
    </w:p>
    <w:p w14:paraId="7E2047A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2"/>
        <w:rPr>
          <w:rFonts w:hint="eastAsia"/>
          <w:color w:val="auto"/>
          <w:highlight w:val="none"/>
        </w:rPr>
      </w:pPr>
      <w:bookmarkStart w:id="81" w:name="_Toc28147"/>
      <w:bookmarkStart w:id="82" w:name="_Toc21063"/>
      <w:r>
        <w:rPr>
          <w:rFonts w:hint="eastAsia" w:ascii="宋体" w:hAnsi="宋体" w:eastAsia="宋体" w:cs="宋体"/>
          <w:b/>
          <w:color w:val="auto"/>
          <w:sz w:val="24"/>
          <w:highlight w:val="none"/>
        </w:rPr>
        <w:t>16、</w:t>
      </w:r>
      <w:r>
        <w:rPr>
          <w:rFonts w:hint="eastAsia" w:ascii="宋体" w:hAnsi="宋体" w:cs="宋体"/>
          <w:b/>
          <w:color w:val="auto"/>
          <w:sz w:val="24"/>
          <w:highlight w:val="none"/>
          <w:lang w:eastAsia="zh-CN"/>
        </w:rPr>
        <w:t>谈判响应文件</w:t>
      </w:r>
      <w:r>
        <w:rPr>
          <w:rFonts w:hint="eastAsia" w:ascii="宋体" w:hAnsi="宋体" w:eastAsia="宋体" w:cs="宋体"/>
          <w:b/>
          <w:color w:val="auto"/>
          <w:sz w:val="24"/>
          <w:highlight w:val="none"/>
        </w:rPr>
        <w:t>的签署</w:t>
      </w:r>
      <w:bookmarkEnd w:id="81"/>
      <w:bookmarkEnd w:id="82"/>
    </w:p>
    <w:p w14:paraId="29C69D03">
      <w:pPr>
        <w:keepNext w:val="0"/>
        <w:keepLines w:val="0"/>
        <w:pageBreakBefore w:val="0"/>
        <w:widowControl w:val="0"/>
        <w:kinsoku/>
        <w:wordWrap/>
        <w:overflowPunct/>
        <w:topLinePunct w:val="0"/>
        <w:autoSpaceDE/>
        <w:autoSpaceDN/>
        <w:bidi w:val="0"/>
        <w:adjustRightInd/>
        <w:snapToGrid/>
        <w:spacing w:line="360" w:lineRule="auto"/>
        <w:ind w:right="561"/>
        <w:textAlignment w:val="auto"/>
        <w:rPr>
          <w:rFonts w:hint="eastAsia" w:ascii="宋体" w:hAnsi="宋体" w:eastAsia="宋体" w:cs="Times New Roman"/>
          <w:color w:val="auto"/>
          <w:sz w:val="24"/>
          <w:szCs w:val="24"/>
          <w:highlight w:val="none"/>
        </w:rPr>
      </w:pPr>
      <w:r>
        <w:rPr>
          <w:rFonts w:hint="eastAsia" w:ascii="宋体" w:hAnsi="宋体" w:eastAsia="宋体" w:cs="宋体"/>
          <w:b/>
          <w:color w:val="auto"/>
          <w:sz w:val="24"/>
          <w:highlight w:val="none"/>
        </w:rPr>
        <w:t>16.1</w:t>
      </w:r>
      <w:r>
        <w:rPr>
          <w:rFonts w:hint="eastAsia" w:ascii="宋体" w:hAnsi="宋体" w:eastAsia="宋体" w:cs="Times New Roman"/>
          <w:color w:val="auto"/>
          <w:sz w:val="24"/>
          <w:szCs w:val="24"/>
          <w:highlight w:val="none"/>
        </w:rPr>
        <w:t>响应文件的组成（投标现场无需递交</w:t>
      </w:r>
      <w:r>
        <w:rPr>
          <w:rFonts w:hint="eastAsia" w:ascii="宋体" w:hAnsi="宋体" w:eastAsia="宋体" w:cs="Times New Roman"/>
          <w:color w:val="auto"/>
          <w:sz w:val="24"/>
          <w:szCs w:val="24"/>
          <w:highlight w:val="none"/>
          <w:lang w:eastAsia="zh-CN"/>
        </w:rPr>
        <w:t>响应文件</w:t>
      </w:r>
      <w:r>
        <w:rPr>
          <w:rFonts w:hint="eastAsia" w:ascii="宋体" w:hAnsi="宋体" w:eastAsia="宋体" w:cs="Times New Roman"/>
          <w:color w:val="auto"/>
          <w:sz w:val="24"/>
          <w:szCs w:val="24"/>
          <w:highlight w:val="none"/>
        </w:rPr>
        <w:t>，中标</w:t>
      </w:r>
      <w:r>
        <w:rPr>
          <w:rFonts w:hint="eastAsia" w:ascii="宋体" w:hAnsi="宋体" w:eastAsia="宋体" w:cs="Times New Roman"/>
          <w:color w:val="auto"/>
          <w:sz w:val="24"/>
          <w:szCs w:val="24"/>
          <w:highlight w:val="none"/>
          <w:lang w:val="en-US" w:eastAsia="zh-CN"/>
        </w:rPr>
        <w:t>供应商</w:t>
      </w:r>
      <w:r>
        <w:rPr>
          <w:rFonts w:hint="eastAsia" w:ascii="宋体" w:hAnsi="宋体" w:eastAsia="宋体" w:cs="Times New Roman"/>
          <w:color w:val="auto"/>
          <w:sz w:val="24"/>
          <w:szCs w:val="24"/>
          <w:highlight w:val="none"/>
        </w:rPr>
        <w:t>公示完之后需提供）:纸质版</w:t>
      </w:r>
      <w:r>
        <w:rPr>
          <w:rFonts w:hint="eastAsia" w:ascii="宋体" w:hAnsi="宋体" w:eastAsia="宋体" w:cs="Times New Roman"/>
          <w:color w:val="auto"/>
          <w:sz w:val="24"/>
          <w:szCs w:val="24"/>
          <w:highlight w:val="none"/>
          <w:lang w:eastAsia="zh-CN"/>
        </w:rPr>
        <w:t>响应文件</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中标单位提供</w:t>
      </w:r>
      <w:r>
        <w:rPr>
          <w:rFonts w:hint="eastAsia" w:ascii="宋体" w:hAnsi="宋体" w:eastAsia="宋体" w:cs="Times New Roman"/>
          <w:color w:val="auto"/>
          <w:sz w:val="24"/>
          <w:szCs w:val="24"/>
          <w:highlight w:val="none"/>
        </w:rPr>
        <w:t>正本</w:t>
      </w:r>
      <w:r>
        <w:rPr>
          <w:rFonts w:hint="eastAsia" w:ascii="宋体" w:hAnsi="宋体" w:eastAsia="宋体" w:cs="Times New Roman"/>
          <w:color w:val="auto"/>
          <w:sz w:val="24"/>
          <w:szCs w:val="24"/>
          <w:highlight w:val="none"/>
          <w:lang w:eastAsia="zh-CN"/>
        </w:rPr>
        <w:t>壹</w:t>
      </w:r>
      <w:r>
        <w:rPr>
          <w:rFonts w:hint="eastAsia" w:ascii="宋体" w:hAnsi="宋体" w:eastAsia="宋体" w:cs="Times New Roman"/>
          <w:color w:val="auto"/>
          <w:sz w:val="24"/>
          <w:szCs w:val="24"/>
          <w:highlight w:val="none"/>
        </w:rPr>
        <w:t>份、副本</w:t>
      </w:r>
      <w:r>
        <w:rPr>
          <w:rFonts w:hint="eastAsia" w:ascii="宋体" w:hAnsi="宋体" w:eastAsia="宋体" w:cs="Times New Roman"/>
          <w:color w:val="auto"/>
          <w:sz w:val="24"/>
          <w:szCs w:val="24"/>
          <w:highlight w:val="none"/>
          <w:lang w:val="en-US" w:eastAsia="zh-CN"/>
        </w:rPr>
        <w:t>肆</w:t>
      </w:r>
      <w:r>
        <w:rPr>
          <w:rFonts w:hint="eastAsia" w:ascii="宋体" w:hAnsi="宋体" w:eastAsia="宋体" w:cs="Times New Roman"/>
          <w:color w:val="auto"/>
          <w:sz w:val="24"/>
          <w:szCs w:val="24"/>
          <w:highlight w:val="none"/>
        </w:rPr>
        <w:t>份</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未中标单位提供</w:t>
      </w:r>
      <w:r>
        <w:rPr>
          <w:rFonts w:hint="eastAsia" w:ascii="宋体" w:hAnsi="宋体" w:eastAsia="宋体" w:cs="Times New Roman"/>
          <w:color w:val="auto"/>
          <w:sz w:val="24"/>
          <w:szCs w:val="24"/>
          <w:highlight w:val="none"/>
        </w:rPr>
        <w:t>正本</w:t>
      </w:r>
      <w:r>
        <w:rPr>
          <w:rFonts w:hint="eastAsia" w:ascii="宋体" w:hAnsi="宋体" w:eastAsia="宋体" w:cs="Times New Roman"/>
          <w:color w:val="auto"/>
          <w:sz w:val="24"/>
          <w:szCs w:val="24"/>
          <w:highlight w:val="none"/>
          <w:lang w:eastAsia="zh-CN"/>
        </w:rPr>
        <w:t>壹</w:t>
      </w:r>
      <w:r>
        <w:rPr>
          <w:rFonts w:hint="eastAsia" w:ascii="宋体" w:hAnsi="宋体" w:eastAsia="宋体" w:cs="Times New Roman"/>
          <w:color w:val="auto"/>
          <w:sz w:val="24"/>
          <w:szCs w:val="24"/>
          <w:highlight w:val="none"/>
        </w:rPr>
        <w:t>份</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电子版U盘2份。</w:t>
      </w:r>
      <w:r>
        <w:rPr>
          <w:rFonts w:hint="eastAsia" w:ascii="宋体" w:hAnsi="宋体" w:eastAsia="宋体" w:cs="Times New Roman"/>
          <w:color w:val="auto"/>
          <w:sz w:val="24"/>
          <w:szCs w:val="24"/>
          <w:highlight w:val="none"/>
        </w:rPr>
        <w:t>需编制目录及页码，在每一份响应文件上要明确注明“正本”或“副本”字样，如正、副本之间有差异，以正本为准。</w:t>
      </w:r>
    </w:p>
    <w:p w14:paraId="6FB2F1C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b/>
          <w:sz w:val="24"/>
          <w:szCs w:val="24"/>
          <w:highlight w:val="none"/>
        </w:rPr>
        <w:t>说明：</w:t>
      </w:r>
      <w:r>
        <w:rPr>
          <w:rFonts w:hint="eastAsia" w:ascii="宋体" w:hAnsi="宋体" w:eastAsia="宋体" w:cs="宋体"/>
          <w:b/>
          <w:sz w:val="24"/>
          <w:szCs w:val="24"/>
          <w:highlight w:val="none"/>
          <w:lang w:val="en-US" w:eastAsia="zh-CN"/>
        </w:rPr>
        <w:t>上传</w:t>
      </w:r>
      <w:r>
        <w:rPr>
          <w:rFonts w:hint="eastAsia" w:ascii="宋体" w:hAnsi="宋体" w:eastAsia="宋体" w:cs="宋体"/>
          <w:b/>
          <w:sz w:val="24"/>
          <w:szCs w:val="24"/>
          <w:highlight w:val="none"/>
        </w:rPr>
        <w:t>证件、证书等资料</w:t>
      </w:r>
      <w:r>
        <w:rPr>
          <w:rFonts w:hint="eastAsia" w:ascii="宋体" w:hAnsi="宋体" w:eastAsia="宋体" w:cs="宋体"/>
          <w:b/>
          <w:sz w:val="24"/>
          <w:szCs w:val="24"/>
          <w:highlight w:val="none"/>
          <w:lang w:val="en-US" w:eastAsia="zh-CN"/>
        </w:rPr>
        <w:t>须是</w:t>
      </w:r>
      <w:r>
        <w:rPr>
          <w:rFonts w:hint="eastAsia" w:ascii="宋体" w:hAnsi="宋体" w:eastAsia="宋体" w:cs="宋体"/>
          <w:b/>
          <w:sz w:val="24"/>
          <w:szCs w:val="24"/>
          <w:highlight w:val="none"/>
        </w:rPr>
        <w:t>原件的扫描件，供应商应如实提供资料，并保证真实可靠，不得弄虚作假。如供应商隐瞒事实真相、弄虚作假，一经查实，取消该供应商的</w:t>
      </w:r>
      <w:r>
        <w:rPr>
          <w:rFonts w:hint="eastAsia" w:ascii="宋体" w:hAnsi="宋体" w:cs="宋体"/>
          <w:b/>
          <w:sz w:val="24"/>
          <w:szCs w:val="24"/>
          <w:highlight w:val="none"/>
          <w:lang w:eastAsia="zh-CN"/>
        </w:rPr>
        <w:t>投标</w:t>
      </w:r>
      <w:r>
        <w:rPr>
          <w:rFonts w:hint="eastAsia" w:ascii="宋体" w:hAnsi="宋体" w:eastAsia="宋体" w:cs="宋体"/>
          <w:b/>
          <w:sz w:val="24"/>
          <w:szCs w:val="24"/>
          <w:highlight w:val="none"/>
        </w:rPr>
        <w:t>资格，若成交的，取消其成交资格</w:t>
      </w:r>
      <w:r>
        <w:rPr>
          <w:rFonts w:hint="eastAsia" w:ascii="宋体" w:hAnsi="宋体" w:cs="Arial"/>
          <w:b/>
          <w:bCs/>
          <w:color w:val="auto"/>
          <w:sz w:val="24"/>
          <w:szCs w:val="24"/>
          <w:highlight w:val="none"/>
        </w:rPr>
        <w:t>。</w:t>
      </w:r>
    </w:p>
    <w:p w14:paraId="36E9F8A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2"/>
        <w:rPr>
          <w:rFonts w:hint="eastAsia" w:ascii="宋体" w:hAnsi="宋体" w:eastAsia="宋体" w:cs="宋体"/>
          <w:b/>
          <w:color w:val="auto"/>
          <w:sz w:val="24"/>
          <w:highlight w:val="none"/>
        </w:rPr>
      </w:pPr>
      <w:bookmarkStart w:id="83" w:name="_Toc9963"/>
      <w:bookmarkStart w:id="84" w:name="_Toc22556"/>
      <w:r>
        <w:rPr>
          <w:rFonts w:hint="eastAsia" w:ascii="宋体" w:hAnsi="宋体" w:eastAsia="宋体" w:cs="宋体"/>
          <w:b/>
          <w:color w:val="auto"/>
          <w:sz w:val="24"/>
          <w:highlight w:val="none"/>
        </w:rPr>
        <w:t>17、</w:t>
      </w:r>
      <w:r>
        <w:rPr>
          <w:rFonts w:hint="eastAsia" w:ascii="宋体" w:hAnsi="宋体" w:cs="宋体"/>
          <w:b/>
          <w:color w:val="auto"/>
          <w:sz w:val="24"/>
          <w:highlight w:val="none"/>
          <w:lang w:val="en-US" w:eastAsia="zh-CN"/>
        </w:rPr>
        <w:t>谈判</w:t>
      </w:r>
      <w:r>
        <w:rPr>
          <w:rFonts w:hint="eastAsia" w:ascii="宋体" w:hAnsi="宋体" w:eastAsia="宋体" w:cs="宋体"/>
          <w:b/>
          <w:color w:val="auto"/>
          <w:sz w:val="24"/>
          <w:highlight w:val="none"/>
        </w:rPr>
        <w:t>保证金</w:t>
      </w:r>
      <w:bookmarkEnd w:id="83"/>
      <w:bookmarkEnd w:id="84"/>
    </w:p>
    <w:p w14:paraId="3249700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b/>
          <w:color w:val="auto"/>
          <w:sz w:val="24"/>
          <w:highlight w:val="none"/>
        </w:rPr>
        <w:t>17.1</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rPr>
        <w:t>保证金数额详见投标须知前附表第1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条。</w:t>
      </w:r>
    </w:p>
    <w:p w14:paraId="6F310D3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b/>
          <w:color w:val="auto"/>
          <w:sz w:val="24"/>
          <w:highlight w:val="none"/>
        </w:rPr>
        <w:t>17.2</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rPr>
        <w:t>保证金用于应对本次因</w:t>
      </w:r>
      <w:r>
        <w:rPr>
          <w:rFonts w:hint="eastAsia" w:ascii="宋体" w:hAnsi="宋体" w:cs="宋体"/>
          <w:color w:val="auto"/>
          <w:sz w:val="24"/>
          <w:highlight w:val="none"/>
          <w:lang w:eastAsia="zh-CN"/>
        </w:rPr>
        <w:t>报价人</w:t>
      </w:r>
      <w:r>
        <w:rPr>
          <w:rFonts w:hint="eastAsia" w:ascii="宋体" w:hAnsi="宋体" w:eastAsia="宋体" w:cs="宋体"/>
          <w:color w:val="auto"/>
          <w:sz w:val="24"/>
          <w:highlight w:val="none"/>
        </w:rPr>
        <w:t>违规、违约而产生的风险。</w:t>
      </w:r>
    </w:p>
    <w:p w14:paraId="31DD22D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17.3</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rPr>
        <w:t>保证金须以单位名义缴纳，未</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单位的</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rPr>
        <w:t>保证金，退还给原缴纳单位。</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rPr>
        <w:t>保证金应于</w:t>
      </w:r>
      <w:r>
        <w:rPr>
          <w:rFonts w:hint="eastAsia" w:ascii="宋体" w:hAnsi="宋体" w:cs="宋体"/>
          <w:color w:val="auto"/>
          <w:sz w:val="24"/>
          <w:highlight w:val="none"/>
          <w:lang w:eastAsia="zh-CN"/>
        </w:rPr>
        <w:t>谈判时间前</w:t>
      </w:r>
      <w:r>
        <w:rPr>
          <w:rFonts w:hint="eastAsia" w:ascii="宋体" w:hAnsi="宋体" w:eastAsia="宋体" w:cs="宋体"/>
          <w:color w:val="auto"/>
          <w:sz w:val="24"/>
          <w:highlight w:val="none"/>
        </w:rPr>
        <w:t>存入指定账户（开户信息：见【须知前附表】）。对未按要求提交</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rPr>
        <w:t>保证金的</w:t>
      </w:r>
      <w:r>
        <w:rPr>
          <w:rFonts w:hint="eastAsia" w:ascii="宋体" w:hAnsi="宋体" w:cs="宋体"/>
          <w:color w:val="auto"/>
          <w:sz w:val="24"/>
          <w:highlight w:val="none"/>
          <w:lang w:val="en-US" w:eastAsia="zh-CN"/>
        </w:rPr>
        <w:t>谈判响应文件</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谈判小组</w:t>
      </w:r>
      <w:r>
        <w:rPr>
          <w:rFonts w:hint="eastAsia" w:ascii="宋体" w:hAnsi="宋体" w:eastAsia="宋体" w:cs="宋体"/>
          <w:color w:val="auto"/>
          <w:sz w:val="24"/>
          <w:highlight w:val="none"/>
        </w:rPr>
        <w:t>将视为不响应</w:t>
      </w:r>
      <w:r>
        <w:rPr>
          <w:rFonts w:hint="eastAsia" w:ascii="宋体" w:hAnsi="宋体" w:cs="宋体"/>
          <w:color w:val="auto"/>
          <w:sz w:val="24"/>
          <w:highlight w:val="none"/>
          <w:lang w:val="en-US" w:eastAsia="zh-CN"/>
        </w:rPr>
        <w:t>谈判文件</w:t>
      </w:r>
      <w:r>
        <w:rPr>
          <w:rFonts w:hint="eastAsia" w:ascii="宋体" w:hAnsi="宋体" w:eastAsia="宋体" w:cs="宋体"/>
          <w:color w:val="auto"/>
          <w:sz w:val="24"/>
          <w:highlight w:val="none"/>
        </w:rPr>
        <w:t>予以拒绝。</w:t>
      </w:r>
    </w:p>
    <w:p w14:paraId="7E8A6A3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b/>
          <w:color w:val="auto"/>
          <w:sz w:val="24"/>
          <w:highlight w:val="none"/>
        </w:rPr>
        <w:t>17.4</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rPr>
        <w:t>保证金</w:t>
      </w:r>
      <w:r>
        <w:rPr>
          <w:rFonts w:hint="eastAsia" w:ascii="宋体" w:hAnsi="宋体" w:cs="宋体"/>
          <w:color w:val="auto"/>
          <w:sz w:val="24"/>
          <w:highlight w:val="none"/>
          <w:lang w:eastAsia="zh-CN"/>
        </w:rPr>
        <w:t>可</w:t>
      </w:r>
      <w:r>
        <w:rPr>
          <w:rFonts w:hint="eastAsia" w:ascii="宋体" w:hAnsi="宋体" w:eastAsia="宋体" w:cs="宋体"/>
          <w:color w:val="auto"/>
          <w:sz w:val="24"/>
          <w:highlight w:val="none"/>
        </w:rPr>
        <w:t>以</w:t>
      </w:r>
      <w:r>
        <w:rPr>
          <w:rFonts w:hint="eastAsia" w:ascii="宋体" w:hAnsi="宋体" w:cs="宋体"/>
          <w:color w:val="auto"/>
          <w:sz w:val="24"/>
          <w:highlight w:val="none"/>
          <w:lang w:eastAsia="zh-CN"/>
        </w:rPr>
        <w:t>用</w:t>
      </w:r>
      <w:r>
        <w:rPr>
          <w:rFonts w:hint="eastAsia" w:ascii="宋体" w:hAnsi="宋体" w:cs="宋体"/>
          <w:b w:val="0"/>
          <w:bCs/>
          <w:color w:val="auto"/>
          <w:sz w:val="24"/>
          <w:szCs w:val="24"/>
          <w:highlight w:val="none"/>
        </w:rPr>
        <w:t>支票、银行电汇、网银</w:t>
      </w:r>
      <w:r>
        <w:rPr>
          <w:rFonts w:hint="eastAsia" w:ascii="宋体" w:hAnsi="宋体" w:eastAsia="宋体" w:cs="宋体"/>
          <w:color w:val="auto"/>
          <w:sz w:val="24"/>
          <w:highlight w:val="none"/>
        </w:rPr>
        <w:t>形式的方式提交</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不接受</w:t>
      </w:r>
      <w:r>
        <w:rPr>
          <w:rFonts w:hint="eastAsia" w:ascii="宋体" w:hAnsi="宋体" w:eastAsia="宋体" w:cs="宋体"/>
          <w:color w:val="auto"/>
          <w:sz w:val="24"/>
          <w:highlight w:val="none"/>
          <w:lang w:eastAsia="zh-CN"/>
        </w:rPr>
        <w:t>现金</w:t>
      </w:r>
      <w:r>
        <w:rPr>
          <w:rFonts w:hint="eastAsia" w:ascii="宋体" w:hAnsi="宋体" w:cs="宋体"/>
          <w:color w:val="auto"/>
          <w:sz w:val="24"/>
          <w:highlight w:val="none"/>
          <w:lang w:eastAsia="zh-CN"/>
        </w:rPr>
        <w:t>形式</w:t>
      </w:r>
      <w:r>
        <w:rPr>
          <w:rFonts w:hint="eastAsia" w:ascii="宋体" w:hAnsi="宋体" w:eastAsia="宋体" w:cs="宋体"/>
          <w:color w:val="auto"/>
          <w:sz w:val="24"/>
          <w:highlight w:val="none"/>
        </w:rPr>
        <w:t>的</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rPr>
        <w:t>保证金。</w:t>
      </w:r>
    </w:p>
    <w:p w14:paraId="636BD44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b/>
          <w:color w:val="auto"/>
          <w:sz w:val="24"/>
          <w:highlight w:val="none"/>
        </w:rPr>
        <w:t>17.5</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通知书》发出</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日内，</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方向</w:t>
      </w:r>
      <w:r>
        <w:rPr>
          <w:rFonts w:hint="eastAsia" w:ascii="宋体" w:hAnsi="宋体" w:eastAsia="宋体" w:cs="宋体"/>
          <w:color w:val="auto"/>
          <w:sz w:val="24"/>
          <w:highlight w:val="none"/>
          <w:lang w:eastAsia="zh-CN"/>
        </w:rPr>
        <w:t>未</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方发出《</w:t>
      </w:r>
      <w:r>
        <w:rPr>
          <w:rFonts w:hint="eastAsia" w:ascii="宋体" w:hAnsi="宋体" w:eastAsia="宋体" w:cs="宋体"/>
          <w:color w:val="auto"/>
          <w:sz w:val="24"/>
          <w:highlight w:val="none"/>
          <w:lang w:eastAsia="zh-CN"/>
        </w:rPr>
        <w:t>未</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通知书》并退还</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rPr>
        <w:t>保证金。</w:t>
      </w:r>
    </w:p>
    <w:p w14:paraId="4A43C42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b/>
          <w:color w:val="auto"/>
          <w:sz w:val="24"/>
          <w:highlight w:val="none"/>
        </w:rPr>
        <w:t>17.6</w:t>
      </w:r>
      <w:r>
        <w:rPr>
          <w:rFonts w:hint="eastAsia" w:ascii="宋体" w:hAnsi="宋体" w:eastAsia="宋体" w:cs="宋体"/>
          <w:color w:val="auto"/>
          <w:sz w:val="24"/>
          <w:highlight w:val="none"/>
        </w:rPr>
        <w:t xml:space="preserve"> 在</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方规定的</w:t>
      </w:r>
      <w:r>
        <w:rPr>
          <w:rFonts w:hint="eastAsia" w:ascii="宋体" w:hAnsi="宋体" w:cs="宋体"/>
          <w:color w:val="auto"/>
          <w:sz w:val="24"/>
          <w:highlight w:val="none"/>
          <w:lang w:val="en-US" w:eastAsia="zh-CN"/>
        </w:rPr>
        <w:t>报价</w:t>
      </w:r>
      <w:r>
        <w:rPr>
          <w:rFonts w:hint="eastAsia" w:ascii="宋体" w:hAnsi="宋体" w:eastAsia="宋体" w:cs="宋体"/>
          <w:color w:val="auto"/>
          <w:sz w:val="24"/>
          <w:highlight w:val="none"/>
        </w:rPr>
        <w:t>有效期满之前，</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方将以书面形式发出《</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通知书》，《</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通知书》一经发出即发生法律效力。</w:t>
      </w:r>
    </w:p>
    <w:p w14:paraId="7008627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b/>
          <w:color w:val="auto"/>
          <w:sz w:val="24"/>
          <w:highlight w:val="none"/>
        </w:rPr>
        <w:t>17.7</w:t>
      </w:r>
      <w:r>
        <w:rPr>
          <w:rFonts w:hint="eastAsia" w:ascii="宋体" w:hAnsi="宋体" w:eastAsia="宋体" w:cs="宋体"/>
          <w:color w:val="auto"/>
          <w:sz w:val="24"/>
          <w:highlight w:val="none"/>
        </w:rPr>
        <w:t>发生以下情况，</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rPr>
        <w:t>保证金可能被没收：</w:t>
      </w:r>
    </w:p>
    <w:p w14:paraId="22802FA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17.7.1 投标人在投标有效期内撤回</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w:t>
      </w:r>
    </w:p>
    <w:p w14:paraId="31E91B8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17.7.</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投标人在投标过程中弄虚作假，提供虚假材料的；</w:t>
      </w:r>
    </w:p>
    <w:p w14:paraId="08AA477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17.7.</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中标人无正当理由不与</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rPr>
        <w:t>签订合同的；</w:t>
      </w:r>
    </w:p>
    <w:p w14:paraId="252B18A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17.7.</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其他严重扰乱招投标程序的；</w:t>
      </w:r>
    </w:p>
    <w:p w14:paraId="0228484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17.7.</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人未能做到：</w:t>
      </w:r>
    </w:p>
    <w:p w14:paraId="7A84907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17.7.5.1</w:t>
      </w:r>
      <w:r>
        <w:rPr>
          <w:rFonts w:hint="eastAsia" w:ascii="宋体" w:hAnsi="宋体" w:eastAsia="宋体" w:cs="宋体"/>
          <w:color w:val="auto"/>
          <w:sz w:val="24"/>
          <w:highlight w:val="none"/>
        </w:rPr>
        <w:t>按本章第</w:t>
      </w:r>
      <w:r>
        <w:rPr>
          <w:rFonts w:hint="eastAsia" w:ascii="宋体" w:hAnsi="宋体" w:cs="宋体"/>
          <w:color w:val="auto"/>
          <w:sz w:val="24"/>
          <w:highlight w:val="none"/>
          <w:lang w:val="en-US" w:eastAsia="zh-CN"/>
        </w:rPr>
        <w:t>28</w:t>
      </w:r>
      <w:r>
        <w:rPr>
          <w:rFonts w:hint="eastAsia" w:ascii="宋体" w:hAnsi="宋体" w:eastAsia="宋体" w:cs="宋体"/>
          <w:color w:val="auto"/>
          <w:sz w:val="24"/>
          <w:highlight w:val="none"/>
        </w:rPr>
        <w:t>条规定签订合同；</w:t>
      </w:r>
    </w:p>
    <w:p w14:paraId="1CDC5F0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17.7.5.</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按本章第3</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条交付</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服务费。</w:t>
      </w:r>
    </w:p>
    <w:p w14:paraId="17968A3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17.7.6</w:t>
      </w:r>
      <w:r>
        <w:rPr>
          <w:rFonts w:hint="eastAsia" w:ascii="宋体" w:hAnsi="宋体" w:eastAsia="宋体" w:cs="宋体"/>
          <w:color w:val="auto"/>
          <w:sz w:val="24"/>
          <w:highlight w:val="none"/>
        </w:rPr>
        <w:t xml:space="preserve"> 投标人在投标过程中有</w:t>
      </w:r>
      <w:r>
        <w:rPr>
          <w:rFonts w:hint="eastAsia" w:ascii="宋体" w:hAnsi="宋体" w:eastAsia="宋体" w:cs="宋体"/>
          <w:color w:val="auto"/>
          <w:sz w:val="24"/>
          <w:highlight w:val="none"/>
          <w:lang w:val="en-US" w:eastAsia="zh-CN"/>
        </w:rPr>
        <w:t>其他</w:t>
      </w:r>
      <w:r>
        <w:rPr>
          <w:rFonts w:hint="eastAsia" w:ascii="宋体" w:hAnsi="宋体" w:eastAsia="宋体" w:cs="宋体"/>
          <w:color w:val="auto"/>
          <w:sz w:val="24"/>
          <w:highlight w:val="none"/>
        </w:rPr>
        <w:t>违反有关法律法规行</w:t>
      </w:r>
    </w:p>
    <w:p w14:paraId="3FCF37A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2"/>
        <w:rPr>
          <w:rFonts w:hint="eastAsia" w:ascii="宋体" w:hAnsi="宋体" w:eastAsia="宋体" w:cs="宋体"/>
          <w:b/>
          <w:bCs w:val="0"/>
          <w:color w:val="auto"/>
          <w:sz w:val="24"/>
          <w:highlight w:val="none"/>
        </w:rPr>
      </w:pPr>
      <w:bookmarkStart w:id="85" w:name="_Toc27399"/>
      <w:bookmarkStart w:id="86" w:name="_Toc25025"/>
      <w:r>
        <w:rPr>
          <w:rFonts w:hint="eastAsia" w:ascii="宋体" w:hAnsi="宋体" w:eastAsia="宋体" w:cs="宋体"/>
          <w:b/>
          <w:bCs w:val="0"/>
          <w:color w:val="auto"/>
          <w:sz w:val="24"/>
          <w:highlight w:val="none"/>
        </w:rPr>
        <w:t>18、</w:t>
      </w:r>
      <w:r>
        <w:rPr>
          <w:rFonts w:hint="eastAsia" w:ascii="宋体" w:hAnsi="宋体" w:cs="宋体"/>
          <w:b/>
          <w:bCs w:val="0"/>
          <w:color w:val="auto"/>
          <w:sz w:val="24"/>
          <w:highlight w:val="none"/>
          <w:lang w:eastAsia="zh-CN"/>
        </w:rPr>
        <w:t>谈判响应文件</w:t>
      </w:r>
      <w:r>
        <w:rPr>
          <w:rFonts w:hint="eastAsia" w:ascii="宋体" w:hAnsi="宋体" w:eastAsia="宋体" w:cs="宋体"/>
          <w:b/>
          <w:bCs w:val="0"/>
          <w:color w:val="auto"/>
          <w:sz w:val="24"/>
          <w:highlight w:val="none"/>
        </w:rPr>
        <w:t>的密封与标记</w:t>
      </w:r>
      <w:bookmarkEnd w:id="85"/>
      <w:bookmarkEnd w:id="86"/>
    </w:p>
    <w:p w14:paraId="71028DB7">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 xml:space="preserve">18.1 </w:t>
      </w:r>
      <w:r>
        <w:rPr>
          <w:rFonts w:hint="eastAsia" w:ascii="宋体" w:hAnsi="宋体" w:cs="宋体"/>
          <w:b w:val="0"/>
          <w:bCs/>
          <w:color w:val="auto"/>
          <w:sz w:val="24"/>
          <w:highlight w:val="none"/>
          <w:lang w:val="en-US" w:eastAsia="zh-CN"/>
        </w:rPr>
        <w:t>报价人</w:t>
      </w:r>
      <w:r>
        <w:rPr>
          <w:rFonts w:hint="eastAsia" w:ascii="宋体" w:hAnsi="宋体" w:eastAsia="宋体" w:cs="宋体"/>
          <w:b w:val="0"/>
          <w:bCs/>
          <w:color w:val="auto"/>
          <w:sz w:val="24"/>
          <w:highlight w:val="none"/>
        </w:rPr>
        <w:t>应</w:t>
      </w:r>
      <w:r>
        <w:rPr>
          <w:rFonts w:hint="eastAsia" w:ascii="宋体" w:hAnsi="宋体" w:eastAsia="宋体" w:cs="宋体"/>
          <w:b w:val="0"/>
          <w:bCs/>
          <w:color w:val="auto"/>
          <w:sz w:val="24"/>
          <w:highlight w:val="none"/>
          <w:lang w:val="en-US" w:eastAsia="zh-CN"/>
        </w:rPr>
        <w:t>在密封袋上注明项目名称、项目编号、单位名称、地址、联系人、联系电</w:t>
      </w:r>
      <w:r>
        <w:rPr>
          <w:rFonts w:hint="eastAsia" w:ascii="宋体" w:hAnsi="宋体" w:cs="宋体"/>
          <w:b w:val="0"/>
          <w:bCs/>
          <w:color w:val="auto"/>
          <w:sz w:val="24"/>
          <w:highlight w:val="none"/>
          <w:lang w:val="en-US" w:eastAsia="zh-CN"/>
        </w:rPr>
        <w:t>话</w:t>
      </w:r>
      <w:r>
        <w:rPr>
          <w:rFonts w:hint="eastAsia" w:ascii="宋体" w:hAnsi="宋体" w:eastAsia="宋体" w:cs="宋体"/>
          <w:b w:val="0"/>
          <w:bCs/>
          <w:color w:val="auto"/>
          <w:sz w:val="24"/>
          <w:highlight w:val="none"/>
          <w:lang w:val="en-US" w:eastAsia="zh-CN"/>
        </w:rPr>
        <w:t>及正本、副本等字样，密封袋须加盖法人公章或投标专用章以及法定代表人或委托代理人印章，并应确保密封完好。</w:t>
      </w:r>
      <w:r>
        <w:rPr>
          <w:rFonts w:hint="eastAsia" w:ascii="宋体" w:hAnsi="宋体" w:cs="宋体"/>
          <w:b/>
          <w:bCs w:val="0"/>
          <w:color w:val="auto"/>
          <w:sz w:val="24"/>
          <w:highlight w:val="none"/>
          <w:lang w:val="en-US" w:eastAsia="zh-CN"/>
        </w:rPr>
        <w:t>（现场无需递交响应文件，中标供应商公示完之后需提供）</w:t>
      </w:r>
    </w:p>
    <w:p w14:paraId="46F589D2">
      <w:pPr>
        <w:pageBreakBefore w:val="0"/>
        <w:kinsoku/>
        <w:wordWrap/>
        <w:overflowPunct/>
        <w:topLinePunct w:val="0"/>
        <w:bidi w:val="0"/>
        <w:spacing w:line="360" w:lineRule="auto"/>
        <w:outlineLvl w:val="2"/>
        <w:rPr>
          <w:rFonts w:hint="eastAsia" w:ascii="宋体" w:hAnsi="宋体" w:eastAsia="宋体" w:cs="宋体"/>
          <w:b/>
          <w:color w:val="auto"/>
          <w:sz w:val="24"/>
          <w:highlight w:val="none"/>
        </w:rPr>
      </w:pPr>
      <w:bookmarkStart w:id="87" w:name="_Toc28842"/>
      <w:bookmarkStart w:id="88" w:name="_Toc32281"/>
      <w:r>
        <w:rPr>
          <w:rFonts w:hint="eastAsia" w:ascii="宋体" w:hAnsi="宋体" w:eastAsia="宋体" w:cs="宋体"/>
          <w:b/>
          <w:color w:val="auto"/>
          <w:sz w:val="24"/>
          <w:highlight w:val="none"/>
        </w:rPr>
        <w:t>19、</w:t>
      </w:r>
      <w:r>
        <w:rPr>
          <w:rFonts w:hint="eastAsia" w:ascii="宋体" w:hAnsi="宋体" w:cs="宋体"/>
          <w:b/>
          <w:color w:val="auto"/>
          <w:sz w:val="24"/>
          <w:highlight w:val="none"/>
          <w:lang w:eastAsia="zh-CN"/>
        </w:rPr>
        <w:t>谈判响应文件</w:t>
      </w:r>
      <w:r>
        <w:rPr>
          <w:rFonts w:hint="eastAsia" w:ascii="宋体" w:hAnsi="宋体" w:eastAsia="宋体" w:cs="宋体"/>
          <w:b/>
          <w:color w:val="auto"/>
          <w:sz w:val="24"/>
          <w:highlight w:val="none"/>
        </w:rPr>
        <w:t>递交的截止日期</w:t>
      </w:r>
      <w:bookmarkEnd w:id="87"/>
      <w:bookmarkEnd w:id="88"/>
    </w:p>
    <w:p w14:paraId="3852EBBF">
      <w:pPr>
        <w:pageBreakBefore w:val="0"/>
        <w:kinsoku/>
        <w:wordWrap/>
        <w:overflowPunct/>
        <w:topLinePunct w:val="0"/>
        <w:bidi w:val="0"/>
        <w:spacing w:line="360" w:lineRule="auto"/>
        <w:rPr>
          <w:rFonts w:hint="eastAsia" w:ascii="宋体" w:hAnsi="宋体" w:cs="Arial"/>
          <w:color w:val="auto"/>
          <w:sz w:val="24"/>
          <w:szCs w:val="24"/>
          <w:highlight w:val="none"/>
          <w:lang w:val="en-US" w:eastAsia="zh-CN"/>
        </w:rPr>
      </w:pPr>
      <w:r>
        <w:rPr>
          <w:rFonts w:hint="eastAsia" w:ascii="宋体" w:hAnsi="宋体" w:eastAsia="宋体" w:cs="宋体"/>
          <w:b/>
          <w:color w:val="auto"/>
          <w:sz w:val="24"/>
          <w:highlight w:val="none"/>
        </w:rPr>
        <w:t>19.1</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报价人</w:t>
      </w:r>
      <w:r>
        <w:rPr>
          <w:rFonts w:hint="eastAsia" w:ascii="宋体" w:hAnsi="宋体" w:eastAsia="宋体" w:cs="宋体"/>
          <w:color w:val="auto"/>
          <w:sz w:val="24"/>
          <w:highlight w:val="none"/>
        </w:rPr>
        <w:t>必须</w:t>
      </w:r>
      <w:r>
        <w:rPr>
          <w:rFonts w:hint="eastAsia" w:ascii="宋体" w:hAnsi="宋体" w:cs="宋体"/>
          <w:color w:val="auto"/>
          <w:sz w:val="24"/>
          <w:highlight w:val="none"/>
          <w:lang w:val="en-US" w:eastAsia="zh-CN"/>
        </w:rPr>
        <w:t>在</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供应商须知前附表</w:t>
      </w:r>
      <w:r>
        <w:rPr>
          <w:rFonts w:hint="eastAsia" w:ascii="宋体" w:hAnsi="宋体" w:eastAsia="宋体" w:cs="宋体"/>
          <w:color w:val="auto"/>
          <w:sz w:val="24"/>
          <w:highlight w:val="none"/>
        </w:rPr>
        <w:t>”中规定的</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rPr>
        <w:t>时间</w:t>
      </w:r>
      <w:r>
        <w:rPr>
          <w:rFonts w:hint="eastAsia" w:ascii="宋体" w:hAnsi="宋体" w:cs="宋体"/>
          <w:color w:val="auto"/>
          <w:sz w:val="24"/>
          <w:highlight w:val="none"/>
          <w:lang w:val="en-US" w:eastAsia="zh-CN"/>
        </w:rPr>
        <w:t>前</w:t>
      </w:r>
      <w:r>
        <w:rPr>
          <w:rFonts w:hint="eastAsia" w:ascii="宋体" w:hAnsi="宋体" w:eastAsia="宋体" w:cs="宋体"/>
          <w:color w:val="auto"/>
          <w:sz w:val="24"/>
          <w:highlight w:val="none"/>
        </w:rPr>
        <w:t>将</w:t>
      </w:r>
      <w:r>
        <w:rPr>
          <w:rFonts w:hint="eastAsia" w:ascii="宋体" w:hAnsi="宋体" w:cs="宋体"/>
          <w:color w:val="auto"/>
          <w:sz w:val="24"/>
          <w:highlight w:val="none"/>
          <w:lang w:eastAsia="zh-CN"/>
        </w:rPr>
        <w:t>谈判响应文件上传</w:t>
      </w:r>
      <w:r>
        <w:rPr>
          <w:rFonts w:hint="eastAsia" w:ascii="宋体" w:hAnsi="宋体" w:cs="Arial"/>
          <w:color w:val="auto"/>
          <w:sz w:val="24"/>
          <w:szCs w:val="24"/>
          <w:highlight w:val="none"/>
          <w:lang w:val="en-US" w:eastAsia="zh-CN"/>
        </w:rPr>
        <w:t>政采云平台。</w:t>
      </w:r>
    </w:p>
    <w:p w14:paraId="078197A1">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19.2</w:t>
      </w:r>
      <w:r>
        <w:rPr>
          <w:rFonts w:hint="eastAsia" w:ascii="宋体" w:hAnsi="宋体" w:eastAsia="宋体" w:cs="宋体"/>
          <w:color w:val="auto"/>
          <w:sz w:val="24"/>
          <w:highlight w:val="none"/>
        </w:rPr>
        <w:t xml:space="preserve"> 超过</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rPr>
        <w:t>文件</w:t>
      </w:r>
      <w:r>
        <w:rPr>
          <w:rFonts w:hint="eastAsia" w:ascii="宋体" w:hAnsi="宋体" w:cs="宋体"/>
          <w:color w:val="auto"/>
          <w:sz w:val="24"/>
          <w:highlight w:val="none"/>
          <w:lang w:val="en-US" w:eastAsia="zh-CN"/>
        </w:rPr>
        <w:t>要求的谈判</w:t>
      </w:r>
      <w:r>
        <w:rPr>
          <w:rFonts w:hint="eastAsia" w:ascii="宋体" w:hAnsi="宋体" w:eastAsia="宋体" w:cs="宋体"/>
          <w:color w:val="auto"/>
          <w:sz w:val="24"/>
          <w:highlight w:val="none"/>
        </w:rPr>
        <w:t>时间</w:t>
      </w:r>
      <w:r>
        <w:rPr>
          <w:rFonts w:hint="eastAsia" w:ascii="宋体" w:hAnsi="宋体" w:cs="宋体"/>
          <w:color w:val="auto"/>
          <w:sz w:val="24"/>
          <w:highlight w:val="none"/>
          <w:lang w:eastAsia="zh-CN"/>
        </w:rPr>
        <w:t>递交</w:t>
      </w:r>
      <w:r>
        <w:rPr>
          <w:rFonts w:hint="eastAsia" w:ascii="宋体" w:hAnsi="宋体" w:eastAsia="宋体" w:cs="宋体"/>
          <w:color w:val="auto"/>
          <w:sz w:val="24"/>
          <w:highlight w:val="none"/>
        </w:rPr>
        <w:t>将不予接受。</w:t>
      </w:r>
      <w:r>
        <w:rPr>
          <w:rFonts w:hint="eastAsia" w:asciiTheme="minorEastAsia" w:hAnsiTheme="minorEastAsia" w:eastAsiaTheme="minorEastAsia" w:cstheme="minorEastAsia"/>
          <w:color w:val="auto"/>
          <w:sz w:val="24"/>
          <w:highlight w:val="none"/>
        </w:rPr>
        <w:t>其相关投标将被认定为</w:t>
      </w:r>
      <w:r>
        <w:rPr>
          <w:rFonts w:hint="eastAsia" w:asciiTheme="minorEastAsia" w:hAnsiTheme="minorEastAsia" w:eastAsiaTheme="minorEastAsia" w:cstheme="minorEastAsia"/>
          <w:b/>
          <w:bCs/>
          <w:color w:val="auto"/>
          <w:sz w:val="24"/>
          <w:highlight w:val="none"/>
        </w:rPr>
        <w:t>投标无效</w:t>
      </w:r>
      <w:r>
        <w:rPr>
          <w:rFonts w:hint="eastAsia" w:asciiTheme="minorEastAsia" w:hAnsiTheme="minorEastAsia" w:eastAsiaTheme="minorEastAsia" w:cstheme="minorEastAsia"/>
          <w:color w:val="auto"/>
          <w:sz w:val="24"/>
          <w:highlight w:val="none"/>
        </w:rPr>
        <w:t>。</w:t>
      </w:r>
    </w:p>
    <w:p w14:paraId="3E7F9A72">
      <w:pPr>
        <w:pageBreakBefore w:val="0"/>
        <w:kinsoku/>
        <w:wordWrap/>
        <w:overflowPunct/>
        <w:topLinePunct w:val="0"/>
        <w:bidi w:val="0"/>
        <w:spacing w:line="360" w:lineRule="auto"/>
        <w:outlineLvl w:val="2"/>
        <w:rPr>
          <w:rFonts w:hint="eastAsia" w:ascii="宋体" w:hAnsi="宋体" w:eastAsia="宋体" w:cs="宋体"/>
          <w:b/>
          <w:color w:val="auto"/>
          <w:sz w:val="24"/>
          <w:highlight w:val="none"/>
        </w:rPr>
      </w:pPr>
      <w:bookmarkStart w:id="89" w:name="_Toc20202"/>
      <w:bookmarkStart w:id="90" w:name="_Toc7465"/>
      <w:r>
        <w:rPr>
          <w:rFonts w:hint="eastAsia" w:ascii="宋体" w:hAnsi="宋体" w:eastAsia="宋体" w:cs="宋体"/>
          <w:b/>
          <w:color w:val="auto"/>
          <w:sz w:val="24"/>
          <w:highlight w:val="none"/>
        </w:rPr>
        <w:t>20、</w:t>
      </w:r>
      <w:r>
        <w:rPr>
          <w:rFonts w:hint="eastAsia" w:ascii="宋体" w:hAnsi="宋体" w:cs="宋体"/>
          <w:b/>
          <w:color w:val="auto"/>
          <w:sz w:val="24"/>
          <w:highlight w:val="none"/>
          <w:lang w:eastAsia="zh-CN"/>
        </w:rPr>
        <w:t>谈判响应文件</w:t>
      </w:r>
      <w:r>
        <w:rPr>
          <w:rFonts w:hint="eastAsia" w:ascii="宋体" w:hAnsi="宋体" w:eastAsia="宋体" w:cs="宋体"/>
          <w:b/>
          <w:color w:val="auto"/>
          <w:sz w:val="24"/>
          <w:highlight w:val="none"/>
        </w:rPr>
        <w:t>的修改和撤销</w:t>
      </w:r>
      <w:bookmarkEnd w:id="89"/>
      <w:bookmarkEnd w:id="90"/>
    </w:p>
    <w:p w14:paraId="3813447D">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20.1</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报价人</w:t>
      </w:r>
      <w:r>
        <w:rPr>
          <w:rFonts w:hint="eastAsia" w:ascii="宋体" w:hAnsi="宋体" w:eastAsia="宋体" w:cs="宋体"/>
          <w:color w:val="auto"/>
          <w:sz w:val="24"/>
          <w:highlight w:val="none"/>
        </w:rPr>
        <w:t>可以在递交</w:t>
      </w:r>
      <w:r>
        <w:rPr>
          <w:rFonts w:hint="eastAsia" w:ascii="宋体" w:hAnsi="宋体" w:cs="宋体"/>
          <w:color w:val="auto"/>
          <w:sz w:val="24"/>
          <w:highlight w:val="none"/>
          <w:lang w:eastAsia="zh-CN"/>
        </w:rPr>
        <w:t>谈判响应文件</w:t>
      </w:r>
      <w:r>
        <w:rPr>
          <w:rFonts w:hint="eastAsia" w:ascii="宋体" w:hAnsi="宋体" w:eastAsia="宋体" w:cs="宋体"/>
          <w:color w:val="auto"/>
          <w:sz w:val="24"/>
          <w:highlight w:val="none"/>
        </w:rPr>
        <w:t>后，在</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rPr>
        <w:t>时间前，以书面形式向</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人递交通知修改或撤回其</w:t>
      </w:r>
      <w:r>
        <w:rPr>
          <w:rFonts w:hint="eastAsia" w:ascii="宋体" w:hAnsi="宋体" w:cs="宋体"/>
          <w:color w:val="auto"/>
          <w:sz w:val="24"/>
          <w:highlight w:val="none"/>
          <w:lang w:eastAsia="zh-CN"/>
        </w:rPr>
        <w:t>谈判响应文件</w:t>
      </w:r>
      <w:r>
        <w:rPr>
          <w:rFonts w:hint="eastAsia" w:ascii="宋体" w:hAnsi="宋体" w:eastAsia="宋体" w:cs="宋体"/>
          <w:color w:val="auto"/>
          <w:sz w:val="24"/>
          <w:highlight w:val="none"/>
        </w:rPr>
        <w:t>。</w:t>
      </w:r>
    </w:p>
    <w:p w14:paraId="73314FA2">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20.2</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报价人</w:t>
      </w:r>
      <w:r>
        <w:rPr>
          <w:rFonts w:hint="eastAsia" w:ascii="宋体" w:hAnsi="宋体" w:eastAsia="宋体" w:cs="宋体"/>
          <w:color w:val="auto"/>
          <w:sz w:val="24"/>
          <w:highlight w:val="none"/>
        </w:rPr>
        <w:t>对</w:t>
      </w:r>
      <w:r>
        <w:rPr>
          <w:rFonts w:hint="eastAsia" w:ascii="宋体" w:hAnsi="宋体" w:cs="宋体"/>
          <w:color w:val="auto"/>
          <w:sz w:val="24"/>
          <w:highlight w:val="none"/>
          <w:lang w:eastAsia="zh-CN"/>
        </w:rPr>
        <w:t>谈判响应文件</w:t>
      </w:r>
      <w:r>
        <w:rPr>
          <w:rFonts w:hint="eastAsia" w:ascii="宋体" w:hAnsi="宋体" w:eastAsia="宋体" w:cs="宋体"/>
          <w:color w:val="auto"/>
          <w:sz w:val="24"/>
          <w:highlight w:val="none"/>
        </w:rPr>
        <w:t>的修改或撤销应按本章第18和19条规定进行。</w:t>
      </w:r>
    </w:p>
    <w:p w14:paraId="5F950736">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20.3</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谈判开始</w:t>
      </w:r>
      <w:r>
        <w:rPr>
          <w:rFonts w:hint="eastAsia" w:ascii="宋体" w:hAnsi="宋体" w:eastAsia="宋体" w:cs="宋体"/>
          <w:color w:val="auto"/>
          <w:sz w:val="24"/>
          <w:highlight w:val="none"/>
        </w:rPr>
        <w:t>后不得</w:t>
      </w:r>
      <w:r>
        <w:rPr>
          <w:rFonts w:hint="eastAsia" w:ascii="宋体" w:hAnsi="宋体" w:cs="宋体"/>
          <w:color w:val="auto"/>
          <w:sz w:val="24"/>
          <w:highlight w:val="none"/>
          <w:lang w:val="en-US" w:eastAsia="zh-CN"/>
        </w:rPr>
        <w:t>随意</w:t>
      </w:r>
      <w:r>
        <w:rPr>
          <w:rFonts w:hint="eastAsia" w:ascii="宋体" w:hAnsi="宋体" w:eastAsia="宋体" w:cs="宋体"/>
          <w:color w:val="auto"/>
          <w:sz w:val="24"/>
          <w:highlight w:val="none"/>
        </w:rPr>
        <w:t>修改</w:t>
      </w:r>
      <w:r>
        <w:rPr>
          <w:rFonts w:hint="eastAsia" w:ascii="宋体" w:hAnsi="宋体" w:cs="宋体"/>
          <w:color w:val="auto"/>
          <w:sz w:val="24"/>
          <w:highlight w:val="none"/>
          <w:lang w:eastAsia="zh-CN"/>
        </w:rPr>
        <w:t>谈判响应文件</w:t>
      </w:r>
      <w:r>
        <w:rPr>
          <w:rFonts w:hint="eastAsia" w:ascii="宋体" w:hAnsi="宋体" w:eastAsia="宋体" w:cs="宋体"/>
          <w:color w:val="auto"/>
          <w:sz w:val="24"/>
          <w:highlight w:val="none"/>
        </w:rPr>
        <w:t>。</w:t>
      </w:r>
    </w:p>
    <w:p w14:paraId="224213DD">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20.4</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报价人</w:t>
      </w:r>
      <w:r>
        <w:rPr>
          <w:rFonts w:hint="eastAsia" w:ascii="宋体" w:hAnsi="宋体" w:eastAsia="宋体" w:cs="宋体"/>
          <w:color w:val="auto"/>
          <w:sz w:val="24"/>
          <w:highlight w:val="none"/>
        </w:rPr>
        <w:t>不得在</w:t>
      </w:r>
      <w:r>
        <w:rPr>
          <w:rFonts w:hint="eastAsia" w:ascii="宋体" w:hAnsi="宋体" w:cs="宋体"/>
          <w:color w:val="auto"/>
          <w:sz w:val="24"/>
          <w:highlight w:val="none"/>
          <w:lang w:val="en-US" w:eastAsia="zh-CN"/>
        </w:rPr>
        <w:t>谈判开始</w:t>
      </w:r>
      <w:r>
        <w:rPr>
          <w:rFonts w:hint="eastAsia" w:ascii="宋体" w:hAnsi="宋体" w:eastAsia="宋体" w:cs="宋体"/>
          <w:color w:val="auto"/>
          <w:sz w:val="24"/>
          <w:highlight w:val="none"/>
        </w:rPr>
        <w:t>起至</w:t>
      </w:r>
      <w:r>
        <w:rPr>
          <w:rFonts w:hint="eastAsia" w:ascii="宋体" w:hAnsi="宋体" w:cs="宋体"/>
          <w:color w:val="auto"/>
          <w:sz w:val="24"/>
          <w:highlight w:val="none"/>
          <w:lang w:eastAsia="zh-CN"/>
        </w:rPr>
        <w:t>谈判响应文件</w:t>
      </w:r>
      <w:r>
        <w:rPr>
          <w:rFonts w:hint="eastAsia" w:ascii="宋体" w:hAnsi="宋体" w:eastAsia="宋体" w:cs="宋体"/>
          <w:color w:val="auto"/>
          <w:sz w:val="24"/>
          <w:highlight w:val="none"/>
        </w:rPr>
        <w:t>有效期满前撤销</w:t>
      </w:r>
      <w:r>
        <w:rPr>
          <w:rFonts w:hint="eastAsia" w:ascii="宋体" w:hAnsi="宋体" w:cs="宋体"/>
          <w:color w:val="auto"/>
          <w:sz w:val="24"/>
          <w:highlight w:val="none"/>
          <w:lang w:eastAsia="zh-CN"/>
        </w:rPr>
        <w:t>谈判响应文件</w:t>
      </w:r>
      <w:r>
        <w:rPr>
          <w:rFonts w:hint="eastAsia" w:ascii="宋体" w:hAnsi="宋体" w:eastAsia="宋体" w:cs="宋体"/>
          <w:color w:val="auto"/>
          <w:sz w:val="24"/>
          <w:highlight w:val="none"/>
        </w:rPr>
        <w:t>，否则</w:t>
      </w:r>
      <w:r>
        <w:rPr>
          <w:rFonts w:hint="eastAsia" w:ascii="宋体" w:hAnsi="宋体" w:cs="宋体"/>
          <w:color w:val="auto"/>
          <w:sz w:val="24"/>
          <w:highlight w:val="none"/>
          <w:lang w:val="en-US" w:eastAsia="zh-CN"/>
        </w:rPr>
        <w:t>代理</w:t>
      </w:r>
      <w:r>
        <w:rPr>
          <w:rFonts w:hint="eastAsia" w:ascii="宋体" w:hAnsi="宋体" w:eastAsia="宋体" w:cs="宋体"/>
          <w:color w:val="auto"/>
          <w:sz w:val="24"/>
          <w:highlight w:val="none"/>
        </w:rPr>
        <w:t>机构将没收</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rPr>
        <w:t>保证金，作为对代理机构和</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人的违约赔偿金。</w:t>
      </w:r>
    </w:p>
    <w:p w14:paraId="38F1877B">
      <w:pPr>
        <w:pageBreakBefore w:val="0"/>
        <w:kinsoku/>
        <w:wordWrap/>
        <w:overflowPunct/>
        <w:topLinePunct w:val="0"/>
        <w:bidi w:val="0"/>
        <w:spacing w:line="360" w:lineRule="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20.5</w:t>
      </w:r>
      <w:r>
        <w:rPr>
          <w:rFonts w:hint="eastAsia" w:ascii="宋体" w:hAnsi="宋体" w:cs="宋体"/>
          <w:b/>
          <w:color w:val="auto"/>
          <w:sz w:val="24"/>
          <w:highlight w:val="none"/>
          <w:lang w:eastAsia="zh-CN"/>
        </w:rPr>
        <w:t>谈判响应文件</w:t>
      </w:r>
      <w:r>
        <w:rPr>
          <w:rFonts w:hint="eastAsia" w:ascii="宋体" w:hAnsi="宋体" w:eastAsia="宋体" w:cs="宋体"/>
          <w:b/>
          <w:color w:val="auto"/>
          <w:sz w:val="24"/>
          <w:highlight w:val="none"/>
        </w:rPr>
        <w:t>的澄清</w:t>
      </w:r>
    </w:p>
    <w:p w14:paraId="17C519D8">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w:t>
      </w:r>
      <w:r>
        <w:rPr>
          <w:rFonts w:hint="eastAsia" w:ascii="宋体" w:hAnsi="宋体" w:cs="宋体"/>
          <w:b/>
          <w:color w:val="auto"/>
          <w:sz w:val="24"/>
          <w:highlight w:val="none"/>
          <w:lang w:val="en-US" w:eastAsia="zh-CN"/>
        </w:rPr>
        <w:t>0</w:t>
      </w: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5.</w:t>
      </w:r>
      <w:r>
        <w:rPr>
          <w:rFonts w:hint="eastAsia" w:ascii="宋体" w:hAnsi="宋体" w:eastAsia="宋体" w:cs="宋体"/>
          <w:b/>
          <w:color w:val="auto"/>
          <w:sz w:val="24"/>
          <w:highlight w:val="none"/>
        </w:rPr>
        <w:t>1</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谈判小组</w:t>
      </w:r>
      <w:r>
        <w:rPr>
          <w:rFonts w:hint="eastAsia" w:ascii="宋体" w:hAnsi="宋体" w:eastAsia="宋体" w:cs="宋体"/>
          <w:color w:val="auto"/>
          <w:sz w:val="24"/>
          <w:highlight w:val="none"/>
        </w:rPr>
        <w:t>在</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rPr>
        <w:t>过程中有权随时请</w:t>
      </w:r>
      <w:r>
        <w:rPr>
          <w:rFonts w:hint="eastAsia" w:ascii="宋体" w:hAnsi="宋体" w:cs="宋体"/>
          <w:color w:val="auto"/>
          <w:sz w:val="24"/>
          <w:highlight w:val="none"/>
          <w:lang w:eastAsia="zh-CN"/>
        </w:rPr>
        <w:t>报价人</w:t>
      </w:r>
      <w:r>
        <w:rPr>
          <w:rFonts w:hint="eastAsia" w:ascii="宋体" w:hAnsi="宋体" w:eastAsia="宋体" w:cs="宋体"/>
          <w:color w:val="auto"/>
          <w:sz w:val="24"/>
          <w:highlight w:val="none"/>
        </w:rPr>
        <w:t>就</w:t>
      </w:r>
      <w:r>
        <w:rPr>
          <w:rFonts w:hint="eastAsia" w:ascii="宋体" w:hAnsi="宋体" w:cs="宋体"/>
          <w:color w:val="auto"/>
          <w:sz w:val="24"/>
          <w:highlight w:val="none"/>
          <w:lang w:eastAsia="zh-CN"/>
        </w:rPr>
        <w:t>谈判响应文件</w:t>
      </w:r>
      <w:r>
        <w:rPr>
          <w:rFonts w:hint="eastAsia" w:ascii="宋体" w:hAnsi="宋体" w:eastAsia="宋体" w:cs="宋体"/>
          <w:color w:val="auto"/>
          <w:sz w:val="24"/>
          <w:highlight w:val="none"/>
        </w:rPr>
        <w:t>中含混之处加以澄清或答疑。</w:t>
      </w:r>
    </w:p>
    <w:p w14:paraId="2F90E770">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w:t>
      </w:r>
      <w:r>
        <w:rPr>
          <w:rFonts w:hint="eastAsia" w:ascii="宋体" w:hAnsi="宋体" w:cs="宋体"/>
          <w:b/>
          <w:color w:val="auto"/>
          <w:sz w:val="24"/>
          <w:highlight w:val="none"/>
          <w:lang w:val="en-US" w:eastAsia="zh-CN"/>
        </w:rPr>
        <w:t>0</w:t>
      </w: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5.</w:t>
      </w:r>
      <w:r>
        <w:rPr>
          <w:rFonts w:hint="eastAsia" w:ascii="宋体" w:hAnsi="宋体" w:eastAsia="宋体" w:cs="宋体"/>
          <w:b/>
          <w:color w:val="auto"/>
          <w:sz w:val="24"/>
          <w:highlight w:val="none"/>
        </w:rPr>
        <w:t>2</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报价人</w:t>
      </w:r>
      <w:r>
        <w:rPr>
          <w:rFonts w:hint="eastAsia" w:ascii="宋体" w:hAnsi="宋体" w:eastAsia="宋体" w:cs="宋体"/>
          <w:color w:val="auto"/>
          <w:sz w:val="24"/>
          <w:highlight w:val="none"/>
        </w:rPr>
        <w:t>对要求澄清的问题应以书面形式明确答复，并应有法人授权代表的签署。</w:t>
      </w:r>
    </w:p>
    <w:p w14:paraId="67F4AFCA">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w:t>
      </w:r>
      <w:r>
        <w:rPr>
          <w:rFonts w:hint="eastAsia" w:ascii="宋体" w:hAnsi="宋体" w:cs="宋体"/>
          <w:b/>
          <w:color w:val="auto"/>
          <w:sz w:val="24"/>
          <w:highlight w:val="none"/>
          <w:lang w:val="en-US" w:eastAsia="zh-CN"/>
        </w:rPr>
        <w:t>0</w:t>
      </w: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5.</w:t>
      </w:r>
      <w:r>
        <w:rPr>
          <w:rFonts w:hint="eastAsia" w:ascii="宋体" w:hAnsi="宋体" w:eastAsia="宋体" w:cs="宋体"/>
          <w:b/>
          <w:color w:val="auto"/>
          <w:sz w:val="24"/>
          <w:highlight w:val="none"/>
        </w:rPr>
        <w:t>3</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报价人</w:t>
      </w:r>
      <w:r>
        <w:rPr>
          <w:rFonts w:hint="eastAsia" w:ascii="宋体" w:hAnsi="宋体" w:eastAsia="宋体" w:cs="宋体"/>
          <w:color w:val="auto"/>
          <w:sz w:val="24"/>
          <w:highlight w:val="none"/>
        </w:rPr>
        <w:t>的澄清文件是</w:t>
      </w:r>
      <w:r>
        <w:rPr>
          <w:rFonts w:hint="eastAsia" w:ascii="宋体" w:hAnsi="宋体" w:cs="宋体"/>
          <w:color w:val="auto"/>
          <w:sz w:val="24"/>
          <w:highlight w:val="none"/>
          <w:lang w:eastAsia="zh-CN"/>
        </w:rPr>
        <w:t>谈判响应文件</w:t>
      </w:r>
      <w:r>
        <w:rPr>
          <w:rFonts w:hint="eastAsia" w:ascii="宋体" w:hAnsi="宋体" w:eastAsia="宋体" w:cs="宋体"/>
          <w:color w:val="auto"/>
          <w:sz w:val="24"/>
          <w:highlight w:val="none"/>
        </w:rPr>
        <w:t>的组成部分，并取代</w:t>
      </w:r>
      <w:r>
        <w:rPr>
          <w:rFonts w:hint="eastAsia" w:ascii="宋体" w:hAnsi="宋体" w:cs="宋体"/>
          <w:color w:val="auto"/>
          <w:sz w:val="24"/>
          <w:highlight w:val="none"/>
          <w:lang w:eastAsia="zh-CN"/>
        </w:rPr>
        <w:t>谈判响应文件</w:t>
      </w:r>
      <w:r>
        <w:rPr>
          <w:rFonts w:hint="eastAsia" w:ascii="宋体" w:hAnsi="宋体" w:eastAsia="宋体" w:cs="宋体"/>
          <w:color w:val="auto"/>
          <w:sz w:val="24"/>
          <w:highlight w:val="none"/>
        </w:rPr>
        <w:t>中被澄清的部分。</w:t>
      </w:r>
    </w:p>
    <w:p w14:paraId="4F4DD875">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w:t>
      </w:r>
      <w:r>
        <w:rPr>
          <w:rFonts w:hint="eastAsia" w:ascii="宋体" w:hAnsi="宋体" w:cs="宋体"/>
          <w:b/>
          <w:color w:val="auto"/>
          <w:sz w:val="24"/>
          <w:highlight w:val="none"/>
          <w:lang w:val="en-US" w:eastAsia="zh-CN"/>
        </w:rPr>
        <w:t>0</w:t>
      </w: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5.</w:t>
      </w:r>
      <w:r>
        <w:rPr>
          <w:rFonts w:hint="eastAsia" w:ascii="宋体" w:hAnsi="宋体" w:eastAsia="宋体" w:cs="宋体"/>
          <w:b/>
          <w:color w:val="auto"/>
          <w:sz w:val="24"/>
          <w:highlight w:val="none"/>
        </w:rPr>
        <w:t>4</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谈判响应文件</w:t>
      </w:r>
      <w:r>
        <w:rPr>
          <w:rFonts w:hint="eastAsia" w:ascii="宋体" w:hAnsi="宋体" w:eastAsia="宋体" w:cs="宋体"/>
          <w:color w:val="auto"/>
          <w:sz w:val="24"/>
          <w:highlight w:val="none"/>
        </w:rPr>
        <w:t>的澄清不得改变</w:t>
      </w:r>
      <w:r>
        <w:rPr>
          <w:rFonts w:hint="eastAsia" w:ascii="宋体" w:hAnsi="宋体" w:cs="宋体"/>
          <w:color w:val="auto"/>
          <w:sz w:val="24"/>
          <w:highlight w:val="none"/>
          <w:lang w:val="en-US" w:eastAsia="zh-CN"/>
        </w:rPr>
        <w:t>报价</w:t>
      </w:r>
      <w:r>
        <w:rPr>
          <w:rFonts w:hint="eastAsia" w:ascii="宋体" w:hAnsi="宋体" w:eastAsia="宋体" w:cs="宋体"/>
          <w:color w:val="auto"/>
          <w:sz w:val="24"/>
          <w:highlight w:val="none"/>
        </w:rPr>
        <w:t>的实质内容。</w:t>
      </w:r>
    </w:p>
    <w:p w14:paraId="3C8D723C">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w:t>
      </w:r>
      <w:r>
        <w:rPr>
          <w:rFonts w:hint="eastAsia" w:ascii="宋体" w:hAnsi="宋体" w:cs="宋体"/>
          <w:b/>
          <w:color w:val="auto"/>
          <w:sz w:val="24"/>
          <w:highlight w:val="none"/>
          <w:lang w:val="en-US" w:eastAsia="zh-CN"/>
        </w:rPr>
        <w:t>0</w:t>
      </w: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5.</w:t>
      </w:r>
      <w:r>
        <w:rPr>
          <w:rFonts w:hint="eastAsia" w:ascii="宋体" w:hAnsi="宋体" w:eastAsia="宋体" w:cs="宋体"/>
          <w:b/>
          <w:color w:val="auto"/>
          <w:sz w:val="24"/>
          <w:highlight w:val="none"/>
        </w:rPr>
        <w:t xml:space="preserve">5 </w:t>
      </w:r>
      <w:r>
        <w:rPr>
          <w:rFonts w:hint="eastAsia" w:ascii="宋体" w:hAnsi="宋体" w:eastAsia="宋体" w:cs="宋体"/>
          <w:color w:val="auto"/>
          <w:sz w:val="24"/>
          <w:highlight w:val="none"/>
        </w:rPr>
        <w:t>如果</w:t>
      </w:r>
      <w:r>
        <w:rPr>
          <w:rFonts w:hint="eastAsia" w:ascii="宋体" w:hAnsi="宋体" w:cs="宋体"/>
          <w:color w:val="auto"/>
          <w:sz w:val="24"/>
          <w:highlight w:val="none"/>
          <w:lang w:eastAsia="zh-CN"/>
        </w:rPr>
        <w:t>报价人</w:t>
      </w:r>
      <w:r>
        <w:rPr>
          <w:rFonts w:hint="eastAsia" w:ascii="宋体" w:hAnsi="宋体" w:eastAsia="宋体" w:cs="宋体"/>
          <w:color w:val="auto"/>
          <w:sz w:val="24"/>
          <w:highlight w:val="none"/>
        </w:rPr>
        <w:t>在</w:t>
      </w:r>
      <w:r>
        <w:rPr>
          <w:rFonts w:hint="eastAsia" w:ascii="宋体" w:hAnsi="宋体" w:cs="宋体"/>
          <w:color w:val="auto"/>
          <w:sz w:val="24"/>
          <w:highlight w:val="none"/>
          <w:lang w:eastAsia="zh-CN"/>
        </w:rPr>
        <w:t>谈判响应文件</w:t>
      </w:r>
      <w:r>
        <w:rPr>
          <w:rFonts w:hint="eastAsia" w:ascii="宋体" w:hAnsi="宋体" w:eastAsia="宋体" w:cs="宋体"/>
          <w:color w:val="auto"/>
          <w:sz w:val="24"/>
          <w:highlight w:val="none"/>
        </w:rPr>
        <w:t>中未对文件中的条款或参数要求提出偏离意见或澄清将视同</w:t>
      </w:r>
      <w:r>
        <w:rPr>
          <w:rFonts w:hint="eastAsia" w:ascii="宋体" w:hAnsi="宋体" w:cs="宋体"/>
          <w:color w:val="auto"/>
          <w:sz w:val="24"/>
          <w:highlight w:val="none"/>
          <w:lang w:eastAsia="zh-CN"/>
        </w:rPr>
        <w:t>报价人</w:t>
      </w:r>
      <w:r>
        <w:rPr>
          <w:rFonts w:hint="eastAsia" w:ascii="宋体" w:hAnsi="宋体" w:eastAsia="宋体" w:cs="宋体"/>
          <w:color w:val="auto"/>
          <w:sz w:val="24"/>
          <w:highlight w:val="none"/>
        </w:rPr>
        <w:t>同意</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rPr>
        <w:t>文件的全部或部分要求。</w:t>
      </w:r>
    </w:p>
    <w:p w14:paraId="33C79BB8">
      <w:pPr>
        <w:pStyle w:val="8"/>
        <w:pageBreakBefore w:val="0"/>
        <w:kinsoku/>
        <w:wordWrap/>
        <w:overflowPunct/>
        <w:topLinePunct w:val="0"/>
        <w:bidi w:val="0"/>
        <w:spacing w:line="360" w:lineRule="auto"/>
        <w:ind w:firstLine="3626" w:firstLineChars="1290"/>
        <w:rPr>
          <w:rFonts w:hint="eastAsia" w:ascii="宋体" w:hAnsi="宋体" w:eastAsia="宋体" w:cs="宋体"/>
          <w:color w:val="auto"/>
          <w:sz w:val="28"/>
          <w:highlight w:val="none"/>
          <w:lang w:val="en-US"/>
        </w:rPr>
      </w:pPr>
      <w:bookmarkStart w:id="91" w:name="_Toc29794"/>
      <w:bookmarkStart w:id="92" w:name="_Toc20020"/>
      <w:bookmarkStart w:id="93" w:name="_Toc11985"/>
      <w:r>
        <w:rPr>
          <w:rFonts w:hint="eastAsia" w:ascii="宋体" w:hAnsi="宋体" w:eastAsia="宋体" w:cs="宋体"/>
          <w:color w:val="auto"/>
          <w:sz w:val="28"/>
          <w:highlight w:val="none"/>
        </w:rPr>
        <w:t>五、</w:t>
      </w:r>
      <w:r>
        <w:rPr>
          <w:rFonts w:hint="eastAsia" w:ascii="宋体" w:hAnsi="宋体" w:cs="宋体"/>
          <w:color w:val="auto"/>
          <w:sz w:val="28"/>
          <w:highlight w:val="none"/>
          <w:lang w:val="en-US" w:eastAsia="zh-CN"/>
        </w:rPr>
        <w:t>谈判</w:t>
      </w:r>
      <w:bookmarkEnd w:id="91"/>
      <w:bookmarkEnd w:id="92"/>
      <w:bookmarkEnd w:id="93"/>
    </w:p>
    <w:p w14:paraId="53C6C8E8">
      <w:pPr>
        <w:pageBreakBefore w:val="0"/>
        <w:kinsoku/>
        <w:wordWrap/>
        <w:overflowPunct/>
        <w:topLinePunct w:val="0"/>
        <w:bidi w:val="0"/>
        <w:spacing w:line="360" w:lineRule="auto"/>
        <w:outlineLvl w:val="2"/>
        <w:rPr>
          <w:rFonts w:hint="eastAsia" w:ascii="宋体" w:hAnsi="宋体" w:eastAsia="宋体" w:cs="宋体"/>
          <w:b/>
          <w:color w:val="auto"/>
          <w:sz w:val="24"/>
          <w:highlight w:val="none"/>
        </w:rPr>
      </w:pPr>
      <w:bookmarkStart w:id="94" w:name="_Toc25491"/>
      <w:bookmarkStart w:id="95" w:name="_Toc23104"/>
      <w:r>
        <w:rPr>
          <w:rFonts w:hint="eastAsia" w:ascii="宋体" w:hAnsi="宋体" w:eastAsia="宋体" w:cs="宋体"/>
          <w:b/>
          <w:color w:val="auto"/>
          <w:sz w:val="24"/>
          <w:highlight w:val="none"/>
        </w:rPr>
        <w:t>21、</w:t>
      </w:r>
      <w:r>
        <w:rPr>
          <w:rFonts w:hint="eastAsia" w:ascii="宋体" w:hAnsi="宋体" w:cs="宋体"/>
          <w:b/>
          <w:color w:val="auto"/>
          <w:sz w:val="24"/>
          <w:highlight w:val="none"/>
          <w:lang w:val="en-US" w:eastAsia="zh-CN"/>
        </w:rPr>
        <w:t>谈判</w:t>
      </w:r>
      <w:bookmarkEnd w:id="94"/>
      <w:bookmarkEnd w:id="95"/>
    </w:p>
    <w:p w14:paraId="76BC608B">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21.1 </w:t>
      </w:r>
      <w:r>
        <w:rPr>
          <w:rFonts w:hint="eastAsia" w:ascii="宋体" w:hAnsi="宋体" w:eastAsia="宋体" w:cs="宋体"/>
          <w:color w:val="auto"/>
          <w:sz w:val="24"/>
          <w:highlight w:val="none"/>
        </w:rPr>
        <w:t>代理机构在“</w:t>
      </w:r>
      <w:r>
        <w:rPr>
          <w:rFonts w:hint="eastAsia" w:ascii="宋体" w:hAnsi="宋体" w:cs="宋体"/>
          <w:color w:val="auto"/>
          <w:sz w:val="24"/>
          <w:highlight w:val="none"/>
          <w:lang w:eastAsia="zh-CN"/>
        </w:rPr>
        <w:t>供应商须知前附表</w:t>
      </w:r>
      <w:r>
        <w:rPr>
          <w:rFonts w:hint="eastAsia" w:ascii="宋体" w:hAnsi="宋体" w:eastAsia="宋体" w:cs="宋体"/>
          <w:color w:val="auto"/>
          <w:sz w:val="24"/>
          <w:highlight w:val="none"/>
        </w:rPr>
        <w:t>”中规定的日期、时间和地点组织</w:t>
      </w:r>
      <w:r>
        <w:rPr>
          <w:rFonts w:hint="eastAsia" w:ascii="宋体" w:hAnsi="宋体" w:cs="宋体"/>
          <w:color w:val="auto"/>
          <w:sz w:val="24"/>
          <w:highlight w:val="none"/>
          <w:lang w:val="en-US" w:eastAsia="zh-CN"/>
        </w:rPr>
        <w:t>谈判,</w:t>
      </w:r>
      <w:r>
        <w:rPr>
          <w:rFonts w:hint="eastAsia" w:ascii="宋体" w:hAnsi="宋体"/>
          <w:color w:val="auto"/>
          <w:sz w:val="24"/>
          <w:szCs w:val="24"/>
          <w:highlight w:val="none"/>
        </w:rPr>
        <w:t>采购单位代表及有关工作人员参加，政府采购监管部门视情况参与</w:t>
      </w:r>
      <w:r>
        <w:rPr>
          <w:rFonts w:hint="eastAsia" w:ascii="宋体" w:hAnsi="宋体" w:eastAsia="宋体" w:cs="宋体"/>
          <w:color w:val="auto"/>
          <w:sz w:val="24"/>
          <w:highlight w:val="none"/>
        </w:rPr>
        <w:t>。</w:t>
      </w:r>
    </w:p>
    <w:p w14:paraId="22C3C8F3">
      <w:pPr>
        <w:pageBreakBefore w:val="0"/>
        <w:kinsoku/>
        <w:wordWrap/>
        <w:overflowPunct/>
        <w:topLinePunct w:val="0"/>
        <w:bidi w:val="0"/>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21.2</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谈判</w:t>
      </w:r>
      <w:r>
        <w:rPr>
          <w:rFonts w:hint="eastAsia" w:ascii="宋体" w:hAnsi="宋体"/>
          <w:color w:val="auto"/>
          <w:sz w:val="24"/>
          <w:szCs w:val="24"/>
          <w:highlight w:val="none"/>
        </w:rPr>
        <w:t>会将于供应商须知前附表规定的时间和地点召开</w:t>
      </w:r>
      <w:r>
        <w:rPr>
          <w:rFonts w:hint="eastAsia" w:ascii="宋体" w:hAnsi="宋体"/>
          <w:color w:val="auto"/>
          <w:sz w:val="24"/>
          <w:szCs w:val="24"/>
          <w:highlight w:val="none"/>
          <w:lang w:eastAsia="zh-CN"/>
        </w:rPr>
        <w:t>，</w:t>
      </w:r>
      <w:r>
        <w:rPr>
          <w:rFonts w:hint="eastAsia" w:ascii="宋体" w:hAnsi="宋体"/>
          <w:color w:val="auto"/>
          <w:sz w:val="24"/>
          <w:szCs w:val="24"/>
          <w:highlight w:val="none"/>
        </w:rPr>
        <w:t>邀请供应商参加</w:t>
      </w:r>
      <w:r>
        <w:rPr>
          <w:rFonts w:hint="eastAsia" w:ascii="宋体" w:hAnsi="宋体"/>
          <w:color w:val="auto"/>
          <w:sz w:val="24"/>
          <w:szCs w:val="24"/>
          <w:highlight w:val="none"/>
          <w:lang w:val="en-US" w:eastAsia="zh-CN"/>
        </w:rPr>
        <w:t>,</w:t>
      </w:r>
      <w:r>
        <w:rPr>
          <w:rFonts w:hint="eastAsia" w:ascii="宋体" w:hAnsi="宋体"/>
          <w:b/>
          <w:color w:val="auto"/>
          <w:sz w:val="24"/>
          <w:szCs w:val="24"/>
          <w:highlight w:val="none"/>
        </w:rPr>
        <w:t>在开</w:t>
      </w:r>
      <w:r>
        <w:rPr>
          <w:rFonts w:hint="eastAsia" w:ascii="宋体" w:hAnsi="宋体"/>
          <w:b/>
          <w:color w:val="auto"/>
          <w:sz w:val="24"/>
          <w:szCs w:val="24"/>
          <w:highlight w:val="none"/>
          <w:lang w:eastAsia="zh-CN"/>
        </w:rPr>
        <w:t>启</w:t>
      </w:r>
      <w:r>
        <w:rPr>
          <w:rFonts w:hint="eastAsia" w:ascii="宋体" w:hAnsi="宋体"/>
          <w:b/>
          <w:color w:val="auto"/>
          <w:sz w:val="24"/>
          <w:szCs w:val="24"/>
          <w:highlight w:val="none"/>
          <w:lang w:val="en-US" w:eastAsia="zh-CN"/>
        </w:rPr>
        <w:t>截止时间</w:t>
      </w:r>
      <w:r>
        <w:rPr>
          <w:rFonts w:hint="eastAsia" w:ascii="宋体" w:hAnsi="宋体"/>
          <w:b/>
          <w:color w:val="auto"/>
          <w:sz w:val="24"/>
          <w:szCs w:val="24"/>
          <w:highlight w:val="none"/>
        </w:rPr>
        <w:t>前不得</w:t>
      </w:r>
      <w:r>
        <w:rPr>
          <w:rFonts w:hint="eastAsia" w:ascii="宋体" w:hAnsi="宋体"/>
          <w:b/>
          <w:color w:val="auto"/>
          <w:sz w:val="24"/>
          <w:szCs w:val="24"/>
          <w:highlight w:val="none"/>
          <w:lang w:val="en-US" w:eastAsia="zh-CN"/>
        </w:rPr>
        <w:t>解密</w:t>
      </w:r>
      <w:r>
        <w:rPr>
          <w:rFonts w:hint="eastAsia" w:ascii="宋体" w:hAnsi="宋体"/>
          <w:b/>
          <w:color w:val="auto"/>
          <w:sz w:val="24"/>
          <w:szCs w:val="24"/>
          <w:highlight w:val="none"/>
          <w:lang w:eastAsia="zh-CN"/>
        </w:rPr>
        <w:t>响应文件</w:t>
      </w:r>
      <w:r>
        <w:rPr>
          <w:rFonts w:hint="eastAsia" w:ascii="宋体" w:hAnsi="宋体" w:eastAsia="宋体" w:cs="宋体"/>
          <w:color w:val="auto"/>
          <w:sz w:val="24"/>
          <w:highlight w:val="none"/>
        </w:rPr>
        <w:t>。</w:t>
      </w:r>
    </w:p>
    <w:p w14:paraId="0D1B34CE">
      <w:pPr>
        <w:pageBreakBefore w:val="0"/>
        <w:numPr>
          <w:ilvl w:val="0"/>
          <w:numId w:val="5"/>
        </w:numPr>
        <w:kinsoku/>
        <w:wordWrap/>
        <w:overflowPunct/>
        <w:topLinePunct w:val="0"/>
        <w:bidi w:val="0"/>
        <w:spacing w:line="360" w:lineRule="auto"/>
        <w:outlineLvl w:val="2"/>
        <w:rPr>
          <w:rFonts w:hint="eastAsia" w:ascii="宋体" w:hAnsi="宋体" w:cs="宋体"/>
          <w:b/>
          <w:bCs/>
          <w:color w:val="auto"/>
          <w:highlight w:val="none"/>
          <w:lang w:val="en-US" w:eastAsia="zh-CN"/>
        </w:rPr>
      </w:pPr>
      <w:bookmarkStart w:id="96" w:name="_Toc8456"/>
      <w:bookmarkStart w:id="97" w:name="_Toc10931"/>
      <w:r>
        <w:rPr>
          <w:rFonts w:hint="eastAsia" w:ascii="宋体" w:hAnsi="宋体" w:cs="宋体"/>
          <w:b/>
          <w:bCs/>
          <w:color w:val="auto"/>
          <w:highlight w:val="none"/>
          <w:lang w:val="en-US" w:eastAsia="zh-CN"/>
        </w:rPr>
        <w:t>谈判小组</w:t>
      </w:r>
      <w:bookmarkEnd w:id="96"/>
      <w:bookmarkEnd w:id="97"/>
    </w:p>
    <w:p w14:paraId="6044548B">
      <w:pPr>
        <w:pageBreakBefore w:val="0"/>
        <w:numPr>
          <w:ilvl w:val="0"/>
          <w:numId w:val="0"/>
        </w:numPr>
        <w:kinsoku/>
        <w:wordWrap/>
        <w:overflowPunct/>
        <w:topLinePunct w:val="0"/>
        <w:bidi w:val="0"/>
        <w:spacing w:line="360" w:lineRule="auto"/>
        <w:rPr>
          <w:rFonts w:hint="eastAsia" w:ascii="宋体" w:hAnsi="宋体" w:cs="宋体"/>
          <w:b w:val="0"/>
          <w:bCs w:val="0"/>
          <w:color w:val="auto"/>
          <w:highlight w:val="none"/>
          <w:lang w:val="en-US" w:eastAsia="zh-CN"/>
        </w:rPr>
      </w:pPr>
      <w:r>
        <w:rPr>
          <w:rFonts w:hint="eastAsia" w:ascii="宋体" w:hAnsi="宋体" w:cs="宋体"/>
          <w:b/>
          <w:bCs/>
          <w:color w:val="auto"/>
          <w:highlight w:val="none"/>
          <w:lang w:val="en-US" w:eastAsia="zh-CN"/>
        </w:rPr>
        <w:t>22.1</w:t>
      </w:r>
      <w:r>
        <w:rPr>
          <w:rFonts w:hint="eastAsia" w:ascii="宋体" w:hAnsi="宋体" w:cs="宋体"/>
          <w:b w:val="0"/>
          <w:bCs w:val="0"/>
          <w:color w:val="auto"/>
          <w:highlight w:val="none"/>
          <w:lang w:val="en-US" w:eastAsia="zh-CN"/>
        </w:rPr>
        <w:t>项目谈判小组按照政府采购法相关规定组成。</w:t>
      </w:r>
    </w:p>
    <w:p w14:paraId="10B66297">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cs="宋体"/>
          <w:b/>
          <w:bCs/>
          <w:color w:val="auto"/>
          <w:sz w:val="24"/>
          <w:highlight w:val="none"/>
          <w:lang w:val="en-US" w:eastAsia="zh-CN"/>
        </w:rPr>
        <w:t>22.2</w:t>
      </w:r>
      <w:r>
        <w:rPr>
          <w:rFonts w:hint="eastAsia" w:ascii="宋体" w:hAnsi="宋体" w:cs="宋体"/>
          <w:color w:val="auto"/>
          <w:sz w:val="24"/>
          <w:highlight w:val="none"/>
          <w:lang w:val="en-US" w:eastAsia="zh-CN"/>
        </w:rPr>
        <w:t>谈判开始时</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谈判小组</w:t>
      </w:r>
      <w:r>
        <w:rPr>
          <w:rFonts w:hint="eastAsia" w:ascii="宋体" w:hAnsi="宋体" w:eastAsia="宋体" w:cs="宋体"/>
          <w:color w:val="auto"/>
          <w:sz w:val="24"/>
          <w:highlight w:val="none"/>
        </w:rPr>
        <w:t>对各</w:t>
      </w:r>
      <w:r>
        <w:rPr>
          <w:rFonts w:hint="eastAsia" w:ascii="宋体" w:hAnsi="宋体" w:cs="宋体"/>
          <w:color w:val="auto"/>
          <w:sz w:val="24"/>
          <w:highlight w:val="none"/>
          <w:lang w:val="en-US" w:eastAsia="zh-CN"/>
        </w:rPr>
        <w:t>谈判响应文件</w:t>
      </w:r>
      <w:r>
        <w:rPr>
          <w:rFonts w:hint="eastAsia" w:ascii="宋体" w:hAnsi="宋体" w:eastAsia="宋体" w:cs="宋体"/>
          <w:color w:val="auto"/>
          <w:sz w:val="24"/>
          <w:highlight w:val="none"/>
        </w:rPr>
        <w:t>的内容进行全面审查，并确认</w:t>
      </w:r>
      <w:r>
        <w:rPr>
          <w:rFonts w:hint="eastAsia" w:ascii="宋体" w:hAnsi="宋体" w:cs="宋体"/>
          <w:color w:val="auto"/>
          <w:sz w:val="24"/>
          <w:highlight w:val="none"/>
          <w:lang w:val="en-US" w:eastAsia="zh-CN"/>
        </w:rPr>
        <w:t>谈判响应文件</w:t>
      </w:r>
      <w:r>
        <w:rPr>
          <w:rFonts w:hint="eastAsia" w:ascii="宋体" w:hAnsi="宋体" w:eastAsia="宋体" w:cs="宋体"/>
          <w:color w:val="auto"/>
          <w:sz w:val="24"/>
          <w:highlight w:val="none"/>
        </w:rPr>
        <w:t>是否符合或实质上响应了</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rPr>
        <w:t>文件的有关要求，只有实质上响应了</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rPr>
        <w:t>文件的</w:t>
      </w:r>
      <w:r>
        <w:rPr>
          <w:rFonts w:hint="eastAsia" w:ascii="宋体" w:hAnsi="宋体" w:cs="宋体"/>
          <w:color w:val="auto"/>
          <w:sz w:val="24"/>
          <w:highlight w:val="none"/>
          <w:lang w:val="en-US" w:eastAsia="zh-CN"/>
        </w:rPr>
        <w:t>谈判响应文件</w:t>
      </w:r>
      <w:r>
        <w:rPr>
          <w:rFonts w:hint="eastAsia" w:ascii="宋体" w:hAnsi="宋体" w:eastAsia="宋体" w:cs="宋体"/>
          <w:color w:val="auto"/>
          <w:sz w:val="24"/>
          <w:highlight w:val="none"/>
        </w:rPr>
        <w:t>才能被</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人接受。</w:t>
      </w:r>
    </w:p>
    <w:p w14:paraId="14B00453">
      <w:pPr>
        <w:pageBreakBefore w:val="0"/>
        <w:kinsoku/>
        <w:wordWrap/>
        <w:overflowPunct/>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w:t>
      </w:r>
      <w:r>
        <w:rPr>
          <w:rFonts w:hint="eastAsia" w:ascii="宋体" w:hAnsi="宋体" w:cs="宋体"/>
          <w:color w:val="auto"/>
          <w:sz w:val="24"/>
          <w:highlight w:val="none"/>
          <w:lang w:eastAsia="zh-CN"/>
        </w:rPr>
        <w:t>谈判响应文件</w:t>
      </w:r>
      <w:r>
        <w:rPr>
          <w:rFonts w:hint="eastAsia" w:ascii="宋体" w:hAnsi="宋体" w:eastAsia="宋体" w:cs="宋体"/>
          <w:color w:val="auto"/>
          <w:sz w:val="24"/>
          <w:highlight w:val="none"/>
        </w:rPr>
        <w:t>实质上不响应文件的要求，</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人将予以否决，并且不允许通过修正或撤销其不符合要求的差异或意见保留，使之成为具有响应性的投标。无效</w:t>
      </w:r>
      <w:r>
        <w:rPr>
          <w:rFonts w:hint="eastAsia" w:ascii="宋体" w:hAnsi="宋体" w:cs="宋体"/>
          <w:color w:val="auto"/>
          <w:sz w:val="24"/>
          <w:highlight w:val="none"/>
          <w:lang w:val="en-US" w:eastAsia="zh-CN"/>
        </w:rPr>
        <w:t>报价</w:t>
      </w:r>
      <w:r>
        <w:rPr>
          <w:rFonts w:hint="eastAsia" w:ascii="宋体" w:hAnsi="宋体" w:eastAsia="宋体" w:cs="宋体"/>
          <w:color w:val="auto"/>
          <w:sz w:val="24"/>
          <w:highlight w:val="none"/>
        </w:rPr>
        <w:t>的确定按国家计委等七部委发布的《评标委员会和评标方法暂行规定》和本</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rPr>
        <w:t>文件的规定执行。</w:t>
      </w:r>
    </w:p>
    <w:p w14:paraId="459E2CCC">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22.</w:t>
      </w:r>
      <w:r>
        <w:rPr>
          <w:rFonts w:hint="eastAsia" w:ascii="宋体" w:hAnsi="宋体" w:cs="宋体"/>
          <w:b/>
          <w:color w:val="auto"/>
          <w:sz w:val="24"/>
          <w:highlight w:val="none"/>
          <w:lang w:val="en-US" w:eastAsia="zh-CN"/>
        </w:rPr>
        <w:t>3</w:t>
      </w:r>
      <w:r>
        <w:rPr>
          <w:rFonts w:hint="eastAsia" w:ascii="宋体" w:hAnsi="宋体" w:cs="宋体"/>
          <w:b w:val="0"/>
          <w:bCs/>
          <w:color w:val="auto"/>
          <w:sz w:val="24"/>
          <w:highlight w:val="none"/>
          <w:lang w:val="en-US" w:eastAsia="zh-CN"/>
        </w:rPr>
        <w:t>谈判小组将与进入谈判的报价人依照递交谈判响应文件顺序分别进行一对一谈判。</w:t>
      </w:r>
    </w:p>
    <w:p w14:paraId="0675FE43">
      <w:pPr>
        <w:pageBreakBefore w:val="0"/>
        <w:kinsoku/>
        <w:wordWrap/>
        <w:overflowPunct/>
        <w:topLinePunct w:val="0"/>
        <w:bidi w:val="0"/>
        <w:spacing w:line="360" w:lineRule="auto"/>
        <w:rPr>
          <w:rFonts w:hint="eastAsia" w:ascii="宋体" w:hAnsi="宋体" w:cs="宋体"/>
          <w:b w:val="0"/>
          <w:bCs/>
          <w:color w:val="auto"/>
          <w:sz w:val="24"/>
          <w:highlight w:val="none"/>
          <w:lang w:val="en-US" w:eastAsia="zh-CN"/>
        </w:rPr>
      </w:pPr>
      <w:r>
        <w:rPr>
          <w:rFonts w:hint="eastAsia" w:ascii="宋体" w:hAnsi="宋体" w:eastAsia="宋体" w:cs="宋体"/>
          <w:b/>
          <w:color w:val="auto"/>
          <w:sz w:val="24"/>
          <w:highlight w:val="none"/>
        </w:rPr>
        <w:t>22.</w:t>
      </w:r>
      <w:r>
        <w:rPr>
          <w:rFonts w:hint="eastAsia" w:ascii="宋体" w:hAnsi="宋体" w:cs="宋体"/>
          <w:b/>
          <w:color w:val="auto"/>
          <w:sz w:val="24"/>
          <w:highlight w:val="none"/>
          <w:lang w:val="en-US" w:eastAsia="zh-CN"/>
        </w:rPr>
        <w:t>4</w:t>
      </w:r>
      <w:r>
        <w:rPr>
          <w:rFonts w:hint="eastAsia" w:ascii="宋体" w:hAnsi="宋体" w:cs="宋体"/>
          <w:b w:val="0"/>
          <w:bCs/>
          <w:color w:val="auto"/>
          <w:sz w:val="24"/>
          <w:highlight w:val="none"/>
          <w:lang w:val="en-US" w:eastAsia="zh-CN"/>
        </w:rPr>
        <w:t>谈判小组可要求报价人就谈判中的具体问题作出书面回答或承诺，报价人提交的书面回答或承诺应由报价人盖章，并将作为其谈判响应文件的一部分。谈判次数及每个报价人的谈判时间将由谈判小组根据具体谈判情况确定。在谈判中，谈判小组可以对谈判文件进行调整，但将告知每个参与谈判的报价人。</w:t>
      </w:r>
    </w:p>
    <w:p w14:paraId="75A3E56E">
      <w:pPr>
        <w:pageBreakBefore w:val="0"/>
        <w:kinsoku/>
        <w:wordWrap/>
        <w:overflowPunct/>
        <w:topLinePunct w:val="0"/>
        <w:bidi w:val="0"/>
        <w:spacing w:line="360" w:lineRule="auto"/>
        <w:ind w:firstLine="48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在每一轮谈判结束后，谈判小组可能会对谈判文件中有关内容进行调整。任何调整的部分谈判小组将会在下一轮谈判前及报价人提交最终承诺报价前，以书面方式告知每个参加谈判的报价人，该调整构成谈判文件的一部分。</w:t>
      </w:r>
    </w:p>
    <w:p w14:paraId="68075BD2">
      <w:pPr>
        <w:pageBreakBefore w:val="0"/>
        <w:kinsoku/>
        <w:wordWrap/>
        <w:overflowPunct/>
        <w:topLinePunct w:val="0"/>
        <w:bidi w:val="0"/>
        <w:spacing w:line="360" w:lineRule="auto"/>
        <w:outlineLvl w:val="2"/>
        <w:rPr>
          <w:rFonts w:hint="eastAsia" w:ascii="宋体" w:hAnsi="宋体" w:cs="宋体"/>
          <w:b/>
          <w:bCs w:val="0"/>
          <w:color w:val="auto"/>
          <w:sz w:val="24"/>
          <w:highlight w:val="none"/>
          <w:lang w:val="en-US" w:eastAsia="zh-CN"/>
        </w:rPr>
      </w:pPr>
      <w:bookmarkStart w:id="98" w:name="_Toc12797"/>
      <w:bookmarkStart w:id="99" w:name="_Toc32102"/>
      <w:r>
        <w:rPr>
          <w:rFonts w:hint="eastAsia" w:ascii="宋体" w:hAnsi="宋体" w:cs="宋体"/>
          <w:b/>
          <w:bCs w:val="0"/>
          <w:color w:val="auto"/>
          <w:sz w:val="24"/>
          <w:highlight w:val="none"/>
          <w:lang w:val="en-US" w:eastAsia="zh-CN"/>
        </w:rPr>
        <w:t>23.谈判原则</w:t>
      </w:r>
      <w:bookmarkEnd w:id="98"/>
      <w:bookmarkEnd w:id="99"/>
    </w:p>
    <w:p w14:paraId="7410B169">
      <w:pPr>
        <w:pageBreakBefore w:val="0"/>
        <w:kinsoku/>
        <w:wordWrap/>
        <w:overflowPunct/>
        <w:topLinePunct w:val="0"/>
        <w:bidi w:val="0"/>
        <w:spacing w:line="360" w:lineRule="auto"/>
        <w:ind w:firstLine="480" w:firstLineChars="200"/>
        <w:rPr>
          <w:rFonts w:hint="eastAsia" w:ascii="宋体" w:hAnsi="宋体" w:cs="宋体"/>
          <w:b/>
          <w:bCs w:val="0"/>
          <w:color w:val="auto"/>
          <w:sz w:val="24"/>
          <w:highlight w:val="none"/>
          <w:lang w:val="en-US" w:eastAsia="zh-CN"/>
        </w:rPr>
      </w:pPr>
      <w:r>
        <w:rPr>
          <w:rFonts w:hint="eastAsia" w:ascii="宋体" w:hAnsi="宋体" w:cs="宋体"/>
          <w:b w:val="0"/>
          <w:bCs/>
          <w:color w:val="auto"/>
          <w:sz w:val="24"/>
          <w:highlight w:val="none"/>
          <w:lang w:val="en-US" w:eastAsia="zh-CN"/>
        </w:rPr>
        <w:t>由谈判小组结合谈判响应文件及最终承诺，</w:t>
      </w:r>
      <w:r>
        <w:rPr>
          <w:rFonts w:hint="eastAsia" w:ascii="宋体" w:hAnsi="宋体" w:cs="宋体"/>
          <w:b/>
          <w:bCs w:val="0"/>
          <w:color w:val="auto"/>
          <w:sz w:val="24"/>
          <w:highlight w:val="none"/>
          <w:lang w:val="en-US" w:eastAsia="zh-CN"/>
        </w:rPr>
        <w:t>在符合采购需求、质量和服务相等的前提下，推荐提出最低报价的供应商作为成交供应商。</w:t>
      </w:r>
    </w:p>
    <w:p w14:paraId="75BE2803">
      <w:pPr>
        <w:pageBreakBefore w:val="0"/>
        <w:kinsoku/>
        <w:wordWrap/>
        <w:overflowPunct/>
        <w:topLinePunct w:val="0"/>
        <w:bidi w:val="0"/>
        <w:spacing w:line="360" w:lineRule="auto"/>
        <w:rPr>
          <w:rFonts w:hint="eastAsia" w:ascii="宋体" w:hAnsi="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23.1</w:t>
      </w:r>
      <w:r>
        <w:rPr>
          <w:rFonts w:hint="eastAsia" w:ascii="宋体" w:hAnsi="宋体" w:cs="宋体"/>
          <w:b w:val="0"/>
          <w:bCs/>
          <w:color w:val="auto"/>
          <w:sz w:val="24"/>
          <w:highlight w:val="none"/>
          <w:lang w:val="en-US" w:eastAsia="zh-CN"/>
        </w:rPr>
        <w:t>报价人在谈判响应文件及最终承诺中应对产品技术参数及产品要求作出完全性、真实性的响应。</w:t>
      </w:r>
    </w:p>
    <w:p w14:paraId="3E7ADC00">
      <w:pPr>
        <w:pageBreakBefore w:val="0"/>
        <w:kinsoku/>
        <w:wordWrap/>
        <w:overflowPunct/>
        <w:topLinePunct w:val="0"/>
        <w:bidi w:val="0"/>
        <w:spacing w:line="360" w:lineRule="auto"/>
        <w:rPr>
          <w:rFonts w:hint="eastAsia" w:ascii="宋体" w:hAnsi="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23.2</w:t>
      </w:r>
      <w:r>
        <w:rPr>
          <w:rFonts w:hint="eastAsia" w:ascii="宋体" w:hAnsi="宋体" w:cs="宋体"/>
          <w:b w:val="0"/>
          <w:bCs/>
          <w:color w:val="auto"/>
          <w:sz w:val="24"/>
          <w:highlight w:val="none"/>
          <w:lang w:val="en-US" w:eastAsia="zh-CN"/>
        </w:rPr>
        <w:t>报价人应有能力保证项目的实施。</w:t>
      </w:r>
    </w:p>
    <w:p w14:paraId="623A628A">
      <w:pPr>
        <w:pageBreakBefore w:val="0"/>
        <w:kinsoku/>
        <w:wordWrap/>
        <w:overflowPunct/>
        <w:topLinePunct w:val="0"/>
        <w:bidi w:val="0"/>
        <w:spacing w:line="360" w:lineRule="auto"/>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23.3最终报价</w:t>
      </w:r>
    </w:p>
    <w:p w14:paraId="35453251">
      <w:pPr>
        <w:pageBreakBefore w:val="0"/>
        <w:kinsoku/>
        <w:wordWrap/>
        <w:overflowPunct/>
        <w:topLinePunct w:val="0"/>
        <w:bidi w:val="0"/>
        <w:spacing w:line="360" w:lineRule="auto"/>
        <w:rPr>
          <w:rFonts w:hint="eastAsia" w:ascii="宋体" w:hAnsi="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23.4</w:t>
      </w:r>
      <w:r>
        <w:rPr>
          <w:rFonts w:hint="eastAsia" w:ascii="宋体" w:hAnsi="宋体" w:cs="宋体"/>
          <w:b w:val="0"/>
          <w:bCs/>
          <w:color w:val="auto"/>
          <w:sz w:val="24"/>
          <w:highlight w:val="none"/>
          <w:lang w:val="en-US" w:eastAsia="zh-CN"/>
        </w:rPr>
        <w:t>在谈判小组谈判结束后，根据报价人报价及谈判情况要求所有参加谈判的报价人在规定时间内同时提交最终报价。</w:t>
      </w:r>
    </w:p>
    <w:p w14:paraId="49F6C845">
      <w:pPr>
        <w:pStyle w:val="8"/>
        <w:jc w:val="center"/>
        <w:rPr>
          <w:rFonts w:hint="eastAsia"/>
          <w:color w:val="auto"/>
          <w:highlight w:val="none"/>
          <w:lang w:val="en-US" w:eastAsia="zh-CN"/>
        </w:rPr>
      </w:pPr>
      <w:bookmarkStart w:id="100" w:name="_Toc28760"/>
      <w:bookmarkStart w:id="101" w:name="_Toc9190"/>
      <w:bookmarkStart w:id="102" w:name="_Toc17523"/>
      <w:r>
        <w:rPr>
          <w:rFonts w:hint="eastAsia"/>
          <w:color w:val="auto"/>
          <w:highlight w:val="none"/>
          <w:lang w:val="en-US" w:eastAsia="zh-CN"/>
        </w:rPr>
        <w:t>六、成交</w:t>
      </w:r>
      <w:bookmarkEnd w:id="100"/>
      <w:bookmarkEnd w:id="101"/>
      <w:bookmarkEnd w:id="102"/>
    </w:p>
    <w:p w14:paraId="00D5B25C">
      <w:pPr>
        <w:pageBreakBefore w:val="0"/>
        <w:numPr>
          <w:ilvl w:val="0"/>
          <w:numId w:val="0"/>
        </w:numPr>
        <w:kinsoku/>
        <w:wordWrap/>
        <w:overflowPunct/>
        <w:topLinePunct w:val="0"/>
        <w:bidi w:val="0"/>
        <w:spacing w:line="360" w:lineRule="auto"/>
        <w:outlineLvl w:val="2"/>
        <w:rPr>
          <w:rFonts w:hint="eastAsia" w:ascii="宋体" w:hAnsi="宋体" w:cs="宋体"/>
          <w:b/>
          <w:bCs w:val="0"/>
          <w:color w:val="auto"/>
          <w:sz w:val="24"/>
          <w:highlight w:val="none"/>
          <w:lang w:val="en-US" w:eastAsia="zh-CN"/>
        </w:rPr>
      </w:pPr>
      <w:bookmarkStart w:id="103" w:name="_Toc3362"/>
      <w:bookmarkStart w:id="104" w:name="_Toc8642"/>
      <w:r>
        <w:rPr>
          <w:rFonts w:hint="eastAsia" w:ascii="宋体" w:hAnsi="宋体" w:cs="宋体"/>
          <w:b/>
          <w:bCs w:val="0"/>
          <w:color w:val="auto"/>
          <w:sz w:val="24"/>
          <w:highlight w:val="none"/>
          <w:lang w:val="en-US" w:eastAsia="zh-CN"/>
        </w:rPr>
        <w:t>24.成交通知书</w:t>
      </w:r>
      <w:bookmarkEnd w:id="103"/>
      <w:bookmarkEnd w:id="104"/>
    </w:p>
    <w:p w14:paraId="29CF993E">
      <w:pPr>
        <w:pageBreakBefore w:val="0"/>
        <w:numPr>
          <w:ilvl w:val="0"/>
          <w:numId w:val="0"/>
        </w:numPr>
        <w:kinsoku/>
        <w:wordWrap/>
        <w:overflowPunct/>
        <w:topLinePunct w:val="0"/>
        <w:bidi w:val="0"/>
        <w:spacing w:line="360" w:lineRule="auto"/>
        <w:rPr>
          <w:rFonts w:hint="eastAsia" w:ascii="宋体" w:hAnsi="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24.1</w:t>
      </w:r>
      <w:r>
        <w:rPr>
          <w:rFonts w:hint="eastAsia" w:ascii="宋体" w:hAnsi="宋体" w:cs="宋体"/>
          <w:b w:val="0"/>
          <w:bCs/>
          <w:color w:val="auto"/>
          <w:sz w:val="24"/>
          <w:highlight w:val="none"/>
          <w:lang w:val="en-US" w:eastAsia="zh-CN"/>
        </w:rPr>
        <w:t>成交人确定后，采购代理机构将向成交人发出成交通知书。</w:t>
      </w:r>
    </w:p>
    <w:p w14:paraId="520A0E73">
      <w:pPr>
        <w:pageBreakBefore w:val="0"/>
        <w:numPr>
          <w:ilvl w:val="0"/>
          <w:numId w:val="0"/>
        </w:numPr>
        <w:kinsoku/>
        <w:wordWrap/>
        <w:overflowPunct/>
        <w:topLinePunct w:val="0"/>
        <w:bidi w:val="0"/>
        <w:spacing w:line="360" w:lineRule="auto"/>
        <w:rPr>
          <w:rFonts w:hint="eastAsia" w:ascii="宋体" w:hAnsi="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24.2</w:t>
      </w:r>
      <w:r>
        <w:rPr>
          <w:rFonts w:hint="eastAsia" w:ascii="宋体" w:hAnsi="宋体" w:cs="宋体"/>
          <w:b w:val="0"/>
          <w:bCs/>
          <w:color w:val="auto"/>
          <w:sz w:val="24"/>
          <w:highlight w:val="none"/>
          <w:lang w:val="en-US" w:eastAsia="zh-CN"/>
        </w:rPr>
        <w:t>成交通知书是合同的一个组成部分。</w:t>
      </w:r>
    </w:p>
    <w:p w14:paraId="19581A1C">
      <w:pPr>
        <w:pageBreakBefore w:val="0"/>
        <w:kinsoku/>
        <w:wordWrap/>
        <w:overflowPunct/>
        <w:topLinePunct w:val="0"/>
        <w:bidi w:val="0"/>
        <w:spacing w:line="360" w:lineRule="auto"/>
        <w:outlineLvl w:val="2"/>
        <w:rPr>
          <w:rFonts w:hint="eastAsia" w:ascii="宋体" w:hAnsi="宋体" w:eastAsia="宋体" w:cs="宋体"/>
          <w:b/>
          <w:color w:val="auto"/>
          <w:sz w:val="24"/>
          <w:highlight w:val="none"/>
        </w:rPr>
      </w:pPr>
      <w:bookmarkStart w:id="105" w:name="_Toc10132"/>
      <w:bookmarkStart w:id="106" w:name="_Toc6845"/>
      <w:r>
        <w:rPr>
          <w:rFonts w:hint="eastAsia" w:ascii="宋体" w:hAnsi="宋体" w:eastAsia="宋体" w:cs="宋体"/>
          <w:b/>
          <w:color w:val="auto"/>
          <w:sz w:val="24"/>
          <w:highlight w:val="none"/>
        </w:rPr>
        <w:t>2</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lang w:eastAsia="zh-CN"/>
        </w:rPr>
        <w:t>成交</w:t>
      </w:r>
      <w:r>
        <w:rPr>
          <w:rFonts w:hint="eastAsia" w:ascii="宋体" w:hAnsi="宋体" w:eastAsia="宋体" w:cs="宋体"/>
          <w:b/>
          <w:color w:val="auto"/>
          <w:sz w:val="24"/>
          <w:highlight w:val="none"/>
        </w:rPr>
        <w:t>通知</w:t>
      </w:r>
      <w:bookmarkEnd w:id="105"/>
      <w:bookmarkEnd w:id="106"/>
    </w:p>
    <w:p w14:paraId="6D05A6B2">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w:t>
      </w:r>
      <w:r>
        <w:rPr>
          <w:rFonts w:hint="eastAsia" w:ascii="宋体" w:hAnsi="宋体" w:cs="宋体"/>
          <w:b/>
          <w:color w:val="auto"/>
          <w:sz w:val="24"/>
          <w:highlight w:val="none"/>
          <w:lang w:val="en-US" w:eastAsia="zh-CN"/>
        </w:rPr>
        <w:t>5.1</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公示期：</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结果公示</w:t>
      </w:r>
      <w:r>
        <w:rPr>
          <w:rFonts w:hint="eastAsia" w:ascii="宋体" w:hAnsi="宋体" w:cs="宋体"/>
          <w:color w:val="auto"/>
          <w:sz w:val="24"/>
          <w:highlight w:val="none"/>
          <w:lang w:eastAsia="zh-CN"/>
        </w:rPr>
        <w:t>一</w:t>
      </w:r>
      <w:r>
        <w:rPr>
          <w:rFonts w:hint="eastAsia" w:ascii="宋体" w:hAnsi="宋体" w:eastAsia="宋体" w:cs="宋体"/>
          <w:color w:val="auto"/>
          <w:sz w:val="24"/>
          <w:highlight w:val="none"/>
        </w:rPr>
        <w:t>个工作日。</w:t>
      </w:r>
    </w:p>
    <w:p w14:paraId="01CA80D6">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w:t>
      </w:r>
      <w:r>
        <w:rPr>
          <w:rFonts w:hint="eastAsia" w:ascii="宋体" w:hAnsi="宋体" w:cs="宋体"/>
          <w:b/>
          <w:color w:val="auto"/>
          <w:sz w:val="24"/>
          <w:highlight w:val="none"/>
          <w:lang w:val="en-US" w:eastAsia="zh-CN"/>
        </w:rPr>
        <w:t>5.2</w:t>
      </w:r>
      <w:r>
        <w:rPr>
          <w:rFonts w:hint="eastAsia" w:ascii="宋体" w:hAnsi="宋体" w:eastAsia="宋体" w:cs="宋体"/>
          <w:color w:val="auto"/>
          <w:sz w:val="24"/>
          <w:highlight w:val="none"/>
        </w:rPr>
        <w:t>代理机构根据</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rPr>
        <w:t>结果，在</w:t>
      </w:r>
      <w:r>
        <w:rPr>
          <w:rFonts w:hint="eastAsia" w:ascii="宋体" w:hAnsi="宋体" w:cs="宋体"/>
          <w:color w:val="auto"/>
          <w:sz w:val="24"/>
          <w:highlight w:val="none"/>
          <w:lang w:val="en-US" w:eastAsia="zh-CN"/>
        </w:rPr>
        <w:t>报价</w:t>
      </w:r>
      <w:r>
        <w:rPr>
          <w:rFonts w:hint="eastAsia" w:ascii="宋体" w:hAnsi="宋体" w:eastAsia="宋体" w:cs="宋体"/>
          <w:color w:val="auto"/>
          <w:sz w:val="24"/>
          <w:highlight w:val="none"/>
        </w:rPr>
        <w:t>有效期届满前，以书面形式向</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单位发出</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通知书。</w:t>
      </w:r>
    </w:p>
    <w:p w14:paraId="033E9E1A">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w:t>
      </w:r>
      <w:r>
        <w:rPr>
          <w:rFonts w:hint="eastAsia" w:ascii="宋体" w:hAnsi="宋体" w:cs="宋体"/>
          <w:b/>
          <w:color w:val="auto"/>
          <w:sz w:val="24"/>
          <w:highlight w:val="none"/>
          <w:lang w:val="en-US" w:eastAsia="zh-CN"/>
        </w:rPr>
        <w:t>5.3</w:t>
      </w:r>
      <w:r>
        <w:rPr>
          <w:rFonts w:hint="eastAsia" w:ascii="宋体" w:hAnsi="宋体" w:eastAsia="宋体" w:cs="宋体"/>
          <w:color w:val="auto"/>
          <w:sz w:val="24"/>
          <w:highlight w:val="none"/>
        </w:rPr>
        <w:t>代理机构将</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rPr>
        <w:t>结果及时通知未</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的</w:t>
      </w:r>
      <w:r>
        <w:rPr>
          <w:rFonts w:hint="eastAsia" w:ascii="宋体" w:hAnsi="宋体" w:cs="宋体"/>
          <w:color w:val="auto"/>
          <w:sz w:val="24"/>
          <w:highlight w:val="none"/>
          <w:lang w:eastAsia="zh-CN"/>
        </w:rPr>
        <w:t>报价人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无需解释</w:t>
      </w:r>
      <w:r>
        <w:rPr>
          <w:rFonts w:hint="eastAsia" w:ascii="宋体" w:hAnsi="宋体" w:eastAsia="宋体" w:cs="宋体"/>
          <w:color w:val="auto"/>
          <w:sz w:val="24"/>
          <w:highlight w:val="none"/>
          <w:lang w:eastAsia="zh-CN"/>
        </w:rPr>
        <w:t>未</w:t>
      </w:r>
      <w:r>
        <w:rPr>
          <w:rFonts w:hint="eastAsia" w:ascii="宋体" w:hAnsi="宋体" w:cs="宋体"/>
          <w:color w:val="auto"/>
          <w:sz w:val="24"/>
          <w:highlight w:val="none"/>
          <w:lang w:val="en-US" w:eastAsia="zh-CN"/>
        </w:rPr>
        <w:t>成交</w:t>
      </w:r>
      <w:r>
        <w:rPr>
          <w:rFonts w:hint="eastAsia" w:ascii="宋体" w:hAnsi="宋体" w:eastAsia="宋体" w:cs="宋体"/>
          <w:color w:val="auto"/>
          <w:sz w:val="24"/>
          <w:highlight w:val="none"/>
        </w:rPr>
        <w:t>原因。</w:t>
      </w:r>
    </w:p>
    <w:p w14:paraId="251EA9B5">
      <w:pPr>
        <w:pageBreakBefore w:val="0"/>
        <w:kinsoku/>
        <w:wordWrap/>
        <w:overflowPunct/>
        <w:topLinePunct w:val="0"/>
        <w:bidi w:val="0"/>
        <w:spacing w:line="360" w:lineRule="auto"/>
        <w:outlineLvl w:val="2"/>
        <w:rPr>
          <w:rFonts w:hint="eastAsia" w:ascii="宋体" w:hAnsi="宋体" w:eastAsia="宋体" w:cs="宋体"/>
          <w:b/>
          <w:color w:val="auto"/>
          <w:sz w:val="24"/>
          <w:highlight w:val="none"/>
        </w:rPr>
      </w:pPr>
      <w:bookmarkStart w:id="107" w:name="_Toc26974"/>
      <w:bookmarkStart w:id="108" w:name="_Toc14179"/>
      <w:r>
        <w:rPr>
          <w:rFonts w:hint="eastAsia" w:ascii="宋体" w:hAnsi="宋体" w:eastAsia="宋体" w:cs="宋体"/>
          <w:b/>
          <w:color w:val="auto"/>
          <w:sz w:val="24"/>
          <w:highlight w:val="none"/>
        </w:rPr>
        <w:t>2</w:t>
      </w: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拒绝某些或所有投标的权利</w:t>
      </w:r>
      <w:bookmarkEnd w:id="107"/>
      <w:bookmarkEnd w:id="108"/>
    </w:p>
    <w:p w14:paraId="1761DAE3">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cs="宋体"/>
          <w:b w:val="0"/>
          <w:bCs/>
          <w:color w:val="auto"/>
          <w:sz w:val="24"/>
          <w:highlight w:val="none"/>
          <w:lang w:val="en-US" w:eastAsia="zh-CN"/>
        </w:rPr>
        <w:t>采购</w:t>
      </w:r>
      <w:r>
        <w:rPr>
          <w:rFonts w:hint="eastAsia" w:ascii="宋体" w:hAnsi="宋体" w:eastAsia="宋体" w:cs="宋体"/>
          <w:b w:val="0"/>
          <w:bCs/>
          <w:color w:val="auto"/>
          <w:sz w:val="24"/>
          <w:highlight w:val="none"/>
        </w:rPr>
        <w:t>人有</w:t>
      </w:r>
      <w:r>
        <w:rPr>
          <w:rFonts w:hint="eastAsia" w:ascii="宋体" w:hAnsi="宋体" w:eastAsia="宋体" w:cs="宋体"/>
          <w:color w:val="auto"/>
          <w:sz w:val="24"/>
          <w:highlight w:val="none"/>
        </w:rPr>
        <w:t>权在</w:t>
      </w:r>
      <w:r>
        <w:rPr>
          <w:rFonts w:hint="eastAsia" w:ascii="宋体" w:hAnsi="宋体" w:cs="宋体"/>
          <w:color w:val="auto"/>
          <w:sz w:val="24"/>
          <w:highlight w:val="none"/>
          <w:lang w:val="en-US" w:eastAsia="zh-CN"/>
        </w:rPr>
        <w:t>确定中标报价人</w:t>
      </w:r>
      <w:r>
        <w:rPr>
          <w:rFonts w:hint="eastAsia" w:ascii="宋体" w:hAnsi="宋体" w:eastAsia="宋体" w:cs="宋体"/>
          <w:color w:val="auto"/>
          <w:sz w:val="24"/>
          <w:highlight w:val="none"/>
        </w:rPr>
        <w:t>之前拒绝任何有不正当行为或扰乱正常工作的</w:t>
      </w:r>
      <w:r>
        <w:rPr>
          <w:rFonts w:hint="eastAsia" w:ascii="宋体" w:hAnsi="宋体" w:cs="宋体"/>
          <w:color w:val="auto"/>
          <w:sz w:val="24"/>
          <w:highlight w:val="none"/>
          <w:lang w:eastAsia="zh-CN"/>
        </w:rPr>
        <w:t>报价人</w:t>
      </w:r>
      <w:r>
        <w:rPr>
          <w:rFonts w:hint="eastAsia" w:ascii="宋体" w:hAnsi="宋体" w:eastAsia="宋体" w:cs="宋体"/>
          <w:color w:val="auto"/>
          <w:sz w:val="24"/>
          <w:highlight w:val="none"/>
        </w:rPr>
        <w:t>，由此对</w:t>
      </w:r>
      <w:r>
        <w:rPr>
          <w:rFonts w:hint="eastAsia" w:ascii="宋体" w:hAnsi="宋体" w:cs="宋体"/>
          <w:color w:val="auto"/>
          <w:sz w:val="24"/>
          <w:highlight w:val="none"/>
          <w:lang w:eastAsia="zh-CN"/>
        </w:rPr>
        <w:t>报价人</w:t>
      </w:r>
      <w:r>
        <w:rPr>
          <w:rFonts w:hint="eastAsia" w:ascii="宋体" w:hAnsi="宋体" w:eastAsia="宋体" w:cs="宋体"/>
          <w:color w:val="auto"/>
          <w:sz w:val="24"/>
          <w:highlight w:val="none"/>
        </w:rPr>
        <w:t>造成的损失不负任何责任，同时对此无需做出任何解释。</w:t>
      </w:r>
    </w:p>
    <w:p w14:paraId="70B12366">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27.</w:t>
      </w:r>
      <w:r>
        <w:rPr>
          <w:rFonts w:hint="eastAsia" w:ascii="宋体" w:hAnsi="宋体" w:eastAsia="宋体" w:cs="宋体"/>
          <w:b/>
          <w:color w:val="auto"/>
          <w:sz w:val="24"/>
          <w:highlight w:val="none"/>
        </w:rPr>
        <w:t>付款方式：</w:t>
      </w:r>
      <w:r>
        <w:rPr>
          <w:rFonts w:hint="eastAsia" w:ascii="宋体" w:hAnsi="宋体" w:eastAsia="宋体" w:cs="宋体"/>
          <w:color w:val="auto"/>
          <w:sz w:val="24"/>
          <w:highlight w:val="none"/>
          <w:lang w:val="en-US" w:eastAsia="zh-CN"/>
        </w:rPr>
        <w:t>按</w:t>
      </w:r>
      <w:r>
        <w:rPr>
          <w:rFonts w:hint="eastAsia" w:ascii="宋体" w:hAnsi="宋体" w:cs="宋体"/>
          <w:color w:val="auto"/>
          <w:sz w:val="24"/>
          <w:highlight w:val="none"/>
          <w:lang w:val="en-US" w:eastAsia="zh-CN"/>
        </w:rPr>
        <w:t>成交人</w:t>
      </w:r>
      <w:r>
        <w:rPr>
          <w:rFonts w:hint="eastAsia" w:ascii="宋体" w:hAnsi="宋体" w:eastAsia="宋体" w:cs="宋体"/>
          <w:color w:val="auto"/>
          <w:sz w:val="24"/>
          <w:highlight w:val="none"/>
          <w:lang w:val="en-US" w:eastAsia="zh-CN"/>
        </w:rPr>
        <w:t>与采购</w:t>
      </w:r>
      <w:r>
        <w:rPr>
          <w:rFonts w:hint="eastAsia" w:ascii="宋体" w:hAnsi="宋体" w:cs="宋体"/>
          <w:color w:val="auto"/>
          <w:sz w:val="24"/>
          <w:highlight w:val="none"/>
          <w:lang w:val="en-US" w:eastAsia="zh-CN"/>
        </w:rPr>
        <w:t>人</w:t>
      </w:r>
      <w:r>
        <w:rPr>
          <w:rFonts w:hint="eastAsia" w:ascii="宋体" w:hAnsi="宋体" w:eastAsia="宋体" w:cs="宋体"/>
          <w:color w:val="auto"/>
          <w:sz w:val="24"/>
          <w:highlight w:val="none"/>
          <w:lang w:val="en-US" w:eastAsia="zh-CN"/>
        </w:rPr>
        <w:t>签订合同的付款方式执行</w:t>
      </w:r>
      <w:r>
        <w:rPr>
          <w:rFonts w:hint="eastAsia" w:ascii="宋体" w:hAnsi="宋体" w:eastAsia="宋体" w:cs="宋体"/>
          <w:color w:val="auto"/>
          <w:sz w:val="24"/>
          <w:highlight w:val="none"/>
        </w:rPr>
        <w:t>。每次付款时均由</w:t>
      </w:r>
      <w:r>
        <w:rPr>
          <w:rFonts w:hint="eastAsia" w:ascii="宋体" w:hAnsi="宋体" w:eastAsia="宋体" w:cs="宋体"/>
          <w:color w:val="auto"/>
          <w:sz w:val="24"/>
          <w:highlight w:val="none"/>
          <w:lang w:eastAsia="zh-CN"/>
        </w:rPr>
        <w:t>供货</w:t>
      </w:r>
      <w:r>
        <w:rPr>
          <w:rFonts w:hint="eastAsia" w:ascii="宋体" w:hAnsi="宋体" w:eastAsia="宋体" w:cs="宋体"/>
          <w:color w:val="auto"/>
          <w:sz w:val="24"/>
          <w:highlight w:val="none"/>
        </w:rPr>
        <w:t>方提供国家正规发票。</w:t>
      </w:r>
    </w:p>
    <w:p w14:paraId="244CA755">
      <w:pPr>
        <w:pStyle w:val="8"/>
        <w:pageBreakBefore w:val="0"/>
        <w:kinsoku/>
        <w:wordWrap/>
        <w:overflowPunct/>
        <w:topLinePunct w:val="0"/>
        <w:bidi w:val="0"/>
        <w:spacing w:line="360" w:lineRule="auto"/>
        <w:jc w:val="center"/>
        <w:rPr>
          <w:rFonts w:hint="eastAsia" w:ascii="宋体" w:hAnsi="宋体" w:eastAsia="宋体" w:cs="宋体"/>
          <w:color w:val="auto"/>
          <w:highlight w:val="none"/>
        </w:rPr>
      </w:pPr>
      <w:bookmarkStart w:id="109" w:name="_Toc30193"/>
      <w:bookmarkStart w:id="110" w:name="_Toc19776"/>
      <w:bookmarkStart w:id="111" w:name="_Toc8527"/>
      <w:r>
        <w:rPr>
          <w:rFonts w:hint="eastAsia" w:ascii="宋体" w:hAnsi="宋体" w:eastAsia="宋体" w:cs="宋体"/>
          <w:color w:val="auto"/>
          <w:highlight w:val="none"/>
        </w:rPr>
        <w:t>七、合同签订</w:t>
      </w:r>
      <w:bookmarkEnd w:id="109"/>
      <w:bookmarkEnd w:id="110"/>
      <w:bookmarkEnd w:id="111"/>
    </w:p>
    <w:p w14:paraId="0FCFED27">
      <w:pPr>
        <w:pageBreakBefore w:val="0"/>
        <w:kinsoku/>
        <w:wordWrap/>
        <w:overflowPunct/>
        <w:topLinePunct w:val="0"/>
        <w:bidi w:val="0"/>
        <w:spacing w:line="360" w:lineRule="auto"/>
        <w:outlineLvl w:val="2"/>
        <w:rPr>
          <w:rFonts w:hint="eastAsia" w:ascii="宋体" w:hAnsi="宋体" w:eastAsia="宋体" w:cs="宋体"/>
          <w:b/>
          <w:color w:val="auto"/>
          <w:sz w:val="24"/>
          <w:highlight w:val="none"/>
        </w:rPr>
      </w:pPr>
      <w:bookmarkStart w:id="112" w:name="_Toc14161"/>
      <w:bookmarkStart w:id="113" w:name="_Toc17330"/>
      <w:r>
        <w:rPr>
          <w:rFonts w:hint="eastAsia" w:ascii="宋体" w:hAnsi="宋体" w:cs="宋体"/>
          <w:b/>
          <w:color w:val="auto"/>
          <w:sz w:val="24"/>
          <w:highlight w:val="none"/>
          <w:lang w:val="en-US" w:eastAsia="zh-CN"/>
        </w:rPr>
        <w:t>28</w:t>
      </w:r>
      <w:r>
        <w:rPr>
          <w:rFonts w:hint="eastAsia" w:ascii="宋体" w:hAnsi="宋体" w:eastAsia="宋体" w:cs="宋体"/>
          <w:b/>
          <w:color w:val="auto"/>
          <w:sz w:val="24"/>
          <w:highlight w:val="none"/>
        </w:rPr>
        <w:t>、签订合同</w:t>
      </w:r>
      <w:bookmarkEnd w:id="112"/>
      <w:bookmarkEnd w:id="113"/>
    </w:p>
    <w:p w14:paraId="20AE2E06">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28</w:t>
      </w:r>
      <w:r>
        <w:rPr>
          <w:rFonts w:hint="eastAsia" w:ascii="宋体" w:hAnsi="宋体" w:eastAsia="宋体" w:cs="宋体"/>
          <w:b/>
          <w:color w:val="auto"/>
          <w:sz w:val="24"/>
          <w:highlight w:val="none"/>
        </w:rPr>
        <w:t>.1</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人和</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人在自</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通知书发出之日起</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rPr>
        <w:t>日内，依据《中华人民共和国合同法》</w:t>
      </w:r>
      <w:r>
        <w:rPr>
          <w:rFonts w:hint="eastAsia" w:ascii="宋体" w:hAnsi="宋体" w:eastAsia="宋体" w:cs="宋体"/>
          <w:color w:val="auto"/>
          <w:sz w:val="24"/>
          <w:highlight w:val="none"/>
          <w:lang w:eastAsia="zh-CN"/>
        </w:rPr>
        <w:t>等</w:t>
      </w:r>
      <w:r>
        <w:rPr>
          <w:rFonts w:hint="eastAsia" w:ascii="宋体" w:hAnsi="宋体" w:eastAsia="宋体" w:cs="宋体"/>
          <w:color w:val="auto"/>
          <w:sz w:val="24"/>
          <w:highlight w:val="none"/>
        </w:rPr>
        <w:t>有关法</w:t>
      </w:r>
      <w:r>
        <w:rPr>
          <w:rFonts w:hint="eastAsia" w:ascii="宋体" w:hAnsi="宋体" w:eastAsia="宋体" w:cs="宋体"/>
          <w:color w:val="auto"/>
          <w:sz w:val="24"/>
          <w:highlight w:val="none"/>
          <w:lang w:eastAsia="zh-CN"/>
        </w:rPr>
        <w:t>律法</w:t>
      </w:r>
      <w:r>
        <w:rPr>
          <w:rFonts w:hint="eastAsia" w:ascii="宋体" w:hAnsi="宋体" w:eastAsia="宋体" w:cs="宋体"/>
          <w:color w:val="auto"/>
          <w:sz w:val="24"/>
          <w:highlight w:val="none"/>
        </w:rPr>
        <w:t>规及</w:t>
      </w:r>
      <w:r>
        <w:rPr>
          <w:rFonts w:hint="eastAsia" w:ascii="宋体" w:hAnsi="宋体" w:cs="宋体"/>
          <w:color w:val="auto"/>
          <w:sz w:val="24"/>
          <w:highlight w:val="none"/>
          <w:lang w:eastAsia="zh-CN"/>
        </w:rPr>
        <w:t>谈判响应文件</w:t>
      </w:r>
      <w:r>
        <w:rPr>
          <w:rFonts w:hint="eastAsia" w:ascii="宋体" w:hAnsi="宋体" w:eastAsia="宋体" w:cs="宋体"/>
          <w:color w:val="auto"/>
          <w:sz w:val="24"/>
          <w:highlight w:val="none"/>
          <w:lang w:eastAsia="zh-CN"/>
        </w:rPr>
        <w:t>内容</w:t>
      </w:r>
      <w:r>
        <w:rPr>
          <w:rFonts w:hint="eastAsia" w:ascii="宋体" w:hAnsi="宋体" w:eastAsia="宋体" w:cs="宋体"/>
          <w:color w:val="auto"/>
          <w:sz w:val="24"/>
          <w:highlight w:val="none"/>
        </w:rPr>
        <w:t>签订合同。</w:t>
      </w:r>
    </w:p>
    <w:p w14:paraId="2D8F3B0D">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28</w:t>
      </w:r>
      <w:r>
        <w:rPr>
          <w:rFonts w:hint="eastAsia" w:ascii="宋体" w:hAnsi="宋体" w:eastAsia="宋体" w:cs="宋体"/>
          <w:b/>
          <w:color w:val="auto"/>
          <w:sz w:val="24"/>
          <w:highlight w:val="none"/>
        </w:rPr>
        <w:t>.2</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合同不得转让，合同分包需在</w:t>
      </w:r>
      <w:r>
        <w:rPr>
          <w:rFonts w:hint="eastAsia" w:ascii="宋体" w:hAnsi="宋体" w:cs="宋体"/>
          <w:color w:val="auto"/>
          <w:sz w:val="24"/>
          <w:highlight w:val="none"/>
          <w:lang w:eastAsia="zh-CN"/>
        </w:rPr>
        <w:t>谈判响应文件</w:t>
      </w:r>
      <w:r>
        <w:rPr>
          <w:rFonts w:hint="eastAsia" w:ascii="宋体" w:hAnsi="宋体" w:eastAsia="宋体" w:cs="宋体"/>
          <w:color w:val="auto"/>
          <w:sz w:val="24"/>
          <w:highlight w:val="none"/>
        </w:rPr>
        <w:t>中予以说明，并须经人同意。否则，</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人有权取消</w:t>
      </w:r>
      <w:r>
        <w:rPr>
          <w:rFonts w:hint="eastAsia" w:ascii="宋体" w:hAnsi="宋体" w:cs="宋体"/>
          <w:color w:val="auto"/>
          <w:sz w:val="24"/>
          <w:highlight w:val="none"/>
          <w:lang w:val="en-US" w:eastAsia="zh-CN"/>
        </w:rPr>
        <w:t>报价</w:t>
      </w:r>
      <w:r>
        <w:rPr>
          <w:rFonts w:hint="eastAsia" w:ascii="宋体" w:hAnsi="宋体" w:eastAsia="宋体" w:cs="宋体"/>
          <w:color w:val="auto"/>
          <w:sz w:val="24"/>
          <w:highlight w:val="none"/>
        </w:rPr>
        <w:t>人的</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资格。</w:t>
      </w:r>
    </w:p>
    <w:p w14:paraId="450618BB">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28</w:t>
      </w:r>
      <w:r>
        <w:rPr>
          <w:rFonts w:hint="eastAsia" w:ascii="宋体" w:hAnsi="宋体" w:eastAsia="宋体" w:cs="宋体"/>
          <w:b/>
          <w:color w:val="auto"/>
          <w:sz w:val="24"/>
          <w:highlight w:val="none"/>
        </w:rPr>
        <w:t>.3</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人如遇</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人违约，可从候选</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人中重新选定</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人，并签订经济合同。</w:t>
      </w:r>
    </w:p>
    <w:p w14:paraId="1366D93D">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28</w:t>
      </w:r>
      <w:r>
        <w:rPr>
          <w:rFonts w:hint="eastAsia" w:ascii="宋体" w:hAnsi="宋体" w:eastAsia="宋体" w:cs="宋体"/>
          <w:b/>
          <w:color w:val="auto"/>
          <w:sz w:val="24"/>
          <w:highlight w:val="none"/>
        </w:rPr>
        <w:t>.4</w:t>
      </w:r>
      <w:r>
        <w:rPr>
          <w:rFonts w:hint="eastAsia" w:ascii="宋体" w:hAnsi="宋体" w:eastAsia="宋体" w:cs="宋体"/>
          <w:color w:val="auto"/>
          <w:sz w:val="24"/>
          <w:highlight w:val="none"/>
        </w:rPr>
        <w:t xml:space="preserve"> 合同的定制由</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人、</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人、代理机构三方参加，为确保合同双方的利益</w:t>
      </w:r>
      <w:r>
        <w:rPr>
          <w:rFonts w:hint="eastAsia" w:ascii="宋体" w:hAnsi="宋体" w:eastAsia="宋体" w:cs="宋体"/>
          <w:color w:val="auto"/>
          <w:sz w:val="24"/>
          <w:highlight w:val="none"/>
          <w:lang w:eastAsia="zh-CN"/>
        </w:rPr>
        <w:t>公平</w:t>
      </w:r>
      <w:r>
        <w:rPr>
          <w:rFonts w:hint="eastAsia" w:ascii="宋体" w:hAnsi="宋体" w:eastAsia="宋体" w:cs="宋体"/>
          <w:color w:val="auto"/>
          <w:sz w:val="24"/>
          <w:highlight w:val="none"/>
        </w:rPr>
        <w:t>均等，由代理机构在合同制订过程中进行协调。</w:t>
      </w:r>
    </w:p>
    <w:p w14:paraId="7436228F">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28</w:t>
      </w:r>
      <w:r>
        <w:rPr>
          <w:rFonts w:hint="eastAsia" w:ascii="宋体" w:hAnsi="宋体" w:eastAsia="宋体" w:cs="宋体"/>
          <w:b/>
          <w:color w:val="auto"/>
          <w:sz w:val="24"/>
          <w:highlight w:val="none"/>
        </w:rPr>
        <w:t xml:space="preserve">.5 </w:t>
      </w:r>
      <w:r>
        <w:rPr>
          <w:rFonts w:hint="eastAsia" w:ascii="宋体" w:hAnsi="宋体" w:eastAsia="宋体" w:cs="宋体"/>
          <w:color w:val="auto"/>
          <w:sz w:val="24"/>
          <w:highlight w:val="none"/>
        </w:rPr>
        <w:t>合同经</w:t>
      </w:r>
      <w:r>
        <w:rPr>
          <w:rFonts w:hint="eastAsia" w:ascii="宋体" w:hAnsi="宋体" w:cs="宋体"/>
          <w:color w:val="auto"/>
          <w:sz w:val="24"/>
          <w:highlight w:val="none"/>
          <w:lang w:val="en-US" w:eastAsia="zh-CN"/>
        </w:rPr>
        <w:t>采购人成交人</w:t>
      </w:r>
      <w:r>
        <w:rPr>
          <w:rFonts w:hint="eastAsia" w:ascii="宋体" w:hAnsi="宋体" w:eastAsia="宋体" w:cs="宋体"/>
          <w:color w:val="auto"/>
          <w:sz w:val="24"/>
          <w:highlight w:val="none"/>
        </w:rPr>
        <w:t>双方签字盖章后即生效。</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成交人</w:t>
      </w:r>
      <w:r>
        <w:rPr>
          <w:rFonts w:hint="eastAsia" w:ascii="宋体" w:hAnsi="宋体" w:eastAsia="宋体" w:cs="宋体"/>
          <w:color w:val="auto"/>
          <w:sz w:val="24"/>
          <w:highlight w:val="none"/>
        </w:rPr>
        <w:t>双方亦可自愿申请公证。</w:t>
      </w:r>
    </w:p>
    <w:p w14:paraId="4362A4E5">
      <w:pPr>
        <w:pageBreakBefore w:val="0"/>
        <w:kinsoku/>
        <w:wordWrap/>
        <w:overflowPunct/>
        <w:topLinePunct w:val="0"/>
        <w:bidi w:val="0"/>
        <w:spacing w:line="360" w:lineRule="auto"/>
        <w:outlineLvl w:val="2"/>
        <w:rPr>
          <w:rFonts w:hint="eastAsia" w:ascii="宋体" w:hAnsi="宋体" w:eastAsia="宋体" w:cs="宋体"/>
          <w:b/>
          <w:color w:val="auto"/>
          <w:sz w:val="24"/>
          <w:highlight w:val="none"/>
        </w:rPr>
      </w:pPr>
      <w:bookmarkStart w:id="114" w:name="_Toc507"/>
      <w:bookmarkStart w:id="115" w:name="_Toc26392"/>
      <w:r>
        <w:rPr>
          <w:rFonts w:hint="eastAsia" w:ascii="宋体" w:hAnsi="宋体" w:cs="宋体"/>
          <w:b/>
          <w:color w:val="auto"/>
          <w:sz w:val="24"/>
          <w:highlight w:val="none"/>
          <w:lang w:val="en-US" w:eastAsia="zh-CN"/>
        </w:rPr>
        <w:t>29</w:t>
      </w:r>
      <w:r>
        <w:rPr>
          <w:rFonts w:hint="eastAsia" w:ascii="宋体" w:hAnsi="宋体" w:eastAsia="宋体" w:cs="宋体"/>
          <w:b/>
          <w:color w:val="auto"/>
          <w:sz w:val="24"/>
          <w:highlight w:val="none"/>
        </w:rPr>
        <w:t>、合同组成</w:t>
      </w:r>
      <w:bookmarkEnd w:id="114"/>
      <w:bookmarkEnd w:id="115"/>
    </w:p>
    <w:p w14:paraId="09A68EE1">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29</w:t>
      </w:r>
      <w:r>
        <w:rPr>
          <w:rFonts w:hint="eastAsia" w:ascii="宋体" w:hAnsi="宋体" w:eastAsia="宋体" w:cs="宋体"/>
          <w:b/>
          <w:color w:val="auto"/>
          <w:sz w:val="24"/>
          <w:highlight w:val="none"/>
        </w:rPr>
        <w:t>.1</w:t>
      </w:r>
      <w:r>
        <w:rPr>
          <w:rFonts w:hint="eastAsia" w:ascii="宋体" w:hAnsi="宋体" w:eastAsia="宋体" w:cs="宋体"/>
          <w:color w:val="auto"/>
          <w:sz w:val="24"/>
          <w:highlight w:val="none"/>
        </w:rPr>
        <w:t xml:space="preserve"> 以下文件均为合同不可分割的部分：</w:t>
      </w:r>
    </w:p>
    <w:p w14:paraId="45710C5E">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29</w:t>
      </w:r>
      <w:r>
        <w:rPr>
          <w:rFonts w:hint="eastAsia" w:ascii="宋体" w:hAnsi="宋体" w:eastAsia="宋体" w:cs="宋体"/>
          <w:color w:val="auto"/>
          <w:sz w:val="24"/>
          <w:highlight w:val="none"/>
        </w:rPr>
        <w:t>.1.1 专用合同</w:t>
      </w:r>
    </w:p>
    <w:p w14:paraId="5B0CF088">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29</w:t>
      </w:r>
      <w:r>
        <w:rPr>
          <w:rFonts w:hint="eastAsia" w:ascii="宋体" w:hAnsi="宋体" w:eastAsia="宋体" w:cs="宋体"/>
          <w:color w:val="auto"/>
          <w:sz w:val="24"/>
          <w:highlight w:val="none"/>
        </w:rPr>
        <w:t>.1.2 合同条款</w:t>
      </w:r>
    </w:p>
    <w:p w14:paraId="13CB4E65">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29</w:t>
      </w:r>
      <w:r>
        <w:rPr>
          <w:rFonts w:hint="eastAsia" w:ascii="宋体" w:hAnsi="宋体" w:eastAsia="宋体" w:cs="宋体"/>
          <w:color w:val="auto"/>
          <w:sz w:val="24"/>
          <w:highlight w:val="none"/>
        </w:rPr>
        <w:t xml:space="preserve">.1.3 </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通知书</w:t>
      </w:r>
    </w:p>
    <w:p w14:paraId="329A78CD">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29</w:t>
      </w:r>
      <w:r>
        <w:rPr>
          <w:rFonts w:hint="eastAsia" w:ascii="宋体" w:hAnsi="宋体" w:eastAsia="宋体" w:cs="宋体"/>
          <w:color w:val="auto"/>
          <w:sz w:val="24"/>
          <w:highlight w:val="none"/>
        </w:rPr>
        <w:t xml:space="preserve">.1.4 </w:t>
      </w:r>
      <w:r>
        <w:rPr>
          <w:rFonts w:hint="eastAsia" w:ascii="宋体" w:hAnsi="宋体" w:cs="宋体"/>
          <w:color w:val="auto"/>
          <w:sz w:val="24"/>
          <w:highlight w:val="none"/>
          <w:lang w:eastAsia="zh-CN"/>
        </w:rPr>
        <w:t>报价人谈判响应文件</w:t>
      </w:r>
    </w:p>
    <w:p w14:paraId="07CEABD9">
      <w:pPr>
        <w:pageBreakBefore w:val="0"/>
        <w:kinsoku/>
        <w:wordWrap/>
        <w:overflowPunct/>
        <w:topLinePunct w:val="0"/>
        <w:bidi w:val="0"/>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29</w:t>
      </w:r>
      <w:r>
        <w:rPr>
          <w:rFonts w:hint="eastAsia" w:ascii="宋体" w:hAnsi="宋体" w:cs="宋体"/>
          <w:color w:val="auto"/>
          <w:sz w:val="24"/>
          <w:highlight w:val="none"/>
          <w:lang w:eastAsia="zh-CN"/>
        </w:rPr>
        <w:t>.1.5 其它文件</w:t>
      </w:r>
    </w:p>
    <w:p w14:paraId="67ED04D2">
      <w:pPr>
        <w:pageBreakBefore w:val="0"/>
        <w:kinsoku/>
        <w:wordWrap/>
        <w:overflowPunct/>
        <w:topLinePunct w:val="0"/>
        <w:bidi w:val="0"/>
        <w:spacing w:line="360" w:lineRule="auto"/>
        <w:outlineLvl w:val="2"/>
        <w:rPr>
          <w:rFonts w:hint="eastAsia" w:ascii="宋体" w:hAnsi="宋体" w:cs="宋体"/>
          <w:b/>
          <w:bCs/>
          <w:color w:val="auto"/>
          <w:sz w:val="24"/>
          <w:highlight w:val="none"/>
          <w:lang w:eastAsia="zh-CN"/>
        </w:rPr>
      </w:pPr>
      <w:bookmarkStart w:id="116" w:name="_Toc16511"/>
      <w:bookmarkStart w:id="117" w:name="_Toc17700"/>
      <w:r>
        <w:rPr>
          <w:rFonts w:hint="eastAsia" w:ascii="宋体" w:hAnsi="宋体" w:cs="宋体"/>
          <w:b/>
          <w:bCs/>
          <w:color w:val="auto"/>
          <w:sz w:val="24"/>
          <w:highlight w:val="none"/>
          <w:lang w:val="en-US" w:eastAsia="zh-CN"/>
        </w:rPr>
        <w:t>30</w:t>
      </w:r>
      <w:r>
        <w:rPr>
          <w:rFonts w:hint="eastAsia" w:ascii="宋体" w:hAnsi="宋体" w:cs="宋体"/>
          <w:b/>
          <w:bCs/>
          <w:color w:val="auto"/>
          <w:sz w:val="24"/>
          <w:highlight w:val="none"/>
          <w:lang w:eastAsia="zh-CN"/>
        </w:rPr>
        <w:t>、履约保证金</w:t>
      </w:r>
      <w:bookmarkEnd w:id="116"/>
      <w:bookmarkEnd w:id="117"/>
    </w:p>
    <w:p w14:paraId="33DACD54">
      <w:pPr>
        <w:pageBreakBefore w:val="0"/>
        <w:kinsoku/>
        <w:wordWrap/>
        <w:overflowPunct/>
        <w:topLinePunct w:val="0"/>
        <w:bidi w:val="0"/>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30</w:t>
      </w:r>
      <w:r>
        <w:rPr>
          <w:rFonts w:hint="eastAsia" w:ascii="宋体" w:hAnsi="宋体" w:cs="宋体"/>
          <w:color w:val="auto"/>
          <w:sz w:val="24"/>
          <w:highlight w:val="none"/>
          <w:lang w:eastAsia="zh-CN"/>
        </w:rPr>
        <w:t>.1 中标的投标人应按合同规定提交履约保证金。</w:t>
      </w:r>
    </w:p>
    <w:p w14:paraId="623A9FB7">
      <w:pPr>
        <w:pageBreakBefore w:val="0"/>
        <w:kinsoku/>
        <w:wordWrap/>
        <w:overflowPunct/>
        <w:topLinePunct w:val="0"/>
        <w:bidi w:val="0"/>
        <w:spacing w:line="360" w:lineRule="auto"/>
        <w:rPr>
          <w:rFonts w:hint="eastAsia"/>
          <w:color w:val="auto"/>
          <w:highlight w:val="none"/>
        </w:rPr>
      </w:pPr>
      <w:r>
        <w:rPr>
          <w:rFonts w:hint="eastAsia" w:ascii="宋体" w:hAnsi="宋体" w:cs="宋体"/>
          <w:color w:val="auto"/>
          <w:sz w:val="24"/>
          <w:highlight w:val="none"/>
          <w:lang w:val="en-US" w:eastAsia="zh-CN"/>
        </w:rPr>
        <w:t>30</w:t>
      </w:r>
      <w:r>
        <w:rPr>
          <w:rFonts w:hint="eastAsia" w:ascii="宋体" w:hAnsi="宋体" w:cs="宋体"/>
          <w:color w:val="auto"/>
          <w:sz w:val="24"/>
          <w:highlight w:val="none"/>
          <w:lang w:eastAsia="zh-CN"/>
        </w:rPr>
        <w:t>.2 履约保证金（无息）将在乙方履行完成合同所有义务后凭乙方的收款收据在五天内退返乙方。</w:t>
      </w:r>
    </w:p>
    <w:p w14:paraId="15766E60">
      <w:pPr>
        <w:pStyle w:val="8"/>
        <w:pageBreakBefore w:val="0"/>
        <w:kinsoku/>
        <w:wordWrap/>
        <w:overflowPunct/>
        <w:topLinePunct w:val="0"/>
        <w:bidi w:val="0"/>
        <w:spacing w:line="360" w:lineRule="auto"/>
        <w:ind w:firstLine="3626" w:firstLineChars="1290"/>
        <w:rPr>
          <w:rFonts w:hint="eastAsia" w:ascii="宋体" w:hAnsi="宋体" w:eastAsia="宋体" w:cs="宋体"/>
          <w:color w:val="auto"/>
          <w:sz w:val="28"/>
          <w:highlight w:val="none"/>
        </w:rPr>
      </w:pPr>
      <w:bookmarkStart w:id="118" w:name="_Toc12603"/>
      <w:bookmarkStart w:id="119" w:name="_Toc14192"/>
      <w:bookmarkStart w:id="120" w:name="_Toc27843"/>
      <w:r>
        <w:rPr>
          <w:rFonts w:hint="eastAsia" w:ascii="宋体" w:hAnsi="宋体" w:eastAsia="宋体" w:cs="宋体"/>
          <w:color w:val="auto"/>
          <w:sz w:val="28"/>
          <w:highlight w:val="none"/>
        </w:rPr>
        <w:t>八、特别提示</w:t>
      </w:r>
      <w:bookmarkEnd w:id="118"/>
      <w:bookmarkEnd w:id="119"/>
      <w:bookmarkEnd w:id="120"/>
    </w:p>
    <w:p w14:paraId="4519AD97">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31</w:t>
      </w:r>
      <w:r>
        <w:rPr>
          <w:rFonts w:hint="eastAsia" w:ascii="宋体" w:hAnsi="宋体" w:eastAsia="宋体" w:cs="宋体"/>
          <w:b/>
          <w:color w:val="auto"/>
          <w:sz w:val="24"/>
          <w:highlight w:val="none"/>
        </w:rPr>
        <w:t>、</w:t>
      </w:r>
      <w:r>
        <w:rPr>
          <w:rFonts w:hint="eastAsia" w:ascii="宋体" w:hAnsi="宋体" w:cs="宋体"/>
          <w:color w:val="auto"/>
          <w:sz w:val="24"/>
          <w:highlight w:val="none"/>
          <w:lang w:eastAsia="zh-CN"/>
        </w:rPr>
        <w:t>报价人</w:t>
      </w:r>
      <w:r>
        <w:rPr>
          <w:rFonts w:hint="eastAsia" w:ascii="宋体" w:hAnsi="宋体" w:eastAsia="宋体" w:cs="宋体"/>
          <w:color w:val="auto"/>
          <w:sz w:val="24"/>
          <w:highlight w:val="none"/>
        </w:rPr>
        <w:t>应认真研读</w:t>
      </w:r>
      <w:r>
        <w:rPr>
          <w:rFonts w:hint="eastAsia" w:ascii="宋体" w:hAnsi="宋体" w:cs="宋体"/>
          <w:color w:val="auto"/>
          <w:sz w:val="24"/>
          <w:highlight w:val="none"/>
          <w:lang w:eastAsia="zh-CN"/>
        </w:rPr>
        <w:t>谈判</w:t>
      </w:r>
      <w:r>
        <w:rPr>
          <w:rFonts w:hint="eastAsia" w:ascii="宋体" w:hAnsi="宋体" w:eastAsia="宋体" w:cs="宋体"/>
          <w:color w:val="auto"/>
          <w:sz w:val="24"/>
          <w:highlight w:val="none"/>
        </w:rPr>
        <w:t>文件，充分考虑文件中的</w:t>
      </w:r>
      <w:r>
        <w:rPr>
          <w:rFonts w:hint="eastAsia" w:ascii="宋体" w:hAnsi="宋体" w:eastAsia="宋体" w:cs="宋体"/>
          <w:color w:val="auto"/>
          <w:sz w:val="24"/>
          <w:highlight w:val="none"/>
          <w:lang w:eastAsia="zh-CN"/>
        </w:rPr>
        <w:t>所有</w:t>
      </w:r>
      <w:r>
        <w:rPr>
          <w:rFonts w:hint="eastAsia" w:ascii="宋体" w:hAnsi="宋体" w:eastAsia="宋体" w:cs="宋体"/>
          <w:color w:val="auto"/>
          <w:sz w:val="24"/>
          <w:highlight w:val="none"/>
        </w:rPr>
        <w:t>要求和合同条款后，编制</w:t>
      </w:r>
      <w:r>
        <w:rPr>
          <w:rFonts w:hint="eastAsia" w:ascii="宋体" w:hAnsi="宋体" w:cs="宋体"/>
          <w:color w:val="auto"/>
          <w:sz w:val="24"/>
          <w:highlight w:val="none"/>
          <w:lang w:eastAsia="zh-CN"/>
        </w:rPr>
        <w:t>谈判响应文件</w:t>
      </w:r>
      <w:r>
        <w:rPr>
          <w:rFonts w:hint="eastAsia" w:ascii="宋体" w:hAnsi="宋体" w:eastAsia="宋体" w:cs="宋体"/>
          <w:color w:val="auto"/>
          <w:sz w:val="24"/>
          <w:highlight w:val="none"/>
        </w:rPr>
        <w:t>。</w:t>
      </w:r>
    </w:p>
    <w:p w14:paraId="48FB4CFB">
      <w:pPr>
        <w:pageBreakBefore w:val="0"/>
        <w:kinsoku/>
        <w:wordWrap/>
        <w:overflowPunct/>
        <w:topLinePunct w:val="0"/>
        <w:bidi w:val="0"/>
        <w:spacing w:line="360" w:lineRule="auto"/>
        <w:rPr>
          <w:rFonts w:hint="eastAsia" w:ascii="宋体" w:hAnsi="宋体" w:eastAsia="宋体" w:cs="宋体"/>
          <w:color w:val="auto"/>
          <w:sz w:val="28"/>
          <w:highlight w:val="none"/>
        </w:rPr>
      </w:pPr>
      <w:r>
        <w:rPr>
          <w:rFonts w:hint="eastAsia" w:ascii="宋体" w:hAnsi="宋体" w:eastAsia="宋体" w:cs="宋体"/>
          <w:b/>
          <w:color w:val="auto"/>
          <w:sz w:val="24"/>
          <w:highlight w:val="none"/>
        </w:rPr>
        <w:t>3</w:t>
      </w: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如</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rPr>
        <w:t>文件中提供的各类表格样式不适用，</w:t>
      </w:r>
      <w:r>
        <w:rPr>
          <w:rFonts w:hint="eastAsia" w:ascii="宋体" w:hAnsi="宋体" w:cs="宋体"/>
          <w:color w:val="auto"/>
          <w:sz w:val="24"/>
          <w:highlight w:val="none"/>
          <w:lang w:eastAsia="zh-CN"/>
        </w:rPr>
        <w:t>报价人</w:t>
      </w:r>
      <w:r>
        <w:rPr>
          <w:rFonts w:hint="eastAsia" w:ascii="宋体" w:hAnsi="宋体" w:eastAsia="宋体" w:cs="宋体"/>
          <w:color w:val="auto"/>
          <w:sz w:val="24"/>
          <w:highlight w:val="none"/>
        </w:rPr>
        <w:t>可另行设计表格样式，但力求内容完整，表达清晰、准确。</w:t>
      </w:r>
      <w:bookmarkStart w:id="121" w:name="_Toc20146"/>
      <w:bookmarkStart w:id="122" w:name="_Toc21896"/>
    </w:p>
    <w:p w14:paraId="7BA6B284">
      <w:pPr>
        <w:pStyle w:val="8"/>
        <w:pageBreakBefore w:val="0"/>
        <w:kinsoku/>
        <w:wordWrap/>
        <w:overflowPunct/>
        <w:topLinePunct w:val="0"/>
        <w:bidi w:val="0"/>
        <w:spacing w:line="360" w:lineRule="auto"/>
        <w:ind w:firstLine="3626" w:firstLineChars="1290"/>
        <w:rPr>
          <w:rFonts w:hint="eastAsia" w:ascii="宋体" w:hAnsi="宋体" w:eastAsia="宋体" w:cs="宋体"/>
          <w:color w:val="auto"/>
          <w:sz w:val="28"/>
          <w:highlight w:val="none"/>
        </w:rPr>
      </w:pPr>
      <w:bookmarkStart w:id="123" w:name="_Toc9851"/>
      <w:r>
        <w:rPr>
          <w:rFonts w:hint="eastAsia" w:ascii="宋体" w:hAnsi="宋体" w:eastAsia="宋体" w:cs="宋体"/>
          <w:color w:val="auto"/>
          <w:sz w:val="28"/>
          <w:highlight w:val="none"/>
        </w:rPr>
        <w:t>九、其他事项</w:t>
      </w:r>
      <w:bookmarkEnd w:id="121"/>
      <w:bookmarkEnd w:id="122"/>
      <w:bookmarkEnd w:id="123"/>
    </w:p>
    <w:p w14:paraId="7A70239A">
      <w:pPr>
        <w:pageBreakBefore w:val="0"/>
        <w:kinsoku/>
        <w:wordWrap/>
        <w:overflowPunct/>
        <w:topLinePunct w:val="0"/>
        <w:bidi w:val="0"/>
        <w:spacing w:line="360" w:lineRule="auto"/>
        <w:outlineLvl w:val="2"/>
        <w:rPr>
          <w:rFonts w:hint="eastAsia" w:ascii="宋体" w:hAnsi="宋体" w:eastAsia="宋体" w:cs="宋体"/>
          <w:b/>
          <w:color w:val="auto"/>
          <w:sz w:val="24"/>
          <w:highlight w:val="none"/>
        </w:rPr>
      </w:pPr>
      <w:bookmarkStart w:id="124" w:name="_Toc17418"/>
      <w:bookmarkStart w:id="125" w:name="_Toc17912"/>
      <w:r>
        <w:rPr>
          <w:rFonts w:hint="eastAsia" w:ascii="宋体" w:hAnsi="宋体" w:cs="宋体"/>
          <w:b/>
          <w:color w:val="auto"/>
          <w:sz w:val="24"/>
          <w:highlight w:val="none"/>
          <w:lang w:val="en-US" w:eastAsia="zh-CN"/>
        </w:rPr>
        <w:t>33</w:t>
      </w:r>
      <w:r>
        <w:rPr>
          <w:rFonts w:hint="eastAsia" w:ascii="宋体" w:hAnsi="宋体" w:eastAsia="宋体" w:cs="宋体"/>
          <w:b/>
          <w:color w:val="auto"/>
          <w:sz w:val="24"/>
          <w:highlight w:val="none"/>
        </w:rPr>
        <w:t>、</w:t>
      </w:r>
      <w:r>
        <w:rPr>
          <w:rFonts w:hint="eastAsia" w:ascii="宋体" w:hAnsi="宋体" w:cs="宋体"/>
          <w:b/>
          <w:color w:val="auto"/>
          <w:sz w:val="24"/>
          <w:highlight w:val="none"/>
          <w:lang w:eastAsia="zh-CN"/>
        </w:rPr>
        <w:t>成交</w:t>
      </w:r>
      <w:r>
        <w:rPr>
          <w:rFonts w:hint="eastAsia" w:ascii="宋体" w:hAnsi="宋体" w:eastAsia="宋体" w:cs="宋体"/>
          <w:b/>
          <w:color w:val="auto"/>
          <w:sz w:val="24"/>
          <w:highlight w:val="none"/>
        </w:rPr>
        <w:t>服务费</w:t>
      </w:r>
      <w:bookmarkEnd w:id="124"/>
      <w:bookmarkEnd w:id="125"/>
    </w:p>
    <w:p w14:paraId="75617478">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33</w:t>
      </w:r>
      <w:r>
        <w:rPr>
          <w:rFonts w:hint="eastAsia" w:ascii="宋体" w:hAnsi="宋体" w:eastAsia="宋体" w:cs="宋体"/>
          <w:b/>
          <w:color w:val="auto"/>
          <w:sz w:val="24"/>
          <w:highlight w:val="none"/>
        </w:rPr>
        <w:t xml:space="preserve">.1 </w:t>
      </w:r>
      <w:r>
        <w:rPr>
          <w:rFonts w:hint="eastAsia" w:ascii="宋体" w:hAnsi="宋体" w:eastAsia="宋体" w:cs="宋体"/>
          <w:b w:val="0"/>
          <w:bCs/>
          <w:color w:val="auto"/>
          <w:sz w:val="24"/>
          <w:highlight w:val="none"/>
          <w:lang w:eastAsia="zh-CN"/>
        </w:rPr>
        <w:t>按照协商结果，</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单位须在</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工作结束后向</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一次性付清</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服务费（即</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人在领取</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通知书时支付）。</w:t>
      </w:r>
    </w:p>
    <w:p w14:paraId="78B07A1D">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33</w:t>
      </w:r>
      <w:r>
        <w:rPr>
          <w:rFonts w:hint="eastAsia" w:ascii="宋体" w:hAnsi="宋体" w:eastAsia="宋体" w:cs="宋体"/>
          <w:b/>
          <w:color w:val="auto"/>
          <w:sz w:val="24"/>
          <w:highlight w:val="none"/>
        </w:rPr>
        <w:t>.2</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服务费：</w:t>
      </w:r>
      <w:r>
        <w:rPr>
          <w:rFonts w:hint="eastAsia" w:ascii="宋体" w:hAnsi="宋体" w:cs="宋体"/>
          <w:color w:val="auto"/>
          <w:kern w:val="0"/>
          <w:sz w:val="24"/>
          <w:szCs w:val="24"/>
          <w:highlight w:val="none"/>
          <w:lang w:val="en-US" w:eastAsia="zh-CN" w:bidi="ar"/>
        </w:rPr>
        <w:t>详见供应商须知前附表</w:t>
      </w:r>
      <w:r>
        <w:rPr>
          <w:rFonts w:hint="eastAsia" w:ascii="宋体" w:hAnsi="宋体" w:eastAsia="宋体" w:cs="宋体"/>
          <w:color w:val="auto"/>
          <w:sz w:val="24"/>
          <w:highlight w:val="none"/>
        </w:rPr>
        <w:t>。</w:t>
      </w:r>
    </w:p>
    <w:p w14:paraId="491FA9B5">
      <w:pPr>
        <w:pageBreakBefore w:val="0"/>
        <w:kinsoku/>
        <w:wordWrap/>
        <w:overflowPunct/>
        <w:topLinePunct w:val="0"/>
        <w:bidi w:val="0"/>
        <w:spacing w:line="360" w:lineRule="auto"/>
        <w:rPr>
          <w:rFonts w:hint="eastAsia" w:ascii="宋体" w:hAnsi="宋体" w:cs="宋体"/>
          <w:color w:val="auto"/>
          <w:sz w:val="24"/>
          <w:highlight w:val="none"/>
          <w:lang w:eastAsia="zh-CN"/>
        </w:rPr>
      </w:pPr>
      <w:r>
        <w:rPr>
          <w:rFonts w:hint="eastAsia" w:ascii="宋体" w:hAnsi="宋体" w:cs="宋体"/>
          <w:b/>
          <w:color w:val="auto"/>
          <w:sz w:val="24"/>
          <w:highlight w:val="none"/>
          <w:lang w:val="en-US" w:eastAsia="zh-CN"/>
        </w:rPr>
        <w:t>34</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本文件</w:t>
      </w:r>
      <w:r>
        <w:rPr>
          <w:rFonts w:hint="eastAsia" w:ascii="宋体" w:hAnsi="宋体" w:eastAsia="宋体" w:cs="宋体"/>
          <w:color w:val="auto"/>
          <w:sz w:val="24"/>
          <w:highlight w:val="none"/>
          <w:lang w:eastAsia="zh-CN"/>
        </w:rPr>
        <w:t>依</w:t>
      </w:r>
      <w:r>
        <w:rPr>
          <w:rFonts w:hint="eastAsia" w:ascii="宋体" w:hAnsi="宋体" w:eastAsia="宋体" w:cs="宋体"/>
          <w:color w:val="auto"/>
          <w:sz w:val="24"/>
          <w:highlight w:val="none"/>
        </w:rPr>
        <w:t>据《中华人民共和国</w:t>
      </w:r>
      <w:r>
        <w:rPr>
          <w:rFonts w:hint="eastAsia" w:ascii="宋体" w:hAnsi="宋体" w:eastAsia="宋体" w:cs="宋体"/>
          <w:color w:val="auto"/>
          <w:sz w:val="24"/>
          <w:highlight w:val="none"/>
          <w:lang w:eastAsia="zh-CN"/>
        </w:rPr>
        <w:t>政府采购</w:t>
      </w:r>
      <w:r>
        <w:rPr>
          <w:rFonts w:hint="eastAsia" w:ascii="宋体" w:hAnsi="宋体" w:eastAsia="宋体" w:cs="宋体"/>
          <w:color w:val="auto"/>
          <w:sz w:val="24"/>
          <w:highlight w:val="none"/>
        </w:rPr>
        <w:t>法》</w:t>
      </w:r>
      <w:r>
        <w:rPr>
          <w:rFonts w:hint="eastAsia" w:ascii="宋体" w:hAnsi="宋体" w:eastAsia="宋体" w:cs="宋体"/>
          <w:color w:val="auto"/>
          <w:sz w:val="24"/>
          <w:highlight w:val="none"/>
          <w:lang w:eastAsia="zh-CN"/>
        </w:rPr>
        <w:t>等有关政府采购方面的法律法规文件</w:t>
      </w:r>
      <w:r>
        <w:rPr>
          <w:rFonts w:hint="eastAsia" w:ascii="宋体" w:hAnsi="宋体" w:eastAsia="宋体" w:cs="宋体"/>
          <w:color w:val="auto"/>
          <w:sz w:val="24"/>
          <w:highlight w:val="none"/>
        </w:rPr>
        <w:t>编制，解释权属</w:t>
      </w:r>
      <w:r>
        <w:rPr>
          <w:rFonts w:hint="eastAsia" w:ascii="宋体" w:hAnsi="宋体" w:cs="宋体"/>
          <w:color w:val="auto"/>
          <w:sz w:val="24"/>
          <w:highlight w:val="none"/>
          <w:lang w:eastAsia="zh-CN"/>
        </w:rPr>
        <w:t>新疆坤合企业管理咨询有限公司。</w:t>
      </w:r>
    </w:p>
    <w:p w14:paraId="7B8C494B">
      <w:pPr>
        <w:pStyle w:val="9"/>
        <w:outlineLvl w:val="9"/>
        <w:rPr>
          <w:rFonts w:hint="eastAsia" w:ascii="宋体" w:hAnsi="宋体" w:cs="宋体"/>
          <w:color w:val="auto"/>
          <w:sz w:val="24"/>
          <w:highlight w:val="none"/>
          <w:lang w:eastAsia="zh-CN"/>
        </w:rPr>
      </w:pPr>
    </w:p>
    <w:p w14:paraId="19482231">
      <w:pPr>
        <w:snapToGrid w:val="0"/>
        <w:spacing w:line="500" w:lineRule="exact"/>
        <w:ind w:firstLine="200"/>
        <w:jc w:val="center"/>
        <w:outlineLvl w:val="1"/>
        <w:rPr>
          <w:rFonts w:hint="eastAsia" w:ascii="宋体" w:hAnsi="宋体"/>
          <w:b/>
          <w:color w:val="auto"/>
          <w:sz w:val="28"/>
          <w:szCs w:val="28"/>
          <w:highlight w:val="none"/>
        </w:rPr>
      </w:pPr>
      <w:bookmarkStart w:id="126" w:name="_Toc17033"/>
      <w:bookmarkStart w:id="127" w:name="_Toc10502"/>
      <w:r>
        <w:rPr>
          <w:rFonts w:hint="eastAsia" w:ascii="宋体" w:hAnsi="宋体"/>
          <w:b/>
          <w:color w:val="auto"/>
          <w:sz w:val="28"/>
          <w:szCs w:val="28"/>
          <w:highlight w:val="none"/>
        </w:rPr>
        <w:t>十、质疑与投诉</w:t>
      </w:r>
      <w:bookmarkEnd w:id="126"/>
      <w:bookmarkEnd w:id="127"/>
    </w:p>
    <w:p w14:paraId="3652C9AD">
      <w:pPr>
        <w:snapToGrid w:val="0"/>
        <w:spacing w:line="500" w:lineRule="exact"/>
        <w:ind w:firstLine="471" w:firstLineChars="196"/>
        <w:outlineLvl w:val="2"/>
        <w:rPr>
          <w:rFonts w:hint="eastAsia" w:ascii="宋体" w:hAnsi="宋体"/>
          <w:b/>
          <w:bCs/>
          <w:color w:val="auto"/>
          <w:sz w:val="24"/>
          <w:szCs w:val="24"/>
          <w:highlight w:val="none"/>
        </w:rPr>
      </w:pPr>
      <w:bookmarkStart w:id="128" w:name="_Toc8717"/>
      <w:bookmarkStart w:id="129" w:name="_Toc1272"/>
      <w:bookmarkStart w:id="130" w:name="_Toc25987"/>
      <w:bookmarkStart w:id="131" w:name="_Toc19410"/>
      <w:r>
        <w:rPr>
          <w:rFonts w:hint="eastAsia" w:ascii="宋体" w:hAnsi="宋体"/>
          <w:b/>
          <w:bCs/>
          <w:color w:val="auto"/>
          <w:sz w:val="24"/>
          <w:szCs w:val="24"/>
          <w:highlight w:val="none"/>
          <w:lang w:val="en-US" w:eastAsia="zh-CN"/>
        </w:rPr>
        <w:t>35、</w:t>
      </w:r>
      <w:r>
        <w:rPr>
          <w:rFonts w:hint="eastAsia" w:ascii="宋体" w:hAnsi="宋体"/>
          <w:b/>
          <w:bCs/>
          <w:color w:val="auto"/>
          <w:sz w:val="24"/>
          <w:szCs w:val="24"/>
          <w:highlight w:val="none"/>
        </w:rPr>
        <w:t>质疑与投诉</w:t>
      </w:r>
      <w:bookmarkEnd w:id="128"/>
      <w:bookmarkEnd w:id="129"/>
      <w:bookmarkEnd w:id="130"/>
      <w:bookmarkEnd w:id="131"/>
    </w:p>
    <w:p w14:paraId="12A59B6E">
      <w:pPr>
        <w:snapToGrid w:val="0"/>
        <w:spacing w:line="500" w:lineRule="exact"/>
        <w:ind w:firstLine="480" w:firstLineChars="200"/>
        <w:outlineLvl w:val="0"/>
        <w:rPr>
          <w:rFonts w:ascii="宋体" w:hAnsi="宋体"/>
          <w:color w:val="auto"/>
          <w:sz w:val="24"/>
          <w:szCs w:val="24"/>
          <w:highlight w:val="none"/>
        </w:rPr>
      </w:pPr>
      <w:bookmarkStart w:id="132" w:name="_Toc30957"/>
      <w:bookmarkStart w:id="133" w:name="_Toc17875"/>
      <w:bookmarkStart w:id="134" w:name="_Toc25914"/>
      <w:bookmarkStart w:id="135" w:name="_Toc17600"/>
      <w:r>
        <w:rPr>
          <w:rFonts w:ascii="宋体" w:hAnsi="宋体"/>
          <w:b/>
          <w:bCs/>
          <w:color w:val="auto"/>
          <w:sz w:val="24"/>
          <w:szCs w:val="24"/>
          <w:highlight w:val="none"/>
        </w:rPr>
        <w:t>3</w:t>
      </w:r>
      <w:r>
        <w:rPr>
          <w:rFonts w:hint="eastAsia" w:ascii="宋体" w:hAnsi="宋体"/>
          <w:b/>
          <w:bCs/>
          <w:color w:val="auto"/>
          <w:sz w:val="24"/>
          <w:szCs w:val="24"/>
          <w:highlight w:val="none"/>
          <w:lang w:val="en-US" w:eastAsia="zh-CN"/>
        </w:rPr>
        <w:t>5</w:t>
      </w:r>
      <w:r>
        <w:rPr>
          <w:rFonts w:ascii="宋体" w:hAnsi="宋体"/>
          <w:b/>
          <w:bCs/>
          <w:color w:val="auto"/>
          <w:sz w:val="24"/>
          <w:szCs w:val="24"/>
          <w:highlight w:val="none"/>
        </w:rPr>
        <w:t xml:space="preserve">.1 </w:t>
      </w:r>
      <w:r>
        <w:rPr>
          <w:rFonts w:hint="eastAsia" w:ascii="宋体" w:hAnsi="宋体"/>
          <w:b/>
          <w:bCs/>
          <w:color w:val="auto"/>
          <w:sz w:val="24"/>
          <w:szCs w:val="24"/>
          <w:highlight w:val="none"/>
        </w:rPr>
        <w:t>质疑的提出</w:t>
      </w:r>
      <w:bookmarkEnd w:id="132"/>
      <w:bookmarkEnd w:id="133"/>
      <w:bookmarkEnd w:id="134"/>
      <w:bookmarkEnd w:id="135"/>
    </w:p>
    <w:p w14:paraId="094A94EC">
      <w:pPr>
        <w:snapToGrid w:val="0"/>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1）供应商认为</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过程和中标、成交结果使自己的权益受到损害的，可以在知道或者应知其权益受到损害之日起七个工作日内，以书面形式向采购人提出质疑。</w:t>
      </w:r>
    </w:p>
    <w:p w14:paraId="314D802B">
      <w:pPr>
        <w:snapToGrid w:val="0"/>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2）质疑函的必备内容</w:t>
      </w:r>
    </w:p>
    <w:p w14:paraId="30385B27">
      <w:pPr>
        <w:snapToGrid w:val="0"/>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①供应商提交的质疑函必须注明单位名称、详细地址、可供查询的单位和法定代表人的电话号码；</w:t>
      </w:r>
    </w:p>
    <w:p w14:paraId="59F468D2">
      <w:pPr>
        <w:snapToGrid w:val="0"/>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②所参加项目的具体质疑事项及事实依据；</w:t>
      </w:r>
    </w:p>
    <w:p w14:paraId="73821A64">
      <w:pPr>
        <w:snapToGrid w:val="0"/>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③提起质疑的日期；</w:t>
      </w:r>
    </w:p>
    <w:p w14:paraId="10C0869C">
      <w:pPr>
        <w:snapToGrid w:val="0"/>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④质疑函须加盖单位公章和法定代表人签章。</w:t>
      </w:r>
    </w:p>
    <w:p w14:paraId="3982FA49">
      <w:pPr>
        <w:snapToGrid w:val="0"/>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⑤委托代理人递交质疑函的，还须提交委托质疑事项的委托授权书（附法定代表人和被授权人身份证正反面），加盖单位公章和法定代表人签章和被授权人签字，并出示被授权人身份证。</w:t>
      </w:r>
    </w:p>
    <w:p w14:paraId="0FA21BD3">
      <w:pPr>
        <w:snapToGrid w:val="0"/>
        <w:spacing w:line="500" w:lineRule="exact"/>
        <w:ind w:firstLine="480" w:firstLineChars="200"/>
        <w:jc w:val="left"/>
        <w:rPr>
          <w:rFonts w:hint="eastAsia"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）质疑应符合下列条件：</w:t>
      </w:r>
    </w:p>
    <w:p w14:paraId="13A0978F">
      <w:pPr>
        <w:snapToGrid w:val="0"/>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①质疑人是参与所质疑项目的</w:t>
      </w:r>
      <w:r>
        <w:rPr>
          <w:rFonts w:hint="eastAsia" w:ascii="宋体" w:hAnsi="宋体"/>
          <w:color w:val="auto"/>
          <w:sz w:val="24"/>
          <w:szCs w:val="24"/>
          <w:highlight w:val="none"/>
          <w:lang w:eastAsia="zh-CN"/>
        </w:rPr>
        <w:t>采购</w:t>
      </w:r>
      <w:r>
        <w:rPr>
          <w:rFonts w:hint="eastAsia" w:ascii="宋体" w:hAnsi="宋体"/>
          <w:color w:val="auto"/>
          <w:sz w:val="24"/>
          <w:szCs w:val="24"/>
          <w:highlight w:val="none"/>
        </w:rPr>
        <w:t>活动供应商；</w:t>
      </w:r>
    </w:p>
    <w:p w14:paraId="04599523">
      <w:pPr>
        <w:snapToGrid w:val="0"/>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②质疑函内容符合相关的规定；</w:t>
      </w:r>
    </w:p>
    <w:p w14:paraId="2DEF15E8">
      <w:pPr>
        <w:snapToGrid w:val="0"/>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③在规定的有效期限内提起质疑；</w:t>
      </w:r>
    </w:p>
    <w:p w14:paraId="5E58549F">
      <w:pPr>
        <w:snapToGrid w:val="0"/>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④招投标监管部门规定的其他条件。</w:t>
      </w:r>
    </w:p>
    <w:p w14:paraId="0512BA98">
      <w:pPr>
        <w:snapToGrid w:val="0"/>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4）采购人在收到供应商的书面质疑后七个工作日内作出答复，并以书面形式通知质疑供应商和其他有关供应商，但答复的内容不涉及商业秘密。</w:t>
      </w:r>
    </w:p>
    <w:p w14:paraId="29AFB5E9">
      <w:pPr>
        <w:snapToGrid w:val="0"/>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5）提出质疑的供应商对答复不满意的，可以在答复期满后十五个工作日内向同级政府</w:t>
      </w:r>
      <w:r>
        <w:rPr>
          <w:rFonts w:hint="eastAsia" w:ascii="宋体" w:hAnsi="宋体"/>
          <w:color w:val="auto"/>
          <w:sz w:val="24"/>
          <w:szCs w:val="24"/>
          <w:highlight w:val="none"/>
          <w:lang w:eastAsia="zh-CN"/>
        </w:rPr>
        <w:t>采购</w:t>
      </w:r>
      <w:r>
        <w:rPr>
          <w:rFonts w:hint="eastAsia" w:ascii="宋体" w:hAnsi="宋体"/>
          <w:color w:val="auto"/>
          <w:sz w:val="24"/>
          <w:szCs w:val="24"/>
          <w:highlight w:val="none"/>
        </w:rPr>
        <w:t>监督管理部门投诉。政府</w:t>
      </w:r>
      <w:r>
        <w:rPr>
          <w:rFonts w:hint="eastAsia" w:ascii="宋体" w:hAnsi="宋体"/>
          <w:color w:val="auto"/>
          <w:sz w:val="24"/>
          <w:szCs w:val="24"/>
          <w:highlight w:val="none"/>
          <w:lang w:eastAsia="zh-CN"/>
        </w:rPr>
        <w:t>采购</w:t>
      </w:r>
      <w:r>
        <w:rPr>
          <w:rFonts w:hint="eastAsia" w:ascii="宋体" w:hAnsi="宋体"/>
          <w:color w:val="auto"/>
          <w:sz w:val="24"/>
          <w:szCs w:val="24"/>
          <w:highlight w:val="none"/>
        </w:rPr>
        <w:t>监督管理部门应当在收到投诉三十个工作日内，对投诉事项作出处理决定，并以书面形式通知投诉人和与投诉事项相关的当事人。</w:t>
      </w:r>
    </w:p>
    <w:p w14:paraId="710CBCE4">
      <w:pPr>
        <w:rPr>
          <w:rFonts w:hint="default"/>
          <w:highlight w:val="none"/>
          <w:lang w:val="en-US"/>
        </w:rPr>
        <w:sectPr>
          <w:footerReference r:id="rId4" w:type="default"/>
          <w:pgSz w:w="11907" w:h="16840"/>
          <w:pgMar w:top="1021" w:right="1287" w:bottom="1021" w:left="1247" w:header="851"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14:paraId="35031561">
      <w:pPr>
        <w:snapToGrid w:val="0"/>
        <w:spacing w:line="500" w:lineRule="exact"/>
        <w:jc w:val="left"/>
        <w:rPr>
          <w:rFonts w:hint="eastAsia" w:ascii="宋体" w:hAnsi="宋体" w:cs="宋体"/>
          <w:b/>
          <w:color w:val="auto"/>
          <w:sz w:val="24"/>
          <w:szCs w:val="24"/>
          <w:highlight w:val="none"/>
        </w:rPr>
        <w:sectPr>
          <w:headerReference r:id="rId5" w:type="default"/>
          <w:footerReference r:id="rId6" w:type="default"/>
          <w:type w:val="continuous"/>
          <w:pgSz w:w="11907" w:h="16840"/>
          <w:pgMar w:top="1021" w:right="1287" w:bottom="1021" w:left="1247"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bookmarkStart w:id="136" w:name="_Toc1354"/>
      <w:bookmarkStart w:id="137" w:name="_Toc11658"/>
      <w:bookmarkStart w:id="138" w:name="_Toc23028"/>
    </w:p>
    <w:p w14:paraId="79494673">
      <w:pPr>
        <w:snapToGrid w:val="0"/>
        <w:spacing w:line="500" w:lineRule="exact"/>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附表一</w:t>
      </w:r>
    </w:p>
    <w:p w14:paraId="76034423">
      <w:pPr>
        <w:snapToGrid w:val="0"/>
        <w:spacing w:line="440" w:lineRule="exact"/>
        <w:jc w:val="center"/>
        <w:rPr>
          <w:rFonts w:hint="eastAsia" w:ascii="宋体" w:hAnsi="宋体"/>
          <w:b/>
          <w:bCs/>
          <w:color w:val="auto"/>
          <w:sz w:val="24"/>
          <w:szCs w:val="24"/>
          <w:highlight w:val="none"/>
        </w:rPr>
      </w:pPr>
      <w:r>
        <w:rPr>
          <w:rFonts w:hint="eastAsia" w:ascii="宋体" w:hAnsi="宋体"/>
          <w:b/>
          <w:bCs/>
          <w:color w:val="auto"/>
          <w:sz w:val="24"/>
          <w:szCs w:val="24"/>
          <w:highlight w:val="none"/>
        </w:rPr>
        <w:t>质 疑 书</w:t>
      </w:r>
    </w:p>
    <w:p w14:paraId="3D58B245">
      <w:pPr>
        <w:snapToGrid w:val="0"/>
        <w:spacing w:line="440" w:lineRule="exact"/>
        <w:rPr>
          <w:rFonts w:hint="eastAsia" w:ascii="宋体" w:hAnsi="宋体"/>
          <w:bCs/>
          <w:color w:val="auto"/>
          <w:sz w:val="24"/>
          <w:szCs w:val="24"/>
          <w:highlight w:val="none"/>
        </w:rPr>
      </w:pP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(政府采购代理机构名称)：</w:t>
      </w:r>
    </w:p>
    <w:p w14:paraId="7055597D">
      <w:pPr>
        <w:snapToGrid w:val="0"/>
        <w:spacing w:line="440" w:lineRule="exact"/>
        <w:rPr>
          <w:rFonts w:hint="eastAsia" w:ascii="宋体" w:hAnsi="宋体"/>
          <w:bCs/>
          <w:color w:val="auto"/>
          <w:sz w:val="24"/>
          <w:szCs w:val="24"/>
          <w:highlight w:val="none"/>
        </w:rPr>
      </w:pPr>
      <w:r>
        <w:rPr>
          <w:rFonts w:hint="eastAsia" w:ascii="宋体" w:hAnsi="宋体"/>
          <w:bCs/>
          <w:color w:val="auto"/>
          <w:sz w:val="24"/>
          <w:szCs w:val="24"/>
          <w:highlight w:val="none"/>
        </w:rPr>
        <w:t>依据《中华人民共和国政府采购法》第五十二条规定，认为</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项目的采购活动中有几个内容损害了我公司的权益，现以书面原件形式提出质疑。并根据《中华人民共和国政府采购法实施条例》第五十五条规定，提出以下请求和提供必要的证明材料。质疑的事实和理由：</w:t>
      </w:r>
    </w:p>
    <w:p w14:paraId="2D95255A">
      <w:pPr>
        <w:snapToGrid w:val="0"/>
        <w:spacing w:line="440" w:lineRule="exact"/>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u w:val="single"/>
        </w:rPr>
        <w:t xml:space="preserve">  (事宜经过)            </w:t>
      </w:r>
      <w:r>
        <w:rPr>
          <w:rFonts w:hint="eastAsia" w:ascii="宋体" w:hAnsi="宋体"/>
          <w:bCs/>
          <w:color w:val="auto"/>
          <w:sz w:val="24"/>
          <w:szCs w:val="24"/>
          <w:highlight w:val="none"/>
        </w:rPr>
        <w:t>；2、</w:t>
      </w:r>
      <w:r>
        <w:rPr>
          <w:rFonts w:hint="eastAsia" w:ascii="宋体" w:hAnsi="宋体"/>
          <w:bCs/>
          <w:color w:val="auto"/>
          <w:sz w:val="24"/>
          <w:szCs w:val="24"/>
          <w:highlight w:val="none"/>
          <w:u w:val="single"/>
        </w:rPr>
        <w:t xml:space="preserve">  (事宜经过)            </w:t>
      </w:r>
      <w:r>
        <w:rPr>
          <w:rFonts w:hint="eastAsia" w:ascii="宋体" w:hAnsi="宋体"/>
          <w:bCs/>
          <w:color w:val="auto"/>
          <w:sz w:val="24"/>
          <w:szCs w:val="24"/>
          <w:highlight w:val="none"/>
        </w:rPr>
        <w:t>；……</w:t>
      </w:r>
    </w:p>
    <w:p w14:paraId="2C76F366">
      <w:pPr>
        <w:snapToGrid w:val="0"/>
        <w:spacing w:line="440" w:lineRule="exact"/>
        <w:rPr>
          <w:rFonts w:hint="eastAsia" w:ascii="宋体" w:hAnsi="宋体"/>
          <w:bCs/>
          <w:color w:val="auto"/>
          <w:sz w:val="24"/>
          <w:szCs w:val="24"/>
          <w:highlight w:val="none"/>
        </w:rPr>
      </w:pPr>
      <w:r>
        <w:rPr>
          <w:rFonts w:hint="eastAsia" w:ascii="宋体" w:hAnsi="宋体"/>
          <w:bCs/>
          <w:color w:val="auto"/>
          <w:sz w:val="24"/>
          <w:szCs w:val="24"/>
          <w:highlight w:val="none"/>
        </w:rPr>
        <w:t>我们认为，以上几项，违背了政府采购法规的有关规定，其中第1项</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违背《</w:t>
      </w:r>
      <w:r>
        <w:rPr>
          <w:rFonts w:hint="eastAsia" w:ascii="宋体" w:hAnsi="宋体"/>
          <w:bCs/>
          <w:color w:val="auto"/>
          <w:sz w:val="24"/>
          <w:szCs w:val="24"/>
          <w:highlight w:val="none"/>
          <w:u w:val="single"/>
        </w:rPr>
        <w:t xml:space="preserve">           法</w:t>
      </w:r>
      <w:r>
        <w:rPr>
          <w:rFonts w:hint="eastAsia" w:ascii="宋体" w:hAnsi="宋体"/>
          <w:bCs/>
          <w:color w:val="auto"/>
          <w:sz w:val="24"/>
          <w:szCs w:val="24"/>
          <w:highlight w:val="none"/>
        </w:rPr>
        <w:t>》第</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条的“</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”规定，第2项</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违背《</w:t>
      </w:r>
      <w:r>
        <w:rPr>
          <w:rFonts w:hint="eastAsia" w:ascii="宋体" w:hAnsi="宋体"/>
          <w:bCs/>
          <w:color w:val="auto"/>
          <w:sz w:val="24"/>
          <w:szCs w:val="24"/>
          <w:highlight w:val="none"/>
          <w:u w:val="single"/>
        </w:rPr>
        <w:t xml:space="preserve">              法</w:t>
      </w:r>
      <w:r>
        <w:rPr>
          <w:rFonts w:hint="eastAsia" w:ascii="宋体" w:hAnsi="宋体"/>
          <w:bCs/>
          <w:color w:val="auto"/>
          <w:sz w:val="24"/>
          <w:szCs w:val="24"/>
          <w:highlight w:val="none"/>
        </w:rPr>
        <w:t>》第</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条的规定，请予审查纠正为盼。</w:t>
      </w:r>
    </w:p>
    <w:p w14:paraId="1A42C0FF">
      <w:pPr>
        <w:snapToGrid w:val="0"/>
        <w:spacing w:line="440" w:lineRule="exact"/>
        <w:rPr>
          <w:rFonts w:hint="eastAsia" w:ascii="宋体" w:hAnsi="宋体"/>
          <w:bCs/>
          <w:color w:val="auto"/>
          <w:sz w:val="24"/>
          <w:szCs w:val="24"/>
          <w:highlight w:val="none"/>
        </w:rPr>
      </w:pPr>
      <w:r>
        <w:rPr>
          <w:rFonts w:hint="eastAsia" w:ascii="宋体" w:hAnsi="宋体"/>
          <w:bCs/>
          <w:color w:val="auto"/>
          <w:sz w:val="24"/>
          <w:szCs w:val="24"/>
          <w:highlight w:val="none"/>
        </w:rPr>
        <w:t xml:space="preserve">                             质疑人(全称并加</w:t>
      </w:r>
      <w:r>
        <w:rPr>
          <w:rFonts w:hint="eastAsia" w:ascii="宋体" w:hAnsi="宋体"/>
          <w:bCs/>
          <w:color w:val="auto"/>
          <w:sz w:val="24"/>
          <w:szCs w:val="24"/>
          <w:highlight w:val="none"/>
          <w:u w:val="single"/>
        </w:rPr>
        <w:t>盖</w:t>
      </w:r>
      <w:r>
        <w:rPr>
          <w:rFonts w:hint="eastAsia" w:ascii="宋体" w:hAnsi="宋体"/>
          <w:bCs/>
          <w:color w:val="auto"/>
          <w:sz w:val="24"/>
          <w:szCs w:val="24"/>
          <w:highlight w:val="none"/>
        </w:rPr>
        <w:t>公章)：</w:t>
      </w:r>
      <w:r>
        <w:rPr>
          <w:rFonts w:hint="eastAsia" w:ascii="宋体" w:hAnsi="宋体"/>
          <w:bCs/>
          <w:color w:val="auto"/>
          <w:sz w:val="24"/>
          <w:szCs w:val="24"/>
          <w:highlight w:val="none"/>
          <w:u w:val="single"/>
        </w:rPr>
        <w:t xml:space="preserve">          </w:t>
      </w:r>
    </w:p>
    <w:p w14:paraId="4BB4EEB0">
      <w:pPr>
        <w:snapToGrid w:val="0"/>
        <w:spacing w:line="440" w:lineRule="exact"/>
        <w:rPr>
          <w:rFonts w:hint="eastAsia" w:ascii="宋体" w:hAnsi="宋体"/>
          <w:bCs/>
          <w:color w:val="auto"/>
          <w:sz w:val="24"/>
          <w:szCs w:val="24"/>
          <w:highlight w:val="none"/>
        </w:rPr>
      </w:pPr>
      <w:r>
        <w:rPr>
          <w:rFonts w:hint="eastAsia" w:ascii="宋体" w:hAnsi="宋体"/>
          <w:bCs/>
          <w:color w:val="auto"/>
          <w:sz w:val="24"/>
          <w:szCs w:val="24"/>
          <w:highlight w:val="none"/>
        </w:rPr>
        <w:t xml:space="preserve">                             法定代表人签字：</w:t>
      </w:r>
      <w:r>
        <w:rPr>
          <w:rFonts w:hint="eastAsia" w:ascii="宋体" w:hAnsi="宋体"/>
          <w:bCs/>
          <w:color w:val="auto"/>
          <w:sz w:val="24"/>
          <w:szCs w:val="24"/>
          <w:highlight w:val="none"/>
          <w:u w:val="single"/>
        </w:rPr>
        <w:t xml:space="preserve">          </w:t>
      </w:r>
    </w:p>
    <w:p w14:paraId="0C92BEB5">
      <w:pPr>
        <w:snapToGrid w:val="0"/>
        <w:spacing w:line="440" w:lineRule="exact"/>
        <w:rPr>
          <w:rFonts w:hint="eastAsia" w:ascii="宋体" w:hAnsi="宋体"/>
          <w:bCs/>
          <w:color w:val="auto"/>
          <w:sz w:val="24"/>
          <w:szCs w:val="24"/>
          <w:highlight w:val="none"/>
        </w:rPr>
      </w:pPr>
      <w:r>
        <w:rPr>
          <w:rFonts w:hint="eastAsia" w:ascii="宋体" w:hAnsi="宋体"/>
          <w:bCs/>
          <w:color w:val="auto"/>
          <w:sz w:val="24"/>
          <w:szCs w:val="24"/>
          <w:highlight w:val="none"/>
        </w:rPr>
        <w:t xml:space="preserve">                             委托人签字：</w:t>
      </w:r>
      <w:r>
        <w:rPr>
          <w:rFonts w:hint="eastAsia" w:ascii="宋体" w:hAnsi="宋体"/>
          <w:bCs/>
          <w:color w:val="auto"/>
          <w:sz w:val="24"/>
          <w:szCs w:val="24"/>
          <w:highlight w:val="none"/>
          <w:u w:val="single"/>
        </w:rPr>
        <w:t xml:space="preserve">          </w:t>
      </w:r>
    </w:p>
    <w:p w14:paraId="602456BC">
      <w:pPr>
        <w:snapToGrid w:val="0"/>
        <w:spacing w:line="440" w:lineRule="exact"/>
        <w:rPr>
          <w:rFonts w:hint="eastAsia" w:ascii="宋体" w:hAnsi="宋体"/>
          <w:bCs/>
          <w:color w:val="auto"/>
          <w:sz w:val="24"/>
          <w:szCs w:val="24"/>
          <w:highlight w:val="none"/>
          <w:u w:val="single"/>
        </w:rPr>
      </w:pPr>
      <w:r>
        <w:rPr>
          <w:rFonts w:hint="eastAsia" w:ascii="宋体" w:hAnsi="宋体"/>
          <w:bCs/>
          <w:color w:val="auto"/>
          <w:sz w:val="24"/>
          <w:szCs w:val="24"/>
          <w:highlight w:val="none"/>
        </w:rPr>
        <w:t xml:space="preserve">                             地址：</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联系电话：</w:t>
      </w:r>
      <w:r>
        <w:rPr>
          <w:rFonts w:hint="eastAsia" w:ascii="宋体" w:hAnsi="宋体"/>
          <w:bCs/>
          <w:color w:val="auto"/>
          <w:sz w:val="24"/>
          <w:szCs w:val="24"/>
          <w:highlight w:val="none"/>
          <w:u w:val="single"/>
        </w:rPr>
        <w:t xml:space="preserve">     </w:t>
      </w:r>
    </w:p>
    <w:p w14:paraId="29B95A04">
      <w:pPr>
        <w:snapToGrid w:val="0"/>
        <w:spacing w:line="440" w:lineRule="exact"/>
        <w:rPr>
          <w:rFonts w:hint="eastAsia" w:ascii="宋体" w:hAnsi="宋体"/>
          <w:bCs/>
          <w:color w:val="auto"/>
          <w:sz w:val="24"/>
          <w:szCs w:val="24"/>
          <w:highlight w:val="none"/>
          <w:u w:val="single"/>
        </w:rPr>
      </w:pPr>
      <w:r>
        <w:rPr>
          <w:rFonts w:hint="eastAsia" w:ascii="宋体" w:hAnsi="宋体"/>
          <w:bCs/>
          <w:color w:val="auto"/>
          <w:sz w:val="24"/>
          <w:szCs w:val="24"/>
          <w:highlight w:val="none"/>
        </w:rPr>
        <w:t xml:space="preserve">                             邮编：</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传真：</w:t>
      </w:r>
      <w:r>
        <w:rPr>
          <w:rFonts w:hint="eastAsia" w:ascii="宋体" w:hAnsi="宋体"/>
          <w:bCs/>
          <w:color w:val="auto"/>
          <w:sz w:val="24"/>
          <w:szCs w:val="24"/>
          <w:highlight w:val="none"/>
          <w:u w:val="single"/>
        </w:rPr>
        <w:t xml:space="preserve">         </w:t>
      </w:r>
    </w:p>
    <w:p w14:paraId="5688B329">
      <w:pPr>
        <w:snapToGrid w:val="0"/>
        <w:spacing w:line="440" w:lineRule="exact"/>
        <w:rPr>
          <w:rFonts w:hint="eastAsia" w:ascii="宋体" w:hAnsi="宋体"/>
          <w:bCs/>
          <w:color w:val="auto"/>
          <w:sz w:val="24"/>
          <w:szCs w:val="24"/>
          <w:highlight w:val="none"/>
          <w:u w:val="single"/>
        </w:rPr>
      </w:pPr>
      <w:r>
        <w:rPr>
          <w:rFonts w:hint="eastAsia" w:ascii="宋体" w:hAnsi="宋体"/>
          <w:bCs/>
          <w:color w:val="auto"/>
          <w:sz w:val="24"/>
          <w:szCs w:val="24"/>
          <w:highlight w:val="none"/>
        </w:rPr>
        <w:t xml:space="preserve">                             日期：</w:t>
      </w:r>
      <w:r>
        <w:rPr>
          <w:rFonts w:hint="eastAsia" w:ascii="宋体" w:hAnsi="宋体"/>
          <w:bCs/>
          <w:color w:val="auto"/>
          <w:sz w:val="24"/>
          <w:szCs w:val="24"/>
          <w:highlight w:val="none"/>
          <w:u w:val="single"/>
        </w:rPr>
        <w:t xml:space="preserve">                     </w:t>
      </w:r>
    </w:p>
    <w:p w14:paraId="7067AB06">
      <w:pPr>
        <w:snapToGrid w:val="0"/>
        <w:spacing w:line="440" w:lineRule="exact"/>
        <w:rPr>
          <w:rFonts w:hint="eastAsia" w:ascii="宋体" w:hAnsi="宋体"/>
          <w:bCs/>
          <w:color w:val="auto"/>
          <w:sz w:val="24"/>
          <w:szCs w:val="24"/>
          <w:highlight w:val="none"/>
        </w:rPr>
      </w:pPr>
      <w:r>
        <w:rPr>
          <w:rFonts w:hint="eastAsia" w:ascii="宋体" w:hAnsi="宋体"/>
          <w:bCs/>
          <w:color w:val="auto"/>
          <w:sz w:val="24"/>
          <w:szCs w:val="24"/>
          <w:highlight w:val="none"/>
        </w:rPr>
        <w:t>注：质疑人提供的资料应包括但不限于以下内容：</w:t>
      </w:r>
    </w:p>
    <w:p w14:paraId="67A3F4FB">
      <w:pPr>
        <w:snapToGrid w:val="0"/>
        <w:spacing w:line="440" w:lineRule="exact"/>
        <w:rPr>
          <w:rFonts w:hint="eastAsia" w:ascii="宋体" w:hAnsi="宋体"/>
          <w:bCs/>
          <w:color w:val="auto"/>
          <w:sz w:val="24"/>
          <w:szCs w:val="24"/>
          <w:highlight w:val="none"/>
        </w:rPr>
      </w:pPr>
      <w:r>
        <w:rPr>
          <w:rFonts w:hint="eastAsia" w:ascii="宋体" w:hAnsi="宋体"/>
          <w:bCs/>
          <w:color w:val="auto"/>
          <w:sz w:val="24"/>
          <w:szCs w:val="24"/>
          <w:highlight w:val="none"/>
        </w:rPr>
        <w:t>1、加盖供应商单位公章法定代表人授权书；</w:t>
      </w:r>
    </w:p>
    <w:p w14:paraId="083DB002">
      <w:pPr>
        <w:snapToGrid w:val="0"/>
        <w:spacing w:line="440" w:lineRule="exact"/>
        <w:rPr>
          <w:rFonts w:hint="eastAsia" w:ascii="宋体" w:hAnsi="宋体" w:cs="宋体"/>
          <w:color w:val="auto"/>
          <w:sz w:val="24"/>
          <w:szCs w:val="24"/>
          <w:highlight w:val="none"/>
        </w:rPr>
      </w:pPr>
      <w:r>
        <w:rPr>
          <w:rFonts w:hint="eastAsia" w:ascii="宋体" w:hAnsi="宋体"/>
          <w:bCs/>
          <w:color w:val="auto"/>
          <w:sz w:val="24"/>
          <w:szCs w:val="24"/>
          <w:highlight w:val="none"/>
        </w:rPr>
        <w:t>2、明确的请求和供应商单位加盖公章证明材料。</w:t>
      </w:r>
    </w:p>
    <w:p w14:paraId="13F587E3">
      <w:pPr>
        <w:snapToGrid w:val="0"/>
        <w:spacing w:line="440" w:lineRule="exact"/>
        <w:rPr>
          <w:rFonts w:hint="eastAsia" w:ascii="宋体" w:hAnsi="宋体" w:cs="宋体"/>
          <w:color w:val="auto"/>
          <w:sz w:val="24"/>
          <w:szCs w:val="24"/>
          <w:highlight w:val="none"/>
        </w:rPr>
      </w:pPr>
    </w:p>
    <w:p w14:paraId="300A678E">
      <w:pPr>
        <w:snapToGrid w:val="0"/>
        <w:spacing w:line="440" w:lineRule="exact"/>
        <w:rPr>
          <w:rFonts w:hint="eastAsia" w:ascii="宋体" w:hAnsi="宋体" w:cs="宋体"/>
          <w:b/>
          <w:color w:val="auto"/>
          <w:sz w:val="24"/>
          <w:szCs w:val="24"/>
          <w:highlight w:val="none"/>
        </w:rPr>
      </w:pPr>
    </w:p>
    <w:p w14:paraId="0C5329DC">
      <w:pPr>
        <w:snapToGrid w:val="0"/>
        <w:spacing w:line="440" w:lineRule="exact"/>
        <w:rPr>
          <w:rFonts w:hint="eastAsia" w:ascii="宋体" w:hAnsi="宋体" w:cs="宋体"/>
          <w:b/>
          <w:color w:val="auto"/>
          <w:sz w:val="24"/>
          <w:szCs w:val="24"/>
          <w:highlight w:val="none"/>
        </w:rPr>
      </w:pPr>
    </w:p>
    <w:p w14:paraId="08005484">
      <w:pPr>
        <w:snapToGrid w:val="0"/>
        <w:spacing w:line="440" w:lineRule="exact"/>
        <w:rPr>
          <w:rFonts w:hint="eastAsia" w:ascii="宋体" w:hAnsi="宋体" w:cs="宋体"/>
          <w:b/>
          <w:color w:val="auto"/>
          <w:sz w:val="24"/>
          <w:szCs w:val="24"/>
          <w:highlight w:val="none"/>
        </w:rPr>
      </w:pPr>
    </w:p>
    <w:p w14:paraId="4E497CEF">
      <w:pPr>
        <w:snapToGrid w:val="0"/>
        <w:spacing w:line="440" w:lineRule="exact"/>
        <w:rPr>
          <w:rFonts w:hint="eastAsia" w:ascii="宋体" w:hAnsi="宋体" w:cs="宋体"/>
          <w:b/>
          <w:color w:val="auto"/>
          <w:sz w:val="24"/>
          <w:szCs w:val="24"/>
          <w:highlight w:val="none"/>
        </w:rPr>
      </w:pPr>
      <w:r>
        <w:rPr>
          <w:rFonts w:ascii="宋体" w:hAnsi="宋体" w:cs="宋体"/>
          <w:b/>
          <w:color w:val="auto"/>
          <w:sz w:val="24"/>
          <w:szCs w:val="24"/>
          <w:highlight w:val="none"/>
        </w:rPr>
        <w:br w:type="page"/>
      </w:r>
      <w:r>
        <w:rPr>
          <w:rFonts w:hint="eastAsia" w:ascii="宋体" w:hAnsi="宋体" w:cs="宋体"/>
          <w:b/>
          <w:color w:val="auto"/>
          <w:sz w:val="24"/>
          <w:szCs w:val="24"/>
          <w:highlight w:val="none"/>
        </w:rPr>
        <w:t>附表二</w:t>
      </w:r>
    </w:p>
    <w:p w14:paraId="26653F35">
      <w:pPr>
        <w:snapToGrid w:val="0"/>
        <w:spacing w:line="440" w:lineRule="exact"/>
        <w:ind w:firstLine="480" w:firstLineChars="200"/>
        <w:jc w:val="center"/>
        <w:outlineLvl w:val="2"/>
        <w:rPr>
          <w:rFonts w:hint="eastAsia" w:ascii="宋体" w:hAnsi="宋体"/>
          <w:color w:val="auto"/>
          <w:sz w:val="24"/>
          <w:szCs w:val="24"/>
          <w:highlight w:val="none"/>
        </w:rPr>
      </w:pPr>
      <w:bookmarkStart w:id="139" w:name="_Toc6991"/>
      <w:bookmarkStart w:id="140" w:name="_Toc16258"/>
      <w:bookmarkStart w:id="141" w:name="_Toc8643"/>
      <w:bookmarkStart w:id="142" w:name="_Toc5031"/>
      <w:r>
        <w:rPr>
          <w:rFonts w:hint="eastAsia" w:ascii="宋体" w:hAnsi="宋体"/>
          <w:b/>
          <w:bCs/>
          <w:color w:val="auto"/>
          <w:sz w:val="24"/>
          <w:szCs w:val="24"/>
          <w:highlight w:val="none"/>
        </w:rPr>
        <w:t>质疑内容</w:t>
      </w:r>
      <w:bookmarkEnd w:id="139"/>
      <w:bookmarkEnd w:id="140"/>
      <w:bookmarkEnd w:id="141"/>
      <w:bookmarkEnd w:id="142"/>
    </w:p>
    <w:tbl>
      <w:tblPr>
        <w:tblStyle w:val="25"/>
        <w:tblW w:w="8647" w:type="dxa"/>
        <w:jc w:val="center"/>
        <w:tblLayout w:type="fixed"/>
        <w:tblCellMar>
          <w:top w:w="0" w:type="dxa"/>
          <w:left w:w="0" w:type="dxa"/>
          <w:bottom w:w="0" w:type="dxa"/>
          <w:right w:w="0" w:type="dxa"/>
        </w:tblCellMar>
      </w:tblPr>
      <w:tblGrid>
        <w:gridCol w:w="936"/>
        <w:gridCol w:w="905"/>
        <w:gridCol w:w="6806"/>
      </w:tblGrid>
      <w:tr w14:paraId="5AAA36DB">
        <w:tblPrEx>
          <w:tblCellMar>
            <w:top w:w="0" w:type="dxa"/>
            <w:left w:w="0" w:type="dxa"/>
            <w:bottom w:w="0" w:type="dxa"/>
            <w:right w:w="0" w:type="dxa"/>
          </w:tblCellMar>
        </w:tblPrEx>
        <w:trPr>
          <w:trHeight w:val="567" w:hRule="atLeast"/>
          <w:jc w:val="center"/>
        </w:trPr>
        <w:tc>
          <w:tcPr>
            <w:tcW w:w="1841"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52D54D9">
            <w:pPr>
              <w:snapToGrid w:val="0"/>
              <w:spacing w:line="440" w:lineRule="exact"/>
              <w:ind w:firstLine="480" w:firstLineChars="200"/>
              <w:outlineLvl w:val="0"/>
              <w:rPr>
                <w:rFonts w:ascii="宋体" w:hAnsi="宋体"/>
                <w:color w:val="auto"/>
                <w:sz w:val="24"/>
                <w:szCs w:val="24"/>
                <w:highlight w:val="none"/>
              </w:rPr>
            </w:pPr>
            <w:bookmarkStart w:id="143" w:name="_Toc12310"/>
            <w:bookmarkStart w:id="144" w:name="_Toc7812"/>
            <w:bookmarkStart w:id="145" w:name="_Toc21078"/>
            <w:bookmarkStart w:id="146" w:name="_Toc2338"/>
            <w:r>
              <w:rPr>
                <w:rFonts w:hint="eastAsia" w:ascii="宋体" w:hAnsi="宋体"/>
                <w:color w:val="auto"/>
                <w:sz w:val="24"/>
                <w:szCs w:val="24"/>
                <w:highlight w:val="none"/>
              </w:rPr>
              <w:t>项目名称</w:t>
            </w:r>
            <w:bookmarkEnd w:id="143"/>
            <w:bookmarkEnd w:id="144"/>
            <w:bookmarkEnd w:id="145"/>
            <w:bookmarkEnd w:id="146"/>
          </w:p>
        </w:tc>
        <w:tc>
          <w:tcPr>
            <w:tcW w:w="68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0A66DA9">
            <w:pPr>
              <w:snapToGrid w:val="0"/>
              <w:spacing w:line="440" w:lineRule="exact"/>
              <w:ind w:firstLine="480" w:firstLineChars="200"/>
              <w:outlineLvl w:val="9"/>
              <w:rPr>
                <w:rFonts w:ascii="宋体" w:hAnsi="宋体"/>
                <w:color w:val="auto"/>
                <w:sz w:val="24"/>
                <w:szCs w:val="24"/>
                <w:highlight w:val="none"/>
              </w:rPr>
            </w:pPr>
            <w:r>
              <w:rPr>
                <w:rFonts w:hint="eastAsia" w:ascii="宋体" w:hAnsi="宋体"/>
                <w:color w:val="auto"/>
                <w:sz w:val="24"/>
                <w:szCs w:val="24"/>
                <w:highlight w:val="none"/>
              </w:rPr>
              <w:t> </w:t>
            </w:r>
          </w:p>
        </w:tc>
      </w:tr>
      <w:tr w14:paraId="61FAEB07">
        <w:tblPrEx>
          <w:tblCellMar>
            <w:top w:w="0" w:type="dxa"/>
            <w:left w:w="0" w:type="dxa"/>
            <w:bottom w:w="0" w:type="dxa"/>
            <w:right w:w="0" w:type="dxa"/>
          </w:tblCellMar>
        </w:tblPrEx>
        <w:trPr>
          <w:trHeight w:val="567" w:hRule="atLeast"/>
          <w:jc w:val="center"/>
        </w:trPr>
        <w:tc>
          <w:tcPr>
            <w:tcW w:w="184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A7055C4">
            <w:pPr>
              <w:snapToGrid w:val="0"/>
              <w:spacing w:line="440" w:lineRule="exact"/>
              <w:ind w:firstLine="480" w:firstLineChars="200"/>
              <w:outlineLvl w:val="0"/>
              <w:rPr>
                <w:rFonts w:ascii="宋体" w:hAnsi="宋体"/>
                <w:color w:val="auto"/>
                <w:sz w:val="24"/>
                <w:szCs w:val="24"/>
                <w:highlight w:val="none"/>
              </w:rPr>
            </w:pPr>
            <w:bookmarkStart w:id="147" w:name="_Toc5401"/>
            <w:bookmarkStart w:id="148" w:name="_Toc19856"/>
            <w:bookmarkStart w:id="149" w:name="_Toc26039"/>
            <w:bookmarkStart w:id="150" w:name="_Toc5211"/>
            <w:r>
              <w:rPr>
                <w:rFonts w:hint="eastAsia" w:ascii="宋体" w:hAnsi="宋体"/>
                <w:color w:val="auto"/>
                <w:sz w:val="24"/>
                <w:szCs w:val="24"/>
                <w:highlight w:val="none"/>
              </w:rPr>
              <w:t>采购项目编号</w:t>
            </w:r>
            <w:bookmarkEnd w:id="147"/>
            <w:bookmarkEnd w:id="148"/>
            <w:bookmarkEnd w:id="149"/>
            <w:bookmarkEnd w:id="150"/>
          </w:p>
        </w:tc>
        <w:tc>
          <w:tcPr>
            <w:tcW w:w="6806" w:type="dxa"/>
            <w:tcBorders>
              <w:top w:val="nil"/>
              <w:left w:val="nil"/>
              <w:bottom w:val="single" w:color="auto" w:sz="8" w:space="0"/>
              <w:right w:val="single" w:color="auto" w:sz="8" w:space="0"/>
            </w:tcBorders>
            <w:tcMar>
              <w:top w:w="0" w:type="dxa"/>
              <w:left w:w="108" w:type="dxa"/>
              <w:bottom w:w="0" w:type="dxa"/>
              <w:right w:w="108" w:type="dxa"/>
            </w:tcMar>
            <w:vAlign w:val="center"/>
          </w:tcPr>
          <w:p w14:paraId="32A1126B">
            <w:pPr>
              <w:snapToGrid w:val="0"/>
              <w:spacing w:line="440" w:lineRule="exact"/>
              <w:ind w:firstLine="480" w:firstLineChars="200"/>
              <w:outlineLvl w:val="9"/>
              <w:rPr>
                <w:rFonts w:ascii="宋体" w:hAnsi="宋体"/>
                <w:color w:val="auto"/>
                <w:sz w:val="24"/>
                <w:szCs w:val="24"/>
                <w:highlight w:val="none"/>
              </w:rPr>
            </w:pPr>
            <w:r>
              <w:rPr>
                <w:rFonts w:hint="eastAsia" w:ascii="宋体" w:hAnsi="宋体"/>
                <w:color w:val="auto"/>
                <w:sz w:val="24"/>
                <w:szCs w:val="24"/>
                <w:highlight w:val="none"/>
              </w:rPr>
              <w:t> </w:t>
            </w:r>
          </w:p>
        </w:tc>
      </w:tr>
      <w:tr w14:paraId="0ECC72BD">
        <w:tblPrEx>
          <w:tblCellMar>
            <w:top w:w="0" w:type="dxa"/>
            <w:left w:w="0" w:type="dxa"/>
            <w:bottom w:w="0" w:type="dxa"/>
            <w:right w:w="0" w:type="dxa"/>
          </w:tblCellMar>
        </w:tblPrEx>
        <w:trPr>
          <w:cantSplit/>
          <w:trHeight w:val="3879" w:hRule="atLeast"/>
          <w:jc w:val="center"/>
        </w:trPr>
        <w:tc>
          <w:tcPr>
            <w:tcW w:w="9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DE1817A">
            <w:pPr>
              <w:snapToGrid w:val="0"/>
              <w:spacing w:line="440" w:lineRule="exact"/>
              <w:ind w:firstLine="480" w:firstLineChars="200"/>
              <w:outlineLvl w:val="0"/>
              <w:rPr>
                <w:rFonts w:ascii="宋体" w:hAnsi="宋体"/>
                <w:color w:val="auto"/>
                <w:sz w:val="24"/>
                <w:szCs w:val="24"/>
                <w:highlight w:val="none"/>
              </w:rPr>
            </w:pPr>
            <w:bookmarkStart w:id="151" w:name="_Toc20269"/>
            <w:bookmarkStart w:id="152" w:name="_Toc9705"/>
            <w:bookmarkStart w:id="153" w:name="_Toc28918"/>
            <w:bookmarkStart w:id="154" w:name="_Toc19055"/>
            <w:r>
              <w:rPr>
                <w:rFonts w:hint="eastAsia" w:ascii="宋体" w:hAnsi="宋体"/>
                <w:color w:val="auto"/>
                <w:sz w:val="24"/>
                <w:szCs w:val="24"/>
                <w:highlight w:val="none"/>
              </w:rPr>
              <w:t>具体的质疑事项及事实依据</w:t>
            </w:r>
            <w:bookmarkEnd w:id="151"/>
            <w:bookmarkEnd w:id="152"/>
            <w:bookmarkEnd w:id="153"/>
            <w:bookmarkEnd w:id="154"/>
          </w:p>
        </w:tc>
        <w:tc>
          <w:tcPr>
            <w:tcW w:w="7711"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14:paraId="69FBAE46">
            <w:pPr>
              <w:snapToGrid w:val="0"/>
              <w:spacing w:line="276" w:lineRule="auto"/>
              <w:ind w:firstLine="480" w:firstLineChars="200"/>
              <w:outlineLvl w:val="0"/>
              <w:rPr>
                <w:rFonts w:ascii="宋体" w:hAnsi="宋体"/>
                <w:color w:val="auto"/>
                <w:sz w:val="24"/>
                <w:szCs w:val="24"/>
                <w:highlight w:val="none"/>
              </w:rPr>
            </w:pPr>
            <w:bookmarkStart w:id="155" w:name="_Toc22737"/>
            <w:bookmarkStart w:id="156" w:name="_Toc11039"/>
            <w:bookmarkStart w:id="157" w:name="_Toc11309"/>
            <w:bookmarkStart w:id="158" w:name="_Toc13573"/>
            <w:r>
              <w:rPr>
                <w:rFonts w:hint="eastAsia" w:ascii="宋体" w:hAnsi="宋体"/>
                <w:b/>
                <w:bCs/>
                <w:color w:val="auto"/>
                <w:sz w:val="24"/>
                <w:szCs w:val="24"/>
                <w:highlight w:val="none"/>
              </w:rPr>
              <w:t>一、质疑事项1：</w:t>
            </w:r>
            <w:bookmarkEnd w:id="155"/>
            <w:bookmarkEnd w:id="156"/>
            <w:bookmarkEnd w:id="157"/>
            <w:bookmarkEnd w:id="158"/>
          </w:p>
          <w:p w14:paraId="4AF1118C">
            <w:pPr>
              <w:snapToGrid w:val="0"/>
              <w:spacing w:line="276" w:lineRule="auto"/>
              <w:ind w:firstLine="480" w:firstLineChars="200"/>
              <w:outlineLvl w:val="0"/>
              <w:rPr>
                <w:rFonts w:ascii="宋体" w:hAnsi="宋体"/>
                <w:color w:val="auto"/>
                <w:sz w:val="24"/>
                <w:szCs w:val="24"/>
                <w:highlight w:val="none"/>
              </w:rPr>
            </w:pPr>
            <w:bookmarkStart w:id="159" w:name="_Toc1384"/>
            <w:bookmarkStart w:id="160" w:name="_Toc23129"/>
            <w:bookmarkStart w:id="161" w:name="_Toc24875"/>
            <w:bookmarkStart w:id="162" w:name="_Toc25614"/>
            <w:r>
              <w:rPr>
                <w:rFonts w:hint="eastAsia" w:ascii="宋体" w:hAnsi="宋体"/>
                <w:color w:val="auto"/>
                <w:sz w:val="24"/>
                <w:szCs w:val="24"/>
                <w:highlight w:val="none"/>
              </w:rPr>
              <w:t>主要内容：</w:t>
            </w:r>
            <w:bookmarkEnd w:id="159"/>
            <w:bookmarkEnd w:id="160"/>
            <w:bookmarkEnd w:id="161"/>
            <w:bookmarkEnd w:id="162"/>
          </w:p>
          <w:p w14:paraId="3F6402BA">
            <w:pPr>
              <w:snapToGrid w:val="0"/>
              <w:spacing w:line="276" w:lineRule="auto"/>
              <w:ind w:firstLine="480" w:firstLineChars="200"/>
              <w:outlineLvl w:val="0"/>
              <w:rPr>
                <w:rFonts w:ascii="宋体" w:hAnsi="宋体"/>
                <w:color w:val="auto"/>
                <w:sz w:val="24"/>
                <w:szCs w:val="24"/>
                <w:highlight w:val="none"/>
              </w:rPr>
            </w:pPr>
            <w:bookmarkStart w:id="163" w:name="_Toc2762"/>
            <w:bookmarkStart w:id="164" w:name="_Toc25068"/>
            <w:bookmarkStart w:id="165" w:name="_Toc4921"/>
            <w:bookmarkStart w:id="166" w:name="_Toc13104"/>
            <w:r>
              <w:rPr>
                <w:rFonts w:hint="eastAsia" w:ascii="宋体" w:hAnsi="宋体"/>
                <w:color w:val="auto"/>
                <w:sz w:val="24"/>
                <w:szCs w:val="24"/>
                <w:highlight w:val="none"/>
              </w:rPr>
              <w:t>事实依据：</w:t>
            </w:r>
            <w:bookmarkEnd w:id="163"/>
            <w:bookmarkEnd w:id="164"/>
            <w:bookmarkEnd w:id="165"/>
            <w:bookmarkEnd w:id="166"/>
          </w:p>
          <w:p w14:paraId="3AED155C">
            <w:pPr>
              <w:snapToGrid w:val="0"/>
              <w:spacing w:line="276" w:lineRule="auto"/>
              <w:ind w:firstLine="480" w:firstLineChars="200"/>
              <w:outlineLvl w:val="0"/>
              <w:rPr>
                <w:rFonts w:ascii="宋体" w:hAnsi="宋体"/>
                <w:color w:val="auto"/>
                <w:sz w:val="24"/>
                <w:szCs w:val="24"/>
                <w:highlight w:val="none"/>
              </w:rPr>
            </w:pPr>
            <w:bookmarkStart w:id="167" w:name="_Toc7901"/>
            <w:bookmarkStart w:id="168" w:name="_Toc9636"/>
            <w:bookmarkStart w:id="169" w:name="_Toc22379"/>
            <w:bookmarkStart w:id="170" w:name="_Toc24639"/>
            <w:r>
              <w:rPr>
                <w:rFonts w:hint="eastAsia" w:ascii="宋体" w:hAnsi="宋体"/>
                <w:color w:val="auto"/>
                <w:sz w:val="24"/>
                <w:szCs w:val="24"/>
                <w:highlight w:val="none"/>
              </w:rPr>
              <w:t>适应法规条款：</w:t>
            </w:r>
            <w:bookmarkEnd w:id="167"/>
            <w:bookmarkEnd w:id="168"/>
            <w:bookmarkEnd w:id="169"/>
            <w:bookmarkEnd w:id="170"/>
          </w:p>
          <w:p w14:paraId="2F6F403D">
            <w:pPr>
              <w:snapToGrid w:val="0"/>
              <w:spacing w:line="276" w:lineRule="auto"/>
              <w:ind w:firstLine="480" w:firstLineChars="200"/>
              <w:outlineLvl w:val="0"/>
              <w:rPr>
                <w:rFonts w:ascii="宋体" w:hAnsi="宋体"/>
                <w:color w:val="auto"/>
                <w:sz w:val="24"/>
                <w:szCs w:val="24"/>
                <w:highlight w:val="none"/>
              </w:rPr>
            </w:pPr>
            <w:bookmarkStart w:id="171" w:name="_Toc17715"/>
            <w:bookmarkStart w:id="172" w:name="_Toc22651"/>
            <w:bookmarkStart w:id="173" w:name="_Toc27"/>
            <w:bookmarkStart w:id="174" w:name="_Toc4949"/>
            <w:r>
              <w:rPr>
                <w:rFonts w:hint="eastAsia" w:ascii="宋体" w:hAnsi="宋体"/>
                <w:color w:val="auto"/>
                <w:sz w:val="24"/>
                <w:szCs w:val="24"/>
                <w:highlight w:val="none"/>
              </w:rPr>
              <w:t>佐证材料：</w:t>
            </w:r>
            <w:bookmarkEnd w:id="171"/>
            <w:bookmarkEnd w:id="172"/>
            <w:bookmarkEnd w:id="173"/>
            <w:bookmarkEnd w:id="174"/>
          </w:p>
          <w:p w14:paraId="640F2059">
            <w:pPr>
              <w:snapToGrid w:val="0"/>
              <w:spacing w:line="276" w:lineRule="auto"/>
              <w:ind w:firstLine="480" w:firstLineChars="200"/>
              <w:outlineLvl w:val="0"/>
              <w:rPr>
                <w:rFonts w:ascii="宋体" w:hAnsi="宋体"/>
                <w:color w:val="auto"/>
                <w:sz w:val="24"/>
                <w:szCs w:val="24"/>
                <w:highlight w:val="none"/>
              </w:rPr>
            </w:pPr>
            <w:bookmarkStart w:id="175" w:name="_Toc22839"/>
            <w:bookmarkStart w:id="176" w:name="_Toc30791"/>
            <w:bookmarkStart w:id="177" w:name="_Toc28263"/>
            <w:bookmarkStart w:id="178" w:name="_Toc25247"/>
            <w:r>
              <w:rPr>
                <w:rFonts w:hint="eastAsia" w:ascii="宋体" w:hAnsi="宋体"/>
                <w:b/>
                <w:bCs/>
                <w:color w:val="auto"/>
                <w:sz w:val="24"/>
                <w:szCs w:val="24"/>
                <w:highlight w:val="none"/>
              </w:rPr>
              <w:t>二、质疑事项2：</w:t>
            </w:r>
            <w:bookmarkEnd w:id="175"/>
            <w:bookmarkEnd w:id="176"/>
            <w:bookmarkEnd w:id="177"/>
            <w:bookmarkEnd w:id="178"/>
          </w:p>
          <w:p w14:paraId="2CFA9208">
            <w:pPr>
              <w:snapToGrid w:val="0"/>
              <w:spacing w:line="276" w:lineRule="auto"/>
              <w:ind w:firstLine="480" w:firstLineChars="200"/>
              <w:outlineLvl w:val="0"/>
              <w:rPr>
                <w:rFonts w:ascii="宋体" w:hAnsi="宋体"/>
                <w:color w:val="auto"/>
                <w:sz w:val="24"/>
                <w:szCs w:val="24"/>
                <w:highlight w:val="none"/>
              </w:rPr>
            </w:pPr>
            <w:bookmarkStart w:id="179" w:name="_Toc10041"/>
            <w:bookmarkStart w:id="180" w:name="_Toc22638"/>
            <w:bookmarkStart w:id="181" w:name="_Toc5157"/>
            <w:bookmarkStart w:id="182" w:name="_Toc18510"/>
            <w:r>
              <w:rPr>
                <w:rFonts w:hint="eastAsia" w:ascii="宋体" w:hAnsi="宋体"/>
                <w:color w:val="auto"/>
                <w:sz w:val="24"/>
                <w:szCs w:val="24"/>
                <w:highlight w:val="none"/>
              </w:rPr>
              <w:t>主要内容：</w:t>
            </w:r>
            <w:bookmarkEnd w:id="179"/>
            <w:bookmarkEnd w:id="180"/>
            <w:bookmarkEnd w:id="181"/>
            <w:bookmarkEnd w:id="182"/>
          </w:p>
          <w:p w14:paraId="77A85B3E">
            <w:pPr>
              <w:snapToGrid w:val="0"/>
              <w:spacing w:line="276" w:lineRule="auto"/>
              <w:ind w:firstLine="480" w:firstLineChars="200"/>
              <w:outlineLvl w:val="0"/>
              <w:rPr>
                <w:rFonts w:ascii="宋体" w:hAnsi="宋体"/>
                <w:color w:val="auto"/>
                <w:sz w:val="24"/>
                <w:szCs w:val="24"/>
                <w:highlight w:val="none"/>
              </w:rPr>
            </w:pPr>
            <w:bookmarkStart w:id="183" w:name="_Toc2440"/>
            <w:bookmarkStart w:id="184" w:name="_Toc576"/>
            <w:bookmarkStart w:id="185" w:name="_Toc20161"/>
            <w:bookmarkStart w:id="186" w:name="_Toc28663"/>
            <w:r>
              <w:rPr>
                <w:rFonts w:hint="eastAsia" w:ascii="宋体" w:hAnsi="宋体"/>
                <w:color w:val="auto"/>
                <w:sz w:val="24"/>
                <w:szCs w:val="24"/>
                <w:highlight w:val="none"/>
              </w:rPr>
              <w:t>事实依据：</w:t>
            </w:r>
            <w:bookmarkEnd w:id="183"/>
            <w:bookmarkEnd w:id="184"/>
            <w:bookmarkEnd w:id="185"/>
            <w:bookmarkEnd w:id="186"/>
          </w:p>
          <w:p w14:paraId="718EFBF3">
            <w:pPr>
              <w:snapToGrid w:val="0"/>
              <w:spacing w:line="276" w:lineRule="auto"/>
              <w:ind w:firstLine="480" w:firstLineChars="200"/>
              <w:outlineLvl w:val="0"/>
              <w:rPr>
                <w:rFonts w:ascii="宋体" w:hAnsi="宋体"/>
                <w:color w:val="auto"/>
                <w:sz w:val="24"/>
                <w:szCs w:val="24"/>
                <w:highlight w:val="none"/>
              </w:rPr>
            </w:pPr>
            <w:bookmarkStart w:id="187" w:name="_Toc26421"/>
            <w:bookmarkStart w:id="188" w:name="_Toc19804"/>
            <w:bookmarkStart w:id="189" w:name="_Toc11680"/>
            <w:bookmarkStart w:id="190" w:name="_Toc32283"/>
            <w:r>
              <w:rPr>
                <w:rFonts w:hint="eastAsia" w:ascii="宋体" w:hAnsi="宋体"/>
                <w:color w:val="auto"/>
                <w:sz w:val="24"/>
                <w:szCs w:val="24"/>
                <w:highlight w:val="none"/>
              </w:rPr>
              <w:t>适应法规条款：</w:t>
            </w:r>
            <w:bookmarkEnd w:id="187"/>
            <w:bookmarkEnd w:id="188"/>
            <w:bookmarkEnd w:id="189"/>
            <w:bookmarkEnd w:id="190"/>
          </w:p>
          <w:p w14:paraId="4065EE2C">
            <w:pPr>
              <w:snapToGrid w:val="0"/>
              <w:spacing w:line="276" w:lineRule="auto"/>
              <w:ind w:firstLine="480" w:firstLineChars="200"/>
              <w:outlineLvl w:val="0"/>
              <w:rPr>
                <w:rFonts w:ascii="宋体" w:hAnsi="宋体"/>
                <w:color w:val="auto"/>
                <w:sz w:val="24"/>
                <w:szCs w:val="24"/>
                <w:highlight w:val="none"/>
              </w:rPr>
            </w:pPr>
            <w:bookmarkStart w:id="191" w:name="_Toc20847"/>
            <w:bookmarkStart w:id="192" w:name="_Toc23653"/>
            <w:bookmarkStart w:id="193" w:name="_Toc21267"/>
            <w:bookmarkStart w:id="194" w:name="_Toc25474"/>
            <w:r>
              <w:rPr>
                <w:rFonts w:hint="eastAsia" w:ascii="宋体" w:hAnsi="宋体"/>
                <w:color w:val="auto"/>
                <w:sz w:val="24"/>
                <w:szCs w:val="24"/>
                <w:highlight w:val="none"/>
              </w:rPr>
              <w:t>佐证材料： </w:t>
            </w:r>
            <w:bookmarkEnd w:id="191"/>
            <w:bookmarkEnd w:id="192"/>
            <w:bookmarkEnd w:id="193"/>
            <w:bookmarkEnd w:id="194"/>
          </w:p>
          <w:p w14:paraId="2083EC4E">
            <w:pPr>
              <w:snapToGrid w:val="0"/>
              <w:spacing w:line="276" w:lineRule="auto"/>
              <w:ind w:firstLine="480" w:firstLineChars="200"/>
              <w:outlineLvl w:val="0"/>
              <w:rPr>
                <w:rFonts w:hint="eastAsia" w:ascii="宋体" w:hAnsi="宋体"/>
                <w:color w:val="auto"/>
                <w:sz w:val="24"/>
                <w:szCs w:val="24"/>
                <w:highlight w:val="none"/>
              </w:rPr>
            </w:pPr>
            <w:bookmarkStart w:id="195" w:name="_Toc13778"/>
            <w:bookmarkStart w:id="196" w:name="_Toc18376"/>
            <w:bookmarkStart w:id="197" w:name="_Toc25584"/>
            <w:bookmarkStart w:id="198" w:name="_Toc27781"/>
            <w:r>
              <w:rPr>
                <w:rFonts w:hint="eastAsia" w:ascii="宋体" w:hAnsi="宋体"/>
                <w:b/>
                <w:bCs/>
                <w:color w:val="auto"/>
                <w:sz w:val="24"/>
                <w:szCs w:val="24"/>
                <w:highlight w:val="none"/>
              </w:rPr>
              <w:t>三、同上</w:t>
            </w:r>
            <w:bookmarkEnd w:id="195"/>
            <w:bookmarkEnd w:id="196"/>
            <w:bookmarkEnd w:id="197"/>
            <w:bookmarkEnd w:id="198"/>
          </w:p>
        </w:tc>
      </w:tr>
    </w:tbl>
    <w:p w14:paraId="421D2FCB">
      <w:pPr>
        <w:snapToGrid w:val="0"/>
        <w:spacing w:line="440" w:lineRule="exact"/>
        <w:ind w:firstLine="480" w:firstLineChars="200"/>
        <w:outlineLvl w:val="0"/>
        <w:rPr>
          <w:rFonts w:ascii="宋体" w:hAnsi="宋体"/>
          <w:b/>
          <w:bCs/>
          <w:color w:val="auto"/>
          <w:sz w:val="24"/>
          <w:szCs w:val="24"/>
          <w:highlight w:val="none"/>
        </w:rPr>
      </w:pPr>
      <w:bookmarkStart w:id="199" w:name="_Toc9069"/>
      <w:bookmarkStart w:id="200" w:name="_Toc20918"/>
      <w:bookmarkStart w:id="201" w:name="_Toc24747"/>
      <w:bookmarkStart w:id="202" w:name="_Toc1484"/>
      <w:r>
        <w:rPr>
          <w:rFonts w:ascii="宋体" w:hAnsi="宋体"/>
          <w:b/>
          <w:bCs/>
          <w:color w:val="auto"/>
          <w:sz w:val="24"/>
          <w:szCs w:val="24"/>
          <w:highlight w:val="none"/>
        </w:rPr>
        <w:t>质疑人</w:t>
      </w:r>
      <w:r>
        <w:rPr>
          <w:rFonts w:hint="eastAsia" w:ascii="宋体" w:hAnsi="宋体"/>
          <w:b/>
          <w:bCs/>
          <w:color w:val="auto"/>
          <w:sz w:val="24"/>
          <w:szCs w:val="24"/>
          <w:highlight w:val="none"/>
        </w:rPr>
        <w:t>（盖公章）：</w:t>
      </w:r>
      <w:bookmarkEnd w:id="199"/>
      <w:bookmarkEnd w:id="200"/>
      <w:bookmarkEnd w:id="201"/>
      <w:bookmarkEnd w:id="202"/>
    </w:p>
    <w:p w14:paraId="5383856A">
      <w:pPr>
        <w:snapToGrid w:val="0"/>
        <w:spacing w:line="440" w:lineRule="exact"/>
        <w:ind w:firstLine="480" w:firstLineChars="200"/>
        <w:outlineLvl w:val="0"/>
        <w:rPr>
          <w:rFonts w:ascii="宋体" w:hAnsi="宋体"/>
          <w:b/>
          <w:bCs/>
          <w:color w:val="auto"/>
          <w:sz w:val="24"/>
          <w:szCs w:val="24"/>
          <w:highlight w:val="none"/>
        </w:rPr>
      </w:pPr>
      <w:bookmarkStart w:id="203" w:name="_Toc21617"/>
      <w:bookmarkStart w:id="204" w:name="_Toc30232"/>
      <w:bookmarkStart w:id="205" w:name="_Toc15635"/>
      <w:bookmarkStart w:id="206" w:name="_Toc18025"/>
      <w:r>
        <w:rPr>
          <w:rFonts w:ascii="宋体" w:hAnsi="宋体"/>
          <w:b/>
          <w:bCs/>
          <w:color w:val="auto"/>
          <w:sz w:val="24"/>
          <w:szCs w:val="24"/>
          <w:highlight w:val="none"/>
        </w:rPr>
        <w:t>法定发表人</w:t>
      </w:r>
      <w:r>
        <w:rPr>
          <w:rFonts w:hint="eastAsia" w:ascii="宋体" w:hAnsi="宋体"/>
          <w:b/>
          <w:bCs/>
          <w:color w:val="auto"/>
          <w:sz w:val="24"/>
          <w:szCs w:val="24"/>
          <w:highlight w:val="none"/>
        </w:rPr>
        <w:t>（签字、盖章）：</w:t>
      </w:r>
      <w:bookmarkEnd w:id="203"/>
      <w:bookmarkEnd w:id="204"/>
      <w:bookmarkEnd w:id="205"/>
      <w:bookmarkEnd w:id="206"/>
    </w:p>
    <w:p w14:paraId="627CCD21">
      <w:pPr>
        <w:snapToGrid w:val="0"/>
        <w:spacing w:line="440" w:lineRule="exact"/>
        <w:ind w:firstLine="480" w:firstLineChars="200"/>
        <w:outlineLvl w:val="0"/>
        <w:rPr>
          <w:rFonts w:ascii="宋体" w:hAnsi="宋体"/>
          <w:b/>
          <w:bCs/>
          <w:color w:val="auto"/>
          <w:sz w:val="24"/>
          <w:szCs w:val="24"/>
          <w:highlight w:val="none"/>
        </w:rPr>
      </w:pPr>
      <w:bookmarkStart w:id="207" w:name="_Toc9674"/>
      <w:bookmarkStart w:id="208" w:name="_Toc12827"/>
      <w:bookmarkStart w:id="209" w:name="_Toc20254"/>
      <w:bookmarkStart w:id="210" w:name="_Toc3872"/>
      <w:r>
        <w:rPr>
          <w:rFonts w:ascii="宋体" w:hAnsi="宋体"/>
          <w:b/>
          <w:bCs/>
          <w:color w:val="auto"/>
          <w:sz w:val="24"/>
          <w:szCs w:val="24"/>
          <w:highlight w:val="none"/>
        </w:rPr>
        <w:t>授权代理人</w:t>
      </w:r>
      <w:r>
        <w:rPr>
          <w:rFonts w:hint="eastAsia" w:ascii="宋体" w:hAnsi="宋体"/>
          <w:b/>
          <w:bCs/>
          <w:color w:val="auto"/>
          <w:sz w:val="24"/>
          <w:szCs w:val="24"/>
          <w:highlight w:val="none"/>
        </w:rPr>
        <w:t>（签字）：</w:t>
      </w:r>
      <w:bookmarkEnd w:id="207"/>
      <w:bookmarkEnd w:id="208"/>
      <w:bookmarkEnd w:id="209"/>
      <w:bookmarkEnd w:id="210"/>
    </w:p>
    <w:p w14:paraId="6C6D4D96">
      <w:pPr>
        <w:snapToGrid w:val="0"/>
        <w:spacing w:line="440" w:lineRule="exact"/>
        <w:ind w:firstLine="480" w:firstLineChars="200"/>
        <w:outlineLvl w:val="0"/>
        <w:rPr>
          <w:rFonts w:hint="eastAsia" w:ascii="宋体" w:hAnsi="宋体"/>
          <w:b/>
          <w:bCs/>
          <w:color w:val="auto"/>
          <w:sz w:val="24"/>
          <w:szCs w:val="24"/>
          <w:highlight w:val="none"/>
        </w:rPr>
      </w:pPr>
      <w:bookmarkStart w:id="211" w:name="_Toc10390"/>
      <w:bookmarkStart w:id="212" w:name="_Toc2926"/>
      <w:bookmarkStart w:id="213" w:name="_Toc21978"/>
      <w:bookmarkStart w:id="214" w:name="_Toc1096"/>
      <w:r>
        <w:rPr>
          <w:rFonts w:ascii="宋体" w:hAnsi="宋体"/>
          <w:b/>
          <w:bCs/>
          <w:color w:val="auto"/>
          <w:sz w:val="24"/>
          <w:szCs w:val="24"/>
          <w:highlight w:val="none"/>
        </w:rPr>
        <w:t>日期</w:t>
      </w:r>
      <w:r>
        <w:rPr>
          <w:rFonts w:hint="eastAsia" w:ascii="宋体" w:hAnsi="宋体"/>
          <w:b/>
          <w:bCs/>
          <w:color w:val="auto"/>
          <w:sz w:val="24"/>
          <w:szCs w:val="24"/>
          <w:highlight w:val="none"/>
        </w:rPr>
        <w:t>：</w:t>
      </w:r>
      <w:r>
        <w:rPr>
          <w:rFonts w:ascii="宋体" w:hAnsi="宋体"/>
          <w:b/>
          <w:bCs/>
          <w:color w:val="auto"/>
          <w:sz w:val="24"/>
          <w:szCs w:val="24"/>
          <w:highlight w:val="none"/>
        </w:rPr>
        <w:t>年</w:t>
      </w:r>
      <w:r>
        <w:rPr>
          <w:rFonts w:hint="eastAsia" w:ascii="宋体" w:hAnsi="宋体"/>
          <w:b/>
          <w:bCs/>
          <w:color w:val="auto"/>
          <w:sz w:val="24"/>
          <w:szCs w:val="24"/>
          <w:highlight w:val="none"/>
        </w:rPr>
        <w:t xml:space="preserve">  月 日</w:t>
      </w:r>
      <w:bookmarkEnd w:id="211"/>
      <w:bookmarkEnd w:id="212"/>
      <w:bookmarkEnd w:id="213"/>
      <w:bookmarkEnd w:id="214"/>
    </w:p>
    <w:p w14:paraId="50F1825A">
      <w:pPr>
        <w:snapToGrid w:val="0"/>
        <w:spacing w:line="440" w:lineRule="exact"/>
        <w:ind w:firstLine="480" w:firstLineChars="200"/>
        <w:outlineLvl w:val="0"/>
        <w:rPr>
          <w:rFonts w:ascii="宋体" w:hAnsi="宋体"/>
          <w:color w:val="auto"/>
          <w:sz w:val="24"/>
          <w:szCs w:val="24"/>
          <w:highlight w:val="none"/>
        </w:rPr>
      </w:pPr>
      <w:bookmarkStart w:id="215" w:name="_Toc10187"/>
      <w:bookmarkStart w:id="216" w:name="_Toc29311"/>
      <w:bookmarkStart w:id="217" w:name="_Toc3990"/>
      <w:bookmarkStart w:id="218" w:name="_Toc16297"/>
      <w:r>
        <w:rPr>
          <w:rFonts w:hint="eastAsia" w:ascii="宋体" w:hAnsi="宋体"/>
          <w:b/>
          <w:bCs/>
          <w:color w:val="auto"/>
          <w:sz w:val="24"/>
          <w:szCs w:val="24"/>
          <w:highlight w:val="none"/>
        </w:rPr>
        <w:t>备注：</w:t>
      </w:r>
      <w:bookmarkEnd w:id="215"/>
      <w:bookmarkEnd w:id="216"/>
      <w:bookmarkEnd w:id="217"/>
      <w:bookmarkEnd w:id="218"/>
    </w:p>
    <w:p w14:paraId="5C329E86">
      <w:pPr>
        <w:snapToGrid w:val="0"/>
        <w:spacing w:line="440" w:lineRule="exact"/>
        <w:ind w:firstLine="480" w:firstLineChars="200"/>
        <w:outlineLvl w:val="0"/>
        <w:rPr>
          <w:rFonts w:ascii="宋体" w:hAnsi="宋体"/>
          <w:color w:val="auto"/>
          <w:sz w:val="24"/>
          <w:szCs w:val="24"/>
          <w:highlight w:val="none"/>
        </w:rPr>
      </w:pPr>
      <w:bookmarkStart w:id="219" w:name="_Toc23957"/>
      <w:bookmarkStart w:id="220" w:name="_Toc21194"/>
      <w:bookmarkStart w:id="221" w:name="_Toc21980"/>
      <w:bookmarkStart w:id="222" w:name="_Toc26970"/>
      <w:r>
        <w:rPr>
          <w:rFonts w:hint="eastAsia" w:ascii="宋体" w:hAnsi="宋体"/>
          <w:color w:val="auto"/>
          <w:sz w:val="24"/>
          <w:szCs w:val="24"/>
          <w:highlight w:val="none"/>
        </w:rPr>
        <w:t>1、质疑人的法定代表人办理质疑事务的，在提交质疑函（无需填写授权委托人）的同时，还应提交加盖质疑人公章的营业执照（事业单位法人证书）副本复印件和法定代表人的身份证复印件。并出具身份证原件用于核对。</w:t>
      </w:r>
      <w:bookmarkEnd w:id="219"/>
      <w:bookmarkEnd w:id="220"/>
      <w:bookmarkEnd w:id="221"/>
      <w:bookmarkEnd w:id="222"/>
    </w:p>
    <w:p w14:paraId="165A51D4">
      <w:pPr>
        <w:snapToGrid w:val="0"/>
        <w:spacing w:line="440" w:lineRule="exact"/>
        <w:ind w:firstLine="480" w:firstLineChars="200"/>
        <w:outlineLvl w:val="0"/>
        <w:rPr>
          <w:rFonts w:ascii="宋体" w:hAnsi="宋体"/>
          <w:color w:val="auto"/>
          <w:sz w:val="24"/>
          <w:szCs w:val="24"/>
          <w:highlight w:val="none"/>
        </w:rPr>
      </w:pPr>
      <w:bookmarkStart w:id="223" w:name="_Toc29109"/>
      <w:bookmarkStart w:id="224" w:name="_Toc13604"/>
      <w:bookmarkStart w:id="225" w:name="_Toc12693"/>
      <w:bookmarkStart w:id="226" w:name="_Toc29931"/>
      <w:r>
        <w:rPr>
          <w:rFonts w:hint="eastAsia" w:ascii="宋体" w:hAnsi="宋体"/>
          <w:color w:val="auto"/>
          <w:sz w:val="24"/>
          <w:szCs w:val="24"/>
          <w:highlight w:val="none"/>
        </w:rPr>
        <w:t>2、授权本项目授权代理人办理质疑事务的，除提交质疑书、加盖质疑人公章的营业执照（事业单位法人证书）副本复印件和法定代表人的身份证复印件外，还应当提交由质疑人出具的明确载明授权委托的具体权限和事项的法定代表人授权委托书以及授权委托人的身份证复印件。</w:t>
      </w:r>
      <w:bookmarkEnd w:id="223"/>
      <w:bookmarkEnd w:id="224"/>
      <w:bookmarkEnd w:id="225"/>
      <w:bookmarkEnd w:id="226"/>
    </w:p>
    <w:p w14:paraId="38A4CA59">
      <w:pPr>
        <w:snapToGrid w:val="0"/>
        <w:spacing w:line="440" w:lineRule="exact"/>
        <w:ind w:firstLine="480" w:firstLineChars="200"/>
        <w:outlineLvl w:val="0"/>
        <w:rPr>
          <w:rFonts w:ascii="宋体" w:hAnsi="宋体"/>
          <w:color w:val="auto"/>
          <w:sz w:val="24"/>
          <w:szCs w:val="24"/>
          <w:highlight w:val="none"/>
        </w:rPr>
      </w:pPr>
      <w:bookmarkStart w:id="227" w:name="_Toc31068"/>
      <w:bookmarkStart w:id="228" w:name="_Toc22283"/>
      <w:bookmarkStart w:id="229" w:name="_Toc4731"/>
      <w:bookmarkStart w:id="230" w:name="_Toc22526"/>
      <w:r>
        <w:rPr>
          <w:rFonts w:hint="eastAsia" w:ascii="宋体" w:hAnsi="宋体"/>
          <w:color w:val="auto"/>
          <w:sz w:val="24"/>
          <w:szCs w:val="24"/>
          <w:highlight w:val="none"/>
        </w:rPr>
        <w:t>3、“具体的质疑事项及事实依据”一栏填写不下时，质疑人可另附页（A4），但附纸要求加盖质疑人公章。</w:t>
      </w:r>
      <w:bookmarkEnd w:id="227"/>
      <w:bookmarkEnd w:id="228"/>
      <w:bookmarkEnd w:id="229"/>
      <w:bookmarkEnd w:id="230"/>
    </w:p>
    <w:p w14:paraId="10C3844E">
      <w:pPr>
        <w:snapToGrid w:val="0"/>
        <w:spacing w:line="440" w:lineRule="exact"/>
        <w:ind w:firstLine="480" w:firstLineChars="200"/>
        <w:outlineLvl w:val="2"/>
        <w:rPr>
          <w:rFonts w:hint="eastAsia" w:ascii="宋体" w:hAnsi="宋体"/>
          <w:color w:val="auto"/>
          <w:sz w:val="24"/>
          <w:szCs w:val="24"/>
          <w:highlight w:val="none"/>
        </w:rPr>
      </w:pPr>
      <w:bookmarkStart w:id="231" w:name="_Toc26250"/>
      <w:bookmarkStart w:id="232" w:name="_Toc19472"/>
      <w:bookmarkStart w:id="233" w:name="_Toc13249"/>
      <w:bookmarkStart w:id="234" w:name="_Toc29680"/>
      <w:r>
        <w:rPr>
          <w:rFonts w:hint="eastAsia" w:ascii="宋体" w:hAnsi="宋体"/>
          <w:color w:val="auto"/>
          <w:sz w:val="24"/>
          <w:szCs w:val="24"/>
          <w:highlight w:val="none"/>
        </w:rPr>
        <w:t>4、与质疑事项有关的材料应与质疑函合并装订。</w:t>
      </w:r>
      <w:bookmarkEnd w:id="231"/>
      <w:bookmarkEnd w:id="232"/>
      <w:bookmarkEnd w:id="233"/>
      <w:bookmarkEnd w:id="234"/>
    </w:p>
    <w:p w14:paraId="7649F337">
      <w:pPr>
        <w:snapToGrid w:val="0"/>
        <w:spacing w:line="440" w:lineRule="exact"/>
        <w:ind w:firstLine="480" w:firstLineChars="200"/>
        <w:outlineLvl w:val="2"/>
        <w:rPr>
          <w:rFonts w:hint="eastAsia" w:ascii="宋体" w:hAnsi="宋体" w:cs="宋体"/>
          <w:b/>
          <w:bCs/>
          <w:color w:val="auto"/>
          <w:sz w:val="40"/>
          <w:szCs w:val="52"/>
          <w:highlight w:val="none"/>
        </w:rPr>
      </w:pPr>
      <w:bookmarkStart w:id="235" w:name="_Toc4686"/>
      <w:bookmarkStart w:id="236" w:name="_Toc7624"/>
      <w:r>
        <w:rPr>
          <w:rFonts w:hint="eastAsia" w:ascii="宋体" w:hAnsi="宋体"/>
          <w:color w:val="auto"/>
          <w:sz w:val="24"/>
          <w:szCs w:val="24"/>
          <w:highlight w:val="none"/>
        </w:rPr>
        <w:t>5、</w:t>
      </w:r>
      <w:r>
        <w:rPr>
          <w:rFonts w:hint="eastAsia" w:ascii="宋体" w:hAnsi="宋体"/>
          <w:b/>
          <w:bCs/>
          <w:color w:val="auto"/>
          <w:sz w:val="24"/>
          <w:szCs w:val="24"/>
          <w:highlight w:val="none"/>
        </w:rPr>
        <w:t>质疑函一式三份。</w:t>
      </w:r>
      <w:bookmarkEnd w:id="235"/>
      <w:bookmarkEnd w:id="236"/>
    </w:p>
    <w:p w14:paraId="1166C257">
      <w:pPr>
        <w:pStyle w:val="8"/>
        <w:tabs>
          <w:tab w:val="left" w:pos="2372"/>
        </w:tabs>
        <w:ind w:firstLine="1205" w:firstLineChars="300"/>
        <w:jc w:val="both"/>
        <w:outlineLvl w:val="0"/>
        <w:rPr>
          <w:rFonts w:asciiTheme="minorEastAsia" w:hAnsiTheme="minorEastAsia" w:eastAsiaTheme="minorEastAsia" w:cstheme="minorEastAsia"/>
          <w:b/>
          <w:bCs/>
          <w:color w:val="auto"/>
          <w:sz w:val="44"/>
          <w:szCs w:val="44"/>
          <w:highlight w:val="none"/>
        </w:rPr>
      </w:pPr>
      <w:bookmarkStart w:id="237" w:name="_Toc28466"/>
      <w:r>
        <w:rPr>
          <w:rFonts w:hint="eastAsia" w:ascii="宋体" w:hAnsi="宋体" w:cs="宋体"/>
          <w:b/>
          <w:bCs/>
          <w:color w:val="auto"/>
          <w:sz w:val="40"/>
          <w:szCs w:val="52"/>
          <w:highlight w:val="none"/>
        </w:rPr>
        <w:t>第三章</w:t>
      </w:r>
      <w:r>
        <w:rPr>
          <w:rFonts w:hint="eastAsia" w:ascii="宋体" w:hAnsi="宋体" w:cs="宋体"/>
          <w:b/>
          <w:bCs/>
          <w:color w:val="auto"/>
          <w:sz w:val="40"/>
          <w:szCs w:val="52"/>
          <w:highlight w:val="none"/>
          <w:lang w:val="en-US" w:eastAsia="zh-CN"/>
        </w:rPr>
        <w:t xml:space="preserve"> </w:t>
      </w:r>
      <w:r>
        <w:rPr>
          <w:rFonts w:hint="eastAsia" w:ascii="宋体" w:hAnsi="宋体" w:cs="宋体"/>
          <w:b/>
          <w:bCs/>
          <w:color w:val="auto"/>
          <w:sz w:val="40"/>
          <w:szCs w:val="52"/>
          <w:highlight w:val="none"/>
        </w:rPr>
        <w:t>采购需求、技术参数、规格</w:t>
      </w:r>
      <w:bookmarkEnd w:id="136"/>
      <w:bookmarkEnd w:id="137"/>
      <w:bookmarkEnd w:id="138"/>
      <w:bookmarkEnd w:id="237"/>
    </w:p>
    <w:p w14:paraId="13077A3E">
      <w:pPr>
        <w:pStyle w:val="5"/>
        <w:numPr>
          <w:ilvl w:val="0"/>
          <w:numId w:val="0"/>
        </w:numPr>
        <w:ind w:firstLine="482" w:firstLineChars="200"/>
        <w:jc w:val="center"/>
        <w:rPr>
          <w:rFonts w:hint="eastAsia" w:ascii="宋体" w:hAnsi="宋体" w:eastAsia="宋体" w:cs="宋体"/>
          <w:b/>
          <w:bCs/>
          <w:color w:val="000000"/>
          <w:kern w:val="0"/>
          <w:sz w:val="24"/>
          <w:szCs w:val="24"/>
          <w:highlight w:val="none"/>
          <w:lang w:val="en-US" w:eastAsia="zh-CN" w:bidi="ar"/>
        </w:rPr>
      </w:pPr>
      <w:bookmarkStart w:id="238" w:name="_Toc25835"/>
      <w:bookmarkStart w:id="239" w:name="_Toc18841"/>
      <w:bookmarkStart w:id="240" w:name="_Toc24429"/>
      <w:bookmarkStart w:id="241" w:name="_Toc18595"/>
      <w:bookmarkStart w:id="242" w:name="_Toc31168"/>
      <w:bookmarkStart w:id="243" w:name="_Toc501379478"/>
      <w:bookmarkStart w:id="244" w:name="_Toc22992"/>
      <w:bookmarkStart w:id="245" w:name="_Toc381970843"/>
    </w:p>
    <w:p w14:paraId="27C64565">
      <w:pPr>
        <w:pStyle w:val="5"/>
        <w:numPr>
          <w:ilvl w:val="0"/>
          <w:numId w:val="0"/>
        </w:numPr>
        <w:ind w:firstLine="482" w:firstLineChars="200"/>
        <w:jc w:val="center"/>
        <w:rPr>
          <w:rFonts w:hint="eastAsia"/>
          <w:highlight w:val="none"/>
          <w:lang w:val="en-US" w:eastAsia="zh-CN"/>
        </w:rPr>
      </w:pPr>
      <w:r>
        <w:rPr>
          <w:rFonts w:hint="eastAsia" w:ascii="宋体" w:hAnsi="宋体" w:eastAsia="宋体" w:cs="宋体"/>
          <w:b/>
          <w:bCs/>
          <w:color w:val="000000"/>
          <w:kern w:val="0"/>
          <w:sz w:val="24"/>
          <w:szCs w:val="24"/>
          <w:highlight w:val="none"/>
          <w:lang w:val="en-US" w:eastAsia="zh-CN" w:bidi="ar"/>
        </w:rPr>
        <w:t>详见工程量清单（另附）</w:t>
      </w:r>
      <w:bookmarkEnd w:id="238"/>
      <w:bookmarkEnd w:id="239"/>
    </w:p>
    <w:p w14:paraId="0A0A3C3D">
      <w:pPr>
        <w:pStyle w:val="5"/>
        <w:numPr>
          <w:ilvl w:val="0"/>
          <w:numId w:val="0"/>
        </w:numPr>
        <w:rPr>
          <w:rFonts w:hint="eastAsia"/>
          <w:highlight w:val="none"/>
          <w:lang w:val="en-US" w:eastAsia="zh-CN"/>
        </w:rPr>
      </w:pPr>
    </w:p>
    <w:p w14:paraId="45A2C576">
      <w:pPr>
        <w:pStyle w:val="60"/>
        <w:keepNext w:val="0"/>
        <w:keepLines w:val="0"/>
        <w:pageBreakBefore w:val="0"/>
        <w:kinsoku/>
        <w:wordWrap/>
        <w:overflowPunct/>
        <w:topLinePunct w:val="0"/>
        <w:autoSpaceDE/>
        <w:autoSpaceDN/>
        <w:bidi w:val="0"/>
        <w:adjustRightInd/>
        <w:snapToGrid/>
        <w:spacing w:after="0"/>
        <w:ind w:left="0" w:leftChars="0" w:firstLine="420" w:firstLineChars="200"/>
        <w:textAlignment w:val="auto"/>
        <w:rPr>
          <w:rFonts w:hint="eastAsia"/>
          <w:highlight w:val="none"/>
        </w:rPr>
      </w:pPr>
    </w:p>
    <w:p w14:paraId="02BB3462">
      <w:pPr>
        <w:pStyle w:val="59"/>
        <w:keepNext w:val="0"/>
        <w:keepLines w:val="0"/>
        <w:pageBreakBefore w:val="0"/>
        <w:widowControl/>
        <w:kinsoku/>
        <w:wordWrap/>
        <w:overflowPunct/>
        <w:topLinePunct w:val="0"/>
        <w:autoSpaceDE/>
        <w:autoSpaceDN/>
        <w:bidi w:val="0"/>
        <w:adjustRightInd/>
        <w:snapToGrid/>
        <w:ind w:firstLine="562" w:firstLineChars="200"/>
        <w:jc w:val="left"/>
        <w:textAlignment w:val="auto"/>
        <w:rPr>
          <w:rFonts w:hint="default" w:eastAsia="宋体"/>
          <w:b/>
          <w:bCs/>
          <w:sz w:val="28"/>
          <w:szCs w:val="36"/>
          <w:highlight w:val="none"/>
          <w:lang w:val="en-US" w:eastAsia="zh-CN"/>
        </w:rPr>
      </w:pPr>
      <w:r>
        <w:rPr>
          <w:rFonts w:hint="eastAsia"/>
          <w:b/>
          <w:bCs/>
          <w:sz w:val="28"/>
          <w:szCs w:val="36"/>
          <w:highlight w:val="none"/>
          <w:lang w:val="en-US" w:eastAsia="zh-CN"/>
        </w:rPr>
        <w:t>因本项目涉及电力接口衔接问题，青河县本地无法满足需各供应商与富蕴县供电公司进行对接，电力接口由富蕴县片区为始发点。</w:t>
      </w:r>
    </w:p>
    <w:p w14:paraId="6180EC0B">
      <w:pPr>
        <w:rPr>
          <w:rFonts w:hint="default"/>
          <w:highlight w:val="none"/>
          <w:lang w:val="en-US" w:eastAsia="zh-CN"/>
        </w:rPr>
      </w:pPr>
    </w:p>
    <w:p w14:paraId="64B19FD5">
      <w:pPr>
        <w:pStyle w:val="7"/>
        <w:spacing w:before="0" w:after="0" w:line="240" w:lineRule="auto"/>
        <w:jc w:val="both"/>
        <w:outlineLvl w:val="9"/>
        <w:rPr>
          <w:rFonts w:hint="eastAsia"/>
          <w:color w:val="auto"/>
          <w:highlight w:val="none"/>
        </w:rPr>
      </w:pPr>
    </w:p>
    <w:p w14:paraId="1635734F">
      <w:pPr>
        <w:rPr>
          <w:rFonts w:hint="eastAsia"/>
          <w:color w:val="auto"/>
          <w:highlight w:val="none"/>
        </w:rPr>
      </w:pPr>
    </w:p>
    <w:p w14:paraId="7C5CCB95">
      <w:pPr>
        <w:pStyle w:val="19"/>
        <w:widowControl w:val="0"/>
        <w:numPr>
          <w:ilvl w:val="0"/>
          <w:numId w:val="0"/>
        </w:numPr>
        <w:spacing w:line="360" w:lineRule="auto"/>
        <w:jc w:val="both"/>
        <w:rPr>
          <w:rFonts w:hint="eastAsia"/>
          <w:color w:val="auto"/>
          <w:highlight w:val="none"/>
        </w:rPr>
      </w:pPr>
    </w:p>
    <w:p w14:paraId="3903D454">
      <w:pPr>
        <w:pStyle w:val="19"/>
        <w:widowControl w:val="0"/>
        <w:numPr>
          <w:ilvl w:val="0"/>
          <w:numId w:val="0"/>
        </w:numPr>
        <w:spacing w:line="360" w:lineRule="auto"/>
        <w:jc w:val="both"/>
        <w:rPr>
          <w:rFonts w:hint="eastAsia"/>
          <w:color w:val="auto"/>
          <w:highlight w:val="none"/>
        </w:rPr>
      </w:pPr>
    </w:p>
    <w:p w14:paraId="70484782">
      <w:pPr>
        <w:rPr>
          <w:rFonts w:hint="eastAsia"/>
          <w:color w:val="auto"/>
          <w:highlight w:val="none"/>
        </w:rPr>
      </w:pPr>
      <w:r>
        <w:rPr>
          <w:rFonts w:hint="eastAsia"/>
          <w:color w:val="auto"/>
          <w:highlight w:val="none"/>
        </w:rPr>
        <w:br w:type="page"/>
      </w:r>
    </w:p>
    <w:p w14:paraId="0099988B">
      <w:pPr>
        <w:pStyle w:val="7"/>
        <w:spacing w:before="0" w:after="0" w:line="240" w:lineRule="auto"/>
        <w:jc w:val="center"/>
        <w:rPr>
          <w:rFonts w:hint="eastAsia" w:eastAsia="宋体"/>
          <w:b/>
          <w:bCs/>
          <w:color w:val="auto"/>
          <w:highlight w:val="none"/>
          <w:lang w:eastAsia="zh-CN"/>
        </w:rPr>
      </w:pPr>
      <w:bookmarkStart w:id="246" w:name="_Toc10077"/>
      <w:r>
        <w:rPr>
          <w:rFonts w:hint="eastAsia"/>
          <w:color w:val="auto"/>
          <w:highlight w:val="none"/>
        </w:rPr>
        <w:t>第</w:t>
      </w:r>
      <w:r>
        <w:rPr>
          <w:rFonts w:hint="eastAsia"/>
          <w:color w:val="auto"/>
          <w:highlight w:val="none"/>
          <w:lang w:val="en-US" w:eastAsia="zh-CN"/>
        </w:rPr>
        <w:t>四</w:t>
      </w:r>
      <w:r>
        <w:rPr>
          <w:rFonts w:hint="eastAsia"/>
          <w:color w:val="auto"/>
          <w:highlight w:val="none"/>
          <w:lang w:eastAsia="zh-CN"/>
        </w:rPr>
        <w:t>章</w:t>
      </w:r>
      <w:r>
        <w:rPr>
          <w:rFonts w:hint="eastAsia"/>
          <w:color w:val="auto"/>
          <w:highlight w:val="none"/>
        </w:rPr>
        <w:t xml:space="preserve">  </w:t>
      </w:r>
      <w:r>
        <w:rPr>
          <w:rFonts w:hint="eastAsia"/>
          <w:b/>
          <w:bCs/>
          <w:color w:val="auto"/>
          <w:highlight w:val="none"/>
        </w:rPr>
        <w:t>合同</w:t>
      </w:r>
      <w:r>
        <w:rPr>
          <w:rFonts w:hint="eastAsia"/>
          <w:b/>
          <w:bCs/>
          <w:color w:val="auto"/>
          <w:highlight w:val="none"/>
          <w:lang w:eastAsia="zh-CN"/>
        </w:rPr>
        <w:t>范本（仅参考）</w:t>
      </w:r>
      <w:bookmarkEnd w:id="246"/>
    </w:p>
    <w:p w14:paraId="03CB5B1C">
      <w:pPr>
        <w:jc w:val="center"/>
        <w:rPr>
          <w:rFonts w:hint="eastAsia"/>
          <w:b/>
          <w:bCs/>
          <w:color w:val="auto"/>
          <w:highlight w:val="none"/>
        </w:rPr>
      </w:pPr>
    </w:p>
    <w:p w14:paraId="39F9D270">
      <w:pPr>
        <w:jc w:val="both"/>
        <w:rPr>
          <w:rFonts w:hint="eastAsia" w:ascii="宋体"/>
          <w:b/>
          <w:color w:val="auto"/>
          <w:sz w:val="24"/>
          <w:highlight w:val="none"/>
        </w:rPr>
      </w:pPr>
      <w:r>
        <w:rPr>
          <w:rFonts w:hint="eastAsia" w:ascii="宋体"/>
          <w:b/>
          <w:color w:val="auto"/>
          <w:sz w:val="24"/>
          <w:highlight w:val="none"/>
        </w:rPr>
        <w:t xml:space="preserve"> </w:t>
      </w:r>
    </w:p>
    <w:p w14:paraId="7CB46406">
      <w:pPr>
        <w:jc w:val="center"/>
        <w:outlineLvl w:val="1"/>
        <w:rPr>
          <w:rFonts w:ascii="宋体" w:hAnsi="宋体"/>
          <w:sz w:val="28"/>
          <w:szCs w:val="28"/>
          <w:highlight w:val="none"/>
        </w:rPr>
      </w:pPr>
      <w:bookmarkStart w:id="247" w:name="EB3e1f5b10bab64251bff14278e5620109"/>
      <w:r>
        <w:rPr>
          <w:rFonts w:hint="eastAsia"/>
          <w:color w:val="000080"/>
          <w:sz w:val="20"/>
          <w:highlight w:val="none"/>
        </w:rPr>
        <w:t xml:space="preserve"> </w:t>
      </w:r>
      <w:bookmarkEnd w:id="247"/>
      <w:r>
        <w:rPr>
          <w:rFonts w:hint="eastAsia" w:ascii="宋体" w:hAnsi="宋体"/>
          <w:sz w:val="24"/>
          <w:highlight w:val="none"/>
        </w:rPr>
        <w:t>第1节　通用合同条款</w:t>
      </w:r>
    </w:p>
    <w:p w14:paraId="56943484">
      <w:pPr>
        <w:spacing w:line="500" w:lineRule="exact"/>
        <w:outlineLvl w:val="2"/>
        <w:rPr>
          <w:rFonts w:hint="eastAsia" w:ascii="宋体" w:hAnsi="宋体" w:cs="宋体"/>
          <w:sz w:val="24"/>
          <w:szCs w:val="24"/>
          <w:highlight w:val="none"/>
        </w:rPr>
      </w:pPr>
      <w:bookmarkStart w:id="248" w:name="_Toc140340959"/>
      <w:r>
        <w:rPr>
          <w:rFonts w:hint="eastAsia" w:ascii="宋体" w:hAnsi="宋体" w:cs="宋体"/>
          <w:sz w:val="24"/>
          <w:highlight w:val="none"/>
        </w:rPr>
        <w:t>1．一般约定</w:t>
      </w:r>
      <w:bookmarkEnd w:id="248"/>
    </w:p>
    <w:p w14:paraId="110EF28A">
      <w:pPr>
        <w:spacing w:line="500" w:lineRule="exact"/>
        <w:outlineLvl w:val="3"/>
        <w:rPr>
          <w:rFonts w:hint="eastAsia" w:ascii="宋体" w:hAnsi="宋体" w:cs="宋体"/>
          <w:sz w:val="24"/>
          <w:highlight w:val="none"/>
        </w:rPr>
      </w:pPr>
      <w:r>
        <w:rPr>
          <w:rFonts w:hint="eastAsia" w:ascii="宋体" w:hAnsi="宋体" w:cs="宋体"/>
          <w:sz w:val="24"/>
          <w:highlight w:val="none"/>
        </w:rPr>
        <w:t>1.1词语定义</w:t>
      </w:r>
    </w:p>
    <w:p w14:paraId="791FCF3C">
      <w:pPr>
        <w:spacing w:line="500" w:lineRule="exact"/>
        <w:ind w:firstLine="480" w:firstLineChars="200"/>
        <w:jc w:val="left"/>
        <w:rPr>
          <w:rFonts w:hint="eastAsia" w:ascii="宋体" w:hAnsi="宋体" w:cs="宋体"/>
          <w:sz w:val="24"/>
          <w:highlight w:val="none"/>
        </w:rPr>
      </w:pPr>
      <w:r>
        <w:rPr>
          <w:rFonts w:hint="eastAsia" w:ascii="宋体" w:hAnsi="宋体" w:cs="宋体"/>
          <w:sz w:val="24"/>
          <w:highlight w:val="none"/>
        </w:rPr>
        <w:t>通用合同条款、专用合同条款中的下列词语应具有本款所赋予的含义。</w:t>
      </w:r>
    </w:p>
    <w:p w14:paraId="02F5EB44">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1.1.1 合同</w:t>
      </w:r>
    </w:p>
    <w:p w14:paraId="654E42C6">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1.1.1.1 合同文件（或称合同）：指合同协议书、中标通知书、投标函及投标函附录、专用合同条款、通用合同条款、技术标准和要求、图纸、已标价工程量清单，以及其他合同文件。</w:t>
      </w:r>
    </w:p>
    <w:p w14:paraId="1DC03C27">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1.1.1.2 合同协议书：指第1.5款所指的合同协议书。</w:t>
      </w:r>
    </w:p>
    <w:p w14:paraId="04F1C154">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1.1.1.3 中标通知书：指发包人通知承包人中标的函件。中标通知书随附的澄清、说明、补正事项纪要等，是中标通知书的组成部分。</w:t>
      </w:r>
    </w:p>
    <w:p w14:paraId="1464CDD7">
      <w:pPr>
        <w:spacing w:line="500" w:lineRule="exact"/>
        <w:ind w:firstLine="480" w:firstLineChars="200"/>
        <w:rPr>
          <w:rFonts w:hint="eastAsia" w:ascii="宋体" w:hAnsi="宋体" w:cs="宋体"/>
          <w:dstrike/>
          <w:sz w:val="24"/>
          <w:highlight w:val="none"/>
        </w:rPr>
      </w:pPr>
      <w:r>
        <w:rPr>
          <w:rFonts w:hint="eastAsia" w:ascii="宋体" w:hAnsi="宋体" w:cs="宋体"/>
          <w:sz w:val="24"/>
          <w:highlight w:val="none"/>
        </w:rPr>
        <w:t>1.1.1.4 投标函：指构成合同文件组成部分的由承包人填写并签署的投标函。</w:t>
      </w:r>
    </w:p>
    <w:p w14:paraId="7029052B">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1.1.1.5 投标函附录：指附在投标函后构成合同文件的投标函附录。</w:t>
      </w:r>
    </w:p>
    <w:p w14:paraId="02DA8106">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1.1.1.6　技术标准和要求：指构成合同文件组成部分的名为技术标准和要求(合同技术条款)的文件，包括合同双方当事人约定对其所作的修改或补充。</w:t>
      </w:r>
    </w:p>
    <w:p w14:paraId="1FD56006">
      <w:pPr>
        <w:spacing w:line="500" w:lineRule="exact"/>
        <w:rPr>
          <w:rFonts w:hint="eastAsia" w:ascii="宋体" w:hAnsi="宋体" w:cs="宋体"/>
          <w:sz w:val="24"/>
          <w:highlight w:val="none"/>
        </w:rPr>
      </w:pPr>
      <w:r>
        <w:rPr>
          <w:rFonts w:hint="eastAsia" w:ascii="宋体" w:hAnsi="宋体" w:cs="宋体"/>
          <w:sz w:val="24"/>
          <w:highlight w:val="none"/>
        </w:rPr>
        <w:t>　　1.1.1.7　图纸：指列入合同的招标图纸、投标图纸和发包人按合同约定向承包人提供的施工图纸和其它图纸(包括配套说明和有关资料)。列入合同的招标图纸已成为合同文件的一部分，具有合同效力，主要用于在履行合同中作为衡量变更的依据，但不能直接用于施工。经发包人确认进入合同的投标图纸亦成为合同文件的一部分，用于在履行合同中检验承包人是否按其投标时承诺的条件进行施工的依据，亦不能直接用于施工。</w:t>
      </w:r>
    </w:p>
    <w:p w14:paraId="30D019EF">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1.1.1.8 已标价工程量清单：指构成合同文件组成部分的由承包人按照规定的格式和要求填写并标明价格的工程量清单。</w:t>
      </w:r>
    </w:p>
    <w:p w14:paraId="728C1C9F">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1.1.1.9 其他合同文件：指经合同双方当事人确认构成合同文件的其他文件。</w:t>
      </w:r>
    </w:p>
    <w:p w14:paraId="41C96E2A">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1.1.2　合同当事人和人员</w:t>
      </w:r>
    </w:p>
    <w:p w14:paraId="18947ED4">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1.1.2.1 合同当事人:指发包人和（或）承包人。</w:t>
      </w:r>
    </w:p>
    <w:p w14:paraId="2614CA3E">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1.1.2.2 发包人：指专用合同条款中指明并与承包人在合同协议书中签字的当事人。</w:t>
      </w:r>
    </w:p>
    <w:p w14:paraId="71D87FD7">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1.1.2.3　承包人：指专用合同条款中指明并与发包人在合同协议书中签字的当事人。</w:t>
      </w:r>
    </w:p>
    <w:p w14:paraId="33A22062">
      <w:pPr>
        <w:spacing w:line="500" w:lineRule="exact"/>
        <w:ind w:firstLine="420"/>
        <w:rPr>
          <w:rFonts w:hint="eastAsia" w:ascii="宋体" w:hAnsi="宋体" w:cs="宋体"/>
          <w:sz w:val="24"/>
          <w:highlight w:val="none"/>
        </w:rPr>
      </w:pPr>
      <w:r>
        <w:rPr>
          <w:rFonts w:hint="eastAsia" w:ascii="宋体" w:hAnsi="宋体" w:cs="宋体"/>
          <w:sz w:val="24"/>
          <w:highlight w:val="none"/>
        </w:rPr>
        <w:t>1.1.2.5　分包人：指专用合同条款中指明的，从承包人处分包合同中某一部分工程，并与其签订分包合同的分包人。</w:t>
      </w:r>
    </w:p>
    <w:p w14:paraId="68521D25">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1.1.2.6 监理人：指在专用合同条款中指明的，受发包人委托对合同履行实施管理的法人或其他组织。</w:t>
      </w:r>
    </w:p>
    <w:p w14:paraId="46CE2B38">
      <w:pPr>
        <w:spacing w:line="500" w:lineRule="exact"/>
        <w:ind w:firstLine="420"/>
        <w:rPr>
          <w:rFonts w:hint="eastAsia" w:ascii="宋体" w:hAnsi="宋体" w:cs="宋体"/>
          <w:sz w:val="24"/>
          <w:highlight w:val="none"/>
        </w:rPr>
      </w:pPr>
      <w:r>
        <w:rPr>
          <w:rFonts w:hint="eastAsia" w:ascii="宋体" w:hAnsi="宋体" w:cs="宋体"/>
          <w:sz w:val="24"/>
          <w:highlight w:val="none"/>
        </w:rPr>
        <w:t>1.1.2.7 总监理工程师（总监）：指由监理人委派常驻施工场地对合同履行实施管理的全权负责人。</w:t>
      </w:r>
    </w:p>
    <w:p w14:paraId="024FD841">
      <w:pPr>
        <w:spacing w:line="500" w:lineRule="exact"/>
        <w:rPr>
          <w:rFonts w:hint="eastAsia" w:ascii="宋体" w:hAnsi="宋体" w:cs="宋体"/>
          <w:sz w:val="24"/>
          <w:highlight w:val="none"/>
        </w:rPr>
      </w:pPr>
      <w:r>
        <w:rPr>
          <w:rFonts w:hint="eastAsia" w:ascii="宋体" w:hAnsi="宋体" w:cs="宋体"/>
          <w:sz w:val="24"/>
          <w:highlight w:val="none"/>
        </w:rPr>
        <w:t>　　1.1.3　工程和设备</w:t>
      </w:r>
    </w:p>
    <w:p w14:paraId="2A12B565">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1.1.3.1 工程：指永久工程和（或）临时工程。</w:t>
      </w:r>
    </w:p>
    <w:p w14:paraId="6A4E09AF">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1.1.3.2 永久工程：指按合同约定建造并移交给发包人的工程，包括工程设备。</w:t>
      </w:r>
    </w:p>
    <w:p w14:paraId="653FD9B9">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1.1.3.3 临时工程：指为完成合同约定的永久工程所修建的各类临时性工程，不包括施工设备。</w:t>
      </w:r>
    </w:p>
    <w:p w14:paraId="1E671DEC">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1.1.3.4 单位工程：指专用合同条款中指明特定范围的永久工程。</w:t>
      </w:r>
    </w:p>
    <w:p w14:paraId="1DD35351">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1.1.3.5 工程设备：指构成或计划构成永久工程一部分的机电设备、金属结构设备、仪器装置及其他类似的设备和装置。</w:t>
      </w:r>
    </w:p>
    <w:p w14:paraId="40E17E5E">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1.1.3.6 施工设备：指为完成合同约定的各项工作所需的设备、器具和其他物品，不包括临时工程和材料。</w:t>
      </w:r>
    </w:p>
    <w:p w14:paraId="7B9EAD1C">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1.1.3.7 临时设施：指为完成合同约定的各项工作所服务的临时性生产和生活设施。</w:t>
      </w:r>
    </w:p>
    <w:p w14:paraId="0C420BC8">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1.1.3.8 承包人设备：指承包人自带的施工设备。</w:t>
      </w:r>
    </w:p>
    <w:p w14:paraId="2959D55A">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1.1.3.9 施工场地（或称工地、现场）：指用于合同工程施工的场所，以及在合同中指定作为施工场地组成部分的其他场所，包括永久占地和临时占地。</w:t>
      </w:r>
    </w:p>
    <w:p w14:paraId="37E3AEF0">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1.1.3.10　永久占地：指发包人为建设本合同工程永久征用的场地。</w:t>
      </w:r>
    </w:p>
    <w:p w14:paraId="48576568">
      <w:pPr>
        <w:spacing w:line="500" w:lineRule="exact"/>
        <w:rPr>
          <w:rFonts w:hint="eastAsia" w:ascii="宋体" w:hAnsi="宋体" w:cs="宋体"/>
          <w:sz w:val="24"/>
          <w:highlight w:val="none"/>
        </w:rPr>
      </w:pPr>
      <w:r>
        <w:rPr>
          <w:rFonts w:hint="eastAsia" w:ascii="宋体" w:hAnsi="宋体" w:cs="宋体"/>
          <w:sz w:val="24"/>
          <w:highlight w:val="none"/>
        </w:rPr>
        <w:t>　　1.1.3.11　临时占地：指发包人为建设本合同工程临时征用，承包人在完工后须按合同要求退还的场地。</w:t>
      </w:r>
    </w:p>
    <w:p w14:paraId="5872FE1D">
      <w:pPr>
        <w:spacing w:line="500" w:lineRule="exact"/>
        <w:rPr>
          <w:rFonts w:hint="eastAsia" w:ascii="宋体" w:hAnsi="宋体" w:cs="宋体"/>
          <w:sz w:val="24"/>
          <w:highlight w:val="none"/>
        </w:rPr>
      </w:pPr>
      <w:r>
        <w:rPr>
          <w:rFonts w:hint="eastAsia" w:ascii="宋体" w:hAnsi="宋体" w:cs="宋体"/>
          <w:sz w:val="24"/>
          <w:highlight w:val="none"/>
        </w:rPr>
        <w:t>　　1.1.4　日期</w:t>
      </w:r>
    </w:p>
    <w:p w14:paraId="63D9864E">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1.1.4.1 开工通知：指监理人按第11.1款通知承包人开工的函件。</w:t>
      </w:r>
    </w:p>
    <w:p w14:paraId="7E76766E">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1.1.4.2 开工日期：指监理人按第11.1款发出的开工通知中写明的开工日期。</w:t>
      </w:r>
    </w:p>
    <w:p w14:paraId="421D3011">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1.1.4.3工期：指承包人在投标函中承诺的完成合同工程所需的期限，包括按第11.3款、第11.4款和第11.6款约定所作的变更。</w:t>
      </w:r>
    </w:p>
    <w:p w14:paraId="2C0E0B9C">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1.1.4.4　竣工日期：即合同工程完工日期，指第1.1.4.3目约定工期届满时的日期。实际完工日期以合同工程完工证书中写明的日期为准。</w:t>
      </w:r>
    </w:p>
    <w:p w14:paraId="23BBB862">
      <w:pPr>
        <w:spacing w:line="500" w:lineRule="exact"/>
        <w:ind w:firstLine="420"/>
        <w:rPr>
          <w:rFonts w:hint="eastAsia" w:ascii="宋体" w:hAnsi="宋体" w:cs="宋体"/>
          <w:sz w:val="24"/>
          <w:highlight w:val="none"/>
        </w:rPr>
      </w:pPr>
      <w:r>
        <w:rPr>
          <w:rFonts w:hint="eastAsia" w:ascii="宋体" w:hAnsi="宋体" w:cs="宋体"/>
          <w:sz w:val="24"/>
          <w:highlight w:val="none"/>
        </w:rPr>
        <w:t>1.1.4.5　缺陷责任期：即工程质量保修期，指履行第19.2款约定的缺陷责任的期限，包括根据第19.3款约定所作的延长，具体期限由专用合同条款约定。</w:t>
      </w:r>
    </w:p>
    <w:p w14:paraId="2A5990E0">
      <w:pPr>
        <w:spacing w:line="500" w:lineRule="exact"/>
        <w:ind w:firstLine="420"/>
        <w:rPr>
          <w:rFonts w:hint="eastAsia" w:ascii="宋体" w:hAnsi="宋体" w:cs="宋体"/>
          <w:sz w:val="24"/>
          <w:highlight w:val="none"/>
        </w:rPr>
      </w:pPr>
      <w:r>
        <w:rPr>
          <w:rFonts w:hint="eastAsia" w:ascii="宋体" w:hAnsi="宋体" w:cs="宋体"/>
          <w:sz w:val="24"/>
          <w:highlight w:val="none"/>
        </w:rPr>
        <w:t>1.1.4.6 基准日期：指投标截止时间前28天的日期。</w:t>
      </w:r>
    </w:p>
    <w:p w14:paraId="2D8875FA">
      <w:pPr>
        <w:spacing w:line="500" w:lineRule="exact"/>
        <w:ind w:firstLine="420"/>
        <w:rPr>
          <w:rFonts w:hint="eastAsia" w:ascii="宋体" w:hAnsi="宋体" w:cs="宋体"/>
          <w:sz w:val="24"/>
          <w:highlight w:val="none"/>
        </w:rPr>
      </w:pPr>
      <w:r>
        <w:rPr>
          <w:rFonts w:hint="eastAsia" w:ascii="宋体" w:hAnsi="宋体" w:cs="宋体"/>
          <w:sz w:val="24"/>
          <w:highlight w:val="none"/>
        </w:rPr>
        <w:t>1.1.4.7 天：除特别指明外，指日历天。合同中按天计算时间的，开始当天不计入，从次日开始计算。期限最后一天的截止时间为当天24:00。</w:t>
      </w:r>
    </w:p>
    <w:p w14:paraId="33F10971">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1.1.5 合同价格和费用</w:t>
      </w:r>
    </w:p>
    <w:p w14:paraId="25973BD2">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1.1.5.1 签约合同价：指签定合同时合同协议书中写明的，包括了暂列金额、暂估价的合同总金额。</w:t>
      </w:r>
    </w:p>
    <w:p w14:paraId="4A5EDC5B">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1.1.5.2 合同价格：指承包人按合同约定完成了包括缺陷责任期内的全部承包工作后，发包人应付给承包人的金额，包括在履行合同过程中按合同约定进行的变更和调整。</w:t>
      </w:r>
    </w:p>
    <w:p w14:paraId="564D5507">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1.1.5.3 费用：指为履行合同所发生的或将要发生的所有合理开支，包括管理费和应分摊的其他费用，但不包括利润。</w:t>
      </w:r>
    </w:p>
    <w:p w14:paraId="07366DEA">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1.1.5.4 暂列金额：指已标价工程量清单中所列的暂列金额，用于在签订协议书时尚未确定或不可预见变更的施工及其所需材料、工程设备、服务等的金额，包括以计日工方式支付的金额。</w:t>
      </w:r>
    </w:p>
    <w:p w14:paraId="620C5085">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1.1.5.5暂估价：指发包人在工程量清单中给定的用于支付必然发生但暂时不能确定价格的材料、设备以及专业工程的金额。</w:t>
      </w:r>
    </w:p>
    <w:p w14:paraId="0A86A6D6">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1.1.5.6 计日工：指对零星工作采取的一种计价方式，按合同中的计日工子目及其单价计价付款。</w:t>
      </w:r>
    </w:p>
    <w:p w14:paraId="11ED2E82">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1.1.5.7 质量保证金（或称保留金）：指按第17.4.1项约定用于保证在缺陷责任期内履行缺陷修复义务的金额。</w:t>
      </w:r>
    </w:p>
    <w:p w14:paraId="0DE57C72">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1.1.6 其他</w:t>
      </w:r>
    </w:p>
    <w:p w14:paraId="072B060B">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1.1.6.1 书面形式：指合同文件、信函、电报、传真等可以有形地表现所载内容的形式。</w:t>
      </w:r>
    </w:p>
    <w:p w14:paraId="20D93452">
      <w:pPr>
        <w:spacing w:line="500" w:lineRule="exact"/>
        <w:outlineLvl w:val="3"/>
        <w:rPr>
          <w:rFonts w:hint="eastAsia" w:ascii="宋体" w:hAnsi="宋体" w:cs="宋体"/>
          <w:sz w:val="24"/>
          <w:highlight w:val="none"/>
        </w:rPr>
      </w:pPr>
      <w:r>
        <w:rPr>
          <w:rFonts w:hint="eastAsia" w:ascii="宋体" w:hAnsi="宋体" w:cs="宋体"/>
          <w:sz w:val="24"/>
          <w:highlight w:val="none"/>
        </w:rPr>
        <w:t>1.2 语言文字</w:t>
      </w:r>
    </w:p>
    <w:p w14:paraId="6BE30F3B">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除专用术语外，合同使用的语言文字为中文。必要时专用术语应附有中文注释。</w:t>
      </w:r>
    </w:p>
    <w:p w14:paraId="3A8DD624">
      <w:pPr>
        <w:spacing w:line="500" w:lineRule="exact"/>
        <w:outlineLvl w:val="3"/>
        <w:rPr>
          <w:rFonts w:hint="eastAsia" w:ascii="宋体" w:hAnsi="宋体" w:cs="宋体"/>
          <w:sz w:val="24"/>
          <w:highlight w:val="none"/>
        </w:rPr>
      </w:pPr>
      <w:r>
        <w:rPr>
          <w:rFonts w:hint="eastAsia" w:ascii="宋体" w:hAnsi="宋体" w:cs="宋体"/>
          <w:sz w:val="24"/>
          <w:highlight w:val="none"/>
        </w:rPr>
        <w:t>1.3 法律</w:t>
      </w:r>
    </w:p>
    <w:p w14:paraId="0B43472A">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适用于合同的法律包括中华人民共和国法律、行政法规、部门规章，以及工程所在地的地方法规、自治条例、单行条例和地方政府规章。</w:t>
      </w:r>
    </w:p>
    <w:p w14:paraId="7420AF39">
      <w:pPr>
        <w:spacing w:line="500" w:lineRule="exact"/>
        <w:outlineLvl w:val="3"/>
        <w:rPr>
          <w:rFonts w:hint="eastAsia" w:ascii="宋体" w:hAnsi="宋体" w:cs="宋体"/>
          <w:sz w:val="24"/>
          <w:highlight w:val="none"/>
        </w:rPr>
      </w:pPr>
      <w:r>
        <w:rPr>
          <w:rFonts w:hint="eastAsia" w:ascii="宋体" w:hAnsi="宋体" w:cs="宋体"/>
          <w:sz w:val="24"/>
          <w:highlight w:val="none"/>
        </w:rPr>
        <w:t>1.4 合同文件的优先顺序</w:t>
      </w:r>
    </w:p>
    <w:p w14:paraId="26FC864C">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组成合同的各项文件应互相解释，互为说明。除专用合同条款另有约定外，解释合同文件的优先顺序如下：</w:t>
      </w:r>
    </w:p>
    <w:p w14:paraId="65A6C942">
      <w:pPr>
        <w:spacing w:line="500" w:lineRule="exact"/>
        <w:ind w:firstLine="410" w:firstLineChars="171"/>
        <w:rPr>
          <w:rFonts w:hint="eastAsia" w:ascii="宋体" w:hAnsi="宋体" w:cs="宋体"/>
          <w:sz w:val="24"/>
          <w:highlight w:val="none"/>
        </w:rPr>
      </w:pPr>
      <w:r>
        <w:rPr>
          <w:rFonts w:hint="eastAsia" w:ascii="宋体" w:hAnsi="宋体" w:cs="宋体"/>
          <w:sz w:val="24"/>
          <w:highlight w:val="none"/>
        </w:rPr>
        <w:t>（1）合同协议书；</w:t>
      </w:r>
    </w:p>
    <w:p w14:paraId="5E8A342A">
      <w:pPr>
        <w:spacing w:line="500" w:lineRule="exact"/>
        <w:ind w:firstLine="410" w:firstLineChars="171"/>
        <w:rPr>
          <w:rFonts w:hint="eastAsia" w:ascii="宋体" w:hAnsi="宋体" w:cs="宋体"/>
          <w:sz w:val="24"/>
          <w:highlight w:val="none"/>
        </w:rPr>
      </w:pPr>
      <w:r>
        <w:rPr>
          <w:rFonts w:hint="eastAsia" w:ascii="宋体" w:hAnsi="宋体" w:cs="宋体"/>
          <w:sz w:val="24"/>
          <w:highlight w:val="none"/>
        </w:rPr>
        <w:t>（2）中标通知书；</w:t>
      </w:r>
    </w:p>
    <w:p w14:paraId="46573D78">
      <w:pPr>
        <w:spacing w:line="500" w:lineRule="exact"/>
        <w:ind w:firstLine="410" w:firstLineChars="171"/>
        <w:rPr>
          <w:rFonts w:hint="eastAsia" w:ascii="宋体" w:hAnsi="宋体" w:cs="宋体"/>
          <w:sz w:val="24"/>
          <w:highlight w:val="none"/>
        </w:rPr>
      </w:pPr>
      <w:r>
        <w:rPr>
          <w:rFonts w:hint="eastAsia" w:ascii="宋体" w:hAnsi="宋体" w:cs="宋体"/>
          <w:sz w:val="24"/>
          <w:highlight w:val="none"/>
        </w:rPr>
        <w:t>（3）投标函及投标函附录；</w:t>
      </w:r>
    </w:p>
    <w:p w14:paraId="26285772">
      <w:pPr>
        <w:spacing w:line="500" w:lineRule="exact"/>
        <w:ind w:firstLine="410" w:firstLineChars="171"/>
        <w:rPr>
          <w:rFonts w:hint="eastAsia" w:ascii="宋体" w:hAnsi="宋体" w:cs="宋体"/>
          <w:sz w:val="24"/>
          <w:highlight w:val="none"/>
        </w:rPr>
      </w:pPr>
      <w:r>
        <w:rPr>
          <w:rFonts w:hint="eastAsia" w:ascii="宋体" w:hAnsi="宋体" w:cs="宋体"/>
          <w:sz w:val="24"/>
          <w:highlight w:val="none"/>
        </w:rPr>
        <w:t>（4）专用合同条款；</w:t>
      </w:r>
    </w:p>
    <w:p w14:paraId="594BDAF0">
      <w:pPr>
        <w:spacing w:line="500" w:lineRule="exact"/>
        <w:ind w:firstLine="410" w:firstLineChars="171"/>
        <w:rPr>
          <w:rFonts w:hint="eastAsia" w:ascii="宋体" w:hAnsi="宋体" w:cs="宋体"/>
          <w:sz w:val="24"/>
          <w:highlight w:val="none"/>
        </w:rPr>
      </w:pPr>
      <w:r>
        <w:rPr>
          <w:rFonts w:hint="eastAsia" w:ascii="宋体" w:hAnsi="宋体" w:cs="宋体"/>
          <w:sz w:val="24"/>
          <w:highlight w:val="none"/>
        </w:rPr>
        <w:t>（5）通用合同条款；</w:t>
      </w:r>
    </w:p>
    <w:p w14:paraId="11C7FA49">
      <w:pPr>
        <w:spacing w:line="500" w:lineRule="exact"/>
        <w:ind w:firstLine="410" w:firstLineChars="171"/>
        <w:rPr>
          <w:rFonts w:hint="eastAsia" w:ascii="宋体" w:hAnsi="宋体" w:cs="宋体"/>
          <w:sz w:val="24"/>
          <w:highlight w:val="none"/>
        </w:rPr>
      </w:pPr>
      <w:r>
        <w:rPr>
          <w:rFonts w:hint="eastAsia" w:ascii="宋体" w:hAnsi="宋体" w:cs="宋体"/>
          <w:sz w:val="24"/>
          <w:highlight w:val="none"/>
        </w:rPr>
        <w:t>（6）技术标准和要求；</w:t>
      </w:r>
    </w:p>
    <w:p w14:paraId="0448FAB0">
      <w:pPr>
        <w:spacing w:line="500" w:lineRule="exact"/>
        <w:ind w:firstLine="410" w:firstLineChars="171"/>
        <w:rPr>
          <w:rFonts w:hint="eastAsia" w:ascii="宋体" w:hAnsi="宋体" w:cs="宋体"/>
          <w:sz w:val="24"/>
          <w:highlight w:val="none"/>
        </w:rPr>
      </w:pPr>
      <w:r>
        <w:rPr>
          <w:rFonts w:hint="eastAsia" w:ascii="宋体" w:hAnsi="宋体" w:cs="宋体"/>
          <w:sz w:val="24"/>
          <w:highlight w:val="none"/>
        </w:rPr>
        <w:t>（7）图纸；</w:t>
      </w:r>
    </w:p>
    <w:p w14:paraId="56D6D238">
      <w:pPr>
        <w:spacing w:line="500" w:lineRule="exact"/>
        <w:ind w:firstLine="410" w:firstLineChars="171"/>
        <w:rPr>
          <w:rFonts w:hint="eastAsia" w:ascii="宋体" w:hAnsi="宋体" w:cs="宋体"/>
          <w:sz w:val="24"/>
          <w:highlight w:val="none"/>
        </w:rPr>
      </w:pPr>
      <w:r>
        <w:rPr>
          <w:rFonts w:hint="eastAsia" w:ascii="宋体" w:hAnsi="宋体" w:cs="宋体"/>
          <w:sz w:val="24"/>
          <w:highlight w:val="none"/>
        </w:rPr>
        <w:t>（8）已标价工程量清单；</w:t>
      </w:r>
    </w:p>
    <w:p w14:paraId="0D70498F">
      <w:pPr>
        <w:spacing w:line="500" w:lineRule="exact"/>
        <w:ind w:firstLine="410" w:firstLineChars="171"/>
        <w:rPr>
          <w:rFonts w:hint="eastAsia" w:ascii="宋体" w:hAnsi="宋体" w:cs="宋体"/>
          <w:sz w:val="24"/>
          <w:highlight w:val="none"/>
        </w:rPr>
      </w:pPr>
      <w:r>
        <w:rPr>
          <w:rFonts w:hint="eastAsia" w:ascii="宋体" w:hAnsi="宋体" w:cs="宋体"/>
          <w:sz w:val="24"/>
          <w:highlight w:val="none"/>
        </w:rPr>
        <w:t>（9）其他合同文件。</w:t>
      </w:r>
    </w:p>
    <w:p w14:paraId="00FEDA63">
      <w:pPr>
        <w:spacing w:line="500" w:lineRule="exact"/>
        <w:outlineLvl w:val="3"/>
        <w:rPr>
          <w:rFonts w:hint="eastAsia" w:ascii="宋体" w:hAnsi="宋体" w:cs="宋体"/>
          <w:sz w:val="24"/>
          <w:highlight w:val="none"/>
        </w:rPr>
      </w:pPr>
      <w:r>
        <w:rPr>
          <w:rFonts w:hint="eastAsia" w:ascii="宋体" w:hAnsi="宋体" w:cs="宋体"/>
          <w:sz w:val="24"/>
          <w:highlight w:val="none"/>
        </w:rPr>
        <w:t>1.5 合同协议书</w:t>
      </w:r>
    </w:p>
    <w:p w14:paraId="5F21D65A">
      <w:pPr>
        <w:spacing w:line="500" w:lineRule="exact"/>
        <w:ind w:firstLine="420"/>
        <w:rPr>
          <w:rFonts w:hint="eastAsia" w:ascii="宋体" w:hAnsi="宋体" w:cs="宋体"/>
          <w:sz w:val="24"/>
          <w:highlight w:val="none"/>
        </w:rPr>
      </w:pPr>
      <w:r>
        <w:rPr>
          <w:rFonts w:hint="eastAsia" w:ascii="宋体" w:hAnsi="宋体" w:cs="宋体"/>
          <w:sz w:val="24"/>
          <w:highlight w:val="none"/>
        </w:rPr>
        <w:t>承包人按中标通知书规定的时间与发包人签订合同协议书。除法律另有规定或合同另有约定外，发包人和承包人的法定代表人或其委托代理人在合同协议书上签字并盖单位章后，合同生效。</w:t>
      </w:r>
    </w:p>
    <w:p w14:paraId="354074D8">
      <w:pPr>
        <w:spacing w:line="500" w:lineRule="exact"/>
        <w:outlineLvl w:val="3"/>
        <w:rPr>
          <w:rFonts w:hint="eastAsia" w:ascii="宋体" w:hAnsi="宋体" w:cs="宋体"/>
          <w:sz w:val="24"/>
          <w:highlight w:val="none"/>
        </w:rPr>
      </w:pPr>
      <w:r>
        <w:rPr>
          <w:rFonts w:hint="eastAsia" w:ascii="宋体" w:hAnsi="宋体" w:cs="宋体"/>
          <w:sz w:val="24"/>
          <w:highlight w:val="none"/>
        </w:rPr>
        <w:t>1.6 图纸和承包人文件</w:t>
      </w:r>
    </w:p>
    <w:p w14:paraId="51E8C18B">
      <w:pPr>
        <w:spacing w:line="500" w:lineRule="exact"/>
        <w:rPr>
          <w:rFonts w:hint="eastAsia" w:ascii="宋体" w:hAnsi="宋体" w:cs="宋体"/>
          <w:sz w:val="24"/>
          <w:highlight w:val="none"/>
        </w:rPr>
      </w:pPr>
      <w:r>
        <w:rPr>
          <w:rFonts w:hint="eastAsia" w:ascii="宋体" w:hAnsi="宋体" w:cs="宋体"/>
          <w:sz w:val="24"/>
          <w:highlight w:val="none"/>
        </w:rPr>
        <w:t>　　1.6.1 图纸的提供</w:t>
      </w:r>
    </w:p>
    <w:p w14:paraId="65AEEF6C">
      <w:pPr>
        <w:spacing w:line="500" w:lineRule="exact"/>
        <w:rPr>
          <w:rFonts w:hint="eastAsia" w:ascii="宋体" w:hAnsi="宋体" w:cs="宋体"/>
          <w:sz w:val="24"/>
          <w:highlight w:val="none"/>
        </w:rPr>
      </w:pPr>
      <w:r>
        <w:rPr>
          <w:rFonts w:hint="eastAsia" w:ascii="宋体" w:hAnsi="宋体" w:cs="宋体"/>
          <w:sz w:val="24"/>
          <w:highlight w:val="none"/>
        </w:rPr>
        <w:t>　　发包人应按技术标准和要求(合同技术条款)约定的期限和数量将施工图纸以及其它图纸(包括配套说明和有关资料)提供给承包人。由于发包人未按时提供图纸造成工期延误的，按第11.3款的约定办理。</w:t>
      </w:r>
    </w:p>
    <w:p w14:paraId="5785148E">
      <w:pPr>
        <w:spacing w:line="500" w:lineRule="exact"/>
        <w:rPr>
          <w:rFonts w:hint="eastAsia" w:ascii="宋体" w:hAnsi="宋体" w:cs="宋体"/>
          <w:sz w:val="24"/>
          <w:highlight w:val="none"/>
        </w:rPr>
      </w:pPr>
      <w:r>
        <w:rPr>
          <w:rFonts w:hint="eastAsia" w:ascii="宋体" w:hAnsi="宋体" w:cs="宋体"/>
          <w:sz w:val="24"/>
          <w:highlight w:val="none"/>
        </w:rPr>
        <w:t>　　1.6.2 承包人提供的文件</w:t>
      </w:r>
    </w:p>
    <w:p w14:paraId="1DB3537B">
      <w:pPr>
        <w:spacing w:line="500" w:lineRule="exact"/>
        <w:rPr>
          <w:rFonts w:hint="eastAsia" w:ascii="宋体" w:hAnsi="宋体" w:cs="宋体"/>
          <w:sz w:val="24"/>
          <w:highlight w:val="none"/>
        </w:rPr>
      </w:pPr>
      <w:r>
        <w:rPr>
          <w:rFonts w:hint="eastAsia" w:ascii="宋体" w:hAnsi="宋体" w:cs="宋体"/>
          <w:sz w:val="24"/>
          <w:highlight w:val="none"/>
        </w:rPr>
        <w:t>　　承包人提供的文件应按技术标准和要求(合同技术条款)约定的期限和数量提供给监理人。监理人应按技术标准和要求(合同技术条款)约定的期限批复承包人。</w:t>
      </w:r>
    </w:p>
    <w:p w14:paraId="4733950F">
      <w:pPr>
        <w:spacing w:line="500" w:lineRule="exact"/>
        <w:rPr>
          <w:rFonts w:hint="eastAsia" w:ascii="宋体" w:hAnsi="宋体" w:cs="宋体"/>
          <w:sz w:val="24"/>
          <w:highlight w:val="none"/>
        </w:rPr>
      </w:pPr>
      <w:r>
        <w:rPr>
          <w:rFonts w:hint="eastAsia" w:ascii="宋体" w:hAnsi="宋体" w:cs="宋体"/>
          <w:sz w:val="24"/>
          <w:highlight w:val="none"/>
        </w:rPr>
        <w:t>　　1.6.3 图纸的修改</w:t>
      </w:r>
    </w:p>
    <w:p w14:paraId="121FBBE8">
      <w:pPr>
        <w:spacing w:line="500" w:lineRule="exact"/>
        <w:ind w:firstLine="420"/>
        <w:rPr>
          <w:rFonts w:hint="eastAsia" w:ascii="宋体" w:hAnsi="宋体" w:cs="宋体"/>
          <w:sz w:val="24"/>
          <w:highlight w:val="none"/>
        </w:rPr>
      </w:pPr>
      <w:r>
        <w:rPr>
          <w:rFonts w:hint="eastAsia" w:ascii="宋体" w:hAnsi="宋体" w:cs="宋体"/>
          <w:sz w:val="24"/>
          <w:highlight w:val="none"/>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14:paraId="3C0BA3E8">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1.6.4 图纸的错误</w:t>
      </w:r>
    </w:p>
    <w:p w14:paraId="627F2593">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承包人发现发包人提供的图纸存在明显错误或疏忽，应及时通知监理人。</w:t>
      </w:r>
    </w:p>
    <w:p w14:paraId="34BE6295">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1.6.5 图纸和承包人文件的保管</w:t>
      </w:r>
    </w:p>
    <w:p w14:paraId="17AE130B">
      <w:pPr>
        <w:spacing w:line="500" w:lineRule="exact"/>
        <w:ind w:firstLine="420"/>
        <w:rPr>
          <w:rFonts w:hint="eastAsia" w:ascii="宋体" w:hAnsi="宋体" w:cs="宋体"/>
          <w:sz w:val="24"/>
          <w:highlight w:val="none"/>
        </w:rPr>
      </w:pPr>
      <w:r>
        <w:rPr>
          <w:rFonts w:hint="eastAsia" w:ascii="宋体" w:hAnsi="宋体" w:cs="宋体"/>
          <w:sz w:val="24"/>
          <w:highlight w:val="none"/>
        </w:rPr>
        <w:t>监理人和承包人均应在施工场地各保存一套完整的包含第1.6.1项、第1.6.2项、第1.6.3项约定内容的图纸和承包人文件。</w:t>
      </w:r>
    </w:p>
    <w:p w14:paraId="0A26B07A">
      <w:pPr>
        <w:spacing w:line="500" w:lineRule="exact"/>
        <w:outlineLvl w:val="3"/>
        <w:rPr>
          <w:rFonts w:hint="eastAsia" w:ascii="宋体" w:hAnsi="宋体" w:cs="宋体"/>
          <w:sz w:val="24"/>
          <w:highlight w:val="none"/>
        </w:rPr>
      </w:pPr>
      <w:r>
        <w:rPr>
          <w:rFonts w:hint="eastAsia" w:ascii="宋体" w:hAnsi="宋体" w:cs="宋体"/>
          <w:sz w:val="24"/>
          <w:highlight w:val="none"/>
        </w:rPr>
        <w:t>1.7 联络</w:t>
      </w:r>
    </w:p>
    <w:p w14:paraId="0E57BD65">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1.7.1 与合同有关的通知、批准、证明、证书、指示、要求、请求、同意、意见、确定和决定等，均应采用书面形式。</w:t>
      </w:r>
    </w:p>
    <w:p w14:paraId="14132A69">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1.7.2　第1.7.1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14:paraId="139294C4">
      <w:pPr>
        <w:spacing w:line="500" w:lineRule="exact"/>
        <w:rPr>
          <w:rFonts w:hint="eastAsia" w:ascii="宋体" w:hAnsi="宋体" w:cs="宋体"/>
          <w:sz w:val="24"/>
          <w:highlight w:val="none"/>
        </w:rPr>
      </w:pPr>
      <w:r>
        <w:rPr>
          <w:rFonts w:hint="eastAsia" w:ascii="宋体" w:hAnsi="宋体" w:cs="宋体"/>
          <w:sz w:val="24"/>
          <w:highlight w:val="none"/>
        </w:rPr>
        <w:t>　 1.7.3 来往函件均应按合同约定的期限及时发出和答复，不得无故扣压和拖延，亦不得拒收。否则，由此造成的后果由责任方负责。</w:t>
      </w:r>
    </w:p>
    <w:p w14:paraId="7F61F1C7">
      <w:pPr>
        <w:spacing w:line="500" w:lineRule="exact"/>
        <w:outlineLvl w:val="3"/>
        <w:rPr>
          <w:rFonts w:hint="eastAsia" w:ascii="宋体" w:hAnsi="宋体" w:cs="宋体"/>
          <w:sz w:val="24"/>
          <w:highlight w:val="none"/>
        </w:rPr>
      </w:pPr>
      <w:r>
        <w:rPr>
          <w:rFonts w:hint="eastAsia" w:ascii="宋体" w:hAnsi="宋体" w:cs="宋体"/>
          <w:sz w:val="24"/>
          <w:highlight w:val="none"/>
        </w:rPr>
        <w:t>1.8 转让</w:t>
      </w:r>
    </w:p>
    <w:p w14:paraId="644088CE">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除合同另有约定外，未经对方当事人同意，一方当事人不得将合同权利全部或部分转让给第三人，也不得全部或部分转移合同义务。</w:t>
      </w:r>
    </w:p>
    <w:p w14:paraId="62A57F5B">
      <w:pPr>
        <w:spacing w:line="500" w:lineRule="exact"/>
        <w:outlineLvl w:val="3"/>
        <w:rPr>
          <w:rFonts w:hint="eastAsia" w:ascii="宋体" w:hAnsi="宋体" w:cs="宋体"/>
          <w:sz w:val="24"/>
          <w:highlight w:val="none"/>
        </w:rPr>
      </w:pPr>
      <w:r>
        <w:rPr>
          <w:rFonts w:hint="eastAsia" w:ascii="宋体" w:hAnsi="宋体" w:cs="宋体"/>
          <w:sz w:val="24"/>
          <w:highlight w:val="none"/>
        </w:rPr>
        <w:t>1.9 严禁贿赂</w:t>
      </w:r>
    </w:p>
    <w:p w14:paraId="3871C8B1">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合同双方当事人不得以贿赂或变相贿赂的方式，谋取不当利益或损害对方权益。因贿赂造成对方损失的，行为人应赔偿损失，并承担相应的法律责任。</w:t>
      </w:r>
    </w:p>
    <w:p w14:paraId="6A82968C">
      <w:pPr>
        <w:spacing w:line="500" w:lineRule="exact"/>
        <w:outlineLvl w:val="3"/>
        <w:rPr>
          <w:rFonts w:hint="eastAsia" w:ascii="宋体" w:hAnsi="宋体" w:cs="宋体"/>
          <w:sz w:val="24"/>
          <w:highlight w:val="none"/>
        </w:rPr>
      </w:pPr>
      <w:r>
        <w:rPr>
          <w:rFonts w:hint="eastAsia" w:ascii="宋体" w:hAnsi="宋体" w:cs="宋体"/>
          <w:sz w:val="24"/>
          <w:highlight w:val="none"/>
        </w:rPr>
        <w:t>1.10 化石、文物</w:t>
      </w:r>
    </w:p>
    <w:p w14:paraId="2C3E71F2">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0E88B9FE">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1.10.2 承包人发现文物后不及时报告或隐瞒不报，致使文物丢失或损坏的，应赔偿损失，并承担相应的法律责任。</w:t>
      </w:r>
    </w:p>
    <w:p w14:paraId="1CBEEBE9">
      <w:pPr>
        <w:spacing w:line="500" w:lineRule="exact"/>
        <w:outlineLvl w:val="3"/>
        <w:rPr>
          <w:rFonts w:hint="eastAsia" w:ascii="宋体" w:hAnsi="宋体" w:cs="宋体"/>
          <w:sz w:val="24"/>
          <w:highlight w:val="none"/>
        </w:rPr>
      </w:pPr>
      <w:r>
        <w:rPr>
          <w:rFonts w:hint="eastAsia" w:ascii="宋体" w:hAnsi="宋体" w:cs="宋体"/>
          <w:sz w:val="24"/>
          <w:highlight w:val="none"/>
        </w:rPr>
        <w:t>1.11 专利技术</w:t>
      </w:r>
    </w:p>
    <w:p w14:paraId="2907D35D">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1.11.1 承包人在使用任何材料、承包人设备、工程设备或采用施工工艺时，因侵犯专利权或其他知识产权所引起的责任，由承包人承担，但由于遵照发包人提供的设计或技术标准和要求引起的除外。</w:t>
      </w:r>
    </w:p>
    <w:p w14:paraId="102EA9CA">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1.11.2 承包人在</w:t>
      </w:r>
      <w:r>
        <w:rPr>
          <w:rFonts w:hint="eastAsia" w:ascii="宋体" w:hAnsi="宋体" w:eastAsia="宋体" w:cs="宋体"/>
          <w:sz w:val="24"/>
          <w:highlight w:val="none"/>
          <w:lang w:eastAsia="zh-CN"/>
        </w:rPr>
        <w:t>响应文件</w:t>
      </w:r>
      <w:r>
        <w:rPr>
          <w:rFonts w:hint="eastAsia" w:ascii="宋体" w:hAnsi="宋体" w:cs="宋体"/>
          <w:sz w:val="24"/>
          <w:highlight w:val="none"/>
        </w:rPr>
        <w:t>中采用专利技术的，专利技术的使用费包含在投标报价内。</w:t>
      </w:r>
    </w:p>
    <w:p w14:paraId="3201EFFB">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1.11.3 承包人的技术秘密和声明需要保密的资料和信息，发包人和监理人不得为合同以外的目的泄露给他人。</w:t>
      </w:r>
    </w:p>
    <w:p w14:paraId="45E81535">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1.11.4　合同实施过程中，发包人要求承包人采用专利技术的，发包人应办理相应的使用手续，承包人应按发包人约定的条件使用，并承担使用专利技术的相关试验工作，所需费用由发包人承担。</w:t>
      </w:r>
    </w:p>
    <w:p w14:paraId="16692D19">
      <w:pPr>
        <w:spacing w:line="500" w:lineRule="exact"/>
        <w:outlineLvl w:val="3"/>
        <w:rPr>
          <w:rFonts w:hint="eastAsia" w:ascii="宋体" w:hAnsi="宋体" w:cs="宋体"/>
          <w:sz w:val="24"/>
          <w:highlight w:val="none"/>
        </w:rPr>
      </w:pPr>
      <w:r>
        <w:rPr>
          <w:rFonts w:hint="eastAsia" w:ascii="宋体" w:hAnsi="宋体" w:cs="宋体"/>
          <w:sz w:val="24"/>
          <w:highlight w:val="none"/>
        </w:rPr>
        <w:t>1.12 图纸和文件的保密</w:t>
      </w:r>
    </w:p>
    <w:p w14:paraId="3E6F700F">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1.12.1 发包人提供的图纸和文件，未经发包人同意，承包人不得为合同以外的目的泄露给他人或公开发表与引用。</w:t>
      </w:r>
    </w:p>
    <w:p w14:paraId="666979BD">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1.12.2 承包人提供的文件，未经承包人同意，发包人和监理人不得为合同以外的目的泄露给他人或公开发表与引用。</w:t>
      </w:r>
    </w:p>
    <w:p w14:paraId="7594185F">
      <w:pPr>
        <w:spacing w:line="500" w:lineRule="exact"/>
        <w:outlineLvl w:val="2"/>
        <w:rPr>
          <w:rFonts w:hint="eastAsia" w:ascii="宋体" w:hAnsi="宋体" w:cs="宋体"/>
          <w:sz w:val="24"/>
          <w:highlight w:val="none"/>
        </w:rPr>
      </w:pPr>
      <w:bookmarkStart w:id="249" w:name="_Toc140340960"/>
      <w:r>
        <w:rPr>
          <w:rFonts w:hint="eastAsia" w:ascii="宋体" w:hAnsi="宋体" w:cs="宋体"/>
          <w:sz w:val="24"/>
          <w:highlight w:val="none"/>
        </w:rPr>
        <w:t>2．发包人义务</w:t>
      </w:r>
      <w:bookmarkEnd w:id="249"/>
    </w:p>
    <w:p w14:paraId="4DDE8C02">
      <w:pPr>
        <w:spacing w:line="500" w:lineRule="exact"/>
        <w:outlineLvl w:val="3"/>
        <w:rPr>
          <w:rFonts w:hint="eastAsia" w:ascii="宋体" w:hAnsi="宋体" w:cs="宋体"/>
          <w:sz w:val="24"/>
          <w:highlight w:val="none"/>
        </w:rPr>
      </w:pPr>
      <w:r>
        <w:rPr>
          <w:rFonts w:hint="eastAsia" w:ascii="宋体" w:hAnsi="宋体" w:cs="宋体"/>
          <w:sz w:val="24"/>
          <w:highlight w:val="none"/>
        </w:rPr>
        <w:t>2.1 遵守法律</w:t>
      </w:r>
    </w:p>
    <w:p w14:paraId="2094B423">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发包人在履行合同过程中应遵守法律，并保证承包人免于承担因发包人违反法律而引起的任何责任。</w:t>
      </w:r>
    </w:p>
    <w:p w14:paraId="347E1BB1">
      <w:pPr>
        <w:spacing w:line="500" w:lineRule="exact"/>
        <w:outlineLvl w:val="3"/>
        <w:rPr>
          <w:rFonts w:hint="eastAsia" w:ascii="宋体" w:hAnsi="宋体" w:cs="宋体"/>
          <w:sz w:val="24"/>
          <w:highlight w:val="none"/>
        </w:rPr>
      </w:pPr>
      <w:r>
        <w:rPr>
          <w:rFonts w:hint="eastAsia" w:ascii="宋体" w:hAnsi="宋体" w:cs="宋体"/>
          <w:sz w:val="24"/>
          <w:highlight w:val="none"/>
        </w:rPr>
        <w:t>2.2 发出开工通知</w:t>
      </w:r>
    </w:p>
    <w:p w14:paraId="502A4C8C">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发包人应委托监理人按第11.1款的约定向承包人发出开工通知。</w:t>
      </w:r>
    </w:p>
    <w:p w14:paraId="3EC96D67">
      <w:pPr>
        <w:spacing w:line="500" w:lineRule="exact"/>
        <w:outlineLvl w:val="3"/>
        <w:rPr>
          <w:rFonts w:hint="eastAsia" w:ascii="宋体" w:hAnsi="宋体" w:cs="宋体"/>
          <w:sz w:val="24"/>
          <w:highlight w:val="none"/>
        </w:rPr>
      </w:pPr>
      <w:r>
        <w:rPr>
          <w:rFonts w:hint="eastAsia" w:ascii="宋体" w:hAnsi="宋体" w:cs="宋体"/>
          <w:sz w:val="24"/>
          <w:highlight w:val="none"/>
        </w:rPr>
        <w:t>2.3 提供施工场地</w:t>
      </w:r>
    </w:p>
    <w:p w14:paraId="0538924E">
      <w:pPr>
        <w:spacing w:line="500" w:lineRule="exact"/>
        <w:rPr>
          <w:rFonts w:hint="eastAsia" w:ascii="宋体" w:hAnsi="宋体" w:cs="宋体"/>
          <w:sz w:val="24"/>
          <w:highlight w:val="none"/>
        </w:rPr>
      </w:pPr>
      <w:r>
        <w:rPr>
          <w:rFonts w:hint="eastAsia" w:ascii="宋体" w:hAnsi="宋体" w:cs="宋体"/>
          <w:sz w:val="24"/>
          <w:highlight w:val="none"/>
        </w:rPr>
        <w:t>　　2.3.1 发包人应在合同双方签订合同协议书后的14天内，将本合同工程的施工场地范围图提交给承包人。发包人提供的施工场地范围图应标明场地范围内永久占地与临时占地的范围和界限，以及指明提供给承包人用于施工场地布置的范围和界限及其有关资料。</w:t>
      </w:r>
    </w:p>
    <w:p w14:paraId="69609638">
      <w:pPr>
        <w:spacing w:line="500" w:lineRule="exact"/>
        <w:rPr>
          <w:rFonts w:hint="eastAsia" w:ascii="宋体" w:hAnsi="宋体" w:cs="宋体"/>
          <w:sz w:val="24"/>
          <w:highlight w:val="none"/>
        </w:rPr>
      </w:pPr>
      <w:r>
        <w:rPr>
          <w:rFonts w:hint="eastAsia" w:ascii="宋体" w:hAnsi="宋体" w:cs="宋体"/>
          <w:sz w:val="24"/>
          <w:highlight w:val="none"/>
        </w:rPr>
        <w:t>　　2.3.2 发包人提供的施工用地范围在专用合同条款中约定。</w:t>
      </w:r>
    </w:p>
    <w:p w14:paraId="2D753822">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2.3.3 除专用合同条款另有约定外，发包人应按技术标准和要求(合同技术条款)的约定，向承包人提供施工场地内的工程地质图纸和报告，以及地下障碍物图纸等施工场地有关资料，并保证资料的真实、准确、完整。</w:t>
      </w:r>
    </w:p>
    <w:p w14:paraId="4D882976">
      <w:pPr>
        <w:spacing w:line="500" w:lineRule="exact"/>
        <w:outlineLvl w:val="3"/>
        <w:rPr>
          <w:rFonts w:hint="eastAsia" w:ascii="宋体" w:hAnsi="宋体" w:cs="宋体"/>
          <w:sz w:val="24"/>
          <w:highlight w:val="none"/>
        </w:rPr>
      </w:pPr>
      <w:r>
        <w:rPr>
          <w:rFonts w:hint="eastAsia" w:ascii="宋体" w:hAnsi="宋体" w:cs="宋体"/>
          <w:sz w:val="24"/>
          <w:highlight w:val="none"/>
        </w:rPr>
        <w:t>2.4 协助承包人办理证件和批件</w:t>
      </w:r>
    </w:p>
    <w:p w14:paraId="436DA8D1">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发包人应协助承包人办理法律规定的有关施工证件和批件。</w:t>
      </w:r>
    </w:p>
    <w:p w14:paraId="28C96C2B">
      <w:pPr>
        <w:spacing w:line="500" w:lineRule="exact"/>
        <w:outlineLvl w:val="3"/>
        <w:rPr>
          <w:rFonts w:hint="eastAsia" w:ascii="宋体" w:hAnsi="宋体" w:cs="宋体"/>
          <w:sz w:val="24"/>
          <w:highlight w:val="none"/>
        </w:rPr>
      </w:pPr>
      <w:r>
        <w:rPr>
          <w:rFonts w:hint="eastAsia" w:ascii="宋体" w:hAnsi="宋体" w:cs="宋体"/>
          <w:sz w:val="24"/>
          <w:highlight w:val="none"/>
        </w:rPr>
        <w:t>2.5 组织设计交底</w:t>
      </w:r>
    </w:p>
    <w:p w14:paraId="195A521C">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发包人应根据合同进度计划，组织设计单位向承包人进行设计交底。</w:t>
      </w:r>
    </w:p>
    <w:p w14:paraId="25C28A4B">
      <w:pPr>
        <w:spacing w:line="500" w:lineRule="exact"/>
        <w:outlineLvl w:val="3"/>
        <w:rPr>
          <w:rFonts w:hint="eastAsia" w:ascii="宋体" w:hAnsi="宋体" w:cs="宋体"/>
          <w:sz w:val="24"/>
          <w:highlight w:val="none"/>
        </w:rPr>
      </w:pPr>
      <w:r>
        <w:rPr>
          <w:rFonts w:hint="eastAsia" w:ascii="宋体" w:hAnsi="宋体" w:cs="宋体"/>
          <w:sz w:val="24"/>
          <w:highlight w:val="none"/>
        </w:rPr>
        <w:t>2.6 支付合同价款</w:t>
      </w:r>
    </w:p>
    <w:p w14:paraId="5546701E">
      <w:pPr>
        <w:spacing w:line="500" w:lineRule="exact"/>
        <w:ind w:firstLine="420"/>
        <w:rPr>
          <w:rFonts w:hint="eastAsia" w:ascii="宋体" w:hAnsi="宋体" w:cs="宋体"/>
          <w:sz w:val="24"/>
          <w:highlight w:val="none"/>
        </w:rPr>
      </w:pPr>
      <w:r>
        <w:rPr>
          <w:rFonts w:hint="eastAsia" w:ascii="宋体" w:hAnsi="宋体" w:cs="宋体"/>
          <w:sz w:val="24"/>
          <w:highlight w:val="none"/>
        </w:rPr>
        <w:t>发包人应按合同约定向承包人及时支付合同价款。</w:t>
      </w:r>
    </w:p>
    <w:p w14:paraId="4D200E2B">
      <w:pPr>
        <w:spacing w:line="500" w:lineRule="exact"/>
        <w:outlineLvl w:val="3"/>
        <w:rPr>
          <w:rFonts w:hint="eastAsia" w:ascii="宋体" w:hAnsi="宋体" w:cs="宋体"/>
          <w:sz w:val="24"/>
          <w:highlight w:val="none"/>
        </w:rPr>
      </w:pPr>
      <w:r>
        <w:rPr>
          <w:rFonts w:hint="eastAsia" w:ascii="宋体" w:hAnsi="宋体" w:cs="宋体"/>
          <w:sz w:val="24"/>
          <w:highlight w:val="none"/>
        </w:rPr>
        <w:t>2.7 组织竣工验收(组织法人验收)</w:t>
      </w:r>
    </w:p>
    <w:p w14:paraId="54955830">
      <w:pPr>
        <w:spacing w:line="500" w:lineRule="exact"/>
        <w:rPr>
          <w:rFonts w:hint="eastAsia" w:ascii="宋体" w:hAnsi="宋体" w:cs="宋体"/>
          <w:sz w:val="24"/>
          <w:highlight w:val="none"/>
        </w:rPr>
      </w:pPr>
      <w:r>
        <w:rPr>
          <w:rFonts w:hint="eastAsia" w:ascii="宋体" w:hAnsi="宋体" w:cs="宋体"/>
          <w:sz w:val="24"/>
          <w:highlight w:val="none"/>
        </w:rPr>
        <w:t>　　发包人应按合同约定及时组织法人验收。</w:t>
      </w:r>
    </w:p>
    <w:p w14:paraId="57F9E6F9">
      <w:pPr>
        <w:spacing w:line="500" w:lineRule="exact"/>
        <w:outlineLvl w:val="3"/>
        <w:rPr>
          <w:rFonts w:hint="eastAsia" w:ascii="宋体" w:hAnsi="宋体" w:cs="宋体"/>
          <w:sz w:val="24"/>
          <w:highlight w:val="none"/>
        </w:rPr>
      </w:pPr>
      <w:r>
        <w:rPr>
          <w:rFonts w:hint="eastAsia" w:ascii="宋体" w:hAnsi="宋体" w:cs="宋体"/>
          <w:sz w:val="24"/>
          <w:highlight w:val="none"/>
        </w:rPr>
        <w:t>2.8 其它义务</w:t>
      </w:r>
    </w:p>
    <w:p w14:paraId="19E79925">
      <w:pPr>
        <w:spacing w:line="500" w:lineRule="exact"/>
        <w:rPr>
          <w:rFonts w:hint="eastAsia" w:ascii="宋体" w:hAnsi="宋体" w:cs="宋体"/>
          <w:sz w:val="24"/>
          <w:highlight w:val="none"/>
        </w:rPr>
      </w:pPr>
      <w:r>
        <w:rPr>
          <w:rFonts w:hint="eastAsia" w:ascii="宋体" w:hAnsi="宋体" w:cs="宋体"/>
          <w:sz w:val="24"/>
          <w:highlight w:val="none"/>
        </w:rPr>
        <w:t>　　其它义务在专用合同条款中补充约定。</w:t>
      </w:r>
    </w:p>
    <w:p w14:paraId="63434ADB">
      <w:pPr>
        <w:spacing w:line="500" w:lineRule="exact"/>
        <w:outlineLvl w:val="2"/>
        <w:rPr>
          <w:rFonts w:hint="eastAsia" w:ascii="宋体" w:hAnsi="宋体" w:cs="宋体"/>
          <w:sz w:val="24"/>
          <w:highlight w:val="none"/>
        </w:rPr>
      </w:pPr>
      <w:bookmarkStart w:id="250" w:name="_Toc140340961"/>
      <w:r>
        <w:rPr>
          <w:rFonts w:hint="eastAsia" w:ascii="宋体" w:hAnsi="宋体" w:cs="宋体"/>
          <w:sz w:val="24"/>
          <w:highlight w:val="none"/>
        </w:rPr>
        <w:t>3. 监理人</w:t>
      </w:r>
      <w:bookmarkEnd w:id="250"/>
    </w:p>
    <w:p w14:paraId="7800AC20">
      <w:pPr>
        <w:spacing w:line="500" w:lineRule="exact"/>
        <w:outlineLvl w:val="3"/>
        <w:rPr>
          <w:rFonts w:hint="eastAsia" w:ascii="宋体" w:hAnsi="宋体" w:cs="宋体"/>
          <w:sz w:val="24"/>
          <w:highlight w:val="none"/>
        </w:rPr>
      </w:pPr>
      <w:r>
        <w:rPr>
          <w:rFonts w:hint="eastAsia" w:ascii="宋体" w:hAnsi="宋体" w:cs="宋体"/>
          <w:sz w:val="24"/>
          <w:highlight w:val="none"/>
        </w:rPr>
        <w:t>3.1 监理人的职责和权力</w:t>
      </w:r>
    </w:p>
    <w:p w14:paraId="57A0F989">
      <w:pPr>
        <w:spacing w:line="500" w:lineRule="exact"/>
        <w:ind w:firstLine="420"/>
        <w:rPr>
          <w:rFonts w:hint="eastAsia" w:ascii="宋体" w:hAnsi="宋体" w:cs="宋体"/>
          <w:sz w:val="24"/>
          <w:highlight w:val="none"/>
        </w:rPr>
      </w:pPr>
      <w:r>
        <w:rPr>
          <w:rFonts w:hint="eastAsia" w:ascii="宋体" w:hAnsi="宋体" w:cs="宋体"/>
          <w:sz w:val="24"/>
          <w:highlight w:val="none"/>
        </w:rPr>
        <w:t>3.1.1 监理人受发包人的委托，享有合同约定的权力。监理人的权力范围在专用合同条款中明确。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p>
    <w:p w14:paraId="1053FED1">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3.1.2 监理人发出的任何指示应视为已得到发包人的批准，但监理人无权免除或变更合同约定的发包人和承包人的权利、义务和责任。</w:t>
      </w:r>
    </w:p>
    <w:p w14:paraId="3D5F8D72">
      <w:pPr>
        <w:spacing w:line="500" w:lineRule="exact"/>
        <w:ind w:firstLine="420"/>
        <w:rPr>
          <w:rFonts w:hint="eastAsia" w:ascii="宋体" w:hAnsi="宋体" w:cs="宋体"/>
          <w:sz w:val="24"/>
          <w:highlight w:val="none"/>
        </w:rPr>
      </w:pPr>
      <w:r>
        <w:rPr>
          <w:rFonts w:hint="eastAsia" w:ascii="宋体" w:hAnsi="宋体" w:cs="宋体"/>
          <w:sz w:val="24"/>
          <w:highlight w:val="none"/>
        </w:rPr>
        <w:t>3.1.3 合同约定应由承包人承担的义务和责任，不因监理人对承包人提交文件的审查或批准，对工程、材料和设备的检查和检验，以及为实施监理作出的指示等职务行为而减轻或解除。</w:t>
      </w:r>
    </w:p>
    <w:p w14:paraId="743042AE">
      <w:pPr>
        <w:spacing w:line="500" w:lineRule="exact"/>
        <w:outlineLvl w:val="3"/>
        <w:rPr>
          <w:rFonts w:hint="eastAsia" w:ascii="宋体" w:hAnsi="宋体" w:cs="宋体"/>
          <w:sz w:val="24"/>
          <w:highlight w:val="none"/>
        </w:rPr>
      </w:pPr>
      <w:r>
        <w:rPr>
          <w:rFonts w:hint="eastAsia" w:ascii="宋体" w:hAnsi="宋体" w:cs="宋体"/>
          <w:sz w:val="24"/>
          <w:highlight w:val="none"/>
        </w:rPr>
        <w:t>3.2 总监理工程师</w:t>
      </w:r>
    </w:p>
    <w:p w14:paraId="46EBDD0D">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发包人应在发出开工通知前将总监理工程师的任命通知承包人。总监理工程师更换时，应在调离14天前通知承包人。总监理工程师短期离开施工场地的，应委派代表代行其职责，并通知承包人。   </w:t>
      </w:r>
    </w:p>
    <w:p w14:paraId="0B3CFE5E">
      <w:pPr>
        <w:spacing w:line="500" w:lineRule="exact"/>
        <w:outlineLvl w:val="3"/>
        <w:rPr>
          <w:rFonts w:hint="eastAsia" w:ascii="宋体" w:hAnsi="宋体" w:cs="宋体"/>
          <w:sz w:val="24"/>
          <w:highlight w:val="none"/>
        </w:rPr>
      </w:pPr>
      <w:r>
        <w:rPr>
          <w:rFonts w:hint="eastAsia" w:ascii="宋体" w:hAnsi="宋体" w:cs="宋体"/>
          <w:sz w:val="24"/>
          <w:highlight w:val="none"/>
        </w:rPr>
        <w:t>3.3 监理人员</w:t>
      </w:r>
    </w:p>
    <w:p w14:paraId="02E7A276">
      <w:pPr>
        <w:spacing w:line="500" w:lineRule="exact"/>
        <w:ind w:firstLine="480" w:firstLineChars="200"/>
        <w:jc w:val="left"/>
        <w:rPr>
          <w:rFonts w:hint="eastAsia" w:ascii="宋体" w:hAnsi="宋体" w:cs="宋体"/>
          <w:sz w:val="24"/>
          <w:highlight w:val="none"/>
        </w:rPr>
      </w:pPr>
      <w:r>
        <w:rPr>
          <w:rFonts w:hint="eastAsia" w:ascii="宋体" w:hAnsi="宋体" w:cs="宋体"/>
          <w:sz w:val="24"/>
          <w:highlight w:val="none"/>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2DEA1651">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3.3.2 监理人员对承包人的任何工作、工程或其采用的材料和工程设备未在约定的或合理的期限内提出否定意见的，视为已获批准，但不影响监理人在以后拒绝该项工作、工程、材料或工程设备的权利。</w:t>
      </w:r>
    </w:p>
    <w:p w14:paraId="1EE2FB7C">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3.3.3 承包人对总监理工程师授权的监理人员发出的指示有疑问的，可向总监理工程师提出书面异议，总监理工程师应在48小时内对该指示予以确认、更改或撤销。</w:t>
      </w:r>
    </w:p>
    <w:p w14:paraId="1BC991DA">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3.3.4 除专用合同条款另有约定外，总监理工程师不应将第3.5款约定应由总监理工程师作出确定的权力授权或委托给其他监理人员。</w:t>
      </w:r>
    </w:p>
    <w:p w14:paraId="2C3FA9E4">
      <w:pPr>
        <w:spacing w:line="500" w:lineRule="exact"/>
        <w:outlineLvl w:val="3"/>
        <w:rPr>
          <w:rFonts w:hint="eastAsia" w:ascii="宋体" w:hAnsi="宋体" w:cs="宋体"/>
          <w:sz w:val="24"/>
          <w:highlight w:val="none"/>
        </w:rPr>
      </w:pPr>
      <w:r>
        <w:rPr>
          <w:rFonts w:hint="eastAsia" w:ascii="宋体" w:hAnsi="宋体" w:cs="宋体"/>
          <w:sz w:val="24"/>
          <w:highlight w:val="none"/>
        </w:rPr>
        <w:t>3.4 监理人的指示</w:t>
      </w:r>
    </w:p>
    <w:p w14:paraId="086683E9">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3.4.1 监理人应按第3.1款的约定向承包人发出指示，监理人的指示应盖有监理人授权的施工场地机构章，并由总监理工程师或总监理工程师按第3.3.1项约定授权的监理人员签字。</w:t>
      </w:r>
    </w:p>
    <w:p w14:paraId="0A8FCA21">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3.4.2 承包人收到监理人按第3.4.1项作出的指示后应遵照执行。指示构成变更的，应按第15条处理。</w:t>
      </w:r>
    </w:p>
    <w:p w14:paraId="38C156FE">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46146516">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3.4.4 除合同另有约定外，承包人只从总监理工程师或按第3.3.1项被授权的监理人员处取得指示。</w:t>
      </w:r>
    </w:p>
    <w:p w14:paraId="1F3074DA">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3.4.5 由于监理人未能按合同约定发出指示、指示延误或指示错误而导致承包人费用增加和（或）工期延误的，由发包人承担赔偿责任。 </w:t>
      </w:r>
    </w:p>
    <w:p w14:paraId="351DD1EB">
      <w:pPr>
        <w:spacing w:line="500" w:lineRule="exact"/>
        <w:outlineLvl w:val="3"/>
        <w:rPr>
          <w:rFonts w:hint="eastAsia" w:ascii="宋体" w:hAnsi="宋体" w:cs="宋体"/>
          <w:sz w:val="24"/>
          <w:highlight w:val="none"/>
        </w:rPr>
      </w:pPr>
      <w:r>
        <w:rPr>
          <w:rFonts w:hint="eastAsia" w:ascii="宋体" w:hAnsi="宋体" w:cs="宋体"/>
          <w:sz w:val="24"/>
          <w:highlight w:val="none"/>
        </w:rPr>
        <w:t>3.5 商定或确定</w:t>
      </w:r>
    </w:p>
    <w:p w14:paraId="48963C2D">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3.5.1合同约定总监理工程师应按照本款对任何事项进行商定或确定时，总监理工程师应与合同当事人协商，尽量达成一致。不能达成一致的，总监理工程师应认真研究后审慎确定。</w:t>
      </w:r>
    </w:p>
    <w:p w14:paraId="05688C3F">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14:paraId="0957F156">
      <w:pPr>
        <w:spacing w:line="500" w:lineRule="exact"/>
        <w:outlineLvl w:val="2"/>
        <w:rPr>
          <w:rFonts w:hint="eastAsia" w:ascii="宋体" w:hAnsi="宋体" w:cs="宋体"/>
          <w:sz w:val="24"/>
          <w:highlight w:val="none"/>
        </w:rPr>
      </w:pPr>
      <w:bookmarkStart w:id="251" w:name="_Toc140340962"/>
      <w:r>
        <w:rPr>
          <w:rFonts w:hint="eastAsia" w:ascii="宋体" w:hAnsi="宋体" w:cs="宋体"/>
          <w:sz w:val="24"/>
          <w:highlight w:val="none"/>
        </w:rPr>
        <w:t>4. 承包人</w:t>
      </w:r>
      <w:bookmarkEnd w:id="251"/>
    </w:p>
    <w:p w14:paraId="33818A4C">
      <w:pPr>
        <w:spacing w:line="500" w:lineRule="exact"/>
        <w:outlineLvl w:val="3"/>
        <w:rPr>
          <w:rFonts w:hint="eastAsia" w:ascii="宋体" w:hAnsi="宋体" w:cs="宋体"/>
          <w:sz w:val="24"/>
          <w:highlight w:val="none"/>
        </w:rPr>
      </w:pPr>
      <w:r>
        <w:rPr>
          <w:rFonts w:hint="eastAsia" w:ascii="宋体" w:hAnsi="宋体" w:cs="宋体"/>
          <w:sz w:val="24"/>
          <w:highlight w:val="none"/>
        </w:rPr>
        <w:t>4.1承包人的一般义务</w:t>
      </w:r>
    </w:p>
    <w:p w14:paraId="208A9CC2">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4.1.1 遵守法律</w:t>
      </w:r>
    </w:p>
    <w:p w14:paraId="554897BA">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承包人在履行合同过程中应遵守法律，并保证发包人免于承担因承包人违反法律而引起的任何责任。</w:t>
      </w:r>
    </w:p>
    <w:p w14:paraId="484F052B">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4.1.2 依法纳税</w:t>
      </w:r>
    </w:p>
    <w:p w14:paraId="6E339937">
      <w:pPr>
        <w:spacing w:line="500" w:lineRule="exact"/>
        <w:rPr>
          <w:rFonts w:hint="eastAsia" w:ascii="宋体" w:hAnsi="宋体" w:cs="宋体"/>
          <w:sz w:val="24"/>
          <w:highlight w:val="none"/>
        </w:rPr>
      </w:pPr>
      <w:r>
        <w:rPr>
          <w:rFonts w:hint="eastAsia" w:ascii="宋体" w:hAnsi="宋体" w:cs="宋体"/>
          <w:sz w:val="24"/>
          <w:highlight w:val="none"/>
        </w:rPr>
        <w:t>承包人应按有关法律规定纳税，应缴纳的税金包括在合同价格内。</w:t>
      </w:r>
    </w:p>
    <w:p w14:paraId="62EC1C2E">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4.1.3 完成各项承包工作</w:t>
      </w:r>
    </w:p>
    <w:p w14:paraId="5F52B19D">
      <w:pPr>
        <w:spacing w:line="500" w:lineRule="exact"/>
        <w:rPr>
          <w:rFonts w:hint="eastAsia" w:ascii="宋体" w:hAnsi="宋体" w:cs="宋体"/>
          <w:sz w:val="24"/>
          <w:highlight w:val="none"/>
        </w:rPr>
      </w:pPr>
      <w:r>
        <w:rPr>
          <w:rFonts w:hint="eastAsia" w:ascii="宋体" w:hAnsi="宋体" w:cs="宋体"/>
          <w:sz w:val="24"/>
          <w:highlight w:val="none"/>
        </w:rPr>
        <w:t>　　承包人应按合同约定以及监理人根据第3.4款作出的指示，实施、完成全部工程，并修补工程中的任何缺陷。除第5.2款、第6.2款另有约定外，承包人应提供为完成合同工作所需的劳务、材料、施工设备、工程设备和其它物品，并按合同约定负责临时设施的设计、建造、运行、维护、管理和拆除。</w:t>
      </w:r>
    </w:p>
    <w:p w14:paraId="3D00A3F8">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4.1.4 对施工作业和施工方法的完备性负责</w:t>
      </w:r>
    </w:p>
    <w:p w14:paraId="62958120">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承包人应按合同约定的工作内容和施工进度要求，编制施工组织设计和施工措施计划，并对所有施工作业和施工方法的完备性和安全可靠性负责。</w:t>
      </w:r>
    </w:p>
    <w:p w14:paraId="33B10F06">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4.1.5 保证工程施工和人员的安全</w:t>
      </w:r>
    </w:p>
    <w:p w14:paraId="1A201723">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承包人应按第9.2款约定采取施工安全措施，确保工程及其人员、材料、设备和设施的安全，防止因工程施工造成的人身伤害和财产损失。</w:t>
      </w:r>
    </w:p>
    <w:p w14:paraId="72CDA60E">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4.1.6 负责施工场地及其周边环境与生态的保护工作</w:t>
      </w:r>
    </w:p>
    <w:p w14:paraId="77BB9F0B">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承包人应按照第9.4款约定负责施工场地及其周边环境与生态的保护工作。</w:t>
      </w:r>
    </w:p>
    <w:p w14:paraId="3ADE3CDB">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4.1.7 避免施工对公众与他人的利益造成损害</w:t>
      </w:r>
    </w:p>
    <w:p w14:paraId="3986F193">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32DDDBCD">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4.1.8 为他人提供方便</w:t>
      </w:r>
    </w:p>
    <w:p w14:paraId="188EB4CB">
      <w:pPr>
        <w:spacing w:line="500" w:lineRule="exact"/>
        <w:rPr>
          <w:rFonts w:hint="eastAsia" w:ascii="宋体" w:hAnsi="宋体" w:cs="宋体"/>
          <w:sz w:val="24"/>
          <w:highlight w:val="none"/>
        </w:rPr>
      </w:pPr>
      <w:r>
        <w:rPr>
          <w:rFonts w:hint="eastAsia" w:ascii="宋体" w:hAnsi="宋体" w:cs="宋体"/>
          <w:sz w:val="24"/>
          <w:highlight w:val="none"/>
        </w:rPr>
        <w:t>承包人应按监理人的指示为他人在施工场地或附近实施与工程有关的其他各项工作提供可能的条件。除合同另有约定外，提供有关条件的内容和可能发生的费用，由监理人按第3.5款商定或确定。</w:t>
      </w:r>
    </w:p>
    <w:p w14:paraId="4A7D87BA">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4.1.9 工程的维护和照管</w:t>
      </w:r>
    </w:p>
    <w:p w14:paraId="29103357">
      <w:pPr>
        <w:spacing w:line="500" w:lineRule="exact"/>
        <w:rPr>
          <w:rFonts w:hint="eastAsia" w:ascii="宋体" w:hAnsi="宋体" w:cs="宋体"/>
          <w:sz w:val="24"/>
          <w:highlight w:val="none"/>
        </w:rPr>
      </w:pPr>
      <w:r>
        <w:rPr>
          <w:rFonts w:hint="eastAsia" w:ascii="宋体" w:hAnsi="宋体" w:cs="宋体"/>
          <w:sz w:val="24"/>
          <w:highlight w:val="none"/>
        </w:rPr>
        <w:t>　　除合同另有约定外，合同工程完工证书颁发前，承包人应负责照管和维护工程。合同工程完工证书颁发时尚有部分未完工程的，承包人还应负责该未完工程的照管和维护工作，直至完工后移交给发包人为止。</w:t>
      </w:r>
    </w:p>
    <w:p w14:paraId="288EE955">
      <w:pPr>
        <w:spacing w:line="500" w:lineRule="exact"/>
        <w:rPr>
          <w:rFonts w:hint="eastAsia" w:ascii="宋体" w:hAnsi="宋体" w:cs="宋体"/>
          <w:sz w:val="24"/>
          <w:highlight w:val="none"/>
        </w:rPr>
      </w:pPr>
      <w:r>
        <w:rPr>
          <w:rFonts w:hint="eastAsia" w:ascii="宋体" w:hAnsi="宋体" w:cs="宋体"/>
          <w:sz w:val="24"/>
          <w:highlight w:val="none"/>
        </w:rPr>
        <w:t>　　4.1.10 其它义务</w:t>
      </w:r>
    </w:p>
    <w:p w14:paraId="34A65A95">
      <w:pPr>
        <w:spacing w:line="500" w:lineRule="exact"/>
        <w:rPr>
          <w:rFonts w:hint="eastAsia" w:ascii="宋体" w:hAnsi="宋体" w:cs="宋体"/>
          <w:sz w:val="24"/>
          <w:highlight w:val="none"/>
        </w:rPr>
      </w:pPr>
      <w:r>
        <w:rPr>
          <w:rFonts w:hint="eastAsia" w:ascii="宋体" w:hAnsi="宋体" w:cs="宋体"/>
          <w:sz w:val="24"/>
          <w:highlight w:val="none"/>
        </w:rPr>
        <w:t>　　其它义务在专用合同条款中补充约定。</w:t>
      </w:r>
    </w:p>
    <w:p w14:paraId="6610AAEF">
      <w:pPr>
        <w:spacing w:line="500" w:lineRule="exact"/>
        <w:outlineLvl w:val="3"/>
        <w:rPr>
          <w:rFonts w:hint="eastAsia" w:ascii="宋体" w:hAnsi="宋体" w:cs="宋体"/>
          <w:sz w:val="24"/>
          <w:highlight w:val="none"/>
        </w:rPr>
      </w:pPr>
      <w:r>
        <w:rPr>
          <w:rFonts w:hint="eastAsia" w:ascii="宋体" w:hAnsi="宋体" w:cs="宋体"/>
          <w:sz w:val="24"/>
          <w:highlight w:val="none"/>
        </w:rPr>
        <w:t>4.2 履约担保</w:t>
      </w:r>
    </w:p>
    <w:p w14:paraId="1CA70468">
      <w:pPr>
        <w:spacing w:line="500" w:lineRule="exact"/>
        <w:rPr>
          <w:rFonts w:hint="eastAsia" w:ascii="宋体" w:hAnsi="宋体" w:cs="宋体"/>
          <w:sz w:val="24"/>
          <w:highlight w:val="none"/>
        </w:rPr>
      </w:pPr>
      <w:r>
        <w:rPr>
          <w:rFonts w:hint="eastAsia" w:ascii="宋体" w:hAnsi="宋体" w:cs="宋体"/>
          <w:sz w:val="24"/>
          <w:highlight w:val="none"/>
        </w:rPr>
        <w:t>　　承包人应保证其履约担保在发包人颁发合同工程完工证书前一直有效。发包人应在合同工程完工证书颁发后28天内将履约担保退还给承包人。</w:t>
      </w:r>
    </w:p>
    <w:p w14:paraId="69A9B7D6">
      <w:pPr>
        <w:spacing w:line="500" w:lineRule="exact"/>
        <w:outlineLvl w:val="3"/>
        <w:rPr>
          <w:rFonts w:hint="eastAsia" w:ascii="宋体" w:hAnsi="宋体" w:cs="宋体"/>
          <w:sz w:val="24"/>
          <w:highlight w:val="none"/>
        </w:rPr>
      </w:pPr>
      <w:r>
        <w:rPr>
          <w:rFonts w:hint="eastAsia" w:ascii="宋体" w:hAnsi="宋体" w:cs="宋体"/>
          <w:sz w:val="24"/>
          <w:highlight w:val="none"/>
        </w:rPr>
        <w:t>4.3 分包</w:t>
      </w:r>
    </w:p>
    <w:p w14:paraId="13B958D7">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4.3.1 承包人不得将其承包的全部工程转包给第三人，或将其承包的全部工程肢解后以分包的名义转包给第三人。</w:t>
      </w:r>
    </w:p>
    <w:p w14:paraId="25684A7C">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4.3.2 承包人不得将工程主体、关键性工作分包给第三人。除专用合同条款另有约定外，未经发包人同意，承包人不得将工程的其他部分或工作分包给第三人。</w:t>
      </w:r>
    </w:p>
    <w:p w14:paraId="0CE63136">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4.3.3 分包人的资格能力应与其分包工程的标准和规模相适应。</w:t>
      </w:r>
    </w:p>
    <w:p w14:paraId="4C975AAC">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4.3.4 按投标函附录约定分包工程的，承包人应向发包人和监理人提交分包合同备份。</w:t>
      </w:r>
    </w:p>
    <w:p w14:paraId="5C248179">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4.3.5 承包人应与分包人就分包工程向发包人承担连带责任。</w:t>
      </w:r>
    </w:p>
    <w:p w14:paraId="02E1CDF3">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4.3.6 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14:paraId="239F03B0">
      <w:pPr>
        <w:spacing w:line="500" w:lineRule="exact"/>
        <w:rPr>
          <w:rFonts w:hint="eastAsia" w:ascii="宋体" w:hAnsi="宋体" w:cs="宋体"/>
          <w:sz w:val="24"/>
          <w:highlight w:val="none"/>
        </w:rPr>
      </w:pPr>
      <w:r>
        <w:rPr>
          <w:rFonts w:hint="eastAsia" w:ascii="宋体" w:hAnsi="宋体" w:cs="宋体"/>
          <w:sz w:val="24"/>
          <w:highlight w:val="none"/>
        </w:rPr>
        <w:t>　　4.3.7 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w:t>
      </w:r>
    </w:p>
    <w:p w14:paraId="3871C92A">
      <w:pPr>
        <w:spacing w:line="500" w:lineRule="exact"/>
        <w:rPr>
          <w:rFonts w:hint="eastAsia" w:ascii="宋体" w:hAnsi="宋体" w:cs="宋体"/>
          <w:sz w:val="24"/>
          <w:highlight w:val="none"/>
        </w:rPr>
      </w:pPr>
      <w:r>
        <w:rPr>
          <w:rFonts w:hint="eastAsia" w:ascii="宋体" w:hAnsi="宋体" w:cs="宋体"/>
          <w:sz w:val="24"/>
          <w:highlight w:val="none"/>
        </w:rPr>
        <w:t>　　由指定分包人造成的与其分包工作有关的一切索赔、诉讼和损失赔偿由指定分包人直接对发包人负责，承包人不对此承担责任。</w:t>
      </w:r>
    </w:p>
    <w:p w14:paraId="69A8C98F">
      <w:pPr>
        <w:spacing w:line="500" w:lineRule="exact"/>
        <w:rPr>
          <w:rFonts w:hint="eastAsia" w:ascii="宋体" w:hAnsi="宋体" w:cs="宋体"/>
          <w:sz w:val="24"/>
          <w:highlight w:val="none"/>
        </w:rPr>
      </w:pPr>
      <w:r>
        <w:rPr>
          <w:rFonts w:hint="eastAsia" w:ascii="宋体" w:hAnsi="宋体" w:cs="宋体"/>
          <w:sz w:val="24"/>
          <w:highlight w:val="none"/>
        </w:rPr>
        <w:t>　　4.3.8 承包人和分包人应当签订分包合同，并履行合同约定的义务。分包合同必须遵循承包合同的各项原则，满足承包合同中相应条款的要求。发包人可以对分包合同实施情况进行监督检查。承包人应将分包合同副本提交发包人和监理人。</w:t>
      </w:r>
    </w:p>
    <w:p w14:paraId="47589394">
      <w:pPr>
        <w:spacing w:line="500" w:lineRule="exact"/>
        <w:rPr>
          <w:rFonts w:hint="eastAsia" w:ascii="宋体" w:hAnsi="宋体" w:cs="宋体"/>
          <w:sz w:val="24"/>
          <w:highlight w:val="none"/>
        </w:rPr>
      </w:pPr>
      <w:r>
        <w:rPr>
          <w:rFonts w:hint="eastAsia" w:ascii="宋体" w:hAnsi="宋体" w:cs="宋体"/>
          <w:sz w:val="24"/>
          <w:highlight w:val="none"/>
        </w:rPr>
        <w:t>　　4.3.9 除第4.3.7项规定的指定分包外，承包人对其分包项目的实施以及分包人的行为向发包人负全部责任。承包人应对分包项目的工程进度、质量、安全、计量和验收等实施监督和管理。</w:t>
      </w:r>
    </w:p>
    <w:p w14:paraId="57CF7B1F">
      <w:pPr>
        <w:spacing w:line="500" w:lineRule="exact"/>
        <w:ind w:firstLine="420"/>
        <w:rPr>
          <w:rFonts w:hint="eastAsia" w:ascii="宋体" w:hAnsi="宋体" w:cs="宋体"/>
          <w:sz w:val="24"/>
          <w:highlight w:val="none"/>
        </w:rPr>
      </w:pPr>
      <w:r>
        <w:rPr>
          <w:rFonts w:hint="eastAsia" w:ascii="宋体" w:hAnsi="宋体" w:cs="宋体"/>
          <w:sz w:val="24"/>
          <w:highlight w:val="none"/>
        </w:rPr>
        <w:t>4.3.10 分包人应按专用合同条款的约定设立项目管理机构组织管理分包工程的施工活动。</w:t>
      </w:r>
    </w:p>
    <w:p w14:paraId="48601800">
      <w:pPr>
        <w:spacing w:line="500" w:lineRule="exact"/>
        <w:outlineLvl w:val="3"/>
        <w:rPr>
          <w:rFonts w:hint="eastAsia" w:ascii="宋体" w:hAnsi="宋体" w:cs="宋体"/>
          <w:sz w:val="24"/>
          <w:highlight w:val="none"/>
        </w:rPr>
      </w:pPr>
      <w:r>
        <w:rPr>
          <w:rFonts w:hint="eastAsia" w:ascii="宋体" w:hAnsi="宋体" w:cs="宋体"/>
          <w:sz w:val="24"/>
          <w:highlight w:val="none"/>
        </w:rPr>
        <w:t>4.4 联合体</w:t>
      </w:r>
    </w:p>
    <w:p w14:paraId="1B3DB608">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4.4.1 联合体各方应共同与发包人签订合同协议书。联合体各方应为履行合同承担连带责任。</w:t>
      </w:r>
    </w:p>
    <w:p w14:paraId="6C34F91F">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4.4.2 联合体协议经发包人确认后作为合同附件。在履行合同过程中，未经发包人同意，不得修改联合体协议。</w:t>
      </w:r>
    </w:p>
    <w:p w14:paraId="5BF57DFC">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4.4.3 联合体牵头人负责与发包人和监理人联系，并接受指示，负责组织联合体各成员全面履行合同。</w:t>
      </w:r>
    </w:p>
    <w:p w14:paraId="121DF571">
      <w:pPr>
        <w:spacing w:line="500" w:lineRule="exact"/>
        <w:outlineLvl w:val="3"/>
        <w:rPr>
          <w:rFonts w:hint="eastAsia" w:ascii="宋体" w:hAnsi="宋体" w:cs="宋体"/>
          <w:sz w:val="24"/>
          <w:highlight w:val="none"/>
        </w:rPr>
      </w:pPr>
      <w:r>
        <w:rPr>
          <w:rFonts w:hint="eastAsia" w:ascii="宋体" w:hAnsi="宋体" w:cs="宋体"/>
          <w:sz w:val="24"/>
          <w:highlight w:val="none"/>
        </w:rPr>
        <w:t>4.5 承包人项目经理</w:t>
      </w:r>
    </w:p>
    <w:p w14:paraId="4B1B3697">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3E94E099">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14:paraId="00EA142E">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4.5.3承包人为履行合同发出的一切函件均应盖有承包人授权的施工场地管理机构章，并由承包人项目经理或其授权代表签字。</w:t>
      </w:r>
    </w:p>
    <w:p w14:paraId="10B146DA">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4.5.4 承包人项目经理可以授权其下属人员履行其某项职责，但事先应将这些人员的姓名和授权范围通知监理人。</w:t>
      </w:r>
    </w:p>
    <w:p w14:paraId="3C1CAC7E">
      <w:pPr>
        <w:spacing w:line="500" w:lineRule="exact"/>
        <w:outlineLvl w:val="3"/>
        <w:rPr>
          <w:rFonts w:hint="eastAsia" w:ascii="宋体" w:hAnsi="宋体" w:cs="宋体"/>
          <w:sz w:val="24"/>
          <w:highlight w:val="none"/>
        </w:rPr>
      </w:pPr>
      <w:r>
        <w:rPr>
          <w:rFonts w:hint="eastAsia" w:ascii="宋体" w:hAnsi="宋体" w:cs="宋体"/>
          <w:sz w:val="24"/>
          <w:highlight w:val="none"/>
        </w:rPr>
        <w:t>4.6 承包人人员的管理</w:t>
      </w:r>
    </w:p>
    <w:p w14:paraId="484FA62D">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3D0F0155">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4.6.2 为完成合同约定的各项工作，承包人应向施工场地派遣或雇佣足够数量的下列人员：</w:t>
      </w:r>
    </w:p>
    <w:p w14:paraId="5AA32B3B">
      <w:pPr>
        <w:spacing w:line="500" w:lineRule="exact"/>
        <w:ind w:firstLine="820" w:firstLineChars="342"/>
        <w:rPr>
          <w:rFonts w:hint="eastAsia" w:ascii="宋体" w:hAnsi="宋体" w:cs="宋体"/>
          <w:sz w:val="24"/>
          <w:highlight w:val="none"/>
        </w:rPr>
      </w:pPr>
      <w:r>
        <w:rPr>
          <w:rFonts w:hint="eastAsia" w:ascii="宋体" w:hAnsi="宋体" w:cs="宋体"/>
          <w:sz w:val="24"/>
          <w:highlight w:val="none"/>
        </w:rPr>
        <w:t>（1）具有相应资格的专业技工和合格的普工；</w:t>
      </w:r>
    </w:p>
    <w:p w14:paraId="236498D6">
      <w:pPr>
        <w:spacing w:line="500" w:lineRule="exact"/>
        <w:ind w:firstLine="820" w:firstLineChars="342"/>
        <w:rPr>
          <w:rFonts w:hint="eastAsia" w:ascii="宋体" w:hAnsi="宋体" w:cs="宋体"/>
          <w:sz w:val="24"/>
          <w:highlight w:val="none"/>
        </w:rPr>
      </w:pPr>
      <w:r>
        <w:rPr>
          <w:rFonts w:hint="eastAsia" w:ascii="宋体" w:hAnsi="宋体" w:cs="宋体"/>
          <w:sz w:val="24"/>
          <w:highlight w:val="none"/>
        </w:rPr>
        <w:t>（2）具有相应施工经验的技术人员；</w:t>
      </w:r>
    </w:p>
    <w:p w14:paraId="0FC32DFB">
      <w:pPr>
        <w:spacing w:line="500" w:lineRule="exact"/>
        <w:ind w:firstLine="820" w:firstLineChars="342"/>
        <w:rPr>
          <w:rFonts w:hint="eastAsia" w:ascii="宋体" w:hAnsi="宋体" w:cs="宋体"/>
          <w:sz w:val="24"/>
          <w:highlight w:val="none"/>
        </w:rPr>
      </w:pPr>
      <w:r>
        <w:rPr>
          <w:rFonts w:hint="eastAsia" w:ascii="宋体" w:hAnsi="宋体" w:cs="宋体"/>
          <w:sz w:val="24"/>
          <w:highlight w:val="none"/>
        </w:rPr>
        <w:t>（3）具有相应岗位资格的各级管理人员。</w:t>
      </w:r>
    </w:p>
    <w:p w14:paraId="4747AE58">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4.6.3 承包人安排在施工场地的主要管理人员和技术骨干应相对稳定。承包人更换主要管理人员和技术骨干时，应取得监理人的同意。</w:t>
      </w:r>
    </w:p>
    <w:p w14:paraId="533E5DD5">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4.6.4 特殊岗位的工作人员均应持有相应的资格证明，监理人有权随时检查。监理人认为有必要时，可进行现场考核。</w:t>
      </w:r>
    </w:p>
    <w:p w14:paraId="3AE08F46">
      <w:pPr>
        <w:spacing w:line="500" w:lineRule="exact"/>
        <w:outlineLvl w:val="3"/>
        <w:rPr>
          <w:rFonts w:hint="eastAsia" w:ascii="宋体" w:hAnsi="宋体" w:cs="宋体"/>
          <w:sz w:val="24"/>
          <w:highlight w:val="none"/>
        </w:rPr>
      </w:pPr>
      <w:r>
        <w:rPr>
          <w:rFonts w:hint="eastAsia" w:ascii="宋体" w:hAnsi="宋体" w:cs="宋体"/>
          <w:sz w:val="24"/>
          <w:highlight w:val="none"/>
        </w:rPr>
        <w:t>4.7 撤换承包人项目经理和其他人员</w:t>
      </w:r>
    </w:p>
    <w:p w14:paraId="761C54C9">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承包人应对其项目经理和其他人员进行有效管理。监理人要求撤换不能胜任本职工作、行为不端或玩忽职守的承包人项目经理和其他人员的，承包人应予以撤换。</w:t>
      </w:r>
    </w:p>
    <w:p w14:paraId="41FBFAA0">
      <w:pPr>
        <w:spacing w:line="500" w:lineRule="exact"/>
        <w:outlineLvl w:val="3"/>
        <w:rPr>
          <w:rFonts w:hint="eastAsia" w:ascii="宋体" w:hAnsi="宋体" w:cs="宋体"/>
          <w:sz w:val="24"/>
          <w:highlight w:val="none"/>
        </w:rPr>
      </w:pPr>
      <w:r>
        <w:rPr>
          <w:rFonts w:hint="eastAsia" w:ascii="宋体" w:hAnsi="宋体" w:cs="宋体"/>
          <w:sz w:val="24"/>
          <w:highlight w:val="none"/>
        </w:rPr>
        <w:t>4.8 保障承包人人员的合法权益</w:t>
      </w:r>
    </w:p>
    <w:p w14:paraId="67DE7E7E">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4.8.1 承包人应与其雇佣的人员签订劳动合同，并按时发放工资。</w:t>
      </w:r>
    </w:p>
    <w:p w14:paraId="468F944E">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4.8.2 承包人应按劳动法的规定安排工作时间，保证其雇佣人员享有休息和休假的权利。因工程施工的特殊需要占用休假日或延长工作时间的，应不超过法律规定的限度，并按法律规定给予补休或付酬。</w:t>
      </w:r>
    </w:p>
    <w:p w14:paraId="1750AE04">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4.8.3 承包人应为其雇佣人员提供必要的食宿条件，以及符合环境保护和卫生要求的生活环境，在远离城镇的施工场地，还应配备必要的伤病防治和急救的医务人员与医疗设施。</w:t>
      </w:r>
    </w:p>
    <w:p w14:paraId="6E49E4B4">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48D61DE1">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4.8.5 承包人应按有关法律规定和合同约定，为其雇佣人员办理保险。</w:t>
      </w:r>
    </w:p>
    <w:p w14:paraId="2070C0D7">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4.8.6 承包人应负责处理其雇佣人员因工伤亡事故的善后事宜。</w:t>
      </w:r>
    </w:p>
    <w:p w14:paraId="75C97B95">
      <w:pPr>
        <w:spacing w:line="500" w:lineRule="exact"/>
        <w:outlineLvl w:val="3"/>
        <w:rPr>
          <w:rFonts w:hint="eastAsia" w:ascii="宋体" w:hAnsi="宋体" w:cs="宋体"/>
          <w:sz w:val="24"/>
          <w:highlight w:val="none"/>
        </w:rPr>
      </w:pPr>
      <w:r>
        <w:rPr>
          <w:rFonts w:hint="eastAsia" w:ascii="宋体" w:hAnsi="宋体" w:cs="宋体"/>
          <w:sz w:val="24"/>
          <w:highlight w:val="none"/>
        </w:rPr>
        <w:t>4.9 工程价款应专款专用</w:t>
      </w:r>
    </w:p>
    <w:p w14:paraId="0D849537">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发包人按合同约定支付给承包人的各项价款应专用于合同工程。</w:t>
      </w:r>
    </w:p>
    <w:p w14:paraId="6DC86720">
      <w:pPr>
        <w:spacing w:line="500" w:lineRule="exact"/>
        <w:outlineLvl w:val="3"/>
        <w:rPr>
          <w:rFonts w:hint="eastAsia" w:ascii="宋体" w:hAnsi="宋体" w:cs="宋体"/>
          <w:sz w:val="24"/>
          <w:highlight w:val="none"/>
        </w:rPr>
      </w:pPr>
      <w:r>
        <w:rPr>
          <w:rFonts w:hint="eastAsia" w:ascii="宋体" w:hAnsi="宋体" w:cs="宋体"/>
          <w:sz w:val="24"/>
          <w:highlight w:val="none"/>
        </w:rPr>
        <w:t xml:space="preserve">4.10 承包人现场查勘                                                                                                           </w:t>
      </w:r>
    </w:p>
    <w:p w14:paraId="4980E9CD">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4.10.1 发包人应将其持有的现场地质勘探资料、水文气象资料提供给承包人，并对其准确性负责。但承包人应对其阅读上述有关资料后所作出的解释和推断负责。</w:t>
      </w:r>
    </w:p>
    <w:p w14:paraId="0588ACD4">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5BD42F8E">
      <w:pPr>
        <w:spacing w:line="500" w:lineRule="exact"/>
        <w:outlineLvl w:val="3"/>
        <w:rPr>
          <w:rFonts w:hint="eastAsia" w:ascii="宋体" w:hAnsi="宋体" w:cs="宋体"/>
          <w:sz w:val="24"/>
          <w:highlight w:val="none"/>
        </w:rPr>
      </w:pPr>
      <w:r>
        <w:rPr>
          <w:rFonts w:hint="eastAsia" w:ascii="宋体" w:hAnsi="宋体" w:cs="宋体"/>
          <w:sz w:val="24"/>
          <w:highlight w:val="none"/>
        </w:rPr>
        <w:t>4.11 不利物质条件</w:t>
      </w:r>
    </w:p>
    <w:p w14:paraId="333E2FE2">
      <w:pPr>
        <w:spacing w:line="500" w:lineRule="exact"/>
        <w:rPr>
          <w:rFonts w:hint="eastAsia" w:ascii="宋体" w:hAnsi="宋体" w:cs="宋体"/>
          <w:sz w:val="24"/>
          <w:highlight w:val="none"/>
        </w:rPr>
      </w:pPr>
      <w:r>
        <w:rPr>
          <w:rFonts w:hint="eastAsia" w:ascii="宋体" w:hAnsi="宋体" w:cs="宋体"/>
          <w:sz w:val="24"/>
          <w:highlight w:val="none"/>
        </w:rPr>
        <w:t>　　4.11.1 除专用合同条款另有约定外，不利物质条件是指在施工中遭遇不可预见的外界障碍或自然条件造成施工受阻。</w:t>
      </w:r>
    </w:p>
    <w:p w14:paraId="76B7BB3B">
      <w:pPr>
        <w:spacing w:line="500" w:lineRule="exact"/>
        <w:rPr>
          <w:rFonts w:hint="eastAsia" w:ascii="宋体" w:hAnsi="宋体" w:cs="宋体"/>
          <w:sz w:val="24"/>
          <w:highlight w:val="none"/>
        </w:rPr>
      </w:pPr>
      <w:r>
        <w:rPr>
          <w:rFonts w:hint="eastAsia" w:ascii="宋体" w:hAnsi="宋体" w:cs="宋体"/>
          <w:sz w:val="24"/>
          <w:highlight w:val="none"/>
        </w:rPr>
        <w:t>　　4.11.2 承包人遇到不利物质条件时，应采取适应不利物质条件的合理措施继续施工，并及时通知监理人。承包人有权根据第23.1款的约定，要求延长工期及增加费用。监理人收到此类要求后，应在分析上述外界障碍或自然条件是否不可预见及不可预见程度的基础上，按照通用合同条款第15条的约定办理。</w:t>
      </w:r>
    </w:p>
    <w:p w14:paraId="23B99954">
      <w:pPr>
        <w:spacing w:line="500" w:lineRule="exact"/>
        <w:outlineLvl w:val="2"/>
        <w:rPr>
          <w:rFonts w:hint="eastAsia" w:ascii="宋体" w:hAnsi="宋体" w:cs="宋体"/>
          <w:sz w:val="24"/>
          <w:highlight w:val="none"/>
        </w:rPr>
      </w:pPr>
      <w:bookmarkStart w:id="252" w:name="_Toc140340963"/>
      <w:r>
        <w:rPr>
          <w:rFonts w:hint="eastAsia" w:ascii="宋体" w:hAnsi="宋体" w:cs="宋体"/>
          <w:sz w:val="24"/>
          <w:highlight w:val="none"/>
        </w:rPr>
        <w:t>5　材料和工程设备</w:t>
      </w:r>
      <w:bookmarkEnd w:id="252"/>
    </w:p>
    <w:p w14:paraId="63C35CF4">
      <w:pPr>
        <w:spacing w:line="500" w:lineRule="exact"/>
        <w:outlineLvl w:val="3"/>
        <w:rPr>
          <w:rFonts w:hint="eastAsia" w:ascii="宋体" w:hAnsi="宋体" w:cs="宋体"/>
          <w:sz w:val="24"/>
          <w:highlight w:val="none"/>
        </w:rPr>
      </w:pPr>
      <w:r>
        <w:rPr>
          <w:rFonts w:hint="eastAsia" w:ascii="宋体" w:hAnsi="宋体" w:cs="宋体"/>
          <w:sz w:val="24"/>
          <w:highlight w:val="none"/>
        </w:rPr>
        <w:t>5.1 承包人提供的材料和工程设备</w:t>
      </w:r>
    </w:p>
    <w:p w14:paraId="1B0E09C7">
      <w:pPr>
        <w:spacing w:line="500" w:lineRule="exact"/>
        <w:ind w:firstLine="420"/>
        <w:rPr>
          <w:rFonts w:hint="eastAsia" w:ascii="宋体" w:hAnsi="宋体" w:cs="宋体"/>
          <w:sz w:val="24"/>
          <w:highlight w:val="none"/>
        </w:rPr>
      </w:pPr>
      <w:r>
        <w:rPr>
          <w:rFonts w:hint="eastAsia" w:ascii="宋体" w:hAnsi="宋体" w:cs="宋体"/>
          <w:sz w:val="24"/>
          <w:highlight w:val="none"/>
        </w:rPr>
        <w:t>5.1.1 除第5.2款约定由发包人提供的材料和工程设备外，承包人负责采购、运输和保管完成本合同工作所需的材料和工程设备。承包人应对其采购的材料和工程设备负责。</w:t>
      </w:r>
    </w:p>
    <w:p w14:paraId="53556883">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2E060955">
      <w:pPr>
        <w:spacing w:line="500" w:lineRule="exact"/>
        <w:ind w:firstLine="420"/>
        <w:rPr>
          <w:rFonts w:hint="eastAsia" w:ascii="宋体" w:hAnsi="宋体" w:cs="宋体"/>
          <w:sz w:val="24"/>
          <w:highlight w:val="none"/>
        </w:rPr>
      </w:pPr>
      <w:r>
        <w:rPr>
          <w:rFonts w:hint="eastAsia" w:ascii="宋体" w:hAnsi="宋体" w:cs="宋体"/>
          <w:sz w:val="24"/>
          <w:highlight w:val="none"/>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494E9E4D">
      <w:pPr>
        <w:spacing w:line="500" w:lineRule="exact"/>
        <w:outlineLvl w:val="3"/>
        <w:rPr>
          <w:rFonts w:hint="eastAsia" w:ascii="宋体" w:hAnsi="宋体" w:cs="宋体"/>
          <w:sz w:val="24"/>
          <w:highlight w:val="none"/>
        </w:rPr>
      </w:pPr>
      <w:r>
        <w:rPr>
          <w:rFonts w:hint="eastAsia" w:ascii="宋体" w:hAnsi="宋体" w:cs="宋体"/>
          <w:sz w:val="24"/>
          <w:highlight w:val="none"/>
        </w:rPr>
        <w:t>5.2 发包人提供的材料和工程设备</w:t>
      </w:r>
    </w:p>
    <w:p w14:paraId="535AEA6B">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5.2.1 发包人提供的材料和工程设备，应在专用合同条款中写明材料和工程设备的名称、规格、数量、价格、交货方式、交货地点和计划交货日期等。</w:t>
      </w:r>
    </w:p>
    <w:p w14:paraId="435C3937">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5.2.2 承包人应根据合同进度计划的安排，向监理人报送要求发包人交货的日期计划。发包人应按照监理人与合同双方当事人商定的交货日期，向承包人提交材料和工程设备。</w:t>
      </w:r>
    </w:p>
    <w:p w14:paraId="14D654A1">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5.2.3 发包人应在材料和工程设备到货7天前通知承包人，承包人应会同监理人在约定的时间内，赴交货地点共同进行验收。发包人提供的材料和工程设备运至交货地点验收后，由承包人负责接收、卸货、运输和保管。</w:t>
      </w:r>
    </w:p>
    <w:p w14:paraId="20C4875B">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5.2.4 发包人要求向承包人提前交货的，承包人不得拒绝，但发包人应承担承包人由此增加的费用。 </w:t>
      </w:r>
    </w:p>
    <w:p w14:paraId="6D5C551F">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5.2.5 承包人要求更改交货日期或地点的，应事先报请监理人批准。由于承包人要求更改交货时间或地点所增加的费用和（或）工期延误由承包人承担。 </w:t>
      </w:r>
    </w:p>
    <w:p w14:paraId="1723760D">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15DF672E">
      <w:pPr>
        <w:spacing w:line="500" w:lineRule="exact"/>
        <w:ind w:firstLine="480" w:firstLineChars="200"/>
        <w:outlineLvl w:val="3"/>
        <w:rPr>
          <w:rFonts w:hint="eastAsia" w:ascii="宋体" w:hAnsi="宋体" w:cs="宋体"/>
          <w:sz w:val="24"/>
          <w:highlight w:val="none"/>
        </w:rPr>
      </w:pPr>
      <w:r>
        <w:rPr>
          <w:rFonts w:hint="eastAsia" w:ascii="宋体" w:hAnsi="宋体" w:cs="宋体"/>
          <w:sz w:val="24"/>
          <w:highlight w:val="none"/>
        </w:rPr>
        <w:t>5.3 材料和工程设备专用于合同工程</w:t>
      </w:r>
    </w:p>
    <w:p w14:paraId="2F470E26">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5.3.1运入施工场地的材料、工程设备，包括备品备件、安装专用工器具与随机资料，必须专用于合同工程，未经监理人同意，承包人不得运出施工场地或挪作他用。</w:t>
      </w:r>
    </w:p>
    <w:p w14:paraId="07042EB7">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3AE011AF">
      <w:pPr>
        <w:spacing w:line="500" w:lineRule="exact"/>
        <w:outlineLvl w:val="3"/>
        <w:rPr>
          <w:rFonts w:hint="eastAsia" w:ascii="宋体" w:hAnsi="宋体" w:cs="宋体"/>
          <w:sz w:val="24"/>
          <w:highlight w:val="none"/>
        </w:rPr>
      </w:pPr>
      <w:r>
        <w:rPr>
          <w:rFonts w:hint="eastAsia" w:ascii="宋体" w:hAnsi="宋体" w:cs="宋体"/>
          <w:sz w:val="24"/>
          <w:highlight w:val="none"/>
        </w:rPr>
        <w:t>5.4 禁止使用不合格的材料和工程设备</w:t>
      </w:r>
    </w:p>
    <w:p w14:paraId="65067EAD">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5.4.1 监理人有权拒绝承包人提供的不合格材料或工程设备，并要求承包人立即进行更换。监理人应在更换后再次进行检查和检验，由此增加的费用和（或）工期延误由承包人承担。</w:t>
      </w:r>
    </w:p>
    <w:p w14:paraId="794AF8D6">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5.4.2 监理人发现承包人使用了不合格的材料和工程设备，应即时发出指示要求承包人立即改正，并禁止在工程中继续使用不合格的材料和工程设备。</w:t>
      </w:r>
    </w:p>
    <w:p w14:paraId="75A09331">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5.4.3 发包人提供的材料或工程设备不符合合同要求的，承包人有权拒绝，并可要求发包人更换，由此增加的费用和（或）工期延误由发包人承担。</w:t>
      </w:r>
    </w:p>
    <w:p w14:paraId="4DECF146">
      <w:pPr>
        <w:spacing w:line="500" w:lineRule="exact"/>
        <w:outlineLvl w:val="2"/>
        <w:rPr>
          <w:rFonts w:hint="eastAsia" w:ascii="宋体" w:hAnsi="宋体" w:cs="宋体"/>
          <w:sz w:val="24"/>
          <w:highlight w:val="none"/>
        </w:rPr>
      </w:pPr>
      <w:bookmarkStart w:id="253" w:name="_Toc140340964"/>
      <w:r>
        <w:rPr>
          <w:rFonts w:hint="eastAsia" w:ascii="宋体" w:hAnsi="宋体" w:cs="宋体"/>
          <w:sz w:val="24"/>
          <w:highlight w:val="none"/>
        </w:rPr>
        <w:t>6. 施工设备和临时设施</w:t>
      </w:r>
      <w:bookmarkEnd w:id="253"/>
    </w:p>
    <w:p w14:paraId="4658FE41">
      <w:pPr>
        <w:spacing w:line="500" w:lineRule="exact"/>
        <w:outlineLvl w:val="3"/>
        <w:rPr>
          <w:rFonts w:hint="eastAsia" w:ascii="宋体" w:hAnsi="宋体" w:cs="宋体"/>
          <w:sz w:val="24"/>
          <w:highlight w:val="none"/>
        </w:rPr>
      </w:pPr>
      <w:r>
        <w:rPr>
          <w:rFonts w:hint="eastAsia" w:ascii="宋体" w:hAnsi="宋体" w:cs="宋体"/>
          <w:sz w:val="24"/>
          <w:highlight w:val="none"/>
        </w:rPr>
        <w:t>6.1 承包人提供的施工设备和临时设施</w:t>
      </w:r>
    </w:p>
    <w:p w14:paraId="14B58677">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6.1.1 承包人应按合同进度计划的要求，及时配置施工设备和修建临时设施。进入施工场地的承包人设备需经监理人核查后才能投入使用。承包人更换合同约定的承包人设备的，应报监理人批准。</w:t>
      </w:r>
    </w:p>
    <w:p w14:paraId="3E1DBB0C">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6.1.2除专用合同条款另有约定外，承包人应自行承担修建临时设施的费用，需要临时占地的，应由发包人办理申请手续并承担相应费用。</w:t>
      </w:r>
    </w:p>
    <w:p w14:paraId="1D26E918">
      <w:pPr>
        <w:spacing w:line="500" w:lineRule="exact"/>
        <w:outlineLvl w:val="3"/>
        <w:rPr>
          <w:rFonts w:hint="eastAsia" w:ascii="宋体" w:hAnsi="宋体" w:cs="宋体"/>
          <w:sz w:val="24"/>
          <w:highlight w:val="none"/>
        </w:rPr>
      </w:pPr>
      <w:r>
        <w:rPr>
          <w:rFonts w:hint="eastAsia" w:ascii="宋体" w:hAnsi="宋体" w:cs="宋体"/>
          <w:sz w:val="24"/>
          <w:highlight w:val="none"/>
        </w:rPr>
        <w:t>6.2 发包人提供的施工设备和临时设施</w:t>
      </w:r>
    </w:p>
    <w:p w14:paraId="154DE60D">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发包人提供的施工设备或临时设施在专用合同条款中约定。</w:t>
      </w:r>
    </w:p>
    <w:p w14:paraId="668C5329">
      <w:pPr>
        <w:spacing w:line="500" w:lineRule="exact"/>
        <w:outlineLvl w:val="3"/>
        <w:rPr>
          <w:rFonts w:hint="eastAsia" w:ascii="宋体" w:hAnsi="宋体" w:cs="宋体"/>
          <w:sz w:val="24"/>
          <w:highlight w:val="none"/>
        </w:rPr>
      </w:pPr>
      <w:r>
        <w:rPr>
          <w:rFonts w:hint="eastAsia" w:ascii="宋体" w:hAnsi="宋体" w:cs="宋体"/>
          <w:sz w:val="24"/>
          <w:highlight w:val="none"/>
        </w:rPr>
        <w:t>6.3 要求承包人增加或更换施工设备</w:t>
      </w:r>
    </w:p>
    <w:p w14:paraId="1CBE15FB">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承包人使用的施工设备不能满足合同进度计划和（或）质量要求时，监理人有权要求承包人增加或更换施工设备，承包人应及时增加或更换，由此增加的费用和（或）工期延误由承包人承担。</w:t>
      </w:r>
    </w:p>
    <w:p w14:paraId="16B12D72">
      <w:pPr>
        <w:spacing w:line="500" w:lineRule="exact"/>
        <w:outlineLvl w:val="3"/>
        <w:rPr>
          <w:rFonts w:hint="eastAsia" w:ascii="宋体" w:hAnsi="宋体" w:cs="宋体"/>
          <w:sz w:val="24"/>
          <w:highlight w:val="none"/>
        </w:rPr>
      </w:pPr>
      <w:r>
        <w:rPr>
          <w:rFonts w:hint="eastAsia" w:ascii="宋体" w:hAnsi="宋体" w:cs="宋体"/>
          <w:sz w:val="24"/>
          <w:highlight w:val="none"/>
        </w:rPr>
        <w:t>6.4 施工设备和临时设施专用于合同工程</w:t>
      </w:r>
    </w:p>
    <w:p w14:paraId="4A083298">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6.4.1除合同另有约定外，运入施工场地的所有施工设备以及在施工场地建设的临时设施应专用于合同工程。未经监理人同意，不得将上述施工设备和临时设施中的任何部分运出施工场地或挪作他用。</w:t>
      </w:r>
    </w:p>
    <w:p w14:paraId="49F4A1B8">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6.4.2 经监理人同意，承包人可根据合同进度计划撤走闲置的施工设备。</w:t>
      </w:r>
    </w:p>
    <w:p w14:paraId="3E2D1373">
      <w:pPr>
        <w:spacing w:line="500" w:lineRule="exact"/>
        <w:outlineLvl w:val="2"/>
        <w:rPr>
          <w:rFonts w:hint="eastAsia" w:ascii="宋体" w:hAnsi="宋体" w:cs="宋体"/>
          <w:sz w:val="24"/>
          <w:highlight w:val="none"/>
        </w:rPr>
      </w:pPr>
      <w:bookmarkStart w:id="254" w:name="_Toc140340965"/>
      <w:r>
        <w:rPr>
          <w:rFonts w:hint="eastAsia" w:ascii="宋体" w:hAnsi="宋体" w:cs="宋体"/>
          <w:sz w:val="24"/>
          <w:highlight w:val="none"/>
        </w:rPr>
        <w:t>7. 交通运输</w:t>
      </w:r>
      <w:bookmarkEnd w:id="254"/>
    </w:p>
    <w:p w14:paraId="0AF7C3D9">
      <w:pPr>
        <w:spacing w:line="500" w:lineRule="exact"/>
        <w:outlineLvl w:val="3"/>
        <w:rPr>
          <w:rFonts w:hint="eastAsia" w:ascii="宋体" w:hAnsi="宋体" w:cs="宋体"/>
          <w:sz w:val="24"/>
          <w:highlight w:val="none"/>
        </w:rPr>
      </w:pPr>
      <w:r>
        <w:rPr>
          <w:rFonts w:hint="eastAsia" w:ascii="宋体" w:hAnsi="宋体" w:cs="宋体"/>
          <w:sz w:val="24"/>
          <w:highlight w:val="none"/>
        </w:rPr>
        <w:t>7.1 道路通行权和场外设施</w:t>
      </w:r>
    </w:p>
    <w:p w14:paraId="76C7FF90">
      <w:pPr>
        <w:spacing w:line="500" w:lineRule="exact"/>
        <w:rPr>
          <w:rFonts w:hint="eastAsia" w:ascii="宋体" w:hAnsi="宋体" w:cs="宋体"/>
          <w:sz w:val="24"/>
          <w:highlight w:val="none"/>
        </w:rPr>
      </w:pPr>
      <w:r>
        <w:rPr>
          <w:rFonts w:hint="eastAsia" w:ascii="宋体" w:hAnsi="宋体" w:cs="宋体"/>
          <w:sz w:val="24"/>
          <w:highlight w:val="none"/>
        </w:rPr>
        <w:t>　　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14:paraId="648A93F7">
      <w:pPr>
        <w:spacing w:line="500" w:lineRule="exact"/>
        <w:outlineLvl w:val="3"/>
        <w:rPr>
          <w:rFonts w:hint="eastAsia" w:ascii="宋体" w:hAnsi="宋体" w:cs="宋体"/>
          <w:sz w:val="24"/>
          <w:highlight w:val="none"/>
        </w:rPr>
      </w:pPr>
      <w:r>
        <w:rPr>
          <w:rFonts w:hint="eastAsia" w:ascii="宋体" w:hAnsi="宋体" w:cs="宋体"/>
          <w:sz w:val="24"/>
          <w:highlight w:val="none"/>
        </w:rPr>
        <w:t>7.2 场内施工道路</w:t>
      </w:r>
    </w:p>
    <w:p w14:paraId="70EEE984">
      <w:pPr>
        <w:spacing w:line="500" w:lineRule="exact"/>
        <w:rPr>
          <w:rFonts w:hint="eastAsia" w:ascii="宋体" w:hAnsi="宋体" w:cs="宋体"/>
          <w:sz w:val="24"/>
          <w:highlight w:val="none"/>
        </w:rPr>
      </w:pPr>
      <w:r>
        <w:rPr>
          <w:rFonts w:hint="eastAsia" w:ascii="宋体" w:hAnsi="宋体" w:cs="宋体"/>
          <w:sz w:val="24"/>
          <w:highlight w:val="none"/>
        </w:rPr>
        <w:t>　　7.2.1　除本合同约定由发包人提供的部分道路和交通设施外，承包人应负责修建、维修、养护和管理其施工所需的全部临时道路和交通设施(包括合同约定由发包人提供的部分道路和交通设施的维修、养护和管理)，并承担相应费用。</w:t>
      </w:r>
    </w:p>
    <w:p w14:paraId="01933443">
      <w:pPr>
        <w:spacing w:line="500" w:lineRule="exact"/>
        <w:ind w:firstLine="420"/>
        <w:rPr>
          <w:rFonts w:hint="eastAsia" w:ascii="宋体" w:hAnsi="宋体" w:cs="宋体"/>
          <w:sz w:val="24"/>
          <w:highlight w:val="none"/>
        </w:rPr>
      </w:pPr>
      <w:r>
        <w:rPr>
          <w:rFonts w:hint="eastAsia" w:ascii="宋体" w:hAnsi="宋体" w:cs="宋体"/>
          <w:sz w:val="24"/>
          <w:highlight w:val="none"/>
        </w:rPr>
        <w:t>7.2.2　承包人修建的临时道路和交通设施，应免费提供发包人、监理人以及与本合同有关的其他承包人使用。</w:t>
      </w:r>
    </w:p>
    <w:p w14:paraId="23ED8579">
      <w:pPr>
        <w:spacing w:line="500" w:lineRule="exact"/>
        <w:outlineLvl w:val="3"/>
        <w:rPr>
          <w:rFonts w:hint="eastAsia" w:ascii="宋体" w:hAnsi="宋体" w:cs="宋体"/>
          <w:sz w:val="24"/>
          <w:highlight w:val="none"/>
        </w:rPr>
      </w:pPr>
      <w:r>
        <w:rPr>
          <w:rFonts w:hint="eastAsia" w:ascii="宋体" w:hAnsi="宋体" w:cs="宋体"/>
          <w:sz w:val="24"/>
          <w:highlight w:val="none"/>
        </w:rPr>
        <w:t>7.3 场外交通</w:t>
      </w:r>
    </w:p>
    <w:p w14:paraId="41EA87E1">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7.3.1 承包人车辆外出行驶所需的场外公共道路的通行费、养路费和税款等由承包人承担。</w:t>
      </w:r>
    </w:p>
    <w:p w14:paraId="55AA5A6A">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7.3.2 承包人应遵守有关交通法规，严格按照道路和桥梁的限制荷重安全行驶，并服从交通管理部门的检查和监督。</w:t>
      </w:r>
    </w:p>
    <w:p w14:paraId="7AA3DC6A">
      <w:pPr>
        <w:spacing w:line="500" w:lineRule="exact"/>
        <w:outlineLvl w:val="3"/>
        <w:rPr>
          <w:rFonts w:hint="eastAsia" w:ascii="宋体" w:hAnsi="宋体" w:cs="宋体"/>
          <w:sz w:val="24"/>
          <w:highlight w:val="none"/>
        </w:rPr>
      </w:pPr>
      <w:r>
        <w:rPr>
          <w:rFonts w:hint="eastAsia" w:ascii="宋体" w:hAnsi="宋体" w:cs="宋体"/>
          <w:sz w:val="24"/>
          <w:highlight w:val="none"/>
        </w:rPr>
        <w:t>7.4 超大件和超重件的运输</w:t>
      </w:r>
    </w:p>
    <w:p w14:paraId="1D148062">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2B37535A">
      <w:pPr>
        <w:spacing w:line="500" w:lineRule="exact"/>
        <w:outlineLvl w:val="3"/>
        <w:rPr>
          <w:rFonts w:hint="eastAsia" w:ascii="宋体" w:hAnsi="宋体" w:cs="宋体"/>
          <w:sz w:val="24"/>
          <w:highlight w:val="none"/>
        </w:rPr>
      </w:pPr>
      <w:r>
        <w:rPr>
          <w:rFonts w:hint="eastAsia" w:ascii="宋体" w:hAnsi="宋体" w:cs="宋体"/>
          <w:sz w:val="24"/>
          <w:highlight w:val="none"/>
        </w:rPr>
        <w:t>7.5 道路和桥梁的损坏责任</w:t>
      </w:r>
    </w:p>
    <w:p w14:paraId="3DAB6188">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因承包人运输造成施工场地内外公共道路和桥梁损坏的，由承包人承担修复损坏的全部费用和可能引起的赔偿。</w:t>
      </w:r>
    </w:p>
    <w:p w14:paraId="20552425">
      <w:pPr>
        <w:spacing w:line="500" w:lineRule="exact"/>
        <w:outlineLvl w:val="3"/>
        <w:rPr>
          <w:rFonts w:hint="eastAsia" w:ascii="宋体" w:hAnsi="宋体" w:cs="宋体"/>
          <w:sz w:val="24"/>
          <w:highlight w:val="none"/>
        </w:rPr>
      </w:pPr>
      <w:r>
        <w:rPr>
          <w:rFonts w:hint="eastAsia" w:ascii="宋体" w:hAnsi="宋体" w:cs="宋体"/>
          <w:sz w:val="24"/>
          <w:highlight w:val="none"/>
        </w:rPr>
        <w:t>7.6 水路和航空运输</w:t>
      </w:r>
    </w:p>
    <w:p w14:paraId="08012BB7">
      <w:pPr>
        <w:spacing w:line="500" w:lineRule="exact"/>
        <w:ind w:firstLine="420"/>
        <w:rPr>
          <w:rFonts w:hint="eastAsia" w:ascii="宋体" w:hAnsi="宋体" w:cs="宋体"/>
          <w:sz w:val="24"/>
          <w:highlight w:val="none"/>
        </w:rPr>
      </w:pPr>
      <w:r>
        <w:rPr>
          <w:rFonts w:hint="eastAsia" w:ascii="宋体" w:hAnsi="宋体" w:cs="宋体"/>
          <w:sz w:val="24"/>
          <w:highlight w:val="none"/>
        </w:rPr>
        <w:t>本条上述各款的内容适用于水路运输和航空运输，其中“道路”一词的涵义包括河道、航线、船闸、机场、码头、堤防以及水路或航空运输中其他相似结构物；“车辆”一词的涵义包括船舶和飞机等。</w:t>
      </w:r>
    </w:p>
    <w:p w14:paraId="509C5693">
      <w:pPr>
        <w:spacing w:line="500" w:lineRule="exact"/>
        <w:outlineLvl w:val="2"/>
        <w:rPr>
          <w:rFonts w:hint="eastAsia" w:ascii="宋体" w:hAnsi="宋体" w:cs="宋体"/>
          <w:sz w:val="24"/>
          <w:highlight w:val="none"/>
        </w:rPr>
      </w:pPr>
      <w:bookmarkStart w:id="255" w:name="_Toc140340966"/>
      <w:r>
        <w:rPr>
          <w:rFonts w:hint="eastAsia" w:ascii="宋体" w:hAnsi="宋体" w:cs="宋体"/>
          <w:sz w:val="24"/>
          <w:highlight w:val="none"/>
        </w:rPr>
        <w:t>8. 测量放线</w:t>
      </w:r>
      <w:bookmarkEnd w:id="255"/>
    </w:p>
    <w:p w14:paraId="5D727B86">
      <w:pPr>
        <w:spacing w:line="500" w:lineRule="exact"/>
        <w:outlineLvl w:val="3"/>
        <w:rPr>
          <w:rFonts w:hint="eastAsia" w:ascii="宋体" w:hAnsi="宋体" w:cs="宋体"/>
          <w:sz w:val="24"/>
          <w:highlight w:val="none"/>
        </w:rPr>
      </w:pPr>
      <w:r>
        <w:rPr>
          <w:rFonts w:hint="eastAsia" w:ascii="宋体" w:hAnsi="宋体" w:cs="宋体"/>
          <w:sz w:val="24"/>
          <w:highlight w:val="none"/>
        </w:rPr>
        <w:t>8.1 施工控制网</w:t>
      </w:r>
    </w:p>
    <w:p w14:paraId="21E90AFE">
      <w:pPr>
        <w:spacing w:line="500" w:lineRule="exact"/>
        <w:ind w:firstLine="420"/>
        <w:rPr>
          <w:rFonts w:hint="eastAsia" w:ascii="宋体" w:hAnsi="宋体" w:cs="宋体"/>
          <w:sz w:val="24"/>
          <w:highlight w:val="none"/>
        </w:rPr>
      </w:pPr>
      <w:r>
        <w:rPr>
          <w:rFonts w:hint="eastAsia" w:ascii="宋体" w:hAnsi="宋体" w:cs="宋体"/>
          <w:sz w:val="24"/>
          <w:highlight w:val="none"/>
        </w:rPr>
        <w:t>8.1.1　除专用合同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14:paraId="1EBEF215">
      <w:pPr>
        <w:spacing w:line="500" w:lineRule="exact"/>
        <w:ind w:firstLine="420"/>
        <w:rPr>
          <w:rFonts w:hint="eastAsia" w:ascii="宋体" w:hAnsi="宋体" w:cs="宋体"/>
          <w:sz w:val="24"/>
          <w:highlight w:val="none"/>
        </w:rPr>
      </w:pPr>
      <w:r>
        <w:rPr>
          <w:rFonts w:hint="eastAsia" w:ascii="宋体" w:hAnsi="宋体" w:cs="宋体"/>
          <w:sz w:val="24"/>
          <w:highlight w:val="none"/>
        </w:rPr>
        <w:t>8.1.2承包人应负责管理施工控制网点。施工控制网点丢失或损坏的，承包人应及时修复。承包人应承担施工控制网点的管理与修复费用，并在工程竣工后将施工控制网点移交发包人。</w:t>
      </w:r>
    </w:p>
    <w:p w14:paraId="62553367">
      <w:pPr>
        <w:spacing w:line="500" w:lineRule="exact"/>
        <w:outlineLvl w:val="3"/>
        <w:rPr>
          <w:rFonts w:hint="eastAsia" w:ascii="宋体" w:hAnsi="宋体" w:cs="宋体"/>
          <w:sz w:val="24"/>
          <w:highlight w:val="none"/>
        </w:rPr>
      </w:pPr>
      <w:r>
        <w:rPr>
          <w:rFonts w:hint="eastAsia" w:ascii="宋体" w:hAnsi="宋体" w:cs="宋体"/>
          <w:sz w:val="24"/>
          <w:highlight w:val="none"/>
        </w:rPr>
        <w:t>8.2 施工测量</w:t>
      </w:r>
    </w:p>
    <w:p w14:paraId="024C3BA4">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8.2.1承包人应负责施工过程中的全部施工测量放线工作，并配置合格的人员、仪器、设备和其他物品。</w:t>
      </w:r>
    </w:p>
    <w:p w14:paraId="3FC6AACF">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8.2.2监理人可以指示承包人进行抽样复测，当复测中发现错误或出现超过合同约定的误差时，承包人应按监理人指示进行修正或补测，并承担相应的复测费用。</w:t>
      </w:r>
    </w:p>
    <w:p w14:paraId="611E1555">
      <w:pPr>
        <w:spacing w:line="500" w:lineRule="exact"/>
        <w:outlineLvl w:val="3"/>
        <w:rPr>
          <w:rFonts w:hint="eastAsia" w:ascii="宋体" w:hAnsi="宋体" w:cs="宋体"/>
          <w:sz w:val="24"/>
          <w:highlight w:val="none"/>
        </w:rPr>
      </w:pPr>
      <w:r>
        <w:rPr>
          <w:rFonts w:hint="eastAsia" w:ascii="宋体" w:hAnsi="宋体" w:cs="宋体"/>
          <w:sz w:val="24"/>
          <w:highlight w:val="none"/>
        </w:rPr>
        <w:t>8.3 基准资料错误的责任</w:t>
      </w:r>
    </w:p>
    <w:p w14:paraId="1BA856AA">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7CF2697B">
      <w:pPr>
        <w:spacing w:line="500" w:lineRule="exact"/>
        <w:outlineLvl w:val="3"/>
        <w:rPr>
          <w:rFonts w:hint="eastAsia" w:ascii="宋体" w:hAnsi="宋体" w:cs="宋体"/>
          <w:sz w:val="24"/>
          <w:highlight w:val="none"/>
        </w:rPr>
      </w:pPr>
      <w:r>
        <w:rPr>
          <w:rFonts w:hint="eastAsia" w:ascii="宋体" w:hAnsi="宋体" w:cs="宋体"/>
          <w:sz w:val="24"/>
          <w:highlight w:val="none"/>
        </w:rPr>
        <w:t>8.4 监理人使用施工控制网</w:t>
      </w:r>
    </w:p>
    <w:p w14:paraId="6E279B5C">
      <w:pPr>
        <w:spacing w:line="500" w:lineRule="exact"/>
        <w:ind w:firstLine="420"/>
        <w:rPr>
          <w:rFonts w:hint="eastAsia" w:ascii="宋体" w:hAnsi="宋体" w:cs="宋体"/>
          <w:sz w:val="24"/>
          <w:highlight w:val="none"/>
        </w:rPr>
      </w:pPr>
      <w:r>
        <w:rPr>
          <w:rFonts w:hint="eastAsia" w:ascii="宋体" w:hAnsi="宋体" w:cs="宋体"/>
          <w:sz w:val="24"/>
          <w:highlight w:val="none"/>
        </w:rPr>
        <w:t>监理人需要使用施工控制网的，承包人应提供必要的协助，发包人不再为此支付费用。</w:t>
      </w:r>
    </w:p>
    <w:p w14:paraId="555B0647">
      <w:pPr>
        <w:spacing w:line="500" w:lineRule="exact"/>
        <w:outlineLvl w:val="3"/>
        <w:rPr>
          <w:rFonts w:hint="eastAsia" w:ascii="宋体" w:hAnsi="宋体" w:cs="宋体"/>
          <w:sz w:val="24"/>
          <w:highlight w:val="none"/>
        </w:rPr>
      </w:pPr>
      <w:r>
        <w:rPr>
          <w:rFonts w:hint="eastAsia" w:ascii="宋体" w:hAnsi="宋体" w:cs="宋体"/>
          <w:sz w:val="24"/>
          <w:highlight w:val="none"/>
        </w:rPr>
        <w:t>8.5 补充地质勘探</w:t>
      </w:r>
    </w:p>
    <w:p w14:paraId="65A944B7">
      <w:pPr>
        <w:spacing w:line="500" w:lineRule="exact"/>
        <w:rPr>
          <w:rFonts w:hint="eastAsia" w:ascii="宋体" w:hAnsi="宋体" w:cs="宋体"/>
          <w:sz w:val="24"/>
          <w:highlight w:val="none"/>
        </w:rPr>
      </w:pPr>
      <w:r>
        <w:rPr>
          <w:rFonts w:hint="eastAsia" w:ascii="宋体" w:hAnsi="宋体" w:cs="宋体"/>
          <w:sz w:val="24"/>
          <w:highlight w:val="none"/>
        </w:rPr>
        <w:t>　　在合同实施期间，监理人可以指示承包人进行必要的补充地质勘探并提供有关资料。承包人为本合同永久工程施工的需要进行补充地质勘探时，须经监理人批准，并应向监理人提交有关资料，上述补充勘探的费用由发包人承担。承包人为其临时工程设计及施工的需要进行的补充地质勘探，其费用由承包人承担。</w:t>
      </w:r>
    </w:p>
    <w:p w14:paraId="1296D189">
      <w:pPr>
        <w:spacing w:line="500" w:lineRule="exact"/>
        <w:outlineLvl w:val="2"/>
        <w:rPr>
          <w:rFonts w:hint="eastAsia" w:ascii="宋体" w:hAnsi="宋体" w:cs="宋体"/>
          <w:sz w:val="24"/>
          <w:highlight w:val="none"/>
        </w:rPr>
      </w:pPr>
      <w:bookmarkStart w:id="256" w:name="_Toc140340967"/>
      <w:r>
        <w:rPr>
          <w:rFonts w:hint="eastAsia" w:ascii="宋体" w:hAnsi="宋体" w:cs="宋体"/>
          <w:sz w:val="24"/>
          <w:highlight w:val="none"/>
        </w:rPr>
        <w:t>9. 施工安全、治安保卫和环境保护</w:t>
      </w:r>
      <w:bookmarkEnd w:id="256"/>
    </w:p>
    <w:p w14:paraId="1ED4E097">
      <w:pPr>
        <w:spacing w:line="500" w:lineRule="exact"/>
        <w:outlineLvl w:val="3"/>
        <w:rPr>
          <w:rFonts w:hint="eastAsia" w:ascii="宋体" w:hAnsi="宋体" w:cs="宋体"/>
          <w:sz w:val="24"/>
          <w:highlight w:val="none"/>
        </w:rPr>
      </w:pPr>
      <w:r>
        <w:rPr>
          <w:rFonts w:hint="eastAsia" w:ascii="宋体" w:hAnsi="宋体" w:cs="宋体"/>
          <w:sz w:val="24"/>
          <w:highlight w:val="none"/>
        </w:rPr>
        <w:t>9.1 发包人的施工安全责任</w:t>
      </w:r>
    </w:p>
    <w:p w14:paraId="500A2295">
      <w:pPr>
        <w:spacing w:line="500" w:lineRule="exact"/>
        <w:ind w:firstLine="420"/>
        <w:rPr>
          <w:rFonts w:hint="eastAsia" w:ascii="宋体" w:hAnsi="宋体" w:cs="宋体"/>
          <w:sz w:val="24"/>
          <w:highlight w:val="none"/>
        </w:rPr>
      </w:pPr>
      <w:r>
        <w:rPr>
          <w:rFonts w:hint="eastAsia" w:ascii="宋体" w:hAnsi="宋体" w:cs="宋体"/>
          <w:sz w:val="24"/>
          <w:highlight w:val="none"/>
        </w:rPr>
        <w:t>9.1.1 发包人应按合同约定履行安全职责。发包人委托监理人根据国家有关安全的法律、法规、强制性标准以及部门规章，对承包人的安全责任履行情况进行监督和检查。监理人的监督检查不减轻承包人应负的安全责任。</w:t>
      </w:r>
    </w:p>
    <w:p w14:paraId="0FA70C2A">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9.1.2 发包人应对其现场机构雇佣的全部人员的工伤事故承担责任，但由于承包人原因造成发包人人员工伤的，应由承包人承担责任。</w:t>
      </w:r>
    </w:p>
    <w:p w14:paraId="7C6E4C81">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9.1.3 发包人应负责赔偿以下各种情况造成的第三者人身伤亡和财产损失：</w:t>
      </w:r>
    </w:p>
    <w:p w14:paraId="398FD7E0">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 工程或工程的任何部分对土地的占用所造成的第三者财产损失；</w:t>
      </w:r>
    </w:p>
    <w:p w14:paraId="49C0A840">
      <w:pPr>
        <w:spacing w:line="500" w:lineRule="exact"/>
        <w:ind w:firstLine="420"/>
        <w:rPr>
          <w:rFonts w:hint="eastAsia" w:ascii="宋体" w:hAnsi="宋体" w:cs="宋体"/>
          <w:sz w:val="24"/>
          <w:highlight w:val="none"/>
        </w:rPr>
      </w:pPr>
      <w:r>
        <w:rPr>
          <w:rFonts w:hint="eastAsia" w:ascii="宋体" w:hAnsi="宋体" w:cs="宋体"/>
          <w:sz w:val="24"/>
          <w:highlight w:val="none"/>
        </w:rPr>
        <w:t>（2） 由于发包人原因在施工场地及其毗邻地带造成的第三者人身伤亡和财产损失。</w:t>
      </w:r>
    </w:p>
    <w:p w14:paraId="7FC8D7E0">
      <w:pPr>
        <w:spacing w:line="500" w:lineRule="exact"/>
        <w:rPr>
          <w:rFonts w:hint="eastAsia" w:ascii="宋体" w:hAnsi="宋体" w:cs="宋体"/>
          <w:sz w:val="24"/>
          <w:highlight w:val="none"/>
        </w:rPr>
      </w:pPr>
      <w:r>
        <w:rPr>
          <w:rFonts w:hint="eastAsia" w:ascii="宋体" w:hAnsi="宋体" w:cs="宋体"/>
          <w:sz w:val="24"/>
          <w:highlight w:val="none"/>
        </w:rPr>
        <w:t>　　9.1.4　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14:paraId="0E6ECDC0">
      <w:pPr>
        <w:spacing w:line="500" w:lineRule="exact"/>
        <w:rPr>
          <w:rFonts w:hint="eastAsia" w:ascii="宋体" w:hAnsi="宋体" w:cs="宋体"/>
          <w:sz w:val="24"/>
          <w:highlight w:val="none"/>
        </w:rPr>
      </w:pPr>
      <w:r>
        <w:rPr>
          <w:rFonts w:hint="eastAsia" w:ascii="宋体" w:hAnsi="宋体" w:cs="宋体"/>
          <w:sz w:val="24"/>
          <w:highlight w:val="none"/>
        </w:rPr>
        <w:t>　　9.1.5　发包人按照已标价工程量清单所列金额和合同约定的计量支付规定，支付安全作业环境及安全施工措施所需费用。</w:t>
      </w:r>
    </w:p>
    <w:p w14:paraId="1CE817D8">
      <w:pPr>
        <w:spacing w:line="500" w:lineRule="exact"/>
        <w:rPr>
          <w:rFonts w:hint="eastAsia" w:ascii="宋体" w:hAnsi="宋体" w:cs="宋体"/>
          <w:sz w:val="24"/>
          <w:highlight w:val="none"/>
        </w:rPr>
      </w:pPr>
      <w:r>
        <w:rPr>
          <w:rFonts w:hint="eastAsia" w:ascii="宋体" w:hAnsi="宋体" w:cs="宋体"/>
          <w:sz w:val="24"/>
          <w:highlight w:val="none"/>
        </w:rPr>
        <w:t>　　9.1.6　发包人负责组织工程参建单位编制保证安全生产的措施方案。工程开工前，就落实保证安全生产的措施进行全面系统的布置，进一步明确承包人的安全生产责任。</w:t>
      </w:r>
    </w:p>
    <w:p w14:paraId="0B0DE3F7">
      <w:pPr>
        <w:spacing w:line="500" w:lineRule="exact"/>
        <w:rPr>
          <w:rFonts w:hint="eastAsia" w:ascii="宋体" w:hAnsi="宋体" w:cs="宋体"/>
          <w:sz w:val="24"/>
          <w:highlight w:val="none"/>
        </w:rPr>
      </w:pPr>
      <w:r>
        <w:rPr>
          <w:rFonts w:hint="eastAsia" w:ascii="宋体" w:hAnsi="宋体" w:cs="宋体"/>
          <w:sz w:val="24"/>
          <w:highlight w:val="none"/>
        </w:rPr>
        <w:t>　　9.1.7　发包人负责在拆除工程和爆破工程施工14天前向有关部门或机构报送相关备案资料。</w:t>
      </w:r>
    </w:p>
    <w:p w14:paraId="0DF7213F">
      <w:pPr>
        <w:spacing w:line="500" w:lineRule="exact"/>
        <w:outlineLvl w:val="3"/>
        <w:rPr>
          <w:rFonts w:hint="eastAsia" w:ascii="宋体" w:hAnsi="宋体" w:cs="宋体"/>
          <w:sz w:val="24"/>
          <w:highlight w:val="none"/>
        </w:rPr>
      </w:pPr>
      <w:r>
        <w:rPr>
          <w:rFonts w:hint="eastAsia" w:ascii="宋体" w:hAnsi="宋体" w:cs="宋体"/>
          <w:sz w:val="24"/>
          <w:highlight w:val="none"/>
        </w:rPr>
        <w:t>9.2 承包人的施工安全责任</w:t>
      </w:r>
    </w:p>
    <w:p w14:paraId="2031C6CF">
      <w:pPr>
        <w:spacing w:line="500" w:lineRule="exact"/>
        <w:ind w:firstLine="420"/>
        <w:rPr>
          <w:rFonts w:hint="eastAsia" w:ascii="宋体" w:hAnsi="宋体" w:cs="宋体"/>
          <w:sz w:val="24"/>
          <w:highlight w:val="none"/>
        </w:rPr>
      </w:pPr>
      <w:r>
        <w:rPr>
          <w:rFonts w:hint="eastAsia" w:ascii="宋体" w:hAnsi="宋体" w:cs="宋体"/>
          <w:sz w:val="24"/>
          <w:highlight w:val="none"/>
        </w:rPr>
        <w:t>9.2.1 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14:paraId="72FC9E51">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9.2.2 承包人应加强施工作业安全管理，特别应加强易燃、易爆材料、火工器材、有毒与腐蚀性材料和其他危险品的管理，以及对爆破作业和地下工程施工等危险作业的管理。</w:t>
      </w:r>
    </w:p>
    <w:p w14:paraId="28B041DD">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9.2.3 承包人应严格按照国家安全标准制定施工安全操作规程，配备必要的安全生产和劳动保护设施，加强对承包人人员的安全教育，并发放安全工作手册和劳动保护用具。</w:t>
      </w:r>
    </w:p>
    <w:p w14:paraId="737AD2BC">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9.2.4 承包人应按监理人的指示制定应对灾害的紧急预案，报送监理人审批。承包人还应按预案做好安全检查，配置必要的救助物资和器材，切实保护好有关人员的人身和财产安全。</w:t>
      </w:r>
    </w:p>
    <w:p w14:paraId="7B6951A6">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9.2.5 合同约定的安全作业环境及安全施工措施所需费用应遵守有关规定，并包括在相关工作的合同价格中。因采取合同未约定的安全作业环境及安全施工措施增加的费用，由监理人按第3.5款商定或确定。</w:t>
      </w:r>
    </w:p>
    <w:p w14:paraId="5A7A411F">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9.2.6 承包人应对其履行合同所雇佣的全部人员，包括分包人人员的工伤事故承担责任，但由于发包人原因造成承包人人员工伤事故的，应由发包人承担责任。</w:t>
      </w:r>
    </w:p>
    <w:p w14:paraId="5FA36A09">
      <w:pPr>
        <w:spacing w:line="500" w:lineRule="exact"/>
        <w:ind w:firstLine="420"/>
        <w:rPr>
          <w:rFonts w:hint="eastAsia" w:ascii="宋体" w:hAnsi="宋体" w:cs="宋体"/>
          <w:sz w:val="24"/>
          <w:highlight w:val="none"/>
        </w:rPr>
      </w:pPr>
      <w:r>
        <w:rPr>
          <w:rFonts w:hint="eastAsia" w:ascii="宋体" w:hAnsi="宋体" w:cs="宋体"/>
          <w:sz w:val="24"/>
          <w:highlight w:val="none"/>
        </w:rPr>
        <w:t>9.2.7 由于承包人原因在施工场地内及其毗邻地带造成的第三者人员伤亡和财产损失，由承包人负责赔偿。</w:t>
      </w:r>
    </w:p>
    <w:p w14:paraId="747FE75B">
      <w:pPr>
        <w:spacing w:line="500" w:lineRule="exact"/>
        <w:rPr>
          <w:rFonts w:hint="eastAsia" w:ascii="宋体" w:hAnsi="宋体" w:cs="宋体"/>
          <w:sz w:val="24"/>
          <w:highlight w:val="none"/>
        </w:rPr>
      </w:pPr>
      <w:r>
        <w:rPr>
          <w:rFonts w:hint="eastAsia" w:ascii="宋体" w:hAnsi="宋体" w:cs="宋体"/>
          <w:sz w:val="24"/>
          <w:highlight w:val="none"/>
        </w:rPr>
        <w:t>　　9.2.8 承包人已标价工程量清单应包含工程安全作业环境及安全施工措施所需费用。</w:t>
      </w:r>
    </w:p>
    <w:p w14:paraId="74C12FEB">
      <w:pPr>
        <w:spacing w:line="500" w:lineRule="exact"/>
        <w:rPr>
          <w:rFonts w:hint="eastAsia" w:ascii="宋体" w:hAnsi="宋体" w:cs="宋体"/>
          <w:sz w:val="24"/>
          <w:highlight w:val="none"/>
        </w:rPr>
      </w:pPr>
      <w:r>
        <w:rPr>
          <w:rFonts w:hint="eastAsia" w:ascii="宋体" w:hAnsi="宋体" w:cs="宋体"/>
          <w:sz w:val="24"/>
          <w:highlight w:val="none"/>
        </w:rPr>
        <w:t>　　9.2.9 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14:paraId="20E9BFA7">
      <w:pPr>
        <w:spacing w:line="500" w:lineRule="exact"/>
        <w:rPr>
          <w:rFonts w:hint="eastAsia" w:ascii="宋体" w:hAnsi="宋体" w:cs="宋体"/>
          <w:sz w:val="24"/>
          <w:highlight w:val="none"/>
        </w:rPr>
      </w:pPr>
      <w:r>
        <w:rPr>
          <w:rFonts w:hint="eastAsia" w:ascii="宋体" w:hAnsi="宋体" w:cs="宋体"/>
          <w:sz w:val="24"/>
          <w:highlight w:val="none"/>
        </w:rPr>
        <w:t>　　9.2.10 承包人应设立安全生产管理机构，施工现场应有专职安全生产管理人员。</w:t>
      </w:r>
    </w:p>
    <w:p w14:paraId="45DE9823">
      <w:pPr>
        <w:spacing w:line="500" w:lineRule="exact"/>
        <w:rPr>
          <w:rFonts w:hint="eastAsia" w:ascii="宋体" w:hAnsi="宋体" w:cs="宋体"/>
          <w:sz w:val="24"/>
          <w:highlight w:val="none"/>
        </w:rPr>
      </w:pPr>
      <w:r>
        <w:rPr>
          <w:rFonts w:hint="eastAsia" w:ascii="宋体" w:hAnsi="宋体" w:cs="宋体"/>
          <w:sz w:val="24"/>
          <w:highlight w:val="none"/>
        </w:rPr>
        <w:t>　　9.2.11 承包人应负责对特种作业人员进行专门的安全作业培训，并保证特种作业人员持证上岗。</w:t>
      </w:r>
    </w:p>
    <w:p w14:paraId="00AB7580">
      <w:pPr>
        <w:spacing w:line="500" w:lineRule="exact"/>
        <w:rPr>
          <w:rFonts w:hint="eastAsia" w:ascii="宋体" w:hAnsi="宋体" w:cs="宋体"/>
          <w:sz w:val="24"/>
          <w:highlight w:val="none"/>
        </w:rPr>
      </w:pPr>
      <w:r>
        <w:rPr>
          <w:rFonts w:hint="eastAsia" w:ascii="宋体" w:hAnsi="宋体" w:cs="宋体"/>
          <w:sz w:val="24"/>
          <w:highlight w:val="none"/>
        </w:rPr>
        <w:t>　　9.2.12 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14:paraId="1788177C">
      <w:pPr>
        <w:spacing w:line="500" w:lineRule="exact"/>
        <w:ind w:firstLine="420"/>
        <w:rPr>
          <w:rFonts w:hint="eastAsia" w:ascii="宋体" w:hAnsi="宋体" w:cs="宋体"/>
          <w:sz w:val="24"/>
          <w:highlight w:val="none"/>
        </w:rPr>
      </w:pPr>
      <w:r>
        <w:rPr>
          <w:rFonts w:hint="eastAsia" w:ascii="宋体" w:hAnsi="宋体" w:cs="宋体"/>
          <w:sz w:val="24"/>
          <w:highlight w:val="none"/>
        </w:rPr>
        <w:t>9.2.13 承包人在使用施工起重机械和整体提升脚手架、模板等自升式架设设施前，应组织有关单位进行验收。</w:t>
      </w:r>
    </w:p>
    <w:p w14:paraId="10AB0EE3">
      <w:pPr>
        <w:spacing w:line="500" w:lineRule="exact"/>
        <w:outlineLvl w:val="3"/>
        <w:rPr>
          <w:rFonts w:hint="eastAsia" w:ascii="宋体" w:hAnsi="宋体" w:cs="宋体"/>
          <w:sz w:val="24"/>
          <w:highlight w:val="none"/>
        </w:rPr>
      </w:pPr>
      <w:r>
        <w:rPr>
          <w:rFonts w:hint="eastAsia" w:ascii="宋体" w:hAnsi="宋体" w:cs="宋体"/>
          <w:sz w:val="24"/>
          <w:highlight w:val="none"/>
        </w:rPr>
        <w:t>9.3 治安保卫</w:t>
      </w:r>
    </w:p>
    <w:p w14:paraId="665DE4E6">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9.3.1 除合同另有约定外，发包人应与当地公安部门协商，在现场建立治安管理机构或联防组织，统一管理施工场地的治安保卫事项，履行合同工程的治安保卫职责。</w:t>
      </w:r>
    </w:p>
    <w:p w14:paraId="642318E8">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9.3.2 发包人和承包人除应协助现场治安管理机构或联防组织维护施工场地的社会治安外，还应做好包括生活区在内的各自管辖区的治安保卫工作。</w:t>
      </w:r>
    </w:p>
    <w:p w14:paraId="64CBC708">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 </w:t>
      </w:r>
    </w:p>
    <w:p w14:paraId="568612FB">
      <w:pPr>
        <w:spacing w:line="500" w:lineRule="exact"/>
        <w:outlineLvl w:val="3"/>
        <w:rPr>
          <w:rFonts w:hint="eastAsia" w:ascii="宋体" w:hAnsi="宋体" w:cs="宋体"/>
          <w:sz w:val="24"/>
          <w:highlight w:val="none"/>
        </w:rPr>
      </w:pPr>
      <w:r>
        <w:rPr>
          <w:rFonts w:hint="eastAsia" w:ascii="宋体" w:hAnsi="宋体" w:cs="宋体"/>
          <w:sz w:val="24"/>
          <w:highlight w:val="none"/>
        </w:rPr>
        <w:t>9.4 环境保护</w:t>
      </w:r>
    </w:p>
    <w:p w14:paraId="775AF429">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9.4.1 承包人在施工过程中，应遵守有关环境保护的法律，履行合同约定的环境保护义务，并对违反法律和合同约定义务所造成的环境破坏、人身伤害和财产损失负责。</w:t>
      </w:r>
    </w:p>
    <w:p w14:paraId="65199F3A">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9.4.2 承包人应按合同约定的环保工作内容，编制施工环保措施计划，报送监理人审批。</w:t>
      </w:r>
    </w:p>
    <w:p w14:paraId="744463A8">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21FD6774">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9.4.4 承包人应按合同约定采取有效措施，对施工开挖的边坡及时进行支护,维护排水设施，并进行水土保护，避免因施工造成的地质灾害。</w:t>
      </w:r>
    </w:p>
    <w:p w14:paraId="0C4639D7">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9.4.5 承包人应按国家饮用水管理标准定期对饮用水源进行监测，防止施工活动污染饮用水源。</w:t>
      </w:r>
    </w:p>
    <w:p w14:paraId="50ED4D9C">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9.4.6 承包人应按合同约定，加强对噪声、粉尘、废气、废水和废油的控制，努力降低噪声，控制粉尘和废气浓度，做好废水和废油的治理和排放。</w:t>
      </w:r>
    </w:p>
    <w:p w14:paraId="5404E066">
      <w:pPr>
        <w:spacing w:line="500" w:lineRule="exact"/>
        <w:outlineLvl w:val="3"/>
        <w:rPr>
          <w:rFonts w:hint="eastAsia" w:ascii="宋体" w:hAnsi="宋体" w:cs="宋体"/>
          <w:sz w:val="24"/>
          <w:highlight w:val="none"/>
        </w:rPr>
      </w:pPr>
      <w:r>
        <w:rPr>
          <w:rFonts w:hint="eastAsia" w:ascii="宋体" w:hAnsi="宋体" w:cs="宋体"/>
          <w:sz w:val="24"/>
          <w:highlight w:val="none"/>
        </w:rPr>
        <w:t>9.5 事故处理</w:t>
      </w:r>
    </w:p>
    <w:p w14:paraId="76D3D183">
      <w:pPr>
        <w:spacing w:line="500" w:lineRule="exact"/>
        <w:rPr>
          <w:rFonts w:hint="eastAsia" w:ascii="宋体" w:hAnsi="宋体" w:cs="宋体"/>
          <w:sz w:val="24"/>
          <w:highlight w:val="none"/>
        </w:rPr>
      </w:pPr>
      <w:r>
        <w:rPr>
          <w:rFonts w:hint="eastAsia" w:ascii="宋体" w:hAnsi="宋体" w:cs="宋体"/>
          <w:sz w:val="24"/>
          <w:highlight w:val="none"/>
        </w:rPr>
        <w:t>　　9.5.1 发包人负责组织参建单位制定本工程的质量与安全事故应急预案，建立质量与安全事故应急处置指挥部。</w:t>
      </w:r>
    </w:p>
    <w:p w14:paraId="603893E1">
      <w:pPr>
        <w:spacing w:line="500" w:lineRule="exact"/>
        <w:rPr>
          <w:rFonts w:hint="eastAsia" w:ascii="宋体" w:hAnsi="宋体" w:cs="宋体"/>
          <w:sz w:val="24"/>
          <w:highlight w:val="none"/>
        </w:rPr>
      </w:pPr>
      <w:r>
        <w:rPr>
          <w:rFonts w:hint="eastAsia" w:ascii="宋体" w:hAnsi="宋体" w:cs="宋体"/>
          <w:sz w:val="24"/>
          <w:highlight w:val="none"/>
        </w:rPr>
        <w:t>　　9.5.2 承包人应对施工现场易发生重大事故的部位、环节进行监控，配备救援器材、设备，并定期组织演练。</w:t>
      </w:r>
    </w:p>
    <w:p w14:paraId="70BC847D">
      <w:pPr>
        <w:spacing w:line="500" w:lineRule="exact"/>
        <w:rPr>
          <w:rFonts w:hint="eastAsia" w:ascii="宋体" w:hAnsi="宋体" w:cs="宋体"/>
          <w:sz w:val="24"/>
          <w:highlight w:val="none"/>
        </w:rPr>
      </w:pPr>
      <w:r>
        <w:rPr>
          <w:rFonts w:hint="eastAsia" w:ascii="宋体" w:hAnsi="宋体" w:cs="宋体"/>
          <w:sz w:val="24"/>
          <w:highlight w:val="none"/>
        </w:rPr>
        <w:t>　　9.5.3 工程开工前，承包人应根据本工程的特点制定施工现场施工质量与安全事故应急预案，并报发包人备案。</w:t>
      </w:r>
    </w:p>
    <w:p w14:paraId="049CEE3A">
      <w:pPr>
        <w:spacing w:line="500" w:lineRule="exact"/>
        <w:rPr>
          <w:rFonts w:hint="eastAsia" w:ascii="宋体" w:hAnsi="宋体" w:cs="宋体"/>
          <w:sz w:val="24"/>
          <w:highlight w:val="none"/>
        </w:rPr>
      </w:pPr>
      <w:r>
        <w:rPr>
          <w:rFonts w:hint="eastAsia" w:ascii="宋体" w:hAnsi="宋体" w:cs="宋体"/>
          <w:sz w:val="24"/>
          <w:highlight w:val="none"/>
        </w:rPr>
        <w:t>　　9.5.4 施工过程中发生事故时，发包人、承包人应立即启动应急预案。</w:t>
      </w:r>
    </w:p>
    <w:p w14:paraId="0E9996BE">
      <w:pPr>
        <w:spacing w:line="500" w:lineRule="exact"/>
        <w:rPr>
          <w:rFonts w:hint="eastAsia" w:ascii="宋体" w:hAnsi="宋体" w:cs="宋体"/>
          <w:sz w:val="24"/>
          <w:highlight w:val="none"/>
        </w:rPr>
      </w:pPr>
      <w:r>
        <w:rPr>
          <w:rFonts w:hint="eastAsia" w:ascii="宋体" w:hAnsi="宋体" w:cs="宋体"/>
          <w:sz w:val="24"/>
          <w:highlight w:val="none"/>
        </w:rPr>
        <w:t>　　9.5.5 事故调查处理由发包人按相关规定履行手续，承包人应配合。</w:t>
      </w:r>
    </w:p>
    <w:p w14:paraId="78B6CAE6">
      <w:pPr>
        <w:spacing w:line="500" w:lineRule="exact"/>
        <w:outlineLvl w:val="3"/>
        <w:rPr>
          <w:rFonts w:hint="eastAsia" w:ascii="宋体" w:hAnsi="宋体" w:cs="宋体"/>
          <w:sz w:val="24"/>
          <w:highlight w:val="none"/>
        </w:rPr>
      </w:pPr>
      <w:r>
        <w:rPr>
          <w:rFonts w:hint="eastAsia" w:ascii="宋体" w:hAnsi="宋体" w:cs="宋体"/>
          <w:sz w:val="24"/>
          <w:highlight w:val="none"/>
        </w:rPr>
        <w:t>9.6 水土保持</w:t>
      </w:r>
    </w:p>
    <w:p w14:paraId="0C5360C9">
      <w:pPr>
        <w:spacing w:line="500" w:lineRule="exact"/>
        <w:rPr>
          <w:rFonts w:hint="eastAsia" w:ascii="宋体" w:hAnsi="宋体" w:cs="宋体"/>
          <w:sz w:val="24"/>
          <w:highlight w:val="none"/>
        </w:rPr>
      </w:pPr>
      <w:r>
        <w:rPr>
          <w:rFonts w:hint="eastAsia" w:ascii="宋体" w:hAnsi="宋体" w:cs="宋体"/>
          <w:sz w:val="24"/>
          <w:highlight w:val="none"/>
        </w:rPr>
        <w:t>　　9.6.1 发包人应及时向承包人提供水土保持方案。</w:t>
      </w:r>
    </w:p>
    <w:p w14:paraId="12FC195E">
      <w:pPr>
        <w:spacing w:line="500" w:lineRule="exact"/>
        <w:rPr>
          <w:rFonts w:hint="eastAsia" w:ascii="宋体" w:hAnsi="宋体" w:cs="宋体"/>
          <w:sz w:val="24"/>
          <w:highlight w:val="none"/>
        </w:rPr>
      </w:pPr>
      <w:r>
        <w:rPr>
          <w:rFonts w:hint="eastAsia" w:ascii="宋体" w:hAnsi="宋体" w:cs="宋体"/>
          <w:sz w:val="24"/>
          <w:highlight w:val="none"/>
        </w:rPr>
        <w:t>　　9.6.2 承包人在施工过程中，应遵守有关水土保持的法律法规和规章，履行合同约定的水土保持义务，并对其违反法律和合同约定义务所造成的水土流失灾害、人身伤害和财产损失负责。</w:t>
      </w:r>
    </w:p>
    <w:p w14:paraId="455D4DD0">
      <w:pPr>
        <w:spacing w:line="500" w:lineRule="exact"/>
        <w:rPr>
          <w:rFonts w:hint="eastAsia" w:ascii="宋体" w:hAnsi="宋体" w:cs="宋体"/>
          <w:sz w:val="24"/>
          <w:highlight w:val="none"/>
        </w:rPr>
      </w:pPr>
      <w:r>
        <w:rPr>
          <w:rFonts w:hint="eastAsia" w:ascii="宋体" w:hAnsi="宋体" w:cs="宋体"/>
          <w:sz w:val="24"/>
          <w:highlight w:val="none"/>
        </w:rPr>
        <w:t>　　9.6.3 承包人的水土保持措施计划，应满足技术标准和要求(合同技术条款)约定的要求。</w:t>
      </w:r>
    </w:p>
    <w:p w14:paraId="00790CF3">
      <w:pPr>
        <w:spacing w:line="500" w:lineRule="exact"/>
        <w:outlineLvl w:val="3"/>
        <w:rPr>
          <w:rFonts w:hint="eastAsia" w:ascii="宋体" w:hAnsi="宋体" w:cs="宋体"/>
          <w:sz w:val="24"/>
          <w:highlight w:val="none"/>
        </w:rPr>
      </w:pPr>
      <w:r>
        <w:rPr>
          <w:rFonts w:hint="eastAsia" w:ascii="宋体" w:hAnsi="宋体" w:cs="宋体"/>
          <w:sz w:val="24"/>
          <w:highlight w:val="none"/>
        </w:rPr>
        <w:t>9.7 文明工地</w:t>
      </w:r>
    </w:p>
    <w:p w14:paraId="1A842D60">
      <w:pPr>
        <w:spacing w:line="500" w:lineRule="exact"/>
        <w:rPr>
          <w:rFonts w:hint="eastAsia" w:ascii="宋体" w:hAnsi="宋体" w:cs="宋体"/>
          <w:sz w:val="24"/>
          <w:highlight w:val="none"/>
        </w:rPr>
      </w:pPr>
      <w:r>
        <w:rPr>
          <w:rFonts w:hint="eastAsia" w:ascii="宋体" w:hAnsi="宋体" w:cs="宋体"/>
          <w:sz w:val="24"/>
          <w:highlight w:val="none"/>
        </w:rPr>
        <w:t>　　9.7.1 发包人应按专用合同条款的约定，负责建立创建文明建设工地的组织机构，制定创建文明建设工地的规划和办法。</w:t>
      </w:r>
    </w:p>
    <w:p w14:paraId="2D5F4EB2">
      <w:pPr>
        <w:spacing w:line="500" w:lineRule="exact"/>
        <w:rPr>
          <w:rFonts w:hint="eastAsia" w:ascii="宋体" w:hAnsi="宋体" w:cs="宋体"/>
          <w:sz w:val="24"/>
          <w:highlight w:val="none"/>
        </w:rPr>
      </w:pPr>
      <w:r>
        <w:rPr>
          <w:rFonts w:hint="eastAsia" w:ascii="宋体" w:hAnsi="宋体" w:cs="宋体"/>
          <w:sz w:val="24"/>
          <w:highlight w:val="none"/>
        </w:rPr>
        <w:t>　　9.7.2 承包人应按创建文明建设工地的规划和办法，履行职责，承担相应责任。所需费用应含在已标价工程量清单中。</w:t>
      </w:r>
    </w:p>
    <w:p w14:paraId="0B8A3945">
      <w:pPr>
        <w:spacing w:line="500" w:lineRule="exact"/>
        <w:outlineLvl w:val="3"/>
        <w:rPr>
          <w:rFonts w:hint="eastAsia" w:ascii="宋体" w:hAnsi="宋体" w:cs="宋体"/>
          <w:sz w:val="24"/>
          <w:highlight w:val="none"/>
        </w:rPr>
      </w:pPr>
      <w:r>
        <w:rPr>
          <w:rFonts w:hint="eastAsia" w:ascii="宋体" w:hAnsi="宋体" w:cs="宋体"/>
          <w:sz w:val="24"/>
          <w:highlight w:val="none"/>
        </w:rPr>
        <w:t>9.8 防汛度汛</w:t>
      </w:r>
    </w:p>
    <w:p w14:paraId="3DCB84E3">
      <w:pPr>
        <w:spacing w:line="500" w:lineRule="exact"/>
        <w:rPr>
          <w:rFonts w:hint="eastAsia" w:ascii="宋体" w:hAnsi="宋体" w:cs="宋体"/>
          <w:sz w:val="24"/>
          <w:highlight w:val="none"/>
        </w:rPr>
      </w:pPr>
      <w:r>
        <w:rPr>
          <w:rFonts w:hint="eastAsia" w:ascii="宋体" w:hAnsi="宋体" w:cs="宋体"/>
          <w:sz w:val="24"/>
          <w:highlight w:val="none"/>
        </w:rPr>
        <w:t>　　9.8.1 发包人负责组织工程参建单位编制本工程的度汛方案和措施。</w:t>
      </w:r>
    </w:p>
    <w:p w14:paraId="40E4FD7C">
      <w:pPr>
        <w:spacing w:line="500" w:lineRule="exact"/>
        <w:rPr>
          <w:rFonts w:hint="eastAsia" w:ascii="宋体" w:hAnsi="宋体" w:cs="宋体"/>
          <w:sz w:val="24"/>
          <w:highlight w:val="none"/>
        </w:rPr>
      </w:pPr>
      <w:r>
        <w:rPr>
          <w:rFonts w:hint="eastAsia" w:ascii="宋体" w:hAnsi="宋体" w:cs="宋体"/>
          <w:sz w:val="24"/>
          <w:highlight w:val="none"/>
        </w:rPr>
        <w:t>　　9.8.2 承包人应根据发包人编制的本工程度汛方案和措施，制定相应的度汛方案，报发包人批准后实施。</w:t>
      </w:r>
    </w:p>
    <w:p w14:paraId="46066FCB">
      <w:pPr>
        <w:spacing w:line="500" w:lineRule="exact"/>
        <w:outlineLvl w:val="2"/>
        <w:rPr>
          <w:rFonts w:hint="eastAsia" w:ascii="宋体" w:hAnsi="宋体" w:cs="宋体"/>
          <w:sz w:val="24"/>
          <w:highlight w:val="none"/>
        </w:rPr>
      </w:pPr>
      <w:bookmarkStart w:id="257" w:name="_Toc140340968"/>
      <w:r>
        <w:rPr>
          <w:rFonts w:hint="eastAsia" w:ascii="宋体" w:hAnsi="宋体" w:cs="宋体"/>
          <w:sz w:val="24"/>
          <w:highlight w:val="none"/>
        </w:rPr>
        <w:t>10. 进度计划</w:t>
      </w:r>
      <w:bookmarkEnd w:id="257"/>
    </w:p>
    <w:p w14:paraId="5F53283D">
      <w:pPr>
        <w:spacing w:line="500" w:lineRule="exact"/>
        <w:outlineLvl w:val="3"/>
        <w:rPr>
          <w:rFonts w:hint="eastAsia" w:ascii="宋体" w:hAnsi="宋体" w:cs="宋体"/>
          <w:sz w:val="24"/>
          <w:highlight w:val="none"/>
        </w:rPr>
      </w:pPr>
      <w:r>
        <w:rPr>
          <w:rFonts w:hint="eastAsia" w:ascii="宋体" w:hAnsi="宋体" w:cs="宋体"/>
          <w:sz w:val="24"/>
          <w:highlight w:val="none"/>
        </w:rPr>
        <w:t>10.1 合同进度计划</w:t>
      </w:r>
    </w:p>
    <w:p w14:paraId="759937A6">
      <w:pPr>
        <w:spacing w:line="500" w:lineRule="exact"/>
        <w:rPr>
          <w:rFonts w:hint="eastAsia" w:ascii="宋体" w:hAnsi="宋体" w:cs="宋体"/>
          <w:sz w:val="24"/>
          <w:highlight w:val="none"/>
        </w:rPr>
      </w:pPr>
      <w:r>
        <w:rPr>
          <w:rFonts w:hint="eastAsia" w:ascii="宋体" w:hAnsi="宋体" w:cs="宋体"/>
          <w:sz w:val="24"/>
          <w:highlight w:val="none"/>
        </w:rPr>
        <w:t>　　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14:paraId="2B89F0E4">
      <w:pPr>
        <w:spacing w:line="500" w:lineRule="exact"/>
        <w:outlineLvl w:val="3"/>
        <w:rPr>
          <w:rFonts w:hint="eastAsia" w:ascii="宋体" w:hAnsi="宋体" w:cs="宋体"/>
          <w:sz w:val="24"/>
          <w:highlight w:val="none"/>
        </w:rPr>
      </w:pPr>
      <w:r>
        <w:rPr>
          <w:rFonts w:hint="eastAsia" w:ascii="宋体" w:hAnsi="宋体" w:cs="宋体"/>
          <w:sz w:val="24"/>
          <w:highlight w:val="none"/>
        </w:rPr>
        <w:t>10.2 合同进度计划的修订</w:t>
      </w:r>
    </w:p>
    <w:p w14:paraId="6E048B15">
      <w:pPr>
        <w:spacing w:line="500" w:lineRule="exact"/>
        <w:rPr>
          <w:rFonts w:hint="eastAsia" w:ascii="宋体" w:hAnsi="宋体" w:cs="宋体"/>
          <w:sz w:val="24"/>
          <w:highlight w:val="none"/>
        </w:rPr>
      </w:pPr>
      <w:r>
        <w:rPr>
          <w:rFonts w:hint="eastAsia" w:ascii="宋体" w:hAnsi="宋体" w:cs="宋体"/>
          <w:sz w:val="24"/>
          <w:highlight w:val="none"/>
        </w:rPr>
        <w:t>　　不论何种原因造成工程的实际进度与第10.1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p>
    <w:p w14:paraId="68773B3F">
      <w:pPr>
        <w:spacing w:line="500" w:lineRule="exact"/>
        <w:rPr>
          <w:rFonts w:hint="eastAsia" w:ascii="宋体" w:hAnsi="宋体" w:cs="宋体"/>
          <w:sz w:val="24"/>
          <w:highlight w:val="none"/>
        </w:rPr>
      </w:pPr>
      <w:r>
        <w:rPr>
          <w:rFonts w:hint="eastAsia" w:ascii="宋体" w:hAnsi="宋体" w:cs="宋体"/>
          <w:sz w:val="24"/>
          <w:highlight w:val="none"/>
        </w:rPr>
        <w:t>　　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p>
    <w:p w14:paraId="09441C50">
      <w:pPr>
        <w:spacing w:line="500" w:lineRule="exact"/>
        <w:outlineLvl w:val="3"/>
        <w:rPr>
          <w:rFonts w:hint="eastAsia" w:ascii="宋体" w:hAnsi="宋体" w:cs="宋体"/>
          <w:sz w:val="24"/>
          <w:highlight w:val="none"/>
        </w:rPr>
      </w:pPr>
      <w:r>
        <w:rPr>
          <w:rFonts w:hint="eastAsia" w:ascii="宋体" w:hAnsi="宋体" w:cs="宋体"/>
          <w:sz w:val="24"/>
          <w:highlight w:val="none"/>
        </w:rPr>
        <w:t>10.3 单位工程进度计划</w:t>
      </w:r>
    </w:p>
    <w:p w14:paraId="33120C9B">
      <w:pPr>
        <w:spacing w:line="500" w:lineRule="exact"/>
        <w:rPr>
          <w:rFonts w:hint="eastAsia" w:ascii="宋体" w:hAnsi="宋体" w:cs="宋体"/>
          <w:sz w:val="24"/>
          <w:highlight w:val="none"/>
        </w:rPr>
      </w:pPr>
      <w:r>
        <w:rPr>
          <w:rFonts w:hint="eastAsia" w:ascii="宋体" w:hAnsi="宋体" w:cs="宋体"/>
          <w:sz w:val="24"/>
          <w:highlight w:val="none"/>
        </w:rPr>
        <w:t>　　监理人认为有必要时，承包人应按监理人指示的内容和期限，并根据合同进度计划的进度控制要求，编制单位工程进度计划，提交监理人审批。</w:t>
      </w:r>
    </w:p>
    <w:p w14:paraId="582E26CF">
      <w:pPr>
        <w:spacing w:line="500" w:lineRule="exact"/>
        <w:outlineLvl w:val="3"/>
        <w:rPr>
          <w:rFonts w:hint="eastAsia" w:ascii="宋体" w:hAnsi="宋体" w:cs="宋体"/>
          <w:sz w:val="24"/>
          <w:highlight w:val="none"/>
        </w:rPr>
      </w:pPr>
      <w:r>
        <w:rPr>
          <w:rFonts w:hint="eastAsia" w:ascii="宋体" w:hAnsi="宋体" w:cs="宋体"/>
          <w:sz w:val="24"/>
          <w:highlight w:val="none"/>
        </w:rPr>
        <w:t>10.4 提交资金流估算表</w:t>
      </w:r>
    </w:p>
    <w:p w14:paraId="418BBA74">
      <w:pPr>
        <w:spacing w:line="500" w:lineRule="exact"/>
        <w:rPr>
          <w:rFonts w:hint="eastAsia" w:ascii="宋体" w:hAnsi="宋体" w:cs="宋体"/>
          <w:sz w:val="24"/>
          <w:highlight w:val="none"/>
        </w:rPr>
      </w:pPr>
      <w:r>
        <w:rPr>
          <w:rFonts w:hint="eastAsia" w:ascii="宋体" w:hAnsi="宋体" w:cs="宋体"/>
          <w:sz w:val="24"/>
          <w:highlight w:val="none"/>
        </w:rPr>
        <w:t>　　承包人应在按第10.1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14:paraId="2A083073">
      <w:pPr>
        <w:rPr>
          <w:rFonts w:hint="eastAsia" w:ascii="Times New Roman" w:hAnsi="Times New Roman"/>
          <w:highlight w:val="none"/>
        </w:rPr>
      </w:pPr>
    </w:p>
    <w:p w14:paraId="38C40B24">
      <w:pPr>
        <w:jc w:val="center"/>
        <w:rPr>
          <w:b/>
          <w:highlight w:val="none"/>
        </w:rPr>
      </w:pPr>
      <w:r>
        <w:rPr>
          <w:rFonts w:hint="eastAsia"/>
          <w:b/>
          <w:highlight w:val="none"/>
        </w:rPr>
        <w:t>资金流估算表</w:t>
      </w:r>
      <w:r>
        <w:rPr>
          <w:b/>
          <w:highlight w:val="none"/>
        </w:rPr>
        <w:t>(</w:t>
      </w:r>
      <w:r>
        <w:rPr>
          <w:rFonts w:hint="eastAsia"/>
          <w:b/>
          <w:highlight w:val="none"/>
        </w:rPr>
        <w:t>参考格式</w:t>
      </w:r>
      <w:r>
        <w:rPr>
          <w:b/>
          <w:highlight w:val="none"/>
        </w:rPr>
        <w:t>)</w:t>
      </w:r>
    </w:p>
    <w:p w14:paraId="7B1F3037">
      <w:pPr>
        <w:jc w:val="right"/>
        <w:rPr>
          <w:highlight w:val="none"/>
        </w:rPr>
      </w:pPr>
      <w:r>
        <w:rPr>
          <w:rFonts w:hint="eastAsia"/>
          <w:highlight w:val="none"/>
        </w:rPr>
        <w:t>金额单位</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9"/>
        <w:gridCol w:w="439"/>
        <w:gridCol w:w="1020"/>
        <w:gridCol w:w="1314"/>
        <w:gridCol w:w="1486"/>
        <w:gridCol w:w="962"/>
        <w:gridCol w:w="962"/>
        <w:gridCol w:w="824"/>
        <w:gridCol w:w="875"/>
        <w:gridCol w:w="1022"/>
      </w:tblGrid>
      <w:tr w14:paraId="626C7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 w:type="dxa"/>
            <w:tcBorders>
              <w:top w:val="single" w:color="000000" w:sz="4" w:space="0"/>
              <w:left w:val="single" w:color="000000" w:sz="4" w:space="0"/>
              <w:bottom w:val="single" w:color="000000" w:sz="4" w:space="0"/>
              <w:right w:val="single" w:color="000000" w:sz="4" w:space="0"/>
            </w:tcBorders>
            <w:noWrap w:val="0"/>
            <w:vAlign w:val="center"/>
          </w:tcPr>
          <w:p w14:paraId="059E78F6">
            <w:pPr>
              <w:jc w:val="center"/>
              <w:rPr>
                <w:rFonts w:ascii="Times New Roman" w:hAnsi="Times New Roman"/>
                <w:szCs w:val="24"/>
                <w:highlight w:val="none"/>
              </w:rPr>
            </w:pPr>
            <w:r>
              <w:rPr>
                <w:rFonts w:hint="eastAsia"/>
                <w:highlight w:val="none"/>
              </w:rPr>
              <w:t>年</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3ADC9045">
            <w:pPr>
              <w:jc w:val="center"/>
              <w:rPr>
                <w:rFonts w:ascii="Times New Roman" w:hAnsi="Times New Roman"/>
                <w:szCs w:val="24"/>
                <w:highlight w:val="none"/>
              </w:rPr>
            </w:pPr>
            <w:r>
              <w:rPr>
                <w:rFonts w:hint="eastAsia"/>
                <w:highlight w:val="none"/>
              </w:rPr>
              <w:t>月</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8512213">
            <w:pPr>
              <w:jc w:val="center"/>
              <w:rPr>
                <w:rFonts w:ascii="Times New Roman" w:hAnsi="Times New Roman"/>
                <w:szCs w:val="24"/>
                <w:highlight w:val="none"/>
              </w:rPr>
            </w:pPr>
            <w:r>
              <w:rPr>
                <w:rFonts w:hint="eastAsia"/>
                <w:highlight w:val="none"/>
              </w:rPr>
              <w:t>工程</w:t>
            </w:r>
          </w:p>
          <w:p w14:paraId="2562128B">
            <w:pPr>
              <w:jc w:val="center"/>
              <w:rPr>
                <w:rFonts w:ascii="Times New Roman" w:hAnsi="Times New Roman"/>
                <w:szCs w:val="24"/>
                <w:highlight w:val="none"/>
              </w:rPr>
            </w:pPr>
            <w:r>
              <w:rPr>
                <w:rFonts w:hint="eastAsia"/>
                <w:highlight w:val="none"/>
              </w:rPr>
              <w:t>预付款</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5A36BA6A">
            <w:pPr>
              <w:jc w:val="center"/>
              <w:rPr>
                <w:rFonts w:ascii="Times New Roman" w:hAnsi="Times New Roman"/>
                <w:szCs w:val="24"/>
                <w:highlight w:val="none"/>
              </w:rPr>
            </w:pPr>
            <w:r>
              <w:rPr>
                <w:rFonts w:hint="eastAsia"/>
                <w:highlight w:val="none"/>
              </w:rPr>
              <w:t>完成工作量付款</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28031BF0">
            <w:pPr>
              <w:jc w:val="center"/>
              <w:rPr>
                <w:rFonts w:ascii="Times New Roman" w:hAnsi="Times New Roman"/>
                <w:szCs w:val="24"/>
                <w:highlight w:val="none"/>
              </w:rPr>
            </w:pPr>
            <w:r>
              <w:rPr>
                <w:rFonts w:hint="eastAsia"/>
                <w:highlight w:val="none"/>
              </w:rPr>
              <w:t>质量保证金扣留</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6682B439">
            <w:pPr>
              <w:jc w:val="center"/>
              <w:rPr>
                <w:rFonts w:ascii="Times New Roman" w:hAnsi="Times New Roman"/>
                <w:szCs w:val="24"/>
                <w:highlight w:val="none"/>
              </w:rPr>
            </w:pPr>
            <w:r>
              <w:rPr>
                <w:rFonts w:hint="eastAsia"/>
                <w:highlight w:val="none"/>
              </w:rPr>
              <w:t>材料款扣除</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6D50B43C">
            <w:pPr>
              <w:jc w:val="center"/>
              <w:rPr>
                <w:rFonts w:ascii="Times New Roman" w:hAnsi="Times New Roman"/>
                <w:szCs w:val="24"/>
                <w:highlight w:val="none"/>
              </w:rPr>
            </w:pPr>
            <w:r>
              <w:rPr>
                <w:rFonts w:hint="eastAsia"/>
                <w:highlight w:val="none"/>
              </w:rPr>
              <w:t>预付款扣还</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6F266923">
            <w:pPr>
              <w:jc w:val="center"/>
              <w:rPr>
                <w:rFonts w:ascii="Times New Roman" w:hAnsi="Times New Roman"/>
                <w:szCs w:val="24"/>
                <w:highlight w:val="none"/>
              </w:rPr>
            </w:pPr>
            <w:r>
              <w:rPr>
                <w:rFonts w:hint="eastAsia"/>
                <w:highlight w:val="none"/>
              </w:rPr>
              <w:t>其它</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4862687">
            <w:pPr>
              <w:jc w:val="center"/>
              <w:rPr>
                <w:rFonts w:ascii="Times New Roman" w:hAnsi="Times New Roman"/>
                <w:szCs w:val="24"/>
                <w:highlight w:val="none"/>
              </w:rPr>
            </w:pPr>
            <w:r>
              <w:rPr>
                <w:rFonts w:hint="eastAsia"/>
                <w:highlight w:val="none"/>
              </w:rPr>
              <w:t>应收款</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5D090A10">
            <w:pPr>
              <w:jc w:val="center"/>
              <w:rPr>
                <w:rFonts w:ascii="Times New Roman" w:hAnsi="Times New Roman"/>
                <w:szCs w:val="24"/>
                <w:highlight w:val="none"/>
              </w:rPr>
            </w:pPr>
            <w:r>
              <w:rPr>
                <w:rFonts w:hint="eastAsia"/>
                <w:highlight w:val="none"/>
              </w:rPr>
              <w:t>累计</w:t>
            </w:r>
          </w:p>
          <w:p w14:paraId="18C468E6">
            <w:pPr>
              <w:jc w:val="center"/>
              <w:rPr>
                <w:rFonts w:ascii="Times New Roman" w:hAnsi="Times New Roman"/>
                <w:szCs w:val="24"/>
                <w:highlight w:val="none"/>
              </w:rPr>
            </w:pPr>
            <w:r>
              <w:rPr>
                <w:rFonts w:hint="eastAsia"/>
                <w:highlight w:val="none"/>
              </w:rPr>
              <w:t>应收款</w:t>
            </w:r>
          </w:p>
        </w:tc>
      </w:tr>
      <w:tr w14:paraId="637AD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 w:type="dxa"/>
            <w:tcBorders>
              <w:top w:val="single" w:color="000000" w:sz="4" w:space="0"/>
              <w:left w:val="single" w:color="000000" w:sz="4" w:space="0"/>
              <w:bottom w:val="single" w:color="000000" w:sz="4" w:space="0"/>
              <w:right w:val="single" w:color="000000" w:sz="4" w:space="0"/>
            </w:tcBorders>
            <w:noWrap w:val="0"/>
            <w:vAlign w:val="center"/>
          </w:tcPr>
          <w:p w14:paraId="3274A4CB">
            <w:pPr>
              <w:jc w:val="center"/>
              <w:rPr>
                <w:rFonts w:ascii="Times New Roman" w:hAnsi="Times New Roman"/>
                <w:szCs w:val="24"/>
                <w:highlight w:val="none"/>
              </w:rPr>
            </w:pP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3B42AA47">
            <w:pPr>
              <w:jc w:val="center"/>
              <w:rPr>
                <w:rFonts w:ascii="Times New Roman" w:hAnsi="Times New Roman"/>
                <w:szCs w:val="24"/>
                <w:highlight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323F1B7">
            <w:pPr>
              <w:jc w:val="center"/>
              <w:rPr>
                <w:rFonts w:ascii="Times New Roman" w:hAnsi="Times New Roman"/>
                <w:szCs w:val="24"/>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365D2282">
            <w:pPr>
              <w:jc w:val="center"/>
              <w:rPr>
                <w:rFonts w:ascii="Times New Roman" w:hAnsi="Times New Roman"/>
                <w:szCs w:val="24"/>
                <w:highlight w:val="none"/>
              </w:rPr>
            </w:pP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40CDFF91">
            <w:pPr>
              <w:jc w:val="center"/>
              <w:rPr>
                <w:rFonts w:ascii="Times New Roman" w:hAnsi="Times New Roman"/>
                <w:szCs w:val="24"/>
                <w:highlight w:val="none"/>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56E6921B">
            <w:pPr>
              <w:jc w:val="center"/>
              <w:rPr>
                <w:rFonts w:ascii="Times New Roman" w:hAnsi="Times New Roman"/>
                <w:szCs w:val="24"/>
                <w:highlight w:val="none"/>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4E7AB30B">
            <w:pPr>
              <w:jc w:val="center"/>
              <w:rPr>
                <w:rFonts w:ascii="Times New Roman" w:hAnsi="Times New Roman"/>
                <w:szCs w:val="24"/>
                <w:highlight w:val="none"/>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56AEEAA0">
            <w:pPr>
              <w:jc w:val="center"/>
              <w:rPr>
                <w:rFonts w:ascii="Times New Roman" w:hAnsi="Times New Roman"/>
                <w:szCs w:val="24"/>
                <w:highlight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3D42E3D">
            <w:pPr>
              <w:jc w:val="center"/>
              <w:rPr>
                <w:rFonts w:ascii="Times New Roman" w:hAnsi="Times New Roman"/>
                <w:szCs w:val="24"/>
                <w:highlight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234AD3AB">
            <w:pPr>
              <w:jc w:val="center"/>
              <w:rPr>
                <w:rFonts w:ascii="Times New Roman" w:hAnsi="Times New Roman"/>
                <w:szCs w:val="24"/>
                <w:highlight w:val="none"/>
              </w:rPr>
            </w:pPr>
          </w:p>
        </w:tc>
      </w:tr>
      <w:tr w14:paraId="402EB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 w:type="dxa"/>
            <w:tcBorders>
              <w:top w:val="single" w:color="000000" w:sz="4" w:space="0"/>
              <w:left w:val="single" w:color="000000" w:sz="4" w:space="0"/>
              <w:bottom w:val="single" w:color="000000" w:sz="4" w:space="0"/>
              <w:right w:val="single" w:color="000000" w:sz="4" w:space="0"/>
            </w:tcBorders>
            <w:noWrap w:val="0"/>
            <w:vAlign w:val="center"/>
          </w:tcPr>
          <w:p w14:paraId="4970FAFC">
            <w:pPr>
              <w:jc w:val="center"/>
              <w:rPr>
                <w:rFonts w:ascii="Times New Roman" w:hAnsi="Times New Roman"/>
                <w:szCs w:val="24"/>
                <w:highlight w:val="none"/>
              </w:rPr>
            </w:pP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7558C66E">
            <w:pPr>
              <w:jc w:val="center"/>
              <w:rPr>
                <w:rFonts w:ascii="Times New Roman" w:hAnsi="Times New Roman"/>
                <w:szCs w:val="24"/>
                <w:highlight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95CE333">
            <w:pPr>
              <w:jc w:val="center"/>
              <w:rPr>
                <w:rFonts w:ascii="Times New Roman" w:hAnsi="Times New Roman"/>
                <w:szCs w:val="24"/>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43A06C17">
            <w:pPr>
              <w:jc w:val="center"/>
              <w:rPr>
                <w:rFonts w:ascii="Times New Roman" w:hAnsi="Times New Roman"/>
                <w:szCs w:val="24"/>
                <w:highlight w:val="none"/>
              </w:rPr>
            </w:pP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58444C66">
            <w:pPr>
              <w:jc w:val="center"/>
              <w:rPr>
                <w:rFonts w:ascii="Times New Roman" w:hAnsi="Times New Roman"/>
                <w:szCs w:val="24"/>
                <w:highlight w:val="none"/>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03E88860">
            <w:pPr>
              <w:jc w:val="center"/>
              <w:rPr>
                <w:rFonts w:ascii="Times New Roman" w:hAnsi="Times New Roman"/>
                <w:szCs w:val="24"/>
                <w:highlight w:val="none"/>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52B10E71">
            <w:pPr>
              <w:jc w:val="center"/>
              <w:rPr>
                <w:rFonts w:ascii="Times New Roman" w:hAnsi="Times New Roman"/>
                <w:szCs w:val="24"/>
                <w:highlight w:val="none"/>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2086494F">
            <w:pPr>
              <w:jc w:val="center"/>
              <w:rPr>
                <w:rFonts w:ascii="Times New Roman" w:hAnsi="Times New Roman"/>
                <w:szCs w:val="24"/>
                <w:highlight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8BC6280">
            <w:pPr>
              <w:jc w:val="center"/>
              <w:rPr>
                <w:rFonts w:ascii="Times New Roman" w:hAnsi="Times New Roman"/>
                <w:szCs w:val="24"/>
                <w:highlight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30DE67BA">
            <w:pPr>
              <w:jc w:val="center"/>
              <w:rPr>
                <w:rFonts w:ascii="Times New Roman" w:hAnsi="Times New Roman"/>
                <w:szCs w:val="24"/>
                <w:highlight w:val="none"/>
              </w:rPr>
            </w:pPr>
          </w:p>
        </w:tc>
      </w:tr>
      <w:tr w14:paraId="0E32E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 w:type="dxa"/>
            <w:tcBorders>
              <w:top w:val="single" w:color="000000" w:sz="4" w:space="0"/>
              <w:left w:val="single" w:color="000000" w:sz="4" w:space="0"/>
              <w:bottom w:val="single" w:color="000000" w:sz="4" w:space="0"/>
              <w:right w:val="single" w:color="000000" w:sz="4" w:space="0"/>
            </w:tcBorders>
            <w:noWrap w:val="0"/>
            <w:vAlign w:val="center"/>
          </w:tcPr>
          <w:p w14:paraId="6E85CD65">
            <w:pPr>
              <w:jc w:val="center"/>
              <w:rPr>
                <w:rFonts w:ascii="Times New Roman" w:hAnsi="Times New Roman"/>
                <w:szCs w:val="24"/>
                <w:highlight w:val="none"/>
              </w:rPr>
            </w:pP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62CAF4D9">
            <w:pPr>
              <w:jc w:val="center"/>
              <w:rPr>
                <w:rFonts w:ascii="Times New Roman" w:hAnsi="Times New Roman"/>
                <w:szCs w:val="24"/>
                <w:highlight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3B1F222">
            <w:pPr>
              <w:jc w:val="center"/>
              <w:rPr>
                <w:rFonts w:ascii="Times New Roman" w:hAnsi="Times New Roman"/>
                <w:szCs w:val="24"/>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4472CBB2">
            <w:pPr>
              <w:jc w:val="center"/>
              <w:rPr>
                <w:rFonts w:ascii="Times New Roman" w:hAnsi="Times New Roman"/>
                <w:szCs w:val="24"/>
                <w:highlight w:val="none"/>
              </w:rPr>
            </w:pP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00450099">
            <w:pPr>
              <w:jc w:val="center"/>
              <w:rPr>
                <w:rFonts w:ascii="Times New Roman" w:hAnsi="Times New Roman"/>
                <w:szCs w:val="24"/>
                <w:highlight w:val="none"/>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29C399A4">
            <w:pPr>
              <w:jc w:val="center"/>
              <w:rPr>
                <w:rFonts w:ascii="Times New Roman" w:hAnsi="Times New Roman"/>
                <w:szCs w:val="24"/>
                <w:highlight w:val="none"/>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58B2FA9C">
            <w:pPr>
              <w:jc w:val="center"/>
              <w:rPr>
                <w:rFonts w:ascii="Times New Roman" w:hAnsi="Times New Roman"/>
                <w:szCs w:val="24"/>
                <w:highlight w:val="none"/>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4571B5B5">
            <w:pPr>
              <w:jc w:val="center"/>
              <w:rPr>
                <w:rFonts w:ascii="Times New Roman" w:hAnsi="Times New Roman"/>
                <w:szCs w:val="24"/>
                <w:highlight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4550007">
            <w:pPr>
              <w:jc w:val="center"/>
              <w:rPr>
                <w:rFonts w:ascii="Times New Roman" w:hAnsi="Times New Roman"/>
                <w:szCs w:val="24"/>
                <w:highlight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5693CA67">
            <w:pPr>
              <w:jc w:val="center"/>
              <w:rPr>
                <w:rFonts w:ascii="Times New Roman" w:hAnsi="Times New Roman"/>
                <w:szCs w:val="24"/>
                <w:highlight w:val="none"/>
              </w:rPr>
            </w:pPr>
          </w:p>
        </w:tc>
      </w:tr>
    </w:tbl>
    <w:p w14:paraId="6E3667C1">
      <w:pPr>
        <w:spacing w:line="500" w:lineRule="exact"/>
        <w:outlineLvl w:val="2"/>
        <w:rPr>
          <w:rFonts w:ascii="宋体" w:hAnsi="宋体" w:cs="宋体"/>
          <w:sz w:val="24"/>
          <w:highlight w:val="none"/>
        </w:rPr>
      </w:pPr>
      <w:bookmarkStart w:id="258" w:name="_Toc140340969"/>
      <w:r>
        <w:rPr>
          <w:rFonts w:hint="eastAsia" w:ascii="宋体" w:hAnsi="宋体" w:cs="宋体"/>
          <w:sz w:val="24"/>
          <w:highlight w:val="none"/>
        </w:rPr>
        <w:t>11. 开工和竣工(完工)</w:t>
      </w:r>
      <w:bookmarkEnd w:id="258"/>
    </w:p>
    <w:p w14:paraId="0D36752A">
      <w:pPr>
        <w:spacing w:line="500" w:lineRule="exact"/>
        <w:outlineLvl w:val="3"/>
        <w:rPr>
          <w:rFonts w:hint="eastAsia" w:ascii="宋体" w:hAnsi="宋体" w:cs="宋体"/>
          <w:sz w:val="24"/>
          <w:highlight w:val="none"/>
        </w:rPr>
      </w:pPr>
      <w:r>
        <w:rPr>
          <w:rFonts w:hint="eastAsia" w:ascii="宋体" w:hAnsi="宋体" w:cs="宋体"/>
          <w:sz w:val="24"/>
          <w:highlight w:val="none"/>
        </w:rPr>
        <w:t>11.1 开工</w:t>
      </w:r>
    </w:p>
    <w:p w14:paraId="75A68BB7">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11.1.1 监理人应在开工日期7天前向承包人发出开工通知。监理人在发出开工通知前应获得发包人同意。工期自监理人发出的开工通知中载明的开工日期起计算。承包人应在开工日期后尽快施工。</w:t>
      </w:r>
    </w:p>
    <w:p w14:paraId="0A3F29F8">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16FBE4C9">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11.1.3　若发包人未能按合同约定向承包人提供开工的必要条件，承包人有权要求延长工期。监理人应在收到承包人的书面要求后，按第3.5款的约定，与合同双方商定或确定增加的费用和延长的工期。</w:t>
      </w:r>
    </w:p>
    <w:p w14:paraId="12965690">
      <w:pPr>
        <w:spacing w:line="500" w:lineRule="exact"/>
        <w:rPr>
          <w:rFonts w:hint="eastAsia" w:ascii="宋体" w:hAnsi="宋体" w:cs="宋体"/>
          <w:sz w:val="24"/>
          <w:highlight w:val="none"/>
        </w:rPr>
      </w:pPr>
      <w:r>
        <w:rPr>
          <w:rFonts w:hint="eastAsia" w:ascii="宋体" w:hAnsi="宋体" w:cs="宋体"/>
          <w:sz w:val="24"/>
          <w:highlight w:val="none"/>
        </w:rPr>
        <w:t>　　11.1.4　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14:paraId="61430928">
      <w:pPr>
        <w:spacing w:line="500" w:lineRule="exact"/>
        <w:outlineLvl w:val="3"/>
        <w:rPr>
          <w:rFonts w:hint="eastAsia" w:ascii="宋体" w:hAnsi="宋体" w:cs="宋体"/>
          <w:sz w:val="24"/>
          <w:highlight w:val="none"/>
        </w:rPr>
      </w:pPr>
      <w:r>
        <w:rPr>
          <w:rFonts w:hint="eastAsia" w:ascii="宋体" w:hAnsi="宋体" w:cs="宋体"/>
          <w:sz w:val="24"/>
          <w:highlight w:val="none"/>
        </w:rPr>
        <w:t>11.2 竣工(完工)</w:t>
      </w:r>
    </w:p>
    <w:p w14:paraId="5563F87D">
      <w:pPr>
        <w:spacing w:line="500" w:lineRule="exact"/>
        <w:ind w:firstLine="420"/>
        <w:rPr>
          <w:rFonts w:hint="eastAsia" w:ascii="宋体" w:hAnsi="宋体" w:cs="宋体"/>
          <w:sz w:val="24"/>
          <w:highlight w:val="none"/>
        </w:rPr>
      </w:pPr>
      <w:r>
        <w:rPr>
          <w:rFonts w:hint="eastAsia" w:ascii="宋体" w:hAnsi="宋体" w:cs="宋体"/>
          <w:sz w:val="24"/>
          <w:highlight w:val="none"/>
        </w:rPr>
        <w:t>承包人应在第1.1.4.3目约定的期限内完成合同工程。合同工程实际完工日期在合同工程完工证书中明确。</w:t>
      </w:r>
    </w:p>
    <w:p w14:paraId="31627BD2">
      <w:pPr>
        <w:spacing w:line="500" w:lineRule="exact"/>
        <w:outlineLvl w:val="3"/>
        <w:rPr>
          <w:rFonts w:hint="eastAsia" w:ascii="宋体" w:hAnsi="宋体" w:cs="宋体"/>
          <w:sz w:val="24"/>
          <w:highlight w:val="none"/>
        </w:rPr>
      </w:pPr>
      <w:r>
        <w:rPr>
          <w:rFonts w:hint="eastAsia" w:ascii="宋体" w:hAnsi="宋体" w:cs="宋体"/>
          <w:sz w:val="24"/>
          <w:highlight w:val="none"/>
        </w:rPr>
        <w:t>11.3 发包人的工期延误</w:t>
      </w:r>
    </w:p>
    <w:p w14:paraId="65BB81A5">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在履行合同过程中，由于发包人的下列原因造成工期延误的，承包人有权要求发包人延长工期和（或）增加费用，并支付合理利润。需要修订合同进度计划的，按照第10.2款的约定办理。</w:t>
      </w:r>
    </w:p>
    <w:p w14:paraId="65C650C0">
      <w:pPr>
        <w:spacing w:line="500" w:lineRule="exact"/>
        <w:ind w:firstLine="410" w:firstLineChars="171"/>
        <w:rPr>
          <w:rFonts w:hint="eastAsia" w:ascii="宋体" w:hAnsi="宋体" w:cs="宋体"/>
          <w:sz w:val="24"/>
          <w:highlight w:val="none"/>
        </w:rPr>
      </w:pPr>
      <w:r>
        <w:rPr>
          <w:rFonts w:hint="eastAsia" w:ascii="宋体" w:hAnsi="宋体" w:cs="宋体"/>
          <w:sz w:val="24"/>
          <w:highlight w:val="none"/>
        </w:rPr>
        <w:t>（1）增加合同工作内容；</w:t>
      </w:r>
    </w:p>
    <w:p w14:paraId="6D5F074A">
      <w:pPr>
        <w:spacing w:line="500" w:lineRule="exact"/>
        <w:ind w:firstLine="410" w:firstLineChars="171"/>
        <w:rPr>
          <w:rFonts w:hint="eastAsia" w:ascii="宋体" w:hAnsi="宋体" w:cs="宋体"/>
          <w:sz w:val="24"/>
          <w:highlight w:val="none"/>
        </w:rPr>
      </w:pPr>
      <w:r>
        <w:rPr>
          <w:rFonts w:hint="eastAsia" w:ascii="宋体" w:hAnsi="宋体" w:cs="宋体"/>
          <w:sz w:val="24"/>
          <w:highlight w:val="none"/>
        </w:rPr>
        <w:t>（2）改变合同中任何一项工作的质量要求或其他特性；</w:t>
      </w:r>
    </w:p>
    <w:p w14:paraId="7E564884">
      <w:pPr>
        <w:spacing w:line="500" w:lineRule="exact"/>
        <w:ind w:firstLine="410" w:firstLineChars="171"/>
        <w:rPr>
          <w:rFonts w:hint="eastAsia" w:ascii="宋体" w:hAnsi="宋体" w:cs="宋体"/>
          <w:sz w:val="24"/>
          <w:highlight w:val="none"/>
        </w:rPr>
      </w:pPr>
      <w:r>
        <w:rPr>
          <w:rFonts w:hint="eastAsia" w:ascii="宋体" w:hAnsi="宋体" w:cs="宋体"/>
          <w:sz w:val="24"/>
          <w:highlight w:val="none"/>
        </w:rPr>
        <w:t>（3）发包人迟延提供材料、工程设备或变更交货地点的；</w:t>
      </w:r>
    </w:p>
    <w:p w14:paraId="750E7DBA">
      <w:pPr>
        <w:spacing w:line="500" w:lineRule="exact"/>
        <w:ind w:firstLine="410" w:firstLineChars="171"/>
        <w:rPr>
          <w:rFonts w:hint="eastAsia" w:ascii="宋体" w:hAnsi="宋体" w:cs="宋体"/>
          <w:sz w:val="24"/>
          <w:highlight w:val="none"/>
        </w:rPr>
      </w:pPr>
      <w:r>
        <w:rPr>
          <w:rFonts w:hint="eastAsia" w:ascii="宋体" w:hAnsi="宋体" w:cs="宋体"/>
          <w:sz w:val="24"/>
          <w:highlight w:val="none"/>
        </w:rPr>
        <w:t>（4）因发包人原因导致的暂停施工；</w:t>
      </w:r>
    </w:p>
    <w:p w14:paraId="7EC4B919">
      <w:pPr>
        <w:spacing w:line="500" w:lineRule="exact"/>
        <w:ind w:firstLine="410" w:firstLineChars="171"/>
        <w:rPr>
          <w:rFonts w:hint="eastAsia" w:ascii="宋体" w:hAnsi="宋体" w:cs="宋体"/>
          <w:sz w:val="24"/>
          <w:highlight w:val="none"/>
        </w:rPr>
      </w:pPr>
      <w:r>
        <w:rPr>
          <w:rFonts w:hint="eastAsia" w:ascii="宋体" w:hAnsi="宋体" w:cs="宋体"/>
          <w:sz w:val="24"/>
          <w:highlight w:val="none"/>
        </w:rPr>
        <w:t>（5）提供图纸延误；</w:t>
      </w:r>
    </w:p>
    <w:p w14:paraId="1E4839F5">
      <w:pPr>
        <w:spacing w:line="500" w:lineRule="exact"/>
        <w:ind w:firstLine="410" w:firstLineChars="171"/>
        <w:rPr>
          <w:rFonts w:hint="eastAsia" w:ascii="宋体" w:hAnsi="宋体" w:cs="宋体"/>
          <w:sz w:val="24"/>
          <w:highlight w:val="none"/>
        </w:rPr>
      </w:pPr>
      <w:r>
        <w:rPr>
          <w:rFonts w:hint="eastAsia" w:ascii="宋体" w:hAnsi="宋体" w:cs="宋体"/>
          <w:sz w:val="24"/>
          <w:highlight w:val="none"/>
        </w:rPr>
        <w:t>（6）未按合同约定及时支付预付款、进度款；</w:t>
      </w:r>
    </w:p>
    <w:p w14:paraId="0B95D3C1">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（7）发包人造成工期延误的其他原因。</w:t>
      </w:r>
    </w:p>
    <w:p w14:paraId="6C920738">
      <w:pPr>
        <w:spacing w:line="500" w:lineRule="exact"/>
        <w:outlineLvl w:val="3"/>
        <w:rPr>
          <w:rFonts w:hint="eastAsia" w:ascii="宋体" w:hAnsi="宋体" w:cs="宋体"/>
          <w:sz w:val="24"/>
          <w:highlight w:val="none"/>
        </w:rPr>
      </w:pPr>
      <w:r>
        <w:rPr>
          <w:rFonts w:hint="eastAsia" w:ascii="宋体" w:hAnsi="宋体" w:cs="宋体"/>
          <w:sz w:val="24"/>
          <w:highlight w:val="none"/>
        </w:rPr>
        <w:t>11.4 异常恶劣的气候条件</w:t>
      </w:r>
    </w:p>
    <w:p w14:paraId="400C5B93">
      <w:pPr>
        <w:spacing w:line="500" w:lineRule="exact"/>
        <w:rPr>
          <w:rFonts w:hint="eastAsia" w:ascii="宋体" w:hAnsi="宋体" w:cs="宋体"/>
          <w:sz w:val="24"/>
          <w:highlight w:val="none"/>
        </w:rPr>
      </w:pPr>
      <w:r>
        <w:rPr>
          <w:rFonts w:hint="eastAsia" w:ascii="宋体" w:hAnsi="宋体" w:cs="宋体"/>
          <w:sz w:val="24"/>
          <w:highlight w:val="none"/>
        </w:rPr>
        <w:t>　　11.4.1　当工程所在地发生危及施工安全的异常恶劣气候时，发包人和承包人应按本合同通用合同条款第12条的约定，及时采取暂停施工或部分暂停施工措施。异常恶劣气候条件解除后，承包人应及时安排复工。</w:t>
      </w:r>
    </w:p>
    <w:p w14:paraId="4081B032">
      <w:pPr>
        <w:spacing w:line="500" w:lineRule="exact"/>
        <w:rPr>
          <w:rFonts w:hint="eastAsia" w:ascii="宋体" w:hAnsi="宋体" w:cs="宋体"/>
          <w:sz w:val="24"/>
          <w:highlight w:val="none"/>
        </w:rPr>
      </w:pPr>
      <w:r>
        <w:rPr>
          <w:rFonts w:hint="eastAsia" w:ascii="宋体" w:hAnsi="宋体" w:cs="宋体"/>
          <w:sz w:val="24"/>
          <w:highlight w:val="none"/>
        </w:rPr>
        <w:t>　　11.4.2　异常恶劣气候条件造成的工期延误和工程损坏，应由发包人与承包人参照本合同通用合同条款第21.3款的约定协商处理。</w:t>
      </w:r>
    </w:p>
    <w:p w14:paraId="52C67C15">
      <w:pPr>
        <w:spacing w:line="500" w:lineRule="exact"/>
        <w:ind w:firstLine="420"/>
        <w:rPr>
          <w:rFonts w:hint="eastAsia" w:ascii="宋体" w:hAnsi="宋体" w:cs="宋体"/>
          <w:sz w:val="24"/>
          <w:highlight w:val="none"/>
        </w:rPr>
      </w:pPr>
      <w:r>
        <w:rPr>
          <w:rFonts w:hint="eastAsia" w:ascii="宋体" w:hAnsi="宋体" w:cs="宋体"/>
          <w:sz w:val="24"/>
          <w:highlight w:val="none"/>
        </w:rPr>
        <w:t>11.4.3　本合同工程界定异常恶劣气候条件的范围在专用合同条款中约定。</w:t>
      </w:r>
    </w:p>
    <w:p w14:paraId="1A118991">
      <w:pPr>
        <w:spacing w:line="500" w:lineRule="exact"/>
        <w:outlineLvl w:val="3"/>
        <w:rPr>
          <w:rFonts w:hint="eastAsia" w:ascii="宋体" w:hAnsi="宋体" w:cs="宋体"/>
          <w:sz w:val="24"/>
          <w:highlight w:val="none"/>
        </w:rPr>
      </w:pPr>
      <w:r>
        <w:rPr>
          <w:rFonts w:hint="eastAsia" w:ascii="宋体" w:hAnsi="宋体" w:cs="宋体"/>
          <w:sz w:val="24"/>
          <w:highlight w:val="none"/>
        </w:rPr>
        <w:t xml:space="preserve">11.5 承包人工期延误 </w:t>
      </w:r>
    </w:p>
    <w:p w14:paraId="4A40CC4E">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239A4B7F">
      <w:pPr>
        <w:spacing w:line="500" w:lineRule="exact"/>
        <w:outlineLvl w:val="3"/>
        <w:rPr>
          <w:rFonts w:hint="eastAsia" w:ascii="宋体" w:hAnsi="宋体" w:cs="宋体"/>
          <w:sz w:val="24"/>
          <w:highlight w:val="none"/>
        </w:rPr>
      </w:pPr>
      <w:r>
        <w:rPr>
          <w:rFonts w:hint="eastAsia" w:ascii="宋体" w:hAnsi="宋体" w:cs="宋体"/>
          <w:sz w:val="24"/>
          <w:highlight w:val="none"/>
        </w:rPr>
        <w:t>11.6 工期提前</w:t>
      </w:r>
    </w:p>
    <w:p w14:paraId="577036FF">
      <w:pPr>
        <w:spacing w:line="500" w:lineRule="exact"/>
        <w:rPr>
          <w:rFonts w:hint="eastAsia" w:ascii="宋体" w:hAnsi="宋体" w:cs="宋体"/>
          <w:sz w:val="24"/>
          <w:highlight w:val="none"/>
        </w:rPr>
      </w:pPr>
      <w:r>
        <w:rPr>
          <w:rFonts w:hint="eastAsia" w:ascii="宋体" w:hAnsi="宋体" w:cs="宋体"/>
          <w:sz w:val="24"/>
          <w:highlight w:val="none"/>
        </w:rPr>
        <w:t>　　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14:paraId="6787B005">
      <w:pPr>
        <w:spacing w:line="500" w:lineRule="exact"/>
        <w:rPr>
          <w:rFonts w:hint="eastAsia" w:ascii="宋体" w:hAnsi="宋体" w:cs="宋体"/>
          <w:sz w:val="24"/>
          <w:highlight w:val="none"/>
        </w:rPr>
      </w:pPr>
      <w:r>
        <w:rPr>
          <w:rFonts w:hint="eastAsia" w:ascii="宋体" w:hAnsi="宋体" w:cs="宋体"/>
          <w:sz w:val="24"/>
          <w:highlight w:val="none"/>
        </w:rPr>
        <w:t>　　发包人要求提前完工的，双方协商一致后应签订提前完工协议，协议内容包括：</w:t>
      </w:r>
    </w:p>
    <w:p w14:paraId="59D15B4C">
      <w:pPr>
        <w:spacing w:line="500" w:lineRule="exact"/>
        <w:rPr>
          <w:rFonts w:hint="eastAsia" w:ascii="宋体" w:hAnsi="宋体" w:cs="宋体"/>
          <w:sz w:val="24"/>
          <w:highlight w:val="none"/>
        </w:rPr>
      </w:pPr>
      <w:r>
        <w:rPr>
          <w:rFonts w:hint="eastAsia" w:ascii="宋体" w:hAnsi="宋体" w:cs="宋体"/>
          <w:sz w:val="24"/>
          <w:highlight w:val="none"/>
        </w:rPr>
        <w:t>　　(1)提前的时间和修订后的进度计划；</w:t>
      </w:r>
    </w:p>
    <w:p w14:paraId="5456C3B8">
      <w:pPr>
        <w:spacing w:line="500" w:lineRule="exact"/>
        <w:rPr>
          <w:rFonts w:hint="eastAsia" w:ascii="宋体" w:hAnsi="宋体" w:cs="宋体"/>
          <w:sz w:val="24"/>
          <w:highlight w:val="none"/>
        </w:rPr>
      </w:pPr>
      <w:r>
        <w:rPr>
          <w:rFonts w:hint="eastAsia" w:ascii="宋体" w:hAnsi="宋体" w:cs="宋体"/>
          <w:sz w:val="24"/>
          <w:highlight w:val="none"/>
        </w:rPr>
        <w:t>　　(2)承包人的赶工措施；</w:t>
      </w:r>
    </w:p>
    <w:p w14:paraId="2250F8D5">
      <w:pPr>
        <w:spacing w:line="500" w:lineRule="exact"/>
        <w:rPr>
          <w:rFonts w:hint="eastAsia" w:ascii="宋体" w:hAnsi="宋体" w:cs="宋体"/>
          <w:sz w:val="24"/>
          <w:highlight w:val="none"/>
        </w:rPr>
      </w:pPr>
      <w:r>
        <w:rPr>
          <w:rFonts w:hint="eastAsia" w:ascii="宋体" w:hAnsi="宋体" w:cs="宋体"/>
          <w:sz w:val="24"/>
          <w:highlight w:val="none"/>
        </w:rPr>
        <w:t>　　(3)发包人为赶工提供的条件；</w:t>
      </w:r>
    </w:p>
    <w:p w14:paraId="65F84456">
      <w:pPr>
        <w:spacing w:line="500" w:lineRule="exact"/>
        <w:rPr>
          <w:rFonts w:hint="eastAsia" w:ascii="宋体" w:hAnsi="宋体" w:cs="宋体"/>
          <w:sz w:val="24"/>
          <w:highlight w:val="none"/>
        </w:rPr>
      </w:pPr>
      <w:r>
        <w:rPr>
          <w:rFonts w:hint="eastAsia" w:ascii="宋体" w:hAnsi="宋体" w:cs="宋体"/>
          <w:sz w:val="24"/>
          <w:highlight w:val="none"/>
        </w:rPr>
        <w:t>　　(4)赶工费用(包括利润和奖金)。</w:t>
      </w:r>
    </w:p>
    <w:p w14:paraId="5E52F59B">
      <w:pPr>
        <w:spacing w:line="500" w:lineRule="exact"/>
        <w:outlineLvl w:val="2"/>
        <w:rPr>
          <w:rFonts w:hint="eastAsia" w:ascii="宋体" w:hAnsi="宋体" w:cs="宋体"/>
          <w:sz w:val="24"/>
          <w:highlight w:val="none"/>
        </w:rPr>
      </w:pPr>
      <w:bookmarkStart w:id="259" w:name="_Toc140340970"/>
      <w:r>
        <w:rPr>
          <w:rFonts w:hint="eastAsia" w:ascii="宋体" w:hAnsi="宋体" w:cs="宋体"/>
          <w:sz w:val="24"/>
          <w:highlight w:val="none"/>
        </w:rPr>
        <w:t>12. 暂停施工</w:t>
      </w:r>
      <w:bookmarkEnd w:id="259"/>
    </w:p>
    <w:p w14:paraId="27237B9E">
      <w:pPr>
        <w:spacing w:line="500" w:lineRule="exact"/>
        <w:outlineLvl w:val="3"/>
        <w:rPr>
          <w:rFonts w:hint="eastAsia" w:ascii="宋体" w:hAnsi="宋体" w:cs="宋体"/>
          <w:sz w:val="24"/>
          <w:highlight w:val="none"/>
        </w:rPr>
      </w:pPr>
      <w:r>
        <w:rPr>
          <w:rFonts w:hint="eastAsia" w:ascii="宋体" w:hAnsi="宋体" w:cs="宋体"/>
          <w:sz w:val="24"/>
          <w:highlight w:val="none"/>
        </w:rPr>
        <w:t>12.1 承包人暂停施工的责任</w:t>
      </w:r>
    </w:p>
    <w:p w14:paraId="0F79B5D3">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因下列暂停施工增加的费用和（或）工期延误由承包人承担：</w:t>
      </w:r>
    </w:p>
    <w:p w14:paraId="2174051F">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（1）承包人违约引起的暂停施工；</w:t>
      </w:r>
    </w:p>
    <w:p w14:paraId="2CAFE9CB">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（2）由于承包人原因为工程合理施工和安全保障所必需的暂停施工；</w:t>
      </w:r>
    </w:p>
    <w:p w14:paraId="7D65C181">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（3）承包人擅自暂停施工；</w:t>
      </w:r>
    </w:p>
    <w:p w14:paraId="332D40E6">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（4）承包人其他原因引起的暂停施工；</w:t>
      </w:r>
    </w:p>
    <w:p w14:paraId="2CEF01B2">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（5）专用合同条款约定由承包人承担的其他暂停施工。</w:t>
      </w:r>
    </w:p>
    <w:p w14:paraId="45D86E08">
      <w:pPr>
        <w:spacing w:line="500" w:lineRule="exact"/>
        <w:outlineLvl w:val="3"/>
        <w:rPr>
          <w:rFonts w:hint="eastAsia" w:ascii="宋体" w:hAnsi="宋体" w:cs="宋体"/>
          <w:sz w:val="24"/>
          <w:highlight w:val="none"/>
        </w:rPr>
      </w:pPr>
      <w:r>
        <w:rPr>
          <w:rFonts w:hint="eastAsia" w:ascii="宋体" w:hAnsi="宋体" w:cs="宋体"/>
          <w:sz w:val="24"/>
          <w:highlight w:val="none"/>
        </w:rPr>
        <w:t>12.2 发包人暂停施工的责任</w:t>
      </w:r>
    </w:p>
    <w:p w14:paraId="24972D75">
      <w:pPr>
        <w:spacing w:line="500" w:lineRule="exact"/>
        <w:rPr>
          <w:rFonts w:hint="eastAsia" w:ascii="宋体" w:hAnsi="宋体" w:cs="宋体"/>
          <w:sz w:val="24"/>
          <w:highlight w:val="none"/>
        </w:rPr>
      </w:pPr>
      <w:r>
        <w:rPr>
          <w:rFonts w:hint="eastAsia" w:ascii="宋体" w:hAnsi="宋体" w:cs="宋体"/>
          <w:sz w:val="24"/>
          <w:highlight w:val="none"/>
        </w:rPr>
        <w:t>　　由于发包人原因引起的暂停施工造成工期延误的，承包人有权要求发包人延长工期和(或)增加费用，并支付合理利润。</w:t>
      </w:r>
    </w:p>
    <w:p w14:paraId="66E1B4C8">
      <w:pPr>
        <w:spacing w:line="500" w:lineRule="exact"/>
        <w:rPr>
          <w:rFonts w:hint="eastAsia" w:ascii="宋体" w:hAnsi="宋体" w:cs="宋体"/>
          <w:sz w:val="24"/>
          <w:highlight w:val="none"/>
        </w:rPr>
      </w:pPr>
      <w:r>
        <w:rPr>
          <w:rFonts w:hint="eastAsia" w:ascii="宋体" w:hAnsi="宋体" w:cs="宋体"/>
          <w:sz w:val="24"/>
          <w:highlight w:val="none"/>
        </w:rPr>
        <w:t>　　属于下列任何一种情况引起的暂停施工，均为发包人的责任：</w:t>
      </w:r>
    </w:p>
    <w:p w14:paraId="3AC311C6">
      <w:pPr>
        <w:spacing w:line="500" w:lineRule="exact"/>
        <w:rPr>
          <w:rFonts w:hint="eastAsia" w:ascii="宋体" w:hAnsi="宋体" w:cs="宋体"/>
          <w:sz w:val="24"/>
          <w:highlight w:val="none"/>
        </w:rPr>
      </w:pPr>
      <w:r>
        <w:rPr>
          <w:rFonts w:hint="eastAsia" w:ascii="宋体" w:hAnsi="宋体" w:cs="宋体"/>
          <w:sz w:val="24"/>
          <w:highlight w:val="none"/>
        </w:rPr>
        <w:t>　　(1)由于发包人违约引起的暂停施工；</w:t>
      </w:r>
    </w:p>
    <w:p w14:paraId="10E39433">
      <w:pPr>
        <w:spacing w:line="500" w:lineRule="exact"/>
        <w:rPr>
          <w:rFonts w:hint="eastAsia" w:ascii="宋体" w:hAnsi="宋体" w:cs="宋体"/>
          <w:sz w:val="24"/>
          <w:highlight w:val="none"/>
        </w:rPr>
      </w:pPr>
      <w:r>
        <w:rPr>
          <w:rFonts w:hint="eastAsia" w:ascii="宋体" w:hAnsi="宋体" w:cs="宋体"/>
          <w:sz w:val="24"/>
          <w:highlight w:val="none"/>
        </w:rPr>
        <w:t>　　(2)由于不可抗力的自然或社会因素引起的暂停施工；</w:t>
      </w:r>
    </w:p>
    <w:p w14:paraId="5A52220D">
      <w:pPr>
        <w:spacing w:line="500" w:lineRule="exact"/>
        <w:ind w:firstLine="420"/>
        <w:rPr>
          <w:rFonts w:hint="eastAsia" w:ascii="宋体" w:hAnsi="宋体" w:cs="宋体"/>
          <w:sz w:val="24"/>
          <w:highlight w:val="none"/>
        </w:rPr>
      </w:pPr>
      <w:r>
        <w:rPr>
          <w:rFonts w:hint="eastAsia" w:ascii="宋体" w:hAnsi="宋体" w:cs="宋体"/>
          <w:sz w:val="24"/>
          <w:highlight w:val="none"/>
        </w:rPr>
        <w:t>(3)专用合同条款中约定的其它由于发包人原因引起的暂停施工。</w:t>
      </w:r>
    </w:p>
    <w:p w14:paraId="2A83E425">
      <w:pPr>
        <w:spacing w:line="500" w:lineRule="exact"/>
        <w:outlineLvl w:val="3"/>
        <w:rPr>
          <w:rFonts w:hint="eastAsia" w:ascii="宋体" w:hAnsi="宋体" w:cs="宋体"/>
          <w:sz w:val="24"/>
          <w:highlight w:val="none"/>
        </w:rPr>
      </w:pPr>
      <w:r>
        <w:rPr>
          <w:rFonts w:hint="eastAsia" w:ascii="宋体" w:hAnsi="宋体" w:cs="宋体"/>
          <w:sz w:val="24"/>
          <w:highlight w:val="none"/>
        </w:rPr>
        <w:t>12.3 监理人暂停施工指示</w:t>
      </w:r>
    </w:p>
    <w:p w14:paraId="221E4E4C">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12.3.1 监理人认为有必要时，可向承包人作出暂停施工的指示，承包人应按监理人指示暂停施工。不论由于何种原因引起的暂停施工，暂停施工期间承包人应负责妥善保护工程并提供安全保障。</w:t>
      </w:r>
    </w:p>
    <w:p w14:paraId="0E4AD16D">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2247C159">
      <w:pPr>
        <w:spacing w:line="500" w:lineRule="exact"/>
        <w:outlineLvl w:val="3"/>
        <w:rPr>
          <w:rFonts w:hint="eastAsia" w:ascii="宋体" w:hAnsi="宋体" w:cs="宋体"/>
          <w:sz w:val="24"/>
          <w:highlight w:val="none"/>
        </w:rPr>
      </w:pPr>
      <w:r>
        <w:rPr>
          <w:rFonts w:hint="eastAsia" w:ascii="宋体" w:hAnsi="宋体" w:cs="宋体"/>
          <w:sz w:val="24"/>
          <w:highlight w:val="none"/>
        </w:rPr>
        <w:t>12.4 暂停施工后的复工</w:t>
      </w:r>
    </w:p>
    <w:p w14:paraId="459A220A">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2C3BE82A">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12.4.2 承包人无故拖延和拒绝复工的，由此增加的费用和工期延误由承包人承担；因发包人原因无法按时复工的，承包人有权要求发包人延长工期和（或）增加费用，并支付合理利润。</w:t>
      </w:r>
    </w:p>
    <w:p w14:paraId="33B149D7">
      <w:pPr>
        <w:spacing w:line="500" w:lineRule="exact"/>
        <w:outlineLvl w:val="3"/>
        <w:rPr>
          <w:rFonts w:hint="eastAsia" w:ascii="宋体" w:hAnsi="宋体" w:cs="宋体"/>
          <w:sz w:val="24"/>
          <w:highlight w:val="none"/>
        </w:rPr>
      </w:pPr>
      <w:r>
        <w:rPr>
          <w:rFonts w:hint="eastAsia" w:ascii="宋体" w:hAnsi="宋体" w:cs="宋体"/>
          <w:sz w:val="24"/>
          <w:highlight w:val="none"/>
        </w:rPr>
        <w:t>12.5 暂停施工持续56天以上</w:t>
      </w:r>
    </w:p>
    <w:p w14:paraId="56FAA2DE">
      <w:pPr>
        <w:spacing w:line="500" w:lineRule="exact"/>
        <w:ind w:firstLine="470" w:firstLineChars="196"/>
        <w:rPr>
          <w:rFonts w:hint="eastAsia" w:ascii="宋体" w:hAnsi="宋体" w:cs="宋体"/>
          <w:sz w:val="24"/>
          <w:highlight w:val="none"/>
        </w:rPr>
      </w:pPr>
      <w:r>
        <w:rPr>
          <w:rFonts w:hint="eastAsia" w:ascii="宋体" w:hAnsi="宋体" w:cs="宋体"/>
          <w:sz w:val="24"/>
          <w:highlight w:val="none"/>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约定办理。</w:t>
      </w:r>
    </w:p>
    <w:p w14:paraId="5A2D841E">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12.5.2 由于承包人责任引起的暂停施工，如承包人在收到监理人暂停施工指示后56天内不认真采取有效的复工措施，造成工期延误，可视为承包人违约，应按第22.1款的约定办理。</w:t>
      </w:r>
    </w:p>
    <w:p w14:paraId="5F15C8C9">
      <w:pPr>
        <w:spacing w:line="500" w:lineRule="exact"/>
        <w:outlineLvl w:val="2"/>
        <w:rPr>
          <w:rFonts w:hint="eastAsia" w:ascii="宋体" w:hAnsi="宋体" w:cs="宋体"/>
          <w:sz w:val="24"/>
          <w:highlight w:val="none"/>
        </w:rPr>
      </w:pPr>
      <w:bookmarkStart w:id="260" w:name="_Toc140340971"/>
      <w:r>
        <w:rPr>
          <w:rFonts w:hint="eastAsia" w:ascii="宋体" w:hAnsi="宋体" w:cs="宋体"/>
          <w:sz w:val="24"/>
          <w:highlight w:val="none"/>
        </w:rPr>
        <w:t>13. 工程质量</w:t>
      </w:r>
      <w:bookmarkEnd w:id="260"/>
    </w:p>
    <w:p w14:paraId="47F09D0A">
      <w:pPr>
        <w:spacing w:line="500" w:lineRule="exact"/>
        <w:outlineLvl w:val="3"/>
        <w:rPr>
          <w:rFonts w:hint="eastAsia" w:ascii="宋体" w:hAnsi="宋体" w:cs="宋体"/>
          <w:sz w:val="24"/>
          <w:highlight w:val="none"/>
        </w:rPr>
      </w:pPr>
      <w:r>
        <w:rPr>
          <w:rFonts w:hint="eastAsia" w:ascii="宋体" w:hAnsi="宋体" w:cs="宋体"/>
          <w:sz w:val="24"/>
          <w:highlight w:val="none"/>
        </w:rPr>
        <w:t>13.1 工程质量要求</w:t>
      </w:r>
    </w:p>
    <w:p w14:paraId="6C8AF905">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13.1.1 工程质量验收按合同约定验收标准执行。</w:t>
      </w:r>
    </w:p>
    <w:p w14:paraId="3F34BD50">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13.1.2 因承包人原因造成工程质量达不到合同约定验收标准的，监理人有权要求承包人返工直至符合合同要求为止，由此造成的费用增加和（或）工期延误由承包人承担。</w:t>
      </w:r>
    </w:p>
    <w:p w14:paraId="0AFDFC8C">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13.1.3 因发包人原因造成工程质量达不到合同约定验收标准的，发包人应承担由于承包人返工造成的费用增加和（或）工期延误，并支付承包人合理利润。</w:t>
      </w:r>
    </w:p>
    <w:p w14:paraId="2908DBF6">
      <w:pPr>
        <w:spacing w:line="500" w:lineRule="exact"/>
        <w:outlineLvl w:val="3"/>
        <w:rPr>
          <w:rFonts w:hint="eastAsia" w:ascii="宋体" w:hAnsi="宋体" w:cs="宋体"/>
          <w:sz w:val="24"/>
          <w:highlight w:val="none"/>
        </w:rPr>
      </w:pPr>
      <w:r>
        <w:rPr>
          <w:rFonts w:hint="eastAsia" w:ascii="宋体" w:hAnsi="宋体" w:cs="宋体"/>
          <w:sz w:val="24"/>
          <w:highlight w:val="none"/>
        </w:rPr>
        <w:t>13.2 承包人的质量管理</w:t>
      </w:r>
    </w:p>
    <w:p w14:paraId="6B644733">
      <w:pPr>
        <w:spacing w:line="500" w:lineRule="exact"/>
        <w:ind w:firstLine="420"/>
        <w:rPr>
          <w:rFonts w:hint="eastAsia" w:ascii="宋体" w:hAnsi="宋体" w:cs="宋体"/>
          <w:sz w:val="24"/>
          <w:highlight w:val="none"/>
        </w:rPr>
      </w:pPr>
      <w:r>
        <w:rPr>
          <w:rFonts w:hint="eastAsia" w:ascii="宋体" w:hAnsi="宋体" w:cs="宋体"/>
          <w:sz w:val="24"/>
          <w:highlight w:val="none"/>
        </w:rPr>
        <w:t>13.2.1　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14:paraId="57C34F6B">
      <w:pPr>
        <w:spacing w:line="500" w:lineRule="exact"/>
        <w:ind w:firstLine="420"/>
        <w:rPr>
          <w:rFonts w:hint="eastAsia" w:ascii="宋体" w:hAnsi="宋体" w:cs="宋体"/>
          <w:sz w:val="24"/>
          <w:highlight w:val="none"/>
        </w:rPr>
      </w:pPr>
      <w:r>
        <w:rPr>
          <w:rFonts w:hint="eastAsia" w:ascii="宋体" w:hAnsi="宋体" w:cs="宋体"/>
          <w:sz w:val="24"/>
          <w:highlight w:val="none"/>
        </w:rPr>
        <w:t>13.2.2 承包人应加强对施工人员的质量教育和技术培训，定期考核施工人员的劳动技能，严格执行规范和操作规程。</w:t>
      </w:r>
    </w:p>
    <w:p w14:paraId="4F0E94F0">
      <w:pPr>
        <w:spacing w:line="500" w:lineRule="exact"/>
        <w:outlineLvl w:val="3"/>
        <w:rPr>
          <w:rFonts w:hint="eastAsia" w:ascii="宋体" w:hAnsi="宋体" w:cs="宋体"/>
          <w:sz w:val="24"/>
          <w:highlight w:val="none"/>
        </w:rPr>
      </w:pPr>
      <w:r>
        <w:rPr>
          <w:rFonts w:hint="eastAsia" w:ascii="宋体" w:hAnsi="宋体" w:cs="宋体"/>
          <w:sz w:val="24"/>
          <w:highlight w:val="none"/>
        </w:rPr>
        <w:t>13.3 承包人的质量检查</w:t>
      </w:r>
    </w:p>
    <w:p w14:paraId="108B2194">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承包人应按合同约定对材料、工程设备以及工程的所有部位及其施工工艺进行全过程的质量检查和检验，并作详细记录，编制工程质量报表，报送监理人审查。</w:t>
      </w:r>
    </w:p>
    <w:p w14:paraId="4DEA6559">
      <w:pPr>
        <w:spacing w:line="500" w:lineRule="exact"/>
        <w:outlineLvl w:val="3"/>
        <w:rPr>
          <w:rFonts w:hint="eastAsia" w:ascii="宋体" w:hAnsi="宋体" w:cs="宋体"/>
          <w:sz w:val="24"/>
          <w:highlight w:val="none"/>
        </w:rPr>
      </w:pPr>
      <w:r>
        <w:rPr>
          <w:rFonts w:hint="eastAsia" w:ascii="宋体" w:hAnsi="宋体" w:cs="宋体"/>
          <w:sz w:val="24"/>
          <w:highlight w:val="none"/>
        </w:rPr>
        <w:t>13.4 监理人的质量检查</w:t>
      </w:r>
    </w:p>
    <w:p w14:paraId="39C26E36">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4D876BF8">
      <w:pPr>
        <w:spacing w:line="500" w:lineRule="exact"/>
        <w:outlineLvl w:val="3"/>
        <w:rPr>
          <w:rFonts w:hint="eastAsia" w:ascii="宋体" w:hAnsi="宋体" w:cs="宋体"/>
          <w:sz w:val="24"/>
          <w:highlight w:val="none"/>
        </w:rPr>
      </w:pPr>
      <w:r>
        <w:rPr>
          <w:rFonts w:hint="eastAsia" w:ascii="宋体" w:hAnsi="宋体" w:cs="宋体"/>
          <w:sz w:val="24"/>
          <w:highlight w:val="none"/>
        </w:rPr>
        <w:t>13.5 工程隐蔽部位覆盖前的检查</w:t>
      </w:r>
    </w:p>
    <w:p w14:paraId="465E8BF8">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13.5.1 通知监理人检查</w:t>
      </w:r>
    </w:p>
    <w:p w14:paraId="111821DE">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1AC0F02C">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13.5.2 监理人未到场检查</w:t>
      </w:r>
    </w:p>
    <w:p w14:paraId="141B9541">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监理人未按第13.5.1项约定的时间进行检查的，除监理人另有指示外，承包人可自行完成覆盖工作，并作相应记录报送监理人，监理人应签字确认。监理人事后对检查记录有疑问的，可按第13.5.3项的约定重新检查。</w:t>
      </w:r>
    </w:p>
    <w:p w14:paraId="255A4005">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13.5.3 监理人重新检查</w:t>
      </w:r>
    </w:p>
    <w:p w14:paraId="3305DC76">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79404DF4">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13.5.4 承包人私自覆盖</w:t>
      </w:r>
    </w:p>
    <w:p w14:paraId="01C027C6">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承包人未通知监理人到场检查，私自将工程隐蔽部位覆盖的，监理人有权指示承包人钻孔探测或揭开检查，由此增加的费用和（或）工期延误由承包人承担。</w:t>
      </w:r>
    </w:p>
    <w:p w14:paraId="1B38F79F">
      <w:pPr>
        <w:spacing w:line="500" w:lineRule="exact"/>
        <w:outlineLvl w:val="3"/>
        <w:rPr>
          <w:rFonts w:hint="eastAsia" w:ascii="宋体" w:hAnsi="宋体" w:cs="宋体"/>
          <w:sz w:val="24"/>
          <w:highlight w:val="none"/>
        </w:rPr>
      </w:pPr>
      <w:r>
        <w:rPr>
          <w:rFonts w:hint="eastAsia" w:ascii="宋体" w:hAnsi="宋体" w:cs="宋体"/>
          <w:sz w:val="24"/>
          <w:highlight w:val="none"/>
        </w:rPr>
        <w:t>13.6 清除不合格工程</w:t>
      </w:r>
    </w:p>
    <w:p w14:paraId="792F8241">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74F03075">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13.6.2 由于发包人提供的材料或工程设备不合格造成的工程不合格，需要承包人采取措施补救的，发包人应承担由此增加的费用和（或）工期延误，并支付承包人合理利润。</w:t>
      </w:r>
    </w:p>
    <w:p w14:paraId="22256B3D">
      <w:pPr>
        <w:spacing w:line="500" w:lineRule="exact"/>
        <w:outlineLvl w:val="3"/>
        <w:rPr>
          <w:rFonts w:hint="eastAsia" w:ascii="宋体" w:hAnsi="宋体" w:cs="宋体"/>
          <w:sz w:val="24"/>
          <w:highlight w:val="none"/>
        </w:rPr>
      </w:pPr>
      <w:r>
        <w:rPr>
          <w:rFonts w:hint="eastAsia" w:ascii="宋体" w:hAnsi="宋体" w:cs="宋体"/>
          <w:sz w:val="24"/>
          <w:highlight w:val="none"/>
        </w:rPr>
        <w:t>13.7 质量评定</w:t>
      </w:r>
    </w:p>
    <w:p w14:paraId="6E99CFD5">
      <w:pPr>
        <w:spacing w:line="500" w:lineRule="exact"/>
        <w:rPr>
          <w:rFonts w:hint="eastAsia" w:ascii="宋体" w:hAnsi="宋体" w:cs="宋体"/>
          <w:sz w:val="24"/>
          <w:highlight w:val="none"/>
        </w:rPr>
      </w:pPr>
      <w:r>
        <w:rPr>
          <w:rFonts w:hint="eastAsia" w:ascii="宋体" w:hAnsi="宋体" w:cs="宋体"/>
          <w:sz w:val="24"/>
          <w:highlight w:val="none"/>
        </w:rPr>
        <w:t>　　13.7.1 发包人应组织承包人进行工程项目划分，并确定单位工程、主要分部工程、重要隐蔽单元工程和关键部位单元工程。</w:t>
      </w:r>
    </w:p>
    <w:p w14:paraId="68E0C30B">
      <w:pPr>
        <w:spacing w:line="500" w:lineRule="exact"/>
        <w:rPr>
          <w:rFonts w:hint="eastAsia" w:ascii="宋体" w:hAnsi="宋体" w:cs="宋体"/>
          <w:sz w:val="24"/>
          <w:highlight w:val="none"/>
        </w:rPr>
      </w:pPr>
      <w:r>
        <w:rPr>
          <w:rFonts w:hint="eastAsia" w:ascii="宋体" w:hAnsi="宋体" w:cs="宋体"/>
          <w:sz w:val="24"/>
          <w:highlight w:val="none"/>
        </w:rPr>
        <w:t>　　13.7.2 工程实施过程中，单位工程、主要分部工程、重要隐蔽单元工程和关键部位单元工程的项目划分需要调整时，承包人应报发包人确认。</w:t>
      </w:r>
    </w:p>
    <w:p w14:paraId="1520121A">
      <w:pPr>
        <w:spacing w:line="500" w:lineRule="exact"/>
        <w:rPr>
          <w:rFonts w:hint="eastAsia" w:ascii="宋体" w:hAnsi="宋体" w:cs="宋体"/>
          <w:sz w:val="24"/>
          <w:highlight w:val="none"/>
        </w:rPr>
      </w:pPr>
      <w:r>
        <w:rPr>
          <w:rFonts w:hint="eastAsia" w:ascii="宋体" w:hAnsi="宋体" w:cs="宋体"/>
          <w:sz w:val="24"/>
          <w:highlight w:val="none"/>
        </w:rPr>
        <w:t>　　13.7.3 承包人应在单元(工序)工程质量自评合格后，报监理人核定质量等级并签证认可。</w:t>
      </w:r>
    </w:p>
    <w:p w14:paraId="0A3FEE9D">
      <w:pPr>
        <w:spacing w:line="500" w:lineRule="exact"/>
        <w:rPr>
          <w:rFonts w:hint="eastAsia" w:ascii="宋体" w:hAnsi="宋体" w:cs="宋体"/>
          <w:sz w:val="24"/>
          <w:highlight w:val="none"/>
        </w:rPr>
      </w:pPr>
      <w:r>
        <w:rPr>
          <w:rFonts w:hint="eastAsia" w:ascii="宋体" w:hAnsi="宋体" w:cs="宋体"/>
          <w:sz w:val="24"/>
          <w:highlight w:val="none"/>
        </w:rPr>
        <w:t>　　13.7.4 除专用合同条款另有约定外，承包人应在重要隐蔽单元工程和关键部位单元工程质量自评合格以及监理人抽检后，由监理人组织承包人等单位组成的联合小组，共同检查核定其质量等级并填写签证表。发包人按有关规定完成质量结论报工程质量监督机构核备手续。</w:t>
      </w:r>
    </w:p>
    <w:p w14:paraId="00B49369">
      <w:pPr>
        <w:spacing w:line="500" w:lineRule="exact"/>
        <w:rPr>
          <w:rFonts w:hint="eastAsia" w:ascii="宋体" w:hAnsi="宋体" w:cs="宋体"/>
          <w:sz w:val="24"/>
          <w:highlight w:val="none"/>
        </w:rPr>
      </w:pPr>
      <w:r>
        <w:rPr>
          <w:rFonts w:hint="eastAsia" w:ascii="宋体" w:hAnsi="宋体" w:cs="宋体"/>
          <w:sz w:val="24"/>
          <w:highlight w:val="none"/>
        </w:rPr>
        <w:t>　　13.7.5 承包人应在分部工程质量自评合格后，报监理人复核和发包人认定。发包人负责按有关规定完成分部工程质量结论报工程质量监督机构核备(核定)手续。</w:t>
      </w:r>
    </w:p>
    <w:p w14:paraId="51A931E8">
      <w:pPr>
        <w:spacing w:line="500" w:lineRule="exact"/>
        <w:rPr>
          <w:rFonts w:hint="eastAsia" w:ascii="宋体" w:hAnsi="宋体" w:cs="宋体"/>
          <w:sz w:val="24"/>
          <w:highlight w:val="none"/>
        </w:rPr>
      </w:pPr>
      <w:r>
        <w:rPr>
          <w:rFonts w:hint="eastAsia" w:ascii="宋体" w:hAnsi="宋体" w:cs="宋体"/>
          <w:sz w:val="24"/>
          <w:highlight w:val="none"/>
        </w:rPr>
        <w:t>　　13.7.6 承包人应在单位工程质量自评合格后，报监理人复核和发包人认定。发包人负责按有关规定完成单位工程质量结论报工程质量监督机构核定手续。</w:t>
      </w:r>
    </w:p>
    <w:p w14:paraId="3D332A7E">
      <w:pPr>
        <w:spacing w:line="500" w:lineRule="exact"/>
        <w:rPr>
          <w:rFonts w:hint="eastAsia" w:ascii="宋体" w:hAnsi="宋体" w:cs="宋体"/>
          <w:sz w:val="24"/>
          <w:highlight w:val="none"/>
        </w:rPr>
      </w:pPr>
      <w:r>
        <w:rPr>
          <w:rFonts w:hint="eastAsia" w:ascii="宋体" w:hAnsi="宋体" w:cs="宋体"/>
          <w:sz w:val="24"/>
          <w:highlight w:val="none"/>
        </w:rPr>
        <w:t>　　13.7.7 除专用合同条款另有约定外，工程质量等级分为合格和优良，应分别达到约定的标准。</w:t>
      </w:r>
    </w:p>
    <w:p w14:paraId="7F7991A8">
      <w:pPr>
        <w:spacing w:line="500" w:lineRule="exact"/>
        <w:outlineLvl w:val="3"/>
        <w:rPr>
          <w:rFonts w:hint="eastAsia" w:ascii="宋体" w:hAnsi="宋体" w:cs="宋体"/>
          <w:sz w:val="24"/>
          <w:highlight w:val="none"/>
        </w:rPr>
      </w:pPr>
      <w:r>
        <w:rPr>
          <w:rFonts w:hint="eastAsia" w:ascii="宋体" w:hAnsi="宋体" w:cs="宋体"/>
          <w:sz w:val="24"/>
          <w:highlight w:val="none"/>
        </w:rPr>
        <w:t>13.8 质量事故处理</w:t>
      </w:r>
    </w:p>
    <w:p w14:paraId="541741AD">
      <w:pPr>
        <w:spacing w:line="500" w:lineRule="exact"/>
        <w:rPr>
          <w:rFonts w:hint="eastAsia" w:ascii="宋体" w:hAnsi="宋体" w:cs="宋体"/>
          <w:sz w:val="24"/>
          <w:highlight w:val="none"/>
        </w:rPr>
      </w:pPr>
      <w:r>
        <w:rPr>
          <w:rFonts w:hint="eastAsia" w:ascii="宋体" w:hAnsi="宋体" w:cs="宋体"/>
          <w:sz w:val="24"/>
          <w:highlight w:val="none"/>
        </w:rPr>
        <w:t>　　13.8.1 发生质量事故时，承包人应及时向发包人和监理人报告。</w:t>
      </w:r>
    </w:p>
    <w:p w14:paraId="680B17A4">
      <w:pPr>
        <w:spacing w:line="500" w:lineRule="exact"/>
        <w:rPr>
          <w:rFonts w:hint="eastAsia" w:ascii="宋体" w:hAnsi="宋体" w:cs="宋体"/>
          <w:sz w:val="24"/>
          <w:highlight w:val="none"/>
        </w:rPr>
      </w:pPr>
      <w:r>
        <w:rPr>
          <w:rFonts w:hint="eastAsia" w:ascii="宋体" w:hAnsi="宋体" w:cs="宋体"/>
          <w:sz w:val="24"/>
          <w:highlight w:val="none"/>
        </w:rPr>
        <w:t>　　13.8.2 质量事故调查处理由发包人按相关规定履行手续，承包人应配合。</w:t>
      </w:r>
    </w:p>
    <w:p w14:paraId="49CEBBD5">
      <w:pPr>
        <w:spacing w:line="500" w:lineRule="exact"/>
        <w:rPr>
          <w:rFonts w:hint="eastAsia" w:ascii="宋体" w:hAnsi="宋体" w:cs="宋体"/>
          <w:sz w:val="24"/>
          <w:highlight w:val="none"/>
        </w:rPr>
      </w:pPr>
      <w:r>
        <w:rPr>
          <w:rFonts w:hint="eastAsia" w:ascii="宋体" w:hAnsi="宋体" w:cs="宋体"/>
          <w:sz w:val="24"/>
          <w:highlight w:val="none"/>
        </w:rPr>
        <w:t>　　13.8.3 承包人应对质量缺陷进行备案。发包人委托监理人对质量缺陷备案情况进行监督检查并履行相关手续。</w:t>
      </w:r>
    </w:p>
    <w:p w14:paraId="59A127FE">
      <w:pPr>
        <w:spacing w:line="500" w:lineRule="exact"/>
        <w:rPr>
          <w:rFonts w:hint="eastAsia" w:ascii="宋体" w:hAnsi="宋体" w:cs="宋体"/>
          <w:sz w:val="24"/>
          <w:highlight w:val="none"/>
        </w:rPr>
      </w:pPr>
      <w:r>
        <w:rPr>
          <w:rFonts w:hint="eastAsia" w:ascii="宋体" w:hAnsi="宋体" w:cs="宋体"/>
          <w:sz w:val="24"/>
          <w:highlight w:val="none"/>
        </w:rPr>
        <w:t>　　13.8.4 除专用合同条款另有约定外，工程竣工验收时，发包人负责向竣工验收委员会汇报并提交历次质量缺陷处理的备案资料。</w:t>
      </w:r>
    </w:p>
    <w:p w14:paraId="2C93A5C5">
      <w:pPr>
        <w:spacing w:line="500" w:lineRule="exact"/>
        <w:outlineLvl w:val="2"/>
        <w:rPr>
          <w:rFonts w:hint="eastAsia" w:ascii="宋体" w:hAnsi="宋体" w:cs="宋体"/>
          <w:sz w:val="24"/>
          <w:highlight w:val="none"/>
        </w:rPr>
      </w:pPr>
      <w:bookmarkStart w:id="261" w:name="_Toc140340972"/>
      <w:r>
        <w:rPr>
          <w:rFonts w:hint="eastAsia" w:ascii="宋体" w:hAnsi="宋体" w:cs="宋体"/>
          <w:sz w:val="24"/>
          <w:highlight w:val="none"/>
        </w:rPr>
        <w:t>14. 试验和检验</w:t>
      </w:r>
      <w:bookmarkEnd w:id="261"/>
    </w:p>
    <w:p w14:paraId="1F0EE5A7">
      <w:pPr>
        <w:spacing w:line="500" w:lineRule="exact"/>
        <w:outlineLvl w:val="3"/>
        <w:rPr>
          <w:rFonts w:hint="eastAsia" w:ascii="宋体" w:hAnsi="宋体" w:cs="宋体"/>
          <w:sz w:val="24"/>
          <w:highlight w:val="none"/>
        </w:rPr>
      </w:pPr>
      <w:r>
        <w:rPr>
          <w:rFonts w:hint="eastAsia" w:ascii="宋体" w:hAnsi="宋体" w:cs="宋体"/>
          <w:sz w:val="24"/>
          <w:highlight w:val="none"/>
        </w:rPr>
        <w:t>14.1 材料、工程设备和工程的试验和检验</w:t>
      </w:r>
    </w:p>
    <w:p w14:paraId="61EC9D36">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20EB57DD">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14.1.2 监理人未按合同约定派员参加试验和检验的，除监理人另有指示外，承包人可自行试验和检验，并应立即将试验和检验结果报送监理人，监理人应签字确认。</w:t>
      </w:r>
    </w:p>
    <w:p w14:paraId="24588562">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309995BE">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14.1.4　承包人应按相关规定和标准对水泥、钢材等原材料与中间产品质量进行检验，并报监理人复核。</w:t>
      </w:r>
    </w:p>
    <w:p w14:paraId="621303EE">
      <w:pPr>
        <w:spacing w:line="500" w:lineRule="exact"/>
        <w:rPr>
          <w:rFonts w:hint="eastAsia" w:ascii="宋体" w:hAnsi="宋体" w:cs="宋体"/>
          <w:sz w:val="24"/>
          <w:highlight w:val="none"/>
        </w:rPr>
      </w:pPr>
      <w:r>
        <w:rPr>
          <w:rFonts w:hint="eastAsia" w:ascii="宋体" w:hAnsi="宋体" w:cs="宋体"/>
          <w:sz w:val="24"/>
          <w:highlight w:val="none"/>
        </w:rPr>
        <w:t>　　14.1.5　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7E5C94F3">
      <w:pPr>
        <w:spacing w:line="500" w:lineRule="exact"/>
        <w:ind w:firstLine="420"/>
        <w:rPr>
          <w:rFonts w:hint="eastAsia" w:ascii="宋体" w:hAnsi="宋体" w:cs="宋体"/>
          <w:sz w:val="24"/>
          <w:highlight w:val="none"/>
        </w:rPr>
      </w:pPr>
      <w:r>
        <w:rPr>
          <w:rFonts w:hint="eastAsia" w:ascii="宋体" w:hAnsi="宋体" w:cs="宋体"/>
          <w:sz w:val="24"/>
          <w:highlight w:val="none"/>
        </w:rPr>
        <w:t>14.1.6　对专用合同条款约定的试块、试件及有关材料，监理人实行见证取样。见证取样资料由承包人制备，记录应真实齐全，监理人、承包人等参与见证取样人员均应在相关文件上签字。</w:t>
      </w:r>
    </w:p>
    <w:p w14:paraId="0E76B1BB">
      <w:pPr>
        <w:spacing w:line="500" w:lineRule="exact"/>
        <w:outlineLvl w:val="3"/>
        <w:rPr>
          <w:rFonts w:hint="eastAsia" w:ascii="宋体" w:hAnsi="宋体" w:cs="宋体"/>
          <w:sz w:val="24"/>
          <w:highlight w:val="none"/>
        </w:rPr>
      </w:pPr>
      <w:r>
        <w:rPr>
          <w:rFonts w:hint="eastAsia" w:ascii="宋体" w:hAnsi="宋体" w:cs="宋体"/>
          <w:sz w:val="24"/>
          <w:highlight w:val="none"/>
        </w:rPr>
        <w:t>14.2 现场材料试验</w:t>
      </w:r>
    </w:p>
    <w:p w14:paraId="738BE36A">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14.2.1 承包人根据合同约定或监理人指示进行的现场材料试验，应由承包人提供试验场所、试验人员、试验设备器材以及其他必要的试验条件。</w:t>
      </w:r>
    </w:p>
    <w:p w14:paraId="0EC02182">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14.2.2 监理人在必要时可以使用承包人的试验场所、试验设备器材以及其他试验条件，进行以工程质量检查为目的的复核性材料试验，承包人应予以协助。</w:t>
      </w:r>
    </w:p>
    <w:p w14:paraId="2BA4F18B">
      <w:pPr>
        <w:spacing w:line="500" w:lineRule="exact"/>
        <w:outlineLvl w:val="3"/>
        <w:rPr>
          <w:rFonts w:hint="eastAsia" w:ascii="宋体" w:hAnsi="宋体" w:cs="宋体"/>
          <w:sz w:val="24"/>
          <w:highlight w:val="none"/>
        </w:rPr>
      </w:pPr>
      <w:r>
        <w:rPr>
          <w:rFonts w:hint="eastAsia" w:ascii="宋体" w:hAnsi="宋体" w:cs="宋体"/>
          <w:sz w:val="24"/>
          <w:highlight w:val="none"/>
        </w:rPr>
        <w:t>14.3 现场工艺试验</w:t>
      </w:r>
    </w:p>
    <w:p w14:paraId="371245D7">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承包人应按合同约定或监理人指示进行现场工艺试验。对大型的现场工艺试验，监理人认为必要时，应由承包人根据监理人提出的工艺试验要求，编制工艺试验措施计划，报送监理人审批。</w:t>
      </w:r>
    </w:p>
    <w:p w14:paraId="7902E17E">
      <w:pPr>
        <w:spacing w:line="500" w:lineRule="exact"/>
        <w:outlineLvl w:val="2"/>
        <w:rPr>
          <w:rFonts w:hint="eastAsia" w:ascii="宋体" w:hAnsi="宋体" w:cs="宋体"/>
          <w:sz w:val="24"/>
          <w:highlight w:val="none"/>
        </w:rPr>
      </w:pPr>
      <w:bookmarkStart w:id="262" w:name="_Toc140340973"/>
      <w:r>
        <w:rPr>
          <w:rFonts w:hint="eastAsia" w:ascii="宋体" w:hAnsi="宋体" w:cs="宋体"/>
          <w:sz w:val="24"/>
          <w:highlight w:val="none"/>
        </w:rPr>
        <w:t>15. 变更</w:t>
      </w:r>
      <w:bookmarkEnd w:id="262"/>
    </w:p>
    <w:p w14:paraId="0196DD75">
      <w:pPr>
        <w:spacing w:line="500" w:lineRule="exact"/>
        <w:outlineLvl w:val="3"/>
        <w:rPr>
          <w:rFonts w:hint="eastAsia" w:ascii="宋体" w:hAnsi="宋体" w:cs="宋体"/>
          <w:sz w:val="24"/>
          <w:highlight w:val="none"/>
        </w:rPr>
      </w:pPr>
      <w:r>
        <w:rPr>
          <w:rFonts w:hint="eastAsia" w:ascii="宋体" w:hAnsi="宋体" w:cs="宋体"/>
          <w:sz w:val="24"/>
          <w:highlight w:val="none"/>
        </w:rPr>
        <w:t>15.1 变更的范围和内容</w:t>
      </w:r>
    </w:p>
    <w:p w14:paraId="734EE710">
      <w:pPr>
        <w:spacing w:line="500" w:lineRule="exact"/>
        <w:rPr>
          <w:rFonts w:hint="eastAsia" w:ascii="宋体" w:hAnsi="宋体" w:cs="宋体"/>
          <w:sz w:val="24"/>
          <w:highlight w:val="none"/>
        </w:rPr>
      </w:pPr>
      <w:r>
        <w:rPr>
          <w:rFonts w:hint="eastAsia" w:ascii="宋体" w:hAnsi="宋体" w:cs="宋体"/>
          <w:sz w:val="24"/>
          <w:highlight w:val="none"/>
        </w:rPr>
        <w:t>　　在履行合同中发生以下情形之一，应按照本款规定进行变更。</w:t>
      </w:r>
    </w:p>
    <w:p w14:paraId="74621CFF">
      <w:pPr>
        <w:spacing w:line="500" w:lineRule="exact"/>
        <w:rPr>
          <w:rFonts w:hint="eastAsia" w:ascii="宋体" w:hAnsi="宋体" w:cs="宋体"/>
          <w:sz w:val="24"/>
          <w:highlight w:val="none"/>
        </w:rPr>
      </w:pPr>
      <w:r>
        <w:rPr>
          <w:rFonts w:hint="eastAsia" w:ascii="宋体" w:hAnsi="宋体" w:cs="宋体"/>
          <w:sz w:val="24"/>
          <w:highlight w:val="none"/>
        </w:rPr>
        <w:t>　　(1)取消合同中任何一项工作，但被取消的工作不能转由发包人或其它人实施；</w:t>
      </w:r>
    </w:p>
    <w:p w14:paraId="05A737A1">
      <w:pPr>
        <w:spacing w:line="500" w:lineRule="exact"/>
        <w:rPr>
          <w:rFonts w:hint="eastAsia" w:ascii="宋体" w:hAnsi="宋体" w:cs="宋体"/>
          <w:sz w:val="24"/>
          <w:highlight w:val="none"/>
        </w:rPr>
      </w:pPr>
      <w:r>
        <w:rPr>
          <w:rFonts w:hint="eastAsia" w:ascii="宋体" w:hAnsi="宋体" w:cs="宋体"/>
          <w:sz w:val="24"/>
          <w:highlight w:val="none"/>
        </w:rPr>
        <w:t>　　(2)改变合同中任何一项工作的质量或其它特性；</w:t>
      </w:r>
    </w:p>
    <w:p w14:paraId="1C22F98E">
      <w:pPr>
        <w:spacing w:line="500" w:lineRule="exact"/>
        <w:rPr>
          <w:rFonts w:hint="eastAsia" w:ascii="宋体" w:hAnsi="宋体" w:cs="宋体"/>
          <w:sz w:val="24"/>
          <w:highlight w:val="none"/>
        </w:rPr>
      </w:pPr>
      <w:r>
        <w:rPr>
          <w:rFonts w:hint="eastAsia" w:ascii="宋体" w:hAnsi="宋体" w:cs="宋体"/>
          <w:sz w:val="24"/>
          <w:highlight w:val="none"/>
        </w:rPr>
        <w:t>　　(3)改变合同工程的基线、标高、位置或尺寸；</w:t>
      </w:r>
    </w:p>
    <w:p w14:paraId="550CCA30">
      <w:pPr>
        <w:spacing w:line="500" w:lineRule="exact"/>
        <w:rPr>
          <w:rFonts w:hint="eastAsia" w:ascii="宋体" w:hAnsi="宋体" w:cs="宋体"/>
          <w:sz w:val="24"/>
          <w:highlight w:val="none"/>
        </w:rPr>
      </w:pPr>
      <w:r>
        <w:rPr>
          <w:rFonts w:hint="eastAsia" w:ascii="宋体" w:hAnsi="宋体" w:cs="宋体"/>
          <w:sz w:val="24"/>
          <w:highlight w:val="none"/>
        </w:rPr>
        <w:t>　　(4)改变合同中任何一项工作的施工时间或改变已批准的施工工艺或顺序；</w:t>
      </w:r>
    </w:p>
    <w:p w14:paraId="44344631">
      <w:pPr>
        <w:spacing w:line="500" w:lineRule="exact"/>
        <w:rPr>
          <w:rFonts w:hint="eastAsia" w:ascii="宋体" w:hAnsi="宋体" w:cs="宋体"/>
          <w:sz w:val="24"/>
          <w:highlight w:val="none"/>
        </w:rPr>
      </w:pPr>
      <w:r>
        <w:rPr>
          <w:rFonts w:hint="eastAsia" w:ascii="宋体" w:hAnsi="宋体" w:cs="宋体"/>
          <w:sz w:val="24"/>
          <w:highlight w:val="none"/>
        </w:rPr>
        <w:t>　　(5)为完成工程需要追加的额外工作；</w:t>
      </w:r>
    </w:p>
    <w:p w14:paraId="1FC7B4C6">
      <w:pPr>
        <w:spacing w:line="500" w:lineRule="exact"/>
        <w:rPr>
          <w:rFonts w:hint="eastAsia" w:ascii="宋体" w:hAnsi="宋体" w:cs="宋体"/>
          <w:sz w:val="24"/>
          <w:highlight w:val="none"/>
        </w:rPr>
      </w:pPr>
      <w:r>
        <w:rPr>
          <w:rFonts w:hint="eastAsia" w:ascii="宋体" w:hAnsi="宋体" w:cs="宋体"/>
          <w:sz w:val="24"/>
          <w:highlight w:val="none"/>
        </w:rPr>
        <w:t>　　(6)增加或减少专用合同条款中约定的关键项目工程量超过其工程总量的一定数量百分比。</w:t>
      </w:r>
    </w:p>
    <w:p w14:paraId="44A43F6D">
      <w:pPr>
        <w:spacing w:line="500" w:lineRule="exact"/>
        <w:ind w:firstLine="420"/>
        <w:rPr>
          <w:rFonts w:hint="eastAsia" w:ascii="宋体" w:hAnsi="宋体" w:cs="宋体"/>
          <w:sz w:val="24"/>
          <w:highlight w:val="none"/>
        </w:rPr>
      </w:pPr>
      <w:r>
        <w:rPr>
          <w:rFonts w:hint="eastAsia" w:ascii="宋体" w:hAnsi="宋体" w:cs="宋体"/>
          <w:sz w:val="24"/>
          <w:highlight w:val="none"/>
        </w:rPr>
        <w:t>上述第(1)～(6)目的变更内容引起工程施工组织和进度计划发生实质性变动和影响其原定的价格时，才予调整该项目的单价。第(6)目情形下单价调整方式在专用合同条款中约定。</w:t>
      </w:r>
    </w:p>
    <w:p w14:paraId="7807E9BB">
      <w:pPr>
        <w:spacing w:line="500" w:lineRule="exact"/>
        <w:outlineLvl w:val="3"/>
        <w:rPr>
          <w:rFonts w:hint="eastAsia" w:ascii="宋体" w:hAnsi="宋体" w:cs="宋体"/>
          <w:sz w:val="24"/>
          <w:highlight w:val="none"/>
        </w:rPr>
      </w:pPr>
      <w:r>
        <w:rPr>
          <w:rFonts w:hint="eastAsia" w:ascii="宋体" w:hAnsi="宋体" w:cs="宋体"/>
          <w:sz w:val="24"/>
          <w:highlight w:val="none"/>
        </w:rPr>
        <w:t>15.2 变更权</w:t>
      </w:r>
    </w:p>
    <w:p w14:paraId="449AD806">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在履行合同过程中，经发包人同意，监理人可按第15.3款约定的变更程序向承包人作出变更指示，承包人应遵照执行。没有监理人的变更指示，承包人不得擅自变更。</w:t>
      </w:r>
    </w:p>
    <w:p w14:paraId="5CE3FA4F">
      <w:pPr>
        <w:spacing w:line="500" w:lineRule="exact"/>
        <w:outlineLvl w:val="3"/>
        <w:rPr>
          <w:rFonts w:hint="eastAsia" w:ascii="宋体" w:hAnsi="宋体" w:cs="宋体"/>
          <w:sz w:val="24"/>
          <w:highlight w:val="none"/>
        </w:rPr>
      </w:pPr>
      <w:r>
        <w:rPr>
          <w:rFonts w:hint="eastAsia" w:ascii="宋体" w:hAnsi="宋体" w:cs="宋体"/>
          <w:sz w:val="24"/>
          <w:highlight w:val="none"/>
        </w:rPr>
        <w:t>15.3 变更程序</w:t>
      </w:r>
    </w:p>
    <w:p w14:paraId="2C44B8C8">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15.3.1 变更的提出</w:t>
      </w:r>
    </w:p>
    <w:p w14:paraId="359BDB30">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14:paraId="1721F422">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（2）在合同履行过程中，发生第15.1款约定情形的，监理人应按照第15.3.3项约定向承包人发出变更指示。</w:t>
      </w:r>
    </w:p>
    <w:p w14:paraId="79D73CB7">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14:paraId="415BD017">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（4）若承包人收到监理人的变更意向书后认为难以实施此项变更，应立即通知监理人，说明原因并附详细依据。监理人与承包人和发包人协商后确定撤销、改变或不改变原变更意向书。</w:t>
      </w:r>
    </w:p>
    <w:p w14:paraId="2FF6AAC6">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15.3.2 变更估价</w:t>
      </w:r>
    </w:p>
    <w:p w14:paraId="744BD025">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14:paraId="7377E880">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（2）变更工作影响工期的，承包人应提出调整工期的具体细节。监理人认为有必要时，可要求承包人提交要求提前或延长工期的施工进度计划及相应施工措施等详细资料。</w:t>
      </w:r>
    </w:p>
    <w:p w14:paraId="6ACE8DCD">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（3）除专用合同条款对期限另有约定外，监理人收到承包人变更报价书后的14天内，根据第15.4款约定的估价原则，按照第3.5款商定或确定变更价格。</w:t>
      </w:r>
    </w:p>
    <w:p w14:paraId="271EA9C7">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15.3.3 变更指示</w:t>
      </w:r>
    </w:p>
    <w:p w14:paraId="3CCCEB13">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（1）变更指示只能由监理人发出。</w:t>
      </w:r>
    </w:p>
    <w:p w14:paraId="63ECA859">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（2）变更指示应说明变更的目的、范围、变更内容以及变更的工程量及其进度和技术要求，并附有关图纸和文件。承包人收到变更指示后，应按变更指示进行变更工作。</w:t>
      </w:r>
    </w:p>
    <w:p w14:paraId="1243A8D2">
      <w:pPr>
        <w:spacing w:line="500" w:lineRule="exact"/>
        <w:outlineLvl w:val="3"/>
        <w:rPr>
          <w:rFonts w:hint="eastAsia" w:ascii="宋体" w:hAnsi="宋体" w:cs="宋体"/>
          <w:sz w:val="24"/>
          <w:highlight w:val="none"/>
        </w:rPr>
      </w:pPr>
      <w:r>
        <w:rPr>
          <w:rFonts w:hint="eastAsia" w:ascii="宋体" w:hAnsi="宋体" w:cs="宋体"/>
          <w:sz w:val="24"/>
          <w:highlight w:val="none"/>
        </w:rPr>
        <w:t>15.4 变更的估价原则</w:t>
      </w:r>
    </w:p>
    <w:p w14:paraId="5B6CD874">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除专用合同条款另有约定外，因变更引起的价格调整按照本款约定处理。</w:t>
      </w:r>
    </w:p>
    <w:p w14:paraId="7CD8EA6F">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15.4.1 已标价工程量清单中有适用于变更工作的子目的，采用该子目的单价。</w:t>
      </w:r>
    </w:p>
    <w:p w14:paraId="7A71C320">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15.4.2 已标价工程量清单中无适用于变更工作的子目，但有类似子目的，可在合理范围内参照类似子目的单价，由监理人按第3.5款商定或确定变更工作的单价。</w:t>
      </w:r>
    </w:p>
    <w:p w14:paraId="00DDBE48">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15.4.3 已标价工程量清单中无适用或类似子目的单价，可按照成本加利润的原则，由监理人按第3.5款商定或确定变更工作的单价。</w:t>
      </w:r>
    </w:p>
    <w:p w14:paraId="1E894E90">
      <w:pPr>
        <w:spacing w:line="500" w:lineRule="exact"/>
        <w:outlineLvl w:val="3"/>
        <w:rPr>
          <w:rFonts w:hint="eastAsia" w:ascii="宋体" w:hAnsi="宋体" w:cs="宋体"/>
          <w:sz w:val="24"/>
          <w:highlight w:val="none"/>
        </w:rPr>
      </w:pPr>
      <w:r>
        <w:rPr>
          <w:rFonts w:hint="eastAsia" w:ascii="宋体" w:hAnsi="宋体" w:cs="宋体"/>
          <w:sz w:val="24"/>
          <w:highlight w:val="none"/>
        </w:rPr>
        <w:t>15.5 承包人的合理化建议</w:t>
      </w:r>
    </w:p>
    <w:p w14:paraId="01C02275">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05BF2B89">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15.5.2 承包人提出的合理化建议降低了合同价格、缩短了工期或者提高了工程经济效益的，发包人可按国家有关规定在专用合同条款中约定给予奖励。</w:t>
      </w:r>
    </w:p>
    <w:p w14:paraId="3DE4E62C">
      <w:pPr>
        <w:spacing w:line="500" w:lineRule="exact"/>
        <w:outlineLvl w:val="3"/>
        <w:rPr>
          <w:rFonts w:hint="eastAsia" w:ascii="宋体" w:hAnsi="宋体" w:cs="宋体"/>
          <w:sz w:val="24"/>
          <w:highlight w:val="none"/>
        </w:rPr>
      </w:pPr>
      <w:r>
        <w:rPr>
          <w:rFonts w:hint="eastAsia" w:ascii="宋体" w:hAnsi="宋体" w:cs="宋体"/>
          <w:sz w:val="24"/>
          <w:highlight w:val="none"/>
        </w:rPr>
        <w:t>15.6 暂列金额</w:t>
      </w:r>
    </w:p>
    <w:p w14:paraId="0256E069">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暂列金额只能按照监理人的指示使用，并对合同价格进行相应调整。</w:t>
      </w:r>
    </w:p>
    <w:p w14:paraId="7A83DFD2">
      <w:pPr>
        <w:spacing w:line="500" w:lineRule="exact"/>
        <w:outlineLvl w:val="3"/>
        <w:rPr>
          <w:rFonts w:hint="eastAsia" w:ascii="宋体" w:hAnsi="宋体" w:cs="宋体"/>
          <w:sz w:val="24"/>
          <w:highlight w:val="none"/>
        </w:rPr>
      </w:pPr>
      <w:r>
        <w:rPr>
          <w:rFonts w:hint="eastAsia" w:ascii="宋体" w:hAnsi="宋体" w:cs="宋体"/>
          <w:sz w:val="24"/>
          <w:highlight w:val="none"/>
        </w:rPr>
        <w:t>15.7 计日工</w:t>
      </w:r>
    </w:p>
    <w:p w14:paraId="7A1C731E">
      <w:pPr>
        <w:spacing w:line="500" w:lineRule="exact"/>
        <w:ind w:firstLine="480" w:firstLineChars="200"/>
        <w:rPr>
          <w:rFonts w:hint="eastAsia" w:ascii="宋体" w:hAnsi="宋体" w:cs="宋体"/>
          <w:sz w:val="24"/>
          <w:highlight w:val="none"/>
          <w:shd w:val="pct10" w:color="auto" w:fill="FFFFFF"/>
        </w:rPr>
      </w:pPr>
      <w:r>
        <w:rPr>
          <w:rFonts w:hint="eastAsia" w:ascii="宋体" w:hAnsi="宋体" w:cs="宋体"/>
          <w:sz w:val="24"/>
          <w:highlight w:val="none"/>
        </w:rPr>
        <w:t>15.7.1 发包人认为有必要时，由监理人通知承包人以计日工方式实施变更的零星工作。其价款按列入已标价工程量清单中的计日工计价子目及其单价进行计算。</w:t>
      </w:r>
    </w:p>
    <w:p w14:paraId="5EB9FC1A">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15.7.2 采用计日工计价的任何一项变更工作，应从暂列金额中支付，承包人应在该项变更的实施过程中，每天提交以下报表和有关凭证报送监理人审批：</w:t>
      </w:r>
    </w:p>
    <w:p w14:paraId="7C697848">
      <w:pPr>
        <w:spacing w:line="500" w:lineRule="exact"/>
        <w:ind w:firstLine="820" w:firstLineChars="342"/>
        <w:rPr>
          <w:rFonts w:hint="eastAsia" w:ascii="宋体" w:hAnsi="宋体" w:cs="宋体"/>
          <w:sz w:val="24"/>
          <w:highlight w:val="none"/>
        </w:rPr>
      </w:pPr>
      <w:r>
        <w:rPr>
          <w:rFonts w:hint="eastAsia" w:ascii="宋体" w:hAnsi="宋体" w:cs="宋体"/>
          <w:sz w:val="24"/>
          <w:highlight w:val="none"/>
        </w:rPr>
        <w:t>（1）工作名称、内容和数量；</w:t>
      </w:r>
    </w:p>
    <w:p w14:paraId="57AFB69D">
      <w:pPr>
        <w:spacing w:line="500" w:lineRule="exact"/>
        <w:ind w:firstLine="820" w:firstLineChars="342"/>
        <w:rPr>
          <w:rFonts w:hint="eastAsia" w:ascii="宋体" w:hAnsi="宋体" w:cs="宋体"/>
          <w:sz w:val="24"/>
          <w:highlight w:val="none"/>
        </w:rPr>
      </w:pPr>
      <w:r>
        <w:rPr>
          <w:rFonts w:hint="eastAsia" w:ascii="宋体" w:hAnsi="宋体" w:cs="宋体"/>
          <w:sz w:val="24"/>
          <w:highlight w:val="none"/>
        </w:rPr>
        <w:t>（2）投入该工作所有人员的姓名、工种、级别和耗用工时；</w:t>
      </w:r>
    </w:p>
    <w:p w14:paraId="2398A1A9">
      <w:pPr>
        <w:spacing w:line="500" w:lineRule="exact"/>
        <w:ind w:firstLine="820" w:firstLineChars="342"/>
        <w:rPr>
          <w:rFonts w:hint="eastAsia" w:ascii="宋体" w:hAnsi="宋体" w:cs="宋体"/>
          <w:sz w:val="24"/>
          <w:highlight w:val="none"/>
        </w:rPr>
      </w:pPr>
      <w:r>
        <w:rPr>
          <w:rFonts w:hint="eastAsia" w:ascii="宋体" w:hAnsi="宋体" w:cs="宋体"/>
          <w:sz w:val="24"/>
          <w:highlight w:val="none"/>
        </w:rPr>
        <w:t>（3）投入该工作的材料类别和数量；</w:t>
      </w:r>
    </w:p>
    <w:p w14:paraId="04F09AC6">
      <w:pPr>
        <w:spacing w:line="500" w:lineRule="exact"/>
        <w:ind w:firstLine="820" w:firstLineChars="342"/>
        <w:rPr>
          <w:rFonts w:hint="eastAsia" w:ascii="宋体" w:hAnsi="宋体" w:cs="宋体"/>
          <w:sz w:val="24"/>
          <w:highlight w:val="none"/>
        </w:rPr>
      </w:pPr>
      <w:r>
        <w:rPr>
          <w:rFonts w:hint="eastAsia" w:ascii="宋体" w:hAnsi="宋体" w:cs="宋体"/>
          <w:sz w:val="24"/>
          <w:highlight w:val="none"/>
        </w:rPr>
        <w:t>（4）投入该工作的施工设备型号、台数和耗用台时；</w:t>
      </w:r>
    </w:p>
    <w:p w14:paraId="71359989">
      <w:pPr>
        <w:spacing w:line="500" w:lineRule="exact"/>
        <w:ind w:firstLine="820" w:firstLineChars="342"/>
        <w:rPr>
          <w:rFonts w:hint="eastAsia" w:ascii="宋体" w:hAnsi="宋体" w:cs="宋体"/>
          <w:sz w:val="24"/>
          <w:highlight w:val="none"/>
        </w:rPr>
      </w:pPr>
      <w:r>
        <w:rPr>
          <w:rFonts w:hint="eastAsia" w:ascii="宋体" w:hAnsi="宋体" w:cs="宋体"/>
          <w:sz w:val="24"/>
          <w:highlight w:val="none"/>
        </w:rPr>
        <w:t>（5）监理人要求提交的其他资料和凭证。</w:t>
      </w:r>
    </w:p>
    <w:p w14:paraId="5968E981">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15.7.3 计日工由承包人汇总后，按第17.3.2项的约定列入进度付款申请单，由监理人复核并经发包人同意后列入进度付款。</w:t>
      </w:r>
    </w:p>
    <w:p w14:paraId="7FEEC0DA">
      <w:pPr>
        <w:spacing w:line="500" w:lineRule="exact"/>
        <w:outlineLvl w:val="3"/>
        <w:rPr>
          <w:rFonts w:hint="eastAsia" w:ascii="宋体" w:hAnsi="宋体" w:cs="宋体"/>
          <w:sz w:val="24"/>
          <w:highlight w:val="none"/>
        </w:rPr>
      </w:pPr>
      <w:r>
        <w:rPr>
          <w:rFonts w:hint="eastAsia" w:ascii="宋体" w:hAnsi="宋体" w:cs="宋体"/>
          <w:sz w:val="24"/>
          <w:highlight w:val="none"/>
        </w:rPr>
        <w:t>15.8 暂估价</w:t>
      </w:r>
    </w:p>
    <w:p w14:paraId="0D72D2AE">
      <w:pPr>
        <w:spacing w:line="500" w:lineRule="exact"/>
        <w:ind w:firstLine="420"/>
        <w:rPr>
          <w:rFonts w:hint="eastAsia" w:ascii="宋体" w:hAnsi="宋体" w:cs="宋体"/>
          <w:sz w:val="24"/>
          <w:highlight w:val="none"/>
        </w:rPr>
      </w:pPr>
      <w:r>
        <w:rPr>
          <w:rFonts w:hint="eastAsia" w:ascii="宋体" w:hAnsi="宋体" w:cs="宋体"/>
          <w:sz w:val="24"/>
          <w:highlight w:val="none"/>
        </w:rPr>
        <w:t>15.8.1 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它费用列入合同价格。必须招标的暂估价项目招标组织形式、发包人和承包人组织招标时双方的权利义务关系在专用合同条款中约定。</w:t>
      </w:r>
    </w:p>
    <w:p w14:paraId="68570D46">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7EE9951D">
      <w:pPr>
        <w:spacing w:line="500" w:lineRule="exact"/>
        <w:ind w:firstLine="420"/>
        <w:rPr>
          <w:rFonts w:hint="eastAsia" w:ascii="宋体" w:hAnsi="宋体" w:cs="宋体"/>
          <w:sz w:val="24"/>
          <w:highlight w:val="none"/>
        </w:rPr>
      </w:pPr>
      <w:r>
        <w:rPr>
          <w:rFonts w:hint="eastAsia" w:ascii="宋体" w:hAnsi="宋体" w:cs="宋体"/>
          <w:sz w:val="24"/>
          <w:highlight w:val="none"/>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19671EDE">
      <w:pPr>
        <w:spacing w:line="500" w:lineRule="exact"/>
        <w:outlineLvl w:val="2"/>
        <w:rPr>
          <w:rFonts w:hint="eastAsia" w:ascii="宋体" w:hAnsi="宋体" w:cs="宋体"/>
          <w:sz w:val="24"/>
          <w:highlight w:val="none"/>
        </w:rPr>
      </w:pPr>
      <w:bookmarkStart w:id="263" w:name="_Toc140340974"/>
      <w:r>
        <w:rPr>
          <w:rFonts w:hint="eastAsia" w:ascii="宋体" w:hAnsi="宋体" w:cs="宋体"/>
          <w:sz w:val="24"/>
          <w:highlight w:val="none"/>
        </w:rPr>
        <w:t>16. 价格调整</w:t>
      </w:r>
      <w:bookmarkEnd w:id="263"/>
    </w:p>
    <w:p w14:paraId="51F1F853">
      <w:pPr>
        <w:spacing w:line="500" w:lineRule="exact"/>
        <w:outlineLvl w:val="3"/>
        <w:rPr>
          <w:rFonts w:hint="eastAsia" w:ascii="宋体" w:hAnsi="宋体" w:cs="宋体"/>
          <w:sz w:val="24"/>
          <w:highlight w:val="none"/>
        </w:rPr>
      </w:pPr>
      <w:r>
        <w:rPr>
          <w:rFonts w:hint="eastAsia" w:ascii="宋体" w:hAnsi="宋体" w:cs="宋体"/>
          <w:sz w:val="24"/>
          <w:highlight w:val="none"/>
        </w:rPr>
        <w:t>16.1 物价波动引起的价格调整</w:t>
      </w:r>
    </w:p>
    <w:p w14:paraId="503E3EEC">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由于物价波动原因引起合同价格需要调整的，其价格调整方式在专用合同条款中约定。</w:t>
      </w:r>
    </w:p>
    <w:p w14:paraId="53940BBE">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16.1.1 采用价格指数调整价格差额</w:t>
      </w:r>
    </w:p>
    <w:p w14:paraId="37A88E17">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16.1.1.1 价格调整公式</w:t>
      </w:r>
    </w:p>
    <w:p w14:paraId="508A0823">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因人工、材料和设备等价格波动影响合同价格时，根据投标函附录中的价格指数和权重表约定的数据，按以下公式计算差额并调整合同价格。</w:t>
      </w:r>
    </w:p>
    <w:p w14:paraId="2D25D24A">
      <w:pPr>
        <w:autoSpaceDE w:val="0"/>
        <w:autoSpaceDN w:val="0"/>
        <w:adjustRightInd w:val="0"/>
        <w:spacing w:line="500" w:lineRule="exact"/>
        <w:ind w:right="248" w:firstLine="956" w:firstLineChars="398"/>
        <w:rPr>
          <w:rFonts w:hint="eastAsia" w:ascii="宋体" w:hAnsi="宋体" w:cs="宋体"/>
          <w:sz w:val="24"/>
          <w:highlight w:val="none"/>
        </w:rPr>
      </w:pPr>
      <w:r>
        <w:rPr>
          <w:rFonts w:hint="eastAsia" w:ascii="宋体" w:hAnsi="宋体" w:cs="宋体"/>
          <w:b/>
          <w:bCs/>
          <w:kern w:val="0"/>
          <w:sz w:val="24"/>
          <w:highlight w:val="none"/>
          <w:lang w:val="zh-CN"/>
        </w:rPr>
        <w:t xml:space="preserve">        </w:t>
      </w:r>
      <w:r>
        <w:rPr>
          <w:rFonts w:hint="eastAsia" w:ascii="宋体" w:hAnsi="宋体" w:cs="宋体"/>
          <w:position w:val="-34"/>
          <w:sz w:val="24"/>
          <w:szCs w:val="24"/>
          <w:highlight w:val="none"/>
        </w:rPr>
        <w:object>
          <v:shape id="_x0000_i1025" o:spt="75" type="#_x0000_t75" style="height:39.75pt;width:306pt;" o:ole="t" filled="f" o:preferrelative="t" stroked="f" coordsize="21600,21600">
            <v:path/>
            <v:fill on="f" focussize="0,0"/>
            <v:stroke on="f"/>
            <v:imagedata r:id="rId9" o:title=""/>
            <o:lock v:ext="edit" aspectratio="t"/>
            <w10:wrap type="none"/>
            <w10:anchorlock/>
          </v:shape>
          <o:OLEObject Type="Embed" ProgID="Equation.3" ShapeID="_x0000_i1025" DrawAspect="Content" ObjectID="_1468075725" r:id="rId8">
            <o:LockedField>false</o:LockedField>
          </o:OLEObject>
        </w:object>
      </w:r>
    </w:p>
    <w:p w14:paraId="2C92FC44">
      <w:pPr>
        <w:tabs>
          <w:tab w:val="left" w:pos="1260"/>
        </w:tabs>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48314BFC">
      <w:pPr>
        <w:tabs>
          <w:tab w:val="left" w:pos="1260"/>
        </w:tabs>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式中： △P -- 需调整的价格差额；</w:t>
      </w:r>
    </w:p>
    <w:p w14:paraId="60EC7825">
      <w:pPr>
        <w:tabs>
          <w:tab w:val="left" w:pos="1260"/>
        </w:tabs>
        <w:spacing w:line="500" w:lineRule="exact"/>
        <w:rPr>
          <w:rFonts w:hint="eastAsia"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P</w:t>
      </w:r>
      <w:r>
        <w:rPr>
          <w:rFonts w:hint="eastAsia" w:ascii="宋体" w:hAnsi="宋体" w:cs="宋体"/>
          <w:sz w:val="24"/>
          <w:highlight w:val="none"/>
          <w:vertAlign w:val="subscript"/>
        </w:rPr>
        <w:t>0</w:t>
      </w:r>
      <w:r>
        <w:rPr>
          <w:rFonts w:hint="eastAsia" w:ascii="宋体" w:hAnsi="宋体" w:cs="宋体"/>
          <w:sz w:val="24"/>
          <w:highlight w:val="none"/>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50020115">
      <w:pPr>
        <w:tabs>
          <w:tab w:val="left" w:pos="1260"/>
        </w:tabs>
        <w:spacing w:line="500" w:lineRule="exact"/>
        <w:rPr>
          <w:rFonts w:hint="eastAsia"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A -- 定值权重(即不调部分的权重)；</w:t>
      </w:r>
    </w:p>
    <w:p w14:paraId="72B66E75">
      <w:pPr>
        <w:tabs>
          <w:tab w:val="left" w:pos="1260"/>
        </w:tabs>
        <w:spacing w:line="500" w:lineRule="exact"/>
        <w:rPr>
          <w:rFonts w:hint="eastAsia"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B</w:t>
      </w:r>
      <w:r>
        <w:rPr>
          <w:rFonts w:hint="eastAsia" w:ascii="宋体" w:hAnsi="宋体" w:cs="宋体"/>
          <w:sz w:val="24"/>
          <w:highlight w:val="none"/>
          <w:vertAlign w:val="subscript"/>
        </w:rPr>
        <w:t>1</w:t>
      </w:r>
      <w:r>
        <w:rPr>
          <w:rFonts w:hint="eastAsia" w:ascii="宋体" w:hAnsi="宋体" w:cs="宋体"/>
          <w:sz w:val="24"/>
          <w:highlight w:val="none"/>
        </w:rPr>
        <w:t>; B</w:t>
      </w:r>
      <w:r>
        <w:rPr>
          <w:rFonts w:hint="eastAsia" w:ascii="宋体" w:hAnsi="宋体" w:cs="宋体"/>
          <w:sz w:val="24"/>
          <w:highlight w:val="none"/>
          <w:vertAlign w:val="subscript"/>
        </w:rPr>
        <w:t>2</w:t>
      </w:r>
      <w:r>
        <w:rPr>
          <w:rFonts w:hint="eastAsia" w:ascii="宋体" w:hAnsi="宋体" w:cs="宋体"/>
          <w:sz w:val="24"/>
          <w:highlight w:val="none"/>
        </w:rPr>
        <w:t xml:space="preserve"> ;B</w:t>
      </w:r>
      <w:r>
        <w:rPr>
          <w:rFonts w:hint="eastAsia" w:ascii="宋体" w:hAnsi="宋体" w:cs="宋体"/>
          <w:sz w:val="24"/>
          <w:highlight w:val="none"/>
          <w:vertAlign w:val="subscript"/>
        </w:rPr>
        <w:t>3</w:t>
      </w:r>
      <w:r>
        <w:rPr>
          <w:rFonts w:hint="eastAsia" w:ascii="宋体" w:hAnsi="宋体" w:cs="宋体"/>
          <w:sz w:val="24"/>
          <w:highlight w:val="none"/>
        </w:rPr>
        <w:t>·····B</w:t>
      </w:r>
      <w:r>
        <w:rPr>
          <w:rFonts w:hint="eastAsia" w:ascii="宋体" w:hAnsi="宋体" w:cs="宋体"/>
          <w:sz w:val="24"/>
          <w:highlight w:val="none"/>
          <w:vertAlign w:val="subscript"/>
        </w:rPr>
        <w:t>n</w:t>
      </w:r>
      <w:r>
        <w:rPr>
          <w:rFonts w:hint="eastAsia" w:ascii="宋体" w:hAnsi="宋体" w:cs="宋体"/>
          <w:sz w:val="24"/>
          <w:highlight w:val="none"/>
        </w:rPr>
        <w:t xml:space="preserve"> -- 各可调因子的变值权重(即可调部分的权重)为各可调因子在投标函投标总报价中所占的比例；</w:t>
      </w:r>
    </w:p>
    <w:p w14:paraId="5C48F16C">
      <w:pPr>
        <w:tabs>
          <w:tab w:val="left" w:pos="1260"/>
        </w:tabs>
        <w:spacing w:line="500" w:lineRule="exact"/>
        <w:rPr>
          <w:rFonts w:hint="eastAsia"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F</w:t>
      </w:r>
      <w:r>
        <w:rPr>
          <w:rFonts w:hint="eastAsia" w:ascii="宋体" w:hAnsi="宋体" w:cs="宋体"/>
          <w:sz w:val="24"/>
          <w:highlight w:val="none"/>
          <w:vertAlign w:val="subscript"/>
        </w:rPr>
        <w:t>t1</w:t>
      </w:r>
      <w:r>
        <w:rPr>
          <w:rFonts w:hint="eastAsia" w:ascii="宋体" w:hAnsi="宋体" w:cs="宋体"/>
          <w:sz w:val="24"/>
          <w:highlight w:val="none"/>
        </w:rPr>
        <w:t xml:space="preserve"> ;F</w:t>
      </w:r>
      <w:r>
        <w:rPr>
          <w:rFonts w:hint="eastAsia" w:ascii="宋体" w:hAnsi="宋体" w:cs="宋体"/>
          <w:sz w:val="24"/>
          <w:highlight w:val="none"/>
          <w:vertAlign w:val="subscript"/>
        </w:rPr>
        <w:t>t2</w:t>
      </w:r>
      <w:r>
        <w:rPr>
          <w:rFonts w:hint="eastAsia" w:ascii="宋体" w:hAnsi="宋体" w:cs="宋体"/>
          <w:sz w:val="24"/>
          <w:highlight w:val="none"/>
        </w:rPr>
        <w:t xml:space="preserve"> ;F</w:t>
      </w:r>
      <w:r>
        <w:rPr>
          <w:rFonts w:hint="eastAsia" w:ascii="宋体" w:hAnsi="宋体" w:cs="宋体"/>
          <w:sz w:val="24"/>
          <w:highlight w:val="none"/>
          <w:vertAlign w:val="subscript"/>
        </w:rPr>
        <w:t>t3</w:t>
      </w:r>
      <w:r>
        <w:rPr>
          <w:rFonts w:hint="eastAsia" w:ascii="宋体" w:hAnsi="宋体" w:cs="宋体"/>
          <w:sz w:val="24"/>
          <w:highlight w:val="none"/>
        </w:rPr>
        <w:t>·····F</w:t>
      </w:r>
      <w:r>
        <w:rPr>
          <w:rFonts w:hint="eastAsia" w:ascii="宋体" w:hAnsi="宋体" w:cs="宋体"/>
          <w:sz w:val="24"/>
          <w:highlight w:val="none"/>
          <w:vertAlign w:val="subscript"/>
        </w:rPr>
        <w:t>tn</w:t>
      </w:r>
      <w:r>
        <w:rPr>
          <w:rFonts w:hint="eastAsia" w:ascii="宋体" w:hAnsi="宋体" w:cs="宋体"/>
          <w:sz w:val="24"/>
          <w:highlight w:val="none"/>
        </w:rPr>
        <w:t xml:space="preserve"> -- 各可调因子的现行价格指数，指第17.3.3项、第17.5.2项和第17.6.2项约定的付款证书相关周期最后一天的前42天的各可调因子的价格指数；</w:t>
      </w:r>
    </w:p>
    <w:p w14:paraId="1326CD4D">
      <w:pPr>
        <w:tabs>
          <w:tab w:val="left" w:pos="1260"/>
        </w:tabs>
        <w:spacing w:line="500" w:lineRule="exact"/>
        <w:rPr>
          <w:rFonts w:hint="eastAsia"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F</w:t>
      </w:r>
      <w:r>
        <w:rPr>
          <w:rFonts w:hint="eastAsia" w:ascii="宋体" w:hAnsi="宋体" w:cs="宋体"/>
          <w:sz w:val="24"/>
          <w:highlight w:val="none"/>
          <w:vertAlign w:val="subscript"/>
        </w:rPr>
        <w:t>o1</w:t>
      </w:r>
      <w:r>
        <w:rPr>
          <w:rFonts w:hint="eastAsia" w:ascii="宋体" w:hAnsi="宋体" w:cs="宋体"/>
          <w:sz w:val="24"/>
          <w:highlight w:val="none"/>
        </w:rPr>
        <w:t>; F</w:t>
      </w:r>
      <w:r>
        <w:rPr>
          <w:rFonts w:hint="eastAsia" w:ascii="宋体" w:hAnsi="宋体" w:cs="宋体"/>
          <w:sz w:val="24"/>
          <w:highlight w:val="none"/>
          <w:vertAlign w:val="subscript"/>
        </w:rPr>
        <w:t>o2</w:t>
      </w:r>
      <w:r>
        <w:rPr>
          <w:rFonts w:hint="eastAsia" w:ascii="宋体" w:hAnsi="宋体" w:cs="宋体"/>
          <w:sz w:val="24"/>
          <w:highlight w:val="none"/>
        </w:rPr>
        <w:t>; F</w:t>
      </w:r>
      <w:r>
        <w:rPr>
          <w:rFonts w:hint="eastAsia" w:ascii="宋体" w:hAnsi="宋体" w:cs="宋体"/>
          <w:sz w:val="24"/>
          <w:highlight w:val="none"/>
          <w:vertAlign w:val="subscript"/>
        </w:rPr>
        <w:t>o3</w:t>
      </w:r>
      <w:r>
        <w:rPr>
          <w:rFonts w:hint="eastAsia" w:ascii="宋体" w:hAnsi="宋体" w:cs="宋体"/>
          <w:sz w:val="24"/>
          <w:highlight w:val="none"/>
        </w:rPr>
        <w:t>·····F</w:t>
      </w:r>
      <w:r>
        <w:rPr>
          <w:rFonts w:hint="eastAsia" w:ascii="宋体" w:hAnsi="宋体" w:cs="宋体"/>
          <w:sz w:val="24"/>
          <w:highlight w:val="none"/>
          <w:vertAlign w:val="subscript"/>
        </w:rPr>
        <w:t>on</w:t>
      </w:r>
      <w:r>
        <w:rPr>
          <w:rFonts w:hint="eastAsia" w:ascii="宋体" w:hAnsi="宋体" w:cs="宋体"/>
          <w:sz w:val="24"/>
          <w:highlight w:val="none"/>
        </w:rPr>
        <w:t xml:space="preserve"> -- 各可调因子的基本价格指数，指基准日期的各可调因子的价格指数。</w:t>
      </w:r>
    </w:p>
    <w:p w14:paraId="7DC5001D">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6A7FB054">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16.1.1.2 暂时确定调整差额</w:t>
      </w:r>
    </w:p>
    <w:p w14:paraId="128E52D4">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在计算调整差额时得不到现行价格指数的，可暂用上一次价格指数计算，并在以后的付款中再按实际价格指数进行调整。</w:t>
      </w:r>
    </w:p>
    <w:p w14:paraId="58A1D004">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16.1.1.3 权重的调整</w:t>
      </w:r>
    </w:p>
    <w:p w14:paraId="4944730E">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按第15.1款约定的变更导致原定合同中的权重不合理时，由监理人与承包人和发包人协商后进行调整。</w:t>
      </w:r>
    </w:p>
    <w:p w14:paraId="42EC0EF4">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16.1.1.4 承包人工期延误后的价格调整</w:t>
      </w:r>
    </w:p>
    <w:p w14:paraId="6CB24667">
      <w:pPr>
        <w:spacing w:line="500" w:lineRule="exact"/>
        <w:rPr>
          <w:rFonts w:hint="eastAsia" w:ascii="宋体" w:hAnsi="宋体" w:cs="宋体"/>
          <w:sz w:val="24"/>
          <w:highlight w:val="none"/>
        </w:rPr>
      </w:pPr>
      <w:r>
        <w:rPr>
          <w:rFonts w:hint="eastAsia" w:ascii="宋体" w:hAnsi="宋体" w:cs="宋体"/>
          <w:sz w:val="24"/>
          <w:highlight w:val="none"/>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14:paraId="62BC28E6">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16.1.2　采用造价信息调整价格差额</w:t>
      </w:r>
    </w:p>
    <w:p w14:paraId="7468C664">
      <w:pPr>
        <w:spacing w:line="500" w:lineRule="exact"/>
        <w:rPr>
          <w:rFonts w:hint="eastAsia" w:ascii="宋体" w:hAnsi="宋体" w:cs="宋体"/>
          <w:sz w:val="24"/>
          <w:highlight w:val="none"/>
        </w:rPr>
      </w:pPr>
      <w:r>
        <w:rPr>
          <w:rFonts w:hint="eastAsia" w:ascii="宋体" w:hAnsi="宋体" w:cs="宋体"/>
          <w:sz w:val="24"/>
          <w:highlight w:val="none"/>
        </w:rPr>
        <w:t>　　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0BB0BE37">
      <w:pPr>
        <w:spacing w:line="500" w:lineRule="exact"/>
        <w:rPr>
          <w:rFonts w:hint="eastAsia" w:ascii="宋体" w:hAnsi="宋体" w:cs="宋体"/>
          <w:sz w:val="24"/>
          <w:highlight w:val="none"/>
        </w:rPr>
      </w:pPr>
      <w:r>
        <w:rPr>
          <w:rFonts w:hint="eastAsia" w:ascii="宋体" w:hAnsi="宋体" w:cs="宋体"/>
          <w:sz w:val="24"/>
          <w:highlight w:val="none"/>
        </w:rPr>
        <w:t>工程造价信息的来源以及价格调整的项目和系数在专用合同条款中约定。</w:t>
      </w:r>
    </w:p>
    <w:p w14:paraId="6BC3057C">
      <w:pPr>
        <w:spacing w:line="500" w:lineRule="exact"/>
        <w:outlineLvl w:val="3"/>
        <w:rPr>
          <w:rFonts w:hint="eastAsia" w:ascii="宋体" w:hAnsi="宋体" w:cs="宋体"/>
          <w:sz w:val="24"/>
          <w:highlight w:val="none"/>
        </w:rPr>
      </w:pPr>
      <w:r>
        <w:rPr>
          <w:rFonts w:hint="eastAsia" w:ascii="宋体" w:hAnsi="宋体" w:cs="宋体"/>
          <w:sz w:val="24"/>
          <w:highlight w:val="none"/>
        </w:rPr>
        <w:t>16.2 法律变化引起的价格调整</w:t>
      </w:r>
    </w:p>
    <w:p w14:paraId="707D5531">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03634096">
      <w:pPr>
        <w:spacing w:line="500" w:lineRule="exact"/>
        <w:outlineLvl w:val="2"/>
        <w:rPr>
          <w:rFonts w:hint="eastAsia" w:ascii="宋体" w:hAnsi="宋体" w:cs="宋体"/>
          <w:sz w:val="24"/>
          <w:highlight w:val="none"/>
        </w:rPr>
      </w:pPr>
      <w:bookmarkStart w:id="264" w:name="_Toc140340975"/>
      <w:r>
        <w:rPr>
          <w:rFonts w:hint="eastAsia" w:ascii="宋体" w:hAnsi="宋体" w:cs="宋体"/>
          <w:sz w:val="24"/>
          <w:highlight w:val="none"/>
        </w:rPr>
        <w:t>17. 计量与支付</w:t>
      </w:r>
      <w:bookmarkEnd w:id="264"/>
    </w:p>
    <w:p w14:paraId="6C39ABA6">
      <w:pPr>
        <w:spacing w:line="500" w:lineRule="exact"/>
        <w:outlineLvl w:val="3"/>
        <w:rPr>
          <w:rFonts w:hint="eastAsia" w:ascii="宋体" w:hAnsi="宋体" w:cs="宋体"/>
          <w:sz w:val="24"/>
          <w:highlight w:val="none"/>
        </w:rPr>
      </w:pPr>
      <w:r>
        <w:rPr>
          <w:rFonts w:hint="eastAsia" w:ascii="宋体" w:hAnsi="宋体" w:cs="宋体"/>
          <w:sz w:val="24"/>
          <w:highlight w:val="none"/>
        </w:rPr>
        <w:t>17.1 计量</w:t>
      </w:r>
    </w:p>
    <w:p w14:paraId="61707776">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17.1.1 计量单位</w:t>
      </w:r>
    </w:p>
    <w:p w14:paraId="54822060">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计量采用国家法定的计量单位。</w:t>
      </w:r>
    </w:p>
    <w:p w14:paraId="5BF0EFCF">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17.1.2 计量方法</w:t>
      </w:r>
    </w:p>
    <w:p w14:paraId="36C5E703">
      <w:pPr>
        <w:spacing w:line="500" w:lineRule="exact"/>
        <w:ind w:firstLine="420"/>
        <w:rPr>
          <w:rFonts w:hint="eastAsia" w:ascii="宋体" w:hAnsi="宋体" w:cs="宋体"/>
          <w:sz w:val="24"/>
          <w:highlight w:val="none"/>
        </w:rPr>
      </w:pPr>
      <w:r>
        <w:rPr>
          <w:rFonts w:hint="eastAsia" w:ascii="宋体" w:hAnsi="宋体" w:cs="宋体"/>
          <w:sz w:val="24"/>
          <w:highlight w:val="none"/>
        </w:rPr>
        <w:t>结算工程量应按工程量清单中约定的方法计量。</w:t>
      </w:r>
    </w:p>
    <w:p w14:paraId="5470A825">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17.1.3 计量周期</w:t>
      </w:r>
    </w:p>
    <w:p w14:paraId="24D41DB7">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除专用合同条款另有约定外，单价子目已完成工程量按月计量，总价子目的计量周期按批准的支付分解报告确定。</w:t>
      </w:r>
    </w:p>
    <w:p w14:paraId="7C7C053D">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17.1.4 单价子目的计量</w:t>
      </w:r>
    </w:p>
    <w:p w14:paraId="0CE96B23">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（1）已标价工程量清单中的单价子目工程量为估算工程量。结算工程量是承包人实际完成的，并按合同约定的计量方法进行计量的工程量。</w:t>
      </w:r>
    </w:p>
    <w:p w14:paraId="3ED709D4">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（2）承包人对已完成的工程进行计量，向监理人提交进度付款申请单、已完成工程量报表和有关计量资料。</w:t>
      </w:r>
    </w:p>
    <w:p w14:paraId="0F5293A8">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101BEA94">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（4）监理人认为有必要时，可通知承包人共同进行联合测量、计量，承包人应遵照执行。</w:t>
      </w:r>
    </w:p>
    <w:p w14:paraId="495CA7E5">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2E280D70">
      <w:pPr>
        <w:spacing w:line="500" w:lineRule="exact"/>
        <w:ind w:firstLine="420"/>
        <w:rPr>
          <w:rFonts w:hint="eastAsia" w:ascii="宋体" w:hAnsi="宋体" w:cs="宋体"/>
          <w:sz w:val="24"/>
          <w:highlight w:val="none"/>
        </w:rPr>
      </w:pPr>
      <w:r>
        <w:rPr>
          <w:rFonts w:hint="eastAsia" w:ascii="宋体" w:hAnsi="宋体" w:cs="宋体"/>
          <w:sz w:val="24"/>
          <w:highlight w:val="none"/>
        </w:rPr>
        <w:t>（6）监理人应在收到承包人提交的工程量报表后的7天内进行复核，监理人未在约定时间内复核的，承包人提交的工程量报表中的工程量视为承包人实际完成的工程量，据此计算工程价款。</w:t>
      </w:r>
    </w:p>
    <w:p w14:paraId="31548F45">
      <w:pPr>
        <w:spacing w:line="500" w:lineRule="exact"/>
        <w:rPr>
          <w:rFonts w:hint="eastAsia" w:ascii="宋体" w:hAnsi="宋体" w:cs="宋体"/>
          <w:sz w:val="24"/>
          <w:highlight w:val="none"/>
        </w:rPr>
      </w:pPr>
      <w:r>
        <w:rPr>
          <w:rFonts w:hint="eastAsia" w:ascii="宋体" w:hAnsi="宋体" w:cs="宋体"/>
          <w:sz w:val="24"/>
          <w:highlight w:val="none"/>
        </w:rPr>
        <w:t>　　17.1.5 总价子目的计量</w:t>
      </w:r>
    </w:p>
    <w:p w14:paraId="275BD472">
      <w:pPr>
        <w:spacing w:line="500" w:lineRule="exact"/>
        <w:rPr>
          <w:rFonts w:hint="eastAsia" w:ascii="宋体" w:hAnsi="宋体" w:cs="宋体"/>
          <w:sz w:val="24"/>
          <w:highlight w:val="none"/>
        </w:rPr>
      </w:pPr>
      <w:r>
        <w:rPr>
          <w:rFonts w:hint="eastAsia" w:ascii="宋体" w:hAnsi="宋体" w:cs="宋体"/>
          <w:sz w:val="24"/>
          <w:highlight w:val="none"/>
        </w:rPr>
        <w:t>　　总价子目的分解和计量按照下述约定进行。</w:t>
      </w:r>
    </w:p>
    <w:p w14:paraId="10183982">
      <w:pPr>
        <w:spacing w:line="500" w:lineRule="exact"/>
        <w:rPr>
          <w:rFonts w:hint="eastAsia" w:ascii="宋体" w:hAnsi="宋体" w:cs="宋体"/>
          <w:sz w:val="24"/>
          <w:highlight w:val="none"/>
        </w:rPr>
      </w:pPr>
      <w:r>
        <w:rPr>
          <w:rFonts w:hint="eastAsia" w:ascii="宋体" w:hAnsi="宋体" w:cs="宋体"/>
          <w:sz w:val="24"/>
          <w:highlight w:val="none"/>
        </w:rPr>
        <w:t>　　(1)总价子目的计量和支付应以总价为基础，不因第16.1款中的因素而进行调整。承包人实际完成的工程量，是进行工程目标管理和控制进度支付的依据。</w:t>
      </w:r>
    </w:p>
    <w:p w14:paraId="15F8EBC0">
      <w:pPr>
        <w:spacing w:line="500" w:lineRule="exact"/>
        <w:rPr>
          <w:rFonts w:hint="eastAsia" w:ascii="宋体" w:hAnsi="宋体" w:cs="宋体"/>
          <w:sz w:val="24"/>
          <w:highlight w:val="none"/>
        </w:rPr>
      </w:pPr>
      <w:r>
        <w:rPr>
          <w:rFonts w:hint="eastAsia" w:ascii="宋体" w:hAnsi="宋体" w:cs="宋体"/>
          <w:sz w:val="24"/>
          <w:highlight w:val="none"/>
        </w:rPr>
        <w:t>　　(2)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5699C972">
      <w:pPr>
        <w:spacing w:line="500" w:lineRule="exact"/>
        <w:rPr>
          <w:rFonts w:hint="eastAsia" w:ascii="宋体" w:hAnsi="宋体" w:cs="宋体"/>
          <w:sz w:val="24"/>
          <w:highlight w:val="none"/>
        </w:rPr>
      </w:pPr>
      <w:r>
        <w:rPr>
          <w:rFonts w:hint="eastAsia" w:ascii="宋体" w:hAnsi="宋体" w:cs="宋体"/>
          <w:sz w:val="24"/>
          <w:highlight w:val="none"/>
        </w:rPr>
        <w:t>　　(3)监理人对承包人提交的上述资料进行复核，以确定分阶段实际完成的工程量和工程形象目标。对其有异议的，可要求承包人按第8.2款约定进行共同复核和抽样复测。</w:t>
      </w:r>
    </w:p>
    <w:p w14:paraId="4FB9A228">
      <w:pPr>
        <w:spacing w:line="500" w:lineRule="exact"/>
        <w:rPr>
          <w:rFonts w:hint="eastAsia" w:ascii="宋体" w:hAnsi="宋体" w:cs="宋体"/>
          <w:sz w:val="24"/>
          <w:highlight w:val="none"/>
        </w:rPr>
      </w:pPr>
      <w:r>
        <w:rPr>
          <w:rFonts w:hint="eastAsia" w:ascii="宋体" w:hAnsi="宋体" w:cs="宋体"/>
          <w:sz w:val="24"/>
          <w:highlight w:val="none"/>
        </w:rPr>
        <w:t>　　(4)除按照第15条约定的变更外，总价子目的工程量是承包人用于结算的最终工程量。</w:t>
      </w:r>
    </w:p>
    <w:p w14:paraId="5AD7D0E1">
      <w:pPr>
        <w:spacing w:line="500" w:lineRule="exact"/>
        <w:outlineLvl w:val="3"/>
        <w:rPr>
          <w:rFonts w:hint="eastAsia" w:ascii="宋体" w:hAnsi="宋体" w:cs="宋体"/>
          <w:sz w:val="24"/>
          <w:highlight w:val="none"/>
        </w:rPr>
      </w:pPr>
      <w:r>
        <w:rPr>
          <w:rFonts w:hint="eastAsia" w:ascii="宋体" w:hAnsi="宋体" w:cs="宋体"/>
          <w:sz w:val="24"/>
          <w:highlight w:val="none"/>
        </w:rPr>
        <w:t>17.2 预付款</w:t>
      </w:r>
    </w:p>
    <w:p w14:paraId="4A7296D9">
      <w:pPr>
        <w:spacing w:line="500" w:lineRule="exact"/>
        <w:rPr>
          <w:rFonts w:hint="eastAsia" w:ascii="宋体" w:hAnsi="宋体" w:cs="宋体"/>
          <w:sz w:val="24"/>
          <w:highlight w:val="none"/>
        </w:rPr>
      </w:pPr>
      <w:r>
        <w:rPr>
          <w:rFonts w:hint="eastAsia" w:ascii="宋体" w:hAnsi="宋体" w:cs="宋体"/>
          <w:sz w:val="24"/>
          <w:highlight w:val="none"/>
        </w:rPr>
        <w:t>　　17.2.1 预付款</w:t>
      </w:r>
    </w:p>
    <w:p w14:paraId="7589186E">
      <w:pPr>
        <w:spacing w:line="500" w:lineRule="exact"/>
        <w:rPr>
          <w:rFonts w:hint="eastAsia" w:ascii="宋体" w:hAnsi="宋体" w:cs="宋体"/>
          <w:sz w:val="24"/>
          <w:highlight w:val="none"/>
        </w:rPr>
      </w:pPr>
      <w:r>
        <w:rPr>
          <w:rFonts w:hint="eastAsia" w:ascii="宋体" w:hAnsi="宋体" w:cs="宋体"/>
          <w:sz w:val="24"/>
          <w:highlight w:val="none"/>
        </w:rPr>
        <w:t>　　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758B3B4E">
      <w:pPr>
        <w:spacing w:line="500" w:lineRule="exact"/>
        <w:rPr>
          <w:rFonts w:hint="eastAsia" w:ascii="宋体" w:hAnsi="宋体" w:cs="宋体"/>
          <w:sz w:val="24"/>
          <w:highlight w:val="none"/>
        </w:rPr>
      </w:pPr>
      <w:r>
        <w:rPr>
          <w:rFonts w:hint="eastAsia" w:ascii="宋体" w:hAnsi="宋体" w:cs="宋体"/>
          <w:sz w:val="24"/>
          <w:highlight w:val="none"/>
        </w:rPr>
        <w:t>　　17.2.2 预付款保函(担保)</w:t>
      </w:r>
    </w:p>
    <w:p w14:paraId="042062A6">
      <w:pPr>
        <w:spacing w:line="500" w:lineRule="exact"/>
        <w:rPr>
          <w:rFonts w:hint="eastAsia" w:ascii="宋体" w:hAnsi="宋体" w:cs="宋体"/>
          <w:sz w:val="24"/>
          <w:highlight w:val="none"/>
        </w:rPr>
      </w:pPr>
      <w:r>
        <w:rPr>
          <w:rFonts w:hint="eastAsia" w:ascii="宋体" w:hAnsi="宋体" w:cs="宋体"/>
          <w:sz w:val="24"/>
          <w:highlight w:val="none"/>
        </w:rPr>
        <w:t>　　(1)承包人应在收到第一次工程预付款的同时向发包人提交工程预付款担保，担保金额应与第一次工程预付款金额相同，工程预付款担保在第一次工程预付款被发包人扣回前一直有效。</w:t>
      </w:r>
    </w:p>
    <w:p w14:paraId="29C7D5D5">
      <w:pPr>
        <w:spacing w:line="500" w:lineRule="exact"/>
        <w:rPr>
          <w:rFonts w:hint="eastAsia" w:ascii="宋体" w:hAnsi="宋体" w:cs="宋体"/>
          <w:sz w:val="24"/>
          <w:highlight w:val="none"/>
        </w:rPr>
      </w:pPr>
      <w:r>
        <w:rPr>
          <w:rFonts w:hint="eastAsia" w:ascii="宋体" w:hAnsi="宋体" w:cs="宋体"/>
          <w:sz w:val="24"/>
          <w:highlight w:val="none"/>
        </w:rPr>
        <w:t>　　(2)工程材料预付款的担保在专用合同条款中约定。</w:t>
      </w:r>
    </w:p>
    <w:p w14:paraId="543FF3F8">
      <w:pPr>
        <w:spacing w:line="500" w:lineRule="exact"/>
        <w:rPr>
          <w:rFonts w:hint="eastAsia" w:ascii="宋体" w:hAnsi="宋体" w:cs="宋体"/>
          <w:sz w:val="24"/>
          <w:highlight w:val="none"/>
        </w:rPr>
      </w:pPr>
      <w:r>
        <w:rPr>
          <w:rFonts w:hint="eastAsia" w:ascii="宋体" w:hAnsi="宋体" w:cs="宋体"/>
          <w:sz w:val="24"/>
          <w:highlight w:val="none"/>
        </w:rPr>
        <w:t>　　(3)预付款担保的担保金额可根据预付款扣回的金额相应递减。</w:t>
      </w:r>
    </w:p>
    <w:p w14:paraId="20B1436F">
      <w:pPr>
        <w:spacing w:line="500" w:lineRule="exact"/>
        <w:rPr>
          <w:rFonts w:hint="eastAsia" w:ascii="宋体" w:hAnsi="宋体" w:cs="宋体"/>
          <w:sz w:val="24"/>
          <w:highlight w:val="none"/>
        </w:rPr>
      </w:pPr>
      <w:r>
        <w:rPr>
          <w:rFonts w:hint="eastAsia" w:ascii="宋体" w:hAnsi="宋体" w:cs="宋体"/>
          <w:sz w:val="24"/>
          <w:highlight w:val="none"/>
        </w:rPr>
        <w:t>　　17.2.3 预付款的扣回与还清</w:t>
      </w:r>
    </w:p>
    <w:p w14:paraId="50689AB9">
      <w:pPr>
        <w:spacing w:line="500" w:lineRule="exact"/>
        <w:ind w:firstLine="420"/>
        <w:rPr>
          <w:rFonts w:hint="eastAsia" w:ascii="宋体" w:hAnsi="宋体" w:cs="宋体"/>
          <w:sz w:val="24"/>
          <w:highlight w:val="none"/>
        </w:rPr>
      </w:pPr>
      <w:r>
        <w:rPr>
          <w:rFonts w:hint="eastAsia" w:ascii="宋体" w:hAnsi="宋体" w:cs="宋体"/>
          <w:sz w:val="24"/>
          <w:highlight w:val="none"/>
        </w:rPr>
        <w:t>预付款在进度付款中扣回，扣回与还清办法在专用合同条款中约定。在颁发合同工程完工证书前，由于不可抗力或其它原因解除合同时，预付款尚未扣清的，尚未扣清的预付款余额应作为承包人的到期应付款。</w:t>
      </w:r>
    </w:p>
    <w:p w14:paraId="561C1A85">
      <w:pPr>
        <w:spacing w:line="500" w:lineRule="exact"/>
        <w:outlineLvl w:val="3"/>
        <w:rPr>
          <w:rFonts w:hint="eastAsia" w:ascii="宋体" w:hAnsi="宋体" w:cs="宋体"/>
          <w:sz w:val="24"/>
          <w:highlight w:val="none"/>
        </w:rPr>
      </w:pPr>
      <w:r>
        <w:rPr>
          <w:rFonts w:hint="eastAsia" w:ascii="宋体" w:hAnsi="宋体" w:cs="宋体"/>
          <w:sz w:val="24"/>
          <w:highlight w:val="none"/>
        </w:rPr>
        <w:t>17.3 工程进度付款</w:t>
      </w:r>
    </w:p>
    <w:p w14:paraId="1B882B00">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17.3.1 付款周期</w:t>
      </w:r>
    </w:p>
    <w:p w14:paraId="3A415DEB">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付款周期同计量周期。</w:t>
      </w:r>
    </w:p>
    <w:p w14:paraId="4EB97B58">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17.3.2 进度付款申请单</w:t>
      </w:r>
    </w:p>
    <w:p w14:paraId="4A532800">
      <w:pPr>
        <w:spacing w:line="500" w:lineRule="exact"/>
        <w:ind w:firstLine="480" w:firstLineChars="200"/>
        <w:rPr>
          <w:rFonts w:hint="eastAsia" w:ascii="宋体" w:hAnsi="宋体" w:cs="宋体"/>
          <w:dstrike/>
          <w:sz w:val="24"/>
          <w:highlight w:val="none"/>
        </w:rPr>
      </w:pPr>
      <w:r>
        <w:rPr>
          <w:rFonts w:hint="eastAsia" w:ascii="宋体" w:hAnsi="宋体" w:cs="宋体"/>
          <w:sz w:val="24"/>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5C341812">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（1）截至本次付款周期末已实施工程的价款；</w:t>
      </w:r>
    </w:p>
    <w:p w14:paraId="250823E4">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（2）根据第15条应增加和扣减的变更金额；</w:t>
      </w:r>
    </w:p>
    <w:p w14:paraId="253653D5">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（3）根据第23条应增加和扣减的索赔金额；</w:t>
      </w:r>
    </w:p>
    <w:p w14:paraId="21E953A6">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（4）根据第17.2款约定应支付的预付款和扣减的返还预付款；</w:t>
      </w:r>
    </w:p>
    <w:p w14:paraId="2CE20598">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（5）根据第17.4.1项约定应扣减的质量保证金；</w:t>
      </w:r>
    </w:p>
    <w:p w14:paraId="3EAA63AC">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（6）根据合同应增加和扣减的其他金额。</w:t>
      </w:r>
    </w:p>
    <w:p w14:paraId="0C8AE837">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17.3.3 进度付款证书和支付时间</w:t>
      </w:r>
    </w:p>
    <w:p w14:paraId="562AEEE3">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19DEECED">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（2）发包人应在监理人收到进度付款申请单后的28天内，将进度应付款支付给承包人。发包人不按期支付的，按专用合同条款的约定支付逾期付款违约金。</w:t>
      </w:r>
    </w:p>
    <w:p w14:paraId="30B7142E">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（3）监理人出具进度付款证书，不应视为监理人已同意、批准或接受了承包人完成的该部分工作。</w:t>
      </w:r>
    </w:p>
    <w:p w14:paraId="08F651FE">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（4）进度付款涉及政府投资资金的，按照国库集中支付等国家相关规定和专用合同条款的约定办理。</w:t>
      </w:r>
    </w:p>
    <w:p w14:paraId="01B396F1">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17.3.4 工程进度付款的修正</w:t>
      </w:r>
    </w:p>
    <w:p w14:paraId="2FA82DB2">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在对以往历次已签发的进度付款证书进行汇总和复核中发现错、漏或重复的，监理人有权予以修正，承包人也有权提出修正申请。经双方复核同意的修正，应在本次进度付款中支付或扣除。</w:t>
      </w:r>
    </w:p>
    <w:p w14:paraId="52BDDB07">
      <w:pPr>
        <w:spacing w:line="500" w:lineRule="exact"/>
        <w:outlineLvl w:val="3"/>
        <w:rPr>
          <w:rFonts w:hint="eastAsia" w:ascii="宋体" w:hAnsi="宋体" w:cs="宋体"/>
          <w:sz w:val="24"/>
          <w:highlight w:val="none"/>
        </w:rPr>
      </w:pPr>
      <w:r>
        <w:rPr>
          <w:rFonts w:hint="eastAsia" w:ascii="宋体" w:hAnsi="宋体" w:cs="宋体"/>
          <w:sz w:val="24"/>
          <w:highlight w:val="none"/>
        </w:rPr>
        <w:t>17.4 质量保证金</w:t>
      </w:r>
    </w:p>
    <w:p w14:paraId="2947A08A">
      <w:pPr>
        <w:spacing w:line="500" w:lineRule="exact"/>
        <w:rPr>
          <w:rFonts w:hint="eastAsia" w:ascii="宋体" w:hAnsi="宋体" w:cs="宋体"/>
          <w:sz w:val="24"/>
          <w:highlight w:val="none"/>
        </w:rPr>
      </w:pPr>
      <w:r>
        <w:rPr>
          <w:rFonts w:hint="eastAsia" w:ascii="宋体" w:hAnsi="宋体" w:cs="宋体"/>
          <w:sz w:val="24"/>
          <w:highlight w:val="none"/>
        </w:rPr>
        <w:t>　　17.4.1 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与扣回金额。</w:t>
      </w:r>
    </w:p>
    <w:p w14:paraId="66C03110">
      <w:pPr>
        <w:spacing w:line="500" w:lineRule="exact"/>
        <w:ind w:firstLine="420"/>
        <w:rPr>
          <w:rFonts w:hint="eastAsia" w:ascii="宋体" w:hAnsi="宋体" w:cs="宋体"/>
          <w:sz w:val="24"/>
          <w:highlight w:val="none"/>
        </w:rPr>
      </w:pPr>
      <w:r>
        <w:rPr>
          <w:rFonts w:hint="eastAsia" w:ascii="宋体" w:hAnsi="宋体" w:cs="宋体"/>
          <w:sz w:val="24"/>
          <w:highlight w:val="none"/>
        </w:rPr>
        <w:t>17.4.2 合同工程完工证书颁发后14天内，发包人将质量保证金总额的一半支付给承包人。在第1.1.4.5目约定的缺陷责任期(工程质量保修期)满时，发包人将在30个工作日内会同承包人按照合同约定的内容核实承包人是否完成保修责任。如无异议，发包人应当在核实后将剩余的质量保证金支付给承包人。</w:t>
      </w:r>
    </w:p>
    <w:p w14:paraId="211F146B">
      <w:pPr>
        <w:spacing w:line="500" w:lineRule="exact"/>
        <w:ind w:firstLine="420"/>
        <w:rPr>
          <w:rFonts w:hint="eastAsia" w:ascii="宋体" w:hAnsi="宋体" w:cs="宋体"/>
          <w:sz w:val="24"/>
          <w:highlight w:val="none"/>
        </w:rPr>
      </w:pPr>
      <w:r>
        <w:rPr>
          <w:rFonts w:hint="eastAsia" w:ascii="宋体" w:hAnsi="宋体" w:cs="宋体"/>
          <w:sz w:val="24"/>
          <w:highlight w:val="none"/>
        </w:rPr>
        <w:t>17.4.3 在第1.1.4.5目约定的缺陷责任期满时，承包人没有完成缺陷责任的，发包人有权扣留与未履行责任剩余工作所需金额相应的质量保证金余额，并有权根据第19.3款约定要求延长缺陷责任期，直至完成剩余工作为止。</w:t>
      </w:r>
    </w:p>
    <w:p w14:paraId="339CFEEF">
      <w:pPr>
        <w:spacing w:line="500" w:lineRule="exact"/>
        <w:outlineLvl w:val="3"/>
        <w:rPr>
          <w:rFonts w:hint="eastAsia" w:ascii="宋体" w:hAnsi="宋体" w:cs="宋体"/>
          <w:sz w:val="24"/>
          <w:highlight w:val="none"/>
        </w:rPr>
      </w:pPr>
      <w:r>
        <w:rPr>
          <w:rFonts w:hint="eastAsia" w:ascii="宋体" w:hAnsi="宋体" w:cs="宋体"/>
          <w:sz w:val="24"/>
          <w:highlight w:val="none"/>
        </w:rPr>
        <w:t>17.5 竣工结算(完工结算)</w:t>
      </w:r>
    </w:p>
    <w:p w14:paraId="75F0AF38">
      <w:pPr>
        <w:spacing w:line="500" w:lineRule="exact"/>
        <w:rPr>
          <w:rFonts w:hint="eastAsia" w:ascii="宋体" w:hAnsi="宋体" w:cs="宋体"/>
          <w:sz w:val="24"/>
          <w:highlight w:val="none"/>
        </w:rPr>
      </w:pPr>
      <w:r>
        <w:rPr>
          <w:rFonts w:hint="eastAsia" w:ascii="宋体" w:hAnsi="宋体" w:cs="宋体"/>
          <w:sz w:val="24"/>
          <w:highlight w:val="none"/>
        </w:rPr>
        <w:t>　　17.5.1 竣工(完工)付款申请单</w:t>
      </w:r>
    </w:p>
    <w:p w14:paraId="2B2F7303">
      <w:pPr>
        <w:spacing w:line="500" w:lineRule="exact"/>
        <w:rPr>
          <w:rFonts w:hint="eastAsia" w:ascii="宋体" w:hAnsi="宋体" w:cs="宋体"/>
          <w:sz w:val="24"/>
          <w:highlight w:val="none"/>
        </w:rPr>
      </w:pPr>
      <w:r>
        <w:rPr>
          <w:rFonts w:hint="eastAsia" w:ascii="宋体" w:hAnsi="宋体" w:cs="宋体"/>
          <w:sz w:val="24"/>
          <w:highlight w:val="none"/>
        </w:rPr>
        <w:t>　　(1)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7CEA2295">
      <w:pPr>
        <w:spacing w:line="500" w:lineRule="exact"/>
        <w:rPr>
          <w:rFonts w:hint="eastAsia" w:ascii="宋体" w:hAnsi="宋体" w:cs="宋体"/>
          <w:sz w:val="24"/>
          <w:highlight w:val="none"/>
        </w:rPr>
      </w:pPr>
      <w:r>
        <w:rPr>
          <w:rFonts w:hint="eastAsia" w:ascii="宋体" w:hAnsi="宋体" w:cs="宋体"/>
          <w:sz w:val="24"/>
          <w:highlight w:val="none"/>
        </w:rPr>
        <w:t>　　(2)监理人对完工付款申请单有异议的，有权要求承包人进行修正和提供补充资料。经监理人和承包人协商后，由承包人向监理人提交修正后的完工付款申请单。</w:t>
      </w:r>
    </w:p>
    <w:p w14:paraId="3B635E2C">
      <w:pPr>
        <w:spacing w:line="500" w:lineRule="exact"/>
        <w:rPr>
          <w:rFonts w:hint="eastAsia" w:ascii="宋体" w:hAnsi="宋体" w:cs="宋体"/>
          <w:sz w:val="24"/>
          <w:highlight w:val="none"/>
        </w:rPr>
      </w:pPr>
      <w:r>
        <w:rPr>
          <w:rFonts w:hint="eastAsia" w:ascii="宋体" w:hAnsi="宋体" w:cs="宋体"/>
          <w:sz w:val="24"/>
          <w:highlight w:val="none"/>
        </w:rPr>
        <w:t>　　17.5.2 竣工(完工)付款证书及支付时间</w:t>
      </w:r>
    </w:p>
    <w:p w14:paraId="42C46602">
      <w:pPr>
        <w:spacing w:line="500" w:lineRule="exact"/>
        <w:rPr>
          <w:rFonts w:hint="eastAsia" w:ascii="宋体" w:hAnsi="宋体" w:cs="宋体"/>
          <w:sz w:val="24"/>
          <w:highlight w:val="none"/>
        </w:rPr>
      </w:pPr>
      <w:r>
        <w:rPr>
          <w:rFonts w:hint="eastAsia" w:ascii="宋体" w:hAnsi="宋体" w:cs="宋体"/>
          <w:sz w:val="24"/>
          <w:highlight w:val="none"/>
        </w:rPr>
        <w:t>　　(1)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14:paraId="0011C18F">
      <w:pPr>
        <w:spacing w:line="500" w:lineRule="exact"/>
        <w:rPr>
          <w:rFonts w:hint="eastAsia" w:ascii="宋体" w:hAnsi="宋体" w:cs="宋体"/>
          <w:sz w:val="24"/>
          <w:highlight w:val="none"/>
        </w:rPr>
      </w:pPr>
      <w:r>
        <w:rPr>
          <w:rFonts w:hint="eastAsia" w:ascii="宋体" w:hAnsi="宋体" w:cs="宋体"/>
          <w:sz w:val="24"/>
          <w:highlight w:val="none"/>
        </w:rPr>
        <w:t>　　(2)发包人应在监理人出具完工付款证书后的14天内，将应支付款支付给承包人。发包人不按期支付的，按第17.3.3(2)目的约定，将逾期付款违约金支付给承包人。</w:t>
      </w:r>
    </w:p>
    <w:p w14:paraId="5E35EF85">
      <w:pPr>
        <w:spacing w:line="500" w:lineRule="exact"/>
        <w:rPr>
          <w:rFonts w:hint="eastAsia" w:ascii="宋体" w:hAnsi="宋体" w:cs="宋体"/>
          <w:sz w:val="24"/>
          <w:highlight w:val="none"/>
        </w:rPr>
      </w:pPr>
      <w:r>
        <w:rPr>
          <w:rFonts w:hint="eastAsia" w:ascii="宋体" w:hAnsi="宋体" w:cs="宋体"/>
          <w:sz w:val="24"/>
          <w:highlight w:val="none"/>
        </w:rPr>
        <w:t>　　(3)承包人对发包人签认的完工付款证书有异议的，发包人可出具完工付款申请单中承包人已同意部分的临时付款证书。存在争议的部分，按第24条的约定办理。</w:t>
      </w:r>
    </w:p>
    <w:p w14:paraId="4338354B">
      <w:pPr>
        <w:spacing w:line="500" w:lineRule="exact"/>
        <w:rPr>
          <w:rFonts w:hint="eastAsia" w:ascii="宋体" w:hAnsi="宋体" w:cs="宋体"/>
          <w:sz w:val="24"/>
          <w:highlight w:val="none"/>
        </w:rPr>
      </w:pPr>
      <w:r>
        <w:rPr>
          <w:rFonts w:hint="eastAsia" w:ascii="宋体" w:hAnsi="宋体" w:cs="宋体"/>
          <w:sz w:val="24"/>
          <w:highlight w:val="none"/>
        </w:rPr>
        <w:t>　　(4)完工付款涉及政府投资资金的，按第17.3.3(4)目的约定办理。</w:t>
      </w:r>
    </w:p>
    <w:p w14:paraId="171C5974">
      <w:pPr>
        <w:spacing w:line="500" w:lineRule="exact"/>
        <w:outlineLvl w:val="3"/>
        <w:rPr>
          <w:rFonts w:hint="eastAsia" w:ascii="宋体" w:hAnsi="宋体" w:cs="宋体"/>
          <w:sz w:val="24"/>
          <w:highlight w:val="none"/>
        </w:rPr>
      </w:pPr>
      <w:r>
        <w:rPr>
          <w:rFonts w:hint="eastAsia" w:ascii="宋体" w:hAnsi="宋体" w:cs="宋体"/>
          <w:sz w:val="24"/>
          <w:highlight w:val="none"/>
        </w:rPr>
        <w:t>17.6 最终结清</w:t>
      </w:r>
    </w:p>
    <w:p w14:paraId="4F7B59D5">
      <w:pPr>
        <w:spacing w:line="500" w:lineRule="exact"/>
        <w:rPr>
          <w:rFonts w:hint="eastAsia" w:ascii="宋体" w:hAnsi="宋体" w:cs="宋体"/>
          <w:sz w:val="24"/>
          <w:highlight w:val="none"/>
        </w:rPr>
      </w:pPr>
      <w:r>
        <w:rPr>
          <w:rFonts w:hint="eastAsia" w:ascii="宋体" w:hAnsi="宋体" w:cs="宋体"/>
          <w:sz w:val="24"/>
          <w:highlight w:val="none"/>
        </w:rPr>
        <w:t>　　17.6.1 最终结清申请单</w:t>
      </w:r>
    </w:p>
    <w:p w14:paraId="04D66D1D">
      <w:pPr>
        <w:spacing w:line="500" w:lineRule="exact"/>
        <w:rPr>
          <w:rFonts w:hint="eastAsia" w:ascii="宋体" w:hAnsi="宋体" w:cs="宋体"/>
          <w:sz w:val="24"/>
          <w:highlight w:val="none"/>
        </w:rPr>
      </w:pPr>
      <w:r>
        <w:rPr>
          <w:rFonts w:hint="eastAsia" w:ascii="宋体" w:hAnsi="宋体" w:cs="宋体"/>
          <w:sz w:val="24"/>
          <w:highlight w:val="none"/>
        </w:rPr>
        <w:t>　　(1)工程质量保修责任终止证书签发后，承包人应按监理人批准的格式提交最终结清申请单。提交最终结清申请单的份数在专用合同条款中约定。</w:t>
      </w:r>
    </w:p>
    <w:p w14:paraId="3541F187">
      <w:pPr>
        <w:spacing w:line="500" w:lineRule="exact"/>
        <w:ind w:firstLine="420"/>
        <w:rPr>
          <w:rFonts w:hint="eastAsia" w:ascii="宋体" w:hAnsi="宋体" w:cs="宋体"/>
          <w:sz w:val="24"/>
          <w:highlight w:val="none"/>
        </w:rPr>
      </w:pPr>
      <w:r>
        <w:rPr>
          <w:rFonts w:hint="eastAsia" w:ascii="宋体" w:hAnsi="宋体" w:cs="宋体"/>
          <w:sz w:val="24"/>
          <w:highlight w:val="none"/>
        </w:rPr>
        <w:t>(2)发包人对最终结清申请单内容有异议的，有权要求承包人进行修正和提供补充资料，由承包人向监理人提交修正后的最终结清申请单。</w:t>
      </w:r>
    </w:p>
    <w:p w14:paraId="2941EE20">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17.6.2 最终结清证书和支付时间</w:t>
      </w:r>
    </w:p>
    <w:p w14:paraId="5EF74589">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1B042A76">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（2）发包人应在监理人出具最终结清证书后的14天内，将应支付款支付给承包人。发包人不按期支付的，按第17.3.3（2）目的约定，将逾期付款违约金支付给承包人。</w:t>
      </w:r>
    </w:p>
    <w:p w14:paraId="65061986">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（3）承包人对发包人签认的最终结清证书有异议的，按第24条的约定办理。</w:t>
      </w:r>
    </w:p>
    <w:p w14:paraId="7BFBA837">
      <w:pPr>
        <w:spacing w:line="500" w:lineRule="exact"/>
        <w:ind w:firstLine="420"/>
        <w:rPr>
          <w:rFonts w:hint="eastAsia" w:ascii="宋体" w:hAnsi="宋体" w:cs="宋体"/>
          <w:sz w:val="24"/>
          <w:highlight w:val="none"/>
        </w:rPr>
      </w:pPr>
      <w:r>
        <w:rPr>
          <w:rFonts w:hint="eastAsia" w:ascii="宋体" w:hAnsi="宋体" w:cs="宋体"/>
          <w:sz w:val="24"/>
          <w:highlight w:val="none"/>
        </w:rPr>
        <w:t>（4）最终结清付款涉及政府投资资金的，按第17.3.3（４）目的约定办理。</w:t>
      </w:r>
    </w:p>
    <w:p w14:paraId="45425D17">
      <w:pPr>
        <w:spacing w:line="500" w:lineRule="exact"/>
        <w:outlineLvl w:val="3"/>
        <w:rPr>
          <w:rFonts w:hint="eastAsia" w:ascii="宋体" w:hAnsi="宋体" w:cs="宋体"/>
          <w:sz w:val="24"/>
          <w:highlight w:val="none"/>
        </w:rPr>
      </w:pPr>
      <w:r>
        <w:rPr>
          <w:rFonts w:hint="eastAsia" w:ascii="宋体" w:hAnsi="宋体" w:cs="宋体"/>
          <w:sz w:val="24"/>
          <w:highlight w:val="none"/>
        </w:rPr>
        <w:t>17.7 竣工财务决算</w:t>
      </w:r>
    </w:p>
    <w:p w14:paraId="6E16CA30">
      <w:pPr>
        <w:spacing w:line="500" w:lineRule="exact"/>
        <w:rPr>
          <w:rFonts w:hint="eastAsia" w:ascii="宋体" w:hAnsi="宋体" w:cs="宋体"/>
          <w:sz w:val="24"/>
          <w:highlight w:val="none"/>
        </w:rPr>
      </w:pPr>
      <w:r>
        <w:rPr>
          <w:rFonts w:hint="eastAsia" w:ascii="宋体" w:hAnsi="宋体" w:cs="宋体"/>
          <w:sz w:val="24"/>
          <w:highlight w:val="none"/>
        </w:rPr>
        <w:t>　　发包人负责编制本工程项目竣工财务决算，承包人应按专用合同条款的约定提供竣工财务决算编制所需的相关材料。</w:t>
      </w:r>
    </w:p>
    <w:p w14:paraId="03D1CBA8">
      <w:pPr>
        <w:spacing w:line="500" w:lineRule="exact"/>
        <w:outlineLvl w:val="3"/>
        <w:rPr>
          <w:rFonts w:hint="eastAsia" w:ascii="宋体" w:hAnsi="宋体" w:cs="宋体"/>
          <w:sz w:val="24"/>
          <w:highlight w:val="none"/>
        </w:rPr>
      </w:pPr>
      <w:r>
        <w:rPr>
          <w:rFonts w:hint="eastAsia" w:ascii="宋体" w:hAnsi="宋体" w:cs="宋体"/>
          <w:sz w:val="24"/>
          <w:highlight w:val="none"/>
        </w:rPr>
        <w:t>17.8 竣工审计</w:t>
      </w:r>
    </w:p>
    <w:p w14:paraId="3EC5EFA0">
      <w:pPr>
        <w:spacing w:line="500" w:lineRule="exact"/>
        <w:rPr>
          <w:rFonts w:hint="eastAsia" w:ascii="宋体" w:hAnsi="宋体" w:cs="宋体"/>
          <w:sz w:val="24"/>
          <w:highlight w:val="none"/>
        </w:rPr>
      </w:pPr>
      <w:r>
        <w:rPr>
          <w:rFonts w:hint="eastAsia" w:ascii="宋体" w:hAnsi="宋体" w:cs="宋体"/>
          <w:sz w:val="24"/>
          <w:highlight w:val="none"/>
        </w:rPr>
        <w:t>　　发包人负责完成本工程竣工审计手续，承包人应完成相关配合工作。</w:t>
      </w:r>
    </w:p>
    <w:p w14:paraId="1F20566E">
      <w:pPr>
        <w:spacing w:line="500" w:lineRule="exact"/>
        <w:outlineLvl w:val="2"/>
        <w:rPr>
          <w:rFonts w:hint="eastAsia" w:ascii="宋体" w:hAnsi="宋体" w:cs="宋体"/>
          <w:sz w:val="24"/>
          <w:highlight w:val="none"/>
        </w:rPr>
      </w:pPr>
      <w:bookmarkStart w:id="265" w:name="_Toc140340976"/>
      <w:r>
        <w:rPr>
          <w:rFonts w:hint="eastAsia" w:ascii="宋体" w:hAnsi="宋体" w:cs="宋体"/>
          <w:sz w:val="24"/>
          <w:highlight w:val="none"/>
        </w:rPr>
        <w:t>18. 竣工验收(验收)</w:t>
      </w:r>
      <w:bookmarkEnd w:id="265"/>
    </w:p>
    <w:p w14:paraId="23D189D9">
      <w:pPr>
        <w:spacing w:line="500" w:lineRule="exact"/>
        <w:outlineLvl w:val="3"/>
        <w:rPr>
          <w:rFonts w:hint="eastAsia" w:ascii="宋体" w:hAnsi="宋体" w:cs="宋体"/>
          <w:sz w:val="24"/>
          <w:highlight w:val="none"/>
        </w:rPr>
      </w:pPr>
      <w:r>
        <w:rPr>
          <w:rFonts w:hint="eastAsia" w:ascii="宋体" w:hAnsi="宋体" w:cs="宋体"/>
          <w:sz w:val="24"/>
          <w:highlight w:val="none"/>
        </w:rPr>
        <w:t>18.1 验收工作分类</w:t>
      </w:r>
    </w:p>
    <w:p w14:paraId="12A962B6">
      <w:pPr>
        <w:spacing w:line="500" w:lineRule="exact"/>
        <w:rPr>
          <w:rFonts w:hint="eastAsia" w:ascii="宋体" w:hAnsi="宋体" w:cs="宋体"/>
          <w:sz w:val="24"/>
          <w:highlight w:val="none"/>
        </w:rPr>
      </w:pPr>
      <w:r>
        <w:rPr>
          <w:rFonts w:hint="eastAsia" w:ascii="宋体" w:hAnsi="宋体" w:cs="宋体"/>
          <w:sz w:val="24"/>
          <w:highlight w:val="none"/>
        </w:rPr>
        <w:t>　　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14:paraId="356721B0">
      <w:pPr>
        <w:spacing w:line="500" w:lineRule="exact"/>
        <w:outlineLvl w:val="3"/>
        <w:rPr>
          <w:rFonts w:hint="eastAsia" w:ascii="宋体" w:hAnsi="宋体" w:cs="宋体"/>
          <w:sz w:val="24"/>
          <w:highlight w:val="none"/>
        </w:rPr>
      </w:pPr>
      <w:r>
        <w:rPr>
          <w:rFonts w:hint="eastAsia" w:ascii="宋体" w:hAnsi="宋体" w:cs="宋体"/>
          <w:sz w:val="24"/>
          <w:highlight w:val="none"/>
        </w:rPr>
        <w:t>18.2 分部工程验收</w:t>
      </w:r>
    </w:p>
    <w:p w14:paraId="7A40629B">
      <w:pPr>
        <w:spacing w:line="500" w:lineRule="exact"/>
        <w:rPr>
          <w:rFonts w:hint="eastAsia" w:ascii="宋体" w:hAnsi="宋体" w:cs="宋体"/>
          <w:sz w:val="24"/>
          <w:highlight w:val="none"/>
        </w:rPr>
      </w:pPr>
      <w:r>
        <w:rPr>
          <w:rFonts w:hint="eastAsia" w:ascii="宋体" w:hAnsi="宋体" w:cs="宋体"/>
          <w:sz w:val="24"/>
          <w:highlight w:val="none"/>
        </w:rPr>
        <w:t>　　18.2.1 分部工程具备验收条件时，承包人应向发包人提交验收申请报告，发包人应在收到验收申请报告之日起10个工作日内决定是否同意进行验收。</w:t>
      </w:r>
    </w:p>
    <w:p w14:paraId="275BCC81">
      <w:pPr>
        <w:spacing w:line="500" w:lineRule="exact"/>
        <w:rPr>
          <w:rFonts w:hint="eastAsia" w:ascii="宋体" w:hAnsi="宋体" w:cs="宋体"/>
          <w:sz w:val="24"/>
          <w:highlight w:val="none"/>
        </w:rPr>
      </w:pPr>
      <w:r>
        <w:rPr>
          <w:rFonts w:hint="eastAsia" w:ascii="宋体" w:hAnsi="宋体" w:cs="宋体"/>
          <w:sz w:val="24"/>
          <w:highlight w:val="none"/>
        </w:rPr>
        <w:t>　　18.2.2 除专用合同条款另有约定外，监理人主持分部工程验收，承包人应派符合条件的代表参加验收工作组。</w:t>
      </w:r>
    </w:p>
    <w:p w14:paraId="64AD4F29">
      <w:pPr>
        <w:spacing w:line="500" w:lineRule="exact"/>
        <w:rPr>
          <w:rFonts w:hint="eastAsia" w:ascii="宋体" w:hAnsi="宋体" w:cs="宋体"/>
          <w:sz w:val="24"/>
          <w:highlight w:val="none"/>
        </w:rPr>
      </w:pPr>
      <w:r>
        <w:rPr>
          <w:rFonts w:hint="eastAsia" w:ascii="宋体" w:hAnsi="宋体" w:cs="宋体"/>
          <w:sz w:val="24"/>
          <w:highlight w:val="none"/>
        </w:rPr>
        <w:t>　　18.2.3 分部工程验收通过后，发包人向承包人发送分部工程验收鉴定书。承包人应及时完成分部工程验收鉴定书载明应由承包人处理的遗留问题。</w:t>
      </w:r>
    </w:p>
    <w:p w14:paraId="52E950D5">
      <w:pPr>
        <w:spacing w:line="500" w:lineRule="exact"/>
        <w:outlineLvl w:val="3"/>
        <w:rPr>
          <w:rFonts w:hint="eastAsia" w:ascii="宋体" w:hAnsi="宋体" w:cs="宋体"/>
          <w:sz w:val="24"/>
          <w:highlight w:val="none"/>
        </w:rPr>
      </w:pPr>
      <w:r>
        <w:rPr>
          <w:rFonts w:hint="eastAsia" w:ascii="宋体" w:hAnsi="宋体" w:cs="宋体"/>
          <w:sz w:val="24"/>
          <w:highlight w:val="none"/>
        </w:rPr>
        <w:t>18.3 单位工程验收</w:t>
      </w:r>
    </w:p>
    <w:p w14:paraId="0FE4A573">
      <w:pPr>
        <w:spacing w:line="500" w:lineRule="exact"/>
        <w:rPr>
          <w:rFonts w:hint="eastAsia" w:ascii="宋体" w:hAnsi="宋体" w:cs="宋体"/>
          <w:sz w:val="24"/>
          <w:highlight w:val="none"/>
        </w:rPr>
      </w:pPr>
      <w:r>
        <w:rPr>
          <w:rFonts w:hint="eastAsia" w:ascii="宋体" w:hAnsi="宋体" w:cs="宋体"/>
          <w:sz w:val="24"/>
          <w:highlight w:val="none"/>
        </w:rPr>
        <w:t>　　18.3.1 单位工程具备验收条件时，承包人应向发包人提交验收申请报告，发包人应在收到验收申请报告之日起10个工作日内决定是否同意进行验收。</w:t>
      </w:r>
    </w:p>
    <w:p w14:paraId="1BFE3F2A">
      <w:pPr>
        <w:spacing w:line="500" w:lineRule="exact"/>
        <w:rPr>
          <w:rFonts w:hint="eastAsia" w:ascii="宋体" w:hAnsi="宋体" w:cs="宋体"/>
          <w:sz w:val="24"/>
          <w:highlight w:val="none"/>
        </w:rPr>
      </w:pPr>
      <w:r>
        <w:rPr>
          <w:rFonts w:hint="eastAsia" w:ascii="宋体" w:hAnsi="宋体" w:cs="宋体"/>
          <w:sz w:val="24"/>
          <w:highlight w:val="none"/>
        </w:rPr>
        <w:t>　　18.3.2 发包人主持单位工程验收，承包人应派符合条件的代表参加验收工作组。</w:t>
      </w:r>
    </w:p>
    <w:p w14:paraId="7A9FFD6D">
      <w:pPr>
        <w:spacing w:line="500" w:lineRule="exact"/>
        <w:rPr>
          <w:rFonts w:hint="eastAsia" w:ascii="宋体" w:hAnsi="宋体" w:cs="宋体"/>
          <w:sz w:val="24"/>
          <w:highlight w:val="none"/>
        </w:rPr>
      </w:pPr>
      <w:r>
        <w:rPr>
          <w:rFonts w:hint="eastAsia" w:ascii="宋体" w:hAnsi="宋体" w:cs="宋体"/>
          <w:sz w:val="24"/>
          <w:highlight w:val="none"/>
        </w:rPr>
        <w:t>　　18.3.3 单位工程验收通过后，发包人向承包人发送单位工程验收鉴定书。承包人应及时完成单位工程验收鉴定书载明应由承包人处理的遗留问题。</w:t>
      </w:r>
    </w:p>
    <w:p w14:paraId="791334C2">
      <w:pPr>
        <w:spacing w:line="500" w:lineRule="exact"/>
        <w:rPr>
          <w:rFonts w:hint="eastAsia" w:ascii="宋体" w:hAnsi="宋体" w:cs="宋体"/>
          <w:sz w:val="24"/>
          <w:highlight w:val="none"/>
        </w:rPr>
      </w:pPr>
      <w:r>
        <w:rPr>
          <w:rFonts w:hint="eastAsia" w:ascii="宋体" w:hAnsi="宋体" w:cs="宋体"/>
          <w:sz w:val="24"/>
          <w:highlight w:val="none"/>
        </w:rPr>
        <w:t>　　18.3.4 需提前投入使用的单位工程在专用合同条款中明确。</w:t>
      </w:r>
    </w:p>
    <w:p w14:paraId="5C21105E">
      <w:pPr>
        <w:spacing w:line="500" w:lineRule="exact"/>
        <w:outlineLvl w:val="3"/>
        <w:rPr>
          <w:rFonts w:hint="eastAsia" w:ascii="宋体" w:hAnsi="宋体" w:cs="宋体"/>
          <w:sz w:val="24"/>
          <w:highlight w:val="none"/>
        </w:rPr>
      </w:pPr>
      <w:r>
        <w:rPr>
          <w:rFonts w:hint="eastAsia" w:ascii="宋体" w:hAnsi="宋体" w:cs="宋体"/>
          <w:sz w:val="24"/>
          <w:highlight w:val="none"/>
        </w:rPr>
        <w:t>18.4 合同工程完工验收</w:t>
      </w:r>
    </w:p>
    <w:p w14:paraId="44B6F318">
      <w:pPr>
        <w:spacing w:line="500" w:lineRule="exact"/>
        <w:rPr>
          <w:rFonts w:hint="eastAsia" w:ascii="宋体" w:hAnsi="宋体" w:cs="宋体"/>
          <w:sz w:val="24"/>
          <w:highlight w:val="none"/>
        </w:rPr>
      </w:pPr>
      <w:r>
        <w:rPr>
          <w:rFonts w:hint="eastAsia" w:ascii="宋体" w:hAnsi="宋体" w:cs="宋体"/>
          <w:sz w:val="24"/>
          <w:highlight w:val="none"/>
        </w:rPr>
        <w:t>　　18.4.1 合同工程具备验收条件时，承包人应向发包人提交验收申请报告，发包人应在收到验收申请报告之日起20个工作日内决定是否同意进行验收。</w:t>
      </w:r>
    </w:p>
    <w:p w14:paraId="00077344">
      <w:pPr>
        <w:spacing w:line="500" w:lineRule="exact"/>
        <w:rPr>
          <w:rFonts w:hint="eastAsia" w:ascii="宋体" w:hAnsi="宋体" w:cs="宋体"/>
          <w:sz w:val="24"/>
          <w:highlight w:val="none"/>
        </w:rPr>
      </w:pPr>
      <w:r>
        <w:rPr>
          <w:rFonts w:hint="eastAsia" w:ascii="宋体" w:hAnsi="宋体" w:cs="宋体"/>
          <w:sz w:val="24"/>
          <w:highlight w:val="none"/>
        </w:rPr>
        <w:t>　　18.4.2 发包人主持合同工程完工验收，承包人应派代表参加验收工作组。</w:t>
      </w:r>
    </w:p>
    <w:p w14:paraId="4C46B6B6">
      <w:pPr>
        <w:spacing w:line="500" w:lineRule="exact"/>
        <w:rPr>
          <w:rFonts w:hint="eastAsia" w:ascii="宋体" w:hAnsi="宋体" w:cs="宋体"/>
          <w:sz w:val="24"/>
          <w:highlight w:val="none"/>
        </w:rPr>
      </w:pPr>
      <w:r>
        <w:rPr>
          <w:rFonts w:hint="eastAsia" w:ascii="宋体" w:hAnsi="宋体" w:cs="宋体"/>
          <w:sz w:val="24"/>
          <w:highlight w:val="none"/>
        </w:rPr>
        <w:t>　　18.4.3 合同工程完工验收通过后，发包人向承包人发送合同工程完工验收鉴定书。承包人应及时完成合同工程完工验收鉴定书载明应由承包人处理的遗留问题。</w:t>
      </w:r>
    </w:p>
    <w:p w14:paraId="2218F8D7">
      <w:pPr>
        <w:spacing w:line="500" w:lineRule="exact"/>
        <w:rPr>
          <w:rFonts w:hint="eastAsia" w:ascii="宋体" w:hAnsi="宋体" w:cs="宋体"/>
          <w:sz w:val="24"/>
          <w:highlight w:val="none"/>
        </w:rPr>
      </w:pPr>
      <w:r>
        <w:rPr>
          <w:rFonts w:hint="eastAsia" w:ascii="宋体" w:hAnsi="宋体" w:cs="宋体"/>
          <w:sz w:val="24"/>
          <w:highlight w:val="none"/>
        </w:rPr>
        <w:t>　　18.4.4 合同工程完工验收通过后，发包人与承包人应在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在30个工作日内向承包人颁发合同工程完工证书。</w:t>
      </w:r>
    </w:p>
    <w:p w14:paraId="1442618E">
      <w:pPr>
        <w:spacing w:line="500" w:lineRule="exact"/>
        <w:outlineLvl w:val="3"/>
        <w:rPr>
          <w:rFonts w:hint="eastAsia" w:ascii="宋体" w:hAnsi="宋体" w:cs="宋体"/>
          <w:sz w:val="24"/>
          <w:highlight w:val="none"/>
        </w:rPr>
      </w:pPr>
      <w:r>
        <w:rPr>
          <w:rFonts w:hint="eastAsia" w:ascii="宋体" w:hAnsi="宋体" w:cs="宋体"/>
          <w:sz w:val="24"/>
          <w:highlight w:val="none"/>
        </w:rPr>
        <w:t>18.5 阶段验收</w:t>
      </w:r>
    </w:p>
    <w:p w14:paraId="26322BFE">
      <w:pPr>
        <w:spacing w:line="500" w:lineRule="exact"/>
        <w:rPr>
          <w:rFonts w:hint="eastAsia" w:ascii="宋体" w:hAnsi="宋体" w:cs="宋体"/>
          <w:sz w:val="24"/>
          <w:highlight w:val="none"/>
        </w:rPr>
      </w:pPr>
      <w:r>
        <w:rPr>
          <w:rFonts w:hint="eastAsia" w:ascii="宋体" w:hAnsi="宋体" w:cs="宋体"/>
          <w:sz w:val="24"/>
          <w:highlight w:val="none"/>
        </w:rPr>
        <w:t>　　18.5.1 工程建设具备阶段验收条件时，发包人负责提出阶段验收申请报告。承包人应派代表参加阶段验收，并作为被验收单位在验收鉴定书上签字。阶段验收的具体类别在专用合同条款中约定。</w:t>
      </w:r>
    </w:p>
    <w:p w14:paraId="56B75371">
      <w:pPr>
        <w:spacing w:line="500" w:lineRule="exact"/>
        <w:rPr>
          <w:rFonts w:hint="eastAsia" w:ascii="宋体" w:hAnsi="宋体" w:cs="宋体"/>
          <w:sz w:val="24"/>
          <w:highlight w:val="none"/>
        </w:rPr>
      </w:pPr>
      <w:r>
        <w:rPr>
          <w:rFonts w:hint="eastAsia" w:ascii="宋体" w:hAnsi="宋体" w:cs="宋体"/>
          <w:sz w:val="24"/>
          <w:highlight w:val="none"/>
        </w:rPr>
        <w:t>　　18.5.2 承包人应及时完成阶段验收鉴定书载明应由承包人处理的遗留问题。</w:t>
      </w:r>
    </w:p>
    <w:p w14:paraId="41DAF0E2">
      <w:pPr>
        <w:spacing w:line="500" w:lineRule="exact"/>
        <w:outlineLvl w:val="3"/>
        <w:rPr>
          <w:rFonts w:hint="eastAsia" w:ascii="宋体" w:hAnsi="宋体" w:cs="宋体"/>
          <w:sz w:val="24"/>
          <w:highlight w:val="none"/>
        </w:rPr>
      </w:pPr>
      <w:r>
        <w:rPr>
          <w:rFonts w:hint="eastAsia" w:ascii="宋体" w:hAnsi="宋体" w:cs="宋体"/>
          <w:sz w:val="24"/>
          <w:highlight w:val="none"/>
        </w:rPr>
        <w:t>18.6 专项验收</w:t>
      </w:r>
    </w:p>
    <w:p w14:paraId="61106D4B">
      <w:pPr>
        <w:spacing w:line="500" w:lineRule="exact"/>
        <w:rPr>
          <w:rFonts w:hint="eastAsia" w:ascii="宋体" w:hAnsi="宋体" w:cs="宋体"/>
          <w:sz w:val="24"/>
          <w:highlight w:val="none"/>
        </w:rPr>
      </w:pPr>
      <w:r>
        <w:rPr>
          <w:rFonts w:hint="eastAsia" w:ascii="宋体" w:hAnsi="宋体" w:cs="宋体"/>
          <w:sz w:val="24"/>
          <w:highlight w:val="none"/>
        </w:rPr>
        <w:t>　　18.6.1 发包人负责提出专项验收申请报告。承包人应按专项验收的相关规定参加专项验收。专项验收的具体类别在专用合同条款中约定。</w:t>
      </w:r>
    </w:p>
    <w:p w14:paraId="6D6F589D">
      <w:pPr>
        <w:spacing w:line="500" w:lineRule="exact"/>
        <w:rPr>
          <w:rFonts w:hint="eastAsia" w:ascii="宋体" w:hAnsi="宋体" w:cs="宋体"/>
          <w:sz w:val="24"/>
          <w:highlight w:val="none"/>
        </w:rPr>
      </w:pPr>
      <w:r>
        <w:rPr>
          <w:rFonts w:hint="eastAsia" w:ascii="宋体" w:hAnsi="宋体" w:cs="宋体"/>
          <w:sz w:val="24"/>
          <w:highlight w:val="none"/>
        </w:rPr>
        <w:t>　　18.6.2 承包人应及时完成专项验收成果性文件载明应由承包人处理的遗留问题。</w:t>
      </w:r>
    </w:p>
    <w:p w14:paraId="47302B94">
      <w:pPr>
        <w:spacing w:line="500" w:lineRule="exact"/>
        <w:outlineLvl w:val="3"/>
        <w:rPr>
          <w:rFonts w:hint="eastAsia" w:ascii="宋体" w:hAnsi="宋体" w:cs="宋体"/>
          <w:sz w:val="24"/>
          <w:highlight w:val="none"/>
        </w:rPr>
      </w:pPr>
      <w:r>
        <w:rPr>
          <w:rFonts w:hint="eastAsia" w:ascii="宋体" w:hAnsi="宋体" w:cs="宋体"/>
          <w:sz w:val="24"/>
          <w:highlight w:val="none"/>
        </w:rPr>
        <w:t>18.7 竣工验收</w:t>
      </w:r>
    </w:p>
    <w:p w14:paraId="32E2F67B">
      <w:pPr>
        <w:spacing w:line="500" w:lineRule="exact"/>
        <w:rPr>
          <w:rFonts w:hint="eastAsia" w:ascii="宋体" w:hAnsi="宋体" w:cs="宋体"/>
          <w:sz w:val="24"/>
          <w:highlight w:val="none"/>
        </w:rPr>
      </w:pPr>
      <w:r>
        <w:rPr>
          <w:rFonts w:hint="eastAsia" w:ascii="宋体" w:hAnsi="宋体" w:cs="宋体"/>
          <w:sz w:val="24"/>
          <w:highlight w:val="none"/>
        </w:rPr>
        <w:t>　　18.7.1 申请竣工验收前，发包人组织竣工验收自查，承包人应派代表参加。</w:t>
      </w:r>
    </w:p>
    <w:p w14:paraId="5C06D7EC">
      <w:pPr>
        <w:spacing w:line="500" w:lineRule="exact"/>
        <w:rPr>
          <w:rFonts w:hint="eastAsia" w:ascii="宋体" w:hAnsi="宋体" w:cs="宋体"/>
          <w:sz w:val="24"/>
          <w:highlight w:val="none"/>
        </w:rPr>
      </w:pPr>
      <w:r>
        <w:rPr>
          <w:rFonts w:hint="eastAsia" w:ascii="宋体" w:hAnsi="宋体" w:cs="宋体"/>
          <w:sz w:val="24"/>
          <w:highlight w:val="none"/>
        </w:rPr>
        <w:t>　　18.7.2 竣工验收分为竣工技术预验收和竣工验收两个阶段。发包人应通知承包人派代表参加技术预验收和竣工验收。</w:t>
      </w:r>
    </w:p>
    <w:p w14:paraId="68DAD36A">
      <w:pPr>
        <w:spacing w:line="500" w:lineRule="exact"/>
        <w:rPr>
          <w:rFonts w:hint="eastAsia" w:ascii="宋体" w:hAnsi="宋体" w:cs="宋体"/>
          <w:sz w:val="24"/>
          <w:highlight w:val="none"/>
        </w:rPr>
      </w:pPr>
      <w:r>
        <w:rPr>
          <w:rFonts w:hint="eastAsia" w:ascii="宋体" w:hAnsi="宋体" w:cs="宋体"/>
          <w:sz w:val="24"/>
          <w:highlight w:val="none"/>
        </w:rPr>
        <w:t>　　18.7.3 专用合同条款约定工程需要进行技术鉴定的，承包人应提交有关资料并完成配合工作。</w:t>
      </w:r>
    </w:p>
    <w:p w14:paraId="034AA847">
      <w:pPr>
        <w:spacing w:line="500" w:lineRule="exact"/>
        <w:rPr>
          <w:rFonts w:hint="eastAsia" w:ascii="宋体" w:hAnsi="宋体" w:cs="宋体"/>
          <w:sz w:val="24"/>
          <w:highlight w:val="none"/>
        </w:rPr>
      </w:pPr>
      <w:r>
        <w:rPr>
          <w:rFonts w:hint="eastAsia" w:ascii="宋体" w:hAnsi="宋体" w:cs="宋体"/>
          <w:sz w:val="24"/>
          <w:highlight w:val="none"/>
        </w:rPr>
        <w:t>　　18.7.4 竣工验收需要进行质量检测的，所需费用由发包人承担，但因承包人原因造成质量不合格的除外。</w:t>
      </w:r>
    </w:p>
    <w:p w14:paraId="39EB82D0">
      <w:pPr>
        <w:spacing w:line="500" w:lineRule="exact"/>
        <w:rPr>
          <w:rFonts w:hint="eastAsia" w:ascii="宋体" w:hAnsi="宋体" w:cs="宋体"/>
          <w:sz w:val="24"/>
          <w:highlight w:val="none"/>
        </w:rPr>
      </w:pPr>
      <w:r>
        <w:rPr>
          <w:rFonts w:hint="eastAsia" w:ascii="宋体" w:hAnsi="宋体" w:cs="宋体"/>
          <w:sz w:val="24"/>
          <w:highlight w:val="none"/>
        </w:rPr>
        <w:t>　　18.7.5 工程质量保修期满以及竣工验收遗留问题和尾工处理完成并通过验收后，发包人负责将处理情况和验收成果报送竣工验收主持单位，申请领取工程竣工证书，并发送承包人。</w:t>
      </w:r>
    </w:p>
    <w:p w14:paraId="6C516556">
      <w:pPr>
        <w:spacing w:line="500" w:lineRule="exact"/>
        <w:outlineLvl w:val="3"/>
        <w:rPr>
          <w:rFonts w:hint="eastAsia" w:ascii="宋体" w:hAnsi="宋体" w:cs="宋体"/>
          <w:sz w:val="24"/>
          <w:highlight w:val="none"/>
        </w:rPr>
      </w:pPr>
      <w:r>
        <w:rPr>
          <w:rFonts w:hint="eastAsia" w:ascii="宋体" w:hAnsi="宋体" w:cs="宋体"/>
          <w:sz w:val="24"/>
          <w:highlight w:val="none"/>
        </w:rPr>
        <w:t>18.8 施工期运行</w:t>
      </w:r>
    </w:p>
    <w:p w14:paraId="43125FCF">
      <w:pPr>
        <w:spacing w:line="500" w:lineRule="exact"/>
        <w:rPr>
          <w:rFonts w:hint="eastAsia" w:ascii="宋体" w:hAnsi="宋体" w:cs="宋体"/>
          <w:sz w:val="24"/>
          <w:highlight w:val="none"/>
        </w:rPr>
      </w:pPr>
      <w:r>
        <w:rPr>
          <w:rFonts w:hint="eastAsia" w:ascii="宋体" w:hAnsi="宋体" w:cs="宋体"/>
          <w:sz w:val="24"/>
          <w:highlight w:val="none"/>
        </w:rPr>
        <w:t>　　18.8.1 施工期运行是指合同工程尚未全部完工，其中某单位工程或部分工程已完工，需要投入施工期运行的，经发包人按第18.2款或第18.3款的约定验收合格，证明能确保安全后，才能在施工期投入运行。需要在施工期运行的单位工程或部分工程在专用合同条款中约定。</w:t>
      </w:r>
    </w:p>
    <w:p w14:paraId="0CD6EB88">
      <w:pPr>
        <w:spacing w:line="500" w:lineRule="exact"/>
        <w:rPr>
          <w:rFonts w:hint="eastAsia" w:ascii="宋体" w:hAnsi="宋体" w:cs="宋体"/>
          <w:sz w:val="24"/>
          <w:highlight w:val="none"/>
        </w:rPr>
      </w:pPr>
      <w:r>
        <w:rPr>
          <w:rFonts w:hint="eastAsia" w:ascii="宋体" w:hAnsi="宋体" w:cs="宋体"/>
          <w:sz w:val="24"/>
          <w:highlight w:val="none"/>
        </w:rPr>
        <w:t>　　18.8.2 在施工期运行中发现工程或工程设备损坏或存在缺陷的，由承包人按第19.2款约定进行修复。</w:t>
      </w:r>
    </w:p>
    <w:p w14:paraId="10B9AAB4">
      <w:pPr>
        <w:spacing w:line="500" w:lineRule="exact"/>
        <w:outlineLvl w:val="3"/>
        <w:rPr>
          <w:rFonts w:hint="eastAsia" w:ascii="宋体" w:hAnsi="宋体" w:cs="宋体"/>
          <w:sz w:val="24"/>
          <w:highlight w:val="none"/>
        </w:rPr>
      </w:pPr>
      <w:r>
        <w:rPr>
          <w:rFonts w:hint="eastAsia" w:ascii="宋体" w:hAnsi="宋体" w:cs="宋体"/>
          <w:sz w:val="24"/>
          <w:highlight w:val="none"/>
        </w:rPr>
        <w:t>18.9 试运行</w:t>
      </w:r>
    </w:p>
    <w:p w14:paraId="34000517">
      <w:pPr>
        <w:spacing w:line="500" w:lineRule="exact"/>
        <w:rPr>
          <w:rFonts w:hint="eastAsia" w:ascii="宋体" w:hAnsi="宋体" w:cs="宋体"/>
          <w:sz w:val="24"/>
          <w:highlight w:val="none"/>
        </w:rPr>
      </w:pPr>
      <w:r>
        <w:rPr>
          <w:rFonts w:hint="eastAsia" w:ascii="宋体" w:hAnsi="宋体" w:cs="宋体"/>
          <w:sz w:val="24"/>
          <w:highlight w:val="none"/>
        </w:rPr>
        <w:t>　　18.9.1 除专用合同条款另有约定外，承包人应按规定进行工程及工程设备试运行，负责提供试运行所需的人员、器材和必要的条件，并承担全部试运行费用。</w:t>
      </w:r>
    </w:p>
    <w:p w14:paraId="31E2711D">
      <w:pPr>
        <w:spacing w:line="500" w:lineRule="exact"/>
        <w:rPr>
          <w:rFonts w:hint="eastAsia" w:ascii="宋体" w:hAnsi="宋体" w:cs="宋体"/>
          <w:sz w:val="24"/>
          <w:highlight w:val="none"/>
        </w:rPr>
      </w:pPr>
      <w:r>
        <w:rPr>
          <w:rFonts w:hint="eastAsia" w:ascii="宋体" w:hAnsi="宋体" w:cs="宋体"/>
          <w:sz w:val="24"/>
          <w:highlight w:val="none"/>
        </w:rPr>
        <w:t>　　18.9.2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5175FEEA">
      <w:pPr>
        <w:spacing w:line="500" w:lineRule="exact"/>
        <w:outlineLvl w:val="3"/>
        <w:rPr>
          <w:rFonts w:hint="eastAsia" w:ascii="宋体" w:hAnsi="宋体" w:cs="宋体"/>
          <w:sz w:val="24"/>
          <w:highlight w:val="none"/>
        </w:rPr>
      </w:pPr>
      <w:r>
        <w:rPr>
          <w:rFonts w:hint="eastAsia" w:ascii="宋体" w:hAnsi="宋体" w:cs="宋体"/>
          <w:sz w:val="24"/>
          <w:highlight w:val="none"/>
        </w:rPr>
        <w:t>18.10 竣工(完工)清场</w:t>
      </w:r>
    </w:p>
    <w:p w14:paraId="734C2787">
      <w:pPr>
        <w:spacing w:line="500" w:lineRule="exact"/>
        <w:rPr>
          <w:rFonts w:hint="eastAsia" w:ascii="宋体" w:hAnsi="宋体" w:cs="宋体"/>
          <w:sz w:val="24"/>
          <w:highlight w:val="none"/>
        </w:rPr>
      </w:pPr>
      <w:r>
        <w:rPr>
          <w:rFonts w:hint="eastAsia" w:ascii="宋体" w:hAnsi="宋体" w:cs="宋体"/>
          <w:sz w:val="24"/>
          <w:highlight w:val="none"/>
        </w:rPr>
        <w:t>　　18.10.1 工程项目竣工(完工)清场的工作范围和内容在技术标准和要求(合同技术条款)中约定。</w:t>
      </w:r>
    </w:p>
    <w:p w14:paraId="2CDAFA11">
      <w:pPr>
        <w:spacing w:line="500" w:lineRule="exact"/>
        <w:rPr>
          <w:rFonts w:hint="eastAsia" w:ascii="宋体" w:hAnsi="宋体" w:cs="宋体"/>
          <w:sz w:val="24"/>
          <w:highlight w:val="none"/>
        </w:rPr>
      </w:pPr>
      <w:r>
        <w:rPr>
          <w:rFonts w:hint="eastAsia" w:ascii="宋体" w:hAnsi="宋体" w:cs="宋体"/>
          <w:sz w:val="24"/>
          <w:highlight w:val="none"/>
        </w:rPr>
        <w:t>　　18.10.2 承包人未按监理人的要求恢复临时占地，或者场地清理未达到合同约定的，发包人有权委托其它人恢复或清理，所发生的金额从拟支付给承包人的款项中扣除。</w:t>
      </w:r>
    </w:p>
    <w:p w14:paraId="306C321D">
      <w:pPr>
        <w:spacing w:line="500" w:lineRule="exact"/>
        <w:outlineLvl w:val="3"/>
        <w:rPr>
          <w:rFonts w:hint="eastAsia" w:ascii="宋体" w:hAnsi="宋体" w:cs="宋体"/>
          <w:sz w:val="24"/>
          <w:highlight w:val="none"/>
        </w:rPr>
      </w:pPr>
      <w:r>
        <w:rPr>
          <w:rFonts w:hint="eastAsia" w:ascii="宋体" w:hAnsi="宋体" w:cs="宋体"/>
          <w:sz w:val="24"/>
          <w:highlight w:val="none"/>
        </w:rPr>
        <w:t>18.11 施工队伍的撤离</w:t>
      </w:r>
    </w:p>
    <w:p w14:paraId="16B6949E">
      <w:pPr>
        <w:spacing w:line="500" w:lineRule="exact"/>
        <w:rPr>
          <w:rFonts w:hint="eastAsia" w:ascii="宋体" w:hAnsi="宋体" w:cs="宋体"/>
          <w:sz w:val="24"/>
          <w:highlight w:val="none"/>
        </w:rPr>
      </w:pPr>
      <w:r>
        <w:rPr>
          <w:rFonts w:hint="eastAsia" w:ascii="宋体" w:hAnsi="宋体" w:cs="宋体"/>
          <w:sz w:val="24"/>
          <w:highlight w:val="none"/>
        </w:rPr>
        <w:t>　　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14:paraId="31C8A2BA">
      <w:pPr>
        <w:spacing w:line="500" w:lineRule="exact"/>
        <w:outlineLvl w:val="2"/>
        <w:rPr>
          <w:rFonts w:hint="eastAsia" w:ascii="宋体" w:hAnsi="宋体" w:cs="宋体"/>
          <w:sz w:val="24"/>
          <w:highlight w:val="none"/>
        </w:rPr>
      </w:pPr>
      <w:bookmarkStart w:id="266" w:name="_Toc140340977"/>
      <w:r>
        <w:rPr>
          <w:rFonts w:hint="eastAsia" w:ascii="宋体" w:hAnsi="宋体" w:cs="宋体"/>
          <w:sz w:val="24"/>
          <w:highlight w:val="none"/>
        </w:rPr>
        <w:t>19. 缺陷责任与保修责任</w:t>
      </w:r>
      <w:bookmarkEnd w:id="266"/>
    </w:p>
    <w:p w14:paraId="6FF7401C">
      <w:pPr>
        <w:spacing w:line="500" w:lineRule="exact"/>
        <w:outlineLvl w:val="3"/>
        <w:rPr>
          <w:rFonts w:hint="eastAsia" w:ascii="宋体" w:hAnsi="宋体" w:cs="宋体"/>
          <w:sz w:val="24"/>
          <w:highlight w:val="none"/>
        </w:rPr>
      </w:pPr>
      <w:r>
        <w:rPr>
          <w:rFonts w:hint="eastAsia" w:ascii="宋体" w:hAnsi="宋体" w:cs="宋体"/>
          <w:sz w:val="24"/>
          <w:highlight w:val="none"/>
        </w:rPr>
        <w:t>19.1 缺陷责任期(工程质量保修期)的起算时间</w:t>
      </w:r>
    </w:p>
    <w:p w14:paraId="3249C42D">
      <w:pPr>
        <w:spacing w:line="500" w:lineRule="exact"/>
        <w:ind w:firstLine="420"/>
        <w:rPr>
          <w:rFonts w:hint="eastAsia" w:ascii="宋体" w:hAnsi="宋体" w:cs="宋体"/>
          <w:sz w:val="24"/>
          <w:highlight w:val="none"/>
        </w:rPr>
      </w:pPr>
      <w:r>
        <w:rPr>
          <w:rFonts w:hint="eastAsia" w:ascii="宋体" w:hAnsi="宋体" w:cs="宋体"/>
          <w:sz w:val="24"/>
          <w:highlight w:val="none"/>
        </w:rPr>
        <w:t>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14:paraId="2FF04198">
      <w:pPr>
        <w:spacing w:line="500" w:lineRule="exact"/>
        <w:outlineLvl w:val="3"/>
        <w:rPr>
          <w:rFonts w:hint="eastAsia" w:ascii="宋体" w:hAnsi="宋体" w:cs="宋体"/>
          <w:sz w:val="24"/>
          <w:highlight w:val="none"/>
        </w:rPr>
      </w:pPr>
      <w:r>
        <w:rPr>
          <w:rFonts w:hint="eastAsia" w:ascii="宋体" w:hAnsi="宋体" w:cs="宋体"/>
          <w:sz w:val="24"/>
          <w:highlight w:val="none"/>
        </w:rPr>
        <w:t>19.2 缺陷责任</w:t>
      </w:r>
    </w:p>
    <w:p w14:paraId="1E626116">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19.2.1 承包人应在缺陷责任期内对已交付使用的工程承担缺陷责任。</w:t>
      </w:r>
    </w:p>
    <w:p w14:paraId="3981A705">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2D73CA2E">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4B3F9DFA">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19.2.4 承包人不能在合理时间内修复缺陷的，发包人可自行修复或委托其他人修复，所需费用和利润的承担，按第19.2.3项约定办理。</w:t>
      </w:r>
    </w:p>
    <w:p w14:paraId="31733FD9">
      <w:pPr>
        <w:spacing w:line="500" w:lineRule="exact"/>
        <w:outlineLvl w:val="3"/>
        <w:rPr>
          <w:rFonts w:hint="eastAsia" w:ascii="宋体" w:hAnsi="宋体" w:cs="宋体"/>
          <w:sz w:val="24"/>
          <w:highlight w:val="none"/>
        </w:rPr>
      </w:pPr>
      <w:r>
        <w:rPr>
          <w:rFonts w:hint="eastAsia" w:ascii="宋体" w:hAnsi="宋体" w:cs="宋体"/>
          <w:sz w:val="24"/>
          <w:highlight w:val="none"/>
        </w:rPr>
        <w:t>19.3 缺陷责任期的延长</w:t>
      </w:r>
    </w:p>
    <w:p w14:paraId="495C7C24">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由于承包人原因造成某项缺陷或损坏使某项工程或工程设备不能按原定目标使用而需要再次检查、检验和修复的，发包人有权要求承包人相应延长缺陷责任期，但缺陷责任期最长不超过2年。</w:t>
      </w:r>
    </w:p>
    <w:p w14:paraId="57C13C65">
      <w:pPr>
        <w:spacing w:line="500" w:lineRule="exact"/>
        <w:outlineLvl w:val="3"/>
        <w:rPr>
          <w:rFonts w:hint="eastAsia" w:ascii="宋体" w:hAnsi="宋体" w:cs="宋体"/>
          <w:sz w:val="24"/>
          <w:highlight w:val="none"/>
        </w:rPr>
      </w:pPr>
      <w:r>
        <w:rPr>
          <w:rFonts w:hint="eastAsia" w:ascii="宋体" w:hAnsi="宋体" w:cs="宋体"/>
          <w:sz w:val="24"/>
          <w:highlight w:val="none"/>
        </w:rPr>
        <w:t>19.4 进一步试验和试运行</w:t>
      </w:r>
    </w:p>
    <w:p w14:paraId="4DA87425">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任何一项缺陷或损坏修复后，经检查证明其影响了工程或工程设备的使用性能，承包人应重新进行合同约定的试验和试运行，试验和试运行的全部费用应由责任方承担。</w:t>
      </w:r>
    </w:p>
    <w:p w14:paraId="69273D6D">
      <w:pPr>
        <w:spacing w:line="500" w:lineRule="exact"/>
        <w:outlineLvl w:val="3"/>
        <w:rPr>
          <w:rFonts w:hint="eastAsia" w:ascii="宋体" w:hAnsi="宋体" w:cs="宋体"/>
          <w:sz w:val="24"/>
          <w:highlight w:val="none"/>
        </w:rPr>
      </w:pPr>
      <w:r>
        <w:rPr>
          <w:rFonts w:hint="eastAsia" w:ascii="宋体" w:hAnsi="宋体" w:cs="宋体"/>
          <w:sz w:val="24"/>
          <w:highlight w:val="none"/>
        </w:rPr>
        <w:t>19.5 承包人的进入权</w:t>
      </w:r>
    </w:p>
    <w:p w14:paraId="0CCEB016">
      <w:pPr>
        <w:spacing w:line="500" w:lineRule="exact"/>
        <w:rPr>
          <w:rFonts w:hint="eastAsia" w:ascii="宋体" w:hAnsi="宋体" w:cs="宋体"/>
          <w:sz w:val="24"/>
          <w:highlight w:val="none"/>
        </w:rPr>
      </w:pPr>
      <w:r>
        <w:rPr>
          <w:rFonts w:hint="eastAsia" w:ascii="宋体" w:hAnsi="宋体" w:cs="宋体"/>
          <w:sz w:val="24"/>
          <w:highlight w:val="none"/>
        </w:rPr>
        <w:t>缺陷责任期内承包人为缺陷修复工作需要，有权进入工程现场，但应遵守发包人的保安和保密规定。</w:t>
      </w:r>
    </w:p>
    <w:p w14:paraId="08824A66">
      <w:pPr>
        <w:spacing w:line="500" w:lineRule="exact"/>
        <w:outlineLvl w:val="3"/>
        <w:rPr>
          <w:rFonts w:hint="eastAsia" w:ascii="宋体" w:hAnsi="宋体" w:cs="宋体"/>
          <w:sz w:val="24"/>
          <w:highlight w:val="none"/>
        </w:rPr>
      </w:pPr>
      <w:r>
        <w:rPr>
          <w:rFonts w:hint="eastAsia" w:ascii="宋体" w:hAnsi="宋体" w:cs="宋体"/>
          <w:sz w:val="24"/>
          <w:highlight w:val="none"/>
        </w:rPr>
        <w:t>19.6 缺陷责任期终止证书(工程质量保修责任终止证书)</w:t>
      </w:r>
    </w:p>
    <w:p w14:paraId="4AE6BAAC">
      <w:pPr>
        <w:spacing w:line="500" w:lineRule="exact"/>
        <w:rPr>
          <w:rFonts w:hint="eastAsia" w:ascii="宋体" w:hAnsi="宋体" w:cs="宋体"/>
          <w:sz w:val="24"/>
          <w:highlight w:val="none"/>
        </w:rPr>
      </w:pPr>
      <w:r>
        <w:rPr>
          <w:rFonts w:hint="eastAsia" w:ascii="宋体" w:hAnsi="宋体" w:cs="宋体"/>
          <w:sz w:val="24"/>
          <w:highlight w:val="none"/>
        </w:rPr>
        <w:t>　　合同工程完工验收或投入使用验收后，发包人与承包人应办理工程交接手续，承包人应向发包人递交工程质量保修书。</w:t>
      </w:r>
    </w:p>
    <w:p w14:paraId="278C7692">
      <w:pPr>
        <w:spacing w:line="500" w:lineRule="exact"/>
        <w:ind w:firstLine="420"/>
        <w:rPr>
          <w:rFonts w:hint="eastAsia" w:ascii="宋体" w:hAnsi="宋体" w:cs="宋体"/>
          <w:sz w:val="24"/>
          <w:highlight w:val="none"/>
        </w:rPr>
      </w:pPr>
      <w:r>
        <w:rPr>
          <w:rFonts w:hint="eastAsia" w:ascii="宋体" w:hAnsi="宋体" w:cs="宋体"/>
          <w:sz w:val="24"/>
          <w:highlight w:val="none"/>
        </w:rPr>
        <w:t>缺陷责任期(工程质量保修期)满后30个工作日内，发包人应向承包人颁发工程质量保修责任终止证书，并退还剩余的质量保证金，但保修责任范围内的质量缺陷未处理完成的应除外。</w:t>
      </w:r>
    </w:p>
    <w:p w14:paraId="1E898606">
      <w:pPr>
        <w:spacing w:line="500" w:lineRule="exact"/>
        <w:outlineLvl w:val="3"/>
        <w:rPr>
          <w:rFonts w:hint="eastAsia" w:ascii="宋体" w:hAnsi="宋体" w:cs="宋体"/>
          <w:sz w:val="24"/>
          <w:highlight w:val="none"/>
        </w:rPr>
      </w:pPr>
      <w:r>
        <w:rPr>
          <w:rFonts w:hint="eastAsia" w:ascii="宋体" w:hAnsi="宋体" w:cs="宋体"/>
          <w:sz w:val="24"/>
          <w:highlight w:val="none"/>
        </w:rPr>
        <w:t>19.7 保修责任</w:t>
      </w:r>
    </w:p>
    <w:p w14:paraId="2C1999D2">
      <w:pPr>
        <w:spacing w:line="500" w:lineRule="exact"/>
        <w:ind w:firstLine="420"/>
        <w:rPr>
          <w:rFonts w:hint="eastAsia" w:ascii="宋体" w:hAnsi="宋体" w:cs="宋体"/>
          <w:sz w:val="24"/>
          <w:highlight w:val="none"/>
        </w:rPr>
      </w:pPr>
      <w:r>
        <w:rPr>
          <w:rFonts w:hint="eastAsia" w:ascii="宋体" w:hAnsi="宋体" w:cs="宋体"/>
          <w:sz w:val="24"/>
          <w:highlight w:val="none"/>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4668C4C2">
      <w:pPr>
        <w:spacing w:line="500" w:lineRule="exact"/>
        <w:outlineLvl w:val="2"/>
        <w:rPr>
          <w:rFonts w:hint="eastAsia" w:ascii="宋体" w:hAnsi="宋体" w:cs="宋体"/>
          <w:sz w:val="24"/>
          <w:highlight w:val="none"/>
        </w:rPr>
      </w:pPr>
      <w:bookmarkStart w:id="267" w:name="_Toc140340978"/>
      <w:r>
        <w:rPr>
          <w:rFonts w:hint="eastAsia" w:ascii="宋体" w:hAnsi="宋体" w:cs="宋体"/>
          <w:sz w:val="24"/>
          <w:highlight w:val="none"/>
        </w:rPr>
        <w:t>20. 保险</w:t>
      </w:r>
      <w:bookmarkEnd w:id="267"/>
    </w:p>
    <w:p w14:paraId="4766A411">
      <w:pPr>
        <w:spacing w:line="500" w:lineRule="exact"/>
        <w:outlineLvl w:val="3"/>
        <w:rPr>
          <w:rFonts w:hint="eastAsia" w:ascii="宋体" w:hAnsi="宋体" w:cs="宋体"/>
          <w:sz w:val="24"/>
          <w:highlight w:val="none"/>
        </w:rPr>
      </w:pPr>
      <w:r>
        <w:rPr>
          <w:rFonts w:hint="eastAsia" w:ascii="宋体" w:hAnsi="宋体" w:cs="宋体"/>
          <w:sz w:val="24"/>
          <w:highlight w:val="none"/>
        </w:rPr>
        <w:t>20.1 工程保险</w:t>
      </w:r>
    </w:p>
    <w:p w14:paraId="700AB457">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13D03F0F">
      <w:pPr>
        <w:spacing w:line="500" w:lineRule="exact"/>
        <w:outlineLvl w:val="3"/>
        <w:rPr>
          <w:rFonts w:hint="eastAsia" w:ascii="宋体" w:hAnsi="宋体" w:cs="宋体"/>
          <w:sz w:val="24"/>
          <w:highlight w:val="none"/>
        </w:rPr>
      </w:pPr>
      <w:r>
        <w:rPr>
          <w:rFonts w:hint="eastAsia" w:ascii="宋体" w:hAnsi="宋体" w:cs="宋体"/>
          <w:sz w:val="24"/>
          <w:highlight w:val="none"/>
        </w:rPr>
        <w:t>20.2 人员工伤事故的保险</w:t>
      </w:r>
    </w:p>
    <w:p w14:paraId="3E93D7CA">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20.2.1 承包人员工伤事故的保险</w:t>
      </w:r>
    </w:p>
    <w:p w14:paraId="6D9C2607">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承包人应依照有关法律规定参加工伤保险，为其履行合同所雇佣的全部人员，缴纳工伤保险费，并要求其分包人也进行此项保险。</w:t>
      </w:r>
    </w:p>
    <w:p w14:paraId="34D15E5C">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20.2.2 发包人员工伤事故的保险</w:t>
      </w:r>
    </w:p>
    <w:p w14:paraId="06E1AC39">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发包人应依照有关法律规定参加工伤保险，为其现场机构雇佣的全部人员，缴纳工伤保险费，并要求其监理人也进行此项保险。</w:t>
      </w:r>
    </w:p>
    <w:p w14:paraId="32F1DB05">
      <w:pPr>
        <w:spacing w:line="500" w:lineRule="exact"/>
        <w:outlineLvl w:val="3"/>
        <w:rPr>
          <w:rFonts w:hint="eastAsia" w:ascii="宋体" w:hAnsi="宋体" w:cs="宋体"/>
          <w:sz w:val="24"/>
          <w:highlight w:val="none"/>
        </w:rPr>
      </w:pPr>
      <w:r>
        <w:rPr>
          <w:rFonts w:hint="eastAsia" w:ascii="宋体" w:hAnsi="宋体" w:cs="宋体"/>
          <w:sz w:val="24"/>
          <w:highlight w:val="none"/>
        </w:rPr>
        <w:t>20.3 人身意外伤害险</w:t>
      </w:r>
    </w:p>
    <w:p w14:paraId="3C5078E9">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20.3.1 发包人应在整个施工期间为其现场机构雇用的全部人员，投保人身意外伤害险，缴纳保险费，并要求其监理人也进行此项保险。</w:t>
      </w:r>
    </w:p>
    <w:p w14:paraId="372B45C8">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20.3.2 承包人应在整个施工期间为其现场机构雇用的全部人员，投保人身意外伤害险，缴纳保险费，并要求其分包人也进行此项保险。</w:t>
      </w:r>
    </w:p>
    <w:p w14:paraId="372D9B8A">
      <w:pPr>
        <w:spacing w:line="500" w:lineRule="exact"/>
        <w:outlineLvl w:val="3"/>
        <w:rPr>
          <w:rFonts w:hint="eastAsia" w:ascii="宋体" w:hAnsi="宋体" w:cs="宋体"/>
          <w:sz w:val="24"/>
          <w:highlight w:val="none"/>
        </w:rPr>
      </w:pPr>
      <w:r>
        <w:rPr>
          <w:rFonts w:hint="eastAsia" w:ascii="宋体" w:hAnsi="宋体" w:cs="宋体"/>
          <w:sz w:val="24"/>
          <w:highlight w:val="none"/>
        </w:rPr>
        <w:t>20.4 第三者责任险</w:t>
      </w:r>
    </w:p>
    <w:p w14:paraId="749A9EDD">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3FE1BF7A">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20.4.2 在缺陷责任期终止证书颁发前，承包人应以承包人和发包人的共同名义，投保第20.4.1项约定的第三者责任险，其保险费率、保险金额等有关内容在专用合同条款中约定。</w:t>
      </w:r>
    </w:p>
    <w:p w14:paraId="7262EA3B">
      <w:pPr>
        <w:spacing w:line="500" w:lineRule="exact"/>
        <w:outlineLvl w:val="3"/>
        <w:rPr>
          <w:rFonts w:hint="eastAsia" w:ascii="宋体" w:hAnsi="宋体" w:cs="宋体"/>
          <w:sz w:val="24"/>
          <w:highlight w:val="none"/>
        </w:rPr>
      </w:pPr>
      <w:r>
        <w:rPr>
          <w:rFonts w:hint="eastAsia" w:ascii="宋体" w:hAnsi="宋体" w:cs="宋体"/>
          <w:sz w:val="24"/>
          <w:highlight w:val="none"/>
        </w:rPr>
        <w:t>20.5 其他保险</w:t>
      </w:r>
    </w:p>
    <w:p w14:paraId="28A1AE83">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除专用合同条款另有约定外，承包人应为其施工设备、进场的材料和工程设备等办理保险。</w:t>
      </w:r>
    </w:p>
    <w:p w14:paraId="7927684F">
      <w:pPr>
        <w:spacing w:line="500" w:lineRule="exact"/>
        <w:outlineLvl w:val="3"/>
        <w:rPr>
          <w:rFonts w:hint="eastAsia" w:ascii="宋体" w:hAnsi="宋体" w:cs="宋体"/>
          <w:sz w:val="24"/>
          <w:highlight w:val="none"/>
        </w:rPr>
      </w:pPr>
      <w:r>
        <w:rPr>
          <w:rFonts w:hint="eastAsia" w:ascii="宋体" w:hAnsi="宋体" w:cs="宋体"/>
          <w:sz w:val="24"/>
          <w:highlight w:val="none"/>
        </w:rPr>
        <w:t>20.6 对各项保险的一般要求</w:t>
      </w:r>
    </w:p>
    <w:p w14:paraId="6794831D">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20.6.1 保险凭证</w:t>
      </w:r>
    </w:p>
    <w:p w14:paraId="68184905">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承包人应在专用合同条款约定的期限内向发包人提交各项保险生效的证据和保险单备份，保险单必须与专用合同条款约定的条件保持一致。</w:t>
      </w:r>
    </w:p>
    <w:p w14:paraId="0A5CC858">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20.6.2 保险合同条款的变动</w:t>
      </w:r>
    </w:p>
    <w:p w14:paraId="7018F0B2">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承包人需要变动保险合同条款时，应事先征得发包人同意，并通知监理人。保险人作出变动的，承包人应在收到保险人通知后立即通知发包人和监理人。</w:t>
      </w:r>
    </w:p>
    <w:p w14:paraId="0909352E">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20.6.3 持续保险</w:t>
      </w:r>
    </w:p>
    <w:p w14:paraId="668AFCDD">
      <w:pPr>
        <w:spacing w:line="500" w:lineRule="exact"/>
        <w:rPr>
          <w:rFonts w:hint="eastAsia" w:ascii="宋体" w:hAnsi="宋体" w:cs="宋体"/>
          <w:sz w:val="24"/>
          <w:highlight w:val="none"/>
        </w:rPr>
      </w:pPr>
      <w:r>
        <w:rPr>
          <w:rFonts w:hint="eastAsia" w:ascii="宋体" w:hAnsi="宋体" w:cs="宋体"/>
          <w:sz w:val="24"/>
          <w:highlight w:val="none"/>
        </w:rPr>
        <w:t>承包人应与保险人保持联系，使保险人能够随时了解工程实施中的变动，并确保按保险合同条款要求持续保险。</w:t>
      </w:r>
    </w:p>
    <w:p w14:paraId="408DD687">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20.6.4　保险金不足以补偿损失时，应由承包人和发包人各自负责补偿的范围和金额在专用合同条款中约定。</w:t>
      </w:r>
    </w:p>
    <w:p w14:paraId="5BB02227">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20.6.5 未按约定投保的补救</w:t>
      </w:r>
    </w:p>
    <w:p w14:paraId="70CF2054">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（1）由于负有投保义务的一方当事人未按合同约定办理保险，或未能使保险持续有效的，另一方当事人可代为办理，所需费用由对方当事人承担。</w:t>
      </w:r>
    </w:p>
    <w:p w14:paraId="5BF730F3">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（2）由于负有投保义务的一方当事人未按合同约定办理某项保险，导致受益人未能得到保险人的赔偿，原应从该项保险得到的保险金应由负有投保义务的一方当事人支付。</w:t>
      </w:r>
    </w:p>
    <w:p w14:paraId="24919207">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20.6.6 报告义务</w:t>
      </w:r>
    </w:p>
    <w:p w14:paraId="6A750280">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当保险事故发生时，投保人应按照保险单规定的条件和期限及时向保险人报告。</w:t>
      </w:r>
    </w:p>
    <w:p w14:paraId="7E6F94F0">
      <w:pPr>
        <w:spacing w:line="500" w:lineRule="exact"/>
        <w:outlineLvl w:val="3"/>
        <w:rPr>
          <w:rFonts w:hint="eastAsia" w:ascii="宋体" w:hAnsi="宋体" w:cs="宋体"/>
          <w:sz w:val="24"/>
          <w:highlight w:val="none"/>
        </w:rPr>
      </w:pPr>
      <w:r>
        <w:rPr>
          <w:rFonts w:hint="eastAsia" w:ascii="宋体" w:hAnsi="宋体" w:cs="宋体"/>
          <w:sz w:val="24"/>
          <w:highlight w:val="none"/>
        </w:rPr>
        <w:t>20.7 风险责任的转移</w:t>
      </w:r>
    </w:p>
    <w:p w14:paraId="205B38B2">
      <w:pPr>
        <w:spacing w:line="500" w:lineRule="exact"/>
        <w:rPr>
          <w:rFonts w:hint="eastAsia" w:ascii="宋体" w:hAnsi="宋体" w:cs="宋体"/>
          <w:sz w:val="24"/>
          <w:highlight w:val="none"/>
        </w:rPr>
      </w:pPr>
      <w:r>
        <w:rPr>
          <w:rFonts w:hint="eastAsia" w:ascii="宋体" w:hAnsi="宋体" w:cs="宋体"/>
          <w:sz w:val="24"/>
          <w:highlight w:val="none"/>
        </w:rPr>
        <w:t>　　工程通过合同工程完工验收并移交给发包人后，原由承包人应承担的风险责任，以及保险的责任、权利和义务同时转移给发包人，但承包人在缺陷责任期(工程质量保修期)前造成损失和损坏情形除外。</w:t>
      </w:r>
    </w:p>
    <w:p w14:paraId="2E741953">
      <w:pPr>
        <w:spacing w:line="500" w:lineRule="exact"/>
        <w:outlineLvl w:val="2"/>
        <w:rPr>
          <w:rFonts w:hint="eastAsia" w:ascii="宋体" w:hAnsi="宋体" w:cs="宋体"/>
          <w:sz w:val="24"/>
          <w:highlight w:val="none"/>
        </w:rPr>
      </w:pPr>
      <w:bookmarkStart w:id="268" w:name="_Toc140340979"/>
      <w:r>
        <w:rPr>
          <w:rFonts w:hint="eastAsia" w:ascii="宋体" w:hAnsi="宋体" w:cs="宋体"/>
          <w:sz w:val="24"/>
          <w:highlight w:val="none"/>
        </w:rPr>
        <w:t>21. 不可抗力</w:t>
      </w:r>
      <w:bookmarkEnd w:id="268"/>
    </w:p>
    <w:p w14:paraId="1C01BBAB">
      <w:pPr>
        <w:spacing w:line="500" w:lineRule="exact"/>
        <w:outlineLvl w:val="3"/>
        <w:rPr>
          <w:rFonts w:hint="eastAsia" w:ascii="宋体" w:hAnsi="宋体" w:cs="宋体"/>
          <w:sz w:val="24"/>
          <w:highlight w:val="none"/>
        </w:rPr>
      </w:pPr>
      <w:r>
        <w:rPr>
          <w:rFonts w:hint="eastAsia" w:ascii="宋体" w:hAnsi="宋体" w:cs="宋体"/>
          <w:sz w:val="24"/>
          <w:highlight w:val="none"/>
        </w:rPr>
        <w:t>21.1 不可抗力的确认</w:t>
      </w:r>
    </w:p>
    <w:p w14:paraId="48FCFA0D">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4669758D">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239824E6">
      <w:pPr>
        <w:spacing w:line="500" w:lineRule="exact"/>
        <w:outlineLvl w:val="3"/>
        <w:rPr>
          <w:rFonts w:hint="eastAsia" w:ascii="宋体" w:hAnsi="宋体" w:cs="宋体"/>
          <w:sz w:val="24"/>
          <w:highlight w:val="none"/>
        </w:rPr>
      </w:pPr>
      <w:r>
        <w:rPr>
          <w:rFonts w:hint="eastAsia" w:ascii="宋体" w:hAnsi="宋体" w:cs="宋体"/>
          <w:sz w:val="24"/>
          <w:highlight w:val="none"/>
        </w:rPr>
        <w:t>21.2 不可抗力的通知</w:t>
      </w:r>
    </w:p>
    <w:p w14:paraId="7B52F660">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21.2.1 合同一方当事人遇到不可抗力事件，使其履行合同义务受到阻碍时，应立即通知合同另一方当事人和监理人，书面说明不可抗力和受阻碍的详细情况，并提供必要的证明。</w:t>
      </w:r>
    </w:p>
    <w:p w14:paraId="573C4136">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21.2.2 如不可抗力持续发生，合同一方当事人应及时向合同另一方当事人和监理人提交中间报告，说明不可抗力和履行合同受阻的情况，并于不可抗力事件结束后28天内提交最终报告及有关资料。</w:t>
      </w:r>
    </w:p>
    <w:p w14:paraId="7085754E">
      <w:pPr>
        <w:spacing w:line="500" w:lineRule="exact"/>
        <w:outlineLvl w:val="3"/>
        <w:rPr>
          <w:rFonts w:hint="eastAsia" w:ascii="宋体" w:hAnsi="宋体" w:cs="宋体"/>
          <w:sz w:val="24"/>
          <w:highlight w:val="none"/>
        </w:rPr>
      </w:pPr>
      <w:r>
        <w:rPr>
          <w:rFonts w:hint="eastAsia" w:ascii="宋体" w:hAnsi="宋体" w:cs="宋体"/>
          <w:sz w:val="24"/>
          <w:highlight w:val="none"/>
        </w:rPr>
        <w:t>21.3 不可抗力后果及其处理</w:t>
      </w:r>
    </w:p>
    <w:p w14:paraId="093D4FC4">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21.3.1 不可抗力造成损害的责任</w:t>
      </w:r>
    </w:p>
    <w:p w14:paraId="6B5D82E1">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除专用合同条款另有约定外，不可抗力导致的人员伤亡、财产损失、费用增加和（或）工期延误等后果，由合同双方按以下原则承担：</w:t>
      </w:r>
    </w:p>
    <w:p w14:paraId="2F02887B">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（1）永久工程，包括已运至施工场地的材料和工程设备的损害，以及因工程损害造成的第三者人员伤亡和财产损失由发包人承担；</w:t>
      </w:r>
    </w:p>
    <w:p w14:paraId="122188E7">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（2）承包人设备的损坏由承包人承担；</w:t>
      </w:r>
    </w:p>
    <w:p w14:paraId="59DCD630">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（3）发包人和承包人各自承担其人员伤亡和其他财产损失及其相关费用；</w:t>
      </w:r>
    </w:p>
    <w:p w14:paraId="67B03751">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（4）承包人的停工损失由承包人承担，但停工期间应监理人要求照管工程和清理、修复工程的金额由发包人承担；</w:t>
      </w:r>
    </w:p>
    <w:p w14:paraId="7DC9EB14">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（5）不能按期竣工的，应合理延长工期，承包人不需支付逾期竣工违约金。发包人要求赶工的，承包人应采取赶工措施，赶工费用由发包人承担。</w:t>
      </w:r>
    </w:p>
    <w:p w14:paraId="3A1461F8">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21.3.2 延迟履行期间发生的不可抗力</w:t>
      </w:r>
    </w:p>
    <w:p w14:paraId="163A4105">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合同一方当事人延迟履行，在延迟履行期间发生不可抗力的，不免除其责任。</w:t>
      </w:r>
    </w:p>
    <w:p w14:paraId="1E04AF4D">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21.3.3 避免和减少不可抗力损失</w:t>
      </w:r>
    </w:p>
    <w:p w14:paraId="7FB0D6A5">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不可抗力发生后，发包人和承包人均应采取措施尽量避免和减少损失的扩大，任何一方没有采取有效措施导致损失扩大的，应对扩大的损失承担责任。</w:t>
      </w:r>
    </w:p>
    <w:p w14:paraId="1F71D568">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21.3.4 因不可抗力解除合同</w:t>
      </w:r>
    </w:p>
    <w:p w14:paraId="705DFF76">
      <w:pPr>
        <w:spacing w:line="500" w:lineRule="exact"/>
        <w:rPr>
          <w:rFonts w:hint="eastAsia" w:ascii="宋体" w:hAnsi="宋体" w:cs="宋体"/>
          <w:sz w:val="24"/>
          <w:highlight w:val="none"/>
        </w:rPr>
      </w:pPr>
      <w:r>
        <w:rPr>
          <w:rFonts w:hint="eastAsia" w:ascii="宋体" w:hAnsi="宋体" w:cs="宋体"/>
          <w:sz w:val="24"/>
          <w:highlight w:val="none"/>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6A1DFE4E">
      <w:pPr>
        <w:spacing w:line="500" w:lineRule="exact"/>
        <w:outlineLvl w:val="2"/>
        <w:rPr>
          <w:rFonts w:hint="eastAsia" w:ascii="宋体" w:hAnsi="宋体" w:cs="宋体"/>
          <w:sz w:val="24"/>
          <w:highlight w:val="none"/>
        </w:rPr>
      </w:pPr>
      <w:bookmarkStart w:id="269" w:name="_Toc140340980"/>
      <w:r>
        <w:rPr>
          <w:rFonts w:hint="eastAsia" w:ascii="宋体" w:hAnsi="宋体" w:cs="宋体"/>
          <w:sz w:val="24"/>
          <w:highlight w:val="none"/>
        </w:rPr>
        <w:t>22. 违约</w:t>
      </w:r>
      <w:bookmarkEnd w:id="269"/>
    </w:p>
    <w:p w14:paraId="5898008F">
      <w:pPr>
        <w:spacing w:line="500" w:lineRule="exact"/>
        <w:outlineLvl w:val="3"/>
        <w:rPr>
          <w:rFonts w:hint="eastAsia" w:ascii="宋体" w:hAnsi="宋体" w:cs="宋体"/>
          <w:sz w:val="24"/>
          <w:highlight w:val="none"/>
        </w:rPr>
      </w:pPr>
      <w:r>
        <w:rPr>
          <w:rFonts w:hint="eastAsia" w:ascii="宋体" w:hAnsi="宋体" w:cs="宋体"/>
          <w:sz w:val="24"/>
          <w:highlight w:val="none"/>
        </w:rPr>
        <w:t>22.1 承包人违约</w:t>
      </w:r>
    </w:p>
    <w:p w14:paraId="0C500144">
      <w:pPr>
        <w:spacing w:line="500" w:lineRule="exact"/>
        <w:rPr>
          <w:rFonts w:hint="eastAsia" w:ascii="宋体" w:hAnsi="宋体" w:cs="宋体"/>
          <w:sz w:val="24"/>
          <w:highlight w:val="none"/>
        </w:rPr>
      </w:pPr>
      <w:r>
        <w:rPr>
          <w:rFonts w:hint="eastAsia" w:ascii="宋体" w:hAnsi="宋体" w:cs="宋体"/>
          <w:sz w:val="24"/>
          <w:highlight w:val="none"/>
        </w:rPr>
        <w:t>　　22.1.1 承包人违约的情形</w:t>
      </w:r>
    </w:p>
    <w:p w14:paraId="76D04905">
      <w:pPr>
        <w:spacing w:line="500" w:lineRule="exact"/>
        <w:rPr>
          <w:rFonts w:hint="eastAsia" w:ascii="宋体" w:hAnsi="宋体" w:cs="宋体"/>
          <w:sz w:val="24"/>
          <w:highlight w:val="none"/>
        </w:rPr>
      </w:pPr>
      <w:r>
        <w:rPr>
          <w:rFonts w:hint="eastAsia" w:ascii="宋体" w:hAnsi="宋体" w:cs="宋体"/>
          <w:sz w:val="24"/>
          <w:highlight w:val="none"/>
        </w:rPr>
        <w:t>　　在履行合同过程中发生的下列情况属承包人违约：</w:t>
      </w:r>
    </w:p>
    <w:p w14:paraId="0F7B536E">
      <w:pPr>
        <w:spacing w:line="500" w:lineRule="exact"/>
        <w:rPr>
          <w:rFonts w:hint="eastAsia" w:ascii="宋体" w:hAnsi="宋体" w:cs="宋体"/>
          <w:sz w:val="24"/>
          <w:highlight w:val="none"/>
        </w:rPr>
      </w:pPr>
      <w:r>
        <w:rPr>
          <w:rFonts w:hint="eastAsia" w:ascii="宋体" w:hAnsi="宋体" w:cs="宋体"/>
          <w:sz w:val="24"/>
          <w:highlight w:val="none"/>
        </w:rPr>
        <w:t>　　(1)承包人违反第1.8款或第4.3款的约定，私自将合同的全部或部分权利转让给其他人，或私自将合同的全部或部分义务转移给其他人；</w:t>
      </w:r>
    </w:p>
    <w:p w14:paraId="4C2B49B4">
      <w:pPr>
        <w:spacing w:line="500" w:lineRule="exact"/>
        <w:rPr>
          <w:rFonts w:hint="eastAsia" w:ascii="宋体" w:hAnsi="宋体" w:cs="宋体"/>
          <w:sz w:val="24"/>
          <w:highlight w:val="none"/>
        </w:rPr>
      </w:pPr>
      <w:r>
        <w:rPr>
          <w:rFonts w:hint="eastAsia" w:ascii="宋体" w:hAnsi="宋体" w:cs="宋体"/>
          <w:sz w:val="24"/>
          <w:highlight w:val="none"/>
        </w:rPr>
        <w:t>　　(2)承包人违反第5.3款或第6.4款的约定，未经监理人批准，私自将已按合同约定进入施工场地的施工设备、临时设施或材料撤离施工场地；</w:t>
      </w:r>
    </w:p>
    <w:p w14:paraId="0CCE911A">
      <w:pPr>
        <w:spacing w:line="500" w:lineRule="exact"/>
        <w:rPr>
          <w:rFonts w:hint="eastAsia" w:ascii="宋体" w:hAnsi="宋体" w:cs="宋体"/>
          <w:sz w:val="24"/>
          <w:highlight w:val="none"/>
        </w:rPr>
      </w:pPr>
      <w:r>
        <w:rPr>
          <w:rFonts w:hint="eastAsia" w:ascii="宋体" w:hAnsi="宋体" w:cs="宋体"/>
          <w:sz w:val="24"/>
          <w:highlight w:val="none"/>
        </w:rPr>
        <w:t>　　(3)承包人违反第5.4款的约定使用了不合格材料或工程设备，工程质量达不到标准要求，又拒绝清除不合格工程；</w:t>
      </w:r>
    </w:p>
    <w:p w14:paraId="472DB6B8">
      <w:pPr>
        <w:spacing w:line="500" w:lineRule="exact"/>
        <w:rPr>
          <w:rFonts w:hint="eastAsia" w:ascii="宋体" w:hAnsi="宋体" w:cs="宋体"/>
          <w:sz w:val="24"/>
          <w:highlight w:val="none"/>
        </w:rPr>
      </w:pPr>
      <w:r>
        <w:rPr>
          <w:rFonts w:hint="eastAsia" w:ascii="宋体" w:hAnsi="宋体" w:cs="宋体"/>
          <w:sz w:val="24"/>
          <w:highlight w:val="none"/>
        </w:rPr>
        <w:t>　　(4)承包人未能按合同进度计划及时完成合同约定的工作，已造成或预期造成工期延误；</w:t>
      </w:r>
    </w:p>
    <w:p w14:paraId="45D777DE">
      <w:pPr>
        <w:spacing w:line="500" w:lineRule="exact"/>
        <w:rPr>
          <w:rFonts w:hint="eastAsia" w:ascii="宋体" w:hAnsi="宋体" w:cs="宋体"/>
          <w:sz w:val="24"/>
          <w:highlight w:val="none"/>
        </w:rPr>
      </w:pPr>
      <w:r>
        <w:rPr>
          <w:rFonts w:hint="eastAsia" w:ascii="宋体" w:hAnsi="宋体" w:cs="宋体"/>
          <w:sz w:val="24"/>
          <w:highlight w:val="none"/>
        </w:rPr>
        <w:t>　　(5)承包人在缺陷责任期(工程质量保修期)内，未能对合同工程完工验收鉴定书所列的缺陷清单的内容或缺陷责任期(工程质量保修期)内发生的缺陷进行修复，而又拒绝按监理人指示再进行修补；</w:t>
      </w:r>
    </w:p>
    <w:p w14:paraId="513EA911">
      <w:pPr>
        <w:spacing w:line="500" w:lineRule="exact"/>
        <w:rPr>
          <w:rFonts w:hint="eastAsia" w:ascii="宋体" w:hAnsi="宋体" w:cs="宋体"/>
          <w:sz w:val="24"/>
          <w:highlight w:val="none"/>
        </w:rPr>
      </w:pPr>
      <w:r>
        <w:rPr>
          <w:rFonts w:hint="eastAsia" w:ascii="宋体" w:hAnsi="宋体" w:cs="宋体"/>
          <w:sz w:val="24"/>
          <w:highlight w:val="none"/>
        </w:rPr>
        <w:t>　　(6)承包人无法继续履行或明确表示不履行或实质上已停止履行合同；</w:t>
      </w:r>
    </w:p>
    <w:p w14:paraId="1D2A8F92">
      <w:pPr>
        <w:spacing w:line="500" w:lineRule="exact"/>
        <w:ind w:firstLine="420"/>
        <w:rPr>
          <w:rFonts w:hint="eastAsia" w:ascii="宋体" w:hAnsi="宋体" w:cs="宋体"/>
          <w:sz w:val="24"/>
          <w:highlight w:val="none"/>
        </w:rPr>
      </w:pPr>
      <w:r>
        <w:rPr>
          <w:rFonts w:hint="eastAsia" w:ascii="宋体" w:hAnsi="宋体" w:cs="宋体"/>
          <w:sz w:val="24"/>
          <w:highlight w:val="none"/>
        </w:rPr>
        <w:t>(7)承包人不按合同约定履行义务的其它情况。</w:t>
      </w:r>
    </w:p>
    <w:p w14:paraId="4F809A65">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22.1.2 对承包人违约的处理</w:t>
      </w:r>
    </w:p>
    <w:p w14:paraId="24F77A5A">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（1）承包人发生第22.1.1（6）目约定的违约情况时，发包人可通知承包人立即解除合同，并按有关法律处理。</w:t>
      </w:r>
    </w:p>
    <w:p w14:paraId="131DA517">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（2）承包人发生除第22.1.1（6）目约定以外的其他违约情况时，监理人可向承包人发出整改通知，要求其在指定的期限内改正。承包人应承担其违约所引起的费用增加和（或）工期延误。</w:t>
      </w:r>
    </w:p>
    <w:p w14:paraId="5423E8CD">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（3）经检查证明承包人已采取了有效措施纠正违约行为，具备复工条件的，可由监理人签发复工通知复工。</w:t>
      </w:r>
    </w:p>
    <w:p w14:paraId="67C69A3C">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22.1.3 承包人违约解除合同</w:t>
      </w:r>
    </w:p>
    <w:p w14:paraId="2D3A3046">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0E5A2F7A">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22.1.4 合同解除后的估价、付款和结清</w:t>
      </w:r>
    </w:p>
    <w:p w14:paraId="0EF3C878">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（1）合同解除后，监理人按第3.5款商定或确定承包人实际完成工作的价值，以及承包人已提供的材料、施工设备、工程设备和临时工程等的价值。 </w:t>
      </w:r>
    </w:p>
    <w:p w14:paraId="7AAABEC1">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（2）合同解除后，发包人应暂停对承包人的一切付款，查清各项付款和已扣款金额，包括承包人应支付的违约金。 </w:t>
      </w:r>
    </w:p>
    <w:p w14:paraId="7E110DA0">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（3）合同解除后，发包人应按第23.4款的约定向承包人索赔由于解除合同给发包人造成的损失。</w:t>
      </w:r>
    </w:p>
    <w:p w14:paraId="0A15C641">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（4）合同双方确认上述往来款项后，出具最终结清付款证书，结清全部合同款项。</w:t>
      </w:r>
    </w:p>
    <w:p w14:paraId="7790AD53">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（5）发包人和承包人未能就解除合同后的结清达成一致而形成争议的，按第24条的约定办理。</w:t>
      </w:r>
    </w:p>
    <w:p w14:paraId="50028BF1">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22.1.5 协议利益的转让</w:t>
      </w:r>
    </w:p>
    <w:p w14:paraId="5762E7F5">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因承包人违约解除合同的，发包人有权要求承包人将其为实施合同而签订的材料和设备的订货协议或任何服务协议利益转让给发包人，并在解除合同后的14天内，依法办理转让手续。 </w:t>
      </w:r>
    </w:p>
    <w:p w14:paraId="14C81323">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22.1.6 紧急情况下无能力或不愿进行抢救</w:t>
      </w:r>
    </w:p>
    <w:p w14:paraId="6DB7E65E">
      <w:pPr>
        <w:spacing w:line="500" w:lineRule="exact"/>
        <w:ind w:firstLine="420"/>
        <w:rPr>
          <w:rFonts w:hint="eastAsia" w:ascii="宋体" w:hAnsi="宋体" w:cs="宋体"/>
          <w:sz w:val="24"/>
          <w:highlight w:val="none"/>
        </w:rPr>
      </w:pPr>
      <w:r>
        <w:rPr>
          <w:rFonts w:hint="eastAsia" w:ascii="宋体" w:hAnsi="宋体" w:cs="宋体"/>
          <w:sz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1C076977">
      <w:pPr>
        <w:spacing w:line="500" w:lineRule="exact"/>
        <w:outlineLvl w:val="3"/>
        <w:rPr>
          <w:rFonts w:hint="eastAsia" w:ascii="宋体" w:hAnsi="宋体" w:cs="宋体"/>
          <w:sz w:val="24"/>
          <w:highlight w:val="none"/>
        </w:rPr>
      </w:pPr>
      <w:r>
        <w:rPr>
          <w:rFonts w:hint="eastAsia" w:ascii="宋体" w:hAnsi="宋体" w:cs="宋体"/>
          <w:sz w:val="24"/>
          <w:highlight w:val="none"/>
        </w:rPr>
        <w:t>22.2 发包人违约</w:t>
      </w:r>
    </w:p>
    <w:p w14:paraId="30BA0C25">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22.2.1 发包人违约的情形</w:t>
      </w:r>
    </w:p>
    <w:p w14:paraId="3C155F7C">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在履行合同过程中发生的下列情形，属发包人违约：</w:t>
      </w:r>
    </w:p>
    <w:p w14:paraId="7BB70BCA">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（1）发包人未能按合同约定支付预付款或合同价款，或拖延、拒绝批准付款申请和支付凭证，导致付款延误的；</w:t>
      </w:r>
    </w:p>
    <w:p w14:paraId="12DFF474">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（2）发包人原因造成停工的；</w:t>
      </w:r>
    </w:p>
    <w:p w14:paraId="33AE9F7D">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（3）监理人无正当理由没有在约定期限内发出复工指示，导致承包人无法复工的；</w:t>
      </w:r>
    </w:p>
    <w:p w14:paraId="181601B0">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（4）发包人无法继续履行或明确表示不履行或实质上已停止履行合同的；</w:t>
      </w:r>
    </w:p>
    <w:p w14:paraId="618D0685">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（5）发包人不履行合同约定其他义务的。</w:t>
      </w:r>
    </w:p>
    <w:p w14:paraId="5E4A1BB9">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22.2.2 承包人有权暂停施工</w:t>
      </w:r>
    </w:p>
    <w:p w14:paraId="1B6DF34B">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2B74CC40">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22.2.3 发包人违约解除合同 </w:t>
      </w:r>
    </w:p>
    <w:p w14:paraId="4E577325">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（1）发生第22.2.1（4）目的违约情况时，承包人可书面通知发包人解除合同。   </w:t>
      </w:r>
    </w:p>
    <w:p w14:paraId="50F411E1">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（2）承包人按22.2.2项暂停施工28天后，发包人仍不纠正违约行为的，承包人可向发包人发出解除合同通知。但承包人的这一行动不免除发包人承担的违约责任，也不影响承包人根据合同约定享有的索赔权利。</w:t>
      </w:r>
    </w:p>
    <w:p w14:paraId="032D8995">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22.2.4 解除合同后的付款</w:t>
      </w:r>
    </w:p>
    <w:p w14:paraId="53195D35">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因发包人违约解除合同的，发包人应在解除合同后28天内向承包人支付下列金额，承包人应在此期限内及时向发包人提交要求支付下列金额的有关资料和凭证：</w:t>
      </w:r>
    </w:p>
    <w:p w14:paraId="4C223A95">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（1）合同解除日以前所完成工作的价款；</w:t>
      </w:r>
    </w:p>
    <w:p w14:paraId="2D48B535">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（2）承包人为该工程施工订购并已付款的材料、工程设备和其他物品的金额。发包人付还后，该材料、工程设备和其他物品归发包人所有；</w:t>
      </w:r>
    </w:p>
    <w:p w14:paraId="6B8FFEBF">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（3）承包人为完成工程所发生的，而发包人未支付的金额；</w:t>
      </w:r>
    </w:p>
    <w:p w14:paraId="02B27D59">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（4）承包人撤离施工场地以及遣散承包人人员的金额；</w:t>
      </w:r>
    </w:p>
    <w:p w14:paraId="1CE86FF9">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（5）由于解除合同应赔偿的承包人损失；</w:t>
      </w:r>
    </w:p>
    <w:p w14:paraId="686363A6">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（6）按合同约定在合同解除日前应支付给承包人的其他金额。</w:t>
      </w:r>
    </w:p>
    <w:p w14:paraId="03526E9C">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发包人应按本项约定支付上述金额并退还质量保证金和履约担保，但有权要求承包人支付应偿还给发包人的各项金额。</w:t>
      </w:r>
    </w:p>
    <w:p w14:paraId="04F6FADE">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22.2.5 解除合同后的承包人撤离</w:t>
      </w:r>
    </w:p>
    <w:p w14:paraId="73E53260">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14:paraId="031A08B0">
      <w:pPr>
        <w:spacing w:line="500" w:lineRule="exact"/>
        <w:outlineLvl w:val="3"/>
        <w:rPr>
          <w:rFonts w:hint="eastAsia" w:ascii="宋体" w:hAnsi="宋体" w:cs="宋体"/>
          <w:sz w:val="24"/>
          <w:highlight w:val="none"/>
        </w:rPr>
      </w:pPr>
      <w:r>
        <w:rPr>
          <w:rFonts w:hint="eastAsia" w:ascii="宋体" w:hAnsi="宋体" w:cs="宋体"/>
          <w:sz w:val="24"/>
          <w:highlight w:val="none"/>
        </w:rPr>
        <w:t>22.3 第三人造成的违约</w:t>
      </w:r>
    </w:p>
    <w:p w14:paraId="48058836">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在履行合同过程中，一方当事人因第三人的原因造成违约的，应当向对方当事人承担违约责任。一方当事人和第三人之间的纠纷，依照法律规定或者按照约定解决。</w:t>
      </w:r>
    </w:p>
    <w:p w14:paraId="04AA1CF6">
      <w:pPr>
        <w:spacing w:line="500" w:lineRule="exact"/>
        <w:outlineLvl w:val="2"/>
        <w:rPr>
          <w:rFonts w:hint="eastAsia" w:ascii="宋体" w:hAnsi="宋体" w:cs="宋体"/>
          <w:sz w:val="24"/>
          <w:highlight w:val="none"/>
        </w:rPr>
      </w:pPr>
      <w:bookmarkStart w:id="270" w:name="_Toc140340981"/>
      <w:r>
        <w:rPr>
          <w:rFonts w:hint="eastAsia" w:ascii="宋体" w:hAnsi="宋体" w:cs="宋体"/>
          <w:sz w:val="24"/>
          <w:highlight w:val="none"/>
        </w:rPr>
        <w:t>23. 索赔</w:t>
      </w:r>
      <w:bookmarkEnd w:id="270"/>
    </w:p>
    <w:p w14:paraId="14EA072F">
      <w:pPr>
        <w:spacing w:line="500" w:lineRule="exact"/>
        <w:outlineLvl w:val="3"/>
        <w:rPr>
          <w:rFonts w:hint="eastAsia" w:ascii="宋体" w:hAnsi="宋体" w:cs="宋体"/>
          <w:sz w:val="24"/>
          <w:highlight w:val="none"/>
        </w:rPr>
      </w:pPr>
      <w:r>
        <w:rPr>
          <w:rFonts w:hint="eastAsia" w:ascii="宋体" w:hAnsi="宋体" w:cs="宋体"/>
          <w:sz w:val="24"/>
          <w:highlight w:val="none"/>
        </w:rPr>
        <w:t>23.1 承包人索赔的提出</w:t>
      </w:r>
    </w:p>
    <w:p w14:paraId="6911172C">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根据合同约定，承包人认为有权得到追加付款和（或）延长工期的，应按以下程序向发包人提出索赔：</w:t>
      </w:r>
    </w:p>
    <w:p w14:paraId="56B18F65">
      <w:pPr>
        <w:spacing w:line="500" w:lineRule="exact"/>
        <w:ind w:firstLine="410" w:firstLineChars="171"/>
        <w:rPr>
          <w:rFonts w:hint="eastAsia" w:ascii="宋体" w:hAnsi="宋体" w:cs="宋体"/>
          <w:sz w:val="24"/>
          <w:highlight w:val="none"/>
        </w:rPr>
      </w:pPr>
      <w:r>
        <w:rPr>
          <w:rFonts w:hint="eastAsia" w:ascii="宋体" w:hAnsi="宋体" w:cs="宋体"/>
          <w:sz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180237AF">
      <w:pPr>
        <w:spacing w:line="500" w:lineRule="exact"/>
        <w:ind w:firstLine="410" w:firstLineChars="171"/>
        <w:rPr>
          <w:rFonts w:hint="eastAsia" w:ascii="宋体" w:hAnsi="宋体" w:cs="宋体"/>
          <w:sz w:val="24"/>
          <w:highlight w:val="none"/>
        </w:rPr>
      </w:pPr>
      <w:r>
        <w:rPr>
          <w:rFonts w:hint="eastAsia" w:ascii="宋体" w:hAnsi="宋体" w:cs="宋体"/>
          <w:sz w:val="24"/>
          <w:highlight w:val="none"/>
        </w:rPr>
        <w:t>（2）承包人应在发出索赔意向通知书后28天内，向监理人正式递交索赔通知书。索赔通知书应详细说明索赔理由以及要求追加的付款金额和（或）延长的工期，并附必要的记录和证明材料；</w:t>
      </w:r>
    </w:p>
    <w:p w14:paraId="7A17AAB0">
      <w:pPr>
        <w:spacing w:line="500" w:lineRule="exact"/>
        <w:ind w:firstLine="410" w:firstLineChars="171"/>
        <w:rPr>
          <w:rFonts w:hint="eastAsia" w:ascii="宋体" w:hAnsi="宋体" w:cs="宋体"/>
          <w:sz w:val="24"/>
          <w:highlight w:val="none"/>
        </w:rPr>
      </w:pPr>
      <w:r>
        <w:rPr>
          <w:rFonts w:hint="eastAsia" w:ascii="宋体" w:hAnsi="宋体" w:cs="宋体"/>
          <w:sz w:val="24"/>
          <w:highlight w:val="none"/>
        </w:rPr>
        <w:t>（3）索赔事件具有连续影响的，承包人应按合理时间间隔继续递交延续索赔通知，说明连续影响的实际情况和记录，列出累计的追加付款金额和（或）工期延长天数；</w:t>
      </w:r>
    </w:p>
    <w:p w14:paraId="1BFAA58A">
      <w:pPr>
        <w:spacing w:line="500" w:lineRule="exact"/>
        <w:ind w:firstLine="410" w:firstLineChars="171"/>
        <w:rPr>
          <w:rFonts w:hint="eastAsia" w:ascii="宋体" w:hAnsi="宋体" w:cs="宋体"/>
          <w:sz w:val="24"/>
          <w:highlight w:val="none"/>
        </w:rPr>
      </w:pPr>
      <w:r>
        <w:rPr>
          <w:rFonts w:hint="eastAsia" w:ascii="宋体" w:hAnsi="宋体" w:cs="宋体"/>
          <w:sz w:val="24"/>
          <w:highlight w:val="none"/>
        </w:rPr>
        <w:t>（4）在索赔事件影响结束后的28天内，承包人应向监理人递交最终索赔通知书，说明最终要求索赔的追加付款金额和延长的工期，并附必要的记录和证明材料。</w:t>
      </w:r>
    </w:p>
    <w:p w14:paraId="105E9904">
      <w:pPr>
        <w:spacing w:line="500" w:lineRule="exact"/>
        <w:outlineLvl w:val="3"/>
        <w:rPr>
          <w:rFonts w:hint="eastAsia" w:ascii="宋体" w:hAnsi="宋体" w:cs="宋体"/>
          <w:sz w:val="24"/>
          <w:highlight w:val="none"/>
        </w:rPr>
      </w:pPr>
      <w:r>
        <w:rPr>
          <w:rFonts w:hint="eastAsia" w:ascii="宋体" w:hAnsi="宋体" w:cs="宋体"/>
          <w:sz w:val="24"/>
          <w:highlight w:val="none"/>
        </w:rPr>
        <w:t>23.2 承包人索赔处理程序</w:t>
      </w:r>
    </w:p>
    <w:p w14:paraId="055219A0">
      <w:pPr>
        <w:spacing w:line="500" w:lineRule="exact"/>
        <w:ind w:firstLine="410" w:firstLineChars="171"/>
        <w:rPr>
          <w:rFonts w:hint="eastAsia" w:ascii="宋体" w:hAnsi="宋体" w:cs="宋体"/>
          <w:sz w:val="24"/>
          <w:highlight w:val="none"/>
        </w:rPr>
      </w:pPr>
      <w:r>
        <w:rPr>
          <w:rFonts w:hint="eastAsia" w:ascii="宋体" w:hAnsi="宋体" w:cs="宋体"/>
          <w:sz w:val="24"/>
          <w:highlight w:val="none"/>
        </w:rPr>
        <w:t>（1）监理人收到承包人提交的索赔通知书后，应及时审查索赔通知书的内容、查验承包人的记录和证明材料，必要时监理人可要求承包人提交全部原始记录备份。</w:t>
      </w:r>
    </w:p>
    <w:p w14:paraId="62AB1428">
      <w:pPr>
        <w:spacing w:line="500" w:lineRule="exact"/>
        <w:ind w:firstLine="410" w:firstLineChars="171"/>
        <w:rPr>
          <w:rFonts w:hint="eastAsia" w:ascii="宋体" w:hAnsi="宋体" w:cs="宋体"/>
          <w:sz w:val="24"/>
          <w:highlight w:val="none"/>
        </w:rPr>
      </w:pPr>
      <w:r>
        <w:rPr>
          <w:rFonts w:hint="eastAsia" w:ascii="宋体" w:hAnsi="宋体" w:cs="宋体"/>
          <w:sz w:val="24"/>
          <w:highlight w:val="none"/>
        </w:rPr>
        <w:t>（2）监理人应按第3.5款商定或确定追加的付款和（或）延长的工期，并在收到上述索赔通知书或有关索赔的进一步证明材料后的42天内，将索赔处理结果答复承包人。</w:t>
      </w:r>
    </w:p>
    <w:p w14:paraId="294629CA">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（3）承包人接受索赔处理结果的，发包人应在作出索赔处理结果答复后28天内完成赔付。承包人不接受索赔处理结果的，按第24条的约定办理。</w:t>
      </w:r>
    </w:p>
    <w:p w14:paraId="18F34BA7">
      <w:pPr>
        <w:spacing w:line="500" w:lineRule="exact"/>
        <w:outlineLvl w:val="3"/>
        <w:rPr>
          <w:rFonts w:hint="eastAsia" w:ascii="宋体" w:hAnsi="宋体" w:cs="宋体"/>
          <w:sz w:val="24"/>
          <w:highlight w:val="none"/>
        </w:rPr>
      </w:pPr>
      <w:r>
        <w:rPr>
          <w:rFonts w:hint="eastAsia" w:ascii="宋体" w:hAnsi="宋体" w:cs="宋体"/>
          <w:sz w:val="24"/>
          <w:highlight w:val="none"/>
        </w:rPr>
        <w:t>23.3 承包人提出索赔的期限</w:t>
      </w:r>
    </w:p>
    <w:p w14:paraId="33F7A5C4">
      <w:pPr>
        <w:spacing w:line="500" w:lineRule="exact"/>
        <w:rPr>
          <w:rFonts w:hint="eastAsia" w:ascii="宋体" w:hAnsi="宋体" w:cs="宋体"/>
          <w:sz w:val="24"/>
          <w:highlight w:val="none"/>
        </w:rPr>
      </w:pPr>
      <w:r>
        <w:rPr>
          <w:rFonts w:hint="eastAsia" w:ascii="宋体" w:hAnsi="宋体" w:cs="宋体"/>
          <w:sz w:val="24"/>
          <w:highlight w:val="none"/>
        </w:rPr>
        <w:t>　　23.3.1　承包人按第17.5款的约定接受了完工付款证书后，应被认为已无权再提出在合同工程完工证书颁发前所发生的任何索赔。</w:t>
      </w:r>
    </w:p>
    <w:p w14:paraId="70F797F1">
      <w:pPr>
        <w:spacing w:line="500" w:lineRule="exact"/>
        <w:rPr>
          <w:rFonts w:hint="eastAsia" w:ascii="宋体" w:hAnsi="宋体" w:cs="宋体"/>
          <w:sz w:val="24"/>
          <w:highlight w:val="none"/>
        </w:rPr>
      </w:pPr>
      <w:r>
        <w:rPr>
          <w:rFonts w:hint="eastAsia" w:ascii="宋体" w:hAnsi="宋体" w:cs="宋体"/>
          <w:sz w:val="24"/>
          <w:highlight w:val="none"/>
        </w:rPr>
        <w:t>　　23.3.2　承包人按第17.6款的约定提交的最终结清申请单中，只限于提出合同工程完工证书颁发后发生的索赔。提出索赔的期限自接受最终结清证书时终止。</w:t>
      </w:r>
    </w:p>
    <w:p w14:paraId="60F217E8">
      <w:pPr>
        <w:spacing w:line="500" w:lineRule="exact"/>
        <w:outlineLvl w:val="3"/>
        <w:rPr>
          <w:rFonts w:hint="eastAsia" w:ascii="宋体" w:hAnsi="宋体" w:cs="宋体"/>
          <w:sz w:val="24"/>
          <w:highlight w:val="none"/>
        </w:rPr>
      </w:pPr>
      <w:r>
        <w:rPr>
          <w:rFonts w:hint="eastAsia" w:ascii="宋体" w:hAnsi="宋体" w:cs="宋体"/>
          <w:sz w:val="24"/>
          <w:highlight w:val="none"/>
        </w:rPr>
        <w:t>23.4 发包人的索赔</w:t>
      </w:r>
    </w:p>
    <w:p w14:paraId="1A260312">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74488C5A">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23.4.2 监理人按第3.5款商定或确定发包人从承包人处得到赔付的金额和（或）缺陷责任期的延长期。承包人应付给发包人的金额可从拟支付给承包人的合同价款中扣除，或由承包人以其他方式支付给发包人。</w:t>
      </w:r>
    </w:p>
    <w:p w14:paraId="2654329D">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23.4.3 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p>
    <w:p w14:paraId="40D6839F">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23.4.3　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p>
    <w:p w14:paraId="58E28588">
      <w:pPr>
        <w:spacing w:line="500" w:lineRule="exact"/>
        <w:outlineLvl w:val="2"/>
        <w:rPr>
          <w:rFonts w:hint="eastAsia" w:ascii="宋体" w:hAnsi="宋体" w:cs="宋体"/>
          <w:sz w:val="24"/>
          <w:highlight w:val="none"/>
        </w:rPr>
      </w:pPr>
      <w:bookmarkStart w:id="271" w:name="_Toc140340982"/>
      <w:r>
        <w:rPr>
          <w:rFonts w:hint="eastAsia" w:ascii="宋体" w:hAnsi="宋体" w:cs="宋体"/>
          <w:sz w:val="24"/>
          <w:highlight w:val="none"/>
        </w:rPr>
        <w:t>24. 争议的解决</w:t>
      </w:r>
      <w:bookmarkEnd w:id="271"/>
    </w:p>
    <w:p w14:paraId="57D1BA2C">
      <w:pPr>
        <w:spacing w:line="500" w:lineRule="exact"/>
        <w:outlineLvl w:val="3"/>
        <w:rPr>
          <w:rFonts w:hint="eastAsia" w:ascii="宋体" w:hAnsi="宋体" w:cs="宋体"/>
          <w:sz w:val="24"/>
          <w:highlight w:val="none"/>
        </w:rPr>
      </w:pPr>
      <w:r>
        <w:rPr>
          <w:rFonts w:hint="eastAsia" w:ascii="宋体" w:hAnsi="宋体" w:cs="宋体"/>
          <w:sz w:val="24"/>
          <w:highlight w:val="none"/>
        </w:rPr>
        <w:t>24.1 争议的解决方式</w:t>
      </w:r>
    </w:p>
    <w:p w14:paraId="0D15B9B6">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3FE417C2">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（1）向约定的仲裁委员会申请仲裁；</w:t>
      </w:r>
    </w:p>
    <w:p w14:paraId="74B00ECE">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（2）向有管辖权的人民法院提起诉讼。</w:t>
      </w:r>
    </w:p>
    <w:p w14:paraId="2E785C41">
      <w:pPr>
        <w:spacing w:line="500" w:lineRule="exact"/>
        <w:outlineLvl w:val="3"/>
        <w:rPr>
          <w:rFonts w:hint="eastAsia" w:ascii="宋体" w:hAnsi="宋体" w:cs="宋体"/>
          <w:sz w:val="24"/>
          <w:highlight w:val="none"/>
        </w:rPr>
      </w:pPr>
      <w:r>
        <w:rPr>
          <w:rFonts w:hint="eastAsia" w:ascii="宋体" w:hAnsi="宋体" w:cs="宋体"/>
          <w:sz w:val="24"/>
          <w:highlight w:val="none"/>
        </w:rPr>
        <w:t>24.2 友好解决</w:t>
      </w:r>
    </w:p>
    <w:p w14:paraId="6460C5D1">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在提请争议评审、仲裁或者诉讼前，以及在争议评审、仲裁或诉讼过程中，发包人和承包人均可共同努力友好协商解决争议。</w:t>
      </w:r>
    </w:p>
    <w:p w14:paraId="22E66BC8">
      <w:pPr>
        <w:spacing w:line="500" w:lineRule="exact"/>
        <w:outlineLvl w:val="3"/>
        <w:rPr>
          <w:rFonts w:hint="eastAsia" w:ascii="宋体" w:hAnsi="宋体" w:cs="宋体"/>
          <w:sz w:val="24"/>
          <w:highlight w:val="none"/>
        </w:rPr>
      </w:pPr>
      <w:r>
        <w:rPr>
          <w:rFonts w:hint="eastAsia" w:ascii="宋体" w:hAnsi="宋体" w:cs="宋体"/>
          <w:sz w:val="24"/>
          <w:highlight w:val="none"/>
        </w:rPr>
        <w:t>24.3 争议评审</w:t>
      </w:r>
    </w:p>
    <w:p w14:paraId="3B1F5E06">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24.3.1 采用争议评审的，发包人和承包人应在开工日后的28天内或在争议发生后，协商成立争议评审组。争议评审组由有合同管理和工程实践经验的专家组成。</w:t>
      </w:r>
    </w:p>
    <w:p w14:paraId="4A49608B">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24.3.2 合同双方的争议，应首先由申请人向争议评审组提交一份详细的评审申请报告，并附必要的文件、图纸和证明材料，申请人还应将上述报告的备份同时提交给被申请人和监理人。</w:t>
      </w:r>
    </w:p>
    <w:p w14:paraId="38060B29">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24.3.3 被申请人在收到申请人评审申请报告备份后的28天内，向争议评审组提交一份答辩报告，并附证明材料。被申请人应将答辩报告的备份同时提交给申请人和监理人。</w:t>
      </w:r>
    </w:p>
    <w:p w14:paraId="59F53872">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24.3.4 除专用合同条款另有约定外，争议评审组在收到合同双方报告后的14天内，邀请双方代表和有关人员举行调查会，向双方调查争议细节；必要时争议评审组可要求双方进一步提供补充材料。</w:t>
      </w:r>
    </w:p>
    <w:p w14:paraId="2CFD95C5">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36B0F2AE">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24.3.6 发包人和承包人接受评审意见的，由监理人根据评审意见拟定执行协议，经争议双方签字后作为合同的补充文件，并遵照执行。</w:t>
      </w:r>
    </w:p>
    <w:p w14:paraId="44FCE6E2">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12442A00">
      <w:pPr>
        <w:spacing w:line="500" w:lineRule="exact"/>
        <w:outlineLvl w:val="3"/>
        <w:rPr>
          <w:rFonts w:hint="eastAsia" w:ascii="宋体" w:hAnsi="宋体" w:cs="宋体"/>
          <w:sz w:val="24"/>
          <w:highlight w:val="none"/>
        </w:rPr>
      </w:pPr>
      <w:r>
        <w:rPr>
          <w:rFonts w:hint="eastAsia" w:ascii="宋体" w:hAnsi="宋体" w:cs="宋体"/>
          <w:sz w:val="24"/>
          <w:highlight w:val="none"/>
        </w:rPr>
        <w:t>24.4 仲裁</w:t>
      </w:r>
    </w:p>
    <w:p w14:paraId="44A42755">
      <w:pPr>
        <w:spacing w:line="500" w:lineRule="exact"/>
        <w:rPr>
          <w:rFonts w:hint="eastAsia" w:ascii="宋体" w:hAnsi="宋体" w:cs="宋体"/>
          <w:sz w:val="24"/>
          <w:highlight w:val="none"/>
        </w:rPr>
      </w:pPr>
      <w:r>
        <w:rPr>
          <w:rFonts w:hint="eastAsia" w:ascii="宋体" w:hAnsi="宋体" w:cs="宋体"/>
          <w:sz w:val="24"/>
          <w:highlight w:val="none"/>
        </w:rPr>
        <w:t>　　24.4.1　若合同双方商定直接向仲裁机构申请仲裁，应签订仲裁协议并约定仲裁机构。</w:t>
      </w:r>
    </w:p>
    <w:p w14:paraId="1A2E992B">
      <w:pPr>
        <w:rPr>
          <w:rFonts w:hint="eastAsia"/>
          <w:highlight w:val="none"/>
        </w:rPr>
      </w:pPr>
      <w:r>
        <w:rPr>
          <w:rFonts w:hint="eastAsia" w:ascii="宋体" w:hAnsi="宋体" w:cs="宋体"/>
          <w:sz w:val="24"/>
          <w:highlight w:val="none"/>
        </w:rPr>
        <w:t>　　24.4.2　若合同双方未能达成仲裁协议，则本合同的仲裁条款无效，任一方均有权向人民法院提起诉讼。</w:t>
      </w:r>
    </w:p>
    <w:p w14:paraId="6C0ED6F4">
      <w:pPr>
        <w:rPr>
          <w:highlight w:val="none"/>
        </w:rPr>
      </w:pPr>
    </w:p>
    <w:p w14:paraId="4D382D8E">
      <w:pPr>
        <w:pStyle w:val="58"/>
        <w:jc w:val="center"/>
        <w:outlineLvl w:val="1"/>
        <w:rPr>
          <w:rFonts w:ascii="宋体" w:hAnsi="宋体"/>
          <w:sz w:val="24"/>
          <w:highlight w:val="none"/>
        </w:rPr>
      </w:pPr>
      <w:bookmarkStart w:id="272" w:name="_Toc140340983"/>
      <w:r>
        <w:rPr>
          <w:rFonts w:ascii="宋体" w:hAnsi="宋体"/>
          <w:sz w:val="24"/>
          <w:highlight w:val="none"/>
        </w:rPr>
        <w:t>第2节　专用合同条款</w:t>
      </w:r>
      <w:bookmarkEnd w:id="272"/>
    </w:p>
    <w:p w14:paraId="343BF468">
      <w:pPr>
        <w:pStyle w:val="58"/>
        <w:spacing w:line="500" w:lineRule="exact"/>
        <w:outlineLvl w:val="2"/>
        <w:rPr>
          <w:rFonts w:ascii="宋体" w:hAnsi="宋体" w:cs="宋体"/>
          <w:sz w:val="24"/>
          <w:highlight w:val="none"/>
        </w:rPr>
      </w:pPr>
      <w:bookmarkStart w:id="273" w:name="_Toc140340984"/>
      <w:r>
        <w:rPr>
          <w:rFonts w:hint="eastAsia" w:ascii="宋体" w:hAnsi="宋体" w:cs="宋体"/>
          <w:sz w:val="24"/>
          <w:highlight w:val="none"/>
        </w:rPr>
        <w:t>1. 一般约定</w:t>
      </w:r>
      <w:bookmarkEnd w:id="273"/>
    </w:p>
    <w:p w14:paraId="408220A8">
      <w:pPr>
        <w:pStyle w:val="58"/>
        <w:spacing w:line="500" w:lineRule="exact"/>
        <w:outlineLvl w:val="3"/>
        <w:rPr>
          <w:rFonts w:ascii="宋体" w:hAnsi="宋体" w:cs="宋体"/>
          <w:sz w:val="24"/>
          <w:highlight w:val="none"/>
        </w:rPr>
      </w:pPr>
      <w:r>
        <w:rPr>
          <w:rFonts w:hint="eastAsia" w:ascii="宋体" w:hAnsi="宋体" w:cs="宋体"/>
          <w:sz w:val="24"/>
          <w:highlight w:val="none"/>
        </w:rPr>
        <w:t>1.1 词语定义</w:t>
      </w:r>
    </w:p>
    <w:p w14:paraId="7A36A51F">
      <w:pPr>
        <w:pStyle w:val="58"/>
        <w:spacing w:line="500" w:lineRule="exact"/>
        <w:rPr>
          <w:rFonts w:ascii="宋体" w:hAnsi="宋体" w:cs="宋体"/>
          <w:sz w:val="24"/>
          <w:highlight w:val="none"/>
        </w:rPr>
      </w:pPr>
      <w:r>
        <w:rPr>
          <w:rFonts w:hint="eastAsia" w:ascii="宋体" w:hAnsi="宋体" w:cs="宋体"/>
          <w:sz w:val="24"/>
          <w:highlight w:val="none"/>
        </w:rPr>
        <w:t>　　1.1.2　合同当事人和人员</w:t>
      </w:r>
    </w:p>
    <w:p w14:paraId="0F26D87A">
      <w:pPr>
        <w:pStyle w:val="58"/>
        <w:spacing w:line="500" w:lineRule="exact"/>
        <w:rPr>
          <w:rFonts w:ascii="宋体" w:hAnsi="宋体" w:cs="宋体"/>
          <w:sz w:val="24"/>
          <w:highlight w:val="none"/>
        </w:rPr>
      </w:pPr>
      <w:r>
        <w:rPr>
          <w:rFonts w:hint="eastAsia" w:ascii="宋体" w:hAnsi="宋体" w:cs="宋体"/>
          <w:sz w:val="24"/>
          <w:highlight w:val="none"/>
        </w:rPr>
        <w:t>　　1.1.2.2　发包人：</w:t>
      </w:r>
      <w:r>
        <w:rPr>
          <w:rFonts w:hint="eastAsia" w:ascii="宋体" w:hAnsi="宋体" w:cs="宋体"/>
          <w:sz w:val="24"/>
          <w:highlight w:val="none"/>
          <w:u w:val="single"/>
          <w:lang w:eastAsia="zh-CN"/>
        </w:rPr>
        <w:t>青河县萨尔托海乡人民政府</w:t>
      </w:r>
      <w:r>
        <w:rPr>
          <w:rFonts w:hint="eastAsia" w:ascii="宋体" w:hAnsi="宋体" w:cs="宋体"/>
          <w:sz w:val="24"/>
          <w:highlight w:val="none"/>
        </w:rPr>
        <w:t>(填入发包人的名称)。</w:t>
      </w:r>
    </w:p>
    <w:p w14:paraId="63F9EB48">
      <w:pPr>
        <w:pStyle w:val="58"/>
        <w:spacing w:line="500" w:lineRule="exact"/>
        <w:rPr>
          <w:rFonts w:ascii="宋体" w:hAnsi="宋体" w:cs="宋体"/>
          <w:sz w:val="24"/>
          <w:highlight w:val="none"/>
        </w:rPr>
      </w:pPr>
      <w:r>
        <w:rPr>
          <w:rFonts w:hint="eastAsia" w:ascii="宋体" w:hAnsi="宋体" w:cs="宋体"/>
          <w:sz w:val="24"/>
          <w:highlight w:val="none"/>
        </w:rPr>
        <w:t>　　1.1.2.3　承包人：</w:t>
      </w:r>
      <w:r>
        <w:rPr>
          <w:rFonts w:hint="eastAsia" w:ascii="宋体" w:hAnsi="宋体" w:cs="宋体"/>
          <w:sz w:val="24"/>
          <w:highlight w:val="none"/>
          <w:u w:val="single"/>
        </w:rPr>
        <w:t>　　　</w:t>
      </w:r>
      <w:r>
        <w:rPr>
          <w:rFonts w:hint="eastAsia" w:ascii="宋体" w:hAnsi="宋体" w:cs="宋体"/>
          <w:sz w:val="24"/>
          <w:highlight w:val="none"/>
        </w:rPr>
        <w:t>(签约后填入承包人的名称)。</w:t>
      </w:r>
    </w:p>
    <w:p w14:paraId="6C6F09F6">
      <w:pPr>
        <w:pStyle w:val="58"/>
        <w:spacing w:line="500" w:lineRule="exact"/>
        <w:rPr>
          <w:rFonts w:ascii="宋体" w:hAnsi="宋体" w:cs="宋体"/>
          <w:sz w:val="24"/>
          <w:highlight w:val="none"/>
        </w:rPr>
      </w:pPr>
      <w:r>
        <w:rPr>
          <w:rFonts w:hint="eastAsia" w:ascii="宋体" w:hAnsi="宋体" w:cs="宋体"/>
          <w:sz w:val="24"/>
          <w:highlight w:val="none"/>
        </w:rPr>
        <w:t>　　1.1.2.5　分包人：</w:t>
      </w:r>
      <w:r>
        <w:rPr>
          <w:rFonts w:hint="eastAsia" w:ascii="宋体" w:hAnsi="宋体" w:cs="宋体"/>
          <w:sz w:val="24"/>
          <w:highlight w:val="none"/>
          <w:u w:val="single"/>
        </w:rPr>
        <w:t>　　　</w:t>
      </w:r>
      <w:r>
        <w:rPr>
          <w:rFonts w:hint="eastAsia" w:ascii="宋体" w:hAnsi="宋体" w:cs="宋体"/>
          <w:sz w:val="24"/>
          <w:highlight w:val="none"/>
        </w:rPr>
        <w:t>(签约后填入分包人的名称)。</w:t>
      </w:r>
    </w:p>
    <w:p w14:paraId="70CE17C1">
      <w:pPr>
        <w:pStyle w:val="58"/>
        <w:spacing w:line="500" w:lineRule="exact"/>
        <w:rPr>
          <w:rFonts w:ascii="宋体" w:hAnsi="宋体" w:cs="宋体"/>
          <w:sz w:val="24"/>
          <w:highlight w:val="none"/>
        </w:rPr>
      </w:pPr>
      <w:r>
        <w:rPr>
          <w:rFonts w:hint="eastAsia" w:ascii="宋体" w:hAnsi="宋体" w:cs="宋体"/>
          <w:sz w:val="24"/>
          <w:highlight w:val="none"/>
        </w:rPr>
        <w:t>　　1.1.2.6　监理人：</w:t>
      </w:r>
      <w:r>
        <w:rPr>
          <w:rFonts w:hint="eastAsia" w:ascii="宋体" w:hAnsi="宋体" w:cs="宋体"/>
          <w:sz w:val="24"/>
          <w:highlight w:val="none"/>
          <w:u w:val="single"/>
        </w:rPr>
        <w:t>　　　</w:t>
      </w:r>
      <w:r>
        <w:rPr>
          <w:rFonts w:hint="eastAsia" w:ascii="宋体" w:hAnsi="宋体" w:cs="宋体"/>
          <w:sz w:val="24"/>
          <w:highlight w:val="none"/>
        </w:rPr>
        <w:t>(填入监理人名称)。</w:t>
      </w:r>
    </w:p>
    <w:p w14:paraId="30107598">
      <w:pPr>
        <w:pStyle w:val="58"/>
        <w:spacing w:line="500" w:lineRule="exact"/>
        <w:rPr>
          <w:rFonts w:ascii="宋体" w:hAnsi="宋体" w:cs="宋体"/>
          <w:sz w:val="24"/>
          <w:highlight w:val="none"/>
        </w:rPr>
      </w:pPr>
      <w:r>
        <w:rPr>
          <w:rFonts w:hint="eastAsia" w:ascii="宋体" w:hAnsi="宋体" w:cs="宋体"/>
          <w:sz w:val="24"/>
          <w:highlight w:val="none"/>
        </w:rPr>
        <w:t>　　1.1.4　日期</w:t>
      </w:r>
    </w:p>
    <w:p w14:paraId="1F1B5073">
      <w:pPr>
        <w:pStyle w:val="58"/>
        <w:spacing w:line="500" w:lineRule="exact"/>
        <w:rPr>
          <w:rFonts w:ascii="宋体" w:hAnsi="宋体" w:cs="宋体"/>
          <w:sz w:val="24"/>
          <w:highlight w:val="none"/>
        </w:rPr>
      </w:pPr>
      <w:r>
        <w:rPr>
          <w:rFonts w:hint="eastAsia" w:ascii="宋体" w:hAnsi="宋体" w:cs="宋体"/>
          <w:sz w:val="24"/>
          <w:highlight w:val="none"/>
        </w:rPr>
        <w:t>　　1.1.4.5　缺陷责任期(工程质量保修期)：</w:t>
      </w:r>
      <w:r>
        <w:rPr>
          <w:rFonts w:hint="eastAsia" w:ascii="宋体" w:hAnsi="宋体" w:cs="宋体"/>
          <w:sz w:val="24"/>
          <w:highlight w:val="none"/>
          <w:u w:val="single"/>
        </w:rPr>
        <w:t>12个月</w:t>
      </w:r>
      <w:r>
        <w:rPr>
          <w:rFonts w:hint="eastAsia" w:ascii="宋体" w:hAnsi="宋体" w:cs="宋体"/>
          <w:sz w:val="24"/>
          <w:highlight w:val="none"/>
        </w:rPr>
        <w:t>。</w:t>
      </w:r>
    </w:p>
    <w:p w14:paraId="454E59D1">
      <w:pPr>
        <w:pStyle w:val="58"/>
        <w:spacing w:line="500" w:lineRule="exact"/>
        <w:outlineLvl w:val="3"/>
        <w:rPr>
          <w:rFonts w:ascii="宋体" w:hAnsi="宋体" w:cs="宋体"/>
          <w:sz w:val="24"/>
          <w:highlight w:val="none"/>
        </w:rPr>
      </w:pPr>
      <w:r>
        <w:rPr>
          <w:rFonts w:hint="eastAsia" w:ascii="宋体" w:hAnsi="宋体" w:cs="宋体"/>
          <w:sz w:val="24"/>
          <w:highlight w:val="none"/>
        </w:rPr>
        <w:t>1.4 合同文件的优先顺序</w:t>
      </w:r>
    </w:p>
    <w:p w14:paraId="6E4ECC3A">
      <w:pPr>
        <w:pStyle w:val="58"/>
        <w:spacing w:line="500" w:lineRule="exact"/>
        <w:rPr>
          <w:rFonts w:ascii="宋体" w:hAnsi="宋体" w:cs="宋体"/>
          <w:sz w:val="24"/>
          <w:highlight w:val="none"/>
        </w:rPr>
      </w:pPr>
      <w:r>
        <w:rPr>
          <w:rFonts w:hint="eastAsia" w:ascii="宋体" w:hAnsi="宋体" w:cs="宋体"/>
          <w:sz w:val="24"/>
          <w:highlight w:val="none"/>
        </w:rPr>
        <w:t>　　进入合同文件的各项文件及其优先顺序是</w:t>
      </w:r>
      <w:r>
        <w:rPr>
          <w:rFonts w:hint="eastAsia" w:ascii="宋体" w:hAnsi="宋体" w:cs="宋体"/>
          <w:sz w:val="24"/>
          <w:highlight w:val="none"/>
          <w:u w:val="single"/>
        </w:rPr>
        <w:t>执行通用条款</w:t>
      </w:r>
      <w:r>
        <w:rPr>
          <w:rFonts w:hint="eastAsia" w:ascii="宋体" w:hAnsi="宋体" w:cs="宋体"/>
          <w:sz w:val="24"/>
          <w:highlight w:val="none"/>
        </w:rPr>
        <w:t>。</w:t>
      </w:r>
    </w:p>
    <w:p w14:paraId="4FA1F165">
      <w:pPr>
        <w:pStyle w:val="58"/>
        <w:spacing w:line="500" w:lineRule="exact"/>
        <w:outlineLvl w:val="3"/>
        <w:rPr>
          <w:rFonts w:ascii="宋体" w:hAnsi="宋体" w:cs="宋体"/>
          <w:sz w:val="24"/>
          <w:highlight w:val="none"/>
        </w:rPr>
      </w:pPr>
      <w:r>
        <w:rPr>
          <w:rFonts w:hint="eastAsia" w:ascii="宋体" w:hAnsi="宋体" w:cs="宋体"/>
          <w:sz w:val="24"/>
          <w:highlight w:val="none"/>
        </w:rPr>
        <w:t>1.7 联络</w:t>
      </w:r>
    </w:p>
    <w:p w14:paraId="0FD3855A">
      <w:pPr>
        <w:pStyle w:val="58"/>
        <w:spacing w:line="500" w:lineRule="exact"/>
        <w:rPr>
          <w:rFonts w:ascii="宋体" w:hAnsi="宋体" w:cs="宋体"/>
          <w:sz w:val="24"/>
          <w:highlight w:val="none"/>
        </w:rPr>
      </w:pPr>
      <w:r>
        <w:rPr>
          <w:rFonts w:hint="eastAsia" w:ascii="宋体" w:hAnsi="宋体" w:cs="宋体"/>
          <w:sz w:val="24"/>
          <w:highlight w:val="none"/>
        </w:rPr>
        <w:t>　　1.7.2　来往函件均应按技术标准和要求(合同技术条款)约定的期限送达</w:t>
      </w:r>
      <w:r>
        <w:rPr>
          <w:rFonts w:hint="eastAsia" w:ascii="宋体" w:hAnsi="宋体" w:cs="宋体"/>
          <w:sz w:val="24"/>
          <w:highlight w:val="none"/>
          <w:u w:val="single"/>
        </w:rPr>
        <w:t>　　　　　</w:t>
      </w:r>
      <w:r>
        <w:rPr>
          <w:rFonts w:hint="eastAsia" w:ascii="宋体" w:hAnsi="宋体" w:cs="宋体"/>
          <w:sz w:val="24"/>
          <w:highlight w:val="none"/>
        </w:rPr>
        <w:t>(填写文件送达地点)。</w:t>
      </w:r>
    </w:p>
    <w:p w14:paraId="42B5A72D">
      <w:pPr>
        <w:pStyle w:val="58"/>
        <w:spacing w:line="500" w:lineRule="exact"/>
        <w:outlineLvl w:val="2"/>
        <w:rPr>
          <w:rFonts w:ascii="宋体" w:hAnsi="宋体" w:cs="宋体"/>
          <w:sz w:val="24"/>
          <w:highlight w:val="none"/>
        </w:rPr>
      </w:pPr>
      <w:bookmarkStart w:id="274" w:name="_Toc140340985"/>
      <w:r>
        <w:rPr>
          <w:rFonts w:hint="eastAsia" w:ascii="宋体" w:hAnsi="宋体" w:cs="宋体"/>
          <w:sz w:val="24"/>
          <w:highlight w:val="none"/>
        </w:rPr>
        <w:t>2. 发包人义务</w:t>
      </w:r>
      <w:bookmarkEnd w:id="274"/>
    </w:p>
    <w:p w14:paraId="5477CE2A">
      <w:pPr>
        <w:pStyle w:val="58"/>
        <w:spacing w:line="500" w:lineRule="exact"/>
        <w:outlineLvl w:val="3"/>
        <w:rPr>
          <w:rFonts w:ascii="宋体" w:hAnsi="宋体" w:cs="宋体"/>
          <w:sz w:val="24"/>
          <w:highlight w:val="none"/>
        </w:rPr>
      </w:pPr>
      <w:r>
        <w:rPr>
          <w:rFonts w:hint="eastAsia" w:ascii="宋体" w:hAnsi="宋体" w:cs="宋体"/>
          <w:sz w:val="24"/>
          <w:highlight w:val="none"/>
        </w:rPr>
        <w:t>2.3 提供施工场地</w:t>
      </w:r>
    </w:p>
    <w:p w14:paraId="0DAB98CA">
      <w:pPr>
        <w:pStyle w:val="58"/>
        <w:spacing w:line="500" w:lineRule="exact"/>
        <w:rPr>
          <w:rFonts w:ascii="宋体" w:hAnsi="宋体" w:cs="宋体"/>
          <w:sz w:val="24"/>
          <w:highlight w:val="none"/>
        </w:rPr>
      </w:pPr>
      <w:r>
        <w:rPr>
          <w:rFonts w:hint="eastAsia" w:ascii="宋体" w:hAnsi="宋体" w:cs="宋体"/>
          <w:sz w:val="24"/>
          <w:highlight w:val="none"/>
        </w:rPr>
        <w:t>　　2.3.2　发包人提供的施工场地范围为：</w:t>
      </w:r>
      <w:r>
        <w:rPr>
          <w:rFonts w:hint="eastAsia" w:ascii="宋体" w:hAnsi="宋体" w:cs="宋体"/>
          <w:sz w:val="24"/>
          <w:highlight w:val="none"/>
          <w:u w:val="single"/>
        </w:rPr>
        <w:t>　　　　　　　　　　</w:t>
      </w:r>
      <w:r>
        <w:rPr>
          <w:rFonts w:hint="eastAsia" w:ascii="宋体" w:hAnsi="宋体" w:cs="宋体"/>
          <w:sz w:val="24"/>
          <w:highlight w:val="none"/>
        </w:rPr>
        <w:t>。</w:t>
      </w:r>
    </w:p>
    <w:p w14:paraId="5191CC50">
      <w:pPr>
        <w:pStyle w:val="58"/>
        <w:spacing w:line="500" w:lineRule="exact"/>
        <w:rPr>
          <w:rFonts w:ascii="宋体" w:hAnsi="宋体" w:cs="宋体"/>
          <w:sz w:val="24"/>
          <w:highlight w:val="none"/>
        </w:rPr>
      </w:pPr>
      <w:r>
        <w:rPr>
          <w:rFonts w:hint="eastAsia" w:ascii="宋体" w:hAnsi="宋体" w:cs="宋体"/>
          <w:sz w:val="24"/>
          <w:highlight w:val="none"/>
        </w:rPr>
        <w:t>　　2.3.3　承包人自行勘察的施工场地范围为：</w:t>
      </w:r>
      <w:r>
        <w:rPr>
          <w:rFonts w:hint="eastAsia" w:ascii="宋体" w:hAnsi="宋体" w:cs="宋体"/>
          <w:sz w:val="24"/>
          <w:highlight w:val="none"/>
          <w:u w:val="single"/>
        </w:rPr>
        <w:t>　　　　　　　　　　</w:t>
      </w:r>
      <w:r>
        <w:rPr>
          <w:rFonts w:hint="eastAsia" w:ascii="宋体" w:hAnsi="宋体" w:cs="宋体"/>
          <w:sz w:val="24"/>
          <w:highlight w:val="none"/>
        </w:rPr>
        <w:t>。</w:t>
      </w:r>
    </w:p>
    <w:p w14:paraId="246DA6EC">
      <w:pPr>
        <w:pStyle w:val="58"/>
        <w:spacing w:line="500" w:lineRule="exact"/>
        <w:outlineLvl w:val="3"/>
        <w:rPr>
          <w:rFonts w:ascii="宋体" w:hAnsi="宋体" w:cs="宋体"/>
          <w:sz w:val="24"/>
          <w:highlight w:val="none"/>
        </w:rPr>
      </w:pPr>
      <w:r>
        <w:rPr>
          <w:rFonts w:hint="eastAsia" w:ascii="宋体" w:hAnsi="宋体" w:cs="宋体"/>
          <w:sz w:val="24"/>
          <w:highlight w:val="none"/>
        </w:rPr>
        <w:t>2.8 其它义务</w:t>
      </w:r>
    </w:p>
    <w:p w14:paraId="1832B95A">
      <w:pPr>
        <w:pStyle w:val="58"/>
        <w:spacing w:line="500" w:lineRule="exact"/>
        <w:rPr>
          <w:rFonts w:ascii="宋体" w:hAnsi="宋体" w:cs="宋体"/>
          <w:sz w:val="24"/>
          <w:highlight w:val="none"/>
        </w:rPr>
      </w:pPr>
      <w:r>
        <w:rPr>
          <w:rFonts w:hint="eastAsia" w:ascii="宋体" w:hAnsi="宋体" w:cs="宋体"/>
          <w:sz w:val="24"/>
          <w:highlight w:val="none"/>
        </w:rPr>
        <w:t>　　(根据发包人的合同管理要求补充)</w:t>
      </w:r>
    </w:p>
    <w:p w14:paraId="77556120">
      <w:pPr>
        <w:pStyle w:val="58"/>
        <w:spacing w:line="500" w:lineRule="exact"/>
        <w:rPr>
          <w:rFonts w:ascii="宋体" w:hAnsi="宋体" w:cs="宋体"/>
          <w:sz w:val="24"/>
          <w:highlight w:val="none"/>
        </w:rPr>
      </w:pPr>
      <w:r>
        <w:rPr>
          <w:rFonts w:hint="eastAsia" w:ascii="宋体" w:hAnsi="宋体" w:cs="宋体"/>
          <w:sz w:val="24"/>
          <w:highlight w:val="none"/>
        </w:rPr>
        <w:t>　　(1)发包人提供的设计文件和图纸</w:t>
      </w:r>
    </w:p>
    <w:p w14:paraId="0E53CF14">
      <w:pPr>
        <w:pStyle w:val="58"/>
        <w:spacing w:line="500" w:lineRule="exact"/>
        <w:rPr>
          <w:rFonts w:ascii="宋体" w:hAnsi="宋体" w:cs="宋体"/>
          <w:sz w:val="24"/>
          <w:highlight w:val="none"/>
        </w:rPr>
      </w:pPr>
      <w:r>
        <w:rPr>
          <w:rFonts w:hint="eastAsia" w:ascii="宋体" w:hAnsi="宋体" w:cs="宋体"/>
          <w:sz w:val="24"/>
          <w:highlight w:val="none"/>
        </w:rPr>
        <w:t>　　(2)其他需提供的资料</w:t>
      </w:r>
    </w:p>
    <w:p w14:paraId="585D9FAD">
      <w:pPr>
        <w:pStyle w:val="58"/>
        <w:spacing w:line="500" w:lineRule="exact"/>
        <w:outlineLvl w:val="2"/>
        <w:rPr>
          <w:rFonts w:ascii="宋体" w:hAnsi="宋体" w:cs="宋体"/>
          <w:sz w:val="24"/>
          <w:highlight w:val="none"/>
        </w:rPr>
      </w:pPr>
      <w:bookmarkStart w:id="275" w:name="_Toc140340986"/>
      <w:r>
        <w:rPr>
          <w:rFonts w:hint="eastAsia" w:ascii="宋体" w:hAnsi="宋体" w:cs="宋体"/>
          <w:sz w:val="24"/>
          <w:highlight w:val="none"/>
        </w:rPr>
        <w:t>3. 监理人</w:t>
      </w:r>
      <w:bookmarkEnd w:id="275"/>
    </w:p>
    <w:p w14:paraId="6F29A830">
      <w:pPr>
        <w:pStyle w:val="58"/>
        <w:spacing w:line="500" w:lineRule="exact"/>
        <w:outlineLvl w:val="3"/>
        <w:rPr>
          <w:rFonts w:ascii="宋体" w:hAnsi="宋体" w:cs="宋体"/>
          <w:sz w:val="24"/>
          <w:highlight w:val="none"/>
        </w:rPr>
      </w:pPr>
      <w:r>
        <w:rPr>
          <w:rFonts w:hint="eastAsia" w:ascii="宋体" w:hAnsi="宋体" w:cs="宋体"/>
          <w:sz w:val="24"/>
          <w:highlight w:val="none"/>
        </w:rPr>
        <w:t>3.1 监理人的职责和权力</w:t>
      </w:r>
    </w:p>
    <w:p w14:paraId="7B1DE360">
      <w:pPr>
        <w:pStyle w:val="58"/>
        <w:spacing w:line="500" w:lineRule="exact"/>
        <w:rPr>
          <w:rFonts w:ascii="宋体" w:hAnsi="宋体" w:cs="宋体"/>
          <w:sz w:val="24"/>
          <w:highlight w:val="none"/>
        </w:rPr>
      </w:pPr>
      <w:r>
        <w:rPr>
          <w:rFonts w:hint="eastAsia" w:ascii="宋体" w:hAnsi="宋体" w:cs="宋体"/>
          <w:sz w:val="24"/>
          <w:highlight w:val="none"/>
        </w:rPr>
        <w:t>　　3.1.1　监理人须根据发包人事先批准的权力范围行使权力，发包人批准的权力范围：(填写监理人须经发包人批准才能行使的权力，以下示例供参考)</w:t>
      </w:r>
    </w:p>
    <w:p w14:paraId="3FDA4787">
      <w:pPr>
        <w:pStyle w:val="58"/>
        <w:spacing w:line="500" w:lineRule="exact"/>
        <w:rPr>
          <w:rFonts w:ascii="宋体" w:hAnsi="宋体" w:cs="宋体"/>
          <w:sz w:val="24"/>
          <w:highlight w:val="none"/>
        </w:rPr>
      </w:pPr>
      <w:r>
        <w:rPr>
          <w:rFonts w:hint="eastAsia" w:ascii="宋体" w:hAnsi="宋体" w:cs="宋体"/>
          <w:sz w:val="24"/>
          <w:highlight w:val="none"/>
        </w:rPr>
        <w:t>　　(1)按第4.3款约定，批准工程的分包；</w:t>
      </w:r>
    </w:p>
    <w:p w14:paraId="5550A806">
      <w:pPr>
        <w:pStyle w:val="58"/>
        <w:spacing w:line="500" w:lineRule="exact"/>
        <w:rPr>
          <w:rFonts w:ascii="宋体" w:hAnsi="宋体" w:cs="宋体"/>
          <w:sz w:val="24"/>
          <w:highlight w:val="none"/>
        </w:rPr>
      </w:pPr>
      <w:r>
        <w:rPr>
          <w:rFonts w:hint="eastAsia" w:ascii="宋体" w:hAnsi="宋体" w:cs="宋体"/>
          <w:sz w:val="24"/>
          <w:highlight w:val="none"/>
        </w:rPr>
        <w:t>　　(2)按第11.3款约定，确定延长完工期限；</w:t>
      </w:r>
    </w:p>
    <w:p w14:paraId="4803D78D">
      <w:pPr>
        <w:pStyle w:val="58"/>
        <w:spacing w:line="500" w:lineRule="exact"/>
        <w:rPr>
          <w:rFonts w:ascii="宋体" w:hAnsi="宋体" w:cs="宋体"/>
          <w:sz w:val="24"/>
          <w:highlight w:val="none"/>
        </w:rPr>
      </w:pPr>
      <w:r>
        <w:rPr>
          <w:rFonts w:hint="eastAsia" w:ascii="宋体" w:hAnsi="宋体" w:cs="宋体"/>
          <w:sz w:val="24"/>
          <w:highlight w:val="none"/>
        </w:rPr>
        <w:t>　　(3)按第15.6款约定，批准暂列金额的使用；</w:t>
      </w:r>
    </w:p>
    <w:p w14:paraId="1F9B510A">
      <w:pPr>
        <w:pStyle w:val="58"/>
        <w:spacing w:line="500" w:lineRule="exact"/>
        <w:rPr>
          <w:rFonts w:ascii="宋体" w:hAnsi="宋体" w:cs="宋体"/>
          <w:sz w:val="24"/>
          <w:highlight w:val="none"/>
        </w:rPr>
      </w:pPr>
      <w:r>
        <w:rPr>
          <w:rFonts w:hint="eastAsia" w:ascii="宋体" w:hAnsi="宋体" w:cs="宋体"/>
          <w:sz w:val="24"/>
          <w:highlight w:val="none"/>
        </w:rPr>
        <w:t>　　(4)……</w:t>
      </w:r>
    </w:p>
    <w:p w14:paraId="665D0AB0">
      <w:pPr>
        <w:pStyle w:val="58"/>
        <w:spacing w:line="500" w:lineRule="exact"/>
        <w:outlineLvl w:val="2"/>
        <w:rPr>
          <w:rFonts w:ascii="宋体" w:hAnsi="宋体" w:cs="宋体"/>
          <w:sz w:val="24"/>
          <w:highlight w:val="none"/>
        </w:rPr>
      </w:pPr>
      <w:bookmarkStart w:id="276" w:name="_Toc140340987"/>
      <w:r>
        <w:rPr>
          <w:rFonts w:hint="eastAsia" w:ascii="宋体" w:hAnsi="宋体" w:cs="宋体"/>
          <w:sz w:val="24"/>
          <w:highlight w:val="none"/>
        </w:rPr>
        <w:t>4. 承包人</w:t>
      </w:r>
      <w:bookmarkEnd w:id="276"/>
    </w:p>
    <w:p w14:paraId="03EB20BB">
      <w:pPr>
        <w:pStyle w:val="58"/>
        <w:spacing w:line="500" w:lineRule="exact"/>
        <w:outlineLvl w:val="3"/>
        <w:rPr>
          <w:rFonts w:ascii="宋体" w:hAnsi="宋体" w:cs="宋体"/>
          <w:sz w:val="24"/>
          <w:highlight w:val="none"/>
        </w:rPr>
      </w:pPr>
      <w:r>
        <w:rPr>
          <w:rFonts w:hint="eastAsia" w:ascii="宋体" w:hAnsi="宋体" w:cs="宋体"/>
          <w:sz w:val="24"/>
          <w:highlight w:val="none"/>
        </w:rPr>
        <w:t>4.1 承包人的一般义务</w:t>
      </w:r>
    </w:p>
    <w:p w14:paraId="6307F1DB">
      <w:pPr>
        <w:pStyle w:val="58"/>
        <w:spacing w:line="500" w:lineRule="exact"/>
        <w:rPr>
          <w:rFonts w:ascii="宋体" w:hAnsi="宋体" w:cs="宋体"/>
          <w:sz w:val="24"/>
          <w:highlight w:val="none"/>
        </w:rPr>
      </w:pPr>
      <w:r>
        <w:rPr>
          <w:rFonts w:hint="eastAsia" w:ascii="宋体" w:hAnsi="宋体" w:cs="宋体"/>
          <w:sz w:val="24"/>
          <w:highlight w:val="none"/>
        </w:rPr>
        <w:t>　　4.1.10 其它义务</w:t>
      </w:r>
    </w:p>
    <w:p w14:paraId="29EA70F6">
      <w:pPr>
        <w:pStyle w:val="58"/>
        <w:spacing w:line="500" w:lineRule="exact"/>
        <w:rPr>
          <w:rFonts w:ascii="宋体" w:hAnsi="宋体" w:cs="宋体"/>
          <w:sz w:val="24"/>
          <w:highlight w:val="none"/>
        </w:rPr>
      </w:pPr>
      <w:r>
        <w:rPr>
          <w:rFonts w:hint="eastAsia" w:ascii="宋体" w:hAnsi="宋体" w:cs="宋体"/>
          <w:sz w:val="24"/>
          <w:highlight w:val="none"/>
        </w:rPr>
        <w:t>　　(1)……</w:t>
      </w:r>
    </w:p>
    <w:p w14:paraId="4D400931">
      <w:pPr>
        <w:pStyle w:val="58"/>
        <w:spacing w:line="500" w:lineRule="exact"/>
        <w:rPr>
          <w:rFonts w:ascii="宋体" w:hAnsi="宋体" w:cs="宋体"/>
          <w:sz w:val="24"/>
          <w:highlight w:val="none"/>
        </w:rPr>
      </w:pPr>
      <w:r>
        <w:rPr>
          <w:rFonts w:hint="eastAsia" w:ascii="宋体" w:hAnsi="宋体" w:cs="宋体"/>
          <w:sz w:val="24"/>
          <w:highlight w:val="none"/>
        </w:rPr>
        <w:t>　　(2)……</w:t>
      </w:r>
    </w:p>
    <w:p w14:paraId="7B7FE900">
      <w:pPr>
        <w:pStyle w:val="58"/>
        <w:spacing w:line="500" w:lineRule="exact"/>
        <w:outlineLvl w:val="3"/>
        <w:rPr>
          <w:rFonts w:ascii="宋体" w:hAnsi="宋体" w:cs="宋体"/>
          <w:sz w:val="24"/>
          <w:highlight w:val="none"/>
        </w:rPr>
      </w:pPr>
      <w:r>
        <w:rPr>
          <w:rFonts w:hint="eastAsia" w:ascii="宋体" w:hAnsi="宋体" w:cs="宋体"/>
          <w:sz w:val="24"/>
          <w:highlight w:val="none"/>
        </w:rPr>
        <w:t>4.3 分包</w:t>
      </w:r>
    </w:p>
    <w:p w14:paraId="13BA2975">
      <w:pPr>
        <w:pStyle w:val="58"/>
        <w:spacing w:line="500" w:lineRule="exact"/>
        <w:rPr>
          <w:rFonts w:ascii="宋体" w:hAnsi="宋体" w:cs="宋体"/>
          <w:sz w:val="24"/>
          <w:highlight w:val="none"/>
        </w:rPr>
      </w:pPr>
      <w:r>
        <w:rPr>
          <w:rFonts w:hint="eastAsia" w:ascii="宋体" w:hAnsi="宋体" w:cs="宋体"/>
          <w:sz w:val="24"/>
          <w:highlight w:val="none"/>
        </w:rPr>
        <w:t>　　4.3.2 允许承包人分包的工程项目、工作内容与分包金额限额为：</w:t>
      </w:r>
      <w:r>
        <w:rPr>
          <w:rFonts w:hint="eastAsia" w:ascii="宋体" w:hAnsi="宋体" w:cs="宋体"/>
          <w:sz w:val="24"/>
          <w:highlight w:val="none"/>
          <w:u w:val="single"/>
        </w:rPr>
        <w:t>本工程不允许分包</w:t>
      </w:r>
      <w:r>
        <w:rPr>
          <w:rFonts w:hint="eastAsia" w:ascii="宋体" w:hAnsi="宋体" w:cs="宋体"/>
          <w:sz w:val="24"/>
          <w:highlight w:val="none"/>
        </w:rPr>
        <w:t>。</w:t>
      </w:r>
    </w:p>
    <w:p w14:paraId="6420D61E">
      <w:pPr>
        <w:pStyle w:val="58"/>
        <w:spacing w:line="500" w:lineRule="exact"/>
        <w:outlineLvl w:val="3"/>
        <w:rPr>
          <w:rFonts w:ascii="宋体" w:hAnsi="宋体" w:cs="宋体"/>
          <w:sz w:val="24"/>
          <w:highlight w:val="none"/>
        </w:rPr>
      </w:pPr>
      <w:r>
        <w:rPr>
          <w:rFonts w:hint="eastAsia" w:ascii="宋体" w:hAnsi="宋体" w:cs="宋体"/>
          <w:sz w:val="24"/>
          <w:highlight w:val="none"/>
        </w:rPr>
        <w:t>4.11 不利物质条件</w:t>
      </w:r>
    </w:p>
    <w:p w14:paraId="1A97AE81">
      <w:pPr>
        <w:pStyle w:val="58"/>
        <w:spacing w:line="500" w:lineRule="exact"/>
        <w:rPr>
          <w:rFonts w:ascii="宋体" w:hAnsi="宋体" w:cs="宋体"/>
          <w:sz w:val="24"/>
          <w:highlight w:val="none"/>
        </w:rPr>
      </w:pPr>
      <w:r>
        <w:rPr>
          <w:rFonts w:hint="eastAsia" w:ascii="宋体" w:hAnsi="宋体" w:cs="宋体"/>
          <w:sz w:val="24"/>
          <w:highlight w:val="none"/>
        </w:rPr>
        <w:t>　　4.11.1 不利物质条件的范围：</w:t>
      </w:r>
      <w:r>
        <w:rPr>
          <w:rFonts w:hint="eastAsia" w:ascii="宋体" w:hAnsi="宋体" w:cs="宋体"/>
          <w:sz w:val="24"/>
          <w:highlight w:val="none"/>
          <w:u w:val="single"/>
        </w:rPr>
        <w:t>　　　　　　　　　　</w:t>
      </w:r>
      <w:r>
        <w:rPr>
          <w:rFonts w:hint="eastAsia" w:ascii="宋体" w:hAnsi="宋体" w:cs="宋体"/>
          <w:sz w:val="24"/>
          <w:highlight w:val="none"/>
        </w:rPr>
        <w:t>。</w:t>
      </w:r>
    </w:p>
    <w:p w14:paraId="27FAC838">
      <w:pPr>
        <w:pStyle w:val="58"/>
        <w:spacing w:line="500" w:lineRule="exact"/>
        <w:outlineLvl w:val="2"/>
        <w:rPr>
          <w:rFonts w:ascii="宋体" w:hAnsi="宋体" w:cs="宋体"/>
          <w:sz w:val="24"/>
          <w:highlight w:val="none"/>
        </w:rPr>
      </w:pPr>
      <w:bookmarkStart w:id="277" w:name="_Toc140340988"/>
      <w:r>
        <w:rPr>
          <w:rFonts w:hint="eastAsia" w:ascii="宋体" w:hAnsi="宋体" w:cs="宋体"/>
          <w:sz w:val="24"/>
          <w:highlight w:val="none"/>
        </w:rPr>
        <w:t>5. 材料和工程设备</w:t>
      </w:r>
      <w:bookmarkEnd w:id="277"/>
    </w:p>
    <w:p w14:paraId="2EA52372">
      <w:pPr>
        <w:pStyle w:val="58"/>
        <w:spacing w:line="500" w:lineRule="exact"/>
        <w:ind w:firstLine="240" w:firstLineChars="100"/>
        <w:outlineLvl w:val="3"/>
        <w:rPr>
          <w:rFonts w:ascii="宋体" w:hAnsi="宋体" w:cs="宋体"/>
          <w:sz w:val="24"/>
          <w:highlight w:val="none"/>
        </w:rPr>
      </w:pPr>
      <w:r>
        <w:rPr>
          <w:rFonts w:hint="eastAsia" w:ascii="宋体" w:hAnsi="宋体" w:cs="宋体"/>
          <w:sz w:val="24"/>
          <w:highlight w:val="none"/>
        </w:rPr>
        <w:t>5.2 发包人提供的材料和工程设备</w:t>
      </w:r>
    </w:p>
    <w:p w14:paraId="2E3A70DD">
      <w:pPr>
        <w:pStyle w:val="58"/>
        <w:spacing w:line="500" w:lineRule="exact"/>
        <w:rPr>
          <w:sz w:val="24"/>
          <w:highlight w:val="none"/>
        </w:rPr>
      </w:pPr>
      <w:r>
        <w:rPr>
          <w:rFonts w:hint="eastAsia" w:ascii="宋体" w:hAnsi="宋体" w:cs="宋体"/>
          <w:sz w:val="24"/>
          <w:highlight w:val="none"/>
        </w:rPr>
        <w:t>　　5.2.1 发包人提供的材料和工程设备见下表：</w:t>
      </w:r>
    </w:p>
    <w:p w14:paraId="67A30A2B">
      <w:pPr>
        <w:pStyle w:val="58"/>
        <w:jc w:val="center"/>
        <w:rPr>
          <w:rFonts w:ascii="宋体" w:hAnsi="宋体" w:cs="宋体"/>
          <w:b/>
          <w:sz w:val="24"/>
          <w:highlight w:val="none"/>
        </w:rPr>
      </w:pPr>
      <w:r>
        <w:rPr>
          <w:rFonts w:hint="eastAsia" w:ascii="宋体" w:hAnsi="宋体" w:cs="宋体"/>
          <w:b/>
          <w:sz w:val="24"/>
          <w:highlight w:val="none"/>
        </w:rPr>
        <w:t>发包人提供的材料表(参考格式)</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1"/>
        <w:gridCol w:w="1461"/>
        <w:gridCol w:w="1459"/>
        <w:gridCol w:w="731"/>
        <w:gridCol w:w="1459"/>
        <w:gridCol w:w="1168"/>
        <w:gridCol w:w="1607"/>
        <w:gridCol w:w="727"/>
      </w:tblGrid>
      <w:tr w14:paraId="06EA4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1" w:type="dxa"/>
            <w:noWrap w:val="0"/>
            <w:vAlign w:val="center"/>
          </w:tcPr>
          <w:p w14:paraId="6E452415">
            <w:pPr>
              <w:pStyle w:val="58"/>
              <w:jc w:val="center"/>
              <w:rPr>
                <w:highlight w:val="none"/>
              </w:rPr>
            </w:pPr>
            <w:r>
              <w:rPr>
                <w:rFonts w:hint="eastAsia"/>
                <w:highlight w:val="none"/>
              </w:rPr>
              <w:t>序号</w:t>
            </w:r>
          </w:p>
        </w:tc>
        <w:tc>
          <w:tcPr>
            <w:tcW w:w="1461" w:type="dxa"/>
            <w:noWrap w:val="0"/>
            <w:vAlign w:val="center"/>
          </w:tcPr>
          <w:p w14:paraId="0C0CB275">
            <w:pPr>
              <w:pStyle w:val="58"/>
              <w:jc w:val="center"/>
              <w:rPr>
                <w:highlight w:val="none"/>
              </w:rPr>
            </w:pPr>
            <w:r>
              <w:rPr>
                <w:rFonts w:hint="eastAsia"/>
                <w:highlight w:val="none"/>
              </w:rPr>
              <w:t>材料名称</w:t>
            </w:r>
          </w:p>
        </w:tc>
        <w:tc>
          <w:tcPr>
            <w:tcW w:w="1459" w:type="dxa"/>
            <w:noWrap w:val="0"/>
            <w:vAlign w:val="center"/>
          </w:tcPr>
          <w:p w14:paraId="4A2831C9">
            <w:pPr>
              <w:pStyle w:val="58"/>
              <w:jc w:val="center"/>
              <w:rPr>
                <w:highlight w:val="none"/>
              </w:rPr>
            </w:pPr>
            <w:r>
              <w:rPr>
                <w:rFonts w:hint="eastAsia"/>
                <w:highlight w:val="none"/>
              </w:rPr>
              <w:t>材料规格</w:t>
            </w:r>
          </w:p>
        </w:tc>
        <w:tc>
          <w:tcPr>
            <w:tcW w:w="731" w:type="dxa"/>
            <w:noWrap w:val="0"/>
            <w:vAlign w:val="center"/>
          </w:tcPr>
          <w:p w14:paraId="27F7B4BB">
            <w:pPr>
              <w:pStyle w:val="58"/>
              <w:jc w:val="center"/>
              <w:rPr>
                <w:highlight w:val="none"/>
              </w:rPr>
            </w:pPr>
            <w:r>
              <w:rPr>
                <w:rFonts w:hint="eastAsia"/>
                <w:highlight w:val="none"/>
              </w:rPr>
              <w:t>数量</w:t>
            </w:r>
          </w:p>
        </w:tc>
        <w:tc>
          <w:tcPr>
            <w:tcW w:w="1459" w:type="dxa"/>
            <w:noWrap w:val="0"/>
            <w:vAlign w:val="center"/>
          </w:tcPr>
          <w:p w14:paraId="658E82B2">
            <w:pPr>
              <w:pStyle w:val="58"/>
              <w:jc w:val="center"/>
              <w:rPr>
                <w:highlight w:val="none"/>
              </w:rPr>
            </w:pPr>
            <w:r>
              <w:rPr>
                <w:rFonts w:hint="eastAsia"/>
                <w:highlight w:val="none"/>
              </w:rPr>
              <w:t>交货地点</w:t>
            </w:r>
          </w:p>
        </w:tc>
        <w:tc>
          <w:tcPr>
            <w:tcW w:w="1168" w:type="dxa"/>
            <w:noWrap w:val="0"/>
            <w:vAlign w:val="center"/>
          </w:tcPr>
          <w:p w14:paraId="400DA6BC">
            <w:pPr>
              <w:pStyle w:val="58"/>
              <w:jc w:val="center"/>
              <w:rPr>
                <w:highlight w:val="none"/>
              </w:rPr>
            </w:pPr>
            <w:r>
              <w:rPr>
                <w:rFonts w:hint="eastAsia"/>
                <w:highlight w:val="none"/>
              </w:rPr>
              <w:t>交货方式</w:t>
            </w:r>
          </w:p>
        </w:tc>
        <w:tc>
          <w:tcPr>
            <w:tcW w:w="1607" w:type="dxa"/>
            <w:noWrap w:val="0"/>
            <w:vAlign w:val="center"/>
          </w:tcPr>
          <w:p w14:paraId="21C50F3B">
            <w:pPr>
              <w:pStyle w:val="58"/>
              <w:jc w:val="center"/>
              <w:rPr>
                <w:highlight w:val="none"/>
              </w:rPr>
            </w:pPr>
            <w:r>
              <w:rPr>
                <w:rFonts w:hint="eastAsia"/>
                <w:highlight w:val="none"/>
              </w:rPr>
              <w:t>计划交货日期</w:t>
            </w:r>
          </w:p>
        </w:tc>
        <w:tc>
          <w:tcPr>
            <w:tcW w:w="727" w:type="dxa"/>
            <w:noWrap w:val="0"/>
            <w:vAlign w:val="center"/>
          </w:tcPr>
          <w:p w14:paraId="7065D1A5">
            <w:pPr>
              <w:pStyle w:val="58"/>
              <w:jc w:val="center"/>
              <w:rPr>
                <w:highlight w:val="none"/>
              </w:rPr>
            </w:pPr>
            <w:r>
              <w:rPr>
                <w:rFonts w:hint="eastAsia"/>
                <w:highlight w:val="none"/>
              </w:rPr>
              <w:t>备注</w:t>
            </w:r>
          </w:p>
        </w:tc>
      </w:tr>
      <w:tr w14:paraId="057F9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1" w:type="dxa"/>
            <w:noWrap w:val="0"/>
            <w:vAlign w:val="center"/>
          </w:tcPr>
          <w:p w14:paraId="57EDE1EE">
            <w:pPr>
              <w:pStyle w:val="58"/>
              <w:jc w:val="center"/>
              <w:rPr>
                <w:highlight w:val="none"/>
              </w:rPr>
            </w:pPr>
          </w:p>
        </w:tc>
        <w:tc>
          <w:tcPr>
            <w:tcW w:w="1461" w:type="dxa"/>
            <w:noWrap w:val="0"/>
            <w:vAlign w:val="center"/>
          </w:tcPr>
          <w:p w14:paraId="1A6655F5">
            <w:pPr>
              <w:pStyle w:val="58"/>
              <w:jc w:val="center"/>
              <w:rPr>
                <w:highlight w:val="none"/>
              </w:rPr>
            </w:pPr>
          </w:p>
        </w:tc>
        <w:tc>
          <w:tcPr>
            <w:tcW w:w="1459" w:type="dxa"/>
            <w:noWrap w:val="0"/>
            <w:vAlign w:val="center"/>
          </w:tcPr>
          <w:p w14:paraId="325308AD">
            <w:pPr>
              <w:pStyle w:val="58"/>
              <w:jc w:val="center"/>
              <w:rPr>
                <w:highlight w:val="none"/>
              </w:rPr>
            </w:pPr>
          </w:p>
        </w:tc>
        <w:tc>
          <w:tcPr>
            <w:tcW w:w="731" w:type="dxa"/>
            <w:noWrap w:val="0"/>
            <w:vAlign w:val="center"/>
          </w:tcPr>
          <w:p w14:paraId="0C23A322">
            <w:pPr>
              <w:pStyle w:val="58"/>
              <w:jc w:val="center"/>
              <w:rPr>
                <w:highlight w:val="none"/>
              </w:rPr>
            </w:pPr>
          </w:p>
        </w:tc>
        <w:tc>
          <w:tcPr>
            <w:tcW w:w="1459" w:type="dxa"/>
            <w:noWrap w:val="0"/>
            <w:vAlign w:val="center"/>
          </w:tcPr>
          <w:p w14:paraId="09B2CFD7">
            <w:pPr>
              <w:pStyle w:val="58"/>
              <w:jc w:val="center"/>
              <w:rPr>
                <w:highlight w:val="none"/>
              </w:rPr>
            </w:pPr>
          </w:p>
        </w:tc>
        <w:tc>
          <w:tcPr>
            <w:tcW w:w="1168" w:type="dxa"/>
            <w:noWrap w:val="0"/>
            <w:vAlign w:val="center"/>
          </w:tcPr>
          <w:p w14:paraId="5F77E579">
            <w:pPr>
              <w:pStyle w:val="58"/>
              <w:jc w:val="center"/>
              <w:rPr>
                <w:highlight w:val="none"/>
              </w:rPr>
            </w:pPr>
          </w:p>
        </w:tc>
        <w:tc>
          <w:tcPr>
            <w:tcW w:w="1607" w:type="dxa"/>
            <w:noWrap w:val="0"/>
            <w:vAlign w:val="center"/>
          </w:tcPr>
          <w:p w14:paraId="4D3F8789">
            <w:pPr>
              <w:pStyle w:val="58"/>
              <w:jc w:val="center"/>
              <w:rPr>
                <w:highlight w:val="none"/>
              </w:rPr>
            </w:pPr>
          </w:p>
        </w:tc>
        <w:tc>
          <w:tcPr>
            <w:tcW w:w="727" w:type="dxa"/>
            <w:noWrap w:val="0"/>
            <w:vAlign w:val="center"/>
          </w:tcPr>
          <w:p w14:paraId="26602760">
            <w:pPr>
              <w:pStyle w:val="58"/>
              <w:jc w:val="center"/>
              <w:rPr>
                <w:highlight w:val="none"/>
              </w:rPr>
            </w:pPr>
          </w:p>
        </w:tc>
      </w:tr>
      <w:tr w14:paraId="1DAA2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1" w:type="dxa"/>
            <w:noWrap w:val="0"/>
            <w:vAlign w:val="center"/>
          </w:tcPr>
          <w:p w14:paraId="2F9CE9FF">
            <w:pPr>
              <w:pStyle w:val="58"/>
              <w:jc w:val="center"/>
              <w:rPr>
                <w:highlight w:val="none"/>
              </w:rPr>
            </w:pPr>
          </w:p>
        </w:tc>
        <w:tc>
          <w:tcPr>
            <w:tcW w:w="1461" w:type="dxa"/>
            <w:noWrap w:val="0"/>
            <w:vAlign w:val="center"/>
          </w:tcPr>
          <w:p w14:paraId="49A32E53">
            <w:pPr>
              <w:pStyle w:val="58"/>
              <w:jc w:val="center"/>
              <w:rPr>
                <w:highlight w:val="none"/>
              </w:rPr>
            </w:pPr>
          </w:p>
        </w:tc>
        <w:tc>
          <w:tcPr>
            <w:tcW w:w="1459" w:type="dxa"/>
            <w:noWrap w:val="0"/>
            <w:vAlign w:val="center"/>
          </w:tcPr>
          <w:p w14:paraId="062C2A64">
            <w:pPr>
              <w:pStyle w:val="58"/>
              <w:jc w:val="center"/>
              <w:rPr>
                <w:highlight w:val="none"/>
              </w:rPr>
            </w:pPr>
          </w:p>
        </w:tc>
        <w:tc>
          <w:tcPr>
            <w:tcW w:w="731" w:type="dxa"/>
            <w:noWrap w:val="0"/>
            <w:vAlign w:val="center"/>
          </w:tcPr>
          <w:p w14:paraId="58D94F0B">
            <w:pPr>
              <w:pStyle w:val="58"/>
              <w:jc w:val="center"/>
              <w:rPr>
                <w:highlight w:val="none"/>
              </w:rPr>
            </w:pPr>
          </w:p>
        </w:tc>
        <w:tc>
          <w:tcPr>
            <w:tcW w:w="1459" w:type="dxa"/>
            <w:noWrap w:val="0"/>
            <w:vAlign w:val="center"/>
          </w:tcPr>
          <w:p w14:paraId="7CDB7ACD">
            <w:pPr>
              <w:pStyle w:val="58"/>
              <w:jc w:val="center"/>
              <w:rPr>
                <w:highlight w:val="none"/>
              </w:rPr>
            </w:pPr>
          </w:p>
        </w:tc>
        <w:tc>
          <w:tcPr>
            <w:tcW w:w="1168" w:type="dxa"/>
            <w:noWrap w:val="0"/>
            <w:vAlign w:val="center"/>
          </w:tcPr>
          <w:p w14:paraId="00F87913">
            <w:pPr>
              <w:pStyle w:val="58"/>
              <w:jc w:val="center"/>
              <w:rPr>
                <w:highlight w:val="none"/>
              </w:rPr>
            </w:pPr>
          </w:p>
        </w:tc>
        <w:tc>
          <w:tcPr>
            <w:tcW w:w="1607" w:type="dxa"/>
            <w:noWrap w:val="0"/>
            <w:vAlign w:val="center"/>
          </w:tcPr>
          <w:p w14:paraId="396C4173">
            <w:pPr>
              <w:pStyle w:val="58"/>
              <w:jc w:val="center"/>
              <w:rPr>
                <w:highlight w:val="none"/>
              </w:rPr>
            </w:pPr>
          </w:p>
        </w:tc>
        <w:tc>
          <w:tcPr>
            <w:tcW w:w="727" w:type="dxa"/>
            <w:noWrap w:val="0"/>
            <w:vAlign w:val="center"/>
          </w:tcPr>
          <w:p w14:paraId="6B70DC49">
            <w:pPr>
              <w:pStyle w:val="58"/>
              <w:jc w:val="center"/>
              <w:rPr>
                <w:highlight w:val="none"/>
              </w:rPr>
            </w:pPr>
          </w:p>
        </w:tc>
      </w:tr>
      <w:tr w14:paraId="1B04A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1" w:type="dxa"/>
            <w:noWrap w:val="0"/>
            <w:vAlign w:val="center"/>
          </w:tcPr>
          <w:p w14:paraId="6A5BB1C2">
            <w:pPr>
              <w:pStyle w:val="58"/>
              <w:jc w:val="center"/>
              <w:rPr>
                <w:highlight w:val="none"/>
              </w:rPr>
            </w:pPr>
          </w:p>
        </w:tc>
        <w:tc>
          <w:tcPr>
            <w:tcW w:w="1461" w:type="dxa"/>
            <w:noWrap w:val="0"/>
            <w:vAlign w:val="center"/>
          </w:tcPr>
          <w:p w14:paraId="2837AEDC">
            <w:pPr>
              <w:pStyle w:val="58"/>
              <w:jc w:val="center"/>
              <w:rPr>
                <w:highlight w:val="none"/>
              </w:rPr>
            </w:pPr>
          </w:p>
        </w:tc>
        <w:tc>
          <w:tcPr>
            <w:tcW w:w="1459" w:type="dxa"/>
            <w:noWrap w:val="0"/>
            <w:vAlign w:val="center"/>
          </w:tcPr>
          <w:p w14:paraId="6175DECD">
            <w:pPr>
              <w:pStyle w:val="58"/>
              <w:jc w:val="center"/>
              <w:rPr>
                <w:highlight w:val="none"/>
              </w:rPr>
            </w:pPr>
          </w:p>
        </w:tc>
        <w:tc>
          <w:tcPr>
            <w:tcW w:w="731" w:type="dxa"/>
            <w:noWrap w:val="0"/>
            <w:vAlign w:val="center"/>
          </w:tcPr>
          <w:p w14:paraId="60DED3FF">
            <w:pPr>
              <w:pStyle w:val="58"/>
              <w:jc w:val="center"/>
              <w:rPr>
                <w:highlight w:val="none"/>
              </w:rPr>
            </w:pPr>
          </w:p>
        </w:tc>
        <w:tc>
          <w:tcPr>
            <w:tcW w:w="1459" w:type="dxa"/>
            <w:noWrap w:val="0"/>
            <w:vAlign w:val="center"/>
          </w:tcPr>
          <w:p w14:paraId="363F6FD0">
            <w:pPr>
              <w:pStyle w:val="58"/>
              <w:jc w:val="center"/>
              <w:rPr>
                <w:highlight w:val="none"/>
              </w:rPr>
            </w:pPr>
          </w:p>
        </w:tc>
        <w:tc>
          <w:tcPr>
            <w:tcW w:w="1168" w:type="dxa"/>
            <w:noWrap w:val="0"/>
            <w:vAlign w:val="center"/>
          </w:tcPr>
          <w:p w14:paraId="1A563FF1">
            <w:pPr>
              <w:pStyle w:val="58"/>
              <w:jc w:val="center"/>
              <w:rPr>
                <w:highlight w:val="none"/>
              </w:rPr>
            </w:pPr>
          </w:p>
        </w:tc>
        <w:tc>
          <w:tcPr>
            <w:tcW w:w="1607" w:type="dxa"/>
            <w:noWrap w:val="0"/>
            <w:vAlign w:val="center"/>
          </w:tcPr>
          <w:p w14:paraId="475374E8">
            <w:pPr>
              <w:pStyle w:val="58"/>
              <w:jc w:val="center"/>
              <w:rPr>
                <w:highlight w:val="none"/>
              </w:rPr>
            </w:pPr>
          </w:p>
        </w:tc>
        <w:tc>
          <w:tcPr>
            <w:tcW w:w="727" w:type="dxa"/>
            <w:noWrap w:val="0"/>
            <w:vAlign w:val="center"/>
          </w:tcPr>
          <w:p w14:paraId="572249D6">
            <w:pPr>
              <w:pStyle w:val="58"/>
              <w:jc w:val="center"/>
              <w:rPr>
                <w:highlight w:val="none"/>
              </w:rPr>
            </w:pPr>
          </w:p>
        </w:tc>
      </w:tr>
    </w:tbl>
    <w:p w14:paraId="369BCA28">
      <w:pPr>
        <w:pStyle w:val="58"/>
        <w:rPr>
          <w:highlight w:val="none"/>
        </w:rPr>
      </w:pPr>
    </w:p>
    <w:p w14:paraId="2DE0DD0C">
      <w:pPr>
        <w:pStyle w:val="58"/>
        <w:jc w:val="center"/>
        <w:rPr>
          <w:rFonts w:ascii="宋体" w:hAnsi="宋体" w:cs="宋体"/>
          <w:b/>
          <w:sz w:val="24"/>
          <w:highlight w:val="none"/>
        </w:rPr>
      </w:pPr>
      <w:r>
        <w:rPr>
          <w:rFonts w:hint="eastAsia" w:ascii="宋体" w:hAnsi="宋体" w:cs="宋体"/>
          <w:b/>
          <w:sz w:val="24"/>
          <w:highlight w:val="none"/>
        </w:rPr>
        <w:t>发包人提供的工程设备表(参考格式)</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7"/>
        <w:gridCol w:w="1721"/>
        <w:gridCol w:w="1291"/>
        <w:gridCol w:w="888"/>
        <w:gridCol w:w="1181"/>
        <w:gridCol w:w="1181"/>
        <w:gridCol w:w="1626"/>
        <w:gridCol w:w="738"/>
      </w:tblGrid>
      <w:tr w14:paraId="7D9FA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7" w:type="dxa"/>
            <w:noWrap w:val="0"/>
            <w:vAlign w:val="center"/>
          </w:tcPr>
          <w:p w14:paraId="1558FAE9">
            <w:pPr>
              <w:pStyle w:val="58"/>
              <w:jc w:val="center"/>
              <w:rPr>
                <w:highlight w:val="none"/>
              </w:rPr>
            </w:pPr>
            <w:r>
              <w:rPr>
                <w:rFonts w:hint="eastAsia"/>
                <w:highlight w:val="none"/>
              </w:rPr>
              <w:t>序号</w:t>
            </w:r>
          </w:p>
        </w:tc>
        <w:tc>
          <w:tcPr>
            <w:tcW w:w="1721" w:type="dxa"/>
            <w:noWrap w:val="0"/>
            <w:vAlign w:val="center"/>
          </w:tcPr>
          <w:p w14:paraId="063625A0">
            <w:pPr>
              <w:pStyle w:val="58"/>
              <w:jc w:val="center"/>
              <w:rPr>
                <w:highlight w:val="none"/>
              </w:rPr>
            </w:pPr>
            <w:r>
              <w:rPr>
                <w:rFonts w:hint="eastAsia"/>
                <w:highlight w:val="none"/>
              </w:rPr>
              <w:t>工程设备名称</w:t>
            </w:r>
          </w:p>
        </w:tc>
        <w:tc>
          <w:tcPr>
            <w:tcW w:w="1291" w:type="dxa"/>
            <w:noWrap w:val="0"/>
            <w:vAlign w:val="center"/>
          </w:tcPr>
          <w:p w14:paraId="440AA633">
            <w:pPr>
              <w:pStyle w:val="58"/>
              <w:jc w:val="center"/>
              <w:rPr>
                <w:highlight w:val="none"/>
              </w:rPr>
            </w:pPr>
            <w:r>
              <w:rPr>
                <w:rFonts w:hint="eastAsia"/>
                <w:highlight w:val="none"/>
              </w:rPr>
              <w:t>型号及规格</w:t>
            </w:r>
          </w:p>
        </w:tc>
        <w:tc>
          <w:tcPr>
            <w:tcW w:w="888" w:type="dxa"/>
            <w:noWrap w:val="0"/>
            <w:vAlign w:val="center"/>
          </w:tcPr>
          <w:p w14:paraId="0E50B683">
            <w:pPr>
              <w:pStyle w:val="58"/>
              <w:jc w:val="center"/>
              <w:rPr>
                <w:highlight w:val="none"/>
              </w:rPr>
            </w:pPr>
            <w:r>
              <w:rPr>
                <w:rFonts w:hint="eastAsia"/>
                <w:highlight w:val="none"/>
              </w:rPr>
              <w:t>数量</w:t>
            </w:r>
          </w:p>
        </w:tc>
        <w:tc>
          <w:tcPr>
            <w:tcW w:w="1181" w:type="dxa"/>
            <w:noWrap w:val="0"/>
            <w:vAlign w:val="center"/>
          </w:tcPr>
          <w:p w14:paraId="4F8C9D3D">
            <w:pPr>
              <w:pStyle w:val="58"/>
              <w:jc w:val="center"/>
              <w:rPr>
                <w:highlight w:val="none"/>
              </w:rPr>
            </w:pPr>
            <w:r>
              <w:rPr>
                <w:rFonts w:hint="eastAsia"/>
                <w:highlight w:val="none"/>
              </w:rPr>
              <w:t>交货地点</w:t>
            </w:r>
          </w:p>
        </w:tc>
        <w:tc>
          <w:tcPr>
            <w:tcW w:w="1181" w:type="dxa"/>
            <w:noWrap w:val="0"/>
            <w:vAlign w:val="center"/>
          </w:tcPr>
          <w:p w14:paraId="12954387">
            <w:pPr>
              <w:pStyle w:val="58"/>
              <w:jc w:val="center"/>
              <w:rPr>
                <w:highlight w:val="none"/>
              </w:rPr>
            </w:pPr>
            <w:r>
              <w:rPr>
                <w:rFonts w:hint="eastAsia"/>
                <w:highlight w:val="none"/>
              </w:rPr>
              <w:t>交货方式</w:t>
            </w:r>
          </w:p>
        </w:tc>
        <w:tc>
          <w:tcPr>
            <w:tcW w:w="1626" w:type="dxa"/>
            <w:noWrap w:val="0"/>
            <w:vAlign w:val="center"/>
          </w:tcPr>
          <w:p w14:paraId="40AA95DA">
            <w:pPr>
              <w:pStyle w:val="58"/>
              <w:jc w:val="center"/>
              <w:rPr>
                <w:highlight w:val="none"/>
              </w:rPr>
            </w:pPr>
            <w:r>
              <w:rPr>
                <w:rFonts w:hint="eastAsia"/>
                <w:highlight w:val="none"/>
              </w:rPr>
              <w:t>计划交货日期</w:t>
            </w:r>
          </w:p>
        </w:tc>
        <w:tc>
          <w:tcPr>
            <w:tcW w:w="738" w:type="dxa"/>
            <w:noWrap w:val="0"/>
            <w:vAlign w:val="center"/>
          </w:tcPr>
          <w:p w14:paraId="708367C4">
            <w:pPr>
              <w:pStyle w:val="58"/>
              <w:jc w:val="center"/>
              <w:rPr>
                <w:highlight w:val="none"/>
              </w:rPr>
            </w:pPr>
            <w:r>
              <w:rPr>
                <w:rFonts w:hint="eastAsia"/>
                <w:highlight w:val="none"/>
              </w:rPr>
              <w:t>备注</w:t>
            </w:r>
          </w:p>
        </w:tc>
      </w:tr>
      <w:tr w14:paraId="50FBC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7" w:type="dxa"/>
            <w:noWrap w:val="0"/>
            <w:vAlign w:val="center"/>
          </w:tcPr>
          <w:p w14:paraId="241BEEC5">
            <w:pPr>
              <w:pStyle w:val="58"/>
              <w:jc w:val="center"/>
              <w:rPr>
                <w:highlight w:val="none"/>
              </w:rPr>
            </w:pPr>
          </w:p>
        </w:tc>
        <w:tc>
          <w:tcPr>
            <w:tcW w:w="1721" w:type="dxa"/>
            <w:noWrap w:val="0"/>
            <w:vAlign w:val="center"/>
          </w:tcPr>
          <w:p w14:paraId="3650A4AE">
            <w:pPr>
              <w:pStyle w:val="58"/>
              <w:jc w:val="center"/>
              <w:rPr>
                <w:highlight w:val="none"/>
              </w:rPr>
            </w:pPr>
          </w:p>
        </w:tc>
        <w:tc>
          <w:tcPr>
            <w:tcW w:w="1291" w:type="dxa"/>
            <w:noWrap w:val="0"/>
            <w:vAlign w:val="center"/>
          </w:tcPr>
          <w:p w14:paraId="3FBD435A">
            <w:pPr>
              <w:pStyle w:val="58"/>
              <w:jc w:val="center"/>
              <w:rPr>
                <w:highlight w:val="none"/>
              </w:rPr>
            </w:pPr>
          </w:p>
        </w:tc>
        <w:tc>
          <w:tcPr>
            <w:tcW w:w="888" w:type="dxa"/>
            <w:noWrap w:val="0"/>
            <w:vAlign w:val="center"/>
          </w:tcPr>
          <w:p w14:paraId="39CE04D3">
            <w:pPr>
              <w:pStyle w:val="58"/>
              <w:jc w:val="center"/>
              <w:rPr>
                <w:highlight w:val="none"/>
              </w:rPr>
            </w:pPr>
          </w:p>
        </w:tc>
        <w:tc>
          <w:tcPr>
            <w:tcW w:w="1181" w:type="dxa"/>
            <w:noWrap w:val="0"/>
            <w:vAlign w:val="center"/>
          </w:tcPr>
          <w:p w14:paraId="6D0932A2">
            <w:pPr>
              <w:pStyle w:val="58"/>
              <w:jc w:val="center"/>
              <w:rPr>
                <w:highlight w:val="none"/>
              </w:rPr>
            </w:pPr>
          </w:p>
        </w:tc>
        <w:tc>
          <w:tcPr>
            <w:tcW w:w="1181" w:type="dxa"/>
            <w:noWrap w:val="0"/>
            <w:vAlign w:val="center"/>
          </w:tcPr>
          <w:p w14:paraId="2E0D4106">
            <w:pPr>
              <w:pStyle w:val="58"/>
              <w:jc w:val="center"/>
              <w:rPr>
                <w:highlight w:val="none"/>
              </w:rPr>
            </w:pPr>
          </w:p>
        </w:tc>
        <w:tc>
          <w:tcPr>
            <w:tcW w:w="1626" w:type="dxa"/>
            <w:noWrap w:val="0"/>
            <w:vAlign w:val="center"/>
          </w:tcPr>
          <w:p w14:paraId="7E93C882">
            <w:pPr>
              <w:pStyle w:val="58"/>
              <w:jc w:val="center"/>
              <w:rPr>
                <w:highlight w:val="none"/>
              </w:rPr>
            </w:pPr>
          </w:p>
        </w:tc>
        <w:tc>
          <w:tcPr>
            <w:tcW w:w="738" w:type="dxa"/>
            <w:noWrap w:val="0"/>
            <w:vAlign w:val="center"/>
          </w:tcPr>
          <w:p w14:paraId="780374A0">
            <w:pPr>
              <w:pStyle w:val="58"/>
              <w:jc w:val="center"/>
              <w:rPr>
                <w:highlight w:val="none"/>
              </w:rPr>
            </w:pPr>
          </w:p>
        </w:tc>
      </w:tr>
      <w:tr w14:paraId="27AA3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7" w:type="dxa"/>
            <w:noWrap w:val="0"/>
            <w:vAlign w:val="center"/>
          </w:tcPr>
          <w:p w14:paraId="51967FBE">
            <w:pPr>
              <w:pStyle w:val="58"/>
              <w:jc w:val="center"/>
              <w:rPr>
                <w:highlight w:val="none"/>
              </w:rPr>
            </w:pPr>
          </w:p>
        </w:tc>
        <w:tc>
          <w:tcPr>
            <w:tcW w:w="1721" w:type="dxa"/>
            <w:noWrap w:val="0"/>
            <w:vAlign w:val="center"/>
          </w:tcPr>
          <w:p w14:paraId="6DB08028">
            <w:pPr>
              <w:pStyle w:val="58"/>
              <w:jc w:val="center"/>
              <w:rPr>
                <w:highlight w:val="none"/>
              </w:rPr>
            </w:pPr>
          </w:p>
        </w:tc>
        <w:tc>
          <w:tcPr>
            <w:tcW w:w="1291" w:type="dxa"/>
            <w:noWrap w:val="0"/>
            <w:vAlign w:val="center"/>
          </w:tcPr>
          <w:p w14:paraId="2577F6E3">
            <w:pPr>
              <w:pStyle w:val="58"/>
              <w:jc w:val="center"/>
              <w:rPr>
                <w:highlight w:val="none"/>
              </w:rPr>
            </w:pPr>
          </w:p>
        </w:tc>
        <w:tc>
          <w:tcPr>
            <w:tcW w:w="888" w:type="dxa"/>
            <w:noWrap w:val="0"/>
            <w:vAlign w:val="center"/>
          </w:tcPr>
          <w:p w14:paraId="4F88F37F">
            <w:pPr>
              <w:pStyle w:val="58"/>
              <w:jc w:val="center"/>
              <w:rPr>
                <w:highlight w:val="none"/>
              </w:rPr>
            </w:pPr>
          </w:p>
        </w:tc>
        <w:tc>
          <w:tcPr>
            <w:tcW w:w="1181" w:type="dxa"/>
            <w:noWrap w:val="0"/>
            <w:vAlign w:val="center"/>
          </w:tcPr>
          <w:p w14:paraId="348ECCD4">
            <w:pPr>
              <w:pStyle w:val="58"/>
              <w:jc w:val="center"/>
              <w:rPr>
                <w:highlight w:val="none"/>
              </w:rPr>
            </w:pPr>
          </w:p>
        </w:tc>
        <w:tc>
          <w:tcPr>
            <w:tcW w:w="1181" w:type="dxa"/>
            <w:noWrap w:val="0"/>
            <w:vAlign w:val="center"/>
          </w:tcPr>
          <w:p w14:paraId="17C5399C">
            <w:pPr>
              <w:pStyle w:val="58"/>
              <w:jc w:val="center"/>
              <w:rPr>
                <w:highlight w:val="none"/>
              </w:rPr>
            </w:pPr>
          </w:p>
        </w:tc>
        <w:tc>
          <w:tcPr>
            <w:tcW w:w="1626" w:type="dxa"/>
            <w:noWrap w:val="0"/>
            <w:vAlign w:val="center"/>
          </w:tcPr>
          <w:p w14:paraId="221850C4">
            <w:pPr>
              <w:pStyle w:val="58"/>
              <w:jc w:val="center"/>
              <w:rPr>
                <w:highlight w:val="none"/>
              </w:rPr>
            </w:pPr>
          </w:p>
        </w:tc>
        <w:tc>
          <w:tcPr>
            <w:tcW w:w="738" w:type="dxa"/>
            <w:noWrap w:val="0"/>
            <w:vAlign w:val="center"/>
          </w:tcPr>
          <w:p w14:paraId="4441C57F">
            <w:pPr>
              <w:pStyle w:val="58"/>
              <w:jc w:val="center"/>
              <w:rPr>
                <w:highlight w:val="none"/>
              </w:rPr>
            </w:pPr>
          </w:p>
        </w:tc>
      </w:tr>
    </w:tbl>
    <w:p w14:paraId="091C6A79">
      <w:pPr>
        <w:pStyle w:val="58"/>
        <w:spacing w:line="500" w:lineRule="exact"/>
        <w:outlineLvl w:val="2"/>
        <w:rPr>
          <w:rFonts w:ascii="宋体" w:hAnsi="宋体" w:cs="宋体"/>
          <w:sz w:val="24"/>
          <w:highlight w:val="none"/>
        </w:rPr>
      </w:pPr>
      <w:bookmarkStart w:id="278" w:name="_Toc140340989"/>
      <w:r>
        <w:rPr>
          <w:rFonts w:hint="eastAsia" w:ascii="宋体" w:hAnsi="宋体" w:cs="宋体"/>
          <w:sz w:val="24"/>
          <w:highlight w:val="none"/>
        </w:rPr>
        <w:t>6. 施工设备和临时设施</w:t>
      </w:r>
      <w:bookmarkEnd w:id="278"/>
    </w:p>
    <w:p w14:paraId="57A4BD91">
      <w:pPr>
        <w:pStyle w:val="58"/>
        <w:spacing w:line="500" w:lineRule="exact"/>
        <w:outlineLvl w:val="3"/>
        <w:rPr>
          <w:rFonts w:ascii="宋体" w:hAnsi="宋体" w:cs="宋体"/>
          <w:sz w:val="24"/>
          <w:highlight w:val="none"/>
        </w:rPr>
      </w:pPr>
      <w:r>
        <w:rPr>
          <w:rFonts w:hint="eastAsia" w:ascii="宋体" w:hAnsi="宋体" w:cs="宋体"/>
          <w:sz w:val="24"/>
          <w:highlight w:val="none"/>
        </w:rPr>
        <w:t>6.2 发包人提供的施工设备和临时设施</w:t>
      </w:r>
    </w:p>
    <w:p w14:paraId="326CBD6F">
      <w:pPr>
        <w:pStyle w:val="58"/>
        <w:spacing w:line="500" w:lineRule="exact"/>
        <w:rPr>
          <w:rFonts w:ascii="宋体" w:hAnsi="宋体" w:cs="宋体"/>
          <w:sz w:val="24"/>
          <w:highlight w:val="none"/>
        </w:rPr>
      </w:pPr>
      <w:r>
        <w:rPr>
          <w:rFonts w:hint="eastAsia" w:ascii="宋体" w:hAnsi="宋体" w:cs="宋体"/>
          <w:sz w:val="24"/>
          <w:highlight w:val="none"/>
        </w:rPr>
        <w:t>　　(1)发包人提供的施工设备见下表：</w:t>
      </w:r>
    </w:p>
    <w:p w14:paraId="66BCAD1B">
      <w:pPr>
        <w:pStyle w:val="58"/>
        <w:rPr>
          <w:highlight w:val="none"/>
        </w:rPr>
      </w:pPr>
    </w:p>
    <w:p w14:paraId="1C231D42">
      <w:pPr>
        <w:pStyle w:val="58"/>
        <w:jc w:val="center"/>
        <w:rPr>
          <w:rFonts w:ascii="宋体" w:hAnsi="宋体" w:cs="宋体"/>
          <w:b/>
          <w:sz w:val="24"/>
          <w:highlight w:val="none"/>
        </w:rPr>
      </w:pPr>
      <w:r>
        <w:rPr>
          <w:rFonts w:hint="eastAsia" w:ascii="宋体" w:hAnsi="宋体" w:cs="宋体"/>
          <w:b/>
          <w:sz w:val="24"/>
          <w:highlight w:val="none"/>
        </w:rPr>
        <w:t>发包人提供的施工设备表(参考格式)</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8"/>
        <w:gridCol w:w="1536"/>
        <w:gridCol w:w="1332"/>
        <w:gridCol w:w="1435"/>
        <w:gridCol w:w="777"/>
        <w:gridCol w:w="1181"/>
        <w:gridCol w:w="1626"/>
        <w:gridCol w:w="738"/>
      </w:tblGrid>
      <w:tr w14:paraId="3A800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8" w:type="dxa"/>
            <w:noWrap w:val="0"/>
            <w:vAlign w:val="center"/>
          </w:tcPr>
          <w:p w14:paraId="42C6CDDA">
            <w:pPr>
              <w:pStyle w:val="58"/>
              <w:jc w:val="center"/>
              <w:rPr>
                <w:highlight w:val="none"/>
              </w:rPr>
            </w:pPr>
            <w:r>
              <w:rPr>
                <w:rFonts w:hint="eastAsia"/>
                <w:highlight w:val="none"/>
              </w:rPr>
              <w:t>序号</w:t>
            </w:r>
          </w:p>
        </w:tc>
        <w:tc>
          <w:tcPr>
            <w:tcW w:w="1536" w:type="dxa"/>
            <w:noWrap w:val="0"/>
            <w:vAlign w:val="center"/>
          </w:tcPr>
          <w:p w14:paraId="5D5F082A">
            <w:pPr>
              <w:pStyle w:val="58"/>
              <w:jc w:val="center"/>
              <w:rPr>
                <w:highlight w:val="none"/>
              </w:rPr>
            </w:pPr>
            <w:r>
              <w:rPr>
                <w:rFonts w:hint="eastAsia"/>
                <w:highlight w:val="none"/>
              </w:rPr>
              <w:t>施工设备名称</w:t>
            </w:r>
          </w:p>
        </w:tc>
        <w:tc>
          <w:tcPr>
            <w:tcW w:w="1332" w:type="dxa"/>
            <w:noWrap w:val="0"/>
            <w:vAlign w:val="center"/>
          </w:tcPr>
          <w:p w14:paraId="7C6C543D">
            <w:pPr>
              <w:pStyle w:val="58"/>
              <w:jc w:val="center"/>
              <w:rPr>
                <w:highlight w:val="none"/>
              </w:rPr>
            </w:pPr>
            <w:r>
              <w:rPr>
                <w:rFonts w:hint="eastAsia"/>
                <w:highlight w:val="none"/>
              </w:rPr>
              <w:t>型号及规格</w:t>
            </w:r>
          </w:p>
        </w:tc>
        <w:tc>
          <w:tcPr>
            <w:tcW w:w="1435" w:type="dxa"/>
            <w:noWrap w:val="0"/>
            <w:vAlign w:val="center"/>
          </w:tcPr>
          <w:p w14:paraId="6D700FC1">
            <w:pPr>
              <w:pStyle w:val="58"/>
              <w:jc w:val="center"/>
              <w:rPr>
                <w:highlight w:val="none"/>
              </w:rPr>
            </w:pPr>
            <w:r>
              <w:rPr>
                <w:rFonts w:hint="eastAsia"/>
                <w:highlight w:val="none"/>
              </w:rPr>
              <w:t>设备状况</w:t>
            </w:r>
          </w:p>
        </w:tc>
        <w:tc>
          <w:tcPr>
            <w:tcW w:w="777" w:type="dxa"/>
            <w:noWrap w:val="0"/>
            <w:vAlign w:val="center"/>
          </w:tcPr>
          <w:p w14:paraId="48CCB6C1">
            <w:pPr>
              <w:pStyle w:val="58"/>
              <w:jc w:val="center"/>
              <w:rPr>
                <w:highlight w:val="none"/>
              </w:rPr>
            </w:pPr>
            <w:r>
              <w:rPr>
                <w:rFonts w:hint="eastAsia"/>
                <w:highlight w:val="none"/>
              </w:rPr>
              <w:t>数量</w:t>
            </w:r>
          </w:p>
        </w:tc>
        <w:tc>
          <w:tcPr>
            <w:tcW w:w="1181" w:type="dxa"/>
            <w:noWrap w:val="0"/>
            <w:vAlign w:val="center"/>
          </w:tcPr>
          <w:p w14:paraId="1A0514FA">
            <w:pPr>
              <w:pStyle w:val="58"/>
              <w:jc w:val="center"/>
              <w:rPr>
                <w:highlight w:val="none"/>
              </w:rPr>
            </w:pPr>
            <w:r>
              <w:rPr>
                <w:rFonts w:hint="eastAsia"/>
                <w:highlight w:val="none"/>
              </w:rPr>
              <w:t>移交地点</w:t>
            </w:r>
          </w:p>
        </w:tc>
        <w:tc>
          <w:tcPr>
            <w:tcW w:w="1626" w:type="dxa"/>
            <w:noWrap w:val="0"/>
            <w:vAlign w:val="center"/>
          </w:tcPr>
          <w:p w14:paraId="39E44A98">
            <w:pPr>
              <w:pStyle w:val="58"/>
              <w:jc w:val="center"/>
              <w:rPr>
                <w:highlight w:val="none"/>
              </w:rPr>
            </w:pPr>
            <w:r>
              <w:rPr>
                <w:rFonts w:hint="eastAsia"/>
                <w:highlight w:val="none"/>
              </w:rPr>
              <w:t>计划移交日期</w:t>
            </w:r>
          </w:p>
        </w:tc>
        <w:tc>
          <w:tcPr>
            <w:tcW w:w="738" w:type="dxa"/>
            <w:noWrap w:val="0"/>
            <w:vAlign w:val="center"/>
          </w:tcPr>
          <w:p w14:paraId="542E2197">
            <w:pPr>
              <w:pStyle w:val="58"/>
              <w:jc w:val="center"/>
              <w:rPr>
                <w:highlight w:val="none"/>
              </w:rPr>
            </w:pPr>
            <w:r>
              <w:rPr>
                <w:rFonts w:hint="eastAsia"/>
                <w:highlight w:val="none"/>
              </w:rPr>
              <w:t>备注</w:t>
            </w:r>
          </w:p>
        </w:tc>
      </w:tr>
      <w:tr w14:paraId="7155D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8" w:type="dxa"/>
            <w:noWrap w:val="0"/>
            <w:vAlign w:val="center"/>
          </w:tcPr>
          <w:p w14:paraId="2AFAEE21">
            <w:pPr>
              <w:pStyle w:val="58"/>
              <w:jc w:val="center"/>
              <w:rPr>
                <w:highlight w:val="none"/>
              </w:rPr>
            </w:pPr>
          </w:p>
        </w:tc>
        <w:tc>
          <w:tcPr>
            <w:tcW w:w="1536" w:type="dxa"/>
            <w:noWrap w:val="0"/>
            <w:vAlign w:val="center"/>
          </w:tcPr>
          <w:p w14:paraId="79239433">
            <w:pPr>
              <w:pStyle w:val="58"/>
              <w:jc w:val="center"/>
              <w:rPr>
                <w:highlight w:val="none"/>
              </w:rPr>
            </w:pPr>
          </w:p>
        </w:tc>
        <w:tc>
          <w:tcPr>
            <w:tcW w:w="1332" w:type="dxa"/>
            <w:noWrap w:val="0"/>
            <w:vAlign w:val="center"/>
          </w:tcPr>
          <w:p w14:paraId="4F9369B7">
            <w:pPr>
              <w:pStyle w:val="58"/>
              <w:jc w:val="center"/>
              <w:rPr>
                <w:highlight w:val="none"/>
              </w:rPr>
            </w:pPr>
          </w:p>
        </w:tc>
        <w:tc>
          <w:tcPr>
            <w:tcW w:w="1435" w:type="dxa"/>
            <w:noWrap w:val="0"/>
            <w:vAlign w:val="center"/>
          </w:tcPr>
          <w:p w14:paraId="33E3665D">
            <w:pPr>
              <w:pStyle w:val="58"/>
              <w:jc w:val="center"/>
              <w:rPr>
                <w:highlight w:val="none"/>
              </w:rPr>
            </w:pPr>
          </w:p>
        </w:tc>
        <w:tc>
          <w:tcPr>
            <w:tcW w:w="777" w:type="dxa"/>
            <w:noWrap w:val="0"/>
            <w:vAlign w:val="center"/>
          </w:tcPr>
          <w:p w14:paraId="56A833AA">
            <w:pPr>
              <w:pStyle w:val="58"/>
              <w:jc w:val="center"/>
              <w:rPr>
                <w:highlight w:val="none"/>
              </w:rPr>
            </w:pPr>
          </w:p>
        </w:tc>
        <w:tc>
          <w:tcPr>
            <w:tcW w:w="1181" w:type="dxa"/>
            <w:noWrap w:val="0"/>
            <w:vAlign w:val="center"/>
          </w:tcPr>
          <w:p w14:paraId="61225326">
            <w:pPr>
              <w:pStyle w:val="58"/>
              <w:jc w:val="center"/>
              <w:rPr>
                <w:highlight w:val="none"/>
              </w:rPr>
            </w:pPr>
          </w:p>
        </w:tc>
        <w:tc>
          <w:tcPr>
            <w:tcW w:w="1626" w:type="dxa"/>
            <w:noWrap w:val="0"/>
            <w:vAlign w:val="center"/>
          </w:tcPr>
          <w:p w14:paraId="64121C3A">
            <w:pPr>
              <w:pStyle w:val="58"/>
              <w:jc w:val="center"/>
              <w:rPr>
                <w:highlight w:val="none"/>
              </w:rPr>
            </w:pPr>
          </w:p>
        </w:tc>
        <w:tc>
          <w:tcPr>
            <w:tcW w:w="738" w:type="dxa"/>
            <w:noWrap w:val="0"/>
            <w:vAlign w:val="center"/>
          </w:tcPr>
          <w:p w14:paraId="3F7B1825">
            <w:pPr>
              <w:pStyle w:val="58"/>
              <w:jc w:val="center"/>
              <w:rPr>
                <w:highlight w:val="none"/>
              </w:rPr>
            </w:pPr>
          </w:p>
        </w:tc>
      </w:tr>
      <w:tr w14:paraId="4B29B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8" w:type="dxa"/>
            <w:noWrap w:val="0"/>
            <w:vAlign w:val="center"/>
          </w:tcPr>
          <w:p w14:paraId="356EB9D1">
            <w:pPr>
              <w:pStyle w:val="58"/>
              <w:jc w:val="center"/>
              <w:rPr>
                <w:highlight w:val="none"/>
              </w:rPr>
            </w:pPr>
          </w:p>
        </w:tc>
        <w:tc>
          <w:tcPr>
            <w:tcW w:w="1536" w:type="dxa"/>
            <w:noWrap w:val="0"/>
            <w:vAlign w:val="center"/>
          </w:tcPr>
          <w:p w14:paraId="76B7C90D">
            <w:pPr>
              <w:pStyle w:val="58"/>
              <w:jc w:val="center"/>
              <w:rPr>
                <w:highlight w:val="none"/>
              </w:rPr>
            </w:pPr>
          </w:p>
        </w:tc>
        <w:tc>
          <w:tcPr>
            <w:tcW w:w="1332" w:type="dxa"/>
            <w:noWrap w:val="0"/>
            <w:vAlign w:val="center"/>
          </w:tcPr>
          <w:p w14:paraId="37654CD6">
            <w:pPr>
              <w:pStyle w:val="58"/>
              <w:jc w:val="center"/>
              <w:rPr>
                <w:highlight w:val="none"/>
              </w:rPr>
            </w:pPr>
          </w:p>
        </w:tc>
        <w:tc>
          <w:tcPr>
            <w:tcW w:w="1435" w:type="dxa"/>
            <w:noWrap w:val="0"/>
            <w:vAlign w:val="center"/>
          </w:tcPr>
          <w:p w14:paraId="4D19183C">
            <w:pPr>
              <w:pStyle w:val="58"/>
              <w:jc w:val="center"/>
              <w:rPr>
                <w:highlight w:val="none"/>
              </w:rPr>
            </w:pPr>
          </w:p>
        </w:tc>
        <w:tc>
          <w:tcPr>
            <w:tcW w:w="777" w:type="dxa"/>
            <w:noWrap w:val="0"/>
            <w:vAlign w:val="center"/>
          </w:tcPr>
          <w:p w14:paraId="72739624">
            <w:pPr>
              <w:pStyle w:val="58"/>
              <w:jc w:val="center"/>
              <w:rPr>
                <w:highlight w:val="none"/>
              </w:rPr>
            </w:pPr>
          </w:p>
        </w:tc>
        <w:tc>
          <w:tcPr>
            <w:tcW w:w="1181" w:type="dxa"/>
            <w:noWrap w:val="0"/>
            <w:vAlign w:val="center"/>
          </w:tcPr>
          <w:p w14:paraId="578C9F51">
            <w:pPr>
              <w:pStyle w:val="58"/>
              <w:jc w:val="center"/>
              <w:rPr>
                <w:highlight w:val="none"/>
              </w:rPr>
            </w:pPr>
          </w:p>
        </w:tc>
        <w:tc>
          <w:tcPr>
            <w:tcW w:w="1626" w:type="dxa"/>
            <w:noWrap w:val="0"/>
            <w:vAlign w:val="center"/>
          </w:tcPr>
          <w:p w14:paraId="28EDD407">
            <w:pPr>
              <w:pStyle w:val="58"/>
              <w:jc w:val="center"/>
              <w:rPr>
                <w:highlight w:val="none"/>
              </w:rPr>
            </w:pPr>
          </w:p>
        </w:tc>
        <w:tc>
          <w:tcPr>
            <w:tcW w:w="738" w:type="dxa"/>
            <w:noWrap w:val="0"/>
            <w:vAlign w:val="center"/>
          </w:tcPr>
          <w:p w14:paraId="239B88DB">
            <w:pPr>
              <w:pStyle w:val="58"/>
              <w:jc w:val="center"/>
              <w:rPr>
                <w:highlight w:val="none"/>
              </w:rPr>
            </w:pPr>
          </w:p>
        </w:tc>
      </w:tr>
    </w:tbl>
    <w:p w14:paraId="52AF4007">
      <w:pPr>
        <w:pStyle w:val="58"/>
        <w:spacing w:line="500" w:lineRule="exact"/>
        <w:rPr>
          <w:rFonts w:ascii="宋体" w:hAnsi="宋体" w:cs="宋体"/>
          <w:sz w:val="24"/>
          <w:highlight w:val="none"/>
        </w:rPr>
      </w:pPr>
      <w:r>
        <w:rPr>
          <w:rFonts w:hint="eastAsia" w:ascii="宋体" w:hAnsi="宋体" w:cs="宋体"/>
          <w:sz w:val="24"/>
          <w:highlight w:val="none"/>
        </w:rPr>
        <w:t>　　注　设备状况栏内填写该设备的新旧程度、购进时间、已使用小时数和最近一次的大修时间。</w:t>
      </w:r>
    </w:p>
    <w:p w14:paraId="4AA7E324">
      <w:pPr>
        <w:pStyle w:val="58"/>
        <w:spacing w:line="500" w:lineRule="exact"/>
        <w:rPr>
          <w:rFonts w:ascii="宋体" w:hAnsi="宋体" w:cs="宋体"/>
          <w:sz w:val="24"/>
          <w:highlight w:val="none"/>
        </w:rPr>
      </w:pPr>
      <w:r>
        <w:rPr>
          <w:rFonts w:hint="eastAsia" w:ascii="宋体" w:hAnsi="宋体" w:cs="宋体"/>
          <w:sz w:val="24"/>
          <w:highlight w:val="none"/>
        </w:rPr>
        <w:t>　　(2)发包人提供的临时设施：</w:t>
      </w:r>
      <w:r>
        <w:rPr>
          <w:rFonts w:hint="eastAsia" w:ascii="宋体" w:hAnsi="宋体" w:cs="宋体"/>
          <w:sz w:val="24"/>
          <w:highlight w:val="none"/>
          <w:u w:val="single"/>
        </w:rPr>
        <w:t>　　　　　　　　　</w:t>
      </w:r>
      <w:r>
        <w:rPr>
          <w:rFonts w:hint="eastAsia" w:ascii="宋体" w:hAnsi="宋体" w:cs="宋体"/>
          <w:sz w:val="24"/>
          <w:highlight w:val="none"/>
        </w:rPr>
        <w:t>。</w:t>
      </w:r>
    </w:p>
    <w:p w14:paraId="73DFD216">
      <w:pPr>
        <w:pStyle w:val="58"/>
        <w:spacing w:line="500" w:lineRule="exact"/>
        <w:outlineLvl w:val="2"/>
        <w:rPr>
          <w:rFonts w:ascii="宋体" w:hAnsi="宋体" w:cs="宋体"/>
          <w:sz w:val="24"/>
          <w:highlight w:val="none"/>
        </w:rPr>
      </w:pPr>
      <w:bookmarkStart w:id="279" w:name="_Toc140340990"/>
      <w:r>
        <w:rPr>
          <w:rFonts w:hint="eastAsia" w:ascii="宋体" w:hAnsi="宋体" w:cs="宋体"/>
          <w:sz w:val="24"/>
          <w:highlight w:val="none"/>
        </w:rPr>
        <w:t>7. 交通运输</w:t>
      </w:r>
      <w:bookmarkEnd w:id="279"/>
    </w:p>
    <w:p w14:paraId="434A0B31">
      <w:pPr>
        <w:pStyle w:val="58"/>
        <w:spacing w:line="500" w:lineRule="exact"/>
        <w:outlineLvl w:val="3"/>
        <w:rPr>
          <w:rFonts w:ascii="宋体" w:hAnsi="宋体" w:cs="宋体"/>
          <w:sz w:val="24"/>
          <w:highlight w:val="none"/>
        </w:rPr>
      </w:pPr>
      <w:r>
        <w:rPr>
          <w:rFonts w:hint="eastAsia" w:ascii="宋体" w:hAnsi="宋体" w:cs="宋体"/>
          <w:sz w:val="24"/>
          <w:highlight w:val="none"/>
        </w:rPr>
        <w:t>7.1 道路通行权和场外设施</w:t>
      </w:r>
    </w:p>
    <w:p w14:paraId="7764C941">
      <w:pPr>
        <w:pStyle w:val="58"/>
        <w:spacing w:line="500" w:lineRule="exact"/>
        <w:rPr>
          <w:rFonts w:ascii="宋体" w:hAnsi="宋体" w:cs="宋体"/>
          <w:sz w:val="24"/>
          <w:highlight w:val="none"/>
        </w:rPr>
      </w:pPr>
      <w:r>
        <w:rPr>
          <w:rFonts w:hint="eastAsia" w:ascii="宋体" w:hAnsi="宋体" w:cs="宋体"/>
          <w:sz w:val="24"/>
          <w:highlight w:val="none"/>
        </w:rPr>
        <w:t>　　道路通行权和场外设施的约定：</w:t>
      </w:r>
      <w:r>
        <w:rPr>
          <w:rFonts w:hint="eastAsia" w:ascii="宋体" w:hAnsi="宋体" w:cs="宋体"/>
          <w:sz w:val="24"/>
          <w:highlight w:val="none"/>
          <w:u w:val="single"/>
        </w:rPr>
        <w:t>执行通用条款</w:t>
      </w:r>
      <w:r>
        <w:rPr>
          <w:rFonts w:hint="eastAsia" w:ascii="宋体" w:hAnsi="宋体" w:cs="宋体"/>
          <w:sz w:val="24"/>
          <w:highlight w:val="none"/>
        </w:rPr>
        <w:t>。</w:t>
      </w:r>
    </w:p>
    <w:p w14:paraId="7DC03AEC">
      <w:pPr>
        <w:pStyle w:val="58"/>
        <w:spacing w:line="500" w:lineRule="exact"/>
        <w:outlineLvl w:val="2"/>
        <w:rPr>
          <w:rFonts w:ascii="宋体" w:hAnsi="宋体" w:cs="宋体"/>
          <w:sz w:val="24"/>
          <w:highlight w:val="none"/>
        </w:rPr>
      </w:pPr>
      <w:bookmarkStart w:id="280" w:name="_Toc140340991"/>
      <w:r>
        <w:rPr>
          <w:rFonts w:hint="eastAsia" w:ascii="宋体" w:hAnsi="宋体" w:cs="宋体"/>
          <w:sz w:val="24"/>
          <w:highlight w:val="none"/>
        </w:rPr>
        <w:t>8. 测量放线</w:t>
      </w:r>
      <w:bookmarkEnd w:id="280"/>
    </w:p>
    <w:p w14:paraId="3407C9DC">
      <w:pPr>
        <w:pStyle w:val="58"/>
        <w:spacing w:line="500" w:lineRule="exact"/>
        <w:outlineLvl w:val="3"/>
        <w:rPr>
          <w:rFonts w:ascii="宋体" w:hAnsi="宋体" w:cs="宋体"/>
          <w:sz w:val="24"/>
          <w:highlight w:val="none"/>
        </w:rPr>
      </w:pPr>
      <w:r>
        <w:rPr>
          <w:rFonts w:hint="eastAsia" w:ascii="宋体" w:hAnsi="宋体" w:cs="宋体"/>
          <w:sz w:val="24"/>
          <w:highlight w:val="none"/>
        </w:rPr>
        <w:t>8.1 施工控制网</w:t>
      </w:r>
    </w:p>
    <w:p w14:paraId="7C552570">
      <w:pPr>
        <w:pStyle w:val="58"/>
        <w:spacing w:line="500" w:lineRule="exact"/>
        <w:rPr>
          <w:rFonts w:ascii="宋体" w:hAnsi="宋体" w:cs="宋体"/>
          <w:sz w:val="24"/>
          <w:highlight w:val="none"/>
        </w:rPr>
      </w:pPr>
      <w:r>
        <w:rPr>
          <w:rFonts w:hint="eastAsia" w:ascii="宋体" w:hAnsi="宋体" w:cs="宋体"/>
          <w:sz w:val="24"/>
          <w:highlight w:val="none"/>
        </w:rPr>
        <w:t>　　8.1.1　施工控制网的约定：</w:t>
      </w:r>
      <w:r>
        <w:rPr>
          <w:rFonts w:hint="eastAsia" w:ascii="宋体" w:hAnsi="宋体" w:cs="宋体"/>
          <w:sz w:val="24"/>
          <w:highlight w:val="none"/>
          <w:u w:val="single"/>
        </w:rPr>
        <w:t>执行通用条款</w:t>
      </w:r>
      <w:r>
        <w:rPr>
          <w:rFonts w:hint="eastAsia" w:ascii="宋体" w:hAnsi="宋体" w:cs="宋体"/>
          <w:sz w:val="24"/>
          <w:highlight w:val="none"/>
        </w:rPr>
        <w:t>。</w:t>
      </w:r>
    </w:p>
    <w:p w14:paraId="2A36C8BB">
      <w:pPr>
        <w:pStyle w:val="58"/>
        <w:spacing w:line="500" w:lineRule="exact"/>
        <w:outlineLvl w:val="2"/>
        <w:rPr>
          <w:rFonts w:ascii="宋体" w:hAnsi="宋体" w:cs="宋体"/>
          <w:sz w:val="24"/>
          <w:highlight w:val="none"/>
        </w:rPr>
      </w:pPr>
      <w:bookmarkStart w:id="281" w:name="_Toc140340992"/>
      <w:r>
        <w:rPr>
          <w:rFonts w:hint="eastAsia" w:ascii="宋体" w:hAnsi="宋体" w:cs="宋体"/>
          <w:sz w:val="24"/>
          <w:highlight w:val="none"/>
        </w:rPr>
        <w:t>9. 施工安全、治安保卫和环境保护</w:t>
      </w:r>
      <w:bookmarkEnd w:id="281"/>
    </w:p>
    <w:p w14:paraId="704429F7">
      <w:pPr>
        <w:pStyle w:val="58"/>
        <w:spacing w:line="500" w:lineRule="exact"/>
        <w:outlineLvl w:val="3"/>
        <w:rPr>
          <w:rFonts w:ascii="宋体" w:hAnsi="宋体" w:cs="宋体"/>
          <w:sz w:val="24"/>
          <w:highlight w:val="none"/>
        </w:rPr>
      </w:pPr>
      <w:r>
        <w:rPr>
          <w:rFonts w:hint="eastAsia" w:ascii="宋体" w:hAnsi="宋体" w:cs="宋体"/>
          <w:sz w:val="24"/>
          <w:highlight w:val="none"/>
        </w:rPr>
        <w:t>9.1 发包人的施工安全责任</w:t>
      </w:r>
    </w:p>
    <w:p w14:paraId="41C7023D">
      <w:pPr>
        <w:pStyle w:val="58"/>
        <w:spacing w:line="500" w:lineRule="exact"/>
        <w:rPr>
          <w:rFonts w:ascii="宋体" w:hAnsi="宋体" w:cs="宋体"/>
          <w:sz w:val="24"/>
          <w:highlight w:val="none"/>
        </w:rPr>
      </w:pPr>
      <w:r>
        <w:rPr>
          <w:rFonts w:hint="eastAsia" w:ascii="宋体" w:hAnsi="宋体" w:cs="宋体"/>
          <w:sz w:val="24"/>
          <w:highlight w:val="none"/>
        </w:rPr>
        <w:t>　　9.1.4　发包人提供</w:t>
      </w:r>
      <w:r>
        <w:rPr>
          <w:rFonts w:hint="eastAsia" w:ascii="宋体" w:hAnsi="宋体" w:cs="宋体"/>
          <w:sz w:val="24"/>
          <w:highlight w:val="none"/>
          <w:u w:val="single"/>
        </w:rPr>
        <w:t>初步设计报告</w:t>
      </w:r>
      <w:r>
        <w:rPr>
          <w:rFonts w:hint="eastAsia" w:ascii="宋体" w:hAnsi="宋体" w:cs="宋体"/>
          <w:sz w:val="24"/>
          <w:highlight w:val="none"/>
        </w:rPr>
        <w:t>资料，其余资料由承包人负责收集。</w:t>
      </w:r>
    </w:p>
    <w:p w14:paraId="05DED9B1">
      <w:pPr>
        <w:pStyle w:val="58"/>
        <w:spacing w:line="500" w:lineRule="exact"/>
        <w:outlineLvl w:val="3"/>
        <w:rPr>
          <w:rFonts w:ascii="宋体" w:hAnsi="宋体" w:cs="宋体"/>
          <w:sz w:val="24"/>
          <w:highlight w:val="none"/>
        </w:rPr>
      </w:pPr>
      <w:r>
        <w:rPr>
          <w:rFonts w:hint="eastAsia" w:ascii="宋体" w:hAnsi="宋体" w:cs="宋体"/>
          <w:sz w:val="24"/>
          <w:highlight w:val="none"/>
        </w:rPr>
        <w:t>9.2 承包人的施工安全责任</w:t>
      </w:r>
    </w:p>
    <w:p w14:paraId="520BB391">
      <w:pPr>
        <w:pStyle w:val="58"/>
        <w:spacing w:line="500" w:lineRule="exact"/>
        <w:rPr>
          <w:rFonts w:ascii="宋体" w:hAnsi="宋体" w:cs="宋体"/>
          <w:sz w:val="24"/>
          <w:highlight w:val="none"/>
        </w:rPr>
      </w:pPr>
      <w:r>
        <w:rPr>
          <w:rFonts w:hint="eastAsia" w:ascii="宋体" w:hAnsi="宋体" w:cs="宋体"/>
          <w:sz w:val="24"/>
          <w:highlight w:val="none"/>
        </w:rPr>
        <w:t>　　9.2.12　下列工程应编制专项施工方案：</w:t>
      </w:r>
      <w:r>
        <w:rPr>
          <w:rFonts w:hint="eastAsia" w:ascii="宋体" w:hAnsi="宋体" w:cs="宋体"/>
          <w:sz w:val="24"/>
          <w:highlight w:val="none"/>
          <w:u w:val="single"/>
        </w:rPr>
        <w:t>　　/　　</w:t>
      </w:r>
      <w:r>
        <w:rPr>
          <w:rFonts w:hint="eastAsia" w:ascii="宋体" w:hAnsi="宋体" w:cs="宋体"/>
          <w:sz w:val="24"/>
          <w:highlight w:val="none"/>
        </w:rPr>
        <w:t>。其中</w:t>
      </w:r>
      <w:r>
        <w:rPr>
          <w:rFonts w:hint="eastAsia" w:ascii="宋体" w:hAnsi="宋体" w:cs="宋体"/>
          <w:sz w:val="24"/>
          <w:highlight w:val="none"/>
          <w:u w:val="single"/>
        </w:rPr>
        <w:t>　　/　　</w:t>
      </w:r>
      <w:r>
        <w:rPr>
          <w:rFonts w:hint="eastAsia" w:ascii="宋体" w:hAnsi="宋体" w:cs="宋体"/>
          <w:sz w:val="24"/>
          <w:highlight w:val="none"/>
        </w:rPr>
        <w:t>应组织专家论证和审查。</w:t>
      </w:r>
    </w:p>
    <w:p w14:paraId="57BE8925">
      <w:pPr>
        <w:pStyle w:val="58"/>
        <w:spacing w:line="500" w:lineRule="exact"/>
        <w:outlineLvl w:val="3"/>
        <w:rPr>
          <w:rFonts w:ascii="宋体" w:hAnsi="宋体" w:cs="宋体"/>
          <w:sz w:val="24"/>
          <w:highlight w:val="none"/>
        </w:rPr>
      </w:pPr>
      <w:r>
        <w:rPr>
          <w:rFonts w:hint="eastAsia" w:ascii="宋体" w:hAnsi="宋体" w:cs="宋体"/>
          <w:sz w:val="24"/>
          <w:highlight w:val="none"/>
        </w:rPr>
        <w:t>9.7 文明工地</w:t>
      </w:r>
    </w:p>
    <w:p w14:paraId="23190B78">
      <w:pPr>
        <w:pStyle w:val="58"/>
        <w:spacing w:line="500" w:lineRule="exact"/>
        <w:rPr>
          <w:rFonts w:ascii="宋体" w:hAnsi="宋体" w:cs="宋体"/>
          <w:sz w:val="24"/>
          <w:highlight w:val="none"/>
        </w:rPr>
      </w:pPr>
      <w:r>
        <w:rPr>
          <w:rFonts w:hint="eastAsia" w:ascii="宋体" w:hAnsi="宋体" w:cs="宋体"/>
          <w:sz w:val="24"/>
          <w:highlight w:val="none"/>
        </w:rPr>
        <w:t>　　9.7.1　本合同文明工地的约定：</w:t>
      </w:r>
      <w:r>
        <w:rPr>
          <w:rFonts w:hint="eastAsia" w:ascii="宋体" w:hAnsi="宋体" w:cs="宋体"/>
          <w:sz w:val="24"/>
          <w:highlight w:val="none"/>
          <w:u w:val="single"/>
        </w:rPr>
        <w:t>　　　/　　　</w:t>
      </w:r>
      <w:r>
        <w:rPr>
          <w:rFonts w:hint="eastAsia" w:ascii="宋体" w:hAnsi="宋体" w:cs="宋体"/>
          <w:sz w:val="24"/>
          <w:highlight w:val="none"/>
        </w:rPr>
        <w:t>。</w:t>
      </w:r>
    </w:p>
    <w:p w14:paraId="158EE936">
      <w:pPr>
        <w:pStyle w:val="58"/>
        <w:spacing w:line="500" w:lineRule="exact"/>
        <w:outlineLvl w:val="2"/>
        <w:rPr>
          <w:rFonts w:ascii="宋体" w:hAnsi="宋体" w:cs="宋体"/>
          <w:sz w:val="24"/>
          <w:highlight w:val="none"/>
        </w:rPr>
      </w:pPr>
      <w:bookmarkStart w:id="282" w:name="_Toc140340993"/>
      <w:r>
        <w:rPr>
          <w:rFonts w:hint="eastAsia" w:ascii="宋体" w:hAnsi="宋体" w:cs="宋体"/>
          <w:sz w:val="24"/>
          <w:highlight w:val="none"/>
        </w:rPr>
        <w:t>11. 开工和竣工(完工)</w:t>
      </w:r>
      <w:bookmarkEnd w:id="282"/>
    </w:p>
    <w:p w14:paraId="541F2127">
      <w:pPr>
        <w:pStyle w:val="58"/>
        <w:spacing w:line="500" w:lineRule="exact"/>
        <w:outlineLvl w:val="3"/>
        <w:rPr>
          <w:rFonts w:ascii="宋体" w:hAnsi="宋体" w:cs="宋体"/>
          <w:sz w:val="24"/>
          <w:highlight w:val="none"/>
        </w:rPr>
      </w:pPr>
      <w:r>
        <w:rPr>
          <w:rFonts w:hint="eastAsia" w:ascii="宋体" w:hAnsi="宋体" w:cs="宋体"/>
          <w:sz w:val="24"/>
          <w:highlight w:val="none"/>
        </w:rPr>
        <w:t>11.4 异常恶劣的气候条件</w:t>
      </w:r>
    </w:p>
    <w:p w14:paraId="51C90E66">
      <w:pPr>
        <w:pStyle w:val="58"/>
        <w:spacing w:line="500" w:lineRule="exact"/>
        <w:rPr>
          <w:rFonts w:ascii="宋体" w:hAnsi="宋体" w:cs="宋体"/>
          <w:sz w:val="24"/>
          <w:highlight w:val="none"/>
        </w:rPr>
      </w:pPr>
      <w:r>
        <w:rPr>
          <w:rFonts w:hint="eastAsia" w:ascii="宋体" w:hAnsi="宋体" w:cs="宋体"/>
          <w:sz w:val="24"/>
          <w:highlight w:val="none"/>
        </w:rPr>
        <w:t>　 11.4.3　本合同工程界定异常恶劣气候条件的范围为：</w:t>
      </w:r>
    </w:p>
    <w:p w14:paraId="1555DC38">
      <w:pPr>
        <w:pStyle w:val="58"/>
        <w:spacing w:line="500" w:lineRule="exact"/>
        <w:rPr>
          <w:rFonts w:ascii="宋体" w:hAnsi="宋体" w:cs="宋体"/>
          <w:sz w:val="24"/>
          <w:highlight w:val="none"/>
        </w:rPr>
      </w:pPr>
      <w:r>
        <w:rPr>
          <w:rFonts w:hint="eastAsia" w:ascii="宋体" w:hAnsi="宋体" w:cs="宋体"/>
          <w:sz w:val="24"/>
          <w:highlight w:val="none"/>
        </w:rPr>
        <w:t>　　(1)日降雨量大于　　　　mm的雨日超过　　　　天；</w:t>
      </w:r>
    </w:p>
    <w:p w14:paraId="5E3CBF74">
      <w:pPr>
        <w:pStyle w:val="58"/>
        <w:spacing w:line="500" w:lineRule="exact"/>
        <w:rPr>
          <w:rFonts w:ascii="宋体" w:hAnsi="宋体" w:cs="宋体"/>
          <w:sz w:val="24"/>
          <w:highlight w:val="none"/>
        </w:rPr>
      </w:pPr>
      <w:r>
        <w:rPr>
          <w:rFonts w:hint="eastAsia" w:ascii="宋体" w:hAnsi="宋体" w:cs="宋体"/>
          <w:sz w:val="24"/>
          <w:highlight w:val="none"/>
        </w:rPr>
        <w:t>　　(2)风速大于　　　　m/s的　　　级以上台风灾害；</w:t>
      </w:r>
    </w:p>
    <w:p w14:paraId="76F20C7C">
      <w:pPr>
        <w:pStyle w:val="58"/>
        <w:spacing w:line="500" w:lineRule="exact"/>
        <w:rPr>
          <w:rFonts w:ascii="宋体" w:hAnsi="宋体" w:cs="宋体"/>
          <w:sz w:val="24"/>
          <w:highlight w:val="none"/>
        </w:rPr>
      </w:pPr>
      <w:r>
        <w:rPr>
          <w:rFonts w:hint="eastAsia" w:ascii="宋体" w:hAnsi="宋体" w:cs="宋体"/>
          <w:sz w:val="24"/>
          <w:highlight w:val="none"/>
        </w:rPr>
        <w:t>　　(3)日气温超过　　　　℃的高温大于　　　　天；</w:t>
      </w:r>
    </w:p>
    <w:p w14:paraId="5474FEE4">
      <w:pPr>
        <w:pStyle w:val="58"/>
        <w:spacing w:line="500" w:lineRule="exact"/>
        <w:rPr>
          <w:rFonts w:ascii="宋体" w:hAnsi="宋体" w:cs="宋体"/>
          <w:sz w:val="24"/>
          <w:highlight w:val="none"/>
        </w:rPr>
      </w:pPr>
      <w:r>
        <w:rPr>
          <w:rFonts w:hint="eastAsia" w:ascii="宋体" w:hAnsi="宋体" w:cs="宋体"/>
          <w:sz w:val="24"/>
          <w:highlight w:val="none"/>
        </w:rPr>
        <w:t>　　(4)日气温低于　　　　℃的严寒大于　　　　天；</w:t>
      </w:r>
    </w:p>
    <w:p w14:paraId="48D964B4">
      <w:pPr>
        <w:pStyle w:val="58"/>
        <w:spacing w:line="500" w:lineRule="exact"/>
        <w:rPr>
          <w:rFonts w:ascii="宋体" w:hAnsi="宋体" w:cs="宋体"/>
          <w:sz w:val="24"/>
          <w:highlight w:val="none"/>
        </w:rPr>
      </w:pPr>
      <w:r>
        <w:rPr>
          <w:rFonts w:hint="eastAsia" w:ascii="宋体" w:hAnsi="宋体" w:cs="宋体"/>
          <w:sz w:val="24"/>
          <w:highlight w:val="none"/>
        </w:rPr>
        <w:t>　　(5)造成工程损坏的冰雹和大雪灾害：　　　　；</w:t>
      </w:r>
    </w:p>
    <w:p w14:paraId="2804777F">
      <w:pPr>
        <w:pStyle w:val="58"/>
        <w:spacing w:line="500" w:lineRule="exact"/>
        <w:rPr>
          <w:rFonts w:ascii="宋体" w:hAnsi="宋体" w:cs="宋体"/>
          <w:sz w:val="24"/>
          <w:highlight w:val="none"/>
        </w:rPr>
      </w:pPr>
      <w:r>
        <w:rPr>
          <w:rFonts w:hint="eastAsia" w:ascii="宋体" w:hAnsi="宋体" w:cs="宋体"/>
          <w:sz w:val="24"/>
          <w:highlight w:val="none"/>
        </w:rPr>
        <w:t>　　(6)其它异常恶劣气候灾害。</w:t>
      </w:r>
    </w:p>
    <w:p w14:paraId="5468BE43">
      <w:pPr>
        <w:pStyle w:val="58"/>
        <w:spacing w:line="500" w:lineRule="exact"/>
        <w:outlineLvl w:val="3"/>
        <w:rPr>
          <w:rFonts w:ascii="宋体" w:hAnsi="宋体" w:cs="宋体"/>
          <w:sz w:val="24"/>
          <w:highlight w:val="none"/>
        </w:rPr>
      </w:pPr>
      <w:r>
        <w:rPr>
          <w:rFonts w:hint="eastAsia" w:ascii="宋体" w:hAnsi="宋体" w:cs="宋体"/>
          <w:sz w:val="24"/>
          <w:highlight w:val="none"/>
        </w:rPr>
        <w:t>11.5 承包人工期延误</w:t>
      </w:r>
    </w:p>
    <w:p w14:paraId="45FB7326">
      <w:pPr>
        <w:pStyle w:val="58"/>
        <w:spacing w:line="500" w:lineRule="exact"/>
        <w:rPr>
          <w:highlight w:val="none"/>
        </w:rPr>
      </w:pPr>
      <w:r>
        <w:rPr>
          <w:rFonts w:hint="eastAsia"/>
          <w:highlight w:val="none"/>
        </w:rPr>
        <w:t>　　(1)逾期完工违约金表(参考格式)。</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2"/>
        <w:gridCol w:w="3677"/>
        <w:gridCol w:w="2405"/>
        <w:gridCol w:w="2239"/>
      </w:tblGrid>
      <w:tr w14:paraId="4F8BF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noWrap w:val="0"/>
            <w:vAlign w:val="center"/>
          </w:tcPr>
          <w:p w14:paraId="25862FDC">
            <w:pPr>
              <w:pStyle w:val="58"/>
              <w:jc w:val="center"/>
              <w:rPr>
                <w:highlight w:val="none"/>
              </w:rPr>
            </w:pPr>
            <w:r>
              <w:rPr>
                <w:rFonts w:hint="eastAsia"/>
                <w:highlight w:val="none"/>
              </w:rPr>
              <w:t>序号</w:t>
            </w:r>
          </w:p>
        </w:tc>
        <w:tc>
          <w:tcPr>
            <w:tcW w:w="3677" w:type="dxa"/>
            <w:noWrap w:val="0"/>
            <w:vAlign w:val="center"/>
          </w:tcPr>
          <w:p w14:paraId="6047D7F8">
            <w:pPr>
              <w:pStyle w:val="58"/>
              <w:jc w:val="center"/>
              <w:rPr>
                <w:highlight w:val="none"/>
              </w:rPr>
            </w:pPr>
            <w:r>
              <w:rPr>
                <w:rFonts w:hint="eastAsia"/>
                <w:highlight w:val="none"/>
              </w:rPr>
              <w:t>项目及其说明</w:t>
            </w:r>
          </w:p>
        </w:tc>
        <w:tc>
          <w:tcPr>
            <w:tcW w:w="2405" w:type="dxa"/>
            <w:noWrap w:val="0"/>
            <w:vAlign w:val="center"/>
          </w:tcPr>
          <w:p w14:paraId="590A7926">
            <w:pPr>
              <w:pStyle w:val="58"/>
              <w:jc w:val="center"/>
              <w:rPr>
                <w:highlight w:val="none"/>
              </w:rPr>
            </w:pPr>
            <w:r>
              <w:rPr>
                <w:rFonts w:hint="eastAsia"/>
                <w:highlight w:val="none"/>
              </w:rPr>
              <w:t>要求完工日期</w:t>
            </w:r>
          </w:p>
        </w:tc>
        <w:tc>
          <w:tcPr>
            <w:tcW w:w="2239" w:type="dxa"/>
            <w:noWrap w:val="0"/>
            <w:vAlign w:val="center"/>
          </w:tcPr>
          <w:p w14:paraId="000E3682">
            <w:pPr>
              <w:pStyle w:val="58"/>
              <w:jc w:val="center"/>
              <w:rPr>
                <w:highlight w:val="none"/>
              </w:rPr>
            </w:pPr>
            <w:r>
              <w:rPr>
                <w:rFonts w:hint="eastAsia"/>
                <w:highlight w:val="none"/>
              </w:rPr>
              <w:t>违约金(元/天)</w:t>
            </w:r>
          </w:p>
        </w:tc>
      </w:tr>
      <w:tr w14:paraId="700FA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noWrap w:val="0"/>
            <w:vAlign w:val="center"/>
          </w:tcPr>
          <w:p w14:paraId="447935E6">
            <w:pPr>
              <w:pStyle w:val="58"/>
              <w:jc w:val="center"/>
              <w:rPr>
                <w:highlight w:val="none"/>
              </w:rPr>
            </w:pPr>
          </w:p>
        </w:tc>
        <w:tc>
          <w:tcPr>
            <w:tcW w:w="3677" w:type="dxa"/>
            <w:noWrap w:val="0"/>
            <w:vAlign w:val="center"/>
          </w:tcPr>
          <w:p w14:paraId="35FA2C76">
            <w:pPr>
              <w:pStyle w:val="58"/>
              <w:jc w:val="center"/>
              <w:rPr>
                <w:highlight w:val="none"/>
              </w:rPr>
            </w:pPr>
          </w:p>
        </w:tc>
        <w:tc>
          <w:tcPr>
            <w:tcW w:w="2405" w:type="dxa"/>
            <w:noWrap w:val="0"/>
            <w:vAlign w:val="center"/>
          </w:tcPr>
          <w:p w14:paraId="2A56A7F9">
            <w:pPr>
              <w:pStyle w:val="58"/>
              <w:jc w:val="center"/>
              <w:rPr>
                <w:highlight w:val="none"/>
              </w:rPr>
            </w:pPr>
          </w:p>
        </w:tc>
        <w:tc>
          <w:tcPr>
            <w:tcW w:w="2239" w:type="dxa"/>
            <w:noWrap w:val="0"/>
            <w:vAlign w:val="center"/>
          </w:tcPr>
          <w:p w14:paraId="1FD81B88">
            <w:pPr>
              <w:pStyle w:val="58"/>
              <w:jc w:val="center"/>
              <w:rPr>
                <w:highlight w:val="none"/>
              </w:rPr>
            </w:pPr>
          </w:p>
        </w:tc>
      </w:tr>
      <w:tr w14:paraId="43FCF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noWrap w:val="0"/>
            <w:vAlign w:val="center"/>
          </w:tcPr>
          <w:p w14:paraId="52E917B3">
            <w:pPr>
              <w:pStyle w:val="58"/>
              <w:jc w:val="center"/>
              <w:rPr>
                <w:highlight w:val="none"/>
              </w:rPr>
            </w:pPr>
          </w:p>
        </w:tc>
        <w:tc>
          <w:tcPr>
            <w:tcW w:w="3677" w:type="dxa"/>
            <w:noWrap w:val="0"/>
            <w:vAlign w:val="center"/>
          </w:tcPr>
          <w:p w14:paraId="6EF77EBE">
            <w:pPr>
              <w:pStyle w:val="58"/>
              <w:jc w:val="center"/>
              <w:rPr>
                <w:highlight w:val="none"/>
              </w:rPr>
            </w:pPr>
          </w:p>
        </w:tc>
        <w:tc>
          <w:tcPr>
            <w:tcW w:w="2405" w:type="dxa"/>
            <w:noWrap w:val="0"/>
            <w:vAlign w:val="center"/>
          </w:tcPr>
          <w:p w14:paraId="3EABCA05">
            <w:pPr>
              <w:pStyle w:val="58"/>
              <w:jc w:val="center"/>
              <w:rPr>
                <w:highlight w:val="none"/>
              </w:rPr>
            </w:pPr>
          </w:p>
        </w:tc>
        <w:tc>
          <w:tcPr>
            <w:tcW w:w="2239" w:type="dxa"/>
            <w:noWrap w:val="0"/>
            <w:vAlign w:val="center"/>
          </w:tcPr>
          <w:p w14:paraId="47C8FA48">
            <w:pPr>
              <w:pStyle w:val="58"/>
              <w:jc w:val="center"/>
              <w:rPr>
                <w:highlight w:val="none"/>
              </w:rPr>
            </w:pPr>
          </w:p>
        </w:tc>
      </w:tr>
    </w:tbl>
    <w:p w14:paraId="04C01246">
      <w:pPr>
        <w:pStyle w:val="58"/>
        <w:spacing w:line="500" w:lineRule="exact"/>
        <w:rPr>
          <w:highlight w:val="none"/>
        </w:rPr>
      </w:pPr>
      <w:r>
        <w:rPr>
          <w:rFonts w:hint="eastAsia"/>
          <w:highlight w:val="none"/>
        </w:rPr>
        <w:t>　　(2)全部逾期完工违约金的总限额为</w:t>
      </w:r>
      <w:r>
        <w:rPr>
          <w:rFonts w:hint="eastAsia"/>
          <w:highlight w:val="none"/>
          <w:u w:val="single"/>
        </w:rPr>
        <w:t>　　　　</w:t>
      </w:r>
      <w:r>
        <w:rPr>
          <w:rFonts w:hint="eastAsia"/>
          <w:highlight w:val="none"/>
        </w:rPr>
        <w:t>(不超过签约合同价的</w:t>
      </w:r>
      <w:r>
        <w:rPr>
          <w:rFonts w:hint="eastAsia"/>
          <w:highlight w:val="none"/>
          <w:u w:val="single"/>
        </w:rPr>
        <w:t>　</w:t>
      </w:r>
      <w:r>
        <w:rPr>
          <w:rFonts w:hint="eastAsia"/>
          <w:highlight w:val="none"/>
        </w:rPr>
        <w:t>%)。</w:t>
      </w:r>
    </w:p>
    <w:p w14:paraId="12F8CC44">
      <w:pPr>
        <w:pStyle w:val="58"/>
        <w:spacing w:line="500" w:lineRule="exact"/>
        <w:outlineLvl w:val="3"/>
        <w:rPr>
          <w:rFonts w:ascii="宋体" w:hAnsi="宋体" w:cs="宋体"/>
          <w:sz w:val="24"/>
          <w:highlight w:val="none"/>
        </w:rPr>
      </w:pPr>
      <w:r>
        <w:rPr>
          <w:rFonts w:hint="eastAsia" w:ascii="宋体" w:hAnsi="宋体" w:cs="宋体"/>
          <w:sz w:val="24"/>
          <w:highlight w:val="none"/>
        </w:rPr>
        <w:t>11.6 工期提前</w:t>
      </w:r>
    </w:p>
    <w:p w14:paraId="478894B4">
      <w:pPr>
        <w:pStyle w:val="58"/>
        <w:spacing w:line="500" w:lineRule="exact"/>
        <w:rPr>
          <w:rFonts w:ascii="宋体" w:hAnsi="宋体" w:cs="宋体"/>
          <w:sz w:val="24"/>
          <w:highlight w:val="none"/>
        </w:rPr>
      </w:pPr>
      <w:r>
        <w:rPr>
          <w:rFonts w:hint="eastAsia" w:ascii="宋体" w:hAnsi="宋体" w:cs="宋体"/>
          <w:sz w:val="24"/>
          <w:highlight w:val="none"/>
        </w:rPr>
        <w:t>　　工期提前的奖金约定：</w:t>
      </w:r>
      <w:r>
        <w:rPr>
          <w:rFonts w:hint="eastAsia" w:ascii="宋体" w:hAnsi="宋体" w:cs="宋体"/>
          <w:sz w:val="24"/>
          <w:highlight w:val="none"/>
          <w:u w:val="single"/>
        </w:rPr>
        <w:t>　/　</w:t>
      </w:r>
      <w:r>
        <w:rPr>
          <w:rFonts w:hint="eastAsia" w:ascii="宋体" w:hAnsi="宋体" w:cs="宋体"/>
          <w:sz w:val="24"/>
          <w:highlight w:val="none"/>
        </w:rPr>
        <w:t>。</w:t>
      </w:r>
    </w:p>
    <w:p w14:paraId="1F21DD9E">
      <w:pPr>
        <w:pStyle w:val="58"/>
        <w:spacing w:line="500" w:lineRule="exact"/>
        <w:outlineLvl w:val="2"/>
        <w:rPr>
          <w:rFonts w:ascii="宋体" w:hAnsi="宋体" w:cs="宋体"/>
          <w:sz w:val="24"/>
          <w:highlight w:val="none"/>
        </w:rPr>
      </w:pPr>
      <w:bookmarkStart w:id="283" w:name="_Toc140340994"/>
      <w:r>
        <w:rPr>
          <w:rFonts w:hint="eastAsia" w:ascii="宋体" w:hAnsi="宋体" w:cs="宋体"/>
          <w:sz w:val="24"/>
          <w:highlight w:val="none"/>
        </w:rPr>
        <w:t>12. 暂停施工</w:t>
      </w:r>
      <w:bookmarkEnd w:id="283"/>
    </w:p>
    <w:p w14:paraId="753034C2">
      <w:pPr>
        <w:pStyle w:val="58"/>
        <w:spacing w:line="500" w:lineRule="exact"/>
        <w:outlineLvl w:val="3"/>
        <w:rPr>
          <w:rFonts w:ascii="宋体" w:hAnsi="宋体" w:cs="宋体"/>
          <w:sz w:val="24"/>
          <w:highlight w:val="none"/>
        </w:rPr>
      </w:pPr>
      <w:r>
        <w:rPr>
          <w:rFonts w:hint="eastAsia" w:ascii="宋体" w:hAnsi="宋体" w:cs="宋体"/>
          <w:sz w:val="24"/>
          <w:highlight w:val="none"/>
        </w:rPr>
        <w:t>12.1 承包人暂停施工的责任</w:t>
      </w:r>
    </w:p>
    <w:p w14:paraId="166D003E">
      <w:pPr>
        <w:pStyle w:val="58"/>
        <w:spacing w:line="500" w:lineRule="exact"/>
        <w:ind w:firstLine="480"/>
        <w:rPr>
          <w:rFonts w:hint="eastAsia" w:ascii="宋体" w:hAnsi="宋体" w:cs="宋体"/>
          <w:sz w:val="24"/>
          <w:highlight w:val="none"/>
        </w:rPr>
      </w:pPr>
      <w:r>
        <w:rPr>
          <w:rFonts w:hint="eastAsia" w:ascii="宋体" w:hAnsi="宋体" w:cs="宋体"/>
          <w:sz w:val="24"/>
          <w:highlight w:val="none"/>
        </w:rPr>
        <w:t>(5)承包人承担暂停施工责任的其它情形：</w:t>
      </w:r>
    </w:p>
    <w:p w14:paraId="6388C8D3">
      <w:pPr>
        <w:pStyle w:val="58"/>
        <w:spacing w:line="500" w:lineRule="exact"/>
        <w:ind w:firstLine="720" w:firstLineChars="300"/>
        <w:rPr>
          <w:rFonts w:hint="eastAsia" w:ascii="宋体" w:hAnsi="宋体" w:cs="宋体"/>
          <w:sz w:val="24"/>
          <w:highlight w:val="none"/>
        </w:rPr>
      </w:pPr>
      <w:r>
        <w:rPr>
          <w:rFonts w:hint="eastAsia" w:ascii="宋体" w:hAnsi="宋体" w:cs="宋体"/>
          <w:sz w:val="24"/>
          <w:highlight w:val="none"/>
        </w:rPr>
        <w:t>1）现场气候条件引起的必要停工。</w:t>
      </w:r>
    </w:p>
    <w:p w14:paraId="36A949B7">
      <w:pPr>
        <w:pStyle w:val="58"/>
        <w:spacing w:line="500" w:lineRule="exact"/>
        <w:rPr>
          <w:rFonts w:hint="eastAsia" w:ascii="宋体" w:hAnsi="宋体" w:cs="宋体"/>
          <w:sz w:val="24"/>
          <w:highlight w:val="none"/>
        </w:rPr>
      </w:pPr>
      <w:r>
        <w:rPr>
          <w:rFonts w:hint="eastAsia" w:ascii="宋体" w:hAnsi="宋体" w:cs="宋体"/>
          <w:sz w:val="24"/>
          <w:highlight w:val="none"/>
        </w:rPr>
        <w:t>　　　2）行政主管部门、上级单位的视察、检查、督查、指导工作的必要配合。</w:t>
      </w:r>
    </w:p>
    <w:p w14:paraId="07638F4A">
      <w:pPr>
        <w:pStyle w:val="58"/>
        <w:spacing w:line="500" w:lineRule="exact"/>
        <w:rPr>
          <w:rFonts w:ascii="宋体" w:hAnsi="宋体" w:cs="宋体"/>
          <w:sz w:val="24"/>
          <w:highlight w:val="none"/>
        </w:rPr>
      </w:pPr>
      <w:r>
        <w:rPr>
          <w:rFonts w:hint="eastAsia" w:ascii="宋体" w:hAnsi="宋体" w:cs="宋体"/>
          <w:sz w:val="24"/>
          <w:highlight w:val="none"/>
        </w:rPr>
        <w:t>　　　3）相临施工单位之间的影响。　。</w:t>
      </w:r>
    </w:p>
    <w:p w14:paraId="6F7B3BAB">
      <w:pPr>
        <w:pStyle w:val="58"/>
        <w:spacing w:line="500" w:lineRule="exact"/>
        <w:outlineLvl w:val="3"/>
        <w:rPr>
          <w:rFonts w:ascii="宋体" w:hAnsi="宋体" w:cs="宋体"/>
          <w:sz w:val="24"/>
          <w:highlight w:val="none"/>
        </w:rPr>
      </w:pPr>
      <w:r>
        <w:rPr>
          <w:rFonts w:hint="eastAsia" w:ascii="宋体" w:hAnsi="宋体" w:cs="宋体"/>
          <w:sz w:val="24"/>
          <w:highlight w:val="none"/>
        </w:rPr>
        <w:t>12.2 发包人暂停施工的责任</w:t>
      </w:r>
    </w:p>
    <w:p w14:paraId="00A2AA2F">
      <w:pPr>
        <w:pStyle w:val="58"/>
        <w:spacing w:line="500" w:lineRule="exact"/>
        <w:rPr>
          <w:rFonts w:ascii="宋体" w:hAnsi="宋体" w:cs="宋体"/>
          <w:sz w:val="24"/>
          <w:highlight w:val="none"/>
        </w:rPr>
      </w:pPr>
      <w:r>
        <w:rPr>
          <w:rFonts w:hint="eastAsia" w:ascii="宋体" w:hAnsi="宋体" w:cs="宋体"/>
          <w:sz w:val="24"/>
          <w:highlight w:val="none"/>
        </w:rPr>
        <w:t>　　(3)发包人承担暂停施工责任的其它情形：</w:t>
      </w:r>
      <w:r>
        <w:rPr>
          <w:rFonts w:hint="eastAsia" w:ascii="宋体" w:hAnsi="宋体" w:cs="宋体"/>
          <w:sz w:val="24"/>
          <w:highlight w:val="none"/>
          <w:u w:val="single"/>
        </w:rPr>
        <w:t>　　/　　</w:t>
      </w:r>
      <w:r>
        <w:rPr>
          <w:rFonts w:hint="eastAsia" w:ascii="宋体" w:hAnsi="宋体" w:cs="宋体"/>
          <w:sz w:val="24"/>
          <w:highlight w:val="none"/>
        </w:rPr>
        <w:t>。</w:t>
      </w:r>
    </w:p>
    <w:p w14:paraId="376A43D1">
      <w:pPr>
        <w:pStyle w:val="58"/>
        <w:spacing w:line="500" w:lineRule="exact"/>
        <w:outlineLvl w:val="2"/>
        <w:rPr>
          <w:rFonts w:ascii="宋体" w:hAnsi="宋体" w:cs="宋体"/>
          <w:sz w:val="24"/>
          <w:highlight w:val="none"/>
        </w:rPr>
      </w:pPr>
      <w:bookmarkStart w:id="284" w:name="_Toc140340995"/>
      <w:r>
        <w:rPr>
          <w:rFonts w:hint="eastAsia" w:ascii="宋体" w:hAnsi="宋体" w:cs="宋体"/>
          <w:sz w:val="24"/>
          <w:highlight w:val="none"/>
        </w:rPr>
        <w:t>13. 工程质量</w:t>
      </w:r>
      <w:bookmarkEnd w:id="284"/>
    </w:p>
    <w:p w14:paraId="2354C448">
      <w:pPr>
        <w:pStyle w:val="58"/>
        <w:spacing w:line="500" w:lineRule="exact"/>
        <w:outlineLvl w:val="3"/>
        <w:rPr>
          <w:rFonts w:ascii="宋体" w:hAnsi="宋体" w:cs="宋体"/>
          <w:sz w:val="24"/>
          <w:highlight w:val="none"/>
        </w:rPr>
      </w:pPr>
      <w:r>
        <w:rPr>
          <w:rFonts w:hint="eastAsia" w:ascii="宋体" w:hAnsi="宋体" w:cs="宋体"/>
          <w:sz w:val="24"/>
          <w:highlight w:val="none"/>
        </w:rPr>
        <w:t>13.7 质量评定</w:t>
      </w:r>
    </w:p>
    <w:p w14:paraId="2653A1A5">
      <w:pPr>
        <w:pStyle w:val="58"/>
        <w:spacing w:line="500" w:lineRule="exact"/>
        <w:rPr>
          <w:rFonts w:ascii="宋体" w:hAnsi="宋体" w:cs="宋体"/>
          <w:sz w:val="24"/>
          <w:highlight w:val="none"/>
        </w:rPr>
      </w:pPr>
      <w:r>
        <w:rPr>
          <w:rFonts w:hint="eastAsia" w:ascii="宋体" w:hAnsi="宋体" w:cs="宋体"/>
          <w:sz w:val="24"/>
          <w:highlight w:val="none"/>
        </w:rPr>
        <w:t>　　13.7.4　重要隐蔽单元工程和关键部位单元工程质量评定的约定：</w:t>
      </w:r>
      <w:r>
        <w:rPr>
          <w:rFonts w:hint="eastAsia" w:ascii="宋体" w:hAnsi="宋体" w:cs="宋体"/>
          <w:sz w:val="24"/>
          <w:highlight w:val="none"/>
          <w:u w:val="single"/>
        </w:rPr>
        <w:t>合格</w:t>
      </w:r>
      <w:r>
        <w:rPr>
          <w:rFonts w:hint="eastAsia" w:ascii="宋体" w:hAnsi="宋体" w:cs="宋体"/>
          <w:sz w:val="24"/>
          <w:highlight w:val="none"/>
        </w:rPr>
        <w:t>。</w:t>
      </w:r>
    </w:p>
    <w:p w14:paraId="7033FEF0">
      <w:pPr>
        <w:pStyle w:val="58"/>
        <w:spacing w:line="500" w:lineRule="exact"/>
        <w:rPr>
          <w:rFonts w:ascii="宋体" w:hAnsi="宋体" w:cs="宋体"/>
          <w:sz w:val="24"/>
          <w:highlight w:val="none"/>
        </w:rPr>
      </w:pPr>
      <w:r>
        <w:rPr>
          <w:rFonts w:hint="eastAsia" w:ascii="宋体" w:hAnsi="宋体" w:cs="宋体"/>
          <w:sz w:val="24"/>
          <w:highlight w:val="none"/>
        </w:rPr>
        <w:t>　　13.7.7　工程合格标准为：</w:t>
      </w:r>
      <w:r>
        <w:rPr>
          <w:rFonts w:hint="eastAsia" w:ascii="宋体" w:hAnsi="宋体" w:cs="宋体"/>
          <w:sz w:val="24"/>
          <w:highlight w:val="none"/>
          <w:u w:val="single"/>
        </w:rPr>
        <w:t>达到工程验收规程规定的合格率标准</w:t>
      </w:r>
      <w:r>
        <w:rPr>
          <w:rFonts w:hint="eastAsia" w:ascii="宋体" w:hAnsi="宋体" w:cs="宋体"/>
          <w:sz w:val="24"/>
          <w:highlight w:val="none"/>
        </w:rPr>
        <w:t>；优良标准为：</w:t>
      </w:r>
      <w:r>
        <w:rPr>
          <w:rFonts w:hint="eastAsia" w:ascii="宋体" w:hAnsi="宋体" w:cs="宋体"/>
          <w:sz w:val="24"/>
          <w:highlight w:val="none"/>
          <w:u w:val="single"/>
        </w:rPr>
        <w:t>达到工程验收规程规定的优良标准</w:t>
      </w:r>
      <w:r>
        <w:rPr>
          <w:rFonts w:hint="eastAsia" w:ascii="宋体" w:hAnsi="宋体" w:cs="宋体"/>
          <w:sz w:val="24"/>
          <w:highlight w:val="none"/>
        </w:rPr>
        <w:t>。达到优良的奖金为：　　/　　。</w:t>
      </w:r>
    </w:p>
    <w:p w14:paraId="014A0ADD">
      <w:pPr>
        <w:pStyle w:val="58"/>
        <w:spacing w:line="500" w:lineRule="exact"/>
        <w:outlineLvl w:val="3"/>
        <w:rPr>
          <w:rFonts w:ascii="宋体" w:hAnsi="宋体" w:cs="宋体"/>
          <w:sz w:val="24"/>
          <w:highlight w:val="none"/>
        </w:rPr>
      </w:pPr>
      <w:r>
        <w:rPr>
          <w:rFonts w:hint="eastAsia" w:ascii="宋体" w:hAnsi="宋体" w:cs="宋体"/>
          <w:sz w:val="24"/>
          <w:highlight w:val="none"/>
        </w:rPr>
        <w:t>13.8 质量事故处理</w:t>
      </w:r>
    </w:p>
    <w:p w14:paraId="7FFDF8AE">
      <w:pPr>
        <w:pStyle w:val="58"/>
        <w:spacing w:line="500" w:lineRule="exact"/>
        <w:rPr>
          <w:rFonts w:ascii="宋体" w:hAnsi="宋体" w:cs="宋体"/>
          <w:sz w:val="24"/>
          <w:highlight w:val="none"/>
        </w:rPr>
      </w:pPr>
      <w:r>
        <w:rPr>
          <w:rFonts w:hint="eastAsia" w:ascii="宋体" w:hAnsi="宋体" w:cs="宋体"/>
          <w:sz w:val="24"/>
          <w:highlight w:val="none"/>
        </w:rPr>
        <w:t>　　13.8.4　工程竣工验收时，</w:t>
      </w:r>
      <w:r>
        <w:rPr>
          <w:rFonts w:hint="eastAsia" w:ascii="宋体" w:hAnsi="宋体" w:cs="宋体"/>
          <w:sz w:val="24"/>
          <w:highlight w:val="none"/>
          <w:u w:val="single"/>
        </w:rPr>
        <w:t>发包人（项目实施单位）</w:t>
      </w:r>
      <w:r>
        <w:rPr>
          <w:rFonts w:hint="eastAsia" w:ascii="宋体" w:hAnsi="宋体" w:cs="宋体"/>
          <w:sz w:val="24"/>
          <w:highlight w:val="none"/>
        </w:rPr>
        <w:t>向竣工验收委员会汇报并提交历次质量缺陷处理的备案资料。</w:t>
      </w:r>
    </w:p>
    <w:p w14:paraId="221FB276">
      <w:pPr>
        <w:pStyle w:val="58"/>
        <w:spacing w:line="500" w:lineRule="exact"/>
        <w:outlineLvl w:val="2"/>
        <w:rPr>
          <w:rFonts w:ascii="宋体" w:hAnsi="宋体" w:cs="宋体"/>
          <w:sz w:val="24"/>
          <w:highlight w:val="none"/>
        </w:rPr>
      </w:pPr>
      <w:bookmarkStart w:id="285" w:name="_Toc140340996"/>
      <w:r>
        <w:rPr>
          <w:rFonts w:hint="eastAsia" w:ascii="宋体" w:hAnsi="宋体" w:cs="宋体"/>
          <w:sz w:val="24"/>
          <w:highlight w:val="none"/>
        </w:rPr>
        <w:t>14. 试验和检验</w:t>
      </w:r>
      <w:bookmarkEnd w:id="285"/>
    </w:p>
    <w:p w14:paraId="0CCBAD88">
      <w:pPr>
        <w:pStyle w:val="58"/>
        <w:spacing w:line="500" w:lineRule="exact"/>
        <w:outlineLvl w:val="3"/>
        <w:rPr>
          <w:rFonts w:ascii="宋体" w:hAnsi="宋体" w:cs="宋体"/>
          <w:sz w:val="24"/>
          <w:highlight w:val="none"/>
        </w:rPr>
      </w:pPr>
      <w:r>
        <w:rPr>
          <w:rFonts w:hint="eastAsia" w:ascii="宋体" w:hAnsi="宋体" w:cs="宋体"/>
          <w:sz w:val="24"/>
          <w:highlight w:val="none"/>
        </w:rPr>
        <w:t>14.1 材料、工程设备和工程的试验和检验</w:t>
      </w:r>
    </w:p>
    <w:p w14:paraId="5889DD48">
      <w:pPr>
        <w:pStyle w:val="58"/>
        <w:spacing w:line="500" w:lineRule="exact"/>
        <w:rPr>
          <w:rFonts w:ascii="宋体" w:hAnsi="宋体" w:cs="宋体"/>
          <w:sz w:val="24"/>
          <w:highlight w:val="none"/>
        </w:rPr>
      </w:pPr>
      <w:r>
        <w:rPr>
          <w:rFonts w:hint="eastAsia" w:ascii="宋体" w:hAnsi="宋体" w:cs="宋体"/>
          <w:sz w:val="24"/>
          <w:highlight w:val="none"/>
        </w:rPr>
        <w:t>　　14.1.5　水工金属结构、启闭机及机电产品进场后的交货检查和验收中，承包人负责　　/　　。</w:t>
      </w:r>
    </w:p>
    <w:p w14:paraId="60E98BDD">
      <w:pPr>
        <w:pStyle w:val="58"/>
        <w:spacing w:line="500" w:lineRule="exact"/>
        <w:rPr>
          <w:rFonts w:ascii="宋体" w:hAnsi="宋体" w:cs="宋体"/>
          <w:sz w:val="24"/>
          <w:highlight w:val="none"/>
        </w:rPr>
      </w:pPr>
      <w:r>
        <w:rPr>
          <w:rFonts w:hint="eastAsia" w:ascii="宋体" w:hAnsi="宋体" w:cs="宋体"/>
          <w:sz w:val="24"/>
          <w:highlight w:val="none"/>
        </w:rPr>
        <w:t>　　14.1.6　本工程实行见证取样的试块、试件及有关材料：　　/　　。</w:t>
      </w:r>
    </w:p>
    <w:p w14:paraId="42A13883">
      <w:pPr>
        <w:pStyle w:val="58"/>
        <w:spacing w:line="500" w:lineRule="exact"/>
        <w:outlineLvl w:val="2"/>
        <w:rPr>
          <w:rFonts w:ascii="宋体" w:hAnsi="宋体" w:cs="宋体"/>
          <w:sz w:val="24"/>
          <w:highlight w:val="none"/>
        </w:rPr>
      </w:pPr>
      <w:bookmarkStart w:id="286" w:name="_Toc140340997"/>
      <w:r>
        <w:rPr>
          <w:rFonts w:hint="eastAsia" w:ascii="宋体" w:hAnsi="宋体" w:cs="宋体"/>
          <w:sz w:val="24"/>
          <w:highlight w:val="none"/>
        </w:rPr>
        <w:t>15. 变更</w:t>
      </w:r>
      <w:bookmarkEnd w:id="286"/>
    </w:p>
    <w:p w14:paraId="267477C2">
      <w:pPr>
        <w:pStyle w:val="58"/>
        <w:spacing w:line="500" w:lineRule="exact"/>
        <w:outlineLvl w:val="3"/>
        <w:rPr>
          <w:rFonts w:ascii="宋体" w:hAnsi="宋体" w:cs="宋体"/>
          <w:sz w:val="24"/>
          <w:highlight w:val="none"/>
        </w:rPr>
      </w:pPr>
      <w:r>
        <w:rPr>
          <w:rFonts w:hint="eastAsia" w:ascii="宋体" w:hAnsi="宋体" w:cs="宋体"/>
          <w:sz w:val="24"/>
          <w:highlight w:val="none"/>
        </w:rPr>
        <w:t>15.1 变更的范围和内容</w:t>
      </w:r>
    </w:p>
    <w:p w14:paraId="0CC1C05F">
      <w:pPr>
        <w:pStyle w:val="58"/>
        <w:spacing w:line="500" w:lineRule="exact"/>
        <w:rPr>
          <w:rFonts w:ascii="宋体" w:hAnsi="宋体" w:cs="宋体"/>
          <w:sz w:val="24"/>
          <w:highlight w:val="none"/>
        </w:rPr>
      </w:pPr>
      <w:r>
        <w:rPr>
          <w:rFonts w:hint="eastAsia" w:ascii="宋体" w:hAnsi="宋体" w:cs="宋体"/>
          <w:sz w:val="24"/>
          <w:highlight w:val="none"/>
        </w:rPr>
        <w:t>　　(6)</w:t>
      </w:r>
      <w:r>
        <w:rPr>
          <w:rFonts w:hint="eastAsia" w:ascii="宋体" w:hAnsi="宋体" w:cs="宋体"/>
          <w:sz w:val="24"/>
          <w:highlight w:val="none"/>
          <w:u w:val="single"/>
        </w:rPr>
        <w:t>本合同《工程量清单》中的任一子项目的工程量无论发生何种增减变化，该项目单价不予调整。</w:t>
      </w:r>
    </w:p>
    <w:p w14:paraId="14C26A55">
      <w:pPr>
        <w:pStyle w:val="58"/>
        <w:spacing w:line="500" w:lineRule="exact"/>
        <w:outlineLvl w:val="3"/>
        <w:rPr>
          <w:rFonts w:ascii="宋体" w:hAnsi="宋体" w:cs="宋体"/>
          <w:sz w:val="24"/>
          <w:highlight w:val="none"/>
        </w:rPr>
      </w:pPr>
      <w:r>
        <w:rPr>
          <w:rFonts w:hint="eastAsia" w:ascii="宋体" w:hAnsi="宋体" w:cs="宋体"/>
          <w:sz w:val="24"/>
          <w:highlight w:val="none"/>
        </w:rPr>
        <w:t>15.5 承包人的合理化建议</w:t>
      </w:r>
    </w:p>
    <w:p w14:paraId="4F153BFB">
      <w:pPr>
        <w:pStyle w:val="58"/>
        <w:spacing w:line="500" w:lineRule="exact"/>
        <w:rPr>
          <w:rFonts w:ascii="宋体" w:hAnsi="宋体" w:cs="宋体"/>
          <w:sz w:val="24"/>
          <w:highlight w:val="none"/>
        </w:rPr>
      </w:pPr>
      <w:r>
        <w:rPr>
          <w:rFonts w:hint="eastAsia" w:ascii="宋体" w:hAnsi="宋体" w:cs="宋体"/>
          <w:sz w:val="24"/>
          <w:highlight w:val="none"/>
        </w:rPr>
        <w:t>　　15.5.2　承包人实现合理化建议的奖励金额为：　　　/　　　。</w:t>
      </w:r>
    </w:p>
    <w:p w14:paraId="47940F55">
      <w:pPr>
        <w:pStyle w:val="58"/>
        <w:spacing w:line="500" w:lineRule="exact"/>
        <w:outlineLvl w:val="3"/>
        <w:rPr>
          <w:rFonts w:ascii="宋体" w:hAnsi="宋体" w:cs="宋体"/>
          <w:sz w:val="24"/>
          <w:highlight w:val="none"/>
        </w:rPr>
      </w:pPr>
      <w:r>
        <w:rPr>
          <w:rFonts w:hint="eastAsia" w:ascii="宋体" w:hAnsi="宋体" w:cs="宋体"/>
          <w:sz w:val="24"/>
          <w:highlight w:val="none"/>
        </w:rPr>
        <w:t>15.8 暂估价</w:t>
      </w:r>
    </w:p>
    <w:p w14:paraId="74B64297">
      <w:pPr>
        <w:pStyle w:val="58"/>
        <w:spacing w:line="500" w:lineRule="exact"/>
        <w:rPr>
          <w:rFonts w:ascii="宋体" w:hAnsi="宋体" w:cs="宋体"/>
          <w:sz w:val="24"/>
          <w:highlight w:val="none"/>
        </w:rPr>
      </w:pPr>
      <w:r>
        <w:rPr>
          <w:rFonts w:hint="eastAsia" w:ascii="宋体" w:hAnsi="宋体" w:cs="宋体"/>
          <w:sz w:val="24"/>
          <w:highlight w:val="none"/>
        </w:rPr>
        <w:t>　　15.8.1　(1)发包人和承包人组织招标的暂估价项目：　　/　　(签约后填入)；发包人组织招标的暂估价项目：　　/　　(签约后填入)。</w:t>
      </w:r>
    </w:p>
    <w:p w14:paraId="012FD0BC">
      <w:pPr>
        <w:pStyle w:val="58"/>
        <w:spacing w:line="500" w:lineRule="exact"/>
        <w:rPr>
          <w:rFonts w:ascii="宋体" w:hAnsi="宋体" w:cs="宋体"/>
          <w:sz w:val="24"/>
          <w:highlight w:val="none"/>
        </w:rPr>
      </w:pPr>
      <w:r>
        <w:rPr>
          <w:rFonts w:hint="eastAsia" w:ascii="宋体" w:hAnsi="宋体" w:cs="宋体"/>
          <w:sz w:val="24"/>
          <w:highlight w:val="none"/>
        </w:rPr>
        <w:t>　　(2)发包人和承包人以招标方式选择暂估价项目供应商或分包人时，双方的权利义务关系：　　/　　。</w:t>
      </w:r>
    </w:p>
    <w:p w14:paraId="379C493D">
      <w:pPr>
        <w:pStyle w:val="58"/>
        <w:spacing w:line="500" w:lineRule="exact"/>
        <w:outlineLvl w:val="2"/>
        <w:rPr>
          <w:rFonts w:ascii="宋体" w:hAnsi="宋体" w:cs="宋体"/>
          <w:sz w:val="24"/>
          <w:highlight w:val="none"/>
        </w:rPr>
      </w:pPr>
      <w:bookmarkStart w:id="287" w:name="_Toc140340998"/>
      <w:r>
        <w:rPr>
          <w:rFonts w:hint="eastAsia" w:ascii="宋体" w:hAnsi="宋体" w:cs="宋体"/>
          <w:sz w:val="24"/>
          <w:highlight w:val="none"/>
        </w:rPr>
        <w:t>16. 价格调整</w:t>
      </w:r>
      <w:bookmarkEnd w:id="287"/>
    </w:p>
    <w:p w14:paraId="074807E4">
      <w:pPr>
        <w:pStyle w:val="58"/>
        <w:spacing w:line="500" w:lineRule="exact"/>
        <w:outlineLvl w:val="3"/>
        <w:rPr>
          <w:rFonts w:ascii="宋体" w:hAnsi="宋体" w:cs="宋体"/>
          <w:sz w:val="24"/>
          <w:highlight w:val="none"/>
        </w:rPr>
      </w:pPr>
      <w:r>
        <w:rPr>
          <w:rFonts w:hint="eastAsia" w:ascii="宋体" w:hAnsi="宋体" w:cs="宋体"/>
          <w:sz w:val="24"/>
          <w:highlight w:val="none"/>
        </w:rPr>
        <w:t>16.1 物价波动引起的价格调整</w:t>
      </w:r>
    </w:p>
    <w:p w14:paraId="681AD239">
      <w:pPr>
        <w:pStyle w:val="58"/>
        <w:spacing w:line="500" w:lineRule="exact"/>
        <w:rPr>
          <w:rFonts w:ascii="宋体" w:hAnsi="宋体" w:cs="宋体"/>
          <w:sz w:val="24"/>
          <w:highlight w:val="none"/>
        </w:rPr>
      </w:pPr>
      <w:r>
        <w:rPr>
          <w:rFonts w:hint="eastAsia" w:ascii="宋体" w:hAnsi="宋体" w:cs="宋体"/>
          <w:sz w:val="24"/>
          <w:highlight w:val="none"/>
        </w:rPr>
        <w:t>　　物价波动引起的价格调整方式：</w:t>
      </w:r>
      <w:r>
        <w:rPr>
          <w:rFonts w:hint="eastAsia" w:ascii="宋体" w:hAnsi="宋体" w:cs="宋体"/>
          <w:sz w:val="24"/>
          <w:highlight w:val="none"/>
          <w:u w:val="single"/>
        </w:rPr>
        <w:t>不予调整</w:t>
      </w:r>
      <w:r>
        <w:rPr>
          <w:rFonts w:hint="eastAsia" w:ascii="宋体" w:hAnsi="宋体" w:cs="宋体"/>
          <w:sz w:val="24"/>
          <w:highlight w:val="none"/>
        </w:rPr>
        <w:t>。</w:t>
      </w:r>
    </w:p>
    <w:p w14:paraId="70A07A9D">
      <w:pPr>
        <w:pStyle w:val="58"/>
        <w:spacing w:line="500" w:lineRule="exact"/>
        <w:rPr>
          <w:rFonts w:ascii="宋体" w:hAnsi="宋体" w:cs="宋体"/>
          <w:sz w:val="24"/>
          <w:highlight w:val="none"/>
        </w:rPr>
      </w:pPr>
      <w:r>
        <w:rPr>
          <w:rFonts w:hint="eastAsia" w:ascii="宋体" w:hAnsi="宋体" w:cs="宋体"/>
          <w:sz w:val="24"/>
          <w:highlight w:val="none"/>
        </w:rPr>
        <w:t>　　16.1.2　采用造价信息调整价格差额</w:t>
      </w:r>
    </w:p>
    <w:p w14:paraId="45698819">
      <w:pPr>
        <w:pStyle w:val="58"/>
        <w:spacing w:line="500" w:lineRule="exact"/>
        <w:rPr>
          <w:rFonts w:ascii="宋体" w:hAnsi="宋体" w:cs="宋体"/>
          <w:sz w:val="24"/>
          <w:highlight w:val="none"/>
        </w:rPr>
      </w:pPr>
      <w:r>
        <w:rPr>
          <w:rFonts w:hint="eastAsia" w:ascii="宋体" w:hAnsi="宋体" w:cs="宋体"/>
          <w:sz w:val="24"/>
          <w:highlight w:val="none"/>
        </w:rPr>
        <w:t>　　工程造价信息的来源：　　　　　。</w:t>
      </w:r>
    </w:p>
    <w:p w14:paraId="1ACB79A6">
      <w:pPr>
        <w:pStyle w:val="58"/>
        <w:spacing w:line="500" w:lineRule="exact"/>
        <w:rPr>
          <w:rFonts w:ascii="宋体" w:hAnsi="宋体" w:cs="宋体"/>
          <w:sz w:val="24"/>
          <w:highlight w:val="none"/>
        </w:rPr>
      </w:pPr>
      <w:r>
        <w:rPr>
          <w:rFonts w:hint="eastAsia" w:ascii="宋体" w:hAnsi="宋体" w:cs="宋体"/>
          <w:sz w:val="24"/>
          <w:highlight w:val="none"/>
        </w:rPr>
        <w:t>　　价格调整的项目和系数：　　　　　。</w:t>
      </w:r>
    </w:p>
    <w:p w14:paraId="48DC82BD">
      <w:pPr>
        <w:pStyle w:val="58"/>
        <w:spacing w:line="500" w:lineRule="exact"/>
        <w:outlineLvl w:val="2"/>
        <w:rPr>
          <w:rFonts w:ascii="宋体" w:hAnsi="宋体" w:cs="宋体"/>
          <w:sz w:val="24"/>
          <w:highlight w:val="none"/>
        </w:rPr>
      </w:pPr>
      <w:bookmarkStart w:id="288" w:name="_Toc140340999"/>
      <w:r>
        <w:rPr>
          <w:rFonts w:hint="eastAsia" w:ascii="宋体" w:hAnsi="宋体" w:cs="宋体"/>
          <w:sz w:val="24"/>
          <w:highlight w:val="none"/>
        </w:rPr>
        <w:t>17. 计量与支付</w:t>
      </w:r>
      <w:bookmarkEnd w:id="288"/>
    </w:p>
    <w:p w14:paraId="7C5545C2">
      <w:pPr>
        <w:pStyle w:val="58"/>
        <w:spacing w:line="500" w:lineRule="exact"/>
        <w:outlineLvl w:val="3"/>
        <w:rPr>
          <w:rFonts w:ascii="宋体" w:hAnsi="宋体" w:cs="宋体"/>
          <w:sz w:val="24"/>
          <w:highlight w:val="none"/>
        </w:rPr>
      </w:pPr>
      <w:r>
        <w:rPr>
          <w:rFonts w:hint="eastAsia" w:ascii="宋体" w:hAnsi="宋体" w:cs="宋体"/>
          <w:sz w:val="24"/>
          <w:highlight w:val="none"/>
        </w:rPr>
        <w:t>17.2 预付款</w:t>
      </w:r>
    </w:p>
    <w:p w14:paraId="52B0798A">
      <w:pPr>
        <w:pStyle w:val="58"/>
        <w:spacing w:line="500" w:lineRule="exact"/>
        <w:rPr>
          <w:rFonts w:ascii="宋体" w:hAnsi="宋体" w:cs="宋体"/>
          <w:sz w:val="24"/>
          <w:highlight w:val="none"/>
        </w:rPr>
      </w:pPr>
      <w:r>
        <w:rPr>
          <w:rFonts w:hint="eastAsia" w:ascii="宋体" w:hAnsi="宋体" w:cs="宋体"/>
          <w:sz w:val="24"/>
          <w:highlight w:val="none"/>
        </w:rPr>
        <w:t>　　17.2.1　预付款：</w:t>
      </w:r>
    </w:p>
    <w:p w14:paraId="2A834AD6">
      <w:pPr>
        <w:pStyle w:val="58"/>
        <w:spacing w:line="500" w:lineRule="exact"/>
        <w:rPr>
          <w:rFonts w:ascii="宋体" w:hAnsi="宋体" w:cs="宋体"/>
          <w:sz w:val="24"/>
          <w:highlight w:val="none"/>
        </w:rPr>
      </w:pPr>
      <w:r>
        <w:rPr>
          <w:rFonts w:hint="eastAsia" w:ascii="宋体" w:hAnsi="宋体" w:cs="宋体"/>
          <w:sz w:val="24"/>
          <w:highlight w:val="none"/>
        </w:rPr>
        <w:t>　　(1)工程预付款的总金额为签约合同价的</w:t>
      </w:r>
      <w:r>
        <w:rPr>
          <w:rFonts w:hint="eastAsia" w:ascii="宋体" w:hAnsi="宋体" w:cs="宋体"/>
          <w:sz w:val="24"/>
          <w:highlight w:val="none"/>
          <w:u w:val="single"/>
        </w:rPr>
        <w:t>30%（不含备用金）</w:t>
      </w:r>
      <w:r>
        <w:rPr>
          <w:rFonts w:hint="eastAsia" w:ascii="宋体" w:hAnsi="宋体" w:cs="宋体"/>
          <w:sz w:val="24"/>
          <w:highlight w:val="none"/>
        </w:rPr>
        <w:t>，分　1　次支付给承包人。</w:t>
      </w:r>
    </w:p>
    <w:p w14:paraId="2750998B">
      <w:pPr>
        <w:pStyle w:val="58"/>
        <w:spacing w:line="500" w:lineRule="exact"/>
        <w:rPr>
          <w:rFonts w:ascii="宋体" w:hAnsi="宋体" w:cs="宋体"/>
          <w:sz w:val="24"/>
          <w:highlight w:val="none"/>
        </w:rPr>
      </w:pPr>
      <w:r>
        <w:rPr>
          <w:rFonts w:hint="eastAsia" w:ascii="宋体" w:hAnsi="宋体" w:cs="宋体"/>
          <w:sz w:val="24"/>
          <w:highlight w:val="none"/>
        </w:rPr>
        <w:t>　　各次预付款的支付额度和付款时间为：</w:t>
      </w:r>
    </w:p>
    <w:p w14:paraId="2CBA6F62">
      <w:pPr>
        <w:pStyle w:val="58"/>
        <w:spacing w:line="500" w:lineRule="exact"/>
        <w:rPr>
          <w:rFonts w:ascii="宋体" w:hAnsi="宋体" w:cs="宋体"/>
          <w:sz w:val="24"/>
          <w:highlight w:val="none"/>
        </w:rPr>
      </w:pPr>
      <w:r>
        <w:rPr>
          <w:rFonts w:hint="eastAsia" w:ascii="宋体" w:hAnsi="宋体" w:cs="宋体"/>
          <w:sz w:val="24"/>
          <w:highlight w:val="none"/>
        </w:rPr>
        <w:t>　　1)第一次预付款金额为工程预付款总金额的　　　%，付款时间应在合同协议书签订后，由承包人向发包人提交了发包人认可的工程预付款担保，并经监理人出具付款证书报送发包人批准后14天内予以支付。</w:t>
      </w:r>
    </w:p>
    <w:p w14:paraId="2FD8630C">
      <w:pPr>
        <w:pStyle w:val="58"/>
        <w:spacing w:line="500" w:lineRule="exact"/>
        <w:rPr>
          <w:rFonts w:ascii="宋体" w:hAnsi="宋体" w:cs="宋体"/>
          <w:sz w:val="24"/>
          <w:highlight w:val="none"/>
        </w:rPr>
      </w:pPr>
      <w:r>
        <w:rPr>
          <w:rFonts w:hint="eastAsia" w:ascii="宋体" w:hAnsi="宋体" w:cs="宋体"/>
          <w:sz w:val="24"/>
          <w:highlight w:val="none"/>
        </w:rPr>
        <w:t>　　2)第二次预付款金额为工程预付款总金额的　　%。付款时间需待承包人主要设备进入工地后，其估算价值已达到本次预付款金额时，由承包人提出书面申请，经监理人核实后出具付款证书报送发包人批准后14天内予以支付。</w:t>
      </w:r>
    </w:p>
    <w:p w14:paraId="36B4C3A8">
      <w:pPr>
        <w:pStyle w:val="58"/>
        <w:spacing w:line="500" w:lineRule="exact"/>
        <w:rPr>
          <w:rFonts w:ascii="宋体" w:hAnsi="宋体" w:cs="宋体"/>
          <w:sz w:val="24"/>
          <w:highlight w:val="none"/>
        </w:rPr>
      </w:pPr>
      <w:r>
        <w:rPr>
          <w:rFonts w:hint="eastAsia" w:ascii="宋体" w:hAnsi="宋体" w:cs="宋体"/>
          <w:sz w:val="24"/>
          <w:highlight w:val="none"/>
        </w:rPr>
        <w:t>　　3)第三次预付款……。</w:t>
      </w:r>
    </w:p>
    <w:p w14:paraId="133388E8">
      <w:pPr>
        <w:pStyle w:val="58"/>
        <w:spacing w:line="500" w:lineRule="exact"/>
        <w:rPr>
          <w:rFonts w:ascii="宋体" w:hAnsi="宋体" w:cs="宋体"/>
          <w:sz w:val="24"/>
          <w:highlight w:val="none"/>
        </w:rPr>
      </w:pPr>
      <w:r>
        <w:rPr>
          <w:rFonts w:hint="eastAsia" w:ascii="宋体" w:hAnsi="宋体" w:cs="宋体"/>
          <w:sz w:val="24"/>
          <w:highlight w:val="none"/>
        </w:rPr>
        <w:t>　　……</w:t>
      </w:r>
    </w:p>
    <w:p w14:paraId="5DF74BD0">
      <w:pPr>
        <w:pStyle w:val="58"/>
        <w:spacing w:line="500" w:lineRule="exact"/>
        <w:rPr>
          <w:rFonts w:ascii="宋体" w:hAnsi="宋体" w:cs="宋体"/>
          <w:sz w:val="24"/>
          <w:highlight w:val="none"/>
        </w:rPr>
      </w:pPr>
      <w:r>
        <w:rPr>
          <w:rFonts w:hint="eastAsia" w:ascii="宋体" w:hAnsi="宋体" w:cs="宋体"/>
          <w:sz w:val="24"/>
          <w:highlight w:val="none"/>
        </w:rPr>
        <w:t>　　(2)工程材料预付款的额度和预付办法约定为：</w:t>
      </w:r>
      <w:r>
        <w:rPr>
          <w:rFonts w:hint="eastAsia" w:ascii="宋体" w:hAnsi="宋体" w:cs="宋体"/>
          <w:sz w:val="24"/>
          <w:highlight w:val="none"/>
          <w:u w:val="single"/>
        </w:rPr>
        <w:t>本合同不支付材料预付款</w:t>
      </w:r>
      <w:r>
        <w:rPr>
          <w:rFonts w:hint="eastAsia" w:ascii="宋体" w:hAnsi="宋体" w:cs="宋体"/>
          <w:sz w:val="24"/>
          <w:highlight w:val="none"/>
        </w:rPr>
        <w:t>。</w:t>
      </w:r>
    </w:p>
    <w:p w14:paraId="11F7EAB3">
      <w:pPr>
        <w:pStyle w:val="58"/>
        <w:spacing w:line="500" w:lineRule="exact"/>
        <w:rPr>
          <w:rFonts w:ascii="宋体" w:hAnsi="宋体" w:cs="宋体"/>
          <w:sz w:val="24"/>
          <w:highlight w:val="none"/>
        </w:rPr>
      </w:pPr>
      <w:r>
        <w:rPr>
          <w:rFonts w:hint="eastAsia" w:ascii="宋体" w:hAnsi="宋体" w:cs="宋体"/>
          <w:sz w:val="24"/>
          <w:highlight w:val="none"/>
        </w:rPr>
        <w:t>　　17.2.2　预付款保函(担保)</w:t>
      </w:r>
    </w:p>
    <w:p w14:paraId="1AE2366F">
      <w:pPr>
        <w:pStyle w:val="58"/>
        <w:spacing w:line="500" w:lineRule="exact"/>
        <w:rPr>
          <w:rFonts w:ascii="宋体" w:hAnsi="宋体" w:cs="宋体"/>
          <w:sz w:val="24"/>
          <w:highlight w:val="none"/>
        </w:rPr>
      </w:pPr>
      <w:r>
        <w:rPr>
          <w:rFonts w:hint="eastAsia" w:ascii="宋体" w:hAnsi="宋体" w:cs="宋体"/>
          <w:sz w:val="24"/>
          <w:highlight w:val="none"/>
        </w:rPr>
        <w:t>　　(2)工程材料预付款的担保约定为：/。</w:t>
      </w:r>
    </w:p>
    <w:p w14:paraId="6591DB49">
      <w:pPr>
        <w:pStyle w:val="58"/>
        <w:spacing w:line="500" w:lineRule="exact"/>
        <w:rPr>
          <w:rFonts w:ascii="宋体" w:hAnsi="宋体" w:cs="宋体"/>
          <w:sz w:val="24"/>
          <w:highlight w:val="none"/>
        </w:rPr>
      </w:pPr>
      <w:r>
        <w:rPr>
          <w:rFonts w:hint="eastAsia" w:ascii="宋体" w:hAnsi="宋体" w:cs="宋体"/>
          <w:sz w:val="24"/>
          <w:highlight w:val="none"/>
        </w:rPr>
        <w:t>　　17.2.3　预付款的扣回与还清</w:t>
      </w:r>
    </w:p>
    <w:p w14:paraId="4A68D076">
      <w:pPr>
        <w:pStyle w:val="58"/>
        <w:spacing w:line="500" w:lineRule="exact"/>
        <w:rPr>
          <w:rFonts w:ascii="宋体" w:hAnsi="宋体" w:cs="宋体"/>
          <w:sz w:val="24"/>
          <w:highlight w:val="none"/>
        </w:rPr>
      </w:pPr>
      <w:r>
        <w:rPr>
          <w:rFonts w:hint="eastAsia" w:ascii="宋体" w:hAnsi="宋体" w:cs="宋体"/>
          <w:sz w:val="24"/>
          <w:highlight w:val="none"/>
        </w:rPr>
        <w:t>　　(1)工程预付款在合同累计完成金额达到签约合同价的</w:t>
      </w:r>
      <w:r>
        <w:rPr>
          <w:rFonts w:hint="eastAsia" w:ascii="宋体" w:hAnsi="宋体" w:cs="宋体"/>
          <w:sz w:val="24"/>
          <w:highlight w:val="none"/>
          <w:u w:val="single"/>
        </w:rPr>
        <w:t>30%</w:t>
      </w:r>
      <w:r>
        <w:rPr>
          <w:rFonts w:hint="eastAsia" w:ascii="宋体" w:hAnsi="宋体" w:cs="宋体"/>
          <w:sz w:val="24"/>
          <w:highlight w:val="none"/>
        </w:rPr>
        <w:t>时开始扣款，直至合同累计完成金额达到签约合同价的</w:t>
      </w:r>
      <w:r>
        <w:rPr>
          <w:rFonts w:hint="eastAsia" w:ascii="宋体" w:hAnsi="宋体" w:cs="宋体"/>
          <w:sz w:val="24"/>
          <w:highlight w:val="none"/>
          <w:u w:val="single"/>
        </w:rPr>
        <w:t>80%</w:t>
      </w:r>
      <w:r>
        <w:rPr>
          <w:rFonts w:hint="eastAsia" w:ascii="宋体" w:hAnsi="宋体" w:cs="宋体"/>
          <w:sz w:val="24"/>
          <w:highlight w:val="none"/>
        </w:rPr>
        <w:t>时全部扣清。</w:t>
      </w:r>
    </w:p>
    <w:p w14:paraId="37ED47A4">
      <w:pPr>
        <w:pStyle w:val="58"/>
        <w:spacing w:line="500" w:lineRule="exact"/>
        <w:rPr>
          <w:rFonts w:ascii="宋体" w:hAnsi="宋体" w:cs="宋体"/>
          <w:sz w:val="24"/>
          <w:highlight w:val="none"/>
        </w:rPr>
      </w:pPr>
      <w:r>
        <w:rPr>
          <w:rFonts w:hint="eastAsia" w:ascii="宋体" w:hAnsi="宋体" w:cs="宋体"/>
          <w:sz w:val="24"/>
          <w:highlight w:val="none"/>
        </w:rPr>
        <w:t>　　　　　　　　　　　　　　　　　</w:t>
      </w:r>
      <m:oMath>
        <m:r>
          <m:rPr>
            <m:sty m:val="p"/>
          </m:rPr>
          <w:rPr>
            <w:rStyle w:val="27"/>
            <w:rFonts w:ascii="Cambria Math" w:hAnsi="Cambria Math" w:eastAsia="宋体" w:cs="Times New Roman"/>
            <w:highlight w:val="none"/>
          </w:rPr>
          <m:t>R=</m:t>
        </m:r>
        <m:f>
          <m:fPr>
            <m:ctrlPr>
              <w:rPr>
                <w:rStyle w:val="27"/>
                <w:rFonts w:ascii="Cambria Math" w:hAnsi="Times New Roman" w:eastAsia="Times New Roman" w:cs="Times New Roman"/>
                <w:highlight w:val="none"/>
              </w:rPr>
            </m:ctrlPr>
          </m:fPr>
          <m:num>
            <m:r>
              <m:rPr>
                <m:sty m:val="p"/>
              </m:rPr>
              <w:rPr>
                <w:rStyle w:val="27"/>
                <w:rFonts w:ascii="Cambria Math" w:hAnsi="Cambria Math" w:eastAsia="宋体" w:cs="Cambria Math"/>
                <w:highlight w:val="none"/>
              </w:rPr>
              <m:t>A</m:t>
            </m:r>
            <m:ctrlPr>
              <w:rPr>
                <w:rStyle w:val="27"/>
                <w:rFonts w:ascii="Times New Roman" w:hAnsi="Times New Roman" w:eastAsia="Times New Roman" w:cs="Times New Roman"/>
                <w:highlight w:val="none"/>
              </w:rPr>
            </m:ctrlPr>
          </m:num>
          <m:den>
            <m:d>
              <m:dPr>
                <m:ctrlPr>
                  <w:rPr>
                    <w:rStyle w:val="27"/>
                    <w:rFonts w:ascii="Cambria Math" w:hAnsi="Times New Roman" w:eastAsia="Times New Roman" w:cs="Cambria Math"/>
                    <w:highlight w:val="none"/>
                  </w:rPr>
                </m:ctrlPr>
              </m:dPr>
              <m:e>
                <m:r>
                  <m:rPr>
                    <m:sty m:val="p"/>
                  </m:rPr>
                  <w:rPr>
                    <w:rStyle w:val="27"/>
                    <w:rFonts w:ascii="Cambria Math" w:hAnsi="Cambria Math" w:eastAsia="宋体" w:cs="Cambria Math"/>
                    <w:highlight w:val="none"/>
                  </w:rPr>
                  <m:t>F2−F1</m:t>
                </m:r>
                <m:ctrlPr>
                  <w:rPr>
                    <w:rStyle w:val="27"/>
                    <w:rFonts w:ascii="Times New Roman" w:hAnsi="Times New Roman" w:eastAsia="Times New Roman" w:cs="Times New Roman"/>
                    <w:highlight w:val="none"/>
                  </w:rPr>
                </m:ctrlPr>
              </m:e>
            </m:d>
            <m:r>
              <m:rPr>
                <m:sty m:val="p"/>
              </m:rPr>
              <w:rPr>
                <w:rStyle w:val="27"/>
                <w:rFonts w:ascii="Cambria Math" w:hAnsi="Cambria Math" w:eastAsia="宋体" w:cs="Cambria Math"/>
                <w:highlight w:val="none"/>
              </w:rPr>
              <m:t>S</m:t>
            </m:r>
            <m:ctrlPr>
              <w:rPr>
                <w:rStyle w:val="27"/>
                <w:rFonts w:ascii="Times New Roman" w:hAnsi="Times New Roman" w:eastAsia="Times New Roman" w:cs="Times New Roman"/>
                <w:highlight w:val="none"/>
              </w:rPr>
            </m:ctrlPr>
          </m:den>
        </m:f>
        <m:r>
          <m:rPr>
            <m:sty m:val="p"/>
          </m:rPr>
          <w:rPr>
            <w:rStyle w:val="27"/>
            <w:rFonts w:ascii="Cambria Math" w:hAnsi="Cambria Math" w:eastAsia="宋体" w:cs="Times New Roman"/>
            <w:highlight w:val="none"/>
          </w:rPr>
          <m:t>(C−F1S)</m:t>
        </m:r>
      </m:oMath>
    </w:p>
    <w:p w14:paraId="1B9DCF84">
      <w:pPr>
        <w:pStyle w:val="58"/>
        <w:spacing w:line="500" w:lineRule="exact"/>
        <w:rPr>
          <w:rFonts w:ascii="宋体" w:hAnsi="宋体" w:cs="宋体"/>
          <w:sz w:val="24"/>
          <w:highlight w:val="none"/>
        </w:rPr>
      </w:pPr>
      <w:r>
        <w:rPr>
          <w:rFonts w:hint="eastAsia" w:ascii="宋体" w:hAnsi="宋体" w:cs="宋体"/>
          <w:sz w:val="24"/>
          <w:highlight w:val="none"/>
        </w:rPr>
        <w:t>式中　R——每次进度付款中累计扣回的金额；</w:t>
      </w:r>
    </w:p>
    <w:p w14:paraId="46787B2A">
      <w:pPr>
        <w:pStyle w:val="58"/>
        <w:spacing w:line="500" w:lineRule="exact"/>
        <w:rPr>
          <w:rFonts w:ascii="宋体" w:hAnsi="宋体" w:cs="宋体"/>
          <w:sz w:val="24"/>
          <w:highlight w:val="none"/>
        </w:rPr>
      </w:pPr>
      <w:r>
        <w:rPr>
          <w:rFonts w:hint="eastAsia" w:ascii="宋体" w:hAnsi="宋体" w:cs="宋体"/>
          <w:sz w:val="24"/>
          <w:highlight w:val="none"/>
        </w:rPr>
        <w:t>　　　A——工程预付款总金额；</w:t>
      </w:r>
    </w:p>
    <w:p w14:paraId="2F920906">
      <w:pPr>
        <w:pStyle w:val="58"/>
        <w:spacing w:line="500" w:lineRule="exact"/>
        <w:rPr>
          <w:rFonts w:ascii="宋体" w:hAnsi="宋体" w:cs="宋体"/>
          <w:sz w:val="24"/>
          <w:highlight w:val="none"/>
        </w:rPr>
      </w:pPr>
      <w:r>
        <w:rPr>
          <w:rFonts w:hint="eastAsia" w:ascii="宋体" w:hAnsi="宋体" w:cs="宋体"/>
          <w:sz w:val="24"/>
          <w:highlight w:val="none"/>
        </w:rPr>
        <w:t>　　　S——签约合同价；</w:t>
      </w:r>
    </w:p>
    <w:p w14:paraId="4A16515F">
      <w:pPr>
        <w:pStyle w:val="58"/>
        <w:spacing w:line="500" w:lineRule="exact"/>
        <w:rPr>
          <w:rFonts w:ascii="宋体" w:hAnsi="宋体" w:cs="宋体"/>
          <w:sz w:val="24"/>
          <w:highlight w:val="none"/>
        </w:rPr>
      </w:pPr>
      <w:r>
        <w:rPr>
          <w:rFonts w:hint="eastAsia" w:ascii="宋体" w:hAnsi="宋体" w:cs="宋体"/>
          <w:sz w:val="24"/>
          <w:highlight w:val="none"/>
        </w:rPr>
        <w:t>　　　C——合同累计完成金额；</w:t>
      </w:r>
    </w:p>
    <w:p w14:paraId="5AAF3B3A">
      <w:pPr>
        <w:pStyle w:val="58"/>
        <w:spacing w:line="500" w:lineRule="exact"/>
        <w:rPr>
          <w:rFonts w:ascii="宋体" w:hAnsi="宋体" w:cs="宋体"/>
          <w:sz w:val="24"/>
          <w:highlight w:val="none"/>
        </w:rPr>
      </w:pPr>
      <w:r>
        <w:rPr>
          <w:rFonts w:hint="eastAsia" w:ascii="宋体" w:hAnsi="宋体" w:cs="宋体"/>
          <w:sz w:val="24"/>
          <w:highlight w:val="none"/>
        </w:rPr>
        <w:t>　　　F1——开始扣款时合同累计完成金额达到签约合同价的比例；30%</w:t>
      </w:r>
    </w:p>
    <w:p w14:paraId="2D3BCC9E">
      <w:pPr>
        <w:pStyle w:val="58"/>
        <w:spacing w:line="500" w:lineRule="exact"/>
        <w:rPr>
          <w:rFonts w:ascii="宋体" w:hAnsi="宋体" w:cs="宋体"/>
          <w:sz w:val="24"/>
          <w:highlight w:val="none"/>
        </w:rPr>
      </w:pPr>
      <w:r>
        <w:rPr>
          <w:rFonts w:hint="eastAsia" w:ascii="宋体" w:hAnsi="宋体" w:cs="宋体"/>
          <w:sz w:val="24"/>
          <w:highlight w:val="none"/>
        </w:rPr>
        <w:t>　　　F2——全部扣清时合同累计完成金额达到签约合同价的比例。80%</w:t>
      </w:r>
    </w:p>
    <w:p w14:paraId="66BD7362">
      <w:pPr>
        <w:pStyle w:val="58"/>
        <w:spacing w:line="500" w:lineRule="exact"/>
        <w:rPr>
          <w:rFonts w:ascii="宋体" w:hAnsi="宋体" w:cs="宋体"/>
          <w:sz w:val="24"/>
          <w:highlight w:val="none"/>
        </w:rPr>
      </w:pPr>
      <w:r>
        <w:rPr>
          <w:rFonts w:hint="eastAsia" w:ascii="宋体" w:hAnsi="宋体" w:cs="宋体"/>
          <w:sz w:val="24"/>
          <w:highlight w:val="none"/>
        </w:rPr>
        <w:t>　　上述合同累计完成金额均指价格调整前未扣质量保证金的金额。</w:t>
      </w:r>
    </w:p>
    <w:p w14:paraId="7F23246F">
      <w:pPr>
        <w:pStyle w:val="58"/>
        <w:spacing w:line="500" w:lineRule="exact"/>
        <w:rPr>
          <w:rFonts w:hint="eastAsia" w:ascii="宋体" w:hAnsi="宋体" w:cs="宋体"/>
          <w:sz w:val="24"/>
          <w:highlight w:val="none"/>
        </w:rPr>
      </w:pPr>
      <w:r>
        <w:rPr>
          <w:rFonts w:hint="eastAsia" w:ascii="宋体" w:hAnsi="宋体" w:cs="宋体"/>
          <w:sz w:val="24"/>
          <w:highlight w:val="none"/>
        </w:rPr>
        <w:t>　　(2)工程材料预付款的扣回与还清约定为：/。</w:t>
      </w:r>
    </w:p>
    <w:p w14:paraId="66DB26A1">
      <w:pPr>
        <w:pStyle w:val="58"/>
        <w:spacing w:line="500" w:lineRule="exact"/>
        <w:rPr>
          <w:rFonts w:hint="eastAsia" w:ascii="宋体" w:hAnsi="宋体" w:cs="宋体"/>
          <w:sz w:val="24"/>
          <w:highlight w:val="none"/>
        </w:rPr>
      </w:pPr>
      <w:r>
        <w:rPr>
          <w:rFonts w:hint="eastAsia" w:ascii="宋体" w:hAnsi="宋体" w:cs="宋体"/>
          <w:sz w:val="24"/>
          <w:highlight w:val="none"/>
        </w:rPr>
        <w:t>17.3 工程进度款</w:t>
      </w:r>
    </w:p>
    <w:p w14:paraId="0B8D7F77">
      <w:pPr>
        <w:pStyle w:val="58"/>
        <w:spacing w:line="500" w:lineRule="exact"/>
        <w:rPr>
          <w:rFonts w:hint="eastAsia" w:ascii="宋体" w:hAnsi="宋体" w:cs="宋体"/>
          <w:sz w:val="24"/>
          <w:highlight w:val="none"/>
        </w:rPr>
      </w:pPr>
      <w:r>
        <w:rPr>
          <w:rFonts w:hint="eastAsia" w:ascii="宋体" w:hAnsi="宋体" w:cs="宋体"/>
          <w:sz w:val="24"/>
          <w:highlight w:val="none"/>
        </w:rPr>
        <w:t>　　17.3.1 付款周期</w:t>
      </w:r>
    </w:p>
    <w:p w14:paraId="097F7B06">
      <w:pPr>
        <w:pStyle w:val="58"/>
        <w:spacing w:line="500" w:lineRule="exact"/>
        <w:rPr>
          <w:rFonts w:hint="eastAsia" w:ascii="宋体" w:hAnsi="宋体" w:cs="宋体"/>
          <w:sz w:val="24"/>
          <w:highlight w:val="none"/>
        </w:rPr>
      </w:pPr>
      <w:r>
        <w:rPr>
          <w:rFonts w:hint="eastAsia" w:ascii="宋体" w:hAnsi="宋体" w:cs="宋体"/>
          <w:sz w:val="24"/>
          <w:highlight w:val="none"/>
        </w:rPr>
        <w:t>　　合同签订后甲方付款至合同价（不含备用金）的 30%预付款，按照施工进度付款，完成工程目标并验收合格后付款至合同价款（不含备用金）的 90%，竣工结算完成并将全部竣工资料做好交与发包方后支付至结算审定价的 97%，留结算审定价的 3%质量保修金或同等金额的保函，待竣工验收合格一年后，无质量问题，退还质保金。</w:t>
      </w:r>
    </w:p>
    <w:p w14:paraId="405CD0CC">
      <w:pPr>
        <w:pStyle w:val="58"/>
        <w:spacing w:line="500" w:lineRule="exact"/>
        <w:rPr>
          <w:rFonts w:hint="eastAsia" w:ascii="宋体" w:hAnsi="宋体" w:cs="宋体"/>
          <w:sz w:val="24"/>
          <w:highlight w:val="none"/>
        </w:rPr>
      </w:pPr>
      <w:r>
        <w:rPr>
          <w:rFonts w:hint="eastAsia" w:ascii="宋体" w:hAnsi="宋体" w:cs="宋体"/>
          <w:sz w:val="24"/>
          <w:highlight w:val="none"/>
        </w:rPr>
        <w:t>农民工工资保障金按有关文件规定执行。</w:t>
      </w:r>
    </w:p>
    <w:p w14:paraId="10960E81">
      <w:pPr>
        <w:pStyle w:val="58"/>
        <w:spacing w:line="500" w:lineRule="exact"/>
        <w:rPr>
          <w:rFonts w:hint="eastAsia" w:ascii="宋体" w:hAnsi="宋体" w:cs="宋体"/>
          <w:sz w:val="24"/>
          <w:highlight w:val="none"/>
        </w:rPr>
      </w:pPr>
      <w:r>
        <w:rPr>
          <w:rFonts w:hint="eastAsia" w:ascii="宋体" w:hAnsi="宋体" w:cs="宋体"/>
          <w:sz w:val="24"/>
          <w:highlight w:val="none"/>
        </w:rPr>
        <w:t>17.3.2进度付款申请单</w:t>
      </w:r>
    </w:p>
    <w:p w14:paraId="4ACD5C01">
      <w:pPr>
        <w:pStyle w:val="58"/>
        <w:spacing w:line="500" w:lineRule="exact"/>
        <w:rPr>
          <w:rFonts w:hint="eastAsia" w:ascii="宋体" w:hAnsi="宋体" w:cs="宋体"/>
          <w:sz w:val="24"/>
          <w:highlight w:val="none"/>
        </w:rPr>
      </w:pPr>
      <w:r>
        <w:rPr>
          <w:rFonts w:hint="eastAsia" w:ascii="宋体" w:hAnsi="宋体" w:cs="宋体"/>
          <w:sz w:val="24"/>
          <w:highlight w:val="none"/>
        </w:rPr>
        <w:t>承包人应在每月    日按本合同约定的格式向监理人提交进度付款申请单</w:t>
      </w:r>
    </w:p>
    <w:p w14:paraId="1AE38F39">
      <w:pPr>
        <w:pStyle w:val="58"/>
        <w:spacing w:line="500" w:lineRule="exact"/>
        <w:rPr>
          <w:rFonts w:hint="eastAsia" w:ascii="宋体" w:hAnsi="宋体" w:cs="宋体"/>
          <w:sz w:val="24"/>
          <w:highlight w:val="none"/>
        </w:rPr>
      </w:pPr>
      <w:r>
        <w:rPr>
          <w:rFonts w:hint="eastAsia" w:ascii="宋体" w:hAnsi="宋体" w:cs="宋体"/>
          <w:sz w:val="24"/>
          <w:highlight w:val="none"/>
        </w:rPr>
        <w:t>(一式  6  份)，并附相应的支持性证明文件。进度付款申请单应包括以下内容：</w:t>
      </w:r>
    </w:p>
    <w:p w14:paraId="42876D66">
      <w:pPr>
        <w:pStyle w:val="58"/>
        <w:spacing w:line="500" w:lineRule="exact"/>
        <w:rPr>
          <w:rFonts w:hint="eastAsia" w:ascii="宋体" w:hAnsi="宋体" w:cs="宋体"/>
          <w:sz w:val="24"/>
          <w:highlight w:val="none"/>
        </w:rPr>
      </w:pPr>
      <w:r>
        <w:rPr>
          <w:rFonts w:hint="eastAsia" w:ascii="宋体" w:hAnsi="宋体" w:cs="宋体"/>
          <w:sz w:val="24"/>
          <w:highlight w:val="none"/>
        </w:rPr>
        <w:t>(1) 已完成的《工程量清单》中的工程项目及其它项目的应付金额。</w:t>
      </w:r>
    </w:p>
    <w:p w14:paraId="107EE065">
      <w:pPr>
        <w:pStyle w:val="58"/>
        <w:spacing w:line="500" w:lineRule="exact"/>
        <w:rPr>
          <w:rFonts w:hint="eastAsia" w:ascii="宋体" w:hAnsi="宋体" w:cs="宋体"/>
          <w:sz w:val="24"/>
          <w:highlight w:val="none"/>
        </w:rPr>
      </w:pPr>
      <w:r>
        <w:rPr>
          <w:rFonts w:hint="eastAsia" w:ascii="宋体" w:hAnsi="宋体" w:cs="宋体"/>
          <w:sz w:val="24"/>
          <w:highlight w:val="none"/>
        </w:rPr>
        <w:t>(2) 经监理人签认的当月计日工支付凭证标明的应付金额。</w:t>
      </w:r>
    </w:p>
    <w:p w14:paraId="70FF0FDD">
      <w:pPr>
        <w:pStyle w:val="58"/>
        <w:spacing w:line="500" w:lineRule="exact"/>
        <w:rPr>
          <w:rFonts w:hint="eastAsia" w:ascii="宋体" w:hAnsi="宋体" w:cs="宋体"/>
          <w:sz w:val="24"/>
          <w:highlight w:val="none"/>
        </w:rPr>
      </w:pPr>
      <w:r>
        <w:rPr>
          <w:rFonts w:hint="eastAsia" w:ascii="宋体" w:hAnsi="宋体" w:cs="宋体"/>
          <w:sz w:val="24"/>
          <w:highlight w:val="none"/>
        </w:rPr>
        <w:t>(3) 按第 16.1、16.2 款约定的价格调整金额（如有）。</w:t>
      </w:r>
    </w:p>
    <w:p w14:paraId="256B129A">
      <w:pPr>
        <w:pStyle w:val="58"/>
        <w:spacing w:line="500" w:lineRule="exact"/>
        <w:rPr>
          <w:rFonts w:hint="eastAsia" w:ascii="宋体" w:hAnsi="宋体" w:cs="宋体"/>
          <w:sz w:val="24"/>
          <w:highlight w:val="none"/>
        </w:rPr>
      </w:pPr>
      <w:r>
        <w:rPr>
          <w:rFonts w:hint="eastAsia" w:ascii="宋体" w:hAnsi="宋体" w:cs="宋体"/>
          <w:sz w:val="24"/>
          <w:highlight w:val="none"/>
        </w:rPr>
        <w:t>(4) 按第 5.2 款约定应由发包人扣还的工程材料款金额。</w:t>
      </w:r>
    </w:p>
    <w:p w14:paraId="0E830A10">
      <w:pPr>
        <w:pStyle w:val="58"/>
        <w:spacing w:line="500" w:lineRule="exact"/>
        <w:rPr>
          <w:rFonts w:hint="eastAsia" w:ascii="宋体" w:hAnsi="宋体" w:cs="宋体"/>
          <w:sz w:val="24"/>
          <w:highlight w:val="none"/>
        </w:rPr>
      </w:pPr>
      <w:r>
        <w:rPr>
          <w:rFonts w:hint="eastAsia" w:ascii="宋体" w:hAnsi="宋体" w:cs="宋体"/>
          <w:sz w:val="24"/>
          <w:highlight w:val="none"/>
        </w:rPr>
        <w:t>(5) 按第 17.2 款约定应由发包人扣还的工程预付款金额。</w:t>
      </w:r>
    </w:p>
    <w:p w14:paraId="20A6CB81">
      <w:pPr>
        <w:pStyle w:val="58"/>
        <w:spacing w:line="500" w:lineRule="exact"/>
        <w:rPr>
          <w:rFonts w:hint="eastAsia" w:ascii="宋体" w:hAnsi="宋体" w:cs="宋体"/>
          <w:sz w:val="24"/>
          <w:highlight w:val="none"/>
        </w:rPr>
      </w:pPr>
      <w:r>
        <w:rPr>
          <w:rFonts w:hint="eastAsia" w:ascii="宋体" w:hAnsi="宋体" w:cs="宋体"/>
          <w:sz w:val="24"/>
          <w:highlight w:val="none"/>
        </w:rPr>
        <w:t>(6) 按第 17.4 款约定应由发包人扣留的质量保证金金额。</w:t>
      </w:r>
    </w:p>
    <w:p w14:paraId="6CEAE671">
      <w:pPr>
        <w:pStyle w:val="58"/>
        <w:spacing w:line="500" w:lineRule="exact"/>
        <w:rPr>
          <w:rFonts w:hint="eastAsia" w:ascii="宋体" w:hAnsi="宋体" w:cs="宋体"/>
          <w:sz w:val="24"/>
          <w:highlight w:val="none"/>
        </w:rPr>
      </w:pPr>
      <w:r>
        <w:rPr>
          <w:rFonts w:hint="eastAsia" w:ascii="宋体" w:hAnsi="宋体" w:cs="宋体"/>
          <w:sz w:val="24"/>
          <w:highlight w:val="none"/>
        </w:rPr>
        <w:t>(7) 按合同约定承包人应有权得到的其它金额。</w:t>
      </w:r>
    </w:p>
    <w:p w14:paraId="61D911CE">
      <w:pPr>
        <w:pStyle w:val="58"/>
        <w:spacing w:line="500" w:lineRule="exact"/>
        <w:rPr>
          <w:rFonts w:hint="eastAsia" w:ascii="宋体" w:hAnsi="宋体" w:cs="宋体"/>
          <w:sz w:val="24"/>
          <w:highlight w:val="none"/>
        </w:rPr>
      </w:pPr>
      <w:r>
        <w:rPr>
          <w:rFonts w:hint="eastAsia" w:ascii="宋体" w:hAnsi="宋体" w:cs="宋体"/>
          <w:sz w:val="24"/>
          <w:highlight w:val="none"/>
        </w:rPr>
        <w:t>(8) 按合同约定应由承包人付给发包人的其它金额。</w:t>
      </w:r>
    </w:p>
    <w:p w14:paraId="7C42E837">
      <w:pPr>
        <w:pStyle w:val="58"/>
        <w:spacing w:line="500" w:lineRule="exact"/>
        <w:rPr>
          <w:rFonts w:hint="eastAsia" w:ascii="宋体" w:hAnsi="宋体" w:cs="宋体"/>
          <w:sz w:val="24"/>
          <w:highlight w:val="none"/>
        </w:rPr>
      </w:pPr>
      <w:r>
        <w:rPr>
          <w:rFonts w:hint="eastAsia" w:ascii="宋体" w:hAnsi="宋体" w:cs="宋体"/>
          <w:sz w:val="24"/>
          <w:highlight w:val="none"/>
        </w:rPr>
        <w:t>补充以下条款：</w:t>
      </w:r>
    </w:p>
    <w:p w14:paraId="3063123F">
      <w:pPr>
        <w:pStyle w:val="58"/>
        <w:spacing w:line="500" w:lineRule="exact"/>
        <w:rPr>
          <w:rFonts w:hint="eastAsia" w:ascii="宋体" w:hAnsi="宋体" w:cs="宋体"/>
          <w:sz w:val="24"/>
          <w:highlight w:val="none"/>
        </w:rPr>
      </w:pPr>
      <w:r>
        <w:rPr>
          <w:rFonts w:hint="eastAsia" w:ascii="宋体" w:hAnsi="宋体" w:cs="宋体"/>
          <w:sz w:val="24"/>
          <w:highlight w:val="none"/>
        </w:rPr>
        <w:t>17.3.5安全文明施工措施费的支付</w:t>
      </w:r>
    </w:p>
    <w:p w14:paraId="4C67ADAC">
      <w:pPr>
        <w:pStyle w:val="58"/>
        <w:spacing w:line="500" w:lineRule="exact"/>
        <w:rPr>
          <w:rFonts w:hint="eastAsia" w:ascii="宋体" w:hAnsi="宋体" w:cs="宋体"/>
          <w:sz w:val="24"/>
          <w:highlight w:val="none"/>
        </w:rPr>
      </w:pPr>
      <w:r>
        <w:rPr>
          <w:rFonts w:hint="eastAsia" w:ascii="宋体" w:hAnsi="宋体" w:cs="宋体"/>
          <w:sz w:val="24"/>
          <w:highlight w:val="none"/>
        </w:rPr>
        <w:t>本合同承包人当月申报下月安全生产费用计划，经监理任和发包人审查后，列入月进度款同时支付。具体按照发包人安全生产费用保障制度执行。</w:t>
      </w:r>
    </w:p>
    <w:p w14:paraId="68B7096C">
      <w:pPr>
        <w:pStyle w:val="58"/>
        <w:spacing w:line="500" w:lineRule="exact"/>
        <w:outlineLvl w:val="3"/>
        <w:rPr>
          <w:rFonts w:ascii="宋体" w:hAnsi="宋体" w:cs="宋体"/>
          <w:sz w:val="24"/>
          <w:highlight w:val="none"/>
        </w:rPr>
      </w:pPr>
      <w:r>
        <w:rPr>
          <w:rFonts w:hint="eastAsia" w:ascii="宋体" w:hAnsi="宋体" w:cs="宋体"/>
          <w:sz w:val="24"/>
          <w:highlight w:val="none"/>
        </w:rPr>
        <w:t>17.4 质量保证金</w:t>
      </w:r>
    </w:p>
    <w:p w14:paraId="352811CF">
      <w:pPr>
        <w:pStyle w:val="58"/>
        <w:spacing w:line="500" w:lineRule="exact"/>
        <w:rPr>
          <w:rFonts w:ascii="宋体" w:hAnsi="宋体" w:cs="宋体"/>
          <w:sz w:val="24"/>
          <w:highlight w:val="none"/>
        </w:rPr>
      </w:pPr>
      <w:r>
        <w:rPr>
          <w:rFonts w:hint="eastAsia" w:ascii="宋体" w:hAnsi="宋体" w:cs="宋体"/>
          <w:sz w:val="24"/>
          <w:highlight w:val="none"/>
        </w:rPr>
        <w:t>　　17.4.1 每个付款周期扣留的质量保证金为工程进度付款的</w:t>
      </w:r>
      <w:r>
        <w:rPr>
          <w:rFonts w:hint="eastAsia" w:ascii="宋体" w:hAnsi="宋体" w:cs="宋体"/>
          <w:sz w:val="24"/>
          <w:highlight w:val="none"/>
          <w:u w:val="single"/>
        </w:rPr>
        <w:t>3%</w:t>
      </w:r>
      <w:r>
        <w:rPr>
          <w:rFonts w:hint="eastAsia" w:ascii="宋体" w:hAnsi="宋体" w:cs="宋体"/>
          <w:sz w:val="24"/>
          <w:highlight w:val="none"/>
        </w:rPr>
        <w:t>，扣留的质量保证金总额为签约合同价的</w:t>
      </w:r>
      <w:r>
        <w:rPr>
          <w:rFonts w:hint="eastAsia" w:ascii="宋体" w:hAnsi="宋体" w:cs="宋体"/>
          <w:sz w:val="24"/>
          <w:highlight w:val="none"/>
          <w:u w:val="single"/>
        </w:rPr>
        <w:t>3%</w:t>
      </w:r>
      <w:r>
        <w:rPr>
          <w:rFonts w:hint="eastAsia" w:ascii="宋体" w:hAnsi="宋体" w:cs="宋体"/>
          <w:sz w:val="24"/>
          <w:highlight w:val="none"/>
        </w:rPr>
        <w:t>。</w:t>
      </w:r>
    </w:p>
    <w:p w14:paraId="4D5FE61A">
      <w:pPr>
        <w:pStyle w:val="58"/>
        <w:spacing w:line="500" w:lineRule="exact"/>
        <w:outlineLvl w:val="3"/>
        <w:rPr>
          <w:rFonts w:ascii="宋体" w:hAnsi="宋体" w:cs="宋体"/>
          <w:sz w:val="24"/>
          <w:highlight w:val="none"/>
        </w:rPr>
      </w:pPr>
      <w:r>
        <w:rPr>
          <w:rFonts w:hint="eastAsia" w:ascii="宋体" w:hAnsi="宋体" w:cs="宋体"/>
          <w:sz w:val="24"/>
          <w:highlight w:val="none"/>
        </w:rPr>
        <w:t>17.5 竣工(完工)结算</w:t>
      </w:r>
    </w:p>
    <w:p w14:paraId="52EA2C3F">
      <w:pPr>
        <w:pStyle w:val="58"/>
        <w:spacing w:line="500" w:lineRule="exact"/>
        <w:rPr>
          <w:rFonts w:ascii="宋体" w:hAnsi="宋体" w:cs="宋体"/>
          <w:sz w:val="24"/>
          <w:highlight w:val="none"/>
        </w:rPr>
      </w:pPr>
      <w:r>
        <w:rPr>
          <w:rFonts w:hint="eastAsia" w:ascii="宋体" w:hAnsi="宋体" w:cs="宋体"/>
          <w:sz w:val="24"/>
          <w:highlight w:val="none"/>
        </w:rPr>
        <w:t>　　17.5.1 竣工(完工)付款申请单</w:t>
      </w:r>
    </w:p>
    <w:p w14:paraId="59BAAB9C">
      <w:pPr>
        <w:pStyle w:val="58"/>
        <w:spacing w:line="500" w:lineRule="exact"/>
        <w:ind w:firstLine="480"/>
        <w:rPr>
          <w:rFonts w:hint="eastAsia" w:ascii="宋体" w:hAnsi="宋体" w:cs="宋体"/>
          <w:sz w:val="24"/>
          <w:highlight w:val="none"/>
        </w:rPr>
      </w:pPr>
      <w:r>
        <w:rPr>
          <w:rFonts w:hint="eastAsia" w:ascii="宋体" w:hAnsi="宋体" w:cs="宋体"/>
          <w:sz w:val="24"/>
          <w:highlight w:val="none"/>
        </w:rPr>
        <w:t>(1)承包人应提交完工付款申请单一式</w:t>
      </w:r>
      <w:r>
        <w:rPr>
          <w:rFonts w:hint="eastAsia" w:ascii="宋体" w:hAnsi="宋体" w:cs="宋体"/>
          <w:sz w:val="24"/>
          <w:highlight w:val="none"/>
          <w:u w:val="single"/>
        </w:rPr>
        <w:t>　六　</w:t>
      </w:r>
      <w:r>
        <w:rPr>
          <w:rFonts w:hint="eastAsia" w:ascii="宋体" w:hAnsi="宋体" w:cs="宋体"/>
          <w:sz w:val="24"/>
          <w:highlight w:val="none"/>
        </w:rPr>
        <w:t>份。</w:t>
      </w:r>
    </w:p>
    <w:p w14:paraId="22884FD3">
      <w:pPr>
        <w:pStyle w:val="58"/>
        <w:spacing w:line="500" w:lineRule="exact"/>
        <w:ind w:firstLine="480"/>
        <w:rPr>
          <w:rFonts w:hint="eastAsia" w:ascii="宋体" w:hAnsi="宋体" w:cs="宋体"/>
          <w:sz w:val="24"/>
          <w:highlight w:val="none"/>
        </w:rPr>
      </w:pPr>
      <w:r>
        <w:rPr>
          <w:rFonts w:hint="eastAsia" w:ascii="宋体" w:hAnsi="宋体" w:cs="宋体"/>
          <w:sz w:val="24"/>
          <w:highlight w:val="none"/>
        </w:rPr>
        <w:t>本条款增加内容：</w:t>
      </w:r>
    </w:p>
    <w:p w14:paraId="759B1507">
      <w:pPr>
        <w:pStyle w:val="58"/>
        <w:spacing w:line="500" w:lineRule="exact"/>
        <w:ind w:firstLine="480"/>
        <w:rPr>
          <w:rFonts w:hint="eastAsia" w:ascii="宋体" w:hAnsi="宋体" w:cs="宋体"/>
          <w:sz w:val="24"/>
          <w:highlight w:val="none"/>
          <w:u w:val="single"/>
        </w:rPr>
      </w:pPr>
      <w:r>
        <w:rPr>
          <w:rFonts w:hint="eastAsia" w:ascii="宋体" w:hAnsi="宋体" w:cs="宋体"/>
          <w:sz w:val="24"/>
          <w:highlight w:val="none"/>
          <w:u w:val="single"/>
        </w:rPr>
        <w:t>（1）承包人必须于工程完工后 42 天内，完成工程结算和竣工资料整编，并上报监理人进行审核；监理人必须在承包人上报后 20 天内完成审核，并上报发包人。</w:t>
      </w:r>
    </w:p>
    <w:p w14:paraId="3E59CB6E">
      <w:pPr>
        <w:pStyle w:val="58"/>
        <w:spacing w:line="500" w:lineRule="exact"/>
        <w:ind w:firstLine="480"/>
        <w:rPr>
          <w:rFonts w:hint="eastAsia" w:ascii="宋体" w:hAnsi="宋体" w:cs="宋体"/>
          <w:sz w:val="24"/>
          <w:highlight w:val="none"/>
          <w:u w:val="single"/>
        </w:rPr>
      </w:pPr>
      <w:r>
        <w:rPr>
          <w:rFonts w:hint="eastAsia" w:ascii="宋体" w:hAnsi="宋体" w:cs="宋体"/>
          <w:sz w:val="24"/>
          <w:highlight w:val="none"/>
          <w:u w:val="single"/>
        </w:rPr>
        <w:t>（2）承包人未按时完成工程结算和竣工资料整编工作，发包人将停止承包人一切工程付款，且每逾期 5 天（不足按 5 天计）扣款 1000 元。监理人未按期完成审核工作，承担相应的责任。</w:t>
      </w:r>
    </w:p>
    <w:p w14:paraId="4CC03DE0">
      <w:pPr>
        <w:pStyle w:val="58"/>
        <w:spacing w:line="500" w:lineRule="exact"/>
        <w:outlineLvl w:val="3"/>
        <w:rPr>
          <w:rFonts w:ascii="宋体" w:hAnsi="宋体" w:cs="宋体"/>
          <w:sz w:val="24"/>
          <w:highlight w:val="none"/>
        </w:rPr>
      </w:pPr>
      <w:r>
        <w:rPr>
          <w:rFonts w:hint="eastAsia" w:ascii="宋体" w:hAnsi="宋体" w:cs="宋体"/>
          <w:sz w:val="24"/>
          <w:highlight w:val="none"/>
        </w:rPr>
        <w:t>17.6 最终结清</w:t>
      </w:r>
    </w:p>
    <w:p w14:paraId="374923D9">
      <w:pPr>
        <w:pStyle w:val="58"/>
        <w:spacing w:line="500" w:lineRule="exact"/>
        <w:rPr>
          <w:rFonts w:ascii="宋体" w:hAnsi="宋体" w:cs="宋体"/>
          <w:sz w:val="24"/>
          <w:highlight w:val="none"/>
        </w:rPr>
      </w:pPr>
      <w:r>
        <w:rPr>
          <w:rFonts w:hint="eastAsia" w:ascii="宋体" w:hAnsi="宋体" w:cs="宋体"/>
          <w:sz w:val="24"/>
          <w:highlight w:val="none"/>
        </w:rPr>
        <w:t>　　17.6.1 最终结清申请单</w:t>
      </w:r>
    </w:p>
    <w:p w14:paraId="4152F7F8">
      <w:pPr>
        <w:pStyle w:val="58"/>
        <w:spacing w:line="500" w:lineRule="exact"/>
        <w:rPr>
          <w:rFonts w:ascii="宋体" w:hAnsi="宋体" w:cs="宋体"/>
          <w:sz w:val="24"/>
          <w:highlight w:val="none"/>
        </w:rPr>
      </w:pPr>
      <w:r>
        <w:rPr>
          <w:rFonts w:hint="eastAsia" w:ascii="宋体" w:hAnsi="宋体" w:cs="宋体"/>
          <w:sz w:val="24"/>
          <w:highlight w:val="none"/>
        </w:rPr>
        <w:t>　　(1)承包人应提交最终结清申请单一式</w:t>
      </w:r>
      <w:r>
        <w:rPr>
          <w:rFonts w:hint="eastAsia" w:ascii="宋体" w:hAnsi="宋体" w:cs="宋体"/>
          <w:sz w:val="24"/>
          <w:highlight w:val="none"/>
          <w:u w:val="single"/>
        </w:rPr>
        <w:t>　六　</w:t>
      </w:r>
      <w:r>
        <w:rPr>
          <w:rFonts w:hint="eastAsia" w:ascii="宋体" w:hAnsi="宋体" w:cs="宋体"/>
          <w:sz w:val="24"/>
          <w:highlight w:val="none"/>
        </w:rPr>
        <w:t>份。</w:t>
      </w:r>
    </w:p>
    <w:p w14:paraId="52DE7AAE">
      <w:pPr>
        <w:pStyle w:val="58"/>
        <w:spacing w:line="500" w:lineRule="exact"/>
        <w:ind w:firstLine="240" w:firstLineChars="100"/>
        <w:outlineLvl w:val="3"/>
        <w:rPr>
          <w:rFonts w:ascii="宋体" w:hAnsi="宋体" w:cs="宋体"/>
          <w:sz w:val="24"/>
          <w:highlight w:val="none"/>
        </w:rPr>
      </w:pPr>
      <w:r>
        <w:rPr>
          <w:rFonts w:hint="eastAsia" w:ascii="宋体" w:hAnsi="宋体" w:cs="宋体"/>
          <w:sz w:val="24"/>
          <w:highlight w:val="none"/>
        </w:rPr>
        <w:t>17.7 竣工财务决算</w:t>
      </w:r>
    </w:p>
    <w:p w14:paraId="76601739">
      <w:pPr>
        <w:pStyle w:val="58"/>
        <w:spacing w:line="500" w:lineRule="exact"/>
        <w:rPr>
          <w:rFonts w:ascii="宋体" w:hAnsi="宋体" w:cs="宋体"/>
          <w:sz w:val="24"/>
          <w:highlight w:val="none"/>
        </w:rPr>
      </w:pPr>
      <w:r>
        <w:rPr>
          <w:rFonts w:hint="eastAsia" w:ascii="宋体" w:hAnsi="宋体" w:cs="宋体"/>
          <w:sz w:val="24"/>
          <w:highlight w:val="none"/>
        </w:rPr>
        <w:t>　　承包人应为竣工财务决算编制提供的资料：</w:t>
      </w:r>
      <w:r>
        <w:rPr>
          <w:rFonts w:hint="eastAsia" w:ascii="宋体" w:hAnsi="宋体" w:cs="宋体"/>
          <w:sz w:val="24"/>
          <w:highlight w:val="none"/>
          <w:u w:val="single"/>
        </w:rPr>
        <w:t>按照发包人要求提供相关资料按照发包人要求提供相关资料（包括但不限于竣工结算书、竣工图纸、设计变更、工程签证、工程量计算书、原始地面测量高程资料（含 CAD 图）、其他竣工资料等）。</w:t>
      </w:r>
    </w:p>
    <w:p w14:paraId="1A1E778A">
      <w:pPr>
        <w:pStyle w:val="58"/>
        <w:spacing w:line="500" w:lineRule="exact"/>
        <w:outlineLvl w:val="2"/>
        <w:rPr>
          <w:rFonts w:ascii="宋体" w:hAnsi="宋体" w:cs="宋体"/>
          <w:sz w:val="24"/>
          <w:highlight w:val="none"/>
        </w:rPr>
      </w:pPr>
      <w:bookmarkStart w:id="289" w:name="_Toc140341000"/>
      <w:r>
        <w:rPr>
          <w:rFonts w:hint="eastAsia" w:ascii="宋体" w:hAnsi="宋体" w:cs="宋体"/>
          <w:sz w:val="24"/>
          <w:highlight w:val="none"/>
        </w:rPr>
        <w:t>18. 竣工验收(验收)</w:t>
      </w:r>
      <w:bookmarkEnd w:id="289"/>
    </w:p>
    <w:p w14:paraId="510A7FA6">
      <w:pPr>
        <w:pStyle w:val="58"/>
        <w:spacing w:line="500" w:lineRule="exact"/>
        <w:outlineLvl w:val="3"/>
        <w:rPr>
          <w:rFonts w:ascii="宋体" w:hAnsi="宋体" w:cs="宋体"/>
          <w:sz w:val="24"/>
          <w:highlight w:val="none"/>
        </w:rPr>
      </w:pPr>
      <w:r>
        <w:rPr>
          <w:rFonts w:hint="eastAsia" w:ascii="宋体" w:hAnsi="宋体" w:cs="宋体"/>
          <w:sz w:val="24"/>
          <w:highlight w:val="none"/>
        </w:rPr>
        <w:t>18.1 验收工作分类</w:t>
      </w:r>
    </w:p>
    <w:p w14:paraId="78F11F2B">
      <w:pPr>
        <w:pStyle w:val="58"/>
        <w:spacing w:line="500" w:lineRule="exact"/>
        <w:rPr>
          <w:rFonts w:ascii="宋体" w:hAnsi="宋体" w:cs="宋体"/>
          <w:sz w:val="24"/>
          <w:highlight w:val="none"/>
        </w:rPr>
      </w:pPr>
      <w:r>
        <w:rPr>
          <w:rFonts w:hint="eastAsia" w:ascii="宋体" w:hAnsi="宋体" w:cs="宋体"/>
          <w:sz w:val="24"/>
          <w:highlight w:val="none"/>
        </w:rPr>
        <w:t>　　本工程法人验收包括：/；政府验收包括：/。验收条件为：/，验收程序为：/。</w:t>
      </w:r>
    </w:p>
    <w:p w14:paraId="12EA1F59">
      <w:pPr>
        <w:pStyle w:val="58"/>
        <w:spacing w:line="500" w:lineRule="exact"/>
        <w:outlineLvl w:val="3"/>
        <w:rPr>
          <w:rFonts w:ascii="宋体" w:hAnsi="宋体" w:cs="宋体"/>
          <w:sz w:val="24"/>
          <w:highlight w:val="none"/>
        </w:rPr>
      </w:pPr>
      <w:r>
        <w:rPr>
          <w:rFonts w:hint="eastAsia" w:ascii="宋体" w:hAnsi="宋体" w:cs="宋体"/>
          <w:sz w:val="24"/>
          <w:highlight w:val="none"/>
        </w:rPr>
        <w:t>18.2 分部工程验收</w:t>
      </w:r>
    </w:p>
    <w:p w14:paraId="5F076E4D">
      <w:pPr>
        <w:pStyle w:val="58"/>
        <w:spacing w:line="500" w:lineRule="exact"/>
        <w:rPr>
          <w:rFonts w:ascii="宋体" w:hAnsi="宋体" w:cs="宋体"/>
          <w:sz w:val="24"/>
          <w:highlight w:val="none"/>
        </w:rPr>
      </w:pPr>
      <w:r>
        <w:rPr>
          <w:rFonts w:hint="eastAsia" w:ascii="宋体" w:hAnsi="宋体" w:cs="宋体"/>
          <w:sz w:val="24"/>
          <w:highlight w:val="none"/>
        </w:rPr>
        <w:t>　　18.2.2　本工程由发包人主持的分部工程验收为/，其余由监理人主持。</w:t>
      </w:r>
    </w:p>
    <w:p w14:paraId="380E4464">
      <w:pPr>
        <w:pStyle w:val="58"/>
        <w:spacing w:line="500" w:lineRule="exact"/>
        <w:outlineLvl w:val="3"/>
        <w:rPr>
          <w:rFonts w:ascii="宋体" w:hAnsi="宋体" w:cs="宋体"/>
          <w:sz w:val="24"/>
          <w:highlight w:val="none"/>
        </w:rPr>
      </w:pPr>
      <w:r>
        <w:rPr>
          <w:rFonts w:hint="eastAsia" w:ascii="宋体" w:hAnsi="宋体" w:cs="宋体"/>
          <w:sz w:val="24"/>
          <w:highlight w:val="none"/>
        </w:rPr>
        <w:t>18.3 单位工程验收</w:t>
      </w:r>
    </w:p>
    <w:p w14:paraId="4B7FB577">
      <w:pPr>
        <w:pStyle w:val="58"/>
        <w:spacing w:line="500" w:lineRule="exact"/>
        <w:rPr>
          <w:rFonts w:ascii="宋体" w:hAnsi="宋体" w:cs="宋体"/>
          <w:sz w:val="24"/>
          <w:highlight w:val="none"/>
        </w:rPr>
      </w:pPr>
      <w:r>
        <w:rPr>
          <w:rFonts w:hint="eastAsia" w:ascii="宋体" w:hAnsi="宋体" w:cs="宋体"/>
          <w:sz w:val="24"/>
          <w:highlight w:val="none"/>
        </w:rPr>
        <w:t>　　18.3.4　提前投入使用的单位工程包括：无。</w:t>
      </w:r>
    </w:p>
    <w:p w14:paraId="1E2E54F3">
      <w:pPr>
        <w:pStyle w:val="58"/>
        <w:spacing w:line="500" w:lineRule="exact"/>
        <w:outlineLvl w:val="3"/>
        <w:rPr>
          <w:rFonts w:ascii="宋体" w:hAnsi="宋体" w:cs="宋体"/>
          <w:sz w:val="24"/>
          <w:highlight w:val="none"/>
        </w:rPr>
      </w:pPr>
      <w:r>
        <w:rPr>
          <w:rFonts w:hint="eastAsia" w:ascii="宋体" w:hAnsi="宋体" w:cs="宋体"/>
          <w:sz w:val="24"/>
          <w:highlight w:val="none"/>
        </w:rPr>
        <w:t>18.5 阶段验收</w:t>
      </w:r>
    </w:p>
    <w:p w14:paraId="706A6247">
      <w:pPr>
        <w:pStyle w:val="58"/>
        <w:spacing w:line="500" w:lineRule="exact"/>
        <w:rPr>
          <w:rFonts w:ascii="宋体" w:hAnsi="宋体" w:cs="宋体"/>
          <w:sz w:val="24"/>
          <w:highlight w:val="none"/>
        </w:rPr>
      </w:pPr>
      <w:r>
        <w:rPr>
          <w:rFonts w:hint="eastAsia" w:ascii="宋体" w:hAnsi="宋体" w:cs="宋体"/>
          <w:sz w:val="24"/>
          <w:highlight w:val="none"/>
        </w:rPr>
        <w:t>　　18.5.1　本合同工程阶段验收类别包括：无。</w:t>
      </w:r>
    </w:p>
    <w:p w14:paraId="1636DAAB">
      <w:pPr>
        <w:pStyle w:val="58"/>
        <w:spacing w:line="500" w:lineRule="exact"/>
        <w:outlineLvl w:val="3"/>
        <w:rPr>
          <w:rFonts w:ascii="宋体" w:hAnsi="宋体" w:cs="宋体"/>
          <w:sz w:val="24"/>
          <w:highlight w:val="none"/>
        </w:rPr>
      </w:pPr>
      <w:r>
        <w:rPr>
          <w:rFonts w:hint="eastAsia" w:ascii="宋体" w:hAnsi="宋体" w:cs="宋体"/>
          <w:sz w:val="24"/>
          <w:highlight w:val="none"/>
        </w:rPr>
        <w:t>18.6 专项验收</w:t>
      </w:r>
    </w:p>
    <w:p w14:paraId="239E45FD">
      <w:pPr>
        <w:pStyle w:val="58"/>
        <w:spacing w:line="500" w:lineRule="exact"/>
        <w:rPr>
          <w:rFonts w:ascii="宋体" w:hAnsi="宋体" w:cs="宋体"/>
          <w:sz w:val="24"/>
          <w:highlight w:val="none"/>
        </w:rPr>
      </w:pPr>
      <w:r>
        <w:rPr>
          <w:rFonts w:hint="eastAsia" w:ascii="宋体" w:hAnsi="宋体" w:cs="宋体"/>
          <w:sz w:val="24"/>
          <w:highlight w:val="none"/>
        </w:rPr>
        <w:t>　　18.6.2　本合同工程专项验收类别包括：无。</w:t>
      </w:r>
    </w:p>
    <w:p w14:paraId="289810DD">
      <w:pPr>
        <w:pStyle w:val="58"/>
        <w:spacing w:line="500" w:lineRule="exact"/>
        <w:outlineLvl w:val="3"/>
        <w:rPr>
          <w:rFonts w:ascii="宋体" w:hAnsi="宋体" w:cs="宋体"/>
          <w:sz w:val="24"/>
          <w:highlight w:val="none"/>
        </w:rPr>
      </w:pPr>
      <w:r>
        <w:rPr>
          <w:rFonts w:hint="eastAsia" w:ascii="宋体" w:hAnsi="宋体" w:cs="宋体"/>
          <w:sz w:val="24"/>
          <w:highlight w:val="none"/>
        </w:rPr>
        <w:t>18.7 竣工验收</w:t>
      </w:r>
    </w:p>
    <w:p w14:paraId="5E7F2FFA">
      <w:pPr>
        <w:pStyle w:val="58"/>
        <w:spacing w:line="500" w:lineRule="exact"/>
        <w:rPr>
          <w:rFonts w:ascii="宋体" w:hAnsi="宋体" w:cs="宋体"/>
          <w:sz w:val="24"/>
          <w:highlight w:val="none"/>
        </w:rPr>
      </w:pPr>
      <w:r>
        <w:rPr>
          <w:rFonts w:hint="eastAsia" w:ascii="宋体" w:hAnsi="宋体" w:cs="宋体"/>
          <w:sz w:val="24"/>
          <w:highlight w:val="none"/>
        </w:rPr>
        <w:t>　　18.7.3　本工程不需要竣工验收技术鉴定(蓄水安全鉴定)。</w:t>
      </w:r>
    </w:p>
    <w:p w14:paraId="76A10EBC">
      <w:pPr>
        <w:pStyle w:val="58"/>
        <w:spacing w:line="500" w:lineRule="exact"/>
        <w:outlineLvl w:val="3"/>
        <w:rPr>
          <w:rFonts w:ascii="宋体" w:hAnsi="宋体" w:cs="宋体"/>
          <w:sz w:val="24"/>
          <w:highlight w:val="none"/>
        </w:rPr>
      </w:pPr>
      <w:r>
        <w:rPr>
          <w:rFonts w:hint="eastAsia" w:ascii="宋体" w:hAnsi="宋体" w:cs="宋体"/>
          <w:sz w:val="24"/>
          <w:highlight w:val="none"/>
        </w:rPr>
        <w:t>18.8 施工期运行</w:t>
      </w:r>
    </w:p>
    <w:p w14:paraId="0BC29F52">
      <w:pPr>
        <w:pStyle w:val="58"/>
        <w:spacing w:line="500" w:lineRule="exact"/>
        <w:rPr>
          <w:rFonts w:ascii="宋体" w:hAnsi="宋体" w:cs="宋体"/>
          <w:sz w:val="24"/>
          <w:highlight w:val="none"/>
        </w:rPr>
      </w:pPr>
      <w:r>
        <w:rPr>
          <w:rFonts w:hint="eastAsia" w:ascii="宋体" w:hAnsi="宋体" w:cs="宋体"/>
          <w:sz w:val="24"/>
          <w:highlight w:val="none"/>
        </w:rPr>
        <w:t>　　18.8.1　需要在施工期运行的单位工程或工程设备为：无。</w:t>
      </w:r>
    </w:p>
    <w:p w14:paraId="595862C4">
      <w:pPr>
        <w:pStyle w:val="58"/>
        <w:spacing w:line="500" w:lineRule="exact"/>
        <w:outlineLvl w:val="3"/>
        <w:rPr>
          <w:rFonts w:ascii="宋体" w:hAnsi="宋体" w:cs="宋体"/>
          <w:sz w:val="24"/>
          <w:highlight w:val="none"/>
        </w:rPr>
      </w:pPr>
      <w:r>
        <w:rPr>
          <w:rFonts w:hint="eastAsia" w:ascii="宋体" w:hAnsi="宋体" w:cs="宋体"/>
          <w:sz w:val="24"/>
          <w:highlight w:val="none"/>
        </w:rPr>
        <w:t>18.9 试运行</w:t>
      </w:r>
    </w:p>
    <w:p w14:paraId="1C610A69">
      <w:pPr>
        <w:pStyle w:val="58"/>
        <w:spacing w:line="500" w:lineRule="exact"/>
        <w:rPr>
          <w:rFonts w:ascii="宋体" w:hAnsi="宋体" w:cs="宋体"/>
          <w:sz w:val="24"/>
          <w:highlight w:val="none"/>
        </w:rPr>
      </w:pPr>
      <w:r>
        <w:rPr>
          <w:rFonts w:hint="eastAsia" w:ascii="宋体" w:hAnsi="宋体" w:cs="宋体"/>
          <w:sz w:val="24"/>
          <w:highlight w:val="none"/>
        </w:rPr>
        <w:t>　　18.9.1　试运行的组织：/；费用承担：/。</w:t>
      </w:r>
    </w:p>
    <w:p w14:paraId="7256EED1">
      <w:pPr>
        <w:pStyle w:val="58"/>
        <w:spacing w:line="500" w:lineRule="exact"/>
        <w:outlineLvl w:val="2"/>
        <w:rPr>
          <w:rFonts w:ascii="宋体" w:hAnsi="宋体" w:cs="宋体"/>
          <w:sz w:val="24"/>
          <w:highlight w:val="none"/>
        </w:rPr>
      </w:pPr>
      <w:bookmarkStart w:id="290" w:name="_Toc140341001"/>
      <w:r>
        <w:rPr>
          <w:rFonts w:hint="eastAsia" w:ascii="宋体" w:hAnsi="宋体" w:cs="宋体"/>
          <w:sz w:val="24"/>
          <w:highlight w:val="none"/>
        </w:rPr>
        <w:t>19. 缺陷责任与保修责任</w:t>
      </w:r>
      <w:bookmarkEnd w:id="290"/>
    </w:p>
    <w:p w14:paraId="78E71226">
      <w:pPr>
        <w:pStyle w:val="58"/>
        <w:spacing w:line="500" w:lineRule="exact"/>
        <w:outlineLvl w:val="3"/>
        <w:rPr>
          <w:rFonts w:ascii="宋体" w:hAnsi="宋体" w:cs="宋体"/>
          <w:sz w:val="24"/>
          <w:highlight w:val="none"/>
        </w:rPr>
      </w:pPr>
      <w:r>
        <w:rPr>
          <w:rFonts w:hint="eastAsia" w:ascii="宋体" w:hAnsi="宋体" w:cs="宋体"/>
          <w:sz w:val="24"/>
          <w:highlight w:val="none"/>
        </w:rPr>
        <w:t>19.1 缺陷责任期(工程质量保修期)的起算时间</w:t>
      </w:r>
    </w:p>
    <w:p w14:paraId="3E560A7E">
      <w:pPr>
        <w:pStyle w:val="58"/>
        <w:spacing w:line="500" w:lineRule="exact"/>
        <w:rPr>
          <w:rFonts w:hint="eastAsia" w:ascii="宋体" w:hAnsi="宋体" w:cs="宋体"/>
          <w:sz w:val="24"/>
          <w:highlight w:val="none"/>
          <w:u w:val="single"/>
        </w:rPr>
      </w:pPr>
      <w:r>
        <w:rPr>
          <w:rFonts w:hint="eastAsia" w:ascii="宋体" w:hAnsi="宋体" w:cs="宋体"/>
          <w:sz w:val="24"/>
          <w:highlight w:val="none"/>
        </w:rPr>
        <w:t>　　本工程缺陷责任期(工程质量保修期)计算如下：</w:t>
      </w:r>
      <w:r>
        <w:rPr>
          <w:rFonts w:hint="eastAsia" w:ascii="宋体" w:hAnsi="宋体" w:cs="宋体"/>
          <w:sz w:val="24"/>
          <w:highlight w:val="none"/>
          <w:u w:val="single"/>
        </w:rPr>
        <w:t>自全部工程完工验收合格之日起12个月。如在缺陷责任期内发生质量事故，发生质量事故部位的缺陷责任期自修复之日起从新计算。</w:t>
      </w:r>
    </w:p>
    <w:p w14:paraId="687180FA">
      <w:pPr>
        <w:pStyle w:val="58"/>
        <w:spacing w:line="500" w:lineRule="exact"/>
        <w:rPr>
          <w:rFonts w:ascii="宋体" w:hAnsi="宋体" w:cs="宋体"/>
          <w:sz w:val="24"/>
          <w:highlight w:val="none"/>
          <w:u w:val="single"/>
        </w:rPr>
      </w:pPr>
      <w:r>
        <w:rPr>
          <w:rFonts w:hint="eastAsia" w:ascii="宋体" w:hAnsi="宋体" w:cs="宋体"/>
          <w:sz w:val="24"/>
          <w:highlight w:val="none"/>
          <w:u w:val="single"/>
        </w:rPr>
        <w:t>在缺陷责任期内工程出现施工质量事故由承包人承担保修责任，负责对事故部位修复，费用由承包人承担。</w:t>
      </w:r>
    </w:p>
    <w:p w14:paraId="1215CE6E">
      <w:pPr>
        <w:pStyle w:val="58"/>
        <w:numPr>
          <w:ilvl w:val="0"/>
          <w:numId w:val="6"/>
        </w:numPr>
        <w:spacing w:line="500" w:lineRule="exact"/>
        <w:outlineLvl w:val="2"/>
        <w:rPr>
          <w:rFonts w:hint="eastAsia" w:ascii="宋体" w:hAnsi="宋体" w:cs="宋体"/>
          <w:sz w:val="24"/>
          <w:highlight w:val="none"/>
          <w:u w:val="single"/>
        </w:rPr>
      </w:pPr>
      <w:bookmarkStart w:id="291" w:name="_Toc140341002"/>
      <w:r>
        <w:rPr>
          <w:rFonts w:hint="eastAsia" w:ascii="宋体" w:hAnsi="宋体" w:cs="宋体"/>
          <w:sz w:val="24"/>
          <w:highlight w:val="none"/>
        </w:rPr>
        <w:t>保险</w:t>
      </w:r>
      <w:bookmarkEnd w:id="291"/>
    </w:p>
    <w:p w14:paraId="2D0BDBA7">
      <w:pPr>
        <w:pStyle w:val="58"/>
        <w:spacing w:line="500" w:lineRule="exact"/>
        <w:outlineLvl w:val="3"/>
        <w:rPr>
          <w:rFonts w:ascii="宋体" w:hAnsi="宋体" w:cs="宋体"/>
          <w:sz w:val="24"/>
          <w:highlight w:val="none"/>
        </w:rPr>
      </w:pPr>
      <w:r>
        <w:rPr>
          <w:rFonts w:hint="eastAsia" w:ascii="宋体" w:hAnsi="宋体" w:cs="宋体"/>
          <w:sz w:val="24"/>
          <w:highlight w:val="none"/>
        </w:rPr>
        <w:t>20.1 工程保险</w:t>
      </w:r>
    </w:p>
    <w:p w14:paraId="75146891">
      <w:pPr>
        <w:pStyle w:val="58"/>
        <w:spacing w:line="500" w:lineRule="exact"/>
        <w:ind w:firstLine="480" w:firstLineChars="200"/>
        <w:rPr>
          <w:rFonts w:ascii="宋体" w:hAnsi="宋体" w:cs="宋体"/>
          <w:sz w:val="24"/>
          <w:highlight w:val="none"/>
        </w:rPr>
      </w:pPr>
      <w:r>
        <w:rPr>
          <w:rFonts w:hint="eastAsia" w:ascii="宋体" w:hAnsi="宋体" w:cs="宋体"/>
          <w:sz w:val="24"/>
          <w:highlight w:val="none"/>
          <w:u w:val="single"/>
        </w:rPr>
        <w:t>工程一切险和第三者责任险由发包人负责投保。人身意外伤害险和进场的施工设备、材料等险由承包人负责投保。投保的费用计入工程量清单内(实行总价承包)，发包人不另行支付。投标人应按要求进行投保，投保的有效凭证需交发包人处备查。</w:t>
      </w:r>
    </w:p>
    <w:p w14:paraId="29B2E9C9">
      <w:pPr>
        <w:pStyle w:val="58"/>
        <w:spacing w:line="500" w:lineRule="exact"/>
        <w:outlineLvl w:val="2"/>
        <w:rPr>
          <w:rFonts w:hint="eastAsia" w:ascii="宋体" w:hAnsi="宋体" w:cs="宋体"/>
          <w:sz w:val="24"/>
          <w:highlight w:val="none"/>
        </w:rPr>
      </w:pPr>
      <w:bookmarkStart w:id="292" w:name="_Toc140341003"/>
      <w:r>
        <w:rPr>
          <w:rFonts w:hint="eastAsia" w:ascii="宋体" w:hAnsi="宋体" w:cs="宋体"/>
          <w:sz w:val="24"/>
          <w:highlight w:val="none"/>
        </w:rPr>
        <w:t>20.2 风险责任的转移</w:t>
      </w:r>
      <w:bookmarkEnd w:id="292"/>
    </w:p>
    <w:p w14:paraId="7F532307">
      <w:pPr>
        <w:pStyle w:val="58"/>
        <w:spacing w:line="500" w:lineRule="exact"/>
        <w:ind w:firstLine="480" w:firstLineChars="200"/>
        <w:outlineLvl w:val="2"/>
        <w:rPr>
          <w:rFonts w:hint="eastAsia" w:ascii="宋体" w:hAnsi="宋体" w:cs="宋体"/>
          <w:sz w:val="24"/>
          <w:highlight w:val="none"/>
          <w:u w:val="single"/>
        </w:rPr>
      </w:pPr>
      <w:bookmarkStart w:id="293" w:name="_Toc140341004"/>
      <w:r>
        <w:rPr>
          <w:rFonts w:hint="eastAsia" w:ascii="宋体" w:hAnsi="宋体" w:cs="宋体"/>
          <w:sz w:val="24"/>
          <w:highlight w:val="none"/>
          <w:u w:val="single"/>
        </w:rPr>
        <w:t>工程通过竣工验收并移交给发包人后，原由承包人按本条款约定应承担的风险责任，以及保险的责任、权利和义务同时转移给发包人(在缺陷责任期发生的、在缺陷责任期前的承包人原因造成的损失和损坏除外)。</w:t>
      </w:r>
      <w:bookmarkEnd w:id="293"/>
    </w:p>
    <w:p w14:paraId="7296F835">
      <w:pPr>
        <w:pStyle w:val="58"/>
        <w:spacing w:line="500" w:lineRule="exact"/>
        <w:outlineLvl w:val="2"/>
        <w:rPr>
          <w:rFonts w:ascii="宋体" w:hAnsi="宋体" w:cs="宋体"/>
          <w:sz w:val="24"/>
          <w:highlight w:val="none"/>
        </w:rPr>
      </w:pPr>
      <w:bookmarkStart w:id="294" w:name="_Toc140341005"/>
      <w:r>
        <w:rPr>
          <w:rFonts w:hint="eastAsia" w:ascii="宋体" w:hAnsi="宋体" w:cs="宋体"/>
          <w:sz w:val="24"/>
          <w:highlight w:val="none"/>
        </w:rPr>
        <w:t>24. 争议的解决</w:t>
      </w:r>
      <w:bookmarkEnd w:id="294"/>
    </w:p>
    <w:p w14:paraId="540DFFF2">
      <w:pPr>
        <w:pStyle w:val="58"/>
        <w:spacing w:line="500" w:lineRule="exact"/>
        <w:outlineLvl w:val="3"/>
        <w:rPr>
          <w:rFonts w:ascii="宋体" w:hAnsi="宋体" w:cs="宋体"/>
          <w:sz w:val="24"/>
          <w:highlight w:val="none"/>
        </w:rPr>
      </w:pPr>
      <w:r>
        <w:rPr>
          <w:rFonts w:hint="eastAsia" w:ascii="宋体" w:hAnsi="宋体" w:cs="宋体"/>
          <w:sz w:val="24"/>
          <w:highlight w:val="none"/>
        </w:rPr>
        <w:t>24.1 争议的解决方式</w:t>
      </w:r>
    </w:p>
    <w:p w14:paraId="24CF07F2">
      <w:pPr>
        <w:pStyle w:val="58"/>
        <w:spacing w:line="500" w:lineRule="exact"/>
        <w:ind w:firstLine="480"/>
        <w:rPr>
          <w:rFonts w:hint="eastAsia" w:ascii="宋体" w:hAnsi="宋体" w:cs="宋体"/>
          <w:sz w:val="24"/>
          <w:highlight w:val="none"/>
          <w:u w:val="single"/>
        </w:rPr>
      </w:pPr>
      <w:r>
        <w:rPr>
          <w:rFonts w:hint="eastAsia" w:ascii="宋体" w:hAnsi="宋体" w:cs="宋体"/>
          <w:sz w:val="24"/>
          <w:highlight w:val="none"/>
        </w:rPr>
        <w:t>合同当事人友好协商解决不成、不愿提请争议评审或不接受争议评审组意见的，约定的合同争议解决方式：</w:t>
      </w:r>
      <w:r>
        <w:rPr>
          <w:rFonts w:hint="eastAsia" w:ascii="宋体" w:hAnsi="宋体" w:cs="宋体"/>
          <w:sz w:val="24"/>
          <w:highlight w:val="none"/>
          <w:u w:val="single"/>
        </w:rPr>
        <w:t>合同当事人友好协商解决，协商不成的，向工程所在地人民法院提起诉讼。</w:t>
      </w:r>
    </w:p>
    <w:p w14:paraId="70E51528">
      <w:pPr>
        <w:pStyle w:val="58"/>
        <w:numPr>
          <w:ilvl w:val="0"/>
          <w:numId w:val="7"/>
        </w:numPr>
        <w:spacing w:line="500" w:lineRule="exact"/>
        <w:rPr>
          <w:rFonts w:hint="eastAsia" w:ascii="宋体" w:hAnsi="宋体" w:cs="宋体"/>
          <w:sz w:val="24"/>
          <w:highlight w:val="none"/>
        </w:rPr>
      </w:pPr>
      <w:r>
        <w:rPr>
          <w:rFonts w:hint="eastAsia" w:ascii="宋体" w:hAnsi="宋体" w:cs="宋体"/>
          <w:sz w:val="24"/>
          <w:highlight w:val="none"/>
        </w:rPr>
        <w:t>增加条款：</w:t>
      </w:r>
    </w:p>
    <w:p w14:paraId="7FAE060C">
      <w:pPr>
        <w:pStyle w:val="58"/>
        <w:spacing w:line="500" w:lineRule="exact"/>
        <w:rPr>
          <w:rFonts w:hint="eastAsia" w:ascii="宋体" w:hAnsi="宋体" w:cs="宋体"/>
          <w:sz w:val="24"/>
          <w:highlight w:val="none"/>
          <w:u w:val="single"/>
        </w:rPr>
      </w:pPr>
      <w:r>
        <w:rPr>
          <w:rFonts w:hint="eastAsia" w:ascii="宋体" w:hAnsi="宋体" w:cs="宋体"/>
          <w:sz w:val="24"/>
          <w:highlight w:val="none"/>
          <w:u w:val="single"/>
        </w:rPr>
        <w:t>25.1质量管理</w:t>
      </w:r>
    </w:p>
    <w:p w14:paraId="484D0D62">
      <w:pPr>
        <w:pStyle w:val="58"/>
        <w:spacing w:line="500" w:lineRule="exact"/>
        <w:ind w:firstLine="480"/>
        <w:rPr>
          <w:rFonts w:hint="eastAsia" w:ascii="宋体" w:hAnsi="宋体" w:cs="宋体"/>
          <w:sz w:val="24"/>
          <w:highlight w:val="none"/>
          <w:u w:val="single"/>
        </w:rPr>
      </w:pPr>
      <w:r>
        <w:rPr>
          <w:rFonts w:hint="eastAsia" w:ascii="宋体" w:hAnsi="宋体" w:cs="宋体"/>
          <w:sz w:val="24"/>
          <w:highlight w:val="none"/>
          <w:u w:val="single"/>
        </w:rPr>
        <w:t>具体执行发包人质量管理制度</w:t>
      </w:r>
    </w:p>
    <w:p w14:paraId="09190F0A">
      <w:pPr>
        <w:pStyle w:val="58"/>
        <w:spacing w:line="500" w:lineRule="exact"/>
        <w:rPr>
          <w:rFonts w:hint="eastAsia" w:ascii="宋体" w:hAnsi="宋体" w:cs="宋体"/>
          <w:sz w:val="24"/>
          <w:highlight w:val="none"/>
          <w:u w:val="single"/>
        </w:rPr>
      </w:pPr>
      <w:r>
        <w:rPr>
          <w:rFonts w:hint="eastAsia" w:ascii="宋体" w:hAnsi="宋体" w:cs="宋体"/>
          <w:sz w:val="24"/>
          <w:highlight w:val="none"/>
          <w:u w:val="single"/>
        </w:rPr>
        <w:t>25.2资料整编</w:t>
      </w:r>
    </w:p>
    <w:p w14:paraId="21C3B489">
      <w:pPr>
        <w:pStyle w:val="58"/>
        <w:spacing w:line="500" w:lineRule="exact"/>
        <w:ind w:firstLine="480"/>
        <w:rPr>
          <w:rFonts w:hint="eastAsia" w:ascii="宋体" w:hAnsi="宋体" w:cs="宋体"/>
          <w:sz w:val="24"/>
          <w:highlight w:val="none"/>
          <w:u w:val="single"/>
        </w:rPr>
      </w:pPr>
      <w:r>
        <w:rPr>
          <w:rFonts w:hint="eastAsia" w:ascii="宋体" w:hAnsi="宋体" w:cs="宋体"/>
          <w:sz w:val="24"/>
          <w:highlight w:val="none"/>
          <w:u w:val="single"/>
        </w:rPr>
        <w:t>工程档案资料的整理严格按照现行工程有关档案管理规定执行。在施工过程中若发现工程资料与实际不符，视情节严重程度，每发现一次罚款500-1000元。　　　　</w:t>
      </w:r>
    </w:p>
    <w:p w14:paraId="19439716">
      <w:pPr>
        <w:pStyle w:val="58"/>
        <w:jc w:val="center"/>
        <w:outlineLvl w:val="1"/>
        <w:rPr>
          <w:rFonts w:ascii="宋体" w:hAnsi="宋体"/>
          <w:sz w:val="32"/>
          <w:szCs w:val="32"/>
          <w:highlight w:val="none"/>
        </w:rPr>
      </w:pPr>
      <w:r>
        <w:rPr>
          <w:rFonts w:ascii="宋体" w:hAnsi="宋体"/>
          <w:sz w:val="32"/>
          <w:szCs w:val="32"/>
          <w:highlight w:val="none"/>
        </w:rPr>
        <w:br w:type="page"/>
      </w:r>
      <w:bookmarkStart w:id="295" w:name="_Toc140341006"/>
      <w:r>
        <w:rPr>
          <w:rFonts w:ascii="宋体" w:hAnsi="宋体"/>
          <w:sz w:val="24"/>
          <w:highlight w:val="none"/>
        </w:rPr>
        <w:t>第3节　合同附件格式</w:t>
      </w:r>
      <w:bookmarkEnd w:id="295"/>
    </w:p>
    <w:p w14:paraId="555CB6B4">
      <w:pPr>
        <w:pStyle w:val="58"/>
        <w:outlineLvl w:val="2"/>
        <w:rPr>
          <w:sz w:val="24"/>
          <w:highlight w:val="none"/>
        </w:rPr>
      </w:pPr>
      <w:bookmarkStart w:id="296" w:name="_Toc140341007"/>
      <w:r>
        <w:rPr>
          <w:rFonts w:hint="eastAsia"/>
          <w:sz w:val="24"/>
          <w:highlight w:val="none"/>
        </w:rPr>
        <w:t>附件一：</w:t>
      </w:r>
      <w:r>
        <w:rPr>
          <w:rFonts w:hint="eastAsia" w:ascii="宋体" w:hAnsi="宋体"/>
          <w:sz w:val="24"/>
          <w:highlight w:val="none"/>
        </w:rPr>
        <w:t>合同协议书</w:t>
      </w:r>
      <w:bookmarkEnd w:id="296"/>
    </w:p>
    <w:p w14:paraId="08C339D2">
      <w:pPr>
        <w:pStyle w:val="58"/>
        <w:jc w:val="center"/>
        <w:rPr>
          <w:rFonts w:ascii="宋体" w:hAnsi="宋体" w:cs="宋体"/>
          <w:bCs/>
          <w:sz w:val="24"/>
          <w:highlight w:val="none"/>
        </w:rPr>
      </w:pPr>
      <w:r>
        <w:rPr>
          <w:rFonts w:hint="eastAsia" w:ascii="宋体" w:hAnsi="宋体" w:cs="宋体"/>
          <w:bCs/>
          <w:sz w:val="24"/>
          <w:highlight w:val="none"/>
        </w:rPr>
        <w:t>合同协议书</w:t>
      </w:r>
    </w:p>
    <w:p w14:paraId="49EE343A">
      <w:pPr>
        <w:pStyle w:val="58"/>
        <w:spacing w:line="500" w:lineRule="exact"/>
        <w:rPr>
          <w:rFonts w:ascii="宋体" w:hAnsi="宋体" w:cs="宋体"/>
          <w:sz w:val="24"/>
          <w:highlight w:val="none"/>
        </w:rPr>
      </w:pPr>
      <w:r>
        <w:rPr>
          <w:rFonts w:hint="eastAsia" w:ascii="宋体" w:hAnsi="宋体" w:cs="宋体"/>
          <w:highlight w:val="none"/>
        </w:rPr>
        <w:t>　　</w:t>
      </w:r>
      <w:r>
        <w:rPr>
          <w:rFonts w:hint="eastAsia" w:ascii="宋体" w:hAnsi="宋体" w:cs="宋体"/>
          <w:sz w:val="24"/>
          <w:highlight w:val="none"/>
          <w:u w:val="single"/>
        </w:rPr>
        <w:t xml:space="preserve">　　　  </w:t>
      </w:r>
      <w:r>
        <w:rPr>
          <w:rFonts w:hint="eastAsia" w:ascii="宋体" w:hAnsi="宋体" w:cs="宋体"/>
          <w:sz w:val="24"/>
          <w:highlight w:val="none"/>
        </w:rPr>
        <w:t>(发包人名称，以下简称“发包人”)为实施</w:t>
      </w:r>
      <w:r>
        <w:rPr>
          <w:rFonts w:hint="eastAsia" w:ascii="宋体" w:hAnsi="宋体" w:cs="宋体"/>
          <w:sz w:val="24"/>
          <w:highlight w:val="none"/>
          <w:u w:val="single"/>
        </w:rPr>
        <w:t>　　　　　　　　　　</w:t>
      </w:r>
      <w:r>
        <w:rPr>
          <w:rFonts w:hint="eastAsia" w:ascii="宋体" w:hAnsi="宋体" w:cs="宋体"/>
          <w:sz w:val="24"/>
          <w:highlight w:val="none"/>
        </w:rPr>
        <w:t>(项目名称)，已接受</w:t>
      </w:r>
      <w:r>
        <w:rPr>
          <w:rFonts w:hint="eastAsia" w:ascii="宋体" w:hAnsi="宋体" w:cs="宋体"/>
          <w:sz w:val="24"/>
          <w:highlight w:val="none"/>
          <w:u w:val="single"/>
        </w:rPr>
        <w:t>　　　　　</w:t>
      </w:r>
      <w:r>
        <w:rPr>
          <w:rFonts w:hint="eastAsia" w:ascii="宋体" w:hAnsi="宋体" w:cs="宋体"/>
          <w:sz w:val="24"/>
          <w:highlight w:val="none"/>
        </w:rPr>
        <w:t>(承包人名称，以下简称“承包人”)</w:t>
      </w:r>
      <w:r>
        <w:rPr>
          <w:rFonts w:hint="eastAsia" w:ascii="宋体" w:hAnsi="宋体" w:cs="宋体"/>
          <w:sz w:val="24"/>
          <w:highlight w:val="none"/>
          <w:u w:val="single"/>
        </w:rPr>
        <w:t>　　　　</w:t>
      </w:r>
      <w:r>
        <w:rPr>
          <w:rFonts w:hint="eastAsia" w:ascii="宋体" w:hAnsi="宋体" w:cs="宋体"/>
          <w:sz w:val="24"/>
          <w:highlight w:val="none"/>
        </w:rPr>
        <w:t>对(项目名称)</w:t>
      </w:r>
      <w:r>
        <w:rPr>
          <w:rFonts w:hint="eastAsia" w:ascii="宋体" w:hAnsi="宋体" w:cs="宋体"/>
          <w:sz w:val="24"/>
          <w:highlight w:val="none"/>
          <w:u w:val="single"/>
        </w:rPr>
        <w:t>　　</w:t>
      </w:r>
      <w:r>
        <w:rPr>
          <w:rFonts w:hint="eastAsia" w:ascii="宋体" w:hAnsi="宋体" w:cs="宋体"/>
          <w:sz w:val="24"/>
          <w:highlight w:val="none"/>
        </w:rPr>
        <w:t>(标段名称)的投标，并确定其为中标人。发包人和承包人共同达成如下协议。</w:t>
      </w:r>
    </w:p>
    <w:p w14:paraId="1462695B">
      <w:pPr>
        <w:pStyle w:val="58"/>
        <w:spacing w:line="500" w:lineRule="exact"/>
        <w:rPr>
          <w:rFonts w:ascii="宋体" w:hAnsi="宋体" w:cs="宋体"/>
          <w:sz w:val="24"/>
          <w:highlight w:val="none"/>
        </w:rPr>
      </w:pPr>
      <w:r>
        <w:rPr>
          <w:rFonts w:hint="eastAsia" w:ascii="宋体" w:hAnsi="宋体" w:cs="宋体"/>
          <w:highlight w:val="none"/>
        </w:rPr>
        <w:t xml:space="preserve">　 </w:t>
      </w:r>
      <w:r>
        <w:rPr>
          <w:rFonts w:hint="eastAsia" w:ascii="宋体" w:hAnsi="宋体" w:cs="宋体"/>
          <w:sz w:val="24"/>
          <w:highlight w:val="none"/>
        </w:rPr>
        <w:t>1.本协议书与下列文件一起构成合同文件：</w:t>
      </w:r>
    </w:p>
    <w:p w14:paraId="51D7879F">
      <w:pPr>
        <w:pStyle w:val="58"/>
        <w:spacing w:line="500" w:lineRule="exact"/>
        <w:rPr>
          <w:rFonts w:ascii="宋体" w:hAnsi="宋体" w:cs="宋体"/>
          <w:sz w:val="24"/>
          <w:highlight w:val="none"/>
        </w:rPr>
      </w:pPr>
      <w:r>
        <w:rPr>
          <w:rFonts w:hint="eastAsia" w:ascii="宋体" w:hAnsi="宋体" w:cs="宋体"/>
          <w:sz w:val="24"/>
          <w:highlight w:val="none"/>
        </w:rPr>
        <w:t>　　(1)中标通知书；</w:t>
      </w:r>
    </w:p>
    <w:p w14:paraId="12AF13B3">
      <w:pPr>
        <w:pStyle w:val="58"/>
        <w:spacing w:line="500" w:lineRule="exact"/>
        <w:rPr>
          <w:rFonts w:ascii="宋体" w:hAnsi="宋体" w:cs="宋体"/>
          <w:sz w:val="24"/>
          <w:highlight w:val="none"/>
        </w:rPr>
      </w:pPr>
      <w:r>
        <w:rPr>
          <w:rFonts w:hint="eastAsia" w:ascii="宋体" w:hAnsi="宋体" w:cs="宋体"/>
          <w:sz w:val="24"/>
          <w:highlight w:val="none"/>
        </w:rPr>
        <w:t>　　(2)投标函及投标函附录；</w:t>
      </w:r>
    </w:p>
    <w:p w14:paraId="6A485DA5">
      <w:pPr>
        <w:pStyle w:val="58"/>
        <w:spacing w:line="500" w:lineRule="exact"/>
        <w:rPr>
          <w:rFonts w:ascii="宋体" w:hAnsi="宋体" w:cs="宋体"/>
          <w:sz w:val="24"/>
          <w:highlight w:val="none"/>
        </w:rPr>
      </w:pPr>
      <w:r>
        <w:rPr>
          <w:rFonts w:hint="eastAsia" w:ascii="宋体" w:hAnsi="宋体" w:cs="宋体"/>
          <w:sz w:val="24"/>
          <w:highlight w:val="none"/>
        </w:rPr>
        <w:t>　　(3)专用合同条款；</w:t>
      </w:r>
    </w:p>
    <w:p w14:paraId="45D3D3D9">
      <w:pPr>
        <w:pStyle w:val="58"/>
        <w:spacing w:line="500" w:lineRule="exact"/>
        <w:rPr>
          <w:rFonts w:ascii="宋体" w:hAnsi="宋体" w:cs="宋体"/>
          <w:sz w:val="24"/>
          <w:highlight w:val="none"/>
        </w:rPr>
      </w:pPr>
      <w:r>
        <w:rPr>
          <w:rFonts w:hint="eastAsia" w:ascii="宋体" w:hAnsi="宋体" w:cs="宋体"/>
          <w:sz w:val="24"/>
          <w:highlight w:val="none"/>
        </w:rPr>
        <w:t>　　(4)通用合同条款；</w:t>
      </w:r>
    </w:p>
    <w:p w14:paraId="18F68BAE">
      <w:pPr>
        <w:pStyle w:val="58"/>
        <w:spacing w:line="500" w:lineRule="exact"/>
        <w:rPr>
          <w:rFonts w:ascii="宋体" w:hAnsi="宋体" w:cs="宋体"/>
          <w:sz w:val="24"/>
          <w:highlight w:val="none"/>
        </w:rPr>
      </w:pPr>
      <w:r>
        <w:rPr>
          <w:rFonts w:hint="eastAsia" w:ascii="宋体" w:hAnsi="宋体" w:cs="宋体"/>
          <w:sz w:val="24"/>
          <w:highlight w:val="none"/>
        </w:rPr>
        <w:t>　　(5)技术标准和要求(合同技术条款)；</w:t>
      </w:r>
    </w:p>
    <w:p w14:paraId="08CD9CFB">
      <w:pPr>
        <w:pStyle w:val="58"/>
        <w:spacing w:line="500" w:lineRule="exact"/>
        <w:rPr>
          <w:rFonts w:ascii="宋体" w:hAnsi="宋体" w:cs="宋体"/>
          <w:sz w:val="24"/>
          <w:highlight w:val="none"/>
        </w:rPr>
      </w:pPr>
      <w:r>
        <w:rPr>
          <w:rFonts w:hint="eastAsia" w:ascii="宋体" w:hAnsi="宋体" w:cs="宋体"/>
          <w:sz w:val="24"/>
          <w:highlight w:val="none"/>
        </w:rPr>
        <w:t>　　(6)图纸；</w:t>
      </w:r>
    </w:p>
    <w:p w14:paraId="6472D83E">
      <w:pPr>
        <w:pStyle w:val="58"/>
        <w:spacing w:line="500" w:lineRule="exact"/>
        <w:rPr>
          <w:rFonts w:ascii="宋体" w:hAnsi="宋体" w:cs="宋体"/>
          <w:sz w:val="24"/>
          <w:highlight w:val="none"/>
        </w:rPr>
      </w:pPr>
      <w:r>
        <w:rPr>
          <w:rFonts w:hint="eastAsia" w:ascii="宋体" w:hAnsi="宋体" w:cs="宋体"/>
          <w:sz w:val="24"/>
          <w:highlight w:val="none"/>
        </w:rPr>
        <w:t>　　(7)已标价工程量清单；</w:t>
      </w:r>
    </w:p>
    <w:p w14:paraId="13870EB2">
      <w:pPr>
        <w:pStyle w:val="58"/>
        <w:spacing w:line="500" w:lineRule="exact"/>
        <w:rPr>
          <w:rFonts w:ascii="宋体" w:hAnsi="宋体" w:cs="宋体"/>
          <w:sz w:val="24"/>
          <w:highlight w:val="none"/>
        </w:rPr>
      </w:pPr>
      <w:r>
        <w:rPr>
          <w:rFonts w:hint="eastAsia" w:ascii="宋体" w:hAnsi="宋体" w:cs="宋体"/>
          <w:sz w:val="24"/>
          <w:highlight w:val="none"/>
        </w:rPr>
        <w:t>　　(8)其它合同文件。</w:t>
      </w:r>
    </w:p>
    <w:p w14:paraId="7080DAD5">
      <w:pPr>
        <w:pStyle w:val="58"/>
        <w:spacing w:line="500" w:lineRule="exact"/>
        <w:rPr>
          <w:rFonts w:ascii="宋体" w:hAnsi="宋体" w:cs="宋体"/>
          <w:sz w:val="24"/>
          <w:highlight w:val="none"/>
        </w:rPr>
      </w:pPr>
      <w:r>
        <w:rPr>
          <w:rFonts w:hint="eastAsia" w:ascii="宋体" w:hAnsi="宋体" w:cs="宋体"/>
          <w:sz w:val="24"/>
          <w:highlight w:val="none"/>
        </w:rPr>
        <w:t>　 2.上述文件互相补充和解释，如有不明确或不一致之处，以合同约定次序在先者为准。</w:t>
      </w:r>
    </w:p>
    <w:p w14:paraId="684885B2">
      <w:pPr>
        <w:pStyle w:val="58"/>
        <w:spacing w:line="500" w:lineRule="exact"/>
        <w:rPr>
          <w:rFonts w:ascii="宋体" w:hAnsi="宋体" w:cs="宋体"/>
          <w:sz w:val="24"/>
          <w:highlight w:val="none"/>
        </w:rPr>
      </w:pPr>
      <w:r>
        <w:rPr>
          <w:rFonts w:hint="eastAsia" w:ascii="宋体" w:hAnsi="宋体" w:cs="宋体"/>
          <w:highlight w:val="none"/>
        </w:rPr>
        <w:t xml:space="preserve">　 </w:t>
      </w:r>
      <w:r>
        <w:rPr>
          <w:rFonts w:hint="eastAsia" w:ascii="宋体" w:hAnsi="宋体" w:cs="宋体"/>
          <w:sz w:val="24"/>
          <w:highlight w:val="none"/>
        </w:rPr>
        <w:t>3.签约合同价：人民币(大写)　　　　　元(￥　　　　　元)。</w:t>
      </w:r>
    </w:p>
    <w:p w14:paraId="166A605D">
      <w:pPr>
        <w:pStyle w:val="58"/>
        <w:spacing w:line="500" w:lineRule="exact"/>
        <w:rPr>
          <w:rFonts w:ascii="宋体" w:hAnsi="宋体" w:cs="宋体"/>
          <w:sz w:val="24"/>
          <w:highlight w:val="none"/>
        </w:rPr>
      </w:pPr>
      <w:r>
        <w:rPr>
          <w:rFonts w:hint="eastAsia" w:ascii="宋体" w:hAnsi="宋体" w:cs="宋体"/>
          <w:sz w:val="24"/>
          <w:highlight w:val="none"/>
        </w:rPr>
        <w:t>　 4.承包人项目经理：　　　　。</w:t>
      </w:r>
    </w:p>
    <w:p w14:paraId="71EA8F9C">
      <w:pPr>
        <w:pStyle w:val="58"/>
        <w:spacing w:line="500" w:lineRule="exact"/>
        <w:rPr>
          <w:rFonts w:ascii="宋体" w:hAnsi="宋体" w:cs="宋体"/>
          <w:sz w:val="24"/>
          <w:highlight w:val="none"/>
        </w:rPr>
      </w:pPr>
      <w:r>
        <w:rPr>
          <w:rFonts w:hint="eastAsia" w:ascii="宋体" w:hAnsi="宋体" w:cs="宋体"/>
          <w:sz w:val="24"/>
          <w:highlight w:val="none"/>
        </w:rPr>
        <w:t>　 5.工程质量符合　　　　标准。</w:t>
      </w:r>
    </w:p>
    <w:p w14:paraId="4ECA738C">
      <w:pPr>
        <w:pStyle w:val="58"/>
        <w:spacing w:line="500" w:lineRule="exact"/>
        <w:rPr>
          <w:rFonts w:ascii="宋体" w:hAnsi="宋体" w:cs="宋体"/>
          <w:sz w:val="24"/>
          <w:highlight w:val="none"/>
        </w:rPr>
      </w:pPr>
      <w:r>
        <w:rPr>
          <w:rFonts w:hint="eastAsia" w:ascii="宋体" w:hAnsi="宋体" w:cs="宋体"/>
          <w:sz w:val="24"/>
          <w:highlight w:val="none"/>
        </w:rPr>
        <w:t>　 6.承包人承诺按合同约定承担工程的实施、完成及缺陷修复。</w:t>
      </w:r>
    </w:p>
    <w:p w14:paraId="3D24D748">
      <w:pPr>
        <w:pStyle w:val="58"/>
        <w:spacing w:line="500" w:lineRule="exact"/>
        <w:rPr>
          <w:rFonts w:ascii="宋体" w:hAnsi="宋体" w:cs="宋体"/>
          <w:sz w:val="24"/>
          <w:highlight w:val="none"/>
        </w:rPr>
      </w:pPr>
      <w:r>
        <w:rPr>
          <w:rFonts w:hint="eastAsia" w:ascii="宋体" w:hAnsi="宋体" w:cs="宋体"/>
          <w:sz w:val="24"/>
          <w:highlight w:val="none"/>
        </w:rPr>
        <w:t>　 7.发包人承诺按合同约定的条件、时间和方式向承包人支付合同价款。</w:t>
      </w:r>
    </w:p>
    <w:p w14:paraId="26D3AC7C">
      <w:pPr>
        <w:pStyle w:val="58"/>
        <w:spacing w:line="500" w:lineRule="exact"/>
        <w:rPr>
          <w:rFonts w:ascii="宋体" w:hAnsi="宋体" w:cs="宋体"/>
          <w:sz w:val="24"/>
          <w:highlight w:val="none"/>
        </w:rPr>
      </w:pPr>
      <w:r>
        <w:rPr>
          <w:rFonts w:hint="eastAsia" w:ascii="宋体" w:hAnsi="宋体" w:cs="宋体"/>
          <w:sz w:val="24"/>
          <w:highlight w:val="none"/>
        </w:rPr>
        <w:t>　 8.承包人承诺执行监理人开工通知，计划工期为　　　天。</w:t>
      </w:r>
    </w:p>
    <w:p w14:paraId="0BB7A1FE">
      <w:pPr>
        <w:pStyle w:val="58"/>
        <w:spacing w:line="500" w:lineRule="exact"/>
        <w:rPr>
          <w:rFonts w:ascii="宋体" w:hAnsi="宋体" w:cs="宋体"/>
          <w:sz w:val="24"/>
          <w:highlight w:val="none"/>
        </w:rPr>
      </w:pPr>
      <w:r>
        <w:rPr>
          <w:rFonts w:hint="eastAsia" w:ascii="宋体" w:hAnsi="宋体" w:cs="宋体"/>
          <w:sz w:val="24"/>
          <w:highlight w:val="none"/>
        </w:rPr>
        <w:t>　　9.本协议书一式　　份，合同双方各执一份。</w:t>
      </w:r>
    </w:p>
    <w:p w14:paraId="688B61FC">
      <w:pPr>
        <w:pStyle w:val="58"/>
        <w:spacing w:line="500" w:lineRule="exact"/>
        <w:rPr>
          <w:rFonts w:ascii="宋体" w:hAnsi="宋体" w:cs="宋体"/>
          <w:sz w:val="24"/>
          <w:highlight w:val="none"/>
        </w:rPr>
      </w:pPr>
      <w:r>
        <w:rPr>
          <w:rFonts w:hint="eastAsia" w:ascii="宋体" w:hAnsi="宋体" w:cs="宋体"/>
          <w:sz w:val="24"/>
          <w:highlight w:val="none"/>
        </w:rPr>
        <w:t>　　10.合同未尽事宜，双方另行签订补充协议。补充协议是合同的组成部分。</w:t>
      </w:r>
    </w:p>
    <w:p w14:paraId="57BE7519">
      <w:pPr>
        <w:pStyle w:val="58"/>
        <w:spacing w:line="500" w:lineRule="exact"/>
        <w:rPr>
          <w:rFonts w:ascii="宋体" w:hAnsi="宋体" w:cs="宋体"/>
          <w:sz w:val="24"/>
          <w:highlight w:val="none"/>
        </w:rPr>
      </w:pPr>
      <w:r>
        <w:rPr>
          <w:rFonts w:hint="eastAsia" w:ascii="宋体" w:hAnsi="宋体" w:cs="宋体"/>
          <w:sz w:val="24"/>
          <w:highlight w:val="none"/>
        </w:rPr>
        <w:t>发包人：　　　　(盖单位章)　　　承包人：　　　　　(盖单位章)</w:t>
      </w:r>
    </w:p>
    <w:p w14:paraId="751521FA">
      <w:pPr>
        <w:pStyle w:val="58"/>
        <w:spacing w:line="500" w:lineRule="exact"/>
        <w:rPr>
          <w:rFonts w:ascii="宋体" w:hAnsi="宋体" w:cs="宋体"/>
          <w:sz w:val="24"/>
          <w:highlight w:val="none"/>
        </w:rPr>
      </w:pPr>
      <w:r>
        <w:rPr>
          <w:rFonts w:hint="eastAsia" w:ascii="宋体" w:hAnsi="宋体" w:cs="宋体"/>
          <w:sz w:val="24"/>
          <w:highlight w:val="none"/>
        </w:rPr>
        <w:t>法定代表人或其委托代理人：　　(签字)　法定代表人或其委托代理人：　　　(签字)</w:t>
      </w:r>
    </w:p>
    <w:p w14:paraId="69ADC6A6">
      <w:pPr>
        <w:pStyle w:val="58"/>
        <w:spacing w:line="500" w:lineRule="exact"/>
        <w:rPr>
          <w:rFonts w:ascii="宋体" w:hAnsi="宋体" w:cs="宋体"/>
          <w:sz w:val="24"/>
          <w:highlight w:val="none"/>
        </w:rPr>
      </w:pPr>
      <w:r>
        <w:rPr>
          <w:rFonts w:hint="eastAsia" w:ascii="宋体" w:hAnsi="宋体" w:cs="宋体"/>
          <w:highlight w:val="none"/>
        </w:rPr>
        <w:t>　　　　　　　</w:t>
      </w:r>
      <w:r>
        <w:rPr>
          <w:rFonts w:hint="eastAsia" w:ascii="宋体" w:hAnsi="宋体" w:cs="宋体"/>
          <w:sz w:val="24"/>
          <w:highlight w:val="none"/>
        </w:rPr>
        <w:t>　年　　月　　日　　　　　　　　　　年　　月　　日</w:t>
      </w:r>
    </w:p>
    <w:p w14:paraId="71DEB11F">
      <w:pPr>
        <w:pStyle w:val="58"/>
        <w:rPr>
          <w:highlight w:val="none"/>
        </w:rPr>
      </w:pPr>
    </w:p>
    <w:p w14:paraId="51B48B01">
      <w:pPr>
        <w:pStyle w:val="58"/>
        <w:outlineLvl w:val="2"/>
        <w:rPr>
          <w:highlight w:val="none"/>
        </w:rPr>
      </w:pPr>
      <w:r>
        <w:rPr>
          <w:rFonts w:hint="eastAsia"/>
          <w:highlight w:val="none"/>
        </w:rPr>
        <w:br w:type="page"/>
      </w:r>
      <w:bookmarkStart w:id="297" w:name="_Toc140341008"/>
      <w:r>
        <w:rPr>
          <w:rFonts w:hint="eastAsia"/>
          <w:sz w:val="24"/>
          <w:highlight w:val="none"/>
        </w:rPr>
        <w:t>附件二：</w:t>
      </w:r>
      <w:r>
        <w:rPr>
          <w:rFonts w:hint="eastAsia" w:ascii="宋体" w:hAnsi="宋体"/>
          <w:sz w:val="24"/>
          <w:highlight w:val="none"/>
        </w:rPr>
        <w:t>履约担保</w:t>
      </w:r>
      <w:bookmarkEnd w:id="297"/>
    </w:p>
    <w:p w14:paraId="711D890F">
      <w:pPr>
        <w:pStyle w:val="58"/>
        <w:spacing w:line="500" w:lineRule="exact"/>
        <w:jc w:val="center"/>
        <w:rPr>
          <w:rFonts w:ascii="宋体" w:hAnsi="宋体" w:cs="宋体"/>
          <w:bCs/>
          <w:sz w:val="24"/>
          <w:highlight w:val="none"/>
        </w:rPr>
      </w:pPr>
      <w:r>
        <w:rPr>
          <w:rFonts w:hint="eastAsia" w:ascii="宋体" w:hAnsi="宋体" w:cs="宋体"/>
          <w:bCs/>
          <w:sz w:val="24"/>
          <w:highlight w:val="none"/>
        </w:rPr>
        <w:t>履约担保</w:t>
      </w:r>
    </w:p>
    <w:p w14:paraId="0C6C85F1">
      <w:pPr>
        <w:pStyle w:val="58"/>
        <w:spacing w:line="500" w:lineRule="exact"/>
        <w:jc w:val="left"/>
        <w:rPr>
          <w:rFonts w:ascii="宋体" w:hAnsi="宋体" w:cs="宋体"/>
          <w:sz w:val="24"/>
          <w:highlight w:val="none"/>
        </w:rPr>
      </w:pPr>
    </w:p>
    <w:p w14:paraId="7E1F60C3">
      <w:pPr>
        <w:pStyle w:val="58"/>
        <w:spacing w:line="500" w:lineRule="exact"/>
        <w:rPr>
          <w:rFonts w:ascii="宋体" w:hAnsi="宋体" w:cs="宋体"/>
          <w:sz w:val="24"/>
          <w:highlight w:val="none"/>
        </w:rPr>
      </w:pPr>
      <w:r>
        <w:rPr>
          <w:rFonts w:hint="eastAsia" w:ascii="宋体" w:hAnsi="宋体" w:cs="宋体"/>
          <w:sz w:val="24"/>
          <w:highlight w:val="none"/>
          <w:u w:val="single"/>
        </w:rPr>
        <w:t>　　　　</w:t>
      </w:r>
      <w:r>
        <w:rPr>
          <w:rFonts w:hint="eastAsia" w:ascii="宋体" w:hAnsi="宋体" w:cs="宋体"/>
          <w:sz w:val="24"/>
          <w:highlight w:val="none"/>
        </w:rPr>
        <w:t>(发包人名称)：</w:t>
      </w:r>
    </w:p>
    <w:p w14:paraId="735E8525">
      <w:pPr>
        <w:pStyle w:val="58"/>
        <w:spacing w:line="500" w:lineRule="exact"/>
        <w:rPr>
          <w:rFonts w:ascii="宋体" w:hAnsi="宋体" w:cs="宋体"/>
          <w:sz w:val="24"/>
          <w:highlight w:val="none"/>
        </w:rPr>
      </w:pPr>
      <w:r>
        <w:rPr>
          <w:rFonts w:hint="eastAsia" w:ascii="宋体" w:hAnsi="宋体" w:cs="宋体"/>
          <w:sz w:val="24"/>
          <w:highlight w:val="none"/>
        </w:rPr>
        <w:t>　　鉴于　　　　(发包人名称，以下简称“发包人”)已接受　　　　(承包人名称，以下简称“承包人”)于　　　　年　　月　　日递交的　　　　　(项目名称)　　　　(标段名称)的</w:t>
      </w:r>
      <w:r>
        <w:rPr>
          <w:rFonts w:hint="eastAsia" w:ascii="宋体" w:hAnsi="宋体" w:cs="宋体"/>
          <w:sz w:val="24"/>
          <w:highlight w:val="none"/>
          <w:lang w:eastAsia="zh-CN"/>
        </w:rPr>
        <w:t>响应文件</w:t>
      </w:r>
      <w:r>
        <w:rPr>
          <w:rFonts w:hint="eastAsia" w:ascii="宋体" w:hAnsi="宋体" w:cs="宋体"/>
          <w:sz w:val="24"/>
          <w:highlight w:val="none"/>
        </w:rPr>
        <w:t>。我方愿意无条件地、不可撤销地就承包人履行与你方订立的合同，向你方提供担保。</w:t>
      </w:r>
    </w:p>
    <w:p w14:paraId="375988B1">
      <w:pPr>
        <w:pStyle w:val="58"/>
        <w:spacing w:line="500" w:lineRule="exact"/>
        <w:rPr>
          <w:rFonts w:ascii="宋体" w:hAnsi="宋体" w:cs="宋体"/>
          <w:sz w:val="24"/>
          <w:highlight w:val="none"/>
        </w:rPr>
      </w:pPr>
      <w:r>
        <w:rPr>
          <w:rFonts w:hint="eastAsia" w:ascii="宋体" w:hAnsi="宋体" w:cs="宋体"/>
          <w:sz w:val="24"/>
          <w:highlight w:val="none"/>
        </w:rPr>
        <w:t>　　1.担保金额人民币(大写)　　　　　　元(￥　　　　　　元)。</w:t>
      </w:r>
    </w:p>
    <w:p w14:paraId="2DBFE012">
      <w:pPr>
        <w:pStyle w:val="58"/>
        <w:spacing w:line="500" w:lineRule="exact"/>
        <w:rPr>
          <w:rFonts w:ascii="宋体" w:hAnsi="宋体" w:cs="宋体"/>
          <w:sz w:val="24"/>
          <w:highlight w:val="none"/>
        </w:rPr>
      </w:pPr>
      <w:r>
        <w:rPr>
          <w:rFonts w:hint="eastAsia" w:ascii="宋体" w:hAnsi="宋体" w:cs="宋体"/>
          <w:sz w:val="24"/>
          <w:highlight w:val="none"/>
        </w:rPr>
        <w:t>　　2.担保有效期自发包人与承包人签订的合同生效之日起至发包人签发合同工程完工证书之日止。</w:t>
      </w:r>
    </w:p>
    <w:p w14:paraId="5A9B9488">
      <w:pPr>
        <w:pStyle w:val="58"/>
        <w:spacing w:line="500" w:lineRule="exact"/>
        <w:rPr>
          <w:rFonts w:ascii="宋体" w:hAnsi="宋体" w:cs="宋体"/>
          <w:sz w:val="24"/>
          <w:highlight w:val="none"/>
        </w:rPr>
      </w:pPr>
      <w:r>
        <w:rPr>
          <w:rFonts w:hint="eastAsia" w:ascii="宋体" w:hAnsi="宋体" w:cs="宋体"/>
          <w:sz w:val="24"/>
          <w:highlight w:val="none"/>
        </w:rPr>
        <w:t>　　3.在本担保有效期内，因承包人违反合同约定的义务给你方造成经济损失时，我方在收到你方以书面形式提出的在担保金额内的赔偿要求后，无条件地在7天内予以支付。</w:t>
      </w:r>
    </w:p>
    <w:p w14:paraId="4D3DE14B">
      <w:pPr>
        <w:pStyle w:val="58"/>
        <w:spacing w:line="500" w:lineRule="exact"/>
        <w:rPr>
          <w:rFonts w:ascii="宋体" w:hAnsi="宋体" w:cs="宋体"/>
          <w:sz w:val="24"/>
          <w:highlight w:val="none"/>
        </w:rPr>
      </w:pPr>
      <w:r>
        <w:rPr>
          <w:rFonts w:hint="eastAsia" w:ascii="宋体" w:hAnsi="宋体" w:cs="宋体"/>
          <w:sz w:val="24"/>
          <w:highlight w:val="none"/>
        </w:rPr>
        <w:t>　　4.发包人和承包人按《通用合同条款》第15条变更合同时，我方承担本担保规定的义务不变。</w:t>
      </w:r>
    </w:p>
    <w:p w14:paraId="4B84079D">
      <w:pPr>
        <w:pStyle w:val="58"/>
        <w:spacing w:line="500" w:lineRule="exact"/>
        <w:rPr>
          <w:rFonts w:ascii="宋体" w:hAnsi="宋体" w:cs="宋体"/>
          <w:sz w:val="24"/>
          <w:highlight w:val="none"/>
        </w:rPr>
      </w:pPr>
      <w:r>
        <w:rPr>
          <w:rFonts w:hint="eastAsia" w:ascii="宋体" w:hAnsi="宋体" w:cs="宋体"/>
          <w:sz w:val="24"/>
          <w:highlight w:val="none"/>
        </w:rPr>
        <w:t>　　　　　　　　　　　　　　　　　　担保人：　　　　　　　　　　　(盖单位章)</w:t>
      </w:r>
    </w:p>
    <w:p w14:paraId="5C4D22B9">
      <w:pPr>
        <w:pStyle w:val="58"/>
        <w:spacing w:line="500" w:lineRule="exact"/>
        <w:rPr>
          <w:rFonts w:ascii="宋体" w:hAnsi="宋体" w:cs="宋体"/>
          <w:sz w:val="24"/>
          <w:highlight w:val="none"/>
        </w:rPr>
      </w:pPr>
      <w:r>
        <w:rPr>
          <w:rFonts w:hint="eastAsia" w:ascii="宋体" w:hAnsi="宋体" w:cs="宋体"/>
          <w:sz w:val="24"/>
          <w:highlight w:val="none"/>
        </w:rPr>
        <w:t>　　　　　　　　　　　　　　　　　　法定代表人或其委托代理人：　　　　(签字)</w:t>
      </w:r>
    </w:p>
    <w:p w14:paraId="0264BE0F">
      <w:pPr>
        <w:pStyle w:val="58"/>
        <w:spacing w:line="500" w:lineRule="exact"/>
        <w:rPr>
          <w:rFonts w:ascii="宋体" w:hAnsi="宋体" w:cs="宋体"/>
          <w:sz w:val="24"/>
          <w:highlight w:val="none"/>
        </w:rPr>
      </w:pPr>
      <w:r>
        <w:rPr>
          <w:rFonts w:hint="eastAsia" w:ascii="宋体" w:hAnsi="宋体" w:cs="宋体"/>
          <w:sz w:val="24"/>
          <w:highlight w:val="none"/>
        </w:rPr>
        <w:t>　　　　　　　　　　　　　　　　　　　　　　　　地址：　　　　　　　　　　　　　　　　　</w:t>
      </w:r>
    </w:p>
    <w:p w14:paraId="224703A1">
      <w:pPr>
        <w:pStyle w:val="58"/>
        <w:spacing w:line="500" w:lineRule="exact"/>
        <w:rPr>
          <w:rFonts w:ascii="宋体" w:hAnsi="宋体" w:cs="宋体"/>
          <w:sz w:val="24"/>
          <w:highlight w:val="none"/>
        </w:rPr>
      </w:pPr>
      <w:r>
        <w:rPr>
          <w:rFonts w:hint="eastAsia" w:ascii="宋体" w:hAnsi="宋体" w:cs="宋体"/>
          <w:sz w:val="24"/>
          <w:highlight w:val="none"/>
        </w:rPr>
        <w:t>　　　　　　　　　　　　　　　　　　　　　　　　邮政编码：　　　　　　　　　　　　　　　</w:t>
      </w:r>
    </w:p>
    <w:p w14:paraId="59683BCB">
      <w:pPr>
        <w:pStyle w:val="58"/>
        <w:spacing w:line="500" w:lineRule="exact"/>
        <w:rPr>
          <w:rFonts w:ascii="宋体" w:hAnsi="宋体" w:cs="宋体"/>
          <w:sz w:val="24"/>
          <w:highlight w:val="none"/>
        </w:rPr>
      </w:pPr>
      <w:r>
        <w:rPr>
          <w:rFonts w:hint="eastAsia" w:ascii="宋体" w:hAnsi="宋体" w:cs="宋体"/>
          <w:sz w:val="24"/>
          <w:highlight w:val="none"/>
        </w:rPr>
        <w:t>　　　　　　　　　　　　　　　　　　　　　　　　电话：　　　　　　　　　　　　　　　　　</w:t>
      </w:r>
    </w:p>
    <w:p w14:paraId="433BC176">
      <w:pPr>
        <w:pStyle w:val="58"/>
        <w:spacing w:line="500" w:lineRule="exact"/>
        <w:rPr>
          <w:rFonts w:ascii="宋体" w:hAnsi="宋体" w:cs="宋体"/>
          <w:sz w:val="24"/>
          <w:highlight w:val="none"/>
        </w:rPr>
      </w:pPr>
      <w:r>
        <w:rPr>
          <w:rFonts w:hint="eastAsia" w:ascii="宋体" w:hAnsi="宋体" w:cs="宋体"/>
          <w:sz w:val="24"/>
          <w:highlight w:val="none"/>
        </w:rPr>
        <w:t>　　　　　　　　　　　　　　　　　　　　　　　　传真：　　　　　　　　　　　　　　　　　</w:t>
      </w:r>
    </w:p>
    <w:p w14:paraId="7674B23E">
      <w:pPr>
        <w:pStyle w:val="58"/>
        <w:spacing w:line="500" w:lineRule="exact"/>
        <w:rPr>
          <w:rFonts w:ascii="宋体" w:hAnsi="宋体" w:cs="宋体"/>
          <w:sz w:val="24"/>
          <w:highlight w:val="none"/>
        </w:rPr>
      </w:pPr>
      <w:r>
        <w:rPr>
          <w:rFonts w:hint="eastAsia" w:ascii="宋体" w:hAnsi="宋体" w:cs="宋体"/>
          <w:sz w:val="24"/>
          <w:highlight w:val="none"/>
        </w:rPr>
        <w:t>　　　　　　　　　　　　　　　　　　　　　　　　　　　　　　　年　　月　　日</w:t>
      </w:r>
    </w:p>
    <w:p w14:paraId="1D93C3A9">
      <w:pPr>
        <w:pStyle w:val="58"/>
        <w:spacing w:line="500" w:lineRule="exact"/>
        <w:rPr>
          <w:rFonts w:ascii="宋体" w:hAnsi="宋体" w:cs="宋体"/>
          <w:sz w:val="24"/>
          <w:highlight w:val="none"/>
        </w:rPr>
      </w:pPr>
    </w:p>
    <w:p w14:paraId="516DC310">
      <w:pPr>
        <w:pStyle w:val="58"/>
        <w:spacing w:line="500" w:lineRule="exact"/>
        <w:rPr>
          <w:rFonts w:ascii="宋体" w:hAnsi="宋体" w:cs="宋体"/>
          <w:sz w:val="24"/>
          <w:highlight w:val="none"/>
        </w:rPr>
      </w:pPr>
      <w:r>
        <w:rPr>
          <w:rFonts w:hint="eastAsia" w:ascii="宋体" w:hAnsi="宋体" w:cs="宋体"/>
          <w:sz w:val="24"/>
          <w:highlight w:val="none"/>
        </w:rPr>
        <w:t>　　注：委托代理人应附授权委托书。</w:t>
      </w:r>
    </w:p>
    <w:p w14:paraId="14A1DF81">
      <w:pPr>
        <w:rPr>
          <w:rFonts w:hint="eastAsia" w:ascii="宋体" w:hAnsi="宋体" w:cs="宋体"/>
          <w:sz w:val="24"/>
          <w:highlight w:val="none"/>
        </w:rPr>
      </w:pPr>
      <w:bookmarkStart w:id="298" w:name="_Toc140341009"/>
      <w:r>
        <w:rPr>
          <w:rFonts w:hint="eastAsia" w:ascii="宋体" w:hAnsi="宋体" w:cs="宋体"/>
          <w:sz w:val="24"/>
          <w:highlight w:val="none"/>
        </w:rPr>
        <w:br w:type="page"/>
      </w:r>
    </w:p>
    <w:p w14:paraId="3B257B45">
      <w:pPr>
        <w:pStyle w:val="58"/>
        <w:outlineLvl w:val="2"/>
        <w:rPr>
          <w:rFonts w:ascii="宋体" w:hAnsi="宋体" w:cs="宋体"/>
          <w:sz w:val="24"/>
          <w:highlight w:val="none"/>
        </w:rPr>
      </w:pPr>
      <w:r>
        <w:rPr>
          <w:rFonts w:hint="eastAsia" w:ascii="宋体" w:hAnsi="宋体" w:cs="宋体"/>
          <w:sz w:val="24"/>
          <w:highlight w:val="none"/>
        </w:rPr>
        <w:t>附件三：预付款担保函</w:t>
      </w:r>
      <w:bookmarkEnd w:id="298"/>
    </w:p>
    <w:p w14:paraId="22AD2C80">
      <w:pPr>
        <w:pStyle w:val="58"/>
        <w:rPr>
          <w:rFonts w:ascii="宋体" w:hAnsi="宋体" w:cs="宋体"/>
          <w:sz w:val="24"/>
          <w:highlight w:val="none"/>
        </w:rPr>
      </w:pPr>
    </w:p>
    <w:p w14:paraId="7E5AC29E">
      <w:pPr>
        <w:pStyle w:val="58"/>
        <w:jc w:val="center"/>
        <w:rPr>
          <w:rFonts w:ascii="宋体" w:hAnsi="宋体" w:cs="宋体"/>
          <w:sz w:val="24"/>
          <w:highlight w:val="none"/>
        </w:rPr>
      </w:pPr>
      <w:r>
        <w:rPr>
          <w:rFonts w:hint="eastAsia" w:ascii="宋体" w:hAnsi="宋体" w:cs="宋体"/>
          <w:sz w:val="24"/>
          <w:highlight w:val="none"/>
        </w:rPr>
        <w:t>预付款担保函</w:t>
      </w:r>
    </w:p>
    <w:p w14:paraId="4CBC1530">
      <w:pPr>
        <w:pStyle w:val="58"/>
        <w:spacing w:line="500" w:lineRule="exact"/>
        <w:rPr>
          <w:rFonts w:ascii="宋体" w:hAnsi="宋体" w:cs="宋体"/>
          <w:sz w:val="24"/>
          <w:highlight w:val="none"/>
        </w:rPr>
      </w:pPr>
      <w:r>
        <w:rPr>
          <w:rFonts w:hint="eastAsia"/>
          <w:highlight w:val="none"/>
        </w:rPr>
        <w:t>　　</w:t>
      </w:r>
      <w:r>
        <w:rPr>
          <w:rFonts w:hint="eastAsia" w:ascii="宋体" w:hAnsi="宋体" w:cs="宋体"/>
          <w:sz w:val="24"/>
          <w:highlight w:val="none"/>
        </w:rPr>
        <w:t>___________(发包人名称)：</w:t>
      </w:r>
    </w:p>
    <w:p w14:paraId="5881E800">
      <w:pPr>
        <w:pStyle w:val="58"/>
        <w:spacing w:line="500" w:lineRule="exact"/>
        <w:rPr>
          <w:rFonts w:ascii="宋体" w:hAnsi="宋体" w:cs="宋体"/>
          <w:sz w:val="24"/>
          <w:highlight w:val="none"/>
        </w:rPr>
      </w:pPr>
      <w:r>
        <w:rPr>
          <w:rFonts w:hint="eastAsia" w:ascii="宋体" w:hAnsi="宋体" w:cs="宋体"/>
          <w:sz w:val="24"/>
          <w:highlight w:val="none"/>
        </w:rPr>
        <w:t>　　根据　　　　　　　(承包人名称，以下简称“承包人”)与　　　　　(发包人名称，以下简称“发包人”)于　　　　年　　月　　日签订的　　　　　　　(项目名称)　　　　　　　(标段名称)合同协议书，承包人按约定的金额向发包人提交一份预付款担保，即有权得到发包人支付相等金额的预付款。我方愿意就你方提供给承包人的预付款提供担保。</w:t>
      </w:r>
    </w:p>
    <w:p w14:paraId="67B02AB4">
      <w:pPr>
        <w:pStyle w:val="58"/>
        <w:spacing w:line="500" w:lineRule="exact"/>
        <w:rPr>
          <w:rFonts w:ascii="宋体" w:hAnsi="宋体" w:cs="宋体"/>
          <w:sz w:val="24"/>
          <w:highlight w:val="none"/>
        </w:rPr>
      </w:pPr>
      <w:r>
        <w:rPr>
          <w:rFonts w:hint="eastAsia" w:ascii="宋体" w:hAnsi="宋体" w:cs="宋体"/>
          <w:sz w:val="24"/>
          <w:highlight w:val="none"/>
        </w:rPr>
        <w:t>　　1.担保金额人民币(大写)　　　　　元(￥　　　　元)。</w:t>
      </w:r>
    </w:p>
    <w:p w14:paraId="115A133E">
      <w:pPr>
        <w:pStyle w:val="58"/>
        <w:spacing w:line="500" w:lineRule="exact"/>
        <w:rPr>
          <w:rFonts w:ascii="宋体" w:hAnsi="宋体" w:cs="宋体"/>
          <w:sz w:val="24"/>
          <w:highlight w:val="none"/>
        </w:rPr>
      </w:pPr>
      <w:r>
        <w:rPr>
          <w:rFonts w:hint="eastAsia" w:ascii="宋体" w:hAnsi="宋体" w:cs="宋体"/>
          <w:sz w:val="24"/>
          <w:highlight w:val="none"/>
        </w:rPr>
        <w:t>　　2.担保有效期自预付款支付给承包人起生效，至发包人签发的进度付款证书说明预付款已完全扣清止。</w:t>
      </w:r>
    </w:p>
    <w:p w14:paraId="31F7F4BD">
      <w:pPr>
        <w:pStyle w:val="58"/>
        <w:spacing w:line="500" w:lineRule="exact"/>
        <w:rPr>
          <w:rFonts w:ascii="宋体" w:hAnsi="宋体" w:cs="宋体"/>
          <w:sz w:val="24"/>
          <w:highlight w:val="none"/>
        </w:rPr>
      </w:pPr>
      <w:r>
        <w:rPr>
          <w:rFonts w:hint="eastAsia" w:ascii="宋体" w:hAnsi="宋体" w:cs="宋体"/>
          <w:sz w:val="24"/>
          <w:highlight w:val="none"/>
        </w:rPr>
        <w:t>　　3.在本担保有效期内，因承包人违反合同约定的义务而要求收回预付款时，我方在收到你方的书面通知后，无条件地在7天内予以支付。但本担保的担保金额，在任何时候不应超过预付款金额减去发包人按合同约定在向承包人签发的进度付款证书中已扣回的金额。</w:t>
      </w:r>
    </w:p>
    <w:p w14:paraId="00D893CC">
      <w:pPr>
        <w:pStyle w:val="58"/>
        <w:spacing w:line="500" w:lineRule="exact"/>
        <w:rPr>
          <w:rFonts w:ascii="宋体" w:hAnsi="宋体" w:cs="宋体"/>
          <w:sz w:val="24"/>
          <w:highlight w:val="none"/>
        </w:rPr>
      </w:pPr>
      <w:r>
        <w:rPr>
          <w:rFonts w:hint="eastAsia" w:ascii="宋体" w:hAnsi="宋体" w:cs="宋体"/>
          <w:sz w:val="24"/>
          <w:highlight w:val="none"/>
        </w:rPr>
        <w:t>　　4.发包人和承包人按《通用合同条款》第15条变更合同时，我方承担本担保规定的义务不变。</w:t>
      </w:r>
    </w:p>
    <w:p w14:paraId="13CE3482">
      <w:pPr>
        <w:pStyle w:val="58"/>
        <w:spacing w:line="500" w:lineRule="exact"/>
        <w:rPr>
          <w:rFonts w:ascii="宋体" w:hAnsi="宋体" w:cs="宋体"/>
          <w:sz w:val="24"/>
          <w:highlight w:val="none"/>
        </w:rPr>
      </w:pPr>
      <w:r>
        <w:rPr>
          <w:rFonts w:hint="eastAsia" w:ascii="宋体" w:hAnsi="宋体" w:cs="宋体"/>
          <w:sz w:val="24"/>
          <w:highlight w:val="none"/>
        </w:rPr>
        <w:t>　　　　　　　　　　　　　　　　　担保人：　　　　　　　　　　　　(盖单位章)</w:t>
      </w:r>
    </w:p>
    <w:p w14:paraId="7465A95D">
      <w:pPr>
        <w:pStyle w:val="58"/>
        <w:spacing w:line="500" w:lineRule="exact"/>
        <w:rPr>
          <w:rFonts w:ascii="宋体" w:hAnsi="宋体" w:cs="宋体"/>
          <w:sz w:val="24"/>
          <w:highlight w:val="none"/>
        </w:rPr>
      </w:pPr>
      <w:r>
        <w:rPr>
          <w:rFonts w:hint="eastAsia" w:ascii="宋体" w:hAnsi="宋体" w:cs="宋体"/>
          <w:sz w:val="24"/>
          <w:highlight w:val="none"/>
        </w:rPr>
        <w:t>　　　　　　　　　　　　　　　　  法定代表人或其委托代理人：　　　　　(签字)</w:t>
      </w:r>
    </w:p>
    <w:p w14:paraId="0294E0F1">
      <w:pPr>
        <w:pStyle w:val="58"/>
        <w:spacing w:line="500" w:lineRule="exact"/>
        <w:rPr>
          <w:rFonts w:ascii="宋体" w:hAnsi="宋体" w:cs="宋体"/>
          <w:sz w:val="24"/>
          <w:highlight w:val="none"/>
        </w:rPr>
      </w:pPr>
      <w:r>
        <w:rPr>
          <w:rFonts w:hint="eastAsia" w:ascii="宋体" w:hAnsi="宋体" w:cs="宋体"/>
          <w:sz w:val="24"/>
          <w:highlight w:val="none"/>
        </w:rPr>
        <w:t>　　　　　　　　　　　　　　　　　　　　　　地址：　　　　　　　　　　　　　　　　　</w:t>
      </w:r>
    </w:p>
    <w:p w14:paraId="6F8E9693">
      <w:pPr>
        <w:pStyle w:val="58"/>
        <w:spacing w:line="500" w:lineRule="exact"/>
        <w:rPr>
          <w:rFonts w:ascii="宋体" w:hAnsi="宋体" w:cs="宋体"/>
          <w:sz w:val="24"/>
          <w:highlight w:val="none"/>
        </w:rPr>
      </w:pPr>
      <w:r>
        <w:rPr>
          <w:rFonts w:hint="eastAsia" w:ascii="宋体" w:hAnsi="宋体" w:cs="宋体"/>
          <w:sz w:val="24"/>
          <w:highlight w:val="none"/>
        </w:rPr>
        <w:t>　　　　　　　　　　　　　　　　　　　　　　邮政编码：　　　　　　　　　　　　　　　</w:t>
      </w:r>
    </w:p>
    <w:p w14:paraId="7F0CBFB0">
      <w:pPr>
        <w:pStyle w:val="58"/>
        <w:spacing w:line="500" w:lineRule="exact"/>
        <w:rPr>
          <w:rFonts w:ascii="宋体" w:hAnsi="宋体" w:cs="宋体"/>
          <w:sz w:val="24"/>
          <w:highlight w:val="none"/>
        </w:rPr>
      </w:pPr>
      <w:r>
        <w:rPr>
          <w:rFonts w:hint="eastAsia" w:ascii="宋体" w:hAnsi="宋体" w:cs="宋体"/>
          <w:sz w:val="24"/>
          <w:highlight w:val="none"/>
        </w:rPr>
        <w:t>　　　　　　　　　　　　　　　　　　　　　　电话：　　　　　　　　　　　　　　　　　</w:t>
      </w:r>
    </w:p>
    <w:p w14:paraId="3DA69F1C">
      <w:pPr>
        <w:pStyle w:val="58"/>
        <w:spacing w:line="500" w:lineRule="exact"/>
        <w:rPr>
          <w:rFonts w:ascii="宋体" w:hAnsi="宋体" w:cs="宋体"/>
          <w:sz w:val="24"/>
          <w:highlight w:val="none"/>
        </w:rPr>
      </w:pPr>
      <w:r>
        <w:rPr>
          <w:rFonts w:hint="eastAsia" w:ascii="宋体" w:hAnsi="宋体" w:cs="宋体"/>
          <w:sz w:val="24"/>
          <w:highlight w:val="none"/>
        </w:rPr>
        <w:t>　　　　　　　　　　　　　　　　　　　　　　传真：　　　　　　　　　　　　　　　　　</w:t>
      </w:r>
    </w:p>
    <w:p w14:paraId="42676418">
      <w:pPr>
        <w:pStyle w:val="58"/>
        <w:spacing w:line="500" w:lineRule="exact"/>
        <w:rPr>
          <w:rFonts w:ascii="宋体" w:hAnsi="宋体" w:cs="宋体"/>
          <w:sz w:val="24"/>
          <w:highlight w:val="none"/>
        </w:rPr>
      </w:pPr>
      <w:r>
        <w:rPr>
          <w:rFonts w:hint="eastAsia" w:ascii="宋体" w:hAnsi="宋体" w:cs="宋体"/>
          <w:sz w:val="24"/>
          <w:highlight w:val="none"/>
        </w:rPr>
        <w:t>　　　　　　　　　　　　　　　　　　　　　　　　　　　年　　月　　日</w:t>
      </w:r>
    </w:p>
    <w:p w14:paraId="4018266D">
      <w:pPr>
        <w:pStyle w:val="58"/>
        <w:spacing w:line="500" w:lineRule="exact"/>
        <w:rPr>
          <w:rFonts w:ascii="宋体" w:hAnsi="宋体" w:cs="宋体"/>
          <w:sz w:val="24"/>
          <w:highlight w:val="none"/>
        </w:rPr>
      </w:pPr>
    </w:p>
    <w:p w14:paraId="188502A5">
      <w:pPr>
        <w:pStyle w:val="9"/>
        <w:spacing w:line="480" w:lineRule="exact"/>
        <w:ind w:firstLine="1928" w:firstLineChars="800"/>
        <w:rPr>
          <w:rFonts w:hint="eastAsia" w:ascii="宋体" w:hAnsi="宋体" w:cs="宋体"/>
          <w:sz w:val="24"/>
          <w:highlight w:val="none"/>
        </w:rPr>
      </w:pPr>
      <w:r>
        <w:rPr>
          <w:rFonts w:hint="eastAsia" w:ascii="宋体" w:hAnsi="宋体" w:cs="宋体"/>
          <w:sz w:val="24"/>
          <w:highlight w:val="none"/>
        </w:rPr>
        <w:t>　　注：委托代理人应附授权委托书。</w:t>
      </w:r>
    </w:p>
    <w:p w14:paraId="2D3B152F">
      <w:pPr>
        <w:rPr>
          <w:rFonts w:hint="eastAsia" w:ascii="宋体" w:hAnsi="宋体" w:cs="宋体"/>
          <w:sz w:val="24"/>
          <w:highlight w:val="none"/>
        </w:rPr>
      </w:pPr>
      <w:r>
        <w:rPr>
          <w:rFonts w:hint="eastAsia" w:ascii="宋体" w:hAnsi="宋体" w:cs="宋体"/>
          <w:sz w:val="24"/>
          <w:highlight w:val="none"/>
        </w:rPr>
        <w:br w:type="page"/>
      </w:r>
    </w:p>
    <w:p w14:paraId="49118A55">
      <w:pPr>
        <w:spacing w:line="360" w:lineRule="auto"/>
        <w:ind w:firstLine="480" w:firstLineChars="200"/>
        <w:jc w:val="left"/>
        <w:rPr>
          <w:rFonts w:hint="eastAsia" w:ascii="宋体" w:hAnsi="宋体"/>
          <w:bCs/>
          <w:color w:val="000000"/>
          <w:sz w:val="24"/>
          <w:highlight w:val="none"/>
          <w:u w:val="single"/>
        </w:rPr>
      </w:pPr>
    </w:p>
    <w:p w14:paraId="35B39CD5">
      <w:pPr>
        <w:spacing w:line="460" w:lineRule="exact"/>
        <w:rPr>
          <w:rFonts w:hint="eastAsia" w:ascii="宋体" w:hAnsi="宋体"/>
          <w:color w:val="000000"/>
          <w:highlight w:val="none"/>
        </w:rPr>
      </w:pPr>
    </w:p>
    <w:bookmarkEnd w:id="240"/>
    <w:bookmarkEnd w:id="241"/>
    <w:bookmarkEnd w:id="242"/>
    <w:bookmarkEnd w:id="243"/>
    <w:bookmarkEnd w:id="244"/>
    <w:p w14:paraId="0DBF8517">
      <w:pPr>
        <w:pStyle w:val="7"/>
        <w:pageBreakBefore w:val="0"/>
        <w:kinsoku/>
        <w:wordWrap/>
        <w:overflowPunct/>
        <w:topLinePunct w:val="0"/>
        <w:bidi w:val="0"/>
        <w:spacing w:line="360" w:lineRule="auto"/>
        <w:jc w:val="center"/>
        <w:rPr>
          <w:rFonts w:hint="eastAsia" w:ascii="宋体" w:hAnsi="宋体" w:eastAsia="宋体" w:cs="宋体"/>
          <w:color w:val="auto"/>
          <w:sz w:val="32"/>
          <w:highlight w:val="none"/>
        </w:rPr>
      </w:pPr>
      <w:bookmarkStart w:id="299" w:name="_Toc23170"/>
      <w:bookmarkStart w:id="300" w:name="_Toc20659"/>
      <w:bookmarkStart w:id="301" w:name="_Toc27517"/>
      <w:r>
        <w:rPr>
          <w:rFonts w:hint="eastAsia" w:ascii="宋体" w:hAnsi="宋体" w:eastAsia="宋体" w:cs="宋体"/>
          <w:color w:val="auto"/>
          <w:sz w:val="32"/>
          <w:szCs w:val="32"/>
          <w:highlight w:val="none"/>
        </w:rPr>
        <w:t>第</w:t>
      </w:r>
      <w:r>
        <w:rPr>
          <w:rFonts w:hint="eastAsia" w:ascii="宋体" w:hAnsi="宋体" w:cs="宋体"/>
          <w:color w:val="auto"/>
          <w:sz w:val="32"/>
          <w:szCs w:val="32"/>
          <w:highlight w:val="none"/>
          <w:lang w:val="en-US" w:eastAsia="zh-CN"/>
        </w:rPr>
        <w:t>五</w:t>
      </w:r>
      <w:r>
        <w:rPr>
          <w:rFonts w:hint="eastAsia" w:ascii="宋体" w:hAnsi="宋体" w:eastAsia="宋体" w:cs="宋体"/>
          <w:color w:val="auto"/>
          <w:sz w:val="32"/>
          <w:szCs w:val="32"/>
          <w:highlight w:val="none"/>
        </w:rPr>
        <w:t xml:space="preserve">章  </w:t>
      </w:r>
      <w:r>
        <w:rPr>
          <w:rFonts w:hint="eastAsia" w:ascii="宋体" w:hAnsi="宋体" w:cs="宋体"/>
          <w:color w:val="auto"/>
          <w:sz w:val="32"/>
          <w:szCs w:val="32"/>
          <w:highlight w:val="none"/>
          <w:lang w:eastAsia="zh-CN"/>
        </w:rPr>
        <w:t>谈判响应文件</w:t>
      </w:r>
      <w:r>
        <w:rPr>
          <w:rFonts w:hint="eastAsia" w:ascii="宋体" w:hAnsi="宋体" w:eastAsia="宋体" w:cs="宋体"/>
          <w:color w:val="auto"/>
          <w:sz w:val="32"/>
          <w:szCs w:val="32"/>
          <w:highlight w:val="none"/>
        </w:rPr>
        <w:t>格式</w:t>
      </w:r>
      <w:bookmarkEnd w:id="245"/>
      <w:bookmarkEnd w:id="299"/>
      <w:bookmarkEnd w:id="300"/>
      <w:bookmarkEnd w:id="301"/>
    </w:p>
    <w:p w14:paraId="6E08F077">
      <w:pPr>
        <w:pageBreakBefore w:val="0"/>
        <w:kinsoku/>
        <w:wordWrap/>
        <w:overflowPunct/>
        <w:topLinePunct w:val="0"/>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12E4AA93">
      <w:pPr>
        <w:pageBreakBefore w:val="0"/>
        <w:kinsoku/>
        <w:wordWrap/>
        <w:overflowPunct/>
        <w:topLinePunct w:val="0"/>
        <w:bidi w:val="0"/>
        <w:spacing w:line="360" w:lineRule="auto"/>
        <w:rPr>
          <w:rFonts w:hint="eastAsia" w:ascii="宋体" w:hAnsi="宋体" w:eastAsia="宋体" w:cs="宋体"/>
          <w:color w:val="auto"/>
          <w:highlight w:val="none"/>
        </w:rPr>
      </w:pPr>
    </w:p>
    <w:p w14:paraId="320CBCDB">
      <w:pPr>
        <w:pageBreakBefore w:val="0"/>
        <w:kinsoku/>
        <w:wordWrap/>
        <w:overflowPunct/>
        <w:topLinePunct w:val="0"/>
        <w:bidi w:val="0"/>
        <w:spacing w:line="360" w:lineRule="auto"/>
        <w:rPr>
          <w:rFonts w:hint="eastAsia" w:ascii="宋体" w:hAnsi="宋体" w:eastAsia="宋体" w:cs="宋体"/>
          <w:color w:val="auto"/>
          <w:highlight w:val="none"/>
        </w:rPr>
      </w:pPr>
    </w:p>
    <w:p w14:paraId="293F5D07">
      <w:pPr>
        <w:pageBreakBefore w:val="0"/>
        <w:kinsoku/>
        <w:wordWrap/>
        <w:overflowPunct/>
        <w:topLinePunct w:val="0"/>
        <w:bidi w:val="0"/>
        <w:spacing w:line="360" w:lineRule="auto"/>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rPr>
        <w:t>项目名称）</w:t>
      </w:r>
    </w:p>
    <w:p w14:paraId="0D4DAE2E">
      <w:pPr>
        <w:pageBreakBefore w:val="0"/>
        <w:kinsoku/>
        <w:wordWrap/>
        <w:overflowPunct/>
        <w:topLinePunct w:val="0"/>
        <w:bidi w:val="0"/>
        <w:spacing w:line="360" w:lineRule="auto"/>
        <w:rPr>
          <w:rFonts w:hint="eastAsia" w:ascii="宋体" w:hAnsi="宋体" w:eastAsia="宋体" w:cs="宋体"/>
          <w:color w:val="auto"/>
          <w:sz w:val="28"/>
          <w:szCs w:val="28"/>
          <w:highlight w:val="none"/>
        </w:rPr>
      </w:pPr>
    </w:p>
    <w:p w14:paraId="7E3F8492">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4"/>
          <w:highlight w:val="none"/>
          <w:lang w:val="en-US" w:eastAsia="zh-CN"/>
        </w:rPr>
        <w:t>谈判项目</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u w:val="single"/>
        </w:rPr>
        <w:t xml:space="preserve">                        </w:t>
      </w:r>
    </w:p>
    <w:p w14:paraId="5A966F05">
      <w:pPr>
        <w:pageBreakBefore w:val="0"/>
        <w:kinsoku/>
        <w:wordWrap/>
        <w:overflowPunct/>
        <w:topLinePunct w:val="0"/>
        <w:bidi w:val="0"/>
        <w:spacing w:line="360" w:lineRule="auto"/>
        <w:rPr>
          <w:rFonts w:hint="eastAsia" w:ascii="宋体" w:hAnsi="宋体" w:eastAsia="宋体" w:cs="宋体"/>
          <w:color w:val="auto"/>
          <w:sz w:val="28"/>
          <w:szCs w:val="28"/>
          <w:highlight w:val="none"/>
        </w:rPr>
      </w:pPr>
    </w:p>
    <w:p w14:paraId="7E6E8CE0">
      <w:pPr>
        <w:pageBreakBefore w:val="0"/>
        <w:kinsoku/>
        <w:wordWrap/>
        <w:overflowPunct/>
        <w:topLinePunct w:val="0"/>
        <w:bidi w:val="0"/>
        <w:spacing w:line="360" w:lineRule="auto"/>
        <w:rPr>
          <w:rFonts w:hint="eastAsia" w:ascii="宋体" w:hAnsi="宋体" w:eastAsia="宋体" w:cs="宋体"/>
          <w:color w:val="auto"/>
          <w:sz w:val="28"/>
          <w:szCs w:val="28"/>
          <w:highlight w:val="none"/>
        </w:rPr>
      </w:pPr>
    </w:p>
    <w:p w14:paraId="5D4839EE">
      <w:pPr>
        <w:pageBreakBefore w:val="0"/>
        <w:kinsoku/>
        <w:wordWrap/>
        <w:overflowPunct/>
        <w:topLinePunct w:val="0"/>
        <w:bidi w:val="0"/>
        <w:spacing w:line="360" w:lineRule="auto"/>
        <w:rPr>
          <w:rFonts w:hint="eastAsia" w:ascii="宋体" w:hAnsi="宋体" w:eastAsia="宋体" w:cs="宋体"/>
          <w:color w:val="auto"/>
          <w:sz w:val="28"/>
          <w:szCs w:val="28"/>
          <w:highlight w:val="none"/>
        </w:rPr>
      </w:pPr>
    </w:p>
    <w:p w14:paraId="2A9FC6BF">
      <w:pPr>
        <w:pageBreakBefore w:val="0"/>
        <w:kinsoku/>
        <w:wordWrap/>
        <w:overflowPunct/>
        <w:topLinePunct w:val="0"/>
        <w:bidi w:val="0"/>
        <w:spacing w:line="360" w:lineRule="auto"/>
        <w:rPr>
          <w:rFonts w:hint="eastAsia" w:ascii="宋体" w:hAnsi="宋体" w:eastAsia="宋体" w:cs="宋体"/>
          <w:color w:val="auto"/>
          <w:sz w:val="28"/>
          <w:szCs w:val="28"/>
          <w:highlight w:val="none"/>
        </w:rPr>
      </w:pPr>
    </w:p>
    <w:p w14:paraId="54A522E7">
      <w:pPr>
        <w:pageBreakBefore w:val="0"/>
        <w:kinsoku/>
        <w:wordWrap/>
        <w:overflowPunct/>
        <w:topLinePunct w:val="0"/>
        <w:bidi w:val="0"/>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val="en-US" w:eastAsia="zh-CN"/>
        </w:rPr>
        <w:t>谈  判  响  应</w:t>
      </w:r>
      <w:r>
        <w:rPr>
          <w:rFonts w:hint="eastAsia" w:ascii="宋体" w:hAnsi="宋体" w:eastAsia="宋体" w:cs="宋体"/>
          <w:b/>
          <w:color w:val="auto"/>
          <w:sz w:val="36"/>
          <w:szCs w:val="36"/>
          <w:highlight w:val="none"/>
        </w:rPr>
        <w:t xml:space="preserve">  文  件</w:t>
      </w:r>
    </w:p>
    <w:p w14:paraId="72E46A98">
      <w:pPr>
        <w:pageBreakBefore w:val="0"/>
        <w:kinsoku/>
        <w:wordWrap/>
        <w:overflowPunct/>
        <w:topLinePunct w:val="0"/>
        <w:bidi w:val="0"/>
        <w:spacing w:line="360" w:lineRule="auto"/>
        <w:rPr>
          <w:rFonts w:hint="eastAsia" w:ascii="宋体" w:hAnsi="宋体" w:eastAsia="宋体" w:cs="宋体"/>
          <w:b/>
          <w:color w:val="auto"/>
          <w:sz w:val="32"/>
          <w:szCs w:val="32"/>
          <w:highlight w:val="none"/>
        </w:rPr>
      </w:pPr>
    </w:p>
    <w:p w14:paraId="70DD7BE0">
      <w:pPr>
        <w:pageBreakBefore w:val="0"/>
        <w:kinsoku/>
        <w:wordWrap/>
        <w:overflowPunct/>
        <w:topLinePunct w:val="0"/>
        <w:bidi w:val="0"/>
        <w:spacing w:line="360" w:lineRule="auto"/>
        <w:rPr>
          <w:rFonts w:hint="eastAsia" w:ascii="宋体" w:hAnsi="宋体" w:eastAsia="宋体" w:cs="宋体"/>
          <w:b/>
          <w:color w:val="auto"/>
          <w:sz w:val="32"/>
          <w:szCs w:val="32"/>
          <w:highlight w:val="none"/>
        </w:rPr>
      </w:pPr>
    </w:p>
    <w:p w14:paraId="55FF06D0">
      <w:pPr>
        <w:pageBreakBefore w:val="0"/>
        <w:kinsoku/>
        <w:wordWrap/>
        <w:overflowPunct/>
        <w:topLinePunct w:val="0"/>
        <w:bidi w:val="0"/>
        <w:spacing w:line="360" w:lineRule="auto"/>
        <w:rPr>
          <w:rFonts w:hint="eastAsia" w:ascii="宋体" w:hAnsi="宋体" w:eastAsia="宋体" w:cs="宋体"/>
          <w:b/>
          <w:color w:val="auto"/>
          <w:sz w:val="32"/>
          <w:szCs w:val="32"/>
          <w:highlight w:val="none"/>
        </w:rPr>
      </w:pPr>
    </w:p>
    <w:p w14:paraId="4A2A81E7">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r>
        <w:rPr>
          <w:rFonts w:hint="eastAsia" w:ascii="宋体" w:hAnsi="宋体" w:cs="宋体"/>
          <w:color w:val="auto"/>
          <w:sz w:val="24"/>
          <w:highlight w:val="none"/>
          <w:lang w:eastAsia="zh-CN"/>
        </w:rPr>
        <w:t>报价人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w:t>
      </w:r>
      <w:r>
        <w:rPr>
          <w:rFonts w:hint="eastAsia" w:ascii="宋体" w:hAnsi="宋体" w:eastAsia="宋体" w:cs="宋体"/>
          <w:color w:val="auto"/>
          <w:sz w:val="24"/>
          <w:highlight w:val="none"/>
          <w:lang w:eastAsia="zh-CN"/>
        </w:rPr>
        <w:t>公</w:t>
      </w:r>
      <w:r>
        <w:rPr>
          <w:rFonts w:hint="eastAsia" w:ascii="宋体" w:hAnsi="宋体" w:eastAsia="宋体" w:cs="宋体"/>
          <w:color w:val="auto"/>
          <w:sz w:val="24"/>
          <w:highlight w:val="none"/>
        </w:rPr>
        <w:t>章）</w:t>
      </w:r>
    </w:p>
    <w:p w14:paraId="4875D3B9">
      <w:pPr>
        <w:pageBreakBefore w:val="0"/>
        <w:kinsoku/>
        <w:wordWrap/>
        <w:overflowPunct/>
        <w:topLinePunct w:val="0"/>
        <w:bidi w:val="0"/>
        <w:spacing w:line="360" w:lineRule="auto"/>
        <w:rPr>
          <w:rFonts w:hint="eastAsia" w:ascii="宋体" w:hAnsi="宋体" w:eastAsia="宋体" w:cs="宋体"/>
          <w:color w:val="auto"/>
          <w:sz w:val="24"/>
          <w:highlight w:val="none"/>
        </w:rPr>
      </w:pPr>
    </w:p>
    <w:p w14:paraId="2B091F68">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28A6C7F7">
      <w:pPr>
        <w:pStyle w:val="11"/>
        <w:rPr>
          <w:rFonts w:hint="eastAsia" w:ascii="宋体" w:hAnsi="宋体" w:eastAsia="宋体" w:cs="宋体"/>
          <w:color w:val="auto"/>
          <w:sz w:val="24"/>
          <w:highlight w:val="none"/>
        </w:rPr>
      </w:pPr>
    </w:p>
    <w:p w14:paraId="4B05D520">
      <w:pPr>
        <w:pStyle w:val="11"/>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联系人：</w:t>
      </w:r>
    </w:p>
    <w:p w14:paraId="57400BCC">
      <w:pPr>
        <w:pStyle w:val="11"/>
        <w:rPr>
          <w:rFonts w:hint="eastAsia" w:ascii="宋体" w:hAnsi="宋体" w:cs="宋体"/>
          <w:color w:val="auto"/>
          <w:sz w:val="24"/>
          <w:highlight w:val="none"/>
          <w:lang w:val="en-US" w:eastAsia="zh-CN"/>
        </w:rPr>
      </w:pPr>
    </w:p>
    <w:p w14:paraId="443C37EE">
      <w:pPr>
        <w:pStyle w:val="11"/>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电 话：</w:t>
      </w:r>
    </w:p>
    <w:p w14:paraId="78DEB0C5">
      <w:pPr>
        <w:pageBreakBefore w:val="0"/>
        <w:kinsoku/>
        <w:wordWrap/>
        <w:overflowPunct/>
        <w:topLinePunct w:val="0"/>
        <w:bidi w:val="0"/>
        <w:spacing w:line="360" w:lineRule="auto"/>
        <w:rPr>
          <w:rFonts w:hint="eastAsia" w:ascii="宋体" w:hAnsi="宋体" w:eastAsia="宋体" w:cs="宋体"/>
          <w:color w:val="auto"/>
          <w:sz w:val="24"/>
          <w:highlight w:val="none"/>
        </w:rPr>
      </w:pPr>
    </w:p>
    <w:p w14:paraId="33235269">
      <w:pPr>
        <w:pageBreakBefore w:val="0"/>
        <w:kinsoku/>
        <w:wordWrap/>
        <w:overflowPunct/>
        <w:topLinePunct w:val="0"/>
        <w:bidi w:val="0"/>
        <w:spacing w:line="360" w:lineRule="auto"/>
        <w:rPr>
          <w:rFonts w:hint="eastAsia" w:ascii="宋体" w:hAnsi="宋体" w:eastAsia="宋体" w:cs="宋体"/>
          <w:color w:val="auto"/>
          <w:sz w:val="24"/>
          <w:highlight w:val="none"/>
        </w:rPr>
      </w:pPr>
    </w:p>
    <w:p w14:paraId="38831EB0">
      <w:pPr>
        <w:pageBreakBefore w:val="0"/>
        <w:kinsoku/>
        <w:wordWrap/>
        <w:overflowPunct/>
        <w:topLinePunct w:val="0"/>
        <w:bidi w:val="0"/>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2C389DD0">
      <w:pPr>
        <w:pageBreakBefore w:val="0"/>
        <w:kinsoku/>
        <w:wordWrap/>
        <w:overflowPunct/>
        <w:topLinePunct w:val="0"/>
        <w:bidi w:val="0"/>
        <w:spacing w:line="360" w:lineRule="auto"/>
        <w:rPr>
          <w:rFonts w:hint="eastAsia" w:ascii="宋体" w:hAnsi="宋体" w:eastAsia="宋体" w:cs="宋体"/>
          <w:color w:val="auto"/>
          <w:sz w:val="24"/>
          <w:highlight w:val="none"/>
        </w:rPr>
      </w:pPr>
    </w:p>
    <w:p w14:paraId="760B9098">
      <w:pPr>
        <w:pStyle w:val="8"/>
        <w:pageBreakBefore w:val="0"/>
        <w:kinsoku/>
        <w:wordWrap/>
        <w:overflowPunct/>
        <w:topLinePunct w:val="0"/>
        <w:bidi w:val="0"/>
        <w:spacing w:line="360" w:lineRule="auto"/>
        <w:jc w:val="center"/>
        <w:rPr>
          <w:rFonts w:hint="eastAsia" w:ascii="宋体" w:hAnsi="宋体" w:eastAsia="宋体" w:cs="宋体"/>
          <w:color w:val="auto"/>
          <w:sz w:val="28"/>
          <w:szCs w:val="28"/>
          <w:highlight w:val="none"/>
        </w:rPr>
      </w:pPr>
      <w:bookmarkStart w:id="302" w:name="_Toc381970844"/>
      <w:bookmarkStart w:id="303" w:name="_Toc358978468"/>
      <w:bookmarkStart w:id="304" w:name="_Toc358451958"/>
      <w:bookmarkStart w:id="305" w:name="_Toc17493"/>
      <w:bookmarkStart w:id="306" w:name="_Toc28151"/>
      <w:bookmarkStart w:id="307" w:name="_Toc15482"/>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报</w:t>
      </w:r>
      <w:r>
        <w:rPr>
          <w:rFonts w:hint="eastAsia" w:ascii="宋体" w:hAnsi="宋体" w:eastAsia="宋体" w:cs="宋体"/>
          <w:bCs/>
          <w:color w:val="auto"/>
          <w:sz w:val="28"/>
          <w:szCs w:val="28"/>
          <w:highlight w:val="none"/>
        </w:rPr>
        <w:t xml:space="preserve"> </w:t>
      </w:r>
      <w:r>
        <w:rPr>
          <w:rFonts w:hint="eastAsia" w:ascii="宋体" w:hAnsi="宋体" w:cs="宋体"/>
          <w:bCs/>
          <w:color w:val="auto"/>
          <w:sz w:val="28"/>
          <w:szCs w:val="28"/>
          <w:highlight w:val="none"/>
          <w:lang w:val="en-US" w:eastAsia="zh-CN"/>
        </w:rPr>
        <w:t>价</w:t>
      </w:r>
      <w:r>
        <w:rPr>
          <w:rFonts w:hint="eastAsia" w:ascii="宋体" w:hAnsi="宋体" w:eastAsia="宋体" w:cs="宋体"/>
          <w:bCs/>
          <w:color w:val="auto"/>
          <w:sz w:val="28"/>
          <w:szCs w:val="28"/>
          <w:highlight w:val="none"/>
        </w:rPr>
        <w:t xml:space="preserve"> </w:t>
      </w:r>
      <w:bookmarkEnd w:id="302"/>
      <w:bookmarkEnd w:id="303"/>
      <w:bookmarkEnd w:id="304"/>
      <w:r>
        <w:rPr>
          <w:rFonts w:hint="eastAsia" w:ascii="宋体" w:hAnsi="宋体" w:cs="宋体"/>
          <w:bCs/>
          <w:color w:val="auto"/>
          <w:sz w:val="28"/>
          <w:szCs w:val="28"/>
          <w:highlight w:val="none"/>
          <w:lang w:val="en-US" w:eastAsia="zh-CN"/>
        </w:rPr>
        <w:t>函</w:t>
      </w:r>
      <w:bookmarkEnd w:id="305"/>
      <w:bookmarkEnd w:id="306"/>
      <w:bookmarkEnd w:id="307"/>
    </w:p>
    <w:p w14:paraId="6D589CE5">
      <w:pPr>
        <w:spacing w:line="360" w:lineRule="auto"/>
        <w:rPr>
          <w:color w:val="auto"/>
          <w:szCs w:val="21"/>
          <w:highlight w:val="none"/>
        </w:rPr>
      </w:pPr>
      <w:r>
        <w:rPr>
          <w:color w:val="auto"/>
          <w:szCs w:val="21"/>
          <w:highlight w:val="none"/>
          <w:u w:val="single"/>
        </w:rPr>
        <w:t xml:space="preserve">                        </w:t>
      </w:r>
      <w:r>
        <w:rPr>
          <w:color w:val="auto"/>
          <w:szCs w:val="21"/>
          <w:highlight w:val="none"/>
        </w:rPr>
        <w:t>（</w:t>
      </w:r>
      <w:r>
        <w:rPr>
          <w:rFonts w:hint="eastAsia"/>
          <w:color w:val="auto"/>
          <w:szCs w:val="21"/>
          <w:highlight w:val="none"/>
          <w:lang w:eastAsia="zh-CN"/>
        </w:rPr>
        <w:t>采购</w:t>
      </w:r>
      <w:r>
        <w:rPr>
          <w:color w:val="auto"/>
          <w:szCs w:val="21"/>
          <w:highlight w:val="none"/>
        </w:rPr>
        <w:t>人名称）：</w:t>
      </w:r>
    </w:p>
    <w:p w14:paraId="26190443">
      <w:pPr>
        <w:spacing w:line="360" w:lineRule="auto"/>
        <w:ind w:firstLine="480" w:firstLineChars="200"/>
        <w:rPr>
          <w:color w:val="auto"/>
          <w:szCs w:val="21"/>
          <w:highlight w:val="none"/>
        </w:rPr>
      </w:pPr>
      <w:r>
        <w:rPr>
          <w:color w:val="auto"/>
          <w:szCs w:val="21"/>
          <w:highlight w:val="none"/>
        </w:rPr>
        <w:t>1．我方已仔细研究了</w:t>
      </w:r>
      <w:r>
        <w:rPr>
          <w:color w:val="auto"/>
          <w:szCs w:val="21"/>
          <w:highlight w:val="none"/>
          <w:u w:val="single"/>
        </w:rPr>
        <w:t xml:space="preserve">          </w:t>
      </w:r>
      <w:r>
        <w:rPr>
          <w:color w:val="auto"/>
          <w:szCs w:val="21"/>
          <w:highlight w:val="none"/>
        </w:rPr>
        <w:t>（项目名称）</w:t>
      </w:r>
      <w:r>
        <w:rPr>
          <w:rFonts w:hint="eastAsia"/>
          <w:color w:val="auto"/>
          <w:szCs w:val="21"/>
          <w:highlight w:val="none"/>
          <w:lang w:eastAsia="zh-CN"/>
        </w:rPr>
        <w:t>谈判</w:t>
      </w:r>
      <w:r>
        <w:rPr>
          <w:color w:val="auto"/>
          <w:szCs w:val="21"/>
          <w:highlight w:val="none"/>
        </w:rPr>
        <w:t>文件的全部内容，愿意以人民币（大写）</w:t>
      </w:r>
      <w:r>
        <w:rPr>
          <w:color w:val="auto"/>
          <w:szCs w:val="21"/>
          <w:highlight w:val="none"/>
          <w:u w:val="single"/>
        </w:rPr>
        <w:t xml:space="preserve">         </w:t>
      </w:r>
      <w:r>
        <w:rPr>
          <w:color w:val="auto"/>
          <w:szCs w:val="21"/>
          <w:highlight w:val="none"/>
        </w:rPr>
        <w:t>（¥</w:t>
      </w:r>
      <w:r>
        <w:rPr>
          <w:color w:val="auto"/>
          <w:szCs w:val="21"/>
          <w:highlight w:val="none"/>
          <w:u w:val="single"/>
        </w:rPr>
        <w:t xml:space="preserve">           </w:t>
      </w:r>
      <w:r>
        <w:rPr>
          <w:color w:val="auto"/>
          <w:szCs w:val="21"/>
          <w:highlight w:val="none"/>
        </w:rPr>
        <w:t>）的投标总报价，</w:t>
      </w:r>
      <w:r>
        <w:rPr>
          <w:rFonts w:hint="eastAsia"/>
          <w:color w:val="auto"/>
          <w:szCs w:val="21"/>
          <w:highlight w:val="none"/>
        </w:rPr>
        <w:t>工期</w:t>
      </w:r>
      <w:r>
        <w:rPr>
          <w:rFonts w:hint="eastAsia" w:eastAsia="宋体"/>
          <w:color w:val="auto"/>
          <w:szCs w:val="21"/>
          <w:highlight w:val="none"/>
          <w:lang w:val="en-US" w:eastAsia="zh-CN"/>
        </w:rPr>
        <w:t>为</w:t>
      </w:r>
      <w:r>
        <w:rPr>
          <w:rFonts w:hint="eastAsia"/>
          <w:color w:val="auto"/>
          <w:szCs w:val="21"/>
          <w:highlight w:val="none"/>
          <w:u w:val="single"/>
        </w:rPr>
        <w:t xml:space="preserve">          </w:t>
      </w:r>
      <w:r>
        <w:rPr>
          <w:rFonts w:hint="eastAsia"/>
          <w:color w:val="auto"/>
          <w:szCs w:val="21"/>
          <w:highlight w:val="none"/>
        </w:rPr>
        <w:t>，</w:t>
      </w:r>
      <w:r>
        <w:rPr>
          <w:color w:val="auto"/>
          <w:szCs w:val="21"/>
          <w:highlight w:val="none"/>
        </w:rPr>
        <w:t>按合同约定实施和完成承包工程，修补工程中的任何缺陷，工程质量达到</w:t>
      </w:r>
      <w:r>
        <w:rPr>
          <w:color w:val="auto"/>
          <w:szCs w:val="21"/>
          <w:highlight w:val="none"/>
          <w:u w:val="single"/>
        </w:rPr>
        <w:t xml:space="preserve">           </w:t>
      </w:r>
      <w:r>
        <w:rPr>
          <w:color w:val="auto"/>
          <w:szCs w:val="21"/>
          <w:highlight w:val="none"/>
        </w:rPr>
        <w:t>。</w:t>
      </w:r>
    </w:p>
    <w:p w14:paraId="04E82E06">
      <w:pPr>
        <w:spacing w:line="360" w:lineRule="auto"/>
        <w:ind w:firstLine="480" w:firstLineChars="200"/>
        <w:rPr>
          <w:color w:val="auto"/>
          <w:szCs w:val="21"/>
          <w:highlight w:val="none"/>
        </w:rPr>
      </w:pPr>
      <w:r>
        <w:rPr>
          <w:color w:val="auto"/>
          <w:szCs w:val="21"/>
          <w:highlight w:val="none"/>
        </w:rPr>
        <w:t>2．我方承诺在</w:t>
      </w:r>
      <w:r>
        <w:rPr>
          <w:rFonts w:hint="eastAsia"/>
          <w:color w:val="auto"/>
          <w:szCs w:val="21"/>
          <w:highlight w:val="none"/>
          <w:lang w:eastAsia="zh-CN"/>
        </w:rPr>
        <w:t>谈判</w:t>
      </w:r>
      <w:r>
        <w:rPr>
          <w:rFonts w:hint="eastAsia"/>
          <w:color w:val="auto"/>
          <w:szCs w:val="21"/>
          <w:highlight w:val="none"/>
        </w:rPr>
        <w:t>文件规定的</w:t>
      </w:r>
      <w:r>
        <w:rPr>
          <w:color w:val="auto"/>
          <w:szCs w:val="21"/>
          <w:highlight w:val="none"/>
        </w:rPr>
        <w:t>投标有效期内不修改、撤销</w:t>
      </w:r>
      <w:r>
        <w:rPr>
          <w:rFonts w:hint="eastAsia" w:eastAsia="宋体"/>
          <w:color w:val="auto"/>
          <w:szCs w:val="21"/>
          <w:highlight w:val="none"/>
          <w:lang w:eastAsia="zh-CN"/>
        </w:rPr>
        <w:t>响应文件</w:t>
      </w:r>
      <w:r>
        <w:rPr>
          <w:color w:val="auto"/>
          <w:szCs w:val="21"/>
          <w:highlight w:val="none"/>
        </w:rPr>
        <w:t>。</w:t>
      </w:r>
    </w:p>
    <w:p w14:paraId="216117DB">
      <w:pPr>
        <w:spacing w:line="360" w:lineRule="auto"/>
        <w:ind w:firstLine="480" w:firstLineChars="200"/>
        <w:rPr>
          <w:color w:val="auto"/>
          <w:szCs w:val="21"/>
          <w:highlight w:val="none"/>
        </w:rPr>
      </w:pPr>
      <w:r>
        <w:rPr>
          <w:color w:val="auto"/>
          <w:szCs w:val="21"/>
          <w:highlight w:val="none"/>
        </w:rPr>
        <w:t>3．随同本投标函提交投标保证金一份，金额为人民币（大写）</w:t>
      </w:r>
      <w:r>
        <w:rPr>
          <w:color w:val="auto"/>
          <w:szCs w:val="21"/>
          <w:highlight w:val="none"/>
          <w:u w:val="single"/>
        </w:rPr>
        <w:t xml:space="preserve">        </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6BB9E2B8">
      <w:pPr>
        <w:spacing w:line="360" w:lineRule="auto"/>
        <w:ind w:firstLine="480" w:firstLineChars="200"/>
        <w:outlineLvl w:val="1"/>
        <w:rPr>
          <w:color w:val="auto"/>
          <w:szCs w:val="21"/>
          <w:highlight w:val="none"/>
        </w:rPr>
      </w:pPr>
      <w:bookmarkStart w:id="308" w:name="_Toc5608"/>
      <w:bookmarkStart w:id="309" w:name="_Toc18585"/>
      <w:r>
        <w:rPr>
          <w:color w:val="auto"/>
          <w:szCs w:val="21"/>
          <w:highlight w:val="none"/>
        </w:rPr>
        <w:t>4．如我方中标：</w:t>
      </w:r>
      <w:bookmarkEnd w:id="308"/>
      <w:bookmarkEnd w:id="309"/>
    </w:p>
    <w:p w14:paraId="2F62539D">
      <w:pPr>
        <w:spacing w:line="360" w:lineRule="auto"/>
        <w:ind w:firstLine="820" w:firstLineChars="342"/>
        <w:rPr>
          <w:color w:val="auto"/>
          <w:szCs w:val="21"/>
          <w:highlight w:val="none"/>
        </w:rPr>
      </w:pPr>
      <w:r>
        <w:rPr>
          <w:color w:val="auto"/>
          <w:szCs w:val="21"/>
          <w:highlight w:val="none"/>
        </w:rPr>
        <w:t>（1）我方承诺在收到中标通知书后，在中标通知书规定的期限内与你方签订合同。</w:t>
      </w:r>
    </w:p>
    <w:p w14:paraId="5B3B3A59">
      <w:pPr>
        <w:spacing w:line="360" w:lineRule="auto"/>
        <w:ind w:firstLine="820" w:firstLineChars="342"/>
        <w:rPr>
          <w:color w:val="auto"/>
          <w:szCs w:val="21"/>
          <w:highlight w:val="none"/>
        </w:rPr>
      </w:pPr>
      <w:r>
        <w:rPr>
          <w:color w:val="auto"/>
          <w:szCs w:val="21"/>
          <w:highlight w:val="none"/>
        </w:rPr>
        <w:t>（2）随同本投标函递交的投标函附录属于合同文件的组成部分。</w:t>
      </w:r>
    </w:p>
    <w:p w14:paraId="1240FCC7">
      <w:pPr>
        <w:spacing w:line="360" w:lineRule="auto"/>
        <w:ind w:firstLine="820" w:firstLineChars="342"/>
        <w:rPr>
          <w:color w:val="auto"/>
          <w:szCs w:val="21"/>
          <w:highlight w:val="none"/>
        </w:rPr>
      </w:pPr>
      <w:r>
        <w:rPr>
          <w:color w:val="auto"/>
          <w:szCs w:val="21"/>
          <w:highlight w:val="none"/>
        </w:rPr>
        <w:t>（3）我方承诺按照</w:t>
      </w:r>
      <w:r>
        <w:rPr>
          <w:rFonts w:hint="eastAsia"/>
          <w:color w:val="auto"/>
          <w:szCs w:val="21"/>
          <w:highlight w:val="none"/>
          <w:lang w:eastAsia="zh-CN"/>
        </w:rPr>
        <w:t>谈判</w:t>
      </w:r>
      <w:r>
        <w:rPr>
          <w:color w:val="auto"/>
          <w:szCs w:val="21"/>
          <w:highlight w:val="none"/>
        </w:rPr>
        <w:t>文件规定向你方递交履约担保。</w:t>
      </w:r>
    </w:p>
    <w:p w14:paraId="1D46DED8">
      <w:pPr>
        <w:spacing w:line="360" w:lineRule="auto"/>
        <w:ind w:firstLine="820" w:firstLineChars="342"/>
        <w:rPr>
          <w:color w:val="auto"/>
          <w:szCs w:val="21"/>
          <w:highlight w:val="none"/>
        </w:rPr>
      </w:pPr>
      <w:r>
        <w:rPr>
          <w:color w:val="auto"/>
          <w:szCs w:val="21"/>
          <w:highlight w:val="none"/>
        </w:rPr>
        <w:t>（</w:t>
      </w:r>
      <w:r>
        <w:rPr>
          <w:rFonts w:hint="eastAsia"/>
          <w:color w:val="auto"/>
          <w:szCs w:val="21"/>
          <w:highlight w:val="none"/>
        </w:rPr>
        <w:t>4</w:t>
      </w:r>
      <w:r>
        <w:rPr>
          <w:color w:val="auto"/>
          <w:szCs w:val="21"/>
          <w:highlight w:val="none"/>
        </w:rPr>
        <w:t>）我方承诺在合同约定的期限内完成并移交全部合同工程。</w:t>
      </w:r>
    </w:p>
    <w:p w14:paraId="2B4F1A37">
      <w:pPr>
        <w:spacing w:line="360" w:lineRule="auto"/>
        <w:ind w:firstLine="480" w:firstLineChars="200"/>
        <w:rPr>
          <w:color w:val="auto"/>
          <w:szCs w:val="21"/>
          <w:highlight w:val="none"/>
        </w:rPr>
      </w:pPr>
      <w:r>
        <w:rPr>
          <w:color w:val="auto"/>
          <w:szCs w:val="21"/>
          <w:highlight w:val="none"/>
        </w:rPr>
        <w:t>5．</w:t>
      </w:r>
      <w:r>
        <w:rPr>
          <w:rFonts w:hint="eastAsia"/>
          <w:color w:val="auto"/>
          <w:highlight w:val="none"/>
        </w:rPr>
        <w:t>我方在此声明，所递交的</w:t>
      </w:r>
      <w:r>
        <w:rPr>
          <w:rFonts w:hint="eastAsia" w:eastAsia="宋体"/>
          <w:color w:val="auto"/>
          <w:highlight w:val="none"/>
          <w:lang w:eastAsia="zh-CN"/>
        </w:rPr>
        <w:t>响应文件</w:t>
      </w:r>
      <w:r>
        <w:rPr>
          <w:rFonts w:hint="eastAsia"/>
          <w:color w:val="auto"/>
          <w:highlight w:val="none"/>
        </w:rPr>
        <w:t>及有关资料内容完整、真实和准确，且不存在第二章“投标人须知”第1.4.2项和第1.4.3项规定的任何一种情形。</w:t>
      </w:r>
    </w:p>
    <w:p w14:paraId="34176F9E">
      <w:pPr>
        <w:spacing w:line="360" w:lineRule="auto"/>
        <w:ind w:firstLine="480" w:firstLineChars="200"/>
        <w:rPr>
          <w:color w:val="auto"/>
          <w:szCs w:val="21"/>
          <w:highlight w:val="none"/>
        </w:rPr>
      </w:pPr>
      <w:r>
        <w:rPr>
          <w:rFonts w:hint="eastAsia"/>
          <w:color w:val="auto"/>
          <w:szCs w:val="21"/>
          <w:highlight w:val="none"/>
        </w:rPr>
        <w:t>6．其他</w:t>
      </w:r>
      <w:r>
        <w:rPr>
          <w:color w:val="auto"/>
          <w:szCs w:val="21"/>
          <w:highlight w:val="none"/>
        </w:rPr>
        <w:t>补充说明</w:t>
      </w:r>
      <w:r>
        <w:rPr>
          <w:rFonts w:hint="eastAsia"/>
          <w:color w:val="auto"/>
          <w:szCs w:val="21"/>
          <w:highlight w:val="none"/>
        </w:rPr>
        <w:t>：</w:t>
      </w:r>
      <w:r>
        <w:rPr>
          <w:rFonts w:hint="eastAsia" w:ascii="宋体"/>
          <w:b/>
          <w:color w:val="auto"/>
          <w:sz w:val="24"/>
          <w:highlight w:val="none"/>
          <w:u w:val="single"/>
        </w:rPr>
        <w:t>我方按要求向建设主管部门指定帐户交纳民工工资保证金、文明及安全施工保证金等费用。</w:t>
      </w:r>
      <w:r>
        <w:rPr>
          <w:color w:val="auto"/>
          <w:szCs w:val="21"/>
          <w:highlight w:val="none"/>
        </w:rPr>
        <w:t>。</w:t>
      </w:r>
    </w:p>
    <w:p w14:paraId="190DF921">
      <w:pPr>
        <w:pageBreakBefore w:val="0"/>
        <w:kinsoku/>
        <w:wordWrap/>
        <w:overflowPunct/>
        <w:topLinePunct w:val="0"/>
        <w:bidi w:val="0"/>
        <w:spacing w:line="360" w:lineRule="auto"/>
        <w:rPr>
          <w:rFonts w:hint="eastAsia" w:ascii="宋体" w:hAnsi="宋体" w:eastAsia="宋体" w:cs="宋体"/>
          <w:color w:val="auto"/>
          <w:sz w:val="24"/>
          <w:highlight w:val="none"/>
        </w:rPr>
      </w:pPr>
    </w:p>
    <w:p w14:paraId="6AA29AC8">
      <w:pPr>
        <w:pageBreakBefore w:val="0"/>
        <w:kinsoku/>
        <w:wordWrap/>
        <w:overflowPunct/>
        <w:topLinePunct w:val="0"/>
        <w:bidi w:val="0"/>
        <w:spacing w:line="360" w:lineRule="auto"/>
        <w:rPr>
          <w:rFonts w:hint="eastAsia" w:ascii="宋体" w:hAnsi="宋体" w:eastAsia="宋体" w:cs="宋体"/>
          <w:color w:val="auto"/>
          <w:sz w:val="24"/>
          <w:highlight w:val="none"/>
        </w:rPr>
      </w:pPr>
    </w:p>
    <w:p w14:paraId="38C250E2">
      <w:pPr>
        <w:pageBreakBefore w:val="0"/>
        <w:kinsoku/>
        <w:wordWrap/>
        <w:overflowPunct/>
        <w:topLinePunct w:val="0"/>
        <w:bidi w:val="0"/>
        <w:spacing w:line="360" w:lineRule="auto"/>
        <w:ind w:firstLine="48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rPr>
        <w:t xml:space="preserve">(盖章) ：                         </w:t>
      </w:r>
    </w:p>
    <w:p w14:paraId="78263130">
      <w:pPr>
        <w:pageBreakBefore w:val="0"/>
        <w:kinsoku/>
        <w:wordWrap/>
        <w:overflowPunct/>
        <w:topLinePunct w:val="0"/>
        <w:bidi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val="en-US" w:eastAsia="zh-CN"/>
        </w:rPr>
        <w:t>和</w:t>
      </w:r>
      <w:r>
        <w:rPr>
          <w:rFonts w:hint="eastAsia" w:ascii="宋体" w:hAnsi="宋体" w:eastAsia="宋体" w:cs="宋体"/>
          <w:color w:val="auto"/>
          <w:sz w:val="24"/>
          <w:highlight w:val="none"/>
        </w:rPr>
        <w:t>授权代表人：          （签字</w:t>
      </w:r>
      <w:r>
        <w:rPr>
          <w:rFonts w:hint="eastAsia" w:ascii="宋体" w:hAnsi="宋体" w:eastAsia="宋体" w:cs="宋体"/>
          <w:color w:val="auto"/>
          <w:sz w:val="24"/>
          <w:highlight w:val="none"/>
          <w:lang w:eastAsia="zh-CN"/>
        </w:rPr>
        <w:t>或</w:t>
      </w:r>
      <w:r>
        <w:rPr>
          <w:rFonts w:hint="eastAsia" w:ascii="宋体" w:hAnsi="宋体" w:eastAsia="宋体" w:cs="宋体"/>
          <w:color w:val="auto"/>
          <w:sz w:val="24"/>
          <w:highlight w:val="none"/>
        </w:rPr>
        <w:t>盖章）：</w:t>
      </w:r>
    </w:p>
    <w:p w14:paraId="67448CB2">
      <w:pPr>
        <w:pageBreakBefore w:val="0"/>
        <w:kinsoku/>
        <w:wordWrap/>
        <w:overflowPunct/>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p w14:paraId="5ED07367">
      <w:pPr>
        <w:pageBreakBefore w:val="0"/>
        <w:kinsoku/>
        <w:wordWrap/>
        <w:overflowPunct/>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p w14:paraId="4A7226BD">
      <w:pPr>
        <w:pageBreakBefore w:val="0"/>
        <w:kinsoku/>
        <w:wordWrap/>
        <w:overflowPunct/>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p w14:paraId="72D94E90">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33DCC8C">
      <w:pPr>
        <w:pageBreakBefore w:val="0"/>
        <w:kinsoku/>
        <w:wordWrap/>
        <w:overflowPunct/>
        <w:topLinePunct w:val="0"/>
        <w:bidi w:val="0"/>
        <w:spacing w:line="360" w:lineRule="auto"/>
        <w:ind w:firstLine="5520" w:firstLineChars="2300"/>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6FCE6C46">
      <w:pPr>
        <w:pageBreakBefore w:val="0"/>
        <w:kinsoku/>
        <w:wordWrap/>
        <w:overflowPunct/>
        <w:topLinePunct w:val="0"/>
        <w:bidi w:val="0"/>
        <w:spacing w:line="360" w:lineRule="auto"/>
        <w:rPr>
          <w:rFonts w:hint="eastAsia" w:ascii="宋体" w:hAnsi="宋体" w:cs="宋体"/>
          <w:color w:val="auto"/>
          <w:sz w:val="28"/>
          <w:highlight w:val="none"/>
          <w:lang w:val="en-US" w:eastAsia="zh-CN"/>
        </w:rPr>
      </w:pPr>
      <w:r>
        <w:rPr>
          <w:rFonts w:hint="eastAsia" w:ascii="宋体" w:hAnsi="宋体" w:eastAsia="宋体" w:cs="宋体"/>
          <w:color w:val="auto"/>
          <w:sz w:val="24"/>
          <w:highlight w:val="none"/>
        </w:rPr>
        <w:br w:type="page"/>
      </w:r>
    </w:p>
    <w:p w14:paraId="0E55C7FB">
      <w:pPr>
        <w:ind w:firstLine="3082" w:firstLineChars="1100"/>
        <w:jc w:val="both"/>
        <w:outlineLvl w:val="1"/>
        <w:rPr>
          <w:rFonts w:hint="eastAsia" w:ascii="Times New Roman" w:hAnsi="Times New Roman" w:eastAsia="宋体" w:cs="Times New Roman"/>
          <w:b/>
          <w:color w:val="auto"/>
          <w:kern w:val="44"/>
          <w:sz w:val="28"/>
          <w:szCs w:val="36"/>
          <w:highlight w:val="none"/>
          <w:lang w:val="en-US" w:eastAsia="zh-CN" w:bidi="ar-SA"/>
        </w:rPr>
      </w:pPr>
      <w:bookmarkStart w:id="310" w:name="_Toc31843"/>
      <w:bookmarkStart w:id="311" w:name="_Toc12032"/>
      <w:bookmarkStart w:id="312" w:name="_Toc3542"/>
      <w:r>
        <w:rPr>
          <w:rFonts w:hint="eastAsia" w:cs="Times New Roman"/>
          <w:b/>
          <w:color w:val="auto"/>
          <w:kern w:val="44"/>
          <w:sz w:val="28"/>
          <w:szCs w:val="36"/>
          <w:highlight w:val="none"/>
          <w:lang w:val="en-US" w:eastAsia="zh-CN" w:bidi="ar-SA"/>
        </w:rPr>
        <w:t>2、报价</w:t>
      </w:r>
      <w:r>
        <w:rPr>
          <w:rFonts w:hint="eastAsia" w:ascii="Times New Roman" w:hAnsi="Times New Roman" w:eastAsia="宋体" w:cs="Times New Roman"/>
          <w:b/>
          <w:color w:val="auto"/>
          <w:kern w:val="44"/>
          <w:sz w:val="28"/>
          <w:szCs w:val="36"/>
          <w:highlight w:val="none"/>
          <w:lang w:val="en-US" w:eastAsia="zh-CN" w:bidi="ar-SA"/>
        </w:rPr>
        <w:t>一览表</w:t>
      </w:r>
      <w:bookmarkEnd w:id="310"/>
      <w:bookmarkEnd w:id="311"/>
      <w:bookmarkEnd w:id="312"/>
    </w:p>
    <w:p w14:paraId="22D3B107">
      <w:pPr>
        <w:spacing w:line="360" w:lineRule="auto"/>
        <w:rPr>
          <w:rFonts w:ascii="宋体" w:hAnsi="宋体" w:cs="宋体"/>
          <w:color w:val="auto"/>
          <w:highlight w:val="none"/>
        </w:rPr>
      </w:pPr>
      <w:r>
        <w:rPr>
          <w:rFonts w:hint="eastAsia" w:ascii="宋体" w:hAnsi="宋体" w:cs="宋体"/>
          <w:color w:val="auto"/>
          <w:highlight w:val="none"/>
        </w:rPr>
        <w:t xml:space="preserve">                          </w:t>
      </w:r>
    </w:p>
    <w:tbl>
      <w:tblPr>
        <w:tblStyle w:val="25"/>
        <w:tblW w:w="85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96"/>
      </w:tblGrid>
      <w:tr w14:paraId="0BFAF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2660" w:type="dxa"/>
            <w:vAlign w:val="center"/>
          </w:tcPr>
          <w:p w14:paraId="12F859F0">
            <w:pPr>
              <w:spacing w:line="360" w:lineRule="auto"/>
              <w:jc w:val="center"/>
              <w:rPr>
                <w:rFonts w:ascii="宋体" w:hAnsi="宋体" w:cs="宋体"/>
                <w:color w:val="auto"/>
                <w:highlight w:val="none"/>
              </w:rPr>
            </w:pPr>
            <w:r>
              <w:rPr>
                <w:rFonts w:hint="eastAsia" w:ascii="宋体" w:hAnsi="宋体" w:cs="宋体"/>
                <w:color w:val="auto"/>
                <w:highlight w:val="none"/>
                <w:lang w:eastAsia="zh-CN"/>
              </w:rPr>
              <w:t>投标报价</w:t>
            </w:r>
          </w:p>
        </w:tc>
        <w:tc>
          <w:tcPr>
            <w:tcW w:w="5896" w:type="dxa"/>
          </w:tcPr>
          <w:p w14:paraId="29A3DCD1">
            <w:pPr>
              <w:shd w:val="clear" w:color="auto" w:fill="FFFFFF"/>
              <w:spacing w:line="500" w:lineRule="exact"/>
              <w:rPr>
                <w:rFonts w:ascii="宋体" w:hAnsi="宋体"/>
                <w:color w:val="auto"/>
                <w:sz w:val="24"/>
                <w:szCs w:val="24"/>
                <w:highlight w:val="none"/>
              </w:rPr>
            </w:pPr>
            <w:r>
              <w:rPr>
                <w:rFonts w:hint="eastAsia" w:ascii="宋体" w:hAnsi="宋体"/>
                <w:color w:val="auto"/>
                <w:sz w:val="24"/>
                <w:szCs w:val="24"/>
                <w:highlight w:val="none"/>
              </w:rPr>
              <w:t>小写：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w:t>
            </w:r>
          </w:p>
          <w:p w14:paraId="0F8AA626">
            <w:pPr>
              <w:spacing w:line="360" w:lineRule="auto"/>
              <w:rPr>
                <w:rFonts w:hint="eastAsia" w:ascii="宋体" w:hAnsi="宋体" w:eastAsia="宋体" w:cs="宋体"/>
                <w:color w:val="auto"/>
                <w:highlight w:val="none"/>
                <w:lang w:eastAsia="zh-CN"/>
              </w:rPr>
            </w:pPr>
            <w:r>
              <w:rPr>
                <w:rFonts w:hint="eastAsia" w:ascii="宋体" w:hAnsi="宋体"/>
                <w:color w:val="auto"/>
                <w:sz w:val="24"/>
                <w:szCs w:val="24"/>
                <w:highlight w:val="none"/>
              </w:rPr>
              <w:t>大写：</w:t>
            </w:r>
          </w:p>
        </w:tc>
      </w:tr>
      <w:tr w14:paraId="0919F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trPr>
        <w:tc>
          <w:tcPr>
            <w:tcW w:w="2660" w:type="dxa"/>
            <w:vAlign w:val="center"/>
          </w:tcPr>
          <w:p w14:paraId="44545B25">
            <w:pPr>
              <w:tabs>
                <w:tab w:val="left" w:pos="0"/>
              </w:tabs>
              <w:adjustRightInd w:val="0"/>
              <w:snapToGrid w:val="0"/>
              <w:spacing w:line="240" w:lineRule="auto"/>
              <w:jc w:val="center"/>
              <w:rPr>
                <w:rFonts w:ascii="宋体" w:hAnsi="宋体" w:cs="宋体"/>
                <w:color w:val="auto"/>
                <w:highlight w:val="none"/>
              </w:rPr>
            </w:pPr>
            <w:r>
              <w:rPr>
                <w:rFonts w:hint="eastAsia" w:ascii="宋体" w:hAnsi="宋体" w:cs="宋体"/>
                <w:color w:val="auto"/>
                <w:highlight w:val="none"/>
                <w:lang w:val="en-US" w:eastAsia="zh-CN"/>
              </w:rPr>
              <w:t>计划工期</w:t>
            </w:r>
          </w:p>
        </w:tc>
        <w:tc>
          <w:tcPr>
            <w:tcW w:w="5896" w:type="dxa"/>
          </w:tcPr>
          <w:p w14:paraId="1E0BC531">
            <w:pPr>
              <w:spacing w:line="360" w:lineRule="auto"/>
              <w:rPr>
                <w:rFonts w:ascii="宋体" w:hAnsi="宋体" w:cs="宋体"/>
                <w:color w:val="auto"/>
                <w:highlight w:val="none"/>
              </w:rPr>
            </w:pPr>
          </w:p>
        </w:tc>
      </w:tr>
      <w:tr w14:paraId="3CFD5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660" w:type="dxa"/>
            <w:vAlign w:val="center"/>
          </w:tcPr>
          <w:p w14:paraId="1D131796">
            <w:pPr>
              <w:spacing w:line="360" w:lineRule="auto"/>
              <w:jc w:val="center"/>
              <w:rPr>
                <w:rFonts w:hint="default" w:ascii="宋体" w:hAnsi="宋体" w:cs="宋体"/>
                <w:color w:val="auto"/>
                <w:highlight w:val="none"/>
                <w:lang w:val="en-US"/>
              </w:rPr>
            </w:pPr>
            <w:r>
              <w:rPr>
                <w:rFonts w:hint="eastAsia" w:ascii="宋体" w:hAnsi="宋体" w:cs="宋体"/>
                <w:color w:val="auto"/>
                <w:highlight w:val="none"/>
                <w:lang w:val="en-US" w:eastAsia="zh-CN"/>
              </w:rPr>
              <w:t>质量标准</w:t>
            </w:r>
          </w:p>
        </w:tc>
        <w:tc>
          <w:tcPr>
            <w:tcW w:w="5896" w:type="dxa"/>
          </w:tcPr>
          <w:p w14:paraId="1BD3BCF9">
            <w:pPr>
              <w:spacing w:line="360" w:lineRule="auto"/>
              <w:rPr>
                <w:rFonts w:ascii="宋体" w:hAnsi="宋体" w:cs="宋体"/>
                <w:color w:val="auto"/>
                <w:highlight w:val="none"/>
              </w:rPr>
            </w:pPr>
          </w:p>
        </w:tc>
      </w:tr>
      <w:tr w14:paraId="3F431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660" w:type="dxa"/>
            <w:vAlign w:val="center"/>
          </w:tcPr>
          <w:p w14:paraId="1DAA90D4">
            <w:pPr>
              <w:spacing w:line="360" w:lineRule="auto"/>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项目负责人</w:t>
            </w:r>
          </w:p>
        </w:tc>
        <w:tc>
          <w:tcPr>
            <w:tcW w:w="5896" w:type="dxa"/>
          </w:tcPr>
          <w:p w14:paraId="4E14DE26">
            <w:pPr>
              <w:spacing w:line="360" w:lineRule="auto"/>
              <w:rPr>
                <w:rFonts w:hint="eastAsia" w:ascii="宋体" w:hAnsi="宋体" w:eastAsia="宋体" w:cs="宋体"/>
                <w:color w:val="auto"/>
                <w:highlight w:val="none"/>
                <w:lang w:eastAsia="zh-CN"/>
              </w:rPr>
            </w:pPr>
          </w:p>
        </w:tc>
      </w:tr>
      <w:tr w14:paraId="69AC6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trPr>
        <w:tc>
          <w:tcPr>
            <w:tcW w:w="2660" w:type="dxa"/>
            <w:vAlign w:val="center"/>
          </w:tcPr>
          <w:p w14:paraId="26DC1ABB">
            <w:pPr>
              <w:keepNext w:val="0"/>
              <w:keepLines w:val="0"/>
              <w:pageBreakBefore w:val="0"/>
              <w:widowControl w:val="0"/>
              <w:kinsoku/>
              <w:wordWrap/>
              <w:overflowPunct/>
              <w:topLinePunct w:val="0"/>
              <w:autoSpaceDE/>
              <w:autoSpaceDN/>
              <w:bidi w:val="0"/>
              <w:adjustRightInd/>
              <w:snapToGrid/>
              <w:spacing w:line="360" w:lineRule="exact"/>
              <w:ind w:right="-48" w:rightChars="-2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谈判响应文件</w:t>
            </w:r>
          </w:p>
          <w:p w14:paraId="4A64D062">
            <w:pPr>
              <w:spacing w:line="360" w:lineRule="auto"/>
              <w:jc w:val="center"/>
              <w:rPr>
                <w:rFonts w:hint="eastAsia" w:ascii="宋体" w:hAnsi="宋体" w:cs="宋体"/>
                <w:color w:val="auto"/>
                <w:highlight w:val="none"/>
                <w:lang w:val="en-US" w:eastAsia="zh-CN"/>
              </w:rPr>
            </w:pPr>
            <w:r>
              <w:rPr>
                <w:rFonts w:hint="eastAsia" w:asciiTheme="minorEastAsia" w:hAnsiTheme="minorEastAsia" w:eastAsiaTheme="minorEastAsia" w:cstheme="minorEastAsia"/>
                <w:color w:val="auto"/>
                <w:sz w:val="24"/>
                <w:szCs w:val="24"/>
                <w:highlight w:val="none"/>
              </w:rPr>
              <w:t>有效期</w:t>
            </w:r>
          </w:p>
        </w:tc>
        <w:tc>
          <w:tcPr>
            <w:tcW w:w="5896" w:type="dxa"/>
          </w:tcPr>
          <w:p w14:paraId="42903C83">
            <w:pPr>
              <w:spacing w:line="360" w:lineRule="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90天</w:t>
            </w:r>
          </w:p>
        </w:tc>
      </w:tr>
      <w:tr w14:paraId="6C695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2660" w:type="dxa"/>
            <w:vAlign w:val="center"/>
          </w:tcPr>
          <w:p w14:paraId="52E10C42">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备注</w:t>
            </w:r>
          </w:p>
        </w:tc>
        <w:tc>
          <w:tcPr>
            <w:tcW w:w="5896" w:type="dxa"/>
          </w:tcPr>
          <w:p w14:paraId="3A3F01B0">
            <w:pPr>
              <w:spacing w:line="360" w:lineRule="auto"/>
              <w:rPr>
                <w:rFonts w:ascii="宋体" w:hAnsi="宋体" w:cs="宋体"/>
                <w:color w:val="auto"/>
                <w:highlight w:val="none"/>
              </w:rPr>
            </w:pPr>
          </w:p>
        </w:tc>
      </w:tr>
    </w:tbl>
    <w:p w14:paraId="02714161">
      <w:pPr>
        <w:spacing w:line="360" w:lineRule="auto"/>
        <w:ind w:firstLine="480" w:firstLineChars="200"/>
        <w:rPr>
          <w:rFonts w:ascii="宋体" w:hAnsi="宋体" w:cs="宋体"/>
          <w:color w:val="auto"/>
          <w:highlight w:val="none"/>
        </w:rPr>
      </w:pPr>
    </w:p>
    <w:p w14:paraId="05F48617">
      <w:pPr>
        <w:spacing w:line="360" w:lineRule="auto"/>
        <w:rPr>
          <w:rFonts w:hint="eastAsia" w:ascii="宋体" w:hAnsi="宋体" w:cs="宋体"/>
          <w:color w:val="auto"/>
          <w:highlight w:val="none"/>
        </w:rPr>
      </w:pPr>
    </w:p>
    <w:p w14:paraId="74F780BE">
      <w:pPr>
        <w:spacing w:line="360" w:lineRule="auto"/>
        <w:ind w:firstLine="240" w:firstLineChars="100"/>
        <w:rPr>
          <w:rFonts w:ascii="宋体" w:hAnsi="宋体" w:cs="宋体"/>
          <w:color w:val="auto"/>
          <w:highlight w:val="none"/>
        </w:rPr>
      </w:pPr>
      <w:r>
        <w:rPr>
          <w:rFonts w:hint="eastAsia" w:ascii="宋体" w:hAnsi="宋体" w:cs="宋体"/>
          <w:color w:val="auto"/>
          <w:highlight w:val="none"/>
        </w:rPr>
        <w:t>注：1..投标一览表中投标总报价大小应写一致，如不一致以大写</w:t>
      </w:r>
      <w:r>
        <w:rPr>
          <w:rFonts w:hint="eastAsia" w:ascii="宋体" w:hAnsi="宋体" w:cs="宋体"/>
          <w:color w:val="auto"/>
          <w:highlight w:val="none"/>
          <w:lang w:eastAsia="zh-CN"/>
        </w:rPr>
        <w:t>金额</w:t>
      </w:r>
      <w:r>
        <w:rPr>
          <w:rFonts w:hint="eastAsia" w:ascii="宋体" w:hAnsi="宋体" w:cs="宋体"/>
          <w:color w:val="auto"/>
          <w:highlight w:val="none"/>
        </w:rPr>
        <w:t>为准。</w:t>
      </w:r>
    </w:p>
    <w:p w14:paraId="6C37C887">
      <w:pPr>
        <w:pageBreakBefore w:val="0"/>
        <w:kinsoku/>
        <w:wordWrap/>
        <w:overflowPunct/>
        <w:topLinePunct w:val="0"/>
        <w:bidi w:val="0"/>
        <w:spacing w:line="360" w:lineRule="auto"/>
        <w:ind w:firstLine="480" w:firstLineChars="200"/>
        <w:rPr>
          <w:rFonts w:hint="eastAsia" w:ascii="宋体" w:hAnsi="宋体" w:eastAsia="宋体" w:cs="宋体"/>
          <w:color w:val="auto"/>
          <w:sz w:val="24"/>
          <w:highlight w:val="none"/>
        </w:rPr>
      </w:pPr>
    </w:p>
    <w:p w14:paraId="2F21B4FA">
      <w:pPr>
        <w:pageBreakBefore w:val="0"/>
        <w:kinsoku/>
        <w:wordWrap/>
        <w:overflowPunct/>
        <w:topLinePunct w:val="0"/>
        <w:bidi w:val="0"/>
        <w:spacing w:line="360" w:lineRule="auto"/>
        <w:ind w:firstLine="480" w:firstLineChars="200"/>
        <w:rPr>
          <w:rFonts w:hint="eastAsia" w:ascii="宋体" w:hAnsi="宋体" w:eastAsia="宋体" w:cs="宋体"/>
          <w:color w:val="auto"/>
          <w:sz w:val="24"/>
          <w:highlight w:val="none"/>
        </w:rPr>
      </w:pPr>
    </w:p>
    <w:p w14:paraId="7968A849">
      <w:pPr>
        <w:keepNext w:val="0"/>
        <w:keepLines w:val="0"/>
        <w:pageBreakBefore w:val="0"/>
        <w:widowControl w:val="0"/>
        <w:kinsoku/>
        <w:wordWrap/>
        <w:overflowPunct/>
        <w:topLinePunct w:val="0"/>
        <w:autoSpaceDE/>
        <w:autoSpaceDN/>
        <w:bidi w:val="0"/>
        <w:adjustRightInd/>
        <w:snapToGrid/>
        <w:spacing w:line="500" w:lineRule="exact"/>
        <w:ind w:left="2640" w:leftChars="1100" w:firstLine="2400" w:firstLineChars="1000"/>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p>
    <w:p w14:paraId="65C7659D">
      <w:pPr>
        <w:keepNext w:val="0"/>
        <w:keepLines w:val="0"/>
        <w:pageBreakBefore w:val="0"/>
        <w:widowControl w:val="0"/>
        <w:kinsoku/>
        <w:wordWrap/>
        <w:overflowPunct/>
        <w:topLinePunct w:val="0"/>
        <w:autoSpaceDE/>
        <w:autoSpaceDN/>
        <w:bidi w:val="0"/>
        <w:adjustRightInd/>
        <w:snapToGrid/>
        <w:spacing w:line="500" w:lineRule="exact"/>
        <w:ind w:firstLine="1920" w:firstLineChars="8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盖章</w:t>
      </w:r>
      <w:r>
        <w:rPr>
          <w:rFonts w:hint="eastAsia" w:ascii="宋体" w:hAnsi="宋体" w:eastAsia="宋体" w:cs="宋体"/>
          <w:color w:val="auto"/>
          <w:sz w:val="24"/>
          <w:highlight w:val="none"/>
        </w:rPr>
        <w:t xml:space="preserve">）   </w:t>
      </w:r>
    </w:p>
    <w:p w14:paraId="25E1C1CB">
      <w:pPr>
        <w:keepNext w:val="0"/>
        <w:keepLines w:val="0"/>
        <w:pageBreakBefore w:val="0"/>
        <w:widowControl w:val="0"/>
        <w:kinsoku/>
        <w:wordWrap/>
        <w:overflowPunct/>
        <w:topLinePunct w:val="0"/>
        <w:autoSpaceDE/>
        <w:autoSpaceDN/>
        <w:bidi w:val="0"/>
        <w:adjustRightInd/>
        <w:snapToGrid/>
        <w:spacing w:line="500" w:lineRule="exact"/>
        <w:ind w:firstLine="1920" w:firstLineChars="8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val="en-US" w:eastAsia="zh-CN"/>
        </w:rPr>
        <w:t>和</w:t>
      </w:r>
      <w:r>
        <w:rPr>
          <w:rFonts w:hint="eastAsia" w:ascii="宋体" w:hAnsi="宋体" w:eastAsia="宋体" w:cs="宋体"/>
          <w:color w:val="auto"/>
          <w:sz w:val="24"/>
          <w:highlight w:val="none"/>
        </w:rPr>
        <w:t>授权代表人：</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（签字盖章） </w:t>
      </w:r>
    </w:p>
    <w:p w14:paraId="572C5957">
      <w:pPr>
        <w:pageBreakBefore w:val="0"/>
        <w:kinsoku/>
        <w:wordWrap/>
        <w:overflowPunct/>
        <w:topLinePunct w:val="0"/>
        <w:bidi w:val="0"/>
        <w:spacing w:line="360" w:lineRule="auto"/>
        <w:ind w:firstLine="5040" w:firstLineChars="21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14:paraId="587BC463">
      <w:pPr>
        <w:pageBreakBefore w:val="0"/>
        <w:kinsoku/>
        <w:wordWrap/>
        <w:overflowPunct/>
        <w:topLinePunct w:val="0"/>
        <w:bidi w:val="0"/>
        <w:spacing w:line="360" w:lineRule="auto"/>
        <w:ind w:firstLine="5520" w:firstLineChars="2300"/>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1F846057">
      <w:pPr>
        <w:jc w:val="center"/>
        <w:outlineLvl w:val="9"/>
        <w:rPr>
          <w:rFonts w:hint="eastAsia" w:ascii="宋体" w:hAnsi="宋体" w:cs="宋体"/>
          <w:b/>
          <w:bCs/>
          <w:color w:val="auto"/>
          <w:sz w:val="24"/>
          <w:highlight w:val="none"/>
          <w:lang w:val="en-US" w:eastAsia="zh-CN"/>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br w:type="page"/>
      </w:r>
      <w:bookmarkStart w:id="313" w:name="_Toc10982"/>
      <w:bookmarkStart w:id="314" w:name="_Toc4906"/>
      <w:bookmarkStart w:id="315" w:name="_Toc16805"/>
    </w:p>
    <w:bookmarkEnd w:id="313"/>
    <w:bookmarkEnd w:id="314"/>
    <w:bookmarkEnd w:id="315"/>
    <w:p w14:paraId="30D77418">
      <w:pPr>
        <w:pStyle w:val="8"/>
        <w:pageBreakBefore w:val="0"/>
        <w:numPr>
          <w:ilvl w:val="0"/>
          <w:numId w:val="8"/>
        </w:numPr>
        <w:kinsoku/>
        <w:wordWrap/>
        <w:overflowPunct/>
        <w:topLinePunct w:val="0"/>
        <w:bidi w:val="0"/>
        <w:spacing w:line="360" w:lineRule="auto"/>
        <w:ind w:firstLine="3092" w:firstLineChars="1100"/>
        <w:jc w:val="both"/>
        <w:rPr>
          <w:rFonts w:hint="eastAsia" w:ascii="宋体" w:hAnsi="宋体" w:cs="宋体"/>
          <w:color w:val="auto"/>
          <w:sz w:val="28"/>
          <w:highlight w:val="none"/>
          <w:lang w:val="en-US" w:eastAsia="zh-CN"/>
        </w:rPr>
      </w:pPr>
      <w:bookmarkStart w:id="316" w:name="_Toc3251"/>
      <w:bookmarkStart w:id="317" w:name="_Toc1702"/>
      <w:bookmarkStart w:id="318" w:name="_Toc29190"/>
      <w:r>
        <w:rPr>
          <w:rFonts w:hint="eastAsia" w:ascii="宋体" w:hAnsi="宋体" w:cs="宋体"/>
          <w:color w:val="auto"/>
          <w:sz w:val="28"/>
          <w:highlight w:val="none"/>
          <w:lang w:val="en-US" w:eastAsia="zh-CN"/>
        </w:rPr>
        <w:t>经济标报价明细</w:t>
      </w:r>
      <w:bookmarkEnd w:id="316"/>
    </w:p>
    <w:p w14:paraId="05C65710">
      <w:pPr>
        <w:rPr>
          <w:rFonts w:hint="eastAsia" w:ascii="宋体" w:hAnsi="宋体" w:cs="宋体"/>
          <w:color w:val="auto"/>
          <w:sz w:val="28"/>
          <w:highlight w:val="none"/>
          <w:lang w:val="en-US" w:eastAsia="zh-CN"/>
        </w:rPr>
      </w:pPr>
    </w:p>
    <w:p w14:paraId="569C7B46">
      <w:pPr>
        <w:pStyle w:val="8"/>
        <w:ind w:firstLine="3614" w:firstLineChars="1500"/>
        <w:jc w:val="both"/>
        <w:outlineLvl w:val="2"/>
        <w:rPr>
          <w:rFonts w:hint="default" w:ascii="宋体" w:hAnsi="宋体" w:cs="宋体"/>
          <w:b/>
          <w:bCs w:val="0"/>
          <w:color w:val="auto"/>
          <w:sz w:val="24"/>
          <w:szCs w:val="24"/>
          <w:highlight w:val="none"/>
          <w:lang w:val="en-US" w:eastAsia="zh-CN"/>
        </w:rPr>
      </w:pPr>
      <w:bookmarkStart w:id="319" w:name="_Toc2585"/>
      <w:bookmarkStart w:id="320" w:name="_Toc5711"/>
      <w:r>
        <w:rPr>
          <w:rFonts w:hint="eastAsia" w:ascii="宋体" w:hAnsi="宋体" w:cs="宋体"/>
          <w:b/>
          <w:bCs w:val="0"/>
          <w:color w:val="auto"/>
          <w:sz w:val="24"/>
          <w:szCs w:val="24"/>
          <w:highlight w:val="none"/>
          <w:lang w:val="en-US" w:eastAsia="zh-CN"/>
        </w:rPr>
        <w:t>按工程量清单报价</w:t>
      </w:r>
      <w:bookmarkEnd w:id="319"/>
      <w:bookmarkEnd w:id="320"/>
    </w:p>
    <w:p w14:paraId="3CC0E376">
      <w:pPr>
        <w:rPr>
          <w:rFonts w:hint="eastAsia" w:ascii="宋体" w:hAnsi="宋体" w:cs="宋体"/>
          <w:color w:val="auto"/>
          <w:sz w:val="28"/>
          <w:highlight w:val="none"/>
          <w:lang w:val="en-US" w:eastAsia="zh-CN"/>
        </w:rPr>
      </w:pPr>
    </w:p>
    <w:p w14:paraId="6DDD77B5">
      <w:pPr>
        <w:pStyle w:val="8"/>
        <w:outlineLvl w:val="9"/>
        <w:rPr>
          <w:rFonts w:hint="eastAsia" w:ascii="宋体" w:hAnsi="宋体" w:cs="宋体"/>
          <w:color w:val="auto"/>
          <w:sz w:val="28"/>
          <w:highlight w:val="none"/>
          <w:lang w:val="en-US" w:eastAsia="zh-CN"/>
        </w:rPr>
      </w:pPr>
    </w:p>
    <w:p w14:paraId="29B53065">
      <w:pPr>
        <w:rPr>
          <w:rFonts w:hint="eastAsia" w:ascii="宋体" w:hAnsi="宋体" w:cs="宋体"/>
          <w:color w:val="auto"/>
          <w:sz w:val="28"/>
          <w:highlight w:val="none"/>
          <w:lang w:val="en-US" w:eastAsia="zh-CN"/>
        </w:rPr>
      </w:pPr>
    </w:p>
    <w:p w14:paraId="4C5F7629">
      <w:pPr>
        <w:pStyle w:val="8"/>
        <w:outlineLvl w:val="9"/>
        <w:rPr>
          <w:rFonts w:hint="eastAsia" w:ascii="宋体" w:hAnsi="宋体" w:cs="宋体"/>
          <w:color w:val="auto"/>
          <w:sz w:val="28"/>
          <w:highlight w:val="none"/>
          <w:lang w:val="en-US" w:eastAsia="zh-CN"/>
        </w:rPr>
      </w:pPr>
    </w:p>
    <w:p w14:paraId="76E75780">
      <w:pPr>
        <w:rPr>
          <w:rFonts w:hint="eastAsia" w:ascii="宋体" w:hAnsi="宋体" w:cs="宋体"/>
          <w:color w:val="auto"/>
          <w:sz w:val="28"/>
          <w:highlight w:val="none"/>
          <w:lang w:val="en-US" w:eastAsia="zh-CN"/>
        </w:rPr>
      </w:pPr>
    </w:p>
    <w:p w14:paraId="4C0BD8C6">
      <w:pPr>
        <w:pStyle w:val="8"/>
        <w:outlineLvl w:val="9"/>
        <w:rPr>
          <w:rFonts w:hint="eastAsia" w:ascii="宋体" w:hAnsi="宋体" w:cs="宋体"/>
          <w:color w:val="auto"/>
          <w:sz w:val="28"/>
          <w:highlight w:val="none"/>
          <w:lang w:val="en-US" w:eastAsia="zh-CN"/>
        </w:rPr>
      </w:pPr>
    </w:p>
    <w:p w14:paraId="32F44E17">
      <w:pPr>
        <w:rPr>
          <w:rFonts w:hint="eastAsia" w:ascii="宋体" w:hAnsi="宋体" w:cs="宋体"/>
          <w:color w:val="auto"/>
          <w:sz w:val="28"/>
          <w:highlight w:val="none"/>
          <w:lang w:val="en-US" w:eastAsia="zh-CN"/>
        </w:rPr>
      </w:pPr>
    </w:p>
    <w:p w14:paraId="241A079B">
      <w:pPr>
        <w:pStyle w:val="8"/>
        <w:outlineLvl w:val="9"/>
        <w:rPr>
          <w:rFonts w:hint="eastAsia" w:ascii="宋体" w:hAnsi="宋体" w:cs="宋体"/>
          <w:color w:val="auto"/>
          <w:sz w:val="28"/>
          <w:highlight w:val="none"/>
          <w:lang w:val="en-US" w:eastAsia="zh-CN"/>
        </w:rPr>
      </w:pPr>
    </w:p>
    <w:p w14:paraId="3708720B">
      <w:pPr>
        <w:rPr>
          <w:rFonts w:hint="eastAsia" w:ascii="宋体" w:hAnsi="宋体" w:cs="宋体"/>
          <w:color w:val="auto"/>
          <w:sz w:val="28"/>
          <w:highlight w:val="none"/>
          <w:lang w:val="en-US" w:eastAsia="zh-CN"/>
        </w:rPr>
      </w:pPr>
    </w:p>
    <w:p w14:paraId="53FE301F">
      <w:pPr>
        <w:pStyle w:val="8"/>
        <w:outlineLvl w:val="9"/>
        <w:rPr>
          <w:rFonts w:hint="eastAsia" w:ascii="宋体" w:hAnsi="宋体" w:cs="宋体"/>
          <w:color w:val="auto"/>
          <w:sz w:val="28"/>
          <w:highlight w:val="none"/>
          <w:lang w:val="en-US" w:eastAsia="zh-CN"/>
        </w:rPr>
      </w:pPr>
    </w:p>
    <w:p w14:paraId="19188A20">
      <w:pPr>
        <w:rPr>
          <w:rFonts w:hint="eastAsia" w:ascii="宋体" w:hAnsi="宋体" w:cs="宋体"/>
          <w:color w:val="auto"/>
          <w:sz w:val="28"/>
          <w:highlight w:val="none"/>
          <w:lang w:val="en-US" w:eastAsia="zh-CN"/>
        </w:rPr>
      </w:pPr>
    </w:p>
    <w:p w14:paraId="29D7EC9E">
      <w:pPr>
        <w:pStyle w:val="8"/>
        <w:outlineLvl w:val="9"/>
        <w:rPr>
          <w:rFonts w:hint="eastAsia"/>
          <w:color w:val="auto"/>
          <w:highlight w:val="none"/>
          <w:lang w:val="en-US" w:eastAsia="zh-CN"/>
        </w:rPr>
      </w:pPr>
    </w:p>
    <w:p w14:paraId="3DDF68BA">
      <w:pPr>
        <w:pStyle w:val="8"/>
        <w:outlineLvl w:val="9"/>
        <w:rPr>
          <w:rFonts w:hint="eastAsia"/>
          <w:color w:val="auto"/>
          <w:highlight w:val="none"/>
          <w:lang w:val="en-US" w:eastAsia="zh-CN"/>
        </w:rPr>
      </w:pPr>
    </w:p>
    <w:p w14:paraId="77BD7633">
      <w:pPr>
        <w:rPr>
          <w:rFonts w:hint="eastAsia"/>
          <w:color w:val="auto"/>
          <w:highlight w:val="none"/>
          <w:lang w:val="en-US" w:eastAsia="zh-CN"/>
        </w:rPr>
      </w:pPr>
    </w:p>
    <w:p w14:paraId="6BC5DC8E">
      <w:pPr>
        <w:pStyle w:val="8"/>
        <w:pageBreakBefore w:val="0"/>
        <w:numPr>
          <w:ilvl w:val="0"/>
          <w:numId w:val="8"/>
        </w:numPr>
        <w:kinsoku/>
        <w:wordWrap/>
        <w:overflowPunct/>
        <w:topLinePunct w:val="0"/>
        <w:bidi w:val="0"/>
        <w:spacing w:line="360" w:lineRule="auto"/>
        <w:ind w:firstLine="3092" w:firstLineChars="1100"/>
        <w:jc w:val="both"/>
        <w:rPr>
          <w:rFonts w:hint="eastAsia" w:ascii="宋体" w:hAnsi="宋体" w:eastAsia="宋体" w:cs="宋体"/>
          <w:b/>
          <w:color w:val="auto"/>
          <w:sz w:val="28"/>
          <w:szCs w:val="28"/>
          <w:highlight w:val="none"/>
        </w:rPr>
      </w:pPr>
      <w:bookmarkStart w:id="321" w:name="_Toc20749"/>
      <w:r>
        <w:rPr>
          <w:rFonts w:hint="eastAsia" w:ascii="宋体" w:hAnsi="宋体" w:eastAsia="宋体" w:cs="宋体"/>
          <w:color w:val="auto"/>
          <w:sz w:val="28"/>
          <w:highlight w:val="none"/>
        </w:rPr>
        <w:t>商务条款偏离表</w:t>
      </w:r>
      <w:bookmarkEnd w:id="317"/>
      <w:bookmarkEnd w:id="318"/>
      <w:bookmarkEnd w:id="321"/>
    </w:p>
    <w:p w14:paraId="5845FA0B">
      <w:pPr>
        <w:pageBreakBefore w:val="0"/>
        <w:kinsoku/>
        <w:wordWrap/>
        <w:overflowPunct/>
        <w:topLinePunct w:val="0"/>
        <w:bidi w:val="0"/>
        <w:spacing w:line="360" w:lineRule="auto"/>
        <w:ind w:firstLine="120" w:firstLineChars="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报价人</w:t>
      </w:r>
      <w:r>
        <w:rPr>
          <w:rFonts w:hint="eastAsia" w:asciiTheme="minorEastAsia" w:hAnsiTheme="minorEastAsia" w:eastAsiaTheme="minorEastAsia" w:cstheme="minorEastAsia"/>
          <w:color w:val="auto"/>
          <w:sz w:val="24"/>
          <w:szCs w:val="24"/>
          <w:highlight w:val="none"/>
        </w:rPr>
        <w:t xml:space="preserve">名称：                     </w:t>
      </w:r>
    </w:p>
    <w:tbl>
      <w:tblPr>
        <w:tblStyle w:val="25"/>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14:paraId="7D1E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14:paraId="5EC274D5">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705" w:type="dxa"/>
            <w:vAlign w:val="center"/>
          </w:tcPr>
          <w:p w14:paraId="1B4B812B">
            <w:pPr>
              <w:pageBreakBefore w:val="0"/>
              <w:kinsoku/>
              <w:wordWrap/>
              <w:overflowPunct/>
              <w:topLinePunct w:val="0"/>
              <w:bidi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商务条款名称</w:t>
            </w:r>
          </w:p>
        </w:tc>
        <w:tc>
          <w:tcPr>
            <w:tcW w:w="2177" w:type="dxa"/>
            <w:vAlign w:val="center"/>
          </w:tcPr>
          <w:p w14:paraId="1DBE5D79">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谈判文件</w:t>
            </w:r>
            <w:r>
              <w:rPr>
                <w:rFonts w:hint="eastAsia" w:asciiTheme="minorEastAsia" w:hAnsiTheme="minorEastAsia" w:eastAsiaTheme="minorEastAsia" w:cstheme="minorEastAsia"/>
                <w:color w:val="auto"/>
                <w:sz w:val="24"/>
                <w:szCs w:val="24"/>
                <w:highlight w:val="none"/>
              </w:rPr>
              <w:t>的</w:t>
            </w:r>
          </w:p>
          <w:p w14:paraId="015B327F">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商务条款</w:t>
            </w:r>
          </w:p>
        </w:tc>
        <w:tc>
          <w:tcPr>
            <w:tcW w:w="2215" w:type="dxa"/>
            <w:vAlign w:val="center"/>
          </w:tcPr>
          <w:p w14:paraId="6A48EDBC">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谈判响应文件</w:t>
            </w:r>
            <w:r>
              <w:rPr>
                <w:rFonts w:hint="eastAsia" w:asciiTheme="minorEastAsia" w:hAnsiTheme="minorEastAsia" w:eastAsiaTheme="minorEastAsia" w:cstheme="minorEastAsia"/>
                <w:color w:val="auto"/>
                <w:sz w:val="24"/>
                <w:szCs w:val="24"/>
                <w:highlight w:val="none"/>
              </w:rPr>
              <w:t>的</w:t>
            </w:r>
          </w:p>
          <w:p w14:paraId="3B81A9C4">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商务条款</w:t>
            </w:r>
          </w:p>
        </w:tc>
        <w:tc>
          <w:tcPr>
            <w:tcW w:w="1706" w:type="dxa"/>
            <w:vAlign w:val="center"/>
          </w:tcPr>
          <w:p w14:paraId="1CB40DAB">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tc>
      </w:tr>
      <w:tr w14:paraId="029D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14:paraId="48A671F8">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705" w:type="dxa"/>
            <w:vAlign w:val="center"/>
          </w:tcPr>
          <w:p w14:paraId="0A6B0DA5">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rPr>
            </w:pPr>
          </w:p>
        </w:tc>
        <w:tc>
          <w:tcPr>
            <w:tcW w:w="2177" w:type="dxa"/>
            <w:vAlign w:val="center"/>
          </w:tcPr>
          <w:p w14:paraId="09AE473B">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rPr>
            </w:pPr>
          </w:p>
        </w:tc>
        <w:tc>
          <w:tcPr>
            <w:tcW w:w="2215" w:type="dxa"/>
            <w:vAlign w:val="center"/>
          </w:tcPr>
          <w:p w14:paraId="01BA52B3">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rPr>
            </w:pPr>
          </w:p>
        </w:tc>
        <w:tc>
          <w:tcPr>
            <w:tcW w:w="1706" w:type="dxa"/>
            <w:vAlign w:val="center"/>
          </w:tcPr>
          <w:p w14:paraId="1702C164">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rPr>
            </w:pPr>
          </w:p>
        </w:tc>
      </w:tr>
      <w:tr w14:paraId="6C7FB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14:paraId="595B600C">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705" w:type="dxa"/>
            <w:vAlign w:val="center"/>
          </w:tcPr>
          <w:p w14:paraId="2B586863">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rPr>
            </w:pPr>
          </w:p>
        </w:tc>
        <w:tc>
          <w:tcPr>
            <w:tcW w:w="2177" w:type="dxa"/>
            <w:vAlign w:val="center"/>
          </w:tcPr>
          <w:p w14:paraId="22C4ADDA">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rPr>
            </w:pPr>
          </w:p>
        </w:tc>
        <w:tc>
          <w:tcPr>
            <w:tcW w:w="2215" w:type="dxa"/>
            <w:vAlign w:val="center"/>
          </w:tcPr>
          <w:p w14:paraId="673C50C7">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rPr>
            </w:pPr>
          </w:p>
        </w:tc>
        <w:tc>
          <w:tcPr>
            <w:tcW w:w="1706" w:type="dxa"/>
            <w:vAlign w:val="center"/>
          </w:tcPr>
          <w:p w14:paraId="2DE0B95D">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rPr>
            </w:pPr>
          </w:p>
        </w:tc>
      </w:tr>
      <w:tr w14:paraId="38538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14:paraId="7AA7F0FE">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705" w:type="dxa"/>
            <w:vAlign w:val="center"/>
          </w:tcPr>
          <w:p w14:paraId="7AF00E70">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rPr>
            </w:pPr>
          </w:p>
        </w:tc>
        <w:tc>
          <w:tcPr>
            <w:tcW w:w="2177" w:type="dxa"/>
            <w:vAlign w:val="center"/>
          </w:tcPr>
          <w:p w14:paraId="0150B079">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rPr>
            </w:pPr>
          </w:p>
        </w:tc>
        <w:tc>
          <w:tcPr>
            <w:tcW w:w="2215" w:type="dxa"/>
            <w:vAlign w:val="center"/>
          </w:tcPr>
          <w:p w14:paraId="6BFBDB0C">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rPr>
            </w:pPr>
          </w:p>
        </w:tc>
        <w:tc>
          <w:tcPr>
            <w:tcW w:w="1706" w:type="dxa"/>
            <w:vAlign w:val="center"/>
          </w:tcPr>
          <w:p w14:paraId="73F71EA5">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rPr>
            </w:pPr>
          </w:p>
        </w:tc>
      </w:tr>
      <w:tr w14:paraId="79D7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14:paraId="1F3FC82F">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705" w:type="dxa"/>
            <w:vAlign w:val="center"/>
          </w:tcPr>
          <w:p w14:paraId="00B144F4">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rPr>
            </w:pPr>
          </w:p>
        </w:tc>
        <w:tc>
          <w:tcPr>
            <w:tcW w:w="2177" w:type="dxa"/>
            <w:vAlign w:val="center"/>
          </w:tcPr>
          <w:p w14:paraId="3D0601AA">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rPr>
            </w:pPr>
          </w:p>
        </w:tc>
        <w:tc>
          <w:tcPr>
            <w:tcW w:w="2215" w:type="dxa"/>
            <w:vAlign w:val="center"/>
          </w:tcPr>
          <w:p w14:paraId="39024520">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rPr>
            </w:pPr>
          </w:p>
        </w:tc>
        <w:tc>
          <w:tcPr>
            <w:tcW w:w="1706" w:type="dxa"/>
            <w:vAlign w:val="center"/>
          </w:tcPr>
          <w:p w14:paraId="6976BC19">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rPr>
            </w:pPr>
          </w:p>
        </w:tc>
      </w:tr>
      <w:tr w14:paraId="1B37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14:paraId="2AEFD683">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rPr>
            </w:pPr>
          </w:p>
        </w:tc>
        <w:tc>
          <w:tcPr>
            <w:tcW w:w="1705" w:type="dxa"/>
            <w:vAlign w:val="center"/>
          </w:tcPr>
          <w:p w14:paraId="02ADDB04">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rPr>
            </w:pPr>
          </w:p>
        </w:tc>
        <w:tc>
          <w:tcPr>
            <w:tcW w:w="2177" w:type="dxa"/>
            <w:vAlign w:val="center"/>
          </w:tcPr>
          <w:p w14:paraId="2235C4DB">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rPr>
            </w:pPr>
          </w:p>
        </w:tc>
        <w:tc>
          <w:tcPr>
            <w:tcW w:w="2215" w:type="dxa"/>
            <w:vAlign w:val="center"/>
          </w:tcPr>
          <w:p w14:paraId="3EEBB708">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rPr>
            </w:pPr>
          </w:p>
        </w:tc>
        <w:tc>
          <w:tcPr>
            <w:tcW w:w="1706" w:type="dxa"/>
            <w:vAlign w:val="center"/>
          </w:tcPr>
          <w:p w14:paraId="3B99D70A">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rPr>
            </w:pPr>
          </w:p>
        </w:tc>
      </w:tr>
      <w:tr w14:paraId="2952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14:paraId="091B94BC">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rPr>
            </w:pPr>
          </w:p>
        </w:tc>
        <w:tc>
          <w:tcPr>
            <w:tcW w:w="1705" w:type="dxa"/>
            <w:vAlign w:val="center"/>
          </w:tcPr>
          <w:p w14:paraId="38240A06">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rPr>
            </w:pPr>
          </w:p>
        </w:tc>
        <w:tc>
          <w:tcPr>
            <w:tcW w:w="2177" w:type="dxa"/>
            <w:vAlign w:val="center"/>
          </w:tcPr>
          <w:p w14:paraId="4BC5A7C6">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rPr>
            </w:pPr>
          </w:p>
        </w:tc>
        <w:tc>
          <w:tcPr>
            <w:tcW w:w="2215" w:type="dxa"/>
            <w:vAlign w:val="center"/>
          </w:tcPr>
          <w:p w14:paraId="7A912D00">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rPr>
            </w:pPr>
          </w:p>
        </w:tc>
        <w:tc>
          <w:tcPr>
            <w:tcW w:w="1706" w:type="dxa"/>
            <w:vAlign w:val="center"/>
          </w:tcPr>
          <w:p w14:paraId="67D9BBB4">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rPr>
            </w:pPr>
          </w:p>
        </w:tc>
      </w:tr>
    </w:tbl>
    <w:p w14:paraId="4041473E">
      <w:pPr>
        <w:rPr>
          <w:rFonts w:hint="eastAsia" w:asciiTheme="minorEastAsia" w:hAnsiTheme="minorEastAsia" w:eastAsiaTheme="minorEastAsia" w:cstheme="minorEastAsia"/>
          <w:color w:val="auto"/>
          <w:sz w:val="24"/>
          <w:szCs w:val="24"/>
          <w:highlight w:val="none"/>
        </w:rPr>
      </w:pPr>
      <w:r>
        <w:rPr>
          <w:rFonts w:hint="eastAsia" w:ascii="宋体" w:hAnsi="宋体" w:cs="宋体"/>
          <w:color w:val="auto"/>
          <w:sz w:val="24"/>
          <w:szCs w:val="24"/>
          <w:highlight w:val="none"/>
        </w:rPr>
        <w:t>说明：</w:t>
      </w:r>
      <w:r>
        <w:rPr>
          <w:rFonts w:hint="eastAsia" w:ascii="宋体" w:hAnsi="宋体" w:eastAsia="宋体" w:cs="宋体"/>
          <w:b w:val="0"/>
          <w:bCs w:val="0"/>
          <w:color w:val="auto"/>
          <w:kern w:val="2"/>
          <w:sz w:val="24"/>
          <w:szCs w:val="24"/>
          <w:highlight w:val="none"/>
          <w:lang w:val="en-US" w:eastAsia="zh-CN" w:bidi="ar-SA"/>
        </w:rPr>
        <w:t>本项目商务条款至少包括：采购内容、</w:t>
      </w:r>
      <w:r>
        <w:rPr>
          <w:rFonts w:hint="eastAsia" w:ascii="宋体" w:hAnsi="宋体" w:cs="宋体"/>
          <w:b w:val="0"/>
          <w:bCs w:val="0"/>
          <w:color w:val="auto"/>
          <w:kern w:val="2"/>
          <w:sz w:val="24"/>
          <w:szCs w:val="24"/>
          <w:highlight w:val="none"/>
          <w:lang w:val="en-US" w:eastAsia="zh-CN" w:bidi="ar-SA"/>
        </w:rPr>
        <w:t>计划工期</w:t>
      </w:r>
      <w:r>
        <w:rPr>
          <w:rFonts w:hint="eastAsia" w:ascii="宋体" w:hAnsi="宋体" w:eastAsia="宋体" w:cs="宋体"/>
          <w:b w:val="0"/>
          <w:bCs w:val="0"/>
          <w:color w:val="auto"/>
          <w:kern w:val="2"/>
          <w:sz w:val="24"/>
          <w:szCs w:val="24"/>
          <w:highlight w:val="none"/>
          <w:lang w:val="en-US" w:eastAsia="zh-CN" w:bidi="ar-SA"/>
        </w:rPr>
        <w:t>、投标保证金响应、响应文件有效期等，投标人必须按</w:t>
      </w:r>
      <w:r>
        <w:rPr>
          <w:rFonts w:hint="eastAsia" w:ascii="宋体" w:hAnsi="宋体" w:cs="宋体"/>
          <w:b w:val="0"/>
          <w:bCs w:val="0"/>
          <w:color w:val="auto"/>
          <w:kern w:val="2"/>
          <w:sz w:val="24"/>
          <w:szCs w:val="24"/>
          <w:highlight w:val="none"/>
          <w:lang w:val="en-US" w:eastAsia="zh-CN" w:bidi="ar-SA"/>
        </w:rPr>
        <w:t>谈判文件</w:t>
      </w:r>
      <w:r>
        <w:rPr>
          <w:rFonts w:hint="eastAsia" w:ascii="宋体" w:hAnsi="宋体" w:eastAsia="宋体" w:cs="宋体"/>
          <w:b w:val="0"/>
          <w:bCs w:val="0"/>
          <w:color w:val="auto"/>
          <w:kern w:val="2"/>
          <w:sz w:val="24"/>
          <w:szCs w:val="24"/>
          <w:highlight w:val="none"/>
          <w:lang w:val="en-US" w:eastAsia="zh-CN" w:bidi="ar-SA"/>
        </w:rPr>
        <w:t>给定的条款填写，否则视为不响应。</w:t>
      </w:r>
      <w:r>
        <w:rPr>
          <w:rFonts w:hint="eastAsia" w:ascii="宋体" w:hAnsi="宋体" w:cs="宋体"/>
          <w:color w:val="auto"/>
          <w:sz w:val="24"/>
          <w:szCs w:val="24"/>
          <w:highlight w:val="none"/>
        </w:rPr>
        <w:t>本表如填写不完，可以续页。</w:t>
      </w:r>
    </w:p>
    <w:p w14:paraId="79991C4A">
      <w:pPr>
        <w:pageBreakBefore w:val="0"/>
        <w:kinsoku/>
        <w:wordWrap/>
        <w:overflowPunct/>
        <w:topLinePunct w:val="0"/>
        <w:bidi w:val="0"/>
        <w:spacing w:line="360" w:lineRule="auto"/>
        <w:ind w:firstLine="2880" w:firstLineChars="1200"/>
        <w:rPr>
          <w:rFonts w:hint="eastAsia" w:asciiTheme="minorEastAsia" w:hAnsiTheme="minorEastAsia" w:eastAsiaTheme="minorEastAsia" w:cstheme="minorEastAsia"/>
          <w:color w:val="auto"/>
          <w:sz w:val="24"/>
          <w:szCs w:val="24"/>
          <w:highlight w:val="none"/>
          <w:lang w:val="en-US" w:eastAsia="zh-CN"/>
        </w:rPr>
      </w:pPr>
    </w:p>
    <w:p w14:paraId="7B4D1786">
      <w:pPr>
        <w:pStyle w:val="8"/>
        <w:outlineLvl w:val="9"/>
        <w:rPr>
          <w:rFonts w:hint="eastAsia"/>
          <w:highlight w:val="none"/>
          <w:lang w:val="en-US" w:eastAsia="zh-CN"/>
        </w:rPr>
      </w:pPr>
    </w:p>
    <w:p w14:paraId="68A19503">
      <w:pPr>
        <w:keepNext w:val="0"/>
        <w:keepLines w:val="0"/>
        <w:pageBreakBefore w:val="0"/>
        <w:widowControl w:val="0"/>
        <w:kinsoku/>
        <w:wordWrap/>
        <w:overflowPunct/>
        <w:topLinePunct w:val="0"/>
        <w:autoSpaceDE/>
        <w:autoSpaceDN/>
        <w:bidi w:val="0"/>
        <w:adjustRightInd/>
        <w:snapToGrid/>
        <w:spacing w:line="500" w:lineRule="exact"/>
        <w:ind w:firstLine="1920" w:firstLineChars="8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盖章</w:t>
      </w:r>
      <w:r>
        <w:rPr>
          <w:rFonts w:hint="eastAsia" w:ascii="宋体" w:hAnsi="宋体" w:eastAsia="宋体" w:cs="宋体"/>
          <w:color w:val="auto"/>
          <w:sz w:val="24"/>
          <w:highlight w:val="none"/>
        </w:rPr>
        <w:t xml:space="preserve">）   </w:t>
      </w:r>
    </w:p>
    <w:p w14:paraId="5923A47B">
      <w:pPr>
        <w:keepNext w:val="0"/>
        <w:keepLines w:val="0"/>
        <w:pageBreakBefore w:val="0"/>
        <w:widowControl w:val="0"/>
        <w:kinsoku/>
        <w:wordWrap/>
        <w:overflowPunct/>
        <w:topLinePunct w:val="0"/>
        <w:autoSpaceDE/>
        <w:autoSpaceDN/>
        <w:bidi w:val="0"/>
        <w:adjustRightInd/>
        <w:snapToGrid/>
        <w:spacing w:line="500" w:lineRule="exact"/>
        <w:ind w:firstLine="1920" w:firstLineChars="8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val="en-US" w:eastAsia="zh-CN"/>
        </w:rPr>
        <w:t>和</w:t>
      </w:r>
      <w:r>
        <w:rPr>
          <w:rFonts w:hint="eastAsia" w:ascii="宋体" w:hAnsi="宋体" w:eastAsia="宋体" w:cs="宋体"/>
          <w:color w:val="auto"/>
          <w:sz w:val="24"/>
          <w:highlight w:val="none"/>
        </w:rPr>
        <w:t>授权代表人：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w:t>
      </w:r>
      <w:r>
        <w:rPr>
          <w:rFonts w:hint="eastAsia" w:ascii="宋体" w:hAnsi="宋体" w:cs="宋体"/>
          <w:color w:val="auto"/>
          <w:sz w:val="24"/>
          <w:highlight w:val="none"/>
          <w:lang w:eastAsia="zh-CN"/>
        </w:rPr>
        <w:t>或</w:t>
      </w:r>
      <w:r>
        <w:rPr>
          <w:rFonts w:hint="eastAsia" w:ascii="宋体" w:hAnsi="宋体" w:eastAsia="宋体" w:cs="宋体"/>
          <w:color w:val="auto"/>
          <w:sz w:val="24"/>
          <w:highlight w:val="none"/>
        </w:rPr>
        <w:t xml:space="preserve">盖章） </w:t>
      </w:r>
    </w:p>
    <w:p w14:paraId="4F63EF53">
      <w:pPr>
        <w:pageBreakBefore w:val="0"/>
        <w:kinsoku/>
        <w:wordWrap/>
        <w:overflowPunct/>
        <w:topLinePunct w:val="0"/>
        <w:bidi w:val="0"/>
        <w:spacing w:line="360" w:lineRule="auto"/>
        <w:ind w:firstLine="5040" w:firstLineChars="2100"/>
        <w:rPr>
          <w:rFonts w:hint="eastAsia" w:ascii="宋体" w:hAnsi="宋体" w:eastAsia="宋体" w:cs="宋体"/>
          <w:color w:val="auto"/>
          <w:sz w:val="24"/>
          <w:highlight w:val="none"/>
        </w:rPr>
      </w:pPr>
    </w:p>
    <w:p w14:paraId="535F2467">
      <w:pPr>
        <w:pageBreakBefore w:val="0"/>
        <w:kinsoku/>
        <w:wordWrap/>
        <w:overflowPunct/>
        <w:topLinePunct w:val="0"/>
        <w:bidi w:val="0"/>
        <w:spacing w:line="360" w:lineRule="auto"/>
        <w:ind w:firstLine="5520" w:firstLineChars="2300"/>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19FEAC57">
      <w:pPr>
        <w:pageBreakBefore w:val="0"/>
        <w:kinsoku/>
        <w:wordWrap/>
        <w:overflowPunct/>
        <w:topLinePunct w:val="0"/>
        <w:bidi w:val="0"/>
        <w:spacing w:line="360" w:lineRule="auto"/>
        <w:ind w:firstLine="5160" w:firstLineChars="2150"/>
        <w:rPr>
          <w:rFonts w:hint="eastAsia" w:ascii="宋体" w:hAnsi="宋体" w:eastAsia="宋体" w:cs="宋体"/>
          <w:color w:val="auto"/>
          <w:sz w:val="24"/>
          <w:highlight w:val="none"/>
        </w:rPr>
      </w:pPr>
    </w:p>
    <w:p w14:paraId="7FB0F3B2">
      <w:pPr>
        <w:pStyle w:val="11"/>
        <w:rPr>
          <w:rFonts w:hint="eastAsia" w:ascii="宋体" w:hAnsi="宋体" w:cs="宋体"/>
          <w:color w:val="auto"/>
          <w:sz w:val="24"/>
          <w:highlight w:val="none"/>
          <w:lang w:val="en-US" w:eastAsia="zh-CN"/>
        </w:rPr>
      </w:pPr>
      <w:bookmarkStart w:id="322" w:name="_Toc24090"/>
      <w:bookmarkStart w:id="323" w:name="_Toc3403"/>
    </w:p>
    <w:p w14:paraId="67A45A41">
      <w:pPr>
        <w:pStyle w:val="8"/>
        <w:pageBreakBefore w:val="0"/>
        <w:kinsoku/>
        <w:wordWrap/>
        <w:overflowPunct/>
        <w:topLinePunct w:val="0"/>
        <w:bidi w:val="0"/>
        <w:spacing w:line="360" w:lineRule="auto"/>
        <w:jc w:val="both"/>
        <w:outlineLvl w:val="9"/>
        <w:rPr>
          <w:rFonts w:hint="eastAsia" w:ascii="宋体" w:hAnsi="宋体" w:cs="宋体"/>
          <w:color w:val="auto"/>
          <w:sz w:val="24"/>
          <w:highlight w:val="none"/>
          <w:lang w:val="en-US" w:eastAsia="zh-CN"/>
        </w:rPr>
      </w:pPr>
    </w:p>
    <w:p w14:paraId="7E20B2EE">
      <w:pPr>
        <w:rPr>
          <w:rFonts w:hint="eastAsia" w:ascii="宋体" w:hAnsi="宋体" w:cs="宋体"/>
          <w:color w:val="auto"/>
          <w:sz w:val="24"/>
          <w:highlight w:val="none"/>
          <w:lang w:val="en-US" w:eastAsia="zh-CN"/>
        </w:rPr>
      </w:pPr>
    </w:p>
    <w:p w14:paraId="14F39883">
      <w:pPr>
        <w:rPr>
          <w:rFonts w:hint="eastAsia"/>
          <w:color w:val="auto"/>
          <w:highlight w:val="none"/>
          <w:lang w:val="en-US" w:eastAsia="zh-CN"/>
        </w:rPr>
      </w:pPr>
    </w:p>
    <w:p w14:paraId="2788346F">
      <w:pPr>
        <w:pStyle w:val="8"/>
        <w:pageBreakBefore w:val="0"/>
        <w:kinsoku/>
        <w:wordWrap/>
        <w:overflowPunct/>
        <w:topLinePunct w:val="0"/>
        <w:bidi w:val="0"/>
        <w:spacing w:line="360" w:lineRule="auto"/>
        <w:jc w:val="center"/>
        <w:rPr>
          <w:rFonts w:hint="eastAsia" w:ascii="宋体" w:hAnsi="宋体" w:eastAsia="宋体" w:cs="宋体"/>
          <w:color w:val="auto"/>
          <w:kern w:val="0"/>
          <w:sz w:val="28"/>
          <w:highlight w:val="none"/>
        </w:rPr>
      </w:pPr>
      <w:bookmarkStart w:id="324" w:name="_Toc7056"/>
      <w:r>
        <w:rPr>
          <w:rFonts w:hint="eastAsia" w:ascii="宋体" w:hAnsi="宋体" w:eastAsia="宋体" w:cs="宋体"/>
          <w:color w:val="auto"/>
          <w:kern w:val="0"/>
          <w:sz w:val="28"/>
          <w:highlight w:val="none"/>
          <w:lang w:val="en-US" w:eastAsia="zh-CN"/>
        </w:rPr>
        <w:t>5、</w:t>
      </w:r>
      <w:r>
        <w:rPr>
          <w:rFonts w:hint="eastAsia" w:ascii="宋体" w:hAnsi="宋体" w:cs="宋体"/>
          <w:color w:val="auto"/>
          <w:kern w:val="0"/>
          <w:sz w:val="28"/>
          <w:highlight w:val="none"/>
          <w:lang w:val="en-US" w:eastAsia="zh-CN"/>
        </w:rPr>
        <w:t>投标人</w:t>
      </w:r>
      <w:r>
        <w:rPr>
          <w:rFonts w:hint="eastAsia" w:ascii="宋体" w:hAnsi="宋体" w:eastAsia="宋体" w:cs="宋体"/>
          <w:color w:val="auto"/>
          <w:kern w:val="0"/>
          <w:sz w:val="28"/>
          <w:highlight w:val="none"/>
        </w:rPr>
        <w:t>的资格声明</w:t>
      </w:r>
      <w:bookmarkEnd w:id="322"/>
      <w:bookmarkEnd w:id="323"/>
      <w:bookmarkEnd w:id="324"/>
    </w:p>
    <w:p w14:paraId="516F8D35">
      <w:pPr>
        <w:pageBreakBefore w:val="0"/>
        <w:kinsoku/>
        <w:wordWrap/>
        <w:overflowPunct/>
        <w:topLinePunct w:val="0"/>
        <w:bidi w:val="0"/>
        <w:spacing w:line="360" w:lineRule="auto"/>
        <w:rPr>
          <w:rFonts w:hint="eastAsia" w:ascii="宋体" w:hAnsi="宋体" w:cs="宋体"/>
          <w:color w:val="auto"/>
          <w:sz w:val="24"/>
          <w:highlight w:val="none"/>
          <w:u w:val="single"/>
          <w:lang w:eastAsia="zh-CN"/>
        </w:rPr>
      </w:pPr>
    </w:p>
    <w:p w14:paraId="20B6F3E8">
      <w:pPr>
        <w:spacing w:line="360" w:lineRule="auto"/>
        <w:rPr>
          <w:rFonts w:hint="eastAsia" w:ascii="宋体" w:hAnsi="宋体" w:eastAsia="宋体" w:cs="宋体"/>
          <w:color w:val="auto"/>
          <w:sz w:val="24"/>
          <w:szCs w:val="24"/>
          <w:highlight w:val="none"/>
          <w:u w:val="singl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none"/>
          <w:lang w:eastAsia="zh-CN"/>
        </w:rPr>
        <w:t>（采购单位名称）</w:t>
      </w:r>
    </w:p>
    <w:p w14:paraId="62A51165">
      <w:pPr>
        <w:pageBreakBefore w:val="0"/>
        <w:kinsoku/>
        <w:wordWrap/>
        <w:overflowPunct/>
        <w:topLinePunct w:val="0"/>
        <w:bidi w:val="0"/>
        <w:spacing w:line="360" w:lineRule="auto"/>
        <w:ind w:firstLine="480"/>
        <w:rPr>
          <w:rFonts w:hint="eastAsia" w:ascii="宋体" w:hAnsi="宋体" w:eastAsia="宋体" w:cs="宋体"/>
          <w:color w:val="auto"/>
          <w:sz w:val="24"/>
          <w:highlight w:val="none"/>
        </w:rPr>
      </w:pPr>
    </w:p>
    <w:p w14:paraId="6AA54BCB">
      <w:pPr>
        <w:pageBreakBefore w:val="0"/>
        <w:kinsoku/>
        <w:wordWrap/>
        <w:overflowPunct/>
        <w:topLinePunct w:val="0"/>
        <w:bidi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关于贵方发出的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rPr>
        <w:t>文件，本</w:t>
      </w:r>
      <w:r>
        <w:rPr>
          <w:rFonts w:hint="eastAsia" w:ascii="宋体" w:hAnsi="宋体" w:cs="宋体"/>
          <w:color w:val="auto"/>
          <w:sz w:val="24"/>
          <w:highlight w:val="none"/>
          <w:lang w:val="en-US" w:eastAsia="zh-CN"/>
        </w:rPr>
        <w:t>报价</w:t>
      </w:r>
      <w:r>
        <w:rPr>
          <w:rFonts w:hint="eastAsia" w:ascii="宋体" w:hAnsi="宋体" w:eastAsia="宋体" w:cs="宋体"/>
          <w:color w:val="auto"/>
          <w:sz w:val="24"/>
          <w:highlight w:val="none"/>
        </w:rPr>
        <w:t>方愿意参加</w:t>
      </w:r>
      <w:r>
        <w:rPr>
          <w:rFonts w:hint="eastAsia" w:ascii="宋体" w:hAnsi="宋体" w:cs="宋体"/>
          <w:color w:val="auto"/>
          <w:sz w:val="24"/>
          <w:highlight w:val="none"/>
          <w:lang w:val="en-US" w:eastAsia="zh-CN"/>
        </w:rPr>
        <w:t>报价</w:t>
      </w:r>
      <w:r>
        <w:rPr>
          <w:rFonts w:hint="eastAsia" w:ascii="宋体" w:hAnsi="宋体" w:eastAsia="宋体" w:cs="宋体"/>
          <w:color w:val="auto"/>
          <w:sz w:val="24"/>
          <w:highlight w:val="none"/>
        </w:rPr>
        <w:t>，并证明资格文件中所要求的说明是真实和准确的。</w:t>
      </w:r>
    </w:p>
    <w:p w14:paraId="08214E00">
      <w:pPr>
        <w:pageBreakBefore w:val="0"/>
        <w:kinsoku/>
        <w:wordWrap/>
        <w:overflowPunct/>
        <w:topLinePunct w:val="0"/>
        <w:bidi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w:t>
      </w:r>
      <w:r>
        <w:rPr>
          <w:rFonts w:hint="eastAsia" w:ascii="宋体" w:hAnsi="宋体" w:cs="宋体"/>
          <w:color w:val="auto"/>
          <w:sz w:val="24"/>
          <w:highlight w:val="none"/>
          <w:lang w:val="en-US" w:eastAsia="zh-CN"/>
        </w:rPr>
        <w:t>报价</w:t>
      </w:r>
      <w:r>
        <w:rPr>
          <w:rFonts w:hint="eastAsia" w:ascii="宋体" w:hAnsi="宋体" w:eastAsia="宋体" w:cs="宋体"/>
          <w:color w:val="auto"/>
          <w:sz w:val="24"/>
          <w:highlight w:val="none"/>
        </w:rPr>
        <w:t>方对可能要求的进一步资格资料表示理解和同意，并同意按贵方的要求提供任何有关资料。</w:t>
      </w:r>
    </w:p>
    <w:p w14:paraId="55BE0A4F">
      <w:pPr>
        <w:pageBreakBefore w:val="0"/>
        <w:kinsoku/>
        <w:wordWrap/>
        <w:overflowPunct/>
        <w:topLinePunct w:val="0"/>
        <w:bidi w:val="0"/>
        <w:spacing w:line="360" w:lineRule="auto"/>
        <w:ind w:firstLine="480"/>
        <w:rPr>
          <w:rFonts w:hint="eastAsia" w:ascii="宋体" w:hAnsi="宋体" w:eastAsia="宋体" w:cs="宋体"/>
          <w:color w:val="auto"/>
          <w:sz w:val="24"/>
          <w:highlight w:val="none"/>
        </w:rPr>
      </w:pPr>
    </w:p>
    <w:p w14:paraId="70D009C7">
      <w:pPr>
        <w:pageBreakBefore w:val="0"/>
        <w:kinsoku/>
        <w:wordWrap/>
        <w:overflowPunct/>
        <w:topLinePunct w:val="0"/>
        <w:bidi w:val="0"/>
        <w:spacing w:line="360" w:lineRule="auto"/>
        <w:ind w:firstLine="480"/>
        <w:rPr>
          <w:rFonts w:hint="eastAsia" w:ascii="宋体" w:hAnsi="宋体" w:eastAsia="宋体" w:cs="宋体"/>
          <w:color w:val="auto"/>
          <w:sz w:val="24"/>
          <w:highlight w:val="none"/>
        </w:rPr>
      </w:pPr>
    </w:p>
    <w:p w14:paraId="6B1258F7">
      <w:pPr>
        <w:pageBreakBefore w:val="0"/>
        <w:kinsoku/>
        <w:wordWrap/>
        <w:overflowPunct/>
        <w:topLinePunct w:val="0"/>
        <w:bidi w:val="0"/>
        <w:spacing w:line="360" w:lineRule="auto"/>
        <w:ind w:firstLine="480"/>
        <w:rPr>
          <w:rFonts w:hint="eastAsia" w:ascii="宋体" w:hAnsi="宋体" w:eastAsia="宋体" w:cs="宋体"/>
          <w:color w:val="auto"/>
          <w:sz w:val="24"/>
          <w:highlight w:val="none"/>
        </w:rPr>
      </w:pPr>
    </w:p>
    <w:p w14:paraId="098221B3">
      <w:pPr>
        <w:keepNext w:val="0"/>
        <w:keepLines w:val="0"/>
        <w:pageBreakBefore w:val="0"/>
        <w:widowControl w:val="0"/>
        <w:kinsoku/>
        <w:wordWrap/>
        <w:overflowPunct/>
        <w:topLinePunct w:val="0"/>
        <w:autoSpaceDE/>
        <w:autoSpaceDN/>
        <w:bidi w:val="0"/>
        <w:adjustRightInd/>
        <w:snapToGrid/>
        <w:spacing w:line="500" w:lineRule="exact"/>
        <w:ind w:firstLine="1920" w:firstLineChars="8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盖章</w:t>
      </w:r>
      <w:r>
        <w:rPr>
          <w:rFonts w:hint="eastAsia" w:ascii="宋体" w:hAnsi="宋体" w:eastAsia="宋体" w:cs="宋体"/>
          <w:color w:val="auto"/>
          <w:sz w:val="24"/>
          <w:highlight w:val="none"/>
        </w:rPr>
        <w:t xml:space="preserve">）   </w:t>
      </w:r>
    </w:p>
    <w:p w14:paraId="077ABB2B">
      <w:pPr>
        <w:keepNext w:val="0"/>
        <w:keepLines w:val="0"/>
        <w:pageBreakBefore w:val="0"/>
        <w:widowControl w:val="0"/>
        <w:kinsoku/>
        <w:wordWrap/>
        <w:overflowPunct/>
        <w:topLinePunct w:val="0"/>
        <w:autoSpaceDE/>
        <w:autoSpaceDN/>
        <w:bidi w:val="0"/>
        <w:adjustRightInd/>
        <w:snapToGrid/>
        <w:spacing w:line="500" w:lineRule="exact"/>
        <w:ind w:firstLine="1920" w:firstLineChars="8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（签字盖章） </w:t>
      </w:r>
    </w:p>
    <w:p w14:paraId="0D903B76">
      <w:pPr>
        <w:pageBreakBefore w:val="0"/>
        <w:kinsoku/>
        <w:wordWrap/>
        <w:overflowPunct/>
        <w:topLinePunct w:val="0"/>
        <w:bidi w:val="0"/>
        <w:spacing w:line="360" w:lineRule="auto"/>
        <w:ind w:firstLine="1920" w:firstLineChars="8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p w14:paraId="312E312A">
      <w:pPr>
        <w:pageBreakBefore w:val="0"/>
        <w:kinsoku/>
        <w:wordWrap/>
        <w:overflowPunct/>
        <w:topLinePunct w:val="0"/>
        <w:bidi w:val="0"/>
        <w:spacing w:line="360" w:lineRule="auto"/>
        <w:ind w:firstLine="1920" w:firstLineChars="800"/>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p w14:paraId="6AE78D01">
      <w:pPr>
        <w:rPr>
          <w:rFonts w:hint="eastAsia"/>
          <w:color w:val="auto"/>
          <w:sz w:val="36"/>
          <w:szCs w:val="36"/>
          <w:highlight w:val="none"/>
          <w:lang w:eastAsia="zh-CN"/>
        </w:rPr>
      </w:pPr>
      <w:r>
        <w:rPr>
          <w:rFonts w:hint="eastAsia"/>
          <w:color w:val="auto"/>
          <w:sz w:val="36"/>
          <w:szCs w:val="36"/>
          <w:highlight w:val="none"/>
          <w:lang w:eastAsia="zh-CN"/>
        </w:rPr>
        <w:br w:type="page"/>
      </w:r>
    </w:p>
    <w:p w14:paraId="49B89AAE">
      <w:pPr>
        <w:pStyle w:val="8"/>
        <w:pageBreakBefore w:val="0"/>
        <w:kinsoku/>
        <w:wordWrap/>
        <w:overflowPunct/>
        <w:topLinePunct w:val="0"/>
        <w:bidi w:val="0"/>
        <w:spacing w:line="360" w:lineRule="auto"/>
        <w:ind w:firstLine="2811" w:firstLineChars="1000"/>
        <w:jc w:val="both"/>
        <w:rPr>
          <w:rFonts w:hint="eastAsia" w:ascii="Times New Roman" w:hAnsi="Times New Roman" w:eastAsia="宋体" w:cs="Times New Roman"/>
          <w:b/>
          <w:color w:val="auto"/>
          <w:kern w:val="44"/>
          <w:sz w:val="28"/>
          <w:szCs w:val="36"/>
          <w:highlight w:val="none"/>
          <w:lang w:val="en-US" w:eastAsia="zh-CN" w:bidi="ar-SA"/>
        </w:rPr>
      </w:pPr>
      <w:bookmarkStart w:id="325" w:name="_Toc1924"/>
      <w:bookmarkStart w:id="326" w:name="_Toc755"/>
      <w:bookmarkStart w:id="327" w:name="_Toc142"/>
      <w:r>
        <w:rPr>
          <w:rFonts w:hint="eastAsia" w:ascii="Times New Roman" w:hAnsi="Times New Roman" w:cs="Times New Roman"/>
          <w:b/>
          <w:color w:val="auto"/>
          <w:kern w:val="44"/>
          <w:sz w:val="28"/>
          <w:szCs w:val="36"/>
          <w:highlight w:val="none"/>
          <w:lang w:val="en-US" w:eastAsia="zh-CN" w:bidi="ar-SA"/>
        </w:rPr>
        <w:t>6、</w:t>
      </w:r>
      <w:r>
        <w:rPr>
          <w:rFonts w:hint="eastAsia" w:ascii="Times New Roman" w:hAnsi="Times New Roman" w:eastAsia="宋体" w:cs="Times New Roman"/>
          <w:b/>
          <w:color w:val="auto"/>
          <w:kern w:val="44"/>
          <w:sz w:val="28"/>
          <w:szCs w:val="36"/>
          <w:highlight w:val="none"/>
          <w:lang w:val="en-US" w:eastAsia="zh-CN" w:bidi="ar-SA"/>
        </w:rPr>
        <w:t>法人营业执照函</w:t>
      </w:r>
      <w:bookmarkEnd w:id="325"/>
      <w:bookmarkEnd w:id="326"/>
      <w:bookmarkEnd w:id="327"/>
    </w:p>
    <w:p w14:paraId="60ACA2B9">
      <w:pPr>
        <w:spacing w:line="360" w:lineRule="auto"/>
        <w:rPr>
          <w:rFonts w:hint="eastAsia" w:ascii="宋体" w:hAnsi="宋体"/>
          <w:color w:val="auto"/>
          <w:sz w:val="24"/>
          <w:szCs w:val="24"/>
          <w:highlight w:val="none"/>
          <w:u w:val="single"/>
        </w:rPr>
      </w:pPr>
    </w:p>
    <w:p w14:paraId="5ADDCF69">
      <w:pPr>
        <w:spacing w:line="360" w:lineRule="auto"/>
        <w:rPr>
          <w:rFonts w:hint="eastAsia" w:ascii="宋体" w:hAnsi="宋体" w:eastAsia="宋体" w:cs="宋体"/>
          <w:color w:val="auto"/>
          <w:sz w:val="24"/>
          <w:szCs w:val="24"/>
          <w:highlight w:val="none"/>
          <w:u w:val="singl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none"/>
          <w:lang w:eastAsia="zh-CN"/>
        </w:rPr>
        <w:t>（采购单位名称）</w:t>
      </w:r>
    </w:p>
    <w:p w14:paraId="09125CF8">
      <w:pPr>
        <w:pageBreakBefore w:val="0"/>
        <w:kinsoku/>
        <w:wordWrap/>
        <w:overflowPunct/>
        <w:topLinePunct w:val="0"/>
        <w:bidi w:val="0"/>
        <w:spacing w:line="360" w:lineRule="auto"/>
        <w:ind w:firstLine="480"/>
        <w:rPr>
          <w:rFonts w:hint="eastAsia" w:ascii="宋体" w:hAnsi="宋体" w:eastAsia="宋体" w:cs="宋体"/>
          <w:color w:val="auto"/>
          <w:sz w:val="24"/>
          <w:highlight w:val="none"/>
        </w:rPr>
      </w:pPr>
    </w:p>
    <w:p w14:paraId="201A3536">
      <w:pPr>
        <w:pageBreakBefore w:val="0"/>
        <w:kinsoku/>
        <w:wordWrap/>
        <w:overflowPunct/>
        <w:topLinePunct w:val="0"/>
        <w:bidi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现附上由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（签发机关名称）签发的我方法人营业执照复印件，该执照已经年检，真实有效。</w:t>
      </w:r>
    </w:p>
    <w:p w14:paraId="215A7077">
      <w:pPr>
        <w:pageBreakBefore w:val="0"/>
        <w:kinsoku/>
        <w:wordWrap/>
        <w:overflowPunct/>
        <w:topLinePunct w:val="0"/>
        <w:bidi w:val="0"/>
        <w:spacing w:line="360" w:lineRule="auto"/>
        <w:ind w:firstLine="480"/>
        <w:rPr>
          <w:rFonts w:hint="eastAsia" w:ascii="宋体" w:hAnsi="宋体" w:eastAsia="宋体" w:cs="宋体"/>
          <w:color w:val="auto"/>
          <w:sz w:val="24"/>
          <w:highlight w:val="none"/>
        </w:rPr>
      </w:pPr>
    </w:p>
    <w:p w14:paraId="1F3B37A0">
      <w:pPr>
        <w:pageBreakBefore w:val="0"/>
        <w:kinsoku/>
        <w:wordWrap/>
        <w:overflowPunct/>
        <w:topLinePunct w:val="0"/>
        <w:bidi w:val="0"/>
        <w:spacing w:line="360" w:lineRule="auto"/>
        <w:ind w:firstLine="480"/>
        <w:rPr>
          <w:rFonts w:hint="eastAsia" w:ascii="宋体" w:hAnsi="宋体" w:eastAsia="宋体" w:cs="宋体"/>
          <w:color w:val="auto"/>
          <w:sz w:val="24"/>
          <w:highlight w:val="none"/>
        </w:rPr>
      </w:pPr>
    </w:p>
    <w:p w14:paraId="2E917745">
      <w:pPr>
        <w:pageBreakBefore w:val="0"/>
        <w:kinsoku/>
        <w:wordWrap/>
        <w:overflowPunct/>
        <w:topLinePunct w:val="0"/>
        <w:bidi w:val="0"/>
        <w:spacing w:line="360" w:lineRule="auto"/>
        <w:ind w:firstLine="480"/>
        <w:rPr>
          <w:rFonts w:hint="eastAsia" w:ascii="宋体" w:hAnsi="宋体" w:eastAsia="宋体" w:cs="宋体"/>
          <w:color w:val="auto"/>
          <w:sz w:val="24"/>
          <w:highlight w:val="none"/>
        </w:rPr>
      </w:pPr>
    </w:p>
    <w:p w14:paraId="4EBC231E">
      <w:pPr>
        <w:keepNext w:val="0"/>
        <w:keepLines w:val="0"/>
        <w:pageBreakBefore w:val="0"/>
        <w:widowControl w:val="0"/>
        <w:kinsoku/>
        <w:wordWrap/>
        <w:overflowPunct/>
        <w:topLinePunct w:val="0"/>
        <w:autoSpaceDE/>
        <w:autoSpaceDN/>
        <w:bidi w:val="0"/>
        <w:adjustRightInd/>
        <w:snapToGrid/>
        <w:spacing w:line="500" w:lineRule="exact"/>
        <w:ind w:firstLine="1920" w:firstLineChars="8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盖章</w:t>
      </w:r>
      <w:r>
        <w:rPr>
          <w:rFonts w:hint="eastAsia" w:ascii="宋体" w:hAnsi="宋体" w:eastAsia="宋体" w:cs="宋体"/>
          <w:color w:val="auto"/>
          <w:sz w:val="24"/>
          <w:highlight w:val="none"/>
        </w:rPr>
        <w:t xml:space="preserve">）   </w:t>
      </w:r>
    </w:p>
    <w:p w14:paraId="0755694A">
      <w:pPr>
        <w:keepNext w:val="0"/>
        <w:keepLines w:val="0"/>
        <w:pageBreakBefore w:val="0"/>
        <w:widowControl w:val="0"/>
        <w:kinsoku/>
        <w:wordWrap/>
        <w:overflowPunct/>
        <w:topLinePunct w:val="0"/>
        <w:autoSpaceDE/>
        <w:autoSpaceDN/>
        <w:bidi w:val="0"/>
        <w:adjustRightInd/>
        <w:snapToGrid/>
        <w:spacing w:line="500" w:lineRule="exact"/>
        <w:ind w:firstLine="1920" w:firstLineChars="8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val="en-US" w:eastAsia="zh-CN"/>
        </w:rPr>
        <w:t>和</w:t>
      </w:r>
      <w:r>
        <w:rPr>
          <w:rFonts w:hint="eastAsia" w:ascii="宋体" w:hAnsi="宋体" w:eastAsia="宋体" w:cs="宋体"/>
          <w:color w:val="auto"/>
          <w:sz w:val="24"/>
          <w:highlight w:val="none"/>
        </w:rPr>
        <w:t>授权代表人：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w:t>
      </w:r>
      <w:r>
        <w:rPr>
          <w:rFonts w:hint="eastAsia" w:ascii="宋体" w:hAnsi="宋体" w:cs="宋体"/>
          <w:color w:val="auto"/>
          <w:sz w:val="24"/>
          <w:highlight w:val="none"/>
          <w:lang w:eastAsia="zh-CN"/>
        </w:rPr>
        <w:t>或</w:t>
      </w:r>
      <w:r>
        <w:rPr>
          <w:rFonts w:hint="eastAsia" w:ascii="宋体" w:hAnsi="宋体" w:eastAsia="宋体" w:cs="宋体"/>
          <w:color w:val="auto"/>
          <w:sz w:val="24"/>
          <w:highlight w:val="none"/>
        </w:rPr>
        <w:t xml:space="preserve">盖章） </w:t>
      </w:r>
    </w:p>
    <w:p w14:paraId="34FC3470">
      <w:pPr>
        <w:pageBreakBefore w:val="0"/>
        <w:kinsoku/>
        <w:wordWrap/>
        <w:overflowPunct/>
        <w:topLinePunct w:val="0"/>
        <w:bidi w:val="0"/>
        <w:spacing w:line="360" w:lineRule="auto"/>
        <w:ind w:firstLine="5040" w:firstLineChars="2100"/>
        <w:rPr>
          <w:rFonts w:hint="eastAsia" w:ascii="宋体" w:hAnsi="宋体" w:eastAsia="宋体" w:cs="宋体"/>
          <w:color w:val="auto"/>
          <w:sz w:val="24"/>
          <w:highlight w:val="none"/>
        </w:rPr>
      </w:pPr>
    </w:p>
    <w:p w14:paraId="7D098B4B">
      <w:pPr>
        <w:pageBreakBefore w:val="0"/>
        <w:kinsoku/>
        <w:wordWrap/>
        <w:overflowPunct/>
        <w:topLinePunct w:val="0"/>
        <w:bidi w:val="0"/>
        <w:spacing w:line="360" w:lineRule="auto"/>
        <w:ind w:firstLine="5520" w:firstLineChars="2300"/>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676AD6A1">
      <w:pPr>
        <w:pStyle w:val="8"/>
        <w:pageBreakBefore w:val="0"/>
        <w:kinsoku/>
        <w:wordWrap/>
        <w:overflowPunct/>
        <w:topLinePunct w:val="0"/>
        <w:bidi w:val="0"/>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328" w:name="_Toc22614"/>
      <w:bookmarkStart w:id="329" w:name="_Toc17612"/>
      <w:bookmarkStart w:id="330" w:name="_Toc18144"/>
    </w:p>
    <w:p w14:paraId="6EFF6D71">
      <w:pPr>
        <w:pStyle w:val="8"/>
        <w:pageBreakBefore w:val="0"/>
        <w:kinsoku/>
        <w:wordWrap/>
        <w:overflowPunct/>
        <w:topLinePunct w:val="0"/>
        <w:bidi w:val="0"/>
        <w:spacing w:line="360" w:lineRule="auto"/>
        <w:ind w:firstLine="2811" w:firstLineChars="1000"/>
        <w:jc w:val="both"/>
        <w:rPr>
          <w:rFonts w:hint="eastAsia" w:ascii="Times New Roman" w:hAnsi="Times New Roman" w:eastAsia="宋体" w:cs="Times New Roman"/>
          <w:b/>
          <w:color w:val="auto"/>
          <w:kern w:val="44"/>
          <w:sz w:val="28"/>
          <w:szCs w:val="36"/>
          <w:highlight w:val="none"/>
          <w:lang w:val="en-US" w:eastAsia="zh-CN" w:bidi="ar-SA"/>
        </w:rPr>
      </w:pPr>
      <w:bookmarkStart w:id="331" w:name="_Toc28188"/>
      <w:r>
        <w:rPr>
          <w:rFonts w:hint="eastAsia" w:ascii="Times New Roman" w:hAnsi="Times New Roman" w:eastAsia="宋体" w:cs="Times New Roman"/>
          <w:b/>
          <w:color w:val="auto"/>
          <w:kern w:val="44"/>
          <w:sz w:val="28"/>
          <w:szCs w:val="36"/>
          <w:highlight w:val="none"/>
          <w:lang w:val="en-US" w:eastAsia="zh-CN" w:bidi="ar-SA"/>
        </w:rPr>
        <w:t>7、法定代表人证明书</w:t>
      </w:r>
      <w:bookmarkEnd w:id="328"/>
      <w:bookmarkEnd w:id="329"/>
      <w:bookmarkEnd w:id="330"/>
      <w:bookmarkEnd w:id="331"/>
    </w:p>
    <w:p w14:paraId="69D9A865">
      <w:pPr>
        <w:pageBreakBefore w:val="0"/>
        <w:kinsoku/>
        <w:wordWrap/>
        <w:overflowPunct/>
        <w:topLinePunct w:val="0"/>
        <w:bidi w:val="0"/>
        <w:spacing w:line="360" w:lineRule="auto"/>
        <w:rPr>
          <w:rFonts w:hint="eastAsia" w:ascii="宋体" w:hAnsi="宋体" w:cs="宋体"/>
          <w:color w:val="auto"/>
          <w:sz w:val="24"/>
          <w:highlight w:val="none"/>
          <w:lang w:val="en-US" w:eastAsia="zh-CN"/>
        </w:rPr>
      </w:pPr>
    </w:p>
    <w:p w14:paraId="12E4B7B2">
      <w:pPr>
        <w:pageBreakBefore w:val="0"/>
        <w:kinsoku/>
        <w:wordWrap/>
        <w:overflowPunct/>
        <w:topLinePunct w:val="0"/>
        <w:bidi w:val="0"/>
        <w:spacing w:line="360" w:lineRule="auto"/>
        <w:rPr>
          <w:rFonts w:hint="eastAsia" w:ascii="宋体" w:hAnsi="宋体" w:eastAsia="宋体" w:cs="宋体"/>
          <w:color w:val="auto"/>
          <w:sz w:val="24"/>
          <w:highlight w:val="none"/>
          <w:u w:val="single"/>
        </w:rPr>
      </w:pPr>
      <w:r>
        <w:rPr>
          <w:rFonts w:hint="eastAsia" w:ascii="宋体" w:hAnsi="宋体" w:cs="宋体"/>
          <w:color w:val="auto"/>
          <w:sz w:val="24"/>
          <w:highlight w:val="none"/>
          <w:lang w:val="en-US" w:eastAsia="zh-CN"/>
        </w:rPr>
        <w:t>投标人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rPr>
        <w:t xml:space="preserve">                                        </w:t>
      </w:r>
    </w:p>
    <w:p w14:paraId="37D1CAC0">
      <w:pPr>
        <w:pageBreakBefore w:val="0"/>
        <w:kinsoku/>
        <w:wordWrap/>
        <w:overflowPunct/>
        <w:topLinePunct w:val="0"/>
        <w:bidi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                                           </w:t>
      </w:r>
    </w:p>
    <w:p w14:paraId="3A3B5ED2">
      <w:pPr>
        <w:pageBreakBefore w:val="0"/>
        <w:kinsoku/>
        <w:wordWrap/>
        <w:overflowPunct/>
        <w:topLinePunct w:val="0"/>
        <w:bidi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性别：</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年龄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职务：</w:t>
      </w:r>
      <w:r>
        <w:rPr>
          <w:rFonts w:hint="eastAsia" w:ascii="宋体" w:hAnsi="宋体" w:eastAsia="宋体" w:cs="宋体"/>
          <w:color w:val="auto"/>
          <w:sz w:val="24"/>
          <w:highlight w:val="none"/>
          <w:u w:val="single"/>
        </w:rPr>
        <w:t xml:space="preserve">        </w:t>
      </w:r>
    </w:p>
    <w:p w14:paraId="537628D3">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w:t>
      </w:r>
    </w:p>
    <w:p w14:paraId="4556D852">
      <w:pPr>
        <w:spacing w:line="480" w:lineRule="auto"/>
        <w:rPr>
          <w:color w:val="auto"/>
          <w:sz w:val="24"/>
          <w:highlight w:val="none"/>
        </w:rPr>
      </w:pPr>
    </w:p>
    <w:tbl>
      <w:tblPr>
        <w:tblStyle w:val="25"/>
        <w:tblpPr w:leftFromText="180" w:rightFromText="180" w:vertAnchor="text" w:horzAnchor="page" w:tblpX="1537" w:tblpY="202"/>
        <w:tblOverlap w:val="never"/>
        <w:tblW w:w="4180"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180"/>
      </w:tblGrid>
      <w:tr w14:paraId="45DA65D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99" w:hRule="atLeast"/>
        </w:trPr>
        <w:tc>
          <w:tcPr>
            <w:tcW w:w="4180" w:type="dxa"/>
            <w:vAlign w:val="center"/>
          </w:tcPr>
          <w:p w14:paraId="3E5E2833">
            <w:pPr>
              <w:spacing w:line="480" w:lineRule="auto"/>
              <w:jc w:val="center"/>
              <w:rPr>
                <w:color w:val="auto"/>
                <w:sz w:val="24"/>
                <w:highlight w:val="none"/>
              </w:rPr>
            </w:pPr>
            <w:r>
              <w:rPr>
                <w:color w:val="auto"/>
                <w:sz w:val="24"/>
                <w:highlight w:val="none"/>
              </w:rPr>
              <w:t>法定代表人</w:t>
            </w:r>
          </w:p>
          <w:p w14:paraId="74D13B25">
            <w:pPr>
              <w:spacing w:line="480" w:lineRule="auto"/>
              <w:jc w:val="center"/>
              <w:rPr>
                <w:rFonts w:hint="eastAsia" w:eastAsia="宋体"/>
                <w:color w:val="auto"/>
                <w:sz w:val="24"/>
                <w:highlight w:val="none"/>
                <w:lang w:eastAsia="zh-CN"/>
              </w:rPr>
            </w:pPr>
            <w:r>
              <w:rPr>
                <w:color w:val="auto"/>
                <w:sz w:val="24"/>
                <w:highlight w:val="none"/>
              </w:rPr>
              <w:t>身份证复印</w:t>
            </w:r>
            <w:r>
              <w:rPr>
                <w:rFonts w:hint="eastAsia"/>
                <w:color w:val="auto"/>
                <w:sz w:val="24"/>
                <w:highlight w:val="none"/>
                <w:lang w:eastAsia="zh-CN"/>
              </w:rPr>
              <w:t>件正面</w:t>
            </w:r>
          </w:p>
        </w:tc>
      </w:tr>
    </w:tbl>
    <w:tbl>
      <w:tblPr>
        <w:tblStyle w:val="25"/>
        <w:tblpPr w:leftFromText="180" w:rightFromText="180" w:vertAnchor="text" w:horzAnchor="page" w:tblpX="6283" w:tblpY="310"/>
        <w:tblOverlap w:val="never"/>
        <w:tblW w:w="4040"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040"/>
      </w:tblGrid>
      <w:tr w14:paraId="145CD35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trHeight w:val="2471" w:hRule="atLeast"/>
        </w:trPr>
        <w:tc>
          <w:tcPr>
            <w:tcW w:w="4040" w:type="dxa"/>
            <w:vAlign w:val="center"/>
          </w:tcPr>
          <w:p w14:paraId="2B73780B">
            <w:pPr>
              <w:spacing w:line="480" w:lineRule="auto"/>
              <w:jc w:val="center"/>
              <w:rPr>
                <w:color w:val="auto"/>
                <w:sz w:val="24"/>
                <w:highlight w:val="none"/>
              </w:rPr>
            </w:pPr>
            <w:r>
              <w:rPr>
                <w:color w:val="auto"/>
                <w:sz w:val="24"/>
                <w:highlight w:val="none"/>
              </w:rPr>
              <w:t>法定代表人</w:t>
            </w:r>
          </w:p>
          <w:p w14:paraId="745F1533">
            <w:pPr>
              <w:spacing w:line="480" w:lineRule="auto"/>
              <w:jc w:val="center"/>
              <w:rPr>
                <w:rFonts w:hint="eastAsia" w:eastAsia="宋体"/>
                <w:color w:val="auto"/>
                <w:sz w:val="24"/>
                <w:highlight w:val="none"/>
                <w:lang w:eastAsia="zh-CN"/>
              </w:rPr>
            </w:pPr>
            <w:r>
              <w:rPr>
                <w:color w:val="auto"/>
                <w:sz w:val="24"/>
                <w:highlight w:val="none"/>
              </w:rPr>
              <w:t>身份证复印件</w:t>
            </w:r>
            <w:r>
              <w:rPr>
                <w:rFonts w:hint="eastAsia"/>
                <w:color w:val="auto"/>
                <w:sz w:val="24"/>
                <w:highlight w:val="none"/>
                <w:lang w:eastAsia="zh-CN"/>
              </w:rPr>
              <w:t>反面</w:t>
            </w:r>
          </w:p>
        </w:tc>
      </w:tr>
    </w:tbl>
    <w:p w14:paraId="75C403D2">
      <w:pPr>
        <w:pageBreakBefore w:val="0"/>
        <w:kinsoku/>
        <w:wordWrap/>
        <w:overflowPunct/>
        <w:topLinePunct w:val="0"/>
        <w:bidi w:val="0"/>
        <w:spacing w:line="360" w:lineRule="auto"/>
        <w:rPr>
          <w:rFonts w:hint="eastAsia" w:ascii="宋体" w:hAnsi="宋体" w:eastAsia="宋体" w:cs="宋体"/>
          <w:color w:val="auto"/>
          <w:sz w:val="24"/>
          <w:highlight w:val="none"/>
        </w:rPr>
      </w:pPr>
    </w:p>
    <w:p w14:paraId="66D26584">
      <w:pPr>
        <w:pageBreakBefore w:val="0"/>
        <w:kinsoku/>
        <w:wordWrap/>
        <w:overflowPunct/>
        <w:topLinePunct w:val="0"/>
        <w:bidi w:val="0"/>
        <w:spacing w:line="360" w:lineRule="auto"/>
        <w:rPr>
          <w:rFonts w:hint="eastAsia" w:ascii="宋体" w:hAnsi="宋体" w:eastAsia="宋体" w:cs="宋体"/>
          <w:color w:val="auto"/>
          <w:sz w:val="24"/>
          <w:highlight w:val="none"/>
        </w:rPr>
      </w:pPr>
    </w:p>
    <w:p w14:paraId="61F7852F">
      <w:pPr>
        <w:pStyle w:val="11"/>
        <w:rPr>
          <w:rFonts w:hint="eastAsia" w:ascii="宋体" w:hAnsi="宋体" w:eastAsia="宋体" w:cs="宋体"/>
          <w:color w:val="auto"/>
          <w:sz w:val="24"/>
          <w:highlight w:val="none"/>
        </w:rPr>
      </w:pPr>
    </w:p>
    <w:p w14:paraId="600FD12D">
      <w:pPr>
        <w:pStyle w:val="11"/>
        <w:rPr>
          <w:rFonts w:hint="eastAsia" w:ascii="宋体" w:hAnsi="宋体" w:eastAsia="宋体" w:cs="宋体"/>
          <w:color w:val="auto"/>
          <w:sz w:val="24"/>
          <w:highlight w:val="none"/>
        </w:rPr>
      </w:pPr>
    </w:p>
    <w:p w14:paraId="11B5FABA">
      <w:pPr>
        <w:pStyle w:val="11"/>
        <w:rPr>
          <w:rFonts w:hint="eastAsia" w:ascii="宋体" w:hAnsi="宋体" w:eastAsia="宋体" w:cs="宋体"/>
          <w:color w:val="auto"/>
          <w:sz w:val="24"/>
          <w:highlight w:val="none"/>
        </w:rPr>
      </w:pPr>
    </w:p>
    <w:p w14:paraId="6EBBEA0E">
      <w:pPr>
        <w:keepNext w:val="0"/>
        <w:keepLines w:val="0"/>
        <w:pageBreakBefore w:val="0"/>
        <w:widowControl w:val="0"/>
        <w:kinsoku/>
        <w:wordWrap/>
        <w:overflowPunct/>
        <w:topLinePunct w:val="0"/>
        <w:autoSpaceDE/>
        <w:autoSpaceDN/>
        <w:bidi w:val="0"/>
        <w:adjustRightInd/>
        <w:snapToGrid/>
        <w:spacing w:line="500" w:lineRule="exact"/>
        <w:ind w:firstLine="1920" w:firstLineChars="8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盖章</w:t>
      </w:r>
      <w:r>
        <w:rPr>
          <w:rFonts w:hint="eastAsia" w:ascii="宋体" w:hAnsi="宋体" w:eastAsia="宋体" w:cs="宋体"/>
          <w:color w:val="auto"/>
          <w:sz w:val="24"/>
          <w:highlight w:val="none"/>
        </w:rPr>
        <w:t xml:space="preserve">）   </w:t>
      </w:r>
    </w:p>
    <w:p w14:paraId="2675A086">
      <w:pPr>
        <w:keepNext w:val="0"/>
        <w:keepLines w:val="0"/>
        <w:pageBreakBefore w:val="0"/>
        <w:widowControl w:val="0"/>
        <w:kinsoku/>
        <w:wordWrap/>
        <w:overflowPunct/>
        <w:topLinePunct w:val="0"/>
        <w:autoSpaceDE/>
        <w:autoSpaceDN/>
        <w:bidi w:val="0"/>
        <w:adjustRightInd/>
        <w:snapToGrid/>
        <w:spacing w:line="500" w:lineRule="exact"/>
        <w:ind w:firstLine="1920" w:firstLineChars="8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（签字盖章） </w:t>
      </w:r>
    </w:p>
    <w:p w14:paraId="6FD3BF4A">
      <w:pPr>
        <w:pageBreakBefore w:val="0"/>
        <w:kinsoku/>
        <w:wordWrap/>
        <w:overflowPunct/>
        <w:topLinePunct w:val="0"/>
        <w:bidi w:val="0"/>
        <w:spacing w:line="360" w:lineRule="auto"/>
        <w:ind w:firstLine="5040" w:firstLineChars="2100"/>
        <w:rPr>
          <w:rFonts w:hint="eastAsia" w:ascii="宋体" w:hAnsi="宋体" w:eastAsia="宋体" w:cs="宋体"/>
          <w:color w:val="auto"/>
          <w:sz w:val="24"/>
          <w:highlight w:val="none"/>
        </w:rPr>
      </w:pPr>
    </w:p>
    <w:p w14:paraId="5B7AB377">
      <w:pPr>
        <w:pageBreakBefore w:val="0"/>
        <w:kinsoku/>
        <w:wordWrap/>
        <w:overflowPunct/>
        <w:topLinePunct w:val="0"/>
        <w:bidi w:val="0"/>
        <w:spacing w:line="360" w:lineRule="auto"/>
        <w:ind w:firstLine="5520" w:firstLineChars="2300"/>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2823F219">
      <w:pPr>
        <w:rPr>
          <w:rFonts w:hint="eastAsia" w:ascii="宋体" w:hAnsi="宋体" w:eastAsia="宋体" w:cs="宋体"/>
          <w:color w:val="auto"/>
          <w:sz w:val="28"/>
          <w:szCs w:val="28"/>
          <w:highlight w:val="none"/>
        </w:rPr>
      </w:pPr>
    </w:p>
    <w:p w14:paraId="42F98450">
      <w:pPr>
        <w:ind w:firstLine="280" w:firstLineChars="100"/>
        <w:rPr>
          <w:rFonts w:hint="eastAsia" w:ascii="宋体" w:hAnsi="宋体" w:cs="宋体"/>
          <w:b/>
          <w:bCs/>
          <w:color w:val="auto"/>
          <w:sz w:val="28"/>
          <w:szCs w:val="28"/>
          <w:highlight w:val="none"/>
          <w:lang w:eastAsia="zh-CN"/>
        </w:rPr>
      </w:pPr>
    </w:p>
    <w:p w14:paraId="40A07E0E">
      <w:pPr>
        <w:ind w:firstLine="280" w:firstLineChars="100"/>
        <w:rPr>
          <w:rFonts w:hint="eastAsia" w:ascii="宋体" w:hAnsi="宋体" w:cs="宋体"/>
          <w:color w:val="auto"/>
          <w:sz w:val="28"/>
          <w:szCs w:val="28"/>
          <w:highlight w:val="none"/>
          <w:lang w:val="en-US" w:eastAsia="zh-CN"/>
        </w:rPr>
      </w:pPr>
      <w:r>
        <w:rPr>
          <w:rFonts w:hint="eastAsia" w:ascii="宋体" w:hAnsi="宋体" w:cs="宋体"/>
          <w:b/>
          <w:bCs/>
          <w:color w:val="auto"/>
          <w:sz w:val="28"/>
          <w:szCs w:val="28"/>
          <w:highlight w:val="none"/>
          <w:lang w:eastAsia="zh-CN"/>
        </w:rPr>
        <w:t>后附：</w:t>
      </w:r>
      <w:r>
        <w:rPr>
          <w:rFonts w:hint="eastAsia" w:ascii="宋体" w:hAnsi="宋体" w:cs="宋体"/>
          <w:b/>
          <w:bCs/>
          <w:color w:val="auto"/>
          <w:sz w:val="28"/>
          <w:szCs w:val="28"/>
          <w:highlight w:val="none"/>
          <w:lang w:val="en-US" w:eastAsia="zh-CN"/>
        </w:rPr>
        <w:t>法人近3个月由本单位社保缴费凭证及个人明细。</w:t>
      </w:r>
      <w:r>
        <w:rPr>
          <w:rFonts w:hint="eastAsia" w:ascii="宋体" w:hAnsi="宋体" w:eastAsia="宋体" w:cs="宋体"/>
          <w:color w:val="auto"/>
          <w:sz w:val="28"/>
          <w:szCs w:val="28"/>
          <w:highlight w:val="none"/>
        </w:rPr>
        <w:br w:type="page"/>
      </w:r>
      <w:bookmarkStart w:id="332" w:name="_Toc12937"/>
      <w:bookmarkStart w:id="333" w:name="_Toc20180"/>
    </w:p>
    <w:p w14:paraId="526F9BB7">
      <w:pPr>
        <w:pStyle w:val="8"/>
        <w:pageBreakBefore w:val="0"/>
        <w:kinsoku/>
        <w:wordWrap/>
        <w:overflowPunct/>
        <w:topLinePunct w:val="0"/>
        <w:bidi w:val="0"/>
        <w:spacing w:line="360" w:lineRule="auto"/>
        <w:ind w:firstLine="2530" w:firstLineChars="900"/>
        <w:jc w:val="both"/>
        <w:rPr>
          <w:rFonts w:hint="eastAsia" w:ascii="宋体" w:hAnsi="宋体"/>
          <w:color w:val="auto"/>
          <w:sz w:val="24"/>
          <w:highlight w:val="none"/>
        </w:rPr>
      </w:pPr>
      <w:bookmarkStart w:id="334" w:name="_Toc21542"/>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法定代表人授权</w:t>
      </w:r>
      <w:r>
        <w:rPr>
          <w:rFonts w:hint="eastAsia" w:ascii="宋体" w:hAnsi="宋体" w:cs="宋体"/>
          <w:color w:val="auto"/>
          <w:sz w:val="28"/>
          <w:szCs w:val="28"/>
          <w:highlight w:val="none"/>
          <w:lang w:eastAsia="zh-CN"/>
        </w:rPr>
        <w:t>委托</w:t>
      </w:r>
      <w:r>
        <w:rPr>
          <w:rFonts w:hint="eastAsia" w:ascii="宋体" w:hAnsi="宋体" w:eastAsia="宋体" w:cs="宋体"/>
          <w:color w:val="auto"/>
          <w:sz w:val="28"/>
          <w:szCs w:val="28"/>
          <w:highlight w:val="none"/>
        </w:rPr>
        <w:t>书</w:t>
      </w:r>
      <w:bookmarkEnd w:id="332"/>
      <w:bookmarkEnd w:id="333"/>
      <w:bookmarkEnd w:id="334"/>
    </w:p>
    <w:p w14:paraId="4A03836F">
      <w:pPr>
        <w:spacing w:line="360" w:lineRule="auto"/>
        <w:rPr>
          <w:rFonts w:hint="eastAsia" w:ascii="宋体" w:hAnsi="宋体" w:eastAsia="宋体"/>
          <w:color w:val="auto"/>
          <w:sz w:val="24"/>
          <w:szCs w:val="24"/>
          <w:highlight w:val="none"/>
          <w:u w:val="single"/>
          <w:lang w:eastAsia="zh-CN"/>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none"/>
          <w:lang w:eastAsia="zh-CN"/>
        </w:rPr>
        <w:t>（采购单位名称）</w:t>
      </w:r>
    </w:p>
    <w:p w14:paraId="38412B20">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ascii="宋体" w:hAnsi="宋体"/>
          <w:color w:val="auto"/>
          <w:sz w:val="24"/>
          <w:szCs w:val="24"/>
          <w:highlight w:val="none"/>
          <w:lang w:eastAsia="zh-CN"/>
        </w:rPr>
        <w:t>报价</w:t>
      </w:r>
      <w:r>
        <w:rPr>
          <w:rFonts w:hint="eastAsia" w:ascii="宋体" w:hAnsi="宋体"/>
          <w:color w:val="auto"/>
          <w:sz w:val="24"/>
          <w:szCs w:val="24"/>
          <w:highlight w:val="none"/>
        </w:rPr>
        <w:t>单位名称)法定代表人</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 xml:space="preserve">授权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为本公司的合法代理人，参加贵方组织的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eastAsia="zh-CN"/>
        </w:rPr>
        <w:t>（项目名称）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采购</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活动，全权代表我方处理</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活动中的一切事宜和签署一切文件，被授权人无转委托权，特此委托。</w:t>
      </w:r>
    </w:p>
    <w:p w14:paraId="6C631794">
      <w:pPr>
        <w:spacing w:line="360" w:lineRule="auto"/>
        <w:rPr>
          <w:rFonts w:hint="eastAsia" w:ascii="宋体" w:hAnsi="宋体"/>
          <w:color w:val="auto"/>
          <w:sz w:val="24"/>
          <w:szCs w:val="24"/>
          <w:highlight w:val="none"/>
          <w:u w:val="single"/>
        </w:rPr>
      </w:pPr>
      <w:r>
        <w:rPr>
          <w:rFonts w:hint="eastAsia" w:ascii="宋体" w:hAnsi="宋体"/>
          <w:color w:val="auto"/>
          <w:sz w:val="24"/>
          <w:szCs w:val="24"/>
          <w:highlight w:val="none"/>
        </w:rPr>
        <w:t xml:space="preserve">     法定代表人签字：   </w:t>
      </w:r>
      <w:r>
        <w:rPr>
          <w:rFonts w:hint="eastAsia" w:ascii="宋体" w:hAnsi="宋体"/>
          <w:color w:val="auto"/>
          <w:sz w:val="24"/>
          <w:szCs w:val="24"/>
          <w:highlight w:val="none"/>
          <w:u w:val="single"/>
        </w:rPr>
        <w:t xml:space="preserve">           </w:t>
      </w:r>
    </w:p>
    <w:p w14:paraId="667B8A99">
      <w:pPr>
        <w:spacing w:line="360" w:lineRule="auto"/>
        <w:ind w:firstLine="588" w:firstLineChars="245"/>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委托期限</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年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lang w:eastAsia="zh-CN"/>
        </w:rPr>
        <w:t>至</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年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4FC89424">
      <w:pPr>
        <w:spacing w:line="360" w:lineRule="auto"/>
        <w:ind w:firstLine="588" w:firstLineChars="245"/>
        <w:rPr>
          <w:rFonts w:hint="eastAsia" w:ascii="宋体" w:hAnsi="宋体"/>
          <w:color w:val="auto"/>
          <w:sz w:val="24"/>
          <w:szCs w:val="24"/>
          <w:highlight w:val="none"/>
          <w:u w:val="single"/>
        </w:rPr>
      </w:pPr>
      <w:r>
        <w:rPr>
          <w:rFonts w:hint="eastAsia" w:ascii="宋体" w:hAnsi="宋体"/>
          <w:color w:val="auto"/>
          <w:sz w:val="24"/>
          <w:szCs w:val="24"/>
          <w:highlight w:val="none"/>
        </w:rPr>
        <w:t>被授权人姓名：</w:t>
      </w:r>
      <w:r>
        <w:rPr>
          <w:rFonts w:hint="eastAsia" w:ascii="宋体" w:hAnsi="宋体"/>
          <w:color w:val="auto"/>
          <w:sz w:val="24"/>
          <w:szCs w:val="24"/>
          <w:highlight w:val="none"/>
          <w:u w:val="single"/>
        </w:rPr>
        <w:t xml:space="preserve">                 </w:t>
      </w:r>
    </w:p>
    <w:p w14:paraId="4387C272">
      <w:pPr>
        <w:spacing w:line="360" w:lineRule="auto"/>
        <w:ind w:firstLine="588" w:firstLineChars="245"/>
        <w:rPr>
          <w:rFonts w:hint="eastAsia" w:ascii="宋体" w:hAnsi="宋体"/>
          <w:color w:val="auto"/>
          <w:sz w:val="24"/>
          <w:szCs w:val="24"/>
          <w:highlight w:val="none"/>
        </w:rPr>
      </w:pP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2F5609D1">
      <w:pPr>
        <w:spacing w:line="360" w:lineRule="auto"/>
        <w:ind w:firstLine="588" w:firstLineChars="245"/>
        <w:rPr>
          <w:rFonts w:hint="eastAsia" w:ascii="宋体" w:hAnsi="宋体"/>
          <w:color w:val="auto"/>
          <w:sz w:val="24"/>
          <w:szCs w:val="24"/>
          <w:highlight w:val="none"/>
          <w:u w:val="single"/>
        </w:rPr>
      </w:pPr>
      <w:r>
        <w:rPr>
          <w:rFonts w:hint="eastAsia" w:ascii="宋体" w:hAnsi="宋体"/>
          <w:color w:val="auto"/>
          <w:sz w:val="24"/>
          <w:szCs w:val="24"/>
          <w:highlight w:val="none"/>
        </w:rPr>
        <w:t>详细通讯地址：</w:t>
      </w:r>
      <w:r>
        <w:rPr>
          <w:rFonts w:hint="eastAsia" w:ascii="宋体" w:hAnsi="宋体"/>
          <w:color w:val="auto"/>
          <w:sz w:val="24"/>
          <w:szCs w:val="24"/>
          <w:highlight w:val="none"/>
          <w:u w:val="single"/>
        </w:rPr>
        <w:t xml:space="preserve">                 </w:t>
      </w:r>
    </w:p>
    <w:p w14:paraId="5FC5744F">
      <w:pPr>
        <w:spacing w:line="360" w:lineRule="auto"/>
        <w:ind w:firstLine="588" w:firstLineChars="245"/>
        <w:rPr>
          <w:rFonts w:hint="eastAsia" w:ascii="宋体" w:hAnsi="宋体"/>
          <w:color w:val="auto"/>
          <w:sz w:val="24"/>
          <w:szCs w:val="24"/>
          <w:highlight w:val="none"/>
          <w:u w:val="single"/>
        </w:rPr>
      </w:pPr>
      <w:r>
        <w:rPr>
          <w:rFonts w:hint="eastAsia" w:ascii="宋体" w:hAnsi="宋体"/>
          <w:color w:val="auto"/>
          <w:sz w:val="24"/>
          <w:szCs w:val="24"/>
          <w:highlight w:val="none"/>
        </w:rPr>
        <w:t>邮政编码：</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p>
    <w:p w14:paraId="74C6B1D6">
      <w:pPr>
        <w:spacing w:line="360" w:lineRule="auto"/>
        <w:ind w:firstLine="588" w:firstLineChars="245"/>
        <w:rPr>
          <w:rFonts w:hint="eastAsia" w:ascii="宋体" w:hAnsi="宋体"/>
          <w:color w:val="auto"/>
          <w:sz w:val="24"/>
          <w:szCs w:val="24"/>
          <w:highlight w:val="none"/>
          <w:u w:val="single"/>
        </w:rPr>
      </w:pPr>
      <w:r>
        <w:rPr>
          <w:rFonts w:hint="eastAsia" w:ascii="宋体" w:hAnsi="宋体"/>
          <w:color w:val="auto"/>
          <w:sz w:val="24"/>
          <w:szCs w:val="24"/>
          <w:highlight w:val="none"/>
        </w:rPr>
        <w:t>电    话：</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p>
    <w:p w14:paraId="011FEAE9">
      <w:pPr>
        <w:spacing w:line="360" w:lineRule="auto"/>
        <w:rPr>
          <w:rFonts w:hint="eastAsia" w:ascii="宋体" w:hAnsi="宋体"/>
          <w:b/>
          <w:color w:val="auto"/>
          <w:sz w:val="24"/>
          <w:szCs w:val="24"/>
          <w:highlight w:val="none"/>
        </w:rPr>
      </w:pPr>
      <w:r>
        <w:rPr>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2775585</wp:posOffset>
                </wp:positionH>
                <wp:positionV relativeFrom="paragraph">
                  <wp:posOffset>111125</wp:posOffset>
                </wp:positionV>
                <wp:extent cx="2619375" cy="1704975"/>
                <wp:effectExtent l="7620" t="7620" r="20955" b="20955"/>
                <wp:wrapNone/>
                <wp:docPr id="3" name="文本框 3"/>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5E8F3B62">
                            <w:pPr>
                              <w:jc w:val="center"/>
                              <w:rPr>
                                <w:rFonts w:hint="eastAsia"/>
                                <w:lang w:eastAsia="zh-CN"/>
                              </w:rPr>
                            </w:pPr>
                          </w:p>
                          <w:p w14:paraId="06A84ABC">
                            <w:pPr>
                              <w:jc w:val="center"/>
                              <w:rPr>
                                <w:rFonts w:hint="eastAsia"/>
                                <w:lang w:eastAsia="zh-CN"/>
                              </w:rPr>
                            </w:pPr>
                          </w:p>
                          <w:p w14:paraId="24C13D1C">
                            <w:pPr>
                              <w:jc w:val="center"/>
                              <w:rPr>
                                <w:rFonts w:hint="eastAsia" w:eastAsia="宋体"/>
                                <w:lang w:eastAsia="zh-CN"/>
                              </w:rPr>
                            </w:pPr>
                            <w:r>
                              <w:rPr>
                                <w:rFonts w:hint="eastAsia"/>
                                <w:lang w:eastAsia="zh-CN"/>
                              </w:rPr>
                              <w:t>被委托人身份证正面</w:t>
                            </w:r>
                          </w:p>
                        </w:txbxContent>
                      </wps:txbx>
                      <wps:bodyPr upright="1"/>
                    </wps:wsp>
                  </a:graphicData>
                </a:graphic>
              </wp:anchor>
            </w:drawing>
          </mc:Choice>
          <mc:Fallback>
            <w:pict>
              <v:shape id="_x0000_s1026" o:spid="_x0000_s1026" o:spt="202" type="#_x0000_t202" style="position:absolute;left:0pt;margin-left:218.55pt;margin-top:8.75pt;height:134.25pt;width:206.25pt;z-index:251660288;mso-width-relative:page;mso-height-relative:page;" fillcolor="#FFFFFF" filled="t" stroked="t" coordsize="21600,21600" o:gfxdata="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s4DT/ZAAAACgEAAA8AAAAAAAAAAQAg&#10;AAAAIgAAAGRycy9kb3ducmV2LnhtbFBLAQIUABQAAAAIAIdO4kAPxQ0TRgIAAL8EAAAOAAAAAAAA&#10;AAEAIAAAACgBAABkcnMvZTJvRG9jLnhtbFBLBQYAAAAABgAGAFkBAADgBQAAAAA=&#10;">
                <v:fill type="gradient" on="t" color2="#FFFFFF" angle="90" focus="100%" focussize="0,0">
                  <o:fill type="gradientUnscaled" v:ext="backwardCompatible"/>
                </v:fill>
                <v:stroke weight="1.25pt" color="#000000" joinstyle="miter"/>
                <v:imagedata o:title=""/>
                <o:lock v:ext="edit" aspectratio="f"/>
                <v:textbox>
                  <w:txbxContent>
                    <w:p w14:paraId="5E8F3B62">
                      <w:pPr>
                        <w:jc w:val="center"/>
                        <w:rPr>
                          <w:rFonts w:hint="eastAsia"/>
                          <w:lang w:eastAsia="zh-CN"/>
                        </w:rPr>
                      </w:pPr>
                    </w:p>
                    <w:p w14:paraId="06A84ABC">
                      <w:pPr>
                        <w:jc w:val="center"/>
                        <w:rPr>
                          <w:rFonts w:hint="eastAsia"/>
                          <w:lang w:eastAsia="zh-CN"/>
                        </w:rPr>
                      </w:pPr>
                    </w:p>
                    <w:p w14:paraId="24C13D1C">
                      <w:pPr>
                        <w:jc w:val="center"/>
                        <w:rPr>
                          <w:rFonts w:hint="eastAsia" w:eastAsia="宋体"/>
                          <w:lang w:eastAsia="zh-CN"/>
                        </w:rPr>
                      </w:pPr>
                      <w:r>
                        <w:rPr>
                          <w:rFonts w:hint="eastAsia"/>
                          <w:lang w:eastAsia="zh-CN"/>
                        </w:rPr>
                        <w:t>被委托人身份证正面</w:t>
                      </w:r>
                    </w:p>
                  </w:txbxContent>
                </v:textbox>
              </v:shape>
            </w:pict>
          </mc:Fallback>
        </mc:AlternateContent>
      </w:r>
      <w:r>
        <w:rPr>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87630</wp:posOffset>
                </wp:positionV>
                <wp:extent cx="2619375" cy="1704975"/>
                <wp:effectExtent l="7620" t="7620" r="20955" b="20955"/>
                <wp:wrapNone/>
                <wp:docPr id="2" name="文本框 2"/>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4232CBBF">
                            <w:pPr>
                              <w:jc w:val="center"/>
                              <w:rPr>
                                <w:rFonts w:hint="eastAsia"/>
                                <w:lang w:eastAsia="zh-CN"/>
                              </w:rPr>
                            </w:pPr>
                          </w:p>
                          <w:p w14:paraId="680066A4">
                            <w:pPr>
                              <w:jc w:val="center"/>
                              <w:rPr>
                                <w:rFonts w:hint="eastAsia"/>
                                <w:lang w:eastAsia="zh-CN"/>
                              </w:rPr>
                            </w:pPr>
                          </w:p>
                          <w:p w14:paraId="7B4A76A8">
                            <w:pPr>
                              <w:jc w:val="center"/>
                              <w:rPr>
                                <w:rFonts w:hint="eastAsia" w:eastAsia="宋体"/>
                                <w:lang w:eastAsia="zh-CN"/>
                              </w:rPr>
                            </w:pPr>
                            <w:r>
                              <w:rPr>
                                <w:rFonts w:hint="eastAsia"/>
                                <w:lang w:eastAsia="zh-CN"/>
                              </w:rPr>
                              <w:t>法定代表人身份证正面</w:t>
                            </w:r>
                          </w:p>
                        </w:txbxContent>
                      </wps:txbx>
                      <wps:bodyPr upright="1"/>
                    </wps:wsp>
                  </a:graphicData>
                </a:graphic>
              </wp:anchor>
            </w:drawing>
          </mc:Choice>
          <mc:Fallback>
            <w:pict>
              <v:shape id="_x0000_s1026" o:spid="_x0000_s1026" o:spt="202" type="#_x0000_t202" style="position:absolute;left:0pt;margin-left:0.9pt;margin-top:6.9pt;height:134.25pt;width:206.25pt;z-index:251659264;mso-width-relative:page;mso-height-relative:page;" fillcolor="#FFFFFF" filled="t" strok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m4hEhNUAAAAIAQAADwAAAAAAAAABACAAAAAi&#10;AAAAZHJzL2Rvd25yZXYueG1sUEsBAhQAFAAAAAgAh07iQIF7FDJGAgAAvwQAAA4AAAAAAAAAAQAg&#10;AAAAJAEAAGRycy9lMm9Eb2MueG1sUEsFBgAAAAAGAAYAWQEAANwFAAAAAA==&#10;">
                <v:fill type="gradient" on="t" color2="#FFFFFF" angle="90" focus="100%" focussize="0,0">
                  <o:fill type="gradientUnscaled" v:ext="backwardCompatible"/>
                </v:fill>
                <v:stroke weight="1.25pt" color="#000000" joinstyle="miter"/>
                <v:imagedata o:title=""/>
                <o:lock v:ext="edit" aspectratio="f"/>
                <v:textbox>
                  <w:txbxContent>
                    <w:p w14:paraId="4232CBBF">
                      <w:pPr>
                        <w:jc w:val="center"/>
                        <w:rPr>
                          <w:rFonts w:hint="eastAsia"/>
                          <w:lang w:eastAsia="zh-CN"/>
                        </w:rPr>
                      </w:pPr>
                    </w:p>
                    <w:p w14:paraId="680066A4">
                      <w:pPr>
                        <w:jc w:val="center"/>
                        <w:rPr>
                          <w:rFonts w:hint="eastAsia"/>
                          <w:lang w:eastAsia="zh-CN"/>
                        </w:rPr>
                      </w:pPr>
                    </w:p>
                    <w:p w14:paraId="7B4A76A8">
                      <w:pPr>
                        <w:jc w:val="center"/>
                        <w:rPr>
                          <w:rFonts w:hint="eastAsia" w:eastAsia="宋体"/>
                          <w:lang w:eastAsia="zh-CN"/>
                        </w:rPr>
                      </w:pPr>
                      <w:r>
                        <w:rPr>
                          <w:rFonts w:hint="eastAsia"/>
                          <w:lang w:eastAsia="zh-CN"/>
                        </w:rPr>
                        <w:t>法定代表人身份证正面</w:t>
                      </w:r>
                    </w:p>
                  </w:txbxContent>
                </v:textbox>
              </v:shape>
            </w:pict>
          </mc:Fallback>
        </mc:AlternateContent>
      </w:r>
    </w:p>
    <w:p w14:paraId="1E04A32A">
      <w:pPr>
        <w:spacing w:line="360" w:lineRule="auto"/>
        <w:rPr>
          <w:rFonts w:hint="eastAsia" w:ascii="宋体" w:hAnsi="宋体"/>
          <w:b/>
          <w:color w:val="auto"/>
          <w:sz w:val="24"/>
          <w:szCs w:val="24"/>
          <w:highlight w:val="none"/>
        </w:rPr>
      </w:pPr>
    </w:p>
    <w:p w14:paraId="7BDD8B51">
      <w:pPr>
        <w:spacing w:line="360" w:lineRule="auto"/>
        <w:rPr>
          <w:rFonts w:hint="eastAsia" w:ascii="宋体" w:hAnsi="宋体"/>
          <w:b/>
          <w:color w:val="auto"/>
          <w:sz w:val="24"/>
          <w:szCs w:val="24"/>
          <w:highlight w:val="none"/>
        </w:rPr>
      </w:pPr>
    </w:p>
    <w:p w14:paraId="53B6111E">
      <w:pPr>
        <w:spacing w:line="360" w:lineRule="auto"/>
        <w:rPr>
          <w:rFonts w:hint="eastAsia" w:ascii="宋体" w:hAnsi="宋体"/>
          <w:b/>
          <w:color w:val="auto"/>
          <w:sz w:val="24"/>
          <w:szCs w:val="24"/>
          <w:highlight w:val="none"/>
        </w:rPr>
      </w:pPr>
    </w:p>
    <w:p w14:paraId="7BE58BC2">
      <w:pPr>
        <w:spacing w:line="360" w:lineRule="auto"/>
        <w:rPr>
          <w:rFonts w:hint="eastAsia" w:ascii="宋体" w:hAnsi="宋体"/>
          <w:b/>
          <w:color w:val="auto"/>
          <w:sz w:val="24"/>
          <w:szCs w:val="24"/>
          <w:highlight w:val="none"/>
        </w:rPr>
      </w:pPr>
    </w:p>
    <w:p w14:paraId="64A23A4B">
      <w:pPr>
        <w:spacing w:line="360" w:lineRule="auto"/>
        <w:rPr>
          <w:rFonts w:hint="eastAsia" w:ascii="宋体" w:hAnsi="宋体"/>
          <w:b/>
          <w:color w:val="auto"/>
          <w:sz w:val="24"/>
          <w:szCs w:val="24"/>
          <w:highlight w:val="none"/>
        </w:rPr>
      </w:pPr>
    </w:p>
    <w:p w14:paraId="600861EF">
      <w:pPr>
        <w:spacing w:line="360" w:lineRule="auto"/>
        <w:rPr>
          <w:rFonts w:hint="eastAsia" w:ascii="宋体" w:hAnsi="宋体"/>
          <w:b/>
          <w:color w:val="auto"/>
          <w:sz w:val="24"/>
          <w:szCs w:val="24"/>
          <w:highlight w:val="none"/>
        </w:rPr>
      </w:pPr>
      <w:r>
        <w:rPr>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59055</wp:posOffset>
                </wp:positionH>
                <wp:positionV relativeFrom="paragraph">
                  <wp:posOffset>142875</wp:posOffset>
                </wp:positionV>
                <wp:extent cx="2619375" cy="1704975"/>
                <wp:effectExtent l="7620" t="7620" r="20955" b="20955"/>
                <wp:wrapNone/>
                <wp:docPr id="4" name="文本框 4"/>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09E07773">
                            <w:pPr>
                              <w:jc w:val="center"/>
                              <w:rPr>
                                <w:rFonts w:hint="eastAsia"/>
                                <w:lang w:eastAsia="zh-CN"/>
                              </w:rPr>
                            </w:pPr>
                          </w:p>
                          <w:p w14:paraId="7D4E67D4">
                            <w:pPr>
                              <w:jc w:val="center"/>
                              <w:rPr>
                                <w:rFonts w:hint="eastAsia"/>
                                <w:lang w:eastAsia="zh-CN"/>
                              </w:rPr>
                            </w:pPr>
                          </w:p>
                          <w:p w14:paraId="78991F60">
                            <w:pPr>
                              <w:jc w:val="center"/>
                              <w:rPr>
                                <w:rFonts w:hint="eastAsia" w:eastAsia="宋体"/>
                                <w:lang w:eastAsia="zh-CN"/>
                              </w:rPr>
                            </w:pPr>
                            <w:r>
                              <w:rPr>
                                <w:rFonts w:hint="eastAsia"/>
                                <w:lang w:eastAsia="zh-CN"/>
                              </w:rPr>
                              <w:t>法定代表人身份证反面</w:t>
                            </w:r>
                          </w:p>
                        </w:txbxContent>
                      </wps:txbx>
                      <wps:bodyPr upright="1"/>
                    </wps:wsp>
                  </a:graphicData>
                </a:graphic>
              </wp:anchor>
            </w:drawing>
          </mc:Choice>
          <mc:Fallback>
            <w:pict>
              <v:shape id="_x0000_s1026" o:spid="_x0000_s1026" o:spt="202" type="#_x0000_t202" style="position:absolute;left:0pt;margin-left:4.65pt;margin-top:11.25pt;height:134.25pt;width:206.25pt;z-index:251661312;mso-width-relative:page;mso-height-relative:page;" fillcolor="#FFFFFF" filled="t" stroked="t" coordsize="21600,21600" o:gfxdata="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tDTW/WAAAACAEAAA8AAAAAAAAAAQAgAAAA&#10;IgAAAGRycy9kb3ducmV2LnhtbFBLAQIUABQAAAAIAIdO4kCl/EH0RgIAAL8EAAAOAAAAAAAAAAEA&#10;IAAAACUBAABkcnMvZTJvRG9jLnhtbFBLBQYAAAAABgAGAFkBAADdBQAAAAA=&#10;">
                <v:fill type="gradient" on="t" color2="#FFFFFF" angle="90" focus="100%" focussize="0,0">
                  <o:fill type="gradientUnscaled" v:ext="backwardCompatible"/>
                </v:fill>
                <v:stroke weight="1.25pt" color="#000000" joinstyle="miter"/>
                <v:imagedata o:title=""/>
                <o:lock v:ext="edit" aspectratio="f"/>
                <v:textbox>
                  <w:txbxContent>
                    <w:p w14:paraId="09E07773">
                      <w:pPr>
                        <w:jc w:val="center"/>
                        <w:rPr>
                          <w:rFonts w:hint="eastAsia"/>
                          <w:lang w:eastAsia="zh-CN"/>
                        </w:rPr>
                      </w:pPr>
                    </w:p>
                    <w:p w14:paraId="7D4E67D4">
                      <w:pPr>
                        <w:jc w:val="center"/>
                        <w:rPr>
                          <w:rFonts w:hint="eastAsia"/>
                          <w:lang w:eastAsia="zh-CN"/>
                        </w:rPr>
                      </w:pPr>
                    </w:p>
                    <w:p w14:paraId="78991F60">
                      <w:pPr>
                        <w:jc w:val="center"/>
                        <w:rPr>
                          <w:rFonts w:hint="eastAsia" w:eastAsia="宋体"/>
                          <w:lang w:eastAsia="zh-CN"/>
                        </w:rPr>
                      </w:pPr>
                      <w:r>
                        <w:rPr>
                          <w:rFonts w:hint="eastAsia"/>
                          <w:lang w:eastAsia="zh-CN"/>
                        </w:rPr>
                        <w:t>法定代表人身份证反面</w:t>
                      </w:r>
                    </w:p>
                  </w:txbxContent>
                </v:textbox>
              </v:shape>
            </w:pict>
          </mc:Fallback>
        </mc:AlternateContent>
      </w:r>
      <w:r>
        <w:rPr>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2811780</wp:posOffset>
                </wp:positionH>
                <wp:positionV relativeFrom="paragraph">
                  <wp:posOffset>142875</wp:posOffset>
                </wp:positionV>
                <wp:extent cx="2619375" cy="1704975"/>
                <wp:effectExtent l="7620" t="7620" r="20955" b="20955"/>
                <wp:wrapNone/>
                <wp:docPr id="5" name="文本框 5"/>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5A8CB336">
                            <w:pPr>
                              <w:jc w:val="center"/>
                              <w:rPr>
                                <w:rFonts w:hint="eastAsia"/>
                                <w:lang w:eastAsia="zh-CN"/>
                              </w:rPr>
                            </w:pPr>
                          </w:p>
                          <w:p w14:paraId="6B2BF476">
                            <w:pPr>
                              <w:jc w:val="center"/>
                              <w:rPr>
                                <w:rFonts w:hint="eastAsia"/>
                                <w:lang w:eastAsia="zh-CN"/>
                              </w:rPr>
                            </w:pPr>
                          </w:p>
                          <w:p w14:paraId="68B1A77F">
                            <w:pPr>
                              <w:jc w:val="center"/>
                              <w:rPr>
                                <w:rFonts w:hint="eastAsia" w:eastAsia="宋体"/>
                                <w:lang w:eastAsia="zh-CN"/>
                              </w:rPr>
                            </w:pPr>
                            <w:r>
                              <w:rPr>
                                <w:rFonts w:hint="eastAsia"/>
                                <w:lang w:eastAsia="zh-CN"/>
                              </w:rPr>
                              <w:t>被委托人身份证反面</w:t>
                            </w:r>
                          </w:p>
                        </w:txbxContent>
                      </wps:txbx>
                      <wps:bodyPr upright="1"/>
                    </wps:wsp>
                  </a:graphicData>
                </a:graphic>
              </wp:anchor>
            </w:drawing>
          </mc:Choice>
          <mc:Fallback>
            <w:pict>
              <v:shape id="_x0000_s1026" o:spid="_x0000_s1026" o:spt="202" type="#_x0000_t202" style="position:absolute;left:0pt;margin-left:221.4pt;margin-top:11.25pt;height:134.25pt;width:206.25pt;z-index:251662336;mso-width-relative:page;mso-height-relative:page;" fillcolor="#FFFFFF" filled="t" stroked="t" coordsize="21600,21600" o:gfxdata="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J8HCn2AAAAAoBAAAPAAAAAAAAAAEAIAAA&#10;ACIAAABkcnMvZG93bnJldi54bWxQSwECFAAUAAAACACHTuJAK0JY1UUCAAC/BAAADgAAAAAAAAAB&#10;ACAAAAAnAQAAZHJzL2Uyb0RvYy54bWxQSwUGAAAAAAYABgBZAQAA3gUAAAAA&#10;">
                <v:fill type="gradient" on="t" color2="#FFFFFF" angle="90" focus="100%" focussize="0,0">
                  <o:fill type="gradientUnscaled" v:ext="backwardCompatible"/>
                </v:fill>
                <v:stroke weight="1.25pt" color="#000000" joinstyle="miter"/>
                <v:imagedata o:title=""/>
                <o:lock v:ext="edit" aspectratio="f"/>
                <v:textbox>
                  <w:txbxContent>
                    <w:p w14:paraId="5A8CB336">
                      <w:pPr>
                        <w:jc w:val="center"/>
                        <w:rPr>
                          <w:rFonts w:hint="eastAsia"/>
                          <w:lang w:eastAsia="zh-CN"/>
                        </w:rPr>
                      </w:pPr>
                    </w:p>
                    <w:p w14:paraId="6B2BF476">
                      <w:pPr>
                        <w:jc w:val="center"/>
                        <w:rPr>
                          <w:rFonts w:hint="eastAsia"/>
                          <w:lang w:eastAsia="zh-CN"/>
                        </w:rPr>
                      </w:pPr>
                    </w:p>
                    <w:p w14:paraId="68B1A77F">
                      <w:pPr>
                        <w:jc w:val="center"/>
                        <w:rPr>
                          <w:rFonts w:hint="eastAsia" w:eastAsia="宋体"/>
                          <w:lang w:eastAsia="zh-CN"/>
                        </w:rPr>
                      </w:pPr>
                      <w:r>
                        <w:rPr>
                          <w:rFonts w:hint="eastAsia"/>
                          <w:lang w:eastAsia="zh-CN"/>
                        </w:rPr>
                        <w:t>被委托人身份证反面</w:t>
                      </w:r>
                    </w:p>
                  </w:txbxContent>
                </v:textbox>
              </v:shape>
            </w:pict>
          </mc:Fallback>
        </mc:AlternateContent>
      </w:r>
    </w:p>
    <w:p w14:paraId="7BD8E7FC">
      <w:pPr>
        <w:spacing w:line="360" w:lineRule="auto"/>
        <w:rPr>
          <w:rFonts w:hint="eastAsia" w:ascii="宋体" w:hAnsi="宋体"/>
          <w:b/>
          <w:color w:val="auto"/>
          <w:sz w:val="24"/>
          <w:szCs w:val="24"/>
          <w:highlight w:val="none"/>
        </w:rPr>
      </w:pPr>
    </w:p>
    <w:p w14:paraId="77CAEB92">
      <w:pPr>
        <w:spacing w:line="360" w:lineRule="auto"/>
        <w:rPr>
          <w:rFonts w:hint="eastAsia" w:ascii="宋体" w:hAnsi="宋体"/>
          <w:b/>
          <w:color w:val="auto"/>
          <w:sz w:val="24"/>
          <w:szCs w:val="24"/>
          <w:highlight w:val="none"/>
        </w:rPr>
      </w:pPr>
    </w:p>
    <w:p w14:paraId="73F2776A">
      <w:pPr>
        <w:spacing w:line="360" w:lineRule="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                                             </w:t>
      </w:r>
    </w:p>
    <w:p w14:paraId="3628B4E4">
      <w:pPr>
        <w:spacing w:line="360" w:lineRule="auto"/>
        <w:rPr>
          <w:rFonts w:hint="eastAsia" w:ascii="宋体" w:hAnsi="宋体"/>
          <w:color w:val="auto"/>
          <w:sz w:val="24"/>
          <w:szCs w:val="24"/>
          <w:highlight w:val="none"/>
          <w:lang w:val="en-US" w:eastAsia="zh-CN"/>
        </w:rPr>
      </w:pPr>
    </w:p>
    <w:p w14:paraId="75C6139A">
      <w:pPr>
        <w:spacing w:line="360" w:lineRule="auto"/>
        <w:rPr>
          <w:rFonts w:hint="eastAsia" w:ascii="宋体" w:hAnsi="宋体"/>
          <w:color w:val="auto"/>
          <w:sz w:val="24"/>
          <w:szCs w:val="24"/>
          <w:highlight w:val="none"/>
          <w:lang w:val="en-US" w:eastAsia="zh-CN"/>
        </w:rPr>
      </w:pPr>
    </w:p>
    <w:p w14:paraId="407D4F9A">
      <w:pPr>
        <w:pStyle w:val="11"/>
        <w:rPr>
          <w:rFonts w:hint="eastAsia" w:ascii="宋体" w:hAnsi="宋体"/>
          <w:color w:val="auto"/>
          <w:sz w:val="24"/>
          <w:szCs w:val="24"/>
          <w:highlight w:val="none"/>
          <w:lang w:val="en-US" w:eastAsia="zh-CN"/>
        </w:rPr>
      </w:pPr>
    </w:p>
    <w:p w14:paraId="6A5CEC7D">
      <w:pPr>
        <w:jc w:val="right"/>
        <w:rPr>
          <w:rFonts w:hint="eastAsia" w:ascii="宋体" w:hAnsi="宋体"/>
          <w:color w:val="auto"/>
          <w:sz w:val="24"/>
          <w:szCs w:val="24"/>
          <w:highlight w:val="none"/>
          <w:lang w:val="en-US" w:eastAsia="zh-CN"/>
        </w:rPr>
      </w:pPr>
    </w:p>
    <w:p w14:paraId="6FB2BDE6">
      <w:pPr>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                      供应商：                          （盖章）   </w:t>
      </w:r>
    </w:p>
    <w:p w14:paraId="454674F0">
      <w:pPr>
        <w:jc w:val="righ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法定代表人和授权代表人：            （签字盖章）</w:t>
      </w:r>
    </w:p>
    <w:p w14:paraId="2C81CBAC">
      <w:pPr>
        <w:pageBreakBefore w:val="0"/>
        <w:kinsoku/>
        <w:wordWrap/>
        <w:overflowPunct/>
        <w:topLinePunct w:val="0"/>
        <w:bidi w:val="0"/>
        <w:spacing w:line="360" w:lineRule="auto"/>
        <w:ind w:firstLine="3360" w:firstLineChars="1400"/>
        <w:rPr>
          <w:rFonts w:hint="eastAsia" w:ascii="宋体" w:hAnsi="宋体"/>
          <w:color w:val="auto"/>
          <w:sz w:val="24"/>
          <w:szCs w:val="24"/>
          <w:highlight w:val="none"/>
        </w:rPr>
      </w:pPr>
      <w:r>
        <w:rPr>
          <w:rFonts w:hint="eastAsia" w:ascii="宋体" w:hAnsi="宋体"/>
          <w:color w:val="auto"/>
          <w:sz w:val="24"/>
          <w:szCs w:val="24"/>
          <w:highlight w:val="none"/>
        </w:rPr>
        <w:t>日期：  年   月   日</w:t>
      </w:r>
    </w:p>
    <w:p w14:paraId="63700D69">
      <w:pPr>
        <w:pStyle w:val="2"/>
        <w:ind w:left="0" w:leftChars="0" w:firstLine="0" w:firstLineChars="0"/>
        <w:rPr>
          <w:rFonts w:hint="eastAsia" w:asciiTheme="minorEastAsia" w:hAnsiTheme="minorEastAsia" w:eastAsiaTheme="minorEastAsia" w:cstheme="minorEastAsia"/>
          <w:color w:val="auto"/>
          <w:kern w:val="2"/>
          <w:sz w:val="24"/>
          <w:szCs w:val="24"/>
          <w:highlight w:val="none"/>
          <w:shd w:val="clear" w:color="auto" w:fill="FFFFFF"/>
          <w:lang w:val="en-US" w:eastAsia="zh-CN"/>
        </w:rPr>
      </w:pPr>
    </w:p>
    <w:p w14:paraId="4E7ADA42">
      <w:pPr>
        <w:pStyle w:val="2"/>
        <w:ind w:left="0" w:leftChars="0" w:firstLine="0" w:firstLineChars="0"/>
        <w:rPr>
          <w:rFonts w:hint="default"/>
          <w:b/>
          <w:bCs/>
          <w:color w:val="auto"/>
          <w:sz w:val="28"/>
          <w:szCs w:val="28"/>
          <w:highlight w:val="none"/>
          <w:lang w:val="en-US"/>
        </w:rPr>
      </w:pPr>
      <w:r>
        <w:rPr>
          <w:rFonts w:hint="eastAsia" w:asciiTheme="minorEastAsia" w:hAnsiTheme="minorEastAsia" w:eastAsiaTheme="minorEastAsia" w:cstheme="minorEastAsia"/>
          <w:b/>
          <w:bCs/>
          <w:color w:val="auto"/>
          <w:kern w:val="2"/>
          <w:sz w:val="28"/>
          <w:szCs w:val="28"/>
          <w:highlight w:val="none"/>
          <w:shd w:val="clear" w:color="auto" w:fill="FFFFFF"/>
          <w:lang w:val="en-US" w:eastAsia="zh-CN"/>
        </w:rPr>
        <w:t xml:space="preserve">后附：委托代理人近3个月由本单位社保缴费凭证及个人明细。  </w:t>
      </w:r>
    </w:p>
    <w:p w14:paraId="57391CB3">
      <w:pPr>
        <w:pStyle w:val="7"/>
        <w:bidi w:val="0"/>
        <w:outlineLvl w:val="1"/>
        <w:rPr>
          <w:rFonts w:hint="eastAsia"/>
          <w:color w:val="auto"/>
          <w:sz w:val="28"/>
          <w:szCs w:val="36"/>
          <w:highlight w:val="none"/>
          <w:lang w:eastAsia="zh-CN"/>
        </w:rPr>
      </w:pPr>
      <w:bookmarkStart w:id="335" w:name="_Toc22"/>
      <w:bookmarkStart w:id="336" w:name="_Toc18690"/>
      <w:bookmarkStart w:id="337" w:name="_Toc2638"/>
      <w:r>
        <w:rPr>
          <w:rFonts w:hint="eastAsia"/>
          <w:color w:val="auto"/>
          <w:sz w:val="28"/>
          <w:szCs w:val="36"/>
          <w:highlight w:val="none"/>
          <w:lang w:val="en-US" w:eastAsia="zh-CN"/>
        </w:rPr>
        <w:t>9、</w:t>
      </w:r>
      <w:r>
        <w:rPr>
          <w:rFonts w:hint="eastAsia"/>
          <w:color w:val="auto"/>
          <w:sz w:val="28"/>
          <w:szCs w:val="36"/>
          <w:highlight w:val="none"/>
          <w:lang w:eastAsia="zh-CN"/>
        </w:rPr>
        <w:t>报价人证明谈判资格合格的相关证件证明的复印件</w:t>
      </w:r>
      <w:bookmarkEnd w:id="335"/>
      <w:bookmarkEnd w:id="336"/>
    </w:p>
    <w:p w14:paraId="67B0160C">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ascii="Tahoma" w:hAnsi="Tahoma" w:cs="Tahoma"/>
          <w:color w:val="auto"/>
          <w:szCs w:val="21"/>
          <w:highlight w:val="none"/>
        </w:rPr>
      </w:pPr>
      <w:r>
        <w:rPr>
          <w:rFonts w:ascii="Tahoma" w:hAnsi="Tahoma" w:cs="Tahoma"/>
          <w:b/>
          <w:bCs/>
          <w:color w:val="auto"/>
          <w:sz w:val="28"/>
          <w:szCs w:val="22"/>
          <w:highlight w:val="none"/>
        </w:rPr>
        <w:t>投标人按下列要求提交资格文件：</w:t>
      </w:r>
    </w:p>
    <w:p w14:paraId="495422A6">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报价人</w:t>
      </w:r>
      <w:r>
        <w:rPr>
          <w:rFonts w:hint="eastAsia" w:ascii="宋体" w:hAnsi="宋体" w:eastAsia="宋体" w:cs="宋体"/>
          <w:color w:val="auto"/>
          <w:sz w:val="24"/>
          <w:highlight w:val="none"/>
        </w:rPr>
        <w:t>有效“营业执照”副本内页</w:t>
      </w:r>
      <w:r>
        <w:rPr>
          <w:rFonts w:hint="eastAsia" w:ascii="宋体" w:hAnsi="宋体" w:cs="宋体"/>
          <w:color w:val="auto"/>
          <w:sz w:val="24"/>
          <w:highlight w:val="none"/>
          <w:lang w:eastAsia="zh-CN"/>
        </w:rPr>
        <w:t>、资质证件、安全生产许可证、</w:t>
      </w:r>
      <w:r>
        <w:rPr>
          <w:rFonts w:hint="eastAsia" w:asciiTheme="minorEastAsia" w:hAnsiTheme="minorEastAsia" w:eastAsiaTheme="minorEastAsia" w:cstheme="minorEastAsia"/>
          <w:color w:val="auto"/>
          <w:kern w:val="2"/>
          <w:sz w:val="24"/>
          <w:szCs w:val="24"/>
          <w:highlight w:val="none"/>
          <w:shd w:val="clear" w:color="auto" w:fill="FFFFFF"/>
          <w:lang w:val="en-US" w:eastAsia="zh-CN"/>
        </w:rPr>
        <w:t>基本账户开户许可证或基本存款帐户信息</w:t>
      </w:r>
      <w:r>
        <w:rPr>
          <w:rFonts w:hint="eastAsia" w:ascii="宋体" w:hAnsi="宋体" w:eastAsia="宋体" w:cs="宋体"/>
          <w:color w:val="auto"/>
          <w:sz w:val="24"/>
          <w:highlight w:val="none"/>
        </w:rPr>
        <w:t>；</w:t>
      </w:r>
    </w:p>
    <w:p w14:paraId="58EDC6B2">
      <w:pPr>
        <w:pageBreakBefore w:val="0"/>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法人代表资格证明书</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法人代表身份证</w:t>
      </w:r>
      <w:r>
        <w:rPr>
          <w:rFonts w:hint="eastAsia" w:ascii="宋体" w:hAnsi="宋体" w:cs="宋体"/>
          <w:color w:val="auto"/>
          <w:sz w:val="24"/>
          <w:highlight w:val="none"/>
          <w:lang w:eastAsia="zh-CN"/>
        </w:rPr>
        <w:t>复印件及</w:t>
      </w:r>
      <w:r>
        <w:rPr>
          <w:rFonts w:hint="eastAsia" w:ascii="宋体" w:hAnsi="宋体" w:cs="宋体"/>
          <w:color w:val="auto"/>
          <w:sz w:val="24"/>
          <w:highlight w:val="none"/>
          <w:lang w:val="en-US" w:eastAsia="zh-CN"/>
        </w:rPr>
        <w:t>法人近3个月由本单位社保缴费凭证及个人明细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法人代表授权书</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委托代理人身份证</w:t>
      </w:r>
      <w:r>
        <w:rPr>
          <w:rFonts w:hint="eastAsia" w:ascii="宋体" w:hAnsi="宋体" w:cs="宋体"/>
          <w:color w:val="auto"/>
          <w:sz w:val="24"/>
          <w:highlight w:val="none"/>
          <w:lang w:val="en-US" w:eastAsia="zh-CN"/>
        </w:rPr>
        <w:t>复印件及委托代理人近3个月由本单位社保缴费凭证及个人明细</w:t>
      </w:r>
      <w:r>
        <w:rPr>
          <w:rFonts w:hint="eastAsia" w:ascii="宋体" w:hAnsi="宋体" w:eastAsia="宋体" w:cs="宋体"/>
          <w:color w:val="auto"/>
          <w:sz w:val="24"/>
          <w:highlight w:val="none"/>
        </w:rPr>
        <w:t>；</w:t>
      </w:r>
    </w:p>
    <w:p w14:paraId="2FC9CB71">
      <w:pPr>
        <w:pageBreakBefore w:val="0"/>
        <w:tabs>
          <w:tab w:val="left" w:pos="533"/>
        </w:tabs>
        <w:kinsoku/>
        <w:wordWrap/>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bookmarkStart w:id="364" w:name="_GoBack"/>
      <w:bookmarkEnd w:id="364"/>
      <w:r>
        <w:rPr>
          <w:rFonts w:hint="eastAsia" w:ascii="宋体" w:hAnsi="宋体" w:eastAsia="宋体" w:cs="宋体"/>
          <w:color w:val="auto"/>
          <w:sz w:val="24"/>
          <w:highlight w:val="none"/>
          <w:lang w:val="en-US" w:eastAsia="zh-CN"/>
        </w:rPr>
        <w:t>2021-2023）年度经审计的《财务审计报告书》（2024年</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月后成立的新公司可不提供）；</w:t>
      </w:r>
    </w:p>
    <w:p w14:paraId="39A4DA37">
      <w:pPr>
        <w:pageBreakBefore w:val="0"/>
        <w:kinsoku/>
        <w:wordWrap/>
        <w:overflowPunct/>
        <w:topLinePunct w:val="0"/>
        <w:bidi w:val="0"/>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4、最近3个月的缴纳税收的完税证明或税务部门出具的纳税证明（银行缴纳凭证无效）；如依法免税的，提供相应文件证明；</w:t>
      </w:r>
    </w:p>
    <w:p w14:paraId="37108416">
      <w:pPr>
        <w:pageBreakBefore w:val="0"/>
        <w:kinsoku/>
        <w:wordWrap/>
        <w:overflowPunct/>
        <w:topLinePunct w:val="0"/>
        <w:bidi w:val="0"/>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5、最近3个月的缴纳社保证明材料（提供银行划款凭证）加盖公章。如依法不需要缴纳社会保障资金的，提供相应文件证明；</w:t>
      </w:r>
    </w:p>
    <w:p w14:paraId="58BE6A10">
      <w:pPr>
        <w:pageBreakBefore w:val="0"/>
        <w:kinsoku/>
        <w:wordWrap/>
        <w:overflowPunct/>
        <w:topLinePunct w:val="0"/>
        <w:bidi w:val="0"/>
        <w:spacing w:line="360" w:lineRule="auto"/>
        <w:rPr>
          <w:rFonts w:hint="eastAsia" w:asciiTheme="minorEastAsia" w:hAnsiTheme="minorEastAsia" w:eastAsiaTheme="minorEastAsia" w:cstheme="minorEastAsia"/>
          <w:color w:val="auto"/>
          <w:kern w:val="2"/>
          <w:sz w:val="24"/>
          <w:szCs w:val="24"/>
          <w:highlight w:val="none"/>
          <w:shd w:val="clear" w:color="auto" w:fill="FFFFFF"/>
          <w:lang w:val="en-US" w:eastAsia="zh-CN"/>
        </w:rPr>
      </w:pPr>
      <w:r>
        <w:rPr>
          <w:rFonts w:hint="eastAsia" w:ascii="宋体" w:hAnsi="宋体" w:cs="宋体"/>
          <w:color w:val="auto"/>
          <w:sz w:val="24"/>
          <w:highlight w:val="none"/>
          <w:lang w:val="en-US" w:eastAsia="zh-CN"/>
        </w:rPr>
        <w:t>6、参加政府采购活动前3年内在经营活动中没有重大违法记录的书面声明（提供《投标人资格声明函》）</w:t>
      </w:r>
    </w:p>
    <w:p w14:paraId="7D868BC1">
      <w:pPr>
        <w:pageBreakBefore w:val="0"/>
        <w:kinsoku/>
        <w:wordWrap/>
        <w:overflowPunct/>
        <w:topLinePunct w:val="0"/>
        <w:bidi w:val="0"/>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7、不存在“</w:t>
      </w:r>
      <w:r>
        <w:rPr>
          <w:rFonts w:hint="eastAsia" w:asciiTheme="minorEastAsia" w:hAnsiTheme="minorEastAsia" w:eastAsiaTheme="minorEastAsia" w:cstheme="minorEastAsia"/>
          <w:color w:val="auto"/>
          <w:kern w:val="2"/>
          <w:sz w:val="24"/>
          <w:szCs w:val="24"/>
          <w:highlight w:val="none"/>
          <w:shd w:val="clear" w:color="auto" w:fill="FFFFFF"/>
          <w:lang w:val="en-US" w:eastAsia="zh-CN"/>
        </w:rPr>
        <w:t>单位负责人为同一人或者存在直接控股、管理关系的不同供应商，不得参加同一合同项下的政府采购活动”的书面声明（提供《投标人资格声明函》）；</w:t>
      </w:r>
    </w:p>
    <w:p w14:paraId="2F076F32">
      <w:pPr>
        <w:pageBreakBefore w:val="0"/>
        <w:kinsoku/>
        <w:wordWrap/>
        <w:overflowPunct/>
        <w:topLinePunct w:val="0"/>
        <w:bidi w:val="0"/>
        <w:spacing w:line="360" w:lineRule="auto"/>
        <w:rPr>
          <w:rFonts w:hint="eastAsia" w:asciiTheme="minorEastAsia" w:hAnsiTheme="minorEastAsia" w:eastAsiaTheme="minorEastAsia" w:cstheme="minorEastAsia"/>
          <w:kern w:val="2"/>
          <w:sz w:val="24"/>
          <w:szCs w:val="24"/>
          <w:highlight w:val="none"/>
          <w:shd w:val="clear" w:color="auto" w:fill="FFFFFF"/>
          <w:lang w:val="en-US" w:eastAsia="zh-CN"/>
        </w:rPr>
      </w:pPr>
      <w:r>
        <w:rPr>
          <w:rFonts w:hint="eastAsia" w:ascii="宋体" w:hAnsi="宋体" w:cs="宋体"/>
          <w:color w:val="auto"/>
          <w:sz w:val="24"/>
          <w:highlight w:val="none"/>
          <w:lang w:val="en-US" w:eastAsia="zh-CN"/>
        </w:rPr>
        <w:t>8、</w:t>
      </w:r>
      <w:r>
        <w:rPr>
          <w:rFonts w:hint="eastAsia" w:asciiTheme="minorEastAsia" w:hAnsiTheme="minorEastAsia" w:eastAsiaTheme="minorEastAsia" w:cstheme="minorEastAsia"/>
          <w:kern w:val="2"/>
          <w:sz w:val="24"/>
          <w:szCs w:val="24"/>
          <w:highlight w:val="none"/>
          <w:shd w:val="clear" w:color="auto" w:fill="FFFFFF"/>
          <w:lang w:val="en-US" w:eastAsia="zh-CN"/>
        </w:rPr>
        <w:t>有效的中小微企业声明函；</w:t>
      </w:r>
    </w:p>
    <w:p w14:paraId="32DE4AC2">
      <w:pPr>
        <w:pageBreakBefore w:val="0"/>
        <w:kinsoku/>
        <w:wordWrap/>
        <w:overflowPunct/>
        <w:topLinePunct w:val="0"/>
        <w:bidi w:val="0"/>
        <w:spacing w:line="360" w:lineRule="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宋体" w:hAnsi="宋体" w:cs="宋体"/>
          <w:color w:val="auto"/>
          <w:sz w:val="24"/>
          <w:highlight w:val="none"/>
          <w:lang w:val="en-US" w:eastAsia="zh-CN"/>
        </w:rPr>
        <w:t>9、</w:t>
      </w:r>
      <w:r>
        <w:rPr>
          <w:rFonts w:hint="eastAsia" w:asciiTheme="minorEastAsia" w:hAnsiTheme="minorEastAsia" w:eastAsiaTheme="minorEastAsia" w:cstheme="minorEastAsia"/>
          <w:b w:val="0"/>
          <w:bCs w:val="0"/>
          <w:color w:val="auto"/>
          <w:sz w:val="24"/>
          <w:szCs w:val="24"/>
          <w:highlight w:val="none"/>
          <w:lang w:val="en-US" w:eastAsia="zh-CN"/>
        </w:rPr>
        <w:t>“信用中国”网站、中国政府采购网查询截图；</w:t>
      </w:r>
    </w:p>
    <w:p w14:paraId="46915827">
      <w:pPr>
        <w:pageBreakBefore w:val="0"/>
        <w:kinsoku/>
        <w:wordWrap/>
        <w:overflowPunct/>
        <w:topLinePunct w:val="0"/>
        <w:bidi w:val="0"/>
        <w:spacing w:line="360" w:lineRule="auto"/>
        <w:rPr>
          <w:rFonts w:hint="eastAsia" w:ascii="宋体" w:hAnsi="宋体" w:eastAsia="宋体" w:cs="宋体"/>
          <w:color w:val="auto"/>
          <w:sz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10、</w:t>
      </w:r>
      <w:r>
        <w:rPr>
          <w:rFonts w:hint="eastAsia" w:ascii="宋体" w:hAnsi="宋体" w:eastAsia="宋体" w:cs="宋体"/>
          <w:color w:val="auto"/>
          <w:sz w:val="24"/>
          <w:highlight w:val="none"/>
          <w:lang w:val="en-US" w:eastAsia="zh-CN"/>
        </w:rPr>
        <w:t>其他</w:t>
      </w:r>
      <w:r>
        <w:rPr>
          <w:rFonts w:hint="eastAsia" w:ascii="宋体" w:hAnsi="宋体" w:cs="宋体"/>
          <w:color w:val="auto"/>
          <w:sz w:val="24"/>
          <w:highlight w:val="none"/>
          <w:lang w:val="en-US" w:eastAsia="zh-CN"/>
        </w:rPr>
        <w:t>谈判文件</w:t>
      </w:r>
      <w:r>
        <w:rPr>
          <w:rFonts w:hint="eastAsia" w:ascii="宋体" w:hAnsi="宋体" w:eastAsia="宋体" w:cs="宋体"/>
          <w:color w:val="auto"/>
          <w:sz w:val="24"/>
          <w:highlight w:val="none"/>
          <w:lang w:val="en-US" w:eastAsia="zh-CN"/>
        </w:rPr>
        <w:t>中要求列出的资格证明文件；</w:t>
      </w:r>
    </w:p>
    <w:p w14:paraId="5A783C3A">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认为有必要提供的声明及文件资料</w:t>
      </w:r>
      <w:r>
        <w:rPr>
          <w:rFonts w:hint="eastAsia" w:asciiTheme="minorEastAsia" w:hAnsiTheme="minorEastAsia" w:eastAsiaTheme="minorEastAsia" w:cstheme="minorEastAsia"/>
          <w:b w:val="0"/>
          <w:bCs w:val="0"/>
          <w:color w:val="auto"/>
          <w:sz w:val="24"/>
          <w:szCs w:val="24"/>
          <w:highlight w:val="none"/>
          <w:lang w:eastAsia="zh-CN"/>
        </w:rPr>
        <w:t>。</w:t>
      </w:r>
    </w:p>
    <w:p w14:paraId="3D09FB11">
      <w:pPr>
        <w:pageBreakBefore w:val="0"/>
        <w:kinsoku/>
        <w:wordWrap/>
        <w:overflowPunct/>
        <w:topLinePunct w:val="0"/>
        <w:bidi w:val="0"/>
        <w:spacing w:line="360" w:lineRule="auto"/>
        <w:ind w:firstLine="480"/>
        <w:rPr>
          <w:rFonts w:ascii="Tahoma" w:hAnsi="Tahoma" w:cs="Tahom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w:t>
      </w:r>
      <w:r>
        <w:rPr>
          <w:rFonts w:hint="eastAsia" w:asciiTheme="minorEastAsia" w:hAnsiTheme="minorEastAsia" w:eastAsiaTheme="minorEastAsia" w:cstheme="minorEastAsia"/>
          <w:b w:val="0"/>
          <w:bCs w:val="0"/>
          <w:color w:val="auto"/>
          <w:szCs w:val="21"/>
          <w:highlight w:val="none"/>
          <w:lang w:eastAsia="zh-CN"/>
        </w:rPr>
        <w:t>谈判文件</w:t>
      </w:r>
      <w:r>
        <w:rPr>
          <w:rFonts w:hint="eastAsia" w:asciiTheme="minorEastAsia" w:hAnsiTheme="minorEastAsia" w:eastAsiaTheme="minorEastAsia" w:cstheme="minorEastAsia"/>
          <w:b w:val="0"/>
          <w:bCs w:val="0"/>
          <w:color w:val="auto"/>
          <w:szCs w:val="21"/>
          <w:highlight w:val="none"/>
        </w:rPr>
        <w:t>要求和投标人应提供的其他相关证件按上述格式填写）</w:t>
      </w:r>
    </w:p>
    <w:p w14:paraId="0BA879E7">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Tahoma" w:hAnsi="Tahoma" w:cs="Tahoma"/>
          <w:b w:val="0"/>
          <w:bCs w:val="0"/>
          <w:color w:val="auto"/>
          <w:szCs w:val="21"/>
          <w:highlight w:val="none"/>
        </w:rPr>
      </w:pPr>
    </w:p>
    <w:p w14:paraId="3203D9AD">
      <w:pPr>
        <w:spacing w:line="360" w:lineRule="auto"/>
        <w:ind w:firstLine="420" w:firstLineChars="150"/>
        <w:jc w:val="center"/>
        <w:rPr>
          <w:rFonts w:ascii="宋体" w:hAnsi="宋体" w:cs="宋体"/>
          <w:b/>
          <w:bCs/>
          <w:color w:val="auto"/>
          <w:sz w:val="28"/>
          <w:szCs w:val="28"/>
          <w:highlight w:val="none"/>
        </w:rPr>
      </w:pPr>
    </w:p>
    <w:p w14:paraId="399B8718">
      <w:pPr>
        <w:spacing w:line="360" w:lineRule="auto"/>
        <w:ind w:firstLine="2493" w:firstLineChars="890"/>
        <w:rPr>
          <w:rFonts w:ascii="宋体" w:hAnsi="宋体" w:cs="宋体"/>
          <w:b/>
          <w:color w:val="auto"/>
          <w:sz w:val="28"/>
          <w:highlight w:val="none"/>
        </w:rPr>
      </w:pPr>
    </w:p>
    <w:bookmarkEnd w:id="337"/>
    <w:p w14:paraId="574C2AC4">
      <w:pPr>
        <w:rPr>
          <w:rStyle w:val="35"/>
          <w:rFonts w:hint="eastAsia" w:ascii="宋体" w:hAnsi="宋体" w:cs="宋体"/>
          <w:bCs w:val="0"/>
          <w:color w:val="auto"/>
          <w:kern w:val="2"/>
          <w:sz w:val="28"/>
          <w:szCs w:val="28"/>
          <w:highlight w:val="none"/>
          <w:lang w:val="en-US" w:eastAsia="zh-CN"/>
        </w:rPr>
      </w:pPr>
      <w:bookmarkStart w:id="338" w:name="_Toc20000"/>
      <w:bookmarkStart w:id="339" w:name="_Toc23359"/>
      <w:r>
        <w:rPr>
          <w:rStyle w:val="35"/>
          <w:rFonts w:hint="eastAsia" w:ascii="宋体" w:hAnsi="宋体" w:cs="宋体"/>
          <w:bCs w:val="0"/>
          <w:color w:val="auto"/>
          <w:kern w:val="2"/>
          <w:sz w:val="28"/>
          <w:szCs w:val="28"/>
          <w:highlight w:val="none"/>
          <w:lang w:val="en-US" w:eastAsia="zh-CN"/>
        </w:rPr>
        <w:br w:type="page"/>
      </w:r>
    </w:p>
    <w:p w14:paraId="155C6801">
      <w:pPr>
        <w:jc w:val="center"/>
        <w:outlineLvl w:val="2"/>
        <w:rPr>
          <w:rFonts w:hint="eastAsia" w:ascii="宋体" w:hAnsi="宋体" w:eastAsia="宋体" w:cs="宋体"/>
          <w:color w:val="auto"/>
          <w:kern w:val="0"/>
          <w:sz w:val="28"/>
          <w:szCs w:val="28"/>
          <w:highlight w:val="none"/>
        </w:rPr>
      </w:pPr>
      <w:bookmarkStart w:id="340" w:name="_Toc22580"/>
      <w:bookmarkStart w:id="341" w:name="_Toc6496"/>
      <w:r>
        <w:rPr>
          <w:rStyle w:val="35"/>
          <w:rFonts w:hint="eastAsia" w:ascii="宋体" w:hAnsi="宋体" w:cs="宋体"/>
          <w:bCs w:val="0"/>
          <w:color w:val="auto"/>
          <w:kern w:val="2"/>
          <w:sz w:val="28"/>
          <w:szCs w:val="28"/>
          <w:highlight w:val="none"/>
          <w:lang w:val="en-US" w:eastAsia="zh-CN"/>
        </w:rPr>
        <w:t>9.1</w:t>
      </w:r>
      <w:r>
        <w:rPr>
          <w:rFonts w:hint="eastAsia" w:ascii="宋体" w:hAnsi="宋体" w:eastAsia="宋体" w:cs="宋体"/>
          <w:b/>
          <w:color w:val="auto"/>
          <w:kern w:val="0"/>
          <w:sz w:val="28"/>
          <w:szCs w:val="28"/>
          <w:highlight w:val="none"/>
        </w:rPr>
        <w:t>中小微企业声明函</w:t>
      </w:r>
      <w:bookmarkEnd w:id="340"/>
      <w:bookmarkEnd w:id="341"/>
    </w:p>
    <w:p w14:paraId="3D6B14CE">
      <w:pPr>
        <w:jc w:val="center"/>
        <w:rPr>
          <w:rFonts w:hint="eastAsia" w:ascii="宋体" w:hAnsi="宋体"/>
          <w:color w:val="auto"/>
          <w:sz w:val="24"/>
          <w:highlight w:val="none"/>
        </w:rPr>
      </w:pPr>
    </w:p>
    <w:p w14:paraId="45E3788B">
      <w:pPr>
        <w:widowControl/>
        <w:spacing w:line="360" w:lineRule="auto"/>
        <w:ind w:firstLine="480" w:firstLineChars="200"/>
        <w:jc w:val="center"/>
        <w:outlineLvl w:val="1"/>
        <w:rPr>
          <w:rFonts w:hint="eastAsia" w:ascii="宋体" w:hAnsi="宋体" w:eastAsia="宋体" w:cs="宋体"/>
          <w:color w:val="auto"/>
          <w:kern w:val="0"/>
          <w:sz w:val="24"/>
          <w:szCs w:val="24"/>
          <w:highlight w:val="none"/>
        </w:rPr>
      </w:pPr>
      <w:bookmarkStart w:id="342" w:name="_Toc31039"/>
      <w:bookmarkStart w:id="343" w:name="_Toc838"/>
      <w:r>
        <w:rPr>
          <w:rFonts w:hint="eastAsia" w:ascii="宋体" w:hAnsi="宋体" w:eastAsia="宋体" w:cs="宋体"/>
          <w:color w:val="auto"/>
          <w:kern w:val="0"/>
          <w:sz w:val="24"/>
          <w:szCs w:val="24"/>
          <w:highlight w:val="none"/>
        </w:rPr>
        <w:t>中小企业声明函（</w:t>
      </w:r>
      <w:r>
        <w:rPr>
          <w:rFonts w:hint="eastAsia" w:ascii="宋体" w:hAnsi="宋体" w:eastAsia="宋体" w:cs="宋体"/>
          <w:color w:val="auto"/>
          <w:kern w:val="0"/>
          <w:sz w:val="24"/>
          <w:szCs w:val="24"/>
          <w:highlight w:val="none"/>
          <w:lang w:eastAsia="zh-CN"/>
        </w:rPr>
        <w:t>工程</w:t>
      </w:r>
      <w:r>
        <w:rPr>
          <w:rFonts w:hint="eastAsia" w:ascii="宋体" w:hAnsi="宋体" w:eastAsia="宋体" w:cs="宋体"/>
          <w:color w:val="auto"/>
          <w:kern w:val="0"/>
          <w:sz w:val="24"/>
          <w:szCs w:val="24"/>
          <w:highlight w:val="none"/>
        </w:rPr>
        <w:t>）</w:t>
      </w:r>
      <w:bookmarkEnd w:id="342"/>
      <w:bookmarkEnd w:id="343"/>
    </w:p>
    <w:p w14:paraId="78311CAB">
      <w:pPr>
        <w:keepNext w:val="0"/>
        <w:keepLines w:val="0"/>
        <w:widowControl/>
        <w:suppressLineNumbers w:val="0"/>
        <w:bidi w:val="0"/>
        <w:spacing w:before="100" w:beforeAutospacing="1" w:after="100" w:afterAutospacing="1" w:line="348" w:lineRule="atLeast"/>
        <w:ind w:left="0" w:right="0" w:firstLine="384"/>
        <w:jc w:val="left"/>
        <w:textAlignment w:val="auto"/>
        <w:outlineLvl w:val="9"/>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rPr>
        <w:t>本公司（联合体）郑重声明，根据《政府采购促进中小企业发展管理办法》（财库﹝2020﹞46号）的规定，本公司（联合体）参加</w:t>
      </w:r>
      <w:r>
        <w:rPr>
          <w:rFonts w:hint="eastAsia" w:ascii="宋体" w:hAnsi="宋体" w:eastAsia="宋体" w:cs="宋体"/>
          <w:kern w:val="0"/>
          <w:sz w:val="24"/>
          <w:szCs w:val="24"/>
          <w:highlight w:val="none"/>
          <w:u w:val="single"/>
          <w:lang w:val="en-US" w:eastAsia="zh-CN"/>
        </w:rPr>
        <w:t>    （单位名称）</w:t>
      </w:r>
      <w:r>
        <w:rPr>
          <w:rFonts w:hint="eastAsia" w:ascii="宋体" w:hAnsi="宋体" w:eastAsia="宋体" w:cs="宋体"/>
          <w:kern w:val="0"/>
          <w:sz w:val="24"/>
          <w:szCs w:val="24"/>
          <w:highlight w:val="none"/>
          <w:lang w:val="en-US" w:eastAsia="zh-CN"/>
        </w:rPr>
        <w:t>的</w:t>
      </w:r>
      <w:r>
        <w:rPr>
          <w:rFonts w:hint="eastAsia" w:ascii="宋体" w:hAnsi="宋体" w:eastAsia="宋体" w:cs="宋体"/>
          <w:kern w:val="0"/>
          <w:sz w:val="24"/>
          <w:szCs w:val="24"/>
          <w:highlight w:val="none"/>
          <w:u w:val="single"/>
          <w:lang w:val="en-US" w:eastAsia="zh-CN"/>
        </w:rPr>
        <w:t>（项目名称）</w:t>
      </w:r>
      <w:r>
        <w:rPr>
          <w:rFonts w:hint="eastAsia" w:ascii="宋体" w:hAnsi="宋体" w:eastAsia="宋体" w:cs="宋体"/>
          <w:kern w:val="0"/>
          <w:sz w:val="24"/>
          <w:szCs w:val="24"/>
          <w:highlight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36940C48">
      <w:pPr>
        <w:keepNext w:val="0"/>
        <w:keepLines w:val="0"/>
        <w:widowControl/>
        <w:suppressLineNumbers w:val="0"/>
        <w:bidi w:val="0"/>
        <w:spacing w:before="100" w:beforeAutospacing="1" w:after="100" w:afterAutospacing="1" w:line="348" w:lineRule="atLeast"/>
        <w:ind w:left="0" w:right="0" w:firstLine="384"/>
        <w:jc w:val="left"/>
        <w:textAlignment w:val="auto"/>
        <w:outlineLvl w:val="9"/>
        <w:rPr>
          <w:rFonts w:hint="eastAsia" w:ascii="宋体" w:hAnsi="宋体" w:eastAsia="宋体" w:cs="宋体"/>
          <w:sz w:val="24"/>
          <w:szCs w:val="24"/>
          <w:highlight w:val="none"/>
        </w:rPr>
      </w:pPr>
      <w:r>
        <w:rPr>
          <w:rFonts w:hint="eastAsia" w:ascii="宋体" w:hAnsi="宋体" w:eastAsia="宋体" w:cs="宋体"/>
          <w:kern w:val="0"/>
          <w:sz w:val="24"/>
          <w:szCs w:val="24"/>
          <w:highlight w:val="none"/>
          <w:u w:val="single"/>
          <w:lang w:val="en-US" w:eastAsia="zh-CN"/>
        </w:rPr>
        <w:t>1.   （标的名称）</w:t>
      </w:r>
      <w:r>
        <w:rPr>
          <w:rFonts w:hint="eastAsia" w:ascii="宋体" w:hAnsi="宋体" w:eastAsia="宋体" w:cs="宋体"/>
          <w:kern w:val="0"/>
          <w:sz w:val="24"/>
          <w:szCs w:val="24"/>
          <w:highlight w:val="none"/>
          <w:lang w:val="en-US" w:eastAsia="zh-CN"/>
        </w:rPr>
        <w:t>，属于</w:t>
      </w:r>
      <w:r>
        <w:rPr>
          <w:rFonts w:hint="eastAsia" w:ascii="宋体" w:hAnsi="宋体" w:eastAsia="宋体" w:cs="宋体"/>
          <w:kern w:val="0"/>
          <w:sz w:val="24"/>
          <w:szCs w:val="24"/>
          <w:highlight w:val="none"/>
          <w:u w:val="single"/>
          <w:lang w:val="en-US" w:eastAsia="zh-CN"/>
        </w:rPr>
        <w:t xml:space="preserve"> 建筑业 </w:t>
      </w:r>
      <w:r>
        <w:rPr>
          <w:rFonts w:hint="eastAsia" w:ascii="宋体" w:hAnsi="宋体" w:eastAsia="宋体" w:cs="宋体"/>
          <w:kern w:val="0"/>
          <w:sz w:val="24"/>
          <w:szCs w:val="24"/>
          <w:highlight w:val="none"/>
          <w:u w:val="none"/>
          <w:lang w:val="en-US" w:eastAsia="zh-CN"/>
        </w:rPr>
        <w:t>行业</w:t>
      </w:r>
      <w:r>
        <w:rPr>
          <w:rFonts w:hint="eastAsia" w:ascii="宋体" w:hAnsi="宋体" w:cs="宋体"/>
          <w:kern w:val="0"/>
          <w:sz w:val="24"/>
          <w:szCs w:val="24"/>
          <w:highlight w:val="none"/>
          <w:u w:val="none"/>
          <w:lang w:val="en-US" w:eastAsia="zh-CN"/>
        </w:rPr>
        <w:t xml:space="preserve"> </w:t>
      </w:r>
      <w:r>
        <w:rPr>
          <w:rFonts w:hint="eastAsia" w:ascii="宋体" w:hAnsi="宋体" w:eastAsia="宋体" w:cs="宋体"/>
          <w:kern w:val="0"/>
          <w:sz w:val="24"/>
          <w:szCs w:val="24"/>
          <w:highlight w:val="none"/>
          <w:lang w:val="en-US" w:eastAsia="zh-CN"/>
        </w:rPr>
        <w:t>；承建（承接）企业为</w:t>
      </w:r>
      <w:r>
        <w:rPr>
          <w:rFonts w:hint="eastAsia" w:ascii="宋体" w:hAnsi="宋体" w:eastAsia="宋体" w:cs="宋体"/>
          <w:kern w:val="0"/>
          <w:sz w:val="24"/>
          <w:szCs w:val="24"/>
          <w:highlight w:val="none"/>
          <w:u w:val="single"/>
          <w:lang w:val="en-US" w:eastAsia="zh-CN"/>
        </w:rPr>
        <w:t>    （企业名称）</w:t>
      </w:r>
      <w:r>
        <w:rPr>
          <w:rFonts w:hint="eastAsia" w:ascii="宋体" w:hAnsi="宋体" w:eastAsia="宋体" w:cs="宋体"/>
          <w:kern w:val="0"/>
          <w:sz w:val="24"/>
          <w:szCs w:val="24"/>
          <w:highlight w:val="none"/>
          <w:lang w:val="en-US" w:eastAsia="zh-CN"/>
        </w:rPr>
        <w:t>，从业人员</w:t>
      </w:r>
      <w:r>
        <w:rPr>
          <w:rFonts w:hint="eastAsia" w:ascii="宋体" w:hAnsi="宋体" w:eastAsia="宋体" w:cs="宋体"/>
          <w:kern w:val="0"/>
          <w:sz w:val="24"/>
          <w:szCs w:val="24"/>
          <w:highlight w:val="none"/>
          <w:u w:val="single"/>
          <w:lang w:val="en-US" w:eastAsia="zh-CN"/>
        </w:rPr>
        <w:t>    </w:t>
      </w:r>
      <w:r>
        <w:rPr>
          <w:rFonts w:hint="eastAsia" w:ascii="宋体" w:hAnsi="宋体" w:eastAsia="宋体" w:cs="宋体"/>
          <w:kern w:val="0"/>
          <w:sz w:val="24"/>
          <w:szCs w:val="24"/>
          <w:highlight w:val="none"/>
          <w:lang w:val="en-US" w:eastAsia="zh-CN"/>
        </w:rPr>
        <w:t>人，营业收入为</w:t>
      </w:r>
      <w:r>
        <w:rPr>
          <w:rFonts w:hint="eastAsia" w:ascii="宋体" w:hAnsi="宋体" w:eastAsia="宋体" w:cs="宋体"/>
          <w:kern w:val="0"/>
          <w:sz w:val="24"/>
          <w:szCs w:val="24"/>
          <w:highlight w:val="none"/>
          <w:u w:val="single"/>
          <w:lang w:val="en-US" w:eastAsia="zh-CN"/>
        </w:rPr>
        <w:t>    </w:t>
      </w:r>
      <w:r>
        <w:rPr>
          <w:rFonts w:hint="eastAsia" w:ascii="宋体" w:hAnsi="宋体" w:eastAsia="宋体" w:cs="宋体"/>
          <w:kern w:val="0"/>
          <w:sz w:val="24"/>
          <w:szCs w:val="24"/>
          <w:highlight w:val="none"/>
          <w:lang w:val="en-US" w:eastAsia="zh-CN"/>
        </w:rPr>
        <w:t>万元，资产总额为</w:t>
      </w:r>
      <w:r>
        <w:rPr>
          <w:rFonts w:hint="eastAsia" w:ascii="宋体" w:hAnsi="宋体" w:eastAsia="宋体" w:cs="宋体"/>
          <w:kern w:val="0"/>
          <w:sz w:val="24"/>
          <w:szCs w:val="24"/>
          <w:highlight w:val="none"/>
          <w:u w:val="single"/>
          <w:lang w:val="en-US" w:eastAsia="zh-CN"/>
        </w:rPr>
        <w:t>    </w:t>
      </w:r>
      <w:r>
        <w:rPr>
          <w:rFonts w:hint="eastAsia" w:ascii="宋体" w:hAnsi="宋体" w:eastAsia="宋体" w:cs="宋体"/>
          <w:kern w:val="0"/>
          <w:sz w:val="24"/>
          <w:szCs w:val="24"/>
          <w:highlight w:val="none"/>
          <w:lang w:val="en-US" w:eastAsia="zh-CN"/>
        </w:rPr>
        <w:t>万元，属于</w:t>
      </w:r>
      <w:r>
        <w:rPr>
          <w:rFonts w:hint="eastAsia" w:ascii="宋体" w:hAnsi="宋体" w:eastAsia="宋体" w:cs="宋体"/>
          <w:kern w:val="0"/>
          <w:sz w:val="24"/>
          <w:szCs w:val="24"/>
          <w:highlight w:val="none"/>
          <w:u w:val="single"/>
          <w:lang w:val="en-US" w:eastAsia="zh-CN"/>
        </w:rPr>
        <w:t>     （中型企业、小型企业、微型企业）</w:t>
      </w:r>
      <w:r>
        <w:rPr>
          <w:rFonts w:hint="eastAsia" w:ascii="宋体" w:hAnsi="宋体" w:eastAsia="宋体" w:cs="宋体"/>
          <w:kern w:val="0"/>
          <w:sz w:val="24"/>
          <w:szCs w:val="24"/>
          <w:highlight w:val="none"/>
          <w:lang w:val="en-US" w:eastAsia="zh-CN"/>
        </w:rPr>
        <w:t>；</w:t>
      </w:r>
    </w:p>
    <w:p w14:paraId="2D8A8F7C">
      <w:pPr>
        <w:keepNext w:val="0"/>
        <w:keepLines w:val="0"/>
        <w:widowControl/>
        <w:suppressLineNumbers w:val="0"/>
        <w:bidi w:val="0"/>
        <w:spacing w:before="100" w:beforeAutospacing="1" w:after="100" w:afterAutospacing="1" w:line="348" w:lineRule="atLeast"/>
        <w:ind w:left="0" w:right="0" w:firstLine="384"/>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u w:val="single"/>
          <w:lang w:val="en-US" w:eastAsia="zh-CN"/>
        </w:rPr>
        <w:t>     （标的名称）</w:t>
      </w:r>
      <w:r>
        <w:rPr>
          <w:rFonts w:hint="eastAsia" w:ascii="宋体" w:hAnsi="宋体" w:eastAsia="宋体" w:cs="宋体"/>
          <w:kern w:val="0"/>
          <w:sz w:val="24"/>
          <w:szCs w:val="24"/>
          <w:highlight w:val="none"/>
          <w:lang w:val="en-US" w:eastAsia="zh-CN"/>
        </w:rPr>
        <w:t>，属于</w:t>
      </w:r>
      <w:r>
        <w:rPr>
          <w:rFonts w:hint="eastAsia" w:ascii="宋体" w:hAnsi="宋体" w:eastAsia="宋体" w:cs="宋体"/>
          <w:kern w:val="0"/>
          <w:sz w:val="24"/>
          <w:szCs w:val="24"/>
          <w:highlight w:val="none"/>
          <w:u w:val="single"/>
          <w:lang w:val="en-US" w:eastAsia="zh-CN"/>
        </w:rPr>
        <w:t xml:space="preserve"> 建筑业 </w:t>
      </w:r>
      <w:r>
        <w:rPr>
          <w:rFonts w:hint="eastAsia" w:ascii="宋体" w:hAnsi="宋体" w:eastAsia="宋体" w:cs="宋体"/>
          <w:kern w:val="0"/>
          <w:sz w:val="24"/>
          <w:szCs w:val="24"/>
          <w:highlight w:val="none"/>
          <w:lang w:val="en-US" w:eastAsia="zh-CN"/>
        </w:rPr>
        <w:t>行业；制造商为</w:t>
      </w:r>
      <w:r>
        <w:rPr>
          <w:rFonts w:hint="eastAsia" w:ascii="宋体" w:hAnsi="宋体" w:eastAsia="宋体" w:cs="宋体"/>
          <w:kern w:val="0"/>
          <w:sz w:val="24"/>
          <w:szCs w:val="24"/>
          <w:highlight w:val="none"/>
          <w:u w:val="single"/>
          <w:lang w:val="en-US" w:eastAsia="zh-CN"/>
        </w:rPr>
        <w:t>       （企业名称）</w:t>
      </w:r>
      <w:r>
        <w:rPr>
          <w:rFonts w:hint="eastAsia" w:ascii="宋体" w:hAnsi="宋体" w:eastAsia="宋体" w:cs="宋体"/>
          <w:kern w:val="0"/>
          <w:sz w:val="24"/>
          <w:szCs w:val="24"/>
          <w:highlight w:val="none"/>
          <w:lang w:val="en-US" w:eastAsia="zh-CN"/>
        </w:rPr>
        <w:t>，从业人员</w:t>
      </w:r>
      <w:r>
        <w:rPr>
          <w:rFonts w:hint="eastAsia" w:ascii="宋体" w:hAnsi="宋体" w:eastAsia="宋体" w:cs="宋体"/>
          <w:kern w:val="0"/>
          <w:sz w:val="24"/>
          <w:szCs w:val="24"/>
          <w:highlight w:val="none"/>
          <w:u w:val="single"/>
          <w:lang w:val="en-US" w:eastAsia="zh-CN"/>
        </w:rPr>
        <w:t>    </w:t>
      </w:r>
      <w:r>
        <w:rPr>
          <w:rFonts w:hint="eastAsia" w:ascii="宋体" w:hAnsi="宋体" w:eastAsia="宋体" w:cs="宋体"/>
          <w:kern w:val="0"/>
          <w:sz w:val="24"/>
          <w:szCs w:val="24"/>
          <w:highlight w:val="none"/>
          <w:lang w:val="en-US" w:eastAsia="zh-CN"/>
        </w:rPr>
        <w:t>人，营业收入为</w:t>
      </w:r>
      <w:r>
        <w:rPr>
          <w:rFonts w:hint="eastAsia" w:ascii="宋体" w:hAnsi="宋体" w:eastAsia="宋体" w:cs="宋体"/>
          <w:kern w:val="0"/>
          <w:sz w:val="24"/>
          <w:szCs w:val="24"/>
          <w:highlight w:val="none"/>
          <w:u w:val="single"/>
          <w:lang w:val="en-US" w:eastAsia="zh-CN"/>
        </w:rPr>
        <w:t>    </w:t>
      </w:r>
      <w:r>
        <w:rPr>
          <w:rFonts w:hint="eastAsia" w:ascii="宋体" w:hAnsi="宋体" w:eastAsia="宋体" w:cs="宋体"/>
          <w:kern w:val="0"/>
          <w:sz w:val="24"/>
          <w:szCs w:val="24"/>
          <w:highlight w:val="none"/>
          <w:lang w:val="en-US" w:eastAsia="zh-CN"/>
        </w:rPr>
        <w:t>万元，资产总额为</w:t>
      </w:r>
      <w:r>
        <w:rPr>
          <w:rFonts w:hint="eastAsia" w:ascii="宋体" w:hAnsi="宋体" w:eastAsia="宋体" w:cs="宋体"/>
          <w:kern w:val="0"/>
          <w:sz w:val="24"/>
          <w:szCs w:val="24"/>
          <w:highlight w:val="none"/>
          <w:u w:val="single"/>
          <w:lang w:val="en-US" w:eastAsia="zh-CN"/>
        </w:rPr>
        <w:t>   </w:t>
      </w:r>
      <w:r>
        <w:rPr>
          <w:rFonts w:hint="eastAsia" w:ascii="宋体" w:hAnsi="宋体" w:eastAsia="宋体" w:cs="宋体"/>
          <w:kern w:val="0"/>
          <w:sz w:val="24"/>
          <w:szCs w:val="24"/>
          <w:highlight w:val="none"/>
          <w:lang w:val="en-US" w:eastAsia="zh-CN"/>
        </w:rPr>
        <w:t>万元，属于</w:t>
      </w:r>
      <w:r>
        <w:rPr>
          <w:rFonts w:hint="eastAsia" w:ascii="宋体" w:hAnsi="宋体" w:eastAsia="宋体" w:cs="宋体"/>
          <w:kern w:val="0"/>
          <w:sz w:val="24"/>
          <w:szCs w:val="24"/>
          <w:highlight w:val="none"/>
          <w:u w:val="single"/>
          <w:lang w:val="en-US" w:eastAsia="zh-CN"/>
        </w:rPr>
        <w:t>     （中型企业、小型企业、微型企业）</w:t>
      </w:r>
      <w:r>
        <w:rPr>
          <w:rFonts w:hint="eastAsia" w:ascii="宋体" w:hAnsi="宋体" w:eastAsia="宋体" w:cs="宋体"/>
          <w:kern w:val="0"/>
          <w:sz w:val="24"/>
          <w:szCs w:val="24"/>
          <w:highlight w:val="none"/>
          <w:lang w:val="en-US" w:eastAsia="zh-CN"/>
        </w:rPr>
        <w:t>；</w:t>
      </w:r>
    </w:p>
    <w:p w14:paraId="0DF8A461">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8EC92C7">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以上企业， 不属于大企业的分支机构， 不存在控股股东为大企业的情形， 也不存在与大企业的负责人为同一人的情形。</w:t>
      </w:r>
    </w:p>
    <w:p w14:paraId="3043A791">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本企业对上述声明内容的真实性负责。 如有虚假， 将依法承担相应责任。</w:t>
      </w:r>
    </w:p>
    <w:p w14:paraId="7615D231">
      <w:pPr>
        <w:widowControl/>
        <w:wordWrap w:val="0"/>
        <w:spacing w:line="360" w:lineRule="auto"/>
        <w:ind w:firstLine="480" w:firstLineChars="200"/>
        <w:jc w:val="right"/>
        <w:rPr>
          <w:rFonts w:hint="eastAsia" w:ascii="宋体" w:hAnsi="宋体" w:eastAsia="宋体" w:cs="宋体"/>
          <w:color w:val="auto"/>
          <w:kern w:val="0"/>
          <w:sz w:val="24"/>
          <w:szCs w:val="24"/>
          <w:highlight w:val="none"/>
        </w:rPr>
      </w:pPr>
    </w:p>
    <w:p w14:paraId="6661E886">
      <w:pPr>
        <w:widowControl/>
        <w:wordWrap w:val="0"/>
        <w:spacing w:line="360" w:lineRule="auto"/>
        <w:ind w:firstLine="480" w:firstLineChars="20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企业名称（盖章）：        </w:t>
      </w:r>
    </w:p>
    <w:p w14:paraId="2421B025">
      <w:pPr>
        <w:widowControl/>
        <w:wordWrap w:val="0"/>
        <w:spacing w:line="360" w:lineRule="auto"/>
        <w:ind w:right="480" w:firstLine="480" w:firstLineChars="20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日 期：         </w:t>
      </w:r>
    </w:p>
    <w:p w14:paraId="20264105">
      <w:pPr>
        <w:jc w:val="both"/>
        <w:rPr>
          <w:rFonts w:hint="eastAsia" w:ascii="宋体" w:hAnsi="宋体" w:eastAsia="宋体" w:cs="宋体"/>
          <w:color w:val="auto"/>
          <w:kern w:val="0"/>
          <w:sz w:val="24"/>
          <w:szCs w:val="24"/>
          <w:highlight w:val="none"/>
        </w:rPr>
      </w:pPr>
    </w:p>
    <w:p w14:paraId="13D0102F">
      <w:pPr>
        <w:jc w:val="both"/>
        <w:rPr>
          <w:rStyle w:val="35"/>
          <w:rFonts w:hint="default" w:ascii="宋体" w:hAnsi="宋体" w:eastAsia="宋体" w:cs="宋体"/>
          <w:bCs w:val="0"/>
          <w:color w:val="auto"/>
          <w:kern w:val="2"/>
          <w:sz w:val="28"/>
          <w:szCs w:val="28"/>
          <w:highlight w:val="none"/>
          <w:lang w:val="en-US" w:eastAsia="zh-CN"/>
        </w:rPr>
      </w:pPr>
      <w:r>
        <w:rPr>
          <w:rFonts w:hint="eastAsia" w:ascii="宋体" w:hAnsi="宋体" w:eastAsia="宋体" w:cs="宋体"/>
          <w:color w:val="auto"/>
          <w:kern w:val="0"/>
          <w:sz w:val="24"/>
          <w:szCs w:val="24"/>
          <w:highlight w:val="none"/>
        </w:rPr>
        <w:t>从业人员、 营业收入、 资产总额填报上一年度数据， 无上一年度数据的新成立企业可不填报。</w:t>
      </w:r>
    </w:p>
    <w:p w14:paraId="572F7D12">
      <w:pPr>
        <w:jc w:val="center"/>
        <w:rPr>
          <w:rStyle w:val="35"/>
          <w:rFonts w:hint="eastAsia" w:ascii="宋体" w:hAnsi="宋体" w:eastAsia="宋体" w:cs="宋体"/>
          <w:bCs w:val="0"/>
          <w:color w:val="auto"/>
          <w:kern w:val="2"/>
          <w:sz w:val="28"/>
          <w:szCs w:val="28"/>
          <w:highlight w:val="none"/>
          <w:lang w:val="en-US" w:eastAsia="zh-CN"/>
        </w:rPr>
      </w:pPr>
    </w:p>
    <w:p w14:paraId="64490EB5">
      <w:pPr>
        <w:jc w:val="center"/>
        <w:rPr>
          <w:rStyle w:val="35"/>
          <w:rFonts w:hint="eastAsia" w:ascii="宋体" w:hAnsi="宋体" w:eastAsia="宋体" w:cs="宋体"/>
          <w:bCs w:val="0"/>
          <w:color w:val="auto"/>
          <w:kern w:val="2"/>
          <w:sz w:val="28"/>
          <w:szCs w:val="28"/>
          <w:highlight w:val="none"/>
          <w:lang w:val="en-US" w:eastAsia="zh-CN"/>
        </w:rPr>
      </w:pPr>
    </w:p>
    <w:p w14:paraId="6913FC03">
      <w:pPr>
        <w:rPr>
          <w:rStyle w:val="35"/>
          <w:rFonts w:hint="eastAsia" w:ascii="宋体" w:hAnsi="宋体" w:eastAsia="宋体" w:cs="宋体"/>
          <w:bCs w:val="0"/>
          <w:color w:val="auto"/>
          <w:kern w:val="2"/>
          <w:sz w:val="28"/>
          <w:szCs w:val="28"/>
          <w:highlight w:val="none"/>
          <w:lang w:val="en-US" w:eastAsia="zh-CN"/>
        </w:rPr>
      </w:pPr>
      <w:r>
        <w:rPr>
          <w:rStyle w:val="35"/>
          <w:rFonts w:hint="eastAsia" w:ascii="宋体" w:hAnsi="宋体" w:eastAsia="宋体" w:cs="宋体"/>
          <w:bCs w:val="0"/>
          <w:color w:val="auto"/>
          <w:kern w:val="2"/>
          <w:sz w:val="28"/>
          <w:szCs w:val="28"/>
          <w:highlight w:val="none"/>
          <w:lang w:val="en-US" w:eastAsia="zh-CN"/>
        </w:rPr>
        <w:br w:type="page"/>
      </w:r>
    </w:p>
    <w:p w14:paraId="366FEFE5">
      <w:pPr>
        <w:jc w:val="center"/>
        <w:rPr>
          <w:rStyle w:val="35"/>
          <w:rFonts w:hint="eastAsia" w:ascii="宋体" w:hAnsi="宋体" w:eastAsia="宋体" w:cs="宋体"/>
          <w:bCs w:val="0"/>
          <w:color w:val="auto"/>
          <w:kern w:val="2"/>
          <w:sz w:val="28"/>
          <w:szCs w:val="28"/>
          <w:highlight w:val="none"/>
          <w:lang w:val="en-US" w:eastAsia="zh-CN"/>
        </w:rPr>
      </w:pPr>
      <w:bookmarkStart w:id="344" w:name="_Toc8812"/>
      <w:r>
        <w:rPr>
          <w:rStyle w:val="35"/>
          <w:rFonts w:hint="eastAsia" w:ascii="宋体" w:hAnsi="宋体" w:eastAsia="宋体" w:cs="宋体"/>
          <w:bCs w:val="0"/>
          <w:color w:val="auto"/>
          <w:kern w:val="2"/>
          <w:sz w:val="28"/>
          <w:szCs w:val="28"/>
          <w:highlight w:val="none"/>
          <w:lang w:val="en-US" w:eastAsia="zh-CN"/>
        </w:rPr>
        <w:t>10、谈判保证金缴款凭证复印件</w:t>
      </w:r>
      <w:bookmarkEnd w:id="338"/>
      <w:bookmarkEnd w:id="339"/>
    </w:p>
    <w:bookmarkEnd w:id="344"/>
    <w:p w14:paraId="5611F527">
      <w:pPr>
        <w:pageBreakBefore w:val="0"/>
        <w:kinsoku/>
        <w:wordWrap/>
        <w:overflowPunct/>
        <w:topLinePunct w:val="0"/>
        <w:bidi w:val="0"/>
        <w:spacing w:line="360" w:lineRule="auto"/>
        <w:ind w:firstLine="360" w:firstLineChars="150"/>
        <w:rPr>
          <w:rFonts w:hint="eastAsia" w:ascii="宋体" w:hAnsi="宋体" w:eastAsia="宋体" w:cs="宋体"/>
          <w:color w:val="auto"/>
          <w:sz w:val="24"/>
          <w:highlight w:val="none"/>
        </w:rPr>
      </w:pPr>
    </w:p>
    <w:p w14:paraId="3884EEE0">
      <w:pPr>
        <w:pageBreakBefore w:val="0"/>
        <w:kinsoku/>
        <w:wordWrap/>
        <w:overflowPunct/>
        <w:topLinePunct w:val="0"/>
        <w:bidi w:val="0"/>
        <w:spacing w:line="360" w:lineRule="auto"/>
        <w:ind w:firstLine="360" w:firstLineChars="150"/>
        <w:rPr>
          <w:rFonts w:hint="eastAsia" w:ascii="宋体" w:hAnsi="宋体" w:eastAsia="宋体" w:cs="宋体"/>
          <w:color w:val="auto"/>
          <w:sz w:val="24"/>
          <w:highlight w:val="none"/>
        </w:rPr>
      </w:pPr>
      <w:r>
        <w:rPr>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708660</wp:posOffset>
                </wp:positionH>
                <wp:positionV relativeFrom="paragraph">
                  <wp:posOffset>261620</wp:posOffset>
                </wp:positionV>
                <wp:extent cx="4525010" cy="2581275"/>
                <wp:effectExtent l="4445" t="4445" r="23495" b="5080"/>
                <wp:wrapNone/>
                <wp:docPr id="8" name="文本框 8"/>
                <wp:cNvGraphicFramePr/>
                <a:graphic xmlns:a="http://schemas.openxmlformats.org/drawingml/2006/main">
                  <a:graphicData uri="http://schemas.microsoft.com/office/word/2010/wordprocessingShape">
                    <wps:wsp>
                      <wps:cNvSpPr txBox="1"/>
                      <wps:spPr>
                        <a:xfrm>
                          <a:off x="1070610" y="1835785"/>
                          <a:ext cx="4525010" cy="2581275"/>
                        </a:xfrm>
                        <a:prstGeom prst="rect">
                          <a:avLst/>
                        </a:prstGeom>
                        <a:solidFill>
                          <a:srgbClr val="FFFFFF"/>
                        </a:solidFill>
                        <a:ln w="6350">
                          <a:solidFill>
                            <a:prstClr val="black"/>
                          </a:solidFill>
                        </a:ln>
                        <a:effectLst/>
                      </wps:spPr>
                      <wps:txbx>
                        <w:txbxContent>
                          <w:p w14:paraId="7847A890">
                            <w:pPr>
                              <w:rPr>
                                <w:rFonts w:hint="eastAsia"/>
                                <w:lang w:eastAsia="zh-CN"/>
                              </w:rPr>
                            </w:pPr>
                          </w:p>
                          <w:p w14:paraId="1A253041">
                            <w:pPr>
                              <w:rPr>
                                <w:rFonts w:hint="eastAsia"/>
                                <w:lang w:eastAsia="zh-CN"/>
                              </w:rPr>
                            </w:pPr>
                          </w:p>
                          <w:p w14:paraId="1DC3A890">
                            <w:pPr>
                              <w:rPr>
                                <w:rFonts w:hint="eastAsia"/>
                                <w:lang w:eastAsia="zh-CN"/>
                              </w:rPr>
                            </w:pPr>
                          </w:p>
                          <w:p w14:paraId="3F02248A">
                            <w:pPr>
                              <w:rPr>
                                <w:rFonts w:hint="eastAsia"/>
                                <w:lang w:eastAsia="zh-CN"/>
                              </w:rPr>
                            </w:pPr>
                          </w:p>
                          <w:p w14:paraId="02129ED2">
                            <w:pPr>
                              <w:rPr>
                                <w:rFonts w:hint="eastAsia"/>
                                <w:lang w:eastAsia="zh-CN"/>
                              </w:rPr>
                            </w:pPr>
                          </w:p>
                          <w:p w14:paraId="2FF30254">
                            <w:pPr>
                              <w:ind w:firstLine="1960" w:firstLineChars="700"/>
                              <w:rPr>
                                <w:rFonts w:hint="eastAsia" w:eastAsia="宋体"/>
                                <w:sz w:val="28"/>
                                <w:szCs w:val="28"/>
                                <w:lang w:eastAsia="zh-CN"/>
                              </w:rPr>
                            </w:pPr>
                            <w:r>
                              <w:rPr>
                                <w:rFonts w:hint="eastAsia"/>
                                <w:sz w:val="28"/>
                                <w:szCs w:val="28"/>
                                <w:lang w:eastAsia="zh-CN"/>
                              </w:rPr>
                              <w:t>投标保证金缴纳凭证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8pt;margin-top:20.6pt;height:203.25pt;width:356.3pt;z-index:251663360;mso-width-relative:page;mso-height-relative:page;" fillcolor="#FFFFFF" filled="t" stroked="t" coordsize="21600,21600" o:gfxdata="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cwh3fWAAAACgEAAA8AAAAAAAAAAQAgAAAAIgAAAGRycy9kb3ducmV2Lnht&#10;bFBLAQIUABQAAAAIAIdO4kAsNKgubQIAANIEAAAOAAAAAAAAAAEAIAAAACUBAABkcnMvZTJvRG9j&#10;LnhtbFBLBQYAAAAABgAGAFkBAAAEBgAAAAA=&#10;">
                <v:fill on="t" focussize="0,0"/>
                <v:stroke weight="0.5pt" color="#000000" joinstyle="round"/>
                <v:imagedata o:title=""/>
                <o:lock v:ext="edit" aspectratio="f"/>
                <v:textbox>
                  <w:txbxContent>
                    <w:p w14:paraId="7847A890">
                      <w:pPr>
                        <w:rPr>
                          <w:rFonts w:hint="eastAsia"/>
                          <w:lang w:eastAsia="zh-CN"/>
                        </w:rPr>
                      </w:pPr>
                    </w:p>
                    <w:p w14:paraId="1A253041">
                      <w:pPr>
                        <w:rPr>
                          <w:rFonts w:hint="eastAsia"/>
                          <w:lang w:eastAsia="zh-CN"/>
                        </w:rPr>
                      </w:pPr>
                    </w:p>
                    <w:p w14:paraId="1DC3A890">
                      <w:pPr>
                        <w:rPr>
                          <w:rFonts w:hint="eastAsia"/>
                          <w:lang w:eastAsia="zh-CN"/>
                        </w:rPr>
                      </w:pPr>
                    </w:p>
                    <w:p w14:paraId="3F02248A">
                      <w:pPr>
                        <w:rPr>
                          <w:rFonts w:hint="eastAsia"/>
                          <w:lang w:eastAsia="zh-CN"/>
                        </w:rPr>
                      </w:pPr>
                    </w:p>
                    <w:p w14:paraId="02129ED2">
                      <w:pPr>
                        <w:rPr>
                          <w:rFonts w:hint="eastAsia"/>
                          <w:lang w:eastAsia="zh-CN"/>
                        </w:rPr>
                      </w:pPr>
                    </w:p>
                    <w:p w14:paraId="2FF30254">
                      <w:pPr>
                        <w:ind w:firstLine="1960" w:firstLineChars="700"/>
                        <w:rPr>
                          <w:rFonts w:hint="eastAsia" w:eastAsia="宋体"/>
                          <w:sz w:val="28"/>
                          <w:szCs w:val="28"/>
                          <w:lang w:eastAsia="zh-CN"/>
                        </w:rPr>
                      </w:pPr>
                      <w:r>
                        <w:rPr>
                          <w:rFonts w:hint="eastAsia"/>
                          <w:sz w:val="28"/>
                          <w:szCs w:val="28"/>
                          <w:lang w:eastAsia="zh-CN"/>
                        </w:rPr>
                        <w:t>投标保证金缴纳凭证</w:t>
                      </w:r>
                    </w:p>
                  </w:txbxContent>
                </v:textbox>
              </v:shape>
            </w:pict>
          </mc:Fallback>
        </mc:AlternateContent>
      </w:r>
    </w:p>
    <w:p w14:paraId="01A32A2B">
      <w:pPr>
        <w:pageBreakBefore w:val="0"/>
        <w:kinsoku/>
        <w:wordWrap/>
        <w:overflowPunct/>
        <w:topLinePunct w:val="0"/>
        <w:bidi w:val="0"/>
        <w:spacing w:line="360" w:lineRule="auto"/>
        <w:ind w:firstLine="360" w:firstLineChars="150"/>
        <w:rPr>
          <w:rFonts w:hint="eastAsia" w:ascii="宋体" w:hAnsi="宋体" w:eastAsia="宋体" w:cs="宋体"/>
          <w:color w:val="auto"/>
          <w:sz w:val="24"/>
          <w:highlight w:val="none"/>
        </w:rPr>
      </w:pPr>
    </w:p>
    <w:p w14:paraId="40D04A36">
      <w:pPr>
        <w:pageBreakBefore w:val="0"/>
        <w:kinsoku/>
        <w:wordWrap/>
        <w:overflowPunct/>
        <w:topLinePunct w:val="0"/>
        <w:bidi w:val="0"/>
        <w:spacing w:line="360" w:lineRule="auto"/>
        <w:ind w:firstLine="360" w:firstLineChars="150"/>
        <w:rPr>
          <w:rFonts w:hint="eastAsia" w:ascii="宋体" w:hAnsi="宋体" w:eastAsia="宋体" w:cs="宋体"/>
          <w:color w:val="auto"/>
          <w:sz w:val="24"/>
          <w:highlight w:val="none"/>
        </w:rPr>
      </w:pPr>
    </w:p>
    <w:p w14:paraId="7E4CBD22">
      <w:pPr>
        <w:pageBreakBefore w:val="0"/>
        <w:kinsoku/>
        <w:wordWrap/>
        <w:overflowPunct/>
        <w:topLinePunct w:val="0"/>
        <w:bidi w:val="0"/>
        <w:spacing w:line="360" w:lineRule="auto"/>
        <w:ind w:firstLine="360" w:firstLineChars="150"/>
        <w:rPr>
          <w:rFonts w:hint="eastAsia" w:ascii="宋体" w:hAnsi="宋体" w:eastAsia="宋体" w:cs="宋体"/>
          <w:color w:val="auto"/>
          <w:sz w:val="24"/>
          <w:highlight w:val="none"/>
        </w:rPr>
      </w:pPr>
    </w:p>
    <w:p w14:paraId="372AF50D">
      <w:pPr>
        <w:pageBreakBefore w:val="0"/>
        <w:kinsoku/>
        <w:wordWrap/>
        <w:overflowPunct/>
        <w:topLinePunct w:val="0"/>
        <w:bidi w:val="0"/>
        <w:spacing w:line="360" w:lineRule="auto"/>
        <w:ind w:firstLine="360" w:firstLineChars="150"/>
        <w:rPr>
          <w:rFonts w:hint="eastAsia" w:ascii="宋体" w:hAnsi="宋体" w:eastAsia="宋体" w:cs="宋体"/>
          <w:color w:val="auto"/>
          <w:sz w:val="24"/>
          <w:highlight w:val="none"/>
        </w:rPr>
      </w:pPr>
    </w:p>
    <w:p w14:paraId="35DCAEDD">
      <w:pPr>
        <w:pageBreakBefore w:val="0"/>
        <w:kinsoku/>
        <w:wordWrap/>
        <w:overflowPunct/>
        <w:topLinePunct w:val="0"/>
        <w:bidi w:val="0"/>
        <w:spacing w:line="360" w:lineRule="auto"/>
        <w:ind w:firstLine="360" w:firstLineChars="150"/>
        <w:rPr>
          <w:rFonts w:hint="eastAsia" w:ascii="宋体" w:hAnsi="宋体" w:eastAsia="宋体" w:cs="宋体"/>
          <w:color w:val="auto"/>
          <w:sz w:val="24"/>
          <w:highlight w:val="none"/>
        </w:rPr>
      </w:pPr>
    </w:p>
    <w:p w14:paraId="630D505F">
      <w:pPr>
        <w:pStyle w:val="8"/>
        <w:pageBreakBefore w:val="0"/>
        <w:kinsoku/>
        <w:wordWrap/>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345" w:name="_Toc12366"/>
      <w:bookmarkStart w:id="346" w:name="_Toc5804"/>
    </w:p>
    <w:p w14:paraId="7D6A84F5">
      <w:pPr>
        <w:numPr>
          <w:ilvl w:val="0"/>
          <w:numId w:val="0"/>
        </w:numPr>
        <w:topLinePunct/>
        <w:jc w:val="center"/>
        <w:rPr>
          <w:rFonts w:hint="eastAsia"/>
          <w:color w:val="auto"/>
          <w:highlight w:val="none"/>
          <w:lang w:val="en-US" w:eastAsia="zh-CN"/>
        </w:rPr>
      </w:pPr>
      <w:bookmarkStart w:id="347" w:name="_Toc22887"/>
      <w:r>
        <w:rPr>
          <w:rStyle w:val="35"/>
          <w:rFonts w:hint="eastAsia" w:ascii="宋体" w:hAnsi="宋体" w:cs="宋体"/>
          <w:bCs w:val="0"/>
          <w:color w:val="auto"/>
          <w:kern w:val="2"/>
          <w:sz w:val="28"/>
          <w:szCs w:val="28"/>
          <w:highlight w:val="none"/>
          <w:lang w:val="en-US" w:eastAsia="zh-CN"/>
        </w:rPr>
        <w:t>11、</w:t>
      </w:r>
      <w:r>
        <w:rPr>
          <w:rStyle w:val="35"/>
          <w:rFonts w:hint="eastAsia" w:ascii="宋体" w:hAnsi="宋体" w:eastAsia="宋体" w:cs="宋体"/>
          <w:bCs w:val="0"/>
          <w:color w:val="auto"/>
          <w:kern w:val="2"/>
          <w:sz w:val="28"/>
          <w:szCs w:val="28"/>
          <w:highlight w:val="none"/>
          <w:lang w:val="en-US" w:eastAsia="zh-CN"/>
        </w:rPr>
        <w:t>项目管理机构组成表</w:t>
      </w:r>
      <w:bookmarkEnd w:id="347"/>
    </w:p>
    <w:tbl>
      <w:tblPr>
        <w:tblStyle w:val="25"/>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131"/>
        <w:gridCol w:w="911"/>
        <w:gridCol w:w="1135"/>
        <w:gridCol w:w="787"/>
        <w:gridCol w:w="1292"/>
        <w:gridCol w:w="785"/>
        <w:gridCol w:w="1149"/>
        <w:gridCol w:w="728"/>
      </w:tblGrid>
      <w:tr w14:paraId="215F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41" w:type="dxa"/>
            <w:vMerge w:val="restart"/>
            <w:vAlign w:val="center"/>
          </w:tcPr>
          <w:p w14:paraId="6FE0CB2A">
            <w:pPr>
              <w:jc w:val="center"/>
              <w:rPr>
                <w:rFonts w:hint="eastAsia" w:ascii="宋体" w:hAnsi="宋体"/>
                <w:color w:val="auto"/>
                <w:szCs w:val="21"/>
                <w:highlight w:val="none"/>
              </w:rPr>
            </w:pPr>
            <w:r>
              <w:rPr>
                <w:rFonts w:hint="eastAsia" w:ascii="宋体" w:hAnsi="宋体"/>
                <w:color w:val="auto"/>
                <w:szCs w:val="21"/>
                <w:highlight w:val="none"/>
              </w:rPr>
              <w:t>职务</w:t>
            </w:r>
          </w:p>
        </w:tc>
        <w:tc>
          <w:tcPr>
            <w:tcW w:w="1131" w:type="dxa"/>
            <w:vMerge w:val="restart"/>
            <w:vAlign w:val="center"/>
          </w:tcPr>
          <w:p w14:paraId="207CFA49">
            <w:pPr>
              <w:jc w:val="center"/>
              <w:rPr>
                <w:rFonts w:hint="eastAsia" w:ascii="宋体" w:hAnsi="宋体"/>
                <w:color w:val="auto"/>
                <w:szCs w:val="21"/>
                <w:highlight w:val="none"/>
              </w:rPr>
            </w:pPr>
            <w:r>
              <w:rPr>
                <w:rFonts w:hint="eastAsia" w:ascii="宋体" w:hAnsi="宋体"/>
                <w:color w:val="auto"/>
                <w:szCs w:val="21"/>
                <w:highlight w:val="none"/>
              </w:rPr>
              <w:t>姓名</w:t>
            </w:r>
          </w:p>
        </w:tc>
        <w:tc>
          <w:tcPr>
            <w:tcW w:w="911" w:type="dxa"/>
            <w:vMerge w:val="restart"/>
            <w:vAlign w:val="center"/>
          </w:tcPr>
          <w:p w14:paraId="570D2AFD">
            <w:pPr>
              <w:jc w:val="center"/>
              <w:rPr>
                <w:rFonts w:hint="eastAsia" w:ascii="宋体" w:hAnsi="宋体"/>
                <w:color w:val="auto"/>
                <w:szCs w:val="21"/>
                <w:highlight w:val="none"/>
              </w:rPr>
            </w:pPr>
            <w:r>
              <w:rPr>
                <w:rFonts w:hint="eastAsia" w:ascii="宋体" w:hAnsi="宋体"/>
                <w:color w:val="auto"/>
                <w:szCs w:val="21"/>
                <w:highlight w:val="none"/>
              </w:rPr>
              <w:t>职称</w:t>
            </w:r>
          </w:p>
        </w:tc>
        <w:tc>
          <w:tcPr>
            <w:tcW w:w="5148" w:type="dxa"/>
            <w:gridSpan w:val="5"/>
            <w:vAlign w:val="center"/>
          </w:tcPr>
          <w:p w14:paraId="4EABA1E0">
            <w:pPr>
              <w:jc w:val="center"/>
              <w:rPr>
                <w:rFonts w:hint="eastAsia" w:ascii="宋体" w:hAnsi="宋体"/>
                <w:color w:val="auto"/>
                <w:szCs w:val="21"/>
                <w:highlight w:val="none"/>
              </w:rPr>
            </w:pPr>
            <w:r>
              <w:rPr>
                <w:rFonts w:hint="eastAsia" w:ascii="宋体" w:hAnsi="宋体"/>
                <w:color w:val="auto"/>
                <w:szCs w:val="21"/>
                <w:highlight w:val="none"/>
              </w:rPr>
              <w:t>执业或职业资格证明</w:t>
            </w:r>
          </w:p>
        </w:tc>
        <w:tc>
          <w:tcPr>
            <w:tcW w:w="728" w:type="dxa"/>
            <w:vAlign w:val="center"/>
          </w:tcPr>
          <w:p w14:paraId="36390732">
            <w:pPr>
              <w:jc w:val="center"/>
              <w:rPr>
                <w:rFonts w:hint="eastAsia" w:ascii="宋体" w:hAnsi="宋体"/>
                <w:color w:val="auto"/>
                <w:szCs w:val="21"/>
                <w:highlight w:val="none"/>
              </w:rPr>
            </w:pPr>
            <w:r>
              <w:rPr>
                <w:rFonts w:hint="eastAsia" w:ascii="宋体" w:hAnsi="宋体"/>
                <w:color w:val="auto"/>
                <w:szCs w:val="21"/>
                <w:highlight w:val="none"/>
              </w:rPr>
              <w:t>备注</w:t>
            </w:r>
          </w:p>
        </w:tc>
      </w:tr>
      <w:tr w14:paraId="3018C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41" w:type="dxa"/>
            <w:vMerge w:val="continue"/>
            <w:vAlign w:val="center"/>
          </w:tcPr>
          <w:p w14:paraId="136EC0C5">
            <w:pPr>
              <w:jc w:val="center"/>
              <w:rPr>
                <w:rFonts w:hint="eastAsia" w:ascii="宋体" w:hAnsi="宋体"/>
                <w:color w:val="auto"/>
                <w:szCs w:val="21"/>
                <w:highlight w:val="none"/>
              </w:rPr>
            </w:pPr>
          </w:p>
        </w:tc>
        <w:tc>
          <w:tcPr>
            <w:tcW w:w="1131" w:type="dxa"/>
            <w:vMerge w:val="continue"/>
            <w:vAlign w:val="center"/>
          </w:tcPr>
          <w:p w14:paraId="5F4346A9">
            <w:pPr>
              <w:jc w:val="center"/>
              <w:rPr>
                <w:rFonts w:hint="eastAsia" w:ascii="宋体" w:hAnsi="宋体"/>
                <w:color w:val="auto"/>
                <w:szCs w:val="21"/>
                <w:highlight w:val="none"/>
              </w:rPr>
            </w:pPr>
          </w:p>
        </w:tc>
        <w:tc>
          <w:tcPr>
            <w:tcW w:w="911" w:type="dxa"/>
            <w:vMerge w:val="continue"/>
            <w:vAlign w:val="center"/>
          </w:tcPr>
          <w:p w14:paraId="4A4390E5">
            <w:pPr>
              <w:jc w:val="center"/>
              <w:rPr>
                <w:rFonts w:hint="eastAsia" w:ascii="宋体" w:hAnsi="宋体"/>
                <w:color w:val="auto"/>
                <w:szCs w:val="21"/>
                <w:highlight w:val="none"/>
              </w:rPr>
            </w:pPr>
          </w:p>
        </w:tc>
        <w:tc>
          <w:tcPr>
            <w:tcW w:w="1135" w:type="dxa"/>
            <w:vAlign w:val="center"/>
          </w:tcPr>
          <w:p w14:paraId="08F7B415">
            <w:pPr>
              <w:jc w:val="center"/>
              <w:rPr>
                <w:rFonts w:hint="eastAsia" w:ascii="宋体" w:hAnsi="宋体"/>
                <w:color w:val="auto"/>
                <w:szCs w:val="21"/>
                <w:highlight w:val="none"/>
              </w:rPr>
            </w:pPr>
            <w:r>
              <w:rPr>
                <w:rFonts w:hint="eastAsia" w:ascii="宋体" w:hAnsi="宋体"/>
                <w:color w:val="auto"/>
                <w:szCs w:val="21"/>
                <w:highlight w:val="none"/>
              </w:rPr>
              <w:t>证书名称</w:t>
            </w:r>
          </w:p>
        </w:tc>
        <w:tc>
          <w:tcPr>
            <w:tcW w:w="787" w:type="dxa"/>
            <w:vAlign w:val="center"/>
          </w:tcPr>
          <w:p w14:paraId="421CBDAA">
            <w:pPr>
              <w:jc w:val="center"/>
              <w:rPr>
                <w:rFonts w:hint="eastAsia" w:ascii="宋体" w:hAnsi="宋体"/>
                <w:color w:val="auto"/>
                <w:szCs w:val="21"/>
                <w:highlight w:val="none"/>
              </w:rPr>
            </w:pPr>
            <w:r>
              <w:rPr>
                <w:rFonts w:hint="eastAsia" w:ascii="宋体" w:hAnsi="宋体"/>
                <w:color w:val="auto"/>
                <w:szCs w:val="21"/>
                <w:highlight w:val="none"/>
              </w:rPr>
              <w:t>级别</w:t>
            </w:r>
          </w:p>
        </w:tc>
        <w:tc>
          <w:tcPr>
            <w:tcW w:w="1292" w:type="dxa"/>
            <w:vAlign w:val="center"/>
          </w:tcPr>
          <w:p w14:paraId="3202ADE1">
            <w:pPr>
              <w:jc w:val="center"/>
              <w:rPr>
                <w:rFonts w:hint="eastAsia" w:ascii="宋体" w:hAnsi="宋体"/>
                <w:color w:val="auto"/>
                <w:szCs w:val="21"/>
                <w:highlight w:val="none"/>
              </w:rPr>
            </w:pPr>
            <w:r>
              <w:rPr>
                <w:rFonts w:hint="eastAsia" w:ascii="宋体" w:hAnsi="宋体"/>
                <w:color w:val="auto"/>
                <w:szCs w:val="21"/>
                <w:highlight w:val="none"/>
              </w:rPr>
              <w:t>证号</w:t>
            </w:r>
          </w:p>
        </w:tc>
        <w:tc>
          <w:tcPr>
            <w:tcW w:w="785" w:type="dxa"/>
            <w:vAlign w:val="center"/>
          </w:tcPr>
          <w:p w14:paraId="6DAED5DE">
            <w:pPr>
              <w:jc w:val="center"/>
              <w:rPr>
                <w:rFonts w:hint="eastAsia" w:ascii="宋体" w:hAnsi="宋体"/>
                <w:color w:val="auto"/>
                <w:szCs w:val="21"/>
                <w:highlight w:val="none"/>
              </w:rPr>
            </w:pPr>
            <w:r>
              <w:rPr>
                <w:rFonts w:hint="eastAsia" w:ascii="宋体" w:hAnsi="宋体"/>
                <w:color w:val="auto"/>
                <w:szCs w:val="21"/>
                <w:highlight w:val="none"/>
              </w:rPr>
              <w:t>专业</w:t>
            </w:r>
          </w:p>
        </w:tc>
        <w:tc>
          <w:tcPr>
            <w:tcW w:w="1149" w:type="dxa"/>
            <w:vAlign w:val="center"/>
          </w:tcPr>
          <w:p w14:paraId="2C3CCBA5">
            <w:pPr>
              <w:ind w:right="125" w:rightChars="52"/>
              <w:jc w:val="center"/>
              <w:rPr>
                <w:rFonts w:hint="eastAsia" w:ascii="宋体" w:hAnsi="宋体"/>
                <w:color w:val="auto"/>
                <w:szCs w:val="21"/>
                <w:highlight w:val="none"/>
              </w:rPr>
            </w:pPr>
            <w:r>
              <w:rPr>
                <w:rFonts w:hint="eastAsia" w:ascii="宋体" w:hAnsi="宋体"/>
                <w:color w:val="auto"/>
                <w:szCs w:val="21"/>
                <w:highlight w:val="none"/>
              </w:rPr>
              <w:t>养老保险</w:t>
            </w:r>
          </w:p>
        </w:tc>
        <w:tc>
          <w:tcPr>
            <w:tcW w:w="728" w:type="dxa"/>
            <w:vAlign w:val="center"/>
          </w:tcPr>
          <w:p w14:paraId="2F16793A">
            <w:pPr>
              <w:jc w:val="center"/>
              <w:rPr>
                <w:rFonts w:hint="eastAsia" w:ascii="宋体" w:hAnsi="宋体"/>
                <w:color w:val="auto"/>
                <w:szCs w:val="21"/>
                <w:highlight w:val="none"/>
              </w:rPr>
            </w:pPr>
          </w:p>
        </w:tc>
      </w:tr>
      <w:tr w14:paraId="5730D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41" w:type="dxa"/>
            <w:vAlign w:val="center"/>
          </w:tcPr>
          <w:p w14:paraId="0F3ED1BE">
            <w:pPr>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安全员</w:t>
            </w:r>
          </w:p>
        </w:tc>
        <w:tc>
          <w:tcPr>
            <w:tcW w:w="1131" w:type="dxa"/>
            <w:vAlign w:val="center"/>
          </w:tcPr>
          <w:p w14:paraId="1476758B">
            <w:pPr>
              <w:jc w:val="center"/>
              <w:rPr>
                <w:rFonts w:hint="eastAsia" w:ascii="宋体" w:hAnsi="宋体"/>
                <w:color w:val="auto"/>
                <w:szCs w:val="21"/>
                <w:highlight w:val="none"/>
              </w:rPr>
            </w:pPr>
          </w:p>
        </w:tc>
        <w:tc>
          <w:tcPr>
            <w:tcW w:w="911" w:type="dxa"/>
            <w:vAlign w:val="center"/>
          </w:tcPr>
          <w:p w14:paraId="0F8F22B2">
            <w:pPr>
              <w:jc w:val="center"/>
              <w:rPr>
                <w:rFonts w:hint="eastAsia" w:ascii="宋体" w:hAnsi="宋体"/>
                <w:color w:val="auto"/>
                <w:szCs w:val="21"/>
                <w:highlight w:val="none"/>
              </w:rPr>
            </w:pPr>
          </w:p>
        </w:tc>
        <w:tc>
          <w:tcPr>
            <w:tcW w:w="1135" w:type="dxa"/>
            <w:vAlign w:val="center"/>
          </w:tcPr>
          <w:p w14:paraId="46FBEE74">
            <w:pPr>
              <w:jc w:val="center"/>
              <w:rPr>
                <w:rFonts w:hint="eastAsia" w:ascii="宋体" w:hAnsi="宋体"/>
                <w:color w:val="auto"/>
                <w:szCs w:val="21"/>
                <w:highlight w:val="none"/>
              </w:rPr>
            </w:pPr>
          </w:p>
        </w:tc>
        <w:tc>
          <w:tcPr>
            <w:tcW w:w="787" w:type="dxa"/>
            <w:vAlign w:val="center"/>
          </w:tcPr>
          <w:p w14:paraId="370DD142">
            <w:pPr>
              <w:jc w:val="center"/>
              <w:rPr>
                <w:rFonts w:hint="eastAsia" w:ascii="宋体" w:hAnsi="宋体"/>
                <w:color w:val="auto"/>
                <w:szCs w:val="21"/>
                <w:highlight w:val="none"/>
              </w:rPr>
            </w:pPr>
          </w:p>
        </w:tc>
        <w:tc>
          <w:tcPr>
            <w:tcW w:w="1292" w:type="dxa"/>
            <w:vAlign w:val="center"/>
          </w:tcPr>
          <w:p w14:paraId="11071515">
            <w:pPr>
              <w:jc w:val="center"/>
              <w:rPr>
                <w:rFonts w:hint="eastAsia" w:ascii="宋体" w:hAnsi="宋体"/>
                <w:color w:val="auto"/>
                <w:szCs w:val="21"/>
                <w:highlight w:val="none"/>
              </w:rPr>
            </w:pPr>
          </w:p>
        </w:tc>
        <w:tc>
          <w:tcPr>
            <w:tcW w:w="785" w:type="dxa"/>
            <w:vAlign w:val="center"/>
          </w:tcPr>
          <w:p w14:paraId="0A0D3E56">
            <w:pPr>
              <w:jc w:val="center"/>
              <w:rPr>
                <w:rFonts w:hint="eastAsia" w:ascii="宋体" w:hAnsi="宋体"/>
                <w:color w:val="auto"/>
                <w:szCs w:val="21"/>
                <w:highlight w:val="none"/>
              </w:rPr>
            </w:pPr>
          </w:p>
        </w:tc>
        <w:tc>
          <w:tcPr>
            <w:tcW w:w="1149" w:type="dxa"/>
            <w:vAlign w:val="center"/>
          </w:tcPr>
          <w:p w14:paraId="23445DB5">
            <w:pPr>
              <w:jc w:val="center"/>
              <w:rPr>
                <w:rFonts w:hint="eastAsia" w:ascii="宋体" w:hAnsi="宋体"/>
                <w:color w:val="auto"/>
                <w:szCs w:val="21"/>
                <w:highlight w:val="none"/>
              </w:rPr>
            </w:pPr>
          </w:p>
        </w:tc>
        <w:tc>
          <w:tcPr>
            <w:tcW w:w="728" w:type="dxa"/>
            <w:vAlign w:val="center"/>
          </w:tcPr>
          <w:p w14:paraId="30CBAD1A">
            <w:pPr>
              <w:jc w:val="center"/>
              <w:rPr>
                <w:rFonts w:hint="eastAsia" w:ascii="宋体" w:hAnsi="宋体"/>
                <w:color w:val="auto"/>
                <w:szCs w:val="21"/>
                <w:highlight w:val="none"/>
              </w:rPr>
            </w:pPr>
          </w:p>
        </w:tc>
      </w:tr>
      <w:tr w14:paraId="13FAA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441" w:type="dxa"/>
            <w:vAlign w:val="center"/>
          </w:tcPr>
          <w:p w14:paraId="71B2190E">
            <w:pPr>
              <w:jc w:val="center"/>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lang w:val="en-US" w:eastAsia="zh-CN"/>
              </w:rPr>
              <w:t>质量员</w:t>
            </w:r>
          </w:p>
        </w:tc>
        <w:tc>
          <w:tcPr>
            <w:tcW w:w="1131" w:type="dxa"/>
            <w:vAlign w:val="center"/>
          </w:tcPr>
          <w:p w14:paraId="68A99A97">
            <w:pPr>
              <w:jc w:val="center"/>
              <w:rPr>
                <w:rFonts w:hint="eastAsia" w:ascii="宋体" w:hAnsi="宋体"/>
                <w:color w:val="auto"/>
                <w:szCs w:val="21"/>
                <w:highlight w:val="none"/>
              </w:rPr>
            </w:pPr>
          </w:p>
        </w:tc>
        <w:tc>
          <w:tcPr>
            <w:tcW w:w="911" w:type="dxa"/>
            <w:vAlign w:val="center"/>
          </w:tcPr>
          <w:p w14:paraId="04BEE274">
            <w:pPr>
              <w:jc w:val="center"/>
              <w:rPr>
                <w:rFonts w:hint="eastAsia" w:ascii="宋体" w:hAnsi="宋体"/>
                <w:color w:val="auto"/>
                <w:szCs w:val="21"/>
                <w:highlight w:val="none"/>
              </w:rPr>
            </w:pPr>
          </w:p>
        </w:tc>
        <w:tc>
          <w:tcPr>
            <w:tcW w:w="1135" w:type="dxa"/>
            <w:vAlign w:val="center"/>
          </w:tcPr>
          <w:p w14:paraId="356F838B">
            <w:pPr>
              <w:jc w:val="center"/>
              <w:rPr>
                <w:rFonts w:hint="eastAsia" w:ascii="宋体" w:hAnsi="宋体"/>
                <w:color w:val="auto"/>
                <w:szCs w:val="21"/>
                <w:highlight w:val="none"/>
              </w:rPr>
            </w:pPr>
          </w:p>
        </w:tc>
        <w:tc>
          <w:tcPr>
            <w:tcW w:w="787" w:type="dxa"/>
            <w:vAlign w:val="center"/>
          </w:tcPr>
          <w:p w14:paraId="70369B02">
            <w:pPr>
              <w:jc w:val="center"/>
              <w:rPr>
                <w:rFonts w:hint="eastAsia" w:ascii="宋体" w:hAnsi="宋体"/>
                <w:color w:val="auto"/>
                <w:szCs w:val="21"/>
                <w:highlight w:val="none"/>
              </w:rPr>
            </w:pPr>
          </w:p>
        </w:tc>
        <w:tc>
          <w:tcPr>
            <w:tcW w:w="1292" w:type="dxa"/>
            <w:vAlign w:val="center"/>
          </w:tcPr>
          <w:p w14:paraId="656E493D">
            <w:pPr>
              <w:jc w:val="center"/>
              <w:rPr>
                <w:rFonts w:hint="eastAsia" w:ascii="宋体" w:hAnsi="宋体"/>
                <w:color w:val="auto"/>
                <w:szCs w:val="21"/>
                <w:highlight w:val="none"/>
              </w:rPr>
            </w:pPr>
          </w:p>
        </w:tc>
        <w:tc>
          <w:tcPr>
            <w:tcW w:w="785" w:type="dxa"/>
            <w:vAlign w:val="center"/>
          </w:tcPr>
          <w:p w14:paraId="4A9244E9">
            <w:pPr>
              <w:jc w:val="center"/>
              <w:rPr>
                <w:rFonts w:hint="eastAsia" w:ascii="宋体" w:hAnsi="宋体"/>
                <w:color w:val="auto"/>
                <w:szCs w:val="21"/>
                <w:highlight w:val="none"/>
              </w:rPr>
            </w:pPr>
          </w:p>
        </w:tc>
        <w:tc>
          <w:tcPr>
            <w:tcW w:w="1149" w:type="dxa"/>
            <w:vAlign w:val="center"/>
          </w:tcPr>
          <w:p w14:paraId="2446333A">
            <w:pPr>
              <w:jc w:val="center"/>
              <w:rPr>
                <w:rFonts w:hint="eastAsia" w:ascii="宋体" w:hAnsi="宋体"/>
                <w:color w:val="auto"/>
                <w:szCs w:val="21"/>
                <w:highlight w:val="none"/>
              </w:rPr>
            </w:pPr>
          </w:p>
        </w:tc>
        <w:tc>
          <w:tcPr>
            <w:tcW w:w="728" w:type="dxa"/>
            <w:vAlign w:val="center"/>
          </w:tcPr>
          <w:p w14:paraId="48782B77">
            <w:pPr>
              <w:jc w:val="center"/>
              <w:rPr>
                <w:rFonts w:hint="eastAsia" w:ascii="宋体" w:hAnsi="宋体"/>
                <w:color w:val="auto"/>
                <w:szCs w:val="21"/>
                <w:highlight w:val="none"/>
              </w:rPr>
            </w:pPr>
          </w:p>
        </w:tc>
      </w:tr>
      <w:tr w14:paraId="09523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41" w:type="dxa"/>
            <w:vAlign w:val="center"/>
          </w:tcPr>
          <w:p w14:paraId="04592649">
            <w:pPr>
              <w:jc w:val="center"/>
              <w:rPr>
                <w:rFonts w:hint="eastAsia" w:eastAsia="宋体"/>
                <w:color w:val="auto"/>
                <w:highlight w:val="none"/>
                <w:lang w:val="en-US" w:eastAsia="zh-CN"/>
              </w:rPr>
            </w:pPr>
            <w:r>
              <w:rPr>
                <w:rFonts w:hint="eastAsia" w:eastAsia="宋体"/>
                <w:color w:val="auto"/>
                <w:highlight w:val="none"/>
                <w:lang w:val="en-US" w:eastAsia="zh-CN"/>
              </w:rPr>
              <w:t>材料员</w:t>
            </w:r>
          </w:p>
        </w:tc>
        <w:tc>
          <w:tcPr>
            <w:tcW w:w="1131" w:type="dxa"/>
            <w:vAlign w:val="top"/>
          </w:tcPr>
          <w:p w14:paraId="71BDDF13">
            <w:pPr>
              <w:jc w:val="center"/>
              <w:rPr>
                <w:rFonts w:hint="eastAsia" w:ascii="宋体" w:hAnsi="宋体"/>
                <w:color w:val="auto"/>
                <w:szCs w:val="21"/>
                <w:highlight w:val="none"/>
              </w:rPr>
            </w:pPr>
          </w:p>
        </w:tc>
        <w:tc>
          <w:tcPr>
            <w:tcW w:w="911" w:type="dxa"/>
            <w:vAlign w:val="top"/>
          </w:tcPr>
          <w:p w14:paraId="61D74ECC">
            <w:pPr>
              <w:jc w:val="center"/>
              <w:rPr>
                <w:rFonts w:hint="eastAsia" w:ascii="宋体" w:hAnsi="宋体"/>
                <w:color w:val="auto"/>
                <w:szCs w:val="21"/>
                <w:highlight w:val="none"/>
              </w:rPr>
            </w:pPr>
          </w:p>
        </w:tc>
        <w:tc>
          <w:tcPr>
            <w:tcW w:w="1135" w:type="dxa"/>
            <w:vAlign w:val="top"/>
          </w:tcPr>
          <w:p w14:paraId="114480C8">
            <w:pPr>
              <w:jc w:val="center"/>
              <w:rPr>
                <w:rFonts w:hint="eastAsia" w:ascii="宋体" w:hAnsi="宋体"/>
                <w:color w:val="auto"/>
                <w:szCs w:val="21"/>
                <w:highlight w:val="none"/>
              </w:rPr>
            </w:pPr>
          </w:p>
        </w:tc>
        <w:tc>
          <w:tcPr>
            <w:tcW w:w="787" w:type="dxa"/>
            <w:vAlign w:val="top"/>
          </w:tcPr>
          <w:p w14:paraId="0A1D85C9">
            <w:pPr>
              <w:jc w:val="center"/>
              <w:rPr>
                <w:rFonts w:hint="eastAsia" w:ascii="宋体" w:hAnsi="宋体"/>
                <w:color w:val="auto"/>
                <w:szCs w:val="21"/>
                <w:highlight w:val="none"/>
              </w:rPr>
            </w:pPr>
          </w:p>
        </w:tc>
        <w:tc>
          <w:tcPr>
            <w:tcW w:w="1292" w:type="dxa"/>
            <w:vAlign w:val="top"/>
          </w:tcPr>
          <w:p w14:paraId="61B9DD48">
            <w:pPr>
              <w:jc w:val="center"/>
              <w:rPr>
                <w:rFonts w:hint="eastAsia" w:ascii="宋体" w:hAnsi="宋体"/>
                <w:color w:val="auto"/>
                <w:szCs w:val="21"/>
                <w:highlight w:val="none"/>
              </w:rPr>
            </w:pPr>
          </w:p>
        </w:tc>
        <w:tc>
          <w:tcPr>
            <w:tcW w:w="785" w:type="dxa"/>
            <w:vAlign w:val="top"/>
          </w:tcPr>
          <w:p w14:paraId="51D8D4B5">
            <w:pPr>
              <w:jc w:val="center"/>
              <w:rPr>
                <w:rFonts w:hint="eastAsia" w:ascii="宋体" w:hAnsi="宋体"/>
                <w:color w:val="auto"/>
                <w:szCs w:val="21"/>
                <w:highlight w:val="none"/>
              </w:rPr>
            </w:pPr>
          </w:p>
        </w:tc>
        <w:tc>
          <w:tcPr>
            <w:tcW w:w="1149" w:type="dxa"/>
            <w:vAlign w:val="top"/>
          </w:tcPr>
          <w:p w14:paraId="1BC9A5A8">
            <w:pPr>
              <w:jc w:val="center"/>
              <w:rPr>
                <w:rFonts w:hint="eastAsia" w:ascii="宋体" w:hAnsi="宋体"/>
                <w:color w:val="auto"/>
                <w:szCs w:val="21"/>
                <w:highlight w:val="none"/>
              </w:rPr>
            </w:pPr>
          </w:p>
        </w:tc>
        <w:tc>
          <w:tcPr>
            <w:tcW w:w="728" w:type="dxa"/>
            <w:vAlign w:val="top"/>
          </w:tcPr>
          <w:p w14:paraId="0952B0CF">
            <w:pPr>
              <w:jc w:val="center"/>
              <w:rPr>
                <w:rFonts w:hint="eastAsia" w:ascii="宋体" w:hAnsi="宋体"/>
                <w:color w:val="auto"/>
                <w:szCs w:val="21"/>
                <w:highlight w:val="none"/>
              </w:rPr>
            </w:pPr>
          </w:p>
        </w:tc>
      </w:tr>
      <w:tr w14:paraId="0FD6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41" w:type="dxa"/>
            <w:vAlign w:val="center"/>
          </w:tcPr>
          <w:p w14:paraId="4ABC2858">
            <w:pPr>
              <w:jc w:val="center"/>
              <w:rPr>
                <w:rFonts w:hint="eastAsia" w:eastAsia="宋体"/>
                <w:color w:val="auto"/>
                <w:highlight w:val="none"/>
                <w:lang w:val="en-US" w:eastAsia="zh-CN"/>
              </w:rPr>
            </w:pPr>
            <w:r>
              <w:rPr>
                <w:rFonts w:hint="eastAsia" w:eastAsia="宋体"/>
                <w:color w:val="auto"/>
                <w:highlight w:val="none"/>
                <w:lang w:val="en-US" w:eastAsia="zh-CN"/>
              </w:rPr>
              <w:t>资料员</w:t>
            </w:r>
          </w:p>
        </w:tc>
        <w:tc>
          <w:tcPr>
            <w:tcW w:w="1131" w:type="dxa"/>
            <w:vAlign w:val="top"/>
          </w:tcPr>
          <w:p w14:paraId="75C4FCF8">
            <w:pPr>
              <w:jc w:val="center"/>
              <w:rPr>
                <w:rFonts w:hint="eastAsia" w:ascii="宋体" w:hAnsi="宋体"/>
                <w:color w:val="auto"/>
                <w:szCs w:val="21"/>
                <w:highlight w:val="none"/>
              </w:rPr>
            </w:pPr>
          </w:p>
        </w:tc>
        <w:tc>
          <w:tcPr>
            <w:tcW w:w="911" w:type="dxa"/>
            <w:vAlign w:val="top"/>
          </w:tcPr>
          <w:p w14:paraId="49405760">
            <w:pPr>
              <w:jc w:val="center"/>
              <w:rPr>
                <w:rFonts w:hint="eastAsia" w:ascii="宋体" w:hAnsi="宋体"/>
                <w:color w:val="auto"/>
                <w:szCs w:val="21"/>
                <w:highlight w:val="none"/>
              </w:rPr>
            </w:pPr>
          </w:p>
        </w:tc>
        <w:tc>
          <w:tcPr>
            <w:tcW w:w="1135" w:type="dxa"/>
            <w:vAlign w:val="top"/>
          </w:tcPr>
          <w:p w14:paraId="6FEE924A">
            <w:pPr>
              <w:jc w:val="center"/>
              <w:rPr>
                <w:rFonts w:hint="eastAsia" w:ascii="宋体" w:hAnsi="宋体"/>
                <w:color w:val="auto"/>
                <w:szCs w:val="21"/>
                <w:highlight w:val="none"/>
              </w:rPr>
            </w:pPr>
          </w:p>
        </w:tc>
        <w:tc>
          <w:tcPr>
            <w:tcW w:w="787" w:type="dxa"/>
            <w:vAlign w:val="top"/>
          </w:tcPr>
          <w:p w14:paraId="559E8146">
            <w:pPr>
              <w:jc w:val="center"/>
              <w:rPr>
                <w:rFonts w:hint="eastAsia" w:ascii="宋体" w:hAnsi="宋体"/>
                <w:color w:val="auto"/>
                <w:szCs w:val="21"/>
                <w:highlight w:val="none"/>
              </w:rPr>
            </w:pPr>
          </w:p>
        </w:tc>
        <w:tc>
          <w:tcPr>
            <w:tcW w:w="1292" w:type="dxa"/>
            <w:vAlign w:val="top"/>
          </w:tcPr>
          <w:p w14:paraId="704B07B2">
            <w:pPr>
              <w:jc w:val="center"/>
              <w:rPr>
                <w:rFonts w:hint="eastAsia" w:ascii="宋体" w:hAnsi="宋体"/>
                <w:color w:val="auto"/>
                <w:szCs w:val="21"/>
                <w:highlight w:val="none"/>
              </w:rPr>
            </w:pPr>
          </w:p>
        </w:tc>
        <w:tc>
          <w:tcPr>
            <w:tcW w:w="785" w:type="dxa"/>
            <w:vAlign w:val="top"/>
          </w:tcPr>
          <w:p w14:paraId="640B2BE7">
            <w:pPr>
              <w:jc w:val="center"/>
              <w:rPr>
                <w:rFonts w:hint="eastAsia" w:ascii="宋体" w:hAnsi="宋体"/>
                <w:color w:val="auto"/>
                <w:szCs w:val="21"/>
                <w:highlight w:val="none"/>
              </w:rPr>
            </w:pPr>
          </w:p>
        </w:tc>
        <w:tc>
          <w:tcPr>
            <w:tcW w:w="1149" w:type="dxa"/>
            <w:vAlign w:val="top"/>
          </w:tcPr>
          <w:p w14:paraId="35877465">
            <w:pPr>
              <w:jc w:val="center"/>
              <w:rPr>
                <w:rFonts w:hint="eastAsia" w:ascii="宋体" w:hAnsi="宋体"/>
                <w:color w:val="auto"/>
                <w:szCs w:val="21"/>
                <w:highlight w:val="none"/>
              </w:rPr>
            </w:pPr>
          </w:p>
        </w:tc>
        <w:tc>
          <w:tcPr>
            <w:tcW w:w="728" w:type="dxa"/>
            <w:vAlign w:val="top"/>
          </w:tcPr>
          <w:p w14:paraId="1439E9F3">
            <w:pPr>
              <w:jc w:val="center"/>
              <w:rPr>
                <w:rFonts w:hint="eastAsia" w:ascii="宋体" w:hAnsi="宋体"/>
                <w:color w:val="auto"/>
                <w:szCs w:val="21"/>
                <w:highlight w:val="none"/>
              </w:rPr>
            </w:pPr>
          </w:p>
        </w:tc>
      </w:tr>
      <w:tr w14:paraId="504BD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41" w:type="dxa"/>
            <w:vAlign w:val="center"/>
          </w:tcPr>
          <w:p w14:paraId="76A18187">
            <w:pPr>
              <w:jc w:val="center"/>
              <w:rPr>
                <w:rFonts w:hint="eastAsia"/>
                <w:color w:val="auto"/>
                <w:highlight w:val="none"/>
              </w:rPr>
            </w:pPr>
            <w:r>
              <w:rPr>
                <w:rFonts w:hint="eastAsia"/>
                <w:color w:val="auto"/>
                <w:highlight w:val="none"/>
              </w:rPr>
              <w:t>施工员</w:t>
            </w:r>
          </w:p>
        </w:tc>
        <w:tc>
          <w:tcPr>
            <w:tcW w:w="1131" w:type="dxa"/>
            <w:vAlign w:val="top"/>
          </w:tcPr>
          <w:p w14:paraId="4588FCBA">
            <w:pPr>
              <w:jc w:val="center"/>
              <w:rPr>
                <w:rFonts w:hint="eastAsia" w:ascii="宋体" w:hAnsi="宋体"/>
                <w:color w:val="auto"/>
                <w:szCs w:val="21"/>
                <w:highlight w:val="none"/>
              </w:rPr>
            </w:pPr>
          </w:p>
        </w:tc>
        <w:tc>
          <w:tcPr>
            <w:tcW w:w="911" w:type="dxa"/>
            <w:vAlign w:val="top"/>
          </w:tcPr>
          <w:p w14:paraId="06D4D1AE">
            <w:pPr>
              <w:jc w:val="center"/>
              <w:rPr>
                <w:rFonts w:hint="eastAsia" w:ascii="宋体" w:hAnsi="宋体"/>
                <w:color w:val="auto"/>
                <w:szCs w:val="21"/>
                <w:highlight w:val="none"/>
              </w:rPr>
            </w:pPr>
          </w:p>
        </w:tc>
        <w:tc>
          <w:tcPr>
            <w:tcW w:w="1135" w:type="dxa"/>
            <w:vAlign w:val="top"/>
          </w:tcPr>
          <w:p w14:paraId="07844DFC">
            <w:pPr>
              <w:jc w:val="center"/>
              <w:rPr>
                <w:rFonts w:hint="eastAsia" w:ascii="宋体" w:hAnsi="宋体"/>
                <w:color w:val="auto"/>
                <w:szCs w:val="21"/>
                <w:highlight w:val="none"/>
              </w:rPr>
            </w:pPr>
          </w:p>
        </w:tc>
        <w:tc>
          <w:tcPr>
            <w:tcW w:w="787" w:type="dxa"/>
            <w:vAlign w:val="top"/>
          </w:tcPr>
          <w:p w14:paraId="47D202D5">
            <w:pPr>
              <w:jc w:val="center"/>
              <w:rPr>
                <w:rFonts w:hint="eastAsia" w:ascii="宋体" w:hAnsi="宋体"/>
                <w:color w:val="auto"/>
                <w:szCs w:val="21"/>
                <w:highlight w:val="none"/>
              </w:rPr>
            </w:pPr>
          </w:p>
        </w:tc>
        <w:tc>
          <w:tcPr>
            <w:tcW w:w="1292" w:type="dxa"/>
            <w:vAlign w:val="top"/>
          </w:tcPr>
          <w:p w14:paraId="7AA7E53B">
            <w:pPr>
              <w:jc w:val="center"/>
              <w:rPr>
                <w:rFonts w:hint="eastAsia" w:ascii="宋体" w:hAnsi="宋体"/>
                <w:color w:val="auto"/>
                <w:szCs w:val="21"/>
                <w:highlight w:val="none"/>
              </w:rPr>
            </w:pPr>
          </w:p>
        </w:tc>
        <w:tc>
          <w:tcPr>
            <w:tcW w:w="785" w:type="dxa"/>
            <w:vAlign w:val="top"/>
          </w:tcPr>
          <w:p w14:paraId="66FB6D8C">
            <w:pPr>
              <w:jc w:val="center"/>
              <w:rPr>
                <w:rFonts w:hint="eastAsia" w:ascii="宋体" w:hAnsi="宋体"/>
                <w:color w:val="auto"/>
                <w:szCs w:val="21"/>
                <w:highlight w:val="none"/>
              </w:rPr>
            </w:pPr>
          </w:p>
        </w:tc>
        <w:tc>
          <w:tcPr>
            <w:tcW w:w="1149" w:type="dxa"/>
            <w:vAlign w:val="top"/>
          </w:tcPr>
          <w:p w14:paraId="0345D0FE">
            <w:pPr>
              <w:jc w:val="center"/>
              <w:rPr>
                <w:rFonts w:hint="eastAsia" w:ascii="宋体" w:hAnsi="宋体"/>
                <w:color w:val="auto"/>
                <w:szCs w:val="21"/>
                <w:highlight w:val="none"/>
              </w:rPr>
            </w:pPr>
          </w:p>
        </w:tc>
        <w:tc>
          <w:tcPr>
            <w:tcW w:w="728" w:type="dxa"/>
            <w:vAlign w:val="top"/>
          </w:tcPr>
          <w:p w14:paraId="7790C738">
            <w:pPr>
              <w:jc w:val="center"/>
              <w:rPr>
                <w:rFonts w:hint="eastAsia" w:ascii="宋体" w:hAnsi="宋体"/>
                <w:color w:val="auto"/>
                <w:szCs w:val="21"/>
                <w:highlight w:val="none"/>
              </w:rPr>
            </w:pPr>
          </w:p>
        </w:tc>
      </w:tr>
      <w:tr w14:paraId="3478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41" w:type="dxa"/>
            <w:vAlign w:val="center"/>
          </w:tcPr>
          <w:p w14:paraId="0A52D0C7">
            <w:pPr>
              <w:jc w:val="center"/>
              <w:rPr>
                <w:rFonts w:hint="eastAsia"/>
                <w:color w:val="auto"/>
                <w:highlight w:val="none"/>
              </w:rPr>
            </w:pPr>
            <w:r>
              <w:rPr>
                <w:rFonts w:hint="eastAsia"/>
                <w:color w:val="auto"/>
                <w:highlight w:val="none"/>
              </w:rPr>
              <w:t>造价员</w:t>
            </w:r>
          </w:p>
        </w:tc>
        <w:tc>
          <w:tcPr>
            <w:tcW w:w="1131" w:type="dxa"/>
            <w:vAlign w:val="top"/>
          </w:tcPr>
          <w:p w14:paraId="1030E717">
            <w:pPr>
              <w:jc w:val="center"/>
              <w:rPr>
                <w:rFonts w:hint="eastAsia" w:ascii="宋体" w:hAnsi="宋体"/>
                <w:color w:val="auto"/>
                <w:szCs w:val="21"/>
                <w:highlight w:val="none"/>
              </w:rPr>
            </w:pPr>
          </w:p>
        </w:tc>
        <w:tc>
          <w:tcPr>
            <w:tcW w:w="911" w:type="dxa"/>
            <w:vAlign w:val="top"/>
          </w:tcPr>
          <w:p w14:paraId="6BADA2F9">
            <w:pPr>
              <w:jc w:val="center"/>
              <w:rPr>
                <w:rFonts w:hint="eastAsia" w:ascii="宋体" w:hAnsi="宋体"/>
                <w:color w:val="auto"/>
                <w:szCs w:val="21"/>
                <w:highlight w:val="none"/>
              </w:rPr>
            </w:pPr>
          </w:p>
        </w:tc>
        <w:tc>
          <w:tcPr>
            <w:tcW w:w="1135" w:type="dxa"/>
            <w:vAlign w:val="top"/>
          </w:tcPr>
          <w:p w14:paraId="57F27B2B">
            <w:pPr>
              <w:jc w:val="center"/>
              <w:rPr>
                <w:rFonts w:hint="eastAsia" w:ascii="宋体" w:hAnsi="宋体"/>
                <w:color w:val="auto"/>
                <w:szCs w:val="21"/>
                <w:highlight w:val="none"/>
              </w:rPr>
            </w:pPr>
          </w:p>
        </w:tc>
        <w:tc>
          <w:tcPr>
            <w:tcW w:w="787" w:type="dxa"/>
            <w:vAlign w:val="top"/>
          </w:tcPr>
          <w:p w14:paraId="31011EDA">
            <w:pPr>
              <w:jc w:val="center"/>
              <w:rPr>
                <w:rFonts w:hint="eastAsia" w:ascii="宋体" w:hAnsi="宋体"/>
                <w:color w:val="auto"/>
                <w:szCs w:val="21"/>
                <w:highlight w:val="none"/>
              </w:rPr>
            </w:pPr>
          </w:p>
        </w:tc>
        <w:tc>
          <w:tcPr>
            <w:tcW w:w="1292" w:type="dxa"/>
            <w:vAlign w:val="top"/>
          </w:tcPr>
          <w:p w14:paraId="5619399F">
            <w:pPr>
              <w:jc w:val="center"/>
              <w:rPr>
                <w:rFonts w:hint="eastAsia" w:ascii="宋体" w:hAnsi="宋体"/>
                <w:color w:val="auto"/>
                <w:szCs w:val="21"/>
                <w:highlight w:val="none"/>
              </w:rPr>
            </w:pPr>
          </w:p>
        </w:tc>
        <w:tc>
          <w:tcPr>
            <w:tcW w:w="785" w:type="dxa"/>
            <w:vAlign w:val="top"/>
          </w:tcPr>
          <w:p w14:paraId="7E40191F">
            <w:pPr>
              <w:jc w:val="center"/>
              <w:rPr>
                <w:rFonts w:hint="eastAsia" w:ascii="宋体" w:hAnsi="宋体"/>
                <w:color w:val="auto"/>
                <w:szCs w:val="21"/>
                <w:highlight w:val="none"/>
              </w:rPr>
            </w:pPr>
          </w:p>
        </w:tc>
        <w:tc>
          <w:tcPr>
            <w:tcW w:w="1149" w:type="dxa"/>
            <w:vAlign w:val="top"/>
          </w:tcPr>
          <w:p w14:paraId="2DB87FDE">
            <w:pPr>
              <w:jc w:val="center"/>
              <w:rPr>
                <w:rFonts w:hint="eastAsia" w:ascii="宋体" w:hAnsi="宋体"/>
                <w:color w:val="auto"/>
                <w:szCs w:val="21"/>
                <w:highlight w:val="none"/>
              </w:rPr>
            </w:pPr>
          </w:p>
        </w:tc>
        <w:tc>
          <w:tcPr>
            <w:tcW w:w="728" w:type="dxa"/>
            <w:vAlign w:val="top"/>
          </w:tcPr>
          <w:p w14:paraId="4F965185">
            <w:pPr>
              <w:jc w:val="center"/>
              <w:rPr>
                <w:rFonts w:hint="eastAsia" w:ascii="宋体" w:hAnsi="宋体"/>
                <w:color w:val="auto"/>
                <w:szCs w:val="21"/>
                <w:highlight w:val="none"/>
              </w:rPr>
            </w:pPr>
          </w:p>
        </w:tc>
      </w:tr>
      <w:tr w14:paraId="34F95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41" w:type="dxa"/>
            <w:vAlign w:val="center"/>
          </w:tcPr>
          <w:p w14:paraId="5775F675">
            <w:pPr>
              <w:jc w:val="center"/>
              <w:rPr>
                <w:rFonts w:hint="eastAsia"/>
                <w:color w:val="auto"/>
                <w:highlight w:val="none"/>
              </w:rPr>
            </w:pPr>
            <w:r>
              <w:rPr>
                <w:rFonts w:hint="eastAsia"/>
                <w:color w:val="auto"/>
                <w:highlight w:val="none"/>
              </w:rPr>
              <w:t>试验员</w:t>
            </w:r>
          </w:p>
        </w:tc>
        <w:tc>
          <w:tcPr>
            <w:tcW w:w="1131" w:type="dxa"/>
            <w:vAlign w:val="top"/>
          </w:tcPr>
          <w:p w14:paraId="296AE9F9">
            <w:pPr>
              <w:jc w:val="center"/>
              <w:rPr>
                <w:rFonts w:hint="eastAsia" w:ascii="宋体" w:hAnsi="宋体"/>
                <w:color w:val="auto"/>
                <w:szCs w:val="21"/>
                <w:highlight w:val="none"/>
              </w:rPr>
            </w:pPr>
          </w:p>
        </w:tc>
        <w:tc>
          <w:tcPr>
            <w:tcW w:w="911" w:type="dxa"/>
            <w:vAlign w:val="top"/>
          </w:tcPr>
          <w:p w14:paraId="47ECF9B6">
            <w:pPr>
              <w:jc w:val="center"/>
              <w:rPr>
                <w:rFonts w:hint="eastAsia" w:ascii="宋体" w:hAnsi="宋体"/>
                <w:color w:val="auto"/>
                <w:szCs w:val="21"/>
                <w:highlight w:val="none"/>
              </w:rPr>
            </w:pPr>
          </w:p>
        </w:tc>
        <w:tc>
          <w:tcPr>
            <w:tcW w:w="1135" w:type="dxa"/>
            <w:vAlign w:val="top"/>
          </w:tcPr>
          <w:p w14:paraId="69DA1E27">
            <w:pPr>
              <w:jc w:val="center"/>
              <w:rPr>
                <w:rFonts w:hint="eastAsia" w:ascii="宋体" w:hAnsi="宋体"/>
                <w:color w:val="auto"/>
                <w:szCs w:val="21"/>
                <w:highlight w:val="none"/>
              </w:rPr>
            </w:pPr>
          </w:p>
        </w:tc>
        <w:tc>
          <w:tcPr>
            <w:tcW w:w="787" w:type="dxa"/>
            <w:vAlign w:val="top"/>
          </w:tcPr>
          <w:p w14:paraId="160BFC5F">
            <w:pPr>
              <w:jc w:val="center"/>
              <w:rPr>
                <w:rFonts w:hint="eastAsia" w:ascii="宋体" w:hAnsi="宋体"/>
                <w:color w:val="auto"/>
                <w:szCs w:val="21"/>
                <w:highlight w:val="none"/>
              </w:rPr>
            </w:pPr>
          </w:p>
        </w:tc>
        <w:tc>
          <w:tcPr>
            <w:tcW w:w="1292" w:type="dxa"/>
            <w:vAlign w:val="top"/>
          </w:tcPr>
          <w:p w14:paraId="7C9F7E4E">
            <w:pPr>
              <w:jc w:val="center"/>
              <w:rPr>
                <w:rFonts w:hint="eastAsia" w:ascii="宋体" w:hAnsi="宋体"/>
                <w:color w:val="auto"/>
                <w:szCs w:val="21"/>
                <w:highlight w:val="none"/>
              </w:rPr>
            </w:pPr>
          </w:p>
        </w:tc>
        <w:tc>
          <w:tcPr>
            <w:tcW w:w="785" w:type="dxa"/>
            <w:vAlign w:val="top"/>
          </w:tcPr>
          <w:p w14:paraId="6AEC307D">
            <w:pPr>
              <w:jc w:val="center"/>
              <w:rPr>
                <w:rFonts w:hint="eastAsia" w:ascii="宋体" w:hAnsi="宋体"/>
                <w:color w:val="auto"/>
                <w:szCs w:val="21"/>
                <w:highlight w:val="none"/>
              </w:rPr>
            </w:pPr>
          </w:p>
        </w:tc>
        <w:tc>
          <w:tcPr>
            <w:tcW w:w="1149" w:type="dxa"/>
            <w:vAlign w:val="top"/>
          </w:tcPr>
          <w:p w14:paraId="758A2B50">
            <w:pPr>
              <w:jc w:val="center"/>
              <w:rPr>
                <w:rFonts w:hint="eastAsia" w:ascii="宋体" w:hAnsi="宋体"/>
                <w:color w:val="auto"/>
                <w:szCs w:val="21"/>
                <w:highlight w:val="none"/>
              </w:rPr>
            </w:pPr>
          </w:p>
        </w:tc>
        <w:tc>
          <w:tcPr>
            <w:tcW w:w="728" w:type="dxa"/>
            <w:vAlign w:val="top"/>
          </w:tcPr>
          <w:p w14:paraId="09E3277C">
            <w:pPr>
              <w:jc w:val="center"/>
              <w:rPr>
                <w:rFonts w:hint="eastAsia" w:ascii="宋体" w:hAnsi="宋体"/>
                <w:color w:val="auto"/>
                <w:szCs w:val="21"/>
                <w:highlight w:val="none"/>
              </w:rPr>
            </w:pPr>
          </w:p>
        </w:tc>
      </w:tr>
      <w:tr w14:paraId="61D98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41" w:type="dxa"/>
            <w:vAlign w:val="center"/>
          </w:tcPr>
          <w:p w14:paraId="78B37FA5">
            <w:pPr>
              <w:jc w:val="center"/>
              <w:rPr>
                <w:rFonts w:hint="eastAsia" w:eastAsia="宋体"/>
                <w:color w:val="auto"/>
                <w:highlight w:val="none"/>
                <w:lang w:eastAsia="zh-CN"/>
              </w:rPr>
            </w:pPr>
            <w:r>
              <w:rPr>
                <w:rFonts w:hint="default" w:ascii="Arial" w:hAnsi="Arial" w:cs="Arial"/>
                <w:color w:val="auto"/>
                <w:highlight w:val="none"/>
              </w:rPr>
              <w:t>……</w:t>
            </w:r>
          </w:p>
        </w:tc>
        <w:tc>
          <w:tcPr>
            <w:tcW w:w="1131" w:type="dxa"/>
            <w:vAlign w:val="top"/>
          </w:tcPr>
          <w:p w14:paraId="249A9C0A">
            <w:pPr>
              <w:jc w:val="center"/>
              <w:rPr>
                <w:rFonts w:hint="eastAsia" w:ascii="宋体" w:hAnsi="宋体"/>
                <w:color w:val="auto"/>
                <w:szCs w:val="21"/>
                <w:highlight w:val="none"/>
              </w:rPr>
            </w:pPr>
          </w:p>
        </w:tc>
        <w:tc>
          <w:tcPr>
            <w:tcW w:w="911" w:type="dxa"/>
            <w:vAlign w:val="top"/>
          </w:tcPr>
          <w:p w14:paraId="0BDDF9C1">
            <w:pPr>
              <w:jc w:val="center"/>
              <w:rPr>
                <w:rFonts w:hint="eastAsia" w:ascii="宋体" w:hAnsi="宋体"/>
                <w:color w:val="auto"/>
                <w:szCs w:val="21"/>
                <w:highlight w:val="none"/>
              </w:rPr>
            </w:pPr>
          </w:p>
        </w:tc>
        <w:tc>
          <w:tcPr>
            <w:tcW w:w="1135" w:type="dxa"/>
            <w:vAlign w:val="top"/>
          </w:tcPr>
          <w:p w14:paraId="584E01A7">
            <w:pPr>
              <w:jc w:val="center"/>
              <w:rPr>
                <w:rFonts w:hint="eastAsia" w:ascii="宋体" w:hAnsi="宋体"/>
                <w:color w:val="auto"/>
                <w:szCs w:val="21"/>
                <w:highlight w:val="none"/>
              </w:rPr>
            </w:pPr>
          </w:p>
        </w:tc>
        <w:tc>
          <w:tcPr>
            <w:tcW w:w="787" w:type="dxa"/>
            <w:vAlign w:val="top"/>
          </w:tcPr>
          <w:p w14:paraId="579C9BDE">
            <w:pPr>
              <w:jc w:val="center"/>
              <w:rPr>
                <w:rFonts w:hint="eastAsia" w:ascii="宋体" w:hAnsi="宋体"/>
                <w:color w:val="auto"/>
                <w:szCs w:val="21"/>
                <w:highlight w:val="none"/>
              </w:rPr>
            </w:pPr>
          </w:p>
        </w:tc>
        <w:tc>
          <w:tcPr>
            <w:tcW w:w="1292" w:type="dxa"/>
            <w:vAlign w:val="top"/>
          </w:tcPr>
          <w:p w14:paraId="23F8BCEE">
            <w:pPr>
              <w:jc w:val="center"/>
              <w:rPr>
                <w:rFonts w:hint="eastAsia" w:ascii="宋体" w:hAnsi="宋体"/>
                <w:color w:val="auto"/>
                <w:szCs w:val="21"/>
                <w:highlight w:val="none"/>
              </w:rPr>
            </w:pPr>
          </w:p>
        </w:tc>
        <w:tc>
          <w:tcPr>
            <w:tcW w:w="785" w:type="dxa"/>
            <w:vAlign w:val="top"/>
          </w:tcPr>
          <w:p w14:paraId="4EC209C2">
            <w:pPr>
              <w:jc w:val="center"/>
              <w:rPr>
                <w:rFonts w:hint="eastAsia" w:ascii="宋体" w:hAnsi="宋体"/>
                <w:color w:val="auto"/>
                <w:szCs w:val="21"/>
                <w:highlight w:val="none"/>
              </w:rPr>
            </w:pPr>
          </w:p>
        </w:tc>
        <w:tc>
          <w:tcPr>
            <w:tcW w:w="1149" w:type="dxa"/>
            <w:vAlign w:val="top"/>
          </w:tcPr>
          <w:p w14:paraId="357D3F40">
            <w:pPr>
              <w:jc w:val="center"/>
              <w:rPr>
                <w:rFonts w:hint="eastAsia" w:ascii="宋体" w:hAnsi="宋体"/>
                <w:color w:val="auto"/>
                <w:szCs w:val="21"/>
                <w:highlight w:val="none"/>
              </w:rPr>
            </w:pPr>
          </w:p>
        </w:tc>
        <w:tc>
          <w:tcPr>
            <w:tcW w:w="728" w:type="dxa"/>
            <w:vAlign w:val="top"/>
          </w:tcPr>
          <w:p w14:paraId="64610436">
            <w:pPr>
              <w:jc w:val="center"/>
              <w:rPr>
                <w:rFonts w:hint="eastAsia" w:ascii="宋体" w:hAnsi="宋体"/>
                <w:color w:val="auto"/>
                <w:szCs w:val="21"/>
                <w:highlight w:val="none"/>
              </w:rPr>
            </w:pPr>
          </w:p>
        </w:tc>
      </w:tr>
      <w:tr w14:paraId="0B6E6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41" w:type="dxa"/>
            <w:vAlign w:val="top"/>
          </w:tcPr>
          <w:p w14:paraId="2ADF3C2E">
            <w:pPr>
              <w:rPr>
                <w:rFonts w:hint="eastAsia"/>
                <w:color w:val="auto"/>
                <w:highlight w:val="none"/>
              </w:rPr>
            </w:pPr>
          </w:p>
        </w:tc>
        <w:tc>
          <w:tcPr>
            <w:tcW w:w="1131" w:type="dxa"/>
            <w:vAlign w:val="top"/>
          </w:tcPr>
          <w:p w14:paraId="19800AF4">
            <w:pPr>
              <w:jc w:val="center"/>
              <w:rPr>
                <w:rFonts w:hint="eastAsia" w:ascii="宋体" w:hAnsi="宋体"/>
                <w:color w:val="auto"/>
                <w:szCs w:val="21"/>
                <w:highlight w:val="none"/>
              </w:rPr>
            </w:pPr>
          </w:p>
        </w:tc>
        <w:tc>
          <w:tcPr>
            <w:tcW w:w="911" w:type="dxa"/>
            <w:vAlign w:val="top"/>
          </w:tcPr>
          <w:p w14:paraId="76B0D5B9">
            <w:pPr>
              <w:jc w:val="center"/>
              <w:rPr>
                <w:rFonts w:hint="eastAsia" w:ascii="宋体" w:hAnsi="宋体"/>
                <w:color w:val="auto"/>
                <w:szCs w:val="21"/>
                <w:highlight w:val="none"/>
              </w:rPr>
            </w:pPr>
          </w:p>
        </w:tc>
        <w:tc>
          <w:tcPr>
            <w:tcW w:w="1135" w:type="dxa"/>
            <w:vAlign w:val="top"/>
          </w:tcPr>
          <w:p w14:paraId="1A2B4E81">
            <w:pPr>
              <w:jc w:val="center"/>
              <w:rPr>
                <w:rFonts w:hint="eastAsia" w:ascii="宋体" w:hAnsi="宋体"/>
                <w:color w:val="auto"/>
                <w:szCs w:val="21"/>
                <w:highlight w:val="none"/>
              </w:rPr>
            </w:pPr>
          </w:p>
        </w:tc>
        <w:tc>
          <w:tcPr>
            <w:tcW w:w="787" w:type="dxa"/>
            <w:vAlign w:val="top"/>
          </w:tcPr>
          <w:p w14:paraId="6390ABD8">
            <w:pPr>
              <w:jc w:val="center"/>
              <w:rPr>
                <w:rFonts w:hint="eastAsia" w:ascii="宋体" w:hAnsi="宋体"/>
                <w:color w:val="auto"/>
                <w:szCs w:val="21"/>
                <w:highlight w:val="none"/>
              </w:rPr>
            </w:pPr>
          </w:p>
        </w:tc>
        <w:tc>
          <w:tcPr>
            <w:tcW w:w="1292" w:type="dxa"/>
            <w:vAlign w:val="top"/>
          </w:tcPr>
          <w:p w14:paraId="3DDF99BC">
            <w:pPr>
              <w:jc w:val="center"/>
              <w:rPr>
                <w:rFonts w:hint="eastAsia" w:ascii="宋体" w:hAnsi="宋体"/>
                <w:color w:val="auto"/>
                <w:szCs w:val="21"/>
                <w:highlight w:val="none"/>
              </w:rPr>
            </w:pPr>
          </w:p>
        </w:tc>
        <w:tc>
          <w:tcPr>
            <w:tcW w:w="785" w:type="dxa"/>
            <w:vAlign w:val="top"/>
          </w:tcPr>
          <w:p w14:paraId="0C2A0CF7">
            <w:pPr>
              <w:jc w:val="center"/>
              <w:rPr>
                <w:rFonts w:hint="eastAsia" w:ascii="宋体" w:hAnsi="宋体"/>
                <w:color w:val="auto"/>
                <w:szCs w:val="21"/>
                <w:highlight w:val="none"/>
              </w:rPr>
            </w:pPr>
          </w:p>
        </w:tc>
        <w:tc>
          <w:tcPr>
            <w:tcW w:w="1149" w:type="dxa"/>
            <w:vAlign w:val="top"/>
          </w:tcPr>
          <w:p w14:paraId="45F8C6EF">
            <w:pPr>
              <w:jc w:val="center"/>
              <w:rPr>
                <w:rFonts w:hint="eastAsia" w:ascii="宋体" w:hAnsi="宋体"/>
                <w:color w:val="auto"/>
                <w:szCs w:val="21"/>
                <w:highlight w:val="none"/>
              </w:rPr>
            </w:pPr>
          </w:p>
        </w:tc>
        <w:tc>
          <w:tcPr>
            <w:tcW w:w="728" w:type="dxa"/>
            <w:vAlign w:val="top"/>
          </w:tcPr>
          <w:p w14:paraId="126AC010">
            <w:pPr>
              <w:jc w:val="center"/>
              <w:rPr>
                <w:rFonts w:hint="eastAsia" w:ascii="宋体" w:hAnsi="宋体"/>
                <w:color w:val="auto"/>
                <w:szCs w:val="21"/>
                <w:highlight w:val="none"/>
              </w:rPr>
            </w:pPr>
          </w:p>
        </w:tc>
      </w:tr>
      <w:tr w14:paraId="4C52D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41" w:type="dxa"/>
            <w:vAlign w:val="top"/>
          </w:tcPr>
          <w:p w14:paraId="69A998FD">
            <w:pPr>
              <w:jc w:val="center"/>
              <w:rPr>
                <w:rFonts w:hint="eastAsia"/>
                <w:color w:val="auto"/>
                <w:highlight w:val="none"/>
              </w:rPr>
            </w:pPr>
          </w:p>
        </w:tc>
        <w:tc>
          <w:tcPr>
            <w:tcW w:w="1131" w:type="dxa"/>
            <w:vAlign w:val="top"/>
          </w:tcPr>
          <w:p w14:paraId="58F4A8B2">
            <w:pPr>
              <w:jc w:val="center"/>
              <w:rPr>
                <w:rFonts w:hint="eastAsia" w:ascii="宋体" w:hAnsi="宋体"/>
                <w:color w:val="auto"/>
                <w:szCs w:val="21"/>
                <w:highlight w:val="none"/>
              </w:rPr>
            </w:pPr>
          </w:p>
        </w:tc>
        <w:tc>
          <w:tcPr>
            <w:tcW w:w="911" w:type="dxa"/>
            <w:vAlign w:val="top"/>
          </w:tcPr>
          <w:p w14:paraId="47212FEC">
            <w:pPr>
              <w:jc w:val="center"/>
              <w:rPr>
                <w:rFonts w:hint="eastAsia" w:ascii="宋体" w:hAnsi="宋体"/>
                <w:color w:val="auto"/>
                <w:szCs w:val="21"/>
                <w:highlight w:val="none"/>
              </w:rPr>
            </w:pPr>
          </w:p>
        </w:tc>
        <w:tc>
          <w:tcPr>
            <w:tcW w:w="1135" w:type="dxa"/>
            <w:vAlign w:val="top"/>
          </w:tcPr>
          <w:p w14:paraId="65AD7077">
            <w:pPr>
              <w:jc w:val="center"/>
              <w:rPr>
                <w:rFonts w:hint="eastAsia" w:ascii="宋体" w:hAnsi="宋体"/>
                <w:color w:val="auto"/>
                <w:szCs w:val="21"/>
                <w:highlight w:val="none"/>
              </w:rPr>
            </w:pPr>
          </w:p>
        </w:tc>
        <w:tc>
          <w:tcPr>
            <w:tcW w:w="787" w:type="dxa"/>
            <w:vAlign w:val="top"/>
          </w:tcPr>
          <w:p w14:paraId="6CCFB041">
            <w:pPr>
              <w:jc w:val="center"/>
              <w:rPr>
                <w:rFonts w:hint="eastAsia" w:ascii="宋体" w:hAnsi="宋体"/>
                <w:color w:val="auto"/>
                <w:szCs w:val="21"/>
                <w:highlight w:val="none"/>
              </w:rPr>
            </w:pPr>
          </w:p>
        </w:tc>
        <w:tc>
          <w:tcPr>
            <w:tcW w:w="1292" w:type="dxa"/>
            <w:vAlign w:val="top"/>
          </w:tcPr>
          <w:p w14:paraId="76CD29C0">
            <w:pPr>
              <w:jc w:val="center"/>
              <w:rPr>
                <w:rFonts w:hint="eastAsia" w:ascii="宋体" w:hAnsi="宋体"/>
                <w:color w:val="auto"/>
                <w:szCs w:val="21"/>
                <w:highlight w:val="none"/>
              </w:rPr>
            </w:pPr>
          </w:p>
        </w:tc>
        <w:tc>
          <w:tcPr>
            <w:tcW w:w="785" w:type="dxa"/>
            <w:vAlign w:val="top"/>
          </w:tcPr>
          <w:p w14:paraId="4D0527BE">
            <w:pPr>
              <w:jc w:val="center"/>
              <w:rPr>
                <w:rFonts w:hint="eastAsia" w:ascii="宋体" w:hAnsi="宋体"/>
                <w:color w:val="auto"/>
                <w:szCs w:val="21"/>
                <w:highlight w:val="none"/>
              </w:rPr>
            </w:pPr>
          </w:p>
        </w:tc>
        <w:tc>
          <w:tcPr>
            <w:tcW w:w="1149" w:type="dxa"/>
            <w:vAlign w:val="top"/>
          </w:tcPr>
          <w:p w14:paraId="2804D9A8">
            <w:pPr>
              <w:jc w:val="center"/>
              <w:rPr>
                <w:rFonts w:hint="eastAsia" w:ascii="宋体" w:hAnsi="宋体"/>
                <w:color w:val="auto"/>
                <w:szCs w:val="21"/>
                <w:highlight w:val="none"/>
              </w:rPr>
            </w:pPr>
          </w:p>
        </w:tc>
        <w:tc>
          <w:tcPr>
            <w:tcW w:w="728" w:type="dxa"/>
            <w:vAlign w:val="top"/>
          </w:tcPr>
          <w:p w14:paraId="7CD2B4B4">
            <w:pPr>
              <w:jc w:val="center"/>
              <w:rPr>
                <w:rFonts w:hint="eastAsia" w:ascii="宋体" w:hAnsi="宋体"/>
                <w:color w:val="auto"/>
                <w:szCs w:val="21"/>
                <w:highlight w:val="none"/>
              </w:rPr>
            </w:pPr>
          </w:p>
        </w:tc>
      </w:tr>
      <w:tr w14:paraId="4156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441" w:type="dxa"/>
            <w:vAlign w:val="top"/>
          </w:tcPr>
          <w:p w14:paraId="3CBA6E6D">
            <w:pPr>
              <w:jc w:val="center"/>
              <w:rPr>
                <w:rFonts w:hint="eastAsia" w:ascii="宋体" w:hAnsi="宋体"/>
                <w:color w:val="auto"/>
                <w:szCs w:val="21"/>
                <w:highlight w:val="none"/>
              </w:rPr>
            </w:pPr>
          </w:p>
        </w:tc>
        <w:tc>
          <w:tcPr>
            <w:tcW w:w="1131" w:type="dxa"/>
            <w:vAlign w:val="top"/>
          </w:tcPr>
          <w:p w14:paraId="27C4CE60">
            <w:pPr>
              <w:jc w:val="center"/>
              <w:rPr>
                <w:rFonts w:hint="eastAsia" w:ascii="宋体" w:hAnsi="宋体"/>
                <w:color w:val="auto"/>
                <w:szCs w:val="21"/>
                <w:highlight w:val="none"/>
              </w:rPr>
            </w:pPr>
          </w:p>
        </w:tc>
        <w:tc>
          <w:tcPr>
            <w:tcW w:w="911" w:type="dxa"/>
            <w:vAlign w:val="top"/>
          </w:tcPr>
          <w:p w14:paraId="0A86EAC6">
            <w:pPr>
              <w:jc w:val="center"/>
              <w:rPr>
                <w:rFonts w:hint="eastAsia" w:ascii="宋体" w:hAnsi="宋体"/>
                <w:color w:val="auto"/>
                <w:szCs w:val="21"/>
                <w:highlight w:val="none"/>
              </w:rPr>
            </w:pPr>
          </w:p>
        </w:tc>
        <w:tc>
          <w:tcPr>
            <w:tcW w:w="1135" w:type="dxa"/>
            <w:vAlign w:val="top"/>
          </w:tcPr>
          <w:p w14:paraId="473A288E">
            <w:pPr>
              <w:jc w:val="center"/>
              <w:rPr>
                <w:rFonts w:hint="eastAsia" w:ascii="宋体" w:hAnsi="宋体"/>
                <w:color w:val="auto"/>
                <w:szCs w:val="21"/>
                <w:highlight w:val="none"/>
              </w:rPr>
            </w:pPr>
          </w:p>
        </w:tc>
        <w:tc>
          <w:tcPr>
            <w:tcW w:w="787" w:type="dxa"/>
            <w:vAlign w:val="top"/>
          </w:tcPr>
          <w:p w14:paraId="2E62CA5D">
            <w:pPr>
              <w:jc w:val="center"/>
              <w:rPr>
                <w:rFonts w:hint="eastAsia" w:ascii="宋体" w:hAnsi="宋体"/>
                <w:color w:val="auto"/>
                <w:szCs w:val="21"/>
                <w:highlight w:val="none"/>
              </w:rPr>
            </w:pPr>
          </w:p>
        </w:tc>
        <w:tc>
          <w:tcPr>
            <w:tcW w:w="1292" w:type="dxa"/>
            <w:vAlign w:val="top"/>
          </w:tcPr>
          <w:p w14:paraId="1E24617C">
            <w:pPr>
              <w:jc w:val="center"/>
              <w:rPr>
                <w:rFonts w:hint="eastAsia" w:ascii="宋体" w:hAnsi="宋体"/>
                <w:color w:val="auto"/>
                <w:szCs w:val="21"/>
                <w:highlight w:val="none"/>
              </w:rPr>
            </w:pPr>
          </w:p>
        </w:tc>
        <w:tc>
          <w:tcPr>
            <w:tcW w:w="785" w:type="dxa"/>
            <w:vAlign w:val="top"/>
          </w:tcPr>
          <w:p w14:paraId="234BC6C1">
            <w:pPr>
              <w:jc w:val="center"/>
              <w:rPr>
                <w:rFonts w:hint="eastAsia" w:ascii="宋体" w:hAnsi="宋体"/>
                <w:color w:val="auto"/>
                <w:szCs w:val="21"/>
                <w:highlight w:val="none"/>
              </w:rPr>
            </w:pPr>
          </w:p>
        </w:tc>
        <w:tc>
          <w:tcPr>
            <w:tcW w:w="1149" w:type="dxa"/>
            <w:vAlign w:val="top"/>
          </w:tcPr>
          <w:p w14:paraId="2B6A59AF">
            <w:pPr>
              <w:jc w:val="center"/>
              <w:rPr>
                <w:rFonts w:hint="eastAsia" w:ascii="宋体" w:hAnsi="宋体"/>
                <w:color w:val="auto"/>
                <w:szCs w:val="21"/>
                <w:highlight w:val="none"/>
              </w:rPr>
            </w:pPr>
          </w:p>
        </w:tc>
        <w:tc>
          <w:tcPr>
            <w:tcW w:w="728" w:type="dxa"/>
            <w:vAlign w:val="top"/>
          </w:tcPr>
          <w:p w14:paraId="752CF04C">
            <w:pPr>
              <w:jc w:val="center"/>
              <w:rPr>
                <w:rFonts w:hint="eastAsia" w:ascii="宋体" w:hAnsi="宋体"/>
                <w:color w:val="auto"/>
                <w:szCs w:val="21"/>
                <w:highlight w:val="none"/>
              </w:rPr>
            </w:pPr>
          </w:p>
        </w:tc>
      </w:tr>
    </w:tbl>
    <w:p w14:paraId="22E0D853">
      <w:pPr>
        <w:jc w:val="left"/>
        <w:rPr>
          <w:rFonts w:hint="eastAsia" w:ascii="宋体" w:hAnsi="宋体"/>
          <w:color w:val="auto"/>
          <w:sz w:val="24"/>
          <w:szCs w:val="21"/>
          <w:highlight w:val="none"/>
        </w:rPr>
      </w:pPr>
      <w:r>
        <w:rPr>
          <w:rFonts w:hint="eastAsia" w:ascii="宋体" w:hAnsi="宋体"/>
          <w:color w:val="auto"/>
          <w:sz w:val="24"/>
          <w:szCs w:val="21"/>
          <w:highlight w:val="none"/>
        </w:rPr>
        <w:t>注：本工程一旦我单位中标，将配备上述项目管理人员。上述填报内容真实，如不真实，将按照有关规定接受处理。</w:t>
      </w:r>
    </w:p>
    <w:p w14:paraId="053A299C">
      <w:pPr>
        <w:numPr>
          <w:ilvl w:val="0"/>
          <w:numId w:val="0"/>
        </w:numPr>
        <w:spacing w:line="460" w:lineRule="exact"/>
        <w:ind w:leftChars="-50" w:right="62" w:rightChars="0"/>
        <w:jc w:val="center"/>
        <w:rPr>
          <w:rFonts w:hint="eastAsia" w:ascii="宋体" w:hAnsi="宋体" w:eastAsia="宋体" w:cs="宋体"/>
          <w:b/>
          <w:color w:val="auto"/>
          <w:sz w:val="24"/>
          <w:highlight w:val="none"/>
          <w:lang w:val="en-US" w:eastAsia="zh-CN"/>
        </w:rPr>
      </w:pPr>
    </w:p>
    <w:p w14:paraId="3B942247">
      <w:pPr>
        <w:keepNext w:val="0"/>
        <w:keepLines w:val="0"/>
        <w:pageBreakBefore w:val="0"/>
        <w:widowControl w:val="0"/>
        <w:kinsoku/>
        <w:wordWrap/>
        <w:overflowPunct/>
        <w:topLinePunct w:val="0"/>
        <w:autoSpaceDE/>
        <w:autoSpaceDN/>
        <w:bidi w:val="0"/>
        <w:adjustRightInd/>
        <w:snapToGrid/>
        <w:spacing w:line="500" w:lineRule="exact"/>
        <w:ind w:firstLine="1920" w:firstLineChars="8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盖章</w:t>
      </w:r>
      <w:r>
        <w:rPr>
          <w:rFonts w:hint="eastAsia" w:ascii="宋体" w:hAnsi="宋体" w:eastAsia="宋体" w:cs="宋体"/>
          <w:color w:val="auto"/>
          <w:sz w:val="24"/>
          <w:highlight w:val="none"/>
        </w:rPr>
        <w:t xml:space="preserve">）   </w:t>
      </w:r>
    </w:p>
    <w:p w14:paraId="48166334">
      <w:pPr>
        <w:keepNext w:val="0"/>
        <w:keepLines w:val="0"/>
        <w:pageBreakBefore w:val="0"/>
        <w:widowControl w:val="0"/>
        <w:kinsoku/>
        <w:wordWrap/>
        <w:overflowPunct/>
        <w:topLinePunct w:val="0"/>
        <w:autoSpaceDE/>
        <w:autoSpaceDN/>
        <w:bidi w:val="0"/>
        <w:adjustRightInd/>
        <w:snapToGrid/>
        <w:spacing w:line="500" w:lineRule="exact"/>
        <w:ind w:firstLine="1920" w:firstLineChars="8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val="en-US" w:eastAsia="zh-CN"/>
        </w:rPr>
        <w:t>和</w:t>
      </w:r>
      <w:r>
        <w:rPr>
          <w:rFonts w:hint="eastAsia" w:ascii="宋体" w:hAnsi="宋体" w:eastAsia="宋体" w:cs="宋体"/>
          <w:color w:val="auto"/>
          <w:sz w:val="24"/>
          <w:highlight w:val="none"/>
        </w:rPr>
        <w:t>授权代表人：</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（签字盖章） </w:t>
      </w:r>
    </w:p>
    <w:p w14:paraId="690354D1">
      <w:pPr>
        <w:pageBreakBefore w:val="0"/>
        <w:kinsoku/>
        <w:wordWrap/>
        <w:overflowPunct/>
        <w:topLinePunct w:val="0"/>
        <w:bidi w:val="0"/>
        <w:spacing w:line="360" w:lineRule="auto"/>
        <w:ind w:firstLine="5520" w:firstLineChars="2300"/>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265EFFE1">
      <w:pPr>
        <w:rPr>
          <w:rStyle w:val="35"/>
          <w:rFonts w:hint="eastAsia" w:ascii="宋体" w:hAnsi="宋体" w:eastAsia="宋体" w:cs="宋体"/>
          <w:bCs w:val="0"/>
          <w:color w:val="auto"/>
          <w:kern w:val="2"/>
          <w:sz w:val="28"/>
          <w:szCs w:val="28"/>
          <w:highlight w:val="none"/>
          <w:lang w:val="en-US" w:eastAsia="zh-CN"/>
        </w:rPr>
      </w:pPr>
      <w:r>
        <w:rPr>
          <w:rStyle w:val="35"/>
          <w:rFonts w:hint="eastAsia" w:ascii="宋体" w:hAnsi="宋体" w:eastAsia="宋体" w:cs="宋体"/>
          <w:bCs w:val="0"/>
          <w:color w:val="auto"/>
          <w:kern w:val="2"/>
          <w:sz w:val="28"/>
          <w:szCs w:val="28"/>
          <w:highlight w:val="none"/>
          <w:lang w:val="en-US" w:eastAsia="zh-CN"/>
        </w:rPr>
        <w:br w:type="page"/>
      </w:r>
    </w:p>
    <w:p w14:paraId="580E97BE">
      <w:pPr>
        <w:numPr>
          <w:ilvl w:val="0"/>
          <w:numId w:val="0"/>
        </w:numPr>
        <w:topLinePunct/>
        <w:jc w:val="center"/>
        <w:outlineLvl w:val="1"/>
        <w:rPr>
          <w:rStyle w:val="35"/>
          <w:rFonts w:hint="eastAsia" w:ascii="宋体" w:hAnsi="宋体" w:eastAsia="宋体" w:cs="宋体"/>
          <w:bCs w:val="0"/>
          <w:color w:val="auto"/>
          <w:kern w:val="2"/>
          <w:sz w:val="28"/>
          <w:szCs w:val="28"/>
          <w:highlight w:val="none"/>
          <w:lang w:val="en-US" w:eastAsia="zh-CN"/>
        </w:rPr>
      </w:pPr>
      <w:bookmarkStart w:id="348" w:name="_Toc22176"/>
      <w:r>
        <w:rPr>
          <w:rStyle w:val="35"/>
          <w:rFonts w:hint="eastAsia" w:ascii="宋体" w:hAnsi="宋体" w:eastAsia="宋体" w:cs="宋体"/>
          <w:bCs w:val="0"/>
          <w:color w:val="auto"/>
          <w:kern w:val="2"/>
          <w:sz w:val="28"/>
          <w:szCs w:val="28"/>
          <w:highlight w:val="none"/>
          <w:lang w:val="en-US" w:eastAsia="zh-CN"/>
        </w:rPr>
        <w:t>1</w:t>
      </w:r>
      <w:r>
        <w:rPr>
          <w:rStyle w:val="35"/>
          <w:rFonts w:hint="eastAsia" w:ascii="宋体" w:hAnsi="宋体" w:cs="宋体"/>
          <w:bCs w:val="0"/>
          <w:color w:val="auto"/>
          <w:kern w:val="2"/>
          <w:sz w:val="28"/>
          <w:szCs w:val="28"/>
          <w:highlight w:val="none"/>
          <w:lang w:val="en-US" w:eastAsia="zh-CN"/>
        </w:rPr>
        <w:t>2</w:t>
      </w:r>
      <w:r>
        <w:rPr>
          <w:rStyle w:val="35"/>
          <w:rFonts w:hint="eastAsia" w:ascii="宋体" w:hAnsi="宋体" w:eastAsia="宋体" w:cs="宋体"/>
          <w:bCs w:val="0"/>
          <w:color w:val="auto"/>
          <w:kern w:val="2"/>
          <w:sz w:val="28"/>
          <w:szCs w:val="28"/>
          <w:highlight w:val="none"/>
          <w:lang w:val="en-US" w:eastAsia="zh-CN"/>
        </w:rPr>
        <w:t>、项目负责人简历表</w:t>
      </w:r>
      <w:bookmarkEnd w:id="348"/>
    </w:p>
    <w:p w14:paraId="74A735D2">
      <w:pPr>
        <w:ind w:firstLine="480" w:firstLineChars="200"/>
        <w:rPr>
          <w:rFonts w:hint="eastAsia" w:ascii="宋体" w:hAnsi="宋体" w:eastAsia="宋体" w:cs="宋体"/>
          <w:b w:val="0"/>
          <w:bCs w:val="0"/>
          <w:color w:val="auto"/>
          <w:sz w:val="24"/>
          <w:szCs w:val="21"/>
          <w:highlight w:val="none"/>
        </w:rPr>
      </w:pPr>
    </w:p>
    <w:p w14:paraId="6A281370">
      <w:pPr>
        <w:ind w:firstLine="480" w:firstLineChars="200"/>
        <w:rPr>
          <w:rFonts w:hint="eastAsia" w:ascii="宋体" w:hAnsi="宋体" w:eastAsia="宋体" w:cs="宋体"/>
          <w:b w:val="0"/>
          <w:bCs w:val="0"/>
          <w:color w:val="auto"/>
          <w:sz w:val="24"/>
          <w:szCs w:val="21"/>
          <w:highlight w:val="none"/>
        </w:rPr>
      </w:pPr>
      <w:r>
        <w:rPr>
          <w:rFonts w:hint="eastAsia" w:ascii="宋体" w:hAnsi="宋体" w:eastAsia="宋体" w:cs="宋体"/>
          <w:b w:val="0"/>
          <w:bCs w:val="0"/>
          <w:color w:val="auto"/>
          <w:sz w:val="24"/>
          <w:szCs w:val="21"/>
          <w:highlight w:val="none"/>
        </w:rPr>
        <w:t>项目负责人应附</w:t>
      </w:r>
      <w:r>
        <w:rPr>
          <w:rFonts w:hint="eastAsia" w:ascii="宋体" w:hAnsi="宋体" w:eastAsia="宋体" w:cs="宋体"/>
          <w:b w:val="0"/>
          <w:bCs w:val="0"/>
          <w:color w:val="auto"/>
          <w:sz w:val="24"/>
          <w:szCs w:val="21"/>
          <w:highlight w:val="none"/>
          <w:lang w:val="en-US" w:eastAsia="zh-CN"/>
        </w:rPr>
        <w:t>建造师执业资格证书</w:t>
      </w:r>
      <w:r>
        <w:rPr>
          <w:rFonts w:hint="eastAsia" w:ascii="宋体" w:hAnsi="宋体" w:eastAsia="宋体" w:cs="宋体"/>
          <w:b w:val="0"/>
          <w:bCs w:val="0"/>
          <w:color w:val="auto"/>
          <w:sz w:val="24"/>
          <w:szCs w:val="21"/>
          <w:highlight w:val="none"/>
        </w:rPr>
        <w:t>、</w:t>
      </w:r>
      <w:r>
        <w:rPr>
          <w:rFonts w:hint="eastAsia" w:ascii="宋体" w:hAnsi="宋体" w:eastAsia="宋体" w:cs="宋体"/>
          <w:b w:val="0"/>
          <w:bCs w:val="0"/>
          <w:color w:val="auto"/>
          <w:sz w:val="24"/>
          <w:szCs w:val="21"/>
          <w:highlight w:val="none"/>
          <w:lang w:val="en-US" w:eastAsia="zh-CN"/>
        </w:rPr>
        <w:t>安全生产考核B类合格证书</w:t>
      </w:r>
      <w:r>
        <w:rPr>
          <w:rFonts w:hint="eastAsia" w:ascii="宋体" w:hAnsi="宋体" w:eastAsia="宋体" w:cs="宋体"/>
          <w:b w:val="0"/>
          <w:bCs w:val="0"/>
          <w:color w:val="auto"/>
          <w:sz w:val="24"/>
          <w:szCs w:val="21"/>
          <w:highlight w:val="none"/>
        </w:rPr>
        <w:t>、身份证、</w:t>
      </w:r>
      <w:r>
        <w:rPr>
          <w:rFonts w:hint="eastAsia" w:ascii="宋体" w:hAnsi="宋体" w:cs="宋体"/>
          <w:b w:val="0"/>
          <w:bCs w:val="0"/>
          <w:color w:val="auto"/>
          <w:sz w:val="24"/>
          <w:szCs w:val="21"/>
          <w:highlight w:val="none"/>
          <w:lang w:eastAsia="zh-CN"/>
        </w:rPr>
        <w:t>近</w:t>
      </w:r>
      <w:r>
        <w:rPr>
          <w:rFonts w:hint="eastAsia" w:ascii="宋体" w:hAnsi="宋体" w:cs="宋体"/>
          <w:b w:val="0"/>
          <w:bCs w:val="0"/>
          <w:color w:val="auto"/>
          <w:sz w:val="24"/>
          <w:szCs w:val="21"/>
          <w:highlight w:val="none"/>
          <w:lang w:val="en-US" w:eastAsia="zh-CN"/>
        </w:rPr>
        <w:t>3个月</w:t>
      </w:r>
      <w:r>
        <w:rPr>
          <w:rFonts w:hint="eastAsia" w:ascii="宋体" w:hAnsi="宋体" w:eastAsia="宋体" w:cs="宋体"/>
          <w:b w:val="0"/>
          <w:bCs w:val="0"/>
          <w:color w:val="auto"/>
          <w:sz w:val="24"/>
          <w:szCs w:val="21"/>
          <w:highlight w:val="none"/>
        </w:rPr>
        <w:t>养老保险复印件</w:t>
      </w:r>
      <w:r>
        <w:rPr>
          <w:rFonts w:hint="eastAsia" w:ascii="宋体" w:hAnsi="宋体" w:cs="宋体"/>
          <w:b w:val="0"/>
          <w:bCs w:val="0"/>
          <w:color w:val="auto"/>
          <w:sz w:val="24"/>
          <w:szCs w:val="21"/>
          <w:highlight w:val="none"/>
          <w:lang w:eastAsia="zh-CN"/>
        </w:rPr>
        <w:t>、</w:t>
      </w:r>
      <w:r>
        <w:rPr>
          <w:rFonts w:hint="eastAsia" w:ascii="宋体" w:hAnsi="宋体" w:eastAsia="宋体" w:cs="宋体"/>
          <w:b w:val="0"/>
          <w:bCs w:val="0"/>
          <w:color w:val="auto"/>
          <w:sz w:val="24"/>
          <w:szCs w:val="21"/>
          <w:highlight w:val="none"/>
        </w:rPr>
        <w:t>未担任其他在施建设工程项目项目负责人的承诺书</w:t>
      </w:r>
      <w:r>
        <w:rPr>
          <w:rFonts w:hint="eastAsia" w:ascii="宋体" w:hAnsi="宋体" w:cs="宋体"/>
          <w:b w:val="0"/>
          <w:bCs w:val="0"/>
          <w:color w:val="auto"/>
          <w:sz w:val="24"/>
          <w:szCs w:val="21"/>
          <w:highlight w:val="none"/>
          <w:lang w:eastAsia="zh-CN"/>
        </w:rPr>
        <w:t>及</w:t>
      </w:r>
      <w:r>
        <w:rPr>
          <w:rFonts w:hint="eastAsia" w:ascii="宋体" w:hAnsi="宋体" w:eastAsia="宋体" w:cs="宋体"/>
          <w:b w:val="0"/>
          <w:bCs w:val="0"/>
          <w:color w:val="auto"/>
          <w:sz w:val="24"/>
          <w:szCs w:val="21"/>
          <w:highlight w:val="none"/>
        </w:rPr>
        <w:t>管理过的类似项目业绩</w:t>
      </w:r>
      <w:r>
        <w:rPr>
          <w:rFonts w:hint="eastAsia" w:ascii="宋体" w:hAnsi="宋体" w:cs="宋体"/>
          <w:b w:val="0"/>
          <w:bCs w:val="0"/>
          <w:color w:val="auto"/>
          <w:sz w:val="24"/>
          <w:szCs w:val="21"/>
          <w:highlight w:val="none"/>
          <w:lang w:eastAsia="zh-CN"/>
        </w:rPr>
        <w:t>（</w:t>
      </w:r>
      <w:r>
        <w:rPr>
          <w:rFonts w:hint="eastAsia" w:ascii="宋体" w:hAnsi="宋体" w:eastAsia="宋体" w:cs="宋体"/>
          <w:b w:val="0"/>
          <w:bCs w:val="0"/>
          <w:color w:val="auto"/>
          <w:sz w:val="24"/>
          <w:szCs w:val="21"/>
          <w:highlight w:val="none"/>
        </w:rPr>
        <w:t>类似项目业绩</w:t>
      </w:r>
      <w:r>
        <w:rPr>
          <w:rFonts w:hint="eastAsia" w:ascii="宋体" w:hAnsi="宋体" w:eastAsia="宋体" w:cs="宋体"/>
          <w:b w:val="0"/>
          <w:bCs w:val="0"/>
          <w:color w:val="auto"/>
          <w:sz w:val="24"/>
          <w:szCs w:val="21"/>
          <w:highlight w:val="none"/>
          <w:lang w:eastAsia="zh-CN"/>
        </w:rPr>
        <w:t>仅</w:t>
      </w:r>
      <w:r>
        <w:rPr>
          <w:rFonts w:hint="eastAsia" w:ascii="宋体" w:hAnsi="宋体" w:eastAsia="宋体" w:cs="宋体"/>
          <w:b w:val="0"/>
          <w:bCs w:val="0"/>
          <w:color w:val="auto"/>
          <w:sz w:val="24"/>
          <w:szCs w:val="21"/>
          <w:highlight w:val="none"/>
        </w:rPr>
        <w:t>限</w:t>
      </w:r>
      <w:r>
        <w:rPr>
          <w:rFonts w:hint="eastAsia" w:asciiTheme="minorEastAsia" w:hAnsiTheme="minorEastAsia" w:eastAsiaTheme="minorEastAsia" w:cstheme="minorEastAsia"/>
          <w:color w:val="auto"/>
          <w:kern w:val="2"/>
          <w:sz w:val="24"/>
          <w:szCs w:val="24"/>
          <w:highlight w:val="none"/>
          <w:shd w:val="clear" w:color="auto" w:fill="FFFFFF"/>
          <w:lang w:val="en-US" w:eastAsia="zh-CN"/>
        </w:rPr>
        <w:t>2022年1月至今的</w:t>
      </w:r>
      <w:r>
        <w:rPr>
          <w:rFonts w:hint="eastAsia" w:ascii="宋体" w:hAnsi="宋体" w:eastAsia="宋体" w:cs="宋体"/>
          <w:b w:val="0"/>
          <w:bCs w:val="0"/>
          <w:color w:val="auto"/>
          <w:sz w:val="24"/>
          <w:szCs w:val="21"/>
          <w:highlight w:val="none"/>
        </w:rPr>
        <w:t>以项目负责人身份参与的项</w:t>
      </w:r>
      <w:r>
        <w:rPr>
          <w:rFonts w:hint="eastAsia" w:ascii="宋体" w:hAnsi="宋体" w:eastAsia="宋体" w:cs="宋体"/>
          <w:b w:val="0"/>
          <w:bCs w:val="0"/>
          <w:color w:val="auto"/>
          <w:sz w:val="24"/>
          <w:szCs w:val="21"/>
          <w:highlight w:val="none"/>
          <w:lang w:eastAsia="zh-CN"/>
        </w:rPr>
        <w:t>目，业绩</w:t>
      </w:r>
      <w:r>
        <w:rPr>
          <w:rFonts w:hint="eastAsia" w:ascii="宋体" w:hAnsi="宋体" w:eastAsia="宋体" w:cs="宋体"/>
          <w:b w:val="0"/>
          <w:bCs w:val="0"/>
          <w:color w:val="auto"/>
          <w:sz w:val="24"/>
          <w:szCs w:val="21"/>
          <w:highlight w:val="none"/>
        </w:rPr>
        <w:t>须附</w:t>
      </w:r>
      <w:r>
        <w:rPr>
          <w:rFonts w:hint="eastAsia" w:asciiTheme="minorEastAsia" w:hAnsiTheme="minorEastAsia" w:eastAsiaTheme="minorEastAsia" w:cstheme="minorEastAsia"/>
          <w:color w:val="auto"/>
          <w:kern w:val="2"/>
          <w:sz w:val="24"/>
          <w:szCs w:val="24"/>
          <w:highlight w:val="none"/>
          <w:shd w:val="clear" w:color="auto" w:fill="FFFFFF"/>
          <w:lang w:val="en-US" w:eastAsia="zh-CN"/>
        </w:rPr>
        <w:t>中标通知书、合同协议书、竣工验收报告或合同工程完工证明）</w:t>
      </w:r>
      <w:r>
        <w:rPr>
          <w:rFonts w:hint="eastAsia" w:ascii="宋体" w:hAnsi="宋体" w:eastAsia="宋体" w:cs="宋体"/>
          <w:b w:val="0"/>
          <w:bCs w:val="0"/>
          <w:color w:val="auto"/>
          <w:sz w:val="24"/>
          <w:szCs w:val="21"/>
          <w:highlight w:val="none"/>
        </w:rPr>
        <w:t>复印件</w:t>
      </w:r>
      <w:r>
        <w:rPr>
          <w:rFonts w:hint="eastAsia" w:ascii="宋体" w:hAnsi="宋体" w:cs="宋体"/>
          <w:b w:val="0"/>
          <w:bCs w:val="0"/>
          <w:color w:val="auto"/>
          <w:sz w:val="24"/>
          <w:szCs w:val="21"/>
          <w:highlight w:val="none"/>
          <w:lang w:eastAsia="zh-CN"/>
        </w:rPr>
        <w:t>）</w:t>
      </w:r>
      <w:r>
        <w:rPr>
          <w:rFonts w:hint="eastAsia" w:ascii="宋体" w:hAnsi="宋体" w:eastAsia="宋体" w:cs="宋体"/>
          <w:b w:val="0"/>
          <w:bCs w:val="0"/>
          <w:color w:val="auto"/>
          <w:sz w:val="24"/>
          <w:szCs w:val="21"/>
          <w:highlight w:val="none"/>
        </w:rPr>
        <w:t>。</w:t>
      </w:r>
    </w:p>
    <w:tbl>
      <w:tblPr>
        <w:tblStyle w:val="25"/>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507"/>
        <w:gridCol w:w="1035"/>
        <w:gridCol w:w="627"/>
        <w:gridCol w:w="507"/>
        <w:gridCol w:w="768"/>
        <w:gridCol w:w="507"/>
        <w:gridCol w:w="1336"/>
        <w:gridCol w:w="507"/>
        <w:gridCol w:w="2126"/>
      </w:tblGrid>
      <w:tr w14:paraId="7963E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9" w:type="dxa"/>
            <w:gridSpan w:val="2"/>
            <w:vAlign w:val="center"/>
          </w:tcPr>
          <w:p w14:paraId="4D21F2B6">
            <w:pPr>
              <w:ind w:firstLine="240" w:firstLineChars="100"/>
              <w:rPr>
                <w:rFonts w:hint="eastAsia" w:ascii="宋体" w:hAnsi="宋体"/>
                <w:color w:val="auto"/>
                <w:szCs w:val="21"/>
                <w:highlight w:val="none"/>
              </w:rPr>
            </w:pPr>
            <w:r>
              <w:rPr>
                <w:rFonts w:hint="eastAsia" w:ascii="宋体" w:hAnsi="宋体"/>
                <w:color w:val="auto"/>
                <w:szCs w:val="21"/>
                <w:highlight w:val="none"/>
              </w:rPr>
              <w:t>姓  名</w:t>
            </w:r>
          </w:p>
        </w:tc>
        <w:tc>
          <w:tcPr>
            <w:tcW w:w="1035" w:type="dxa"/>
            <w:vAlign w:val="center"/>
          </w:tcPr>
          <w:p w14:paraId="34B5FAF3">
            <w:pPr>
              <w:jc w:val="center"/>
              <w:rPr>
                <w:rFonts w:hint="eastAsia" w:ascii="宋体" w:hAnsi="宋体"/>
                <w:color w:val="auto"/>
                <w:szCs w:val="21"/>
                <w:highlight w:val="none"/>
              </w:rPr>
            </w:pPr>
          </w:p>
        </w:tc>
        <w:tc>
          <w:tcPr>
            <w:tcW w:w="1134" w:type="dxa"/>
            <w:gridSpan w:val="2"/>
            <w:vAlign w:val="center"/>
          </w:tcPr>
          <w:p w14:paraId="3845C61F">
            <w:pPr>
              <w:jc w:val="center"/>
              <w:rPr>
                <w:rFonts w:hint="eastAsia" w:ascii="宋体" w:hAnsi="宋体"/>
                <w:color w:val="auto"/>
                <w:szCs w:val="21"/>
                <w:highlight w:val="none"/>
              </w:rPr>
            </w:pPr>
            <w:r>
              <w:rPr>
                <w:rFonts w:hint="eastAsia" w:ascii="宋体" w:hAnsi="宋体"/>
                <w:color w:val="auto"/>
                <w:szCs w:val="21"/>
                <w:highlight w:val="none"/>
              </w:rPr>
              <w:t>年  龄</w:t>
            </w:r>
          </w:p>
        </w:tc>
        <w:tc>
          <w:tcPr>
            <w:tcW w:w="1275" w:type="dxa"/>
            <w:gridSpan w:val="2"/>
            <w:vAlign w:val="center"/>
          </w:tcPr>
          <w:p w14:paraId="4C4D642C">
            <w:pPr>
              <w:jc w:val="center"/>
              <w:rPr>
                <w:rFonts w:hint="eastAsia" w:ascii="宋体" w:hAnsi="宋体"/>
                <w:color w:val="auto"/>
                <w:szCs w:val="21"/>
                <w:highlight w:val="none"/>
              </w:rPr>
            </w:pPr>
          </w:p>
        </w:tc>
        <w:tc>
          <w:tcPr>
            <w:tcW w:w="1843" w:type="dxa"/>
            <w:gridSpan w:val="2"/>
            <w:vAlign w:val="center"/>
          </w:tcPr>
          <w:p w14:paraId="4C309EE5">
            <w:pPr>
              <w:jc w:val="center"/>
              <w:rPr>
                <w:rFonts w:hint="eastAsia" w:ascii="宋体" w:hAnsi="宋体"/>
                <w:color w:val="auto"/>
                <w:szCs w:val="21"/>
                <w:highlight w:val="none"/>
              </w:rPr>
            </w:pPr>
            <w:r>
              <w:rPr>
                <w:rFonts w:hint="eastAsia" w:ascii="宋体" w:hAnsi="宋体"/>
                <w:color w:val="auto"/>
                <w:szCs w:val="21"/>
                <w:highlight w:val="none"/>
              </w:rPr>
              <w:t>学历</w:t>
            </w:r>
          </w:p>
        </w:tc>
        <w:tc>
          <w:tcPr>
            <w:tcW w:w="2126" w:type="dxa"/>
            <w:vAlign w:val="center"/>
          </w:tcPr>
          <w:p w14:paraId="0E5D0D50">
            <w:pPr>
              <w:jc w:val="center"/>
              <w:rPr>
                <w:rFonts w:hint="eastAsia" w:ascii="宋体" w:hAnsi="宋体"/>
                <w:color w:val="auto"/>
                <w:szCs w:val="21"/>
                <w:highlight w:val="none"/>
              </w:rPr>
            </w:pPr>
          </w:p>
        </w:tc>
      </w:tr>
      <w:tr w14:paraId="64EB4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9" w:type="dxa"/>
            <w:gridSpan w:val="2"/>
            <w:vAlign w:val="center"/>
          </w:tcPr>
          <w:p w14:paraId="33614158">
            <w:pPr>
              <w:jc w:val="center"/>
              <w:rPr>
                <w:rFonts w:hint="eastAsia" w:ascii="宋体" w:hAnsi="宋体"/>
                <w:color w:val="auto"/>
                <w:szCs w:val="21"/>
                <w:highlight w:val="none"/>
              </w:rPr>
            </w:pPr>
            <w:r>
              <w:rPr>
                <w:rFonts w:hint="eastAsia" w:ascii="宋体" w:hAnsi="宋体"/>
                <w:color w:val="auto"/>
                <w:szCs w:val="21"/>
                <w:highlight w:val="none"/>
              </w:rPr>
              <w:t>职  称</w:t>
            </w:r>
          </w:p>
        </w:tc>
        <w:tc>
          <w:tcPr>
            <w:tcW w:w="1035" w:type="dxa"/>
            <w:vAlign w:val="center"/>
          </w:tcPr>
          <w:p w14:paraId="296E8F9E">
            <w:pPr>
              <w:jc w:val="center"/>
              <w:rPr>
                <w:rFonts w:hint="eastAsia" w:ascii="宋体" w:hAnsi="宋体"/>
                <w:color w:val="auto"/>
                <w:szCs w:val="21"/>
                <w:highlight w:val="none"/>
              </w:rPr>
            </w:pPr>
          </w:p>
        </w:tc>
        <w:tc>
          <w:tcPr>
            <w:tcW w:w="1134" w:type="dxa"/>
            <w:gridSpan w:val="2"/>
            <w:vAlign w:val="center"/>
          </w:tcPr>
          <w:p w14:paraId="3111B55F">
            <w:pPr>
              <w:jc w:val="center"/>
              <w:rPr>
                <w:rFonts w:hint="eastAsia" w:ascii="宋体" w:hAnsi="宋体"/>
                <w:color w:val="auto"/>
                <w:szCs w:val="21"/>
                <w:highlight w:val="none"/>
              </w:rPr>
            </w:pPr>
            <w:r>
              <w:rPr>
                <w:rFonts w:hint="eastAsia" w:ascii="宋体" w:hAnsi="宋体"/>
                <w:color w:val="auto"/>
                <w:szCs w:val="21"/>
                <w:highlight w:val="none"/>
              </w:rPr>
              <w:t>职  务</w:t>
            </w:r>
          </w:p>
        </w:tc>
        <w:tc>
          <w:tcPr>
            <w:tcW w:w="1275" w:type="dxa"/>
            <w:gridSpan w:val="2"/>
            <w:vAlign w:val="center"/>
          </w:tcPr>
          <w:p w14:paraId="09531985">
            <w:pPr>
              <w:jc w:val="center"/>
              <w:rPr>
                <w:rFonts w:hint="eastAsia" w:ascii="宋体" w:hAnsi="宋体"/>
                <w:color w:val="auto"/>
                <w:szCs w:val="21"/>
                <w:highlight w:val="none"/>
              </w:rPr>
            </w:pPr>
          </w:p>
        </w:tc>
        <w:tc>
          <w:tcPr>
            <w:tcW w:w="1843" w:type="dxa"/>
            <w:gridSpan w:val="2"/>
            <w:vAlign w:val="center"/>
          </w:tcPr>
          <w:p w14:paraId="100D8097">
            <w:pPr>
              <w:jc w:val="center"/>
              <w:rPr>
                <w:rFonts w:hint="eastAsia" w:ascii="宋体" w:hAnsi="宋体"/>
                <w:color w:val="auto"/>
                <w:szCs w:val="21"/>
                <w:highlight w:val="none"/>
              </w:rPr>
            </w:pPr>
            <w:r>
              <w:rPr>
                <w:rFonts w:hint="eastAsia" w:ascii="宋体" w:hAnsi="宋体"/>
                <w:color w:val="auto"/>
                <w:szCs w:val="21"/>
                <w:highlight w:val="none"/>
              </w:rPr>
              <w:t>拟在本工程任职</w:t>
            </w:r>
          </w:p>
        </w:tc>
        <w:tc>
          <w:tcPr>
            <w:tcW w:w="2126" w:type="dxa"/>
            <w:vAlign w:val="center"/>
          </w:tcPr>
          <w:p w14:paraId="058FFED1">
            <w:pPr>
              <w:jc w:val="center"/>
              <w:rPr>
                <w:rFonts w:hint="eastAsia" w:ascii="宋体" w:hAnsi="宋体"/>
                <w:color w:val="auto"/>
                <w:szCs w:val="21"/>
                <w:highlight w:val="none"/>
              </w:rPr>
            </w:pPr>
            <w:r>
              <w:rPr>
                <w:rFonts w:hint="eastAsia" w:ascii="宋体" w:hAnsi="宋体"/>
                <w:color w:val="auto"/>
                <w:szCs w:val="21"/>
                <w:highlight w:val="none"/>
              </w:rPr>
              <w:t>项目负责人</w:t>
            </w:r>
          </w:p>
        </w:tc>
      </w:tr>
      <w:tr w14:paraId="2211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4"/>
            <w:vAlign w:val="center"/>
          </w:tcPr>
          <w:p w14:paraId="5A952792">
            <w:pPr>
              <w:jc w:val="center"/>
              <w:rPr>
                <w:rFonts w:hint="eastAsia" w:ascii="宋体" w:hAnsi="宋体"/>
                <w:color w:val="auto"/>
                <w:szCs w:val="21"/>
                <w:highlight w:val="none"/>
              </w:rPr>
            </w:pPr>
            <w:r>
              <w:rPr>
                <w:rFonts w:hint="eastAsia" w:ascii="宋体" w:hAnsi="宋体"/>
                <w:color w:val="auto"/>
                <w:szCs w:val="21"/>
                <w:highlight w:val="none"/>
              </w:rPr>
              <w:t>注册建造师执业资格等级</w:t>
            </w:r>
          </w:p>
        </w:tc>
        <w:tc>
          <w:tcPr>
            <w:tcW w:w="1275" w:type="dxa"/>
            <w:gridSpan w:val="2"/>
            <w:vAlign w:val="center"/>
          </w:tcPr>
          <w:p w14:paraId="531616A9">
            <w:pPr>
              <w:jc w:val="center"/>
              <w:rPr>
                <w:rFonts w:hint="eastAsia" w:ascii="宋体" w:hAnsi="宋体"/>
                <w:color w:val="auto"/>
                <w:szCs w:val="21"/>
                <w:highlight w:val="none"/>
              </w:rPr>
            </w:pPr>
            <w:r>
              <w:rPr>
                <w:rFonts w:hint="eastAsia" w:ascii="宋体" w:hAnsi="宋体"/>
                <w:color w:val="auto"/>
                <w:szCs w:val="21"/>
                <w:highlight w:val="none"/>
              </w:rPr>
              <w:t>级</w:t>
            </w:r>
          </w:p>
        </w:tc>
        <w:tc>
          <w:tcPr>
            <w:tcW w:w="1843" w:type="dxa"/>
            <w:gridSpan w:val="2"/>
            <w:vAlign w:val="center"/>
          </w:tcPr>
          <w:p w14:paraId="7843807A">
            <w:pPr>
              <w:jc w:val="center"/>
              <w:rPr>
                <w:rFonts w:hint="eastAsia" w:ascii="宋体" w:hAnsi="宋体"/>
                <w:color w:val="auto"/>
                <w:szCs w:val="21"/>
                <w:highlight w:val="none"/>
              </w:rPr>
            </w:pPr>
            <w:r>
              <w:rPr>
                <w:rFonts w:hint="eastAsia" w:ascii="宋体" w:hAnsi="宋体"/>
                <w:color w:val="auto"/>
                <w:szCs w:val="21"/>
                <w:highlight w:val="none"/>
              </w:rPr>
              <w:t>建造师专业</w:t>
            </w:r>
          </w:p>
        </w:tc>
        <w:tc>
          <w:tcPr>
            <w:tcW w:w="2633" w:type="dxa"/>
            <w:gridSpan w:val="2"/>
            <w:vAlign w:val="center"/>
          </w:tcPr>
          <w:p w14:paraId="3528C158">
            <w:pPr>
              <w:jc w:val="center"/>
              <w:rPr>
                <w:rFonts w:hint="eastAsia" w:ascii="宋体" w:hAnsi="宋体"/>
                <w:color w:val="auto"/>
                <w:szCs w:val="21"/>
                <w:highlight w:val="none"/>
              </w:rPr>
            </w:pPr>
          </w:p>
        </w:tc>
      </w:tr>
      <w:tr w14:paraId="2EF9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4"/>
            <w:vAlign w:val="center"/>
          </w:tcPr>
          <w:p w14:paraId="1DB092F9">
            <w:pPr>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安全生产考核合格证书</w:t>
            </w:r>
          </w:p>
        </w:tc>
        <w:tc>
          <w:tcPr>
            <w:tcW w:w="5751" w:type="dxa"/>
            <w:gridSpan w:val="6"/>
            <w:vAlign w:val="center"/>
          </w:tcPr>
          <w:p w14:paraId="10F5D88B">
            <w:pPr>
              <w:jc w:val="center"/>
              <w:rPr>
                <w:rFonts w:hint="eastAsia" w:ascii="宋体" w:hAnsi="宋体"/>
                <w:color w:val="auto"/>
                <w:szCs w:val="21"/>
                <w:highlight w:val="none"/>
              </w:rPr>
            </w:pPr>
          </w:p>
        </w:tc>
      </w:tr>
      <w:tr w14:paraId="742AA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0E55377A">
            <w:pPr>
              <w:jc w:val="center"/>
              <w:rPr>
                <w:rFonts w:hint="eastAsia" w:ascii="宋体" w:hAnsi="宋体"/>
                <w:color w:val="auto"/>
                <w:szCs w:val="21"/>
                <w:highlight w:val="none"/>
              </w:rPr>
            </w:pPr>
            <w:r>
              <w:rPr>
                <w:rFonts w:hint="eastAsia" w:ascii="宋体" w:hAnsi="宋体"/>
                <w:color w:val="auto"/>
                <w:szCs w:val="21"/>
                <w:highlight w:val="none"/>
              </w:rPr>
              <w:t>毕业学校</w:t>
            </w:r>
          </w:p>
        </w:tc>
        <w:tc>
          <w:tcPr>
            <w:tcW w:w="7920" w:type="dxa"/>
            <w:gridSpan w:val="9"/>
            <w:vAlign w:val="center"/>
          </w:tcPr>
          <w:p w14:paraId="6839BAC1">
            <w:pPr>
              <w:jc w:val="center"/>
              <w:rPr>
                <w:rFonts w:hint="eastAsia" w:ascii="宋体" w:hAnsi="宋体"/>
                <w:color w:val="auto"/>
                <w:szCs w:val="21"/>
                <w:highlight w:val="none"/>
              </w:rPr>
            </w:pPr>
            <w:r>
              <w:rPr>
                <w:rFonts w:hint="eastAsia" w:ascii="宋体" w:hAnsi="宋体"/>
                <w:color w:val="auto"/>
                <w:szCs w:val="21"/>
                <w:highlight w:val="none"/>
              </w:rPr>
              <w:t>年毕业于                  学校            专业</w:t>
            </w:r>
          </w:p>
        </w:tc>
      </w:tr>
      <w:tr w14:paraId="4D64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12" w:type="dxa"/>
            <w:gridSpan w:val="10"/>
            <w:vAlign w:val="center"/>
          </w:tcPr>
          <w:p w14:paraId="74509E8A">
            <w:pPr>
              <w:jc w:val="center"/>
              <w:rPr>
                <w:rFonts w:hint="eastAsia" w:ascii="宋体" w:hAnsi="宋体"/>
                <w:color w:val="auto"/>
                <w:szCs w:val="21"/>
                <w:highlight w:val="none"/>
              </w:rPr>
            </w:pPr>
            <w:r>
              <w:rPr>
                <w:rFonts w:hint="eastAsia" w:ascii="宋体" w:hAnsi="宋体"/>
                <w:color w:val="auto"/>
                <w:szCs w:val="21"/>
                <w:highlight w:val="none"/>
              </w:rPr>
              <w:t>主要工作经历</w:t>
            </w:r>
          </w:p>
        </w:tc>
      </w:tr>
      <w:tr w14:paraId="50487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7FA7314F">
            <w:pPr>
              <w:jc w:val="center"/>
              <w:rPr>
                <w:rFonts w:hint="eastAsia" w:ascii="宋体" w:hAnsi="宋体"/>
                <w:color w:val="auto"/>
                <w:szCs w:val="21"/>
                <w:highlight w:val="none"/>
              </w:rPr>
            </w:pPr>
            <w:r>
              <w:rPr>
                <w:rFonts w:hint="eastAsia" w:ascii="宋体" w:hAnsi="宋体"/>
                <w:color w:val="auto"/>
                <w:szCs w:val="21"/>
                <w:highlight w:val="none"/>
              </w:rPr>
              <w:t>时  间</w:t>
            </w:r>
          </w:p>
        </w:tc>
        <w:tc>
          <w:tcPr>
            <w:tcW w:w="3444" w:type="dxa"/>
            <w:gridSpan w:val="5"/>
            <w:vAlign w:val="center"/>
          </w:tcPr>
          <w:p w14:paraId="7271F9AC">
            <w:pPr>
              <w:jc w:val="center"/>
              <w:rPr>
                <w:rFonts w:hint="eastAsia" w:ascii="宋体" w:hAnsi="宋体"/>
                <w:color w:val="auto"/>
                <w:szCs w:val="21"/>
                <w:highlight w:val="none"/>
              </w:rPr>
            </w:pPr>
            <w:r>
              <w:rPr>
                <w:rFonts w:hint="eastAsia" w:ascii="宋体" w:hAnsi="宋体"/>
                <w:color w:val="auto"/>
                <w:szCs w:val="21"/>
                <w:highlight w:val="none"/>
              </w:rPr>
              <w:t>参加过的类似项目名称</w:t>
            </w:r>
          </w:p>
        </w:tc>
        <w:tc>
          <w:tcPr>
            <w:tcW w:w="1843" w:type="dxa"/>
            <w:gridSpan w:val="2"/>
            <w:vAlign w:val="center"/>
          </w:tcPr>
          <w:p w14:paraId="00BE9FAF">
            <w:pPr>
              <w:jc w:val="center"/>
              <w:rPr>
                <w:rFonts w:hint="eastAsia" w:ascii="宋体" w:hAnsi="宋体"/>
                <w:color w:val="auto"/>
                <w:szCs w:val="21"/>
                <w:highlight w:val="none"/>
              </w:rPr>
            </w:pPr>
            <w:r>
              <w:rPr>
                <w:rFonts w:hint="eastAsia" w:ascii="宋体" w:hAnsi="宋体"/>
                <w:color w:val="auto"/>
                <w:szCs w:val="21"/>
                <w:highlight w:val="none"/>
              </w:rPr>
              <w:t>工程概况说明</w:t>
            </w:r>
          </w:p>
        </w:tc>
        <w:tc>
          <w:tcPr>
            <w:tcW w:w="2633" w:type="dxa"/>
            <w:gridSpan w:val="2"/>
            <w:vAlign w:val="center"/>
          </w:tcPr>
          <w:p w14:paraId="045C3CB1">
            <w:pPr>
              <w:jc w:val="center"/>
              <w:rPr>
                <w:rFonts w:hint="eastAsia" w:ascii="宋体" w:hAnsi="宋体"/>
                <w:color w:val="auto"/>
                <w:szCs w:val="21"/>
                <w:highlight w:val="none"/>
              </w:rPr>
            </w:pPr>
            <w:r>
              <w:rPr>
                <w:rFonts w:hint="eastAsia" w:ascii="宋体" w:hAnsi="宋体"/>
                <w:color w:val="auto"/>
                <w:szCs w:val="21"/>
                <w:highlight w:val="none"/>
              </w:rPr>
              <w:t>发包人及联系电话</w:t>
            </w:r>
          </w:p>
        </w:tc>
      </w:tr>
      <w:tr w14:paraId="2A9E5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1C7BF35D">
            <w:pPr>
              <w:jc w:val="center"/>
              <w:rPr>
                <w:rFonts w:hint="eastAsia" w:ascii="宋体" w:hAnsi="宋体"/>
                <w:color w:val="auto"/>
                <w:szCs w:val="21"/>
                <w:highlight w:val="none"/>
              </w:rPr>
            </w:pPr>
          </w:p>
        </w:tc>
        <w:tc>
          <w:tcPr>
            <w:tcW w:w="3444" w:type="dxa"/>
            <w:gridSpan w:val="5"/>
            <w:vAlign w:val="center"/>
          </w:tcPr>
          <w:p w14:paraId="781AD85E">
            <w:pPr>
              <w:jc w:val="center"/>
              <w:rPr>
                <w:rFonts w:hint="eastAsia" w:ascii="宋体" w:hAnsi="宋体"/>
                <w:color w:val="auto"/>
                <w:szCs w:val="21"/>
                <w:highlight w:val="none"/>
              </w:rPr>
            </w:pPr>
          </w:p>
        </w:tc>
        <w:tc>
          <w:tcPr>
            <w:tcW w:w="1843" w:type="dxa"/>
            <w:gridSpan w:val="2"/>
            <w:vAlign w:val="center"/>
          </w:tcPr>
          <w:p w14:paraId="5C0DF0BF">
            <w:pPr>
              <w:jc w:val="center"/>
              <w:rPr>
                <w:rFonts w:hint="eastAsia" w:ascii="宋体" w:hAnsi="宋体"/>
                <w:color w:val="auto"/>
                <w:szCs w:val="21"/>
                <w:highlight w:val="none"/>
              </w:rPr>
            </w:pPr>
          </w:p>
        </w:tc>
        <w:tc>
          <w:tcPr>
            <w:tcW w:w="2633" w:type="dxa"/>
            <w:gridSpan w:val="2"/>
            <w:vAlign w:val="center"/>
          </w:tcPr>
          <w:p w14:paraId="375EF6F6">
            <w:pPr>
              <w:jc w:val="center"/>
              <w:rPr>
                <w:rFonts w:hint="eastAsia" w:ascii="宋体" w:hAnsi="宋体"/>
                <w:color w:val="auto"/>
                <w:szCs w:val="21"/>
                <w:highlight w:val="none"/>
              </w:rPr>
            </w:pPr>
          </w:p>
        </w:tc>
      </w:tr>
      <w:tr w14:paraId="3B99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0326CAA3">
            <w:pPr>
              <w:jc w:val="center"/>
              <w:rPr>
                <w:rFonts w:hint="eastAsia" w:ascii="宋体" w:hAnsi="宋体"/>
                <w:color w:val="auto"/>
                <w:szCs w:val="21"/>
                <w:highlight w:val="none"/>
              </w:rPr>
            </w:pPr>
          </w:p>
        </w:tc>
        <w:tc>
          <w:tcPr>
            <w:tcW w:w="3444" w:type="dxa"/>
            <w:gridSpan w:val="5"/>
            <w:vAlign w:val="center"/>
          </w:tcPr>
          <w:p w14:paraId="1098E06A">
            <w:pPr>
              <w:jc w:val="center"/>
              <w:rPr>
                <w:rFonts w:hint="eastAsia" w:ascii="宋体" w:hAnsi="宋体"/>
                <w:color w:val="auto"/>
                <w:szCs w:val="21"/>
                <w:highlight w:val="none"/>
              </w:rPr>
            </w:pPr>
          </w:p>
        </w:tc>
        <w:tc>
          <w:tcPr>
            <w:tcW w:w="1843" w:type="dxa"/>
            <w:gridSpan w:val="2"/>
            <w:vAlign w:val="center"/>
          </w:tcPr>
          <w:p w14:paraId="5CE85050">
            <w:pPr>
              <w:jc w:val="center"/>
              <w:rPr>
                <w:rFonts w:hint="eastAsia" w:ascii="宋体" w:hAnsi="宋体"/>
                <w:color w:val="auto"/>
                <w:szCs w:val="21"/>
                <w:highlight w:val="none"/>
              </w:rPr>
            </w:pPr>
          </w:p>
        </w:tc>
        <w:tc>
          <w:tcPr>
            <w:tcW w:w="2633" w:type="dxa"/>
            <w:gridSpan w:val="2"/>
            <w:vAlign w:val="center"/>
          </w:tcPr>
          <w:p w14:paraId="180776F0">
            <w:pPr>
              <w:jc w:val="center"/>
              <w:rPr>
                <w:rFonts w:hint="eastAsia" w:ascii="宋体" w:hAnsi="宋体"/>
                <w:color w:val="auto"/>
                <w:szCs w:val="21"/>
                <w:highlight w:val="none"/>
              </w:rPr>
            </w:pPr>
          </w:p>
        </w:tc>
      </w:tr>
      <w:tr w14:paraId="2AAB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3BF8CF4E">
            <w:pPr>
              <w:jc w:val="center"/>
              <w:rPr>
                <w:rFonts w:hint="eastAsia" w:ascii="宋体" w:hAnsi="宋体"/>
                <w:color w:val="auto"/>
                <w:szCs w:val="21"/>
                <w:highlight w:val="none"/>
              </w:rPr>
            </w:pPr>
          </w:p>
        </w:tc>
        <w:tc>
          <w:tcPr>
            <w:tcW w:w="3444" w:type="dxa"/>
            <w:gridSpan w:val="5"/>
            <w:vAlign w:val="center"/>
          </w:tcPr>
          <w:p w14:paraId="21506B09">
            <w:pPr>
              <w:jc w:val="center"/>
              <w:rPr>
                <w:rFonts w:hint="eastAsia" w:ascii="宋体" w:hAnsi="宋体"/>
                <w:color w:val="auto"/>
                <w:szCs w:val="21"/>
                <w:highlight w:val="none"/>
              </w:rPr>
            </w:pPr>
          </w:p>
        </w:tc>
        <w:tc>
          <w:tcPr>
            <w:tcW w:w="1843" w:type="dxa"/>
            <w:gridSpan w:val="2"/>
            <w:vAlign w:val="center"/>
          </w:tcPr>
          <w:p w14:paraId="36F6250A">
            <w:pPr>
              <w:jc w:val="center"/>
              <w:rPr>
                <w:rFonts w:hint="eastAsia" w:ascii="宋体" w:hAnsi="宋体"/>
                <w:color w:val="auto"/>
                <w:szCs w:val="21"/>
                <w:highlight w:val="none"/>
              </w:rPr>
            </w:pPr>
          </w:p>
        </w:tc>
        <w:tc>
          <w:tcPr>
            <w:tcW w:w="2633" w:type="dxa"/>
            <w:gridSpan w:val="2"/>
            <w:vAlign w:val="center"/>
          </w:tcPr>
          <w:p w14:paraId="7D7ECFA4">
            <w:pPr>
              <w:jc w:val="center"/>
              <w:rPr>
                <w:rFonts w:hint="eastAsia" w:ascii="宋体" w:hAnsi="宋体"/>
                <w:color w:val="auto"/>
                <w:szCs w:val="21"/>
                <w:highlight w:val="none"/>
              </w:rPr>
            </w:pPr>
          </w:p>
        </w:tc>
      </w:tr>
      <w:tr w14:paraId="30025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7FD9856B">
            <w:pPr>
              <w:jc w:val="center"/>
              <w:rPr>
                <w:rFonts w:hint="eastAsia" w:ascii="宋体" w:hAnsi="宋体"/>
                <w:color w:val="auto"/>
                <w:szCs w:val="21"/>
                <w:highlight w:val="none"/>
              </w:rPr>
            </w:pPr>
          </w:p>
        </w:tc>
        <w:tc>
          <w:tcPr>
            <w:tcW w:w="3444" w:type="dxa"/>
            <w:gridSpan w:val="5"/>
            <w:vAlign w:val="center"/>
          </w:tcPr>
          <w:p w14:paraId="74D4BB82">
            <w:pPr>
              <w:jc w:val="center"/>
              <w:rPr>
                <w:rFonts w:hint="eastAsia" w:ascii="宋体" w:hAnsi="宋体"/>
                <w:color w:val="auto"/>
                <w:szCs w:val="21"/>
                <w:highlight w:val="none"/>
              </w:rPr>
            </w:pPr>
          </w:p>
        </w:tc>
        <w:tc>
          <w:tcPr>
            <w:tcW w:w="1843" w:type="dxa"/>
            <w:gridSpan w:val="2"/>
            <w:vAlign w:val="center"/>
          </w:tcPr>
          <w:p w14:paraId="6C6E2CCE">
            <w:pPr>
              <w:jc w:val="center"/>
              <w:rPr>
                <w:rFonts w:hint="eastAsia" w:ascii="宋体" w:hAnsi="宋体"/>
                <w:color w:val="auto"/>
                <w:szCs w:val="21"/>
                <w:highlight w:val="none"/>
              </w:rPr>
            </w:pPr>
          </w:p>
        </w:tc>
        <w:tc>
          <w:tcPr>
            <w:tcW w:w="2633" w:type="dxa"/>
            <w:gridSpan w:val="2"/>
            <w:vAlign w:val="center"/>
          </w:tcPr>
          <w:p w14:paraId="593614D4">
            <w:pPr>
              <w:jc w:val="center"/>
              <w:rPr>
                <w:rFonts w:hint="eastAsia" w:ascii="宋体" w:hAnsi="宋体"/>
                <w:color w:val="auto"/>
                <w:szCs w:val="21"/>
                <w:highlight w:val="none"/>
              </w:rPr>
            </w:pPr>
          </w:p>
        </w:tc>
      </w:tr>
      <w:tr w14:paraId="11D2E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6E6D3148">
            <w:pPr>
              <w:jc w:val="center"/>
              <w:rPr>
                <w:rFonts w:hint="eastAsia" w:ascii="宋体" w:hAnsi="宋体"/>
                <w:color w:val="auto"/>
                <w:szCs w:val="21"/>
                <w:highlight w:val="none"/>
              </w:rPr>
            </w:pPr>
          </w:p>
        </w:tc>
        <w:tc>
          <w:tcPr>
            <w:tcW w:w="3444" w:type="dxa"/>
            <w:gridSpan w:val="5"/>
            <w:vAlign w:val="center"/>
          </w:tcPr>
          <w:p w14:paraId="496C0A0D">
            <w:pPr>
              <w:jc w:val="center"/>
              <w:rPr>
                <w:rFonts w:hint="eastAsia" w:ascii="宋体" w:hAnsi="宋体"/>
                <w:color w:val="auto"/>
                <w:szCs w:val="21"/>
                <w:highlight w:val="none"/>
              </w:rPr>
            </w:pPr>
          </w:p>
        </w:tc>
        <w:tc>
          <w:tcPr>
            <w:tcW w:w="1843" w:type="dxa"/>
            <w:gridSpan w:val="2"/>
            <w:vAlign w:val="center"/>
          </w:tcPr>
          <w:p w14:paraId="3A4E0A20">
            <w:pPr>
              <w:jc w:val="center"/>
              <w:rPr>
                <w:rFonts w:hint="eastAsia" w:ascii="宋体" w:hAnsi="宋体"/>
                <w:color w:val="auto"/>
                <w:szCs w:val="21"/>
                <w:highlight w:val="none"/>
              </w:rPr>
            </w:pPr>
          </w:p>
        </w:tc>
        <w:tc>
          <w:tcPr>
            <w:tcW w:w="2633" w:type="dxa"/>
            <w:gridSpan w:val="2"/>
            <w:vAlign w:val="center"/>
          </w:tcPr>
          <w:p w14:paraId="4FF51267">
            <w:pPr>
              <w:jc w:val="center"/>
              <w:rPr>
                <w:rFonts w:hint="eastAsia" w:ascii="宋体" w:hAnsi="宋体"/>
                <w:color w:val="auto"/>
                <w:szCs w:val="21"/>
                <w:highlight w:val="none"/>
              </w:rPr>
            </w:pPr>
          </w:p>
        </w:tc>
      </w:tr>
      <w:tr w14:paraId="3C5E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27460B22">
            <w:pPr>
              <w:jc w:val="center"/>
              <w:rPr>
                <w:rFonts w:hint="eastAsia" w:ascii="宋体" w:hAnsi="宋体"/>
                <w:color w:val="auto"/>
                <w:szCs w:val="21"/>
                <w:highlight w:val="none"/>
              </w:rPr>
            </w:pPr>
          </w:p>
        </w:tc>
        <w:tc>
          <w:tcPr>
            <w:tcW w:w="3444" w:type="dxa"/>
            <w:gridSpan w:val="5"/>
            <w:vAlign w:val="center"/>
          </w:tcPr>
          <w:p w14:paraId="748DD0A1">
            <w:pPr>
              <w:jc w:val="center"/>
              <w:rPr>
                <w:rFonts w:hint="eastAsia" w:ascii="宋体" w:hAnsi="宋体"/>
                <w:color w:val="auto"/>
                <w:szCs w:val="21"/>
                <w:highlight w:val="none"/>
              </w:rPr>
            </w:pPr>
          </w:p>
        </w:tc>
        <w:tc>
          <w:tcPr>
            <w:tcW w:w="1843" w:type="dxa"/>
            <w:gridSpan w:val="2"/>
            <w:vAlign w:val="center"/>
          </w:tcPr>
          <w:p w14:paraId="4B1D10D8">
            <w:pPr>
              <w:jc w:val="center"/>
              <w:rPr>
                <w:rFonts w:hint="eastAsia" w:ascii="宋体" w:hAnsi="宋体"/>
                <w:color w:val="auto"/>
                <w:szCs w:val="21"/>
                <w:highlight w:val="none"/>
              </w:rPr>
            </w:pPr>
          </w:p>
        </w:tc>
        <w:tc>
          <w:tcPr>
            <w:tcW w:w="2633" w:type="dxa"/>
            <w:gridSpan w:val="2"/>
            <w:vAlign w:val="center"/>
          </w:tcPr>
          <w:p w14:paraId="42A80125">
            <w:pPr>
              <w:jc w:val="center"/>
              <w:rPr>
                <w:rFonts w:hint="eastAsia" w:ascii="宋体" w:hAnsi="宋体"/>
                <w:color w:val="auto"/>
                <w:szCs w:val="21"/>
                <w:highlight w:val="none"/>
              </w:rPr>
            </w:pPr>
          </w:p>
        </w:tc>
      </w:tr>
    </w:tbl>
    <w:p w14:paraId="29CCF954">
      <w:pPr>
        <w:pStyle w:val="15"/>
        <w:spacing w:line="240" w:lineRule="auto"/>
        <w:ind w:left="-7" w:leftChars="-28" w:hanging="60"/>
        <w:rPr>
          <w:rFonts w:hint="eastAsia"/>
          <w:color w:val="auto"/>
          <w:sz w:val="21"/>
          <w:szCs w:val="21"/>
          <w:highlight w:val="none"/>
        </w:rPr>
      </w:pPr>
    </w:p>
    <w:p w14:paraId="2FC691AB">
      <w:pPr>
        <w:pStyle w:val="15"/>
        <w:spacing w:line="240" w:lineRule="auto"/>
        <w:ind w:left="-7" w:leftChars="-28" w:hanging="60"/>
        <w:rPr>
          <w:rFonts w:hint="eastAsia"/>
          <w:color w:val="auto"/>
          <w:sz w:val="21"/>
          <w:szCs w:val="21"/>
          <w:highlight w:val="none"/>
        </w:rPr>
      </w:pPr>
      <w:r>
        <w:rPr>
          <w:rFonts w:hint="eastAsia"/>
          <w:color w:val="auto"/>
          <w:sz w:val="24"/>
          <w:szCs w:val="21"/>
          <w:highlight w:val="none"/>
        </w:rPr>
        <w:t>注：本工程一旦我单位中标，将配备上述项目管理人员。上述填报内容真实， 如不真实，将按照有关规定接受处理。</w:t>
      </w:r>
    </w:p>
    <w:p w14:paraId="1B2D17CA">
      <w:pPr>
        <w:pStyle w:val="49"/>
        <w:rPr>
          <w:color w:val="auto"/>
          <w:highlight w:val="none"/>
        </w:rPr>
      </w:pPr>
    </w:p>
    <w:p w14:paraId="2BFF79F6">
      <w:pPr>
        <w:pStyle w:val="49"/>
        <w:rPr>
          <w:color w:val="auto"/>
          <w:highlight w:val="none"/>
        </w:rPr>
      </w:pPr>
    </w:p>
    <w:p w14:paraId="641A7B7E">
      <w:pPr>
        <w:keepNext w:val="0"/>
        <w:keepLines w:val="0"/>
        <w:pageBreakBefore w:val="0"/>
        <w:widowControl w:val="0"/>
        <w:kinsoku/>
        <w:wordWrap/>
        <w:overflowPunct/>
        <w:topLinePunct w:val="0"/>
        <w:autoSpaceDE/>
        <w:autoSpaceDN/>
        <w:bidi w:val="0"/>
        <w:adjustRightInd/>
        <w:snapToGrid/>
        <w:spacing w:line="500" w:lineRule="exact"/>
        <w:ind w:firstLine="1920" w:firstLineChars="8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盖章</w:t>
      </w:r>
      <w:r>
        <w:rPr>
          <w:rFonts w:hint="eastAsia" w:ascii="宋体" w:hAnsi="宋体" w:eastAsia="宋体" w:cs="宋体"/>
          <w:color w:val="auto"/>
          <w:sz w:val="24"/>
          <w:highlight w:val="none"/>
        </w:rPr>
        <w:t xml:space="preserve">）   </w:t>
      </w:r>
    </w:p>
    <w:p w14:paraId="39A1400C">
      <w:pPr>
        <w:keepNext w:val="0"/>
        <w:keepLines w:val="0"/>
        <w:pageBreakBefore w:val="0"/>
        <w:widowControl w:val="0"/>
        <w:kinsoku/>
        <w:wordWrap/>
        <w:overflowPunct/>
        <w:topLinePunct w:val="0"/>
        <w:autoSpaceDE/>
        <w:autoSpaceDN/>
        <w:bidi w:val="0"/>
        <w:adjustRightInd/>
        <w:snapToGrid/>
        <w:spacing w:line="500" w:lineRule="exact"/>
        <w:ind w:firstLine="1920" w:firstLineChars="8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val="en-US" w:eastAsia="zh-CN"/>
        </w:rPr>
        <w:t>和</w:t>
      </w:r>
      <w:r>
        <w:rPr>
          <w:rFonts w:hint="eastAsia" w:ascii="宋体" w:hAnsi="宋体" w:eastAsia="宋体" w:cs="宋体"/>
          <w:color w:val="auto"/>
          <w:sz w:val="24"/>
          <w:highlight w:val="none"/>
        </w:rPr>
        <w:t>授权代表人：</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w:t>
      </w:r>
      <w:r>
        <w:rPr>
          <w:rFonts w:hint="eastAsia" w:ascii="宋体" w:hAnsi="宋体" w:cs="宋体"/>
          <w:color w:val="auto"/>
          <w:sz w:val="24"/>
          <w:highlight w:val="none"/>
          <w:lang w:eastAsia="zh-CN"/>
        </w:rPr>
        <w:t>或</w:t>
      </w:r>
      <w:r>
        <w:rPr>
          <w:rFonts w:hint="eastAsia" w:ascii="宋体" w:hAnsi="宋体" w:eastAsia="宋体" w:cs="宋体"/>
          <w:color w:val="auto"/>
          <w:sz w:val="24"/>
          <w:highlight w:val="none"/>
        </w:rPr>
        <w:t xml:space="preserve">盖章） </w:t>
      </w:r>
    </w:p>
    <w:p w14:paraId="3D5D696A">
      <w:pPr>
        <w:pageBreakBefore w:val="0"/>
        <w:kinsoku/>
        <w:wordWrap/>
        <w:overflowPunct/>
        <w:topLinePunct w:val="0"/>
        <w:bidi w:val="0"/>
        <w:spacing w:line="360" w:lineRule="auto"/>
        <w:ind w:firstLine="5040" w:firstLineChars="21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14:paraId="3E918FC9">
      <w:pPr>
        <w:pageBreakBefore w:val="0"/>
        <w:kinsoku/>
        <w:wordWrap/>
        <w:overflowPunct/>
        <w:topLinePunct w:val="0"/>
        <w:bidi w:val="0"/>
        <w:spacing w:line="360" w:lineRule="auto"/>
        <w:ind w:firstLine="5520" w:firstLineChars="2300"/>
        <w:rPr>
          <w:color w:val="auto"/>
          <w:highlight w:val="none"/>
        </w:rPr>
      </w:pPr>
      <w:r>
        <w:rPr>
          <w:rFonts w:hint="eastAsia" w:ascii="宋体" w:hAnsi="宋体" w:eastAsia="宋体" w:cs="宋体"/>
          <w:color w:val="auto"/>
          <w:sz w:val="24"/>
          <w:highlight w:val="none"/>
        </w:rPr>
        <w:t>年   月   日</w:t>
      </w:r>
    </w:p>
    <w:p w14:paraId="39F02699">
      <w:pPr>
        <w:numPr>
          <w:ilvl w:val="0"/>
          <w:numId w:val="0"/>
        </w:numPr>
        <w:spacing w:line="460" w:lineRule="exact"/>
        <w:ind w:leftChars="-50" w:right="62" w:rightChars="0"/>
        <w:jc w:val="center"/>
        <w:rPr>
          <w:rFonts w:hint="eastAsia" w:ascii="宋体" w:hAnsi="宋体" w:eastAsia="宋体" w:cs="宋体"/>
          <w:b/>
          <w:color w:val="auto"/>
          <w:sz w:val="28"/>
          <w:szCs w:val="28"/>
          <w:highlight w:val="none"/>
          <w:lang w:val="en-US" w:eastAsia="zh-CN"/>
        </w:rPr>
      </w:pPr>
    </w:p>
    <w:p w14:paraId="4C017F7E">
      <w:pPr>
        <w:numPr>
          <w:ilvl w:val="0"/>
          <w:numId w:val="0"/>
        </w:numPr>
        <w:spacing w:line="460" w:lineRule="exact"/>
        <w:ind w:leftChars="-50" w:right="62" w:rightChars="0"/>
        <w:jc w:val="center"/>
        <w:outlineLvl w:val="1"/>
        <w:rPr>
          <w:rFonts w:hint="eastAsia" w:ascii="宋体" w:hAnsi="宋体" w:eastAsia="宋体" w:cs="宋体"/>
          <w:b/>
          <w:color w:val="auto"/>
          <w:sz w:val="28"/>
          <w:szCs w:val="28"/>
          <w:highlight w:val="none"/>
        </w:rPr>
      </w:pPr>
      <w:bookmarkStart w:id="349" w:name="_Toc2923"/>
      <w:r>
        <w:rPr>
          <w:rFonts w:hint="eastAsia" w:ascii="宋体" w:hAnsi="宋体" w:eastAsia="宋体" w:cs="宋体"/>
          <w:b/>
          <w:color w:val="auto"/>
          <w:sz w:val="28"/>
          <w:szCs w:val="28"/>
          <w:highlight w:val="none"/>
          <w:lang w:val="en-US" w:eastAsia="zh-CN"/>
        </w:rPr>
        <w:t>1</w:t>
      </w:r>
      <w:r>
        <w:rPr>
          <w:rFonts w:hint="eastAsia" w:ascii="宋体" w:hAnsi="宋体" w:cs="宋体"/>
          <w:b/>
          <w:color w:val="auto"/>
          <w:sz w:val="28"/>
          <w:szCs w:val="28"/>
          <w:highlight w:val="none"/>
          <w:lang w:val="en-US" w:eastAsia="zh-CN"/>
        </w:rPr>
        <w:t>3</w:t>
      </w:r>
      <w:r>
        <w:rPr>
          <w:rFonts w:hint="eastAsia" w:ascii="宋体" w:hAnsi="宋体" w:eastAsia="宋体" w:cs="宋体"/>
          <w:b/>
          <w:color w:val="auto"/>
          <w:sz w:val="28"/>
          <w:szCs w:val="28"/>
          <w:highlight w:val="none"/>
          <w:lang w:val="en-US" w:eastAsia="zh-CN"/>
        </w:rPr>
        <w:t>、</w:t>
      </w:r>
      <w:r>
        <w:rPr>
          <w:rFonts w:hint="eastAsia" w:ascii="宋体" w:hAnsi="宋体" w:eastAsia="宋体" w:cs="宋体"/>
          <w:b/>
          <w:color w:val="auto"/>
          <w:sz w:val="28"/>
          <w:szCs w:val="28"/>
          <w:highlight w:val="none"/>
        </w:rPr>
        <w:t>项目管理人员简历表</w:t>
      </w:r>
      <w:bookmarkEnd w:id="349"/>
    </w:p>
    <w:p w14:paraId="5943A5D8">
      <w:pPr>
        <w:rPr>
          <w:rFonts w:hint="eastAsia" w:ascii="宋体" w:hAnsi="宋体"/>
          <w:color w:val="auto"/>
          <w:szCs w:val="21"/>
          <w:highlight w:val="none"/>
        </w:rPr>
      </w:pPr>
      <w:r>
        <w:rPr>
          <w:rFonts w:hint="eastAsia" w:ascii="宋体" w:hAnsi="宋体"/>
          <w:color w:val="auto"/>
          <w:szCs w:val="21"/>
          <w:highlight w:val="none"/>
        </w:rPr>
        <w:t xml:space="preserve">    </w:t>
      </w:r>
    </w:p>
    <w:p w14:paraId="40923CD3">
      <w:pPr>
        <w:rPr>
          <w:rFonts w:hint="eastAsia" w:ascii="宋体" w:hAnsi="宋体"/>
          <w:color w:val="auto"/>
          <w:sz w:val="23"/>
          <w:szCs w:val="23"/>
          <w:highlight w:val="none"/>
        </w:rPr>
      </w:pPr>
      <w:r>
        <w:rPr>
          <w:rFonts w:hint="eastAsia" w:ascii="宋体" w:hAnsi="宋体"/>
          <w:color w:val="auto"/>
          <w:sz w:val="24"/>
          <w:szCs w:val="21"/>
          <w:highlight w:val="none"/>
        </w:rPr>
        <w:t xml:space="preserve">    </w:t>
      </w:r>
      <w:r>
        <w:rPr>
          <w:rFonts w:hint="eastAsia" w:ascii="宋体" w:hAnsi="宋体" w:eastAsia="宋体" w:cs="宋体"/>
          <w:b w:val="0"/>
          <w:bCs w:val="0"/>
          <w:color w:val="auto"/>
          <w:sz w:val="24"/>
          <w:szCs w:val="21"/>
          <w:highlight w:val="none"/>
        </w:rPr>
        <w:t>主要项目管理人员指</w:t>
      </w:r>
      <w:r>
        <w:rPr>
          <w:rFonts w:hint="eastAsia" w:ascii="宋体" w:hAnsi="宋体" w:eastAsia="宋体" w:cs="宋体"/>
          <w:b w:val="0"/>
          <w:bCs w:val="0"/>
          <w:color w:val="auto"/>
          <w:sz w:val="24"/>
          <w:szCs w:val="21"/>
          <w:highlight w:val="none"/>
          <w:lang w:val="en-US" w:eastAsia="zh-CN"/>
        </w:rPr>
        <w:t>项目技术负责人、施工员、专职质检员、专职安全员、材料员、资料员、预算员</w:t>
      </w:r>
      <w:r>
        <w:rPr>
          <w:rFonts w:hint="eastAsia" w:ascii="宋体" w:hAnsi="宋体" w:eastAsia="宋体" w:cs="宋体"/>
          <w:b w:val="0"/>
          <w:bCs w:val="0"/>
          <w:color w:val="auto"/>
          <w:sz w:val="24"/>
          <w:szCs w:val="21"/>
          <w:highlight w:val="none"/>
        </w:rPr>
        <w:t>等岗位人员。应附职称证</w:t>
      </w:r>
      <w:r>
        <w:rPr>
          <w:rFonts w:hint="eastAsia" w:ascii="宋体" w:hAnsi="宋体" w:eastAsia="宋体" w:cs="宋体"/>
          <w:b w:val="0"/>
          <w:bCs w:val="0"/>
          <w:color w:val="auto"/>
          <w:sz w:val="24"/>
          <w:szCs w:val="21"/>
          <w:highlight w:val="none"/>
          <w:lang w:eastAsia="zh-CN"/>
        </w:rPr>
        <w:t>或岗位证书</w:t>
      </w:r>
      <w:r>
        <w:rPr>
          <w:rFonts w:hint="eastAsia" w:ascii="宋体" w:hAnsi="宋体" w:eastAsia="宋体" w:cs="宋体"/>
          <w:b w:val="0"/>
          <w:bCs w:val="0"/>
          <w:color w:val="auto"/>
          <w:sz w:val="24"/>
          <w:szCs w:val="21"/>
          <w:highlight w:val="none"/>
        </w:rPr>
        <w:t>、身份证、</w:t>
      </w:r>
      <w:r>
        <w:rPr>
          <w:rFonts w:hint="eastAsia" w:ascii="宋体" w:hAnsi="宋体" w:cs="宋体"/>
          <w:b w:val="0"/>
          <w:bCs w:val="0"/>
          <w:color w:val="auto"/>
          <w:sz w:val="24"/>
          <w:szCs w:val="21"/>
          <w:highlight w:val="none"/>
          <w:lang w:eastAsia="zh-CN"/>
        </w:rPr>
        <w:t>近</w:t>
      </w:r>
      <w:r>
        <w:rPr>
          <w:rFonts w:hint="eastAsia" w:ascii="宋体" w:hAnsi="宋体" w:cs="宋体"/>
          <w:b w:val="0"/>
          <w:bCs w:val="0"/>
          <w:color w:val="auto"/>
          <w:sz w:val="24"/>
          <w:szCs w:val="21"/>
          <w:highlight w:val="none"/>
          <w:lang w:val="en-US" w:eastAsia="zh-CN"/>
        </w:rPr>
        <w:t>3</w:t>
      </w:r>
      <w:r>
        <w:rPr>
          <w:rFonts w:hint="eastAsia" w:ascii="宋体" w:hAnsi="宋体" w:cs="宋体"/>
          <w:b w:val="0"/>
          <w:bCs w:val="0"/>
          <w:color w:val="auto"/>
          <w:sz w:val="24"/>
          <w:szCs w:val="21"/>
          <w:highlight w:val="none"/>
          <w:lang w:eastAsia="zh-CN"/>
        </w:rPr>
        <w:t>个月</w:t>
      </w:r>
      <w:r>
        <w:rPr>
          <w:rFonts w:hint="eastAsia" w:ascii="宋体" w:hAnsi="宋体" w:eastAsia="宋体" w:cs="宋体"/>
          <w:b w:val="0"/>
          <w:bCs w:val="0"/>
          <w:color w:val="auto"/>
          <w:sz w:val="24"/>
          <w:szCs w:val="21"/>
          <w:highlight w:val="none"/>
        </w:rPr>
        <w:t>养老保险复印件</w:t>
      </w:r>
      <w:r>
        <w:rPr>
          <w:rFonts w:hint="eastAsia" w:ascii="宋体" w:hAnsi="宋体" w:cs="宋体"/>
          <w:b w:val="0"/>
          <w:bCs w:val="0"/>
          <w:color w:val="auto"/>
          <w:sz w:val="24"/>
          <w:szCs w:val="21"/>
          <w:highlight w:val="none"/>
          <w:lang w:eastAsia="zh-CN"/>
        </w:rPr>
        <w:t>、</w:t>
      </w:r>
      <w:r>
        <w:rPr>
          <w:rFonts w:hint="eastAsia" w:ascii="宋体" w:hAnsi="宋体" w:eastAsia="宋体" w:cs="宋体"/>
          <w:b w:val="0"/>
          <w:bCs w:val="0"/>
          <w:color w:val="auto"/>
          <w:sz w:val="24"/>
          <w:szCs w:val="21"/>
          <w:highlight w:val="none"/>
        </w:rPr>
        <w:t>专职安全生产管理人员</w:t>
      </w:r>
      <w:r>
        <w:rPr>
          <w:rFonts w:hint="eastAsia" w:ascii="宋体" w:hAnsi="宋体" w:cs="宋体"/>
          <w:b w:val="0"/>
          <w:bCs w:val="0"/>
          <w:color w:val="auto"/>
          <w:sz w:val="24"/>
          <w:szCs w:val="21"/>
          <w:highlight w:val="none"/>
          <w:lang w:val="en-US" w:eastAsia="zh-CN"/>
        </w:rPr>
        <w:t>还</w:t>
      </w:r>
      <w:r>
        <w:rPr>
          <w:rFonts w:hint="eastAsia" w:ascii="宋体" w:hAnsi="宋体" w:eastAsia="宋体" w:cs="宋体"/>
          <w:b w:val="0"/>
          <w:bCs w:val="0"/>
          <w:color w:val="auto"/>
          <w:sz w:val="24"/>
          <w:szCs w:val="21"/>
          <w:highlight w:val="none"/>
        </w:rPr>
        <w:t>应附安全生产考核</w:t>
      </w:r>
      <w:r>
        <w:rPr>
          <w:rFonts w:hint="eastAsia" w:ascii="宋体" w:hAnsi="宋体" w:cs="宋体"/>
          <w:b w:val="0"/>
          <w:bCs w:val="0"/>
          <w:color w:val="auto"/>
          <w:sz w:val="24"/>
          <w:szCs w:val="21"/>
          <w:highlight w:val="none"/>
          <w:lang w:val="en-US" w:eastAsia="zh-CN"/>
        </w:rPr>
        <w:t>类</w:t>
      </w:r>
      <w:r>
        <w:rPr>
          <w:rFonts w:hint="eastAsia" w:ascii="宋体" w:hAnsi="宋体" w:eastAsia="宋体" w:cs="宋体"/>
          <w:b w:val="0"/>
          <w:bCs w:val="0"/>
          <w:color w:val="auto"/>
          <w:sz w:val="24"/>
          <w:szCs w:val="21"/>
          <w:highlight w:val="none"/>
        </w:rPr>
        <w:t>合格证书。</w:t>
      </w:r>
    </w:p>
    <w:tbl>
      <w:tblPr>
        <w:tblStyle w:val="25"/>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3420"/>
        <w:gridCol w:w="1261"/>
        <w:gridCol w:w="2296"/>
      </w:tblGrid>
      <w:tr w14:paraId="1010D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900" w:type="dxa"/>
            <w:gridSpan w:val="4"/>
            <w:vAlign w:val="center"/>
          </w:tcPr>
          <w:p w14:paraId="1D88D91F">
            <w:pPr>
              <w:rPr>
                <w:rFonts w:hint="eastAsia" w:ascii="宋体" w:hAnsi="宋体"/>
                <w:color w:val="auto"/>
                <w:sz w:val="24"/>
                <w:szCs w:val="21"/>
                <w:highlight w:val="none"/>
              </w:rPr>
            </w:pPr>
            <w:r>
              <w:rPr>
                <w:rFonts w:hint="eastAsia" w:ascii="宋体" w:hAnsi="宋体"/>
                <w:color w:val="auto"/>
                <w:sz w:val="24"/>
                <w:szCs w:val="21"/>
                <w:highlight w:val="none"/>
              </w:rPr>
              <w:t>岗位名称</w:t>
            </w:r>
          </w:p>
        </w:tc>
      </w:tr>
      <w:tr w14:paraId="058AE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vAlign w:val="center"/>
          </w:tcPr>
          <w:p w14:paraId="1D44947D">
            <w:pPr>
              <w:jc w:val="center"/>
              <w:rPr>
                <w:rFonts w:hint="eastAsia" w:ascii="宋体" w:hAnsi="宋体"/>
                <w:color w:val="auto"/>
                <w:sz w:val="24"/>
                <w:szCs w:val="21"/>
                <w:highlight w:val="none"/>
              </w:rPr>
            </w:pPr>
            <w:r>
              <w:rPr>
                <w:rFonts w:hint="eastAsia" w:ascii="宋体" w:hAnsi="宋体"/>
                <w:color w:val="auto"/>
                <w:sz w:val="24"/>
                <w:szCs w:val="21"/>
                <w:highlight w:val="none"/>
              </w:rPr>
              <w:t>姓名</w:t>
            </w:r>
          </w:p>
        </w:tc>
        <w:tc>
          <w:tcPr>
            <w:tcW w:w="3420" w:type="dxa"/>
            <w:vAlign w:val="center"/>
          </w:tcPr>
          <w:p w14:paraId="5CEA4CEE">
            <w:pPr>
              <w:rPr>
                <w:rFonts w:hint="eastAsia" w:ascii="宋体" w:hAnsi="宋体"/>
                <w:color w:val="auto"/>
                <w:sz w:val="24"/>
                <w:szCs w:val="21"/>
                <w:highlight w:val="none"/>
              </w:rPr>
            </w:pPr>
          </w:p>
        </w:tc>
        <w:tc>
          <w:tcPr>
            <w:tcW w:w="1261" w:type="dxa"/>
            <w:vAlign w:val="center"/>
          </w:tcPr>
          <w:p w14:paraId="2F9069F0">
            <w:pPr>
              <w:jc w:val="center"/>
              <w:rPr>
                <w:rFonts w:hint="eastAsia" w:ascii="宋体" w:hAnsi="宋体"/>
                <w:color w:val="auto"/>
                <w:sz w:val="24"/>
                <w:szCs w:val="21"/>
                <w:highlight w:val="none"/>
              </w:rPr>
            </w:pPr>
            <w:r>
              <w:rPr>
                <w:rFonts w:hint="eastAsia" w:ascii="宋体" w:hAnsi="宋体"/>
                <w:color w:val="auto"/>
                <w:sz w:val="24"/>
                <w:szCs w:val="21"/>
                <w:highlight w:val="none"/>
              </w:rPr>
              <w:t>年龄</w:t>
            </w:r>
          </w:p>
        </w:tc>
        <w:tc>
          <w:tcPr>
            <w:tcW w:w="2296" w:type="dxa"/>
            <w:vAlign w:val="center"/>
          </w:tcPr>
          <w:p w14:paraId="159DB9A8">
            <w:pPr>
              <w:rPr>
                <w:rFonts w:hint="eastAsia" w:ascii="宋体" w:hAnsi="宋体"/>
                <w:color w:val="auto"/>
                <w:sz w:val="24"/>
                <w:szCs w:val="21"/>
                <w:highlight w:val="none"/>
              </w:rPr>
            </w:pPr>
          </w:p>
        </w:tc>
      </w:tr>
      <w:tr w14:paraId="20AB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vAlign w:val="top"/>
          </w:tcPr>
          <w:p w14:paraId="32C7725B">
            <w:pPr>
              <w:jc w:val="center"/>
              <w:rPr>
                <w:rFonts w:hint="eastAsia" w:ascii="宋体" w:hAnsi="宋体"/>
                <w:color w:val="auto"/>
                <w:sz w:val="24"/>
                <w:szCs w:val="21"/>
                <w:highlight w:val="none"/>
              </w:rPr>
            </w:pPr>
            <w:r>
              <w:rPr>
                <w:rFonts w:hint="eastAsia" w:ascii="宋体" w:hAnsi="宋体"/>
                <w:color w:val="auto"/>
                <w:sz w:val="24"/>
                <w:szCs w:val="21"/>
                <w:highlight w:val="none"/>
              </w:rPr>
              <w:t>性别</w:t>
            </w:r>
          </w:p>
        </w:tc>
        <w:tc>
          <w:tcPr>
            <w:tcW w:w="3420" w:type="dxa"/>
            <w:vAlign w:val="top"/>
          </w:tcPr>
          <w:p w14:paraId="3B434D08">
            <w:pPr>
              <w:rPr>
                <w:rFonts w:hint="eastAsia" w:ascii="宋体" w:hAnsi="宋体"/>
                <w:color w:val="auto"/>
                <w:sz w:val="24"/>
                <w:szCs w:val="21"/>
                <w:highlight w:val="none"/>
              </w:rPr>
            </w:pPr>
          </w:p>
        </w:tc>
        <w:tc>
          <w:tcPr>
            <w:tcW w:w="1261" w:type="dxa"/>
            <w:vAlign w:val="top"/>
          </w:tcPr>
          <w:p w14:paraId="361809F2">
            <w:pPr>
              <w:jc w:val="center"/>
              <w:rPr>
                <w:rFonts w:hint="eastAsia" w:ascii="宋体" w:hAnsi="宋体"/>
                <w:color w:val="auto"/>
                <w:sz w:val="24"/>
                <w:szCs w:val="21"/>
                <w:highlight w:val="none"/>
              </w:rPr>
            </w:pPr>
            <w:r>
              <w:rPr>
                <w:rFonts w:hint="eastAsia" w:ascii="宋体" w:hAnsi="宋体"/>
                <w:color w:val="auto"/>
                <w:sz w:val="24"/>
                <w:szCs w:val="21"/>
                <w:highlight w:val="none"/>
              </w:rPr>
              <w:t>毕业学校</w:t>
            </w:r>
          </w:p>
        </w:tc>
        <w:tc>
          <w:tcPr>
            <w:tcW w:w="2296" w:type="dxa"/>
            <w:vAlign w:val="top"/>
          </w:tcPr>
          <w:p w14:paraId="0129A2E9">
            <w:pPr>
              <w:rPr>
                <w:rFonts w:hint="eastAsia" w:ascii="宋体" w:hAnsi="宋体"/>
                <w:color w:val="auto"/>
                <w:sz w:val="24"/>
                <w:szCs w:val="21"/>
                <w:highlight w:val="none"/>
              </w:rPr>
            </w:pPr>
          </w:p>
        </w:tc>
      </w:tr>
      <w:tr w14:paraId="1A264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vAlign w:val="top"/>
          </w:tcPr>
          <w:p w14:paraId="2386E85A">
            <w:pPr>
              <w:jc w:val="center"/>
              <w:rPr>
                <w:rFonts w:hint="eastAsia" w:ascii="宋体" w:hAnsi="宋体"/>
                <w:color w:val="auto"/>
                <w:sz w:val="24"/>
                <w:szCs w:val="21"/>
                <w:highlight w:val="none"/>
              </w:rPr>
            </w:pPr>
            <w:r>
              <w:rPr>
                <w:rFonts w:hint="eastAsia" w:ascii="宋体" w:hAnsi="宋体"/>
                <w:color w:val="auto"/>
                <w:sz w:val="24"/>
                <w:szCs w:val="21"/>
                <w:highlight w:val="none"/>
              </w:rPr>
              <w:t>学历和专业</w:t>
            </w:r>
          </w:p>
        </w:tc>
        <w:tc>
          <w:tcPr>
            <w:tcW w:w="3420" w:type="dxa"/>
            <w:vAlign w:val="top"/>
          </w:tcPr>
          <w:p w14:paraId="03AAB5FA">
            <w:pPr>
              <w:rPr>
                <w:rFonts w:hint="eastAsia" w:ascii="宋体" w:hAnsi="宋体"/>
                <w:color w:val="auto"/>
                <w:sz w:val="24"/>
                <w:szCs w:val="21"/>
                <w:highlight w:val="none"/>
              </w:rPr>
            </w:pPr>
          </w:p>
        </w:tc>
        <w:tc>
          <w:tcPr>
            <w:tcW w:w="1261" w:type="dxa"/>
            <w:vAlign w:val="top"/>
          </w:tcPr>
          <w:p w14:paraId="43A2A1EE">
            <w:pPr>
              <w:jc w:val="center"/>
              <w:rPr>
                <w:rFonts w:hint="eastAsia" w:ascii="宋体" w:hAnsi="宋体"/>
                <w:color w:val="auto"/>
                <w:sz w:val="24"/>
                <w:szCs w:val="21"/>
                <w:highlight w:val="none"/>
              </w:rPr>
            </w:pPr>
            <w:r>
              <w:rPr>
                <w:rFonts w:hint="eastAsia" w:ascii="宋体" w:hAnsi="宋体"/>
                <w:color w:val="auto"/>
                <w:sz w:val="24"/>
                <w:szCs w:val="21"/>
                <w:highlight w:val="none"/>
              </w:rPr>
              <w:t>毕业时间</w:t>
            </w:r>
          </w:p>
        </w:tc>
        <w:tc>
          <w:tcPr>
            <w:tcW w:w="2296" w:type="dxa"/>
            <w:vAlign w:val="top"/>
          </w:tcPr>
          <w:p w14:paraId="2C68D0EA">
            <w:pPr>
              <w:rPr>
                <w:rFonts w:hint="eastAsia" w:ascii="宋体" w:hAnsi="宋体"/>
                <w:color w:val="auto"/>
                <w:sz w:val="24"/>
                <w:szCs w:val="21"/>
                <w:highlight w:val="none"/>
              </w:rPr>
            </w:pPr>
          </w:p>
        </w:tc>
      </w:tr>
      <w:tr w14:paraId="2D31E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vAlign w:val="top"/>
          </w:tcPr>
          <w:p w14:paraId="278737B8">
            <w:pPr>
              <w:jc w:val="center"/>
              <w:rPr>
                <w:rFonts w:hint="eastAsia" w:ascii="宋体" w:hAnsi="宋体"/>
                <w:color w:val="auto"/>
                <w:sz w:val="24"/>
                <w:szCs w:val="21"/>
                <w:highlight w:val="none"/>
              </w:rPr>
            </w:pPr>
            <w:r>
              <w:rPr>
                <w:rFonts w:hint="eastAsia" w:ascii="宋体" w:hAnsi="宋体"/>
                <w:color w:val="auto"/>
                <w:sz w:val="24"/>
                <w:szCs w:val="21"/>
                <w:highlight w:val="none"/>
              </w:rPr>
              <w:t>拥有的执业资格</w:t>
            </w:r>
          </w:p>
        </w:tc>
        <w:tc>
          <w:tcPr>
            <w:tcW w:w="3420" w:type="dxa"/>
            <w:vAlign w:val="top"/>
          </w:tcPr>
          <w:p w14:paraId="5A20A88E">
            <w:pPr>
              <w:rPr>
                <w:rFonts w:hint="eastAsia" w:ascii="宋体" w:hAnsi="宋体"/>
                <w:color w:val="auto"/>
                <w:sz w:val="24"/>
                <w:szCs w:val="21"/>
                <w:highlight w:val="none"/>
              </w:rPr>
            </w:pPr>
          </w:p>
        </w:tc>
        <w:tc>
          <w:tcPr>
            <w:tcW w:w="1261" w:type="dxa"/>
            <w:vAlign w:val="top"/>
          </w:tcPr>
          <w:p w14:paraId="321A19C2">
            <w:pPr>
              <w:jc w:val="center"/>
              <w:rPr>
                <w:rFonts w:hint="eastAsia" w:ascii="宋体" w:hAnsi="宋体"/>
                <w:color w:val="auto"/>
                <w:sz w:val="24"/>
                <w:szCs w:val="21"/>
                <w:highlight w:val="none"/>
              </w:rPr>
            </w:pPr>
            <w:r>
              <w:rPr>
                <w:rFonts w:hint="eastAsia" w:ascii="宋体" w:hAnsi="宋体"/>
                <w:color w:val="auto"/>
                <w:sz w:val="24"/>
                <w:szCs w:val="21"/>
                <w:highlight w:val="none"/>
              </w:rPr>
              <w:t>专业职称</w:t>
            </w:r>
          </w:p>
        </w:tc>
        <w:tc>
          <w:tcPr>
            <w:tcW w:w="2296" w:type="dxa"/>
            <w:vAlign w:val="top"/>
          </w:tcPr>
          <w:p w14:paraId="08F0F555">
            <w:pPr>
              <w:rPr>
                <w:rFonts w:hint="eastAsia" w:ascii="宋体" w:hAnsi="宋体"/>
                <w:color w:val="auto"/>
                <w:sz w:val="24"/>
                <w:szCs w:val="21"/>
                <w:highlight w:val="none"/>
              </w:rPr>
            </w:pPr>
          </w:p>
        </w:tc>
      </w:tr>
      <w:tr w14:paraId="2DAAB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vAlign w:val="center"/>
          </w:tcPr>
          <w:p w14:paraId="1221900A">
            <w:pPr>
              <w:jc w:val="center"/>
              <w:rPr>
                <w:rFonts w:hint="eastAsia" w:ascii="宋体" w:hAnsi="宋体"/>
                <w:color w:val="auto"/>
                <w:sz w:val="24"/>
                <w:szCs w:val="21"/>
                <w:highlight w:val="none"/>
              </w:rPr>
            </w:pPr>
            <w:r>
              <w:rPr>
                <w:rFonts w:hint="eastAsia" w:ascii="宋体" w:hAnsi="宋体"/>
                <w:color w:val="auto"/>
                <w:sz w:val="24"/>
                <w:szCs w:val="21"/>
                <w:highlight w:val="none"/>
              </w:rPr>
              <w:t>执业资格证书编号</w:t>
            </w:r>
          </w:p>
        </w:tc>
        <w:tc>
          <w:tcPr>
            <w:tcW w:w="3420" w:type="dxa"/>
            <w:vAlign w:val="center"/>
          </w:tcPr>
          <w:p w14:paraId="2663E4A1">
            <w:pPr>
              <w:rPr>
                <w:rFonts w:hint="eastAsia" w:ascii="宋体" w:hAnsi="宋体"/>
                <w:color w:val="auto"/>
                <w:sz w:val="24"/>
                <w:szCs w:val="21"/>
                <w:highlight w:val="none"/>
              </w:rPr>
            </w:pPr>
          </w:p>
        </w:tc>
        <w:tc>
          <w:tcPr>
            <w:tcW w:w="1261" w:type="dxa"/>
            <w:vAlign w:val="center"/>
          </w:tcPr>
          <w:p w14:paraId="6ACF3F0E">
            <w:pPr>
              <w:jc w:val="center"/>
              <w:rPr>
                <w:rFonts w:hint="eastAsia" w:ascii="宋体" w:hAnsi="宋体"/>
                <w:color w:val="auto"/>
                <w:sz w:val="24"/>
                <w:szCs w:val="21"/>
                <w:highlight w:val="none"/>
              </w:rPr>
            </w:pPr>
            <w:r>
              <w:rPr>
                <w:rFonts w:hint="eastAsia" w:ascii="宋体" w:hAnsi="宋体"/>
                <w:color w:val="auto"/>
                <w:sz w:val="24"/>
                <w:szCs w:val="21"/>
                <w:highlight w:val="none"/>
              </w:rPr>
              <w:t>工作年限</w:t>
            </w:r>
          </w:p>
        </w:tc>
        <w:tc>
          <w:tcPr>
            <w:tcW w:w="2296" w:type="dxa"/>
            <w:vAlign w:val="center"/>
          </w:tcPr>
          <w:p w14:paraId="64F6C497">
            <w:pPr>
              <w:rPr>
                <w:rFonts w:hint="eastAsia" w:ascii="宋体" w:hAnsi="宋体"/>
                <w:color w:val="auto"/>
                <w:sz w:val="24"/>
                <w:szCs w:val="21"/>
                <w:highlight w:val="none"/>
              </w:rPr>
            </w:pPr>
          </w:p>
        </w:tc>
      </w:tr>
      <w:tr w14:paraId="23DBC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8" w:hRule="atLeast"/>
          <w:jc w:val="center"/>
        </w:trPr>
        <w:tc>
          <w:tcPr>
            <w:tcW w:w="1923" w:type="dxa"/>
            <w:vAlign w:val="center"/>
          </w:tcPr>
          <w:p w14:paraId="6BD964C3">
            <w:pPr>
              <w:jc w:val="center"/>
              <w:rPr>
                <w:rFonts w:hint="eastAsia" w:ascii="宋体" w:hAnsi="宋体"/>
                <w:color w:val="auto"/>
                <w:sz w:val="24"/>
                <w:szCs w:val="21"/>
                <w:highlight w:val="none"/>
              </w:rPr>
            </w:pPr>
            <w:r>
              <w:rPr>
                <w:rFonts w:hint="eastAsia" w:ascii="宋体" w:hAnsi="宋体"/>
                <w:color w:val="auto"/>
                <w:sz w:val="24"/>
                <w:szCs w:val="21"/>
                <w:highlight w:val="none"/>
              </w:rPr>
              <w:t>主要工作业绩</w:t>
            </w:r>
          </w:p>
          <w:p w14:paraId="06D15E1E">
            <w:pPr>
              <w:jc w:val="center"/>
              <w:rPr>
                <w:rFonts w:hint="eastAsia" w:ascii="宋体" w:hAnsi="宋体"/>
                <w:color w:val="auto"/>
                <w:sz w:val="24"/>
                <w:szCs w:val="21"/>
                <w:highlight w:val="none"/>
              </w:rPr>
            </w:pPr>
            <w:r>
              <w:rPr>
                <w:rFonts w:hint="eastAsia" w:ascii="宋体" w:hAnsi="宋体"/>
                <w:color w:val="auto"/>
                <w:sz w:val="24"/>
                <w:szCs w:val="21"/>
                <w:highlight w:val="none"/>
              </w:rPr>
              <w:t>及担任的主要</w:t>
            </w:r>
          </w:p>
          <w:p w14:paraId="3231902C">
            <w:pPr>
              <w:jc w:val="center"/>
              <w:rPr>
                <w:rFonts w:hint="eastAsia" w:ascii="宋体" w:hAnsi="宋体"/>
                <w:color w:val="auto"/>
                <w:sz w:val="24"/>
                <w:szCs w:val="21"/>
                <w:highlight w:val="none"/>
              </w:rPr>
            </w:pPr>
            <w:r>
              <w:rPr>
                <w:rFonts w:hint="eastAsia" w:ascii="宋体" w:hAnsi="宋体"/>
                <w:color w:val="auto"/>
                <w:sz w:val="24"/>
                <w:szCs w:val="21"/>
                <w:highlight w:val="none"/>
              </w:rPr>
              <w:t>工作</w:t>
            </w:r>
          </w:p>
          <w:p w14:paraId="3095127D">
            <w:pPr>
              <w:jc w:val="center"/>
              <w:rPr>
                <w:rFonts w:hint="eastAsia" w:ascii="宋体" w:hAnsi="宋体"/>
                <w:color w:val="auto"/>
                <w:sz w:val="24"/>
                <w:szCs w:val="21"/>
                <w:highlight w:val="none"/>
              </w:rPr>
            </w:pPr>
          </w:p>
        </w:tc>
        <w:tc>
          <w:tcPr>
            <w:tcW w:w="6977" w:type="dxa"/>
            <w:gridSpan w:val="3"/>
            <w:vAlign w:val="center"/>
          </w:tcPr>
          <w:p w14:paraId="56744B35">
            <w:pPr>
              <w:widowControl/>
              <w:jc w:val="left"/>
              <w:rPr>
                <w:rFonts w:hint="eastAsia" w:ascii="宋体" w:hAnsi="宋体"/>
                <w:color w:val="auto"/>
                <w:sz w:val="24"/>
                <w:szCs w:val="21"/>
                <w:highlight w:val="none"/>
              </w:rPr>
            </w:pPr>
          </w:p>
          <w:p w14:paraId="44C4B3EE">
            <w:pPr>
              <w:widowControl/>
              <w:jc w:val="left"/>
              <w:rPr>
                <w:rFonts w:hint="eastAsia" w:ascii="宋体" w:hAnsi="宋体"/>
                <w:color w:val="auto"/>
                <w:sz w:val="24"/>
                <w:szCs w:val="21"/>
                <w:highlight w:val="none"/>
              </w:rPr>
            </w:pPr>
          </w:p>
          <w:p w14:paraId="522CD471">
            <w:pPr>
              <w:widowControl/>
              <w:jc w:val="left"/>
              <w:rPr>
                <w:rFonts w:hint="eastAsia" w:ascii="宋体" w:hAnsi="宋体"/>
                <w:color w:val="auto"/>
                <w:sz w:val="24"/>
                <w:szCs w:val="21"/>
                <w:highlight w:val="none"/>
              </w:rPr>
            </w:pPr>
          </w:p>
          <w:p w14:paraId="3C2F6A0C">
            <w:pPr>
              <w:widowControl/>
              <w:jc w:val="left"/>
              <w:rPr>
                <w:rFonts w:hint="eastAsia" w:ascii="宋体" w:hAnsi="宋体"/>
                <w:color w:val="auto"/>
                <w:sz w:val="24"/>
                <w:szCs w:val="21"/>
                <w:highlight w:val="none"/>
              </w:rPr>
            </w:pPr>
          </w:p>
          <w:p w14:paraId="7B7DFCCA">
            <w:pPr>
              <w:widowControl/>
              <w:jc w:val="left"/>
              <w:rPr>
                <w:rFonts w:hint="eastAsia" w:ascii="宋体" w:hAnsi="宋体"/>
                <w:color w:val="auto"/>
                <w:sz w:val="24"/>
                <w:szCs w:val="21"/>
                <w:highlight w:val="none"/>
              </w:rPr>
            </w:pPr>
          </w:p>
          <w:p w14:paraId="42AEAC9D">
            <w:pPr>
              <w:ind w:left="0" w:leftChars="0" w:firstLine="0" w:firstLineChars="0"/>
              <w:rPr>
                <w:rFonts w:hint="eastAsia" w:ascii="宋体" w:hAnsi="宋体"/>
                <w:color w:val="auto"/>
                <w:sz w:val="24"/>
                <w:szCs w:val="21"/>
                <w:highlight w:val="none"/>
              </w:rPr>
            </w:pPr>
          </w:p>
          <w:p w14:paraId="661137C5">
            <w:pPr>
              <w:rPr>
                <w:rFonts w:hint="eastAsia" w:ascii="宋体" w:hAnsi="宋体"/>
                <w:color w:val="auto"/>
                <w:sz w:val="24"/>
                <w:szCs w:val="21"/>
                <w:highlight w:val="none"/>
              </w:rPr>
            </w:pPr>
          </w:p>
          <w:p w14:paraId="76EED0D2">
            <w:pPr>
              <w:rPr>
                <w:rFonts w:hint="eastAsia" w:ascii="宋体" w:hAnsi="宋体"/>
                <w:color w:val="auto"/>
                <w:sz w:val="24"/>
                <w:szCs w:val="21"/>
                <w:highlight w:val="none"/>
              </w:rPr>
            </w:pPr>
          </w:p>
          <w:p w14:paraId="31E8F933">
            <w:pPr>
              <w:rPr>
                <w:rFonts w:hint="eastAsia" w:ascii="宋体" w:hAnsi="宋体"/>
                <w:color w:val="auto"/>
                <w:sz w:val="24"/>
                <w:szCs w:val="21"/>
                <w:highlight w:val="none"/>
              </w:rPr>
            </w:pPr>
          </w:p>
          <w:p w14:paraId="232D01EC">
            <w:pPr>
              <w:rPr>
                <w:rFonts w:hint="eastAsia" w:ascii="宋体" w:hAnsi="宋体"/>
                <w:color w:val="auto"/>
                <w:sz w:val="24"/>
                <w:szCs w:val="21"/>
                <w:highlight w:val="none"/>
              </w:rPr>
            </w:pPr>
          </w:p>
          <w:p w14:paraId="27A6E6D5">
            <w:pPr>
              <w:rPr>
                <w:rFonts w:hint="eastAsia" w:ascii="宋体" w:hAnsi="宋体"/>
                <w:color w:val="auto"/>
                <w:sz w:val="24"/>
                <w:szCs w:val="21"/>
                <w:highlight w:val="none"/>
              </w:rPr>
            </w:pPr>
          </w:p>
          <w:p w14:paraId="22DD9851">
            <w:pPr>
              <w:rPr>
                <w:rFonts w:hint="eastAsia" w:ascii="宋体" w:hAnsi="宋体"/>
                <w:color w:val="auto"/>
                <w:sz w:val="24"/>
                <w:szCs w:val="21"/>
                <w:highlight w:val="none"/>
              </w:rPr>
            </w:pPr>
          </w:p>
        </w:tc>
      </w:tr>
    </w:tbl>
    <w:p w14:paraId="656EFD42">
      <w:pPr>
        <w:pStyle w:val="15"/>
        <w:spacing w:line="240" w:lineRule="auto"/>
        <w:ind w:left="-7" w:leftChars="-28" w:hanging="60"/>
        <w:rPr>
          <w:rFonts w:hint="eastAsia"/>
          <w:color w:val="auto"/>
          <w:sz w:val="24"/>
          <w:szCs w:val="21"/>
          <w:highlight w:val="none"/>
        </w:rPr>
      </w:pPr>
    </w:p>
    <w:p w14:paraId="7F832D8E">
      <w:pPr>
        <w:pStyle w:val="15"/>
        <w:spacing w:line="240" w:lineRule="auto"/>
        <w:ind w:left="-7" w:leftChars="-28" w:hanging="60"/>
        <w:rPr>
          <w:rFonts w:hint="eastAsia"/>
          <w:color w:val="auto"/>
          <w:sz w:val="21"/>
          <w:szCs w:val="21"/>
          <w:highlight w:val="none"/>
        </w:rPr>
      </w:pPr>
      <w:r>
        <w:rPr>
          <w:rFonts w:hint="eastAsia"/>
          <w:color w:val="auto"/>
          <w:sz w:val="24"/>
          <w:szCs w:val="21"/>
          <w:highlight w:val="none"/>
        </w:rPr>
        <w:t>注：本工程一旦我单位中标，将配备上述项目管理人员。上述填报内容真实， 如不真实，将按照有关规定接受处理。</w:t>
      </w:r>
    </w:p>
    <w:p w14:paraId="3A1BAB52">
      <w:pPr>
        <w:pStyle w:val="50"/>
        <w:spacing w:line="240" w:lineRule="auto"/>
        <w:jc w:val="both"/>
        <w:rPr>
          <w:rFonts w:hint="eastAsia" w:ascii="宋体" w:hAnsi="宋体"/>
          <w:color w:val="auto"/>
          <w:kern w:val="2"/>
          <w:sz w:val="32"/>
          <w:szCs w:val="28"/>
          <w:highlight w:val="none"/>
        </w:rPr>
      </w:pPr>
    </w:p>
    <w:p w14:paraId="478E13A4">
      <w:pPr>
        <w:keepNext w:val="0"/>
        <w:keepLines w:val="0"/>
        <w:pageBreakBefore w:val="0"/>
        <w:widowControl w:val="0"/>
        <w:kinsoku/>
        <w:wordWrap/>
        <w:overflowPunct/>
        <w:topLinePunct w:val="0"/>
        <w:autoSpaceDE/>
        <w:autoSpaceDN/>
        <w:bidi w:val="0"/>
        <w:adjustRightInd/>
        <w:snapToGrid/>
        <w:spacing w:line="500" w:lineRule="exact"/>
        <w:ind w:firstLine="1920" w:firstLineChars="8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盖章</w:t>
      </w:r>
      <w:r>
        <w:rPr>
          <w:rFonts w:hint="eastAsia" w:ascii="宋体" w:hAnsi="宋体" w:eastAsia="宋体" w:cs="宋体"/>
          <w:color w:val="auto"/>
          <w:sz w:val="24"/>
          <w:highlight w:val="none"/>
        </w:rPr>
        <w:t xml:space="preserve">）   </w:t>
      </w:r>
    </w:p>
    <w:p w14:paraId="68E57E33">
      <w:pPr>
        <w:keepNext w:val="0"/>
        <w:keepLines w:val="0"/>
        <w:pageBreakBefore w:val="0"/>
        <w:widowControl w:val="0"/>
        <w:kinsoku/>
        <w:wordWrap/>
        <w:overflowPunct/>
        <w:topLinePunct w:val="0"/>
        <w:autoSpaceDE/>
        <w:autoSpaceDN/>
        <w:bidi w:val="0"/>
        <w:adjustRightInd/>
        <w:snapToGrid/>
        <w:spacing w:line="500" w:lineRule="exact"/>
        <w:ind w:firstLine="1920" w:firstLineChars="8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val="en-US" w:eastAsia="zh-CN"/>
        </w:rPr>
        <w:t>和</w:t>
      </w:r>
      <w:r>
        <w:rPr>
          <w:rFonts w:hint="eastAsia" w:ascii="宋体" w:hAnsi="宋体" w:eastAsia="宋体" w:cs="宋体"/>
          <w:color w:val="auto"/>
          <w:sz w:val="24"/>
          <w:highlight w:val="none"/>
        </w:rPr>
        <w:t>授权代表人：</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w:t>
      </w:r>
      <w:r>
        <w:rPr>
          <w:rFonts w:hint="eastAsia" w:ascii="宋体" w:hAnsi="宋体" w:cs="宋体"/>
          <w:color w:val="auto"/>
          <w:sz w:val="24"/>
          <w:highlight w:val="none"/>
          <w:lang w:eastAsia="zh-CN"/>
        </w:rPr>
        <w:t>或</w:t>
      </w:r>
      <w:r>
        <w:rPr>
          <w:rFonts w:hint="eastAsia" w:ascii="宋体" w:hAnsi="宋体" w:eastAsia="宋体" w:cs="宋体"/>
          <w:color w:val="auto"/>
          <w:sz w:val="24"/>
          <w:highlight w:val="none"/>
        </w:rPr>
        <w:t xml:space="preserve">盖章） </w:t>
      </w:r>
    </w:p>
    <w:p w14:paraId="2A5FF1B7">
      <w:pPr>
        <w:pageBreakBefore w:val="0"/>
        <w:kinsoku/>
        <w:wordWrap/>
        <w:overflowPunct/>
        <w:topLinePunct w:val="0"/>
        <w:bidi w:val="0"/>
        <w:spacing w:line="360" w:lineRule="auto"/>
        <w:ind w:firstLine="5040" w:firstLineChars="21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14:paraId="2533299D">
      <w:pPr>
        <w:pageBreakBefore w:val="0"/>
        <w:kinsoku/>
        <w:wordWrap/>
        <w:overflowPunct/>
        <w:topLinePunct w:val="0"/>
        <w:bidi w:val="0"/>
        <w:spacing w:line="360" w:lineRule="auto"/>
        <w:ind w:firstLine="5520" w:firstLineChars="2300"/>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6DD1F6E2">
      <w:pPr>
        <w:rPr>
          <w:rFonts w:hint="eastAsia"/>
          <w:highlight w:val="none"/>
        </w:rPr>
      </w:pPr>
      <w:r>
        <w:rPr>
          <w:rFonts w:hint="eastAsia"/>
          <w:highlight w:val="none"/>
        </w:rPr>
        <w:br w:type="page"/>
      </w:r>
    </w:p>
    <w:tbl>
      <w:tblPr>
        <w:tblStyle w:val="25"/>
        <w:tblW w:w="9260" w:type="dxa"/>
        <w:jc w:val="center"/>
        <w:tblLayout w:type="fixed"/>
        <w:tblCellMar>
          <w:top w:w="0" w:type="dxa"/>
          <w:left w:w="108" w:type="dxa"/>
          <w:bottom w:w="0" w:type="dxa"/>
          <w:right w:w="108" w:type="dxa"/>
        </w:tblCellMar>
      </w:tblPr>
      <w:tblGrid>
        <w:gridCol w:w="9260"/>
      </w:tblGrid>
      <w:tr w14:paraId="4555F345">
        <w:trPr>
          <w:trHeight w:val="90" w:hRule="atLeast"/>
          <w:jc w:val="center"/>
        </w:trPr>
        <w:tc>
          <w:tcPr>
            <w:tcW w:w="9260" w:type="dxa"/>
            <w:tcBorders>
              <w:top w:val="nil"/>
              <w:left w:val="nil"/>
              <w:bottom w:val="nil"/>
              <w:right w:val="nil"/>
            </w:tcBorders>
            <w:vAlign w:val="bottom"/>
          </w:tcPr>
          <w:p w14:paraId="636A6E02">
            <w:pPr>
              <w:numPr>
                <w:ilvl w:val="0"/>
                <w:numId w:val="0"/>
              </w:numPr>
              <w:spacing w:line="460" w:lineRule="exact"/>
              <w:ind w:leftChars="-50" w:right="62" w:rightChars="0"/>
              <w:jc w:val="both"/>
              <w:rPr>
                <w:rFonts w:hint="eastAsia" w:ascii="宋体" w:hAnsi="宋体" w:eastAsia="宋体" w:cs="宋体"/>
                <w:b/>
                <w:color w:val="auto"/>
                <w:sz w:val="28"/>
                <w:szCs w:val="28"/>
                <w:highlight w:val="none"/>
                <w:lang w:val="en-US" w:eastAsia="zh-CN"/>
              </w:rPr>
            </w:pPr>
          </w:p>
          <w:p w14:paraId="2AAB409E">
            <w:pPr>
              <w:numPr>
                <w:ilvl w:val="0"/>
                <w:numId w:val="0"/>
              </w:numPr>
              <w:spacing w:line="460" w:lineRule="exact"/>
              <w:ind w:leftChars="-50" w:right="62" w:rightChars="0"/>
              <w:jc w:val="center"/>
              <w:rPr>
                <w:rFonts w:hint="eastAsia"/>
                <w:color w:val="auto"/>
                <w:highlight w:val="none"/>
              </w:rPr>
            </w:pPr>
            <w:r>
              <w:rPr>
                <w:rFonts w:hint="eastAsia" w:ascii="宋体" w:hAnsi="宋体" w:eastAsia="宋体" w:cs="宋体"/>
                <w:b/>
                <w:color w:val="auto"/>
                <w:sz w:val="28"/>
                <w:szCs w:val="28"/>
                <w:highlight w:val="none"/>
                <w:lang w:val="en-US" w:eastAsia="zh-CN"/>
              </w:rPr>
              <w:t>1</w:t>
            </w:r>
            <w:r>
              <w:rPr>
                <w:rFonts w:hint="eastAsia" w:ascii="宋体" w:hAnsi="宋体" w:cs="宋体"/>
                <w:b/>
                <w:color w:val="auto"/>
                <w:sz w:val="28"/>
                <w:szCs w:val="28"/>
                <w:highlight w:val="none"/>
                <w:lang w:val="en-US" w:eastAsia="zh-CN"/>
              </w:rPr>
              <w:t>4</w:t>
            </w:r>
            <w:r>
              <w:rPr>
                <w:rFonts w:hint="eastAsia" w:ascii="宋体" w:hAnsi="宋体" w:eastAsia="宋体" w:cs="宋体"/>
                <w:b/>
                <w:color w:val="auto"/>
                <w:sz w:val="28"/>
                <w:szCs w:val="28"/>
                <w:highlight w:val="none"/>
                <w:lang w:val="en-US" w:eastAsia="zh-CN"/>
              </w:rPr>
              <w:t>、近三年完成的类似项目情况表</w:t>
            </w:r>
          </w:p>
          <w:tbl>
            <w:tblPr>
              <w:tblStyle w:val="2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14:paraId="22AB6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CC339F5">
                  <w:pPr>
                    <w:jc w:val="center"/>
                    <w:rPr>
                      <w:rFonts w:hint="eastAsia" w:ascii="宋体" w:hAnsi="宋体"/>
                      <w:color w:val="auto"/>
                      <w:szCs w:val="21"/>
                      <w:highlight w:val="none"/>
                    </w:rPr>
                  </w:pPr>
                  <w:r>
                    <w:rPr>
                      <w:rFonts w:hint="eastAsia" w:ascii="宋体" w:hAnsi="宋体"/>
                      <w:color w:val="auto"/>
                      <w:szCs w:val="21"/>
                      <w:highlight w:val="none"/>
                    </w:rPr>
                    <w:t>项目名称</w:t>
                  </w:r>
                </w:p>
              </w:tc>
              <w:tc>
                <w:tcPr>
                  <w:tcW w:w="6094" w:type="dxa"/>
                  <w:vAlign w:val="center"/>
                </w:tcPr>
                <w:p w14:paraId="0E39320E">
                  <w:pPr>
                    <w:jc w:val="center"/>
                    <w:rPr>
                      <w:rFonts w:hint="eastAsia" w:ascii="宋体" w:hAnsi="宋体"/>
                      <w:color w:val="auto"/>
                      <w:szCs w:val="21"/>
                      <w:highlight w:val="none"/>
                    </w:rPr>
                  </w:pPr>
                </w:p>
              </w:tc>
            </w:tr>
            <w:tr w14:paraId="67E55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650F1CB">
                  <w:pPr>
                    <w:jc w:val="center"/>
                    <w:rPr>
                      <w:rFonts w:hint="eastAsia" w:ascii="宋体" w:hAnsi="宋体"/>
                      <w:color w:val="auto"/>
                      <w:szCs w:val="21"/>
                      <w:highlight w:val="none"/>
                    </w:rPr>
                  </w:pPr>
                  <w:r>
                    <w:rPr>
                      <w:rFonts w:hint="eastAsia" w:ascii="宋体" w:hAnsi="宋体"/>
                      <w:color w:val="auto"/>
                      <w:szCs w:val="21"/>
                      <w:highlight w:val="none"/>
                    </w:rPr>
                    <w:t>项目所在地</w:t>
                  </w:r>
                </w:p>
              </w:tc>
              <w:tc>
                <w:tcPr>
                  <w:tcW w:w="6094" w:type="dxa"/>
                  <w:vAlign w:val="center"/>
                </w:tcPr>
                <w:p w14:paraId="18F6A6EC">
                  <w:pPr>
                    <w:jc w:val="center"/>
                    <w:rPr>
                      <w:rFonts w:hint="eastAsia" w:ascii="宋体" w:hAnsi="宋体"/>
                      <w:color w:val="auto"/>
                      <w:szCs w:val="21"/>
                      <w:highlight w:val="none"/>
                    </w:rPr>
                  </w:pPr>
                </w:p>
              </w:tc>
            </w:tr>
            <w:tr w14:paraId="31E06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0F2130A">
                  <w:pPr>
                    <w:jc w:val="center"/>
                    <w:rPr>
                      <w:rFonts w:hint="eastAsia" w:ascii="宋体" w:hAnsi="宋体"/>
                      <w:color w:val="auto"/>
                      <w:szCs w:val="21"/>
                      <w:highlight w:val="none"/>
                    </w:rPr>
                  </w:pPr>
                  <w:r>
                    <w:rPr>
                      <w:rFonts w:hint="eastAsia" w:ascii="宋体" w:hAnsi="宋体"/>
                      <w:color w:val="auto"/>
                      <w:szCs w:val="21"/>
                      <w:highlight w:val="none"/>
                    </w:rPr>
                    <w:t>发包人名称</w:t>
                  </w:r>
                </w:p>
              </w:tc>
              <w:tc>
                <w:tcPr>
                  <w:tcW w:w="6094" w:type="dxa"/>
                  <w:vAlign w:val="center"/>
                </w:tcPr>
                <w:p w14:paraId="1FC2320C">
                  <w:pPr>
                    <w:jc w:val="center"/>
                    <w:rPr>
                      <w:rFonts w:hint="eastAsia" w:ascii="宋体" w:hAnsi="宋体"/>
                      <w:color w:val="auto"/>
                      <w:szCs w:val="21"/>
                      <w:highlight w:val="none"/>
                    </w:rPr>
                  </w:pPr>
                </w:p>
              </w:tc>
            </w:tr>
            <w:tr w14:paraId="6BE0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E854842">
                  <w:pPr>
                    <w:jc w:val="center"/>
                    <w:rPr>
                      <w:rFonts w:hint="eastAsia" w:ascii="宋体" w:hAnsi="宋体"/>
                      <w:color w:val="auto"/>
                      <w:szCs w:val="21"/>
                      <w:highlight w:val="none"/>
                    </w:rPr>
                  </w:pPr>
                  <w:r>
                    <w:rPr>
                      <w:rFonts w:hint="eastAsia" w:ascii="宋体" w:hAnsi="宋体"/>
                      <w:color w:val="auto"/>
                      <w:szCs w:val="21"/>
                      <w:highlight w:val="none"/>
                    </w:rPr>
                    <w:t>发包人地址</w:t>
                  </w:r>
                </w:p>
              </w:tc>
              <w:tc>
                <w:tcPr>
                  <w:tcW w:w="6094" w:type="dxa"/>
                  <w:vAlign w:val="center"/>
                </w:tcPr>
                <w:p w14:paraId="039C4D2B">
                  <w:pPr>
                    <w:jc w:val="center"/>
                    <w:rPr>
                      <w:rFonts w:hint="eastAsia" w:ascii="宋体" w:hAnsi="宋体"/>
                      <w:color w:val="auto"/>
                      <w:szCs w:val="21"/>
                      <w:highlight w:val="none"/>
                    </w:rPr>
                  </w:pPr>
                </w:p>
              </w:tc>
            </w:tr>
            <w:tr w14:paraId="40878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DDFB93E">
                  <w:pPr>
                    <w:jc w:val="center"/>
                    <w:rPr>
                      <w:rFonts w:hint="eastAsia" w:ascii="宋体" w:hAnsi="宋体"/>
                      <w:color w:val="auto"/>
                      <w:szCs w:val="21"/>
                      <w:highlight w:val="none"/>
                    </w:rPr>
                  </w:pPr>
                  <w:r>
                    <w:rPr>
                      <w:rFonts w:hint="eastAsia" w:ascii="宋体" w:hAnsi="宋体"/>
                      <w:color w:val="auto"/>
                      <w:szCs w:val="21"/>
                      <w:highlight w:val="none"/>
                    </w:rPr>
                    <w:t>发包人联系人及电话</w:t>
                  </w:r>
                </w:p>
              </w:tc>
              <w:tc>
                <w:tcPr>
                  <w:tcW w:w="6094" w:type="dxa"/>
                  <w:vAlign w:val="center"/>
                </w:tcPr>
                <w:p w14:paraId="6ACA0A1B">
                  <w:pPr>
                    <w:jc w:val="center"/>
                    <w:rPr>
                      <w:rFonts w:hint="eastAsia" w:ascii="宋体" w:hAnsi="宋体"/>
                      <w:color w:val="auto"/>
                      <w:szCs w:val="21"/>
                      <w:highlight w:val="none"/>
                    </w:rPr>
                  </w:pPr>
                </w:p>
              </w:tc>
            </w:tr>
            <w:tr w14:paraId="1D4B9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D00701C">
                  <w:pPr>
                    <w:jc w:val="center"/>
                    <w:rPr>
                      <w:rFonts w:hint="eastAsia" w:ascii="宋体" w:hAnsi="宋体"/>
                      <w:color w:val="auto"/>
                      <w:szCs w:val="21"/>
                      <w:highlight w:val="none"/>
                    </w:rPr>
                  </w:pPr>
                  <w:r>
                    <w:rPr>
                      <w:rFonts w:hint="eastAsia" w:ascii="宋体" w:hAnsi="宋体"/>
                      <w:color w:val="auto"/>
                      <w:szCs w:val="21"/>
                      <w:highlight w:val="none"/>
                    </w:rPr>
                    <w:t>合同价格</w:t>
                  </w:r>
                </w:p>
              </w:tc>
              <w:tc>
                <w:tcPr>
                  <w:tcW w:w="6094" w:type="dxa"/>
                  <w:vAlign w:val="center"/>
                </w:tcPr>
                <w:p w14:paraId="38E4B2E6">
                  <w:pPr>
                    <w:jc w:val="center"/>
                    <w:rPr>
                      <w:rFonts w:hint="eastAsia" w:ascii="宋体" w:hAnsi="宋体"/>
                      <w:color w:val="auto"/>
                      <w:szCs w:val="21"/>
                      <w:highlight w:val="none"/>
                    </w:rPr>
                  </w:pPr>
                </w:p>
              </w:tc>
            </w:tr>
            <w:tr w14:paraId="7D5F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BFC37D0">
                  <w:pPr>
                    <w:jc w:val="center"/>
                    <w:rPr>
                      <w:rFonts w:hint="eastAsia" w:ascii="宋体" w:hAnsi="宋体"/>
                      <w:color w:val="auto"/>
                      <w:szCs w:val="21"/>
                      <w:highlight w:val="none"/>
                    </w:rPr>
                  </w:pPr>
                  <w:r>
                    <w:rPr>
                      <w:rFonts w:hint="eastAsia" w:ascii="宋体" w:hAnsi="宋体"/>
                      <w:color w:val="auto"/>
                      <w:szCs w:val="21"/>
                      <w:highlight w:val="none"/>
                    </w:rPr>
                    <w:t>开工日期</w:t>
                  </w:r>
                </w:p>
              </w:tc>
              <w:tc>
                <w:tcPr>
                  <w:tcW w:w="6094" w:type="dxa"/>
                  <w:vAlign w:val="center"/>
                </w:tcPr>
                <w:p w14:paraId="748C8061">
                  <w:pPr>
                    <w:jc w:val="center"/>
                    <w:rPr>
                      <w:rFonts w:hint="eastAsia" w:ascii="宋体" w:hAnsi="宋体"/>
                      <w:color w:val="auto"/>
                      <w:szCs w:val="21"/>
                      <w:highlight w:val="none"/>
                    </w:rPr>
                  </w:pPr>
                </w:p>
              </w:tc>
            </w:tr>
            <w:tr w14:paraId="09F2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60D89D3">
                  <w:pPr>
                    <w:jc w:val="center"/>
                    <w:rPr>
                      <w:rFonts w:hint="eastAsia" w:ascii="宋体" w:hAnsi="宋体"/>
                      <w:color w:val="auto"/>
                      <w:szCs w:val="21"/>
                      <w:highlight w:val="none"/>
                    </w:rPr>
                  </w:pPr>
                  <w:r>
                    <w:rPr>
                      <w:rFonts w:hint="eastAsia" w:ascii="宋体" w:hAnsi="宋体"/>
                      <w:color w:val="auto"/>
                      <w:szCs w:val="21"/>
                      <w:highlight w:val="none"/>
                    </w:rPr>
                    <w:t>竣工日期</w:t>
                  </w:r>
                </w:p>
              </w:tc>
              <w:tc>
                <w:tcPr>
                  <w:tcW w:w="6094" w:type="dxa"/>
                  <w:vAlign w:val="center"/>
                </w:tcPr>
                <w:p w14:paraId="4F9F44DD">
                  <w:pPr>
                    <w:jc w:val="center"/>
                    <w:rPr>
                      <w:rFonts w:hint="eastAsia" w:ascii="宋体" w:hAnsi="宋体"/>
                      <w:color w:val="auto"/>
                      <w:szCs w:val="21"/>
                      <w:highlight w:val="none"/>
                    </w:rPr>
                  </w:pPr>
                </w:p>
              </w:tc>
            </w:tr>
            <w:tr w14:paraId="069DD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5A7255D">
                  <w:pPr>
                    <w:jc w:val="center"/>
                    <w:rPr>
                      <w:rFonts w:hint="eastAsia" w:ascii="宋体" w:hAnsi="宋体"/>
                      <w:color w:val="auto"/>
                      <w:szCs w:val="21"/>
                      <w:highlight w:val="none"/>
                    </w:rPr>
                  </w:pPr>
                  <w:r>
                    <w:rPr>
                      <w:rFonts w:hint="eastAsia" w:ascii="宋体" w:hAnsi="宋体"/>
                      <w:color w:val="auto"/>
                      <w:szCs w:val="21"/>
                      <w:highlight w:val="none"/>
                    </w:rPr>
                    <w:t>承担的工作</w:t>
                  </w:r>
                </w:p>
              </w:tc>
              <w:tc>
                <w:tcPr>
                  <w:tcW w:w="6094" w:type="dxa"/>
                  <w:vAlign w:val="center"/>
                </w:tcPr>
                <w:p w14:paraId="51EBB31B">
                  <w:pPr>
                    <w:jc w:val="center"/>
                    <w:rPr>
                      <w:rFonts w:hint="eastAsia" w:ascii="宋体" w:hAnsi="宋体"/>
                      <w:color w:val="auto"/>
                      <w:szCs w:val="21"/>
                      <w:highlight w:val="none"/>
                    </w:rPr>
                  </w:pPr>
                </w:p>
              </w:tc>
            </w:tr>
            <w:tr w14:paraId="20A72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013A848">
                  <w:pPr>
                    <w:jc w:val="center"/>
                    <w:rPr>
                      <w:rFonts w:hint="eastAsia" w:ascii="宋体" w:hAnsi="宋体"/>
                      <w:color w:val="auto"/>
                      <w:szCs w:val="21"/>
                      <w:highlight w:val="none"/>
                    </w:rPr>
                  </w:pPr>
                  <w:r>
                    <w:rPr>
                      <w:rFonts w:hint="eastAsia" w:ascii="宋体" w:hAnsi="宋体"/>
                      <w:color w:val="auto"/>
                      <w:szCs w:val="21"/>
                      <w:highlight w:val="none"/>
                    </w:rPr>
                    <w:t>工程质量</w:t>
                  </w:r>
                </w:p>
              </w:tc>
              <w:tc>
                <w:tcPr>
                  <w:tcW w:w="6094" w:type="dxa"/>
                  <w:vAlign w:val="center"/>
                </w:tcPr>
                <w:p w14:paraId="3B77E8FA">
                  <w:pPr>
                    <w:jc w:val="center"/>
                    <w:rPr>
                      <w:rFonts w:hint="eastAsia" w:ascii="宋体" w:hAnsi="宋体"/>
                      <w:color w:val="auto"/>
                      <w:szCs w:val="21"/>
                      <w:highlight w:val="none"/>
                    </w:rPr>
                  </w:pPr>
                </w:p>
              </w:tc>
            </w:tr>
            <w:tr w14:paraId="1C993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2F22A8A">
                  <w:pPr>
                    <w:jc w:val="center"/>
                    <w:rPr>
                      <w:rFonts w:hint="eastAsia" w:ascii="宋体" w:hAnsi="宋体"/>
                      <w:color w:val="auto"/>
                      <w:szCs w:val="21"/>
                      <w:highlight w:val="none"/>
                    </w:rPr>
                  </w:pPr>
                  <w:r>
                    <w:rPr>
                      <w:rFonts w:hint="eastAsia" w:ascii="宋体" w:hAnsi="宋体"/>
                      <w:color w:val="auto"/>
                      <w:szCs w:val="21"/>
                      <w:highlight w:val="none"/>
                    </w:rPr>
                    <w:t>项目负责人</w:t>
                  </w:r>
                </w:p>
              </w:tc>
              <w:tc>
                <w:tcPr>
                  <w:tcW w:w="6094" w:type="dxa"/>
                  <w:vAlign w:val="center"/>
                </w:tcPr>
                <w:p w14:paraId="5A467BCF">
                  <w:pPr>
                    <w:jc w:val="center"/>
                    <w:rPr>
                      <w:rFonts w:hint="eastAsia" w:ascii="宋体" w:hAnsi="宋体"/>
                      <w:color w:val="auto"/>
                      <w:szCs w:val="21"/>
                      <w:highlight w:val="none"/>
                    </w:rPr>
                  </w:pPr>
                </w:p>
              </w:tc>
            </w:tr>
            <w:tr w14:paraId="1C45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4E1F75B">
                  <w:pPr>
                    <w:jc w:val="center"/>
                    <w:rPr>
                      <w:rFonts w:hint="eastAsia" w:ascii="宋体" w:hAnsi="宋体"/>
                      <w:color w:val="auto"/>
                      <w:szCs w:val="21"/>
                      <w:highlight w:val="none"/>
                    </w:rPr>
                  </w:pPr>
                  <w:r>
                    <w:rPr>
                      <w:rFonts w:hint="eastAsia" w:ascii="宋体" w:hAnsi="宋体"/>
                      <w:color w:val="auto"/>
                      <w:szCs w:val="21"/>
                      <w:highlight w:val="none"/>
                    </w:rPr>
                    <w:t>技术负责人</w:t>
                  </w:r>
                </w:p>
              </w:tc>
              <w:tc>
                <w:tcPr>
                  <w:tcW w:w="6094" w:type="dxa"/>
                  <w:vAlign w:val="center"/>
                </w:tcPr>
                <w:p w14:paraId="35981885">
                  <w:pPr>
                    <w:jc w:val="center"/>
                    <w:rPr>
                      <w:rFonts w:hint="eastAsia" w:ascii="宋体" w:hAnsi="宋体"/>
                      <w:color w:val="auto"/>
                      <w:szCs w:val="21"/>
                      <w:highlight w:val="none"/>
                    </w:rPr>
                  </w:pPr>
                </w:p>
              </w:tc>
            </w:tr>
            <w:tr w14:paraId="13DC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DC45482">
                  <w:pPr>
                    <w:jc w:val="center"/>
                    <w:rPr>
                      <w:rFonts w:hint="eastAsia" w:ascii="宋体" w:hAnsi="宋体"/>
                      <w:color w:val="auto"/>
                      <w:szCs w:val="21"/>
                      <w:highlight w:val="none"/>
                    </w:rPr>
                  </w:pPr>
                  <w:r>
                    <w:rPr>
                      <w:rFonts w:hint="eastAsia" w:ascii="宋体" w:hAnsi="宋体"/>
                      <w:color w:val="auto"/>
                      <w:szCs w:val="21"/>
                      <w:highlight w:val="none"/>
                    </w:rPr>
                    <w:t>总监理工程师及电话</w:t>
                  </w:r>
                </w:p>
              </w:tc>
              <w:tc>
                <w:tcPr>
                  <w:tcW w:w="6094" w:type="dxa"/>
                  <w:vAlign w:val="center"/>
                </w:tcPr>
                <w:p w14:paraId="1D66075D">
                  <w:pPr>
                    <w:jc w:val="center"/>
                    <w:rPr>
                      <w:rFonts w:hint="eastAsia" w:ascii="宋体" w:hAnsi="宋体"/>
                      <w:color w:val="auto"/>
                      <w:szCs w:val="21"/>
                      <w:highlight w:val="none"/>
                    </w:rPr>
                  </w:pPr>
                </w:p>
              </w:tc>
            </w:tr>
            <w:tr w14:paraId="76CE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411" w:type="dxa"/>
                  <w:vAlign w:val="center"/>
                </w:tcPr>
                <w:p w14:paraId="7218E514">
                  <w:pPr>
                    <w:jc w:val="center"/>
                    <w:rPr>
                      <w:rFonts w:hint="eastAsia" w:ascii="宋体" w:hAnsi="宋体"/>
                      <w:color w:val="auto"/>
                      <w:szCs w:val="21"/>
                      <w:highlight w:val="none"/>
                    </w:rPr>
                  </w:pPr>
                  <w:r>
                    <w:rPr>
                      <w:rFonts w:hint="eastAsia" w:ascii="宋体" w:hAnsi="宋体"/>
                      <w:color w:val="auto"/>
                      <w:szCs w:val="21"/>
                      <w:highlight w:val="none"/>
                    </w:rPr>
                    <w:t>项目描述</w:t>
                  </w:r>
                </w:p>
              </w:tc>
              <w:tc>
                <w:tcPr>
                  <w:tcW w:w="6094" w:type="dxa"/>
                  <w:vAlign w:val="center"/>
                </w:tcPr>
                <w:p w14:paraId="50282617">
                  <w:pPr>
                    <w:jc w:val="center"/>
                    <w:rPr>
                      <w:rFonts w:hint="eastAsia" w:ascii="宋体" w:hAnsi="宋体"/>
                      <w:color w:val="auto"/>
                      <w:szCs w:val="21"/>
                      <w:highlight w:val="none"/>
                    </w:rPr>
                  </w:pPr>
                </w:p>
              </w:tc>
            </w:tr>
            <w:tr w14:paraId="682F9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2C8A0FD">
                  <w:pPr>
                    <w:jc w:val="center"/>
                    <w:rPr>
                      <w:rFonts w:hint="eastAsia" w:ascii="宋体" w:hAnsi="宋体"/>
                      <w:color w:val="auto"/>
                      <w:szCs w:val="21"/>
                      <w:highlight w:val="none"/>
                    </w:rPr>
                  </w:pPr>
                  <w:r>
                    <w:rPr>
                      <w:rFonts w:hint="eastAsia" w:ascii="宋体" w:hAnsi="宋体"/>
                      <w:color w:val="auto"/>
                      <w:szCs w:val="21"/>
                      <w:highlight w:val="none"/>
                    </w:rPr>
                    <w:t>备注</w:t>
                  </w:r>
                </w:p>
              </w:tc>
              <w:tc>
                <w:tcPr>
                  <w:tcW w:w="6094" w:type="dxa"/>
                  <w:vAlign w:val="center"/>
                </w:tcPr>
                <w:p w14:paraId="12F10A2E">
                  <w:pPr>
                    <w:jc w:val="center"/>
                    <w:rPr>
                      <w:rFonts w:hint="eastAsia" w:ascii="宋体" w:hAnsi="宋体"/>
                      <w:color w:val="auto"/>
                      <w:szCs w:val="21"/>
                      <w:highlight w:val="none"/>
                    </w:rPr>
                  </w:pPr>
                </w:p>
              </w:tc>
            </w:tr>
          </w:tbl>
          <w:p w14:paraId="5CCC9840">
            <w:pPr>
              <w:spacing w:line="440" w:lineRule="exact"/>
              <w:rPr>
                <w:rFonts w:ascii="宋体" w:hAnsi="宋体" w:cs="宋体"/>
                <w:color w:val="auto"/>
                <w:sz w:val="24"/>
                <w:highlight w:val="none"/>
              </w:rPr>
            </w:pPr>
            <w:r>
              <w:rPr>
                <w:rFonts w:hint="eastAsia" w:ascii="宋体" w:hAnsi="宋体"/>
                <w:color w:val="auto"/>
                <w:sz w:val="24"/>
                <w:szCs w:val="21"/>
                <w:highlight w:val="none"/>
              </w:rPr>
              <w:t>备注：1、本表后附</w:t>
            </w:r>
            <w:r>
              <w:rPr>
                <w:rFonts w:hint="eastAsia" w:asciiTheme="minorEastAsia" w:hAnsiTheme="minorEastAsia" w:eastAsiaTheme="minorEastAsia" w:cstheme="minorEastAsia"/>
                <w:color w:val="auto"/>
                <w:kern w:val="2"/>
                <w:sz w:val="24"/>
                <w:szCs w:val="24"/>
                <w:highlight w:val="none"/>
                <w:shd w:val="clear" w:color="auto" w:fill="FFFFFF"/>
                <w:lang w:val="en-US" w:eastAsia="zh-CN"/>
              </w:rPr>
              <w:t>2022年1月至今的中标通知书、合同协议书、竣工验收报告或合同工程完工证明</w:t>
            </w:r>
            <w:r>
              <w:rPr>
                <w:rFonts w:hint="eastAsia" w:ascii="宋体" w:hAnsi="宋体"/>
                <w:color w:val="auto"/>
                <w:sz w:val="24"/>
                <w:szCs w:val="21"/>
                <w:highlight w:val="none"/>
              </w:rPr>
              <w:t>复印件。每张表格只填写一个项目，并标明序号。</w:t>
            </w:r>
          </w:p>
        </w:tc>
      </w:tr>
    </w:tbl>
    <w:p w14:paraId="1A13F373">
      <w:pPr>
        <w:rPr>
          <w:rFonts w:ascii="宋体" w:hAnsi="宋体" w:cs="宋体"/>
          <w:b/>
          <w:color w:val="auto"/>
          <w:kern w:val="0"/>
          <w:sz w:val="24"/>
          <w:highlight w:val="none"/>
          <w:lang w:bidi="ar"/>
        </w:rPr>
      </w:pPr>
    </w:p>
    <w:p w14:paraId="44D6A4AB">
      <w:pPr>
        <w:keepNext w:val="0"/>
        <w:keepLines w:val="0"/>
        <w:pageBreakBefore w:val="0"/>
        <w:widowControl w:val="0"/>
        <w:kinsoku/>
        <w:wordWrap/>
        <w:overflowPunct/>
        <w:topLinePunct w:val="0"/>
        <w:autoSpaceDE/>
        <w:autoSpaceDN/>
        <w:bidi w:val="0"/>
        <w:adjustRightInd/>
        <w:snapToGrid/>
        <w:spacing w:line="500" w:lineRule="exact"/>
        <w:ind w:firstLine="1920" w:firstLineChars="8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（法人公章）   </w:t>
      </w:r>
    </w:p>
    <w:p w14:paraId="3008AAFE">
      <w:pPr>
        <w:keepNext w:val="0"/>
        <w:keepLines w:val="0"/>
        <w:pageBreakBefore w:val="0"/>
        <w:widowControl w:val="0"/>
        <w:kinsoku/>
        <w:wordWrap/>
        <w:overflowPunct/>
        <w:topLinePunct w:val="0"/>
        <w:autoSpaceDE/>
        <w:autoSpaceDN/>
        <w:bidi w:val="0"/>
        <w:adjustRightInd/>
        <w:snapToGrid/>
        <w:spacing w:line="500" w:lineRule="exact"/>
        <w:ind w:firstLine="1920" w:firstLineChars="8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val="en-US" w:eastAsia="zh-CN"/>
        </w:rPr>
        <w:t>和</w:t>
      </w:r>
      <w:r>
        <w:rPr>
          <w:rFonts w:hint="eastAsia" w:ascii="宋体" w:hAnsi="宋体" w:eastAsia="宋体" w:cs="宋体"/>
          <w:color w:val="auto"/>
          <w:sz w:val="24"/>
          <w:highlight w:val="none"/>
        </w:rPr>
        <w:t>授权代表人：</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w:t>
      </w:r>
      <w:r>
        <w:rPr>
          <w:rFonts w:hint="eastAsia" w:ascii="宋体" w:hAnsi="宋体" w:cs="宋体"/>
          <w:color w:val="auto"/>
          <w:sz w:val="24"/>
          <w:highlight w:val="none"/>
          <w:lang w:eastAsia="zh-CN"/>
        </w:rPr>
        <w:t>或</w:t>
      </w:r>
      <w:r>
        <w:rPr>
          <w:rFonts w:hint="eastAsia" w:ascii="宋体" w:hAnsi="宋体" w:eastAsia="宋体" w:cs="宋体"/>
          <w:color w:val="auto"/>
          <w:sz w:val="24"/>
          <w:highlight w:val="none"/>
        </w:rPr>
        <w:t xml:space="preserve">盖章） </w:t>
      </w:r>
      <w:r>
        <w:rPr>
          <w:rFonts w:hint="eastAsia" w:ascii="宋体" w:hAnsi="宋体" w:cs="宋体"/>
          <w:color w:val="auto"/>
          <w:sz w:val="24"/>
          <w:highlight w:val="none"/>
          <w:lang w:val="en-US" w:eastAsia="zh-CN"/>
        </w:rPr>
        <w:t xml:space="preserve">  </w:t>
      </w:r>
    </w:p>
    <w:p w14:paraId="1FF868A5">
      <w:pPr>
        <w:pageBreakBefore w:val="0"/>
        <w:kinsoku/>
        <w:wordWrap/>
        <w:overflowPunct/>
        <w:topLinePunct w:val="0"/>
        <w:bidi w:val="0"/>
        <w:spacing w:line="360" w:lineRule="auto"/>
        <w:ind w:firstLine="5520" w:firstLineChars="2300"/>
        <w:rPr>
          <w:rFonts w:hint="eastAsia" w:ascii="宋体" w:hAnsi="宋体" w:eastAsia="宋体" w:cs="宋体"/>
          <w:color w:val="auto"/>
          <w:sz w:val="24"/>
          <w:highlight w:val="none"/>
        </w:rPr>
      </w:pPr>
    </w:p>
    <w:p w14:paraId="35E9C401">
      <w:pPr>
        <w:pageBreakBefore w:val="0"/>
        <w:kinsoku/>
        <w:wordWrap/>
        <w:overflowPunct/>
        <w:topLinePunct w:val="0"/>
        <w:bidi w:val="0"/>
        <w:spacing w:line="360" w:lineRule="auto"/>
        <w:ind w:firstLine="5520" w:firstLineChars="2300"/>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1A3B9AE7">
      <w:pPr>
        <w:pStyle w:val="8"/>
        <w:pageBreakBefore w:val="0"/>
        <w:kinsoku/>
        <w:wordWrap/>
        <w:overflowPunct/>
        <w:topLinePunct w:val="0"/>
        <w:bidi w:val="0"/>
        <w:spacing w:line="360" w:lineRule="auto"/>
        <w:jc w:val="center"/>
        <w:rPr>
          <w:rFonts w:hint="eastAsia" w:ascii="宋体" w:hAnsi="宋体" w:eastAsia="宋体" w:cs="宋体"/>
          <w:b w:val="0"/>
          <w:color w:val="auto"/>
          <w:sz w:val="28"/>
          <w:szCs w:val="28"/>
          <w:highlight w:val="none"/>
        </w:rPr>
      </w:pPr>
      <w:bookmarkStart w:id="350" w:name="_Toc28371"/>
      <w:r>
        <w:rPr>
          <w:rStyle w:val="35"/>
          <w:rFonts w:hint="eastAsia" w:ascii="宋体" w:hAnsi="宋体" w:cs="宋体"/>
          <w:b/>
          <w:bCs w:val="0"/>
          <w:color w:val="auto"/>
          <w:sz w:val="28"/>
          <w:szCs w:val="28"/>
          <w:highlight w:val="none"/>
          <w:lang w:val="en-US" w:eastAsia="zh-CN"/>
        </w:rPr>
        <w:t>15、报价</w:t>
      </w:r>
      <w:r>
        <w:rPr>
          <w:rStyle w:val="35"/>
          <w:rFonts w:hint="eastAsia" w:ascii="宋体" w:hAnsi="宋体" w:eastAsia="宋体" w:cs="宋体"/>
          <w:b/>
          <w:bCs w:val="0"/>
          <w:color w:val="auto"/>
          <w:sz w:val="28"/>
          <w:szCs w:val="28"/>
          <w:highlight w:val="none"/>
        </w:rPr>
        <w:t>单位（供应商）反商业贿赂承诺书</w:t>
      </w:r>
      <w:bookmarkEnd w:id="350"/>
    </w:p>
    <w:p w14:paraId="28F93645">
      <w:pPr>
        <w:pStyle w:val="20"/>
        <w:pageBreakBefore w:val="0"/>
        <w:kinsoku/>
        <w:wordWrap/>
        <w:overflowPunct/>
        <w:topLinePunct w:val="0"/>
        <w:bidi w:val="0"/>
        <w:spacing w:before="120" w:line="360" w:lineRule="auto"/>
        <w:ind w:left="137" w:leftChars="57" w:firstLine="280" w:firstLineChars="11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我单位承诺在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项目名称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公开活动中，不给予国家工作人员</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采购方、代理机构</w:t>
      </w:r>
      <w:r>
        <w:rPr>
          <w:rFonts w:hint="eastAsia" w:ascii="宋体" w:hAnsi="宋体" w:eastAsia="宋体" w:cs="宋体"/>
          <w:color w:val="auto"/>
          <w:sz w:val="24"/>
          <w:szCs w:val="24"/>
          <w:highlight w:val="none"/>
        </w:rPr>
        <w:t>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14:paraId="3D73FEA0">
      <w:pPr>
        <w:pStyle w:val="20"/>
        <w:pageBreakBefore w:val="0"/>
        <w:kinsoku/>
        <w:wordWrap/>
        <w:overflowPunct/>
        <w:topLinePunct w:val="0"/>
        <w:bidi w:val="0"/>
        <w:spacing w:before="120" w:line="360" w:lineRule="auto"/>
        <w:ind w:firstLine="40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5D939B67">
      <w:pPr>
        <w:pageBreakBefore w:val="0"/>
        <w:kinsoku/>
        <w:wordWrap/>
        <w:overflowPunct/>
        <w:topLinePunct w:val="0"/>
        <w:bidi w:val="0"/>
        <w:spacing w:line="360" w:lineRule="auto"/>
        <w:ind w:firstLine="3600" w:firstLineChars="1500"/>
        <w:rPr>
          <w:rFonts w:hint="eastAsia" w:ascii="宋体" w:hAnsi="宋体" w:eastAsia="宋体" w:cs="宋体"/>
          <w:color w:val="auto"/>
          <w:sz w:val="24"/>
          <w:highlight w:val="none"/>
          <w:lang w:val="en-US" w:eastAsia="zh-CN"/>
        </w:rPr>
      </w:pPr>
    </w:p>
    <w:p w14:paraId="3E2E6DF8">
      <w:pPr>
        <w:pageBreakBefore w:val="0"/>
        <w:kinsoku/>
        <w:wordWrap/>
        <w:overflowPunct/>
        <w:topLinePunct w:val="0"/>
        <w:bidi w:val="0"/>
        <w:spacing w:line="360" w:lineRule="auto"/>
        <w:ind w:firstLine="3600" w:firstLineChars="1500"/>
        <w:rPr>
          <w:rFonts w:hint="eastAsia" w:ascii="宋体" w:hAnsi="宋体" w:eastAsia="宋体" w:cs="宋体"/>
          <w:color w:val="auto"/>
          <w:sz w:val="24"/>
          <w:highlight w:val="none"/>
          <w:lang w:val="en-US" w:eastAsia="zh-CN"/>
        </w:rPr>
      </w:pPr>
    </w:p>
    <w:p w14:paraId="6E79139A">
      <w:pPr>
        <w:pageBreakBefore w:val="0"/>
        <w:kinsoku/>
        <w:wordWrap/>
        <w:overflowPunct/>
        <w:topLinePunct w:val="0"/>
        <w:bidi w:val="0"/>
        <w:spacing w:line="360" w:lineRule="auto"/>
        <w:ind w:firstLine="3600" w:firstLineChars="1500"/>
        <w:rPr>
          <w:rFonts w:hint="eastAsia" w:ascii="宋体" w:hAnsi="宋体" w:eastAsia="宋体" w:cs="宋体"/>
          <w:color w:val="auto"/>
          <w:sz w:val="24"/>
          <w:highlight w:val="none"/>
          <w:lang w:val="en-US" w:eastAsia="zh-CN"/>
        </w:rPr>
      </w:pPr>
    </w:p>
    <w:p w14:paraId="1A6A6621">
      <w:pPr>
        <w:keepNext w:val="0"/>
        <w:keepLines w:val="0"/>
        <w:pageBreakBefore w:val="0"/>
        <w:widowControl w:val="0"/>
        <w:kinsoku/>
        <w:wordWrap/>
        <w:overflowPunct/>
        <w:topLinePunct w:val="0"/>
        <w:autoSpaceDE/>
        <w:autoSpaceDN/>
        <w:bidi w:val="0"/>
        <w:adjustRightInd/>
        <w:snapToGrid/>
        <w:spacing w:line="500" w:lineRule="exact"/>
        <w:ind w:firstLine="1920" w:firstLineChars="8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盖章</w:t>
      </w:r>
      <w:r>
        <w:rPr>
          <w:rFonts w:hint="eastAsia" w:ascii="宋体" w:hAnsi="宋体" w:eastAsia="宋体" w:cs="宋体"/>
          <w:color w:val="auto"/>
          <w:sz w:val="24"/>
          <w:highlight w:val="none"/>
        </w:rPr>
        <w:t xml:space="preserve">）   </w:t>
      </w:r>
    </w:p>
    <w:p w14:paraId="70B808F2">
      <w:pPr>
        <w:keepNext w:val="0"/>
        <w:keepLines w:val="0"/>
        <w:pageBreakBefore w:val="0"/>
        <w:widowControl w:val="0"/>
        <w:kinsoku/>
        <w:wordWrap/>
        <w:overflowPunct/>
        <w:topLinePunct w:val="0"/>
        <w:autoSpaceDE/>
        <w:autoSpaceDN/>
        <w:bidi w:val="0"/>
        <w:adjustRightInd/>
        <w:snapToGrid/>
        <w:spacing w:line="500" w:lineRule="exact"/>
        <w:ind w:firstLine="1920" w:firstLineChars="8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val="en-US" w:eastAsia="zh-CN"/>
        </w:rPr>
        <w:t>和</w:t>
      </w:r>
      <w:r>
        <w:rPr>
          <w:rFonts w:hint="eastAsia" w:ascii="宋体" w:hAnsi="宋体" w:eastAsia="宋体" w:cs="宋体"/>
          <w:color w:val="auto"/>
          <w:sz w:val="24"/>
          <w:highlight w:val="none"/>
        </w:rPr>
        <w:t>授权代表人：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w:t>
      </w:r>
      <w:r>
        <w:rPr>
          <w:rFonts w:hint="eastAsia" w:ascii="宋体" w:hAnsi="宋体" w:cs="宋体"/>
          <w:color w:val="auto"/>
          <w:sz w:val="24"/>
          <w:highlight w:val="none"/>
          <w:lang w:eastAsia="zh-CN"/>
        </w:rPr>
        <w:t>或</w:t>
      </w:r>
      <w:r>
        <w:rPr>
          <w:rFonts w:hint="eastAsia" w:ascii="宋体" w:hAnsi="宋体" w:eastAsia="宋体" w:cs="宋体"/>
          <w:color w:val="auto"/>
          <w:sz w:val="24"/>
          <w:highlight w:val="none"/>
        </w:rPr>
        <w:t xml:space="preserve">盖章） </w:t>
      </w:r>
    </w:p>
    <w:p w14:paraId="3B93F59D">
      <w:pPr>
        <w:pageBreakBefore w:val="0"/>
        <w:kinsoku/>
        <w:wordWrap/>
        <w:overflowPunct/>
        <w:topLinePunct w:val="0"/>
        <w:bidi w:val="0"/>
        <w:spacing w:line="360" w:lineRule="auto"/>
        <w:ind w:firstLine="5040" w:firstLineChars="2100"/>
        <w:rPr>
          <w:rFonts w:hint="eastAsia" w:ascii="宋体" w:hAnsi="宋体" w:eastAsia="宋体" w:cs="宋体"/>
          <w:color w:val="auto"/>
          <w:sz w:val="24"/>
          <w:highlight w:val="none"/>
        </w:rPr>
      </w:pPr>
    </w:p>
    <w:p w14:paraId="639975F5">
      <w:pPr>
        <w:pageBreakBefore w:val="0"/>
        <w:kinsoku/>
        <w:wordWrap/>
        <w:overflowPunct/>
        <w:topLinePunct w:val="0"/>
        <w:bidi w:val="0"/>
        <w:spacing w:line="360" w:lineRule="auto"/>
        <w:ind w:firstLine="5520" w:firstLineChars="2300"/>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6D54CF50">
      <w:pPr>
        <w:numPr>
          <w:ilvl w:val="0"/>
          <w:numId w:val="0"/>
        </w:numPr>
        <w:spacing w:line="460" w:lineRule="exact"/>
        <w:ind w:leftChars="-50" w:right="62" w:rightChars="0"/>
        <w:jc w:val="center"/>
        <w:rPr>
          <w:rFonts w:hint="eastAsia" w:ascii="宋体" w:hAnsi="宋体" w:eastAsia="宋体" w:cs="宋体"/>
          <w:b/>
          <w:color w:val="auto"/>
          <w:sz w:val="28"/>
          <w:szCs w:val="28"/>
          <w:highlight w:val="none"/>
          <w:lang w:val="en-US" w:eastAsia="zh-CN"/>
        </w:rPr>
      </w:pPr>
    </w:p>
    <w:p w14:paraId="2AACF841">
      <w:pPr>
        <w:numPr>
          <w:ilvl w:val="0"/>
          <w:numId w:val="0"/>
        </w:numPr>
        <w:spacing w:line="460" w:lineRule="exact"/>
        <w:ind w:leftChars="-50" w:right="62" w:rightChars="0"/>
        <w:jc w:val="center"/>
        <w:rPr>
          <w:rFonts w:hint="eastAsia" w:ascii="宋体" w:hAnsi="宋体" w:eastAsia="宋体" w:cs="宋体"/>
          <w:b/>
          <w:color w:val="auto"/>
          <w:sz w:val="28"/>
          <w:szCs w:val="28"/>
          <w:highlight w:val="none"/>
          <w:lang w:val="en-US" w:eastAsia="zh-CN"/>
        </w:rPr>
      </w:pPr>
    </w:p>
    <w:p w14:paraId="77E29741">
      <w:pPr>
        <w:numPr>
          <w:ilvl w:val="0"/>
          <w:numId w:val="0"/>
        </w:numPr>
        <w:spacing w:line="460" w:lineRule="exact"/>
        <w:ind w:leftChars="-50" w:right="62" w:rightChars="0"/>
        <w:jc w:val="center"/>
        <w:rPr>
          <w:rFonts w:hint="eastAsia" w:ascii="宋体" w:hAnsi="宋体" w:eastAsia="宋体" w:cs="宋体"/>
          <w:b/>
          <w:color w:val="auto"/>
          <w:sz w:val="28"/>
          <w:szCs w:val="28"/>
          <w:highlight w:val="none"/>
          <w:lang w:val="en-US" w:eastAsia="zh-CN"/>
        </w:rPr>
      </w:pPr>
    </w:p>
    <w:p w14:paraId="6FC8A1F5">
      <w:pPr>
        <w:numPr>
          <w:ilvl w:val="0"/>
          <w:numId w:val="0"/>
        </w:numPr>
        <w:spacing w:line="460" w:lineRule="exact"/>
        <w:ind w:leftChars="-50" w:right="62" w:rightChars="0"/>
        <w:jc w:val="center"/>
        <w:rPr>
          <w:rFonts w:hint="eastAsia" w:ascii="宋体" w:hAnsi="宋体" w:eastAsia="宋体" w:cs="宋体"/>
          <w:b/>
          <w:color w:val="auto"/>
          <w:sz w:val="28"/>
          <w:szCs w:val="28"/>
          <w:highlight w:val="none"/>
          <w:lang w:val="en-US" w:eastAsia="zh-CN"/>
        </w:rPr>
      </w:pPr>
    </w:p>
    <w:p w14:paraId="368B4141">
      <w:pPr>
        <w:numPr>
          <w:ilvl w:val="0"/>
          <w:numId w:val="0"/>
        </w:numPr>
        <w:spacing w:line="460" w:lineRule="exact"/>
        <w:ind w:leftChars="-50" w:right="62" w:rightChars="0"/>
        <w:jc w:val="center"/>
        <w:rPr>
          <w:rFonts w:hint="eastAsia" w:ascii="宋体" w:hAnsi="宋体" w:eastAsia="宋体" w:cs="宋体"/>
          <w:b/>
          <w:color w:val="auto"/>
          <w:sz w:val="28"/>
          <w:szCs w:val="28"/>
          <w:highlight w:val="none"/>
          <w:lang w:val="en-US" w:eastAsia="zh-CN"/>
        </w:rPr>
      </w:pPr>
    </w:p>
    <w:p w14:paraId="135A3D2C">
      <w:pPr>
        <w:numPr>
          <w:ilvl w:val="0"/>
          <w:numId w:val="0"/>
        </w:numPr>
        <w:spacing w:line="460" w:lineRule="exact"/>
        <w:ind w:leftChars="-50" w:right="62" w:rightChars="0"/>
        <w:jc w:val="center"/>
        <w:rPr>
          <w:rFonts w:hint="eastAsia" w:ascii="宋体" w:hAnsi="宋体" w:eastAsia="宋体" w:cs="宋体"/>
          <w:b/>
          <w:color w:val="auto"/>
          <w:sz w:val="28"/>
          <w:szCs w:val="28"/>
          <w:highlight w:val="none"/>
          <w:lang w:val="en-US" w:eastAsia="zh-CN"/>
        </w:rPr>
      </w:pPr>
    </w:p>
    <w:p w14:paraId="300C8C9B">
      <w:pPr>
        <w:numPr>
          <w:ilvl w:val="0"/>
          <w:numId w:val="0"/>
        </w:numPr>
        <w:spacing w:line="460" w:lineRule="exact"/>
        <w:ind w:leftChars="-50" w:right="62" w:rightChars="0"/>
        <w:jc w:val="center"/>
        <w:rPr>
          <w:rFonts w:hint="eastAsia" w:ascii="宋体" w:hAnsi="宋体" w:eastAsia="宋体" w:cs="宋体"/>
          <w:b/>
          <w:color w:val="auto"/>
          <w:sz w:val="28"/>
          <w:szCs w:val="28"/>
          <w:highlight w:val="none"/>
          <w:lang w:val="en-US" w:eastAsia="zh-CN"/>
        </w:rPr>
      </w:pPr>
    </w:p>
    <w:p w14:paraId="4B788D34">
      <w:pPr>
        <w:numPr>
          <w:ilvl w:val="0"/>
          <w:numId w:val="0"/>
        </w:numPr>
        <w:spacing w:line="460" w:lineRule="exact"/>
        <w:ind w:leftChars="-50" w:right="62" w:rightChars="0"/>
        <w:jc w:val="center"/>
        <w:rPr>
          <w:rFonts w:hint="eastAsia" w:ascii="宋体" w:hAnsi="宋体" w:eastAsia="宋体" w:cs="宋体"/>
          <w:b/>
          <w:color w:val="auto"/>
          <w:sz w:val="28"/>
          <w:szCs w:val="28"/>
          <w:highlight w:val="none"/>
          <w:lang w:val="en-US" w:eastAsia="zh-CN"/>
        </w:rPr>
      </w:pPr>
    </w:p>
    <w:p w14:paraId="1BCE9CC0">
      <w:pPr>
        <w:numPr>
          <w:ilvl w:val="0"/>
          <w:numId w:val="0"/>
        </w:numPr>
        <w:spacing w:line="460" w:lineRule="exact"/>
        <w:ind w:leftChars="-50" w:right="62" w:rightChars="0"/>
        <w:jc w:val="center"/>
        <w:rPr>
          <w:rFonts w:hint="eastAsia" w:ascii="宋体" w:hAnsi="宋体" w:eastAsia="宋体" w:cs="宋体"/>
          <w:b/>
          <w:color w:val="auto"/>
          <w:sz w:val="28"/>
          <w:szCs w:val="28"/>
          <w:highlight w:val="none"/>
          <w:lang w:val="en-US" w:eastAsia="zh-CN"/>
        </w:rPr>
      </w:pPr>
    </w:p>
    <w:p w14:paraId="4FF28234">
      <w:pPr>
        <w:numPr>
          <w:ilvl w:val="0"/>
          <w:numId w:val="0"/>
        </w:numPr>
        <w:spacing w:line="460" w:lineRule="exact"/>
        <w:ind w:leftChars="-50" w:right="62" w:rightChars="0"/>
        <w:jc w:val="center"/>
        <w:rPr>
          <w:rFonts w:hint="eastAsia" w:ascii="宋体" w:hAnsi="宋体" w:eastAsia="宋体" w:cs="宋体"/>
          <w:b/>
          <w:color w:val="auto"/>
          <w:sz w:val="28"/>
          <w:szCs w:val="28"/>
          <w:highlight w:val="none"/>
          <w:lang w:val="en-US" w:eastAsia="zh-CN"/>
        </w:rPr>
      </w:pPr>
    </w:p>
    <w:p w14:paraId="66ACE37B">
      <w:pPr>
        <w:numPr>
          <w:ilvl w:val="0"/>
          <w:numId w:val="0"/>
        </w:numPr>
        <w:spacing w:line="460" w:lineRule="exact"/>
        <w:ind w:leftChars="-50" w:right="62" w:rightChars="0"/>
        <w:jc w:val="center"/>
        <w:rPr>
          <w:rFonts w:hint="eastAsia" w:ascii="宋体" w:hAnsi="宋体" w:eastAsia="宋体" w:cs="宋体"/>
          <w:b/>
          <w:color w:val="auto"/>
          <w:sz w:val="28"/>
          <w:szCs w:val="28"/>
          <w:highlight w:val="none"/>
          <w:lang w:val="en-US" w:eastAsia="zh-CN"/>
        </w:rPr>
      </w:pPr>
    </w:p>
    <w:p w14:paraId="57540FCB">
      <w:pPr>
        <w:numPr>
          <w:ilvl w:val="0"/>
          <w:numId w:val="0"/>
        </w:numPr>
        <w:spacing w:line="460" w:lineRule="exact"/>
        <w:ind w:leftChars="-50" w:right="62" w:rightChars="0"/>
        <w:jc w:val="center"/>
        <w:rPr>
          <w:rFonts w:hint="eastAsia" w:ascii="宋体" w:hAnsi="宋体" w:eastAsia="宋体" w:cs="宋体"/>
          <w:b/>
          <w:color w:val="auto"/>
          <w:sz w:val="28"/>
          <w:szCs w:val="28"/>
          <w:highlight w:val="none"/>
          <w:lang w:val="en-US" w:eastAsia="zh-CN"/>
        </w:rPr>
      </w:pPr>
    </w:p>
    <w:p w14:paraId="1CE3292F">
      <w:pPr>
        <w:numPr>
          <w:ilvl w:val="0"/>
          <w:numId w:val="0"/>
        </w:numPr>
        <w:spacing w:line="460" w:lineRule="exact"/>
        <w:ind w:leftChars="-50" w:right="62" w:rightChars="0"/>
        <w:jc w:val="center"/>
        <w:rPr>
          <w:rFonts w:hint="eastAsia" w:ascii="宋体" w:hAnsi="宋体" w:eastAsia="宋体" w:cs="宋体"/>
          <w:b/>
          <w:color w:val="auto"/>
          <w:sz w:val="28"/>
          <w:szCs w:val="28"/>
          <w:highlight w:val="none"/>
          <w:lang w:val="en-US" w:eastAsia="zh-CN"/>
        </w:rPr>
      </w:pPr>
    </w:p>
    <w:p w14:paraId="07C649CA">
      <w:pPr>
        <w:numPr>
          <w:ilvl w:val="0"/>
          <w:numId w:val="0"/>
        </w:numPr>
        <w:spacing w:line="460" w:lineRule="exact"/>
        <w:ind w:leftChars="-50" w:right="62" w:rightChars="0"/>
        <w:jc w:val="center"/>
        <w:rPr>
          <w:rFonts w:hint="eastAsia" w:ascii="宋体" w:hAnsi="宋体" w:eastAsia="宋体" w:cs="宋体"/>
          <w:b/>
          <w:color w:val="auto"/>
          <w:sz w:val="28"/>
          <w:szCs w:val="28"/>
          <w:highlight w:val="none"/>
          <w:lang w:val="en-US" w:eastAsia="zh-CN"/>
        </w:rPr>
      </w:pPr>
    </w:p>
    <w:p w14:paraId="061455E2">
      <w:pPr>
        <w:numPr>
          <w:ilvl w:val="0"/>
          <w:numId w:val="0"/>
        </w:numPr>
        <w:spacing w:line="460" w:lineRule="exact"/>
        <w:ind w:leftChars="-50" w:right="62" w:rightChars="0"/>
        <w:jc w:val="center"/>
        <w:rPr>
          <w:rFonts w:hint="eastAsia" w:ascii="宋体" w:hAnsi="宋体" w:eastAsia="宋体" w:cs="宋体"/>
          <w:b/>
          <w:color w:val="auto"/>
          <w:sz w:val="28"/>
          <w:szCs w:val="28"/>
          <w:highlight w:val="none"/>
          <w:lang w:val="en-US" w:eastAsia="zh-CN"/>
        </w:rPr>
      </w:pPr>
    </w:p>
    <w:p w14:paraId="16438ABF">
      <w:pPr>
        <w:numPr>
          <w:ilvl w:val="0"/>
          <w:numId w:val="0"/>
        </w:numPr>
        <w:spacing w:line="460" w:lineRule="exact"/>
        <w:ind w:leftChars="-50" w:right="62" w:rightChars="0"/>
        <w:jc w:val="center"/>
        <w:rPr>
          <w:rFonts w:hint="eastAsia" w:ascii="宋体" w:hAnsi="宋体" w:eastAsia="宋体" w:cs="宋体"/>
          <w:b/>
          <w:color w:val="auto"/>
          <w:sz w:val="28"/>
          <w:szCs w:val="28"/>
          <w:highlight w:val="none"/>
          <w:lang w:val="en-US" w:eastAsia="zh-CN"/>
        </w:rPr>
      </w:pPr>
    </w:p>
    <w:p w14:paraId="39501274">
      <w:pPr>
        <w:numPr>
          <w:ilvl w:val="0"/>
          <w:numId w:val="0"/>
        </w:numPr>
        <w:spacing w:line="460" w:lineRule="exact"/>
        <w:ind w:leftChars="-50" w:right="62" w:rightChars="0"/>
        <w:jc w:val="center"/>
        <w:outlineLvl w:val="1"/>
        <w:rPr>
          <w:rFonts w:hint="eastAsia" w:ascii="宋体" w:hAnsi="宋体" w:eastAsia="宋体" w:cs="宋体"/>
          <w:b/>
          <w:bCs w:val="0"/>
          <w:color w:val="auto"/>
          <w:sz w:val="28"/>
          <w:szCs w:val="28"/>
          <w:highlight w:val="none"/>
          <w:lang w:val="en-US" w:eastAsia="zh-CN"/>
        </w:rPr>
      </w:pPr>
      <w:bookmarkStart w:id="351" w:name="_Toc27060"/>
      <w:r>
        <w:rPr>
          <w:rFonts w:hint="eastAsia" w:ascii="宋体" w:hAnsi="宋体" w:eastAsia="宋体" w:cs="宋体"/>
          <w:b/>
          <w:color w:val="auto"/>
          <w:sz w:val="28"/>
          <w:szCs w:val="28"/>
          <w:highlight w:val="none"/>
          <w:lang w:val="en-US" w:eastAsia="zh-CN"/>
        </w:rPr>
        <w:t>16、</w:t>
      </w:r>
      <w:r>
        <w:rPr>
          <w:rFonts w:hint="eastAsia" w:ascii="宋体" w:hAnsi="宋体" w:eastAsia="宋体" w:cs="宋体"/>
          <w:b/>
          <w:bCs w:val="0"/>
          <w:color w:val="auto"/>
          <w:sz w:val="28"/>
          <w:szCs w:val="28"/>
          <w:highlight w:val="none"/>
          <w:lang w:val="en-US" w:eastAsia="zh-CN"/>
        </w:rPr>
        <w:t>无不良信用行为信息承诺书</w:t>
      </w:r>
      <w:bookmarkEnd w:id="351"/>
    </w:p>
    <w:p w14:paraId="1C26C5EA">
      <w:pPr>
        <w:pStyle w:val="8"/>
        <w:outlineLvl w:val="9"/>
        <w:rPr>
          <w:rFonts w:hint="eastAsia"/>
          <w:highlight w:val="none"/>
        </w:rPr>
      </w:pPr>
    </w:p>
    <w:p w14:paraId="33848987">
      <w:pPr>
        <w:keepNext w:val="0"/>
        <w:keepLines w:val="0"/>
        <w:pageBreakBefore w:val="0"/>
        <w:widowControl w:val="0"/>
        <w:kinsoku/>
        <w:wordWrap/>
        <w:overflowPunct/>
        <w:topLinePunct w:val="0"/>
        <w:autoSpaceDE/>
        <w:autoSpaceDN/>
        <w:bidi w:val="0"/>
        <w:adjustRightInd/>
        <w:snapToGrid/>
        <w:spacing w:line="460" w:lineRule="exact"/>
        <w:ind w:left="51" w:right="62"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我公司承诺近年没有发生不良行为记录信息，在信用中国（http://www.creditchina.gov.cn）平台未被列入失信被执行人和税收违法黑名单；在中国政府采购网（www.ccgp.gov.cn）未被列入政府采购严重违法失信行为记录名单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未被财政部门禁止参加政府采购活动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无</w:t>
      </w:r>
      <w:r>
        <w:rPr>
          <w:rFonts w:hint="eastAsia" w:ascii="宋体" w:hAnsi="宋体" w:cs="宋体"/>
          <w:color w:val="auto"/>
          <w:sz w:val="24"/>
          <w:szCs w:val="24"/>
          <w:highlight w:val="none"/>
          <w:lang w:val="en-US" w:eastAsia="zh-CN"/>
        </w:rPr>
        <w:t>拖欠</w:t>
      </w:r>
      <w:r>
        <w:rPr>
          <w:rFonts w:hint="eastAsia" w:ascii="宋体" w:hAnsi="宋体" w:eastAsia="宋体" w:cs="宋体"/>
          <w:color w:val="auto"/>
          <w:sz w:val="24"/>
          <w:szCs w:val="24"/>
          <w:highlight w:val="none"/>
        </w:rPr>
        <w:t>农民工工资的事件或事实，如有虚假我方自愿承担一切法律责任，并接受建设行政主管部门的处罚。</w:t>
      </w:r>
    </w:p>
    <w:p w14:paraId="74BC8E5C">
      <w:pPr>
        <w:keepNext w:val="0"/>
        <w:keepLines w:val="0"/>
        <w:pageBreakBefore w:val="0"/>
        <w:widowControl w:val="0"/>
        <w:kinsoku/>
        <w:wordWrap/>
        <w:overflowPunct/>
        <w:topLinePunct w:val="0"/>
        <w:autoSpaceDE/>
        <w:autoSpaceDN/>
        <w:bidi w:val="0"/>
        <w:adjustRightInd/>
        <w:snapToGrid/>
        <w:spacing w:line="460" w:lineRule="exact"/>
        <w:ind w:left="51" w:right="62"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11FB2206">
      <w:pPr>
        <w:widowControl/>
        <w:adjustRightInd w:val="0"/>
        <w:snapToGrid w:val="0"/>
        <w:spacing w:after="200" w:line="220" w:lineRule="atLeast"/>
        <w:jc w:val="left"/>
        <w:rPr>
          <w:rFonts w:hint="eastAsia" w:ascii="宋体" w:hAnsi="宋体" w:eastAsia="宋体" w:cs="宋体"/>
          <w:color w:val="auto"/>
          <w:kern w:val="0"/>
          <w:sz w:val="24"/>
          <w:szCs w:val="24"/>
          <w:highlight w:val="none"/>
        </w:rPr>
      </w:pPr>
    </w:p>
    <w:p w14:paraId="781099A0">
      <w:pPr>
        <w:keepNext w:val="0"/>
        <w:keepLines w:val="0"/>
        <w:pageBreakBefore w:val="0"/>
        <w:widowControl w:val="0"/>
        <w:kinsoku/>
        <w:wordWrap/>
        <w:overflowPunct/>
        <w:topLinePunct w:val="0"/>
        <w:autoSpaceDE/>
        <w:autoSpaceDN/>
        <w:bidi w:val="0"/>
        <w:adjustRightInd/>
        <w:snapToGrid/>
        <w:spacing w:line="500" w:lineRule="exact"/>
        <w:ind w:firstLine="1920" w:firstLineChars="8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盖章</w:t>
      </w:r>
      <w:r>
        <w:rPr>
          <w:rFonts w:hint="eastAsia" w:ascii="宋体" w:hAnsi="宋体" w:eastAsia="宋体" w:cs="宋体"/>
          <w:color w:val="auto"/>
          <w:sz w:val="24"/>
          <w:highlight w:val="none"/>
        </w:rPr>
        <w:t xml:space="preserve">）   </w:t>
      </w:r>
    </w:p>
    <w:p w14:paraId="4C5B67F6">
      <w:pPr>
        <w:keepNext w:val="0"/>
        <w:keepLines w:val="0"/>
        <w:pageBreakBefore w:val="0"/>
        <w:widowControl w:val="0"/>
        <w:kinsoku/>
        <w:wordWrap/>
        <w:overflowPunct/>
        <w:topLinePunct w:val="0"/>
        <w:autoSpaceDE/>
        <w:autoSpaceDN/>
        <w:bidi w:val="0"/>
        <w:adjustRightInd/>
        <w:snapToGrid/>
        <w:spacing w:line="500" w:lineRule="exact"/>
        <w:ind w:firstLine="1920" w:firstLineChars="8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val="en-US" w:eastAsia="zh-CN"/>
        </w:rPr>
        <w:t>和</w:t>
      </w:r>
      <w:r>
        <w:rPr>
          <w:rFonts w:hint="eastAsia" w:ascii="宋体" w:hAnsi="宋体" w:eastAsia="宋体" w:cs="宋体"/>
          <w:color w:val="auto"/>
          <w:sz w:val="24"/>
          <w:highlight w:val="none"/>
        </w:rPr>
        <w:t>授权代表人：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w:t>
      </w:r>
      <w:r>
        <w:rPr>
          <w:rFonts w:hint="eastAsia" w:ascii="宋体" w:hAnsi="宋体" w:cs="宋体"/>
          <w:color w:val="auto"/>
          <w:sz w:val="24"/>
          <w:highlight w:val="none"/>
          <w:lang w:eastAsia="zh-CN"/>
        </w:rPr>
        <w:t>或</w:t>
      </w:r>
      <w:r>
        <w:rPr>
          <w:rFonts w:hint="eastAsia" w:ascii="宋体" w:hAnsi="宋体" w:eastAsia="宋体" w:cs="宋体"/>
          <w:color w:val="auto"/>
          <w:sz w:val="24"/>
          <w:highlight w:val="none"/>
        </w:rPr>
        <w:t xml:space="preserve">盖章） </w:t>
      </w:r>
    </w:p>
    <w:p w14:paraId="0171BD79">
      <w:pPr>
        <w:pageBreakBefore w:val="0"/>
        <w:kinsoku/>
        <w:wordWrap/>
        <w:overflowPunct/>
        <w:topLinePunct w:val="0"/>
        <w:bidi w:val="0"/>
        <w:spacing w:line="360" w:lineRule="auto"/>
        <w:ind w:firstLine="5040" w:firstLineChars="2100"/>
        <w:rPr>
          <w:rFonts w:hint="eastAsia" w:ascii="宋体" w:hAnsi="宋体" w:eastAsia="宋体" w:cs="宋体"/>
          <w:color w:val="auto"/>
          <w:sz w:val="24"/>
          <w:highlight w:val="none"/>
        </w:rPr>
      </w:pPr>
    </w:p>
    <w:p w14:paraId="23303026">
      <w:pPr>
        <w:pageBreakBefore w:val="0"/>
        <w:kinsoku/>
        <w:wordWrap/>
        <w:overflowPunct/>
        <w:topLinePunct w:val="0"/>
        <w:bidi w:val="0"/>
        <w:spacing w:line="360" w:lineRule="auto"/>
        <w:ind w:firstLine="5520" w:firstLineChars="2300"/>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76ABB2D3">
      <w:pPr>
        <w:pageBreakBefore w:val="0"/>
        <w:kinsoku/>
        <w:wordWrap/>
        <w:overflowPunct/>
        <w:topLinePunct w:val="0"/>
        <w:bidi w:val="0"/>
        <w:spacing w:line="360" w:lineRule="auto"/>
        <w:ind w:firstLine="5542" w:firstLineChars="2300"/>
        <w:rPr>
          <w:rFonts w:hint="eastAsia" w:ascii="宋体" w:hAnsi="宋体" w:eastAsia="宋体" w:cs="宋体"/>
          <w:b/>
          <w:bCs w:val="0"/>
          <w:color w:val="auto"/>
          <w:sz w:val="24"/>
          <w:highlight w:val="none"/>
          <w:lang w:val="en-US" w:eastAsia="zh-CN"/>
        </w:rPr>
      </w:pPr>
    </w:p>
    <w:p w14:paraId="54697B88">
      <w:pPr>
        <w:numPr>
          <w:ilvl w:val="0"/>
          <w:numId w:val="0"/>
        </w:numPr>
        <w:spacing w:line="460" w:lineRule="exact"/>
        <w:ind w:leftChars="-50" w:right="62" w:rightChars="0"/>
        <w:jc w:val="center"/>
        <w:rPr>
          <w:rFonts w:hint="eastAsia" w:ascii="宋体" w:hAnsi="宋体" w:eastAsia="宋体" w:cs="宋体"/>
          <w:b/>
          <w:bCs w:val="0"/>
          <w:color w:val="auto"/>
          <w:sz w:val="28"/>
          <w:szCs w:val="28"/>
          <w:highlight w:val="none"/>
          <w:lang w:val="en-US" w:eastAsia="zh-CN"/>
        </w:rPr>
      </w:pPr>
    </w:p>
    <w:p w14:paraId="5AAA36C3">
      <w:pPr>
        <w:numPr>
          <w:ilvl w:val="0"/>
          <w:numId w:val="0"/>
        </w:numPr>
        <w:spacing w:line="460" w:lineRule="exact"/>
        <w:ind w:leftChars="-50" w:right="62" w:rightChars="0"/>
        <w:jc w:val="center"/>
        <w:rPr>
          <w:rFonts w:hint="eastAsia" w:ascii="宋体" w:hAnsi="宋体" w:eastAsia="宋体" w:cs="宋体"/>
          <w:b/>
          <w:bCs w:val="0"/>
          <w:color w:val="auto"/>
          <w:sz w:val="28"/>
          <w:szCs w:val="28"/>
          <w:highlight w:val="none"/>
          <w:lang w:val="en-US" w:eastAsia="zh-CN"/>
        </w:rPr>
      </w:pPr>
    </w:p>
    <w:p w14:paraId="46B3BDBC">
      <w:pPr>
        <w:numPr>
          <w:ilvl w:val="0"/>
          <w:numId w:val="0"/>
        </w:numPr>
        <w:spacing w:line="460" w:lineRule="exact"/>
        <w:ind w:leftChars="-50" w:right="62" w:rightChars="0"/>
        <w:jc w:val="center"/>
        <w:rPr>
          <w:rFonts w:hint="eastAsia" w:ascii="宋体" w:hAnsi="宋体" w:eastAsia="宋体" w:cs="宋体"/>
          <w:b/>
          <w:bCs w:val="0"/>
          <w:color w:val="auto"/>
          <w:sz w:val="28"/>
          <w:szCs w:val="28"/>
          <w:highlight w:val="none"/>
          <w:lang w:val="en-US" w:eastAsia="zh-CN"/>
        </w:rPr>
      </w:pPr>
    </w:p>
    <w:p w14:paraId="2D072217">
      <w:pPr>
        <w:numPr>
          <w:ilvl w:val="0"/>
          <w:numId w:val="0"/>
        </w:numPr>
        <w:spacing w:line="460" w:lineRule="exact"/>
        <w:ind w:leftChars="-50" w:right="62" w:rightChars="0"/>
        <w:jc w:val="center"/>
        <w:rPr>
          <w:rFonts w:hint="eastAsia" w:ascii="宋体" w:hAnsi="宋体" w:eastAsia="宋体" w:cs="宋体"/>
          <w:b/>
          <w:bCs w:val="0"/>
          <w:color w:val="auto"/>
          <w:sz w:val="28"/>
          <w:szCs w:val="28"/>
          <w:highlight w:val="none"/>
          <w:lang w:val="en-US" w:eastAsia="zh-CN"/>
        </w:rPr>
      </w:pPr>
    </w:p>
    <w:p w14:paraId="053CB12D">
      <w:pPr>
        <w:numPr>
          <w:ilvl w:val="0"/>
          <w:numId w:val="0"/>
        </w:numPr>
        <w:spacing w:line="460" w:lineRule="exact"/>
        <w:ind w:leftChars="-50" w:right="62" w:rightChars="0"/>
        <w:jc w:val="center"/>
        <w:rPr>
          <w:rFonts w:hint="eastAsia" w:ascii="宋体" w:hAnsi="宋体" w:eastAsia="宋体" w:cs="宋体"/>
          <w:b/>
          <w:bCs w:val="0"/>
          <w:color w:val="auto"/>
          <w:sz w:val="28"/>
          <w:szCs w:val="28"/>
          <w:highlight w:val="none"/>
          <w:lang w:val="en-US" w:eastAsia="zh-CN"/>
        </w:rPr>
      </w:pPr>
    </w:p>
    <w:p w14:paraId="1CB4739C">
      <w:pPr>
        <w:numPr>
          <w:ilvl w:val="0"/>
          <w:numId w:val="0"/>
        </w:numPr>
        <w:spacing w:line="460" w:lineRule="exact"/>
        <w:ind w:leftChars="-50" w:right="62" w:rightChars="0"/>
        <w:jc w:val="center"/>
        <w:rPr>
          <w:rFonts w:hint="eastAsia" w:ascii="宋体" w:hAnsi="宋体" w:eastAsia="宋体" w:cs="宋体"/>
          <w:b/>
          <w:bCs w:val="0"/>
          <w:color w:val="auto"/>
          <w:sz w:val="28"/>
          <w:szCs w:val="28"/>
          <w:highlight w:val="none"/>
          <w:lang w:val="en-US" w:eastAsia="zh-CN"/>
        </w:rPr>
      </w:pPr>
    </w:p>
    <w:p w14:paraId="6D8A5769">
      <w:pPr>
        <w:numPr>
          <w:ilvl w:val="0"/>
          <w:numId w:val="0"/>
        </w:numPr>
        <w:spacing w:line="460" w:lineRule="exact"/>
        <w:ind w:leftChars="-50" w:right="62" w:rightChars="0"/>
        <w:jc w:val="center"/>
        <w:rPr>
          <w:rFonts w:hint="eastAsia" w:ascii="宋体" w:hAnsi="宋体" w:eastAsia="宋体" w:cs="宋体"/>
          <w:b/>
          <w:bCs w:val="0"/>
          <w:color w:val="auto"/>
          <w:sz w:val="28"/>
          <w:szCs w:val="28"/>
          <w:highlight w:val="none"/>
          <w:lang w:val="en-US" w:eastAsia="zh-CN"/>
        </w:rPr>
      </w:pPr>
    </w:p>
    <w:p w14:paraId="33EBC3EB">
      <w:pPr>
        <w:numPr>
          <w:ilvl w:val="0"/>
          <w:numId w:val="0"/>
        </w:numPr>
        <w:spacing w:line="460" w:lineRule="exact"/>
        <w:ind w:leftChars="-50" w:right="62" w:rightChars="0"/>
        <w:jc w:val="center"/>
        <w:rPr>
          <w:rFonts w:hint="eastAsia" w:ascii="宋体" w:hAnsi="宋体" w:eastAsia="宋体" w:cs="宋体"/>
          <w:b/>
          <w:bCs w:val="0"/>
          <w:color w:val="auto"/>
          <w:sz w:val="28"/>
          <w:szCs w:val="28"/>
          <w:highlight w:val="none"/>
          <w:lang w:val="en-US" w:eastAsia="zh-CN"/>
        </w:rPr>
      </w:pPr>
    </w:p>
    <w:p w14:paraId="67AE82D9">
      <w:pPr>
        <w:numPr>
          <w:ilvl w:val="0"/>
          <w:numId w:val="0"/>
        </w:numPr>
        <w:spacing w:line="460" w:lineRule="exact"/>
        <w:ind w:leftChars="-50" w:right="62" w:rightChars="0"/>
        <w:jc w:val="center"/>
        <w:rPr>
          <w:rFonts w:hint="eastAsia" w:ascii="宋体" w:hAnsi="宋体" w:eastAsia="宋体" w:cs="宋体"/>
          <w:b/>
          <w:bCs w:val="0"/>
          <w:color w:val="auto"/>
          <w:sz w:val="28"/>
          <w:szCs w:val="28"/>
          <w:highlight w:val="none"/>
          <w:lang w:val="en-US" w:eastAsia="zh-CN"/>
        </w:rPr>
      </w:pPr>
    </w:p>
    <w:p w14:paraId="45548792">
      <w:pPr>
        <w:numPr>
          <w:ilvl w:val="0"/>
          <w:numId w:val="0"/>
        </w:numPr>
        <w:spacing w:line="460" w:lineRule="exact"/>
        <w:ind w:leftChars="-50" w:right="62" w:rightChars="0"/>
        <w:jc w:val="center"/>
        <w:rPr>
          <w:rFonts w:hint="eastAsia" w:ascii="宋体" w:hAnsi="宋体" w:eastAsia="宋体" w:cs="宋体"/>
          <w:b/>
          <w:bCs w:val="0"/>
          <w:color w:val="auto"/>
          <w:sz w:val="28"/>
          <w:szCs w:val="28"/>
          <w:highlight w:val="none"/>
          <w:lang w:val="en-US" w:eastAsia="zh-CN"/>
        </w:rPr>
      </w:pPr>
    </w:p>
    <w:p w14:paraId="4D1B2988">
      <w:pPr>
        <w:numPr>
          <w:ilvl w:val="0"/>
          <w:numId w:val="0"/>
        </w:numPr>
        <w:spacing w:line="460" w:lineRule="exact"/>
        <w:ind w:leftChars="-50" w:right="62" w:rightChars="0"/>
        <w:jc w:val="center"/>
        <w:rPr>
          <w:rFonts w:hint="eastAsia" w:ascii="宋体" w:hAnsi="宋体" w:eastAsia="宋体" w:cs="宋体"/>
          <w:b/>
          <w:bCs w:val="0"/>
          <w:color w:val="auto"/>
          <w:sz w:val="28"/>
          <w:szCs w:val="28"/>
          <w:highlight w:val="none"/>
          <w:lang w:val="en-US" w:eastAsia="zh-CN"/>
        </w:rPr>
      </w:pPr>
    </w:p>
    <w:p w14:paraId="00AE61E8">
      <w:pPr>
        <w:numPr>
          <w:ilvl w:val="0"/>
          <w:numId w:val="0"/>
        </w:numPr>
        <w:spacing w:line="460" w:lineRule="exact"/>
        <w:ind w:leftChars="-50" w:right="62" w:rightChars="0"/>
        <w:jc w:val="center"/>
        <w:rPr>
          <w:rFonts w:hint="eastAsia" w:ascii="宋体" w:hAnsi="宋体" w:eastAsia="宋体" w:cs="宋体"/>
          <w:b/>
          <w:bCs w:val="0"/>
          <w:color w:val="auto"/>
          <w:sz w:val="28"/>
          <w:szCs w:val="28"/>
          <w:highlight w:val="none"/>
          <w:lang w:val="en-US" w:eastAsia="zh-CN"/>
        </w:rPr>
      </w:pPr>
    </w:p>
    <w:p w14:paraId="558649E8">
      <w:pPr>
        <w:numPr>
          <w:ilvl w:val="0"/>
          <w:numId w:val="0"/>
        </w:numPr>
        <w:spacing w:line="460" w:lineRule="exact"/>
        <w:ind w:leftChars="-50" w:right="62" w:rightChars="0"/>
        <w:jc w:val="center"/>
        <w:rPr>
          <w:rFonts w:hint="eastAsia" w:ascii="宋体" w:hAnsi="宋体" w:eastAsia="宋体" w:cs="宋体"/>
          <w:b/>
          <w:bCs w:val="0"/>
          <w:color w:val="auto"/>
          <w:sz w:val="28"/>
          <w:szCs w:val="28"/>
          <w:highlight w:val="none"/>
          <w:lang w:val="en-US" w:eastAsia="zh-CN"/>
        </w:rPr>
      </w:pPr>
    </w:p>
    <w:p w14:paraId="763F67A9">
      <w:pPr>
        <w:numPr>
          <w:ilvl w:val="0"/>
          <w:numId w:val="0"/>
        </w:numPr>
        <w:spacing w:line="460" w:lineRule="exact"/>
        <w:ind w:leftChars="-50" w:right="62" w:rightChars="0"/>
        <w:jc w:val="center"/>
        <w:rPr>
          <w:rFonts w:hint="eastAsia" w:ascii="宋体" w:hAnsi="宋体" w:eastAsia="宋体" w:cs="宋体"/>
          <w:b/>
          <w:bCs w:val="0"/>
          <w:color w:val="auto"/>
          <w:sz w:val="28"/>
          <w:szCs w:val="28"/>
          <w:highlight w:val="none"/>
          <w:lang w:val="en-US" w:eastAsia="zh-CN"/>
        </w:rPr>
      </w:pPr>
    </w:p>
    <w:p w14:paraId="40CA43FD">
      <w:pPr>
        <w:numPr>
          <w:ilvl w:val="0"/>
          <w:numId w:val="0"/>
        </w:numPr>
        <w:spacing w:line="460" w:lineRule="exact"/>
        <w:ind w:right="62" w:rightChars="0"/>
        <w:jc w:val="both"/>
        <w:rPr>
          <w:rFonts w:hint="eastAsia" w:ascii="宋体" w:hAnsi="宋体" w:eastAsia="宋体" w:cs="宋体"/>
          <w:b/>
          <w:bCs w:val="0"/>
          <w:color w:val="auto"/>
          <w:sz w:val="28"/>
          <w:szCs w:val="28"/>
          <w:highlight w:val="none"/>
          <w:lang w:val="en-US" w:eastAsia="zh-CN"/>
        </w:rPr>
      </w:pPr>
    </w:p>
    <w:p w14:paraId="180F7E7E">
      <w:pPr>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br w:type="page"/>
      </w:r>
    </w:p>
    <w:p w14:paraId="1E2AA192">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outlineLvl w:val="1"/>
        <w:rPr>
          <w:rFonts w:hint="eastAsia" w:ascii="宋体" w:hAnsi="宋体" w:eastAsia="宋体" w:cs="宋体"/>
          <w:b/>
          <w:bCs w:val="0"/>
          <w:color w:val="auto"/>
          <w:sz w:val="28"/>
          <w:szCs w:val="28"/>
          <w:highlight w:val="none"/>
          <w:lang w:val="en-US" w:eastAsia="zh-CN"/>
        </w:rPr>
      </w:pPr>
      <w:bookmarkStart w:id="352" w:name="_Toc19063"/>
      <w:r>
        <w:rPr>
          <w:rFonts w:hint="eastAsia" w:ascii="宋体" w:hAnsi="宋体" w:cs="宋体"/>
          <w:b/>
          <w:bCs w:val="0"/>
          <w:color w:val="auto"/>
          <w:sz w:val="28"/>
          <w:szCs w:val="28"/>
          <w:highlight w:val="none"/>
          <w:lang w:val="en-US" w:eastAsia="zh-CN"/>
        </w:rPr>
        <w:t>17、</w:t>
      </w:r>
      <w:r>
        <w:rPr>
          <w:rFonts w:hint="eastAsia" w:ascii="宋体" w:hAnsi="宋体" w:eastAsia="宋体" w:cs="宋体"/>
          <w:b/>
          <w:bCs w:val="0"/>
          <w:color w:val="auto"/>
          <w:sz w:val="28"/>
          <w:szCs w:val="28"/>
          <w:highlight w:val="none"/>
          <w:lang w:val="en-US" w:eastAsia="zh-CN"/>
        </w:rPr>
        <w:t>不拖欠农民工工资承诺书</w:t>
      </w:r>
      <w:bookmarkEnd w:id="352"/>
    </w:p>
    <w:p w14:paraId="018EBBB4">
      <w:pPr>
        <w:autoSpaceDE w:val="0"/>
        <w:autoSpaceDN w:val="0"/>
        <w:spacing w:line="440" w:lineRule="exact"/>
        <w:rPr>
          <w:rFonts w:hint="eastAsia" w:ascii="宋体" w:hAnsi="宋体" w:eastAsia="宋体" w:cs="宋体"/>
          <w:color w:val="auto"/>
          <w:sz w:val="28"/>
          <w:szCs w:val="28"/>
          <w:highlight w:val="none"/>
          <w:u w:val="single"/>
        </w:rPr>
      </w:pPr>
    </w:p>
    <w:p w14:paraId="26D51045">
      <w:pPr>
        <w:spacing w:line="360" w:lineRule="auto"/>
        <w:rPr>
          <w:rFonts w:hint="eastAsia" w:ascii="宋体" w:hAnsi="宋体" w:eastAsia="宋体"/>
          <w:color w:val="auto"/>
          <w:sz w:val="24"/>
          <w:szCs w:val="24"/>
          <w:highlight w:val="none"/>
          <w:u w:val="single"/>
          <w:lang w:eastAsia="zh-CN"/>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none"/>
          <w:lang w:eastAsia="zh-CN"/>
        </w:rPr>
        <w:t>（采购单位名称）</w:t>
      </w:r>
    </w:p>
    <w:p w14:paraId="055694ED">
      <w:pPr>
        <w:pStyle w:val="11"/>
        <w:rPr>
          <w:rFonts w:hint="eastAsia"/>
          <w:color w:val="auto"/>
          <w:sz w:val="24"/>
          <w:szCs w:val="24"/>
          <w:highlight w:val="none"/>
        </w:rPr>
      </w:pPr>
    </w:p>
    <w:p w14:paraId="2710585A">
      <w:pPr>
        <w:autoSpaceDE w:val="0"/>
        <w:autoSpaceDN w:val="0"/>
        <w:spacing w:line="44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我单位有幸获取中标，将严格执行自治区关于保障农民工工资的规定，我单位郑重承诺：保证足额按时付清农民工工资，不以任何理由拖欠。在该工程施工过程若存在拖欠农民工工资行为的，愿按照拖欠农民工工资额的5倍及以上接受处罚。</w:t>
      </w:r>
    </w:p>
    <w:p w14:paraId="0C6647E6">
      <w:pPr>
        <w:autoSpaceDE w:val="0"/>
        <w:autoSpaceDN w:val="0"/>
        <w:spacing w:line="440" w:lineRule="exact"/>
        <w:ind w:left="0" w:leftChars="0" w:firstLine="0" w:firstLineChars="0"/>
        <w:rPr>
          <w:rFonts w:hint="eastAsia" w:ascii="宋体" w:hAnsi="宋体" w:eastAsia="宋体" w:cs="宋体"/>
          <w:color w:val="auto"/>
          <w:sz w:val="24"/>
          <w:szCs w:val="24"/>
          <w:highlight w:val="none"/>
        </w:rPr>
      </w:pPr>
    </w:p>
    <w:p w14:paraId="60AF0FB8">
      <w:pPr>
        <w:autoSpaceDE w:val="0"/>
        <w:autoSpaceDN w:val="0"/>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特此承诺</w:t>
      </w:r>
      <w:r>
        <w:rPr>
          <w:rFonts w:hint="eastAsia" w:ascii="宋体" w:hAnsi="宋体" w:cs="宋体"/>
          <w:color w:val="auto"/>
          <w:sz w:val="24"/>
          <w:szCs w:val="24"/>
          <w:highlight w:val="none"/>
          <w:lang w:eastAsia="zh-CN"/>
        </w:rPr>
        <w:t>！</w:t>
      </w:r>
    </w:p>
    <w:p w14:paraId="0F9C8C73">
      <w:pPr>
        <w:pStyle w:val="49"/>
        <w:rPr>
          <w:rFonts w:hint="eastAsia" w:ascii="宋体" w:hAnsi="宋体" w:eastAsia="宋体" w:cs="宋体"/>
          <w:color w:val="auto"/>
          <w:sz w:val="24"/>
          <w:szCs w:val="24"/>
          <w:highlight w:val="none"/>
        </w:rPr>
      </w:pPr>
    </w:p>
    <w:p w14:paraId="08D1644F">
      <w:pPr>
        <w:pStyle w:val="49"/>
        <w:rPr>
          <w:rFonts w:hint="eastAsia" w:ascii="宋体" w:hAnsi="宋体" w:eastAsia="宋体" w:cs="宋体"/>
          <w:color w:val="auto"/>
          <w:sz w:val="24"/>
          <w:szCs w:val="24"/>
          <w:highlight w:val="none"/>
        </w:rPr>
      </w:pPr>
    </w:p>
    <w:p w14:paraId="348DB8ED">
      <w:pPr>
        <w:pStyle w:val="49"/>
        <w:rPr>
          <w:rFonts w:hint="eastAsia" w:ascii="宋体" w:hAnsi="宋体" w:eastAsia="宋体" w:cs="宋体"/>
          <w:color w:val="auto"/>
          <w:sz w:val="24"/>
          <w:szCs w:val="24"/>
          <w:highlight w:val="none"/>
        </w:rPr>
      </w:pPr>
    </w:p>
    <w:p w14:paraId="0B9777A9">
      <w:pPr>
        <w:pStyle w:val="49"/>
        <w:rPr>
          <w:rFonts w:hint="eastAsia" w:ascii="宋体" w:hAnsi="宋体" w:eastAsia="宋体" w:cs="宋体"/>
          <w:color w:val="auto"/>
          <w:sz w:val="24"/>
          <w:szCs w:val="24"/>
          <w:highlight w:val="none"/>
        </w:rPr>
      </w:pPr>
    </w:p>
    <w:p w14:paraId="348D1D7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E6702E0">
      <w:pPr>
        <w:keepNext w:val="0"/>
        <w:keepLines w:val="0"/>
        <w:pageBreakBefore w:val="0"/>
        <w:widowControl w:val="0"/>
        <w:kinsoku/>
        <w:wordWrap/>
        <w:overflowPunct/>
        <w:topLinePunct w:val="0"/>
        <w:autoSpaceDE/>
        <w:autoSpaceDN/>
        <w:bidi w:val="0"/>
        <w:adjustRightInd/>
        <w:snapToGrid/>
        <w:spacing w:line="500" w:lineRule="exact"/>
        <w:ind w:firstLine="1920" w:firstLineChars="8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盖章</w:t>
      </w:r>
      <w:r>
        <w:rPr>
          <w:rFonts w:hint="eastAsia" w:ascii="宋体" w:hAnsi="宋体" w:eastAsia="宋体" w:cs="宋体"/>
          <w:color w:val="auto"/>
          <w:sz w:val="24"/>
          <w:highlight w:val="none"/>
        </w:rPr>
        <w:t xml:space="preserve">）   </w:t>
      </w:r>
    </w:p>
    <w:p w14:paraId="6750B30B">
      <w:pPr>
        <w:keepNext w:val="0"/>
        <w:keepLines w:val="0"/>
        <w:pageBreakBefore w:val="0"/>
        <w:widowControl w:val="0"/>
        <w:kinsoku/>
        <w:wordWrap/>
        <w:overflowPunct/>
        <w:topLinePunct w:val="0"/>
        <w:autoSpaceDE/>
        <w:autoSpaceDN/>
        <w:bidi w:val="0"/>
        <w:adjustRightInd/>
        <w:snapToGrid/>
        <w:spacing w:line="500" w:lineRule="exact"/>
        <w:ind w:firstLine="1920" w:firstLineChars="8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val="en-US" w:eastAsia="zh-CN"/>
        </w:rPr>
        <w:t>和</w:t>
      </w:r>
      <w:r>
        <w:rPr>
          <w:rFonts w:hint="eastAsia" w:ascii="宋体" w:hAnsi="宋体" w:eastAsia="宋体" w:cs="宋体"/>
          <w:color w:val="auto"/>
          <w:sz w:val="24"/>
          <w:highlight w:val="none"/>
        </w:rPr>
        <w:t>授权代表人：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w:t>
      </w:r>
      <w:r>
        <w:rPr>
          <w:rFonts w:hint="eastAsia" w:ascii="宋体" w:hAnsi="宋体" w:cs="宋体"/>
          <w:color w:val="auto"/>
          <w:sz w:val="24"/>
          <w:highlight w:val="none"/>
          <w:lang w:eastAsia="zh-CN"/>
        </w:rPr>
        <w:t>或</w:t>
      </w:r>
      <w:r>
        <w:rPr>
          <w:rFonts w:hint="eastAsia" w:ascii="宋体" w:hAnsi="宋体" w:eastAsia="宋体" w:cs="宋体"/>
          <w:color w:val="auto"/>
          <w:sz w:val="24"/>
          <w:highlight w:val="none"/>
        </w:rPr>
        <w:t xml:space="preserve">盖章） </w:t>
      </w:r>
    </w:p>
    <w:p w14:paraId="657BB40A">
      <w:pPr>
        <w:pageBreakBefore w:val="0"/>
        <w:kinsoku/>
        <w:wordWrap/>
        <w:overflowPunct/>
        <w:topLinePunct w:val="0"/>
        <w:bidi w:val="0"/>
        <w:spacing w:line="360" w:lineRule="auto"/>
        <w:ind w:firstLine="5040" w:firstLineChars="2100"/>
        <w:rPr>
          <w:rFonts w:hint="eastAsia" w:ascii="宋体" w:hAnsi="宋体" w:eastAsia="宋体" w:cs="宋体"/>
          <w:color w:val="auto"/>
          <w:sz w:val="24"/>
          <w:highlight w:val="none"/>
        </w:rPr>
      </w:pPr>
    </w:p>
    <w:p w14:paraId="703F9B2A">
      <w:pPr>
        <w:pageBreakBefore w:val="0"/>
        <w:kinsoku/>
        <w:wordWrap/>
        <w:overflowPunct/>
        <w:topLinePunct w:val="0"/>
        <w:bidi w:val="0"/>
        <w:spacing w:line="360" w:lineRule="auto"/>
        <w:ind w:firstLine="5520" w:firstLineChars="2300"/>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77919855">
      <w:pPr>
        <w:rPr>
          <w:rFonts w:hint="eastAsia" w:ascii="宋体" w:hAnsi="宋体" w:eastAsia="宋体" w:cs="宋体"/>
          <w:color w:val="auto"/>
          <w:sz w:val="24"/>
          <w:szCs w:val="24"/>
          <w:highlight w:val="none"/>
        </w:rPr>
      </w:pPr>
    </w:p>
    <w:p w14:paraId="0B2410FD">
      <w:pPr>
        <w:spacing w:line="360" w:lineRule="auto"/>
        <w:jc w:val="both"/>
        <w:rPr>
          <w:rFonts w:hint="eastAsia" w:ascii="宋体" w:hAnsi="宋体"/>
          <w:b/>
          <w:color w:val="auto"/>
          <w:sz w:val="32"/>
          <w:szCs w:val="32"/>
          <w:highlight w:val="none"/>
        </w:rPr>
      </w:pPr>
    </w:p>
    <w:p w14:paraId="0EBD5075">
      <w:pPr>
        <w:spacing w:line="360" w:lineRule="auto"/>
        <w:ind w:left="0" w:leftChars="0" w:firstLine="0" w:firstLineChars="0"/>
        <w:jc w:val="both"/>
        <w:rPr>
          <w:rFonts w:hint="eastAsia" w:ascii="宋体" w:hAnsi="宋体"/>
          <w:b/>
          <w:color w:val="auto"/>
          <w:sz w:val="32"/>
          <w:szCs w:val="32"/>
          <w:highlight w:val="none"/>
        </w:rPr>
      </w:pPr>
    </w:p>
    <w:p w14:paraId="464F87E0">
      <w:pPr>
        <w:pStyle w:val="49"/>
        <w:rPr>
          <w:rFonts w:hint="eastAsia"/>
          <w:color w:val="auto"/>
          <w:highlight w:val="none"/>
        </w:rPr>
      </w:pPr>
    </w:p>
    <w:p w14:paraId="42A1E6BE">
      <w:pPr>
        <w:pStyle w:val="49"/>
        <w:rPr>
          <w:rFonts w:hint="eastAsia"/>
          <w:color w:val="auto"/>
          <w:highlight w:val="none"/>
        </w:rPr>
      </w:pPr>
    </w:p>
    <w:p w14:paraId="36AD3634">
      <w:pPr>
        <w:numPr>
          <w:ilvl w:val="0"/>
          <w:numId w:val="0"/>
        </w:numPr>
        <w:spacing w:line="460" w:lineRule="exact"/>
        <w:ind w:leftChars="-50" w:right="62" w:rightChars="0"/>
        <w:jc w:val="center"/>
        <w:rPr>
          <w:rFonts w:hint="eastAsia" w:ascii="宋体" w:hAnsi="宋体" w:eastAsia="宋体" w:cs="宋体"/>
          <w:b/>
          <w:bCs w:val="0"/>
          <w:color w:val="auto"/>
          <w:sz w:val="24"/>
          <w:highlight w:val="none"/>
          <w:lang w:val="en-US" w:eastAsia="zh-CN"/>
        </w:rPr>
      </w:pPr>
    </w:p>
    <w:p w14:paraId="5FF9FDC7">
      <w:pPr>
        <w:numPr>
          <w:ilvl w:val="0"/>
          <w:numId w:val="0"/>
        </w:numPr>
        <w:spacing w:line="460" w:lineRule="exact"/>
        <w:ind w:leftChars="-50" w:right="62" w:rightChars="0"/>
        <w:jc w:val="center"/>
        <w:rPr>
          <w:rFonts w:hint="eastAsia" w:ascii="宋体" w:hAnsi="宋体" w:eastAsia="宋体" w:cs="宋体"/>
          <w:b/>
          <w:bCs w:val="0"/>
          <w:color w:val="auto"/>
          <w:sz w:val="24"/>
          <w:highlight w:val="none"/>
          <w:lang w:val="en-US" w:eastAsia="zh-CN"/>
        </w:rPr>
      </w:pPr>
    </w:p>
    <w:p w14:paraId="07275DA6">
      <w:pPr>
        <w:numPr>
          <w:ilvl w:val="0"/>
          <w:numId w:val="0"/>
        </w:numPr>
        <w:spacing w:line="460" w:lineRule="exact"/>
        <w:ind w:leftChars="-50" w:right="62" w:rightChars="0"/>
        <w:jc w:val="center"/>
        <w:rPr>
          <w:rFonts w:hint="eastAsia" w:ascii="宋体" w:hAnsi="宋体" w:eastAsia="宋体" w:cs="宋体"/>
          <w:b/>
          <w:bCs w:val="0"/>
          <w:color w:val="auto"/>
          <w:sz w:val="28"/>
          <w:szCs w:val="28"/>
          <w:highlight w:val="none"/>
          <w:lang w:val="en-US" w:eastAsia="zh-CN"/>
        </w:rPr>
      </w:pPr>
    </w:p>
    <w:p w14:paraId="133E6D36">
      <w:pPr>
        <w:numPr>
          <w:ilvl w:val="0"/>
          <w:numId w:val="0"/>
        </w:numPr>
        <w:spacing w:line="460" w:lineRule="exact"/>
        <w:ind w:leftChars="-50" w:right="62" w:rightChars="0"/>
        <w:jc w:val="center"/>
        <w:rPr>
          <w:rFonts w:hint="eastAsia" w:ascii="宋体" w:hAnsi="宋体" w:eastAsia="宋体" w:cs="宋体"/>
          <w:b/>
          <w:bCs w:val="0"/>
          <w:color w:val="auto"/>
          <w:sz w:val="28"/>
          <w:szCs w:val="28"/>
          <w:highlight w:val="none"/>
          <w:lang w:val="en-US" w:eastAsia="zh-CN"/>
        </w:rPr>
      </w:pPr>
    </w:p>
    <w:p w14:paraId="183FC23D">
      <w:pPr>
        <w:numPr>
          <w:ilvl w:val="0"/>
          <w:numId w:val="0"/>
        </w:numPr>
        <w:spacing w:line="460" w:lineRule="exact"/>
        <w:ind w:leftChars="-50" w:right="62" w:rightChars="0"/>
        <w:jc w:val="center"/>
        <w:rPr>
          <w:rFonts w:hint="eastAsia" w:ascii="宋体" w:hAnsi="宋体" w:eastAsia="宋体" w:cs="宋体"/>
          <w:b/>
          <w:bCs w:val="0"/>
          <w:color w:val="auto"/>
          <w:sz w:val="28"/>
          <w:szCs w:val="28"/>
          <w:highlight w:val="none"/>
          <w:lang w:val="en-US" w:eastAsia="zh-CN"/>
        </w:rPr>
      </w:pPr>
    </w:p>
    <w:p w14:paraId="253B157E">
      <w:pPr>
        <w:numPr>
          <w:ilvl w:val="0"/>
          <w:numId w:val="0"/>
        </w:numPr>
        <w:spacing w:line="460" w:lineRule="exact"/>
        <w:ind w:leftChars="-50" w:right="62" w:rightChars="0"/>
        <w:jc w:val="center"/>
        <w:rPr>
          <w:rFonts w:hint="eastAsia" w:ascii="宋体" w:hAnsi="宋体" w:eastAsia="宋体" w:cs="宋体"/>
          <w:b/>
          <w:bCs w:val="0"/>
          <w:color w:val="auto"/>
          <w:sz w:val="28"/>
          <w:szCs w:val="28"/>
          <w:highlight w:val="none"/>
          <w:lang w:val="en-US" w:eastAsia="zh-CN"/>
        </w:rPr>
      </w:pPr>
    </w:p>
    <w:p w14:paraId="7C200C5A">
      <w:pPr>
        <w:numPr>
          <w:ilvl w:val="0"/>
          <w:numId w:val="0"/>
        </w:numPr>
        <w:spacing w:line="460" w:lineRule="exact"/>
        <w:ind w:leftChars="-50" w:right="62" w:rightChars="0"/>
        <w:jc w:val="center"/>
        <w:rPr>
          <w:rFonts w:hint="eastAsia" w:ascii="宋体" w:hAnsi="宋体" w:eastAsia="宋体" w:cs="宋体"/>
          <w:b/>
          <w:bCs w:val="0"/>
          <w:color w:val="auto"/>
          <w:sz w:val="28"/>
          <w:szCs w:val="28"/>
          <w:highlight w:val="none"/>
          <w:lang w:val="en-US" w:eastAsia="zh-CN"/>
        </w:rPr>
      </w:pPr>
    </w:p>
    <w:p w14:paraId="5257D4DB">
      <w:pPr>
        <w:numPr>
          <w:ilvl w:val="0"/>
          <w:numId w:val="0"/>
        </w:numPr>
        <w:spacing w:line="460" w:lineRule="exact"/>
        <w:ind w:leftChars="-50" w:right="62" w:rightChars="0"/>
        <w:jc w:val="center"/>
        <w:rPr>
          <w:rFonts w:hint="eastAsia" w:ascii="宋体" w:hAnsi="宋体" w:eastAsia="宋体" w:cs="宋体"/>
          <w:b/>
          <w:bCs w:val="0"/>
          <w:color w:val="auto"/>
          <w:sz w:val="28"/>
          <w:szCs w:val="28"/>
          <w:highlight w:val="none"/>
          <w:lang w:val="en-US" w:eastAsia="zh-CN"/>
        </w:rPr>
      </w:pPr>
    </w:p>
    <w:p w14:paraId="0D8BE586">
      <w:pPr>
        <w:pageBreakBefore w:val="0"/>
        <w:kinsoku/>
        <w:wordWrap/>
        <w:overflowPunct/>
        <w:topLinePunct w:val="0"/>
        <w:bidi w:val="0"/>
        <w:spacing w:line="360" w:lineRule="auto"/>
        <w:rPr>
          <w:rFonts w:hint="eastAsia" w:ascii="宋体" w:hAnsi="宋体" w:eastAsia="宋体" w:cs="宋体"/>
          <w:b/>
          <w:bCs w:val="0"/>
          <w:color w:val="auto"/>
          <w:sz w:val="28"/>
          <w:szCs w:val="28"/>
          <w:highlight w:val="none"/>
          <w:lang w:val="en-US" w:eastAsia="zh-CN"/>
        </w:rPr>
      </w:pPr>
    </w:p>
    <w:p w14:paraId="17D95B99">
      <w:pPr>
        <w:pageBreakBefore w:val="0"/>
        <w:kinsoku/>
        <w:wordWrap/>
        <w:overflowPunct/>
        <w:topLinePunct w:val="0"/>
        <w:bidi w:val="0"/>
        <w:spacing w:line="360" w:lineRule="auto"/>
        <w:rPr>
          <w:rFonts w:hint="eastAsia" w:ascii="宋体" w:hAnsi="宋体" w:eastAsia="宋体" w:cs="宋体"/>
          <w:b/>
          <w:bCs w:val="0"/>
          <w:color w:val="auto"/>
          <w:sz w:val="28"/>
          <w:szCs w:val="28"/>
          <w:highlight w:val="none"/>
          <w:lang w:val="en-US" w:eastAsia="zh-CN"/>
        </w:rPr>
      </w:pPr>
    </w:p>
    <w:p w14:paraId="1268315C">
      <w:pPr>
        <w:pageBreakBefore w:val="0"/>
        <w:kinsoku/>
        <w:wordWrap/>
        <w:overflowPunct/>
        <w:topLinePunct w:val="0"/>
        <w:bidi w:val="0"/>
        <w:spacing w:line="360" w:lineRule="auto"/>
        <w:jc w:val="center"/>
        <w:outlineLvl w:val="1"/>
        <w:rPr>
          <w:rFonts w:hint="eastAsia" w:ascii="宋体" w:hAnsi="宋体" w:eastAsia="宋体" w:cs="宋体"/>
          <w:b/>
          <w:bCs w:val="0"/>
          <w:color w:val="auto"/>
          <w:sz w:val="28"/>
          <w:szCs w:val="28"/>
          <w:highlight w:val="none"/>
          <w:lang w:val="en-US" w:eastAsia="zh-CN"/>
        </w:rPr>
      </w:pPr>
      <w:bookmarkStart w:id="353" w:name="_Toc12778"/>
      <w:r>
        <w:rPr>
          <w:rFonts w:hint="eastAsia" w:ascii="宋体" w:hAnsi="宋体" w:cs="宋体"/>
          <w:b/>
          <w:bCs w:val="0"/>
          <w:color w:val="auto"/>
          <w:sz w:val="28"/>
          <w:szCs w:val="28"/>
          <w:highlight w:val="none"/>
          <w:lang w:val="en-US" w:eastAsia="zh-CN"/>
        </w:rPr>
        <w:t>18</w:t>
      </w:r>
      <w:r>
        <w:rPr>
          <w:rFonts w:hint="eastAsia" w:ascii="宋体" w:hAnsi="宋体" w:eastAsia="宋体" w:cs="宋体"/>
          <w:b/>
          <w:bCs w:val="0"/>
          <w:color w:val="auto"/>
          <w:sz w:val="28"/>
          <w:szCs w:val="28"/>
          <w:highlight w:val="none"/>
          <w:lang w:val="en-US" w:eastAsia="zh-CN"/>
        </w:rPr>
        <w:t>、投标建造师无在建项目承诺书</w:t>
      </w:r>
      <w:bookmarkEnd w:id="353"/>
    </w:p>
    <w:p w14:paraId="0A672073">
      <w:pPr>
        <w:spacing w:beforeLines="0" w:afterLines="0"/>
        <w:jc w:val="left"/>
        <w:rPr>
          <w:rFonts w:hint="eastAsia" w:ascii="宋体" w:hAnsi="宋体" w:eastAsia="宋体" w:cs="宋体"/>
          <w:color w:val="auto"/>
          <w:sz w:val="24"/>
          <w:szCs w:val="24"/>
          <w:highlight w:val="none"/>
          <w:u w:val="single"/>
          <w:lang w:val="en-US" w:eastAsia="zh-CN"/>
        </w:rPr>
      </w:pPr>
    </w:p>
    <w:p w14:paraId="1FBB1A03">
      <w:pPr>
        <w:spacing w:beforeLines="0" w:afterLines="0"/>
        <w:jc w:val="left"/>
        <w:rPr>
          <w:rFonts w:hint="eastAsia" w:ascii="宋体" w:hAnsi="宋体" w:eastAsia="宋体" w:cs="宋体"/>
          <w:color w:val="auto"/>
          <w:sz w:val="24"/>
          <w:szCs w:val="24"/>
          <w:highlight w:val="none"/>
          <w:u w:val="single"/>
          <w:lang w:val="en-US" w:eastAsia="zh-CN"/>
        </w:rPr>
      </w:pPr>
    </w:p>
    <w:p w14:paraId="0280E224">
      <w:pPr>
        <w:spacing w:line="360" w:lineRule="auto"/>
        <w:rPr>
          <w:rFonts w:hint="eastAsia" w:ascii="宋体" w:hAnsi="宋体" w:eastAsia="宋体" w:cs="宋体"/>
          <w:color w:val="auto"/>
          <w:sz w:val="24"/>
          <w:szCs w:val="24"/>
          <w:highlight w:val="none"/>
          <w:u w:val="singl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none"/>
          <w:lang w:eastAsia="zh-CN"/>
        </w:rPr>
        <w:t>（采购单位名称）</w:t>
      </w:r>
    </w:p>
    <w:p w14:paraId="1FB37238">
      <w:pPr>
        <w:spacing w:beforeLines="0" w:afterLines="0"/>
        <w:jc w:val="left"/>
        <w:rPr>
          <w:rFonts w:hint="eastAsia" w:ascii="宋体" w:hAnsi="宋体" w:eastAsia="宋体" w:cs="宋体"/>
          <w:color w:val="auto"/>
          <w:sz w:val="24"/>
          <w:szCs w:val="24"/>
          <w:highlight w:val="none"/>
        </w:rPr>
      </w:pPr>
    </w:p>
    <w:p w14:paraId="503D634E">
      <w:pPr>
        <w:spacing w:beforeLines="0" w:afterLines="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我公司在此承诺，拟投标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(项目名称)的建造师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(姓名)身份证号：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，注册建造师证注册号：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，现未担任任何在建设工程项目负责人。</w:t>
      </w:r>
    </w:p>
    <w:p w14:paraId="207C374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我公司保证上述信息的真实性和准确性，如有虚假我方自愿承担一切法律责任，并接受建设行政主管部门的处罚。</w:t>
      </w:r>
    </w:p>
    <w:p w14:paraId="75DBB52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577A9A94">
      <w:pPr>
        <w:pStyle w:val="8"/>
        <w:outlineLvl w:val="9"/>
        <w:rPr>
          <w:rFonts w:hint="eastAsia"/>
          <w:color w:val="auto"/>
          <w:highlight w:val="none"/>
        </w:rPr>
      </w:pPr>
    </w:p>
    <w:p w14:paraId="2B8F0752">
      <w:pPr>
        <w:spacing w:line="220" w:lineRule="atLeast"/>
        <w:rPr>
          <w:rFonts w:hint="eastAsia" w:ascii="宋体" w:hAnsi="宋体" w:eastAsia="宋体" w:cs="宋体"/>
          <w:color w:val="auto"/>
          <w:sz w:val="24"/>
          <w:szCs w:val="24"/>
          <w:highlight w:val="none"/>
          <w:lang w:eastAsia="zh-CN"/>
        </w:rPr>
      </w:pPr>
    </w:p>
    <w:p w14:paraId="0B0AAD3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cs="宋体"/>
          <w:color w:val="auto"/>
          <w:sz w:val="24"/>
          <w:szCs w:val="24"/>
          <w:highlight w:val="none"/>
          <w:lang w:val="en-US" w:eastAsia="zh-CN"/>
        </w:rPr>
        <w:t>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1E8963B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auto"/>
          <w:sz w:val="24"/>
          <w:szCs w:val="24"/>
          <w:highlight w:val="none"/>
        </w:rPr>
      </w:pPr>
    </w:p>
    <w:p w14:paraId="04D2F32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法定代表人（签字或盖章）：</w:t>
      </w:r>
      <w:r>
        <w:rPr>
          <w:rFonts w:hint="eastAsia" w:ascii="宋体" w:hAnsi="宋体" w:eastAsia="宋体" w:cs="宋体"/>
          <w:color w:val="auto"/>
          <w:sz w:val="24"/>
          <w:szCs w:val="24"/>
          <w:highlight w:val="none"/>
          <w:u w:val="single"/>
        </w:rPr>
        <w:t xml:space="preserve">                    </w:t>
      </w:r>
    </w:p>
    <w:p w14:paraId="020B9B6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auto"/>
          <w:sz w:val="24"/>
          <w:szCs w:val="24"/>
          <w:highlight w:val="none"/>
        </w:rPr>
      </w:pPr>
    </w:p>
    <w:p w14:paraId="40DBF55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项目经理（签字或盖章）：</w:t>
      </w:r>
      <w:r>
        <w:rPr>
          <w:rFonts w:hint="eastAsia" w:ascii="宋体" w:hAnsi="宋体" w:eastAsia="宋体" w:cs="宋体"/>
          <w:color w:val="auto"/>
          <w:sz w:val="24"/>
          <w:szCs w:val="24"/>
          <w:highlight w:val="none"/>
          <w:u w:val="single"/>
        </w:rPr>
        <w:t xml:space="preserve">                      </w:t>
      </w:r>
    </w:p>
    <w:p w14:paraId="719A35F5">
      <w:pPr>
        <w:keepNext w:val="0"/>
        <w:keepLines w:val="0"/>
        <w:pageBreakBefore w:val="0"/>
        <w:widowControl w:val="0"/>
        <w:kinsoku/>
        <w:wordWrap/>
        <w:overflowPunct/>
        <w:topLinePunct w:val="0"/>
        <w:autoSpaceDE/>
        <w:autoSpaceDN/>
        <w:bidi w:val="0"/>
        <w:adjustRightInd/>
        <w:snapToGrid/>
        <w:spacing w:line="400" w:lineRule="exact"/>
        <w:ind w:firstLine="3480" w:firstLineChars="14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A9570B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outlineLvl w:val="9"/>
        <w:rPr>
          <w:rFonts w:hint="eastAsia" w:eastAsia="仿宋_GB2312"/>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0D3EF49">
      <w:pPr>
        <w:spacing w:line="360" w:lineRule="auto"/>
        <w:ind w:firstLine="640" w:firstLineChars="200"/>
        <w:jc w:val="center"/>
        <w:rPr>
          <w:rFonts w:hint="eastAsia" w:ascii="宋体" w:hAnsi="宋体"/>
          <w:b/>
          <w:color w:val="auto"/>
          <w:sz w:val="32"/>
          <w:szCs w:val="32"/>
          <w:highlight w:val="none"/>
        </w:rPr>
      </w:pPr>
    </w:p>
    <w:p w14:paraId="59FD64D8">
      <w:pPr>
        <w:spacing w:line="360" w:lineRule="auto"/>
        <w:ind w:firstLine="640" w:firstLineChars="200"/>
        <w:jc w:val="center"/>
        <w:rPr>
          <w:rFonts w:hint="eastAsia" w:ascii="宋体" w:hAnsi="宋体"/>
          <w:b/>
          <w:color w:val="auto"/>
          <w:sz w:val="32"/>
          <w:szCs w:val="32"/>
          <w:highlight w:val="none"/>
        </w:rPr>
      </w:pPr>
    </w:p>
    <w:p w14:paraId="7FCED32E">
      <w:pPr>
        <w:spacing w:line="360" w:lineRule="auto"/>
        <w:ind w:firstLine="640" w:firstLineChars="200"/>
        <w:jc w:val="center"/>
        <w:rPr>
          <w:rFonts w:hint="eastAsia" w:ascii="宋体" w:hAnsi="宋体"/>
          <w:b/>
          <w:color w:val="auto"/>
          <w:sz w:val="32"/>
          <w:szCs w:val="32"/>
          <w:highlight w:val="none"/>
        </w:rPr>
      </w:pPr>
    </w:p>
    <w:p w14:paraId="260B8AA0">
      <w:pPr>
        <w:spacing w:line="360" w:lineRule="auto"/>
        <w:ind w:firstLine="640" w:firstLineChars="200"/>
        <w:jc w:val="center"/>
        <w:rPr>
          <w:rFonts w:hint="eastAsia" w:ascii="宋体" w:hAnsi="宋体"/>
          <w:b/>
          <w:color w:val="auto"/>
          <w:sz w:val="32"/>
          <w:szCs w:val="32"/>
          <w:highlight w:val="none"/>
        </w:rPr>
      </w:pPr>
    </w:p>
    <w:p w14:paraId="451BF27A">
      <w:pPr>
        <w:spacing w:line="360" w:lineRule="auto"/>
        <w:ind w:firstLine="640" w:firstLineChars="200"/>
        <w:jc w:val="center"/>
        <w:rPr>
          <w:rFonts w:hint="eastAsia" w:ascii="宋体" w:hAnsi="宋体"/>
          <w:b/>
          <w:color w:val="auto"/>
          <w:sz w:val="32"/>
          <w:szCs w:val="32"/>
          <w:highlight w:val="none"/>
        </w:rPr>
      </w:pPr>
    </w:p>
    <w:p w14:paraId="5F8E4820">
      <w:pPr>
        <w:pStyle w:val="49"/>
        <w:rPr>
          <w:rFonts w:hint="eastAsia" w:ascii="宋体" w:hAnsi="宋体"/>
          <w:b/>
          <w:color w:val="auto"/>
          <w:sz w:val="32"/>
          <w:szCs w:val="32"/>
          <w:highlight w:val="none"/>
        </w:rPr>
      </w:pPr>
    </w:p>
    <w:p w14:paraId="0DFC515B">
      <w:pPr>
        <w:pStyle w:val="49"/>
        <w:rPr>
          <w:rFonts w:hint="eastAsia" w:ascii="宋体" w:hAnsi="宋体"/>
          <w:b/>
          <w:color w:val="auto"/>
          <w:sz w:val="32"/>
          <w:szCs w:val="32"/>
          <w:highlight w:val="none"/>
        </w:rPr>
      </w:pPr>
    </w:p>
    <w:p w14:paraId="3DB8E0C1">
      <w:pPr>
        <w:rPr>
          <w:rFonts w:hint="eastAsia" w:ascii="宋体" w:hAnsi="宋体" w:eastAsia="宋体" w:cs="宋体"/>
          <w:b/>
          <w:bCs w:val="0"/>
          <w:color w:val="auto"/>
          <w:sz w:val="28"/>
          <w:szCs w:val="28"/>
          <w:highlight w:val="none"/>
          <w:lang w:val="en-US" w:eastAsia="zh-CN"/>
        </w:rPr>
      </w:pPr>
    </w:p>
    <w:p w14:paraId="3DE240F5">
      <w:pPr>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br w:type="page"/>
      </w:r>
    </w:p>
    <w:p w14:paraId="2C98F034">
      <w:pPr>
        <w:numPr>
          <w:ilvl w:val="0"/>
          <w:numId w:val="0"/>
        </w:numPr>
        <w:spacing w:line="460" w:lineRule="exact"/>
        <w:ind w:right="62" w:rightChars="0"/>
        <w:jc w:val="center"/>
        <w:outlineLvl w:val="1"/>
        <w:rPr>
          <w:rFonts w:hint="eastAsia" w:ascii="宋体" w:hAnsi="宋体" w:eastAsia="宋体" w:cs="宋体"/>
          <w:b/>
          <w:bCs w:val="0"/>
          <w:color w:val="auto"/>
          <w:sz w:val="28"/>
          <w:szCs w:val="28"/>
          <w:highlight w:val="none"/>
          <w:lang w:val="en-US" w:eastAsia="zh-CN"/>
        </w:rPr>
      </w:pPr>
      <w:bookmarkStart w:id="354" w:name="_Toc9356"/>
      <w:r>
        <w:rPr>
          <w:rFonts w:hint="eastAsia" w:ascii="宋体" w:hAnsi="宋体" w:cs="宋体"/>
          <w:b/>
          <w:bCs w:val="0"/>
          <w:color w:val="auto"/>
          <w:sz w:val="28"/>
          <w:szCs w:val="28"/>
          <w:highlight w:val="none"/>
          <w:lang w:val="en-US" w:eastAsia="zh-CN"/>
        </w:rPr>
        <w:t>19</w:t>
      </w:r>
      <w:r>
        <w:rPr>
          <w:rFonts w:hint="eastAsia" w:ascii="宋体" w:hAnsi="宋体" w:eastAsia="宋体" w:cs="宋体"/>
          <w:b/>
          <w:bCs w:val="0"/>
          <w:color w:val="auto"/>
          <w:sz w:val="28"/>
          <w:szCs w:val="28"/>
          <w:highlight w:val="none"/>
          <w:lang w:val="en-US" w:eastAsia="zh-CN"/>
        </w:rPr>
        <w:t>、关于对本响应文件中提供资料真实性的承诺</w:t>
      </w:r>
      <w:bookmarkEnd w:id="354"/>
    </w:p>
    <w:p w14:paraId="55693AF1">
      <w:pPr>
        <w:keepNext w:val="0"/>
        <w:keepLines w:val="0"/>
        <w:pageBreakBefore w:val="0"/>
        <w:widowControl w:val="0"/>
        <w:kinsoku/>
        <w:wordWrap/>
        <w:overflowPunct/>
        <w:topLinePunct w:val="0"/>
        <w:autoSpaceDE/>
        <w:autoSpaceDN/>
        <w:bidi w:val="0"/>
        <w:adjustRightInd/>
        <w:snapToGrid/>
        <w:spacing w:before="68" w:line="360" w:lineRule="auto"/>
        <w:textAlignment w:val="auto"/>
        <w:rPr>
          <w:rFonts w:ascii="宋体" w:hAnsi="宋体" w:eastAsia="宋体" w:cs="宋体"/>
          <w:spacing w:val="-13"/>
          <w:sz w:val="24"/>
          <w:szCs w:val="24"/>
          <w:highlight w:val="none"/>
          <w:u w:val="single" w:color="auto"/>
        </w:rPr>
      </w:pPr>
    </w:p>
    <w:p w14:paraId="511ED79E">
      <w:pPr>
        <w:keepNext w:val="0"/>
        <w:keepLines w:val="0"/>
        <w:pageBreakBefore w:val="0"/>
        <w:widowControl w:val="0"/>
        <w:kinsoku/>
        <w:wordWrap/>
        <w:overflowPunct/>
        <w:topLinePunct w:val="0"/>
        <w:autoSpaceDE/>
        <w:autoSpaceDN/>
        <w:bidi w:val="0"/>
        <w:adjustRightInd/>
        <w:snapToGrid/>
        <w:spacing w:before="68" w:line="360" w:lineRule="auto"/>
        <w:ind w:firstLine="2"/>
        <w:textAlignment w:val="auto"/>
        <w:outlineLvl w:val="2"/>
        <w:rPr>
          <w:rFonts w:hint="eastAsia" w:asciiTheme="minorEastAsia" w:hAnsiTheme="minorEastAsia" w:eastAsiaTheme="minorEastAsia" w:cstheme="minorEastAsia"/>
          <w:sz w:val="24"/>
          <w:szCs w:val="24"/>
          <w:highlight w:val="none"/>
        </w:rPr>
      </w:pPr>
      <w:bookmarkStart w:id="355" w:name="_Toc6143"/>
      <w:bookmarkStart w:id="356" w:name="_Toc16160"/>
      <w:r>
        <w:rPr>
          <w:rFonts w:hint="eastAsia" w:asciiTheme="minorEastAsia" w:hAnsiTheme="minorEastAsia" w:eastAsiaTheme="minorEastAsia" w:cstheme="minorEastAsia"/>
          <w:spacing w:val="-13"/>
          <w:sz w:val="24"/>
          <w:szCs w:val="24"/>
          <w:highlight w:val="none"/>
          <w:u w:val="single" w:color="auto"/>
          <w:lang w:eastAsia="zh-CN"/>
        </w:rPr>
        <w:t>致</w:t>
      </w:r>
      <w:r>
        <w:rPr>
          <w:rFonts w:hint="eastAsia" w:asciiTheme="minorEastAsia" w:hAnsiTheme="minorEastAsia" w:eastAsiaTheme="minorEastAsia" w:cstheme="minorEastAsia"/>
          <w:spacing w:val="-30"/>
          <w:sz w:val="24"/>
          <w:szCs w:val="24"/>
          <w:highlight w:val="none"/>
          <w:u w:val="single" w:color="auto"/>
        </w:rPr>
        <w:t>：（</w:t>
      </w:r>
      <w:r>
        <w:rPr>
          <w:rFonts w:hint="eastAsia" w:asciiTheme="minorEastAsia" w:hAnsiTheme="minorEastAsia" w:eastAsiaTheme="minorEastAsia" w:cstheme="minorEastAsia"/>
          <w:spacing w:val="-13"/>
          <w:sz w:val="24"/>
          <w:szCs w:val="24"/>
          <w:highlight w:val="none"/>
          <w:u w:val="single" w:color="auto"/>
          <w:lang w:eastAsia="zh-CN"/>
        </w:rPr>
        <w:t>采购单位</w:t>
      </w:r>
      <w:r>
        <w:rPr>
          <w:rFonts w:hint="eastAsia" w:asciiTheme="minorEastAsia" w:hAnsiTheme="minorEastAsia" w:eastAsiaTheme="minorEastAsia" w:cstheme="minorEastAsia"/>
          <w:spacing w:val="-13"/>
          <w:sz w:val="24"/>
          <w:szCs w:val="24"/>
          <w:highlight w:val="none"/>
          <w:u w:val="single" w:color="auto"/>
        </w:rPr>
        <w:t>名称）</w:t>
      </w:r>
      <w:r>
        <w:rPr>
          <w:rFonts w:hint="eastAsia" w:asciiTheme="minorEastAsia" w:hAnsiTheme="minorEastAsia" w:eastAsiaTheme="minorEastAsia" w:cstheme="minorEastAsia"/>
          <w:spacing w:val="20"/>
          <w:sz w:val="24"/>
          <w:szCs w:val="24"/>
          <w:highlight w:val="none"/>
          <w:u w:val="single" w:color="auto"/>
        </w:rPr>
        <w:t xml:space="preserve"> </w:t>
      </w:r>
      <w:r>
        <w:rPr>
          <w:rFonts w:hint="eastAsia" w:asciiTheme="minorEastAsia" w:hAnsiTheme="minorEastAsia" w:eastAsiaTheme="minorEastAsia" w:cstheme="minorEastAsia"/>
          <w:spacing w:val="-13"/>
          <w:sz w:val="24"/>
          <w:szCs w:val="24"/>
          <w:highlight w:val="none"/>
          <w:u w:val="single" w:color="auto"/>
        </w:rPr>
        <w:t>及（项目、标段名称）评标委员会</w:t>
      </w:r>
      <w:bookmarkEnd w:id="355"/>
      <w:bookmarkEnd w:id="356"/>
      <w:r>
        <w:rPr>
          <w:rFonts w:hint="eastAsia" w:asciiTheme="minorEastAsia" w:hAnsiTheme="minorEastAsia" w:eastAsiaTheme="minorEastAsia" w:cstheme="minorEastAsia"/>
          <w:sz w:val="24"/>
          <w:szCs w:val="24"/>
          <w:highlight w:val="none"/>
          <w:u w:val="single" w:color="auto"/>
        </w:rPr>
        <w:t xml:space="preserve">   </w:t>
      </w:r>
    </w:p>
    <w:p w14:paraId="77D6F9F9">
      <w:pPr>
        <w:keepNext w:val="0"/>
        <w:keepLines w:val="0"/>
        <w:pageBreakBefore w:val="0"/>
        <w:widowControl w:val="0"/>
        <w:kinsoku/>
        <w:wordWrap/>
        <w:overflowPunct/>
        <w:topLinePunct w:val="0"/>
        <w:autoSpaceDE/>
        <w:autoSpaceDN/>
        <w:bidi w:val="0"/>
        <w:adjustRightInd/>
        <w:snapToGrid/>
        <w:spacing w:before="128" w:line="360" w:lineRule="auto"/>
        <w:ind w:right="5" w:firstLine="631"/>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根据《中华人民共和国</w:t>
      </w:r>
      <w:r>
        <w:rPr>
          <w:rFonts w:hint="eastAsia" w:asciiTheme="minorEastAsia" w:hAnsiTheme="minorEastAsia" w:eastAsiaTheme="minorEastAsia" w:cstheme="minorEastAsia"/>
          <w:spacing w:val="-6"/>
          <w:sz w:val="24"/>
          <w:szCs w:val="24"/>
          <w:highlight w:val="none"/>
          <w:lang w:eastAsia="zh-CN"/>
        </w:rPr>
        <w:t>政府采购</w:t>
      </w:r>
      <w:r>
        <w:rPr>
          <w:rFonts w:hint="eastAsia" w:asciiTheme="minorEastAsia" w:hAnsiTheme="minorEastAsia" w:eastAsiaTheme="minorEastAsia" w:cstheme="minorEastAsia"/>
          <w:spacing w:val="-6"/>
          <w:sz w:val="24"/>
          <w:szCs w:val="24"/>
          <w:highlight w:val="none"/>
        </w:rPr>
        <w:t>法》、《中华人民共和国</w:t>
      </w:r>
      <w:r>
        <w:rPr>
          <w:rFonts w:hint="eastAsia" w:asciiTheme="minorEastAsia" w:hAnsiTheme="minorEastAsia" w:eastAsiaTheme="minorEastAsia" w:cstheme="minorEastAsia"/>
          <w:spacing w:val="-6"/>
          <w:sz w:val="24"/>
          <w:szCs w:val="24"/>
          <w:highlight w:val="none"/>
          <w:lang w:eastAsia="zh-CN"/>
        </w:rPr>
        <w:t>政府采购</w:t>
      </w:r>
      <w:r>
        <w:rPr>
          <w:rFonts w:hint="eastAsia" w:asciiTheme="minorEastAsia" w:hAnsiTheme="minorEastAsia" w:eastAsiaTheme="minorEastAsia" w:cstheme="minorEastAsia"/>
          <w:spacing w:val="-6"/>
          <w:sz w:val="24"/>
          <w:szCs w:val="24"/>
          <w:highlight w:val="none"/>
        </w:rPr>
        <w:t>法实施条例》等有关法律、</w:t>
      </w:r>
      <w:r>
        <w:rPr>
          <w:rFonts w:hint="eastAsia" w:asciiTheme="minorEastAsia" w:hAnsiTheme="minorEastAsia" w:eastAsiaTheme="minorEastAsia" w:cstheme="minorEastAsia"/>
          <w:spacing w:val="-9"/>
          <w:sz w:val="24"/>
          <w:szCs w:val="24"/>
          <w:highlight w:val="none"/>
        </w:rPr>
        <w:t>法规的规定和</w:t>
      </w:r>
      <w:r>
        <w:rPr>
          <w:rFonts w:hint="eastAsia" w:asciiTheme="minorEastAsia" w:hAnsiTheme="minorEastAsia" w:eastAsiaTheme="minorEastAsia" w:cstheme="minorEastAsia"/>
          <w:spacing w:val="20"/>
          <w:sz w:val="24"/>
          <w:szCs w:val="24"/>
          <w:highlight w:val="none"/>
          <w:u w:val="single" w:color="auto"/>
        </w:rPr>
        <w:t xml:space="preserve">     </w:t>
      </w:r>
      <w:r>
        <w:rPr>
          <w:rFonts w:hint="eastAsia" w:asciiTheme="minorEastAsia" w:hAnsiTheme="minorEastAsia" w:eastAsiaTheme="minorEastAsia" w:cstheme="minorEastAsia"/>
          <w:spacing w:val="-9"/>
          <w:sz w:val="24"/>
          <w:szCs w:val="24"/>
          <w:highlight w:val="none"/>
          <w:u w:val="single" w:color="auto"/>
        </w:rPr>
        <w:t>（项目、标段名称）</w:t>
      </w:r>
      <w:r>
        <w:rPr>
          <w:rFonts w:hint="eastAsia" w:asciiTheme="minorEastAsia" w:hAnsiTheme="minorEastAsia" w:eastAsiaTheme="minorEastAsia" w:cstheme="minorEastAsia"/>
          <w:spacing w:val="16"/>
          <w:sz w:val="24"/>
          <w:szCs w:val="24"/>
          <w:highlight w:val="none"/>
          <w:u w:val="single" w:color="auto"/>
        </w:rPr>
        <w:t xml:space="preserve">      </w:t>
      </w:r>
      <w:r>
        <w:rPr>
          <w:rFonts w:hint="eastAsia" w:asciiTheme="minorEastAsia" w:hAnsiTheme="minorEastAsia" w:eastAsiaTheme="minorEastAsia" w:cstheme="minorEastAsia"/>
          <w:spacing w:val="-9"/>
          <w:sz w:val="24"/>
          <w:szCs w:val="24"/>
          <w:highlight w:val="none"/>
        </w:rPr>
        <w:t>的</w:t>
      </w:r>
      <w:r>
        <w:rPr>
          <w:rFonts w:hint="eastAsia" w:asciiTheme="minorEastAsia" w:hAnsiTheme="minorEastAsia" w:eastAsiaTheme="minorEastAsia" w:cstheme="minorEastAsia"/>
          <w:spacing w:val="-9"/>
          <w:sz w:val="24"/>
          <w:szCs w:val="24"/>
          <w:highlight w:val="none"/>
          <w:lang w:eastAsia="zh-CN"/>
        </w:rPr>
        <w:t>谈判文件</w:t>
      </w:r>
      <w:r>
        <w:rPr>
          <w:rFonts w:hint="eastAsia" w:asciiTheme="minorEastAsia" w:hAnsiTheme="minorEastAsia" w:eastAsiaTheme="minorEastAsia" w:cstheme="minorEastAsia"/>
          <w:spacing w:val="-9"/>
          <w:sz w:val="24"/>
          <w:szCs w:val="24"/>
          <w:highlight w:val="none"/>
        </w:rPr>
        <w:t>的要求，</w:t>
      </w:r>
      <w:r>
        <w:rPr>
          <w:rFonts w:hint="eastAsia" w:asciiTheme="minorEastAsia" w:hAnsiTheme="minorEastAsia" w:eastAsiaTheme="minorEastAsia" w:cstheme="minorEastAsia"/>
          <w:spacing w:val="24"/>
          <w:sz w:val="24"/>
          <w:szCs w:val="24"/>
          <w:highlight w:val="none"/>
        </w:rPr>
        <w:t xml:space="preserve"> </w:t>
      </w:r>
      <w:r>
        <w:rPr>
          <w:rFonts w:hint="eastAsia" w:asciiTheme="minorEastAsia" w:hAnsiTheme="minorEastAsia" w:eastAsiaTheme="minorEastAsia" w:cstheme="minorEastAsia"/>
          <w:spacing w:val="-9"/>
          <w:sz w:val="24"/>
          <w:szCs w:val="24"/>
          <w:highlight w:val="none"/>
        </w:rPr>
        <w:t>我公司在</w:t>
      </w:r>
      <w:r>
        <w:rPr>
          <w:rFonts w:hint="eastAsia" w:asciiTheme="minorEastAsia" w:hAnsiTheme="minorEastAsia" w:eastAsiaTheme="minorEastAsia" w:cstheme="minorEastAsia"/>
          <w:spacing w:val="22"/>
          <w:sz w:val="24"/>
          <w:szCs w:val="24"/>
          <w:highlight w:val="none"/>
          <w:u w:val="single" w:color="auto"/>
        </w:rPr>
        <w:t xml:space="preserve">    </w:t>
      </w:r>
      <w:r>
        <w:rPr>
          <w:rFonts w:hint="eastAsia" w:asciiTheme="minorEastAsia" w:hAnsiTheme="minorEastAsia" w:eastAsiaTheme="minorEastAsia" w:cstheme="minorEastAsia"/>
          <w:spacing w:val="-9"/>
          <w:sz w:val="24"/>
          <w:szCs w:val="24"/>
          <w:highlight w:val="none"/>
          <w:u w:val="single" w:color="auto"/>
        </w:rPr>
        <w:t>（项目、标段名</w:t>
      </w:r>
      <w:r>
        <w:rPr>
          <w:rFonts w:hint="eastAsia" w:asciiTheme="minorEastAsia" w:hAnsiTheme="minorEastAsia" w:eastAsiaTheme="minorEastAsia" w:cstheme="minorEastAsia"/>
          <w:spacing w:val="-6"/>
          <w:sz w:val="24"/>
          <w:szCs w:val="24"/>
          <w:highlight w:val="none"/>
          <w:u w:val="single" w:color="auto"/>
        </w:rPr>
        <w:t>称）</w:t>
      </w:r>
      <w:r>
        <w:rPr>
          <w:rFonts w:hint="eastAsia" w:asciiTheme="minorEastAsia" w:hAnsiTheme="minorEastAsia" w:eastAsiaTheme="minorEastAsia" w:cstheme="minorEastAsia"/>
          <w:spacing w:val="2"/>
          <w:sz w:val="24"/>
          <w:szCs w:val="24"/>
          <w:highlight w:val="none"/>
          <w:u w:val="single" w:color="auto"/>
        </w:rPr>
        <w:t xml:space="preserve">      </w:t>
      </w:r>
      <w:r>
        <w:rPr>
          <w:rFonts w:hint="eastAsia" w:asciiTheme="minorEastAsia" w:hAnsiTheme="minorEastAsia" w:eastAsiaTheme="minorEastAsia" w:cstheme="minorEastAsia"/>
          <w:spacing w:val="-6"/>
          <w:sz w:val="24"/>
          <w:szCs w:val="24"/>
          <w:highlight w:val="none"/>
          <w:lang w:eastAsia="zh-CN"/>
        </w:rPr>
        <w:t>响应文件</w:t>
      </w:r>
      <w:r>
        <w:rPr>
          <w:rFonts w:hint="eastAsia" w:asciiTheme="minorEastAsia" w:hAnsiTheme="minorEastAsia" w:eastAsiaTheme="minorEastAsia" w:cstheme="minorEastAsia"/>
          <w:spacing w:val="-6"/>
          <w:sz w:val="24"/>
          <w:szCs w:val="24"/>
          <w:highlight w:val="none"/>
        </w:rPr>
        <w:t>中所提供资料真实性作如下承诺：</w:t>
      </w:r>
    </w:p>
    <w:p w14:paraId="69D91604">
      <w:pPr>
        <w:keepNext w:val="0"/>
        <w:keepLines w:val="0"/>
        <w:pageBreakBefore w:val="0"/>
        <w:widowControl w:val="0"/>
        <w:kinsoku/>
        <w:wordWrap/>
        <w:overflowPunct/>
        <w:topLinePunct w:val="0"/>
        <w:autoSpaceDE/>
        <w:autoSpaceDN/>
        <w:bidi w:val="0"/>
        <w:adjustRightInd/>
        <w:snapToGrid/>
        <w:spacing w:before="2" w:line="360" w:lineRule="auto"/>
        <w:ind w:left="2" w:firstLine="631"/>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我公司将严格按</w:t>
      </w:r>
      <w:r>
        <w:rPr>
          <w:rFonts w:hint="eastAsia" w:asciiTheme="minorEastAsia" w:hAnsiTheme="minorEastAsia" w:eastAsiaTheme="minorEastAsia" w:cstheme="minorEastAsia"/>
          <w:spacing w:val="-4"/>
          <w:sz w:val="24"/>
          <w:szCs w:val="24"/>
          <w:highlight w:val="none"/>
          <w:lang w:eastAsia="zh-CN"/>
        </w:rPr>
        <w:t>谈判文件</w:t>
      </w:r>
      <w:r>
        <w:rPr>
          <w:rFonts w:hint="eastAsia" w:asciiTheme="minorEastAsia" w:hAnsiTheme="minorEastAsia" w:eastAsiaTheme="minorEastAsia" w:cstheme="minorEastAsia"/>
          <w:spacing w:val="-4"/>
          <w:sz w:val="24"/>
          <w:szCs w:val="24"/>
          <w:highlight w:val="none"/>
        </w:rPr>
        <w:t>要求，在编制本</w:t>
      </w:r>
      <w:r>
        <w:rPr>
          <w:rFonts w:hint="eastAsia" w:asciiTheme="minorEastAsia" w:hAnsiTheme="minorEastAsia" w:eastAsiaTheme="minorEastAsia" w:cstheme="minorEastAsia"/>
          <w:spacing w:val="-4"/>
          <w:sz w:val="24"/>
          <w:szCs w:val="24"/>
          <w:highlight w:val="none"/>
          <w:lang w:eastAsia="zh-CN"/>
        </w:rPr>
        <w:t>响应文件</w:t>
      </w:r>
      <w:r>
        <w:rPr>
          <w:rFonts w:hint="eastAsia" w:asciiTheme="minorEastAsia" w:hAnsiTheme="minorEastAsia" w:eastAsiaTheme="minorEastAsia" w:cstheme="minorEastAsia"/>
          <w:spacing w:val="-4"/>
          <w:sz w:val="24"/>
          <w:szCs w:val="24"/>
          <w:highlight w:val="none"/>
        </w:rPr>
        <w:t>时，</w:t>
      </w:r>
      <w:r>
        <w:rPr>
          <w:rFonts w:hint="eastAsia" w:asciiTheme="minorEastAsia" w:hAnsiTheme="minorEastAsia" w:eastAsiaTheme="minorEastAsia" w:cstheme="minorEastAsia"/>
          <w:spacing w:val="-4"/>
          <w:sz w:val="24"/>
          <w:szCs w:val="24"/>
          <w:highlight w:val="none"/>
          <w:lang w:eastAsia="zh-CN"/>
        </w:rPr>
        <w:t>响应文件</w:t>
      </w:r>
      <w:r>
        <w:rPr>
          <w:rFonts w:hint="eastAsia" w:asciiTheme="minorEastAsia" w:hAnsiTheme="minorEastAsia" w:eastAsiaTheme="minorEastAsia" w:cstheme="minorEastAsia"/>
          <w:spacing w:val="-4"/>
          <w:sz w:val="24"/>
          <w:szCs w:val="24"/>
          <w:highlight w:val="none"/>
        </w:rPr>
        <w:t>中所提供的资料全部真实和</w:t>
      </w:r>
      <w:r>
        <w:rPr>
          <w:rFonts w:hint="eastAsia" w:asciiTheme="minorEastAsia" w:hAnsiTheme="minorEastAsia" w:eastAsiaTheme="minorEastAsia" w:cstheme="minorEastAsia"/>
          <w:spacing w:val="-10"/>
          <w:sz w:val="24"/>
          <w:szCs w:val="24"/>
          <w:highlight w:val="none"/>
        </w:rPr>
        <w:t>准确，并对提供的所有资料（资格、业绩、其他材料等）的真实性负责！</w:t>
      </w:r>
    </w:p>
    <w:p w14:paraId="4DF8C785">
      <w:pPr>
        <w:keepNext w:val="0"/>
        <w:keepLines w:val="0"/>
        <w:pageBreakBefore w:val="0"/>
        <w:widowControl w:val="0"/>
        <w:kinsoku/>
        <w:wordWrap/>
        <w:overflowPunct/>
        <w:topLinePunct w:val="0"/>
        <w:autoSpaceDE/>
        <w:autoSpaceDN/>
        <w:bidi w:val="0"/>
        <w:adjustRightInd/>
        <w:snapToGrid/>
        <w:spacing w:before="1" w:line="360" w:lineRule="auto"/>
        <w:ind w:left="1" w:firstLine="633"/>
        <w:textAlignment w:val="auto"/>
        <w:rPr>
          <w:rFonts w:ascii="宋体" w:hAnsi="宋体" w:eastAsia="宋体" w:cs="宋体"/>
          <w:sz w:val="24"/>
          <w:szCs w:val="24"/>
          <w:highlight w:val="none"/>
        </w:rPr>
      </w:pPr>
      <w:r>
        <w:rPr>
          <w:rFonts w:hint="eastAsia" w:asciiTheme="minorEastAsia" w:hAnsiTheme="minorEastAsia" w:eastAsiaTheme="minorEastAsia" w:cstheme="minorEastAsia"/>
          <w:spacing w:val="-1"/>
          <w:sz w:val="24"/>
          <w:szCs w:val="24"/>
          <w:highlight w:val="none"/>
        </w:rPr>
        <w:t>如提供的全部资料中有存在不真实（伪造、或租借等虚假资料）情形的，将无条件按有关的法律、法规的规定接受任何处罚，自行承担由此引起的一切责任！</w:t>
      </w:r>
    </w:p>
    <w:p w14:paraId="5B15DD3F">
      <w:pPr>
        <w:keepNext w:val="0"/>
        <w:keepLines w:val="0"/>
        <w:pageBreakBefore w:val="0"/>
        <w:widowControl w:val="0"/>
        <w:kinsoku/>
        <w:wordWrap/>
        <w:overflowPunct/>
        <w:topLinePunct w:val="0"/>
        <w:autoSpaceDE/>
        <w:autoSpaceDN/>
        <w:bidi w:val="0"/>
        <w:adjustRightInd/>
        <w:snapToGrid/>
        <w:spacing w:before="338" w:line="360" w:lineRule="auto"/>
        <w:ind w:firstLine="631"/>
        <w:textAlignment w:val="auto"/>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rPr>
        <w:t>特此承诺</w:t>
      </w:r>
      <w:r>
        <w:rPr>
          <w:rFonts w:hint="eastAsia" w:ascii="宋体" w:hAnsi="宋体" w:eastAsia="宋体" w:cs="宋体"/>
          <w:spacing w:val="-1"/>
          <w:sz w:val="24"/>
          <w:szCs w:val="24"/>
          <w:highlight w:val="none"/>
          <w:lang w:eastAsia="zh-CN"/>
        </w:rPr>
        <w:t>！</w:t>
      </w:r>
    </w:p>
    <w:p w14:paraId="0093F508">
      <w:pPr>
        <w:keepNext w:val="0"/>
        <w:keepLines w:val="0"/>
        <w:pageBreakBefore w:val="0"/>
        <w:widowControl w:val="0"/>
        <w:kinsoku/>
        <w:wordWrap/>
        <w:overflowPunct/>
        <w:topLinePunct w:val="0"/>
        <w:autoSpaceDE/>
        <w:autoSpaceDN/>
        <w:bidi w:val="0"/>
        <w:adjustRightInd/>
        <w:snapToGrid/>
        <w:spacing w:line="500" w:lineRule="exact"/>
        <w:ind w:firstLine="1920" w:firstLineChars="800"/>
        <w:textAlignment w:val="auto"/>
        <w:rPr>
          <w:rFonts w:hint="eastAsia" w:ascii="宋体" w:hAnsi="宋体" w:eastAsia="宋体" w:cs="宋体"/>
          <w:color w:val="auto"/>
          <w:sz w:val="24"/>
          <w:highlight w:val="none"/>
        </w:rPr>
      </w:pPr>
    </w:p>
    <w:p w14:paraId="3EC2293B">
      <w:pPr>
        <w:keepNext w:val="0"/>
        <w:keepLines w:val="0"/>
        <w:pageBreakBefore w:val="0"/>
        <w:widowControl w:val="0"/>
        <w:kinsoku/>
        <w:wordWrap/>
        <w:overflowPunct/>
        <w:topLinePunct w:val="0"/>
        <w:autoSpaceDE/>
        <w:autoSpaceDN/>
        <w:bidi w:val="0"/>
        <w:adjustRightInd/>
        <w:snapToGrid/>
        <w:spacing w:line="500" w:lineRule="exact"/>
        <w:ind w:firstLine="1920" w:firstLineChars="8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盖章</w:t>
      </w:r>
      <w:r>
        <w:rPr>
          <w:rFonts w:hint="eastAsia" w:ascii="宋体" w:hAnsi="宋体" w:eastAsia="宋体" w:cs="宋体"/>
          <w:color w:val="auto"/>
          <w:sz w:val="24"/>
          <w:highlight w:val="none"/>
        </w:rPr>
        <w:t xml:space="preserve">）   </w:t>
      </w:r>
    </w:p>
    <w:p w14:paraId="64404D96">
      <w:pPr>
        <w:keepNext w:val="0"/>
        <w:keepLines w:val="0"/>
        <w:pageBreakBefore w:val="0"/>
        <w:widowControl w:val="0"/>
        <w:kinsoku/>
        <w:wordWrap/>
        <w:overflowPunct/>
        <w:topLinePunct w:val="0"/>
        <w:autoSpaceDE/>
        <w:autoSpaceDN/>
        <w:bidi w:val="0"/>
        <w:adjustRightInd/>
        <w:snapToGrid/>
        <w:spacing w:line="500" w:lineRule="exact"/>
        <w:ind w:firstLine="1920" w:firstLineChars="8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val="en-US" w:eastAsia="zh-CN"/>
        </w:rPr>
        <w:t>和</w:t>
      </w:r>
      <w:r>
        <w:rPr>
          <w:rFonts w:hint="eastAsia" w:ascii="宋体" w:hAnsi="宋体" w:eastAsia="宋体" w:cs="宋体"/>
          <w:color w:val="auto"/>
          <w:sz w:val="24"/>
          <w:highlight w:val="none"/>
        </w:rPr>
        <w:t>授权代表人：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 xml:space="preserve"> </w:t>
      </w:r>
    </w:p>
    <w:p w14:paraId="4AC3126D">
      <w:pPr>
        <w:pageBreakBefore w:val="0"/>
        <w:kinsoku/>
        <w:wordWrap/>
        <w:overflowPunct/>
        <w:topLinePunct w:val="0"/>
        <w:bidi w:val="0"/>
        <w:spacing w:line="360" w:lineRule="auto"/>
        <w:ind w:firstLine="5040" w:firstLineChars="2100"/>
        <w:rPr>
          <w:rFonts w:hint="eastAsia" w:ascii="宋体" w:hAnsi="宋体" w:eastAsia="宋体" w:cs="宋体"/>
          <w:color w:val="auto"/>
          <w:sz w:val="24"/>
          <w:highlight w:val="none"/>
        </w:rPr>
      </w:pPr>
    </w:p>
    <w:p w14:paraId="5C4F63D4">
      <w:pPr>
        <w:pageBreakBefore w:val="0"/>
        <w:kinsoku/>
        <w:wordWrap/>
        <w:overflowPunct/>
        <w:topLinePunct w:val="0"/>
        <w:bidi w:val="0"/>
        <w:spacing w:line="360" w:lineRule="auto"/>
        <w:ind w:firstLine="5520" w:firstLineChars="2300"/>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04181ECC">
      <w:pPr>
        <w:pStyle w:val="8"/>
        <w:outlineLvl w:val="9"/>
        <w:rPr>
          <w:rFonts w:hint="eastAsia" w:ascii="宋体" w:hAnsi="宋体" w:eastAsia="宋体" w:cs="宋体"/>
          <w:color w:val="auto"/>
          <w:sz w:val="36"/>
          <w:szCs w:val="36"/>
          <w:highlight w:val="none"/>
        </w:rPr>
      </w:pPr>
    </w:p>
    <w:p w14:paraId="6657154F">
      <w:pPr>
        <w:pStyle w:val="8"/>
        <w:outlineLvl w:val="9"/>
        <w:rPr>
          <w:rFonts w:hint="eastAsia" w:ascii="宋体" w:hAnsi="宋体" w:eastAsia="宋体" w:cs="宋体"/>
          <w:color w:val="auto"/>
          <w:sz w:val="36"/>
          <w:szCs w:val="36"/>
          <w:highlight w:val="none"/>
        </w:rPr>
      </w:pPr>
    </w:p>
    <w:p w14:paraId="04E1F4BF">
      <w:pPr>
        <w:rPr>
          <w:rFonts w:hint="eastAsia"/>
          <w:color w:val="auto"/>
          <w:highlight w:val="none"/>
        </w:rPr>
      </w:pPr>
    </w:p>
    <w:p w14:paraId="58DF1859">
      <w:pPr>
        <w:jc w:val="center"/>
        <w:rPr>
          <w:rStyle w:val="43"/>
          <w:rFonts w:hint="eastAsia"/>
          <w:color w:val="auto"/>
          <w:sz w:val="28"/>
          <w:szCs w:val="36"/>
          <w:highlight w:val="none"/>
          <w:lang w:val="en-US" w:eastAsia="zh-CN"/>
        </w:rPr>
      </w:pPr>
    </w:p>
    <w:p w14:paraId="0CCFB442">
      <w:pPr>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br w:type="page"/>
      </w:r>
    </w:p>
    <w:p w14:paraId="0807875D">
      <w:pPr>
        <w:numPr>
          <w:ilvl w:val="0"/>
          <w:numId w:val="0"/>
        </w:numPr>
        <w:spacing w:line="460" w:lineRule="exact"/>
        <w:ind w:leftChars="-50" w:right="62" w:rightChars="0"/>
        <w:jc w:val="center"/>
        <w:outlineLvl w:val="1"/>
        <w:rPr>
          <w:rFonts w:hint="eastAsia" w:ascii="宋体" w:hAnsi="宋体" w:eastAsia="宋体" w:cs="宋体"/>
          <w:b/>
          <w:bCs w:val="0"/>
          <w:color w:val="auto"/>
          <w:sz w:val="28"/>
          <w:szCs w:val="28"/>
          <w:highlight w:val="none"/>
          <w:lang w:val="en-US" w:eastAsia="zh-CN"/>
        </w:rPr>
      </w:pPr>
      <w:bookmarkStart w:id="357" w:name="_Toc4006"/>
      <w:r>
        <w:rPr>
          <w:rFonts w:hint="eastAsia" w:ascii="宋体" w:hAnsi="宋体" w:eastAsia="宋体" w:cs="宋体"/>
          <w:b/>
          <w:bCs w:val="0"/>
          <w:color w:val="auto"/>
          <w:sz w:val="28"/>
          <w:szCs w:val="28"/>
          <w:highlight w:val="none"/>
          <w:lang w:val="en-US" w:eastAsia="zh-CN"/>
        </w:rPr>
        <w:t>2</w:t>
      </w:r>
      <w:r>
        <w:rPr>
          <w:rFonts w:hint="eastAsia" w:ascii="宋体" w:hAnsi="宋体" w:cs="宋体"/>
          <w:b/>
          <w:bCs w:val="0"/>
          <w:color w:val="auto"/>
          <w:sz w:val="28"/>
          <w:szCs w:val="28"/>
          <w:highlight w:val="none"/>
          <w:lang w:val="en-US" w:eastAsia="zh-CN"/>
        </w:rPr>
        <w:t>0</w:t>
      </w:r>
      <w:r>
        <w:rPr>
          <w:rFonts w:hint="eastAsia" w:ascii="宋体" w:hAnsi="宋体" w:eastAsia="宋体" w:cs="宋体"/>
          <w:b/>
          <w:bCs w:val="0"/>
          <w:color w:val="auto"/>
          <w:sz w:val="28"/>
          <w:szCs w:val="28"/>
          <w:highlight w:val="none"/>
          <w:lang w:val="en-US" w:eastAsia="zh-CN"/>
        </w:rPr>
        <w:t>、</w:t>
      </w:r>
      <w:bookmarkEnd w:id="345"/>
      <w:bookmarkEnd w:id="346"/>
      <w:r>
        <w:rPr>
          <w:rFonts w:hint="eastAsia" w:ascii="宋体" w:hAnsi="宋体" w:eastAsia="宋体" w:cs="宋体"/>
          <w:b/>
          <w:bCs w:val="0"/>
          <w:color w:val="auto"/>
          <w:sz w:val="28"/>
          <w:szCs w:val="28"/>
          <w:highlight w:val="none"/>
          <w:lang w:val="en-US" w:eastAsia="zh-CN"/>
        </w:rPr>
        <w:t>关于《中华人民共和国政府采购法》第二十二条的承诺书</w:t>
      </w:r>
      <w:bookmarkEnd w:id="357"/>
    </w:p>
    <w:p w14:paraId="4A658863">
      <w:pPr>
        <w:shd w:val="clear" w:color="auto" w:fill="FFFFFF"/>
        <w:spacing w:line="500" w:lineRule="exact"/>
        <w:ind w:firstLine="453" w:firstLineChars="189"/>
        <w:rPr>
          <w:rFonts w:hint="eastAsia" w:ascii="宋体" w:hAnsi="宋体" w:cs="Times New Roman"/>
          <w:bCs/>
          <w:color w:val="auto"/>
          <w:sz w:val="24"/>
          <w:szCs w:val="24"/>
          <w:highlight w:val="none"/>
        </w:rPr>
      </w:pPr>
    </w:p>
    <w:p w14:paraId="64DE5727">
      <w:pPr>
        <w:shd w:val="clear" w:color="auto" w:fill="FFFFFF"/>
        <w:spacing w:line="500" w:lineRule="exact"/>
        <w:ind w:firstLine="453" w:firstLineChars="189"/>
        <w:rPr>
          <w:rFonts w:hint="eastAsia" w:ascii="宋体" w:hAnsi="宋体" w:cs="Times New Roman"/>
          <w:bCs/>
          <w:color w:val="auto"/>
          <w:sz w:val="24"/>
          <w:szCs w:val="24"/>
          <w:highlight w:val="none"/>
          <w:lang w:eastAsia="zh-CN"/>
        </w:rPr>
      </w:pPr>
      <w:r>
        <w:rPr>
          <w:rFonts w:hint="eastAsia" w:ascii="宋体" w:hAnsi="宋体" w:cs="Times New Roman"/>
          <w:bCs/>
          <w:color w:val="auto"/>
          <w:sz w:val="24"/>
          <w:szCs w:val="24"/>
          <w:highlight w:val="none"/>
        </w:rPr>
        <w:t>致：</w:t>
      </w:r>
      <w:r>
        <w:rPr>
          <w:rFonts w:hint="eastAsia" w:ascii="宋体" w:hAnsi="宋体" w:cs="Times New Roman"/>
          <w:bCs/>
          <w:color w:val="auto"/>
          <w:sz w:val="24"/>
          <w:szCs w:val="24"/>
          <w:highlight w:val="none"/>
          <w:u w:val="single"/>
          <w:lang w:val="en-US" w:eastAsia="zh-CN"/>
        </w:rPr>
        <w:t xml:space="preserve">      </w:t>
      </w:r>
      <w:r>
        <w:rPr>
          <w:rFonts w:hint="eastAsia" w:ascii="宋体" w:hAnsi="宋体" w:cs="Times New Roman"/>
          <w:bCs/>
          <w:color w:val="auto"/>
          <w:sz w:val="24"/>
          <w:szCs w:val="24"/>
          <w:highlight w:val="none"/>
          <w:lang w:eastAsia="zh-CN"/>
        </w:rPr>
        <w:t>（</w:t>
      </w:r>
      <w:r>
        <w:rPr>
          <w:rFonts w:hint="eastAsia" w:ascii="宋体" w:hAnsi="宋体" w:cs="Times New Roman"/>
          <w:bCs/>
          <w:color w:val="auto"/>
          <w:sz w:val="24"/>
          <w:szCs w:val="24"/>
          <w:highlight w:val="none"/>
          <w:lang w:val="en-US" w:eastAsia="zh-CN"/>
        </w:rPr>
        <w:t>采购人</w:t>
      </w:r>
      <w:r>
        <w:rPr>
          <w:rFonts w:hint="eastAsia" w:ascii="宋体" w:hAnsi="宋体" w:cs="Times New Roman"/>
          <w:bCs/>
          <w:color w:val="auto"/>
          <w:sz w:val="24"/>
          <w:szCs w:val="24"/>
          <w:highlight w:val="none"/>
          <w:lang w:eastAsia="zh-CN"/>
        </w:rPr>
        <w:t>）</w:t>
      </w:r>
    </w:p>
    <w:p w14:paraId="68532091">
      <w:pPr>
        <w:shd w:val="clear" w:color="auto" w:fill="FFFFFF"/>
        <w:spacing w:line="500" w:lineRule="exact"/>
        <w:ind w:firstLine="453" w:firstLineChars="189"/>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我公司</w:t>
      </w:r>
      <w:r>
        <w:rPr>
          <w:rFonts w:hint="eastAsia" w:ascii="宋体" w:hAnsi="宋体" w:cs="Times New Roman"/>
          <w:bCs/>
          <w:color w:val="auto"/>
          <w:sz w:val="24"/>
          <w:szCs w:val="24"/>
          <w:highlight w:val="none"/>
          <w:u w:val="single"/>
          <w:lang w:val="en-US" w:eastAsia="zh-CN"/>
        </w:rPr>
        <w:t xml:space="preserve">            </w:t>
      </w:r>
      <w:r>
        <w:rPr>
          <w:rFonts w:hint="eastAsia" w:ascii="宋体" w:hAnsi="宋体" w:cs="Times New Roman"/>
          <w:bCs/>
          <w:color w:val="auto"/>
          <w:sz w:val="24"/>
          <w:szCs w:val="24"/>
          <w:highlight w:val="none"/>
        </w:rPr>
        <w:t>参加贵方组织的</w:t>
      </w:r>
      <w:r>
        <w:rPr>
          <w:rFonts w:hint="eastAsia" w:ascii="宋体" w:hAnsi="宋体" w:cs="Times New Roman"/>
          <w:bCs/>
          <w:color w:val="auto"/>
          <w:sz w:val="24"/>
          <w:szCs w:val="24"/>
          <w:highlight w:val="none"/>
          <w:u w:val="single"/>
          <w:lang w:val="en-US" w:eastAsia="zh-CN"/>
        </w:rPr>
        <w:t xml:space="preserve">项目名称：      </w:t>
      </w:r>
      <w:r>
        <w:rPr>
          <w:rFonts w:hint="eastAsia" w:ascii="宋体" w:hAnsi="宋体" w:cs="Times New Roman"/>
          <w:bCs/>
          <w:color w:val="auto"/>
          <w:sz w:val="24"/>
          <w:szCs w:val="24"/>
          <w:highlight w:val="none"/>
          <w:u w:val="single"/>
        </w:rPr>
        <w:t>（</w:t>
      </w:r>
      <w:r>
        <w:rPr>
          <w:rFonts w:hint="eastAsia" w:ascii="宋体" w:hAnsi="宋体" w:cs="Times New Roman"/>
          <w:bCs/>
          <w:color w:val="auto"/>
          <w:sz w:val="24"/>
          <w:szCs w:val="24"/>
          <w:highlight w:val="none"/>
          <w:u w:val="single"/>
          <w:lang w:val="en-US" w:eastAsia="zh-CN"/>
        </w:rPr>
        <w:t xml:space="preserve">项目编号：       </w:t>
      </w:r>
      <w:r>
        <w:rPr>
          <w:rFonts w:hint="eastAsia" w:ascii="宋体" w:hAnsi="宋体" w:cs="Times New Roman"/>
          <w:bCs/>
          <w:color w:val="auto"/>
          <w:sz w:val="24"/>
          <w:szCs w:val="24"/>
          <w:highlight w:val="none"/>
          <w:u w:val="single"/>
        </w:rPr>
        <w:t>）</w:t>
      </w:r>
      <w:r>
        <w:rPr>
          <w:rFonts w:hint="eastAsia" w:ascii="宋体" w:hAnsi="宋体" w:cs="Times New Roman"/>
          <w:bCs/>
          <w:color w:val="auto"/>
          <w:sz w:val="24"/>
          <w:szCs w:val="24"/>
          <w:highlight w:val="none"/>
        </w:rPr>
        <w:t>的投标活动，</w:t>
      </w:r>
      <w:r>
        <w:rPr>
          <w:rFonts w:hint="eastAsia" w:ascii="宋体" w:hAnsi="宋体" w:cs="Times New Roman"/>
          <w:bCs/>
          <w:color w:val="auto"/>
          <w:sz w:val="24"/>
          <w:szCs w:val="24"/>
          <w:highlight w:val="none"/>
          <w:lang w:val="en-US" w:eastAsia="zh-CN"/>
        </w:rPr>
        <w:t>为便于贵方公正、择优的确定中标人，我方就本次投标有关事项声明如下</w:t>
      </w:r>
      <w:r>
        <w:rPr>
          <w:rFonts w:hint="eastAsia" w:ascii="宋体" w:hAnsi="宋体" w:cs="Times New Roman"/>
          <w:bCs/>
          <w:color w:val="auto"/>
          <w:sz w:val="24"/>
          <w:szCs w:val="24"/>
          <w:highlight w:val="none"/>
        </w:rPr>
        <w:t>：</w:t>
      </w:r>
    </w:p>
    <w:p w14:paraId="563CFBAA">
      <w:pPr>
        <w:shd w:val="clear" w:color="auto" w:fill="FFFFFF"/>
        <w:spacing w:line="500" w:lineRule="exact"/>
        <w:ind w:firstLine="453" w:firstLineChars="189"/>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（1）具有独立承担民事责任的能力；</w:t>
      </w:r>
    </w:p>
    <w:p w14:paraId="0F06B8FC">
      <w:pPr>
        <w:shd w:val="clear" w:color="auto" w:fill="FFFFFF"/>
        <w:spacing w:line="500" w:lineRule="exact"/>
        <w:ind w:firstLine="453" w:firstLineChars="189"/>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（2）具有良好的商业信誉和健全的财务会计制度；</w:t>
      </w:r>
    </w:p>
    <w:p w14:paraId="7D9C97D5">
      <w:pPr>
        <w:shd w:val="clear" w:color="auto" w:fill="FFFFFF"/>
        <w:spacing w:line="500" w:lineRule="exact"/>
        <w:ind w:firstLine="453" w:firstLineChars="189"/>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（3）具有履行合同所必需的设备和专业技术能力；</w:t>
      </w:r>
    </w:p>
    <w:p w14:paraId="6123A339">
      <w:pPr>
        <w:shd w:val="clear" w:color="auto" w:fill="FFFFFF"/>
        <w:spacing w:line="500" w:lineRule="exact"/>
        <w:ind w:firstLine="453" w:firstLineChars="189"/>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（4）有依法缴纳税收和社会保障资金的良好记录；</w:t>
      </w:r>
    </w:p>
    <w:p w14:paraId="7DBCA9B8">
      <w:pPr>
        <w:shd w:val="clear" w:color="auto" w:fill="FFFFFF"/>
        <w:spacing w:line="500" w:lineRule="exact"/>
        <w:ind w:firstLine="453" w:firstLineChars="189"/>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（5）参加政府采购活动前三年内，在经营活动中没有重大违法记录；</w:t>
      </w:r>
    </w:p>
    <w:p w14:paraId="5E8CD0A2">
      <w:pPr>
        <w:shd w:val="clear" w:color="auto" w:fill="FFFFFF"/>
        <w:spacing w:line="500" w:lineRule="exact"/>
        <w:ind w:firstLine="453" w:firstLineChars="189"/>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（6）法律、行政法规规定的其他条件。</w:t>
      </w:r>
    </w:p>
    <w:p w14:paraId="2B69964E">
      <w:pPr>
        <w:shd w:val="clear" w:color="auto" w:fill="FFFFFF"/>
        <w:spacing w:line="500" w:lineRule="exact"/>
        <w:ind w:firstLine="453" w:firstLineChars="189"/>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我公司已完全了解本</w:t>
      </w:r>
      <w:r>
        <w:rPr>
          <w:rFonts w:hint="eastAsia" w:ascii="宋体" w:hAnsi="宋体" w:cs="Times New Roman"/>
          <w:bCs/>
          <w:color w:val="auto"/>
          <w:sz w:val="24"/>
          <w:szCs w:val="24"/>
          <w:highlight w:val="none"/>
          <w:lang w:eastAsia="zh-CN"/>
        </w:rPr>
        <w:t>谈判文件</w:t>
      </w:r>
      <w:r>
        <w:rPr>
          <w:rFonts w:hint="eastAsia" w:ascii="宋体" w:hAnsi="宋体" w:cs="Times New Roman"/>
          <w:bCs/>
          <w:color w:val="auto"/>
          <w:sz w:val="24"/>
          <w:szCs w:val="24"/>
          <w:highlight w:val="none"/>
        </w:rPr>
        <w:t>中规定的技术要求和商务条款。如违反以上承诺，本公司愿承担一切法律责任。</w:t>
      </w:r>
    </w:p>
    <w:p w14:paraId="112DF621">
      <w:pPr>
        <w:shd w:val="clear" w:color="auto" w:fill="FFFFFF"/>
        <w:spacing w:line="500" w:lineRule="exact"/>
        <w:ind w:firstLine="453" w:firstLineChars="189"/>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特此承诺。</w:t>
      </w:r>
    </w:p>
    <w:p w14:paraId="409A1A41">
      <w:pPr>
        <w:shd w:val="clear" w:color="auto" w:fill="FFFFFF"/>
        <w:spacing w:line="500" w:lineRule="exact"/>
        <w:ind w:firstLine="3120" w:firstLineChars="1300"/>
        <w:jc w:val="left"/>
        <w:rPr>
          <w:rFonts w:hint="eastAsia" w:ascii="宋体" w:hAnsi="宋体"/>
          <w:color w:val="auto"/>
          <w:sz w:val="24"/>
          <w:szCs w:val="24"/>
          <w:highlight w:val="none"/>
        </w:rPr>
      </w:pPr>
    </w:p>
    <w:p w14:paraId="4AB91210">
      <w:pPr>
        <w:shd w:val="clear" w:color="auto" w:fill="FFFFFF"/>
        <w:spacing w:line="480" w:lineRule="auto"/>
        <w:jc w:val="left"/>
        <w:rPr>
          <w:rFonts w:hint="eastAsia" w:ascii="宋体" w:hAnsi="宋体"/>
          <w:color w:val="auto"/>
          <w:sz w:val="24"/>
          <w:szCs w:val="24"/>
          <w:highlight w:val="none"/>
          <w:u w:val="single"/>
        </w:rPr>
      </w:pPr>
      <w:r>
        <w:rPr>
          <w:rFonts w:hint="eastAsia" w:ascii="宋体" w:hAnsi="宋体"/>
          <w:color w:val="auto"/>
          <w:sz w:val="24"/>
          <w:szCs w:val="24"/>
          <w:highlight w:val="none"/>
        </w:rPr>
        <w:t>承诺人（盖公章）：</w:t>
      </w:r>
      <w:r>
        <w:rPr>
          <w:rFonts w:hint="eastAsia" w:ascii="宋体" w:hAnsi="宋体"/>
          <w:color w:val="auto"/>
          <w:sz w:val="24"/>
          <w:szCs w:val="24"/>
          <w:highlight w:val="none"/>
          <w:u w:val="single"/>
        </w:rPr>
        <w:t xml:space="preserve">     （供应商全称）  </w:t>
      </w:r>
    </w:p>
    <w:p w14:paraId="54C829F1">
      <w:pPr>
        <w:shd w:val="clear" w:color="auto" w:fill="FFFFFF"/>
        <w:spacing w:line="480" w:lineRule="auto"/>
        <w:jc w:val="left"/>
        <w:rPr>
          <w:rFonts w:ascii="宋体" w:hAnsi="宋体"/>
          <w:color w:val="auto"/>
          <w:sz w:val="24"/>
          <w:szCs w:val="24"/>
          <w:highlight w:val="none"/>
        </w:rPr>
      </w:pPr>
      <w:r>
        <w:rPr>
          <w:rFonts w:ascii="宋体" w:hAnsi="宋体"/>
          <w:color w:val="auto"/>
          <w:sz w:val="24"/>
          <w:szCs w:val="24"/>
          <w:highlight w:val="none"/>
        </w:rPr>
        <w:t>日期</w:t>
      </w:r>
      <w:r>
        <w:rPr>
          <w:rFonts w:hint="eastAsia" w:ascii="宋体" w:hAnsi="宋体"/>
          <w:color w:val="auto"/>
          <w:sz w:val="24"/>
          <w:szCs w:val="24"/>
          <w:highlight w:val="none"/>
        </w:rPr>
        <w:t>： 年 月 日</w:t>
      </w:r>
    </w:p>
    <w:p w14:paraId="32775478">
      <w:pPr>
        <w:rPr>
          <w:rFonts w:hint="eastAsia" w:ascii="宋体" w:hAnsi="宋体" w:eastAsia="宋体" w:cs="宋体"/>
          <w:b/>
          <w:bCs w:val="0"/>
          <w:color w:val="auto"/>
          <w:sz w:val="28"/>
          <w:szCs w:val="28"/>
          <w:highlight w:val="none"/>
          <w:lang w:val="en-US" w:eastAsia="zh-CN"/>
        </w:rPr>
      </w:pPr>
    </w:p>
    <w:p w14:paraId="3EDFC0F3">
      <w:pPr>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br w:type="page"/>
      </w:r>
    </w:p>
    <w:p w14:paraId="218532DA">
      <w:pPr>
        <w:numPr>
          <w:ilvl w:val="0"/>
          <w:numId w:val="0"/>
        </w:numPr>
        <w:spacing w:line="460" w:lineRule="exact"/>
        <w:ind w:leftChars="-50" w:right="62" w:rightChars="0"/>
        <w:jc w:val="center"/>
        <w:outlineLvl w:val="1"/>
        <w:rPr>
          <w:rFonts w:hint="eastAsia" w:ascii="宋体" w:hAnsi="宋体" w:eastAsia="宋体" w:cs="宋体"/>
          <w:b/>
          <w:bCs w:val="0"/>
          <w:color w:val="auto"/>
          <w:sz w:val="28"/>
          <w:szCs w:val="28"/>
          <w:highlight w:val="none"/>
          <w:lang w:val="en-US" w:eastAsia="zh-CN"/>
        </w:rPr>
      </w:pPr>
      <w:bookmarkStart w:id="358" w:name="_Toc5696"/>
      <w:r>
        <w:rPr>
          <w:rFonts w:hint="eastAsia" w:ascii="宋体" w:hAnsi="宋体" w:eastAsia="宋体" w:cs="宋体"/>
          <w:b/>
          <w:bCs w:val="0"/>
          <w:color w:val="auto"/>
          <w:sz w:val="28"/>
          <w:szCs w:val="28"/>
          <w:highlight w:val="none"/>
          <w:lang w:val="en-US" w:eastAsia="zh-CN"/>
        </w:rPr>
        <w:t>2</w:t>
      </w:r>
      <w:r>
        <w:rPr>
          <w:rFonts w:hint="eastAsia" w:ascii="宋体" w:hAnsi="宋体" w:cs="宋体"/>
          <w:b/>
          <w:bCs w:val="0"/>
          <w:color w:val="auto"/>
          <w:sz w:val="28"/>
          <w:szCs w:val="28"/>
          <w:highlight w:val="none"/>
          <w:lang w:val="en-US" w:eastAsia="zh-CN"/>
        </w:rPr>
        <w:t>1</w:t>
      </w:r>
      <w:r>
        <w:rPr>
          <w:rFonts w:hint="eastAsia" w:ascii="宋体" w:hAnsi="宋体" w:eastAsia="宋体" w:cs="宋体"/>
          <w:b/>
          <w:bCs w:val="0"/>
          <w:color w:val="auto"/>
          <w:sz w:val="28"/>
          <w:szCs w:val="28"/>
          <w:highlight w:val="none"/>
          <w:lang w:val="en-US" w:eastAsia="zh-CN"/>
        </w:rPr>
        <w:t>、其他投标人认为有必要提供的资料</w:t>
      </w:r>
      <w:bookmarkEnd w:id="358"/>
    </w:p>
    <w:p w14:paraId="46B3DCC7">
      <w:pPr>
        <w:rPr>
          <w:rFonts w:hint="eastAsia" w:ascii="宋体" w:hAnsi="宋体" w:eastAsia="宋体" w:cs="宋体"/>
          <w:color w:val="auto"/>
          <w:sz w:val="24"/>
          <w:szCs w:val="24"/>
          <w:highlight w:val="none"/>
        </w:rPr>
      </w:pPr>
    </w:p>
    <w:p w14:paraId="2B843EA8">
      <w:pPr>
        <w:pStyle w:val="2"/>
        <w:rPr>
          <w:rFonts w:hint="eastAsia"/>
          <w:color w:val="auto"/>
          <w:highlight w:val="none"/>
        </w:rPr>
      </w:pPr>
    </w:p>
    <w:p w14:paraId="3817365B">
      <w:pPr>
        <w:jc w:val="both"/>
        <w:rPr>
          <w:rFonts w:hint="eastAsia" w:ascii="宋体" w:hAnsi="宋体" w:cs="宋体"/>
          <w:b/>
          <w:bCs/>
          <w:color w:val="auto"/>
          <w:sz w:val="44"/>
          <w:szCs w:val="44"/>
          <w:highlight w:val="none"/>
        </w:rPr>
      </w:pPr>
      <w:bookmarkStart w:id="359" w:name="_Toc7247"/>
      <w:r>
        <w:rPr>
          <w:rFonts w:hint="eastAsia"/>
          <w:color w:val="auto"/>
          <w:highlight w:val="none"/>
          <w:lang w:val="en-US" w:eastAsia="zh-CN"/>
        </w:rPr>
        <w:br w:type="page"/>
      </w:r>
    </w:p>
    <w:p w14:paraId="4002E5F4">
      <w:pPr>
        <w:numPr>
          <w:ilvl w:val="0"/>
          <w:numId w:val="0"/>
        </w:numPr>
        <w:spacing w:line="460" w:lineRule="exact"/>
        <w:ind w:leftChars="-50" w:right="62" w:rightChars="0"/>
        <w:jc w:val="center"/>
        <w:outlineLvl w:val="1"/>
        <w:rPr>
          <w:rFonts w:hint="eastAsia" w:ascii="宋体" w:hAnsi="宋体" w:eastAsia="宋体" w:cs="宋体"/>
          <w:b/>
          <w:bCs w:val="0"/>
          <w:color w:val="auto"/>
          <w:sz w:val="28"/>
          <w:szCs w:val="28"/>
          <w:highlight w:val="none"/>
          <w:lang w:val="en-US" w:eastAsia="zh-CN"/>
        </w:rPr>
      </w:pPr>
      <w:bookmarkStart w:id="360" w:name="_Toc20257"/>
      <w:r>
        <w:rPr>
          <w:rFonts w:hint="eastAsia" w:ascii="宋体" w:hAnsi="宋体" w:eastAsia="宋体" w:cs="宋体"/>
          <w:b/>
          <w:bCs w:val="0"/>
          <w:color w:val="auto"/>
          <w:sz w:val="28"/>
          <w:szCs w:val="28"/>
          <w:highlight w:val="none"/>
          <w:lang w:val="en-US" w:eastAsia="zh-CN"/>
        </w:rPr>
        <w:t>22、技术部分</w:t>
      </w:r>
      <w:bookmarkEnd w:id="360"/>
    </w:p>
    <w:p w14:paraId="7B431095">
      <w:pPr>
        <w:pStyle w:val="49"/>
        <w:rPr>
          <w:rFonts w:hint="eastAsia" w:ascii="宋体" w:hAnsi="宋体"/>
          <w:b/>
          <w:color w:val="auto"/>
          <w:sz w:val="24"/>
          <w:szCs w:val="24"/>
          <w:highlight w:val="none"/>
        </w:rPr>
      </w:pPr>
    </w:p>
    <w:p w14:paraId="54C5B97A">
      <w:pPr>
        <w:topLinePunct/>
        <w:jc w:val="center"/>
        <w:rPr>
          <w:rFonts w:hint="eastAsia" w:ascii="宋体" w:hAnsi="宋体"/>
          <w:b/>
          <w:color w:val="auto"/>
          <w:sz w:val="32"/>
          <w:szCs w:val="28"/>
          <w:highlight w:val="none"/>
        </w:rPr>
      </w:pPr>
      <w:r>
        <w:rPr>
          <w:rFonts w:hint="eastAsia" w:ascii="宋体" w:hAnsi="宋体"/>
          <w:b/>
          <w:color w:val="auto"/>
          <w:sz w:val="32"/>
          <w:szCs w:val="28"/>
          <w:highlight w:val="none"/>
        </w:rPr>
        <w:t>目 录</w:t>
      </w:r>
    </w:p>
    <w:p w14:paraId="4744E7F2">
      <w:pPr>
        <w:pStyle w:val="49"/>
        <w:rPr>
          <w:rFonts w:hint="eastAsia"/>
          <w:color w:val="auto"/>
          <w:highlight w:val="none"/>
        </w:rPr>
      </w:pPr>
    </w:p>
    <w:p w14:paraId="56853BB8">
      <w:pPr>
        <w:pStyle w:val="19"/>
        <w:numPr>
          <w:ilvl w:val="0"/>
          <w:numId w:val="0"/>
        </w:numPr>
        <w:ind w:leftChars="0" w:firstLine="480" w:firstLineChars="200"/>
        <w:rPr>
          <w:rFonts w:hint="eastAsia"/>
          <w:highlight w:val="none"/>
        </w:rPr>
      </w:pPr>
      <w:r>
        <w:rPr>
          <w:rFonts w:hint="eastAsia"/>
          <w:highlight w:val="none"/>
        </w:rPr>
        <w:t>1.施工方案与技术措施</w:t>
      </w:r>
    </w:p>
    <w:p w14:paraId="4569CF93">
      <w:pPr>
        <w:pStyle w:val="19"/>
        <w:numPr>
          <w:ilvl w:val="0"/>
          <w:numId w:val="0"/>
        </w:numPr>
        <w:ind w:leftChars="0"/>
        <w:rPr>
          <w:rFonts w:hint="eastAsia"/>
          <w:highlight w:val="none"/>
        </w:rPr>
      </w:pPr>
      <w:r>
        <w:rPr>
          <w:rFonts w:hint="eastAsia"/>
          <w:highlight w:val="none"/>
        </w:rPr>
        <w:t xml:space="preserve">    2.质量保证措施和创优计划</w:t>
      </w:r>
    </w:p>
    <w:p w14:paraId="6973243D">
      <w:pPr>
        <w:pStyle w:val="19"/>
        <w:numPr>
          <w:ilvl w:val="0"/>
          <w:numId w:val="0"/>
        </w:numPr>
        <w:ind w:leftChars="0"/>
        <w:rPr>
          <w:rFonts w:hint="eastAsia"/>
          <w:highlight w:val="none"/>
        </w:rPr>
      </w:pPr>
      <w:r>
        <w:rPr>
          <w:rFonts w:hint="eastAsia"/>
          <w:highlight w:val="none"/>
        </w:rPr>
        <w:t xml:space="preserve">    3.施工总进度计划</w:t>
      </w:r>
      <w:r>
        <w:rPr>
          <w:rFonts w:hint="eastAsia" w:eastAsia="宋体"/>
          <w:highlight w:val="none"/>
          <w:lang w:eastAsia="zh-CN"/>
        </w:rPr>
        <w:t>（</w:t>
      </w:r>
      <w:r>
        <w:rPr>
          <w:rFonts w:hint="eastAsia"/>
          <w:highlight w:val="none"/>
        </w:rPr>
        <w:t>附</w:t>
      </w:r>
      <w:r>
        <w:rPr>
          <w:rFonts w:hint="eastAsia" w:eastAsia="宋体"/>
          <w:highlight w:val="none"/>
          <w:lang w:val="en-US" w:eastAsia="zh-CN"/>
        </w:rPr>
        <w:t>流水</w:t>
      </w:r>
      <w:r>
        <w:rPr>
          <w:rFonts w:hint="eastAsia"/>
          <w:highlight w:val="none"/>
        </w:rPr>
        <w:t>图</w:t>
      </w:r>
      <w:r>
        <w:rPr>
          <w:rFonts w:hint="eastAsia" w:eastAsia="宋体"/>
          <w:highlight w:val="none"/>
          <w:lang w:eastAsia="zh-CN"/>
        </w:rPr>
        <w:t>）</w:t>
      </w:r>
      <w:r>
        <w:rPr>
          <w:rFonts w:hint="eastAsia"/>
          <w:highlight w:val="none"/>
        </w:rPr>
        <w:t>及保证措施</w:t>
      </w:r>
    </w:p>
    <w:p w14:paraId="6D900368">
      <w:pPr>
        <w:pStyle w:val="19"/>
        <w:numPr>
          <w:ilvl w:val="0"/>
          <w:numId w:val="0"/>
        </w:numPr>
        <w:ind w:leftChars="0"/>
        <w:rPr>
          <w:rFonts w:hint="eastAsia"/>
          <w:highlight w:val="none"/>
        </w:rPr>
      </w:pPr>
      <w:r>
        <w:rPr>
          <w:rFonts w:hint="eastAsia"/>
          <w:highlight w:val="none"/>
        </w:rPr>
        <w:t xml:space="preserve">    4.施工安全措施计划</w:t>
      </w:r>
    </w:p>
    <w:p w14:paraId="760555D3">
      <w:pPr>
        <w:pStyle w:val="19"/>
        <w:numPr>
          <w:ilvl w:val="0"/>
          <w:numId w:val="0"/>
        </w:numPr>
        <w:ind w:leftChars="0"/>
        <w:rPr>
          <w:rFonts w:hint="eastAsia"/>
          <w:highlight w:val="none"/>
        </w:rPr>
      </w:pPr>
      <w:r>
        <w:rPr>
          <w:rFonts w:hint="eastAsia"/>
          <w:highlight w:val="none"/>
        </w:rPr>
        <w:t xml:space="preserve">    5.文明施工措施计划</w:t>
      </w:r>
    </w:p>
    <w:p w14:paraId="0833176A">
      <w:pPr>
        <w:pStyle w:val="19"/>
        <w:numPr>
          <w:ilvl w:val="0"/>
          <w:numId w:val="0"/>
        </w:numPr>
        <w:ind w:leftChars="0"/>
        <w:rPr>
          <w:rFonts w:hint="eastAsia"/>
          <w:highlight w:val="none"/>
        </w:rPr>
      </w:pPr>
      <w:r>
        <w:rPr>
          <w:rFonts w:hint="eastAsia"/>
          <w:highlight w:val="none"/>
        </w:rPr>
        <w:t xml:space="preserve">    6.施工场地治安保卫管理计划</w:t>
      </w:r>
    </w:p>
    <w:p w14:paraId="25914A67">
      <w:pPr>
        <w:pStyle w:val="19"/>
        <w:numPr>
          <w:ilvl w:val="0"/>
          <w:numId w:val="0"/>
        </w:numPr>
        <w:ind w:leftChars="0"/>
        <w:rPr>
          <w:rFonts w:hint="eastAsia"/>
          <w:highlight w:val="none"/>
        </w:rPr>
      </w:pPr>
      <w:r>
        <w:rPr>
          <w:rFonts w:hint="eastAsia"/>
          <w:highlight w:val="none"/>
        </w:rPr>
        <w:t xml:space="preserve">    7.施工环保措施计划</w:t>
      </w:r>
    </w:p>
    <w:p w14:paraId="2ABA7C4E">
      <w:pPr>
        <w:pStyle w:val="19"/>
        <w:numPr>
          <w:ilvl w:val="0"/>
          <w:numId w:val="0"/>
        </w:numPr>
        <w:ind w:leftChars="0"/>
        <w:rPr>
          <w:rFonts w:hint="eastAsia"/>
          <w:highlight w:val="none"/>
        </w:rPr>
      </w:pPr>
      <w:r>
        <w:rPr>
          <w:rFonts w:hint="eastAsia"/>
          <w:highlight w:val="none"/>
        </w:rPr>
        <w:t xml:space="preserve">    8.施工现场总平面布置（附图）</w:t>
      </w:r>
    </w:p>
    <w:p w14:paraId="58A9F903">
      <w:pPr>
        <w:pStyle w:val="19"/>
        <w:numPr>
          <w:ilvl w:val="0"/>
          <w:numId w:val="0"/>
        </w:numPr>
        <w:ind w:leftChars="0"/>
        <w:rPr>
          <w:rFonts w:hint="eastAsia"/>
          <w:highlight w:val="none"/>
        </w:rPr>
      </w:pPr>
      <w:r>
        <w:rPr>
          <w:rFonts w:hint="eastAsia"/>
          <w:highlight w:val="none"/>
        </w:rPr>
        <w:t xml:space="preserve">    9.项目组织管理机构</w:t>
      </w:r>
    </w:p>
    <w:p w14:paraId="749160C5">
      <w:pPr>
        <w:pStyle w:val="19"/>
        <w:numPr>
          <w:ilvl w:val="0"/>
          <w:numId w:val="0"/>
        </w:numPr>
        <w:ind w:leftChars="0"/>
        <w:rPr>
          <w:rFonts w:hint="eastAsia"/>
          <w:highlight w:val="none"/>
        </w:rPr>
      </w:pPr>
      <w:r>
        <w:rPr>
          <w:rFonts w:hint="eastAsia"/>
          <w:highlight w:val="none"/>
        </w:rPr>
        <w:t xml:space="preserve">    10.成品保护和工程保修工作的管理和承诺</w:t>
      </w:r>
    </w:p>
    <w:p w14:paraId="54883F71">
      <w:pPr>
        <w:pStyle w:val="19"/>
        <w:numPr>
          <w:ilvl w:val="0"/>
          <w:numId w:val="0"/>
        </w:numPr>
        <w:ind w:leftChars="0"/>
        <w:rPr>
          <w:rFonts w:hint="eastAsia"/>
          <w:highlight w:val="none"/>
        </w:rPr>
      </w:pPr>
      <w:r>
        <w:rPr>
          <w:rFonts w:hint="eastAsia"/>
          <w:highlight w:val="none"/>
        </w:rPr>
        <w:t xml:space="preserve">    11.任何可能的紧急情况的处理措施、预案以及抵抗风险的措施</w:t>
      </w:r>
    </w:p>
    <w:p w14:paraId="32650627">
      <w:pPr>
        <w:pStyle w:val="19"/>
        <w:numPr>
          <w:ilvl w:val="0"/>
          <w:numId w:val="0"/>
        </w:numPr>
        <w:ind w:leftChars="0"/>
        <w:rPr>
          <w:rFonts w:hint="eastAsia"/>
          <w:highlight w:val="none"/>
        </w:rPr>
      </w:pPr>
      <w:r>
        <w:rPr>
          <w:rFonts w:hint="eastAsia"/>
          <w:highlight w:val="none"/>
        </w:rPr>
        <w:t xml:space="preserve">    12.对总包管理的认识以及对专业分包工程的配合、协调、管理、服务方案</w:t>
      </w:r>
    </w:p>
    <w:p w14:paraId="77307C93">
      <w:pPr>
        <w:pStyle w:val="49"/>
        <w:rPr>
          <w:rFonts w:ascii="宋体" w:hAnsi="宋体" w:cs="宋体"/>
          <w:b/>
          <w:bCs/>
          <w:color w:val="auto"/>
          <w:sz w:val="36"/>
          <w:szCs w:val="24"/>
          <w:highlight w:val="none"/>
        </w:rPr>
      </w:pPr>
    </w:p>
    <w:p w14:paraId="3CB9526E">
      <w:pPr>
        <w:jc w:val="both"/>
        <w:rPr>
          <w:rFonts w:hint="default" w:ascii="宋体" w:hAnsi="宋体" w:eastAsia="宋体" w:cs="宋体"/>
          <w:b/>
          <w:color w:val="auto"/>
          <w:sz w:val="24"/>
          <w:szCs w:val="24"/>
          <w:highlight w:val="none"/>
          <w:lang w:val="en-US" w:eastAsia="zh-CN"/>
        </w:rPr>
      </w:pPr>
    </w:p>
    <w:p w14:paraId="07985F7A">
      <w:pPr>
        <w:pStyle w:val="49"/>
        <w:rPr>
          <w:rFonts w:ascii="宋体" w:hAnsi="宋体" w:cs="宋体"/>
          <w:b/>
          <w:bCs/>
          <w:color w:val="auto"/>
          <w:sz w:val="36"/>
          <w:szCs w:val="24"/>
          <w:highlight w:val="none"/>
        </w:rPr>
      </w:pPr>
    </w:p>
    <w:p w14:paraId="5E176D62">
      <w:pPr>
        <w:pStyle w:val="8"/>
        <w:outlineLvl w:val="9"/>
        <w:rPr>
          <w:rFonts w:hint="eastAsia"/>
          <w:color w:val="auto"/>
          <w:highlight w:val="none"/>
          <w:lang w:val="en-US" w:eastAsia="zh-CN"/>
        </w:rPr>
      </w:pPr>
    </w:p>
    <w:p w14:paraId="7A46582C">
      <w:pPr>
        <w:rPr>
          <w:rFonts w:hint="eastAsia"/>
          <w:color w:val="auto"/>
          <w:highlight w:val="none"/>
          <w:lang w:val="en-US" w:eastAsia="zh-CN"/>
        </w:rPr>
      </w:pPr>
    </w:p>
    <w:p w14:paraId="0711545C">
      <w:pPr>
        <w:pStyle w:val="8"/>
        <w:outlineLvl w:val="9"/>
        <w:rPr>
          <w:rFonts w:hint="eastAsia"/>
          <w:color w:val="auto"/>
          <w:highlight w:val="none"/>
          <w:lang w:val="en-US" w:eastAsia="zh-CN"/>
        </w:rPr>
      </w:pPr>
    </w:p>
    <w:p w14:paraId="4ED31AAD">
      <w:pPr>
        <w:rPr>
          <w:rFonts w:hint="eastAsia"/>
          <w:color w:val="auto"/>
          <w:highlight w:val="none"/>
          <w:lang w:val="en-US" w:eastAsia="zh-CN"/>
        </w:rPr>
      </w:pPr>
    </w:p>
    <w:p w14:paraId="44C83A11">
      <w:pPr>
        <w:pStyle w:val="8"/>
        <w:outlineLvl w:val="9"/>
        <w:rPr>
          <w:rFonts w:hint="eastAsia"/>
          <w:color w:val="auto"/>
          <w:highlight w:val="none"/>
          <w:lang w:val="en-US" w:eastAsia="zh-CN"/>
        </w:rPr>
      </w:pPr>
    </w:p>
    <w:p w14:paraId="5DAF2861">
      <w:pPr>
        <w:rPr>
          <w:rFonts w:hint="eastAsia"/>
          <w:color w:val="auto"/>
          <w:highlight w:val="none"/>
          <w:lang w:val="en-US" w:eastAsia="zh-CN"/>
        </w:rPr>
      </w:pPr>
    </w:p>
    <w:p w14:paraId="7ECED921">
      <w:pPr>
        <w:pStyle w:val="8"/>
        <w:outlineLvl w:val="9"/>
        <w:rPr>
          <w:rFonts w:hint="eastAsia"/>
          <w:color w:val="auto"/>
          <w:highlight w:val="none"/>
          <w:lang w:val="en-US" w:eastAsia="zh-CN"/>
        </w:rPr>
      </w:pPr>
    </w:p>
    <w:p w14:paraId="3488F0AE">
      <w:pPr>
        <w:rPr>
          <w:rFonts w:hint="eastAsia"/>
          <w:color w:val="auto"/>
          <w:highlight w:val="none"/>
          <w:lang w:val="en-US" w:eastAsia="zh-CN"/>
        </w:rPr>
      </w:pPr>
    </w:p>
    <w:p w14:paraId="46653626">
      <w:pPr>
        <w:pStyle w:val="8"/>
        <w:outlineLvl w:val="9"/>
        <w:rPr>
          <w:rFonts w:hint="eastAsia"/>
          <w:color w:val="auto"/>
          <w:highlight w:val="none"/>
          <w:lang w:val="en-US" w:eastAsia="zh-CN"/>
        </w:rPr>
      </w:pPr>
    </w:p>
    <w:p w14:paraId="40A9DA1E">
      <w:pPr>
        <w:rPr>
          <w:rFonts w:hint="eastAsia"/>
          <w:color w:val="auto"/>
          <w:highlight w:val="none"/>
          <w:lang w:val="en-US" w:eastAsia="zh-CN"/>
        </w:rPr>
      </w:pPr>
    </w:p>
    <w:p w14:paraId="36C7D60F">
      <w:pPr>
        <w:pStyle w:val="7"/>
        <w:bidi w:val="0"/>
        <w:rPr>
          <w:rFonts w:hint="eastAsia" w:ascii="宋体" w:hAnsi="宋体" w:eastAsia="宋体" w:cs="宋体"/>
          <w:b w:val="0"/>
          <w:bCs/>
          <w:i w:val="0"/>
          <w:color w:val="auto"/>
          <w:kern w:val="0"/>
          <w:sz w:val="28"/>
          <w:szCs w:val="28"/>
          <w:highlight w:val="none"/>
          <w:u w:val="none"/>
          <w:lang w:val="en-US" w:eastAsia="zh-CN" w:bidi="ar"/>
        </w:rPr>
      </w:pPr>
      <w:bookmarkStart w:id="361" w:name="_Toc24292"/>
      <w:bookmarkStart w:id="362" w:name="_Toc31586"/>
      <w:bookmarkStart w:id="363" w:name="_Toc18068"/>
      <w:r>
        <w:rPr>
          <w:rFonts w:hint="eastAsia"/>
          <w:color w:val="auto"/>
          <w:highlight w:val="none"/>
          <w:lang w:val="en-US" w:eastAsia="zh-CN"/>
        </w:rPr>
        <w:t>评审标准</w:t>
      </w:r>
      <w:bookmarkEnd w:id="359"/>
      <w:bookmarkEnd w:id="361"/>
      <w:bookmarkEnd w:id="362"/>
      <w:bookmarkEnd w:id="363"/>
    </w:p>
    <w:p w14:paraId="1F569965">
      <w:pPr>
        <w:rPr>
          <w:rFonts w:hint="eastAsia" w:ascii="宋体" w:hAnsi="宋体"/>
          <w:color w:val="auto"/>
          <w:sz w:val="24"/>
          <w:szCs w:val="24"/>
          <w:highlight w:val="none"/>
        </w:rPr>
      </w:pPr>
      <w:r>
        <w:rPr>
          <w:rFonts w:hint="eastAsia" w:ascii="宋体" w:hAnsi="宋体"/>
          <w:color w:val="auto"/>
          <w:sz w:val="24"/>
          <w:szCs w:val="24"/>
          <w:highlight w:val="none"/>
          <w:lang w:eastAsia="zh-CN"/>
        </w:rPr>
        <w:t>附表</w:t>
      </w:r>
      <w:r>
        <w:rPr>
          <w:rFonts w:hint="eastAsia" w:ascii="宋体" w:hAnsi="宋体"/>
          <w:color w:val="auto"/>
          <w:sz w:val="24"/>
          <w:szCs w:val="24"/>
          <w:highlight w:val="none"/>
          <w:lang w:val="en-US" w:eastAsia="zh-CN"/>
        </w:rPr>
        <w:t>1</w:t>
      </w:r>
    </w:p>
    <w:p w14:paraId="03292AC2">
      <w:pPr>
        <w:snapToGrid w:val="0"/>
        <w:spacing w:line="440" w:lineRule="exact"/>
        <w:jc w:val="center"/>
        <w:rPr>
          <w:rFonts w:hint="eastAsia" w:ascii="宋体" w:hAnsi="宋体"/>
          <w:b/>
          <w:color w:val="auto"/>
          <w:sz w:val="24"/>
          <w:szCs w:val="24"/>
          <w:highlight w:val="none"/>
        </w:rPr>
      </w:pPr>
      <w:r>
        <w:rPr>
          <w:rFonts w:hint="eastAsia" w:ascii="宋体" w:hAnsi="宋体"/>
          <w:b/>
          <w:bCs/>
          <w:color w:val="auto"/>
          <w:sz w:val="24"/>
          <w:szCs w:val="24"/>
          <w:highlight w:val="none"/>
        </w:rPr>
        <w:t>资格</w:t>
      </w:r>
      <w:r>
        <w:rPr>
          <w:rFonts w:hint="eastAsia" w:ascii="宋体" w:hAnsi="宋体"/>
          <w:b/>
          <w:bCs/>
          <w:color w:val="auto"/>
          <w:sz w:val="24"/>
          <w:szCs w:val="24"/>
          <w:highlight w:val="none"/>
          <w:lang w:val="en-US" w:eastAsia="zh-CN"/>
        </w:rPr>
        <w:t>审查标准</w:t>
      </w:r>
    </w:p>
    <w:tbl>
      <w:tblPr>
        <w:tblStyle w:val="25"/>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5780"/>
        <w:gridCol w:w="854"/>
        <w:gridCol w:w="852"/>
        <w:gridCol w:w="851"/>
        <w:gridCol w:w="792"/>
      </w:tblGrid>
      <w:tr w14:paraId="308A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702" w:type="dxa"/>
            <w:tcBorders>
              <w:bottom w:val="single" w:color="auto" w:sz="4" w:space="0"/>
            </w:tcBorders>
            <w:vAlign w:val="center"/>
          </w:tcPr>
          <w:p w14:paraId="2457DB3F">
            <w:pPr>
              <w:shd w:val="clear" w:color="auto" w:fill="FFFFFF"/>
              <w:spacing w:line="34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序号</w:t>
            </w:r>
          </w:p>
        </w:tc>
        <w:tc>
          <w:tcPr>
            <w:tcW w:w="5780" w:type="dxa"/>
            <w:tcBorders>
              <w:bottom w:val="single" w:color="auto" w:sz="4" w:space="0"/>
            </w:tcBorders>
            <w:vAlign w:val="center"/>
          </w:tcPr>
          <w:p w14:paraId="20C9C337">
            <w:pPr>
              <w:shd w:val="clear" w:color="auto" w:fill="FFFFFF"/>
              <w:spacing w:line="340" w:lineRule="exact"/>
              <w:jc w:val="center"/>
              <w:rPr>
                <w:rFonts w:hint="eastAsia" w:ascii="宋体" w:hAnsi="宋体"/>
                <w:b/>
                <w:color w:val="auto"/>
                <w:sz w:val="24"/>
                <w:szCs w:val="24"/>
                <w:highlight w:val="none"/>
              </w:rPr>
            </w:pPr>
            <w:r>
              <w:rPr>
                <w:rFonts w:hint="eastAsia" w:ascii="宋体" w:hAnsi="宋体"/>
                <w:bCs/>
                <w:color w:val="auto"/>
                <w:sz w:val="24"/>
                <w:szCs w:val="24"/>
                <w:highlight w:val="none"/>
              </w:rPr>
              <w:t>评审内容及标准</w:t>
            </w:r>
          </w:p>
        </w:tc>
        <w:tc>
          <w:tcPr>
            <w:tcW w:w="854" w:type="dxa"/>
            <w:tcBorders>
              <w:bottom w:val="single" w:color="auto" w:sz="4" w:space="0"/>
            </w:tcBorders>
            <w:vAlign w:val="center"/>
          </w:tcPr>
          <w:p w14:paraId="33169E18">
            <w:pPr>
              <w:shd w:val="clear" w:color="auto" w:fill="FFFFFF"/>
              <w:spacing w:line="340" w:lineRule="exact"/>
              <w:jc w:val="center"/>
              <w:rPr>
                <w:rFonts w:ascii="宋体" w:hAnsi="宋体"/>
                <w:color w:val="auto"/>
                <w:sz w:val="24"/>
                <w:szCs w:val="24"/>
                <w:highlight w:val="none"/>
              </w:rPr>
            </w:pPr>
            <w:r>
              <w:rPr>
                <w:rFonts w:hint="eastAsia" w:ascii="宋体" w:hAnsi="宋体"/>
                <w:color w:val="auto"/>
                <w:sz w:val="24"/>
                <w:szCs w:val="24"/>
                <w:highlight w:val="none"/>
              </w:rPr>
              <w:t>供应商1</w:t>
            </w:r>
          </w:p>
        </w:tc>
        <w:tc>
          <w:tcPr>
            <w:tcW w:w="852" w:type="dxa"/>
            <w:tcBorders>
              <w:bottom w:val="single" w:color="auto" w:sz="4" w:space="0"/>
            </w:tcBorders>
            <w:vAlign w:val="center"/>
          </w:tcPr>
          <w:p w14:paraId="0B59E746">
            <w:pPr>
              <w:shd w:val="clear" w:color="auto" w:fill="FFFFFF"/>
              <w:spacing w:line="340" w:lineRule="exact"/>
              <w:jc w:val="center"/>
              <w:rPr>
                <w:rFonts w:ascii="宋体" w:hAnsi="宋体"/>
                <w:color w:val="auto"/>
                <w:sz w:val="24"/>
                <w:szCs w:val="24"/>
                <w:highlight w:val="none"/>
              </w:rPr>
            </w:pPr>
            <w:r>
              <w:rPr>
                <w:rFonts w:hint="eastAsia" w:ascii="宋体" w:hAnsi="宋体"/>
                <w:color w:val="auto"/>
                <w:sz w:val="24"/>
                <w:szCs w:val="24"/>
                <w:highlight w:val="none"/>
              </w:rPr>
              <w:t>供应商2</w:t>
            </w:r>
          </w:p>
        </w:tc>
        <w:tc>
          <w:tcPr>
            <w:tcW w:w="851" w:type="dxa"/>
            <w:tcBorders>
              <w:bottom w:val="single" w:color="auto" w:sz="4" w:space="0"/>
            </w:tcBorders>
            <w:vAlign w:val="center"/>
          </w:tcPr>
          <w:p w14:paraId="0F69E252">
            <w:pPr>
              <w:shd w:val="clear" w:color="auto" w:fill="FFFFFF"/>
              <w:spacing w:line="340" w:lineRule="exact"/>
              <w:jc w:val="center"/>
              <w:rPr>
                <w:rFonts w:ascii="宋体" w:hAnsi="宋体"/>
                <w:color w:val="auto"/>
                <w:sz w:val="24"/>
                <w:szCs w:val="24"/>
                <w:highlight w:val="none"/>
              </w:rPr>
            </w:pPr>
            <w:r>
              <w:rPr>
                <w:rFonts w:hint="eastAsia" w:ascii="宋体" w:hAnsi="宋体"/>
                <w:color w:val="auto"/>
                <w:sz w:val="24"/>
                <w:szCs w:val="24"/>
                <w:highlight w:val="none"/>
              </w:rPr>
              <w:t>供应商3</w:t>
            </w:r>
          </w:p>
        </w:tc>
        <w:tc>
          <w:tcPr>
            <w:tcW w:w="792" w:type="dxa"/>
            <w:tcBorders>
              <w:bottom w:val="single" w:color="auto" w:sz="4" w:space="0"/>
            </w:tcBorders>
            <w:vAlign w:val="center"/>
          </w:tcPr>
          <w:p w14:paraId="39510D37">
            <w:pPr>
              <w:shd w:val="clear" w:color="auto" w:fill="FFFFFF"/>
              <w:spacing w:line="340" w:lineRule="exact"/>
              <w:jc w:val="center"/>
              <w:rPr>
                <w:rFonts w:ascii="宋体" w:hAnsi="宋体"/>
                <w:color w:val="auto"/>
                <w:sz w:val="24"/>
                <w:szCs w:val="24"/>
                <w:highlight w:val="none"/>
              </w:rPr>
            </w:pPr>
            <w:r>
              <w:rPr>
                <w:rFonts w:hint="eastAsia" w:ascii="宋体" w:hAnsi="宋体"/>
                <w:color w:val="auto"/>
                <w:sz w:val="24"/>
                <w:szCs w:val="24"/>
                <w:highlight w:val="none"/>
              </w:rPr>
              <w:t>供应商N</w:t>
            </w:r>
          </w:p>
        </w:tc>
      </w:tr>
      <w:tr w14:paraId="3310B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02" w:type="dxa"/>
            <w:vAlign w:val="center"/>
          </w:tcPr>
          <w:p w14:paraId="0E68CBA0">
            <w:pPr>
              <w:shd w:val="clear" w:color="auto" w:fill="auto"/>
              <w:spacing w:line="340" w:lineRule="exact"/>
              <w:jc w:val="center"/>
              <w:rPr>
                <w:rFonts w:hint="eastAsia" w:ascii="宋体" w:hAnsi="宋体"/>
                <w:color w:val="auto"/>
                <w:sz w:val="24"/>
                <w:szCs w:val="24"/>
                <w:highlight w:val="none"/>
              </w:rPr>
            </w:pPr>
            <w:r>
              <w:rPr>
                <w:rFonts w:hint="eastAsia" w:ascii="宋体" w:hAnsi="宋体"/>
                <w:color w:val="auto"/>
                <w:sz w:val="24"/>
                <w:szCs w:val="24"/>
                <w:highlight w:val="none"/>
              </w:rPr>
              <w:t>1</w:t>
            </w:r>
          </w:p>
        </w:tc>
        <w:tc>
          <w:tcPr>
            <w:tcW w:w="5780" w:type="dxa"/>
            <w:vAlign w:val="center"/>
          </w:tcPr>
          <w:p w14:paraId="78B0F68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pacing w:val="-2"/>
                <w:szCs w:val="21"/>
                <w:highlight w:val="none"/>
              </w:rPr>
            </w:pPr>
            <w:r>
              <w:rPr>
                <w:rFonts w:hint="eastAsia" w:ascii="宋体" w:hAnsi="宋体"/>
                <w:bCs/>
                <w:sz w:val="24"/>
                <w:szCs w:val="24"/>
                <w:highlight w:val="none"/>
              </w:rPr>
              <w:t>满足《中华人民共和国政府采购法》第二十二条规定</w:t>
            </w:r>
            <w:r>
              <w:rPr>
                <w:rFonts w:hint="eastAsia" w:ascii="宋体" w:hAnsi="宋体"/>
                <w:bCs/>
                <w:sz w:val="24"/>
                <w:szCs w:val="24"/>
                <w:highlight w:val="none"/>
                <w:lang w:eastAsia="zh-CN"/>
              </w:rPr>
              <w:t>：</w:t>
            </w:r>
            <w:r>
              <w:rPr>
                <w:rFonts w:hint="eastAsia" w:ascii="宋体" w:hAnsi="宋体" w:cs="宋体"/>
                <w:color w:val="auto"/>
                <w:spacing w:val="-2"/>
                <w:szCs w:val="21"/>
                <w:highlight w:val="none"/>
              </w:rPr>
              <w:t>（一）具有独立承担民事责任的能力；</w:t>
            </w:r>
          </w:p>
          <w:p w14:paraId="7FF5544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Cs w:val="21"/>
                <w:highlight w:val="none"/>
              </w:rPr>
            </w:pPr>
            <w:r>
              <w:rPr>
                <w:rFonts w:hint="eastAsia" w:ascii="宋体" w:hAnsi="宋体" w:cs="宋体"/>
                <w:color w:val="auto"/>
                <w:spacing w:val="-2"/>
                <w:szCs w:val="21"/>
                <w:highlight w:val="none"/>
              </w:rPr>
              <w:t>（二）具有良好的商业信誉和健全的</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"https://www.baidu.com/s?wd=财务会计制度&amp;tn=SE_PcZhidaonwhc_ngpagmjz&amp;rsv_dl=gh_pc_zhidao" </w:instrText>
            </w:r>
            <w:r>
              <w:rPr>
                <w:rFonts w:hint="eastAsia" w:ascii="宋体" w:hAnsi="宋体" w:cs="宋体"/>
                <w:color w:val="auto"/>
                <w:szCs w:val="21"/>
                <w:highlight w:val="none"/>
              </w:rPr>
              <w:fldChar w:fldCharType="separate"/>
            </w:r>
            <w:r>
              <w:rPr>
                <w:rFonts w:hint="eastAsia" w:ascii="宋体" w:hAnsi="宋体" w:cs="宋体"/>
                <w:color w:val="auto"/>
                <w:spacing w:val="-2"/>
                <w:szCs w:val="21"/>
                <w:highlight w:val="none"/>
              </w:rPr>
              <w:t>财务会计制度</w:t>
            </w:r>
            <w:r>
              <w:rPr>
                <w:rFonts w:hint="eastAsia" w:ascii="宋体" w:hAnsi="宋体" w:cs="宋体"/>
                <w:color w:val="auto"/>
                <w:spacing w:val="-2"/>
                <w:szCs w:val="21"/>
                <w:highlight w:val="none"/>
              </w:rPr>
              <w:fldChar w:fldCharType="end"/>
            </w:r>
            <w:r>
              <w:rPr>
                <w:rFonts w:hint="eastAsia" w:ascii="宋体" w:hAnsi="宋体" w:cs="宋体"/>
                <w:color w:val="auto"/>
                <w:spacing w:val="-2"/>
                <w:szCs w:val="21"/>
                <w:highlight w:val="none"/>
              </w:rPr>
              <w:t>；</w:t>
            </w:r>
          </w:p>
          <w:p w14:paraId="2101BAB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Cs w:val="21"/>
                <w:highlight w:val="none"/>
              </w:rPr>
            </w:pPr>
            <w:r>
              <w:rPr>
                <w:rFonts w:hint="eastAsia" w:ascii="宋体" w:hAnsi="宋体" w:cs="宋体"/>
                <w:color w:val="auto"/>
                <w:spacing w:val="-2"/>
                <w:szCs w:val="21"/>
                <w:highlight w:val="none"/>
              </w:rPr>
              <w:t>（三）具有履行合同所必需的设备和专业技术能力；</w:t>
            </w:r>
          </w:p>
          <w:p w14:paraId="2B2C5F5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Cs w:val="21"/>
                <w:highlight w:val="none"/>
              </w:rPr>
            </w:pPr>
            <w:r>
              <w:rPr>
                <w:rFonts w:hint="eastAsia" w:ascii="宋体" w:hAnsi="宋体" w:cs="宋体"/>
                <w:color w:val="auto"/>
                <w:spacing w:val="-2"/>
                <w:szCs w:val="21"/>
                <w:highlight w:val="none"/>
              </w:rPr>
              <w:t>（四）有依法缴纳税收和</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"https://www.baidu.com/s?wd=社会保障资金&amp;tn=SE_PcZhidaonwhc_ngpagmjz&amp;rsv_dl=gh_pc_zhidao" </w:instrText>
            </w:r>
            <w:r>
              <w:rPr>
                <w:rFonts w:hint="eastAsia" w:ascii="宋体" w:hAnsi="宋体" w:cs="宋体"/>
                <w:color w:val="auto"/>
                <w:szCs w:val="21"/>
                <w:highlight w:val="none"/>
              </w:rPr>
              <w:fldChar w:fldCharType="separate"/>
            </w:r>
            <w:r>
              <w:rPr>
                <w:rFonts w:hint="eastAsia" w:ascii="宋体" w:hAnsi="宋体" w:cs="宋体"/>
                <w:color w:val="auto"/>
                <w:spacing w:val="-2"/>
                <w:szCs w:val="21"/>
                <w:highlight w:val="none"/>
              </w:rPr>
              <w:t>社会保障资金</w:t>
            </w:r>
            <w:r>
              <w:rPr>
                <w:rFonts w:hint="eastAsia" w:ascii="宋体" w:hAnsi="宋体" w:cs="宋体"/>
                <w:color w:val="auto"/>
                <w:spacing w:val="-2"/>
                <w:szCs w:val="21"/>
                <w:highlight w:val="none"/>
              </w:rPr>
              <w:fldChar w:fldCharType="end"/>
            </w:r>
            <w:r>
              <w:rPr>
                <w:rFonts w:hint="eastAsia" w:ascii="宋体" w:hAnsi="宋体" w:cs="宋体"/>
                <w:color w:val="auto"/>
                <w:spacing w:val="-2"/>
                <w:szCs w:val="21"/>
                <w:highlight w:val="none"/>
              </w:rPr>
              <w:t>的良好记录；</w:t>
            </w:r>
          </w:p>
          <w:p w14:paraId="02DC5FD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Cs w:val="21"/>
                <w:highlight w:val="none"/>
              </w:rPr>
            </w:pPr>
            <w:r>
              <w:rPr>
                <w:rFonts w:hint="eastAsia" w:ascii="宋体" w:hAnsi="宋体" w:cs="宋体"/>
                <w:color w:val="auto"/>
                <w:spacing w:val="-2"/>
                <w:szCs w:val="21"/>
                <w:highlight w:val="none"/>
              </w:rPr>
              <w:t>（五）参加政府采购活动前三年内，在经营活动中没有重大违法记录</w:t>
            </w:r>
            <w:r>
              <w:rPr>
                <w:rFonts w:hint="eastAsia" w:asciiTheme="minorEastAsia" w:hAnsiTheme="minorEastAsia" w:eastAsiaTheme="minorEastAsia" w:cstheme="minorEastAsia"/>
                <w:color w:val="auto"/>
                <w:kern w:val="2"/>
                <w:sz w:val="24"/>
                <w:szCs w:val="24"/>
                <w:highlight w:val="none"/>
                <w:shd w:val="clear" w:color="auto" w:fill="FFFFFF"/>
                <w:lang w:val="en-US" w:eastAsia="zh-CN"/>
              </w:rPr>
              <w:t>；</w:t>
            </w:r>
          </w:p>
          <w:p w14:paraId="0F401935">
            <w:pPr>
              <w:shd w:val="clear" w:color="auto" w:fill="auto"/>
              <w:spacing w:line="340" w:lineRule="exact"/>
              <w:rPr>
                <w:rFonts w:hint="eastAsia" w:ascii="宋体" w:hAnsi="宋体"/>
                <w:bCs/>
                <w:kern w:val="2"/>
                <w:sz w:val="24"/>
                <w:szCs w:val="24"/>
                <w:highlight w:val="none"/>
                <w:lang w:val="en-US" w:eastAsia="zh-CN" w:bidi="ar-SA"/>
              </w:rPr>
            </w:pPr>
            <w:r>
              <w:rPr>
                <w:rFonts w:hint="eastAsia" w:ascii="宋体" w:hAnsi="宋体" w:cs="宋体"/>
                <w:color w:val="auto"/>
                <w:spacing w:val="-2"/>
                <w:szCs w:val="21"/>
                <w:highlight w:val="none"/>
              </w:rPr>
              <w:t>（六）法律、行政法规规定的其他条件。</w:t>
            </w:r>
          </w:p>
        </w:tc>
        <w:tc>
          <w:tcPr>
            <w:tcW w:w="854" w:type="dxa"/>
            <w:vAlign w:val="center"/>
          </w:tcPr>
          <w:p w14:paraId="4A091882">
            <w:pPr>
              <w:shd w:val="clear" w:color="auto" w:fill="FFFFFF"/>
              <w:spacing w:line="340" w:lineRule="exact"/>
              <w:rPr>
                <w:rFonts w:ascii="宋体" w:hAnsi="宋体"/>
                <w:color w:val="auto"/>
                <w:sz w:val="24"/>
                <w:szCs w:val="24"/>
                <w:highlight w:val="none"/>
              </w:rPr>
            </w:pPr>
          </w:p>
        </w:tc>
        <w:tc>
          <w:tcPr>
            <w:tcW w:w="852" w:type="dxa"/>
            <w:vAlign w:val="center"/>
          </w:tcPr>
          <w:p w14:paraId="76AE3AD0">
            <w:pPr>
              <w:shd w:val="clear" w:color="auto" w:fill="FFFFFF"/>
              <w:spacing w:line="340" w:lineRule="exact"/>
              <w:rPr>
                <w:rFonts w:ascii="宋体" w:hAnsi="宋体"/>
                <w:color w:val="auto"/>
                <w:sz w:val="24"/>
                <w:szCs w:val="24"/>
                <w:highlight w:val="none"/>
              </w:rPr>
            </w:pPr>
          </w:p>
        </w:tc>
        <w:tc>
          <w:tcPr>
            <w:tcW w:w="851" w:type="dxa"/>
            <w:vAlign w:val="center"/>
          </w:tcPr>
          <w:p w14:paraId="6E382C9D">
            <w:pPr>
              <w:shd w:val="clear" w:color="auto" w:fill="FFFFFF"/>
              <w:spacing w:line="340" w:lineRule="exact"/>
              <w:rPr>
                <w:rFonts w:ascii="宋体" w:hAnsi="宋体"/>
                <w:color w:val="auto"/>
                <w:sz w:val="24"/>
                <w:szCs w:val="24"/>
                <w:highlight w:val="none"/>
              </w:rPr>
            </w:pPr>
          </w:p>
        </w:tc>
        <w:tc>
          <w:tcPr>
            <w:tcW w:w="792" w:type="dxa"/>
            <w:vAlign w:val="center"/>
          </w:tcPr>
          <w:p w14:paraId="14138253">
            <w:pPr>
              <w:shd w:val="clear" w:color="auto" w:fill="FFFFFF"/>
              <w:spacing w:line="340" w:lineRule="exact"/>
              <w:rPr>
                <w:rFonts w:ascii="宋体" w:hAnsi="宋体"/>
                <w:color w:val="auto"/>
                <w:sz w:val="24"/>
                <w:szCs w:val="24"/>
                <w:highlight w:val="none"/>
              </w:rPr>
            </w:pPr>
          </w:p>
        </w:tc>
      </w:tr>
      <w:tr w14:paraId="57C5A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02" w:type="dxa"/>
            <w:vAlign w:val="center"/>
          </w:tcPr>
          <w:p w14:paraId="0C879E82">
            <w:pPr>
              <w:shd w:val="clear" w:color="auto" w:fill="auto"/>
              <w:spacing w:line="340" w:lineRule="exact"/>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w:t>
            </w:r>
          </w:p>
        </w:tc>
        <w:tc>
          <w:tcPr>
            <w:tcW w:w="5780" w:type="dxa"/>
            <w:vAlign w:val="center"/>
          </w:tcPr>
          <w:p w14:paraId="1D7921A1">
            <w:pPr>
              <w:shd w:val="clear" w:color="auto" w:fill="auto"/>
              <w:spacing w:line="340" w:lineRule="exact"/>
              <w:rPr>
                <w:rFonts w:hint="eastAsia" w:ascii="宋体" w:hAnsi="宋体"/>
                <w:bCs/>
                <w:kern w:val="2"/>
                <w:sz w:val="24"/>
                <w:szCs w:val="24"/>
                <w:highlight w:val="none"/>
                <w:lang w:val="en-US" w:eastAsia="zh-CN" w:bidi="ar-SA"/>
              </w:rPr>
            </w:pPr>
            <w:r>
              <w:rPr>
                <w:rFonts w:hint="eastAsia" w:ascii="宋体" w:hAnsi="宋体"/>
                <w:bCs/>
                <w:sz w:val="24"/>
                <w:szCs w:val="24"/>
                <w:highlight w:val="none"/>
              </w:rPr>
              <w:t>供应商须是中华人民共和国境内注册，具有有效的营业执照；</w:t>
            </w:r>
          </w:p>
        </w:tc>
        <w:tc>
          <w:tcPr>
            <w:tcW w:w="854" w:type="dxa"/>
            <w:vAlign w:val="center"/>
          </w:tcPr>
          <w:p w14:paraId="72E074D8">
            <w:pPr>
              <w:shd w:val="clear" w:color="auto" w:fill="FFFFFF"/>
              <w:spacing w:line="340" w:lineRule="exact"/>
              <w:rPr>
                <w:rFonts w:ascii="宋体" w:hAnsi="宋体"/>
                <w:color w:val="auto"/>
                <w:sz w:val="24"/>
                <w:szCs w:val="24"/>
                <w:highlight w:val="none"/>
              </w:rPr>
            </w:pPr>
          </w:p>
        </w:tc>
        <w:tc>
          <w:tcPr>
            <w:tcW w:w="852" w:type="dxa"/>
            <w:vAlign w:val="center"/>
          </w:tcPr>
          <w:p w14:paraId="32A60D81">
            <w:pPr>
              <w:shd w:val="clear" w:color="auto" w:fill="FFFFFF"/>
              <w:spacing w:line="340" w:lineRule="exact"/>
              <w:rPr>
                <w:rFonts w:ascii="宋体" w:hAnsi="宋体"/>
                <w:color w:val="auto"/>
                <w:sz w:val="24"/>
                <w:szCs w:val="24"/>
                <w:highlight w:val="none"/>
              </w:rPr>
            </w:pPr>
          </w:p>
        </w:tc>
        <w:tc>
          <w:tcPr>
            <w:tcW w:w="851" w:type="dxa"/>
            <w:vAlign w:val="center"/>
          </w:tcPr>
          <w:p w14:paraId="6282C548">
            <w:pPr>
              <w:shd w:val="clear" w:color="auto" w:fill="FFFFFF"/>
              <w:spacing w:line="340" w:lineRule="exact"/>
              <w:rPr>
                <w:rFonts w:ascii="宋体" w:hAnsi="宋体"/>
                <w:color w:val="auto"/>
                <w:sz w:val="24"/>
                <w:szCs w:val="24"/>
                <w:highlight w:val="none"/>
              </w:rPr>
            </w:pPr>
          </w:p>
        </w:tc>
        <w:tc>
          <w:tcPr>
            <w:tcW w:w="792" w:type="dxa"/>
            <w:vAlign w:val="center"/>
          </w:tcPr>
          <w:p w14:paraId="0A283D0F">
            <w:pPr>
              <w:shd w:val="clear" w:color="auto" w:fill="FFFFFF"/>
              <w:spacing w:line="340" w:lineRule="exact"/>
              <w:rPr>
                <w:rFonts w:ascii="宋体" w:hAnsi="宋体"/>
                <w:color w:val="auto"/>
                <w:sz w:val="24"/>
                <w:szCs w:val="24"/>
                <w:highlight w:val="none"/>
              </w:rPr>
            </w:pPr>
          </w:p>
        </w:tc>
      </w:tr>
      <w:tr w14:paraId="106C9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02" w:type="dxa"/>
            <w:vAlign w:val="center"/>
          </w:tcPr>
          <w:p w14:paraId="578A98D3">
            <w:pPr>
              <w:shd w:val="clear" w:color="auto" w:fill="auto"/>
              <w:spacing w:line="340" w:lineRule="exact"/>
              <w:jc w:val="center"/>
              <w:rPr>
                <w:rFonts w:hint="eastAsia"/>
                <w:highlight w:val="none"/>
                <w:lang w:val="en-US" w:eastAsia="zh-CN"/>
              </w:rPr>
            </w:pPr>
            <w:r>
              <w:rPr>
                <w:rFonts w:hint="eastAsia" w:ascii="宋体" w:hAnsi="宋体"/>
                <w:color w:val="auto"/>
                <w:sz w:val="24"/>
                <w:szCs w:val="24"/>
                <w:highlight w:val="none"/>
                <w:lang w:val="en-US" w:eastAsia="zh-CN"/>
              </w:rPr>
              <w:t>3</w:t>
            </w:r>
          </w:p>
        </w:tc>
        <w:tc>
          <w:tcPr>
            <w:tcW w:w="5780" w:type="dxa"/>
            <w:vAlign w:val="center"/>
          </w:tcPr>
          <w:p w14:paraId="73F67BB0">
            <w:pPr>
              <w:pStyle w:val="12"/>
              <w:numPr>
                <w:ilvl w:val="0"/>
                <w:numId w:val="0"/>
              </w:numPr>
              <w:shd w:val="clear" w:color="auto" w:fill="auto"/>
              <w:spacing w:line="240" w:lineRule="auto"/>
              <w:ind w:left="0" w:leftChars="0" w:firstLine="0" w:firstLineChars="0"/>
              <w:rPr>
                <w:rFonts w:hint="eastAsia" w:ascii="宋体" w:hAnsi="宋体"/>
                <w:bCs/>
                <w:sz w:val="24"/>
                <w:szCs w:val="24"/>
                <w:highlight w:val="none"/>
              </w:rPr>
            </w:pPr>
            <w:r>
              <w:rPr>
                <w:rFonts w:hint="eastAsia" w:ascii="宋体" w:hAnsi="宋体" w:eastAsia="宋体" w:cs="宋体"/>
                <w:sz w:val="24"/>
                <w:szCs w:val="24"/>
                <w:highlight w:val="none"/>
                <w:lang w:val="en-US" w:eastAsia="zh-CN"/>
              </w:rPr>
              <w:t>供应商须具备电力工程施工总承包三级(含)以上或者输变电工程专业承包三级(含)以上资质；</w:t>
            </w:r>
          </w:p>
        </w:tc>
        <w:tc>
          <w:tcPr>
            <w:tcW w:w="854" w:type="dxa"/>
            <w:vAlign w:val="center"/>
          </w:tcPr>
          <w:p w14:paraId="19992795">
            <w:pPr>
              <w:shd w:val="clear" w:color="auto" w:fill="FFFFFF"/>
              <w:spacing w:line="340" w:lineRule="exact"/>
              <w:rPr>
                <w:rFonts w:ascii="宋体" w:hAnsi="宋体"/>
                <w:color w:val="auto"/>
                <w:sz w:val="24"/>
                <w:szCs w:val="24"/>
                <w:highlight w:val="none"/>
              </w:rPr>
            </w:pPr>
          </w:p>
        </w:tc>
        <w:tc>
          <w:tcPr>
            <w:tcW w:w="852" w:type="dxa"/>
            <w:vAlign w:val="center"/>
          </w:tcPr>
          <w:p w14:paraId="6FDDB858">
            <w:pPr>
              <w:shd w:val="clear" w:color="auto" w:fill="FFFFFF"/>
              <w:spacing w:line="340" w:lineRule="exact"/>
              <w:rPr>
                <w:rFonts w:ascii="宋体" w:hAnsi="宋体"/>
                <w:color w:val="auto"/>
                <w:sz w:val="24"/>
                <w:szCs w:val="24"/>
                <w:highlight w:val="none"/>
              </w:rPr>
            </w:pPr>
          </w:p>
        </w:tc>
        <w:tc>
          <w:tcPr>
            <w:tcW w:w="851" w:type="dxa"/>
            <w:vAlign w:val="center"/>
          </w:tcPr>
          <w:p w14:paraId="447F32AB">
            <w:pPr>
              <w:shd w:val="clear" w:color="auto" w:fill="FFFFFF"/>
              <w:spacing w:line="340" w:lineRule="exact"/>
              <w:rPr>
                <w:rFonts w:ascii="宋体" w:hAnsi="宋体"/>
                <w:color w:val="auto"/>
                <w:sz w:val="24"/>
                <w:szCs w:val="24"/>
                <w:highlight w:val="none"/>
              </w:rPr>
            </w:pPr>
          </w:p>
        </w:tc>
        <w:tc>
          <w:tcPr>
            <w:tcW w:w="792" w:type="dxa"/>
            <w:vAlign w:val="center"/>
          </w:tcPr>
          <w:p w14:paraId="54AE1CEB">
            <w:pPr>
              <w:shd w:val="clear" w:color="auto" w:fill="FFFFFF"/>
              <w:spacing w:line="340" w:lineRule="exact"/>
              <w:rPr>
                <w:rFonts w:ascii="宋体" w:hAnsi="宋体"/>
                <w:color w:val="auto"/>
                <w:sz w:val="24"/>
                <w:szCs w:val="24"/>
                <w:highlight w:val="none"/>
              </w:rPr>
            </w:pPr>
          </w:p>
        </w:tc>
      </w:tr>
      <w:tr w14:paraId="5BD5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02" w:type="dxa"/>
            <w:vAlign w:val="center"/>
          </w:tcPr>
          <w:p w14:paraId="081CF1D0">
            <w:pPr>
              <w:shd w:val="clear" w:color="auto" w:fill="auto"/>
              <w:spacing w:line="340" w:lineRule="exact"/>
              <w:jc w:val="center"/>
              <w:rPr>
                <w:rFonts w:hint="eastAsia"/>
                <w:highlight w:val="none"/>
                <w:lang w:val="en-US" w:eastAsia="zh-CN"/>
              </w:rPr>
            </w:pPr>
            <w:r>
              <w:rPr>
                <w:rFonts w:hint="eastAsia" w:ascii="宋体" w:hAnsi="宋体"/>
                <w:color w:val="auto"/>
                <w:sz w:val="24"/>
                <w:szCs w:val="24"/>
                <w:highlight w:val="none"/>
                <w:lang w:val="en-US" w:eastAsia="zh-CN"/>
              </w:rPr>
              <w:t>4</w:t>
            </w:r>
          </w:p>
        </w:tc>
        <w:tc>
          <w:tcPr>
            <w:tcW w:w="5780" w:type="dxa"/>
            <w:vAlign w:val="center"/>
          </w:tcPr>
          <w:p w14:paraId="3CCDB581">
            <w:pPr>
              <w:shd w:val="clear" w:color="auto" w:fill="auto"/>
              <w:spacing w:line="340" w:lineRule="exact"/>
              <w:jc w:val="left"/>
              <w:rPr>
                <w:rFonts w:hint="eastAsia" w:ascii="宋体" w:hAnsi="宋体"/>
                <w:bCs/>
                <w:sz w:val="24"/>
                <w:szCs w:val="24"/>
                <w:highlight w:val="none"/>
              </w:rPr>
            </w:pPr>
            <w:r>
              <w:rPr>
                <w:rFonts w:hint="eastAsia" w:ascii="宋体" w:hAnsi="宋体" w:eastAsia="宋体" w:cs="Times New Roman"/>
                <w:color w:val="auto"/>
                <w:sz w:val="24"/>
                <w:szCs w:val="24"/>
                <w:highlight w:val="none"/>
                <w:lang w:val="en-US" w:eastAsia="zh-CN"/>
              </w:rPr>
              <w:t>供应商须提供有效的安全生产许可证；</w:t>
            </w:r>
          </w:p>
        </w:tc>
        <w:tc>
          <w:tcPr>
            <w:tcW w:w="854" w:type="dxa"/>
            <w:vAlign w:val="center"/>
          </w:tcPr>
          <w:p w14:paraId="1BD6C831">
            <w:pPr>
              <w:shd w:val="clear" w:color="auto" w:fill="FFFFFF"/>
              <w:spacing w:line="340" w:lineRule="exact"/>
              <w:rPr>
                <w:rFonts w:ascii="宋体" w:hAnsi="宋体"/>
                <w:color w:val="auto"/>
                <w:sz w:val="24"/>
                <w:szCs w:val="24"/>
                <w:highlight w:val="none"/>
              </w:rPr>
            </w:pPr>
          </w:p>
        </w:tc>
        <w:tc>
          <w:tcPr>
            <w:tcW w:w="852" w:type="dxa"/>
            <w:vAlign w:val="center"/>
          </w:tcPr>
          <w:p w14:paraId="021E921C">
            <w:pPr>
              <w:shd w:val="clear" w:color="auto" w:fill="FFFFFF"/>
              <w:spacing w:line="340" w:lineRule="exact"/>
              <w:rPr>
                <w:rFonts w:ascii="宋体" w:hAnsi="宋体"/>
                <w:color w:val="auto"/>
                <w:sz w:val="24"/>
                <w:szCs w:val="24"/>
                <w:highlight w:val="none"/>
              </w:rPr>
            </w:pPr>
          </w:p>
        </w:tc>
        <w:tc>
          <w:tcPr>
            <w:tcW w:w="851" w:type="dxa"/>
            <w:vAlign w:val="center"/>
          </w:tcPr>
          <w:p w14:paraId="0AC267BD">
            <w:pPr>
              <w:shd w:val="clear" w:color="auto" w:fill="FFFFFF"/>
              <w:spacing w:line="340" w:lineRule="exact"/>
              <w:rPr>
                <w:rFonts w:ascii="宋体" w:hAnsi="宋体"/>
                <w:color w:val="auto"/>
                <w:sz w:val="24"/>
                <w:szCs w:val="24"/>
                <w:highlight w:val="none"/>
              </w:rPr>
            </w:pPr>
          </w:p>
        </w:tc>
        <w:tc>
          <w:tcPr>
            <w:tcW w:w="792" w:type="dxa"/>
            <w:vAlign w:val="center"/>
          </w:tcPr>
          <w:p w14:paraId="4DF93D85">
            <w:pPr>
              <w:shd w:val="clear" w:color="auto" w:fill="FFFFFF"/>
              <w:spacing w:line="340" w:lineRule="exact"/>
              <w:rPr>
                <w:rFonts w:ascii="宋体" w:hAnsi="宋体"/>
                <w:color w:val="auto"/>
                <w:sz w:val="24"/>
                <w:szCs w:val="24"/>
                <w:highlight w:val="none"/>
              </w:rPr>
            </w:pPr>
          </w:p>
        </w:tc>
      </w:tr>
      <w:tr w14:paraId="29F29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02" w:type="dxa"/>
            <w:vAlign w:val="center"/>
          </w:tcPr>
          <w:p w14:paraId="146403B1">
            <w:pPr>
              <w:shd w:val="clear" w:color="auto" w:fill="auto"/>
              <w:spacing w:line="340" w:lineRule="exact"/>
              <w:jc w:val="center"/>
              <w:rPr>
                <w:rFonts w:hint="eastAsia"/>
                <w:highlight w:val="none"/>
                <w:lang w:val="en-US" w:eastAsia="zh-CN"/>
              </w:rPr>
            </w:pPr>
            <w:r>
              <w:rPr>
                <w:rFonts w:hint="eastAsia" w:ascii="宋体" w:hAnsi="宋体"/>
                <w:color w:val="auto"/>
                <w:sz w:val="24"/>
                <w:szCs w:val="24"/>
                <w:highlight w:val="none"/>
                <w:lang w:val="en-US" w:eastAsia="zh-CN"/>
              </w:rPr>
              <w:t>5</w:t>
            </w:r>
          </w:p>
        </w:tc>
        <w:tc>
          <w:tcPr>
            <w:tcW w:w="5780" w:type="dxa"/>
            <w:vAlign w:val="center"/>
          </w:tcPr>
          <w:p w14:paraId="05E6B6D2">
            <w:pPr>
              <w:shd w:val="clear" w:color="auto" w:fill="auto"/>
              <w:spacing w:line="340" w:lineRule="exact"/>
              <w:jc w:val="left"/>
              <w:rPr>
                <w:rFonts w:hint="eastAsia" w:ascii="宋体" w:hAnsi="宋体"/>
                <w:bCs/>
                <w:sz w:val="24"/>
                <w:szCs w:val="24"/>
                <w:highlight w:val="none"/>
              </w:rPr>
            </w:pPr>
            <w:r>
              <w:rPr>
                <w:rFonts w:hint="eastAsia" w:ascii="宋体" w:hAnsi="宋体" w:eastAsia="宋体" w:cs="宋体"/>
                <w:sz w:val="24"/>
                <w:szCs w:val="24"/>
                <w:highlight w:val="none"/>
                <w:lang w:val="en-US" w:eastAsia="zh-CN"/>
              </w:rPr>
              <w:t>供应商拟派项目经理须具备机电专业二级及以上资格，具有有效的安全生产考核合格证书，且未担任其他在施建设工程项目的项目经理；并在人员、设备、资金等方面具有相应的施工能力；</w:t>
            </w:r>
          </w:p>
        </w:tc>
        <w:tc>
          <w:tcPr>
            <w:tcW w:w="854" w:type="dxa"/>
            <w:vAlign w:val="center"/>
          </w:tcPr>
          <w:p w14:paraId="04DDD99D">
            <w:pPr>
              <w:shd w:val="clear" w:color="auto" w:fill="FFFFFF"/>
              <w:spacing w:line="340" w:lineRule="exact"/>
              <w:rPr>
                <w:rFonts w:ascii="宋体" w:hAnsi="宋体"/>
                <w:color w:val="auto"/>
                <w:sz w:val="24"/>
                <w:szCs w:val="24"/>
                <w:highlight w:val="none"/>
              </w:rPr>
            </w:pPr>
          </w:p>
        </w:tc>
        <w:tc>
          <w:tcPr>
            <w:tcW w:w="852" w:type="dxa"/>
            <w:vAlign w:val="center"/>
          </w:tcPr>
          <w:p w14:paraId="435181D7">
            <w:pPr>
              <w:shd w:val="clear" w:color="auto" w:fill="FFFFFF"/>
              <w:spacing w:line="340" w:lineRule="exact"/>
              <w:rPr>
                <w:rFonts w:ascii="宋体" w:hAnsi="宋体"/>
                <w:color w:val="auto"/>
                <w:sz w:val="24"/>
                <w:szCs w:val="24"/>
                <w:highlight w:val="none"/>
              </w:rPr>
            </w:pPr>
          </w:p>
        </w:tc>
        <w:tc>
          <w:tcPr>
            <w:tcW w:w="851" w:type="dxa"/>
            <w:vAlign w:val="center"/>
          </w:tcPr>
          <w:p w14:paraId="0F26D380">
            <w:pPr>
              <w:shd w:val="clear" w:color="auto" w:fill="FFFFFF"/>
              <w:spacing w:line="340" w:lineRule="exact"/>
              <w:rPr>
                <w:rFonts w:ascii="宋体" w:hAnsi="宋体"/>
                <w:color w:val="auto"/>
                <w:sz w:val="24"/>
                <w:szCs w:val="24"/>
                <w:highlight w:val="none"/>
              </w:rPr>
            </w:pPr>
          </w:p>
        </w:tc>
        <w:tc>
          <w:tcPr>
            <w:tcW w:w="792" w:type="dxa"/>
            <w:vAlign w:val="center"/>
          </w:tcPr>
          <w:p w14:paraId="0322308F">
            <w:pPr>
              <w:shd w:val="clear" w:color="auto" w:fill="FFFFFF"/>
              <w:spacing w:line="340" w:lineRule="exact"/>
              <w:rPr>
                <w:rFonts w:ascii="宋体" w:hAnsi="宋体"/>
                <w:color w:val="auto"/>
                <w:sz w:val="24"/>
                <w:szCs w:val="24"/>
                <w:highlight w:val="none"/>
              </w:rPr>
            </w:pPr>
          </w:p>
        </w:tc>
      </w:tr>
      <w:tr w14:paraId="32602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02" w:type="dxa"/>
            <w:vAlign w:val="center"/>
          </w:tcPr>
          <w:p w14:paraId="15C3C683">
            <w:pPr>
              <w:shd w:val="clear" w:color="auto" w:fill="auto"/>
              <w:spacing w:line="340" w:lineRule="exact"/>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6</w:t>
            </w:r>
          </w:p>
        </w:tc>
        <w:tc>
          <w:tcPr>
            <w:tcW w:w="5780" w:type="dxa"/>
            <w:vAlign w:val="center"/>
          </w:tcPr>
          <w:p w14:paraId="5B277090">
            <w:pPr>
              <w:shd w:val="clear" w:color="auto" w:fill="auto"/>
              <w:spacing w:line="340" w:lineRule="exact"/>
              <w:jc w:val="left"/>
              <w:rPr>
                <w:rFonts w:hint="eastAsia" w:ascii="宋体" w:hAnsi="宋体" w:eastAsia="宋体"/>
                <w:bCs/>
                <w:kern w:val="2"/>
                <w:sz w:val="24"/>
                <w:szCs w:val="24"/>
                <w:highlight w:val="none"/>
                <w:lang w:val="en-US" w:eastAsia="zh-CN" w:bidi="ar-SA"/>
              </w:rPr>
            </w:pPr>
            <w:r>
              <w:rPr>
                <w:rFonts w:hint="eastAsia" w:ascii="宋体" w:hAnsi="宋体"/>
                <w:bCs/>
                <w:sz w:val="24"/>
                <w:szCs w:val="24"/>
                <w:highlight w:val="none"/>
              </w:rPr>
              <w:t>供应商不得为“信用中国网站（www.creditchina.gov.cn）中列入失信被执行人和税收违法黑名单的供应商，不得为中国政府采购网（www.ccgp.gov.cn）政府采购严重违法失信行为记录名单中被财政部门禁止参加政府采购活动的供应商</w:t>
            </w:r>
            <w:r>
              <w:rPr>
                <w:rFonts w:hint="eastAsia" w:ascii="宋体" w:hAnsi="宋体"/>
                <w:bCs/>
                <w:sz w:val="24"/>
                <w:szCs w:val="24"/>
                <w:highlight w:val="none"/>
                <w:lang w:eastAsia="zh-CN"/>
              </w:rPr>
              <w:t>。</w:t>
            </w:r>
          </w:p>
        </w:tc>
        <w:tc>
          <w:tcPr>
            <w:tcW w:w="854" w:type="dxa"/>
            <w:vAlign w:val="center"/>
          </w:tcPr>
          <w:p w14:paraId="4C9BDD48">
            <w:pPr>
              <w:shd w:val="clear" w:color="auto" w:fill="FFFFFF"/>
              <w:spacing w:line="340" w:lineRule="exact"/>
              <w:rPr>
                <w:rFonts w:ascii="宋体" w:hAnsi="宋体"/>
                <w:color w:val="auto"/>
                <w:sz w:val="24"/>
                <w:szCs w:val="24"/>
                <w:highlight w:val="none"/>
              </w:rPr>
            </w:pPr>
          </w:p>
        </w:tc>
        <w:tc>
          <w:tcPr>
            <w:tcW w:w="852" w:type="dxa"/>
            <w:vAlign w:val="center"/>
          </w:tcPr>
          <w:p w14:paraId="0C7ADF20">
            <w:pPr>
              <w:shd w:val="clear" w:color="auto" w:fill="FFFFFF"/>
              <w:spacing w:line="340" w:lineRule="exact"/>
              <w:rPr>
                <w:rFonts w:ascii="宋体" w:hAnsi="宋体"/>
                <w:color w:val="auto"/>
                <w:sz w:val="24"/>
                <w:szCs w:val="24"/>
                <w:highlight w:val="none"/>
              </w:rPr>
            </w:pPr>
          </w:p>
        </w:tc>
        <w:tc>
          <w:tcPr>
            <w:tcW w:w="851" w:type="dxa"/>
            <w:vAlign w:val="center"/>
          </w:tcPr>
          <w:p w14:paraId="7B41AA32">
            <w:pPr>
              <w:shd w:val="clear" w:color="auto" w:fill="FFFFFF"/>
              <w:spacing w:line="340" w:lineRule="exact"/>
              <w:rPr>
                <w:rFonts w:ascii="宋体" w:hAnsi="宋体"/>
                <w:color w:val="auto"/>
                <w:sz w:val="24"/>
                <w:szCs w:val="24"/>
                <w:highlight w:val="none"/>
              </w:rPr>
            </w:pPr>
          </w:p>
        </w:tc>
        <w:tc>
          <w:tcPr>
            <w:tcW w:w="792" w:type="dxa"/>
            <w:vAlign w:val="center"/>
          </w:tcPr>
          <w:p w14:paraId="434226E2">
            <w:pPr>
              <w:shd w:val="clear" w:color="auto" w:fill="FFFFFF"/>
              <w:spacing w:line="340" w:lineRule="exact"/>
              <w:rPr>
                <w:rFonts w:ascii="宋体" w:hAnsi="宋体"/>
                <w:color w:val="auto"/>
                <w:sz w:val="24"/>
                <w:szCs w:val="24"/>
                <w:highlight w:val="none"/>
              </w:rPr>
            </w:pPr>
          </w:p>
        </w:tc>
      </w:tr>
      <w:tr w14:paraId="4CC2D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02" w:type="dxa"/>
            <w:vAlign w:val="center"/>
          </w:tcPr>
          <w:p w14:paraId="293EC9D6">
            <w:pPr>
              <w:shd w:val="clear" w:color="auto" w:fill="auto"/>
              <w:spacing w:line="340" w:lineRule="exact"/>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7</w:t>
            </w:r>
          </w:p>
        </w:tc>
        <w:tc>
          <w:tcPr>
            <w:tcW w:w="5780" w:type="dxa"/>
            <w:vAlign w:val="center"/>
          </w:tcPr>
          <w:p w14:paraId="4BECD32A">
            <w:pPr>
              <w:shd w:val="clear" w:color="auto" w:fill="auto"/>
              <w:spacing w:line="340" w:lineRule="exact"/>
              <w:jc w:val="left"/>
              <w:rPr>
                <w:rFonts w:hint="default" w:ascii="宋体" w:hAnsi="宋体" w:eastAsia="宋体"/>
                <w:bCs/>
                <w:sz w:val="24"/>
                <w:szCs w:val="24"/>
                <w:highlight w:val="none"/>
                <w:lang w:val="en-US" w:eastAsia="zh-CN"/>
              </w:rPr>
            </w:pPr>
            <w:r>
              <w:rPr>
                <w:rFonts w:hint="eastAsia" w:ascii="宋体" w:hAnsi="宋体" w:eastAsia="宋体"/>
                <w:bCs/>
                <w:sz w:val="24"/>
                <w:szCs w:val="24"/>
                <w:highlight w:val="none"/>
                <w:lang w:val="en-US" w:eastAsia="zh-CN"/>
              </w:rPr>
              <w:t>本项目专门面向中小微企业</w:t>
            </w:r>
          </w:p>
        </w:tc>
        <w:tc>
          <w:tcPr>
            <w:tcW w:w="854" w:type="dxa"/>
            <w:vAlign w:val="center"/>
          </w:tcPr>
          <w:p w14:paraId="0BE375D3">
            <w:pPr>
              <w:shd w:val="clear" w:color="auto" w:fill="FFFFFF"/>
              <w:spacing w:line="340" w:lineRule="exact"/>
              <w:rPr>
                <w:rFonts w:ascii="宋体" w:hAnsi="宋体"/>
                <w:color w:val="auto"/>
                <w:sz w:val="24"/>
                <w:szCs w:val="24"/>
                <w:highlight w:val="none"/>
              </w:rPr>
            </w:pPr>
          </w:p>
        </w:tc>
        <w:tc>
          <w:tcPr>
            <w:tcW w:w="852" w:type="dxa"/>
            <w:vAlign w:val="center"/>
          </w:tcPr>
          <w:p w14:paraId="4151E066">
            <w:pPr>
              <w:shd w:val="clear" w:color="auto" w:fill="FFFFFF"/>
              <w:spacing w:line="340" w:lineRule="exact"/>
              <w:rPr>
                <w:rFonts w:ascii="宋体" w:hAnsi="宋体"/>
                <w:color w:val="auto"/>
                <w:sz w:val="24"/>
                <w:szCs w:val="24"/>
                <w:highlight w:val="none"/>
              </w:rPr>
            </w:pPr>
          </w:p>
        </w:tc>
        <w:tc>
          <w:tcPr>
            <w:tcW w:w="851" w:type="dxa"/>
            <w:vAlign w:val="center"/>
          </w:tcPr>
          <w:p w14:paraId="1AA5C5C0">
            <w:pPr>
              <w:shd w:val="clear" w:color="auto" w:fill="FFFFFF"/>
              <w:spacing w:line="340" w:lineRule="exact"/>
              <w:rPr>
                <w:rFonts w:ascii="宋体" w:hAnsi="宋体"/>
                <w:color w:val="auto"/>
                <w:sz w:val="24"/>
                <w:szCs w:val="24"/>
                <w:highlight w:val="none"/>
              </w:rPr>
            </w:pPr>
          </w:p>
        </w:tc>
        <w:tc>
          <w:tcPr>
            <w:tcW w:w="792" w:type="dxa"/>
            <w:vAlign w:val="center"/>
          </w:tcPr>
          <w:p w14:paraId="69425E2F">
            <w:pPr>
              <w:shd w:val="clear" w:color="auto" w:fill="FFFFFF"/>
              <w:spacing w:line="340" w:lineRule="exact"/>
              <w:rPr>
                <w:rFonts w:ascii="宋体" w:hAnsi="宋体"/>
                <w:color w:val="auto"/>
                <w:sz w:val="24"/>
                <w:szCs w:val="24"/>
                <w:highlight w:val="none"/>
              </w:rPr>
            </w:pPr>
          </w:p>
        </w:tc>
      </w:tr>
      <w:tr w14:paraId="6CF6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6482" w:type="dxa"/>
            <w:gridSpan w:val="2"/>
            <w:vAlign w:val="center"/>
          </w:tcPr>
          <w:p w14:paraId="5C4273FE">
            <w:pPr>
              <w:shd w:val="clear" w:color="auto" w:fill="FFFFFF"/>
              <w:spacing w:line="340" w:lineRule="exact"/>
              <w:rPr>
                <w:rFonts w:ascii="宋体" w:hAnsi="宋体"/>
                <w:b/>
                <w:color w:val="auto"/>
                <w:sz w:val="24"/>
                <w:szCs w:val="24"/>
                <w:highlight w:val="none"/>
              </w:rPr>
            </w:pPr>
            <w:r>
              <w:rPr>
                <w:rFonts w:hint="eastAsia" w:ascii="宋体" w:hAnsi="宋体"/>
                <w:color w:val="auto"/>
                <w:sz w:val="24"/>
                <w:szCs w:val="24"/>
                <w:highlight w:val="none"/>
              </w:rPr>
              <w:t>结论：是否通过</w:t>
            </w:r>
            <w:r>
              <w:rPr>
                <w:rFonts w:hint="eastAsia" w:ascii="宋体"/>
                <w:sz w:val="24"/>
                <w:highlight w:val="none"/>
              </w:rPr>
              <w:t>评审</w:t>
            </w:r>
          </w:p>
        </w:tc>
        <w:tc>
          <w:tcPr>
            <w:tcW w:w="854" w:type="dxa"/>
            <w:vAlign w:val="center"/>
          </w:tcPr>
          <w:p w14:paraId="5A379D30">
            <w:pPr>
              <w:shd w:val="clear" w:color="auto" w:fill="FFFFFF"/>
              <w:spacing w:line="340" w:lineRule="exact"/>
              <w:rPr>
                <w:rFonts w:hint="eastAsia" w:ascii="宋体" w:hAnsi="宋体"/>
                <w:color w:val="auto"/>
                <w:sz w:val="24"/>
                <w:szCs w:val="24"/>
                <w:highlight w:val="none"/>
              </w:rPr>
            </w:pPr>
          </w:p>
        </w:tc>
        <w:tc>
          <w:tcPr>
            <w:tcW w:w="852" w:type="dxa"/>
            <w:vAlign w:val="center"/>
          </w:tcPr>
          <w:p w14:paraId="2064CD72">
            <w:pPr>
              <w:shd w:val="clear" w:color="auto" w:fill="FFFFFF"/>
              <w:spacing w:line="340" w:lineRule="exact"/>
              <w:rPr>
                <w:rFonts w:hint="eastAsia" w:ascii="宋体" w:hAnsi="宋体"/>
                <w:color w:val="auto"/>
                <w:sz w:val="24"/>
                <w:szCs w:val="24"/>
                <w:highlight w:val="none"/>
              </w:rPr>
            </w:pPr>
          </w:p>
        </w:tc>
        <w:tc>
          <w:tcPr>
            <w:tcW w:w="851" w:type="dxa"/>
            <w:vAlign w:val="center"/>
          </w:tcPr>
          <w:p w14:paraId="052656C4">
            <w:pPr>
              <w:shd w:val="clear" w:color="auto" w:fill="FFFFFF"/>
              <w:spacing w:line="340" w:lineRule="exact"/>
              <w:rPr>
                <w:rFonts w:hint="eastAsia" w:ascii="宋体" w:hAnsi="宋体"/>
                <w:color w:val="auto"/>
                <w:sz w:val="24"/>
                <w:szCs w:val="24"/>
                <w:highlight w:val="none"/>
              </w:rPr>
            </w:pPr>
          </w:p>
        </w:tc>
        <w:tc>
          <w:tcPr>
            <w:tcW w:w="792" w:type="dxa"/>
            <w:vAlign w:val="center"/>
          </w:tcPr>
          <w:p w14:paraId="1BAE9190">
            <w:pPr>
              <w:shd w:val="clear" w:color="auto" w:fill="FFFFFF"/>
              <w:spacing w:line="340" w:lineRule="exact"/>
              <w:rPr>
                <w:rFonts w:hint="eastAsia" w:ascii="宋体" w:hAnsi="宋体"/>
                <w:color w:val="auto"/>
                <w:sz w:val="24"/>
                <w:szCs w:val="24"/>
                <w:highlight w:val="none"/>
              </w:rPr>
            </w:pPr>
          </w:p>
        </w:tc>
      </w:tr>
      <w:tr w14:paraId="7AB9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0" w:hRule="atLeast"/>
          <w:jc w:val="center"/>
        </w:trPr>
        <w:tc>
          <w:tcPr>
            <w:tcW w:w="9831" w:type="dxa"/>
            <w:gridSpan w:val="6"/>
            <w:vAlign w:val="center"/>
          </w:tcPr>
          <w:p w14:paraId="304A6505">
            <w:pPr>
              <w:shd w:val="clear" w:color="auto" w:fill="FFFFFF"/>
              <w:spacing w:line="340" w:lineRule="exact"/>
              <w:rPr>
                <w:rFonts w:ascii="宋体" w:hAnsi="宋体"/>
                <w:b/>
                <w:color w:val="auto"/>
                <w:sz w:val="24"/>
                <w:szCs w:val="24"/>
                <w:highlight w:val="none"/>
              </w:rPr>
            </w:pPr>
            <w:r>
              <w:rPr>
                <w:rFonts w:hint="eastAsia" w:ascii="宋体" w:hAnsi="宋体"/>
                <w:color w:val="auto"/>
                <w:sz w:val="24"/>
                <w:szCs w:val="24"/>
                <w:highlight w:val="none"/>
              </w:rPr>
              <w:t>备注：如果</w:t>
            </w:r>
            <w:r>
              <w:rPr>
                <w:rFonts w:hint="eastAsia" w:ascii="宋体" w:hAnsi="宋体"/>
                <w:color w:val="auto"/>
                <w:sz w:val="24"/>
                <w:szCs w:val="24"/>
                <w:highlight w:val="none"/>
                <w:lang w:val="en-US" w:eastAsia="zh-CN"/>
              </w:rPr>
              <w:t>响应文件</w:t>
            </w:r>
            <w:r>
              <w:rPr>
                <w:rFonts w:hint="eastAsia" w:ascii="宋体" w:hAnsi="宋体"/>
                <w:color w:val="auto"/>
                <w:sz w:val="24"/>
                <w:szCs w:val="24"/>
                <w:highlight w:val="none"/>
              </w:rPr>
              <w:t>中有一项未通过上述审查标准，</w:t>
            </w:r>
            <w:r>
              <w:rPr>
                <w:rFonts w:hint="eastAsia" w:ascii="宋体" w:hAnsi="宋体"/>
                <w:color w:val="auto"/>
                <w:sz w:val="24"/>
                <w:szCs w:val="24"/>
                <w:highlight w:val="none"/>
                <w:lang w:eastAsia="zh-CN"/>
              </w:rPr>
              <w:t>评标委员会</w:t>
            </w:r>
            <w:r>
              <w:rPr>
                <w:rFonts w:hint="eastAsia" w:ascii="宋体" w:hAnsi="宋体"/>
                <w:color w:val="auto"/>
                <w:sz w:val="24"/>
                <w:szCs w:val="24"/>
                <w:highlight w:val="none"/>
              </w:rPr>
              <w:t>将认定整个</w:t>
            </w:r>
            <w:r>
              <w:rPr>
                <w:rFonts w:hint="eastAsia" w:ascii="宋体" w:hAnsi="宋体"/>
                <w:color w:val="auto"/>
                <w:sz w:val="24"/>
                <w:szCs w:val="24"/>
                <w:highlight w:val="none"/>
                <w:lang w:val="en-US" w:eastAsia="zh-CN"/>
              </w:rPr>
              <w:t>响应文件</w:t>
            </w:r>
            <w:r>
              <w:rPr>
                <w:rFonts w:hint="eastAsia" w:ascii="宋体" w:hAnsi="宋体"/>
                <w:color w:val="auto"/>
                <w:sz w:val="24"/>
                <w:szCs w:val="24"/>
                <w:highlight w:val="none"/>
              </w:rPr>
              <w:t>不响应</w:t>
            </w:r>
            <w:r>
              <w:rPr>
                <w:rFonts w:hint="eastAsia" w:ascii="宋体" w:hAnsi="宋体"/>
                <w:color w:val="auto"/>
                <w:sz w:val="24"/>
                <w:szCs w:val="24"/>
                <w:highlight w:val="none"/>
                <w:lang w:val="en-US" w:eastAsia="zh-CN"/>
              </w:rPr>
              <w:t>谈判文件</w:t>
            </w:r>
            <w:r>
              <w:rPr>
                <w:rFonts w:hint="eastAsia" w:ascii="宋体" w:hAnsi="宋体"/>
                <w:color w:val="auto"/>
                <w:sz w:val="24"/>
                <w:szCs w:val="24"/>
                <w:highlight w:val="none"/>
              </w:rPr>
              <w:t>而予以投标无效，并且不允许供应商通过修改或撤销其不符合要求的差异或保留，使之成为具有响应性的投标。通过审核的以“√”标记；未通过的以“×”标记，并予以说明。</w:t>
            </w:r>
          </w:p>
        </w:tc>
      </w:tr>
    </w:tbl>
    <w:p w14:paraId="6A87A0F6">
      <w:pPr>
        <w:keepNext w:val="0"/>
        <w:keepLines w:val="0"/>
        <w:pageBreakBefore/>
        <w:widowControl w:val="0"/>
        <w:kinsoku/>
        <w:wordWrap/>
        <w:overflowPunct/>
        <w:topLinePunct w:val="0"/>
        <w:autoSpaceDE/>
        <w:autoSpaceDN/>
        <w:bidi w:val="0"/>
        <w:adjustRightInd/>
        <w:snapToGrid w:val="0"/>
        <w:spacing w:line="440" w:lineRule="exact"/>
        <w:jc w:val="center"/>
        <w:textAlignment w:val="auto"/>
        <w:rPr>
          <w:rFonts w:hint="eastAsia" w:ascii="宋体" w:hAnsi="宋体"/>
          <w:b/>
          <w:bCs/>
          <w:color w:val="auto"/>
          <w:sz w:val="24"/>
          <w:szCs w:val="24"/>
          <w:highlight w:val="none"/>
        </w:rPr>
      </w:pPr>
      <w:r>
        <w:rPr>
          <w:rFonts w:hint="eastAsia" w:ascii="宋体" w:hAnsi="宋体"/>
          <w:b/>
          <w:bCs/>
          <w:color w:val="auto"/>
          <w:sz w:val="24"/>
          <w:szCs w:val="24"/>
          <w:highlight w:val="none"/>
        </w:rPr>
        <w:t>符合性审查</w:t>
      </w:r>
    </w:p>
    <w:tbl>
      <w:tblPr>
        <w:tblStyle w:val="25"/>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37"/>
        <w:gridCol w:w="5610"/>
        <w:gridCol w:w="705"/>
        <w:gridCol w:w="765"/>
        <w:gridCol w:w="765"/>
        <w:gridCol w:w="774"/>
      </w:tblGrid>
      <w:tr w14:paraId="50CB1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75" w:type="dxa"/>
            <w:tcBorders>
              <w:bottom w:val="single" w:color="auto" w:sz="4" w:space="0"/>
            </w:tcBorders>
            <w:vAlign w:val="center"/>
          </w:tcPr>
          <w:p w14:paraId="6007EF4A">
            <w:pPr>
              <w:shd w:val="clear" w:color="auto" w:fill="FFFFFF"/>
              <w:spacing w:line="440" w:lineRule="exact"/>
              <w:jc w:val="center"/>
              <w:rPr>
                <w:rFonts w:ascii="宋体" w:hAnsi="宋体"/>
                <w:b/>
                <w:color w:val="auto"/>
                <w:sz w:val="24"/>
                <w:szCs w:val="24"/>
                <w:highlight w:val="none"/>
              </w:rPr>
            </w:pPr>
            <w:r>
              <w:rPr>
                <w:rFonts w:hint="eastAsia" w:ascii="宋体" w:hAnsi="宋体"/>
                <w:b/>
                <w:color w:val="auto"/>
                <w:sz w:val="24"/>
                <w:szCs w:val="24"/>
                <w:highlight w:val="none"/>
              </w:rPr>
              <w:t>项目</w:t>
            </w:r>
          </w:p>
        </w:tc>
        <w:tc>
          <w:tcPr>
            <w:tcW w:w="6147" w:type="dxa"/>
            <w:gridSpan w:val="2"/>
            <w:tcBorders>
              <w:bottom w:val="single" w:color="auto" w:sz="4" w:space="0"/>
            </w:tcBorders>
            <w:vAlign w:val="center"/>
          </w:tcPr>
          <w:p w14:paraId="6E451723">
            <w:pPr>
              <w:shd w:val="clear" w:color="auto" w:fill="FFFFFF"/>
              <w:spacing w:line="440" w:lineRule="exact"/>
              <w:jc w:val="center"/>
              <w:rPr>
                <w:rFonts w:ascii="宋体" w:hAnsi="宋体"/>
                <w:b/>
                <w:color w:val="auto"/>
                <w:sz w:val="24"/>
                <w:szCs w:val="24"/>
                <w:highlight w:val="none"/>
              </w:rPr>
            </w:pPr>
            <w:r>
              <w:rPr>
                <w:rFonts w:hint="eastAsia" w:ascii="宋体" w:hAnsi="宋体"/>
                <w:b/>
                <w:color w:val="auto"/>
                <w:sz w:val="24"/>
                <w:szCs w:val="24"/>
                <w:highlight w:val="none"/>
              </w:rPr>
              <w:t>评  审  内  容</w:t>
            </w:r>
          </w:p>
        </w:tc>
        <w:tc>
          <w:tcPr>
            <w:tcW w:w="705" w:type="dxa"/>
            <w:tcBorders>
              <w:bottom w:val="single" w:color="auto" w:sz="4" w:space="0"/>
            </w:tcBorders>
            <w:vAlign w:val="center"/>
          </w:tcPr>
          <w:p w14:paraId="258F44EF">
            <w:pPr>
              <w:shd w:val="clear" w:color="auto" w:fill="FFFFFF"/>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供应商1</w:t>
            </w:r>
          </w:p>
        </w:tc>
        <w:tc>
          <w:tcPr>
            <w:tcW w:w="765" w:type="dxa"/>
            <w:tcBorders>
              <w:bottom w:val="single" w:color="auto" w:sz="4" w:space="0"/>
            </w:tcBorders>
            <w:vAlign w:val="center"/>
          </w:tcPr>
          <w:p w14:paraId="32F786BE">
            <w:pPr>
              <w:shd w:val="clear" w:color="auto" w:fill="FFFFFF"/>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供应商2</w:t>
            </w:r>
          </w:p>
        </w:tc>
        <w:tc>
          <w:tcPr>
            <w:tcW w:w="765" w:type="dxa"/>
            <w:tcBorders>
              <w:bottom w:val="single" w:color="auto" w:sz="4" w:space="0"/>
            </w:tcBorders>
            <w:vAlign w:val="center"/>
          </w:tcPr>
          <w:p w14:paraId="506583D3">
            <w:pPr>
              <w:shd w:val="clear" w:color="auto" w:fill="FFFFFF"/>
              <w:spacing w:line="440" w:lineRule="exact"/>
              <w:jc w:val="center"/>
              <w:rPr>
                <w:rFonts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供应商3</w:t>
            </w:r>
          </w:p>
        </w:tc>
        <w:tc>
          <w:tcPr>
            <w:tcW w:w="774" w:type="dxa"/>
            <w:tcBorders>
              <w:bottom w:val="single" w:color="auto" w:sz="4" w:space="0"/>
            </w:tcBorders>
            <w:vAlign w:val="center"/>
          </w:tcPr>
          <w:p w14:paraId="67FD8ADF">
            <w:pPr>
              <w:shd w:val="clear" w:color="auto" w:fill="FFFFFF"/>
              <w:spacing w:line="440" w:lineRule="exact"/>
              <w:jc w:val="center"/>
              <w:rPr>
                <w:rFonts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供应商N</w:t>
            </w:r>
          </w:p>
        </w:tc>
      </w:tr>
      <w:tr w14:paraId="4C0D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675" w:type="dxa"/>
            <w:vMerge w:val="restart"/>
            <w:vAlign w:val="center"/>
          </w:tcPr>
          <w:p w14:paraId="122AFFB5">
            <w:pPr>
              <w:shd w:val="clear" w:color="auto" w:fill="FFFFFF"/>
              <w:spacing w:line="440" w:lineRule="exact"/>
              <w:jc w:val="center"/>
              <w:rPr>
                <w:rFonts w:ascii="宋体" w:hAnsi="宋体"/>
                <w:b/>
                <w:color w:val="auto"/>
                <w:sz w:val="24"/>
                <w:szCs w:val="24"/>
                <w:highlight w:val="none"/>
              </w:rPr>
            </w:pPr>
          </w:p>
          <w:p w14:paraId="07B10761">
            <w:pPr>
              <w:shd w:val="clear" w:color="auto" w:fill="FFFFFF"/>
              <w:spacing w:line="440" w:lineRule="exact"/>
              <w:jc w:val="center"/>
              <w:rPr>
                <w:rFonts w:hint="eastAsia" w:ascii="宋体" w:hAnsi="宋体"/>
                <w:b/>
                <w:color w:val="auto"/>
                <w:sz w:val="24"/>
                <w:szCs w:val="24"/>
                <w:highlight w:val="none"/>
              </w:rPr>
            </w:pPr>
            <w:r>
              <w:rPr>
                <w:rFonts w:hint="eastAsia" w:ascii="宋体" w:hAnsi="宋体"/>
                <w:b/>
                <w:color w:val="auto"/>
                <w:sz w:val="24"/>
                <w:szCs w:val="24"/>
                <w:highlight w:val="none"/>
              </w:rPr>
              <w:t>符合性审查</w:t>
            </w:r>
          </w:p>
          <w:p w14:paraId="301515F3">
            <w:pPr>
              <w:shd w:val="clear" w:color="auto" w:fill="FFFFFF"/>
              <w:spacing w:line="440" w:lineRule="exact"/>
              <w:jc w:val="center"/>
              <w:rPr>
                <w:rFonts w:ascii="宋体" w:hAnsi="宋体"/>
                <w:color w:val="auto"/>
                <w:sz w:val="24"/>
                <w:szCs w:val="24"/>
                <w:highlight w:val="none"/>
              </w:rPr>
            </w:pPr>
          </w:p>
        </w:tc>
        <w:tc>
          <w:tcPr>
            <w:tcW w:w="537" w:type="dxa"/>
            <w:vAlign w:val="center"/>
          </w:tcPr>
          <w:p w14:paraId="76F20C6E">
            <w:pPr>
              <w:shd w:val="clear" w:color="auto" w:fill="FFFFFF"/>
              <w:jc w:val="center"/>
              <w:rPr>
                <w:rFonts w:ascii="宋体" w:hAnsi="宋体"/>
                <w:color w:val="auto"/>
                <w:szCs w:val="21"/>
                <w:highlight w:val="none"/>
              </w:rPr>
            </w:pPr>
            <w:r>
              <w:rPr>
                <w:rFonts w:hint="eastAsia" w:ascii="宋体" w:hAnsi="宋体"/>
                <w:color w:val="auto"/>
                <w:sz w:val="24"/>
                <w:szCs w:val="24"/>
                <w:highlight w:val="none"/>
              </w:rPr>
              <w:t>1</w:t>
            </w:r>
          </w:p>
        </w:tc>
        <w:tc>
          <w:tcPr>
            <w:tcW w:w="5610" w:type="dxa"/>
            <w:vAlign w:val="center"/>
          </w:tcPr>
          <w:p w14:paraId="66758797">
            <w:pPr>
              <w:shd w:val="clear" w:color="auto" w:fill="FFFFFF"/>
              <w:rPr>
                <w:rFonts w:hint="default" w:ascii="宋体" w:hAnsi="宋体" w:eastAsia="宋体"/>
                <w:kern w:val="2"/>
                <w:sz w:val="21"/>
                <w:szCs w:val="21"/>
                <w:highlight w:val="none"/>
                <w:lang w:val="en-US" w:eastAsia="zh-CN" w:bidi="ar-SA"/>
              </w:rPr>
            </w:pPr>
            <w:r>
              <w:rPr>
                <w:rFonts w:hint="eastAsia" w:ascii="宋体" w:hAnsi="宋体"/>
                <w:sz w:val="24"/>
                <w:szCs w:val="24"/>
                <w:highlight w:val="none"/>
                <w:lang w:val="en-US" w:eastAsia="zh-CN"/>
              </w:rPr>
              <w:t>响应报价不得超过谈判文件最高限价，是否按照谈判文件格式填写；</w:t>
            </w:r>
          </w:p>
        </w:tc>
        <w:tc>
          <w:tcPr>
            <w:tcW w:w="705" w:type="dxa"/>
            <w:vAlign w:val="center"/>
          </w:tcPr>
          <w:p w14:paraId="2776F94B">
            <w:pPr>
              <w:shd w:val="clear" w:color="auto" w:fill="FFFFFF"/>
              <w:spacing w:line="440" w:lineRule="exact"/>
              <w:rPr>
                <w:rFonts w:ascii="宋体" w:hAnsi="宋体"/>
                <w:color w:val="auto"/>
                <w:sz w:val="24"/>
                <w:szCs w:val="24"/>
                <w:highlight w:val="none"/>
              </w:rPr>
            </w:pPr>
          </w:p>
        </w:tc>
        <w:tc>
          <w:tcPr>
            <w:tcW w:w="765" w:type="dxa"/>
            <w:vAlign w:val="center"/>
          </w:tcPr>
          <w:p w14:paraId="72374D66">
            <w:pPr>
              <w:shd w:val="clear" w:color="auto" w:fill="FFFFFF"/>
              <w:spacing w:line="440" w:lineRule="exact"/>
              <w:rPr>
                <w:rFonts w:ascii="宋体" w:hAnsi="宋体"/>
                <w:color w:val="auto"/>
                <w:sz w:val="24"/>
                <w:szCs w:val="24"/>
                <w:highlight w:val="none"/>
              </w:rPr>
            </w:pPr>
          </w:p>
        </w:tc>
        <w:tc>
          <w:tcPr>
            <w:tcW w:w="765" w:type="dxa"/>
            <w:vAlign w:val="center"/>
          </w:tcPr>
          <w:p w14:paraId="2ACC0D1D">
            <w:pPr>
              <w:shd w:val="clear" w:color="auto" w:fill="FFFFFF"/>
              <w:spacing w:line="440" w:lineRule="exact"/>
              <w:rPr>
                <w:rFonts w:ascii="宋体" w:hAnsi="宋体"/>
                <w:color w:val="auto"/>
                <w:sz w:val="24"/>
                <w:szCs w:val="24"/>
                <w:highlight w:val="none"/>
              </w:rPr>
            </w:pPr>
          </w:p>
        </w:tc>
        <w:tc>
          <w:tcPr>
            <w:tcW w:w="774" w:type="dxa"/>
            <w:vAlign w:val="center"/>
          </w:tcPr>
          <w:p w14:paraId="6CB7C62A">
            <w:pPr>
              <w:shd w:val="clear" w:color="auto" w:fill="FFFFFF"/>
              <w:spacing w:line="440" w:lineRule="exact"/>
              <w:rPr>
                <w:rFonts w:ascii="宋体" w:hAnsi="宋体"/>
                <w:color w:val="auto"/>
                <w:sz w:val="24"/>
                <w:szCs w:val="24"/>
                <w:highlight w:val="none"/>
              </w:rPr>
            </w:pPr>
          </w:p>
        </w:tc>
      </w:tr>
      <w:tr w14:paraId="4727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vAlign w:val="center"/>
          </w:tcPr>
          <w:p w14:paraId="25DB9FB3">
            <w:pPr>
              <w:shd w:val="clear" w:color="auto" w:fill="FFFFFF"/>
              <w:spacing w:line="440" w:lineRule="exact"/>
              <w:jc w:val="center"/>
              <w:rPr>
                <w:rFonts w:ascii="宋体" w:hAnsi="宋体"/>
                <w:color w:val="auto"/>
                <w:sz w:val="24"/>
                <w:szCs w:val="24"/>
                <w:highlight w:val="none"/>
              </w:rPr>
            </w:pPr>
          </w:p>
        </w:tc>
        <w:tc>
          <w:tcPr>
            <w:tcW w:w="537" w:type="dxa"/>
            <w:vAlign w:val="center"/>
          </w:tcPr>
          <w:p w14:paraId="751FC51C">
            <w:pPr>
              <w:shd w:val="clear" w:color="auto" w:fill="FFFFFF"/>
              <w:jc w:val="center"/>
              <w:rPr>
                <w:rFonts w:hint="eastAsia" w:ascii="宋体" w:hAnsi="宋体"/>
                <w:color w:val="auto"/>
                <w:sz w:val="24"/>
                <w:szCs w:val="24"/>
                <w:highlight w:val="none"/>
              </w:rPr>
            </w:pPr>
            <w:r>
              <w:rPr>
                <w:rFonts w:hint="eastAsia" w:ascii="宋体" w:hAnsi="宋体"/>
                <w:color w:val="auto"/>
                <w:sz w:val="24"/>
                <w:szCs w:val="24"/>
                <w:highlight w:val="none"/>
              </w:rPr>
              <w:t>2</w:t>
            </w:r>
          </w:p>
        </w:tc>
        <w:tc>
          <w:tcPr>
            <w:tcW w:w="5610" w:type="dxa"/>
            <w:vAlign w:val="center"/>
          </w:tcPr>
          <w:p w14:paraId="2A64A8F4">
            <w:pPr>
              <w:shd w:val="clear" w:color="auto" w:fill="FFFFFF"/>
              <w:rPr>
                <w:rFonts w:hint="eastAsia" w:ascii="宋体" w:hAnsi="宋体"/>
                <w:kern w:val="2"/>
                <w:sz w:val="24"/>
                <w:szCs w:val="24"/>
                <w:highlight w:val="none"/>
                <w:lang w:val="en-US" w:eastAsia="zh-CN" w:bidi="ar-SA"/>
              </w:rPr>
            </w:pPr>
            <w:r>
              <w:rPr>
                <w:rFonts w:hint="eastAsia" w:ascii="宋体" w:hAnsi="宋体"/>
                <w:sz w:val="24"/>
                <w:szCs w:val="24"/>
                <w:highlight w:val="none"/>
              </w:rPr>
              <w:t>是否提供响应书且</w:t>
            </w:r>
            <w:r>
              <w:rPr>
                <w:rFonts w:hint="eastAsia" w:ascii="宋体" w:hAnsi="宋体"/>
                <w:sz w:val="24"/>
                <w:szCs w:val="24"/>
                <w:highlight w:val="none"/>
                <w:lang w:val="zh-CN"/>
              </w:rPr>
              <w:t>按照谈判文件规定格式完整提供</w:t>
            </w:r>
            <w:r>
              <w:rPr>
                <w:rFonts w:hint="eastAsia" w:ascii="宋体" w:hAnsi="宋体"/>
                <w:sz w:val="24"/>
                <w:szCs w:val="24"/>
                <w:highlight w:val="none"/>
              </w:rPr>
              <w:t>；</w:t>
            </w:r>
          </w:p>
        </w:tc>
        <w:tc>
          <w:tcPr>
            <w:tcW w:w="705" w:type="dxa"/>
            <w:vAlign w:val="center"/>
          </w:tcPr>
          <w:p w14:paraId="7B7CDB06">
            <w:pPr>
              <w:shd w:val="clear" w:color="auto" w:fill="FFFFFF"/>
              <w:spacing w:line="440" w:lineRule="exact"/>
              <w:rPr>
                <w:rFonts w:ascii="宋体" w:hAnsi="宋体"/>
                <w:color w:val="auto"/>
                <w:sz w:val="24"/>
                <w:szCs w:val="24"/>
                <w:highlight w:val="none"/>
              </w:rPr>
            </w:pPr>
          </w:p>
        </w:tc>
        <w:tc>
          <w:tcPr>
            <w:tcW w:w="765" w:type="dxa"/>
            <w:vAlign w:val="center"/>
          </w:tcPr>
          <w:p w14:paraId="48333282">
            <w:pPr>
              <w:shd w:val="clear" w:color="auto" w:fill="FFFFFF"/>
              <w:spacing w:line="440" w:lineRule="exact"/>
              <w:rPr>
                <w:rFonts w:ascii="宋体" w:hAnsi="宋体"/>
                <w:color w:val="auto"/>
                <w:sz w:val="24"/>
                <w:szCs w:val="24"/>
                <w:highlight w:val="none"/>
              </w:rPr>
            </w:pPr>
          </w:p>
        </w:tc>
        <w:tc>
          <w:tcPr>
            <w:tcW w:w="765" w:type="dxa"/>
            <w:vAlign w:val="center"/>
          </w:tcPr>
          <w:p w14:paraId="59D9FE5E">
            <w:pPr>
              <w:shd w:val="clear" w:color="auto" w:fill="FFFFFF"/>
              <w:spacing w:line="440" w:lineRule="exact"/>
              <w:rPr>
                <w:rFonts w:ascii="宋体" w:hAnsi="宋体"/>
                <w:color w:val="auto"/>
                <w:sz w:val="24"/>
                <w:szCs w:val="24"/>
                <w:highlight w:val="none"/>
              </w:rPr>
            </w:pPr>
          </w:p>
        </w:tc>
        <w:tc>
          <w:tcPr>
            <w:tcW w:w="774" w:type="dxa"/>
            <w:vAlign w:val="center"/>
          </w:tcPr>
          <w:p w14:paraId="62E85CF1">
            <w:pPr>
              <w:shd w:val="clear" w:color="auto" w:fill="FFFFFF"/>
              <w:spacing w:line="440" w:lineRule="exact"/>
              <w:rPr>
                <w:rFonts w:ascii="宋体" w:hAnsi="宋体"/>
                <w:color w:val="auto"/>
                <w:sz w:val="24"/>
                <w:szCs w:val="24"/>
                <w:highlight w:val="none"/>
              </w:rPr>
            </w:pPr>
          </w:p>
        </w:tc>
      </w:tr>
      <w:tr w14:paraId="0E3F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675" w:type="dxa"/>
            <w:vMerge w:val="continue"/>
            <w:vAlign w:val="center"/>
          </w:tcPr>
          <w:p w14:paraId="6D3131A5">
            <w:pPr>
              <w:shd w:val="clear" w:color="auto" w:fill="FFFFFF"/>
              <w:spacing w:line="440" w:lineRule="exact"/>
              <w:jc w:val="center"/>
              <w:rPr>
                <w:rFonts w:ascii="宋体" w:hAnsi="宋体"/>
                <w:color w:val="auto"/>
                <w:sz w:val="24"/>
                <w:szCs w:val="24"/>
                <w:highlight w:val="none"/>
              </w:rPr>
            </w:pPr>
          </w:p>
        </w:tc>
        <w:tc>
          <w:tcPr>
            <w:tcW w:w="537" w:type="dxa"/>
            <w:vAlign w:val="center"/>
          </w:tcPr>
          <w:p w14:paraId="6A04A4E4">
            <w:pPr>
              <w:shd w:val="clear" w:color="auto" w:fill="FFFFFF"/>
              <w:jc w:val="center"/>
              <w:rPr>
                <w:rFonts w:hint="eastAsia" w:ascii="宋体" w:hAnsi="宋体"/>
                <w:color w:val="auto"/>
                <w:sz w:val="24"/>
                <w:szCs w:val="24"/>
                <w:highlight w:val="none"/>
              </w:rPr>
            </w:pPr>
            <w:r>
              <w:rPr>
                <w:rFonts w:hint="eastAsia" w:ascii="宋体" w:hAnsi="宋体"/>
                <w:color w:val="auto"/>
                <w:sz w:val="24"/>
                <w:szCs w:val="24"/>
                <w:highlight w:val="none"/>
              </w:rPr>
              <w:t>3</w:t>
            </w:r>
          </w:p>
        </w:tc>
        <w:tc>
          <w:tcPr>
            <w:tcW w:w="5610" w:type="dxa"/>
            <w:vAlign w:val="center"/>
          </w:tcPr>
          <w:p w14:paraId="4A8B99AC">
            <w:pPr>
              <w:shd w:val="clear" w:color="auto" w:fill="FFFFFF"/>
              <w:rPr>
                <w:rFonts w:hint="eastAsia" w:ascii="宋体" w:hAnsi="宋体"/>
                <w:kern w:val="2"/>
                <w:sz w:val="21"/>
                <w:szCs w:val="21"/>
                <w:highlight w:val="none"/>
                <w:lang w:val="en-US" w:eastAsia="zh-CN" w:bidi="ar-SA"/>
              </w:rPr>
            </w:pPr>
            <w:r>
              <w:rPr>
                <w:rFonts w:hint="eastAsia" w:ascii="宋体" w:hAnsi="宋体"/>
                <w:sz w:val="24"/>
                <w:szCs w:val="24"/>
                <w:highlight w:val="none"/>
                <w:lang w:val="zh-CN"/>
              </w:rPr>
              <w:t>响应文件中法定代表人身份证明书是否按谈判文件规定格式完整提供</w:t>
            </w:r>
            <w:r>
              <w:rPr>
                <w:rFonts w:hint="eastAsia" w:ascii="宋体" w:hAnsi="宋体"/>
                <w:sz w:val="24"/>
                <w:szCs w:val="24"/>
                <w:highlight w:val="none"/>
              </w:rPr>
              <w:t>；</w:t>
            </w:r>
          </w:p>
        </w:tc>
        <w:tc>
          <w:tcPr>
            <w:tcW w:w="705" w:type="dxa"/>
            <w:vAlign w:val="center"/>
          </w:tcPr>
          <w:p w14:paraId="6A8E17B3">
            <w:pPr>
              <w:shd w:val="clear" w:color="auto" w:fill="FFFFFF"/>
              <w:spacing w:line="440" w:lineRule="exact"/>
              <w:rPr>
                <w:rFonts w:ascii="宋体" w:hAnsi="宋体"/>
                <w:color w:val="auto"/>
                <w:sz w:val="24"/>
                <w:szCs w:val="24"/>
                <w:highlight w:val="none"/>
              </w:rPr>
            </w:pPr>
          </w:p>
        </w:tc>
        <w:tc>
          <w:tcPr>
            <w:tcW w:w="765" w:type="dxa"/>
            <w:vAlign w:val="center"/>
          </w:tcPr>
          <w:p w14:paraId="5823BE51">
            <w:pPr>
              <w:shd w:val="clear" w:color="auto" w:fill="FFFFFF"/>
              <w:spacing w:line="440" w:lineRule="exact"/>
              <w:rPr>
                <w:rFonts w:ascii="宋体" w:hAnsi="宋体"/>
                <w:color w:val="auto"/>
                <w:sz w:val="24"/>
                <w:szCs w:val="24"/>
                <w:highlight w:val="none"/>
              </w:rPr>
            </w:pPr>
          </w:p>
        </w:tc>
        <w:tc>
          <w:tcPr>
            <w:tcW w:w="765" w:type="dxa"/>
            <w:vAlign w:val="center"/>
          </w:tcPr>
          <w:p w14:paraId="4A517C5C">
            <w:pPr>
              <w:shd w:val="clear" w:color="auto" w:fill="FFFFFF"/>
              <w:spacing w:line="440" w:lineRule="exact"/>
              <w:rPr>
                <w:rFonts w:ascii="宋体" w:hAnsi="宋体"/>
                <w:color w:val="auto"/>
                <w:sz w:val="24"/>
                <w:szCs w:val="24"/>
                <w:highlight w:val="none"/>
              </w:rPr>
            </w:pPr>
          </w:p>
        </w:tc>
        <w:tc>
          <w:tcPr>
            <w:tcW w:w="774" w:type="dxa"/>
            <w:vAlign w:val="center"/>
          </w:tcPr>
          <w:p w14:paraId="27921104">
            <w:pPr>
              <w:shd w:val="clear" w:color="auto" w:fill="FFFFFF"/>
              <w:spacing w:line="440" w:lineRule="exact"/>
              <w:rPr>
                <w:rFonts w:ascii="宋体" w:hAnsi="宋体"/>
                <w:color w:val="auto"/>
                <w:sz w:val="24"/>
                <w:szCs w:val="24"/>
                <w:highlight w:val="none"/>
              </w:rPr>
            </w:pPr>
          </w:p>
        </w:tc>
      </w:tr>
      <w:tr w14:paraId="19403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675" w:type="dxa"/>
            <w:vMerge w:val="continue"/>
            <w:vAlign w:val="center"/>
          </w:tcPr>
          <w:p w14:paraId="1E356434">
            <w:pPr>
              <w:shd w:val="clear" w:color="auto" w:fill="FFFFFF"/>
              <w:spacing w:line="440" w:lineRule="exact"/>
              <w:jc w:val="center"/>
              <w:rPr>
                <w:rFonts w:ascii="宋体" w:hAnsi="宋体"/>
                <w:color w:val="auto"/>
                <w:sz w:val="24"/>
                <w:szCs w:val="24"/>
                <w:highlight w:val="none"/>
              </w:rPr>
            </w:pPr>
          </w:p>
        </w:tc>
        <w:tc>
          <w:tcPr>
            <w:tcW w:w="537" w:type="dxa"/>
            <w:vAlign w:val="center"/>
          </w:tcPr>
          <w:p w14:paraId="1E3B169A">
            <w:pPr>
              <w:shd w:val="clear" w:color="auto" w:fill="FFFFFF"/>
              <w:jc w:val="center"/>
              <w:rPr>
                <w:rFonts w:hint="eastAsia" w:ascii="宋体" w:hAnsi="宋体"/>
                <w:color w:val="auto"/>
                <w:sz w:val="24"/>
                <w:szCs w:val="24"/>
                <w:highlight w:val="none"/>
              </w:rPr>
            </w:pPr>
            <w:r>
              <w:rPr>
                <w:rFonts w:hint="eastAsia" w:ascii="宋体" w:hAnsi="宋体"/>
                <w:color w:val="auto"/>
                <w:sz w:val="24"/>
                <w:szCs w:val="24"/>
                <w:highlight w:val="none"/>
              </w:rPr>
              <w:t>4</w:t>
            </w:r>
          </w:p>
        </w:tc>
        <w:tc>
          <w:tcPr>
            <w:tcW w:w="5610" w:type="dxa"/>
            <w:vAlign w:val="center"/>
          </w:tcPr>
          <w:p w14:paraId="5D4C6EBD">
            <w:pPr>
              <w:shd w:val="clear" w:color="auto" w:fill="FFFFFF"/>
              <w:rPr>
                <w:rFonts w:hint="eastAsia" w:ascii="宋体" w:hAnsi="宋体"/>
                <w:kern w:val="2"/>
                <w:sz w:val="21"/>
                <w:szCs w:val="21"/>
                <w:highlight w:val="none"/>
                <w:lang w:val="en-US" w:eastAsia="zh-CN" w:bidi="ar-SA"/>
              </w:rPr>
            </w:pPr>
            <w:r>
              <w:rPr>
                <w:rFonts w:hint="eastAsia" w:ascii="宋体" w:hAnsi="宋体"/>
                <w:sz w:val="24"/>
                <w:szCs w:val="24"/>
                <w:highlight w:val="none"/>
                <w:lang w:val="zh-CN"/>
              </w:rPr>
              <w:t>响应文件中法定代表人授权委托书是否按谈判文件规定格式完整提供</w:t>
            </w:r>
            <w:r>
              <w:rPr>
                <w:rFonts w:hint="eastAsia" w:ascii="宋体" w:hAnsi="宋体"/>
                <w:sz w:val="24"/>
                <w:szCs w:val="24"/>
                <w:highlight w:val="none"/>
              </w:rPr>
              <w:t>；</w:t>
            </w:r>
          </w:p>
        </w:tc>
        <w:tc>
          <w:tcPr>
            <w:tcW w:w="705" w:type="dxa"/>
            <w:vAlign w:val="center"/>
          </w:tcPr>
          <w:p w14:paraId="22217182">
            <w:pPr>
              <w:shd w:val="clear" w:color="auto" w:fill="FFFFFF"/>
              <w:spacing w:line="440" w:lineRule="exact"/>
              <w:rPr>
                <w:rFonts w:ascii="宋体" w:hAnsi="宋体"/>
                <w:color w:val="auto"/>
                <w:sz w:val="24"/>
                <w:szCs w:val="24"/>
                <w:highlight w:val="none"/>
              </w:rPr>
            </w:pPr>
          </w:p>
        </w:tc>
        <w:tc>
          <w:tcPr>
            <w:tcW w:w="765" w:type="dxa"/>
            <w:vAlign w:val="center"/>
          </w:tcPr>
          <w:p w14:paraId="6BDF47BA">
            <w:pPr>
              <w:shd w:val="clear" w:color="auto" w:fill="FFFFFF"/>
              <w:spacing w:line="440" w:lineRule="exact"/>
              <w:rPr>
                <w:rFonts w:ascii="宋体" w:hAnsi="宋体"/>
                <w:color w:val="auto"/>
                <w:sz w:val="24"/>
                <w:szCs w:val="24"/>
                <w:highlight w:val="none"/>
              </w:rPr>
            </w:pPr>
          </w:p>
        </w:tc>
        <w:tc>
          <w:tcPr>
            <w:tcW w:w="765" w:type="dxa"/>
            <w:vAlign w:val="center"/>
          </w:tcPr>
          <w:p w14:paraId="7A73F200">
            <w:pPr>
              <w:shd w:val="clear" w:color="auto" w:fill="FFFFFF"/>
              <w:spacing w:line="440" w:lineRule="exact"/>
              <w:rPr>
                <w:rFonts w:ascii="宋体" w:hAnsi="宋体"/>
                <w:color w:val="auto"/>
                <w:sz w:val="24"/>
                <w:szCs w:val="24"/>
                <w:highlight w:val="none"/>
              </w:rPr>
            </w:pPr>
          </w:p>
        </w:tc>
        <w:tc>
          <w:tcPr>
            <w:tcW w:w="774" w:type="dxa"/>
            <w:vAlign w:val="center"/>
          </w:tcPr>
          <w:p w14:paraId="0C2B41AB">
            <w:pPr>
              <w:shd w:val="clear" w:color="auto" w:fill="FFFFFF"/>
              <w:spacing w:line="440" w:lineRule="exact"/>
              <w:rPr>
                <w:rFonts w:ascii="宋体" w:hAnsi="宋体"/>
                <w:color w:val="auto"/>
                <w:sz w:val="24"/>
                <w:szCs w:val="24"/>
                <w:highlight w:val="none"/>
              </w:rPr>
            </w:pPr>
          </w:p>
        </w:tc>
      </w:tr>
      <w:tr w14:paraId="51A8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675" w:type="dxa"/>
            <w:vMerge w:val="continue"/>
            <w:vAlign w:val="center"/>
          </w:tcPr>
          <w:p w14:paraId="2507BC31">
            <w:pPr>
              <w:shd w:val="clear" w:color="auto" w:fill="FFFFFF"/>
              <w:spacing w:line="440" w:lineRule="exact"/>
              <w:jc w:val="center"/>
              <w:rPr>
                <w:rFonts w:ascii="宋体" w:hAnsi="宋体"/>
                <w:color w:val="auto"/>
                <w:sz w:val="24"/>
                <w:szCs w:val="24"/>
                <w:highlight w:val="none"/>
              </w:rPr>
            </w:pPr>
          </w:p>
        </w:tc>
        <w:tc>
          <w:tcPr>
            <w:tcW w:w="537" w:type="dxa"/>
            <w:vAlign w:val="center"/>
          </w:tcPr>
          <w:p w14:paraId="380A704C">
            <w:pPr>
              <w:shd w:val="clear" w:color="auto" w:fill="FFFFFF"/>
              <w:jc w:val="center"/>
              <w:rPr>
                <w:rFonts w:hint="eastAsia" w:ascii="宋体" w:hAnsi="宋体"/>
                <w:color w:val="auto"/>
                <w:sz w:val="24"/>
                <w:szCs w:val="24"/>
                <w:highlight w:val="none"/>
              </w:rPr>
            </w:pPr>
            <w:r>
              <w:rPr>
                <w:rFonts w:hint="eastAsia" w:ascii="宋体" w:hAnsi="宋体"/>
                <w:color w:val="auto"/>
                <w:sz w:val="24"/>
                <w:szCs w:val="24"/>
                <w:highlight w:val="none"/>
              </w:rPr>
              <w:t>5</w:t>
            </w:r>
          </w:p>
        </w:tc>
        <w:tc>
          <w:tcPr>
            <w:tcW w:w="5610" w:type="dxa"/>
            <w:vAlign w:val="center"/>
          </w:tcPr>
          <w:p w14:paraId="7F8444A8">
            <w:pPr>
              <w:shd w:val="clear" w:color="auto" w:fill="FFFFFF"/>
              <w:rPr>
                <w:rFonts w:hint="eastAsia" w:ascii="宋体" w:hAnsi="宋体"/>
                <w:kern w:val="2"/>
                <w:sz w:val="21"/>
                <w:szCs w:val="21"/>
                <w:highlight w:val="none"/>
                <w:lang w:val="en-US" w:eastAsia="zh-CN" w:bidi="ar-SA"/>
              </w:rPr>
            </w:pPr>
            <w:r>
              <w:rPr>
                <w:rFonts w:hint="eastAsia" w:ascii="宋体" w:hAnsi="宋体"/>
                <w:sz w:val="24"/>
                <w:szCs w:val="24"/>
                <w:highlight w:val="none"/>
                <w:lang w:eastAsia="zh-CN"/>
              </w:rPr>
              <w:t>响应</w:t>
            </w:r>
            <w:r>
              <w:rPr>
                <w:rFonts w:hint="eastAsia" w:ascii="宋体" w:hAnsi="宋体"/>
                <w:sz w:val="24"/>
                <w:szCs w:val="24"/>
                <w:highlight w:val="none"/>
              </w:rPr>
              <w:t>文件是否按</w:t>
            </w:r>
            <w:r>
              <w:rPr>
                <w:rFonts w:hint="eastAsia" w:ascii="宋体" w:hAnsi="宋体"/>
                <w:sz w:val="24"/>
                <w:szCs w:val="24"/>
                <w:highlight w:val="none"/>
                <w:lang w:eastAsia="zh-CN"/>
              </w:rPr>
              <w:t>谈判文件</w:t>
            </w:r>
            <w:r>
              <w:rPr>
                <w:rFonts w:hint="eastAsia" w:ascii="宋体" w:hAnsi="宋体"/>
                <w:sz w:val="24"/>
                <w:szCs w:val="24"/>
                <w:highlight w:val="none"/>
              </w:rPr>
              <w:t>要求签字或盖章；</w:t>
            </w:r>
          </w:p>
        </w:tc>
        <w:tc>
          <w:tcPr>
            <w:tcW w:w="705" w:type="dxa"/>
            <w:vAlign w:val="center"/>
          </w:tcPr>
          <w:p w14:paraId="7D7C730C">
            <w:pPr>
              <w:shd w:val="clear" w:color="auto" w:fill="FFFFFF"/>
              <w:spacing w:line="440" w:lineRule="exact"/>
              <w:rPr>
                <w:rFonts w:ascii="宋体" w:hAnsi="宋体"/>
                <w:color w:val="auto"/>
                <w:sz w:val="24"/>
                <w:szCs w:val="24"/>
                <w:highlight w:val="none"/>
              </w:rPr>
            </w:pPr>
          </w:p>
        </w:tc>
        <w:tc>
          <w:tcPr>
            <w:tcW w:w="765" w:type="dxa"/>
            <w:vAlign w:val="center"/>
          </w:tcPr>
          <w:p w14:paraId="6C8DF044">
            <w:pPr>
              <w:shd w:val="clear" w:color="auto" w:fill="FFFFFF"/>
              <w:spacing w:line="440" w:lineRule="exact"/>
              <w:rPr>
                <w:rFonts w:ascii="宋体" w:hAnsi="宋体"/>
                <w:color w:val="auto"/>
                <w:sz w:val="24"/>
                <w:szCs w:val="24"/>
                <w:highlight w:val="none"/>
              </w:rPr>
            </w:pPr>
          </w:p>
        </w:tc>
        <w:tc>
          <w:tcPr>
            <w:tcW w:w="765" w:type="dxa"/>
            <w:vAlign w:val="center"/>
          </w:tcPr>
          <w:p w14:paraId="64DAB44F">
            <w:pPr>
              <w:shd w:val="clear" w:color="auto" w:fill="FFFFFF"/>
              <w:spacing w:line="440" w:lineRule="exact"/>
              <w:rPr>
                <w:rFonts w:ascii="宋体" w:hAnsi="宋体"/>
                <w:color w:val="auto"/>
                <w:sz w:val="24"/>
                <w:szCs w:val="24"/>
                <w:highlight w:val="none"/>
              </w:rPr>
            </w:pPr>
          </w:p>
        </w:tc>
        <w:tc>
          <w:tcPr>
            <w:tcW w:w="774" w:type="dxa"/>
            <w:vAlign w:val="center"/>
          </w:tcPr>
          <w:p w14:paraId="5872CECF">
            <w:pPr>
              <w:shd w:val="clear" w:color="auto" w:fill="FFFFFF"/>
              <w:spacing w:line="440" w:lineRule="exact"/>
              <w:rPr>
                <w:rFonts w:ascii="宋体" w:hAnsi="宋体"/>
                <w:color w:val="auto"/>
                <w:sz w:val="24"/>
                <w:szCs w:val="24"/>
                <w:highlight w:val="none"/>
              </w:rPr>
            </w:pPr>
          </w:p>
        </w:tc>
      </w:tr>
      <w:tr w14:paraId="32F63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675" w:type="dxa"/>
            <w:vMerge w:val="continue"/>
            <w:vAlign w:val="center"/>
          </w:tcPr>
          <w:p w14:paraId="196CD23C">
            <w:pPr>
              <w:shd w:val="clear" w:color="auto" w:fill="FFFFFF"/>
              <w:spacing w:line="440" w:lineRule="exact"/>
              <w:jc w:val="center"/>
              <w:rPr>
                <w:rFonts w:ascii="宋体" w:hAnsi="宋体"/>
                <w:color w:val="auto"/>
                <w:sz w:val="24"/>
                <w:szCs w:val="24"/>
                <w:highlight w:val="none"/>
              </w:rPr>
            </w:pPr>
          </w:p>
        </w:tc>
        <w:tc>
          <w:tcPr>
            <w:tcW w:w="537" w:type="dxa"/>
            <w:vAlign w:val="center"/>
          </w:tcPr>
          <w:p w14:paraId="1201B944">
            <w:pPr>
              <w:shd w:val="clear" w:color="auto" w:fill="FFFFFF"/>
              <w:jc w:val="center"/>
              <w:rPr>
                <w:rFonts w:ascii="宋体" w:hAnsi="宋体"/>
                <w:color w:val="auto"/>
                <w:sz w:val="24"/>
                <w:szCs w:val="24"/>
                <w:highlight w:val="none"/>
              </w:rPr>
            </w:pPr>
            <w:r>
              <w:rPr>
                <w:rFonts w:hint="eastAsia" w:ascii="宋体" w:hAnsi="宋体"/>
                <w:color w:val="auto"/>
                <w:sz w:val="24"/>
                <w:szCs w:val="24"/>
                <w:highlight w:val="none"/>
              </w:rPr>
              <w:t>6</w:t>
            </w:r>
          </w:p>
        </w:tc>
        <w:tc>
          <w:tcPr>
            <w:tcW w:w="5610" w:type="dxa"/>
            <w:vAlign w:val="center"/>
          </w:tcPr>
          <w:p w14:paraId="482F0329">
            <w:pPr>
              <w:shd w:val="clear" w:color="auto" w:fill="FFFFFF"/>
              <w:rPr>
                <w:rFonts w:hint="eastAsia" w:ascii="宋体" w:hAnsi="宋体"/>
                <w:kern w:val="2"/>
                <w:sz w:val="21"/>
                <w:szCs w:val="21"/>
                <w:highlight w:val="none"/>
                <w:lang w:val="en-US" w:eastAsia="zh-CN" w:bidi="ar-SA"/>
              </w:rPr>
            </w:pPr>
            <w:r>
              <w:rPr>
                <w:rFonts w:hint="eastAsia" w:ascii="宋体" w:hAnsi="宋体"/>
                <w:sz w:val="24"/>
                <w:szCs w:val="24"/>
                <w:highlight w:val="none"/>
                <w:lang w:eastAsia="zh-CN"/>
              </w:rPr>
              <w:t>谈判保证金</w:t>
            </w:r>
            <w:r>
              <w:rPr>
                <w:rFonts w:hint="eastAsia" w:ascii="宋体" w:hAnsi="宋体"/>
                <w:sz w:val="24"/>
                <w:szCs w:val="24"/>
                <w:highlight w:val="none"/>
              </w:rPr>
              <w:t>的缴纳主体是否与供应商一致</w:t>
            </w:r>
            <w:r>
              <w:rPr>
                <w:rFonts w:hint="eastAsia" w:ascii="宋体" w:hAnsi="宋体"/>
                <w:sz w:val="24"/>
                <w:szCs w:val="24"/>
                <w:highlight w:val="none"/>
                <w:lang w:eastAsia="zh-CN"/>
              </w:rPr>
              <w:t>，谈判保证金金额</w:t>
            </w:r>
            <w:r>
              <w:rPr>
                <w:rFonts w:hint="eastAsia" w:ascii="宋体" w:hAnsi="宋体"/>
                <w:sz w:val="24"/>
                <w:szCs w:val="24"/>
                <w:highlight w:val="none"/>
              </w:rPr>
              <w:t>符合</w:t>
            </w:r>
            <w:r>
              <w:rPr>
                <w:rFonts w:hint="eastAsia" w:ascii="宋体" w:hAnsi="宋体"/>
                <w:sz w:val="24"/>
                <w:szCs w:val="24"/>
                <w:highlight w:val="none"/>
                <w:lang w:eastAsia="zh-CN"/>
              </w:rPr>
              <w:t>谈判文件</w:t>
            </w:r>
            <w:r>
              <w:rPr>
                <w:rFonts w:hint="eastAsia" w:ascii="宋体" w:hAnsi="宋体"/>
                <w:sz w:val="24"/>
                <w:szCs w:val="24"/>
                <w:highlight w:val="none"/>
              </w:rPr>
              <w:t>要求；</w:t>
            </w:r>
          </w:p>
        </w:tc>
        <w:tc>
          <w:tcPr>
            <w:tcW w:w="705" w:type="dxa"/>
            <w:vAlign w:val="center"/>
          </w:tcPr>
          <w:p w14:paraId="4D6073CC">
            <w:pPr>
              <w:shd w:val="clear" w:color="auto" w:fill="FFFFFF"/>
              <w:spacing w:line="440" w:lineRule="exact"/>
              <w:rPr>
                <w:rFonts w:ascii="宋体" w:hAnsi="宋体"/>
                <w:color w:val="auto"/>
                <w:sz w:val="24"/>
                <w:szCs w:val="24"/>
                <w:highlight w:val="none"/>
              </w:rPr>
            </w:pPr>
          </w:p>
        </w:tc>
        <w:tc>
          <w:tcPr>
            <w:tcW w:w="765" w:type="dxa"/>
            <w:vAlign w:val="center"/>
          </w:tcPr>
          <w:p w14:paraId="47DFD913">
            <w:pPr>
              <w:shd w:val="clear" w:color="auto" w:fill="FFFFFF"/>
              <w:spacing w:line="440" w:lineRule="exact"/>
              <w:rPr>
                <w:rFonts w:ascii="宋体" w:hAnsi="宋体"/>
                <w:color w:val="auto"/>
                <w:sz w:val="24"/>
                <w:szCs w:val="24"/>
                <w:highlight w:val="none"/>
              </w:rPr>
            </w:pPr>
          </w:p>
        </w:tc>
        <w:tc>
          <w:tcPr>
            <w:tcW w:w="765" w:type="dxa"/>
            <w:vAlign w:val="center"/>
          </w:tcPr>
          <w:p w14:paraId="539F8C0F">
            <w:pPr>
              <w:shd w:val="clear" w:color="auto" w:fill="FFFFFF"/>
              <w:spacing w:line="440" w:lineRule="exact"/>
              <w:rPr>
                <w:rFonts w:ascii="宋体" w:hAnsi="宋体"/>
                <w:color w:val="auto"/>
                <w:sz w:val="24"/>
                <w:szCs w:val="24"/>
                <w:highlight w:val="none"/>
              </w:rPr>
            </w:pPr>
          </w:p>
        </w:tc>
        <w:tc>
          <w:tcPr>
            <w:tcW w:w="774" w:type="dxa"/>
            <w:vAlign w:val="center"/>
          </w:tcPr>
          <w:p w14:paraId="000F381C">
            <w:pPr>
              <w:shd w:val="clear" w:color="auto" w:fill="FFFFFF"/>
              <w:spacing w:line="440" w:lineRule="exact"/>
              <w:rPr>
                <w:rFonts w:ascii="宋体" w:hAnsi="宋体"/>
                <w:color w:val="auto"/>
                <w:sz w:val="24"/>
                <w:szCs w:val="24"/>
                <w:highlight w:val="none"/>
              </w:rPr>
            </w:pPr>
          </w:p>
        </w:tc>
      </w:tr>
      <w:tr w14:paraId="41D2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75" w:type="dxa"/>
            <w:vMerge w:val="continue"/>
            <w:vAlign w:val="center"/>
          </w:tcPr>
          <w:p w14:paraId="681B343B">
            <w:pPr>
              <w:shd w:val="clear" w:color="auto" w:fill="FFFFFF"/>
              <w:spacing w:line="440" w:lineRule="exact"/>
              <w:jc w:val="center"/>
              <w:rPr>
                <w:rFonts w:ascii="宋体" w:hAnsi="宋体"/>
                <w:color w:val="auto"/>
                <w:sz w:val="24"/>
                <w:szCs w:val="24"/>
                <w:highlight w:val="none"/>
              </w:rPr>
            </w:pPr>
          </w:p>
        </w:tc>
        <w:tc>
          <w:tcPr>
            <w:tcW w:w="537" w:type="dxa"/>
            <w:vAlign w:val="center"/>
          </w:tcPr>
          <w:p w14:paraId="40FBF719">
            <w:pPr>
              <w:shd w:val="clear" w:color="auto" w:fill="FFFFFF"/>
              <w:jc w:val="center"/>
              <w:rPr>
                <w:rFonts w:ascii="宋体" w:hAnsi="宋体"/>
                <w:color w:val="auto"/>
                <w:sz w:val="24"/>
                <w:szCs w:val="24"/>
                <w:highlight w:val="none"/>
              </w:rPr>
            </w:pPr>
            <w:r>
              <w:rPr>
                <w:rFonts w:hint="eastAsia" w:ascii="宋体" w:hAnsi="宋体"/>
                <w:color w:val="auto"/>
                <w:sz w:val="24"/>
                <w:szCs w:val="24"/>
                <w:highlight w:val="none"/>
              </w:rPr>
              <w:t>7</w:t>
            </w:r>
          </w:p>
        </w:tc>
        <w:tc>
          <w:tcPr>
            <w:tcW w:w="5610" w:type="dxa"/>
            <w:vAlign w:val="center"/>
          </w:tcPr>
          <w:p w14:paraId="55FEC1BB">
            <w:pPr>
              <w:shd w:val="clear" w:color="auto" w:fill="FFFFFF"/>
              <w:rPr>
                <w:rFonts w:hint="eastAsia" w:ascii="宋体" w:hAnsi="宋体"/>
                <w:kern w:val="2"/>
                <w:sz w:val="21"/>
                <w:szCs w:val="21"/>
                <w:highlight w:val="none"/>
                <w:lang w:val="en-US" w:eastAsia="zh-CN" w:bidi="ar-SA"/>
              </w:rPr>
            </w:pPr>
            <w:r>
              <w:rPr>
                <w:rFonts w:hint="eastAsia" w:ascii="宋体" w:hAnsi="宋体"/>
                <w:sz w:val="24"/>
                <w:szCs w:val="24"/>
                <w:highlight w:val="none"/>
                <w:lang w:eastAsia="zh-CN"/>
              </w:rPr>
              <w:t>响应</w:t>
            </w:r>
            <w:r>
              <w:rPr>
                <w:rFonts w:hint="eastAsia" w:ascii="宋体" w:hAnsi="宋体"/>
                <w:sz w:val="24"/>
                <w:szCs w:val="24"/>
                <w:highlight w:val="none"/>
              </w:rPr>
              <w:t>文件的</w:t>
            </w:r>
            <w:r>
              <w:rPr>
                <w:rFonts w:hint="eastAsia" w:ascii="宋体" w:hAnsi="宋体"/>
                <w:sz w:val="24"/>
                <w:szCs w:val="24"/>
                <w:highlight w:val="none"/>
                <w:lang w:eastAsia="zh-CN"/>
              </w:rPr>
              <w:t>工期、</w:t>
            </w:r>
            <w:r>
              <w:rPr>
                <w:rFonts w:hint="eastAsia" w:ascii="宋体" w:hAnsi="宋体"/>
                <w:sz w:val="24"/>
                <w:szCs w:val="24"/>
                <w:highlight w:val="none"/>
                <w:lang w:val="en-US" w:eastAsia="zh-CN"/>
              </w:rPr>
              <w:t>质量</w:t>
            </w:r>
            <w:r>
              <w:rPr>
                <w:rFonts w:hint="eastAsia" w:ascii="宋体" w:hAnsi="宋体"/>
                <w:sz w:val="24"/>
                <w:szCs w:val="24"/>
                <w:highlight w:val="none"/>
              </w:rPr>
              <w:t>是否满足</w:t>
            </w:r>
            <w:r>
              <w:rPr>
                <w:rFonts w:hint="eastAsia" w:ascii="宋体" w:hAnsi="宋体"/>
                <w:sz w:val="24"/>
                <w:szCs w:val="24"/>
                <w:highlight w:val="none"/>
                <w:lang w:eastAsia="zh-CN"/>
              </w:rPr>
              <w:t>谈判文件</w:t>
            </w:r>
            <w:r>
              <w:rPr>
                <w:rFonts w:hint="eastAsia" w:ascii="宋体" w:hAnsi="宋体"/>
                <w:sz w:val="24"/>
                <w:szCs w:val="24"/>
                <w:highlight w:val="none"/>
              </w:rPr>
              <w:t>规定；</w:t>
            </w:r>
          </w:p>
        </w:tc>
        <w:tc>
          <w:tcPr>
            <w:tcW w:w="705" w:type="dxa"/>
            <w:vAlign w:val="center"/>
          </w:tcPr>
          <w:p w14:paraId="14B94CB8">
            <w:pPr>
              <w:shd w:val="clear" w:color="auto" w:fill="FFFFFF"/>
              <w:spacing w:line="440" w:lineRule="exact"/>
              <w:rPr>
                <w:rFonts w:ascii="宋体" w:hAnsi="宋体"/>
                <w:color w:val="auto"/>
                <w:sz w:val="24"/>
                <w:szCs w:val="24"/>
                <w:highlight w:val="none"/>
              </w:rPr>
            </w:pPr>
          </w:p>
        </w:tc>
        <w:tc>
          <w:tcPr>
            <w:tcW w:w="765" w:type="dxa"/>
            <w:vAlign w:val="center"/>
          </w:tcPr>
          <w:p w14:paraId="53229198">
            <w:pPr>
              <w:shd w:val="clear" w:color="auto" w:fill="FFFFFF"/>
              <w:spacing w:line="440" w:lineRule="exact"/>
              <w:rPr>
                <w:rFonts w:ascii="宋体" w:hAnsi="宋体"/>
                <w:color w:val="auto"/>
                <w:sz w:val="24"/>
                <w:szCs w:val="24"/>
                <w:highlight w:val="none"/>
              </w:rPr>
            </w:pPr>
          </w:p>
        </w:tc>
        <w:tc>
          <w:tcPr>
            <w:tcW w:w="765" w:type="dxa"/>
            <w:vAlign w:val="center"/>
          </w:tcPr>
          <w:p w14:paraId="7C01CDB6">
            <w:pPr>
              <w:shd w:val="clear" w:color="auto" w:fill="FFFFFF"/>
              <w:spacing w:line="440" w:lineRule="exact"/>
              <w:rPr>
                <w:rFonts w:ascii="宋体" w:hAnsi="宋体"/>
                <w:color w:val="auto"/>
                <w:sz w:val="24"/>
                <w:szCs w:val="24"/>
                <w:highlight w:val="none"/>
              </w:rPr>
            </w:pPr>
          </w:p>
        </w:tc>
        <w:tc>
          <w:tcPr>
            <w:tcW w:w="774" w:type="dxa"/>
            <w:vAlign w:val="center"/>
          </w:tcPr>
          <w:p w14:paraId="0E7251D2">
            <w:pPr>
              <w:shd w:val="clear" w:color="auto" w:fill="FFFFFF"/>
              <w:spacing w:line="440" w:lineRule="exact"/>
              <w:rPr>
                <w:rFonts w:ascii="宋体" w:hAnsi="宋体"/>
                <w:color w:val="auto"/>
                <w:sz w:val="24"/>
                <w:szCs w:val="24"/>
                <w:highlight w:val="none"/>
              </w:rPr>
            </w:pPr>
          </w:p>
        </w:tc>
      </w:tr>
      <w:tr w14:paraId="0F26A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675" w:type="dxa"/>
            <w:vMerge w:val="continue"/>
            <w:vAlign w:val="center"/>
          </w:tcPr>
          <w:p w14:paraId="4EDE39B3">
            <w:pPr>
              <w:shd w:val="clear" w:color="auto" w:fill="FFFFFF"/>
              <w:spacing w:line="440" w:lineRule="exact"/>
              <w:jc w:val="center"/>
              <w:rPr>
                <w:rFonts w:ascii="宋体" w:hAnsi="宋体"/>
                <w:color w:val="auto"/>
                <w:sz w:val="24"/>
                <w:szCs w:val="24"/>
                <w:highlight w:val="none"/>
              </w:rPr>
            </w:pPr>
          </w:p>
        </w:tc>
        <w:tc>
          <w:tcPr>
            <w:tcW w:w="537" w:type="dxa"/>
            <w:vAlign w:val="center"/>
          </w:tcPr>
          <w:p w14:paraId="788AD976">
            <w:pPr>
              <w:shd w:val="clear" w:color="auto" w:fill="FFFFFF"/>
              <w:jc w:val="center"/>
              <w:rPr>
                <w:rFonts w:ascii="宋体" w:hAnsi="宋体"/>
                <w:color w:val="auto"/>
                <w:sz w:val="24"/>
                <w:szCs w:val="24"/>
                <w:highlight w:val="none"/>
              </w:rPr>
            </w:pPr>
            <w:r>
              <w:rPr>
                <w:rFonts w:hint="eastAsia" w:ascii="宋体" w:hAnsi="宋体"/>
                <w:color w:val="auto"/>
                <w:sz w:val="24"/>
                <w:szCs w:val="24"/>
                <w:highlight w:val="none"/>
              </w:rPr>
              <w:t>8</w:t>
            </w:r>
          </w:p>
        </w:tc>
        <w:tc>
          <w:tcPr>
            <w:tcW w:w="5610" w:type="dxa"/>
            <w:vAlign w:val="center"/>
          </w:tcPr>
          <w:p w14:paraId="05A42384">
            <w:pPr>
              <w:shd w:val="clear" w:color="auto" w:fill="FFFFFF"/>
              <w:rPr>
                <w:rFonts w:hint="eastAsia" w:ascii="宋体" w:hAnsi="宋体"/>
                <w:kern w:val="2"/>
                <w:sz w:val="21"/>
                <w:szCs w:val="21"/>
                <w:highlight w:val="none"/>
                <w:lang w:val="en-US" w:eastAsia="zh-CN" w:bidi="ar-SA"/>
              </w:rPr>
            </w:pPr>
            <w:r>
              <w:rPr>
                <w:rFonts w:hint="eastAsia" w:ascii="宋体" w:hAnsi="宋体"/>
                <w:sz w:val="24"/>
                <w:szCs w:val="24"/>
                <w:highlight w:val="none"/>
                <w:lang w:eastAsia="zh-CN"/>
              </w:rPr>
              <w:t>响应文件</w:t>
            </w:r>
            <w:r>
              <w:rPr>
                <w:rFonts w:hint="eastAsia" w:ascii="宋体" w:hAnsi="宋体"/>
                <w:sz w:val="24"/>
                <w:szCs w:val="24"/>
                <w:highlight w:val="none"/>
              </w:rPr>
              <w:t>有效期是否满足</w:t>
            </w:r>
            <w:r>
              <w:rPr>
                <w:rFonts w:hint="eastAsia" w:ascii="宋体" w:hAnsi="宋体"/>
                <w:sz w:val="24"/>
                <w:szCs w:val="24"/>
                <w:highlight w:val="none"/>
                <w:lang w:eastAsia="zh-CN"/>
              </w:rPr>
              <w:t>谈判文件</w:t>
            </w:r>
            <w:r>
              <w:rPr>
                <w:rFonts w:hint="eastAsia" w:ascii="宋体" w:hAnsi="宋体"/>
                <w:sz w:val="24"/>
                <w:szCs w:val="24"/>
                <w:highlight w:val="none"/>
              </w:rPr>
              <w:t>要求的；</w:t>
            </w:r>
          </w:p>
        </w:tc>
        <w:tc>
          <w:tcPr>
            <w:tcW w:w="705" w:type="dxa"/>
            <w:vAlign w:val="center"/>
          </w:tcPr>
          <w:p w14:paraId="269D8E21">
            <w:pPr>
              <w:shd w:val="clear" w:color="auto" w:fill="FFFFFF"/>
              <w:spacing w:line="440" w:lineRule="exact"/>
              <w:rPr>
                <w:rFonts w:ascii="宋体" w:hAnsi="宋体"/>
                <w:color w:val="auto"/>
                <w:sz w:val="24"/>
                <w:szCs w:val="24"/>
                <w:highlight w:val="none"/>
              </w:rPr>
            </w:pPr>
          </w:p>
        </w:tc>
        <w:tc>
          <w:tcPr>
            <w:tcW w:w="765" w:type="dxa"/>
            <w:vAlign w:val="center"/>
          </w:tcPr>
          <w:p w14:paraId="45B73B92">
            <w:pPr>
              <w:shd w:val="clear" w:color="auto" w:fill="FFFFFF"/>
              <w:spacing w:line="440" w:lineRule="exact"/>
              <w:rPr>
                <w:rFonts w:ascii="宋体" w:hAnsi="宋体"/>
                <w:color w:val="auto"/>
                <w:sz w:val="24"/>
                <w:szCs w:val="24"/>
                <w:highlight w:val="none"/>
              </w:rPr>
            </w:pPr>
          </w:p>
        </w:tc>
        <w:tc>
          <w:tcPr>
            <w:tcW w:w="765" w:type="dxa"/>
            <w:vAlign w:val="center"/>
          </w:tcPr>
          <w:p w14:paraId="36BCBA6B">
            <w:pPr>
              <w:shd w:val="clear" w:color="auto" w:fill="FFFFFF"/>
              <w:spacing w:line="440" w:lineRule="exact"/>
              <w:rPr>
                <w:rFonts w:ascii="宋体" w:hAnsi="宋体"/>
                <w:color w:val="auto"/>
                <w:sz w:val="24"/>
                <w:szCs w:val="24"/>
                <w:highlight w:val="none"/>
              </w:rPr>
            </w:pPr>
          </w:p>
        </w:tc>
        <w:tc>
          <w:tcPr>
            <w:tcW w:w="774" w:type="dxa"/>
            <w:vAlign w:val="center"/>
          </w:tcPr>
          <w:p w14:paraId="5550C94F">
            <w:pPr>
              <w:shd w:val="clear" w:color="auto" w:fill="FFFFFF"/>
              <w:spacing w:line="440" w:lineRule="exact"/>
              <w:rPr>
                <w:rFonts w:ascii="宋体" w:hAnsi="宋体"/>
                <w:color w:val="auto"/>
                <w:sz w:val="24"/>
                <w:szCs w:val="24"/>
                <w:highlight w:val="none"/>
              </w:rPr>
            </w:pPr>
          </w:p>
        </w:tc>
      </w:tr>
      <w:tr w14:paraId="53DDE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675" w:type="dxa"/>
            <w:vMerge w:val="continue"/>
            <w:vAlign w:val="center"/>
          </w:tcPr>
          <w:p w14:paraId="799F0ADA">
            <w:pPr>
              <w:shd w:val="clear" w:color="auto" w:fill="FFFFFF"/>
              <w:spacing w:line="440" w:lineRule="exact"/>
              <w:jc w:val="center"/>
              <w:rPr>
                <w:rFonts w:ascii="宋体" w:hAnsi="宋体"/>
                <w:color w:val="auto"/>
                <w:sz w:val="24"/>
                <w:szCs w:val="24"/>
                <w:highlight w:val="none"/>
              </w:rPr>
            </w:pPr>
          </w:p>
        </w:tc>
        <w:tc>
          <w:tcPr>
            <w:tcW w:w="537" w:type="dxa"/>
            <w:vAlign w:val="center"/>
          </w:tcPr>
          <w:p w14:paraId="6D0933DE">
            <w:pPr>
              <w:shd w:val="clear" w:color="auto" w:fill="FFFFFF"/>
              <w:jc w:val="center"/>
              <w:rPr>
                <w:rFonts w:ascii="宋体" w:hAnsi="宋体"/>
                <w:color w:val="auto"/>
                <w:sz w:val="24"/>
                <w:szCs w:val="24"/>
                <w:highlight w:val="none"/>
              </w:rPr>
            </w:pPr>
            <w:r>
              <w:rPr>
                <w:rFonts w:hint="eastAsia" w:ascii="宋体" w:hAnsi="宋体"/>
                <w:color w:val="auto"/>
                <w:sz w:val="24"/>
                <w:szCs w:val="24"/>
                <w:highlight w:val="none"/>
              </w:rPr>
              <w:t>9</w:t>
            </w:r>
          </w:p>
        </w:tc>
        <w:tc>
          <w:tcPr>
            <w:tcW w:w="5610" w:type="dxa"/>
            <w:vAlign w:val="center"/>
          </w:tcPr>
          <w:p w14:paraId="0BCB3DA5">
            <w:pPr>
              <w:shd w:val="clear" w:color="auto" w:fill="FFFFFF"/>
              <w:rPr>
                <w:rFonts w:hint="eastAsia" w:ascii="宋体" w:hAnsi="宋体"/>
                <w:kern w:val="2"/>
                <w:sz w:val="21"/>
                <w:szCs w:val="21"/>
                <w:highlight w:val="none"/>
                <w:lang w:val="en-US" w:eastAsia="zh-CN" w:bidi="ar-SA"/>
              </w:rPr>
            </w:pPr>
            <w:r>
              <w:rPr>
                <w:rFonts w:hint="eastAsia" w:ascii="宋体" w:hAnsi="宋体"/>
                <w:sz w:val="24"/>
                <w:szCs w:val="24"/>
                <w:highlight w:val="none"/>
                <w:lang w:eastAsia="zh-CN"/>
              </w:rPr>
              <w:t>响应</w:t>
            </w:r>
            <w:r>
              <w:rPr>
                <w:rFonts w:hint="eastAsia" w:ascii="宋体" w:hAnsi="宋体"/>
                <w:sz w:val="24"/>
                <w:szCs w:val="24"/>
                <w:highlight w:val="none"/>
              </w:rPr>
              <w:t>文件是否附有采购人不能接受的条件；</w:t>
            </w:r>
          </w:p>
        </w:tc>
        <w:tc>
          <w:tcPr>
            <w:tcW w:w="705" w:type="dxa"/>
            <w:vAlign w:val="center"/>
          </w:tcPr>
          <w:p w14:paraId="724A10CF">
            <w:pPr>
              <w:shd w:val="clear" w:color="auto" w:fill="FFFFFF"/>
              <w:spacing w:line="440" w:lineRule="exact"/>
              <w:rPr>
                <w:rFonts w:ascii="宋体" w:hAnsi="宋体"/>
                <w:color w:val="auto"/>
                <w:sz w:val="24"/>
                <w:szCs w:val="24"/>
                <w:highlight w:val="none"/>
              </w:rPr>
            </w:pPr>
          </w:p>
        </w:tc>
        <w:tc>
          <w:tcPr>
            <w:tcW w:w="765" w:type="dxa"/>
            <w:vAlign w:val="center"/>
          </w:tcPr>
          <w:p w14:paraId="47B1A965">
            <w:pPr>
              <w:shd w:val="clear" w:color="auto" w:fill="FFFFFF"/>
              <w:spacing w:line="440" w:lineRule="exact"/>
              <w:rPr>
                <w:rFonts w:ascii="宋体" w:hAnsi="宋体"/>
                <w:color w:val="auto"/>
                <w:sz w:val="24"/>
                <w:szCs w:val="24"/>
                <w:highlight w:val="none"/>
              </w:rPr>
            </w:pPr>
          </w:p>
        </w:tc>
        <w:tc>
          <w:tcPr>
            <w:tcW w:w="765" w:type="dxa"/>
            <w:vAlign w:val="center"/>
          </w:tcPr>
          <w:p w14:paraId="3DC594E2">
            <w:pPr>
              <w:shd w:val="clear" w:color="auto" w:fill="FFFFFF"/>
              <w:spacing w:line="440" w:lineRule="exact"/>
              <w:rPr>
                <w:rFonts w:ascii="宋体" w:hAnsi="宋体"/>
                <w:color w:val="auto"/>
                <w:sz w:val="24"/>
                <w:szCs w:val="24"/>
                <w:highlight w:val="none"/>
              </w:rPr>
            </w:pPr>
          </w:p>
        </w:tc>
        <w:tc>
          <w:tcPr>
            <w:tcW w:w="774" w:type="dxa"/>
            <w:vAlign w:val="center"/>
          </w:tcPr>
          <w:p w14:paraId="3213EC3C">
            <w:pPr>
              <w:shd w:val="clear" w:color="auto" w:fill="FFFFFF"/>
              <w:spacing w:line="440" w:lineRule="exact"/>
              <w:rPr>
                <w:rFonts w:ascii="宋体" w:hAnsi="宋体"/>
                <w:color w:val="auto"/>
                <w:sz w:val="24"/>
                <w:szCs w:val="24"/>
                <w:highlight w:val="none"/>
              </w:rPr>
            </w:pPr>
          </w:p>
        </w:tc>
      </w:tr>
      <w:tr w14:paraId="215E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675" w:type="dxa"/>
            <w:vMerge w:val="continue"/>
            <w:vAlign w:val="center"/>
          </w:tcPr>
          <w:p w14:paraId="2B1ED75A">
            <w:pPr>
              <w:shd w:val="clear" w:color="auto" w:fill="FFFFFF"/>
              <w:spacing w:line="440" w:lineRule="exact"/>
              <w:jc w:val="center"/>
              <w:rPr>
                <w:rFonts w:ascii="宋体" w:hAnsi="宋体"/>
                <w:color w:val="auto"/>
                <w:sz w:val="24"/>
                <w:szCs w:val="24"/>
                <w:highlight w:val="none"/>
              </w:rPr>
            </w:pPr>
          </w:p>
        </w:tc>
        <w:tc>
          <w:tcPr>
            <w:tcW w:w="537" w:type="dxa"/>
            <w:vAlign w:val="center"/>
          </w:tcPr>
          <w:p w14:paraId="03C4AA6B">
            <w:pPr>
              <w:shd w:val="clear" w:color="auto" w:fill="FFFFFF"/>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val="en-US" w:eastAsia="zh-CN"/>
              </w:rPr>
              <w:t>10</w:t>
            </w:r>
          </w:p>
        </w:tc>
        <w:tc>
          <w:tcPr>
            <w:tcW w:w="5610" w:type="dxa"/>
            <w:vAlign w:val="center"/>
          </w:tcPr>
          <w:p w14:paraId="558EDB19">
            <w:pPr>
              <w:shd w:val="clear" w:color="auto" w:fill="FFFFFF"/>
              <w:rPr>
                <w:rFonts w:hint="eastAsia" w:ascii="宋体" w:hAnsi="宋体" w:eastAsia="宋体" w:cs="Times New Roman"/>
                <w:kern w:val="2"/>
                <w:sz w:val="21"/>
                <w:szCs w:val="21"/>
                <w:highlight w:val="none"/>
                <w:lang w:val="en-US" w:eastAsia="zh-CN" w:bidi="ar-SA"/>
              </w:rPr>
            </w:pPr>
            <w:r>
              <w:rPr>
                <w:rFonts w:hint="eastAsia" w:ascii="宋体" w:hAnsi="宋体"/>
                <w:sz w:val="24"/>
                <w:szCs w:val="24"/>
                <w:highlight w:val="none"/>
              </w:rPr>
              <w:t>是否满足</w:t>
            </w:r>
            <w:r>
              <w:rPr>
                <w:rFonts w:hint="eastAsia" w:ascii="宋体" w:hAnsi="宋体"/>
                <w:sz w:val="24"/>
                <w:szCs w:val="24"/>
                <w:highlight w:val="none"/>
                <w:lang w:eastAsia="zh-CN"/>
              </w:rPr>
              <w:t>谈判文件</w:t>
            </w:r>
            <w:r>
              <w:rPr>
                <w:rFonts w:hint="eastAsia" w:ascii="宋体" w:hAnsi="宋体"/>
                <w:sz w:val="24"/>
                <w:szCs w:val="24"/>
                <w:highlight w:val="none"/>
              </w:rPr>
              <w:t>实质性要求的其他情形。</w:t>
            </w:r>
          </w:p>
        </w:tc>
        <w:tc>
          <w:tcPr>
            <w:tcW w:w="705" w:type="dxa"/>
            <w:vAlign w:val="center"/>
          </w:tcPr>
          <w:p w14:paraId="7F83C139">
            <w:pPr>
              <w:shd w:val="clear" w:color="auto" w:fill="FFFFFF"/>
              <w:spacing w:line="440" w:lineRule="exact"/>
              <w:rPr>
                <w:rFonts w:ascii="宋体" w:hAnsi="宋体"/>
                <w:color w:val="auto"/>
                <w:sz w:val="24"/>
                <w:szCs w:val="24"/>
                <w:highlight w:val="none"/>
              </w:rPr>
            </w:pPr>
          </w:p>
        </w:tc>
        <w:tc>
          <w:tcPr>
            <w:tcW w:w="765" w:type="dxa"/>
            <w:vAlign w:val="center"/>
          </w:tcPr>
          <w:p w14:paraId="3BE421A0">
            <w:pPr>
              <w:shd w:val="clear" w:color="auto" w:fill="FFFFFF"/>
              <w:spacing w:line="440" w:lineRule="exact"/>
              <w:rPr>
                <w:rFonts w:ascii="宋体" w:hAnsi="宋体"/>
                <w:color w:val="auto"/>
                <w:sz w:val="24"/>
                <w:szCs w:val="24"/>
                <w:highlight w:val="none"/>
              </w:rPr>
            </w:pPr>
          </w:p>
        </w:tc>
        <w:tc>
          <w:tcPr>
            <w:tcW w:w="765" w:type="dxa"/>
            <w:vAlign w:val="center"/>
          </w:tcPr>
          <w:p w14:paraId="2EB490EF">
            <w:pPr>
              <w:shd w:val="clear" w:color="auto" w:fill="FFFFFF"/>
              <w:spacing w:line="440" w:lineRule="exact"/>
              <w:rPr>
                <w:rFonts w:ascii="宋体" w:hAnsi="宋体"/>
                <w:color w:val="auto"/>
                <w:sz w:val="24"/>
                <w:szCs w:val="24"/>
                <w:highlight w:val="none"/>
              </w:rPr>
            </w:pPr>
          </w:p>
        </w:tc>
        <w:tc>
          <w:tcPr>
            <w:tcW w:w="774" w:type="dxa"/>
            <w:vAlign w:val="center"/>
          </w:tcPr>
          <w:p w14:paraId="4ED14859">
            <w:pPr>
              <w:shd w:val="clear" w:color="auto" w:fill="FFFFFF"/>
              <w:spacing w:line="440" w:lineRule="exact"/>
              <w:rPr>
                <w:rFonts w:ascii="宋体" w:hAnsi="宋体"/>
                <w:color w:val="auto"/>
                <w:sz w:val="24"/>
                <w:szCs w:val="24"/>
                <w:highlight w:val="none"/>
              </w:rPr>
            </w:pPr>
          </w:p>
        </w:tc>
      </w:tr>
      <w:tr w14:paraId="752AA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675" w:type="dxa"/>
            <w:vMerge w:val="continue"/>
            <w:vAlign w:val="center"/>
          </w:tcPr>
          <w:p w14:paraId="5B430A1C">
            <w:pPr>
              <w:shd w:val="clear" w:color="auto" w:fill="FFFFFF"/>
              <w:spacing w:line="440" w:lineRule="exact"/>
              <w:jc w:val="center"/>
              <w:rPr>
                <w:rFonts w:ascii="宋体" w:hAnsi="宋体"/>
                <w:color w:val="auto"/>
                <w:sz w:val="24"/>
                <w:szCs w:val="24"/>
                <w:highlight w:val="none"/>
              </w:rPr>
            </w:pPr>
          </w:p>
        </w:tc>
        <w:tc>
          <w:tcPr>
            <w:tcW w:w="537" w:type="dxa"/>
            <w:vAlign w:val="center"/>
          </w:tcPr>
          <w:p w14:paraId="368CE874">
            <w:pPr>
              <w:shd w:val="clear" w:color="auto" w:fill="FFFFFF"/>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11</w:t>
            </w:r>
          </w:p>
        </w:tc>
        <w:tc>
          <w:tcPr>
            <w:tcW w:w="5610" w:type="dxa"/>
            <w:vAlign w:val="center"/>
          </w:tcPr>
          <w:p w14:paraId="328AA550">
            <w:pPr>
              <w:shd w:val="clear" w:color="auto" w:fill="FFFFFF"/>
              <w:rPr>
                <w:rFonts w:hint="eastAsia" w:ascii="宋体" w:hAnsi="宋体"/>
                <w:sz w:val="24"/>
                <w:szCs w:val="24"/>
                <w:highlight w:val="none"/>
                <w:lang w:eastAsia="zh-CN"/>
              </w:rPr>
            </w:pPr>
            <w:r>
              <w:rPr>
                <w:rFonts w:hint="eastAsia" w:asciiTheme="minorEastAsia" w:hAnsiTheme="minorEastAsia" w:eastAsiaTheme="minorEastAsia" w:cstheme="minorEastAsia"/>
                <w:color w:val="auto"/>
                <w:kern w:val="2"/>
                <w:sz w:val="24"/>
                <w:szCs w:val="24"/>
                <w:highlight w:val="none"/>
                <w:shd w:val="clear" w:color="auto" w:fill="FFFFFF"/>
                <w:lang w:val="en-US" w:eastAsia="zh-CN"/>
              </w:rPr>
              <w:t>是否按谈判响应文件格式第9项规定提供相应资格证明文件；</w:t>
            </w:r>
          </w:p>
        </w:tc>
        <w:tc>
          <w:tcPr>
            <w:tcW w:w="705" w:type="dxa"/>
            <w:vAlign w:val="center"/>
          </w:tcPr>
          <w:p w14:paraId="74961245">
            <w:pPr>
              <w:shd w:val="clear" w:color="auto" w:fill="FFFFFF"/>
              <w:spacing w:line="440" w:lineRule="exact"/>
              <w:rPr>
                <w:rFonts w:ascii="宋体" w:hAnsi="宋体"/>
                <w:color w:val="auto"/>
                <w:sz w:val="24"/>
                <w:szCs w:val="24"/>
                <w:highlight w:val="none"/>
              </w:rPr>
            </w:pPr>
          </w:p>
        </w:tc>
        <w:tc>
          <w:tcPr>
            <w:tcW w:w="765" w:type="dxa"/>
            <w:vAlign w:val="center"/>
          </w:tcPr>
          <w:p w14:paraId="4DB3D9F6">
            <w:pPr>
              <w:shd w:val="clear" w:color="auto" w:fill="FFFFFF"/>
              <w:spacing w:line="440" w:lineRule="exact"/>
              <w:rPr>
                <w:rFonts w:ascii="宋体" w:hAnsi="宋体"/>
                <w:color w:val="auto"/>
                <w:sz w:val="24"/>
                <w:szCs w:val="24"/>
                <w:highlight w:val="none"/>
              </w:rPr>
            </w:pPr>
          </w:p>
        </w:tc>
        <w:tc>
          <w:tcPr>
            <w:tcW w:w="765" w:type="dxa"/>
            <w:vAlign w:val="center"/>
          </w:tcPr>
          <w:p w14:paraId="045576B8">
            <w:pPr>
              <w:shd w:val="clear" w:color="auto" w:fill="FFFFFF"/>
              <w:spacing w:line="440" w:lineRule="exact"/>
              <w:rPr>
                <w:rFonts w:ascii="宋体" w:hAnsi="宋体"/>
                <w:color w:val="auto"/>
                <w:sz w:val="24"/>
                <w:szCs w:val="24"/>
                <w:highlight w:val="none"/>
              </w:rPr>
            </w:pPr>
          </w:p>
        </w:tc>
        <w:tc>
          <w:tcPr>
            <w:tcW w:w="774" w:type="dxa"/>
            <w:vAlign w:val="center"/>
          </w:tcPr>
          <w:p w14:paraId="1BC2A63A">
            <w:pPr>
              <w:shd w:val="clear" w:color="auto" w:fill="FFFFFF"/>
              <w:spacing w:line="440" w:lineRule="exact"/>
              <w:rPr>
                <w:rFonts w:ascii="宋体" w:hAnsi="宋体"/>
                <w:color w:val="auto"/>
                <w:sz w:val="24"/>
                <w:szCs w:val="24"/>
                <w:highlight w:val="none"/>
              </w:rPr>
            </w:pPr>
          </w:p>
        </w:tc>
      </w:tr>
      <w:tr w14:paraId="161EB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675" w:type="dxa"/>
            <w:vMerge w:val="continue"/>
            <w:vAlign w:val="center"/>
          </w:tcPr>
          <w:p w14:paraId="55FA8176">
            <w:pPr>
              <w:shd w:val="clear" w:color="auto" w:fill="FFFFFF"/>
              <w:spacing w:line="440" w:lineRule="exact"/>
              <w:jc w:val="center"/>
              <w:rPr>
                <w:rFonts w:ascii="宋体" w:hAnsi="宋体"/>
                <w:color w:val="auto"/>
                <w:sz w:val="24"/>
                <w:szCs w:val="24"/>
                <w:highlight w:val="none"/>
              </w:rPr>
            </w:pPr>
          </w:p>
        </w:tc>
        <w:tc>
          <w:tcPr>
            <w:tcW w:w="537" w:type="dxa"/>
            <w:vAlign w:val="center"/>
          </w:tcPr>
          <w:p w14:paraId="6A6B1DAC">
            <w:pPr>
              <w:shd w:val="clear" w:color="auto" w:fill="FFFFFF"/>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12</w:t>
            </w:r>
          </w:p>
        </w:tc>
        <w:tc>
          <w:tcPr>
            <w:tcW w:w="5610" w:type="dxa"/>
            <w:vAlign w:val="center"/>
          </w:tcPr>
          <w:p w14:paraId="4FEAA55F">
            <w:pPr>
              <w:shd w:val="clear" w:color="auto" w:fill="FFFFFF"/>
              <w:rPr>
                <w:rFonts w:hint="eastAsia" w:ascii="宋体" w:hAnsi="宋体"/>
                <w:kern w:val="2"/>
                <w:sz w:val="21"/>
                <w:szCs w:val="21"/>
                <w:highlight w:val="none"/>
                <w:lang w:val="en-US" w:eastAsia="zh-CN" w:bidi="ar-SA"/>
              </w:rPr>
            </w:pPr>
            <w:r>
              <w:rPr>
                <w:rFonts w:hint="eastAsia" w:ascii="宋体" w:hAnsi="宋体" w:cs="宋体"/>
                <w:color w:val="auto"/>
                <w:kern w:val="0"/>
                <w:sz w:val="24"/>
                <w:szCs w:val="24"/>
                <w:highlight w:val="none"/>
                <w:lang w:val="en-US" w:eastAsia="zh-CN" w:bidi="ar"/>
              </w:rPr>
              <w:t>是否</w:t>
            </w:r>
            <w:r>
              <w:rPr>
                <w:rFonts w:hint="eastAsia" w:asciiTheme="minorEastAsia" w:hAnsiTheme="minorEastAsia" w:eastAsiaTheme="minorEastAsia" w:cstheme="minorEastAsia"/>
                <w:color w:val="auto"/>
                <w:kern w:val="2"/>
                <w:sz w:val="24"/>
                <w:szCs w:val="24"/>
                <w:highlight w:val="none"/>
                <w:shd w:val="clear" w:color="auto" w:fill="FFFFFF"/>
                <w:lang w:val="en-US" w:eastAsia="zh-CN"/>
              </w:rPr>
              <w:t>按谈判响应文件格式规定</w:t>
            </w:r>
            <w:r>
              <w:rPr>
                <w:rFonts w:hint="eastAsia" w:ascii="宋体" w:hAnsi="宋体" w:cs="宋体"/>
                <w:color w:val="auto"/>
                <w:kern w:val="0"/>
                <w:sz w:val="24"/>
                <w:szCs w:val="24"/>
                <w:highlight w:val="none"/>
                <w:lang w:val="en-US" w:eastAsia="zh-CN" w:bidi="ar"/>
              </w:rPr>
              <w:t>提供了六个承诺书（见谈判响应文件构成10.1.15-10.1.20条内容）</w:t>
            </w:r>
          </w:p>
        </w:tc>
        <w:tc>
          <w:tcPr>
            <w:tcW w:w="705" w:type="dxa"/>
            <w:vAlign w:val="center"/>
          </w:tcPr>
          <w:p w14:paraId="1382F6D9">
            <w:pPr>
              <w:shd w:val="clear" w:color="auto" w:fill="FFFFFF"/>
              <w:spacing w:line="440" w:lineRule="exact"/>
              <w:rPr>
                <w:rFonts w:ascii="宋体" w:hAnsi="宋体"/>
                <w:color w:val="auto"/>
                <w:sz w:val="24"/>
                <w:szCs w:val="24"/>
                <w:highlight w:val="none"/>
              </w:rPr>
            </w:pPr>
          </w:p>
        </w:tc>
        <w:tc>
          <w:tcPr>
            <w:tcW w:w="765" w:type="dxa"/>
            <w:vAlign w:val="center"/>
          </w:tcPr>
          <w:p w14:paraId="78E3D70A">
            <w:pPr>
              <w:shd w:val="clear" w:color="auto" w:fill="FFFFFF"/>
              <w:spacing w:line="440" w:lineRule="exact"/>
              <w:rPr>
                <w:rFonts w:ascii="宋体" w:hAnsi="宋体"/>
                <w:color w:val="auto"/>
                <w:sz w:val="24"/>
                <w:szCs w:val="24"/>
                <w:highlight w:val="none"/>
              </w:rPr>
            </w:pPr>
          </w:p>
        </w:tc>
        <w:tc>
          <w:tcPr>
            <w:tcW w:w="765" w:type="dxa"/>
            <w:vAlign w:val="center"/>
          </w:tcPr>
          <w:p w14:paraId="128DCBC6">
            <w:pPr>
              <w:shd w:val="clear" w:color="auto" w:fill="FFFFFF"/>
              <w:spacing w:line="440" w:lineRule="exact"/>
              <w:rPr>
                <w:rFonts w:ascii="宋体" w:hAnsi="宋体"/>
                <w:color w:val="auto"/>
                <w:sz w:val="24"/>
                <w:szCs w:val="24"/>
                <w:highlight w:val="none"/>
              </w:rPr>
            </w:pPr>
          </w:p>
        </w:tc>
        <w:tc>
          <w:tcPr>
            <w:tcW w:w="774" w:type="dxa"/>
            <w:vAlign w:val="center"/>
          </w:tcPr>
          <w:p w14:paraId="382BFCE6">
            <w:pPr>
              <w:shd w:val="clear" w:color="auto" w:fill="FFFFFF"/>
              <w:spacing w:line="440" w:lineRule="exact"/>
              <w:rPr>
                <w:rFonts w:ascii="宋体" w:hAnsi="宋体"/>
                <w:color w:val="auto"/>
                <w:sz w:val="24"/>
                <w:szCs w:val="24"/>
                <w:highlight w:val="none"/>
              </w:rPr>
            </w:pPr>
          </w:p>
        </w:tc>
      </w:tr>
      <w:tr w14:paraId="2DB48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831" w:type="dxa"/>
            <w:gridSpan w:val="7"/>
            <w:vAlign w:val="center"/>
          </w:tcPr>
          <w:p w14:paraId="2EE3AA4C">
            <w:pPr>
              <w:shd w:val="clear" w:color="auto" w:fill="FFFFFF"/>
              <w:spacing w:line="440" w:lineRule="exact"/>
              <w:rPr>
                <w:rFonts w:ascii="宋体" w:hAnsi="宋体"/>
                <w:b/>
                <w:color w:val="auto"/>
                <w:sz w:val="24"/>
                <w:szCs w:val="24"/>
                <w:highlight w:val="none"/>
              </w:rPr>
            </w:pPr>
            <w:r>
              <w:rPr>
                <w:rFonts w:hint="eastAsia" w:ascii="宋体" w:hAnsi="宋体"/>
                <w:color w:val="auto"/>
                <w:sz w:val="24"/>
                <w:szCs w:val="24"/>
                <w:highlight w:val="none"/>
              </w:rPr>
              <w:t>结论：是否通过评审</w:t>
            </w:r>
          </w:p>
        </w:tc>
      </w:tr>
      <w:tr w14:paraId="2DEF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9831" w:type="dxa"/>
            <w:gridSpan w:val="7"/>
            <w:vAlign w:val="center"/>
          </w:tcPr>
          <w:p w14:paraId="53C72406">
            <w:pPr>
              <w:shd w:val="clear" w:color="auto" w:fill="FFFFFF"/>
              <w:spacing w:line="440" w:lineRule="exact"/>
              <w:rPr>
                <w:rFonts w:ascii="宋体" w:hAnsi="宋体"/>
                <w:b/>
                <w:color w:val="auto"/>
                <w:sz w:val="24"/>
                <w:szCs w:val="24"/>
                <w:highlight w:val="none"/>
              </w:rPr>
            </w:pPr>
            <w:r>
              <w:rPr>
                <w:rFonts w:hint="eastAsia" w:ascii="宋体" w:hAnsi="宋体"/>
                <w:color w:val="auto"/>
                <w:sz w:val="24"/>
                <w:szCs w:val="24"/>
                <w:highlight w:val="none"/>
              </w:rPr>
              <w:t>备注：如果</w:t>
            </w:r>
            <w:r>
              <w:rPr>
                <w:rFonts w:hint="eastAsia" w:ascii="宋体" w:hAnsi="宋体"/>
                <w:color w:val="auto"/>
                <w:sz w:val="24"/>
                <w:szCs w:val="24"/>
                <w:highlight w:val="none"/>
                <w:lang w:eastAsia="zh-CN"/>
              </w:rPr>
              <w:t>谈判响应文件</w:t>
            </w:r>
            <w:r>
              <w:rPr>
                <w:rFonts w:hint="eastAsia" w:ascii="宋体" w:hAnsi="宋体"/>
                <w:color w:val="auto"/>
                <w:sz w:val="24"/>
                <w:szCs w:val="24"/>
                <w:highlight w:val="none"/>
              </w:rPr>
              <w:t>中有一项未通过上述审查标准，</w:t>
            </w:r>
            <w:r>
              <w:rPr>
                <w:rFonts w:hint="eastAsia" w:ascii="宋体" w:hAnsi="宋体"/>
                <w:color w:val="auto"/>
                <w:sz w:val="24"/>
                <w:szCs w:val="24"/>
                <w:highlight w:val="none"/>
                <w:lang w:eastAsia="zh-CN"/>
              </w:rPr>
              <w:t>谈判小组</w:t>
            </w:r>
            <w:r>
              <w:rPr>
                <w:rFonts w:hint="eastAsia" w:ascii="宋体" w:hAnsi="宋体"/>
                <w:color w:val="auto"/>
                <w:sz w:val="24"/>
                <w:szCs w:val="24"/>
                <w:highlight w:val="none"/>
              </w:rPr>
              <w:t>将认定整个</w:t>
            </w:r>
            <w:r>
              <w:rPr>
                <w:rFonts w:hint="eastAsia" w:ascii="宋体" w:hAnsi="宋体"/>
                <w:color w:val="auto"/>
                <w:sz w:val="24"/>
                <w:szCs w:val="24"/>
                <w:highlight w:val="none"/>
                <w:lang w:eastAsia="zh-CN"/>
              </w:rPr>
              <w:t>谈判响应文件</w:t>
            </w:r>
            <w:r>
              <w:rPr>
                <w:rFonts w:hint="eastAsia" w:ascii="宋体" w:hAnsi="宋体"/>
                <w:color w:val="auto"/>
                <w:sz w:val="24"/>
                <w:szCs w:val="24"/>
                <w:highlight w:val="none"/>
              </w:rPr>
              <w:t>不响应</w:t>
            </w:r>
            <w:r>
              <w:rPr>
                <w:rFonts w:hint="eastAsia" w:ascii="宋体" w:hAnsi="宋体"/>
                <w:color w:val="auto"/>
                <w:sz w:val="24"/>
                <w:szCs w:val="24"/>
                <w:highlight w:val="none"/>
                <w:lang w:eastAsia="zh-CN"/>
              </w:rPr>
              <w:t>谈判文件</w:t>
            </w:r>
            <w:r>
              <w:rPr>
                <w:rFonts w:hint="eastAsia" w:ascii="宋体" w:hAnsi="宋体"/>
                <w:color w:val="auto"/>
                <w:sz w:val="24"/>
                <w:szCs w:val="24"/>
                <w:highlight w:val="none"/>
              </w:rPr>
              <w:t>而予以投标无效，并且不允许供应商通过修改或撤销其不符合要求的差异或保留，使之成为具有响应性的投标。通过审核的以“√”标记；未通过的以“×”标记，并予以说明。</w:t>
            </w:r>
          </w:p>
        </w:tc>
      </w:tr>
    </w:tbl>
    <w:p w14:paraId="60297885">
      <w:pPr>
        <w:rPr>
          <w:rFonts w:hint="eastAsia" w:ascii="宋体" w:hAnsi="宋体"/>
          <w:color w:val="000000"/>
          <w:szCs w:val="21"/>
          <w:highlight w:val="none"/>
        </w:rPr>
      </w:pPr>
      <w:r>
        <w:rPr>
          <w:rFonts w:hint="eastAsia" w:ascii="宋体" w:hAnsi="宋体"/>
          <w:color w:val="000000"/>
          <w:szCs w:val="21"/>
          <w:highlight w:val="none"/>
        </w:rPr>
        <w:br w:type="page"/>
      </w:r>
    </w:p>
    <w:p w14:paraId="14848D51">
      <w:pPr>
        <w:tabs>
          <w:tab w:val="left" w:pos="900"/>
        </w:tabs>
        <w:rPr>
          <w:rFonts w:hint="eastAsia" w:ascii="宋体" w:hAnsi="宋体"/>
          <w:b/>
          <w:color w:val="000000"/>
          <w:sz w:val="24"/>
          <w:highlight w:val="none"/>
        </w:rPr>
      </w:pPr>
      <w:r>
        <w:rPr>
          <w:rFonts w:hint="eastAsia" w:ascii="宋体" w:hAnsi="宋体"/>
          <w:color w:val="000000"/>
          <w:szCs w:val="21"/>
          <w:highlight w:val="none"/>
        </w:rPr>
        <w:t>附表</w:t>
      </w:r>
      <w:r>
        <w:rPr>
          <w:rFonts w:hint="eastAsia" w:ascii="宋体" w:hAnsi="宋体"/>
          <w:color w:val="000000"/>
          <w:szCs w:val="21"/>
          <w:highlight w:val="none"/>
          <w:lang w:val="en-US" w:eastAsia="zh-CN"/>
        </w:rPr>
        <w:t>2</w:t>
      </w:r>
    </w:p>
    <w:p w14:paraId="784D1196">
      <w:pPr>
        <w:tabs>
          <w:tab w:val="left" w:pos="900"/>
        </w:tabs>
        <w:ind w:firstLine="2881" w:firstLineChars="1200"/>
        <w:rPr>
          <w:rFonts w:hint="eastAsia" w:ascii="宋体" w:hAnsi="宋体"/>
          <w:b/>
          <w:color w:val="000000"/>
          <w:sz w:val="24"/>
          <w:highlight w:val="none"/>
        </w:rPr>
      </w:pPr>
    </w:p>
    <w:p w14:paraId="715E1B8B">
      <w:pPr>
        <w:tabs>
          <w:tab w:val="left" w:pos="900"/>
        </w:tabs>
        <w:jc w:val="center"/>
        <w:rPr>
          <w:rFonts w:hint="eastAsia" w:ascii="宋体" w:hAnsi="宋体"/>
          <w:color w:val="000000"/>
          <w:szCs w:val="21"/>
          <w:highlight w:val="none"/>
        </w:rPr>
      </w:pPr>
      <w:r>
        <w:rPr>
          <w:rFonts w:hint="eastAsia" w:ascii="宋体" w:hAnsi="宋体"/>
          <w:b/>
          <w:color w:val="000000"/>
          <w:sz w:val="24"/>
          <w:highlight w:val="none"/>
        </w:rPr>
        <w:t>技术标评审标准</w:t>
      </w:r>
    </w:p>
    <w:tbl>
      <w:tblPr>
        <w:tblStyle w:val="25"/>
        <w:tblpPr w:leftFromText="180" w:rightFromText="180" w:vertAnchor="text" w:horzAnchor="page" w:tblpXSpec="center" w:tblpY="201"/>
        <w:tblOverlap w:val="never"/>
        <w:tblW w:w="10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32"/>
        <w:gridCol w:w="5405"/>
        <w:gridCol w:w="742"/>
        <w:gridCol w:w="742"/>
        <w:gridCol w:w="772"/>
        <w:gridCol w:w="772"/>
      </w:tblGrid>
      <w:tr w14:paraId="003D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59" w:type="dxa"/>
            <w:vAlign w:val="center"/>
          </w:tcPr>
          <w:p w14:paraId="4B0AF5F8">
            <w:pPr>
              <w:pStyle w:val="17"/>
              <w:pBdr>
                <w:bottom w:val="none" w:color="auto" w:sz="0" w:space="0"/>
              </w:pBdr>
              <w:snapToGrid/>
              <w:spacing w:line="480" w:lineRule="auto"/>
              <w:jc w:val="both"/>
              <w:rPr>
                <w:rFonts w:hint="eastAsia" w:ascii="宋体"/>
                <w:b/>
                <w:bCs/>
                <w:sz w:val="24"/>
                <w:szCs w:val="24"/>
                <w:highlight w:val="none"/>
              </w:rPr>
            </w:pPr>
            <w:r>
              <w:rPr>
                <w:rFonts w:hint="eastAsia" w:ascii="宋体"/>
                <w:b/>
                <w:bCs/>
                <w:sz w:val="24"/>
                <w:szCs w:val="24"/>
                <w:highlight w:val="none"/>
              </w:rPr>
              <w:t>项目</w:t>
            </w:r>
          </w:p>
        </w:tc>
        <w:tc>
          <w:tcPr>
            <w:tcW w:w="6137" w:type="dxa"/>
            <w:gridSpan w:val="2"/>
            <w:vAlign w:val="center"/>
          </w:tcPr>
          <w:p w14:paraId="7D222DEA">
            <w:pPr>
              <w:spacing w:line="480" w:lineRule="auto"/>
              <w:jc w:val="center"/>
              <w:rPr>
                <w:rFonts w:hint="eastAsia" w:ascii="宋体"/>
                <w:b/>
                <w:bCs/>
                <w:sz w:val="24"/>
                <w:highlight w:val="none"/>
              </w:rPr>
            </w:pPr>
            <w:r>
              <w:rPr>
                <w:rFonts w:hint="eastAsia" w:ascii="宋体"/>
                <w:b/>
                <w:bCs/>
                <w:sz w:val="24"/>
                <w:highlight w:val="none"/>
              </w:rPr>
              <w:t>评  审  内  容</w:t>
            </w:r>
          </w:p>
        </w:tc>
        <w:tc>
          <w:tcPr>
            <w:tcW w:w="742" w:type="dxa"/>
            <w:vAlign w:val="center"/>
          </w:tcPr>
          <w:p w14:paraId="0A739094">
            <w:pPr>
              <w:shd w:val="clear" w:color="auto" w:fill="FFFFFF"/>
              <w:spacing w:line="44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供应商1</w:t>
            </w:r>
          </w:p>
        </w:tc>
        <w:tc>
          <w:tcPr>
            <w:tcW w:w="742" w:type="dxa"/>
            <w:vAlign w:val="center"/>
          </w:tcPr>
          <w:p w14:paraId="25FA925B">
            <w:pPr>
              <w:shd w:val="clear" w:color="auto" w:fill="FFFFFF"/>
              <w:spacing w:line="44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供应商2</w:t>
            </w:r>
          </w:p>
        </w:tc>
        <w:tc>
          <w:tcPr>
            <w:tcW w:w="772" w:type="dxa"/>
            <w:vAlign w:val="center"/>
          </w:tcPr>
          <w:p w14:paraId="3A1ADBE6">
            <w:pPr>
              <w:shd w:val="clear" w:color="auto" w:fill="FFFFFF"/>
              <w:spacing w:line="44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供应商3</w:t>
            </w:r>
          </w:p>
        </w:tc>
        <w:tc>
          <w:tcPr>
            <w:tcW w:w="772" w:type="dxa"/>
            <w:vAlign w:val="center"/>
          </w:tcPr>
          <w:p w14:paraId="46801435">
            <w:pPr>
              <w:shd w:val="clear" w:color="auto" w:fill="FFFFFF"/>
              <w:spacing w:line="44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供应商N</w:t>
            </w:r>
          </w:p>
        </w:tc>
      </w:tr>
      <w:tr w14:paraId="64CF2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959" w:type="dxa"/>
            <w:vMerge w:val="restart"/>
            <w:vAlign w:val="center"/>
          </w:tcPr>
          <w:p w14:paraId="49DE0E0F">
            <w:pPr>
              <w:spacing w:line="480" w:lineRule="auto"/>
              <w:jc w:val="center"/>
              <w:rPr>
                <w:rFonts w:hint="eastAsia" w:ascii="宋体"/>
                <w:b/>
                <w:bCs/>
                <w:sz w:val="24"/>
                <w:highlight w:val="none"/>
              </w:rPr>
            </w:pPr>
            <w:r>
              <w:rPr>
                <w:rFonts w:hint="eastAsia" w:ascii="宋体"/>
                <w:b/>
                <w:bCs/>
                <w:sz w:val="24"/>
                <w:highlight w:val="none"/>
              </w:rPr>
              <w:t>技</w:t>
            </w:r>
          </w:p>
          <w:p w14:paraId="7DBBE725">
            <w:pPr>
              <w:spacing w:line="480" w:lineRule="auto"/>
              <w:jc w:val="center"/>
              <w:rPr>
                <w:rFonts w:hint="eastAsia" w:ascii="宋体"/>
                <w:b/>
                <w:bCs/>
                <w:sz w:val="24"/>
                <w:highlight w:val="none"/>
              </w:rPr>
            </w:pPr>
            <w:r>
              <w:rPr>
                <w:rFonts w:hint="eastAsia" w:ascii="宋体"/>
                <w:b/>
                <w:bCs/>
                <w:sz w:val="24"/>
                <w:highlight w:val="none"/>
              </w:rPr>
              <w:t>术</w:t>
            </w:r>
          </w:p>
          <w:p w14:paraId="4B6D21DC">
            <w:pPr>
              <w:spacing w:line="480" w:lineRule="auto"/>
              <w:jc w:val="center"/>
              <w:rPr>
                <w:rFonts w:hint="eastAsia" w:ascii="宋体"/>
                <w:b/>
                <w:bCs/>
                <w:sz w:val="24"/>
                <w:highlight w:val="none"/>
                <w:lang w:eastAsia="zh-CN"/>
              </w:rPr>
            </w:pPr>
            <w:r>
              <w:rPr>
                <w:rFonts w:hint="eastAsia" w:ascii="宋体"/>
                <w:b/>
                <w:bCs/>
                <w:sz w:val="24"/>
                <w:highlight w:val="none"/>
                <w:lang w:eastAsia="zh-CN"/>
              </w:rPr>
              <w:t>标</w:t>
            </w:r>
          </w:p>
          <w:p w14:paraId="0365661D">
            <w:pPr>
              <w:spacing w:line="480" w:lineRule="auto"/>
              <w:jc w:val="center"/>
              <w:rPr>
                <w:rFonts w:hint="eastAsia" w:ascii="宋体"/>
                <w:b/>
                <w:bCs/>
                <w:sz w:val="24"/>
                <w:highlight w:val="none"/>
                <w:lang w:eastAsia="zh-CN"/>
              </w:rPr>
            </w:pPr>
            <w:r>
              <w:rPr>
                <w:rFonts w:hint="eastAsia" w:ascii="宋体"/>
                <w:b/>
                <w:bCs/>
                <w:sz w:val="24"/>
                <w:highlight w:val="none"/>
                <w:lang w:eastAsia="zh-CN"/>
              </w:rPr>
              <w:t>审</w:t>
            </w:r>
          </w:p>
          <w:p w14:paraId="4AA2B744">
            <w:pPr>
              <w:spacing w:line="480" w:lineRule="auto"/>
              <w:jc w:val="center"/>
              <w:rPr>
                <w:rFonts w:hint="eastAsia" w:ascii="宋体" w:eastAsia="宋体"/>
                <w:b/>
                <w:bCs/>
                <w:sz w:val="24"/>
                <w:highlight w:val="none"/>
                <w:lang w:eastAsia="zh-CN"/>
              </w:rPr>
            </w:pPr>
            <w:r>
              <w:rPr>
                <w:rFonts w:hint="eastAsia" w:ascii="宋体"/>
                <w:b/>
                <w:bCs/>
                <w:sz w:val="24"/>
                <w:highlight w:val="none"/>
                <w:lang w:eastAsia="zh-CN"/>
              </w:rPr>
              <w:t>查</w:t>
            </w:r>
          </w:p>
          <w:p w14:paraId="0B4421A5">
            <w:pPr>
              <w:spacing w:line="480" w:lineRule="auto"/>
              <w:jc w:val="center"/>
              <w:rPr>
                <w:rFonts w:hint="eastAsia" w:ascii="宋体"/>
                <w:b/>
                <w:bCs/>
                <w:sz w:val="24"/>
                <w:highlight w:val="none"/>
              </w:rPr>
            </w:pPr>
          </w:p>
        </w:tc>
        <w:tc>
          <w:tcPr>
            <w:tcW w:w="732" w:type="dxa"/>
            <w:vAlign w:val="center"/>
          </w:tcPr>
          <w:p w14:paraId="7C9FC93F">
            <w:pPr>
              <w:spacing w:line="480" w:lineRule="auto"/>
              <w:jc w:val="center"/>
              <w:rPr>
                <w:rFonts w:hint="eastAsia" w:ascii="宋体"/>
                <w:sz w:val="24"/>
                <w:highlight w:val="none"/>
              </w:rPr>
            </w:pPr>
            <w:r>
              <w:rPr>
                <w:rFonts w:hint="eastAsia" w:ascii="宋体"/>
                <w:sz w:val="24"/>
                <w:highlight w:val="none"/>
              </w:rPr>
              <w:t>1</w:t>
            </w:r>
          </w:p>
        </w:tc>
        <w:tc>
          <w:tcPr>
            <w:tcW w:w="5405" w:type="dxa"/>
            <w:vAlign w:val="center"/>
          </w:tcPr>
          <w:p w14:paraId="56AA092B">
            <w:pPr>
              <w:spacing w:line="240" w:lineRule="auto"/>
              <w:rPr>
                <w:rFonts w:hint="eastAsia" w:ascii="宋体"/>
                <w:sz w:val="24"/>
                <w:highlight w:val="none"/>
              </w:rPr>
            </w:pPr>
            <w:r>
              <w:rPr>
                <w:rFonts w:hint="eastAsia" w:ascii="宋体"/>
                <w:sz w:val="24"/>
                <w:highlight w:val="none"/>
              </w:rPr>
              <w:t>施工方案与技术措施</w:t>
            </w:r>
          </w:p>
        </w:tc>
        <w:tc>
          <w:tcPr>
            <w:tcW w:w="742" w:type="dxa"/>
            <w:vAlign w:val="center"/>
          </w:tcPr>
          <w:p w14:paraId="45756DA2">
            <w:pPr>
              <w:spacing w:line="480" w:lineRule="auto"/>
              <w:rPr>
                <w:rFonts w:hint="eastAsia" w:ascii="宋体"/>
                <w:sz w:val="24"/>
                <w:highlight w:val="none"/>
              </w:rPr>
            </w:pPr>
          </w:p>
        </w:tc>
        <w:tc>
          <w:tcPr>
            <w:tcW w:w="742" w:type="dxa"/>
            <w:vAlign w:val="center"/>
          </w:tcPr>
          <w:p w14:paraId="25573D25">
            <w:pPr>
              <w:spacing w:line="480" w:lineRule="auto"/>
              <w:rPr>
                <w:rFonts w:hint="eastAsia" w:ascii="宋体"/>
                <w:sz w:val="24"/>
                <w:highlight w:val="none"/>
              </w:rPr>
            </w:pPr>
          </w:p>
        </w:tc>
        <w:tc>
          <w:tcPr>
            <w:tcW w:w="772" w:type="dxa"/>
            <w:vAlign w:val="center"/>
          </w:tcPr>
          <w:p w14:paraId="3C16CA1E">
            <w:pPr>
              <w:spacing w:line="480" w:lineRule="auto"/>
              <w:rPr>
                <w:rFonts w:hint="eastAsia" w:ascii="宋体"/>
                <w:sz w:val="24"/>
                <w:highlight w:val="none"/>
              </w:rPr>
            </w:pPr>
          </w:p>
        </w:tc>
        <w:tc>
          <w:tcPr>
            <w:tcW w:w="772" w:type="dxa"/>
            <w:vAlign w:val="center"/>
          </w:tcPr>
          <w:p w14:paraId="0B1E26B2">
            <w:pPr>
              <w:spacing w:line="480" w:lineRule="auto"/>
              <w:rPr>
                <w:rFonts w:hint="eastAsia" w:ascii="宋体"/>
                <w:sz w:val="24"/>
                <w:highlight w:val="none"/>
              </w:rPr>
            </w:pPr>
          </w:p>
        </w:tc>
      </w:tr>
      <w:tr w14:paraId="0DAC6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959" w:type="dxa"/>
            <w:vMerge w:val="continue"/>
            <w:vAlign w:val="center"/>
          </w:tcPr>
          <w:p w14:paraId="20025A65">
            <w:pPr>
              <w:rPr>
                <w:highlight w:val="none"/>
              </w:rPr>
            </w:pPr>
          </w:p>
        </w:tc>
        <w:tc>
          <w:tcPr>
            <w:tcW w:w="732" w:type="dxa"/>
            <w:vAlign w:val="center"/>
          </w:tcPr>
          <w:p w14:paraId="6C39E0C2">
            <w:pPr>
              <w:spacing w:line="480" w:lineRule="auto"/>
              <w:jc w:val="center"/>
              <w:rPr>
                <w:rFonts w:hint="eastAsia" w:ascii="宋体"/>
                <w:sz w:val="24"/>
                <w:highlight w:val="none"/>
              </w:rPr>
            </w:pPr>
            <w:r>
              <w:rPr>
                <w:rFonts w:hint="eastAsia" w:ascii="宋体"/>
                <w:sz w:val="24"/>
                <w:highlight w:val="none"/>
              </w:rPr>
              <w:t>2</w:t>
            </w:r>
          </w:p>
        </w:tc>
        <w:tc>
          <w:tcPr>
            <w:tcW w:w="5405" w:type="dxa"/>
            <w:vAlign w:val="center"/>
          </w:tcPr>
          <w:p w14:paraId="59EE8609">
            <w:pPr>
              <w:spacing w:line="240" w:lineRule="auto"/>
              <w:rPr>
                <w:rFonts w:hint="eastAsia" w:ascii="宋体"/>
                <w:sz w:val="24"/>
                <w:highlight w:val="none"/>
              </w:rPr>
            </w:pPr>
            <w:r>
              <w:rPr>
                <w:rFonts w:hint="eastAsia" w:ascii="宋体"/>
                <w:sz w:val="24"/>
                <w:highlight w:val="none"/>
              </w:rPr>
              <w:t>质量保证措施和创优计划</w:t>
            </w:r>
          </w:p>
        </w:tc>
        <w:tc>
          <w:tcPr>
            <w:tcW w:w="742" w:type="dxa"/>
            <w:vAlign w:val="center"/>
          </w:tcPr>
          <w:p w14:paraId="5C603946">
            <w:pPr>
              <w:spacing w:line="480" w:lineRule="auto"/>
              <w:rPr>
                <w:rFonts w:hint="eastAsia" w:ascii="宋体"/>
                <w:sz w:val="24"/>
                <w:highlight w:val="none"/>
              </w:rPr>
            </w:pPr>
          </w:p>
        </w:tc>
        <w:tc>
          <w:tcPr>
            <w:tcW w:w="742" w:type="dxa"/>
            <w:vAlign w:val="center"/>
          </w:tcPr>
          <w:p w14:paraId="12A7E173">
            <w:pPr>
              <w:spacing w:line="480" w:lineRule="auto"/>
              <w:rPr>
                <w:rFonts w:hint="eastAsia" w:ascii="宋体"/>
                <w:sz w:val="24"/>
                <w:highlight w:val="none"/>
              </w:rPr>
            </w:pPr>
          </w:p>
        </w:tc>
        <w:tc>
          <w:tcPr>
            <w:tcW w:w="772" w:type="dxa"/>
            <w:vAlign w:val="center"/>
          </w:tcPr>
          <w:p w14:paraId="3D30614D">
            <w:pPr>
              <w:spacing w:line="480" w:lineRule="auto"/>
              <w:rPr>
                <w:rFonts w:hint="eastAsia" w:ascii="宋体"/>
                <w:sz w:val="24"/>
                <w:highlight w:val="none"/>
              </w:rPr>
            </w:pPr>
          </w:p>
        </w:tc>
        <w:tc>
          <w:tcPr>
            <w:tcW w:w="772" w:type="dxa"/>
            <w:vAlign w:val="center"/>
          </w:tcPr>
          <w:p w14:paraId="4D63DF3B">
            <w:pPr>
              <w:spacing w:line="480" w:lineRule="auto"/>
              <w:rPr>
                <w:rFonts w:hint="eastAsia" w:ascii="宋体"/>
                <w:sz w:val="24"/>
                <w:highlight w:val="none"/>
              </w:rPr>
            </w:pPr>
          </w:p>
        </w:tc>
      </w:tr>
      <w:tr w14:paraId="47B62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959" w:type="dxa"/>
            <w:vMerge w:val="continue"/>
            <w:vAlign w:val="center"/>
          </w:tcPr>
          <w:p w14:paraId="5E13016C">
            <w:pPr>
              <w:rPr>
                <w:highlight w:val="none"/>
              </w:rPr>
            </w:pPr>
          </w:p>
        </w:tc>
        <w:tc>
          <w:tcPr>
            <w:tcW w:w="732" w:type="dxa"/>
            <w:vAlign w:val="center"/>
          </w:tcPr>
          <w:p w14:paraId="4DA31302">
            <w:pPr>
              <w:spacing w:line="480" w:lineRule="auto"/>
              <w:jc w:val="center"/>
              <w:rPr>
                <w:rFonts w:hint="eastAsia" w:ascii="宋体"/>
                <w:sz w:val="24"/>
                <w:highlight w:val="none"/>
              </w:rPr>
            </w:pPr>
            <w:r>
              <w:rPr>
                <w:rFonts w:hint="eastAsia" w:ascii="宋体"/>
                <w:sz w:val="24"/>
                <w:highlight w:val="none"/>
              </w:rPr>
              <w:t>3</w:t>
            </w:r>
          </w:p>
        </w:tc>
        <w:tc>
          <w:tcPr>
            <w:tcW w:w="5405" w:type="dxa"/>
            <w:vAlign w:val="center"/>
          </w:tcPr>
          <w:p w14:paraId="346B4DC0">
            <w:pPr>
              <w:spacing w:line="240" w:lineRule="auto"/>
              <w:rPr>
                <w:rFonts w:hint="eastAsia" w:ascii="宋体"/>
                <w:sz w:val="24"/>
                <w:highlight w:val="none"/>
              </w:rPr>
            </w:pPr>
            <w:r>
              <w:rPr>
                <w:rFonts w:hint="eastAsia" w:ascii="宋体"/>
                <w:sz w:val="24"/>
                <w:highlight w:val="none"/>
              </w:rPr>
              <w:t>施工总进度计划</w:t>
            </w:r>
            <w:r>
              <w:rPr>
                <w:rFonts w:hint="eastAsia" w:eastAsia="宋体"/>
                <w:highlight w:val="none"/>
                <w:lang w:eastAsia="zh-CN"/>
              </w:rPr>
              <w:t>（</w:t>
            </w:r>
            <w:r>
              <w:rPr>
                <w:rFonts w:hint="eastAsia"/>
                <w:highlight w:val="none"/>
              </w:rPr>
              <w:t>附</w:t>
            </w:r>
            <w:r>
              <w:rPr>
                <w:rFonts w:hint="eastAsia" w:eastAsia="宋体"/>
                <w:highlight w:val="none"/>
                <w:lang w:val="en-US" w:eastAsia="zh-CN"/>
              </w:rPr>
              <w:t>流水</w:t>
            </w:r>
            <w:r>
              <w:rPr>
                <w:rFonts w:hint="eastAsia"/>
                <w:highlight w:val="none"/>
              </w:rPr>
              <w:t>图</w:t>
            </w:r>
            <w:r>
              <w:rPr>
                <w:rFonts w:hint="eastAsia" w:eastAsia="宋体"/>
                <w:highlight w:val="none"/>
                <w:lang w:eastAsia="zh-CN"/>
              </w:rPr>
              <w:t>）</w:t>
            </w:r>
            <w:r>
              <w:rPr>
                <w:rFonts w:hint="eastAsia" w:ascii="宋体"/>
                <w:sz w:val="24"/>
                <w:highlight w:val="none"/>
              </w:rPr>
              <w:t>及保证措施</w:t>
            </w:r>
          </w:p>
        </w:tc>
        <w:tc>
          <w:tcPr>
            <w:tcW w:w="742" w:type="dxa"/>
            <w:vAlign w:val="center"/>
          </w:tcPr>
          <w:p w14:paraId="18CF0695">
            <w:pPr>
              <w:spacing w:line="480" w:lineRule="auto"/>
              <w:rPr>
                <w:rFonts w:hint="eastAsia" w:ascii="宋体"/>
                <w:sz w:val="24"/>
                <w:highlight w:val="none"/>
              </w:rPr>
            </w:pPr>
          </w:p>
        </w:tc>
        <w:tc>
          <w:tcPr>
            <w:tcW w:w="742" w:type="dxa"/>
            <w:vAlign w:val="center"/>
          </w:tcPr>
          <w:p w14:paraId="03CCC4CC">
            <w:pPr>
              <w:spacing w:line="480" w:lineRule="auto"/>
              <w:rPr>
                <w:rFonts w:hint="eastAsia" w:ascii="宋体"/>
                <w:sz w:val="24"/>
                <w:highlight w:val="none"/>
              </w:rPr>
            </w:pPr>
          </w:p>
        </w:tc>
        <w:tc>
          <w:tcPr>
            <w:tcW w:w="772" w:type="dxa"/>
            <w:vAlign w:val="center"/>
          </w:tcPr>
          <w:p w14:paraId="48AE83F3">
            <w:pPr>
              <w:spacing w:line="480" w:lineRule="auto"/>
              <w:rPr>
                <w:rFonts w:hint="eastAsia" w:ascii="宋体"/>
                <w:sz w:val="24"/>
                <w:highlight w:val="none"/>
              </w:rPr>
            </w:pPr>
          </w:p>
        </w:tc>
        <w:tc>
          <w:tcPr>
            <w:tcW w:w="772" w:type="dxa"/>
            <w:vAlign w:val="center"/>
          </w:tcPr>
          <w:p w14:paraId="11FDF2B7">
            <w:pPr>
              <w:spacing w:line="480" w:lineRule="auto"/>
              <w:rPr>
                <w:rFonts w:hint="eastAsia" w:ascii="宋体"/>
                <w:sz w:val="24"/>
                <w:highlight w:val="none"/>
              </w:rPr>
            </w:pPr>
          </w:p>
        </w:tc>
      </w:tr>
      <w:tr w14:paraId="4E415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959" w:type="dxa"/>
            <w:vMerge w:val="continue"/>
            <w:vAlign w:val="center"/>
          </w:tcPr>
          <w:p w14:paraId="56AFADD4">
            <w:pPr>
              <w:rPr>
                <w:highlight w:val="none"/>
              </w:rPr>
            </w:pPr>
          </w:p>
        </w:tc>
        <w:tc>
          <w:tcPr>
            <w:tcW w:w="732" w:type="dxa"/>
            <w:vAlign w:val="center"/>
          </w:tcPr>
          <w:p w14:paraId="1558D889">
            <w:pPr>
              <w:spacing w:line="480" w:lineRule="auto"/>
              <w:jc w:val="center"/>
              <w:rPr>
                <w:rFonts w:hint="eastAsia" w:ascii="宋体"/>
                <w:sz w:val="24"/>
                <w:highlight w:val="none"/>
              </w:rPr>
            </w:pPr>
            <w:r>
              <w:rPr>
                <w:rFonts w:hint="eastAsia" w:ascii="宋体"/>
                <w:sz w:val="24"/>
                <w:highlight w:val="none"/>
              </w:rPr>
              <w:t>4</w:t>
            </w:r>
          </w:p>
        </w:tc>
        <w:tc>
          <w:tcPr>
            <w:tcW w:w="5405" w:type="dxa"/>
            <w:vAlign w:val="center"/>
          </w:tcPr>
          <w:p w14:paraId="4FA850CE">
            <w:pPr>
              <w:spacing w:line="240" w:lineRule="auto"/>
              <w:rPr>
                <w:rFonts w:hint="eastAsia" w:ascii="宋体"/>
                <w:sz w:val="24"/>
                <w:highlight w:val="none"/>
              </w:rPr>
            </w:pPr>
            <w:r>
              <w:rPr>
                <w:rFonts w:hint="eastAsia" w:ascii="宋体"/>
                <w:sz w:val="24"/>
                <w:highlight w:val="none"/>
              </w:rPr>
              <w:t>施工安全措施计划</w:t>
            </w:r>
          </w:p>
        </w:tc>
        <w:tc>
          <w:tcPr>
            <w:tcW w:w="742" w:type="dxa"/>
            <w:vAlign w:val="center"/>
          </w:tcPr>
          <w:p w14:paraId="6F68B263">
            <w:pPr>
              <w:spacing w:line="480" w:lineRule="auto"/>
              <w:rPr>
                <w:rFonts w:hint="eastAsia" w:ascii="宋体"/>
                <w:sz w:val="24"/>
                <w:highlight w:val="none"/>
              </w:rPr>
            </w:pPr>
          </w:p>
        </w:tc>
        <w:tc>
          <w:tcPr>
            <w:tcW w:w="742" w:type="dxa"/>
            <w:vAlign w:val="center"/>
          </w:tcPr>
          <w:p w14:paraId="5D8D0086">
            <w:pPr>
              <w:spacing w:line="480" w:lineRule="auto"/>
              <w:rPr>
                <w:rFonts w:hint="eastAsia" w:ascii="宋体"/>
                <w:sz w:val="24"/>
                <w:highlight w:val="none"/>
              </w:rPr>
            </w:pPr>
          </w:p>
        </w:tc>
        <w:tc>
          <w:tcPr>
            <w:tcW w:w="772" w:type="dxa"/>
            <w:vAlign w:val="center"/>
          </w:tcPr>
          <w:p w14:paraId="59C79722">
            <w:pPr>
              <w:spacing w:line="480" w:lineRule="auto"/>
              <w:rPr>
                <w:rFonts w:hint="eastAsia" w:ascii="宋体"/>
                <w:sz w:val="24"/>
                <w:highlight w:val="none"/>
              </w:rPr>
            </w:pPr>
          </w:p>
        </w:tc>
        <w:tc>
          <w:tcPr>
            <w:tcW w:w="772" w:type="dxa"/>
            <w:vAlign w:val="center"/>
          </w:tcPr>
          <w:p w14:paraId="634D8409">
            <w:pPr>
              <w:spacing w:line="480" w:lineRule="auto"/>
              <w:rPr>
                <w:rFonts w:hint="eastAsia" w:ascii="宋体"/>
                <w:sz w:val="24"/>
                <w:highlight w:val="none"/>
              </w:rPr>
            </w:pPr>
          </w:p>
        </w:tc>
      </w:tr>
      <w:tr w14:paraId="1C4F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959" w:type="dxa"/>
            <w:vMerge w:val="continue"/>
            <w:vAlign w:val="center"/>
          </w:tcPr>
          <w:p w14:paraId="01ED91A3">
            <w:pPr>
              <w:rPr>
                <w:highlight w:val="none"/>
              </w:rPr>
            </w:pPr>
          </w:p>
        </w:tc>
        <w:tc>
          <w:tcPr>
            <w:tcW w:w="732" w:type="dxa"/>
            <w:vAlign w:val="center"/>
          </w:tcPr>
          <w:p w14:paraId="6265F320">
            <w:pPr>
              <w:spacing w:line="480" w:lineRule="auto"/>
              <w:jc w:val="center"/>
              <w:rPr>
                <w:rFonts w:hint="eastAsia" w:ascii="宋体"/>
                <w:sz w:val="24"/>
                <w:highlight w:val="none"/>
              </w:rPr>
            </w:pPr>
            <w:r>
              <w:rPr>
                <w:rFonts w:hint="eastAsia" w:ascii="宋体"/>
                <w:sz w:val="24"/>
                <w:highlight w:val="none"/>
              </w:rPr>
              <w:t>5</w:t>
            </w:r>
          </w:p>
        </w:tc>
        <w:tc>
          <w:tcPr>
            <w:tcW w:w="5405" w:type="dxa"/>
            <w:vAlign w:val="center"/>
          </w:tcPr>
          <w:p w14:paraId="78305DA3">
            <w:pPr>
              <w:spacing w:line="240" w:lineRule="auto"/>
              <w:rPr>
                <w:rFonts w:hint="eastAsia" w:ascii="宋体"/>
                <w:sz w:val="24"/>
                <w:highlight w:val="none"/>
              </w:rPr>
            </w:pPr>
            <w:r>
              <w:rPr>
                <w:rFonts w:hint="eastAsia" w:ascii="宋体"/>
                <w:sz w:val="24"/>
                <w:highlight w:val="none"/>
              </w:rPr>
              <w:t>文明施工措施计划</w:t>
            </w:r>
          </w:p>
        </w:tc>
        <w:tc>
          <w:tcPr>
            <w:tcW w:w="742" w:type="dxa"/>
            <w:vAlign w:val="center"/>
          </w:tcPr>
          <w:p w14:paraId="0243A855">
            <w:pPr>
              <w:spacing w:line="480" w:lineRule="auto"/>
              <w:rPr>
                <w:rFonts w:hint="eastAsia" w:ascii="宋体"/>
                <w:sz w:val="24"/>
                <w:highlight w:val="none"/>
              </w:rPr>
            </w:pPr>
          </w:p>
        </w:tc>
        <w:tc>
          <w:tcPr>
            <w:tcW w:w="742" w:type="dxa"/>
            <w:vAlign w:val="center"/>
          </w:tcPr>
          <w:p w14:paraId="472B6F34">
            <w:pPr>
              <w:spacing w:line="480" w:lineRule="auto"/>
              <w:rPr>
                <w:rFonts w:hint="eastAsia" w:ascii="宋体"/>
                <w:sz w:val="24"/>
                <w:highlight w:val="none"/>
              </w:rPr>
            </w:pPr>
          </w:p>
        </w:tc>
        <w:tc>
          <w:tcPr>
            <w:tcW w:w="772" w:type="dxa"/>
            <w:vAlign w:val="center"/>
          </w:tcPr>
          <w:p w14:paraId="38086734">
            <w:pPr>
              <w:spacing w:line="480" w:lineRule="auto"/>
              <w:rPr>
                <w:rFonts w:hint="eastAsia" w:ascii="宋体"/>
                <w:sz w:val="24"/>
                <w:highlight w:val="none"/>
              </w:rPr>
            </w:pPr>
          </w:p>
        </w:tc>
        <w:tc>
          <w:tcPr>
            <w:tcW w:w="772" w:type="dxa"/>
            <w:vAlign w:val="center"/>
          </w:tcPr>
          <w:p w14:paraId="7B61D5A0">
            <w:pPr>
              <w:spacing w:line="480" w:lineRule="auto"/>
              <w:rPr>
                <w:rFonts w:hint="eastAsia" w:ascii="宋体"/>
                <w:sz w:val="24"/>
                <w:highlight w:val="none"/>
              </w:rPr>
            </w:pPr>
          </w:p>
        </w:tc>
      </w:tr>
      <w:tr w14:paraId="3AE89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exact"/>
          <w:jc w:val="center"/>
        </w:trPr>
        <w:tc>
          <w:tcPr>
            <w:tcW w:w="959" w:type="dxa"/>
            <w:vMerge w:val="continue"/>
            <w:vAlign w:val="center"/>
          </w:tcPr>
          <w:p w14:paraId="57A1C714">
            <w:pPr>
              <w:rPr>
                <w:highlight w:val="none"/>
              </w:rPr>
            </w:pPr>
          </w:p>
        </w:tc>
        <w:tc>
          <w:tcPr>
            <w:tcW w:w="732" w:type="dxa"/>
            <w:vAlign w:val="center"/>
          </w:tcPr>
          <w:p w14:paraId="3FEBB486">
            <w:pPr>
              <w:spacing w:line="480" w:lineRule="auto"/>
              <w:jc w:val="center"/>
              <w:rPr>
                <w:rFonts w:hint="eastAsia" w:ascii="宋体"/>
                <w:sz w:val="24"/>
                <w:highlight w:val="none"/>
              </w:rPr>
            </w:pPr>
            <w:r>
              <w:rPr>
                <w:rFonts w:hint="eastAsia" w:ascii="宋体"/>
                <w:sz w:val="24"/>
                <w:highlight w:val="none"/>
              </w:rPr>
              <w:t>6</w:t>
            </w:r>
          </w:p>
        </w:tc>
        <w:tc>
          <w:tcPr>
            <w:tcW w:w="5405" w:type="dxa"/>
            <w:vAlign w:val="center"/>
          </w:tcPr>
          <w:p w14:paraId="0554FA3A">
            <w:pPr>
              <w:spacing w:line="240" w:lineRule="auto"/>
              <w:rPr>
                <w:rFonts w:hint="eastAsia" w:ascii="宋体"/>
                <w:sz w:val="24"/>
                <w:highlight w:val="none"/>
              </w:rPr>
            </w:pPr>
            <w:r>
              <w:rPr>
                <w:rFonts w:hint="eastAsia" w:ascii="宋体"/>
                <w:sz w:val="24"/>
                <w:highlight w:val="none"/>
              </w:rPr>
              <w:t>施工场地治安保卫管理计划</w:t>
            </w:r>
          </w:p>
        </w:tc>
        <w:tc>
          <w:tcPr>
            <w:tcW w:w="742" w:type="dxa"/>
            <w:vAlign w:val="center"/>
          </w:tcPr>
          <w:p w14:paraId="148D0483">
            <w:pPr>
              <w:spacing w:line="480" w:lineRule="auto"/>
              <w:rPr>
                <w:rFonts w:hint="eastAsia" w:ascii="宋体"/>
                <w:sz w:val="24"/>
                <w:highlight w:val="none"/>
              </w:rPr>
            </w:pPr>
          </w:p>
        </w:tc>
        <w:tc>
          <w:tcPr>
            <w:tcW w:w="742" w:type="dxa"/>
            <w:vAlign w:val="center"/>
          </w:tcPr>
          <w:p w14:paraId="2DDB1DD4">
            <w:pPr>
              <w:spacing w:line="480" w:lineRule="auto"/>
              <w:rPr>
                <w:rFonts w:hint="eastAsia" w:ascii="宋体"/>
                <w:sz w:val="24"/>
                <w:highlight w:val="none"/>
              </w:rPr>
            </w:pPr>
          </w:p>
        </w:tc>
        <w:tc>
          <w:tcPr>
            <w:tcW w:w="772" w:type="dxa"/>
            <w:vAlign w:val="center"/>
          </w:tcPr>
          <w:p w14:paraId="43D05F0E">
            <w:pPr>
              <w:spacing w:line="480" w:lineRule="auto"/>
              <w:rPr>
                <w:rFonts w:hint="eastAsia" w:ascii="宋体"/>
                <w:sz w:val="24"/>
                <w:highlight w:val="none"/>
              </w:rPr>
            </w:pPr>
          </w:p>
        </w:tc>
        <w:tc>
          <w:tcPr>
            <w:tcW w:w="772" w:type="dxa"/>
            <w:vAlign w:val="center"/>
          </w:tcPr>
          <w:p w14:paraId="4CC10E2E">
            <w:pPr>
              <w:spacing w:line="480" w:lineRule="auto"/>
              <w:rPr>
                <w:rFonts w:hint="eastAsia" w:ascii="宋体"/>
                <w:sz w:val="24"/>
                <w:highlight w:val="none"/>
              </w:rPr>
            </w:pPr>
          </w:p>
        </w:tc>
      </w:tr>
      <w:tr w14:paraId="2F57F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exact"/>
          <w:jc w:val="center"/>
        </w:trPr>
        <w:tc>
          <w:tcPr>
            <w:tcW w:w="959" w:type="dxa"/>
            <w:vMerge w:val="continue"/>
            <w:vAlign w:val="center"/>
          </w:tcPr>
          <w:p w14:paraId="37D1B9CC">
            <w:pPr>
              <w:rPr>
                <w:highlight w:val="none"/>
              </w:rPr>
            </w:pPr>
          </w:p>
        </w:tc>
        <w:tc>
          <w:tcPr>
            <w:tcW w:w="732" w:type="dxa"/>
            <w:vAlign w:val="center"/>
          </w:tcPr>
          <w:p w14:paraId="45A6243C">
            <w:pPr>
              <w:spacing w:line="480" w:lineRule="auto"/>
              <w:jc w:val="center"/>
              <w:rPr>
                <w:rFonts w:hint="eastAsia" w:ascii="宋体"/>
                <w:sz w:val="24"/>
                <w:highlight w:val="none"/>
              </w:rPr>
            </w:pPr>
            <w:r>
              <w:rPr>
                <w:rFonts w:hint="eastAsia" w:ascii="宋体"/>
                <w:sz w:val="24"/>
                <w:highlight w:val="none"/>
              </w:rPr>
              <w:t>7</w:t>
            </w:r>
          </w:p>
        </w:tc>
        <w:tc>
          <w:tcPr>
            <w:tcW w:w="5405" w:type="dxa"/>
            <w:vAlign w:val="center"/>
          </w:tcPr>
          <w:p w14:paraId="07A60988">
            <w:pPr>
              <w:spacing w:line="240" w:lineRule="auto"/>
              <w:rPr>
                <w:rFonts w:hint="eastAsia" w:ascii="宋体"/>
                <w:sz w:val="24"/>
                <w:highlight w:val="none"/>
              </w:rPr>
            </w:pPr>
            <w:r>
              <w:rPr>
                <w:rFonts w:hint="eastAsia" w:ascii="宋体"/>
                <w:sz w:val="24"/>
                <w:highlight w:val="none"/>
              </w:rPr>
              <w:t>施工环保措施计划</w:t>
            </w:r>
          </w:p>
        </w:tc>
        <w:tc>
          <w:tcPr>
            <w:tcW w:w="742" w:type="dxa"/>
            <w:vAlign w:val="center"/>
          </w:tcPr>
          <w:p w14:paraId="46C67FE3">
            <w:pPr>
              <w:spacing w:line="480" w:lineRule="auto"/>
              <w:rPr>
                <w:rFonts w:hint="eastAsia" w:ascii="宋体"/>
                <w:sz w:val="24"/>
                <w:highlight w:val="none"/>
              </w:rPr>
            </w:pPr>
          </w:p>
        </w:tc>
        <w:tc>
          <w:tcPr>
            <w:tcW w:w="742" w:type="dxa"/>
            <w:vAlign w:val="center"/>
          </w:tcPr>
          <w:p w14:paraId="3C83E235">
            <w:pPr>
              <w:spacing w:line="480" w:lineRule="auto"/>
              <w:rPr>
                <w:rFonts w:hint="eastAsia" w:ascii="宋体"/>
                <w:sz w:val="24"/>
                <w:highlight w:val="none"/>
              </w:rPr>
            </w:pPr>
          </w:p>
        </w:tc>
        <w:tc>
          <w:tcPr>
            <w:tcW w:w="772" w:type="dxa"/>
            <w:vAlign w:val="center"/>
          </w:tcPr>
          <w:p w14:paraId="4F155702">
            <w:pPr>
              <w:spacing w:line="480" w:lineRule="auto"/>
              <w:rPr>
                <w:rFonts w:hint="eastAsia" w:ascii="宋体"/>
                <w:sz w:val="24"/>
                <w:highlight w:val="none"/>
              </w:rPr>
            </w:pPr>
          </w:p>
        </w:tc>
        <w:tc>
          <w:tcPr>
            <w:tcW w:w="772" w:type="dxa"/>
            <w:vAlign w:val="center"/>
          </w:tcPr>
          <w:p w14:paraId="055E4210">
            <w:pPr>
              <w:spacing w:line="480" w:lineRule="auto"/>
              <w:rPr>
                <w:rFonts w:hint="eastAsia" w:ascii="宋体"/>
                <w:sz w:val="24"/>
                <w:highlight w:val="none"/>
              </w:rPr>
            </w:pPr>
          </w:p>
        </w:tc>
      </w:tr>
      <w:tr w14:paraId="66B03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exact"/>
          <w:jc w:val="center"/>
        </w:trPr>
        <w:tc>
          <w:tcPr>
            <w:tcW w:w="959" w:type="dxa"/>
            <w:vMerge w:val="continue"/>
            <w:vAlign w:val="center"/>
          </w:tcPr>
          <w:p w14:paraId="23F7C248">
            <w:pPr>
              <w:rPr>
                <w:highlight w:val="none"/>
              </w:rPr>
            </w:pPr>
          </w:p>
        </w:tc>
        <w:tc>
          <w:tcPr>
            <w:tcW w:w="732" w:type="dxa"/>
            <w:vAlign w:val="center"/>
          </w:tcPr>
          <w:p w14:paraId="7B74F05F">
            <w:pPr>
              <w:spacing w:line="480" w:lineRule="auto"/>
              <w:jc w:val="center"/>
              <w:rPr>
                <w:rFonts w:hint="eastAsia" w:ascii="宋体"/>
                <w:sz w:val="24"/>
                <w:highlight w:val="none"/>
              </w:rPr>
            </w:pPr>
            <w:r>
              <w:rPr>
                <w:rFonts w:hint="eastAsia" w:ascii="宋体"/>
                <w:sz w:val="24"/>
                <w:highlight w:val="none"/>
              </w:rPr>
              <w:t>8</w:t>
            </w:r>
          </w:p>
        </w:tc>
        <w:tc>
          <w:tcPr>
            <w:tcW w:w="5405" w:type="dxa"/>
            <w:vAlign w:val="center"/>
          </w:tcPr>
          <w:p w14:paraId="170A968E">
            <w:pPr>
              <w:spacing w:line="240" w:lineRule="auto"/>
              <w:rPr>
                <w:rFonts w:hint="eastAsia" w:ascii="宋体"/>
                <w:sz w:val="24"/>
                <w:highlight w:val="none"/>
              </w:rPr>
            </w:pPr>
            <w:r>
              <w:rPr>
                <w:rFonts w:hint="eastAsia" w:ascii="宋体"/>
                <w:sz w:val="24"/>
                <w:highlight w:val="none"/>
              </w:rPr>
              <w:t>施工现场总平面布置（附图）</w:t>
            </w:r>
          </w:p>
        </w:tc>
        <w:tc>
          <w:tcPr>
            <w:tcW w:w="742" w:type="dxa"/>
            <w:vAlign w:val="center"/>
          </w:tcPr>
          <w:p w14:paraId="37B48A48">
            <w:pPr>
              <w:spacing w:line="480" w:lineRule="auto"/>
              <w:rPr>
                <w:rFonts w:hint="eastAsia" w:ascii="宋体"/>
                <w:sz w:val="24"/>
                <w:highlight w:val="none"/>
              </w:rPr>
            </w:pPr>
          </w:p>
        </w:tc>
        <w:tc>
          <w:tcPr>
            <w:tcW w:w="742" w:type="dxa"/>
            <w:vAlign w:val="center"/>
          </w:tcPr>
          <w:p w14:paraId="0D2BC3EF">
            <w:pPr>
              <w:spacing w:line="480" w:lineRule="auto"/>
              <w:rPr>
                <w:rFonts w:hint="eastAsia" w:ascii="宋体"/>
                <w:sz w:val="24"/>
                <w:highlight w:val="none"/>
              </w:rPr>
            </w:pPr>
          </w:p>
        </w:tc>
        <w:tc>
          <w:tcPr>
            <w:tcW w:w="772" w:type="dxa"/>
            <w:vAlign w:val="center"/>
          </w:tcPr>
          <w:p w14:paraId="01CC4EA9">
            <w:pPr>
              <w:spacing w:line="480" w:lineRule="auto"/>
              <w:rPr>
                <w:rFonts w:hint="eastAsia" w:ascii="宋体"/>
                <w:sz w:val="24"/>
                <w:highlight w:val="none"/>
              </w:rPr>
            </w:pPr>
          </w:p>
        </w:tc>
        <w:tc>
          <w:tcPr>
            <w:tcW w:w="772" w:type="dxa"/>
            <w:vAlign w:val="center"/>
          </w:tcPr>
          <w:p w14:paraId="6F7453B4">
            <w:pPr>
              <w:spacing w:line="480" w:lineRule="auto"/>
              <w:rPr>
                <w:rFonts w:hint="eastAsia" w:ascii="宋体"/>
                <w:sz w:val="24"/>
                <w:highlight w:val="none"/>
              </w:rPr>
            </w:pPr>
          </w:p>
        </w:tc>
      </w:tr>
      <w:tr w14:paraId="1DC4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jc w:val="center"/>
        </w:trPr>
        <w:tc>
          <w:tcPr>
            <w:tcW w:w="959" w:type="dxa"/>
            <w:vMerge w:val="continue"/>
            <w:vAlign w:val="center"/>
          </w:tcPr>
          <w:p w14:paraId="1C68884C">
            <w:pPr>
              <w:rPr>
                <w:highlight w:val="none"/>
              </w:rPr>
            </w:pPr>
          </w:p>
        </w:tc>
        <w:tc>
          <w:tcPr>
            <w:tcW w:w="732" w:type="dxa"/>
            <w:vAlign w:val="center"/>
          </w:tcPr>
          <w:p w14:paraId="5E48CB65">
            <w:pPr>
              <w:spacing w:line="480" w:lineRule="auto"/>
              <w:jc w:val="center"/>
              <w:rPr>
                <w:rFonts w:hint="eastAsia" w:ascii="宋体"/>
                <w:sz w:val="24"/>
                <w:highlight w:val="none"/>
              </w:rPr>
            </w:pPr>
            <w:r>
              <w:rPr>
                <w:rFonts w:hint="eastAsia" w:ascii="宋体"/>
                <w:sz w:val="24"/>
                <w:highlight w:val="none"/>
              </w:rPr>
              <w:t>9</w:t>
            </w:r>
          </w:p>
        </w:tc>
        <w:tc>
          <w:tcPr>
            <w:tcW w:w="5405" w:type="dxa"/>
            <w:vAlign w:val="center"/>
          </w:tcPr>
          <w:p w14:paraId="17EF2183">
            <w:pPr>
              <w:spacing w:line="240" w:lineRule="auto"/>
              <w:rPr>
                <w:rFonts w:hint="eastAsia" w:ascii="宋体"/>
                <w:sz w:val="24"/>
                <w:highlight w:val="none"/>
              </w:rPr>
            </w:pPr>
            <w:r>
              <w:rPr>
                <w:rFonts w:hint="eastAsia" w:ascii="宋体"/>
                <w:sz w:val="24"/>
                <w:highlight w:val="none"/>
              </w:rPr>
              <w:t>项目组织管理机构</w:t>
            </w:r>
          </w:p>
        </w:tc>
        <w:tc>
          <w:tcPr>
            <w:tcW w:w="742" w:type="dxa"/>
            <w:vAlign w:val="center"/>
          </w:tcPr>
          <w:p w14:paraId="370945F4">
            <w:pPr>
              <w:spacing w:line="480" w:lineRule="auto"/>
              <w:rPr>
                <w:rFonts w:hint="eastAsia" w:ascii="宋体"/>
                <w:sz w:val="24"/>
                <w:highlight w:val="none"/>
              </w:rPr>
            </w:pPr>
          </w:p>
        </w:tc>
        <w:tc>
          <w:tcPr>
            <w:tcW w:w="742" w:type="dxa"/>
            <w:vAlign w:val="center"/>
          </w:tcPr>
          <w:p w14:paraId="7977C79B">
            <w:pPr>
              <w:spacing w:line="480" w:lineRule="auto"/>
              <w:rPr>
                <w:rFonts w:hint="eastAsia" w:ascii="宋体"/>
                <w:sz w:val="24"/>
                <w:highlight w:val="none"/>
              </w:rPr>
            </w:pPr>
          </w:p>
        </w:tc>
        <w:tc>
          <w:tcPr>
            <w:tcW w:w="772" w:type="dxa"/>
            <w:vAlign w:val="center"/>
          </w:tcPr>
          <w:p w14:paraId="2241B1FE">
            <w:pPr>
              <w:spacing w:line="480" w:lineRule="auto"/>
              <w:rPr>
                <w:rFonts w:hint="eastAsia" w:ascii="宋体"/>
                <w:sz w:val="24"/>
                <w:highlight w:val="none"/>
              </w:rPr>
            </w:pPr>
          </w:p>
        </w:tc>
        <w:tc>
          <w:tcPr>
            <w:tcW w:w="772" w:type="dxa"/>
            <w:vAlign w:val="center"/>
          </w:tcPr>
          <w:p w14:paraId="52015166">
            <w:pPr>
              <w:spacing w:line="480" w:lineRule="auto"/>
              <w:rPr>
                <w:rFonts w:hint="eastAsia" w:ascii="宋体"/>
                <w:sz w:val="24"/>
                <w:highlight w:val="none"/>
              </w:rPr>
            </w:pPr>
          </w:p>
        </w:tc>
      </w:tr>
      <w:tr w14:paraId="461A7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959" w:type="dxa"/>
            <w:vMerge w:val="continue"/>
            <w:vAlign w:val="center"/>
          </w:tcPr>
          <w:p w14:paraId="79DDAE83">
            <w:pPr>
              <w:rPr>
                <w:highlight w:val="none"/>
              </w:rPr>
            </w:pPr>
          </w:p>
        </w:tc>
        <w:tc>
          <w:tcPr>
            <w:tcW w:w="732" w:type="dxa"/>
            <w:vAlign w:val="center"/>
          </w:tcPr>
          <w:p w14:paraId="430C3538">
            <w:pPr>
              <w:spacing w:line="480" w:lineRule="auto"/>
              <w:jc w:val="center"/>
              <w:rPr>
                <w:rFonts w:hint="eastAsia" w:ascii="宋体"/>
                <w:sz w:val="24"/>
                <w:highlight w:val="none"/>
              </w:rPr>
            </w:pPr>
            <w:r>
              <w:rPr>
                <w:rFonts w:hint="eastAsia" w:ascii="宋体"/>
                <w:sz w:val="24"/>
                <w:highlight w:val="none"/>
              </w:rPr>
              <w:t>10</w:t>
            </w:r>
          </w:p>
        </w:tc>
        <w:tc>
          <w:tcPr>
            <w:tcW w:w="5405" w:type="dxa"/>
            <w:vAlign w:val="center"/>
          </w:tcPr>
          <w:p w14:paraId="38178EA1">
            <w:pPr>
              <w:spacing w:line="240" w:lineRule="auto"/>
              <w:rPr>
                <w:rFonts w:hint="eastAsia" w:ascii="宋体"/>
                <w:sz w:val="24"/>
                <w:highlight w:val="none"/>
              </w:rPr>
            </w:pPr>
            <w:r>
              <w:rPr>
                <w:rFonts w:hint="eastAsia" w:ascii="宋体"/>
                <w:sz w:val="24"/>
                <w:highlight w:val="none"/>
              </w:rPr>
              <w:t>成品保护和工程保修工作的管理和承诺</w:t>
            </w:r>
          </w:p>
        </w:tc>
        <w:tc>
          <w:tcPr>
            <w:tcW w:w="742" w:type="dxa"/>
            <w:vAlign w:val="center"/>
          </w:tcPr>
          <w:p w14:paraId="1DA468C1">
            <w:pPr>
              <w:spacing w:line="480" w:lineRule="auto"/>
              <w:rPr>
                <w:rFonts w:hint="eastAsia" w:ascii="宋体"/>
                <w:sz w:val="24"/>
                <w:highlight w:val="none"/>
              </w:rPr>
            </w:pPr>
          </w:p>
        </w:tc>
        <w:tc>
          <w:tcPr>
            <w:tcW w:w="742" w:type="dxa"/>
            <w:vAlign w:val="center"/>
          </w:tcPr>
          <w:p w14:paraId="535283D0">
            <w:pPr>
              <w:spacing w:line="480" w:lineRule="auto"/>
              <w:rPr>
                <w:rFonts w:hint="eastAsia" w:ascii="宋体"/>
                <w:sz w:val="24"/>
                <w:highlight w:val="none"/>
              </w:rPr>
            </w:pPr>
          </w:p>
        </w:tc>
        <w:tc>
          <w:tcPr>
            <w:tcW w:w="772" w:type="dxa"/>
            <w:vAlign w:val="center"/>
          </w:tcPr>
          <w:p w14:paraId="62D14FD0">
            <w:pPr>
              <w:spacing w:line="480" w:lineRule="auto"/>
              <w:rPr>
                <w:rFonts w:hint="eastAsia" w:ascii="宋体"/>
                <w:sz w:val="24"/>
                <w:highlight w:val="none"/>
              </w:rPr>
            </w:pPr>
          </w:p>
        </w:tc>
        <w:tc>
          <w:tcPr>
            <w:tcW w:w="772" w:type="dxa"/>
            <w:vAlign w:val="center"/>
          </w:tcPr>
          <w:p w14:paraId="664351F6">
            <w:pPr>
              <w:spacing w:line="480" w:lineRule="auto"/>
              <w:rPr>
                <w:rFonts w:hint="eastAsia" w:ascii="宋体"/>
                <w:sz w:val="24"/>
                <w:highlight w:val="none"/>
              </w:rPr>
            </w:pPr>
          </w:p>
        </w:tc>
      </w:tr>
      <w:tr w14:paraId="3609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959" w:type="dxa"/>
            <w:vMerge w:val="continue"/>
            <w:vAlign w:val="center"/>
          </w:tcPr>
          <w:p w14:paraId="246FA54B">
            <w:pPr>
              <w:rPr>
                <w:highlight w:val="none"/>
              </w:rPr>
            </w:pPr>
          </w:p>
        </w:tc>
        <w:tc>
          <w:tcPr>
            <w:tcW w:w="732" w:type="dxa"/>
            <w:vAlign w:val="center"/>
          </w:tcPr>
          <w:p w14:paraId="2258DC36">
            <w:pPr>
              <w:spacing w:line="480" w:lineRule="auto"/>
              <w:jc w:val="center"/>
              <w:rPr>
                <w:rFonts w:hint="eastAsia" w:ascii="宋体"/>
                <w:sz w:val="24"/>
                <w:highlight w:val="none"/>
              </w:rPr>
            </w:pPr>
            <w:r>
              <w:rPr>
                <w:rFonts w:hint="eastAsia" w:ascii="宋体"/>
                <w:sz w:val="24"/>
                <w:highlight w:val="none"/>
              </w:rPr>
              <w:t>11</w:t>
            </w:r>
          </w:p>
        </w:tc>
        <w:tc>
          <w:tcPr>
            <w:tcW w:w="5405" w:type="dxa"/>
            <w:vAlign w:val="center"/>
          </w:tcPr>
          <w:p w14:paraId="3D3E4B09">
            <w:pPr>
              <w:spacing w:line="240" w:lineRule="auto"/>
              <w:rPr>
                <w:rFonts w:hint="eastAsia" w:ascii="宋体"/>
                <w:sz w:val="24"/>
                <w:highlight w:val="none"/>
              </w:rPr>
            </w:pPr>
            <w:r>
              <w:rPr>
                <w:rFonts w:hint="eastAsia" w:ascii="宋体"/>
                <w:sz w:val="24"/>
                <w:highlight w:val="none"/>
              </w:rPr>
              <w:t>任何可能的紧急情况的处理措施、预案以及抵抗风险的措施</w:t>
            </w:r>
          </w:p>
        </w:tc>
        <w:tc>
          <w:tcPr>
            <w:tcW w:w="742" w:type="dxa"/>
            <w:vAlign w:val="center"/>
          </w:tcPr>
          <w:p w14:paraId="49330E43">
            <w:pPr>
              <w:spacing w:line="480" w:lineRule="auto"/>
              <w:rPr>
                <w:rFonts w:hint="eastAsia" w:ascii="宋体"/>
                <w:sz w:val="24"/>
                <w:highlight w:val="none"/>
              </w:rPr>
            </w:pPr>
          </w:p>
        </w:tc>
        <w:tc>
          <w:tcPr>
            <w:tcW w:w="742" w:type="dxa"/>
            <w:vAlign w:val="center"/>
          </w:tcPr>
          <w:p w14:paraId="127EFD2C">
            <w:pPr>
              <w:spacing w:line="480" w:lineRule="auto"/>
              <w:rPr>
                <w:rFonts w:hint="eastAsia" w:ascii="宋体"/>
                <w:sz w:val="24"/>
                <w:highlight w:val="none"/>
              </w:rPr>
            </w:pPr>
          </w:p>
        </w:tc>
        <w:tc>
          <w:tcPr>
            <w:tcW w:w="772" w:type="dxa"/>
            <w:vAlign w:val="center"/>
          </w:tcPr>
          <w:p w14:paraId="212C3FED">
            <w:pPr>
              <w:spacing w:line="480" w:lineRule="auto"/>
              <w:rPr>
                <w:rFonts w:hint="eastAsia" w:ascii="宋体"/>
                <w:sz w:val="24"/>
                <w:highlight w:val="none"/>
              </w:rPr>
            </w:pPr>
          </w:p>
        </w:tc>
        <w:tc>
          <w:tcPr>
            <w:tcW w:w="772" w:type="dxa"/>
            <w:vAlign w:val="center"/>
          </w:tcPr>
          <w:p w14:paraId="70B985FD">
            <w:pPr>
              <w:spacing w:line="480" w:lineRule="auto"/>
              <w:rPr>
                <w:rFonts w:hint="eastAsia" w:ascii="宋体"/>
                <w:sz w:val="24"/>
                <w:highlight w:val="none"/>
              </w:rPr>
            </w:pPr>
          </w:p>
        </w:tc>
      </w:tr>
      <w:tr w14:paraId="03D8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959" w:type="dxa"/>
            <w:vMerge w:val="continue"/>
            <w:vAlign w:val="center"/>
          </w:tcPr>
          <w:p w14:paraId="6E75B5B5">
            <w:pPr>
              <w:rPr>
                <w:highlight w:val="none"/>
              </w:rPr>
            </w:pPr>
          </w:p>
        </w:tc>
        <w:tc>
          <w:tcPr>
            <w:tcW w:w="732" w:type="dxa"/>
            <w:vAlign w:val="center"/>
          </w:tcPr>
          <w:p w14:paraId="7D68CB5B">
            <w:pPr>
              <w:spacing w:line="480" w:lineRule="auto"/>
              <w:jc w:val="center"/>
              <w:rPr>
                <w:rFonts w:hint="eastAsia" w:ascii="宋体"/>
                <w:sz w:val="24"/>
                <w:highlight w:val="none"/>
              </w:rPr>
            </w:pPr>
            <w:r>
              <w:rPr>
                <w:rFonts w:hint="eastAsia" w:ascii="宋体"/>
                <w:sz w:val="24"/>
                <w:highlight w:val="none"/>
              </w:rPr>
              <w:t>12</w:t>
            </w:r>
          </w:p>
        </w:tc>
        <w:tc>
          <w:tcPr>
            <w:tcW w:w="5405" w:type="dxa"/>
            <w:vAlign w:val="center"/>
          </w:tcPr>
          <w:p w14:paraId="16F6C0E0">
            <w:pPr>
              <w:spacing w:line="240" w:lineRule="auto"/>
              <w:rPr>
                <w:rFonts w:hint="eastAsia" w:ascii="宋体"/>
                <w:sz w:val="24"/>
                <w:highlight w:val="none"/>
              </w:rPr>
            </w:pPr>
            <w:r>
              <w:rPr>
                <w:rFonts w:hint="eastAsia" w:ascii="宋体"/>
                <w:sz w:val="24"/>
                <w:highlight w:val="none"/>
              </w:rPr>
              <w:t>对总包管理的认识以及对专业分包工程的配合、协调、管理、服务方案</w:t>
            </w:r>
          </w:p>
        </w:tc>
        <w:tc>
          <w:tcPr>
            <w:tcW w:w="742" w:type="dxa"/>
            <w:vAlign w:val="center"/>
          </w:tcPr>
          <w:p w14:paraId="5558A12C">
            <w:pPr>
              <w:spacing w:line="480" w:lineRule="auto"/>
              <w:rPr>
                <w:rFonts w:hint="eastAsia" w:ascii="宋体"/>
                <w:sz w:val="24"/>
                <w:highlight w:val="none"/>
              </w:rPr>
            </w:pPr>
          </w:p>
        </w:tc>
        <w:tc>
          <w:tcPr>
            <w:tcW w:w="742" w:type="dxa"/>
            <w:vAlign w:val="center"/>
          </w:tcPr>
          <w:p w14:paraId="3FF731FB">
            <w:pPr>
              <w:spacing w:line="480" w:lineRule="auto"/>
              <w:rPr>
                <w:rFonts w:hint="eastAsia" w:ascii="宋体"/>
                <w:sz w:val="24"/>
                <w:highlight w:val="none"/>
              </w:rPr>
            </w:pPr>
          </w:p>
        </w:tc>
        <w:tc>
          <w:tcPr>
            <w:tcW w:w="772" w:type="dxa"/>
            <w:vAlign w:val="center"/>
          </w:tcPr>
          <w:p w14:paraId="0C394552">
            <w:pPr>
              <w:spacing w:line="480" w:lineRule="auto"/>
              <w:rPr>
                <w:rFonts w:hint="eastAsia" w:ascii="宋体"/>
                <w:sz w:val="24"/>
                <w:highlight w:val="none"/>
              </w:rPr>
            </w:pPr>
          </w:p>
        </w:tc>
        <w:tc>
          <w:tcPr>
            <w:tcW w:w="772" w:type="dxa"/>
            <w:vAlign w:val="center"/>
          </w:tcPr>
          <w:p w14:paraId="3BF5735F">
            <w:pPr>
              <w:spacing w:line="480" w:lineRule="auto"/>
              <w:rPr>
                <w:rFonts w:hint="eastAsia" w:ascii="宋体"/>
                <w:sz w:val="24"/>
                <w:highlight w:val="none"/>
              </w:rPr>
            </w:pPr>
          </w:p>
        </w:tc>
      </w:tr>
      <w:tr w14:paraId="61742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959" w:type="dxa"/>
            <w:vMerge w:val="continue"/>
            <w:vAlign w:val="center"/>
          </w:tcPr>
          <w:p w14:paraId="2185FF5A">
            <w:pPr>
              <w:rPr>
                <w:highlight w:val="none"/>
              </w:rPr>
            </w:pPr>
          </w:p>
        </w:tc>
        <w:tc>
          <w:tcPr>
            <w:tcW w:w="732" w:type="dxa"/>
            <w:vAlign w:val="center"/>
          </w:tcPr>
          <w:p w14:paraId="28799208">
            <w:pPr>
              <w:spacing w:line="480" w:lineRule="auto"/>
              <w:rPr>
                <w:rFonts w:hint="eastAsia" w:ascii="宋体"/>
                <w:sz w:val="24"/>
                <w:highlight w:val="none"/>
              </w:rPr>
            </w:pPr>
          </w:p>
        </w:tc>
        <w:tc>
          <w:tcPr>
            <w:tcW w:w="5405" w:type="dxa"/>
            <w:vAlign w:val="center"/>
          </w:tcPr>
          <w:p w14:paraId="24CF42B8">
            <w:pPr>
              <w:spacing w:line="480" w:lineRule="auto"/>
              <w:rPr>
                <w:rFonts w:hint="eastAsia" w:ascii="宋体"/>
                <w:sz w:val="24"/>
                <w:highlight w:val="none"/>
              </w:rPr>
            </w:pPr>
            <w:r>
              <w:rPr>
                <w:rFonts w:hint="eastAsia" w:ascii="宋体"/>
                <w:sz w:val="24"/>
                <w:highlight w:val="none"/>
              </w:rPr>
              <w:t>.....</w:t>
            </w:r>
          </w:p>
        </w:tc>
        <w:tc>
          <w:tcPr>
            <w:tcW w:w="742" w:type="dxa"/>
            <w:vAlign w:val="center"/>
          </w:tcPr>
          <w:p w14:paraId="43328C95">
            <w:pPr>
              <w:spacing w:line="480" w:lineRule="auto"/>
              <w:rPr>
                <w:rFonts w:hint="eastAsia" w:ascii="宋体"/>
                <w:sz w:val="24"/>
                <w:highlight w:val="none"/>
              </w:rPr>
            </w:pPr>
          </w:p>
        </w:tc>
        <w:tc>
          <w:tcPr>
            <w:tcW w:w="742" w:type="dxa"/>
            <w:vAlign w:val="center"/>
          </w:tcPr>
          <w:p w14:paraId="767A2971">
            <w:pPr>
              <w:spacing w:line="480" w:lineRule="auto"/>
              <w:rPr>
                <w:rFonts w:hint="eastAsia" w:ascii="宋体"/>
                <w:sz w:val="24"/>
                <w:highlight w:val="none"/>
              </w:rPr>
            </w:pPr>
          </w:p>
        </w:tc>
        <w:tc>
          <w:tcPr>
            <w:tcW w:w="772" w:type="dxa"/>
            <w:vAlign w:val="center"/>
          </w:tcPr>
          <w:p w14:paraId="32F6BFB5">
            <w:pPr>
              <w:spacing w:line="480" w:lineRule="auto"/>
              <w:rPr>
                <w:rFonts w:hint="eastAsia" w:ascii="宋体"/>
                <w:sz w:val="24"/>
                <w:highlight w:val="none"/>
              </w:rPr>
            </w:pPr>
          </w:p>
        </w:tc>
        <w:tc>
          <w:tcPr>
            <w:tcW w:w="772" w:type="dxa"/>
            <w:vAlign w:val="center"/>
          </w:tcPr>
          <w:p w14:paraId="73348140">
            <w:pPr>
              <w:spacing w:line="480" w:lineRule="auto"/>
              <w:rPr>
                <w:rFonts w:hint="eastAsia" w:ascii="宋体"/>
                <w:sz w:val="24"/>
                <w:highlight w:val="none"/>
              </w:rPr>
            </w:pPr>
          </w:p>
        </w:tc>
      </w:tr>
      <w:tr w14:paraId="458C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959" w:type="dxa"/>
            <w:vMerge w:val="continue"/>
            <w:vAlign w:val="center"/>
          </w:tcPr>
          <w:p w14:paraId="3C98559B">
            <w:pPr>
              <w:rPr>
                <w:highlight w:val="none"/>
              </w:rPr>
            </w:pPr>
          </w:p>
        </w:tc>
        <w:tc>
          <w:tcPr>
            <w:tcW w:w="9165" w:type="dxa"/>
            <w:gridSpan w:val="6"/>
            <w:vAlign w:val="center"/>
          </w:tcPr>
          <w:p w14:paraId="761B4306">
            <w:pPr>
              <w:spacing w:line="480" w:lineRule="auto"/>
              <w:rPr>
                <w:rFonts w:hint="eastAsia" w:ascii="宋体"/>
                <w:sz w:val="24"/>
                <w:highlight w:val="none"/>
              </w:rPr>
            </w:pPr>
            <w:r>
              <w:rPr>
                <w:rFonts w:hint="eastAsia" w:ascii="宋体"/>
                <w:sz w:val="24"/>
                <w:highlight w:val="none"/>
              </w:rPr>
              <w:t>结论：是否通过评审</w:t>
            </w:r>
          </w:p>
        </w:tc>
      </w:tr>
      <w:tr w14:paraId="2E383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2" w:hRule="atLeast"/>
          <w:jc w:val="center"/>
        </w:trPr>
        <w:tc>
          <w:tcPr>
            <w:tcW w:w="10124" w:type="dxa"/>
            <w:gridSpan w:val="7"/>
            <w:vAlign w:val="center"/>
          </w:tcPr>
          <w:p w14:paraId="1BF5EA22">
            <w:pPr>
              <w:spacing w:line="360" w:lineRule="auto"/>
              <w:rPr>
                <w:rFonts w:hint="eastAsia" w:ascii="宋体"/>
                <w:sz w:val="24"/>
                <w:highlight w:val="none"/>
              </w:rPr>
            </w:pPr>
            <w:r>
              <w:rPr>
                <w:rFonts w:hint="eastAsia" w:ascii="宋体" w:hAnsi="宋体"/>
                <w:color w:val="auto"/>
                <w:sz w:val="24"/>
                <w:szCs w:val="24"/>
                <w:highlight w:val="none"/>
              </w:rPr>
              <w:t>备注：如果</w:t>
            </w:r>
            <w:r>
              <w:rPr>
                <w:rFonts w:hint="eastAsia" w:ascii="宋体" w:hAnsi="宋体"/>
                <w:color w:val="auto"/>
                <w:sz w:val="24"/>
                <w:szCs w:val="24"/>
                <w:highlight w:val="none"/>
                <w:lang w:eastAsia="zh-CN"/>
              </w:rPr>
              <w:t>谈判响应文件</w:t>
            </w:r>
            <w:r>
              <w:rPr>
                <w:rFonts w:hint="eastAsia" w:ascii="宋体" w:hAnsi="宋体"/>
                <w:color w:val="auto"/>
                <w:sz w:val="24"/>
                <w:szCs w:val="24"/>
                <w:highlight w:val="none"/>
              </w:rPr>
              <w:t>中有一项未通过上述审查标准，</w:t>
            </w:r>
            <w:r>
              <w:rPr>
                <w:rFonts w:hint="eastAsia" w:ascii="宋体" w:hAnsi="宋体"/>
                <w:color w:val="auto"/>
                <w:sz w:val="24"/>
                <w:szCs w:val="24"/>
                <w:highlight w:val="none"/>
                <w:lang w:eastAsia="zh-CN"/>
              </w:rPr>
              <w:t>谈判小组</w:t>
            </w:r>
            <w:r>
              <w:rPr>
                <w:rFonts w:hint="eastAsia" w:ascii="宋体" w:hAnsi="宋体"/>
                <w:color w:val="auto"/>
                <w:sz w:val="24"/>
                <w:szCs w:val="24"/>
                <w:highlight w:val="none"/>
              </w:rPr>
              <w:t>将认定整个</w:t>
            </w:r>
            <w:r>
              <w:rPr>
                <w:rFonts w:hint="eastAsia" w:ascii="宋体" w:hAnsi="宋体"/>
                <w:color w:val="auto"/>
                <w:sz w:val="24"/>
                <w:szCs w:val="24"/>
                <w:highlight w:val="none"/>
                <w:lang w:eastAsia="zh-CN"/>
              </w:rPr>
              <w:t>谈判响应文件</w:t>
            </w:r>
            <w:r>
              <w:rPr>
                <w:rFonts w:hint="eastAsia" w:ascii="宋体" w:hAnsi="宋体"/>
                <w:color w:val="auto"/>
                <w:sz w:val="24"/>
                <w:szCs w:val="24"/>
                <w:highlight w:val="none"/>
              </w:rPr>
              <w:t>不响应</w:t>
            </w:r>
            <w:r>
              <w:rPr>
                <w:rFonts w:hint="eastAsia" w:ascii="宋体" w:hAnsi="宋体"/>
                <w:color w:val="auto"/>
                <w:sz w:val="24"/>
                <w:szCs w:val="24"/>
                <w:highlight w:val="none"/>
                <w:lang w:eastAsia="zh-CN"/>
              </w:rPr>
              <w:t>谈判文件</w:t>
            </w:r>
            <w:r>
              <w:rPr>
                <w:rFonts w:hint="eastAsia" w:ascii="宋体" w:hAnsi="宋体"/>
                <w:color w:val="auto"/>
                <w:sz w:val="24"/>
                <w:szCs w:val="24"/>
                <w:highlight w:val="none"/>
              </w:rPr>
              <w:t>而予以投标无效，并且不允许供应商通过修改或撤销其不符合要求的差异或保留，使之成为具有响应性的投标。通过审核的以“√”标记；未通过的以“×”标记，并予以说明。</w:t>
            </w:r>
          </w:p>
        </w:tc>
      </w:tr>
    </w:tbl>
    <w:p w14:paraId="21A1A1DA">
      <w:pPr>
        <w:spacing w:line="460" w:lineRule="exact"/>
        <w:rPr>
          <w:rFonts w:hint="eastAsia" w:ascii="宋体" w:hAnsi="宋体" w:cs="宋体"/>
          <w:b/>
          <w:bCs/>
          <w:color w:val="auto"/>
          <w:kern w:val="0"/>
          <w:sz w:val="24"/>
          <w:highlight w:val="none"/>
          <w:lang w:eastAsia="zh-CN"/>
        </w:rPr>
      </w:pPr>
    </w:p>
    <w:sectPr>
      <w:pgSz w:w="11907" w:h="16840"/>
      <w:pgMar w:top="1021" w:right="1287" w:bottom="1021" w:left="1247"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9B291">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66114">
    <w:pPr>
      <w:pStyle w:val="1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E4ACAAE">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2</w:t>
                          </w:r>
                          <w:r>
                            <w:rPr>
                              <w:rFonts w:hint="eastAsia" w:eastAsia="宋体"/>
                              <w:sz w:val="18"/>
                              <w:lang w:eastAsia="zh-CN"/>
                            </w:rPr>
                            <w:fldChar w:fldCharType="end"/>
                          </w:r>
                        </w:p>
                      </w:txbxContent>
                    </wps:txbx>
                    <wps:bodyPr wrap="none" lIns="0" tIns="0" rIns="0" bIns="0" upright="0">
                      <a:spAutoFit/>
                    </wps:bodyPr>
                  </wps:wsp>
                </a:graphicData>
              </a:graphic>
            </wp:anchor>
          </w:drawing>
        </mc:Choice>
        <mc:Fallback>
          <w:pict>
            <v:shape id="文本框 12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ZfP2LNABAACkAwAADgAAAAAAAAABACAAAAAeAQAAZHJz&#10;L2Uyb0RvYy54bWxQSwUGAAAAAAYABgBZAQAAYAUAAAAA&#10;">
              <v:fill on="f" focussize="0,0"/>
              <v:stroke on="f"/>
              <v:imagedata o:title=""/>
              <o:lock v:ext="edit" aspectratio="f"/>
              <v:textbox inset="0mm,0mm,0mm,0mm" style="mso-fit-shape-to-text:t;">
                <w:txbxContent>
                  <w:p w14:paraId="5E4ACAAE">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2</w:t>
                    </w:r>
                    <w:r>
                      <w:rPr>
                        <w:rFonts w:hint="eastAsia" w:eastAsia="宋体"/>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B7379">
    <w:pPr>
      <w:pStyle w:val="16"/>
      <w:ind w:right="360"/>
      <w:jc w:val="center"/>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5450E9">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225450E9">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E6288">
    <w:pPr>
      <w:pStyle w:val="17"/>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1BBFC"/>
    <w:multiLevelType w:val="singleLevel"/>
    <w:tmpl w:val="9401BBFC"/>
    <w:lvl w:ilvl="0" w:tentative="0">
      <w:start w:val="1"/>
      <w:numFmt w:val="decimal"/>
      <w:suff w:val="nothing"/>
      <w:lvlText w:val="（%1）"/>
      <w:lvlJc w:val="left"/>
    </w:lvl>
  </w:abstractNum>
  <w:abstractNum w:abstractNumId="1">
    <w:nsid w:val="BE7838FA"/>
    <w:multiLevelType w:val="singleLevel"/>
    <w:tmpl w:val="BE7838FA"/>
    <w:lvl w:ilvl="0" w:tentative="0">
      <w:start w:val="1"/>
      <w:numFmt w:val="decimal"/>
      <w:suff w:val="nothing"/>
      <w:lvlText w:val="（%1）"/>
      <w:lvlJc w:val="left"/>
    </w:lvl>
  </w:abstractNum>
  <w:abstractNum w:abstractNumId="2">
    <w:nsid w:val="EA1D55C2"/>
    <w:multiLevelType w:val="singleLevel"/>
    <w:tmpl w:val="EA1D55C2"/>
    <w:lvl w:ilvl="0" w:tentative="0">
      <w:start w:val="3"/>
      <w:numFmt w:val="decimal"/>
      <w:lvlText w:val="%1."/>
      <w:lvlJc w:val="left"/>
      <w:pPr>
        <w:tabs>
          <w:tab w:val="left" w:pos="312"/>
        </w:tabs>
      </w:pPr>
    </w:lvl>
  </w:abstractNum>
  <w:abstractNum w:abstractNumId="3">
    <w:nsid w:val="17760806"/>
    <w:multiLevelType w:val="singleLevel"/>
    <w:tmpl w:val="17760806"/>
    <w:lvl w:ilvl="0" w:tentative="0">
      <w:start w:val="3"/>
      <w:numFmt w:val="decimal"/>
      <w:suff w:val="nothing"/>
      <w:lvlText w:val="%1、"/>
      <w:lvlJc w:val="left"/>
    </w:lvl>
  </w:abstractNum>
  <w:abstractNum w:abstractNumId="4">
    <w:nsid w:val="3983044D"/>
    <w:multiLevelType w:val="multilevel"/>
    <w:tmpl w:val="3983044D"/>
    <w:lvl w:ilvl="0" w:tentative="0">
      <w:start w:val="1"/>
      <w:numFmt w:val="decimal"/>
      <w:pStyle w:val="19"/>
      <w:lvlText w:val="第%1章"/>
      <w:lvlJc w:val="left"/>
      <w:pPr>
        <w:tabs>
          <w:tab w:val="left" w:pos="425"/>
        </w:tabs>
        <w:ind w:left="425" w:hanging="425"/>
      </w:pPr>
      <w:rPr>
        <w:rFonts w:ascii="Times New Roman" w:hAnsi="Times New Roman"/>
        <w:position w:val="0"/>
      </w:rPr>
    </w:lvl>
    <w:lvl w:ilvl="1" w:tentative="0">
      <w:start w:val="1"/>
      <w:numFmt w:val="decimal"/>
      <w:lvlText w:val="%1.%2"/>
      <w:lvlJc w:val="left"/>
      <w:pPr>
        <w:tabs>
          <w:tab w:val="left" w:pos="709"/>
        </w:tabs>
        <w:ind w:left="709" w:hanging="567"/>
      </w:pPr>
      <w:rPr>
        <w:rFonts w:ascii="Times New Roman" w:hAnsi="Times New Roman"/>
        <w:lang w:val="en-US"/>
      </w:rPr>
    </w:lvl>
    <w:lvl w:ilvl="2" w:tentative="0">
      <w:start w:val="1"/>
      <w:numFmt w:val="decimal"/>
      <w:lvlText w:val="%1.%2.%3"/>
      <w:lvlJc w:val="left"/>
      <w:pPr>
        <w:tabs>
          <w:tab w:val="left" w:pos="709"/>
        </w:tabs>
        <w:ind w:left="709" w:hanging="709"/>
      </w:pPr>
      <w:rPr>
        <w:sz w:val="32"/>
        <w:szCs w:val="32"/>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ind w:left="1418" w:hanging="1418"/>
      </w:pPr>
    </w:lvl>
    <w:lvl w:ilvl="8" w:tentative="0">
      <w:start w:val="1"/>
      <w:numFmt w:val="decimal"/>
      <w:lvlText w:val="%1.%2.%3.%4.%5.%6.%7.%8.%9."/>
      <w:lvlJc w:val="left"/>
      <w:pPr>
        <w:tabs>
          <w:tab w:val="left" w:pos="1559"/>
        </w:tabs>
        <w:ind w:left="1559" w:hanging="1559"/>
      </w:pPr>
    </w:lvl>
  </w:abstractNum>
  <w:abstractNum w:abstractNumId="5">
    <w:nsid w:val="5809E1AE"/>
    <w:multiLevelType w:val="singleLevel"/>
    <w:tmpl w:val="5809E1AE"/>
    <w:lvl w:ilvl="0" w:tentative="0">
      <w:start w:val="22"/>
      <w:numFmt w:val="decimal"/>
      <w:suff w:val="nothing"/>
      <w:lvlText w:val="%1、"/>
      <w:lvlJc w:val="left"/>
    </w:lvl>
  </w:abstractNum>
  <w:abstractNum w:abstractNumId="6">
    <w:nsid w:val="765A3594"/>
    <w:multiLevelType w:val="singleLevel"/>
    <w:tmpl w:val="765A3594"/>
    <w:lvl w:ilvl="0" w:tentative="0">
      <w:start w:val="20"/>
      <w:numFmt w:val="decimal"/>
      <w:suff w:val="space"/>
      <w:lvlText w:val="%1."/>
      <w:lvlJc w:val="left"/>
    </w:lvl>
  </w:abstractNum>
  <w:abstractNum w:abstractNumId="7">
    <w:nsid w:val="765A3595"/>
    <w:multiLevelType w:val="singleLevel"/>
    <w:tmpl w:val="765A3595"/>
    <w:lvl w:ilvl="0" w:tentative="0">
      <w:start w:val="25"/>
      <w:numFmt w:val="decimal"/>
      <w:suff w:val="space"/>
      <w:lvlText w:val="%1."/>
      <w:lvlJc w:val="left"/>
    </w:lvl>
  </w:abstractNum>
  <w:num w:numId="1">
    <w:abstractNumId w:val="4"/>
  </w:num>
  <w:num w:numId="2">
    <w:abstractNumId w:val="2"/>
  </w:num>
  <w:num w:numId="3">
    <w:abstractNumId w:val="1"/>
  </w:num>
  <w:num w:numId="4">
    <w:abstractNumId w:val="0"/>
  </w:num>
  <w:num w:numId="5">
    <w:abstractNumId w:val="5"/>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N2M4M2RkNWVlNjVmMmE4Y2JlY2ZmYjMyMDQyODMifQ=="/>
    <w:docVar w:name="KSO_WPS_MARK_KEY" w:val="cb741868-d6be-4776-bda4-7d77fab4ca0d"/>
  </w:docVars>
  <w:rsids>
    <w:rsidRoot w:val="00172A27"/>
    <w:rsid w:val="000B5DFA"/>
    <w:rsid w:val="001262A2"/>
    <w:rsid w:val="001C0F9E"/>
    <w:rsid w:val="002E13EE"/>
    <w:rsid w:val="003B1933"/>
    <w:rsid w:val="004D20A8"/>
    <w:rsid w:val="00A57788"/>
    <w:rsid w:val="00B32A60"/>
    <w:rsid w:val="00B753C5"/>
    <w:rsid w:val="00E20D62"/>
    <w:rsid w:val="00ED1E59"/>
    <w:rsid w:val="00F333AD"/>
    <w:rsid w:val="00FB3FBE"/>
    <w:rsid w:val="01176FE6"/>
    <w:rsid w:val="0123793E"/>
    <w:rsid w:val="01453A14"/>
    <w:rsid w:val="0145476D"/>
    <w:rsid w:val="015249D1"/>
    <w:rsid w:val="016E5167"/>
    <w:rsid w:val="017653BA"/>
    <w:rsid w:val="01785CA0"/>
    <w:rsid w:val="017C004E"/>
    <w:rsid w:val="018F4C90"/>
    <w:rsid w:val="0194221B"/>
    <w:rsid w:val="019B391F"/>
    <w:rsid w:val="01B61F30"/>
    <w:rsid w:val="01D37272"/>
    <w:rsid w:val="01D67A9B"/>
    <w:rsid w:val="01D84393"/>
    <w:rsid w:val="01E61742"/>
    <w:rsid w:val="01FD3BE4"/>
    <w:rsid w:val="020D745F"/>
    <w:rsid w:val="0213371D"/>
    <w:rsid w:val="0230022C"/>
    <w:rsid w:val="02340217"/>
    <w:rsid w:val="024A2F23"/>
    <w:rsid w:val="02693733"/>
    <w:rsid w:val="026C4D88"/>
    <w:rsid w:val="02963DFC"/>
    <w:rsid w:val="02CD1F13"/>
    <w:rsid w:val="02DC548F"/>
    <w:rsid w:val="02DF0B6A"/>
    <w:rsid w:val="02E04E8F"/>
    <w:rsid w:val="02F646D7"/>
    <w:rsid w:val="03104DBB"/>
    <w:rsid w:val="032F2A31"/>
    <w:rsid w:val="0340009F"/>
    <w:rsid w:val="034F1DFF"/>
    <w:rsid w:val="036972E5"/>
    <w:rsid w:val="03A3540E"/>
    <w:rsid w:val="03A74BE7"/>
    <w:rsid w:val="03AB03B3"/>
    <w:rsid w:val="03B24C65"/>
    <w:rsid w:val="03C172D3"/>
    <w:rsid w:val="03F01A3C"/>
    <w:rsid w:val="04047F5A"/>
    <w:rsid w:val="0420480A"/>
    <w:rsid w:val="04367644"/>
    <w:rsid w:val="04651CD8"/>
    <w:rsid w:val="049660A7"/>
    <w:rsid w:val="049820AD"/>
    <w:rsid w:val="04DF743A"/>
    <w:rsid w:val="04E946B7"/>
    <w:rsid w:val="04ED1C26"/>
    <w:rsid w:val="04F241FB"/>
    <w:rsid w:val="051A243B"/>
    <w:rsid w:val="05256A38"/>
    <w:rsid w:val="054C2DCF"/>
    <w:rsid w:val="05623073"/>
    <w:rsid w:val="059765FC"/>
    <w:rsid w:val="05AC3AA7"/>
    <w:rsid w:val="05D62E8D"/>
    <w:rsid w:val="05FB6D97"/>
    <w:rsid w:val="062A2052"/>
    <w:rsid w:val="06310336"/>
    <w:rsid w:val="06377E97"/>
    <w:rsid w:val="06405CF9"/>
    <w:rsid w:val="0645074F"/>
    <w:rsid w:val="069D373F"/>
    <w:rsid w:val="06A967F3"/>
    <w:rsid w:val="06CE0008"/>
    <w:rsid w:val="06DB64C2"/>
    <w:rsid w:val="0706643D"/>
    <w:rsid w:val="071A6A3F"/>
    <w:rsid w:val="072A3DCE"/>
    <w:rsid w:val="073505C1"/>
    <w:rsid w:val="07591AB1"/>
    <w:rsid w:val="077022B2"/>
    <w:rsid w:val="07723089"/>
    <w:rsid w:val="07897477"/>
    <w:rsid w:val="07A3232F"/>
    <w:rsid w:val="07AB289F"/>
    <w:rsid w:val="07D001E6"/>
    <w:rsid w:val="07D53117"/>
    <w:rsid w:val="07E90005"/>
    <w:rsid w:val="082B4D10"/>
    <w:rsid w:val="083C7452"/>
    <w:rsid w:val="084C2F69"/>
    <w:rsid w:val="08907291"/>
    <w:rsid w:val="08937FF7"/>
    <w:rsid w:val="08943800"/>
    <w:rsid w:val="08B80F70"/>
    <w:rsid w:val="08BF3BC5"/>
    <w:rsid w:val="08CA70A7"/>
    <w:rsid w:val="09001592"/>
    <w:rsid w:val="0913264A"/>
    <w:rsid w:val="09597CBF"/>
    <w:rsid w:val="09613F76"/>
    <w:rsid w:val="09713C22"/>
    <w:rsid w:val="09B401D8"/>
    <w:rsid w:val="09D06107"/>
    <w:rsid w:val="09D61B19"/>
    <w:rsid w:val="09DB4FCD"/>
    <w:rsid w:val="0A24296F"/>
    <w:rsid w:val="0A3B5364"/>
    <w:rsid w:val="0A5172C8"/>
    <w:rsid w:val="0A580D4D"/>
    <w:rsid w:val="0A612158"/>
    <w:rsid w:val="0A6371D0"/>
    <w:rsid w:val="0A740B9E"/>
    <w:rsid w:val="0A790247"/>
    <w:rsid w:val="0A7B2255"/>
    <w:rsid w:val="0A7F25F1"/>
    <w:rsid w:val="0A905466"/>
    <w:rsid w:val="0AAD1585"/>
    <w:rsid w:val="0AB152BA"/>
    <w:rsid w:val="0ACE05D7"/>
    <w:rsid w:val="0AE32E85"/>
    <w:rsid w:val="0AE63E92"/>
    <w:rsid w:val="0AE927AD"/>
    <w:rsid w:val="0AEB0BF0"/>
    <w:rsid w:val="0B037766"/>
    <w:rsid w:val="0B11094C"/>
    <w:rsid w:val="0B227122"/>
    <w:rsid w:val="0B3B0BA1"/>
    <w:rsid w:val="0B5F0F5A"/>
    <w:rsid w:val="0B7A2C75"/>
    <w:rsid w:val="0B9A1A66"/>
    <w:rsid w:val="0B9E6145"/>
    <w:rsid w:val="0BA76F7D"/>
    <w:rsid w:val="0BAB4F00"/>
    <w:rsid w:val="0BCD6AE0"/>
    <w:rsid w:val="0BD446AA"/>
    <w:rsid w:val="0BD72844"/>
    <w:rsid w:val="0BF71D56"/>
    <w:rsid w:val="0C0D6A06"/>
    <w:rsid w:val="0C2F32F7"/>
    <w:rsid w:val="0C341117"/>
    <w:rsid w:val="0C662A91"/>
    <w:rsid w:val="0C703E19"/>
    <w:rsid w:val="0C831895"/>
    <w:rsid w:val="0C862B33"/>
    <w:rsid w:val="0CA21D1B"/>
    <w:rsid w:val="0CC7352F"/>
    <w:rsid w:val="0CC957C4"/>
    <w:rsid w:val="0D110C4F"/>
    <w:rsid w:val="0D51729D"/>
    <w:rsid w:val="0D6D0D44"/>
    <w:rsid w:val="0D83719E"/>
    <w:rsid w:val="0D9773A6"/>
    <w:rsid w:val="0D996D68"/>
    <w:rsid w:val="0DA647C6"/>
    <w:rsid w:val="0DC52F4F"/>
    <w:rsid w:val="0DE015D6"/>
    <w:rsid w:val="0DE13890"/>
    <w:rsid w:val="0DE2563F"/>
    <w:rsid w:val="0DE6661A"/>
    <w:rsid w:val="0DEA2B82"/>
    <w:rsid w:val="0DFB3C3A"/>
    <w:rsid w:val="0E0F33E0"/>
    <w:rsid w:val="0E1844BF"/>
    <w:rsid w:val="0E1B4801"/>
    <w:rsid w:val="0E1D351E"/>
    <w:rsid w:val="0E253FFC"/>
    <w:rsid w:val="0E460661"/>
    <w:rsid w:val="0E54467E"/>
    <w:rsid w:val="0E960BB4"/>
    <w:rsid w:val="0EAB0B9F"/>
    <w:rsid w:val="0EB63617"/>
    <w:rsid w:val="0ECB2C50"/>
    <w:rsid w:val="0EEC3B69"/>
    <w:rsid w:val="0EF840B2"/>
    <w:rsid w:val="0F0063AE"/>
    <w:rsid w:val="0F0356BC"/>
    <w:rsid w:val="0F1C091E"/>
    <w:rsid w:val="0F384614"/>
    <w:rsid w:val="0F882744"/>
    <w:rsid w:val="0F8971C2"/>
    <w:rsid w:val="0F8B7CDB"/>
    <w:rsid w:val="0F8E52F9"/>
    <w:rsid w:val="0F9D4A1B"/>
    <w:rsid w:val="0FDD26AF"/>
    <w:rsid w:val="0FEE5EFE"/>
    <w:rsid w:val="0FF30ADF"/>
    <w:rsid w:val="0FF61518"/>
    <w:rsid w:val="10101D74"/>
    <w:rsid w:val="10110C58"/>
    <w:rsid w:val="1036031E"/>
    <w:rsid w:val="10634499"/>
    <w:rsid w:val="10692DAF"/>
    <w:rsid w:val="107505B5"/>
    <w:rsid w:val="108B38A3"/>
    <w:rsid w:val="10947D12"/>
    <w:rsid w:val="109D18A6"/>
    <w:rsid w:val="10CA1F6B"/>
    <w:rsid w:val="10DD3FD3"/>
    <w:rsid w:val="10E943BC"/>
    <w:rsid w:val="110463F7"/>
    <w:rsid w:val="11062698"/>
    <w:rsid w:val="110D6BCF"/>
    <w:rsid w:val="11186A50"/>
    <w:rsid w:val="113A181F"/>
    <w:rsid w:val="113F19ED"/>
    <w:rsid w:val="11434515"/>
    <w:rsid w:val="118B0B2E"/>
    <w:rsid w:val="118F3351"/>
    <w:rsid w:val="11947781"/>
    <w:rsid w:val="11C27EAF"/>
    <w:rsid w:val="11F8794E"/>
    <w:rsid w:val="11FA7920"/>
    <w:rsid w:val="11FB388B"/>
    <w:rsid w:val="120833CE"/>
    <w:rsid w:val="1210492A"/>
    <w:rsid w:val="123C1338"/>
    <w:rsid w:val="126047B8"/>
    <w:rsid w:val="127A5BE5"/>
    <w:rsid w:val="127B2254"/>
    <w:rsid w:val="127E2A5C"/>
    <w:rsid w:val="128E0B93"/>
    <w:rsid w:val="129B38F2"/>
    <w:rsid w:val="12C35CF0"/>
    <w:rsid w:val="12CC1638"/>
    <w:rsid w:val="12D017E6"/>
    <w:rsid w:val="12E2796F"/>
    <w:rsid w:val="12ED1BFE"/>
    <w:rsid w:val="12EF37E0"/>
    <w:rsid w:val="12F61908"/>
    <w:rsid w:val="130848A2"/>
    <w:rsid w:val="13112C5B"/>
    <w:rsid w:val="132C0590"/>
    <w:rsid w:val="13326DFA"/>
    <w:rsid w:val="1345081F"/>
    <w:rsid w:val="13464B39"/>
    <w:rsid w:val="13467FDE"/>
    <w:rsid w:val="136050DC"/>
    <w:rsid w:val="136D027F"/>
    <w:rsid w:val="13790D69"/>
    <w:rsid w:val="137C18E1"/>
    <w:rsid w:val="13857CA0"/>
    <w:rsid w:val="138F28CD"/>
    <w:rsid w:val="13910302"/>
    <w:rsid w:val="13AE711E"/>
    <w:rsid w:val="13D501BB"/>
    <w:rsid w:val="13FF2EE8"/>
    <w:rsid w:val="141F1F6A"/>
    <w:rsid w:val="142866C1"/>
    <w:rsid w:val="14450E19"/>
    <w:rsid w:val="14474D56"/>
    <w:rsid w:val="144933C4"/>
    <w:rsid w:val="14532D44"/>
    <w:rsid w:val="14680A30"/>
    <w:rsid w:val="147815B3"/>
    <w:rsid w:val="1480321B"/>
    <w:rsid w:val="149C324B"/>
    <w:rsid w:val="14BE346A"/>
    <w:rsid w:val="14C52A4A"/>
    <w:rsid w:val="14E326B0"/>
    <w:rsid w:val="14EC591D"/>
    <w:rsid w:val="152C563A"/>
    <w:rsid w:val="15360F33"/>
    <w:rsid w:val="153D7488"/>
    <w:rsid w:val="15421315"/>
    <w:rsid w:val="15491919"/>
    <w:rsid w:val="15B34980"/>
    <w:rsid w:val="15BF6216"/>
    <w:rsid w:val="15D849FF"/>
    <w:rsid w:val="15D973D2"/>
    <w:rsid w:val="160457F4"/>
    <w:rsid w:val="16073FAF"/>
    <w:rsid w:val="16113A6D"/>
    <w:rsid w:val="16165524"/>
    <w:rsid w:val="16322E69"/>
    <w:rsid w:val="163C29BD"/>
    <w:rsid w:val="169E17A5"/>
    <w:rsid w:val="169F7D34"/>
    <w:rsid w:val="16DE4CC2"/>
    <w:rsid w:val="16E248BA"/>
    <w:rsid w:val="16F63E2F"/>
    <w:rsid w:val="16FA09A5"/>
    <w:rsid w:val="17046BD2"/>
    <w:rsid w:val="173C20DE"/>
    <w:rsid w:val="174A2472"/>
    <w:rsid w:val="174F631F"/>
    <w:rsid w:val="176579F1"/>
    <w:rsid w:val="1793280D"/>
    <w:rsid w:val="17A35623"/>
    <w:rsid w:val="17A74689"/>
    <w:rsid w:val="17F436AC"/>
    <w:rsid w:val="17F83137"/>
    <w:rsid w:val="180122D1"/>
    <w:rsid w:val="180513B0"/>
    <w:rsid w:val="18205923"/>
    <w:rsid w:val="1837780C"/>
    <w:rsid w:val="1870602C"/>
    <w:rsid w:val="188015FB"/>
    <w:rsid w:val="188511FE"/>
    <w:rsid w:val="1890336F"/>
    <w:rsid w:val="18982BB5"/>
    <w:rsid w:val="18C368F1"/>
    <w:rsid w:val="18D70F9E"/>
    <w:rsid w:val="18DD0CA4"/>
    <w:rsid w:val="18DE05E3"/>
    <w:rsid w:val="18DE5CB4"/>
    <w:rsid w:val="18FC3D6D"/>
    <w:rsid w:val="190B4083"/>
    <w:rsid w:val="1910530D"/>
    <w:rsid w:val="19293743"/>
    <w:rsid w:val="1940096F"/>
    <w:rsid w:val="19445F08"/>
    <w:rsid w:val="194514AF"/>
    <w:rsid w:val="1951746B"/>
    <w:rsid w:val="19683D11"/>
    <w:rsid w:val="197E0527"/>
    <w:rsid w:val="197F397F"/>
    <w:rsid w:val="198F2F98"/>
    <w:rsid w:val="199152FA"/>
    <w:rsid w:val="19A21417"/>
    <w:rsid w:val="19AD1CFF"/>
    <w:rsid w:val="19AD7F51"/>
    <w:rsid w:val="19BE1CC3"/>
    <w:rsid w:val="19C86B39"/>
    <w:rsid w:val="19CC1F27"/>
    <w:rsid w:val="19DB08CA"/>
    <w:rsid w:val="19DD5B52"/>
    <w:rsid w:val="19E16DE4"/>
    <w:rsid w:val="19EB1C5A"/>
    <w:rsid w:val="19F439C0"/>
    <w:rsid w:val="1A0758B3"/>
    <w:rsid w:val="1A0E0DD3"/>
    <w:rsid w:val="1A1564F8"/>
    <w:rsid w:val="1A1D4BDD"/>
    <w:rsid w:val="1A402FA6"/>
    <w:rsid w:val="1A494C80"/>
    <w:rsid w:val="1A5A1E87"/>
    <w:rsid w:val="1A5B1B20"/>
    <w:rsid w:val="1A5D0348"/>
    <w:rsid w:val="1A642FA8"/>
    <w:rsid w:val="1A774C9C"/>
    <w:rsid w:val="1A8567D8"/>
    <w:rsid w:val="1A87029B"/>
    <w:rsid w:val="1A8B4C12"/>
    <w:rsid w:val="1A9A6727"/>
    <w:rsid w:val="1AC944E8"/>
    <w:rsid w:val="1AD73378"/>
    <w:rsid w:val="1B0167A6"/>
    <w:rsid w:val="1B05340F"/>
    <w:rsid w:val="1B0713B5"/>
    <w:rsid w:val="1B0D6EF9"/>
    <w:rsid w:val="1B1A3BD5"/>
    <w:rsid w:val="1B27596A"/>
    <w:rsid w:val="1B666609"/>
    <w:rsid w:val="1B855CFE"/>
    <w:rsid w:val="1BC30491"/>
    <w:rsid w:val="1BC6101F"/>
    <w:rsid w:val="1BF43AEF"/>
    <w:rsid w:val="1C0F477B"/>
    <w:rsid w:val="1C182DD3"/>
    <w:rsid w:val="1C4F25C7"/>
    <w:rsid w:val="1C5823F6"/>
    <w:rsid w:val="1CC47F67"/>
    <w:rsid w:val="1D062301"/>
    <w:rsid w:val="1D0B577E"/>
    <w:rsid w:val="1D320F8A"/>
    <w:rsid w:val="1D3A3E0B"/>
    <w:rsid w:val="1D460820"/>
    <w:rsid w:val="1D491D3F"/>
    <w:rsid w:val="1D5A31A5"/>
    <w:rsid w:val="1D7D1434"/>
    <w:rsid w:val="1D7D7B19"/>
    <w:rsid w:val="1D8D2573"/>
    <w:rsid w:val="1DA93EF6"/>
    <w:rsid w:val="1DC77130"/>
    <w:rsid w:val="1DD403C1"/>
    <w:rsid w:val="1DD755B8"/>
    <w:rsid w:val="1DDC1EE1"/>
    <w:rsid w:val="1DE1185A"/>
    <w:rsid w:val="1E091D5F"/>
    <w:rsid w:val="1E0A42E8"/>
    <w:rsid w:val="1E0F74D8"/>
    <w:rsid w:val="1E1924B8"/>
    <w:rsid w:val="1E29042C"/>
    <w:rsid w:val="1E3472AD"/>
    <w:rsid w:val="1E3D7AF5"/>
    <w:rsid w:val="1E5C5ADE"/>
    <w:rsid w:val="1E611AEF"/>
    <w:rsid w:val="1EC2624D"/>
    <w:rsid w:val="1ECA1BE3"/>
    <w:rsid w:val="1EE10F71"/>
    <w:rsid w:val="1F09145A"/>
    <w:rsid w:val="1F1A1136"/>
    <w:rsid w:val="1F202E75"/>
    <w:rsid w:val="1F375547"/>
    <w:rsid w:val="1F613298"/>
    <w:rsid w:val="1F760FD1"/>
    <w:rsid w:val="1F836E34"/>
    <w:rsid w:val="1FDF33CF"/>
    <w:rsid w:val="1FE67D19"/>
    <w:rsid w:val="1FEA5CA7"/>
    <w:rsid w:val="1FFA79E3"/>
    <w:rsid w:val="20180484"/>
    <w:rsid w:val="201A33A9"/>
    <w:rsid w:val="20466BCA"/>
    <w:rsid w:val="20503FE2"/>
    <w:rsid w:val="209D6FB8"/>
    <w:rsid w:val="20B34AEE"/>
    <w:rsid w:val="20BE4151"/>
    <w:rsid w:val="20C82894"/>
    <w:rsid w:val="20CF69FF"/>
    <w:rsid w:val="20DF76A7"/>
    <w:rsid w:val="20E74328"/>
    <w:rsid w:val="20F6042F"/>
    <w:rsid w:val="210448FA"/>
    <w:rsid w:val="21091ED2"/>
    <w:rsid w:val="211640D6"/>
    <w:rsid w:val="21195DA6"/>
    <w:rsid w:val="21286C5C"/>
    <w:rsid w:val="212D20A3"/>
    <w:rsid w:val="214E549B"/>
    <w:rsid w:val="21665793"/>
    <w:rsid w:val="21901755"/>
    <w:rsid w:val="21A02A99"/>
    <w:rsid w:val="21A5352F"/>
    <w:rsid w:val="21D67385"/>
    <w:rsid w:val="21D7200F"/>
    <w:rsid w:val="21DA3510"/>
    <w:rsid w:val="22093DA3"/>
    <w:rsid w:val="220E2F89"/>
    <w:rsid w:val="221F313E"/>
    <w:rsid w:val="22391DDF"/>
    <w:rsid w:val="22480700"/>
    <w:rsid w:val="225A3995"/>
    <w:rsid w:val="226B7745"/>
    <w:rsid w:val="228C2550"/>
    <w:rsid w:val="22972A26"/>
    <w:rsid w:val="22A3315E"/>
    <w:rsid w:val="22AB09A7"/>
    <w:rsid w:val="22B92D4B"/>
    <w:rsid w:val="22BB1F86"/>
    <w:rsid w:val="22DB6AB7"/>
    <w:rsid w:val="22DE5957"/>
    <w:rsid w:val="22E75988"/>
    <w:rsid w:val="23072FCF"/>
    <w:rsid w:val="231E197F"/>
    <w:rsid w:val="233736B5"/>
    <w:rsid w:val="234F3976"/>
    <w:rsid w:val="235774D3"/>
    <w:rsid w:val="236D7762"/>
    <w:rsid w:val="23930BA1"/>
    <w:rsid w:val="23935F53"/>
    <w:rsid w:val="239F6B37"/>
    <w:rsid w:val="23B7463E"/>
    <w:rsid w:val="23DD40D6"/>
    <w:rsid w:val="23EA62BD"/>
    <w:rsid w:val="23F02282"/>
    <w:rsid w:val="23F467EE"/>
    <w:rsid w:val="240276FB"/>
    <w:rsid w:val="24255C95"/>
    <w:rsid w:val="245F16F8"/>
    <w:rsid w:val="2468746F"/>
    <w:rsid w:val="24726FF0"/>
    <w:rsid w:val="24942409"/>
    <w:rsid w:val="24AF4B7D"/>
    <w:rsid w:val="24BE2A17"/>
    <w:rsid w:val="24C80AD3"/>
    <w:rsid w:val="24D91187"/>
    <w:rsid w:val="24EA0ADB"/>
    <w:rsid w:val="24EC5DD1"/>
    <w:rsid w:val="24F1163A"/>
    <w:rsid w:val="24F94D7A"/>
    <w:rsid w:val="25055BEE"/>
    <w:rsid w:val="251203B4"/>
    <w:rsid w:val="25173828"/>
    <w:rsid w:val="254C5F7F"/>
    <w:rsid w:val="256736AA"/>
    <w:rsid w:val="25BE5F99"/>
    <w:rsid w:val="25C145B5"/>
    <w:rsid w:val="25D73313"/>
    <w:rsid w:val="25FF7189"/>
    <w:rsid w:val="260A5F6D"/>
    <w:rsid w:val="2610789E"/>
    <w:rsid w:val="261F3EAB"/>
    <w:rsid w:val="262C079E"/>
    <w:rsid w:val="26313AF4"/>
    <w:rsid w:val="26485D2F"/>
    <w:rsid w:val="265A320F"/>
    <w:rsid w:val="26704B8B"/>
    <w:rsid w:val="2687382E"/>
    <w:rsid w:val="268F4C66"/>
    <w:rsid w:val="26AA1FFE"/>
    <w:rsid w:val="26BA48B0"/>
    <w:rsid w:val="26BB5A5B"/>
    <w:rsid w:val="26C46093"/>
    <w:rsid w:val="26E045B3"/>
    <w:rsid w:val="26E862B1"/>
    <w:rsid w:val="26ED515E"/>
    <w:rsid w:val="26FC55FE"/>
    <w:rsid w:val="27013241"/>
    <w:rsid w:val="272A2BE1"/>
    <w:rsid w:val="27312858"/>
    <w:rsid w:val="274770C2"/>
    <w:rsid w:val="27652527"/>
    <w:rsid w:val="276D4FEC"/>
    <w:rsid w:val="27704AC1"/>
    <w:rsid w:val="278155AC"/>
    <w:rsid w:val="278C62CC"/>
    <w:rsid w:val="278D4149"/>
    <w:rsid w:val="27AF4C11"/>
    <w:rsid w:val="27B23A64"/>
    <w:rsid w:val="27BC0A02"/>
    <w:rsid w:val="27C442C6"/>
    <w:rsid w:val="27CB23C6"/>
    <w:rsid w:val="27CF062F"/>
    <w:rsid w:val="27DA0F4C"/>
    <w:rsid w:val="27EB6034"/>
    <w:rsid w:val="2802590C"/>
    <w:rsid w:val="28063E56"/>
    <w:rsid w:val="28076D36"/>
    <w:rsid w:val="281066B4"/>
    <w:rsid w:val="2828486F"/>
    <w:rsid w:val="283261F1"/>
    <w:rsid w:val="28602EB3"/>
    <w:rsid w:val="28625D8F"/>
    <w:rsid w:val="28660FB3"/>
    <w:rsid w:val="28754B76"/>
    <w:rsid w:val="28784349"/>
    <w:rsid w:val="287A1F53"/>
    <w:rsid w:val="287F2BE3"/>
    <w:rsid w:val="28A20E81"/>
    <w:rsid w:val="28AF20CA"/>
    <w:rsid w:val="28CF7172"/>
    <w:rsid w:val="28E51C10"/>
    <w:rsid w:val="28E750F1"/>
    <w:rsid w:val="28ED1155"/>
    <w:rsid w:val="28F039B6"/>
    <w:rsid w:val="29032F4C"/>
    <w:rsid w:val="2909135E"/>
    <w:rsid w:val="29274C1E"/>
    <w:rsid w:val="292C3CE4"/>
    <w:rsid w:val="2949099D"/>
    <w:rsid w:val="295C2DFA"/>
    <w:rsid w:val="29627374"/>
    <w:rsid w:val="296706F3"/>
    <w:rsid w:val="29A66C06"/>
    <w:rsid w:val="29EF671E"/>
    <w:rsid w:val="29F33140"/>
    <w:rsid w:val="29F41F42"/>
    <w:rsid w:val="29F46943"/>
    <w:rsid w:val="29F5606F"/>
    <w:rsid w:val="2A495A74"/>
    <w:rsid w:val="2A7A3C7B"/>
    <w:rsid w:val="2A7A430C"/>
    <w:rsid w:val="2AB85E75"/>
    <w:rsid w:val="2ABD67D9"/>
    <w:rsid w:val="2AD62119"/>
    <w:rsid w:val="2AEB283C"/>
    <w:rsid w:val="2AF84813"/>
    <w:rsid w:val="2B10762A"/>
    <w:rsid w:val="2B271255"/>
    <w:rsid w:val="2B457FE9"/>
    <w:rsid w:val="2B487ADA"/>
    <w:rsid w:val="2B4A46AB"/>
    <w:rsid w:val="2B7964E6"/>
    <w:rsid w:val="2B8649BF"/>
    <w:rsid w:val="2BDC2F6B"/>
    <w:rsid w:val="2BEF463E"/>
    <w:rsid w:val="2BF32712"/>
    <w:rsid w:val="2C0B465F"/>
    <w:rsid w:val="2C385DA0"/>
    <w:rsid w:val="2C557B11"/>
    <w:rsid w:val="2C6C22BF"/>
    <w:rsid w:val="2C6C2B9F"/>
    <w:rsid w:val="2C752B50"/>
    <w:rsid w:val="2CA83A7D"/>
    <w:rsid w:val="2CAA7658"/>
    <w:rsid w:val="2CAF1403"/>
    <w:rsid w:val="2CB45A75"/>
    <w:rsid w:val="2CD604AC"/>
    <w:rsid w:val="2CE76375"/>
    <w:rsid w:val="2CF41CC7"/>
    <w:rsid w:val="2CFB74EC"/>
    <w:rsid w:val="2CFD5452"/>
    <w:rsid w:val="2D053EFC"/>
    <w:rsid w:val="2D1E3CB5"/>
    <w:rsid w:val="2D3C397B"/>
    <w:rsid w:val="2D590201"/>
    <w:rsid w:val="2D5C3382"/>
    <w:rsid w:val="2D5D355E"/>
    <w:rsid w:val="2D6A3C39"/>
    <w:rsid w:val="2D781CDE"/>
    <w:rsid w:val="2D84453C"/>
    <w:rsid w:val="2D8C224C"/>
    <w:rsid w:val="2DBC6D5C"/>
    <w:rsid w:val="2DC20777"/>
    <w:rsid w:val="2DC92375"/>
    <w:rsid w:val="2E141EF5"/>
    <w:rsid w:val="2E3A7A60"/>
    <w:rsid w:val="2E44747C"/>
    <w:rsid w:val="2E4C08C0"/>
    <w:rsid w:val="2E600040"/>
    <w:rsid w:val="2E8375EF"/>
    <w:rsid w:val="2E964163"/>
    <w:rsid w:val="2EB440BC"/>
    <w:rsid w:val="2EE9796F"/>
    <w:rsid w:val="2EFE652E"/>
    <w:rsid w:val="2F265F28"/>
    <w:rsid w:val="2F2909A6"/>
    <w:rsid w:val="2F4C2F05"/>
    <w:rsid w:val="2F4D5B5E"/>
    <w:rsid w:val="2F5702EB"/>
    <w:rsid w:val="2F5B427F"/>
    <w:rsid w:val="2F88563C"/>
    <w:rsid w:val="2F946481"/>
    <w:rsid w:val="2FC516F9"/>
    <w:rsid w:val="2FEE2B53"/>
    <w:rsid w:val="301B1710"/>
    <w:rsid w:val="3020296A"/>
    <w:rsid w:val="30225E06"/>
    <w:rsid w:val="30512FF1"/>
    <w:rsid w:val="306D109F"/>
    <w:rsid w:val="30744E41"/>
    <w:rsid w:val="30CB5491"/>
    <w:rsid w:val="310C5993"/>
    <w:rsid w:val="314E1CFD"/>
    <w:rsid w:val="315074E5"/>
    <w:rsid w:val="315D72EE"/>
    <w:rsid w:val="316C0C9B"/>
    <w:rsid w:val="31734146"/>
    <w:rsid w:val="318078C7"/>
    <w:rsid w:val="31D20EA4"/>
    <w:rsid w:val="31F67B49"/>
    <w:rsid w:val="320B2FAB"/>
    <w:rsid w:val="32137356"/>
    <w:rsid w:val="324A4B69"/>
    <w:rsid w:val="32787A33"/>
    <w:rsid w:val="329958B8"/>
    <w:rsid w:val="32A777DC"/>
    <w:rsid w:val="32C7445C"/>
    <w:rsid w:val="32D80290"/>
    <w:rsid w:val="32FB70D5"/>
    <w:rsid w:val="33102F53"/>
    <w:rsid w:val="332E1BA1"/>
    <w:rsid w:val="3333503C"/>
    <w:rsid w:val="33374BB8"/>
    <w:rsid w:val="33877538"/>
    <w:rsid w:val="338E07D5"/>
    <w:rsid w:val="33AE1245"/>
    <w:rsid w:val="33BE7D07"/>
    <w:rsid w:val="33E65C5B"/>
    <w:rsid w:val="340669DC"/>
    <w:rsid w:val="342C0D2E"/>
    <w:rsid w:val="343C11F8"/>
    <w:rsid w:val="34526148"/>
    <w:rsid w:val="34736647"/>
    <w:rsid w:val="347771CD"/>
    <w:rsid w:val="34781794"/>
    <w:rsid w:val="3483345D"/>
    <w:rsid w:val="34862AF4"/>
    <w:rsid w:val="349C11A7"/>
    <w:rsid w:val="34A31D53"/>
    <w:rsid w:val="34AE6A99"/>
    <w:rsid w:val="351852F5"/>
    <w:rsid w:val="3536590E"/>
    <w:rsid w:val="353F1F4D"/>
    <w:rsid w:val="354E5977"/>
    <w:rsid w:val="355D245E"/>
    <w:rsid w:val="356001D3"/>
    <w:rsid w:val="35C15A0C"/>
    <w:rsid w:val="35C535B1"/>
    <w:rsid w:val="35E210D6"/>
    <w:rsid w:val="35F93768"/>
    <w:rsid w:val="362178A5"/>
    <w:rsid w:val="362178F7"/>
    <w:rsid w:val="362C4D4C"/>
    <w:rsid w:val="36364C68"/>
    <w:rsid w:val="36581519"/>
    <w:rsid w:val="36634B57"/>
    <w:rsid w:val="36635E01"/>
    <w:rsid w:val="36715364"/>
    <w:rsid w:val="36781CEB"/>
    <w:rsid w:val="36795CA8"/>
    <w:rsid w:val="36903170"/>
    <w:rsid w:val="36BB0089"/>
    <w:rsid w:val="371127BC"/>
    <w:rsid w:val="37184804"/>
    <w:rsid w:val="372D5484"/>
    <w:rsid w:val="373F6235"/>
    <w:rsid w:val="3758350E"/>
    <w:rsid w:val="377754A4"/>
    <w:rsid w:val="3784633D"/>
    <w:rsid w:val="379F65EE"/>
    <w:rsid w:val="37A6612A"/>
    <w:rsid w:val="37A913F7"/>
    <w:rsid w:val="37E7217D"/>
    <w:rsid w:val="380450FE"/>
    <w:rsid w:val="38140C59"/>
    <w:rsid w:val="382947EF"/>
    <w:rsid w:val="38416BE3"/>
    <w:rsid w:val="384B61B1"/>
    <w:rsid w:val="38554319"/>
    <w:rsid w:val="38563836"/>
    <w:rsid w:val="387D60FC"/>
    <w:rsid w:val="38E70460"/>
    <w:rsid w:val="38F82B3F"/>
    <w:rsid w:val="38FD1F03"/>
    <w:rsid w:val="3903161C"/>
    <w:rsid w:val="39066931"/>
    <w:rsid w:val="390E61D2"/>
    <w:rsid w:val="39323950"/>
    <w:rsid w:val="39425FBE"/>
    <w:rsid w:val="3969448D"/>
    <w:rsid w:val="39745863"/>
    <w:rsid w:val="397B6AEA"/>
    <w:rsid w:val="39A16FCC"/>
    <w:rsid w:val="39A53341"/>
    <w:rsid w:val="39A82BF6"/>
    <w:rsid w:val="39F96B6F"/>
    <w:rsid w:val="3A155888"/>
    <w:rsid w:val="3A267D42"/>
    <w:rsid w:val="3A321ED4"/>
    <w:rsid w:val="3A325B91"/>
    <w:rsid w:val="3A4678DA"/>
    <w:rsid w:val="3A494538"/>
    <w:rsid w:val="3A6B5AAA"/>
    <w:rsid w:val="3A850402"/>
    <w:rsid w:val="3AD509CD"/>
    <w:rsid w:val="3B286FE0"/>
    <w:rsid w:val="3B2E0A9A"/>
    <w:rsid w:val="3B3C354E"/>
    <w:rsid w:val="3B4633AC"/>
    <w:rsid w:val="3B4B7A7E"/>
    <w:rsid w:val="3B4D4238"/>
    <w:rsid w:val="3B6C55F5"/>
    <w:rsid w:val="3B733902"/>
    <w:rsid w:val="3B7C6A7A"/>
    <w:rsid w:val="3B8E0D94"/>
    <w:rsid w:val="3BBB5D9F"/>
    <w:rsid w:val="3BC22C77"/>
    <w:rsid w:val="3BC46D08"/>
    <w:rsid w:val="3BDF78D2"/>
    <w:rsid w:val="3C0E2679"/>
    <w:rsid w:val="3C1C08F2"/>
    <w:rsid w:val="3C1F4887"/>
    <w:rsid w:val="3C5A6F24"/>
    <w:rsid w:val="3C636D8F"/>
    <w:rsid w:val="3C867B3B"/>
    <w:rsid w:val="3C9A5CBB"/>
    <w:rsid w:val="3CC5203B"/>
    <w:rsid w:val="3CEC4464"/>
    <w:rsid w:val="3D306860"/>
    <w:rsid w:val="3D4559C1"/>
    <w:rsid w:val="3D5E4F3B"/>
    <w:rsid w:val="3D6D1752"/>
    <w:rsid w:val="3D9710B7"/>
    <w:rsid w:val="3D9D3FA8"/>
    <w:rsid w:val="3DAC5B3A"/>
    <w:rsid w:val="3DB40030"/>
    <w:rsid w:val="3DDC2A2F"/>
    <w:rsid w:val="3DF525DA"/>
    <w:rsid w:val="3E09134A"/>
    <w:rsid w:val="3E0B3E43"/>
    <w:rsid w:val="3E0E1AF6"/>
    <w:rsid w:val="3E1520AD"/>
    <w:rsid w:val="3E17498C"/>
    <w:rsid w:val="3E207824"/>
    <w:rsid w:val="3E3A0EB7"/>
    <w:rsid w:val="3E3A3FCF"/>
    <w:rsid w:val="3E874CCC"/>
    <w:rsid w:val="3E9C3F6D"/>
    <w:rsid w:val="3EAF3474"/>
    <w:rsid w:val="3EC85768"/>
    <w:rsid w:val="3ED73F1C"/>
    <w:rsid w:val="3F211E74"/>
    <w:rsid w:val="3F3C3E6D"/>
    <w:rsid w:val="3F4610BE"/>
    <w:rsid w:val="3F5B7984"/>
    <w:rsid w:val="3F704C39"/>
    <w:rsid w:val="3F933713"/>
    <w:rsid w:val="3FBE0FEC"/>
    <w:rsid w:val="3FD45030"/>
    <w:rsid w:val="3FE503CB"/>
    <w:rsid w:val="3FE671F1"/>
    <w:rsid w:val="3FFA44EC"/>
    <w:rsid w:val="40063D93"/>
    <w:rsid w:val="4013136C"/>
    <w:rsid w:val="40156630"/>
    <w:rsid w:val="40215C71"/>
    <w:rsid w:val="407E7DCE"/>
    <w:rsid w:val="408811D7"/>
    <w:rsid w:val="408A05A3"/>
    <w:rsid w:val="408C0D5E"/>
    <w:rsid w:val="4098300C"/>
    <w:rsid w:val="40B802E1"/>
    <w:rsid w:val="40EF4827"/>
    <w:rsid w:val="40EF751F"/>
    <w:rsid w:val="410021E2"/>
    <w:rsid w:val="4114036C"/>
    <w:rsid w:val="411E006C"/>
    <w:rsid w:val="41243B09"/>
    <w:rsid w:val="41347332"/>
    <w:rsid w:val="41477101"/>
    <w:rsid w:val="414A322A"/>
    <w:rsid w:val="4161752A"/>
    <w:rsid w:val="416C2C59"/>
    <w:rsid w:val="418B04C1"/>
    <w:rsid w:val="41942904"/>
    <w:rsid w:val="41A1011B"/>
    <w:rsid w:val="41DE7F47"/>
    <w:rsid w:val="41E372B8"/>
    <w:rsid w:val="41ED7E39"/>
    <w:rsid w:val="41FE6A81"/>
    <w:rsid w:val="422743AE"/>
    <w:rsid w:val="422D022E"/>
    <w:rsid w:val="42425045"/>
    <w:rsid w:val="424C5CAA"/>
    <w:rsid w:val="4264687D"/>
    <w:rsid w:val="42673C0F"/>
    <w:rsid w:val="426C60B9"/>
    <w:rsid w:val="428B6BDF"/>
    <w:rsid w:val="42A4516C"/>
    <w:rsid w:val="42A5259A"/>
    <w:rsid w:val="42A861D3"/>
    <w:rsid w:val="42C05307"/>
    <w:rsid w:val="42D04AB8"/>
    <w:rsid w:val="42D5200E"/>
    <w:rsid w:val="430420E0"/>
    <w:rsid w:val="43065E58"/>
    <w:rsid w:val="43507C76"/>
    <w:rsid w:val="43683714"/>
    <w:rsid w:val="439E2AE2"/>
    <w:rsid w:val="43B239D2"/>
    <w:rsid w:val="43B4507A"/>
    <w:rsid w:val="43D978CE"/>
    <w:rsid w:val="440D7B75"/>
    <w:rsid w:val="441C7125"/>
    <w:rsid w:val="445E7C78"/>
    <w:rsid w:val="4465305A"/>
    <w:rsid w:val="44691E86"/>
    <w:rsid w:val="446C7FE4"/>
    <w:rsid w:val="44977E2D"/>
    <w:rsid w:val="44B86B24"/>
    <w:rsid w:val="44B9606B"/>
    <w:rsid w:val="44D57CC4"/>
    <w:rsid w:val="44ED6205"/>
    <w:rsid w:val="44FB070D"/>
    <w:rsid w:val="451C4409"/>
    <w:rsid w:val="4530328D"/>
    <w:rsid w:val="45464C32"/>
    <w:rsid w:val="454815A3"/>
    <w:rsid w:val="454A665C"/>
    <w:rsid w:val="456259CC"/>
    <w:rsid w:val="45772EF1"/>
    <w:rsid w:val="459C04E5"/>
    <w:rsid w:val="45A876E4"/>
    <w:rsid w:val="45AD42C6"/>
    <w:rsid w:val="45E3103A"/>
    <w:rsid w:val="45EC76ED"/>
    <w:rsid w:val="463D659F"/>
    <w:rsid w:val="46571078"/>
    <w:rsid w:val="466459CD"/>
    <w:rsid w:val="466E4DF7"/>
    <w:rsid w:val="46703836"/>
    <w:rsid w:val="46B6078E"/>
    <w:rsid w:val="46C93D6D"/>
    <w:rsid w:val="471843AC"/>
    <w:rsid w:val="47285DD8"/>
    <w:rsid w:val="473221DF"/>
    <w:rsid w:val="473B2738"/>
    <w:rsid w:val="476369EC"/>
    <w:rsid w:val="476906B6"/>
    <w:rsid w:val="476A6902"/>
    <w:rsid w:val="477E41B5"/>
    <w:rsid w:val="47A35D70"/>
    <w:rsid w:val="47CC0730"/>
    <w:rsid w:val="47CC5860"/>
    <w:rsid w:val="47D90C4C"/>
    <w:rsid w:val="47FE19E9"/>
    <w:rsid w:val="480D371A"/>
    <w:rsid w:val="482A0C12"/>
    <w:rsid w:val="484C6A03"/>
    <w:rsid w:val="484F02A2"/>
    <w:rsid w:val="485305BA"/>
    <w:rsid w:val="48566B3C"/>
    <w:rsid w:val="486B10D3"/>
    <w:rsid w:val="48724733"/>
    <w:rsid w:val="487815A6"/>
    <w:rsid w:val="48990DFB"/>
    <w:rsid w:val="48A8274C"/>
    <w:rsid w:val="48A95D4A"/>
    <w:rsid w:val="48C20F3A"/>
    <w:rsid w:val="48C21418"/>
    <w:rsid w:val="48D56A43"/>
    <w:rsid w:val="48DF1625"/>
    <w:rsid w:val="48F041E9"/>
    <w:rsid w:val="49025D4D"/>
    <w:rsid w:val="490C1A1C"/>
    <w:rsid w:val="49184B37"/>
    <w:rsid w:val="49247038"/>
    <w:rsid w:val="49337F02"/>
    <w:rsid w:val="494B2EB6"/>
    <w:rsid w:val="494D45E3"/>
    <w:rsid w:val="49520049"/>
    <w:rsid w:val="497B390C"/>
    <w:rsid w:val="49847CCC"/>
    <w:rsid w:val="49BE3602"/>
    <w:rsid w:val="49C66CAE"/>
    <w:rsid w:val="49C965F9"/>
    <w:rsid w:val="49CA5E32"/>
    <w:rsid w:val="49DC6810"/>
    <w:rsid w:val="49FB44D0"/>
    <w:rsid w:val="49FF5945"/>
    <w:rsid w:val="4A04718B"/>
    <w:rsid w:val="4A07483C"/>
    <w:rsid w:val="4A0C5883"/>
    <w:rsid w:val="4A121587"/>
    <w:rsid w:val="4A2F63BA"/>
    <w:rsid w:val="4A547140"/>
    <w:rsid w:val="4A6A0783"/>
    <w:rsid w:val="4A76654C"/>
    <w:rsid w:val="4A79255F"/>
    <w:rsid w:val="4A8C4817"/>
    <w:rsid w:val="4A9553AE"/>
    <w:rsid w:val="4AB27BFF"/>
    <w:rsid w:val="4AB663B6"/>
    <w:rsid w:val="4AC62A9D"/>
    <w:rsid w:val="4ACC5DF4"/>
    <w:rsid w:val="4AE15225"/>
    <w:rsid w:val="4B2E5F1E"/>
    <w:rsid w:val="4B39613F"/>
    <w:rsid w:val="4B4B4D50"/>
    <w:rsid w:val="4B866174"/>
    <w:rsid w:val="4B902123"/>
    <w:rsid w:val="4BAD5A0B"/>
    <w:rsid w:val="4BBC378F"/>
    <w:rsid w:val="4BCA2CDE"/>
    <w:rsid w:val="4BD43950"/>
    <w:rsid w:val="4BE1565C"/>
    <w:rsid w:val="4BEF0DEE"/>
    <w:rsid w:val="4BFA55EE"/>
    <w:rsid w:val="4BFF3F2B"/>
    <w:rsid w:val="4C131541"/>
    <w:rsid w:val="4C1F6AE6"/>
    <w:rsid w:val="4C2C41B0"/>
    <w:rsid w:val="4C545E87"/>
    <w:rsid w:val="4C6E6398"/>
    <w:rsid w:val="4C956E13"/>
    <w:rsid w:val="4CAE2BAE"/>
    <w:rsid w:val="4CC90623"/>
    <w:rsid w:val="4CD53203"/>
    <w:rsid w:val="4D091FB7"/>
    <w:rsid w:val="4D0C592D"/>
    <w:rsid w:val="4D147929"/>
    <w:rsid w:val="4D315D2A"/>
    <w:rsid w:val="4D387BB3"/>
    <w:rsid w:val="4D4C6CD1"/>
    <w:rsid w:val="4D55364B"/>
    <w:rsid w:val="4D6A16B5"/>
    <w:rsid w:val="4D726D42"/>
    <w:rsid w:val="4D7C5C2E"/>
    <w:rsid w:val="4D936830"/>
    <w:rsid w:val="4DBD5328"/>
    <w:rsid w:val="4E046D68"/>
    <w:rsid w:val="4E5C2691"/>
    <w:rsid w:val="4E6112A5"/>
    <w:rsid w:val="4E6527C0"/>
    <w:rsid w:val="4E6B4DD6"/>
    <w:rsid w:val="4E8B168F"/>
    <w:rsid w:val="4EB326F5"/>
    <w:rsid w:val="4EBD0F60"/>
    <w:rsid w:val="4EC8768D"/>
    <w:rsid w:val="4EF470EB"/>
    <w:rsid w:val="4F1075B3"/>
    <w:rsid w:val="4F4519D9"/>
    <w:rsid w:val="4F496A56"/>
    <w:rsid w:val="4F4C42AB"/>
    <w:rsid w:val="4F507643"/>
    <w:rsid w:val="4F576890"/>
    <w:rsid w:val="4F733A67"/>
    <w:rsid w:val="4F75317F"/>
    <w:rsid w:val="4F766114"/>
    <w:rsid w:val="4F990210"/>
    <w:rsid w:val="4FB46E67"/>
    <w:rsid w:val="4FDA2E44"/>
    <w:rsid w:val="4FE80E81"/>
    <w:rsid w:val="50132272"/>
    <w:rsid w:val="5015013B"/>
    <w:rsid w:val="50295A3E"/>
    <w:rsid w:val="502A5499"/>
    <w:rsid w:val="502F2D51"/>
    <w:rsid w:val="503B6722"/>
    <w:rsid w:val="506720D3"/>
    <w:rsid w:val="50700EA7"/>
    <w:rsid w:val="50962179"/>
    <w:rsid w:val="50A633EA"/>
    <w:rsid w:val="50C5097A"/>
    <w:rsid w:val="50C57353"/>
    <w:rsid w:val="50D221CA"/>
    <w:rsid w:val="51360251"/>
    <w:rsid w:val="51564303"/>
    <w:rsid w:val="51C73C30"/>
    <w:rsid w:val="51CB0999"/>
    <w:rsid w:val="51D26BE9"/>
    <w:rsid w:val="51E952C3"/>
    <w:rsid w:val="51F00DC5"/>
    <w:rsid w:val="51F12CE2"/>
    <w:rsid w:val="51F37876"/>
    <w:rsid w:val="51F474C4"/>
    <w:rsid w:val="51F73034"/>
    <w:rsid w:val="51FA6EC8"/>
    <w:rsid w:val="51FE4789"/>
    <w:rsid w:val="52077265"/>
    <w:rsid w:val="520A2CFD"/>
    <w:rsid w:val="52171FA1"/>
    <w:rsid w:val="521E5903"/>
    <w:rsid w:val="5269686F"/>
    <w:rsid w:val="526D277E"/>
    <w:rsid w:val="529B0F53"/>
    <w:rsid w:val="52AD38A6"/>
    <w:rsid w:val="52DA0607"/>
    <w:rsid w:val="52E10134"/>
    <w:rsid w:val="5307508F"/>
    <w:rsid w:val="530F2B07"/>
    <w:rsid w:val="531E35A7"/>
    <w:rsid w:val="532C004B"/>
    <w:rsid w:val="5338393E"/>
    <w:rsid w:val="5349426B"/>
    <w:rsid w:val="53652828"/>
    <w:rsid w:val="536C0334"/>
    <w:rsid w:val="53982B74"/>
    <w:rsid w:val="539A15FA"/>
    <w:rsid w:val="53A40329"/>
    <w:rsid w:val="53C41B44"/>
    <w:rsid w:val="53F02939"/>
    <w:rsid w:val="544E765F"/>
    <w:rsid w:val="544F3A0B"/>
    <w:rsid w:val="54635305"/>
    <w:rsid w:val="549A28A4"/>
    <w:rsid w:val="54A66FA6"/>
    <w:rsid w:val="54B864B8"/>
    <w:rsid w:val="54CB3991"/>
    <w:rsid w:val="55057081"/>
    <w:rsid w:val="55124B31"/>
    <w:rsid w:val="55425416"/>
    <w:rsid w:val="554D0547"/>
    <w:rsid w:val="55704D58"/>
    <w:rsid w:val="559512C4"/>
    <w:rsid w:val="559D43FA"/>
    <w:rsid w:val="55B91555"/>
    <w:rsid w:val="55BA3A99"/>
    <w:rsid w:val="55DA6611"/>
    <w:rsid w:val="55E0078B"/>
    <w:rsid w:val="56073F6A"/>
    <w:rsid w:val="56155928"/>
    <w:rsid w:val="563F6A28"/>
    <w:rsid w:val="56573C63"/>
    <w:rsid w:val="56582A17"/>
    <w:rsid w:val="567621FD"/>
    <w:rsid w:val="568146C7"/>
    <w:rsid w:val="56921561"/>
    <w:rsid w:val="569A316E"/>
    <w:rsid w:val="56A1565A"/>
    <w:rsid w:val="56D45D22"/>
    <w:rsid w:val="56FC15F5"/>
    <w:rsid w:val="56FE00DA"/>
    <w:rsid w:val="570D6A02"/>
    <w:rsid w:val="571269D8"/>
    <w:rsid w:val="571A5521"/>
    <w:rsid w:val="57236BE2"/>
    <w:rsid w:val="57270F70"/>
    <w:rsid w:val="578C1CA8"/>
    <w:rsid w:val="5798770D"/>
    <w:rsid w:val="579F0027"/>
    <w:rsid w:val="57AC1E76"/>
    <w:rsid w:val="57B707E3"/>
    <w:rsid w:val="57CA4887"/>
    <w:rsid w:val="57DC1393"/>
    <w:rsid w:val="581A1DAC"/>
    <w:rsid w:val="58201313"/>
    <w:rsid w:val="582705E1"/>
    <w:rsid w:val="587E4E77"/>
    <w:rsid w:val="589C31F5"/>
    <w:rsid w:val="589C57D4"/>
    <w:rsid w:val="58C94773"/>
    <w:rsid w:val="58E33C91"/>
    <w:rsid w:val="58E467E4"/>
    <w:rsid w:val="58F3268F"/>
    <w:rsid w:val="590E65D6"/>
    <w:rsid w:val="59363AFB"/>
    <w:rsid w:val="59441031"/>
    <w:rsid w:val="59464DA9"/>
    <w:rsid w:val="596F5451"/>
    <w:rsid w:val="597B36F4"/>
    <w:rsid w:val="59800421"/>
    <w:rsid w:val="5982267D"/>
    <w:rsid w:val="598B3453"/>
    <w:rsid w:val="59A10231"/>
    <w:rsid w:val="59D14837"/>
    <w:rsid w:val="59D81EA5"/>
    <w:rsid w:val="59E74DD0"/>
    <w:rsid w:val="59E9507B"/>
    <w:rsid w:val="59EA7C93"/>
    <w:rsid w:val="59EC3CB6"/>
    <w:rsid w:val="5A105358"/>
    <w:rsid w:val="5A652317"/>
    <w:rsid w:val="5A6928A6"/>
    <w:rsid w:val="5A8C2F07"/>
    <w:rsid w:val="5AA30C31"/>
    <w:rsid w:val="5AC178D1"/>
    <w:rsid w:val="5AD85A9C"/>
    <w:rsid w:val="5ADD563A"/>
    <w:rsid w:val="5B04316E"/>
    <w:rsid w:val="5B133913"/>
    <w:rsid w:val="5B233B87"/>
    <w:rsid w:val="5B234DD2"/>
    <w:rsid w:val="5B386973"/>
    <w:rsid w:val="5B615207"/>
    <w:rsid w:val="5B71236C"/>
    <w:rsid w:val="5B992A58"/>
    <w:rsid w:val="5B9E66AD"/>
    <w:rsid w:val="5BBE156E"/>
    <w:rsid w:val="5BCC76A3"/>
    <w:rsid w:val="5BD13050"/>
    <w:rsid w:val="5BE53E0B"/>
    <w:rsid w:val="5C081402"/>
    <w:rsid w:val="5C303B95"/>
    <w:rsid w:val="5C8A31FF"/>
    <w:rsid w:val="5CA9384A"/>
    <w:rsid w:val="5CBB16A8"/>
    <w:rsid w:val="5CDD55F3"/>
    <w:rsid w:val="5D00705A"/>
    <w:rsid w:val="5D134D9C"/>
    <w:rsid w:val="5D2B6790"/>
    <w:rsid w:val="5D2D20DB"/>
    <w:rsid w:val="5D6B3030"/>
    <w:rsid w:val="5D7C241A"/>
    <w:rsid w:val="5D7F2BFF"/>
    <w:rsid w:val="5D9C7014"/>
    <w:rsid w:val="5DA45FA8"/>
    <w:rsid w:val="5DAE65A1"/>
    <w:rsid w:val="5DB27194"/>
    <w:rsid w:val="5DC474E3"/>
    <w:rsid w:val="5DCA2356"/>
    <w:rsid w:val="5DD5494D"/>
    <w:rsid w:val="5E0B1338"/>
    <w:rsid w:val="5E15419A"/>
    <w:rsid w:val="5E4D33F9"/>
    <w:rsid w:val="5E6A24AC"/>
    <w:rsid w:val="5E796FC1"/>
    <w:rsid w:val="5E7A1034"/>
    <w:rsid w:val="5E9D13E5"/>
    <w:rsid w:val="5EAC56AE"/>
    <w:rsid w:val="5EAE0A76"/>
    <w:rsid w:val="5EB36A3D"/>
    <w:rsid w:val="5EC0115A"/>
    <w:rsid w:val="5EE65A13"/>
    <w:rsid w:val="5EF527BB"/>
    <w:rsid w:val="5EFE7492"/>
    <w:rsid w:val="5F1411D9"/>
    <w:rsid w:val="5F3C2663"/>
    <w:rsid w:val="5F7D6F40"/>
    <w:rsid w:val="5FAF36A8"/>
    <w:rsid w:val="5FD83606"/>
    <w:rsid w:val="5FF67967"/>
    <w:rsid w:val="600A2457"/>
    <w:rsid w:val="600B075B"/>
    <w:rsid w:val="602052E9"/>
    <w:rsid w:val="604B236C"/>
    <w:rsid w:val="605D58D7"/>
    <w:rsid w:val="60632D9D"/>
    <w:rsid w:val="608D22AB"/>
    <w:rsid w:val="608E59B3"/>
    <w:rsid w:val="608E7F8D"/>
    <w:rsid w:val="609E0DD8"/>
    <w:rsid w:val="60AB16F3"/>
    <w:rsid w:val="60BA6832"/>
    <w:rsid w:val="60CC4923"/>
    <w:rsid w:val="60CE4CEC"/>
    <w:rsid w:val="60D55390"/>
    <w:rsid w:val="60EE2742"/>
    <w:rsid w:val="610E08A2"/>
    <w:rsid w:val="61241E74"/>
    <w:rsid w:val="61377DF9"/>
    <w:rsid w:val="615D1DCC"/>
    <w:rsid w:val="616917F4"/>
    <w:rsid w:val="616D1696"/>
    <w:rsid w:val="618334DD"/>
    <w:rsid w:val="618F19E3"/>
    <w:rsid w:val="61B524DA"/>
    <w:rsid w:val="61CB4A04"/>
    <w:rsid w:val="61D25892"/>
    <w:rsid w:val="61E05B13"/>
    <w:rsid w:val="61EF0E6C"/>
    <w:rsid w:val="61F07C7B"/>
    <w:rsid w:val="61FB0611"/>
    <w:rsid w:val="620211EE"/>
    <w:rsid w:val="62034CF0"/>
    <w:rsid w:val="62151FE0"/>
    <w:rsid w:val="625C605A"/>
    <w:rsid w:val="62984C70"/>
    <w:rsid w:val="629C79EB"/>
    <w:rsid w:val="62A5588B"/>
    <w:rsid w:val="62A96AD4"/>
    <w:rsid w:val="62B9483E"/>
    <w:rsid w:val="62D858F4"/>
    <w:rsid w:val="62F270F4"/>
    <w:rsid w:val="62FF7B80"/>
    <w:rsid w:val="639F35CC"/>
    <w:rsid w:val="63A228C9"/>
    <w:rsid w:val="63D00091"/>
    <w:rsid w:val="63D55340"/>
    <w:rsid w:val="63F84971"/>
    <w:rsid w:val="641E2BAA"/>
    <w:rsid w:val="64371B05"/>
    <w:rsid w:val="643C587F"/>
    <w:rsid w:val="64533933"/>
    <w:rsid w:val="64634C92"/>
    <w:rsid w:val="647E7AED"/>
    <w:rsid w:val="64832D23"/>
    <w:rsid w:val="6499096C"/>
    <w:rsid w:val="64AF6728"/>
    <w:rsid w:val="64CD1010"/>
    <w:rsid w:val="64D73E84"/>
    <w:rsid w:val="64E62939"/>
    <w:rsid w:val="65003169"/>
    <w:rsid w:val="65465549"/>
    <w:rsid w:val="655C06CA"/>
    <w:rsid w:val="656C356D"/>
    <w:rsid w:val="65942CD8"/>
    <w:rsid w:val="659C4CA1"/>
    <w:rsid w:val="65AC5A8D"/>
    <w:rsid w:val="65BF03BD"/>
    <w:rsid w:val="65EF159E"/>
    <w:rsid w:val="663D1F3A"/>
    <w:rsid w:val="666A7FC1"/>
    <w:rsid w:val="66705176"/>
    <w:rsid w:val="667B2536"/>
    <w:rsid w:val="668B248D"/>
    <w:rsid w:val="669E75A1"/>
    <w:rsid w:val="66D53137"/>
    <w:rsid w:val="66DE2AC5"/>
    <w:rsid w:val="66F422E8"/>
    <w:rsid w:val="670036B6"/>
    <w:rsid w:val="67065B78"/>
    <w:rsid w:val="671E06DE"/>
    <w:rsid w:val="6733112C"/>
    <w:rsid w:val="673D18D3"/>
    <w:rsid w:val="67484DA3"/>
    <w:rsid w:val="676925D7"/>
    <w:rsid w:val="67743E38"/>
    <w:rsid w:val="677F3F6A"/>
    <w:rsid w:val="679A3947"/>
    <w:rsid w:val="67A930D3"/>
    <w:rsid w:val="67AD0B86"/>
    <w:rsid w:val="67C77C2B"/>
    <w:rsid w:val="67D008D8"/>
    <w:rsid w:val="67F419FD"/>
    <w:rsid w:val="67F935C2"/>
    <w:rsid w:val="68273FF7"/>
    <w:rsid w:val="682938C8"/>
    <w:rsid w:val="68454482"/>
    <w:rsid w:val="686C3ECB"/>
    <w:rsid w:val="688D47A2"/>
    <w:rsid w:val="6891732E"/>
    <w:rsid w:val="68B0223F"/>
    <w:rsid w:val="68C23AE5"/>
    <w:rsid w:val="68EA74FF"/>
    <w:rsid w:val="68ED6D33"/>
    <w:rsid w:val="68EF720B"/>
    <w:rsid w:val="68FC7232"/>
    <w:rsid w:val="69025456"/>
    <w:rsid w:val="690A194F"/>
    <w:rsid w:val="690E6396"/>
    <w:rsid w:val="69450296"/>
    <w:rsid w:val="696F6C01"/>
    <w:rsid w:val="6979068B"/>
    <w:rsid w:val="697E4DE2"/>
    <w:rsid w:val="69840369"/>
    <w:rsid w:val="69A66501"/>
    <w:rsid w:val="69AC611D"/>
    <w:rsid w:val="69CB1691"/>
    <w:rsid w:val="69E17E1B"/>
    <w:rsid w:val="69E64F15"/>
    <w:rsid w:val="6A0740E0"/>
    <w:rsid w:val="6A25196A"/>
    <w:rsid w:val="6A28499B"/>
    <w:rsid w:val="6A3640A9"/>
    <w:rsid w:val="6A85778C"/>
    <w:rsid w:val="6A8C1253"/>
    <w:rsid w:val="6AB16308"/>
    <w:rsid w:val="6AB36E88"/>
    <w:rsid w:val="6AE438E0"/>
    <w:rsid w:val="6AE57834"/>
    <w:rsid w:val="6AE8049B"/>
    <w:rsid w:val="6AE95FC6"/>
    <w:rsid w:val="6B1C0782"/>
    <w:rsid w:val="6B235E43"/>
    <w:rsid w:val="6B4129AA"/>
    <w:rsid w:val="6B5B5F7B"/>
    <w:rsid w:val="6B722811"/>
    <w:rsid w:val="6B910B23"/>
    <w:rsid w:val="6B935BAC"/>
    <w:rsid w:val="6BA15074"/>
    <w:rsid w:val="6BC172E9"/>
    <w:rsid w:val="6BCB00EC"/>
    <w:rsid w:val="6BD33301"/>
    <w:rsid w:val="6BDF6C83"/>
    <w:rsid w:val="6BE00113"/>
    <w:rsid w:val="6C1061DA"/>
    <w:rsid w:val="6C206AC0"/>
    <w:rsid w:val="6C236B68"/>
    <w:rsid w:val="6C2B055A"/>
    <w:rsid w:val="6C2C0F26"/>
    <w:rsid w:val="6C6260F5"/>
    <w:rsid w:val="6C924135"/>
    <w:rsid w:val="6C937EAD"/>
    <w:rsid w:val="6C9C4FB4"/>
    <w:rsid w:val="6CA541BB"/>
    <w:rsid w:val="6CE13C3E"/>
    <w:rsid w:val="6CF44DF0"/>
    <w:rsid w:val="6D036AA4"/>
    <w:rsid w:val="6D0436A5"/>
    <w:rsid w:val="6D1E00BF"/>
    <w:rsid w:val="6D780672"/>
    <w:rsid w:val="6D8450A3"/>
    <w:rsid w:val="6DAA2819"/>
    <w:rsid w:val="6DAA3C3F"/>
    <w:rsid w:val="6DC314DE"/>
    <w:rsid w:val="6DDD702D"/>
    <w:rsid w:val="6DDF2268"/>
    <w:rsid w:val="6DEA577A"/>
    <w:rsid w:val="6DED6CE1"/>
    <w:rsid w:val="6E0C43BB"/>
    <w:rsid w:val="6E18201D"/>
    <w:rsid w:val="6E1A58AA"/>
    <w:rsid w:val="6E33784F"/>
    <w:rsid w:val="6E426274"/>
    <w:rsid w:val="6E4E30E2"/>
    <w:rsid w:val="6E4F79FF"/>
    <w:rsid w:val="6E71617E"/>
    <w:rsid w:val="6E7162F2"/>
    <w:rsid w:val="6E7709A4"/>
    <w:rsid w:val="6E7C0F24"/>
    <w:rsid w:val="6E7E2C20"/>
    <w:rsid w:val="6E822F8D"/>
    <w:rsid w:val="6E88266D"/>
    <w:rsid w:val="6EAA7E7C"/>
    <w:rsid w:val="6EC21F14"/>
    <w:rsid w:val="6ECE5CFE"/>
    <w:rsid w:val="6F1670A9"/>
    <w:rsid w:val="6F2E210D"/>
    <w:rsid w:val="6F35524C"/>
    <w:rsid w:val="6F3D5A52"/>
    <w:rsid w:val="6FA15190"/>
    <w:rsid w:val="6FB53110"/>
    <w:rsid w:val="6FC821E7"/>
    <w:rsid w:val="6FE552F0"/>
    <w:rsid w:val="6FFB0243"/>
    <w:rsid w:val="70115CB9"/>
    <w:rsid w:val="703C62DE"/>
    <w:rsid w:val="706E66E2"/>
    <w:rsid w:val="70A01CEC"/>
    <w:rsid w:val="70AE03F6"/>
    <w:rsid w:val="70B70523"/>
    <w:rsid w:val="70C80492"/>
    <w:rsid w:val="70C814AF"/>
    <w:rsid w:val="70D86B89"/>
    <w:rsid w:val="70E77D1B"/>
    <w:rsid w:val="70FB77DF"/>
    <w:rsid w:val="710C37E4"/>
    <w:rsid w:val="711340D8"/>
    <w:rsid w:val="71432719"/>
    <w:rsid w:val="7164006A"/>
    <w:rsid w:val="718C2FC1"/>
    <w:rsid w:val="71B634CB"/>
    <w:rsid w:val="71CA1D6C"/>
    <w:rsid w:val="71CF39EE"/>
    <w:rsid w:val="71D84C45"/>
    <w:rsid w:val="71F17F94"/>
    <w:rsid w:val="72157EBD"/>
    <w:rsid w:val="72241A63"/>
    <w:rsid w:val="723529E0"/>
    <w:rsid w:val="72352B20"/>
    <w:rsid w:val="723E0D90"/>
    <w:rsid w:val="72750781"/>
    <w:rsid w:val="727809EA"/>
    <w:rsid w:val="72905EEA"/>
    <w:rsid w:val="7299607C"/>
    <w:rsid w:val="72A83B07"/>
    <w:rsid w:val="72BB3333"/>
    <w:rsid w:val="72C74D55"/>
    <w:rsid w:val="72E969F2"/>
    <w:rsid w:val="732512FB"/>
    <w:rsid w:val="732D2E0A"/>
    <w:rsid w:val="733F48EB"/>
    <w:rsid w:val="734534BD"/>
    <w:rsid w:val="736D0E9A"/>
    <w:rsid w:val="739015EB"/>
    <w:rsid w:val="73950252"/>
    <w:rsid w:val="739B362E"/>
    <w:rsid w:val="73A1041B"/>
    <w:rsid w:val="73AF7D9B"/>
    <w:rsid w:val="73BA21C4"/>
    <w:rsid w:val="73BC3337"/>
    <w:rsid w:val="73BC6B6B"/>
    <w:rsid w:val="73BE7F06"/>
    <w:rsid w:val="73D15628"/>
    <w:rsid w:val="73D3557F"/>
    <w:rsid w:val="73DE4104"/>
    <w:rsid w:val="7400692D"/>
    <w:rsid w:val="742F670E"/>
    <w:rsid w:val="74477EFB"/>
    <w:rsid w:val="744C521C"/>
    <w:rsid w:val="745D4DE5"/>
    <w:rsid w:val="746E36DA"/>
    <w:rsid w:val="749255B3"/>
    <w:rsid w:val="749A2FC3"/>
    <w:rsid w:val="74E11C59"/>
    <w:rsid w:val="74E62992"/>
    <w:rsid w:val="74F456B9"/>
    <w:rsid w:val="74FD4A5E"/>
    <w:rsid w:val="75213E88"/>
    <w:rsid w:val="75214AD6"/>
    <w:rsid w:val="752860C7"/>
    <w:rsid w:val="757726B5"/>
    <w:rsid w:val="75DD4B2A"/>
    <w:rsid w:val="75E8126A"/>
    <w:rsid w:val="75EE648E"/>
    <w:rsid w:val="75F07818"/>
    <w:rsid w:val="7601551C"/>
    <w:rsid w:val="760C22E2"/>
    <w:rsid w:val="7611314E"/>
    <w:rsid w:val="76566645"/>
    <w:rsid w:val="76671439"/>
    <w:rsid w:val="767A7DA4"/>
    <w:rsid w:val="767C75B6"/>
    <w:rsid w:val="76946CFC"/>
    <w:rsid w:val="76AD7372"/>
    <w:rsid w:val="771A49C4"/>
    <w:rsid w:val="771D4F43"/>
    <w:rsid w:val="773F4EBA"/>
    <w:rsid w:val="77426AC1"/>
    <w:rsid w:val="77533E8E"/>
    <w:rsid w:val="77546270"/>
    <w:rsid w:val="777D05BA"/>
    <w:rsid w:val="777F54CF"/>
    <w:rsid w:val="77836423"/>
    <w:rsid w:val="779D0503"/>
    <w:rsid w:val="77BB6220"/>
    <w:rsid w:val="78231AD8"/>
    <w:rsid w:val="784941B5"/>
    <w:rsid w:val="784F6894"/>
    <w:rsid w:val="78583FBF"/>
    <w:rsid w:val="78825061"/>
    <w:rsid w:val="78857244"/>
    <w:rsid w:val="78950BD3"/>
    <w:rsid w:val="78A10A6D"/>
    <w:rsid w:val="78B80FBE"/>
    <w:rsid w:val="78BD7DFD"/>
    <w:rsid w:val="78D562BF"/>
    <w:rsid w:val="78FF1B21"/>
    <w:rsid w:val="790F5062"/>
    <w:rsid w:val="79102FB2"/>
    <w:rsid w:val="792632FA"/>
    <w:rsid w:val="79493416"/>
    <w:rsid w:val="794E324E"/>
    <w:rsid w:val="795135CA"/>
    <w:rsid w:val="79647C14"/>
    <w:rsid w:val="79666A3E"/>
    <w:rsid w:val="796E2712"/>
    <w:rsid w:val="79A23FBB"/>
    <w:rsid w:val="79B778D1"/>
    <w:rsid w:val="79BB4863"/>
    <w:rsid w:val="79CD6ACF"/>
    <w:rsid w:val="79EB1329"/>
    <w:rsid w:val="79F705E8"/>
    <w:rsid w:val="7A1C7A41"/>
    <w:rsid w:val="7A2763C8"/>
    <w:rsid w:val="7A3507F6"/>
    <w:rsid w:val="7A373CA8"/>
    <w:rsid w:val="7A57575A"/>
    <w:rsid w:val="7A6C5C09"/>
    <w:rsid w:val="7A7639F5"/>
    <w:rsid w:val="7A7E219D"/>
    <w:rsid w:val="7A876DC6"/>
    <w:rsid w:val="7A8D0B84"/>
    <w:rsid w:val="7A8F4065"/>
    <w:rsid w:val="7AB1513F"/>
    <w:rsid w:val="7AC47FDA"/>
    <w:rsid w:val="7AD00E52"/>
    <w:rsid w:val="7AE362D9"/>
    <w:rsid w:val="7AFE5EB8"/>
    <w:rsid w:val="7B0C4888"/>
    <w:rsid w:val="7B167964"/>
    <w:rsid w:val="7B251E1F"/>
    <w:rsid w:val="7B2A33CB"/>
    <w:rsid w:val="7B2D4F21"/>
    <w:rsid w:val="7B302783"/>
    <w:rsid w:val="7B6030A9"/>
    <w:rsid w:val="7B7374FF"/>
    <w:rsid w:val="7B741282"/>
    <w:rsid w:val="7B7B274F"/>
    <w:rsid w:val="7B8B6C46"/>
    <w:rsid w:val="7BCA5FF7"/>
    <w:rsid w:val="7BDD7E7F"/>
    <w:rsid w:val="7BE916D7"/>
    <w:rsid w:val="7BFF5606"/>
    <w:rsid w:val="7C037713"/>
    <w:rsid w:val="7C0E383E"/>
    <w:rsid w:val="7C0E62A5"/>
    <w:rsid w:val="7C6A6322"/>
    <w:rsid w:val="7C94165A"/>
    <w:rsid w:val="7CA51C9F"/>
    <w:rsid w:val="7CC1340A"/>
    <w:rsid w:val="7CD544C5"/>
    <w:rsid w:val="7CE9704A"/>
    <w:rsid w:val="7CF573FC"/>
    <w:rsid w:val="7CFC2C14"/>
    <w:rsid w:val="7D1E5968"/>
    <w:rsid w:val="7D2B5FE6"/>
    <w:rsid w:val="7D4A4221"/>
    <w:rsid w:val="7D661A74"/>
    <w:rsid w:val="7D7129D8"/>
    <w:rsid w:val="7D772875"/>
    <w:rsid w:val="7D7B1D74"/>
    <w:rsid w:val="7D93553C"/>
    <w:rsid w:val="7D9C642D"/>
    <w:rsid w:val="7DC86496"/>
    <w:rsid w:val="7DC94F69"/>
    <w:rsid w:val="7DCE2025"/>
    <w:rsid w:val="7DDB1D9D"/>
    <w:rsid w:val="7E0B0249"/>
    <w:rsid w:val="7E0F6348"/>
    <w:rsid w:val="7E12157A"/>
    <w:rsid w:val="7E300364"/>
    <w:rsid w:val="7E887CA6"/>
    <w:rsid w:val="7E8C2062"/>
    <w:rsid w:val="7EA0301F"/>
    <w:rsid w:val="7ED07D31"/>
    <w:rsid w:val="7ED56964"/>
    <w:rsid w:val="7EFD3ACB"/>
    <w:rsid w:val="7F0A3FFF"/>
    <w:rsid w:val="7F137A1A"/>
    <w:rsid w:val="7F2751BF"/>
    <w:rsid w:val="7F2B27A3"/>
    <w:rsid w:val="7F334873"/>
    <w:rsid w:val="7F342B23"/>
    <w:rsid w:val="7F49636F"/>
    <w:rsid w:val="7F5C530F"/>
    <w:rsid w:val="7F6E181D"/>
    <w:rsid w:val="7F6E726C"/>
    <w:rsid w:val="7F7733BF"/>
    <w:rsid w:val="7F972780"/>
    <w:rsid w:val="7FA773EE"/>
    <w:rsid w:val="7FAE2D7E"/>
    <w:rsid w:val="7FBD671B"/>
    <w:rsid w:val="7FEC5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Times New Roman" w:cs="Times New Roman"/>
      <w:sz w:val="24"/>
      <w:szCs w:val="24"/>
    </w:rPr>
  </w:style>
  <w:style w:type="paragraph" w:styleId="7">
    <w:name w:val="heading 1"/>
    <w:basedOn w:val="1"/>
    <w:next w:val="1"/>
    <w:link w:val="43"/>
    <w:qFormat/>
    <w:uiPriority w:val="0"/>
    <w:pPr>
      <w:keepNext/>
      <w:keepLines/>
      <w:spacing w:before="100" w:beforeLines="0" w:after="90" w:afterLines="0" w:line="576" w:lineRule="auto"/>
      <w:jc w:val="center"/>
      <w:outlineLvl w:val="0"/>
    </w:pPr>
    <w:rPr>
      <w:rFonts w:ascii="Times New Roman" w:hAnsi="Times New Roman" w:eastAsia="宋体"/>
      <w:b/>
      <w:kern w:val="44"/>
      <w:sz w:val="36"/>
      <w:szCs w:val="44"/>
    </w:rPr>
  </w:style>
  <w:style w:type="paragraph" w:styleId="8">
    <w:name w:val="heading 2"/>
    <w:basedOn w:val="1"/>
    <w:next w:val="1"/>
    <w:link w:val="40"/>
    <w:autoRedefine/>
    <w:unhideWhenUsed/>
    <w:qFormat/>
    <w:uiPriority w:val="0"/>
    <w:pPr>
      <w:keepNext/>
      <w:keepLines/>
      <w:spacing w:before="240" w:beforeLines="0" w:beforeAutospacing="0" w:after="240" w:afterLines="0" w:afterAutospacing="0" w:line="240" w:lineRule="auto"/>
      <w:outlineLvl w:val="1"/>
    </w:pPr>
    <w:rPr>
      <w:rFonts w:ascii="Arial" w:hAnsi="Arial" w:eastAsia="宋体"/>
      <w:b/>
      <w:sz w:val="24"/>
      <w:szCs w:val="24"/>
      <w:lang w:bidi="ar-SA"/>
    </w:rPr>
  </w:style>
  <w:style w:type="paragraph" w:styleId="9">
    <w:name w:val="heading 3"/>
    <w:basedOn w:val="1"/>
    <w:next w:val="1"/>
    <w:link w:val="35"/>
    <w:autoRedefine/>
    <w:semiHidden/>
    <w:unhideWhenUsed/>
    <w:qFormat/>
    <w:uiPriority w:val="0"/>
    <w:pPr>
      <w:keepNext/>
      <w:keepLines/>
      <w:spacing w:before="0" w:beforeLines="0" w:after="0" w:afterLines="0" w:line="240" w:lineRule="auto"/>
      <w:jc w:val="left"/>
      <w:outlineLvl w:val="2"/>
    </w:pPr>
    <w:rPr>
      <w:rFonts w:ascii="Times New Roman" w:hAnsi="Times New Roman" w:eastAsia="宋体"/>
      <w:b/>
      <w:bCs/>
      <w:sz w:val="24"/>
      <w:szCs w:val="32"/>
      <w:lang w:bidi="ar-SA"/>
    </w:rPr>
  </w:style>
  <w:style w:type="paragraph" w:styleId="10">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7">
    <w:name w:val="Default Paragraph Font"/>
    <w:qFormat/>
    <w:uiPriority w:val="0"/>
  </w:style>
  <w:style w:type="table" w:default="1" w:styleId="2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5"/>
    <w:autoRedefine/>
    <w:qFormat/>
    <w:uiPriority w:val="0"/>
    <w:pPr>
      <w:spacing w:after="120"/>
      <w:ind w:left="420" w:leftChars="200" w:firstLine="420" w:firstLineChars="200"/>
    </w:pPr>
    <w:rPr>
      <w:rFonts w:ascii="Times New Roman" w:eastAsia="宋体"/>
      <w:sz w:val="21"/>
      <w:szCs w:val="24"/>
    </w:rPr>
  </w:style>
  <w:style w:type="paragraph" w:styleId="3">
    <w:name w:val="Body Text Indent"/>
    <w:basedOn w:val="1"/>
    <w:next w:val="4"/>
    <w:qFormat/>
    <w:uiPriority w:val="0"/>
    <w:pPr>
      <w:spacing w:after="120"/>
      <w:ind w:left="420" w:leftChars="200"/>
    </w:pPr>
    <w:rPr>
      <w:kern w:val="0"/>
      <w:sz w:val="20"/>
    </w:rPr>
  </w:style>
  <w:style w:type="paragraph" w:styleId="4">
    <w:name w:val="toc 7"/>
    <w:basedOn w:val="1"/>
    <w:next w:val="1"/>
    <w:autoRedefine/>
    <w:qFormat/>
    <w:uiPriority w:val="0"/>
    <w:pPr>
      <w:ind w:left="2520" w:leftChars="1200"/>
    </w:pPr>
    <w:rPr>
      <w:rFonts w:ascii="Calibri" w:hAnsi="Calibri"/>
      <w:szCs w:val="22"/>
    </w:rPr>
  </w:style>
  <w:style w:type="paragraph" w:styleId="5">
    <w:name w:val="Body Text"/>
    <w:basedOn w:val="1"/>
    <w:next w:val="6"/>
    <w:autoRedefine/>
    <w:qFormat/>
    <w:uiPriority w:val="0"/>
    <w:pPr>
      <w:spacing w:after="120"/>
    </w:pPr>
    <w:rPr>
      <w:sz w:val="21"/>
    </w:rPr>
  </w:style>
  <w:style w:type="paragraph" w:customStyle="1" w:styleId="6">
    <w:name w:val="目录 81"/>
    <w:next w:val="1"/>
    <w:qFormat/>
    <w:uiPriority w:val="0"/>
    <w:pPr>
      <w:wordWrap w:val="0"/>
      <w:ind w:left="2975"/>
      <w:jc w:val="both"/>
    </w:pPr>
    <w:rPr>
      <w:rFonts w:ascii="Times New Roman" w:hAnsi="Times New Roman" w:eastAsia="宋体" w:cs="Times New Roman"/>
      <w:sz w:val="21"/>
      <w:szCs w:val="22"/>
      <w:lang w:val="en-US" w:eastAsia="zh-CN" w:bidi="ar-SA"/>
    </w:rPr>
  </w:style>
  <w:style w:type="paragraph" w:styleId="11">
    <w:name w:val="Normal Indent"/>
    <w:basedOn w:val="1"/>
    <w:next w:val="1"/>
    <w:unhideWhenUsed/>
    <w:qFormat/>
    <w:uiPriority w:val="99"/>
    <w:pPr>
      <w:ind w:firstLine="420" w:firstLineChars="200"/>
    </w:pPr>
  </w:style>
  <w:style w:type="paragraph" w:styleId="12">
    <w:name w:val="toa heading"/>
    <w:basedOn w:val="1"/>
    <w:next w:val="1"/>
    <w:autoRedefine/>
    <w:qFormat/>
    <w:uiPriority w:val="0"/>
    <w:pPr>
      <w:spacing w:before="120"/>
    </w:pPr>
    <w:rPr>
      <w:rFonts w:ascii="Arial" w:hAnsi="Arial"/>
      <w:sz w:val="24"/>
      <w:szCs w:val="20"/>
    </w:rPr>
  </w:style>
  <w:style w:type="paragraph" w:styleId="13">
    <w:name w:val="toc 3"/>
    <w:basedOn w:val="1"/>
    <w:next w:val="1"/>
    <w:qFormat/>
    <w:uiPriority w:val="0"/>
    <w:pPr>
      <w:ind w:left="840" w:leftChars="400"/>
    </w:pPr>
  </w:style>
  <w:style w:type="paragraph" w:styleId="14">
    <w:name w:val="Plain Text"/>
    <w:basedOn w:val="1"/>
    <w:qFormat/>
    <w:uiPriority w:val="0"/>
    <w:rPr>
      <w:rFonts w:ascii="宋体" w:hAnsi="Courier New"/>
      <w:sz w:val="11"/>
      <w:szCs w:val="20"/>
    </w:rPr>
  </w:style>
  <w:style w:type="paragraph" w:styleId="15">
    <w:name w:val="Body Text Indent 2"/>
    <w:basedOn w:val="1"/>
    <w:autoRedefine/>
    <w:qFormat/>
    <w:uiPriority w:val="0"/>
    <w:pPr>
      <w:spacing w:after="120" w:line="480" w:lineRule="auto"/>
      <w:ind w:left="420" w:leftChars="200"/>
    </w:p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autoRedefine/>
    <w:qFormat/>
    <w:uiPriority w:val="0"/>
  </w:style>
  <w:style w:type="paragraph" w:styleId="19">
    <w:name w:val="List"/>
    <w:basedOn w:val="1"/>
    <w:autoRedefine/>
    <w:qFormat/>
    <w:uiPriority w:val="0"/>
    <w:pPr>
      <w:numPr>
        <w:ilvl w:val="0"/>
        <w:numId w:val="1"/>
      </w:numPr>
      <w:tabs>
        <w:tab w:val="center" w:pos="425"/>
      </w:tabs>
      <w:spacing w:line="360" w:lineRule="auto"/>
    </w:pPr>
    <w:rPr>
      <w:rFonts w:ascii="Arial" w:hAnsi="Arial"/>
      <w:kern w:val="0"/>
      <w:sz w:val="24"/>
    </w:rPr>
  </w:style>
  <w:style w:type="paragraph" w:styleId="20">
    <w:name w:val="footnote text"/>
    <w:basedOn w:val="1"/>
    <w:autoRedefine/>
    <w:qFormat/>
    <w:uiPriority w:val="0"/>
    <w:pPr>
      <w:adjustRightInd w:val="0"/>
      <w:spacing w:line="312" w:lineRule="atLeast"/>
      <w:jc w:val="left"/>
      <w:textAlignment w:val="baseline"/>
    </w:pPr>
    <w:rPr>
      <w:kern w:val="0"/>
      <w:sz w:val="18"/>
      <w:szCs w:val="20"/>
    </w:rPr>
  </w:style>
  <w:style w:type="paragraph" w:styleId="21">
    <w:name w:val="toc 2"/>
    <w:basedOn w:val="1"/>
    <w:next w:val="1"/>
    <w:autoRedefine/>
    <w:qFormat/>
    <w:uiPriority w:val="0"/>
    <w:pPr>
      <w:ind w:left="420" w:leftChars="200"/>
    </w:pPr>
  </w:style>
  <w:style w:type="paragraph" w:styleId="2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4">
    <w:name w:val="Body Text First Indent"/>
    <w:basedOn w:val="5"/>
    <w:autoRedefine/>
    <w:qFormat/>
    <w:uiPriority w:val="0"/>
    <w:pPr>
      <w:spacing w:after="120" w:afterLines="0"/>
      <w:ind w:firstLine="42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autoRedefine/>
    <w:qFormat/>
    <w:uiPriority w:val="0"/>
  </w:style>
  <w:style w:type="character" w:styleId="30">
    <w:name w:val="FollowedHyperlink"/>
    <w:basedOn w:val="27"/>
    <w:autoRedefine/>
    <w:qFormat/>
    <w:uiPriority w:val="0"/>
    <w:rPr>
      <w:color w:val="000000"/>
      <w:sz w:val="18"/>
      <w:szCs w:val="18"/>
      <w:u w:val="none"/>
    </w:rPr>
  </w:style>
  <w:style w:type="character" w:styleId="31">
    <w:name w:val="Hyperlink"/>
    <w:basedOn w:val="27"/>
    <w:autoRedefine/>
    <w:qFormat/>
    <w:uiPriority w:val="0"/>
    <w:rPr>
      <w:color w:val="000000"/>
      <w:sz w:val="18"/>
      <w:szCs w:val="18"/>
      <w:u w:val="none"/>
    </w:rPr>
  </w:style>
  <w:style w:type="character" w:styleId="32">
    <w:name w:val="HTML Sample"/>
    <w:basedOn w:val="27"/>
    <w:qFormat/>
    <w:uiPriority w:val="0"/>
    <w:rPr>
      <w:rFonts w:ascii="Courier New" w:hAnsi="Courier New"/>
    </w:rPr>
  </w:style>
  <w:style w:type="paragraph" w:customStyle="1" w:styleId="33">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文本正文"/>
    <w:basedOn w:val="1"/>
    <w:autoRedefine/>
    <w:qFormat/>
    <w:uiPriority w:val="0"/>
    <w:pPr>
      <w:spacing w:afterLines="50"/>
      <w:ind w:firstLine="200" w:firstLineChars="200"/>
      <w:jc w:val="left"/>
    </w:pPr>
    <w:rPr>
      <w:rFonts w:ascii="Calibri" w:hAnsi="Calibri"/>
      <w:sz w:val="24"/>
      <w:szCs w:val="22"/>
      <w:lang w:bidi="en-US"/>
    </w:rPr>
  </w:style>
  <w:style w:type="character" w:customStyle="1" w:styleId="35">
    <w:name w:val="标题 3 Char"/>
    <w:basedOn w:val="27"/>
    <w:link w:val="9"/>
    <w:autoRedefine/>
    <w:qFormat/>
    <w:uiPriority w:val="0"/>
    <w:rPr>
      <w:rFonts w:ascii="Times New Roman" w:hAnsi="Times New Roman" w:eastAsia="宋体"/>
      <w:b/>
      <w:bCs/>
      <w:sz w:val="24"/>
      <w:szCs w:val="32"/>
      <w:lang w:bidi="ar-SA"/>
    </w:rPr>
  </w:style>
  <w:style w:type="character" w:customStyle="1" w:styleId="36">
    <w:name w:val="font31"/>
    <w:basedOn w:val="27"/>
    <w:autoRedefine/>
    <w:qFormat/>
    <w:uiPriority w:val="0"/>
    <w:rPr>
      <w:rFonts w:hint="eastAsia" w:ascii="宋体" w:hAnsi="宋体" w:eastAsia="宋体" w:cs="宋体"/>
      <w:color w:val="000000"/>
      <w:sz w:val="20"/>
      <w:szCs w:val="20"/>
      <w:u w:val="none"/>
    </w:rPr>
  </w:style>
  <w:style w:type="character" w:customStyle="1" w:styleId="37">
    <w:name w:val="font01"/>
    <w:basedOn w:val="27"/>
    <w:autoRedefine/>
    <w:qFormat/>
    <w:uiPriority w:val="0"/>
    <w:rPr>
      <w:rFonts w:hint="eastAsia" w:ascii="宋体" w:hAnsi="宋体" w:eastAsia="宋体" w:cs="宋体"/>
      <w:color w:val="000000"/>
      <w:sz w:val="22"/>
      <w:szCs w:val="22"/>
      <w:u w:val="none"/>
    </w:rPr>
  </w:style>
  <w:style w:type="character" w:customStyle="1" w:styleId="38">
    <w:name w:val="font21"/>
    <w:basedOn w:val="27"/>
    <w:autoRedefine/>
    <w:qFormat/>
    <w:uiPriority w:val="0"/>
    <w:rPr>
      <w:rFonts w:hint="eastAsia" w:ascii="宋体" w:hAnsi="宋体" w:eastAsia="宋体" w:cs="宋体"/>
      <w:color w:val="000000"/>
      <w:sz w:val="24"/>
      <w:szCs w:val="24"/>
      <w:u w:val="none"/>
    </w:rPr>
  </w:style>
  <w:style w:type="character" w:customStyle="1" w:styleId="39">
    <w:name w:val="font11"/>
    <w:basedOn w:val="27"/>
    <w:autoRedefine/>
    <w:qFormat/>
    <w:uiPriority w:val="0"/>
    <w:rPr>
      <w:rFonts w:hint="eastAsia" w:ascii="宋体" w:hAnsi="宋体" w:eastAsia="宋体" w:cs="宋体"/>
      <w:color w:val="000000"/>
      <w:sz w:val="20"/>
      <w:szCs w:val="20"/>
      <w:u w:val="none"/>
      <w:vertAlign w:val="superscript"/>
    </w:rPr>
  </w:style>
  <w:style w:type="character" w:customStyle="1" w:styleId="40">
    <w:name w:val="标题 2 Char"/>
    <w:link w:val="8"/>
    <w:autoRedefine/>
    <w:qFormat/>
    <w:uiPriority w:val="0"/>
    <w:rPr>
      <w:rFonts w:ascii="Arial" w:hAnsi="Arial" w:eastAsia="宋体"/>
      <w:b/>
      <w:sz w:val="24"/>
      <w:szCs w:val="24"/>
      <w:lang w:bidi="ar-SA"/>
    </w:rPr>
  </w:style>
  <w:style w:type="paragraph" w:customStyle="1" w:styleId="41">
    <w:name w:val="缺省文本"/>
    <w:autoRedefine/>
    <w:qFormat/>
    <w:uiPriority w:val="0"/>
    <w:pPr>
      <w:widowControl w:val="0"/>
      <w:autoSpaceDE w:val="0"/>
      <w:autoSpaceDN w:val="0"/>
      <w:adjustRightInd w:val="0"/>
    </w:pPr>
    <w:rPr>
      <w:rFonts w:asciiTheme="minorHAnsi" w:hAnsiTheme="minorHAnsi" w:eastAsiaTheme="minorEastAsia" w:cstheme="minorBidi"/>
      <w:color w:val="000000"/>
      <w:sz w:val="24"/>
      <w:szCs w:val="24"/>
      <w:lang w:val="en-US" w:eastAsia="zh-CN" w:bidi="ar-SA"/>
    </w:rPr>
  </w:style>
  <w:style w:type="paragraph" w:customStyle="1" w:styleId="42">
    <w:name w:val="采购正文"/>
    <w:qFormat/>
    <w:uiPriority w:val="0"/>
    <w:pPr>
      <w:snapToGrid w:val="0"/>
      <w:spacing w:line="560" w:lineRule="exact"/>
      <w:ind w:firstLine="480" w:firstLineChars="200"/>
    </w:pPr>
    <w:rPr>
      <w:rFonts w:ascii="仿宋" w:hAnsi="仿宋" w:eastAsia="仿宋" w:cs="Times New Roman"/>
      <w:kern w:val="2"/>
      <w:sz w:val="24"/>
      <w:szCs w:val="24"/>
      <w:lang w:val="en-US" w:eastAsia="zh-CN" w:bidi="ar-SA"/>
    </w:rPr>
  </w:style>
  <w:style w:type="character" w:customStyle="1" w:styleId="43">
    <w:name w:val="标题 1 Char"/>
    <w:link w:val="7"/>
    <w:autoRedefine/>
    <w:qFormat/>
    <w:uiPriority w:val="0"/>
    <w:rPr>
      <w:rFonts w:ascii="Times New Roman" w:hAnsi="Times New Roman" w:eastAsia="宋体"/>
      <w:b/>
      <w:kern w:val="44"/>
      <w:sz w:val="36"/>
      <w:szCs w:val="44"/>
    </w:rPr>
  </w:style>
  <w:style w:type="paragraph" w:customStyle="1" w:styleId="44">
    <w:name w:val="正文缩进1"/>
    <w:basedOn w:val="1"/>
    <w:autoRedefine/>
    <w:qFormat/>
    <w:uiPriority w:val="0"/>
    <w:pPr>
      <w:autoSpaceDE w:val="0"/>
      <w:autoSpaceDN w:val="0"/>
      <w:adjustRightInd w:val="0"/>
      <w:ind w:firstLine="420"/>
    </w:pPr>
    <w:rPr>
      <w:rFonts w:ascii="宋体" w:hAnsiTheme="minorHAnsi" w:eastAsiaTheme="minorEastAsia" w:cstheme="minorBidi"/>
      <w:szCs w:val="22"/>
    </w:rPr>
  </w:style>
  <w:style w:type="paragraph" w:customStyle="1" w:styleId="45">
    <w:name w:val="纯文本1"/>
    <w:basedOn w:val="1"/>
    <w:autoRedefine/>
    <w:qFormat/>
    <w:uiPriority w:val="0"/>
    <w:rPr>
      <w:rFonts w:ascii="宋体" w:hAnsi="Courier New"/>
      <w:szCs w:val="22"/>
    </w:rPr>
  </w:style>
  <w:style w:type="paragraph" w:customStyle="1" w:styleId="46">
    <w:name w:val="p0"/>
    <w:basedOn w:val="1"/>
    <w:qFormat/>
    <w:uiPriority w:val="0"/>
    <w:pPr>
      <w:widowControl/>
      <w:jc w:val="left"/>
    </w:pPr>
    <w:rPr>
      <w:kern w:val="0"/>
      <w:szCs w:val="21"/>
    </w:rPr>
  </w:style>
  <w:style w:type="paragraph" w:styleId="47">
    <w:name w:val="No Spacing"/>
    <w:autoRedefine/>
    <w:qFormat/>
    <w:uiPriority w:val="1"/>
    <w:pPr>
      <w:adjustRightInd w:val="0"/>
      <w:snapToGrid w:val="0"/>
    </w:pPr>
    <w:rPr>
      <w:rFonts w:ascii="Tahoma" w:hAnsi="Tahoma" w:eastAsia="微软雅黑" w:cstheme="minorBidi"/>
      <w:sz w:val="22"/>
      <w:szCs w:val="22"/>
      <w:lang w:val="en-US" w:eastAsia="zh-CN" w:bidi="ar-SA"/>
    </w:rPr>
  </w:style>
  <w:style w:type="paragraph" w:customStyle="1" w:styleId="48">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9">
    <w:name w:val="_Style 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y??"/>
    <w:autoRedefine/>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paragraph" w:customStyle="1" w:styleId="51">
    <w:name w:val="List Paragraph"/>
    <w:basedOn w:val="1"/>
    <w:autoRedefine/>
    <w:qFormat/>
    <w:uiPriority w:val="34"/>
    <w:pPr>
      <w:ind w:firstLine="420"/>
    </w:pPr>
  </w:style>
  <w:style w:type="paragraph" w:customStyle="1" w:styleId="52">
    <w:name w:val="WPS Plain"/>
    <w:autoRedefine/>
    <w:qFormat/>
    <w:uiPriority w:val="0"/>
    <w:rPr>
      <w:rFonts w:ascii="Times New Roman" w:hAnsi="Times New Roman" w:eastAsia="宋体" w:cs="Times New Roman"/>
      <w:sz w:val="21"/>
      <w:szCs w:val="22"/>
      <w:lang w:val="en-US" w:eastAsia="zh-CN" w:bidi="ar-SA"/>
    </w:rPr>
  </w:style>
  <w:style w:type="paragraph" w:customStyle="1" w:styleId="53">
    <w:name w:val="WPSOffice手动目录 1"/>
    <w:autoRedefine/>
    <w:qFormat/>
    <w:uiPriority w:val="0"/>
    <w:pPr>
      <w:ind w:leftChars="0"/>
    </w:pPr>
    <w:rPr>
      <w:rFonts w:ascii="Times New Roman" w:hAnsi="Times New Roman" w:eastAsia="宋体" w:cs="Times New Roman"/>
      <w:sz w:val="20"/>
      <w:szCs w:val="20"/>
    </w:rPr>
  </w:style>
  <w:style w:type="paragraph" w:customStyle="1" w:styleId="54">
    <w:name w:val="WPSOffice手动目录 2"/>
    <w:autoRedefine/>
    <w:qFormat/>
    <w:uiPriority w:val="0"/>
    <w:pPr>
      <w:ind w:leftChars="200"/>
    </w:pPr>
    <w:rPr>
      <w:rFonts w:ascii="Times New Roman" w:hAnsi="Times New Roman" w:eastAsia="宋体" w:cs="Times New Roman"/>
      <w:sz w:val="20"/>
      <w:szCs w:val="20"/>
    </w:rPr>
  </w:style>
  <w:style w:type="paragraph" w:customStyle="1" w:styleId="55">
    <w:name w:val="WPSOffice手动目录 3"/>
    <w:autoRedefine/>
    <w:qFormat/>
    <w:uiPriority w:val="0"/>
    <w:pPr>
      <w:ind w:leftChars="400"/>
    </w:pPr>
    <w:rPr>
      <w:rFonts w:ascii="Times New Roman" w:hAnsi="Times New Roman" w:eastAsia="宋体" w:cs="Times New Roman"/>
      <w:sz w:val="20"/>
      <w:szCs w:val="20"/>
    </w:rPr>
  </w:style>
  <w:style w:type="paragraph" w:customStyle="1" w:styleId="56">
    <w:name w:val="样式 标题 2 + Times New Roman 四号 非加粗 段前: 5 磅 段后: 0 磅 行距: 固定值 20..."/>
    <w:basedOn w:val="8"/>
    <w:autoRedefine/>
    <w:qFormat/>
    <w:uiPriority w:val="0"/>
    <w:pPr>
      <w:spacing w:before="100" w:beforeLines="0" w:after="0" w:afterLines="0" w:line="400" w:lineRule="exact"/>
    </w:pPr>
    <w:rPr>
      <w:rFonts w:ascii="Times New Roman" w:hAnsi="Times New Roman" w:cs="宋体"/>
      <w:b w:val="0"/>
      <w:sz w:val="28"/>
      <w:szCs w:val="20"/>
    </w:rPr>
  </w:style>
  <w:style w:type="paragraph" w:customStyle="1" w:styleId="57">
    <w:name w:val="列出段落1"/>
    <w:basedOn w:val="58"/>
    <w:autoRedefine/>
    <w:qFormat/>
    <w:uiPriority w:val="99"/>
    <w:pPr>
      <w:ind w:firstLine="420" w:firstLineChars="200"/>
    </w:pPr>
    <w:rPr>
      <w:rFonts w:ascii="Times New Roman" w:hAnsi="Times New Roman"/>
    </w:rPr>
  </w:style>
  <w:style w:type="paragraph" w:customStyle="1" w:styleId="58">
    <w:name w:val="正文_0"/>
    <w:next w:val="5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_4"/>
    <w:next w:val="6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首行缩进 2_2"/>
    <w:basedOn w:val="61"/>
    <w:autoRedefine/>
    <w:unhideWhenUsed/>
    <w:qFormat/>
    <w:uiPriority w:val="99"/>
    <w:pPr>
      <w:ind w:firstLine="420" w:firstLineChars="200"/>
    </w:pPr>
  </w:style>
  <w:style w:type="paragraph" w:customStyle="1" w:styleId="61">
    <w:name w:val="正文文本缩进_2"/>
    <w:basedOn w:val="59"/>
    <w:autoRedefine/>
    <w:unhideWhenUsed/>
    <w:qFormat/>
    <w:uiPriority w:val="99"/>
    <w:pPr>
      <w:spacing w:after="120"/>
      <w:ind w:left="420" w:leftChars="200"/>
    </w:pPr>
  </w:style>
  <w:style w:type="paragraph" w:customStyle="1" w:styleId="62">
    <w:name w:val="正文_29_3_4"/>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114</Pages>
  <Words>1695</Words>
  <Characters>2055</Characters>
  <Lines>1</Lines>
  <Paragraphs>1</Paragraphs>
  <TotalTime>31</TotalTime>
  <ScaleCrop>false</ScaleCrop>
  <LinksUpToDate>false</LinksUpToDate>
  <CharactersWithSpaces>2090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2018-03-31T06:59:00Z</dcterms:created>
  <dc:creator>20161116IHOOH-PC</dc:creator>
  <cp:lastModifiedBy>瘾</cp:lastModifiedBy>
  <cp:lastPrinted>2023-01-13T10:54:00Z</cp:lastPrinted>
  <dcterms:modified xsi:type="dcterms:W3CDTF">2025-03-10T10:13:39Z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D9AD78B25827498A9305443D9B835261_13</vt:lpwstr>
  </property>
  <property fmtid="{D5CDD505-2E9C-101B-9397-08002B2CF9AE}" pid="4" name="KSOTemplateDocerSaveRecord">
    <vt:lpwstr>eyJoZGlkIjoiYTdkN2M4M2RkNWVlNjVmMmE4Y2JlY2ZmYjMyMDQyODMiLCJ1c2VySWQiOiI0ODg3Njg3MjIifQ==</vt:lpwstr>
  </property>
</Properties>
</file>