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6B95B">
      <w:pPr>
        <w:pStyle w:val="7"/>
        <w:spacing w:line="267" w:lineRule="auto"/>
        <w:rPr>
          <w:highlight w:val="none"/>
        </w:rPr>
      </w:pPr>
    </w:p>
    <w:p w14:paraId="1E13AB6D">
      <w:pPr>
        <w:pStyle w:val="7"/>
        <w:spacing w:line="267" w:lineRule="auto"/>
        <w:rPr>
          <w:highlight w:val="none"/>
        </w:rPr>
      </w:pPr>
    </w:p>
    <w:p w14:paraId="7CE59447">
      <w:pPr>
        <w:pStyle w:val="7"/>
        <w:spacing w:line="267" w:lineRule="auto"/>
        <w:rPr>
          <w:highlight w:val="none"/>
        </w:rPr>
      </w:pPr>
    </w:p>
    <w:p w14:paraId="7B6AFBBD">
      <w:pPr>
        <w:pStyle w:val="7"/>
        <w:spacing w:line="267" w:lineRule="auto"/>
        <w:rPr>
          <w:highlight w:val="none"/>
        </w:rPr>
      </w:pPr>
    </w:p>
    <w:p w14:paraId="77DAF083">
      <w:pPr>
        <w:pStyle w:val="7"/>
        <w:spacing w:line="267" w:lineRule="auto"/>
        <w:rPr>
          <w:highlight w:val="none"/>
        </w:rPr>
      </w:pPr>
    </w:p>
    <w:p w14:paraId="349C28D2">
      <w:pPr>
        <w:pStyle w:val="7"/>
        <w:spacing w:line="268" w:lineRule="auto"/>
        <w:rPr>
          <w:highlight w:val="none"/>
        </w:rPr>
      </w:pPr>
    </w:p>
    <w:p w14:paraId="537C9BF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微软雅黑" w:hAnsi="微软雅黑" w:eastAsia="微软雅黑" w:cs="微软雅黑"/>
          <w:spacing w:val="-12"/>
          <w:sz w:val="40"/>
          <w:szCs w:val="40"/>
          <w:highlight w:val="none"/>
          <w:lang w:val="en-US" w:eastAsia="zh-CN"/>
        </w:rPr>
      </w:pPr>
      <w:r>
        <w:rPr>
          <w:rFonts w:hint="eastAsia" w:ascii="微软雅黑" w:hAnsi="微软雅黑" w:eastAsia="微软雅黑" w:cs="微软雅黑"/>
          <w:spacing w:val="-12"/>
          <w:sz w:val="40"/>
          <w:szCs w:val="40"/>
          <w:highlight w:val="none"/>
          <w:lang w:eastAsia="zh-CN"/>
        </w:rPr>
        <w:t>英吉沙县2024年农民培训项目（二次）</w:t>
      </w:r>
    </w:p>
    <w:p w14:paraId="6DC87C8B">
      <w:pPr>
        <w:spacing w:before="172" w:line="450" w:lineRule="auto"/>
        <w:ind w:right="1089"/>
        <w:jc w:val="both"/>
        <w:rPr>
          <w:rFonts w:hint="eastAsia" w:ascii="宋体" w:hAnsi="宋体" w:eastAsia="宋体" w:cs="宋体"/>
          <w:bCs/>
          <w:snapToGrid/>
          <w:kern w:val="2"/>
          <w:sz w:val="32"/>
          <w:szCs w:val="32"/>
          <w:highlight w:val="none"/>
          <w:lang w:eastAsia="zh-CN"/>
        </w:rPr>
      </w:pPr>
    </w:p>
    <w:p w14:paraId="56328AEB">
      <w:pPr>
        <w:spacing w:before="172" w:line="450" w:lineRule="auto"/>
        <w:ind w:right="1089"/>
        <w:jc w:val="center"/>
        <w:rPr>
          <w:rFonts w:hint="eastAsia" w:ascii="宋体" w:hAnsi="宋体" w:eastAsia="宋体" w:cs="宋体"/>
          <w:bCs/>
          <w:snapToGrid/>
          <w:kern w:val="2"/>
          <w:sz w:val="32"/>
          <w:szCs w:val="32"/>
          <w:highlight w:val="none"/>
          <w:lang w:eastAsia="zh-CN"/>
        </w:rPr>
      </w:pPr>
      <w:r>
        <w:rPr>
          <w:rFonts w:hint="eastAsia" w:ascii="宋体" w:hAnsi="宋体" w:eastAsia="宋体" w:cs="宋体"/>
          <w:bCs/>
          <w:snapToGrid/>
          <w:kern w:val="2"/>
          <w:sz w:val="32"/>
          <w:szCs w:val="32"/>
          <w:highlight w:val="none"/>
          <w:lang w:val="en-US" w:eastAsia="zh-CN"/>
        </w:rPr>
        <w:t xml:space="preserve">     </w:t>
      </w:r>
      <w:r>
        <w:rPr>
          <w:rFonts w:hint="eastAsia" w:ascii="宋体" w:hAnsi="宋体" w:eastAsia="宋体" w:cs="宋体"/>
          <w:bCs/>
          <w:snapToGrid/>
          <w:kern w:val="2"/>
          <w:sz w:val="32"/>
          <w:szCs w:val="32"/>
          <w:highlight w:val="none"/>
          <w:lang w:eastAsia="zh-CN"/>
        </w:rPr>
        <w:t>项目编号：ZTZXYJSX（GK）DL-2025-06</w:t>
      </w:r>
    </w:p>
    <w:p w14:paraId="1EBF5392">
      <w:pPr>
        <w:pStyle w:val="7"/>
        <w:spacing w:line="248" w:lineRule="auto"/>
        <w:jc w:val="center"/>
        <w:rPr>
          <w:highlight w:val="none"/>
        </w:rPr>
      </w:pPr>
    </w:p>
    <w:p w14:paraId="7D34DA03">
      <w:pPr>
        <w:pStyle w:val="7"/>
        <w:spacing w:line="248" w:lineRule="auto"/>
        <w:rPr>
          <w:highlight w:val="none"/>
        </w:rPr>
      </w:pPr>
    </w:p>
    <w:p w14:paraId="42E1E5EB">
      <w:pPr>
        <w:pStyle w:val="7"/>
        <w:spacing w:line="248" w:lineRule="auto"/>
        <w:rPr>
          <w:highlight w:val="none"/>
        </w:rPr>
      </w:pPr>
    </w:p>
    <w:p w14:paraId="1DE5C2F5">
      <w:pPr>
        <w:pStyle w:val="7"/>
        <w:spacing w:line="248" w:lineRule="auto"/>
        <w:rPr>
          <w:highlight w:val="none"/>
        </w:rPr>
      </w:pPr>
    </w:p>
    <w:p w14:paraId="3816D44C">
      <w:pPr>
        <w:pStyle w:val="7"/>
        <w:spacing w:line="248" w:lineRule="auto"/>
        <w:rPr>
          <w:highlight w:val="none"/>
        </w:rPr>
      </w:pPr>
    </w:p>
    <w:p w14:paraId="4D6E317B">
      <w:pPr>
        <w:pStyle w:val="7"/>
        <w:spacing w:line="248" w:lineRule="auto"/>
        <w:rPr>
          <w:highlight w:val="none"/>
        </w:rPr>
      </w:pPr>
    </w:p>
    <w:p w14:paraId="4C1114C8">
      <w:pPr>
        <w:pStyle w:val="7"/>
        <w:spacing w:line="248" w:lineRule="auto"/>
        <w:rPr>
          <w:highlight w:val="none"/>
        </w:rPr>
      </w:pPr>
    </w:p>
    <w:p w14:paraId="66E66F56">
      <w:pPr>
        <w:pStyle w:val="7"/>
        <w:spacing w:line="248" w:lineRule="auto"/>
        <w:rPr>
          <w:highlight w:val="none"/>
        </w:rPr>
      </w:pPr>
    </w:p>
    <w:p w14:paraId="26C3F809">
      <w:pPr>
        <w:pStyle w:val="7"/>
        <w:spacing w:line="248" w:lineRule="auto"/>
        <w:rPr>
          <w:highlight w:val="none"/>
        </w:rPr>
      </w:pPr>
    </w:p>
    <w:p w14:paraId="62BAF67B">
      <w:pPr>
        <w:pStyle w:val="7"/>
        <w:spacing w:line="248" w:lineRule="auto"/>
        <w:rPr>
          <w:highlight w:val="none"/>
        </w:rPr>
      </w:pPr>
    </w:p>
    <w:p w14:paraId="5E15F424">
      <w:pPr>
        <w:pStyle w:val="7"/>
        <w:spacing w:line="248" w:lineRule="auto"/>
        <w:rPr>
          <w:highlight w:val="none"/>
        </w:rPr>
      </w:pPr>
    </w:p>
    <w:p w14:paraId="6A0FBC22">
      <w:pPr>
        <w:pStyle w:val="7"/>
        <w:spacing w:line="248" w:lineRule="auto"/>
        <w:rPr>
          <w:highlight w:val="none"/>
        </w:rPr>
      </w:pPr>
    </w:p>
    <w:p w14:paraId="0264E21F">
      <w:pPr>
        <w:pStyle w:val="7"/>
        <w:spacing w:line="248" w:lineRule="auto"/>
        <w:rPr>
          <w:highlight w:val="none"/>
        </w:rPr>
      </w:pPr>
    </w:p>
    <w:p w14:paraId="2D2D2CAC">
      <w:pPr>
        <w:pStyle w:val="7"/>
        <w:spacing w:line="249" w:lineRule="auto"/>
        <w:rPr>
          <w:highlight w:val="none"/>
        </w:rPr>
      </w:pPr>
    </w:p>
    <w:p w14:paraId="6FD8D1FA">
      <w:pPr>
        <w:pStyle w:val="7"/>
        <w:spacing w:line="249" w:lineRule="auto"/>
        <w:rPr>
          <w:highlight w:val="none"/>
        </w:rPr>
      </w:pPr>
    </w:p>
    <w:p w14:paraId="765BA903">
      <w:pPr>
        <w:spacing w:before="304" w:line="184" w:lineRule="auto"/>
        <w:ind w:left="3031"/>
        <w:rPr>
          <w:rFonts w:ascii="微软雅黑" w:hAnsi="微软雅黑" w:eastAsia="微软雅黑" w:cs="微软雅黑"/>
          <w:sz w:val="71"/>
          <w:szCs w:val="71"/>
          <w:highlight w:val="none"/>
        </w:rPr>
      </w:pPr>
      <w:r>
        <w:rPr>
          <w:rFonts w:ascii="微软雅黑" w:hAnsi="微软雅黑" w:eastAsia="微软雅黑" w:cs="微软雅黑"/>
          <w:spacing w:val="-4"/>
          <w:sz w:val="71"/>
          <w:szCs w:val="71"/>
          <w:highlight w:val="none"/>
        </w:rPr>
        <w:t>招标文件</w:t>
      </w:r>
    </w:p>
    <w:p w14:paraId="6788E277">
      <w:pPr>
        <w:pStyle w:val="7"/>
        <w:spacing w:line="247" w:lineRule="auto"/>
        <w:rPr>
          <w:highlight w:val="none"/>
        </w:rPr>
      </w:pPr>
    </w:p>
    <w:p w14:paraId="4D9E2031">
      <w:pPr>
        <w:pStyle w:val="7"/>
        <w:spacing w:line="247" w:lineRule="auto"/>
        <w:rPr>
          <w:highlight w:val="none"/>
        </w:rPr>
      </w:pPr>
    </w:p>
    <w:p w14:paraId="5B0F9FFF">
      <w:pPr>
        <w:pStyle w:val="7"/>
        <w:spacing w:line="247" w:lineRule="auto"/>
        <w:rPr>
          <w:highlight w:val="none"/>
        </w:rPr>
      </w:pPr>
    </w:p>
    <w:p w14:paraId="1AC85184">
      <w:pPr>
        <w:pStyle w:val="7"/>
        <w:spacing w:line="247" w:lineRule="auto"/>
        <w:rPr>
          <w:highlight w:val="none"/>
        </w:rPr>
      </w:pPr>
    </w:p>
    <w:p w14:paraId="368D3A12">
      <w:pPr>
        <w:pStyle w:val="7"/>
        <w:spacing w:line="247" w:lineRule="auto"/>
        <w:rPr>
          <w:highlight w:val="none"/>
        </w:rPr>
      </w:pPr>
    </w:p>
    <w:p w14:paraId="2B25D0DD">
      <w:pPr>
        <w:pStyle w:val="7"/>
        <w:spacing w:line="247" w:lineRule="auto"/>
        <w:rPr>
          <w:highlight w:val="none"/>
        </w:rPr>
      </w:pPr>
    </w:p>
    <w:p w14:paraId="16838129">
      <w:pPr>
        <w:pStyle w:val="7"/>
        <w:spacing w:line="247" w:lineRule="auto"/>
        <w:rPr>
          <w:highlight w:val="none"/>
        </w:rPr>
      </w:pPr>
    </w:p>
    <w:p w14:paraId="2F85B8BE">
      <w:pPr>
        <w:pStyle w:val="7"/>
        <w:spacing w:line="248" w:lineRule="auto"/>
        <w:rPr>
          <w:highlight w:val="none"/>
        </w:rPr>
      </w:pPr>
    </w:p>
    <w:p w14:paraId="63C3D340">
      <w:pPr>
        <w:spacing w:before="150" w:line="189" w:lineRule="auto"/>
        <w:ind w:left="5"/>
        <w:rPr>
          <w:rFonts w:hint="eastAsia" w:ascii="微软雅黑" w:hAnsi="微软雅黑" w:eastAsia="微软雅黑" w:cs="微软雅黑"/>
          <w:sz w:val="35"/>
          <w:szCs w:val="35"/>
          <w:highlight w:val="none"/>
          <w:lang w:eastAsia="zh-CN"/>
        </w:rPr>
      </w:pPr>
      <w:r>
        <w:rPr>
          <w:rFonts w:ascii="微软雅黑" w:hAnsi="微软雅黑" w:eastAsia="微软雅黑" w:cs="微软雅黑"/>
          <w:spacing w:val="6"/>
          <w:sz w:val="35"/>
          <w:szCs w:val="35"/>
          <w:highlight w:val="none"/>
        </w:rPr>
        <w:t>招标人：</w:t>
      </w:r>
      <w:r>
        <w:rPr>
          <w:rFonts w:hint="eastAsia" w:ascii="微软雅黑" w:hAnsi="微软雅黑" w:eastAsia="微软雅黑" w:cs="微软雅黑"/>
          <w:spacing w:val="6"/>
          <w:sz w:val="35"/>
          <w:szCs w:val="35"/>
          <w:highlight w:val="none"/>
          <w:lang w:eastAsia="zh-CN"/>
        </w:rPr>
        <w:t>英吉沙县农业农村局</w:t>
      </w:r>
    </w:p>
    <w:p w14:paraId="3EF85534">
      <w:pPr>
        <w:pStyle w:val="7"/>
        <w:spacing w:line="400" w:lineRule="auto"/>
        <w:rPr>
          <w:highlight w:val="none"/>
        </w:rPr>
      </w:pPr>
    </w:p>
    <w:p w14:paraId="2B3A662A">
      <w:pPr>
        <w:spacing w:before="150" w:line="216" w:lineRule="auto"/>
        <w:ind w:left="5"/>
        <w:rPr>
          <w:rFonts w:hint="eastAsia" w:ascii="微软雅黑" w:hAnsi="微软雅黑" w:eastAsia="微软雅黑" w:cs="微软雅黑"/>
          <w:sz w:val="35"/>
          <w:szCs w:val="35"/>
          <w:highlight w:val="none"/>
          <w:lang w:eastAsia="zh-CN"/>
        </w:rPr>
      </w:pPr>
      <w:r>
        <w:rPr>
          <w:rFonts w:ascii="微软雅黑" w:hAnsi="微软雅黑" w:eastAsia="微软雅黑" w:cs="微软雅黑"/>
          <w:spacing w:val="6"/>
          <w:sz w:val="35"/>
          <w:szCs w:val="35"/>
          <w:highlight w:val="none"/>
        </w:rPr>
        <w:t>招标代理机构：</w:t>
      </w:r>
      <w:r>
        <w:rPr>
          <w:rFonts w:hint="eastAsia" w:ascii="微软雅黑" w:hAnsi="微软雅黑" w:eastAsia="微软雅黑" w:cs="微软雅黑"/>
          <w:spacing w:val="6"/>
          <w:sz w:val="35"/>
          <w:szCs w:val="35"/>
          <w:highlight w:val="none"/>
          <w:lang w:eastAsia="zh-CN"/>
        </w:rPr>
        <w:t>新疆中泰正信项目管理有限公司</w:t>
      </w:r>
    </w:p>
    <w:p w14:paraId="7DDAD085">
      <w:pPr>
        <w:pStyle w:val="7"/>
        <w:spacing w:line="345" w:lineRule="auto"/>
        <w:rPr>
          <w:highlight w:val="none"/>
        </w:rPr>
      </w:pPr>
    </w:p>
    <w:p w14:paraId="2C75B9D9">
      <w:pPr>
        <w:spacing w:before="151" w:line="216" w:lineRule="auto"/>
        <w:rPr>
          <w:rFonts w:hint="default" w:ascii="微软雅黑" w:hAnsi="微软雅黑" w:eastAsia="微软雅黑" w:cs="微软雅黑"/>
          <w:sz w:val="35"/>
          <w:szCs w:val="35"/>
          <w:highlight w:val="none"/>
          <w:lang w:val="en-US" w:eastAsia="zh-CN"/>
        </w:rPr>
      </w:pPr>
      <w:r>
        <w:rPr>
          <w:rFonts w:ascii="微软雅黑" w:hAnsi="微软雅黑" w:eastAsia="微软雅黑" w:cs="微软雅黑"/>
          <w:spacing w:val="3"/>
          <w:sz w:val="35"/>
          <w:szCs w:val="35"/>
          <w:highlight w:val="none"/>
        </w:rPr>
        <w:t>编制日期：</w:t>
      </w:r>
      <w:r>
        <w:rPr>
          <w:rFonts w:hint="eastAsia" w:ascii="微软雅黑" w:hAnsi="微软雅黑" w:eastAsia="微软雅黑" w:cs="微软雅黑"/>
          <w:spacing w:val="3"/>
          <w:sz w:val="35"/>
          <w:szCs w:val="35"/>
          <w:highlight w:val="none"/>
          <w:lang w:val="en-US" w:eastAsia="zh-CN"/>
        </w:rPr>
        <w:t>2025年3月</w:t>
      </w:r>
    </w:p>
    <w:p w14:paraId="1F0EA63D">
      <w:pPr>
        <w:spacing w:line="216" w:lineRule="auto"/>
        <w:rPr>
          <w:rFonts w:ascii="微软雅黑" w:hAnsi="微软雅黑" w:eastAsia="微软雅黑" w:cs="微软雅黑"/>
          <w:sz w:val="35"/>
          <w:szCs w:val="35"/>
          <w:highlight w:val="none"/>
        </w:rPr>
        <w:sectPr>
          <w:headerReference r:id="rId5" w:type="default"/>
          <w:pgSz w:w="11906" w:h="16838"/>
          <w:pgMar w:top="400" w:right="1785" w:bottom="0" w:left="1137" w:header="0" w:footer="0" w:gutter="0"/>
          <w:cols w:space="720" w:num="1"/>
        </w:sectPr>
      </w:pPr>
    </w:p>
    <w:p w14:paraId="68B8DEF7">
      <w:pPr>
        <w:pStyle w:val="7"/>
        <w:spacing w:line="336" w:lineRule="auto"/>
        <w:rPr>
          <w:highlight w:val="none"/>
        </w:rPr>
      </w:pPr>
    </w:p>
    <w:p w14:paraId="398105C9">
      <w:pPr>
        <w:pStyle w:val="7"/>
        <w:spacing w:line="336" w:lineRule="auto"/>
        <w:rPr>
          <w:highlight w:val="none"/>
        </w:rPr>
      </w:pPr>
    </w:p>
    <w:sdt>
      <w:sdtPr>
        <w:rPr>
          <w:rFonts w:ascii="方正仿宋_GBK" w:hAnsi="方正仿宋_GBK" w:eastAsia="方正仿宋_GBK" w:cs="方正仿宋_GBK"/>
          <w:sz w:val="31"/>
          <w:szCs w:val="31"/>
          <w:highlight w:val="none"/>
        </w:rPr>
        <w:id w:val="147479550"/>
        <w:docPartObj>
          <w:docPartGallery w:val="Table of Contents"/>
          <w:docPartUnique/>
        </w:docPartObj>
      </w:sdtPr>
      <w:sdtEndPr>
        <w:rPr>
          <w:rFonts w:ascii="方正仿宋_GBK" w:hAnsi="方正仿宋_GBK" w:eastAsia="方正仿宋_GBK" w:cs="方正仿宋_GBK"/>
          <w:sz w:val="40"/>
          <w:szCs w:val="40"/>
          <w:highlight w:val="none"/>
        </w:rPr>
      </w:sdtEndPr>
      <w:sdtContent>
        <w:p w14:paraId="1E731CCB">
          <w:pPr>
            <w:spacing w:before="113"/>
            <w:ind w:left="4308"/>
            <w:rPr>
              <w:rFonts w:ascii="方正仿宋_GBK" w:hAnsi="方正仿宋_GBK" w:eastAsia="方正仿宋_GBK" w:cs="方正仿宋_GBK"/>
              <w:sz w:val="31"/>
              <w:szCs w:val="31"/>
              <w:highlight w:val="none"/>
            </w:rPr>
          </w:pPr>
          <w:bookmarkStart w:id="0" w:name="bookmark1"/>
          <w:bookmarkEnd w:id="0"/>
          <w:r>
            <w:rPr>
              <w:rFonts w:ascii="方正仿宋_GBK" w:hAnsi="方正仿宋_GBK" w:eastAsia="方正仿宋_GBK" w:cs="方正仿宋_GBK"/>
              <w:b/>
              <w:bCs/>
              <w:spacing w:val="-41"/>
              <w:sz w:val="52"/>
              <w:szCs w:val="52"/>
              <w:highlight w:val="none"/>
            </w:rPr>
            <w:t>目录</w:t>
          </w:r>
        </w:p>
        <w:p w14:paraId="6798AF95">
          <w:pPr>
            <w:pStyle w:val="7"/>
            <w:spacing w:line="312" w:lineRule="auto"/>
            <w:rPr>
              <w:highlight w:val="none"/>
            </w:rPr>
          </w:pPr>
        </w:p>
        <w:p w14:paraId="381529BC">
          <w:pPr>
            <w:pStyle w:val="7"/>
            <w:spacing w:line="312" w:lineRule="auto"/>
            <w:rPr>
              <w:highlight w:val="none"/>
            </w:rPr>
          </w:pPr>
        </w:p>
        <w:p w14:paraId="1EF0D7A2">
          <w:pPr>
            <w:tabs>
              <w:tab w:val="right" w:leader="dot" w:pos="9617"/>
            </w:tabs>
            <w:spacing w:before="74" w:line="193" w:lineRule="auto"/>
            <w:rPr>
              <w:rFonts w:ascii="方正仿宋_GBK" w:hAnsi="方正仿宋_GBK" w:eastAsia="方正仿宋_GBK" w:cs="方正仿宋_GBK"/>
              <w:spacing w:val="-49"/>
              <w:w w:val="93"/>
              <w:sz w:val="40"/>
              <w:szCs w:val="40"/>
              <w:highlight w:val="none"/>
            </w:rPr>
          </w:pPr>
          <w:bookmarkStart w:id="1" w:name="bookmark2"/>
          <w:bookmarkEnd w:id="1"/>
          <w:r>
            <w:rPr>
              <w:sz w:val="44"/>
              <w:szCs w:val="44"/>
              <w:highlight w:val="none"/>
            </w:rPr>
            <w:fldChar w:fldCharType="begin"/>
          </w:r>
          <w:r>
            <w:rPr>
              <w:sz w:val="44"/>
              <w:szCs w:val="44"/>
              <w:highlight w:val="none"/>
            </w:rPr>
            <w:instrText xml:space="preserve"> HYPERLINK \l "bookmark1" </w:instrText>
          </w:r>
          <w:r>
            <w:rPr>
              <w:sz w:val="44"/>
              <w:szCs w:val="44"/>
              <w:highlight w:val="none"/>
            </w:rPr>
            <w:fldChar w:fldCharType="separate"/>
          </w:r>
          <w:r>
            <w:rPr>
              <w:rFonts w:ascii="方正仿宋_GBK" w:hAnsi="方正仿宋_GBK" w:eastAsia="方正仿宋_GBK" w:cs="方正仿宋_GBK"/>
              <w:spacing w:val="-4"/>
              <w:sz w:val="40"/>
              <w:szCs w:val="40"/>
              <w:highlight w:val="none"/>
            </w:rPr>
            <w:t>第1章投标人须知</w:t>
          </w:r>
          <w:r>
            <w:rPr>
              <w:rFonts w:ascii="方正仿宋_GBK" w:hAnsi="方正仿宋_GBK" w:eastAsia="方正仿宋_GBK" w:cs="方正仿宋_GBK"/>
              <w:sz w:val="40"/>
              <w:szCs w:val="40"/>
              <w:highlight w:val="none"/>
            </w:rPr>
            <w:tab/>
          </w:r>
          <w:r>
            <w:rPr>
              <w:rFonts w:ascii="方正仿宋_GBK" w:hAnsi="方正仿宋_GBK" w:eastAsia="方正仿宋_GBK" w:cs="方正仿宋_GBK"/>
              <w:spacing w:val="-49"/>
              <w:w w:val="93"/>
              <w:sz w:val="40"/>
              <w:szCs w:val="40"/>
              <w:highlight w:val="none"/>
            </w:rPr>
            <w:t>1</w:t>
          </w:r>
          <w:r>
            <w:rPr>
              <w:rFonts w:ascii="方正仿宋_GBK" w:hAnsi="方正仿宋_GBK" w:eastAsia="方正仿宋_GBK" w:cs="方正仿宋_GBK"/>
              <w:spacing w:val="-49"/>
              <w:w w:val="93"/>
              <w:sz w:val="40"/>
              <w:szCs w:val="40"/>
              <w:highlight w:val="none"/>
            </w:rPr>
            <w:fldChar w:fldCharType="end"/>
          </w:r>
        </w:p>
        <w:p w14:paraId="7CC42628">
          <w:pPr>
            <w:rPr>
              <w:sz w:val="18"/>
              <w:szCs w:val="18"/>
              <w:highlight w:val="none"/>
            </w:rPr>
          </w:pPr>
        </w:p>
        <w:p w14:paraId="302A5D28">
          <w:pPr>
            <w:tabs>
              <w:tab w:val="right" w:leader="dot" w:pos="9617"/>
            </w:tabs>
            <w:spacing w:before="76" w:line="193" w:lineRule="auto"/>
            <w:rPr>
              <w:rFonts w:hint="eastAsia" w:ascii="方正仿宋_GBK" w:hAnsi="方正仿宋_GBK" w:eastAsia="方正仿宋_GBK" w:cs="方正仿宋_GBK"/>
              <w:spacing w:val="-13"/>
              <w:sz w:val="40"/>
              <w:szCs w:val="40"/>
              <w:highlight w:val="none"/>
              <w:lang w:eastAsia="zh-CN"/>
            </w:rPr>
          </w:pPr>
          <w:bookmarkStart w:id="2" w:name="bookmark60"/>
          <w:bookmarkEnd w:id="2"/>
          <w:bookmarkStart w:id="3" w:name="bookmark3"/>
          <w:bookmarkEnd w:id="3"/>
          <w:r>
            <w:rPr>
              <w:sz w:val="44"/>
              <w:szCs w:val="44"/>
              <w:highlight w:val="none"/>
            </w:rPr>
            <w:fldChar w:fldCharType="begin"/>
          </w:r>
          <w:r>
            <w:rPr>
              <w:sz w:val="44"/>
              <w:szCs w:val="44"/>
              <w:highlight w:val="none"/>
            </w:rPr>
            <w:instrText xml:space="preserve"> HYPERLINK \l "bookmark61" </w:instrText>
          </w:r>
          <w:r>
            <w:rPr>
              <w:sz w:val="44"/>
              <w:szCs w:val="44"/>
              <w:highlight w:val="none"/>
            </w:rPr>
            <w:fldChar w:fldCharType="separate"/>
          </w:r>
          <w:r>
            <w:rPr>
              <w:rFonts w:ascii="方正仿宋_GBK" w:hAnsi="方正仿宋_GBK" w:eastAsia="方正仿宋_GBK" w:cs="方正仿宋_GBK"/>
              <w:spacing w:val="2"/>
              <w:sz w:val="40"/>
              <w:szCs w:val="40"/>
              <w:highlight w:val="none"/>
            </w:rPr>
            <w:t>第2章投标文件格式</w:t>
          </w:r>
          <w:r>
            <w:rPr>
              <w:rFonts w:ascii="方正仿宋_GBK" w:hAnsi="方正仿宋_GBK" w:eastAsia="方正仿宋_GBK" w:cs="方正仿宋_GBK"/>
              <w:sz w:val="40"/>
              <w:szCs w:val="40"/>
              <w:highlight w:val="none"/>
            </w:rPr>
            <w:tab/>
          </w:r>
          <w:r>
            <w:rPr>
              <w:rFonts w:hint="eastAsia" w:ascii="方正仿宋_GBK" w:hAnsi="方正仿宋_GBK" w:eastAsia="方正仿宋_GBK" w:cs="方正仿宋_GBK"/>
              <w:spacing w:val="-45"/>
              <w:sz w:val="40"/>
              <w:szCs w:val="40"/>
              <w:highlight w:val="none"/>
              <w:lang w:val="en-US" w:eastAsia="zh-CN"/>
            </w:rPr>
            <w:t>2</w:t>
          </w:r>
          <w:r>
            <w:rPr>
              <w:rFonts w:ascii="方正仿宋_GBK" w:hAnsi="方正仿宋_GBK" w:eastAsia="方正仿宋_GBK" w:cs="方正仿宋_GBK"/>
              <w:spacing w:val="-45"/>
              <w:sz w:val="40"/>
              <w:szCs w:val="40"/>
              <w:highlight w:val="none"/>
            </w:rPr>
            <w:fldChar w:fldCharType="end"/>
          </w:r>
          <w:r>
            <w:rPr>
              <w:rFonts w:hint="eastAsia" w:ascii="方正仿宋_GBK" w:hAnsi="方正仿宋_GBK" w:eastAsia="方正仿宋_GBK" w:cs="方正仿宋_GBK"/>
              <w:spacing w:val="-13"/>
              <w:sz w:val="40"/>
              <w:szCs w:val="40"/>
              <w:highlight w:val="none"/>
              <w:lang w:val="en-US" w:eastAsia="zh-CN"/>
            </w:rPr>
            <w:t>0</w:t>
          </w:r>
        </w:p>
        <w:p w14:paraId="32BAE2BC">
          <w:pPr>
            <w:pStyle w:val="22"/>
            <w:rPr>
              <w:sz w:val="18"/>
              <w:szCs w:val="18"/>
              <w:highlight w:val="none"/>
            </w:rPr>
          </w:pPr>
        </w:p>
        <w:p w14:paraId="0154F0C4">
          <w:pPr>
            <w:tabs>
              <w:tab w:val="right" w:leader="dot" w:pos="9617"/>
            </w:tabs>
            <w:spacing w:before="76" w:line="193" w:lineRule="auto"/>
            <w:rPr>
              <w:rFonts w:ascii="方正仿宋_GBK" w:hAnsi="方正仿宋_GBK" w:eastAsia="方正仿宋_GBK" w:cs="方正仿宋_GBK"/>
              <w:spacing w:val="-1"/>
              <w:sz w:val="40"/>
              <w:szCs w:val="40"/>
              <w:highlight w:val="none"/>
            </w:rPr>
          </w:pPr>
          <w:bookmarkStart w:id="4" w:name="bookmark62"/>
          <w:bookmarkEnd w:id="4"/>
          <w:bookmarkStart w:id="5" w:name="bookmark67"/>
          <w:bookmarkEnd w:id="5"/>
          <w:r>
            <w:rPr>
              <w:sz w:val="44"/>
              <w:szCs w:val="44"/>
              <w:highlight w:val="none"/>
            </w:rPr>
            <w:fldChar w:fldCharType="begin"/>
          </w:r>
          <w:r>
            <w:rPr>
              <w:sz w:val="44"/>
              <w:szCs w:val="44"/>
              <w:highlight w:val="none"/>
            </w:rPr>
            <w:instrText xml:space="preserve"> HYPERLINK \l "bookmark68" </w:instrText>
          </w:r>
          <w:r>
            <w:rPr>
              <w:sz w:val="44"/>
              <w:szCs w:val="44"/>
              <w:highlight w:val="none"/>
            </w:rPr>
            <w:fldChar w:fldCharType="separate"/>
          </w:r>
          <w:r>
            <w:rPr>
              <w:rFonts w:ascii="方正仿宋_GBK" w:hAnsi="方正仿宋_GBK" w:eastAsia="方正仿宋_GBK" w:cs="方正仿宋_GBK"/>
              <w:sz w:val="40"/>
              <w:szCs w:val="40"/>
              <w:highlight w:val="none"/>
            </w:rPr>
            <w:t>第3章</w:t>
          </w:r>
          <w:r>
            <w:rPr>
              <w:rFonts w:hint="eastAsia" w:ascii="方正仿宋_GBK" w:hAnsi="方正仿宋_GBK" w:eastAsia="方正仿宋_GBK" w:cs="方正仿宋_GBK"/>
              <w:sz w:val="40"/>
              <w:szCs w:val="40"/>
              <w:highlight w:val="none"/>
              <w:lang w:val="en-US" w:eastAsia="zh-CN"/>
            </w:rPr>
            <w:t>招标公告</w:t>
          </w:r>
          <w:r>
            <w:rPr>
              <w:rFonts w:ascii="方正仿宋_GBK" w:hAnsi="方正仿宋_GBK" w:eastAsia="方正仿宋_GBK" w:cs="方正仿宋_GBK"/>
              <w:sz w:val="40"/>
              <w:szCs w:val="40"/>
              <w:highlight w:val="none"/>
            </w:rPr>
            <w:tab/>
          </w:r>
          <w:r>
            <w:rPr>
              <w:rFonts w:hint="eastAsia" w:ascii="方正仿宋_GBK" w:hAnsi="方正仿宋_GBK" w:eastAsia="方正仿宋_GBK" w:cs="方正仿宋_GBK"/>
              <w:spacing w:val="-1"/>
              <w:sz w:val="40"/>
              <w:szCs w:val="40"/>
              <w:highlight w:val="none"/>
              <w:lang w:val="en-US" w:eastAsia="zh-CN"/>
            </w:rPr>
            <w:t>46</w:t>
          </w:r>
          <w:r>
            <w:rPr>
              <w:rFonts w:ascii="方正仿宋_GBK" w:hAnsi="方正仿宋_GBK" w:eastAsia="方正仿宋_GBK" w:cs="方正仿宋_GBK"/>
              <w:spacing w:val="-1"/>
              <w:sz w:val="40"/>
              <w:szCs w:val="40"/>
              <w:highlight w:val="none"/>
            </w:rPr>
            <w:fldChar w:fldCharType="end"/>
          </w:r>
        </w:p>
        <w:p w14:paraId="23B972C1">
          <w:pPr>
            <w:pStyle w:val="22"/>
            <w:rPr>
              <w:sz w:val="18"/>
              <w:szCs w:val="18"/>
              <w:highlight w:val="none"/>
            </w:rPr>
          </w:pPr>
        </w:p>
        <w:p w14:paraId="1AEC937C">
          <w:pPr>
            <w:tabs>
              <w:tab w:val="right" w:leader="dot" w:pos="9617"/>
            </w:tabs>
            <w:spacing w:before="77" w:line="193" w:lineRule="auto"/>
            <w:rPr>
              <w:rFonts w:ascii="方正仿宋_GBK" w:hAnsi="方正仿宋_GBK" w:eastAsia="方正仿宋_GBK" w:cs="方正仿宋_GBK"/>
              <w:spacing w:val="-1"/>
              <w:sz w:val="40"/>
              <w:szCs w:val="40"/>
              <w:highlight w:val="none"/>
            </w:rPr>
          </w:pPr>
          <w:bookmarkStart w:id="6" w:name="bookmark69"/>
          <w:bookmarkEnd w:id="6"/>
          <w:r>
            <w:rPr>
              <w:sz w:val="44"/>
              <w:szCs w:val="44"/>
              <w:highlight w:val="none"/>
            </w:rPr>
            <w:fldChar w:fldCharType="begin"/>
          </w:r>
          <w:r>
            <w:rPr>
              <w:sz w:val="44"/>
              <w:szCs w:val="44"/>
              <w:highlight w:val="none"/>
            </w:rPr>
            <w:instrText xml:space="preserve"> HYPERLINK \l "bookmark70" </w:instrText>
          </w:r>
          <w:r>
            <w:rPr>
              <w:sz w:val="44"/>
              <w:szCs w:val="44"/>
              <w:highlight w:val="none"/>
            </w:rPr>
            <w:fldChar w:fldCharType="separate"/>
          </w:r>
          <w:r>
            <w:rPr>
              <w:rFonts w:ascii="方正仿宋_GBK" w:hAnsi="方正仿宋_GBK" w:eastAsia="方正仿宋_GBK" w:cs="方正仿宋_GBK"/>
              <w:spacing w:val="3"/>
              <w:sz w:val="40"/>
              <w:szCs w:val="40"/>
              <w:highlight w:val="none"/>
            </w:rPr>
            <w:t>第4章投标人须知资料表</w:t>
          </w:r>
          <w:r>
            <w:rPr>
              <w:rFonts w:ascii="方正仿宋_GBK" w:hAnsi="方正仿宋_GBK" w:eastAsia="方正仿宋_GBK" w:cs="方正仿宋_GBK"/>
              <w:sz w:val="40"/>
              <w:szCs w:val="40"/>
              <w:highlight w:val="none"/>
            </w:rPr>
            <w:tab/>
          </w:r>
          <w:r>
            <w:rPr>
              <w:rFonts w:hint="eastAsia" w:ascii="方正仿宋_GBK" w:hAnsi="方正仿宋_GBK" w:eastAsia="方正仿宋_GBK" w:cs="方正仿宋_GBK"/>
              <w:spacing w:val="-1"/>
              <w:sz w:val="40"/>
              <w:szCs w:val="40"/>
              <w:highlight w:val="none"/>
              <w:lang w:val="en-US" w:eastAsia="zh-CN"/>
            </w:rPr>
            <w:t>5</w:t>
          </w:r>
          <w:r>
            <w:rPr>
              <w:rFonts w:ascii="方正仿宋_GBK" w:hAnsi="方正仿宋_GBK" w:eastAsia="方正仿宋_GBK" w:cs="方正仿宋_GBK"/>
              <w:spacing w:val="-1"/>
              <w:sz w:val="40"/>
              <w:szCs w:val="40"/>
              <w:highlight w:val="none"/>
            </w:rPr>
            <w:fldChar w:fldCharType="end"/>
          </w:r>
          <w:r>
            <w:rPr>
              <w:rFonts w:hint="eastAsia" w:ascii="方正仿宋_GBK" w:hAnsi="方正仿宋_GBK" w:eastAsia="方正仿宋_GBK" w:cs="方正仿宋_GBK"/>
              <w:spacing w:val="-1"/>
              <w:sz w:val="40"/>
              <w:szCs w:val="40"/>
              <w:highlight w:val="none"/>
              <w:lang w:val="en-US" w:eastAsia="zh-CN"/>
            </w:rPr>
            <w:t>0</w:t>
          </w:r>
        </w:p>
        <w:p w14:paraId="56B5F70F">
          <w:pPr>
            <w:pStyle w:val="22"/>
            <w:rPr>
              <w:sz w:val="18"/>
              <w:szCs w:val="18"/>
              <w:highlight w:val="none"/>
            </w:rPr>
          </w:pPr>
        </w:p>
        <w:p w14:paraId="56081975">
          <w:pPr>
            <w:tabs>
              <w:tab w:val="right" w:leader="dot" w:pos="9617"/>
            </w:tabs>
            <w:spacing w:before="77" w:line="193" w:lineRule="auto"/>
            <w:rPr>
              <w:rFonts w:ascii="方正仿宋_GBK" w:hAnsi="方正仿宋_GBK" w:eastAsia="方正仿宋_GBK" w:cs="方正仿宋_GBK"/>
              <w:spacing w:val="-18"/>
              <w:sz w:val="40"/>
              <w:szCs w:val="40"/>
              <w:highlight w:val="none"/>
            </w:rPr>
          </w:pPr>
          <w:bookmarkStart w:id="7" w:name="bookmark71"/>
          <w:bookmarkEnd w:id="7"/>
          <w:r>
            <w:rPr>
              <w:sz w:val="44"/>
              <w:szCs w:val="44"/>
              <w:highlight w:val="none"/>
            </w:rPr>
            <w:fldChar w:fldCharType="begin"/>
          </w:r>
          <w:r>
            <w:rPr>
              <w:sz w:val="44"/>
              <w:szCs w:val="44"/>
              <w:highlight w:val="none"/>
            </w:rPr>
            <w:instrText xml:space="preserve"> HYPERLINK "_Toc28623" </w:instrText>
          </w:r>
          <w:r>
            <w:rPr>
              <w:sz w:val="44"/>
              <w:szCs w:val="44"/>
              <w:highlight w:val="none"/>
            </w:rPr>
            <w:fldChar w:fldCharType="separate"/>
          </w:r>
          <w:r>
            <w:rPr>
              <w:rFonts w:ascii="方正仿宋_GBK" w:hAnsi="方正仿宋_GBK" w:eastAsia="方正仿宋_GBK" w:cs="方正仿宋_GBK"/>
              <w:spacing w:val="4"/>
              <w:sz w:val="40"/>
              <w:szCs w:val="40"/>
              <w:highlight w:val="none"/>
            </w:rPr>
            <w:t>第5章服务需求及技术规格</w:t>
          </w:r>
          <w:r>
            <w:rPr>
              <w:rFonts w:ascii="方正仿宋_GBK" w:hAnsi="方正仿宋_GBK" w:eastAsia="方正仿宋_GBK" w:cs="方正仿宋_GBK"/>
              <w:sz w:val="40"/>
              <w:szCs w:val="40"/>
              <w:highlight w:val="none"/>
            </w:rPr>
            <w:tab/>
          </w:r>
          <w:r>
            <w:rPr>
              <w:rFonts w:hint="eastAsia" w:ascii="方正仿宋_GBK" w:hAnsi="方正仿宋_GBK" w:eastAsia="方正仿宋_GBK" w:cs="方正仿宋_GBK"/>
              <w:spacing w:val="-18"/>
              <w:sz w:val="40"/>
              <w:szCs w:val="40"/>
              <w:highlight w:val="none"/>
              <w:lang w:val="en-US" w:eastAsia="zh-CN"/>
            </w:rPr>
            <w:t>5</w:t>
          </w:r>
          <w:r>
            <w:rPr>
              <w:rFonts w:ascii="方正仿宋_GBK" w:hAnsi="方正仿宋_GBK" w:eastAsia="方正仿宋_GBK" w:cs="方正仿宋_GBK"/>
              <w:spacing w:val="-18"/>
              <w:sz w:val="40"/>
              <w:szCs w:val="40"/>
              <w:highlight w:val="none"/>
            </w:rPr>
            <w:fldChar w:fldCharType="end"/>
          </w:r>
          <w:r>
            <w:rPr>
              <w:rFonts w:hint="eastAsia" w:ascii="方正仿宋_GBK" w:hAnsi="方正仿宋_GBK" w:eastAsia="方正仿宋_GBK" w:cs="方正仿宋_GBK"/>
              <w:spacing w:val="-18"/>
              <w:sz w:val="40"/>
              <w:szCs w:val="40"/>
              <w:highlight w:val="none"/>
              <w:lang w:val="en-US" w:eastAsia="zh-CN"/>
            </w:rPr>
            <w:t>5</w:t>
          </w:r>
        </w:p>
        <w:p w14:paraId="23532E70">
          <w:pPr>
            <w:pStyle w:val="22"/>
            <w:rPr>
              <w:sz w:val="18"/>
              <w:szCs w:val="18"/>
              <w:highlight w:val="none"/>
            </w:rPr>
          </w:pPr>
        </w:p>
        <w:p w14:paraId="69ED8E81">
          <w:pPr>
            <w:tabs>
              <w:tab w:val="right" w:leader="dot" w:pos="9617"/>
            </w:tabs>
            <w:spacing w:before="77" w:line="193" w:lineRule="auto"/>
            <w:rPr>
              <w:rFonts w:ascii="方正仿宋_GBK" w:hAnsi="方正仿宋_GBK" w:eastAsia="方正仿宋_GBK" w:cs="方正仿宋_GBK"/>
              <w:spacing w:val="-9"/>
              <w:sz w:val="40"/>
              <w:szCs w:val="40"/>
              <w:highlight w:val="none"/>
            </w:rPr>
          </w:pPr>
          <w:bookmarkStart w:id="8" w:name="bookmark72"/>
          <w:bookmarkEnd w:id="8"/>
          <w:r>
            <w:rPr>
              <w:sz w:val="44"/>
              <w:szCs w:val="44"/>
              <w:highlight w:val="none"/>
            </w:rPr>
            <w:fldChar w:fldCharType="begin"/>
          </w:r>
          <w:r>
            <w:rPr>
              <w:sz w:val="44"/>
              <w:szCs w:val="44"/>
              <w:highlight w:val="none"/>
            </w:rPr>
            <w:instrText xml:space="preserve"> HYPERLINK "_Toc29331" </w:instrText>
          </w:r>
          <w:r>
            <w:rPr>
              <w:sz w:val="44"/>
              <w:szCs w:val="44"/>
              <w:highlight w:val="none"/>
            </w:rPr>
            <w:fldChar w:fldCharType="separate"/>
          </w:r>
          <w:r>
            <w:rPr>
              <w:rFonts w:ascii="方正仿宋_GBK" w:hAnsi="方正仿宋_GBK" w:eastAsia="方正仿宋_GBK" w:cs="方正仿宋_GBK"/>
              <w:spacing w:val="3"/>
              <w:sz w:val="40"/>
              <w:szCs w:val="40"/>
              <w:highlight w:val="none"/>
            </w:rPr>
            <w:t>第6章评标方法和标准</w:t>
          </w:r>
          <w:r>
            <w:rPr>
              <w:rFonts w:ascii="方正仿宋_GBK" w:hAnsi="方正仿宋_GBK" w:eastAsia="方正仿宋_GBK" w:cs="方正仿宋_GBK"/>
              <w:sz w:val="40"/>
              <w:szCs w:val="40"/>
              <w:highlight w:val="none"/>
            </w:rPr>
            <w:tab/>
          </w:r>
          <w:r>
            <w:rPr>
              <w:rFonts w:hint="eastAsia" w:ascii="方正仿宋_GBK" w:hAnsi="方正仿宋_GBK" w:eastAsia="方正仿宋_GBK" w:cs="方正仿宋_GBK"/>
              <w:spacing w:val="-11"/>
              <w:sz w:val="40"/>
              <w:szCs w:val="40"/>
              <w:highlight w:val="none"/>
              <w:lang w:val="en-US" w:eastAsia="zh-CN"/>
            </w:rPr>
            <w:t>5</w:t>
          </w:r>
          <w:r>
            <w:rPr>
              <w:rFonts w:ascii="方正仿宋_GBK" w:hAnsi="方正仿宋_GBK" w:eastAsia="方正仿宋_GBK" w:cs="方正仿宋_GBK"/>
              <w:spacing w:val="-11"/>
              <w:sz w:val="40"/>
              <w:szCs w:val="40"/>
              <w:highlight w:val="none"/>
            </w:rPr>
            <w:fldChar w:fldCharType="end"/>
          </w:r>
          <w:r>
            <w:rPr>
              <w:rFonts w:hint="eastAsia" w:ascii="方正仿宋_GBK" w:hAnsi="方正仿宋_GBK" w:eastAsia="方正仿宋_GBK" w:cs="方正仿宋_GBK"/>
              <w:spacing w:val="-11"/>
              <w:sz w:val="40"/>
              <w:szCs w:val="40"/>
              <w:highlight w:val="none"/>
              <w:lang w:val="en-US" w:eastAsia="zh-CN"/>
            </w:rPr>
            <w:t>9</w:t>
          </w:r>
        </w:p>
        <w:p w14:paraId="51A01682">
          <w:pPr>
            <w:pStyle w:val="22"/>
            <w:rPr>
              <w:sz w:val="18"/>
              <w:szCs w:val="18"/>
              <w:highlight w:val="none"/>
            </w:rPr>
          </w:pPr>
        </w:p>
        <w:p w14:paraId="37AABAED">
          <w:pPr>
            <w:tabs>
              <w:tab w:val="right" w:leader="dot" w:pos="9617"/>
            </w:tabs>
            <w:spacing w:before="77"/>
            <w:rPr>
              <w:rFonts w:ascii="方正仿宋_GBK" w:hAnsi="方正仿宋_GBK" w:eastAsia="方正仿宋_GBK" w:cs="方正仿宋_GBK"/>
              <w:sz w:val="40"/>
              <w:szCs w:val="40"/>
              <w:highlight w:val="none"/>
            </w:rPr>
          </w:pPr>
          <w:bookmarkStart w:id="9" w:name="bookmark73"/>
          <w:bookmarkEnd w:id="9"/>
          <w:r>
            <w:rPr>
              <w:sz w:val="44"/>
              <w:szCs w:val="44"/>
              <w:highlight w:val="none"/>
            </w:rPr>
            <w:fldChar w:fldCharType="begin"/>
          </w:r>
          <w:r>
            <w:rPr>
              <w:sz w:val="44"/>
              <w:szCs w:val="44"/>
              <w:highlight w:val="none"/>
            </w:rPr>
            <w:instrText xml:space="preserve"> HYPERLINK "_Toc16271" </w:instrText>
          </w:r>
          <w:r>
            <w:rPr>
              <w:sz w:val="44"/>
              <w:szCs w:val="44"/>
              <w:highlight w:val="none"/>
            </w:rPr>
            <w:fldChar w:fldCharType="separate"/>
          </w:r>
          <w:r>
            <w:rPr>
              <w:rFonts w:ascii="方正仿宋_GBK" w:hAnsi="方正仿宋_GBK" w:eastAsia="方正仿宋_GBK" w:cs="方正仿宋_GBK"/>
              <w:spacing w:val="1"/>
              <w:sz w:val="40"/>
              <w:szCs w:val="40"/>
              <w:highlight w:val="none"/>
            </w:rPr>
            <w:t>第7章政府采购合同</w:t>
          </w:r>
          <w:r>
            <w:rPr>
              <w:rFonts w:ascii="方正仿宋_GBK" w:hAnsi="方正仿宋_GBK" w:eastAsia="方正仿宋_GBK" w:cs="方正仿宋_GBK"/>
              <w:sz w:val="40"/>
              <w:szCs w:val="40"/>
              <w:highlight w:val="none"/>
            </w:rPr>
            <w:tab/>
          </w:r>
          <w:r>
            <w:rPr>
              <w:rFonts w:hint="eastAsia" w:ascii="方正仿宋_GBK" w:hAnsi="方正仿宋_GBK" w:eastAsia="方正仿宋_GBK" w:cs="方正仿宋_GBK"/>
              <w:spacing w:val="-2"/>
              <w:sz w:val="40"/>
              <w:szCs w:val="40"/>
              <w:highlight w:val="none"/>
              <w:lang w:val="en-US" w:eastAsia="zh-CN"/>
            </w:rPr>
            <w:t>6</w:t>
          </w:r>
          <w:r>
            <w:rPr>
              <w:rFonts w:ascii="方正仿宋_GBK" w:hAnsi="方正仿宋_GBK" w:eastAsia="方正仿宋_GBK" w:cs="方正仿宋_GBK"/>
              <w:spacing w:val="-2"/>
              <w:sz w:val="40"/>
              <w:szCs w:val="40"/>
              <w:highlight w:val="none"/>
            </w:rPr>
            <w:fldChar w:fldCharType="end"/>
          </w:r>
          <w:r>
            <w:rPr>
              <w:rFonts w:hint="eastAsia" w:ascii="方正仿宋_GBK" w:hAnsi="方正仿宋_GBK" w:eastAsia="方正仿宋_GBK" w:cs="方正仿宋_GBK"/>
              <w:spacing w:val="-2"/>
              <w:sz w:val="40"/>
              <w:szCs w:val="40"/>
              <w:highlight w:val="none"/>
              <w:lang w:val="en-US" w:eastAsia="zh-CN"/>
            </w:rPr>
            <w:t>9</w:t>
          </w:r>
        </w:p>
      </w:sdtContent>
    </w:sdt>
    <w:p w14:paraId="6A8E9F3D">
      <w:pPr>
        <w:rPr>
          <w:rFonts w:ascii="方正仿宋_GBK" w:hAnsi="方正仿宋_GBK" w:eastAsia="方正仿宋_GBK" w:cs="方正仿宋_GBK"/>
          <w:sz w:val="40"/>
          <w:szCs w:val="40"/>
          <w:highlight w:val="none"/>
        </w:rPr>
        <w:sectPr>
          <w:headerReference r:id="rId6" w:type="default"/>
          <w:pgSz w:w="11906" w:h="16838"/>
          <w:pgMar w:top="400" w:right="1132" w:bottom="0" w:left="1153" w:header="0" w:footer="0" w:gutter="0"/>
          <w:cols w:space="720" w:num="1"/>
        </w:sectPr>
      </w:pPr>
    </w:p>
    <w:p w14:paraId="2F8F7B59">
      <w:pPr>
        <w:pStyle w:val="7"/>
        <w:spacing w:line="241" w:lineRule="auto"/>
        <w:rPr>
          <w:highlight w:val="none"/>
        </w:rPr>
      </w:pPr>
    </w:p>
    <w:p w14:paraId="603C4395">
      <w:pPr>
        <w:pStyle w:val="7"/>
        <w:spacing w:line="241" w:lineRule="auto"/>
        <w:rPr>
          <w:highlight w:val="none"/>
        </w:rPr>
      </w:pPr>
    </w:p>
    <w:p w14:paraId="11798439">
      <w:pPr>
        <w:pStyle w:val="7"/>
        <w:spacing w:line="241" w:lineRule="auto"/>
        <w:rPr>
          <w:highlight w:val="none"/>
        </w:rPr>
      </w:pPr>
    </w:p>
    <w:p w14:paraId="2F9E00C4">
      <w:pPr>
        <w:pStyle w:val="7"/>
        <w:spacing w:line="242" w:lineRule="auto"/>
        <w:rPr>
          <w:highlight w:val="none"/>
        </w:rPr>
      </w:pPr>
    </w:p>
    <w:p w14:paraId="2B4F7A40">
      <w:pPr>
        <w:spacing w:before="114" w:line="238" w:lineRule="auto"/>
        <w:ind w:left="3226"/>
        <w:outlineLvl w:val="0"/>
        <w:rPr>
          <w:rFonts w:ascii="方正仿宋_GBK" w:hAnsi="方正仿宋_GBK" w:eastAsia="方正仿宋_GBK" w:cs="方正仿宋_GBK"/>
          <w:sz w:val="31"/>
          <w:szCs w:val="31"/>
          <w:highlight w:val="none"/>
        </w:rPr>
      </w:pPr>
      <w:bookmarkStart w:id="10" w:name="bookmark2"/>
      <w:bookmarkEnd w:id="10"/>
      <w:bookmarkStart w:id="11" w:name="bookmark4"/>
      <w:bookmarkEnd w:id="11"/>
      <w:r>
        <w:rPr>
          <w:rFonts w:ascii="方正仿宋_GBK" w:hAnsi="方正仿宋_GBK" w:eastAsia="方正仿宋_GBK" w:cs="方正仿宋_GBK"/>
          <w:b/>
          <w:bCs/>
          <w:spacing w:val="-13"/>
          <w:sz w:val="31"/>
          <w:szCs w:val="31"/>
          <w:highlight w:val="none"/>
        </w:rPr>
        <w:t>第1章投标人须知</w:t>
      </w:r>
    </w:p>
    <w:p w14:paraId="4D864D35">
      <w:pPr>
        <w:spacing w:before="9" w:line="231" w:lineRule="auto"/>
        <w:ind w:left="4236"/>
        <w:outlineLvl w:val="0"/>
        <w:rPr>
          <w:rFonts w:ascii="方正仿宋_GBK" w:hAnsi="方正仿宋_GBK" w:eastAsia="方正仿宋_GBK" w:cs="方正仿宋_GBK"/>
          <w:sz w:val="28"/>
          <w:szCs w:val="28"/>
          <w:highlight w:val="none"/>
        </w:rPr>
      </w:pPr>
      <w:bookmarkStart w:id="12" w:name="bookmark3"/>
      <w:bookmarkEnd w:id="12"/>
      <w:r>
        <w:rPr>
          <w:rFonts w:ascii="方正仿宋_GBK" w:hAnsi="方正仿宋_GBK" w:eastAsia="方正仿宋_GBK" w:cs="方正仿宋_GBK"/>
          <w:b/>
          <w:bCs/>
          <w:spacing w:val="-26"/>
          <w:sz w:val="28"/>
          <w:szCs w:val="28"/>
          <w:highlight w:val="none"/>
        </w:rPr>
        <w:t>一总则</w:t>
      </w:r>
    </w:p>
    <w:p w14:paraId="1F621877">
      <w:pPr>
        <w:spacing w:before="57" w:line="231" w:lineRule="auto"/>
        <w:ind w:left="3"/>
        <w:outlineLvl w:val="1"/>
        <w:rPr>
          <w:rFonts w:ascii="方正仿宋_GBK" w:hAnsi="方正仿宋_GBK" w:eastAsia="方正仿宋_GBK" w:cs="方正仿宋_GBK"/>
          <w:sz w:val="28"/>
          <w:szCs w:val="28"/>
          <w:highlight w:val="none"/>
        </w:rPr>
      </w:pPr>
      <w:r>
        <w:rPr>
          <w:rFonts w:ascii="方正仿宋_GBK" w:hAnsi="方正仿宋_GBK" w:eastAsia="方正仿宋_GBK" w:cs="方正仿宋_GBK"/>
          <w:b/>
          <w:bCs/>
          <w:spacing w:val="-6"/>
          <w:sz w:val="28"/>
          <w:szCs w:val="28"/>
          <w:highlight w:val="none"/>
        </w:rPr>
        <w:t>1.采购人、采购代理机构及投标人</w:t>
      </w:r>
    </w:p>
    <w:p w14:paraId="75D00B9F">
      <w:pPr>
        <w:spacing w:before="61" w:line="287" w:lineRule="auto"/>
        <w:ind w:left="894" w:right="1332" w:hanging="894"/>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5"/>
          <w:sz w:val="23"/>
          <w:szCs w:val="23"/>
          <w:highlight w:val="none"/>
        </w:rPr>
        <w:t>1.1采购人：是指依法开展政府采购活动的国家机关、事业单位、团体组织。</w:t>
      </w:r>
      <w:r>
        <w:rPr>
          <w:rFonts w:ascii="方正仿宋_GBK" w:hAnsi="方正仿宋_GBK" w:eastAsia="方正仿宋_GBK" w:cs="方正仿宋_GBK"/>
          <w:spacing w:val="8"/>
          <w:sz w:val="23"/>
          <w:szCs w:val="23"/>
          <w:highlight w:val="none"/>
        </w:rPr>
        <w:t>本项目的采购人见</w:t>
      </w:r>
      <w:r>
        <w:rPr>
          <w:rFonts w:ascii="方正仿宋_GBK" w:hAnsi="方正仿宋_GBK" w:eastAsia="方正仿宋_GBK" w:cs="方正仿宋_GBK"/>
          <w:spacing w:val="8"/>
          <w:sz w:val="23"/>
          <w:szCs w:val="23"/>
          <w:highlight w:val="none"/>
          <w:u w:val="single" w:color="auto"/>
        </w:rPr>
        <w:t>投标人须知资料表</w:t>
      </w:r>
      <w:r>
        <w:rPr>
          <w:rFonts w:ascii="方正仿宋_GBK" w:hAnsi="方正仿宋_GBK" w:eastAsia="方正仿宋_GBK" w:cs="方正仿宋_GBK"/>
          <w:spacing w:val="8"/>
          <w:sz w:val="23"/>
          <w:szCs w:val="23"/>
          <w:highlight w:val="none"/>
        </w:rPr>
        <w:t>。</w:t>
      </w:r>
    </w:p>
    <w:p w14:paraId="726E92B7">
      <w:pPr>
        <w:spacing w:before="35" w:line="287" w:lineRule="auto"/>
        <w:ind w:left="895" w:right="92" w:hanging="896"/>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1.2采购代理机构：是指在集中采购机构或从事采购代理业务的社会中介机构。本项目的采购代理机构见</w:t>
      </w:r>
      <w:r>
        <w:rPr>
          <w:rFonts w:ascii="方正仿宋_GBK" w:hAnsi="方正仿宋_GBK" w:eastAsia="方正仿宋_GBK" w:cs="方正仿宋_GBK"/>
          <w:spacing w:val="8"/>
          <w:sz w:val="23"/>
          <w:szCs w:val="23"/>
          <w:highlight w:val="none"/>
          <w:u w:val="single" w:color="auto"/>
        </w:rPr>
        <w:t>投标人须知资料表</w:t>
      </w:r>
      <w:r>
        <w:rPr>
          <w:rFonts w:ascii="方正仿宋_GBK" w:hAnsi="方正仿宋_GBK" w:eastAsia="方正仿宋_GBK" w:cs="方正仿宋_GBK"/>
          <w:spacing w:val="8"/>
          <w:sz w:val="23"/>
          <w:szCs w:val="23"/>
          <w:highlight w:val="none"/>
        </w:rPr>
        <w:t>。</w:t>
      </w:r>
    </w:p>
    <w:p w14:paraId="00D6BAC8">
      <w:pPr>
        <w:spacing w:before="35" w:line="236" w:lineRule="auto"/>
        <w:jc w:val="right"/>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4"/>
          <w:sz w:val="23"/>
          <w:szCs w:val="23"/>
          <w:highlight w:val="none"/>
        </w:rPr>
        <w:t>1.3投标人：是指向采购人提供货物、工程或者服务的法人、非法人组织或者自然人。</w:t>
      </w:r>
    </w:p>
    <w:p w14:paraId="22BDFA80">
      <w:pPr>
        <w:spacing w:before="88" w:line="241" w:lineRule="auto"/>
        <w:ind w:left="894"/>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7"/>
          <w:sz w:val="23"/>
          <w:szCs w:val="23"/>
          <w:highlight w:val="none"/>
        </w:rPr>
        <w:t>本项目的投标人及其投标货物须满足以下条件：</w:t>
      </w:r>
    </w:p>
    <w:p w14:paraId="0F37F748">
      <w:pPr>
        <w:spacing w:before="84" w:line="237"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1.3.1在中华人民共和国境内注册，能够独立承担民事责任，有生产或供应能力的</w:t>
      </w:r>
      <w:r>
        <w:rPr>
          <w:rFonts w:ascii="方正仿宋_GBK" w:hAnsi="方正仿宋_GBK" w:eastAsia="方正仿宋_GBK" w:cs="方正仿宋_GBK"/>
          <w:spacing w:val="7"/>
          <w:sz w:val="23"/>
          <w:szCs w:val="23"/>
          <w:highlight w:val="none"/>
        </w:rPr>
        <w:t>本国</w:t>
      </w:r>
    </w:p>
    <w:p w14:paraId="5DEF1D37">
      <w:pPr>
        <w:spacing w:before="87" w:line="239" w:lineRule="auto"/>
        <w:ind w:left="845"/>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1"/>
          <w:sz w:val="23"/>
          <w:szCs w:val="23"/>
          <w:highlight w:val="none"/>
        </w:rPr>
        <w:t>供应商。</w:t>
      </w:r>
    </w:p>
    <w:p w14:paraId="5025C6F7">
      <w:pPr>
        <w:spacing w:before="86" w:line="291" w:lineRule="auto"/>
        <w:ind w:left="944" w:right="90" w:hanging="944"/>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7"/>
          <w:sz w:val="23"/>
          <w:szCs w:val="23"/>
          <w:highlight w:val="none"/>
        </w:rPr>
        <w:t>1.3.2具备《中华人民共和国政府采购法》第二十二条关于供应</w:t>
      </w:r>
      <w:r>
        <w:rPr>
          <w:rFonts w:ascii="方正仿宋_GBK" w:hAnsi="方正仿宋_GBK" w:eastAsia="方正仿宋_GBK" w:cs="方正仿宋_GBK"/>
          <w:spacing w:val="6"/>
          <w:sz w:val="23"/>
          <w:szCs w:val="23"/>
          <w:highlight w:val="none"/>
        </w:rPr>
        <w:t>商条件的规定，遵守本项</w:t>
      </w:r>
      <w:r>
        <w:rPr>
          <w:rFonts w:ascii="方正仿宋_GBK" w:hAnsi="方正仿宋_GBK" w:eastAsia="方正仿宋_GBK" w:cs="方正仿宋_GBK"/>
          <w:spacing w:val="5"/>
          <w:sz w:val="23"/>
          <w:szCs w:val="23"/>
          <w:highlight w:val="none"/>
        </w:rPr>
        <w:t>目采购人本级和上级财政部门政府采购的有关规定。</w:t>
      </w:r>
    </w:p>
    <w:p w14:paraId="69179F71">
      <w:pPr>
        <w:spacing w:before="23" w:line="239"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4"/>
          <w:sz w:val="23"/>
          <w:szCs w:val="23"/>
          <w:highlight w:val="none"/>
        </w:rPr>
        <w:t>1.3.3以采购代理机构认可的方式获得了本项目的招标文件。</w:t>
      </w:r>
    </w:p>
    <w:p w14:paraId="7490878B">
      <w:pPr>
        <w:spacing w:before="85" w:line="232"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2"/>
          <w:sz w:val="23"/>
          <w:szCs w:val="23"/>
          <w:highlight w:val="none"/>
        </w:rPr>
        <w:t>1.3.4符合</w:t>
      </w:r>
      <w:r>
        <w:rPr>
          <w:rFonts w:ascii="方正仿宋_GBK" w:hAnsi="方正仿宋_GBK" w:eastAsia="方正仿宋_GBK" w:cs="方正仿宋_GBK"/>
          <w:spacing w:val="2"/>
          <w:sz w:val="23"/>
          <w:szCs w:val="23"/>
          <w:highlight w:val="none"/>
          <w:u w:val="single" w:color="auto"/>
        </w:rPr>
        <w:t>投标人须知资料表</w:t>
      </w:r>
      <w:r>
        <w:rPr>
          <w:rFonts w:ascii="方正仿宋_GBK" w:hAnsi="方正仿宋_GBK" w:eastAsia="方正仿宋_GBK" w:cs="方正仿宋_GBK"/>
          <w:spacing w:val="2"/>
          <w:sz w:val="23"/>
          <w:szCs w:val="23"/>
          <w:highlight w:val="none"/>
        </w:rPr>
        <w:t>中规定的其他要求。</w:t>
      </w:r>
    </w:p>
    <w:p w14:paraId="773022C3">
      <w:pPr>
        <w:spacing w:before="95" w:line="232"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9"/>
          <w:sz w:val="23"/>
          <w:szCs w:val="23"/>
          <w:highlight w:val="none"/>
        </w:rPr>
        <w:t>1.3.5若</w:t>
      </w:r>
      <w:r>
        <w:rPr>
          <w:rFonts w:ascii="方正仿宋_GBK" w:hAnsi="方正仿宋_GBK" w:eastAsia="方正仿宋_GBK" w:cs="方正仿宋_GBK"/>
          <w:spacing w:val="9"/>
          <w:sz w:val="23"/>
          <w:szCs w:val="23"/>
          <w:highlight w:val="none"/>
          <w:u w:val="single" w:color="auto"/>
        </w:rPr>
        <w:t>投标人须知资料表</w:t>
      </w:r>
      <w:r>
        <w:rPr>
          <w:rFonts w:ascii="方正仿宋_GBK" w:hAnsi="方正仿宋_GBK" w:eastAsia="方正仿宋_GBK" w:cs="方正仿宋_GBK"/>
          <w:spacing w:val="9"/>
          <w:sz w:val="23"/>
          <w:szCs w:val="23"/>
          <w:highlight w:val="none"/>
        </w:rPr>
        <w:t>中写明允许采购进口产品</w:t>
      </w:r>
      <w:r>
        <w:rPr>
          <w:rFonts w:ascii="方正仿宋_GBK" w:hAnsi="方正仿宋_GBK" w:eastAsia="方正仿宋_GBK" w:cs="方正仿宋_GBK"/>
          <w:spacing w:val="8"/>
          <w:sz w:val="23"/>
          <w:szCs w:val="23"/>
          <w:highlight w:val="none"/>
        </w:rPr>
        <w:t>，投标人应保证所投产品可履行合</w:t>
      </w:r>
    </w:p>
    <w:p w14:paraId="75DD03A1">
      <w:pPr>
        <w:spacing w:before="95" w:line="237" w:lineRule="auto"/>
        <w:ind w:left="906"/>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5"/>
          <w:sz w:val="23"/>
          <w:szCs w:val="23"/>
          <w:highlight w:val="none"/>
        </w:rPr>
        <w:t>法报通关手续进入中国关境内。</w:t>
      </w:r>
    </w:p>
    <w:p w14:paraId="60D28290">
      <w:pPr>
        <w:spacing w:before="88" w:line="291" w:lineRule="auto"/>
        <w:ind w:left="896" w:right="17"/>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4"/>
          <w:sz w:val="23"/>
          <w:szCs w:val="23"/>
          <w:highlight w:val="none"/>
        </w:rPr>
        <w:t>若</w:t>
      </w:r>
      <w:r>
        <w:rPr>
          <w:rFonts w:ascii="方正仿宋_GBK" w:hAnsi="方正仿宋_GBK" w:eastAsia="方正仿宋_GBK" w:cs="方正仿宋_GBK"/>
          <w:spacing w:val="4"/>
          <w:sz w:val="23"/>
          <w:szCs w:val="23"/>
          <w:highlight w:val="none"/>
          <w:u w:val="single" w:color="auto"/>
        </w:rPr>
        <w:t>投标人须知资料表</w:t>
      </w:r>
      <w:r>
        <w:rPr>
          <w:rFonts w:ascii="方正仿宋_GBK" w:hAnsi="方正仿宋_GBK" w:eastAsia="方正仿宋_GBK" w:cs="方正仿宋_GBK"/>
          <w:spacing w:val="4"/>
          <w:sz w:val="23"/>
          <w:szCs w:val="23"/>
          <w:highlight w:val="none"/>
        </w:rPr>
        <w:t>中未写明允许采购进口产品，如投标人所投产品为进</w:t>
      </w:r>
      <w:r>
        <w:rPr>
          <w:rFonts w:ascii="方正仿宋_GBK" w:hAnsi="方正仿宋_GBK" w:eastAsia="方正仿宋_GBK" w:cs="方正仿宋_GBK"/>
          <w:spacing w:val="3"/>
          <w:sz w:val="23"/>
          <w:szCs w:val="23"/>
          <w:highlight w:val="none"/>
        </w:rPr>
        <w:t>口产品，</w:t>
      </w:r>
      <w:r>
        <w:rPr>
          <w:rFonts w:ascii="方正仿宋_GBK" w:hAnsi="方正仿宋_GBK" w:eastAsia="方正仿宋_GBK" w:cs="方正仿宋_GBK"/>
          <w:spacing w:val="7"/>
          <w:sz w:val="23"/>
          <w:szCs w:val="23"/>
          <w:highlight w:val="none"/>
        </w:rPr>
        <w:t>其投标将被认定为</w:t>
      </w:r>
      <w:r>
        <w:rPr>
          <w:rFonts w:ascii="方正仿宋_GBK" w:hAnsi="方正仿宋_GBK" w:eastAsia="方正仿宋_GBK" w:cs="方正仿宋_GBK"/>
          <w:b/>
          <w:bCs/>
          <w:spacing w:val="7"/>
          <w:sz w:val="23"/>
          <w:szCs w:val="23"/>
          <w:highlight w:val="none"/>
        </w:rPr>
        <w:t>投标无效</w:t>
      </w:r>
      <w:r>
        <w:rPr>
          <w:rFonts w:ascii="方正仿宋_GBK" w:hAnsi="方正仿宋_GBK" w:eastAsia="方正仿宋_GBK" w:cs="方正仿宋_GBK"/>
          <w:spacing w:val="7"/>
          <w:sz w:val="23"/>
          <w:szCs w:val="23"/>
          <w:highlight w:val="none"/>
        </w:rPr>
        <w:t>。</w:t>
      </w:r>
    </w:p>
    <w:p w14:paraId="49EA59DE">
      <w:pPr>
        <w:spacing w:before="24" w:line="232"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6"/>
          <w:sz w:val="23"/>
          <w:szCs w:val="23"/>
          <w:highlight w:val="none"/>
        </w:rPr>
        <w:t>1.3.6若</w:t>
      </w:r>
      <w:r>
        <w:rPr>
          <w:rFonts w:ascii="方正仿宋_GBK" w:hAnsi="方正仿宋_GBK" w:eastAsia="方正仿宋_GBK" w:cs="方正仿宋_GBK"/>
          <w:spacing w:val="6"/>
          <w:sz w:val="23"/>
          <w:szCs w:val="23"/>
          <w:highlight w:val="none"/>
          <w:u w:val="single" w:color="auto"/>
        </w:rPr>
        <w:t>投标人须知资料表</w:t>
      </w:r>
      <w:r>
        <w:rPr>
          <w:rFonts w:ascii="方正仿宋_GBK" w:hAnsi="方正仿宋_GBK" w:eastAsia="方正仿宋_GBK" w:cs="方正仿宋_GBK"/>
          <w:spacing w:val="6"/>
          <w:sz w:val="23"/>
          <w:szCs w:val="23"/>
          <w:highlight w:val="none"/>
        </w:rPr>
        <w:t>中写明专门面向中小企业采购的，如投标人</w:t>
      </w:r>
      <w:r>
        <w:rPr>
          <w:rFonts w:ascii="方正仿宋_GBK" w:hAnsi="方正仿宋_GBK" w:eastAsia="方正仿宋_GBK" w:cs="方正仿宋_GBK"/>
          <w:spacing w:val="5"/>
          <w:sz w:val="23"/>
          <w:szCs w:val="23"/>
          <w:highlight w:val="none"/>
        </w:rPr>
        <w:t>为非中小企业且所</w:t>
      </w:r>
    </w:p>
    <w:p w14:paraId="6A5858A6">
      <w:pPr>
        <w:spacing w:before="95" w:line="238" w:lineRule="auto"/>
        <w:ind w:left="834"/>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投产品为非中小企业产品，其投标将被认定为</w:t>
      </w:r>
      <w:r>
        <w:rPr>
          <w:rFonts w:ascii="方正仿宋_GBK" w:hAnsi="方正仿宋_GBK" w:eastAsia="方正仿宋_GBK" w:cs="方正仿宋_GBK"/>
          <w:b/>
          <w:bCs/>
          <w:spacing w:val="8"/>
          <w:sz w:val="23"/>
          <w:szCs w:val="23"/>
          <w:highlight w:val="none"/>
        </w:rPr>
        <w:t>投标无效</w:t>
      </w:r>
      <w:r>
        <w:rPr>
          <w:rFonts w:ascii="方正仿宋_GBK" w:hAnsi="方正仿宋_GBK" w:eastAsia="方正仿宋_GBK" w:cs="方正仿宋_GBK"/>
          <w:spacing w:val="8"/>
          <w:sz w:val="23"/>
          <w:szCs w:val="23"/>
          <w:highlight w:val="none"/>
        </w:rPr>
        <w:t>。</w:t>
      </w:r>
    </w:p>
    <w:p w14:paraId="2EA144ED">
      <w:pPr>
        <w:spacing w:before="86" w:line="232"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4"/>
          <w:sz w:val="23"/>
          <w:szCs w:val="23"/>
          <w:highlight w:val="none"/>
        </w:rPr>
        <w:t>1.4如</w:t>
      </w:r>
      <w:r>
        <w:rPr>
          <w:rFonts w:ascii="方正仿宋_GBK" w:hAnsi="方正仿宋_GBK" w:eastAsia="方正仿宋_GBK" w:cs="方正仿宋_GBK"/>
          <w:spacing w:val="4"/>
          <w:sz w:val="23"/>
          <w:szCs w:val="23"/>
          <w:highlight w:val="none"/>
          <w:u w:val="single" w:color="auto"/>
        </w:rPr>
        <w:t>投标人须知资料表</w:t>
      </w:r>
      <w:r>
        <w:rPr>
          <w:rFonts w:ascii="方正仿宋_GBK" w:hAnsi="方正仿宋_GBK" w:eastAsia="方正仿宋_GBK" w:cs="方正仿宋_GBK"/>
          <w:spacing w:val="4"/>
          <w:sz w:val="23"/>
          <w:szCs w:val="23"/>
          <w:highlight w:val="none"/>
        </w:rPr>
        <w:t>中允许联合体投</w:t>
      </w:r>
      <w:r>
        <w:rPr>
          <w:rFonts w:ascii="方正仿宋_GBK" w:hAnsi="方正仿宋_GBK" w:eastAsia="方正仿宋_GBK" w:cs="方正仿宋_GBK"/>
          <w:spacing w:val="3"/>
          <w:sz w:val="23"/>
          <w:szCs w:val="23"/>
          <w:highlight w:val="none"/>
        </w:rPr>
        <w:t>标，对联合体规定如下：</w:t>
      </w:r>
    </w:p>
    <w:p w14:paraId="265B4885">
      <w:pPr>
        <w:spacing w:before="95" w:line="238"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5"/>
          <w:sz w:val="23"/>
          <w:szCs w:val="23"/>
          <w:highlight w:val="none"/>
        </w:rPr>
        <w:t>1.4.1两个以上供应商可以组成一个投标联合体，以一个投标人的身</w:t>
      </w:r>
      <w:r>
        <w:rPr>
          <w:rFonts w:ascii="方正仿宋_GBK" w:hAnsi="方正仿宋_GBK" w:eastAsia="方正仿宋_GBK" w:cs="方正仿宋_GBK"/>
          <w:spacing w:val="4"/>
          <w:sz w:val="23"/>
          <w:szCs w:val="23"/>
          <w:highlight w:val="none"/>
        </w:rPr>
        <w:t>份投标。</w:t>
      </w:r>
    </w:p>
    <w:p w14:paraId="05401E1D">
      <w:pPr>
        <w:spacing w:before="86" w:line="239"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1.4.2联合体各方均应符合《中华人民共和国政府采购法》</w:t>
      </w:r>
      <w:r>
        <w:rPr>
          <w:rFonts w:ascii="方正仿宋_GBK" w:hAnsi="方正仿宋_GBK" w:eastAsia="方正仿宋_GBK" w:cs="方正仿宋_GBK"/>
          <w:spacing w:val="7"/>
          <w:sz w:val="23"/>
          <w:szCs w:val="23"/>
          <w:highlight w:val="none"/>
        </w:rPr>
        <w:t>第二十二条规定的条件。</w:t>
      </w:r>
    </w:p>
    <w:p w14:paraId="493A30F7">
      <w:pPr>
        <w:spacing w:before="86" w:line="238"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10"/>
          <w:sz w:val="23"/>
          <w:szCs w:val="23"/>
          <w:highlight w:val="none"/>
        </w:rPr>
        <w:t>1.4.3采购人根据采购项目对投标</w:t>
      </w:r>
      <w:r>
        <w:rPr>
          <w:rFonts w:ascii="方正仿宋_GBK" w:hAnsi="方正仿宋_GBK" w:eastAsia="方正仿宋_GBK" w:cs="方正仿宋_GBK"/>
          <w:spacing w:val="9"/>
          <w:sz w:val="23"/>
          <w:szCs w:val="23"/>
          <w:highlight w:val="none"/>
        </w:rPr>
        <w:t>人的特殊要求，联合体中至少应当有一方符合相关规</w:t>
      </w:r>
    </w:p>
    <w:p w14:paraId="7BA34441">
      <w:pPr>
        <w:spacing w:before="86" w:line="343" w:lineRule="exact"/>
        <w:ind w:left="894"/>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7"/>
          <w:position w:val="2"/>
          <w:sz w:val="23"/>
          <w:szCs w:val="23"/>
          <w:highlight w:val="none"/>
        </w:rPr>
        <w:t>定。</w:t>
      </w:r>
    </w:p>
    <w:p w14:paraId="76D6A018">
      <w:pPr>
        <w:spacing w:before="77" w:line="238" w:lineRule="auto"/>
        <w:jc w:val="right"/>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6"/>
          <w:sz w:val="23"/>
          <w:szCs w:val="23"/>
          <w:highlight w:val="none"/>
        </w:rPr>
        <w:t>1.4.4联合体各方应签订共同投标协议，明</w:t>
      </w:r>
      <w:r>
        <w:rPr>
          <w:rFonts w:ascii="方正仿宋_GBK" w:hAnsi="方正仿宋_GBK" w:eastAsia="方正仿宋_GBK" w:cs="方正仿宋_GBK"/>
          <w:spacing w:val="5"/>
          <w:sz w:val="23"/>
          <w:szCs w:val="23"/>
          <w:highlight w:val="none"/>
        </w:rPr>
        <w:t>确约定联合体各方承担的工作和相应的责任，</w:t>
      </w:r>
    </w:p>
    <w:p w14:paraId="3C8C899F">
      <w:pPr>
        <w:spacing w:before="87" w:line="237" w:lineRule="auto"/>
        <w:ind w:left="899"/>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并将共同投标协议连同作为投标文件第一部分的内容提交。</w:t>
      </w:r>
    </w:p>
    <w:p w14:paraId="4EA3CC18">
      <w:pPr>
        <w:spacing w:before="87" w:line="230"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10"/>
          <w:sz w:val="23"/>
          <w:szCs w:val="23"/>
          <w:highlight w:val="none"/>
        </w:rPr>
        <w:t>1.4.5大中型企业、其他自然人、法人或者非法人</w:t>
      </w:r>
      <w:r>
        <w:rPr>
          <w:rFonts w:ascii="方正仿宋_GBK" w:hAnsi="方正仿宋_GBK" w:eastAsia="方正仿宋_GBK" w:cs="方正仿宋_GBK"/>
          <w:spacing w:val="9"/>
          <w:sz w:val="23"/>
          <w:szCs w:val="23"/>
          <w:highlight w:val="none"/>
        </w:rPr>
        <w:t>组织与小型、微型企业组成联合体共</w:t>
      </w:r>
    </w:p>
    <w:p w14:paraId="0FAC4FAB">
      <w:pPr>
        <w:spacing w:before="99" w:line="291" w:lineRule="auto"/>
        <w:ind w:left="891" w:right="92" w:firstLine="32"/>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9"/>
          <w:sz w:val="23"/>
          <w:szCs w:val="23"/>
          <w:highlight w:val="none"/>
        </w:rPr>
        <w:t>同参加投标，共同投标协议中应写明小型、微型企业的协议合同金额占到</w:t>
      </w:r>
      <w:r>
        <w:rPr>
          <w:rFonts w:ascii="方正仿宋_GBK" w:hAnsi="方正仿宋_GBK" w:eastAsia="方正仿宋_GBK" w:cs="方正仿宋_GBK"/>
          <w:spacing w:val="8"/>
          <w:sz w:val="23"/>
          <w:szCs w:val="23"/>
          <w:highlight w:val="none"/>
        </w:rPr>
        <w:t>共同投</w:t>
      </w:r>
      <w:r>
        <w:rPr>
          <w:rFonts w:ascii="方正仿宋_GBK" w:hAnsi="方正仿宋_GBK" w:eastAsia="方正仿宋_GBK" w:cs="方正仿宋_GBK"/>
          <w:spacing w:val="6"/>
          <w:sz w:val="23"/>
          <w:szCs w:val="23"/>
          <w:highlight w:val="none"/>
        </w:rPr>
        <w:t>标协议投标总金额的比例。</w:t>
      </w:r>
    </w:p>
    <w:p w14:paraId="0BBE9E86">
      <w:pPr>
        <w:spacing w:before="23" w:line="291" w:lineRule="auto"/>
        <w:ind w:left="899" w:right="90" w:hanging="899"/>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7"/>
          <w:sz w:val="23"/>
          <w:szCs w:val="23"/>
          <w:highlight w:val="none"/>
        </w:rPr>
        <w:t>1.4.6联合体中有同类资质的供应商按照联合体分工</w:t>
      </w:r>
      <w:r>
        <w:rPr>
          <w:rFonts w:ascii="方正仿宋_GBK" w:hAnsi="方正仿宋_GBK" w:eastAsia="方正仿宋_GBK" w:cs="方正仿宋_GBK"/>
          <w:spacing w:val="6"/>
          <w:sz w:val="23"/>
          <w:szCs w:val="23"/>
          <w:highlight w:val="none"/>
        </w:rPr>
        <w:t>承担相同工作的，按照较低的资质等</w:t>
      </w:r>
      <w:r>
        <w:rPr>
          <w:rFonts w:ascii="方正仿宋_GBK" w:hAnsi="方正仿宋_GBK" w:eastAsia="方正仿宋_GBK" w:cs="方正仿宋_GBK"/>
          <w:spacing w:val="5"/>
          <w:sz w:val="23"/>
          <w:szCs w:val="23"/>
          <w:highlight w:val="none"/>
        </w:rPr>
        <w:t>级确定联合体的资质等级。</w:t>
      </w:r>
    </w:p>
    <w:p w14:paraId="4AC90FE0">
      <w:pPr>
        <w:spacing w:line="291" w:lineRule="auto"/>
        <w:rPr>
          <w:rFonts w:ascii="方正仿宋_GBK" w:hAnsi="方正仿宋_GBK" w:eastAsia="方正仿宋_GBK" w:cs="方正仿宋_GBK"/>
          <w:sz w:val="23"/>
          <w:szCs w:val="23"/>
          <w:highlight w:val="none"/>
        </w:rPr>
        <w:sectPr>
          <w:footerReference r:id="rId7" w:type="default"/>
          <w:pgSz w:w="11906" w:h="16838"/>
          <w:pgMar w:top="400" w:right="1121" w:bottom="1033" w:left="1403" w:header="0" w:footer="857" w:gutter="0"/>
          <w:pgNumType w:fmt="decimal" w:start="1"/>
          <w:cols w:space="720" w:num="1"/>
        </w:sectPr>
      </w:pPr>
    </w:p>
    <w:p w14:paraId="08A7027C">
      <w:pPr>
        <w:pStyle w:val="7"/>
        <w:spacing w:line="266" w:lineRule="auto"/>
        <w:rPr>
          <w:highlight w:val="none"/>
        </w:rPr>
      </w:pPr>
    </w:p>
    <w:p w14:paraId="284AC6F6">
      <w:pPr>
        <w:pStyle w:val="7"/>
        <w:spacing w:line="266" w:lineRule="auto"/>
        <w:rPr>
          <w:highlight w:val="none"/>
        </w:rPr>
      </w:pPr>
    </w:p>
    <w:p w14:paraId="39E8D1E8">
      <w:pPr>
        <w:pStyle w:val="7"/>
        <w:spacing w:line="266" w:lineRule="auto"/>
        <w:rPr>
          <w:highlight w:val="none"/>
        </w:rPr>
      </w:pPr>
    </w:p>
    <w:p w14:paraId="1D24AC9A">
      <w:pPr>
        <w:pStyle w:val="7"/>
        <w:spacing w:line="266" w:lineRule="auto"/>
        <w:rPr>
          <w:highlight w:val="none"/>
        </w:rPr>
      </w:pPr>
    </w:p>
    <w:p w14:paraId="49DDD786">
      <w:pPr>
        <w:spacing w:before="84" w:line="238" w:lineRule="auto"/>
        <w:ind w:left="4"/>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5"/>
          <w:sz w:val="23"/>
          <w:szCs w:val="23"/>
          <w:highlight w:val="none"/>
        </w:rPr>
        <w:t>1.4.7以联合体形式参加政府采购活动的，联合体各方不得再单独参加或者与其他</w:t>
      </w:r>
      <w:r>
        <w:rPr>
          <w:rFonts w:ascii="方正仿宋_GBK" w:hAnsi="方正仿宋_GBK" w:eastAsia="方正仿宋_GBK" w:cs="方正仿宋_GBK"/>
          <w:spacing w:val="4"/>
          <w:sz w:val="23"/>
          <w:szCs w:val="23"/>
          <w:highlight w:val="none"/>
        </w:rPr>
        <w:t>供应商</w:t>
      </w:r>
    </w:p>
    <w:p w14:paraId="3523662C">
      <w:pPr>
        <w:spacing w:before="86" w:line="238" w:lineRule="auto"/>
        <w:ind w:left="909"/>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9"/>
          <w:sz w:val="23"/>
          <w:szCs w:val="23"/>
          <w:highlight w:val="none"/>
        </w:rPr>
        <w:t>另外组成联合体参加本项目投标，否则相关投</w:t>
      </w:r>
      <w:r>
        <w:rPr>
          <w:rFonts w:ascii="方正仿宋_GBK" w:hAnsi="方正仿宋_GBK" w:eastAsia="方正仿宋_GBK" w:cs="方正仿宋_GBK"/>
          <w:spacing w:val="8"/>
          <w:sz w:val="23"/>
          <w:szCs w:val="23"/>
          <w:highlight w:val="none"/>
        </w:rPr>
        <w:t>标将被认定为</w:t>
      </w:r>
      <w:r>
        <w:rPr>
          <w:rFonts w:ascii="方正仿宋_GBK" w:hAnsi="方正仿宋_GBK" w:eastAsia="方正仿宋_GBK" w:cs="方正仿宋_GBK"/>
          <w:b/>
          <w:bCs/>
          <w:spacing w:val="8"/>
          <w:sz w:val="23"/>
          <w:szCs w:val="23"/>
          <w:highlight w:val="none"/>
        </w:rPr>
        <w:t>投标无效</w:t>
      </w:r>
      <w:r>
        <w:rPr>
          <w:rFonts w:ascii="方正仿宋_GBK" w:hAnsi="方正仿宋_GBK" w:eastAsia="方正仿宋_GBK" w:cs="方正仿宋_GBK"/>
          <w:spacing w:val="8"/>
          <w:sz w:val="23"/>
          <w:szCs w:val="23"/>
          <w:highlight w:val="none"/>
        </w:rPr>
        <w:t>。</w:t>
      </w:r>
    </w:p>
    <w:p w14:paraId="58C54ADA">
      <w:pPr>
        <w:spacing w:before="85" w:line="232" w:lineRule="auto"/>
        <w:ind w:left="4"/>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6"/>
          <w:sz w:val="23"/>
          <w:szCs w:val="23"/>
          <w:highlight w:val="none"/>
        </w:rPr>
        <w:t>1.4.8对联合体投标的其他资格要求见</w:t>
      </w:r>
      <w:r>
        <w:rPr>
          <w:rFonts w:ascii="方正仿宋_GBK" w:hAnsi="方正仿宋_GBK" w:eastAsia="方正仿宋_GBK" w:cs="方正仿宋_GBK"/>
          <w:spacing w:val="6"/>
          <w:sz w:val="23"/>
          <w:szCs w:val="23"/>
          <w:highlight w:val="none"/>
          <w:u w:val="single" w:color="auto"/>
        </w:rPr>
        <w:t>投标人须知资料</w:t>
      </w:r>
      <w:r>
        <w:rPr>
          <w:rFonts w:ascii="方正仿宋_GBK" w:hAnsi="方正仿宋_GBK" w:eastAsia="方正仿宋_GBK" w:cs="方正仿宋_GBK"/>
          <w:spacing w:val="5"/>
          <w:sz w:val="23"/>
          <w:szCs w:val="23"/>
          <w:highlight w:val="none"/>
          <w:u w:val="single" w:color="auto"/>
        </w:rPr>
        <w:t>表</w:t>
      </w:r>
      <w:r>
        <w:rPr>
          <w:rFonts w:ascii="方正仿宋_GBK" w:hAnsi="方正仿宋_GBK" w:eastAsia="方正仿宋_GBK" w:cs="方正仿宋_GBK"/>
          <w:spacing w:val="5"/>
          <w:sz w:val="23"/>
          <w:szCs w:val="23"/>
          <w:highlight w:val="none"/>
        </w:rPr>
        <w:t>。</w:t>
      </w:r>
    </w:p>
    <w:p w14:paraId="4A5A7E34">
      <w:pPr>
        <w:spacing w:before="95" w:line="238" w:lineRule="auto"/>
        <w:ind w:left="4"/>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5"/>
          <w:sz w:val="23"/>
          <w:szCs w:val="23"/>
          <w:highlight w:val="none"/>
        </w:rPr>
        <w:t>1.5单位负责人为同一人或者存在直接控股、管理</w:t>
      </w:r>
      <w:r>
        <w:rPr>
          <w:rFonts w:ascii="方正仿宋_GBK" w:hAnsi="方正仿宋_GBK" w:eastAsia="方正仿宋_GBK" w:cs="方正仿宋_GBK"/>
          <w:spacing w:val="4"/>
          <w:sz w:val="23"/>
          <w:szCs w:val="23"/>
          <w:highlight w:val="none"/>
        </w:rPr>
        <w:t>关系的不同供应商，其相关投标将被</w:t>
      </w:r>
    </w:p>
    <w:p w14:paraId="05E73A97">
      <w:pPr>
        <w:spacing w:before="86" w:line="241" w:lineRule="auto"/>
        <w:ind w:left="899"/>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6"/>
          <w:sz w:val="23"/>
          <w:szCs w:val="23"/>
          <w:highlight w:val="none"/>
        </w:rPr>
        <w:t>认定为</w:t>
      </w:r>
      <w:r>
        <w:rPr>
          <w:rFonts w:ascii="方正仿宋_GBK" w:hAnsi="方正仿宋_GBK" w:eastAsia="方正仿宋_GBK" w:cs="方正仿宋_GBK"/>
          <w:b/>
          <w:bCs/>
          <w:spacing w:val="6"/>
          <w:sz w:val="23"/>
          <w:szCs w:val="23"/>
          <w:highlight w:val="none"/>
        </w:rPr>
        <w:t>投标无效</w:t>
      </w:r>
      <w:r>
        <w:rPr>
          <w:rFonts w:ascii="方正仿宋_GBK" w:hAnsi="方正仿宋_GBK" w:eastAsia="方正仿宋_GBK" w:cs="方正仿宋_GBK"/>
          <w:spacing w:val="6"/>
          <w:sz w:val="23"/>
          <w:szCs w:val="23"/>
          <w:highlight w:val="none"/>
        </w:rPr>
        <w:t>。</w:t>
      </w:r>
    </w:p>
    <w:p w14:paraId="4AC883CC">
      <w:pPr>
        <w:spacing w:before="83" w:line="295" w:lineRule="auto"/>
        <w:ind w:left="903" w:hanging="899"/>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6"/>
          <w:sz w:val="23"/>
          <w:szCs w:val="23"/>
          <w:highlight w:val="none"/>
        </w:rPr>
        <w:t>1.6为本项目提供过整体设计、规范编制或者项目管理、监理、检测等服务的供应商，</w:t>
      </w:r>
      <w:r>
        <w:rPr>
          <w:rFonts w:ascii="方正仿宋_GBK" w:hAnsi="方正仿宋_GBK" w:eastAsia="方正仿宋_GBK" w:cs="方正仿宋_GBK"/>
          <w:spacing w:val="9"/>
          <w:sz w:val="23"/>
          <w:szCs w:val="23"/>
          <w:highlight w:val="none"/>
        </w:rPr>
        <w:t>不得再参加本项目上述服务以外的其他采购活动。否则其投标将被认定为</w:t>
      </w:r>
      <w:r>
        <w:rPr>
          <w:rFonts w:ascii="方正仿宋_GBK" w:hAnsi="方正仿宋_GBK" w:eastAsia="方正仿宋_GBK" w:cs="方正仿宋_GBK"/>
          <w:b/>
          <w:bCs/>
          <w:spacing w:val="9"/>
          <w:sz w:val="23"/>
          <w:szCs w:val="23"/>
          <w:highlight w:val="none"/>
        </w:rPr>
        <w:t>投标无</w:t>
      </w:r>
      <w:r>
        <w:rPr>
          <w:rFonts w:ascii="方正仿宋_GBK" w:hAnsi="方正仿宋_GBK" w:eastAsia="方正仿宋_GBK" w:cs="方正仿宋_GBK"/>
          <w:b/>
          <w:bCs/>
          <w:spacing w:val="-6"/>
          <w:sz w:val="23"/>
          <w:szCs w:val="23"/>
          <w:highlight w:val="none"/>
        </w:rPr>
        <w:t>效</w:t>
      </w:r>
      <w:r>
        <w:rPr>
          <w:rFonts w:ascii="方正仿宋_GBK" w:hAnsi="方正仿宋_GBK" w:eastAsia="方正仿宋_GBK" w:cs="方正仿宋_GBK"/>
          <w:spacing w:val="-6"/>
          <w:sz w:val="23"/>
          <w:szCs w:val="23"/>
          <w:highlight w:val="none"/>
        </w:rPr>
        <w:t>。</w:t>
      </w:r>
    </w:p>
    <w:p w14:paraId="334B0606">
      <w:pPr>
        <w:spacing w:before="20" w:line="290" w:lineRule="auto"/>
        <w:ind w:left="902" w:right="65" w:hanging="898"/>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5"/>
          <w:sz w:val="23"/>
          <w:szCs w:val="23"/>
          <w:highlight w:val="none"/>
        </w:rPr>
        <w:t>1.7投标人在投标过程中不得向采购人提供、给予任何有价值的物品，影响其正常决策行为。一经发现，其将被认定为</w:t>
      </w:r>
      <w:r>
        <w:rPr>
          <w:rFonts w:ascii="方正仿宋_GBK" w:hAnsi="方正仿宋_GBK" w:eastAsia="方正仿宋_GBK" w:cs="方正仿宋_GBK"/>
          <w:b/>
          <w:bCs/>
          <w:spacing w:val="5"/>
          <w:sz w:val="23"/>
          <w:szCs w:val="23"/>
          <w:highlight w:val="none"/>
        </w:rPr>
        <w:t>投标无效</w:t>
      </w:r>
      <w:r>
        <w:rPr>
          <w:rFonts w:ascii="方正仿宋_GBK" w:hAnsi="方正仿宋_GBK" w:eastAsia="方正仿宋_GBK" w:cs="方正仿宋_GBK"/>
          <w:spacing w:val="5"/>
          <w:sz w:val="23"/>
          <w:szCs w:val="23"/>
          <w:highlight w:val="none"/>
        </w:rPr>
        <w:t>。</w:t>
      </w:r>
    </w:p>
    <w:p w14:paraId="5D18B274">
      <w:pPr>
        <w:pStyle w:val="7"/>
        <w:spacing w:line="304" w:lineRule="auto"/>
        <w:rPr>
          <w:highlight w:val="none"/>
        </w:rPr>
      </w:pPr>
    </w:p>
    <w:p w14:paraId="7E675D4E">
      <w:pPr>
        <w:spacing w:before="103" w:line="233" w:lineRule="auto"/>
        <w:ind w:left="3"/>
        <w:outlineLvl w:val="1"/>
        <w:rPr>
          <w:rFonts w:ascii="方正仿宋_GBK" w:hAnsi="方正仿宋_GBK" w:eastAsia="方正仿宋_GBK" w:cs="方正仿宋_GBK"/>
          <w:sz w:val="28"/>
          <w:szCs w:val="28"/>
          <w:highlight w:val="none"/>
        </w:rPr>
      </w:pPr>
      <w:r>
        <w:rPr>
          <w:rFonts w:ascii="方正仿宋_GBK" w:hAnsi="方正仿宋_GBK" w:eastAsia="方正仿宋_GBK" w:cs="方正仿宋_GBK"/>
          <w:b/>
          <w:bCs/>
          <w:spacing w:val="-5"/>
          <w:sz w:val="28"/>
          <w:szCs w:val="28"/>
          <w:highlight w:val="none"/>
        </w:rPr>
        <w:t>2.资金来源</w:t>
      </w:r>
    </w:p>
    <w:p w14:paraId="71F1ECA7">
      <w:pPr>
        <w:spacing w:before="59"/>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2.1本项目的采购人已获得足以支付本次招标后所签订的合同项下的资金（包括</w:t>
      </w:r>
      <w:r>
        <w:rPr>
          <w:rFonts w:ascii="方正仿宋_GBK" w:hAnsi="方正仿宋_GBK" w:eastAsia="方正仿宋_GBK" w:cs="方正仿宋_GBK"/>
          <w:spacing w:val="7"/>
          <w:sz w:val="23"/>
          <w:szCs w:val="23"/>
          <w:highlight w:val="none"/>
        </w:rPr>
        <w:t>财政</w:t>
      </w:r>
    </w:p>
    <w:p w14:paraId="4B479DC3">
      <w:pPr>
        <w:spacing w:before="85" w:line="287" w:lineRule="auto"/>
        <w:ind w:right="1547" w:firstLine="908"/>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性资金和本项目采购中无法与财政性资金分割的非财政性资金）。2.2项目预算金额和分项或分包最高限价</w:t>
      </w:r>
      <w:r>
        <w:rPr>
          <w:rFonts w:ascii="方正仿宋_GBK" w:hAnsi="方正仿宋_GBK" w:eastAsia="方正仿宋_GBK" w:cs="方正仿宋_GBK"/>
          <w:spacing w:val="8"/>
          <w:sz w:val="23"/>
          <w:szCs w:val="23"/>
          <w:highlight w:val="none"/>
          <w:u w:val="single" w:color="auto"/>
        </w:rPr>
        <w:t>见投标人须知资</w:t>
      </w:r>
      <w:r>
        <w:rPr>
          <w:rFonts w:ascii="方正仿宋_GBK" w:hAnsi="方正仿宋_GBK" w:eastAsia="方正仿宋_GBK" w:cs="方正仿宋_GBK"/>
          <w:spacing w:val="7"/>
          <w:sz w:val="23"/>
          <w:szCs w:val="23"/>
          <w:highlight w:val="none"/>
          <w:u w:val="single" w:color="auto"/>
        </w:rPr>
        <w:t>料表</w:t>
      </w:r>
      <w:r>
        <w:rPr>
          <w:rFonts w:ascii="方正仿宋_GBK" w:hAnsi="方正仿宋_GBK" w:eastAsia="方正仿宋_GBK" w:cs="方正仿宋_GBK"/>
          <w:spacing w:val="7"/>
          <w:sz w:val="23"/>
          <w:szCs w:val="23"/>
          <w:highlight w:val="none"/>
        </w:rPr>
        <w:t>。</w:t>
      </w:r>
    </w:p>
    <w:p w14:paraId="5B488E07">
      <w:pPr>
        <w:spacing w:before="34" w:line="287" w:lineRule="auto"/>
        <w:ind w:left="897" w:right="65" w:hanging="897"/>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13"/>
          <w:sz w:val="23"/>
          <w:szCs w:val="23"/>
          <w:highlight w:val="none"/>
        </w:rPr>
        <w:t>2.3投标人报价超过招标文件规定的预算金额或者分项、分包</w:t>
      </w:r>
      <w:r>
        <w:rPr>
          <w:rFonts w:ascii="方正仿宋_GBK" w:hAnsi="方正仿宋_GBK" w:eastAsia="方正仿宋_GBK" w:cs="方正仿宋_GBK"/>
          <w:spacing w:val="12"/>
          <w:sz w:val="23"/>
          <w:szCs w:val="23"/>
          <w:highlight w:val="none"/>
        </w:rPr>
        <w:t>最高限价的，其投标将</w:t>
      </w:r>
      <w:r>
        <w:rPr>
          <w:rFonts w:ascii="方正仿宋_GBK" w:hAnsi="方正仿宋_GBK" w:eastAsia="方正仿宋_GBK" w:cs="方正仿宋_GBK"/>
          <w:spacing w:val="6"/>
          <w:sz w:val="23"/>
          <w:szCs w:val="23"/>
          <w:highlight w:val="none"/>
        </w:rPr>
        <w:t>被认定为</w:t>
      </w:r>
      <w:r>
        <w:rPr>
          <w:rFonts w:ascii="方正仿宋_GBK" w:hAnsi="方正仿宋_GBK" w:eastAsia="方正仿宋_GBK" w:cs="方正仿宋_GBK"/>
          <w:b/>
          <w:bCs/>
          <w:spacing w:val="6"/>
          <w:sz w:val="23"/>
          <w:szCs w:val="23"/>
          <w:highlight w:val="none"/>
        </w:rPr>
        <w:t>投标无效</w:t>
      </w:r>
      <w:r>
        <w:rPr>
          <w:rFonts w:ascii="方正仿宋_GBK" w:hAnsi="方正仿宋_GBK" w:eastAsia="方正仿宋_GBK" w:cs="方正仿宋_GBK"/>
          <w:spacing w:val="6"/>
          <w:sz w:val="23"/>
          <w:szCs w:val="23"/>
          <w:highlight w:val="none"/>
        </w:rPr>
        <w:t>。</w:t>
      </w:r>
    </w:p>
    <w:p w14:paraId="0098E6B2">
      <w:pPr>
        <w:spacing w:line="233" w:lineRule="auto"/>
        <w:outlineLvl w:val="1"/>
        <w:rPr>
          <w:rFonts w:ascii="方正仿宋_GBK" w:hAnsi="方正仿宋_GBK" w:eastAsia="方正仿宋_GBK" w:cs="方正仿宋_GBK"/>
          <w:sz w:val="28"/>
          <w:szCs w:val="28"/>
          <w:highlight w:val="none"/>
        </w:rPr>
      </w:pPr>
      <w:r>
        <w:rPr>
          <w:rFonts w:ascii="方正仿宋_GBK" w:hAnsi="方正仿宋_GBK" w:eastAsia="方正仿宋_GBK" w:cs="方正仿宋_GBK"/>
          <w:b/>
          <w:bCs/>
          <w:spacing w:val="-5"/>
          <w:sz w:val="28"/>
          <w:szCs w:val="28"/>
          <w:highlight w:val="none"/>
        </w:rPr>
        <w:t>3.投标费用</w:t>
      </w:r>
    </w:p>
    <w:p w14:paraId="1755A505">
      <w:pPr>
        <w:spacing w:before="59" w:line="232" w:lineRule="auto"/>
        <w:ind w:left="486"/>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不论投标的结果如何，投标人应承担所有与准备和参加投标有关的费用。</w:t>
      </w:r>
    </w:p>
    <w:p w14:paraId="1029BCDC">
      <w:pPr>
        <w:spacing w:before="59" w:line="233" w:lineRule="auto"/>
        <w:ind w:left="1"/>
        <w:outlineLvl w:val="1"/>
        <w:rPr>
          <w:rFonts w:ascii="方正仿宋_GBK" w:hAnsi="方正仿宋_GBK" w:eastAsia="方正仿宋_GBK" w:cs="方正仿宋_GBK"/>
          <w:sz w:val="28"/>
          <w:szCs w:val="28"/>
          <w:highlight w:val="none"/>
        </w:rPr>
      </w:pPr>
      <w:bookmarkStart w:id="13" w:name="bookmark1"/>
      <w:bookmarkEnd w:id="13"/>
      <w:bookmarkStart w:id="14" w:name="bookmark5"/>
      <w:bookmarkEnd w:id="14"/>
      <w:r>
        <w:rPr>
          <w:rFonts w:ascii="方正仿宋_GBK" w:hAnsi="方正仿宋_GBK" w:eastAsia="方正仿宋_GBK" w:cs="方正仿宋_GBK"/>
          <w:b/>
          <w:bCs/>
          <w:spacing w:val="-5"/>
          <w:sz w:val="28"/>
          <w:szCs w:val="28"/>
          <w:highlight w:val="none"/>
        </w:rPr>
        <w:t>4.适用法律</w:t>
      </w:r>
    </w:p>
    <w:p w14:paraId="58E3CFE5">
      <w:pPr>
        <w:spacing w:before="56" w:line="293" w:lineRule="auto"/>
        <w:ind w:left="1051" w:right="65" w:hanging="93"/>
        <w:jc w:val="both"/>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本项目采购人、采购代理机构、投标人、评标委员会的相关行为均受《中华人民</w:t>
      </w:r>
      <w:r>
        <w:rPr>
          <w:rFonts w:ascii="方正仿宋_GBK" w:hAnsi="方正仿宋_GBK" w:eastAsia="方正仿宋_GBK" w:cs="方正仿宋_GBK"/>
          <w:spacing w:val="12"/>
          <w:sz w:val="23"/>
          <w:szCs w:val="23"/>
          <w:highlight w:val="none"/>
        </w:rPr>
        <w:t>共和国政府采购法》、《中华人民共和国政府采购法实施条例》及本项目本级</w:t>
      </w:r>
      <w:r>
        <w:rPr>
          <w:rFonts w:ascii="方正仿宋_GBK" w:hAnsi="方正仿宋_GBK" w:eastAsia="方正仿宋_GBK" w:cs="方正仿宋_GBK"/>
          <w:spacing w:val="8"/>
          <w:sz w:val="23"/>
          <w:szCs w:val="23"/>
          <w:highlight w:val="none"/>
        </w:rPr>
        <w:t>和上级财政部门政府采购有关规定的约束，其权利受到上述法律法规的保护。</w:t>
      </w:r>
    </w:p>
    <w:p w14:paraId="41A50F23">
      <w:pPr>
        <w:spacing w:before="213" w:line="233" w:lineRule="auto"/>
        <w:ind w:left="3754"/>
        <w:outlineLvl w:val="0"/>
        <w:rPr>
          <w:rFonts w:ascii="方正仿宋_GBK" w:hAnsi="方正仿宋_GBK" w:eastAsia="方正仿宋_GBK" w:cs="方正仿宋_GBK"/>
          <w:sz w:val="28"/>
          <w:szCs w:val="28"/>
          <w:highlight w:val="none"/>
        </w:rPr>
      </w:pPr>
      <w:bookmarkStart w:id="15" w:name="bookmark6"/>
      <w:bookmarkEnd w:id="15"/>
      <w:bookmarkStart w:id="16" w:name="bookmark1"/>
      <w:bookmarkEnd w:id="16"/>
      <w:r>
        <w:rPr>
          <w:rFonts w:ascii="方正仿宋_GBK" w:hAnsi="方正仿宋_GBK" w:eastAsia="方正仿宋_GBK" w:cs="方正仿宋_GBK"/>
          <w:b/>
          <w:bCs/>
          <w:spacing w:val="-10"/>
          <w:sz w:val="28"/>
          <w:szCs w:val="28"/>
          <w:highlight w:val="none"/>
        </w:rPr>
        <w:t>二招标文件</w:t>
      </w:r>
    </w:p>
    <w:p w14:paraId="64FF53A9">
      <w:pPr>
        <w:spacing w:before="56" w:line="231" w:lineRule="auto"/>
        <w:ind w:left="5"/>
        <w:outlineLvl w:val="1"/>
        <w:rPr>
          <w:rFonts w:ascii="方正仿宋_GBK" w:hAnsi="方正仿宋_GBK" w:eastAsia="方正仿宋_GBK" w:cs="方正仿宋_GBK"/>
          <w:sz w:val="28"/>
          <w:szCs w:val="28"/>
          <w:highlight w:val="none"/>
        </w:rPr>
      </w:pPr>
      <w:bookmarkStart w:id="17" w:name="bookmark1"/>
      <w:bookmarkEnd w:id="17"/>
      <w:bookmarkStart w:id="18" w:name="bookmark7"/>
      <w:bookmarkEnd w:id="18"/>
      <w:r>
        <w:rPr>
          <w:rFonts w:ascii="方正仿宋_GBK" w:hAnsi="方正仿宋_GBK" w:eastAsia="方正仿宋_GBK" w:cs="方正仿宋_GBK"/>
          <w:b/>
          <w:bCs/>
          <w:spacing w:val="-5"/>
          <w:sz w:val="28"/>
          <w:szCs w:val="28"/>
          <w:highlight w:val="none"/>
        </w:rPr>
        <w:t>5.招标文件构成</w:t>
      </w:r>
    </w:p>
    <w:p w14:paraId="7AD2F3DF">
      <w:pPr>
        <w:spacing w:before="62" w:line="292" w:lineRule="auto"/>
        <w:ind w:left="908" w:right="4441" w:hanging="906"/>
        <w:rPr>
          <w:rFonts w:ascii="方正仿宋_GBK" w:hAnsi="方正仿宋_GBK" w:eastAsia="方正仿宋_GBK" w:cs="方正仿宋_GBK"/>
          <w:spacing w:val="1"/>
          <w:sz w:val="23"/>
          <w:szCs w:val="23"/>
          <w:highlight w:val="none"/>
        </w:rPr>
      </w:pPr>
      <w:r>
        <w:rPr>
          <w:rFonts w:ascii="方正仿宋_GBK" w:hAnsi="方正仿宋_GBK" w:eastAsia="方正仿宋_GBK" w:cs="方正仿宋_GBK"/>
          <w:spacing w:val="1"/>
          <w:sz w:val="23"/>
          <w:szCs w:val="23"/>
          <w:highlight w:val="none"/>
        </w:rPr>
        <w:t>5.1招标文件分为三册共7章，内容如下：</w:t>
      </w:r>
    </w:p>
    <w:p w14:paraId="5FDE763E">
      <w:pPr>
        <w:spacing w:before="62" w:line="292" w:lineRule="auto"/>
        <w:ind w:left="908" w:right="4441" w:hanging="906"/>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2"/>
          <w:sz w:val="23"/>
          <w:szCs w:val="23"/>
          <w:highlight w:val="none"/>
        </w:rPr>
        <w:t>第一册</w:t>
      </w:r>
    </w:p>
    <w:p w14:paraId="7C828CFB">
      <w:pPr>
        <w:spacing w:before="20" w:line="295" w:lineRule="auto"/>
        <w:ind w:left="911" w:right="6135" w:hanging="50"/>
        <w:rPr>
          <w:rFonts w:hint="eastAsia" w:ascii="方正仿宋_GBK" w:hAnsi="方正仿宋_GBK" w:eastAsia="方正仿宋_GBK" w:cs="方正仿宋_GBK"/>
          <w:spacing w:val="-5"/>
          <w:sz w:val="23"/>
          <w:szCs w:val="23"/>
          <w:highlight w:val="none"/>
          <w:lang w:val="en-US" w:eastAsia="zh-CN"/>
        </w:rPr>
      </w:pPr>
      <w:r>
        <w:rPr>
          <w:rFonts w:ascii="方正仿宋_GBK" w:hAnsi="方正仿宋_GBK" w:eastAsia="方正仿宋_GBK" w:cs="方正仿宋_GBK"/>
          <w:spacing w:val="-5"/>
          <w:sz w:val="23"/>
          <w:szCs w:val="23"/>
          <w:highlight w:val="none"/>
        </w:rPr>
        <w:t>第1章投标人须知</w:t>
      </w:r>
      <w:r>
        <w:rPr>
          <w:rFonts w:hint="eastAsia" w:ascii="方正仿宋_GBK" w:hAnsi="方正仿宋_GBK" w:eastAsia="方正仿宋_GBK" w:cs="方正仿宋_GBK"/>
          <w:spacing w:val="-5"/>
          <w:sz w:val="23"/>
          <w:szCs w:val="23"/>
          <w:highlight w:val="none"/>
          <w:lang w:val="en-US" w:eastAsia="zh-CN"/>
        </w:rPr>
        <w:t xml:space="preserve"> </w:t>
      </w:r>
    </w:p>
    <w:p w14:paraId="045D0CC9">
      <w:pPr>
        <w:spacing w:before="20" w:line="295" w:lineRule="auto"/>
        <w:ind w:left="911" w:right="6135" w:hanging="50"/>
        <w:rPr>
          <w:rFonts w:ascii="方正仿宋_GBK" w:hAnsi="方正仿宋_GBK" w:eastAsia="方正仿宋_GBK" w:cs="方正仿宋_GBK"/>
          <w:spacing w:val="1"/>
          <w:sz w:val="23"/>
          <w:szCs w:val="23"/>
          <w:highlight w:val="none"/>
        </w:rPr>
      </w:pPr>
      <w:r>
        <w:rPr>
          <w:rFonts w:ascii="方正仿宋_GBK" w:hAnsi="方正仿宋_GBK" w:eastAsia="方正仿宋_GBK" w:cs="方正仿宋_GBK"/>
          <w:spacing w:val="1"/>
          <w:sz w:val="23"/>
          <w:szCs w:val="23"/>
          <w:highlight w:val="none"/>
        </w:rPr>
        <w:t>第2章投标文件格式</w:t>
      </w:r>
    </w:p>
    <w:p w14:paraId="714867F9">
      <w:pPr>
        <w:spacing w:before="20" w:line="295" w:lineRule="auto"/>
        <w:ind w:right="6135"/>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2"/>
          <w:sz w:val="23"/>
          <w:szCs w:val="23"/>
          <w:highlight w:val="none"/>
        </w:rPr>
        <w:t>第二册</w:t>
      </w:r>
    </w:p>
    <w:p w14:paraId="54312A2C">
      <w:pPr>
        <w:spacing w:before="20" w:line="241" w:lineRule="auto"/>
        <w:ind w:left="911"/>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1"/>
          <w:sz w:val="23"/>
          <w:szCs w:val="23"/>
          <w:highlight w:val="none"/>
        </w:rPr>
        <w:t>第3章投标邀请</w:t>
      </w:r>
    </w:p>
    <w:p w14:paraId="7FFE768F">
      <w:pPr>
        <w:spacing w:before="81" w:line="292" w:lineRule="auto"/>
        <w:ind w:left="911" w:right="5655"/>
        <w:rPr>
          <w:rFonts w:ascii="方正仿宋_GBK" w:hAnsi="方正仿宋_GBK" w:eastAsia="方正仿宋_GBK" w:cs="方正仿宋_GBK"/>
          <w:spacing w:val="3"/>
          <w:sz w:val="23"/>
          <w:szCs w:val="23"/>
          <w:highlight w:val="none"/>
        </w:rPr>
      </w:pPr>
      <w:r>
        <w:rPr>
          <w:rFonts w:ascii="方正仿宋_GBK" w:hAnsi="方正仿宋_GBK" w:eastAsia="方正仿宋_GBK" w:cs="方正仿宋_GBK"/>
          <w:spacing w:val="3"/>
          <w:sz w:val="23"/>
          <w:szCs w:val="23"/>
          <w:highlight w:val="none"/>
        </w:rPr>
        <w:t>第4章投标人须知资料表</w:t>
      </w:r>
    </w:p>
    <w:p w14:paraId="7D2457E7">
      <w:pPr>
        <w:spacing w:before="81" w:line="292" w:lineRule="auto"/>
        <w:ind w:left="911" w:right="5655"/>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2"/>
          <w:sz w:val="23"/>
          <w:szCs w:val="23"/>
          <w:highlight w:val="none"/>
        </w:rPr>
        <w:t>第5章货物要求</w:t>
      </w:r>
    </w:p>
    <w:p w14:paraId="45694835">
      <w:pPr>
        <w:spacing w:line="292" w:lineRule="auto"/>
        <w:rPr>
          <w:rFonts w:ascii="方正仿宋_GBK" w:hAnsi="方正仿宋_GBK" w:eastAsia="方正仿宋_GBK" w:cs="方正仿宋_GBK"/>
          <w:sz w:val="23"/>
          <w:szCs w:val="23"/>
          <w:highlight w:val="none"/>
        </w:rPr>
        <w:sectPr>
          <w:footerReference r:id="rId8" w:type="default"/>
          <w:pgSz w:w="11906" w:h="16838"/>
          <w:pgMar w:top="400" w:right="1145" w:bottom="1032" w:left="1399" w:header="0" w:footer="857" w:gutter="0"/>
          <w:pgNumType w:fmt="decimal"/>
          <w:cols w:space="720" w:num="1"/>
        </w:sectPr>
      </w:pPr>
    </w:p>
    <w:p w14:paraId="7E9E4DBA">
      <w:pPr>
        <w:spacing w:before="84" w:line="292" w:lineRule="auto"/>
        <w:ind w:left="913" w:right="5923"/>
        <w:rPr>
          <w:rFonts w:ascii="方正仿宋_GBK" w:hAnsi="方正仿宋_GBK" w:eastAsia="方正仿宋_GBK" w:cs="方正仿宋_GBK"/>
          <w:spacing w:val="2"/>
          <w:sz w:val="23"/>
          <w:szCs w:val="23"/>
          <w:highlight w:val="none"/>
        </w:rPr>
      </w:pPr>
      <w:r>
        <w:rPr>
          <w:rFonts w:ascii="方正仿宋_GBK" w:hAnsi="方正仿宋_GBK" w:eastAsia="方正仿宋_GBK" w:cs="方正仿宋_GBK"/>
          <w:spacing w:val="2"/>
          <w:sz w:val="23"/>
          <w:szCs w:val="23"/>
          <w:highlight w:val="none"/>
        </w:rPr>
        <w:t>第6章评标方法和标准</w:t>
      </w:r>
    </w:p>
    <w:p w14:paraId="0ADA0463">
      <w:pPr>
        <w:spacing w:before="84" w:line="292" w:lineRule="auto"/>
        <w:ind w:right="5923"/>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2"/>
          <w:sz w:val="23"/>
          <w:szCs w:val="23"/>
          <w:highlight w:val="none"/>
        </w:rPr>
        <w:t>第三册</w:t>
      </w:r>
    </w:p>
    <w:p w14:paraId="256D02FE">
      <w:pPr>
        <w:spacing w:before="21" w:line="239" w:lineRule="auto"/>
        <w:ind w:left="971"/>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4"/>
          <w:sz w:val="23"/>
          <w:szCs w:val="23"/>
          <w:highlight w:val="none"/>
        </w:rPr>
        <w:t>第7章政府采购合同格式</w:t>
      </w:r>
    </w:p>
    <w:p w14:paraId="054A5FAF">
      <w:pPr>
        <w:spacing w:before="83" w:line="234" w:lineRule="auto"/>
        <w:ind w:left="4"/>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6"/>
          <w:sz w:val="23"/>
          <w:szCs w:val="23"/>
          <w:highlight w:val="none"/>
        </w:rPr>
        <w:t>5.2如本文件的前后内容不一致，以最后描述为准。</w:t>
      </w:r>
    </w:p>
    <w:p w14:paraId="540E5924">
      <w:pPr>
        <w:spacing w:before="94" w:line="293" w:lineRule="auto"/>
        <w:ind w:left="900" w:right="91" w:hanging="896"/>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7"/>
          <w:sz w:val="23"/>
          <w:szCs w:val="23"/>
          <w:highlight w:val="none"/>
        </w:rPr>
        <w:t>5.3投标人应认真阅读招标文件所有的事项、格式、条款和技术规范等。如投标人没有</w:t>
      </w:r>
      <w:r>
        <w:rPr>
          <w:rFonts w:ascii="方正仿宋_GBK" w:hAnsi="方正仿宋_GBK" w:eastAsia="方正仿宋_GBK" w:cs="方正仿宋_GBK"/>
          <w:spacing w:val="10"/>
          <w:sz w:val="23"/>
          <w:szCs w:val="23"/>
          <w:highlight w:val="none"/>
        </w:rPr>
        <w:t>按照招标文件要求提交全部资料，或者投标文件没有对招标文</w:t>
      </w:r>
      <w:r>
        <w:rPr>
          <w:rFonts w:ascii="方正仿宋_GBK" w:hAnsi="方正仿宋_GBK" w:eastAsia="方正仿宋_GBK" w:cs="方正仿宋_GBK"/>
          <w:spacing w:val="9"/>
          <w:sz w:val="23"/>
          <w:szCs w:val="23"/>
          <w:highlight w:val="none"/>
        </w:rPr>
        <w:t>件在各方面都做出</w:t>
      </w:r>
      <w:r>
        <w:rPr>
          <w:rFonts w:ascii="方正仿宋_GBK" w:hAnsi="方正仿宋_GBK" w:eastAsia="方正仿宋_GBK" w:cs="方正仿宋_GBK"/>
          <w:spacing w:val="8"/>
          <w:sz w:val="23"/>
          <w:szCs w:val="23"/>
          <w:highlight w:val="none"/>
        </w:rPr>
        <w:t>实质性响应，导致其投标将被认定为</w:t>
      </w:r>
      <w:r>
        <w:rPr>
          <w:rFonts w:ascii="方正仿宋_GBK" w:hAnsi="方正仿宋_GBK" w:eastAsia="方正仿宋_GBK" w:cs="方正仿宋_GBK"/>
          <w:b/>
          <w:bCs/>
          <w:spacing w:val="8"/>
          <w:sz w:val="23"/>
          <w:szCs w:val="23"/>
          <w:highlight w:val="none"/>
        </w:rPr>
        <w:t>投标无效</w:t>
      </w:r>
      <w:r>
        <w:rPr>
          <w:rFonts w:ascii="方正仿宋_GBK" w:hAnsi="方正仿宋_GBK" w:eastAsia="方正仿宋_GBK" w:cs="方正仿宋_GBK"/>
          <w:spacing w:val="8"/>
          <w:sz w:val="23"/>
          <w:szCs w:val="23"/>
          <w:highlight w:val="none"/>
        </w:rPr>
        <w:t>。</w:t>
      </w:r>
    </w:p>
    <w:p w14:paraId="13AC81B8">
      <w:pPr>
        <w:pStyle w:val="7"/>
        <w:spacing w:line="306" w:lineRule="auto"/>
        <w:rPr>
          <w:highlight w:val="none"/>
        </w:rPr>
      </w:pPr>
    </w:p>
    <w:p w14:paraId="67B37BC3">
      <w:pPr>
        <w:spacing w:before="102" w:line="231" w:lineRule="auto"/>
        <w:ind w:left="3"/>
        <w:outlineLvl w:val="1"/>
        <w:rPr>
          <w:rFonts w:ascii="方正仿宋_GBK" w:hAnsi="方正仿宋_GBK" w:eastAsia="方正仿宋_GBK" w:cs="方正仿宋_GBK"/>
          <w:sz w:val="28"/>
          <w:szCs w:val="28"/>
          <w:highlight w:val="none"/>
        </w:rPr>
      </w:pPr>
      <w:bookmarkStart w:id="19" w:name="bookmark8"/>
      <w:bookmarkEnd w:id="19"/>
      <w:bookmarkStart w:id="20" w:name="bookmark9"/>
      <w:bookmarkEnd w:id="20"/>
      <w:r>
        <w:rPr>
          <w:rFonts w:ascii="方正仿宋_GBK" w:hAnsi="方正仿宋_GBK" w:eastAsia="方正仿宋_GBK" w:cs="方正仿宋_GBK"/>
          <w:b/>
          <w:bCs/>
          <w:spacing w:val="-3"/>
          <w:sz w:val="28"/>
          <w:szCs w:val="28"/>
          <w:highlight w:val="none"/>
        </w:rPr>
        <w:t>6.招标文件的澄清与修改</w:t>
      </w:r>
    </w:p>
    <w:p w14:paraId="321B1FA4">
      <w:pPr>
        <w:spacing w:before="60" w:line="294" w:lineRule="auto"/>
        <w:ind w:left="840" w:right="142" w:hanging="840"/>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6.1为了保证对招标文件的澄清和修改满足法律的时限要求，任何要求对招标文件进</w:t>
      </w:r>
      <w:r>
        <w:rPr>
          <w:rFonts w:ascii="方正仿宋_GBK" w:hAnsi="方正仿宋_GBK" w:eastAsia="方正仿宋_GBK" w:cs="方正仿宋_GBK"/>
          <w:spacing w:val="10"/>
          <w:sz w:val="23"/>
          <w:szCs w:val="23"/>
          <w:highlight w:val="none"/>
        </w:rPr>
        <w:t>行澄清的投标人，均应在投标截止期十五日</w:t>
      </w:r>
      <w:r>
        <w:rPr>
          <w:rFonts w:ascii="方正仿宋_GBK" w:hAnsi="方正仿宋_GBK" w:eastAsia="方正仿宋_GBK" w:cs="方正仿宋_GBK"/>
          <w:spacing w:val="9"/>
          <w:sz w:val="23"/>
          <w:szCs w:val="23"/>
          <w:highlight w:val="none"/>
        </w:rPr>
        <w:t>前，以书面形式将澄清要求通知采购</w:t>
      </w:r>
      <w:r>
        <w:rPr>
          <w:rFonts w:ascii="方正仿宋_GBK" w:hAnsi="方正仿宋_GBK" w:eastAsia="方正仿宋_GBK" w:cs="方正仿宋_GBK"/>
          <w:spacing w:val="4"/>
          <w:sz w:val="23"/>
          <w:szCs w:val="23"/>
          <w:highlight w:val="none"/>
        </w:rPr>
        <w:t>人或采购代理机构。</w:t>
      </w:r>
    </w:p>
    <w:p w14:paraId="3947D37A">
      <w:pPr>
        <w:spacing w:before="26" w:line="293" w:lineRule="auto"/>
        <w:ind w:left="838" w:right="163" w:hanging="838"/>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6.2采购人可主动地或在解答投标人提出的澄清问题时对招标文件进行澄</w:t>
      </w:r>
      <w:r>
        <w:rPr>
          <w:rFonts w:ascii="方正仿宋_GBK" w:hAnsi="方正仿宋_GBK" w:eastAsia="方正仿宋_GBK" w:cs="方正仿宋_GBK"/>
          <w:spacing w:val="7"/>
          <w:sz w:val="23"/>
          <w:szCs w:val="23"/>
          <w:highlight w:val="none"/>
        </w:rPr>
        <w:t>清或修改。</w:t>
      </w:r>
      <w:r>
        <w:rPr>
          <w:rFonts w:ascii="方正仿宋_GBK" w:hAnsi="方正仿宋_GBK" w:eastAsia="方正仿宋_GBK" w:cs="方正仿宋_GBK"/>
          <w:spacing w:val="10"/>
          <w:sz w:val="23"/>
          <w:szCs w:val="23"/>
          <w:highlight w:val="none"/>
        </w:rPr>
        <w:t>采购代理机构将以发布澄清（更正）公告的方式，</w:t>
      </w:r>
      <w:r>
        <w:rPr>
          <w:rFonts w:ascii="方正仿宋_GBK" w:hAnsi="方正仿宋_GBK" w:eastAsia="方正仿宋_GBK" w:cs="方正仿宋_GBK"/>
          <w:spacing w:val="9"/>
          <w:sz w:val="23"/>
          <w:szCs w:val="23"/>
          <w:highlight w:val="none"/>
        </w:rPr>
        <w:t>澄清或修改招标文件，澄清或</w:t>
      </w:r>
      <w:r>
        <w:rPr>
          <w:rFonts w:ascii="方正仿宋_GBK" w:hAnsi="方正仿宋_GBK" w:eastAsia="方正仿宋_GBK" w:cs="方正仿宋_GBK"/>
          <w:spacing w:val="7"/>
          <w:sz w:val="23"/>
          <w:szCs w:val="23"/>
          <w:highlight w:val="none"/>
        </w:rPr>
        <w:t>修改内容作为招标文件的组成部分。</w:t>
      </w:r>
    </w:p>
    <w:p w14:paraId="1CF4779A">
      <w:pPr>
        <w:spacing w:before="27" w:line="291" w:lineRule="auto"/>
        <w:ind w:left="843" w:right="21" w:hanging="843"/>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9"/>
          <w:sz w:val="23"/>
          <w:szCs w:val="23"/>
          <w:highlight w:val="none"/>
        </w:rPr>
        <w:t>6.3澄清或者修改的内容可能影响投标文</w:t>
      </w:r>
      <w:r>
        <w:rPr>
          <w:rFonts w:ascii="方正仿宋_GBK" w:hAnsi="方正仿宋_GBK" w:eastAsia="方正仿宋_GBK" w:cs="方正仿宋_GBK"/>
          <w:spacing w:val="8"/>
          <w:sz w:val="23"/>
          <w:szCs w:val="23"/>
          <w:highlight w:val="none"/>
        </w:rPr>
        <w:t>件编制的，采购代理机构将以书面形式通知</w:t>
      </w:r>
      <w:r>
        <w:rPr>
          <w:rFonts w:ascii="方正仿宋_GBK" w:hAnsi="方正仿宋_GBK" w:eastAsia="方正仿宋_GBK" w:cs="方正仿宋_GBK"/>
          <w:spacing w:val="7"/>
          <w:sz w:val="23"/>
          <w:szCs w:val="23"/>
          <w:highlight w:val="none"/>
        </w:rPr>
        <w:t>所有购买招标文件的潜在投标人，并对其具有约束力。投标人在</w:t>
      </w:r>
      <w:r>
        <w:rPr>
          <w:rFonts w:ascii="方正仿宋_GBK" w:hAnsi="方正仿宋_GBK" w:eastAsia="方正仿宋_GBK" w:cs="方正仿宋_GBK"/>
          <w:spacing w:val="6"/>
          <w:sz w:val="23"/>
          <w:szCs w:val="23"/>
          <w:highlight w:val="none"/>
        </w:rPr>
        <w:t>收到上述通知后，应及时向采购代理机构回函确认。</w:t>
      </w:r>
    </w:p>
    <w:p w14:paraId="6CCAB897">
      <w:pPr>
        <w:spacing w:before="2" w:line="232" w:lineRule="auto"/>
        <w:ind w:left="8"/>
        <w:outlineLvl w:val="1"/>
        <w:rPr>
          <w:rFonts w:ascii="方正仿宋_GBK" w:hAnsi="方正仿宋_GBK" w:eastAsia="方正仿宋_GBK" w:cs="方正仿宋_GBK"/>
          <w:sz w:val="28"/>
          <w:szCs w:val="28"/>
          <w:highlight w:val="none"/>
        </w:rPr>
      </w:pPr>
      <w:r>
        <w:rPr>
          <w:rFonts w:ascii="方正仿宋_GBK" w:hAnsi="方正仿宋_GBK" w:eastAsia="方正仿宋_GBK" w:cs="方正仿宋_GBK"/>
          <w:b/>
          <w:bCs/>
          <w:spacing w:val="-4"/>
          <w:sz w:val="28"/>
          <w:szCs w:val="28"/>
          <w:highlight w:val="none"/>
        </w:rPr>
        <w:t>7.投标截止时间的顺延</w:t>
      </w:r>
    </w:p>
    <w:p w14:paraId="27E430CC">
      <w:pPr>
        <w:spacing w:before="59" w:line="291" w:lineRule="auto"/>
        <w:ind w:left="1054" w:firstLine="6"/>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为使投标人准备投标时有足够的时间对招标文件的澄清或者修改部分进行研究，</w:t>
      </w:r>
      <w:r>
        <w:rPr>
          <w:rFonts w:ascii="方正仿宋_GBK" w:hAnsi="方正仿宋_GBK" w:eastAsia="方正仿宋_GBK" w:cs="方正仿宋_GBK"/>
          <w:spacing w:val="7"/>
          <w:sz w:val="23"/>
          <w:szCs w:val="23"/>
          <w:highlight w:val="none"/>
        </w:rPr>
        <w:t>采购人将依法决定是否顺延投标截止时间。</w:t>
      </w:r>
    </w:p>
    <w:p w14:paraId="0D4DEECC">
      <w:pPr>
        <w:pStyle w:val="7"/>
        <w:spacing w:line="304" w:lineRule="auto"/>
        <w:rPr>
          <w:highlight w:val="none"/>
        </w:rPr>
      </w:pPr>
    </w:p>
    <w:p w14:paraId="2C900555">
      <w:pPr>
        <w:spacing w:before="103" w:line="233" w:lineRule="auto"/>
        <w:ind w:left="3341"/>
        <w:outlineLvl w:val="0"/>
        <w:rPr>
          <w:rFonts w:ascii="方正仿宋_GBK" w:hAnsi="方正仿宋_GBK" w:eastAsia="方正仿宋_GBK" w:cs="方正仿宋_GBK"/>
          <w:sz w:val="28"/>
          <w:szCs w:val="28"/>
          <w:highlight w:val="none"/>
        </w:rPr>
      </w:pPr>
      <w:bookmarkStart w:id="21" w:name="bookmark11"/>
      <w:bookmarkEnd w:id="21"/>
      <w:bookmarkStart w:id="22" w:name="bookmark10"/>
      <w:bookmarkEnd w:id="22"/>
      <w:r>
        <w:rPr>
          <w:rFonts w:ascii="方正仿宋_GBK" w:hAnsi="方正仿宋_GBK" w:eastAsia="方正仿宋_GBK" w:cs="方正仿宋_GBK"/>
          <w:b/>
          <w:bCs/>
          <w:spacing w:val="-8"/>
          <w:sz w:val="28"/>
          <w:szCs w:val="28"/>
          <w:highlight w:val="none"/>
        </w:rPr>
        <w:t>三投标文件的编制</w:t>
      </w:r>
    </w:p>
    <w:p w14:paraId="472B9271">
      <w:pPr>
        <w:pStyle w:val="7"/>
        <w:spacing w:line="337" w:lineRule="auto"/>
        <w:rPr>
          <w:highlight w:val="none"/>
        </w:rPr>
      </w:pPr>
    </w:p>
    <w:p w14:paraId="5E1F8A4C">
      <w:pPr>
        <w:spacing w:before="102" w:line="232" w:lineRule="auto"/>
        <w:ind w:left="2"/>
        <w:outlineLvl w:val="1"/>
        <w:rPr>
          <w:rFonts w:ascii="方正仿宋_GBK" w:hAnsi="方正仿宋_GBK" w:eastAsia="方正仿宋_GBK" w:cs="方正仿宋_GBK"/>
          <w:sz w:val="28"/>
          <w:szCs w:val="28"/>
          <w:highlight w:val="none"/>
        </w:rPr>
      </w:pPr>
      <w:r>
        <w:rPr>
          <w:rFonts w:ascii="方正仿宋_GBK" w:hAnsi="方正仿宋_GBK" w:eastAsia="方正仿宋_GBK" w:cs="方正仿宋_GBK"/>
          <w:b/>
          <w:bCs/>
          <w:spacing w:val="-4"/>
          <w:sz w:val="28"/>
          <w:szCs w:val="28"/>
          <w:highlight w:val="none"/>
        </w:rPr>
        <w:t>8.投标范围及投标文件中标准和计量单位的使用</w:t>
      </w:r>
    </w:p>
    <w:p w14:paraId="0FFE5086">
      <w:pPr>
        <w:spacing w:before="61" w:line="287" w:lineRule="auto"/>
        <w:ind w:left="900" w:right="94" w:hanging="900"/>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9"/>
          <w:sz w:val="23"/>
          <w:szCs w:val="23"/>
          <w:highlight w:val="none"/>
        </w:rPr>
        <w:t>8.1项目有分包的，投标人可对招标文件其中某一个或几个分包货物进行投标，除非</w:t>
      </w:r>
      <w:r>
        <w:rPr>
          <w:rFonts w:ascii="方正仿宋_GBK" w:hAnsi="方正仿宋_GBK" w:eastAsia="方正仿宋_GBK" w:cs="方正仿宋_GBK"/>
          <w:spacing w:val="4"/>
          <w:sz w:val="23"/>
          <w:szCs w:val="23"/>
          <w:highlight w:val="none"/>
        </w:rPr>
        <w:t>在</w:t>
      </w:r>
      <w:r>
        <w:rPr>
          <w:rFonts w:ascii="方正仿宋_GBK" w:hAnsi="方正仿宋_GBK" w:eastAsia="方正仿宋_GBK" w:cs="方正仿宋_GBK"/>
          <w:spacing w:val="4"/>
          <w:sz w:val="23"/>
          <w:szCs w:val="23"/>
          <w:highlight w:val="none"/>
          <w:u w:val="single" w:color="auto"/>
        </w:rPr>
        <w:t>投标人须知资料表</w:t>
      </w:r>
      <w:r>
        <w:rPr>
          <w:rFonts w:ascii="方正仿宋_GBK" w:hAnsi="方正仿宋_GBK" w:eastAsia="方正仿宋_GBK" w:cs="方正仿宋_GBK"/>
          <w:spacing w:val="4"/>
          <w:sz w:val="23"/>
          <w:szCs w:val="23"/>
          <w:highlight w:val="none"/>
        </w:rPr>
        <w:t>中另有规定。</w:t>
      </w:r>
    </w:p>
    <w:p w14:paraId="48E79AFB">
      <w:pPr>
        <w:spacing w:before="36" w:line="237"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9"/>
          <w:sz w:val="23"/>
          <w:szCs w:val="23"/>
          <w:highlight w:val="none"/>
        </w:rPr>
        <w:t>8.2投标人应当对所投分包招标文件中“服务需求”所列的所</w:t>
      </w:r>
      <w:r>
        <w:rPr>
          <w:rFonts w:ascii="方正仿宋_GBK" w:hAnsi="方正仿宋_GBK" w:eastAsia="方正仿宋_GBK" w:cs="方正仿宋_GBK"/>
          <w:spacing w:val="8"/>
          <w:sz w:val="23"/>
          <w:szCs w:val="23"/>
          <w:highlight w:val="none"/>
        </w:rPr>
        <w:t>有内容进行投标，如仅</w:t>
      </w:r>
    </w:p>
    <w:p w14:paraId="00E6587C">
      <w:pPr>
        <w:spacing w:before="88" w:line="237" w:lineRule="auto"/>
        <w:ind w:left="913"/>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响应某</w:t>
      </w:r>
      <w:r>
        <w:rPr>
          <w:rFonts w:hint="eastAsia" w:ascii="方正仿宋_GBK" w:hAnsi="方正仿宋_GBK" w:eastAsia="方正仿宋_GBK" w:cs="方正仿宋_GBK"/>
          <w:spacing w:val="8"/>
          <w:sz w:val="23"/>
          <w:szCs w:val="23"/>
          <w:highlight w:val="none"/>
          <w:lang w:eastAsia="zh-CN"/>
        </w:rPr>
        <w:t>标项一</w:t>
      </w:r>
      <w:r>
        <w:rPr>
          <w:rFonts w:ascii="方正仿宋_GBK" w:hAnsi="方正仿宋_GBK" w:eastAsia="方正仿宋_GBK" w:cs="方正仿宋_GBK"/>
          <w:spacing w:val="8"/>
          <w:sz w:val="23"/>
          <w:szCs w:val="23"/>
          <w:highlight w:val="none"/>
        </w:rPr>
        <w:t>中的部分内容，其该包投标将被认定为</w:t>
      </w:r>
      <w:r>
        <w:rPr>
          <w:rFonts w:ascii="方正仿宋_GBK" w:hAnsi="方正仿宋_GBK" w:eastAsia="方正仿宋_GBK" w:cs="方正仿宋_GBK"/>
          <w:b/>
          <w:bCs/>
          <w:spacing w:val="8"/>
          <w:sz w:val="23"/>
          <w:szCs w:val="23"/>
          <w:highlight w:val="none"/>
        </w:rPr>
        <w:t>投标无效</w:t>
      </w:r>
      <w:r>
        <w:rPr>
          <w:rFonts w:ascii="方正仿宋_GBK" w:hAnsi="方正仿宋_GBK" w:eastAsia="方正仿宋_GBK" w:cs="方正仿宋_GBK"/>
          <w:spacing w:val="8"/>
          <w:sz w:val="23"/>
          <w:szCs w:val="23"/>
          <w:highlight w:val="none"/>
        </w:rPr>
        <w:t>。</w:t>
      </w:r>
    </w:p>
    <w:p w14:paraId="5AC5D183">
      <w:pPr>
        <w:spacing w:before="87" w:line="238"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6"/>
          <w:sz w:val="23"/>
          <w:szCs w:val="23"/>
          <w:highlight w:val="none"/>
        </w:rPr>
        <w:t>8.3无论招标文件第5章货物采购需求一览表及技术规格中是否要求，投标人所投货</w:t>
      </w:r>
    </w:p>
    <w:p w14:paraId="05580573">
      <w:pPr>
        <w:spacing w:before="87" w:line="239" w:lineRule="auto"/>
        <w:ind w:left="969"/>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5"/>
          <w:sz w:val="23"/>
          <w:szCs w:val="23"/>
          <w:highlight w:val="none"/>
        </w:rPr>
        <w:t>物均应符合国家强制性标准。</w:t>
      </w:r>
    </w:p>
    <w:p w14:paraId="3436761D">
      <w:pPr>
        <w:spacing w:before="84" w:line="238"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5"/>
          <w:sz w:val="23"/>
          <w:szCs w:val="23"/>
          <w:highlight w:val="none"/>
        </w:rPr>
        <w:t>8.4除招标文件中有特殊要求外，投标文件中所使用的计量单位，应采用中华人民共</w:t>
      </w:r>
    </w:p>
    <w:p w14:paraId="0CDC3747">
      <w:pPr>
        <w:pStyle w:val="7"/>
        <w:spacing w:line="252" w:lineRule="auto"/>
        <w:rPr>
          <w:highlight w:val="none"/>
        </w:rPr>
      </w:pPr>
      <w:r>
        <w:rPr>
          <w:rFonts w:ascii="方正仿宋_GBK" w:hAnsi="方正仿宋_GBK" w:eastAsia="方正仿宋_GBK" w:cs="方正仿宋_GBK"/>
          <w:spacing w:val="4"/>
          <w:sz w:val="23"/>
          <w:szCs w:val="23"/>
          <w:highlight w:val="none"/>
        </w:rPr>
        <w:t>和国法定计量单位。</w:t>
      </w:r>
    </w:p>
    <w:p w14:paraId="6D7A133D">
      <w:pPr>
        <w:pStyle w:val="7"/>
        <w:spacing w:line="253" w:lineRule="auto"/>
        <w:rPr>
          <w:highlight w:val="none"/>
        </w:rPr>
      </w:pPr>
    </w:p>
    <w:p w14:paraId="4EDDE665">
      <w:pPr>
        <w:spacing w:before="103" w:line="231" w:lineRule="auto"/>
        <w:ind w:left="2"/>
        <w:outlineLvl w:val="1"/>
        <w:rPr>
          <w:rFonts w:ascii="方正仿宋_GBK" w:hAnsi="方正仿宋_GBK" w:eastAsia="方正仿宋_GBK" w:cs="方正仿宋_GBK"/>
          <w:sz w:val="28"/>
          <w:szCs w:val="28"/>
          <w:highlight w:val="none"/>
        </w:rPr>
      </w:pPr>
      <w:r>
        <w:rPr>
          <w:rFonts w:ascii="方正仿宋_GBK" w:hAnsi="方正仿宋_GBK" w:eastAsia="方正仿宋_GBK" w:cs="方正仿宋_GBK"/>
          <w:b/>
          <w:bCs/>
          <w:spacing w:val="-4"/>
          <w:sz w:val="28"/>
          <w:szCs w:val="28"/>
          <w:highlight w:val="none"/>
        </w:rPr>
        <w:t>9.投标文件构成</w:t>
      </w:r>
    </w:p>
    <w:p w14:paraId="2531A07A">
      <w:pPr>
        <w:spacing w:before="61" w:line="290" w:lineRule="auto"/>
        <w:ind w:right="4"/>
        <w:jc w:val="right"/>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7"/>
          <w:sz w:val="23"/>
          <w:szCs w:val="23"/>
          <w:highlight w:val="none"/>
        </w:rPr>
        <w:t>9.1</w:t>
      </w:r>
      <w:r>
        <w:rPr>
          <w:rFonts w:ascii="方正仿宋_GBK" w:hAnsi="方正仿宋_GBK" w:eastAsia="方正仿宋_GBK" w:cs="方正仿宋_GBK"/>
          <w:b/>
          <w:bCs/>
          <w:spacing w:val="7"/>
          <w:sz w:val="23"/>
          <w:szCs w:val="23"/>
          <w:highlight w:val="none"/>
          <w:u w:val="single" w:color="auto"/>
        </w:rPr>
        <w:t>投标人应完整地按招标文件提供的投标文件格式及要求编写投标文件，投标文件</w:t>
      </w:r>
      <w:r>
        <w:rPr>
          <w:rFonts w:ascii="方正仿宋_GBK" w:hAnsi="方正仿宋_GBK" w:eastAsia="方正仿宋_GBK" w:cs="方正仿宋_GBK"/>
          <w:b/>
          <w:bCs/>
          <w:spacing w:val="1"/>
          <w:sz w:val="23"/>
          <w:szCs w:val="23"/>
          <w:highlight w:val="none"/>
          <w:u w:val="single" w:color="auto"/>
        </w:rPr>
        <w:t>内容应包括但不限于“开标一览表及资格证明文件”和“商务及技术文件”内容。</w:t>
      </w:r>
    </w:p>
    <w:p w14:paraId="3127F980">
      <w:pPr>
        <w:spacing w:before="27" w:line="239"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7"/>
          <w:sz w:val="23"/>
          <w:szCs w:val="23"/>
          <w:highlight w:val="none"/>
        </w:rPr>
        <w:t>9.2上述文件应按照招标文件规定的格式填写、签署和盖章。</w:t>
      </w:r>
    </w:p>
    <w:p w14:paraId="38732D47">
      <w:pPr>
        <w:spacing w:before="48" w:line="232" w:lineRule="auto"/>
        <w:ind w:left="9"/>
        <w:outlineLvl w:val="1"/>
        <w:rPr>
          <w:rFonts w:ascii="方正仿宋_GBK" w:hAnsi="方正仿宋_GBK" w:eastAsia="方正仿宋_GBK" w:cs="方正仿宋_GBK"/>
          <w:sz w:val="28"/>
          <w:szCs w:val="28"/>
          <w:highlight w:val="none"/>
        </w:rPr>
      </w:pPr>
      <w:r>
        <w:rPr>
          <w:rFonts w:ascii="方正仿宋_GBK" w:hAnsi="方正仿宋_GBK" w:eastAsia="方正仿宋_GBK" w:cs="方正仿宋_GBK"/>
          <w:b/>
          <w:bCs/>
          <w:spacing w:val="-2"/>
          <w:sz w:val="28"/>
          <w:szCs w:val="28"/>
          <w:highlight w:val="none"/>
        </w:rPr>
        <w:t>10.证明投标标的的合格性和符合招标文</w:t>
      </w:r>
      <w:r>
        <w:rPr>
          <w:rFonts w:ascii="方正仿宋_GBK" w:hAnsi="方正仿宋_GBK" w:eastAsia="方正仿宋_GBK" w:cs="方正仿宋_GBK"/>
          <w:b/>
          <w:bCs/>
          <w:spacing w:val="-3"/>
          <w:sz w:val="28"/>
          <w:szCs w:val="28"/>
          <w:highlight w:val="none"/>
        </w:rPr>
        <w:t>件规定的技术文件</w:t>
      </w:r>
    </w:p>
    <w:p w14:paraId="0C718132">
      <w:pPr>
        <w:spacing w:before="61" w:line="291" w:lineRule="auto"/>
        <w:ind w:left="910" w:right="90" w:hanging="904"/>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10.1投标人应提交证明文件，证明其投标内容符合招标文件规定。该证明文件是投标</w:t>
      </w:r>
      <w:r>
        <w:rPr>
          <w:rFonts w:ascii="方正仿宋_GBK" w:hAnsi="方正仿宋_GBK" w:eastAsia="方正仿宋_GBK" w:cs="方正仿宋_GBK"/>
          <w:spacing w:val="2"/>
          <w:sz w:val="23"/>
          <w:szCs w:val="23"/>
          <w:highlight w:val="none"/>
        </w:rPr>
        <w:t>文件的一部分。</w:t>
      </w:r>
    </w:p>
    <w:p w14:paraId="659AA5EC">
      <w:pPr>
        <w:spacing w:before="22" w:line="232" w:lineRule="auto"/>
        <w:ind w:left="6"/>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5"/>
          <w:sz w:val="23"/>
          <w:szCs w:val="23"/>
          <w:highlight w:val="none"/>
        </w:rPr>
        <w:t>10.2上款所述的证明文件，可以是文字资料、图纸和数据，它包括：</w:t>
      </w:r>
    </w:p>
    <w:p w14:paraId="7F059077">
      <w:pPr>
        <w:spacing w:before="95" w:line="237" w:lineRule="auto"/>
        <w:ind w:left="6"/>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1"/>
          <w:sz w:val="23"/>
          <w:szCs w:val="23"/>
          <w:highlight w:val="none"/>
        </w:rPr>
        <w:t>10.2.1货物主要技术指标和性能的详细说明；</w:t>
      </w:r>
    </w:p>
    <w:p w14:paraId="7F67EF83">
      <w:pPr>
        <w:spacing w:before="89" w:line="237" w:lineRule="auto"/>
        <w:ind w:left="6"/>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10.2.2货物从买方开始使用至招标文件规定的保</w:t>
      </w:r>
      <w:r>
        <w:rPr>
          <w:rFonts w:ascii="方正仿宋_GBK" w:hAnsi="方正仿宋_GBK" w:eastAsia="方正仿宋_GBK" w:cs="方正仿宋_GBK"/>
          <w:spacing w:val="7"/>
          <w:sz w:val="23"/>
          <w:szCs w:val="23"/>
          <w:highlight w:val="none"/>
        </w:rPr>
        <w:t>质期内正常、连续地使用所必须的备件</w:t>
      </w:r>
    </w:p>
    <w:p w14:paraId="44E1B56D">
      <w:pPr>
        <w:spacing w:before="87" w:line="237" w:lineRule="auto"/>
        <w:ind w:left="903"/>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7"/>
          <w:sz w:val="23"/>
          <w:szCs w:val="23"/>
          <w:highlight w:val="none"/>
        </w:rPr>
        <w:t>和专用工具清单，包括备件和专用工具的货源及现行价格；</w:t>
      </w:r>
    </w:p>
    <w:p w14:paraId="4329A62B">
      <w:pPr>
        <w:spacing w:before="88" w:line="238" w:lineRule="auto"/>
        <w:ind w:left="6"/>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10.2.3对照招标文件技术规格，逐条说明所提供货物</w:t>
      </w:r>
      <w:r>
        <w:rPr>
          <w:rFonts w:ascii="方正仿宋_GBK" w:hAnsi="方正仿宋_GBK" w:eastAsia="方正仿宋_GBK" w:cs="方正仿宋_GBK"/>
          <w:spacing w:val="7"/>
          <w:sz w:val="23"/>
          <w:szCs w:val="23"/>
          <w:highlight w:val="none"/>
        </w:rPr>
        <w:t>及伴随的工程和服务已对招标文件</w:t>
      </w:r>
    </w:p>
    <w:p w14:paraId="4FBA64E7">
      <w:pPr>
        <w:spacing w:before="86" w:line="238" w:lineRule="auto"/>
        <w:ind w:left="923"/>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的技术规格做出了实质性的响应，或申明与技术规格条文的偏</w:t>
      </w:r>
      <w:r>
        <w:rPr>
          <w:rFonts w:ascii="方正仿宋_GBK" w:hAnsi="方正仿宋_GBK" w:eastAsia="方正仿宋_GBK" w:cs="方正仿宋_GBK"/>
          <w:spacing w:val="7"/>
          <w:sz w:val="23"/>
          <w:szCs w:val="23"/>
          <w:highlight w:val="none"/>
        </w:rPr>
        <w:t>差和例外。</w:t>
      </w:r>
    </w:p>
    <w:p w14:paraId="7B52F57C">
      <w:pPr>
        <w:spacing w:before="86" w:line="232" w:lineRule="auto"/>
        <w:ind w:left="6"/>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9"/>
          <w:sz w:val="23"/>
          <w:szCs w:val="23"/>
          <w:highlight w:val="none"/>
        </w:rPr>
        <w:t>10.3投标人应注意采购人在技术规格中指出的工艺、材料和设备的参照品牌型号或分</w:t>
      </w:r>
    </w:p>
    <w:p w14:paraId="0980AEE8">
      <w:pPr>
        <w:spacing w:before="95" w:line="294" w:lineRule="auto"/>
        <w:ind w:left="908" w:right="92" w:firstLine="3"/>
        <w:jc w:val="both"/>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9"/>
          <w:sz w:val="23"/>
          <w:szCs w:val="23"/>
          <w:highlight w:val="none"/>
        </w:rPr>
        <w:t>类号仅起说明作用，并没有任何限制性。投标人在投标中可以选用替代牌号或分类号，但这些替代要实质上相当于技术规格的要求。采购人、采购代理机构承诺</w:t>
      </w:r>
      <w:r>
        <w:rPr>
          <w:rFonts w:ascii="方正仿宋_GBK" w:hAnsi="方正仿宋_GBK" w:eastAsia="方正仿宋_GBK" w:cs="方正仿宋_GBK"/>
          <w:spacing w:val="8"/>
          <w:sz w:val="23"/>
          <w:szCs w:val="23"/>
          <w:highlight w:val="none"/>
        </w:rPr>
        <w:t>不以上述参照品牌型号或分类号作为评标时判定其投标是否有效的标准。</w:t>
      </w:r>
    </w:p>
    <w:p w14:paraId="12502330">
      <w:pPr>
        <w:pStyle w:val="7"/>
        <w:spacing w:line="304" w:lineRule="auto"/>
        <w:rPr>
          <w:highlight w:val="none"/>
        </w:rPr>
      </w:pPr>
    </w:p>
    <w:p w14:paraId="264F8EE6">
      <w:pPr>
        <w:spacing w:before="103" w:line="233" w:lineRule="auto"/>
        <w:ind w:left="9"/>
        <w:outlineLvl w:val="1"/>
        <w:rPr>
          <w:rFonts w:ascii="方正仿宋_GBK" w:hAnsi="方正仿宋_GBK" w:eastAsia="方正仿宋_GBK" w:cs="方正仿宋_GBK"/>
          <w:sz w:val="28"/>
          <w:szCs w:val="28"/>
          <w:highlight w:val="none"/>
        </w:rPr>
      </w:pPr>
      <w:r>
        <w:rPr>
          <w:rFonts w:ascii="方正仿宋_GBK" w:hAnsi="方正仿宋_GBK" w:eastAsia="方正仿宋_GBK" w:cs="方正仿宋_GBK"/>
          <w:b/>
          <w:bCs/>
          <w:spacing w:val="-19"/>
          <w:sz w:val="28"/>
          <w:szCs w:val="28"/>
          <w:highlight w:val="none"/>
        </w:rPr>
        <w:t>11.投标报价</w:t>
      </w:r>
    </w:p>
    <w:p w14:paraId="0A95C043">
      <w:pPr>
        <w:spacing w:before="60" w:line="293" w:lineRule="auto"/>
        <w:ind w:left="905" w:hanging="899"/>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2"/>
          <w:sz w:val="23"/>
          <w:szCs w:val="23"/>
          <w:highlight w:val="none"/>
        </w:rPr>
        <w:t>11.1所有投标均以人民币报价。投标人的投标报价应遵守《中华人民共和国价格法》。</w:t>
      </w:r>
      <w:r>
        <w:rPr>
          <w:rFonts w:ascii="方正仿宋_GBK" w:hAnsi="方正仿宋_GBK" w:eastAsia="方正仿宋_GBK" w:cs="方正仿宋_GBK"/>
          <w:spacing w:val="6"/>
          <w:sz w:val="23"/>
          <w:szCs w:val="23"/>
          <w:highlight w:val="none"/>
        </w:rPr>
        <w:t>同时，根据《中华人民共和国政府采购法》第二条的规定，为保证公平竞争，如</w:t>
      </w:r>
      <w:r>
        <w:rPr>
          <w:rFonts w:ascii="方正仿宋_GBK" w:hAnsi="方正仿宋_GBK" w:eastAsia="方正仿宋_GBK" w:cs="方正仿宋_GBK"/>
          <w:spacing w:val="8"/>
          <w:sz w:val="23"/>
          <w:szCs w:val="23"/>
          <w:highlight w:val="none"/>
        </w:rPr>
        <w:t>有货物主体部分的赠与行为，其投标将被认定为</w:t>
      </w:r>
      <w:r>
        <w:rPr>
          <w:rFonts w:ascii="方正仿宋_GBK" w:hAnsi="方正仿宋_GBK" w:eastAsia="方正仿宋_GBK" w:cs="方正仿宋_GBK"/>
          <w:b/>
          <w:bCs/>
          <w:spacing w:val="8"/>
          <w:sz w:val="23"/>
          <w:szCs w:val="23"/>
          <w:highlight w:val="none"/>
        </w:rPr>
        <w:t>投标无效</w:t>
      </w:r>
      <w:r>
        <w:rPr>
          <w:rFonts w:ascii="方正仿宋_GBK" w:hAnsi="方正仿宋_GBK" w:eastAsia="方正仿宋_GBK" w:cs="方正仿宋_GBK"/>
          <w:spacing w:val="8"/>
          <w:sz w:val="23"/>
          <w:szCs w:val="23"/>
          <w:highlight w:val="none"/>
        </w:rPr>
        <w:t>。</w:t>
      </w:r>
    </w:p>
    <w:p w14:paraId="34347084">
      <w:pPr>
        <w:spacing w:before="26" w:line="291" w:lineRule="auto"/>
        <w:ind w:left="905" w:right="17" w:hanging="899"/>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4"/>
          <w:sz w:val="23"/>
          <w:szCs w:val="23"/>
          <w:highlight w:val="none"/>
        </w:rPr>
        <w:t>11.2投标人应在投标分项报价表上标明投标货物及相关服务的单价（如适用）和总价，</w:t>
      </w:r>
      <w:r>
        <w:rPr>
          <w:rFonts w:ascii="方正仿宋_GBK" w:hAnsi="方正仿宋_GBK" w:eastAsia="方正仿宋_GBK" w:cs="方正仿宋_GBK"/>
          <w:spacing w:val="6"/>
          <w:sz w:val="23"/>
          <w:szCs w:val="23"/>
          <w:highlight w:val="none"/>
        </w:rPr>
        <w:t>并由法定代表人或其授权代表签署。</w:t>
      </w:r>
    </w:p>
    <w:p w14:paraId="7B1402CB">
      <w:pPr>
        <w:spacing w:before="25" w:line="239" w:lineRule="auto"/>
        <w:ind w:left="6"/>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2"/>
          <w:sz w:val="23"/>
          <w:szCs w:val="23"/>
          <w:highlight w:val="none"/>
        </w:rPr>
        <w:t>11.3投标分项报价表上的价格应按下列方式填写：</w:t>
      </w:r>
    </w:p>
    <w:p w14:paraId="4B4961F9">
      <w:pPr>
        <w:spacing w:before="84" w:line="293" w:lineRule="auto"/>
        <w:ind w:left="901" w:right="90" w:hanging="895"/>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7"/>
          <w:sz w:val="23"/>
          <w:szCs w:val="23"/>
          <w:highlight w:val="none"/>
        </w:rPr>
        <w:t>11.3.1投标货物（包括备品备件、专用工具等）的出厂</w:t>
      </w:r>
      <w:r>
        <w:rPr>
          <w:rFonts w:ascii="方正仿宋_GBK" w:hAnsi="方正仿宋_GBK" w:eastAsia="方正仿宋_GBK" w:cs="方正仿宋_GBK"/>
          <w:spacing w:val="6"/>
          <w:sz w:val="23"/>
          <w:szCs w:val="23"/>
          <w:highlight w:val="none"/>
        </w:rPr>
        <w:t>价（包括已在中国国内的进口货</w:t>
      </w:r>
      <w:r>
        <w:rPr>
          <w:rFonts w:ascii="方正仿宋_GBK" w:hAnsi="方正仿宋_GBK" w:eastAsia="方正仿宋_GBK" w:cs="方正仿宋_GBK"/>
          <w:spacing w:val="10"/>
          <w:sz w:val="23"/>
          <w:szCs w:val="23"/>
          <w:highlight w:val="none"/>
        </w:rPr>
        <w:t>物完税后的仓库交货价、展室交货价或货架交货价），投标</w:t>
      </w:r>
      <w:r>
        <w:rPr>
          <w:rFonts w:ascii="方正仿宋_GBK" w:hAnsi="方正仿宋_GBK" w:eastAsia="方正仿宋_GBK" w:cs="方正仿宋_GBK"/>
          <w:spacing w:val="9"/>
          <w:sz w:val="23"/>
          <w:szCs w:val="23"/>
          <w:highlight w:val="none"/>
        </w:rPr>
        <w:t>货物安装、调试、检</w:t>
      </w:r>
      <w:r>
        <w:rPr>
          <w:rFonts w:ascii="方正仿宋_GBK" w:hAnsi="方正仿宋_GBK" w:eastAsia="方正仿宋_GBK" w:cs="方正仿宋_GBK"/>
          <w:spacing w:val="5"/>
          <w:sz w:val="23"/>
          <w:szCs w:val="23"/>
          <w:highlight w:val="none"/>
        </w:rPr>
        <w:t>验、技术服务和培训等费用；</w:t>
      </w:r>
    </w:p>
    <w:p w14:paraId="1B7602DB">
      <w:pPr>
        <w:spacing w:before="29" w:line="241" w:lineRule="auto"/>
        <w:ind w:left="6"/>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3"/>
          <w:sz w:val="23"/>
          <w:szCs w:val="23"/>
          <w:highlight w:val="none"/>
        </w:rPr>
        <w:t>11.3.2货物运至最终目的地的运输费和</w:t>
      </w:r>
      <w:r>
        <w:rPr>
          <w:rFonts w:ascii="方正仿宋_GBK" w:hAnsi="方正仿宋_GBK" w:eastAsia="方正仿宋_GBK" w:cs="方正仿宋_GBK"/>
          <w:spacing w:val="2"/>
          <w:sz w:val="23"/>
          <w:szCs w:val="23"/>
          <w:highlight w:val="none"/>
        </w:rPr>
        <w:t>保险费用。</w:t>
      </w:r>
    </w:p>
    <w:p w14:paraId="4E589573">
      <w:pPr>
        <w:spacing w:before="29" w:line="241" w:lineRule="auto"/>
        <w:ind w:left="6"/>
        <w:rPr>
          <w:rFonts w:ascii="方正仿宋_GBK" w:hAnsi="方正仿宋_GBK" w:eastAsia="方正仿宋_GBK" w:cs="方正仿宋_GBK"/>
          <w:spacing w:val="3"/>
          <w:sz w:val="23"/>
          <w:szCs w:val="23"/>
          <w:highlight w:val="none"/>
        </w:rPr>
      </w:pPr>
      <w:r>
        <w:rPr>
          <w:rFonts w:ascii="方正仿宋_GBK" w:hAnsi="方正仿宋_GBK" w:eastAsia="方正仿宋_GBK" w:cs="方正仿宋_GBK"/>
          <w:spacing w:val="3"/>
          <w:sz w:val="23"/>
          <w:szCs w:val="23"/>
          <w:highlight w:val="none"/>
        </w:rPr>
        <w:t>11.4投标人所报的各分项投标单价在合同履行过程中是固定不变的，不得以任何理由</w:t>
      </w:r>
    </w:p>
    <w:p w14:paraId="3F5E7F14">
      <w:pPr>
        <w:spacing w:before="29" w:line="241" w:lineRule="auto"/>
        <w:ind w:left="6" w:firstLine="708" w:firstLineChars="300"/>
        <w:rPr>
          <w:rFonts w:ascii="方正仿宋_GBK" w:hAnsi="方正仿宋_GBK" w:eastAsia="方正仿宋_GBK" w:cs="方正仿宋_GBK"/>
          <w:spacing w:val="3"/>
          <w:sz w:val="23"/>
          <w:szCs w:val="23"/>
          <w:highlight w:val="none"/>
        </w:rPr>
      </w:pPr>
      <w:r>
        <w:rPr>
          <w:rFonts w:ascii="方正仿宋_GBK" w:hAnsi="方正仿宋_GBK" w:eastAsia="方正仿宋_GBK" w:cs="方正仿宋_GBK"/>
          <w:spacing w:val="3"/>
          <w:sz w:val="23"/>
          <w:szCs w:val="23"/>
          <w:highlight w:val="none"/>
        </w:rPr>
        <w:t>予以变更。任何包含价格调整要求的投标，其投标将被认定为投标无效。</w:t>
      </w:r>
    </w:p>
    <w:p w14:paraId="37D14C54">
      <w:pPr>
        <w:spacing w:before="29" w:line="241" w:lineRule="auto"/>
        <w:ind w:left="6"/>
        <w:rPr>
          <w:rFonts w:ascii="方正仿宋_GBK" w:hAnsi="方正仿宋_GBK" w:eastAsia="方正仿宋_GBK" w:cs="方正仿宋_GBK"/>
          <w:spacing w:val="5"/>
          <w:sz w:val="23"/>
          <w:szCs w:val="23"/>
          <w:highlight w:val="none"/>
        </w:rPr>
      </w:pPr>
      <w:r>
        <w:rPr>
          <w:rFonts w:ascii="方正仿宋_GBK" w:hAnsi="方正仿宋_GBK" w:eastAsia="方正仿宋_GBK" w:cs="方正仿宋_GBK"/>
          <w:spacing w:val="5"/>
          <w:sz w:val="23"/>
          <w:szCs w:val="23"/>
          <w:highlight w:val="none"/>
        </w:rPr>
        <w:t>11.5每种货物只能有一个投标报价。采购人不接受具有附加条件的报价。</w:t>
      </w:r>
      <w:bookmarkStart w:id="23" w:name="bookmark12"/>
      <w:bookmarkEnd w:id="23"/>
      <w:bookmarkStart w:id="24" w:name="bookmark13"/>
      <w:bookmarkEnd w:id="24"/>
    </w:p>
    <w:p w14:paraId="5DC4D3CD">
      <w:pPr>
        <w:spacing w:before="85" w:line="292" w:lineRule="auto"/>
        <w:ind w:left="6" w:right="847" w:firstLine="910"/>
        <w:rPr>
          <w:rFonts w:ascii="方正仿宋_GBK" w:hAnsi="方正仿宋_GBK" w:eastAsia="方正仿宋_GBK" w:cs="方正仿宋_GBK"/>
          <w:spacing w:val="5"/>
          <w:sz w:val="23"/>
          <w:szCs w:val="23"/>
          <w:highlight w:val="none"/>
        </w:rPr>
      </w:pPr>
    </w:p>
    <w:p w14:paraId="32524CA2">
      <w:pPr>
        <w:spacing w:before="85" w:line="292" w:lineRule="auto"/>
        <w:ind w:right="847"/>
        <w:rPr>
          <w:rFonts w:ascii="方正仿宋_GBK" w:hAnsi="方正仿宋_GBK" w:eastAsia="方正仿宋_GBK" w:cs="方正仿宋_GBK"/>
          <w:sz w:val="28"/>
          <w:szCs w:val="28"/>
          <w:highlight w:val="none"/>
        </w:rPr>
      </w:pPr>
      <w:r>
        <w:rPr>
          <w:rFonts w:ascii="方正仿宋_GBK" w:hAnsi="方正仿宋_GBK" w:eastAsia="方正仿宋_GBK" w:cs="方正仿宋_GBK"/>
          <w:b/>
          <w:bCs/>
          <w:spacing w:val="-11"/>
          <w:sz w:val="28"/>
          <w:szCs w:val="28"/>
          <w:highlight w:val="none"/>
        </w:rPr>
        <w:t>12.投标保证金</w:t>
      </w:r>
    </w:p>
    <w:p w14:paraId="31709A4F">
      <w:pPr>
        <w:spacing w:before="59" w:line="290" w:lineRule="auto"/>
        <w:ind w:right="129"/>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6"/>
          <w:sz w:val="23"/>
          <w:szCs w:val="23"/>
          <w:highlight w:val="none"/>
        </w:rPr>
        <w:t>12.1投标人应提交</w:t>
      </w:r>
      <w:r>
        <w:rPr>
          <w:rFonts w:ascii="方正仿宋_GBK" w:hAnsi="方正仿宋_GBK" w:eastAsia="方正仿宋_GBK" w:cs="方正仿宋_GBK"/>
          <w:spacing w:val="6"/>
          <w:sz w:val="23"/>
          <w:szCs w:val="23"/>
          <w:highlight w:val="none"/>
          <w:u w:val="single" w:color="auto"/>
        </w:rPr>
        <w:t>投标人须知资料表</w:t>
      </w:r>
      <w:r>
        <w:rPr>
          <w:rFonts w:ascii="方正仿宋_GBK" w:hAnsi="方正仿宋_GBK" w:eastAsia="方正仿宋_GBK" w:cs="方正仿宋_GBK"/>
          <w:spacing w:val="6"/>
          <w:sz w:val="23"/>
          <w:szCs w:val="23"/>
          <w:highlight w:val="none"/>
        </w:rPr>
        <w:t>中规定的投标保证金，并作为其投标的一部分。</w:t>
      </w:r>
      <w:r>
        <w:rPr>
          <w:rFonts w:ascii="方正仿宋_GBK" w:hAnsi="方正仿宋_GBK" w:eastAsia="方正仿宋_GBK" w:cs="方正仿宋_GBK"/>
          <w:spacing w:val="4"/>
          <w:sz w:val="23"/>
          <w:szCs w:val="23"/>
          <w:highlight w:val="none"/>
        </w:rPr>
        <w:t>12.2投标人存在下列情形的，投标保证金不予退还：</w:t>
      </w:r>
    </w:p>
    <w:p w14:paraId="47C89AAE">
      <w:pPr>
        <w:spacing w:before="25" w:line="237" w:lineRule="auto"/>
        <w:ind w:left="755"/>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5"/>
          <w:sz w:val="23"/>
          <w:szCs w:val="23"/>
          <w:highlight w:val="none"/>
        </w:rPr>
        <w:t>（1）在投标有效期内，撤销投标的；</w:t>
      </w:r>
    </w:p>
    <w:p w14:paraId="68E0EE7A">
      <w:pPr>
        <w:spacing w:before="87" w:line="237" w:lineRule="auto"/>
        <w:ind w:left="755"/>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6"/>
          <w:sz w:val="23"/>
          <w:szCs w:val="23"/>
          <w:highlight w:val="none"/>
        </w:rPr>
        <w:t>（2）中标后不按本须知第30条的规定与采</w:t>
      </w:r>
      <w:r>
        <w:rPr>
          <w:rFonts w:ascii="方正仿宋_GBK" w:hAnsi="方正仿宋_GBK" w:eastAsia="方正仿宋_GBK" w:cs="方正仿宋_GBK"/>
          <w:spacing w:val="5"/>
          <w:sz w:val="23"/>
          <w:szCs w:val="23"/>
          <w:highlight w:val="none"/>
        </w:rPr>
        <w:t>购人签订合同的；</w:t>
      </w:r>
    </w:p>
    <w:p w14:paraId="0F5B5AAE">
      <w:pPr>
        <w:spacing w:before="87" w:line="237" w:lineRule="auto"/>
        <w:ind w:left="755"/>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4"/>
          <w:sz w:val="23"/>
          <w:szCs w:val="23"/>
          <w:highlight w:val="none"/>
        </w:rPr>
        <w:t>（3）中标后不按本须知第31条的规定提交履约保证金的；</w:t>
      </w:r>
    </w:p>
    <w:p w14:paraId="28BE6C67">
      <w:pPr>
        <w:spacing w:before="88" w:line="237" w:lineRule="auto"/>
        <w:ind w:left="755"/>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5"/>
          <w:sz w:val="23"/>
          <w:szCs w:val="23"/>
          <w:highlight w:val="none"/>
        </w:rPr>
        <w:t>（4）中标后不按本须知第32条的规定缴纳中标服务费的；</w:t>
      </w:r>
    </w:p>
    <w:p w14:paraId="77CA2374">
      <w:pPr>
        <w:spacing w:before="88" w:line="239" w:lineRule="auto"/>
        <w:ind w:left="755"/>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7"/>
          <w:sz w:val="23"/>
          <w:szCs w:val="23"/>
          <w:highlight w:val="none"/>
        </w:rPr>
        <w:t>（5）存在其他违法违规行为的。</w:t>
      </w:r>
    </w:p>
    <w:p w14:paraId="6CD6B8AD">
      <w:pPr>
        <w:spacing w:before="85" w:line="292" w:lineRule="auto"/>
        <w:ind w:left="890" w:right="87" w:hanging="891"/>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9"/>
          <w:sz w:val="23"/>
          <w:szCs w:val="23"/>
          <w:highlight w:val="none"/>
        </w:rPr>
        <w:t>12.3政府采购信用担保试点范围内的项目，接受符合财政部门规定的政府采购</w:t>
      </w:r>
      <w:r>
        <w:rPr>
          <w:rFonts w:ascii="方正仿宋_GBK" w:hAnsi="方正仿宋_GBK" w:eastAsia="方正仿宋_GBK" w:cs="方正仿宋_GBK"/>
          <w:spacing w:val="8"/>
          <w:sz w:val="23"/>
          <w:szCs w:val="23"/>
          <w:highlight w:val="none"/>
        </w:rPr>
        <w:t>投标担</w:t>
      </w:r>
      <w:r>
        <w:rPr>
          <w:rFonts w:ascii="方正仿宋_GBK" w:hAnsi="方正仿宋_GBK" w:eastAsia="方正仿宋_GBK" w:cs="方正仿宋_GBK"/>
          <w:spacing w:val="1"/>
          <w:sz w:val="23"/>
          <w:szCs w:val="23"/>
          <w:highlight w:val="none"/>
        </w:rPr>
        <w:t>保函原件。</w:t>
      </w:r>
    </w:p>
    <w:p w14:paraId="3A4D5EBD">
      <w:pPr>
        <w:spacing w:before="23" w:line="290"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2"/>
          <w:sz w:val="23"/>
          <w:szCs w:val="23"/>
          <w:highlight w:val="none"/>
        </w:rPr>
        <w:t>12.4投标人未按本须知第12.1条规定提交投标保证金的，其投标将被认定为</w:t>
      </w:r>
      <w:r>
        <w:rPr>
          <w:rFonts w:ascii="方正仿宋_GBK" w:hAnsi="方正仿宋_GBK" w:eastAsia="方正仿宋_GBK" w:cs="方正仿宋_GBK"/>
          <w:b/>
          <w:bCs/>
          <w:spacing w:val="2"/>
          <w:sz w:val="23"/>
          <w:szCs w:val="23"/>
          <w:highlight w:val="none"/>
        </w:rPr>
        <w:t>投标无效</w:t>
      </w:r>
      <w:r>
        <w:rPr>
          <w:rFonts w:ascii="方正仿宋_GBK" w:hAnsi="方正仿宋_GBK" w:eastAsia="方正仿宋_GBK" w:cs="方正仿宋_GBK"/>
          <w:spacing w:val="2"/>
          <w:sz w:val="23"/>
          <w:szCs w:val="23"/>
          <w:highlight w:val="none"/>
        </w:rPr>
        <w:t>。</w:t>
      </w:r>
      <w:r>
        <w:rPr>
          <w:rFonts w:ascii="方正仿宋_GBK" w:hAnsi="方正仿宋_GBK" w:eastAsia="方正仿宋_GBK" w:cs="方正仿宋_GBK"/>
          <w:spacing w:val="-2"/>
          <w:sz w:val="23"/>
          <w:szCs w:val="23"/>
          <w:highlight w:val="none"/>
        </w:rPr>
        <w:t>12.4.1采用电汇形式的，一般可以实时</w:t>
      </w:r>
      <w:r>
        <w:rPr>
          <w:rFonts w:ascii="方正仿宋_GBK" w:hAnsi="方正仿宋_GBK" w:eastAsia="方正仿宋_GBK" w:cs="方正仿宋_GBK"/>
          <w:spacing w:val="-3"/>
          <w:sz w:val="23"/>
          <w:szCs w:val="23"/>
          <w:highlight w:val="none"/>
        </w:rPr>
        <w:t>入账。</w:t>
      </w:r>
    </w:p>
    <w:p w14:paraId="5B2DC5E6">
      <w:pPr>
        <w:spacing w:before="27" w:line="296" w:lineRule="auto"/>
        <w:ind w:left="950" w:right="87" w:hanging="951"/>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12.4.2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w:t>
      </w:r>
      <w:r>
        <w:rPr>
          <w:rFonts w:ascii="方正仿宋_GBK" w:hAnsi="方正仿宋_GBK" w:eastAsia="方正仿宋_GBK" w:cs="方正仿宋_GBK"/>
          <w:spacing w:val="7"/>
          <w:sz w:val="23"/>
          <w:szCs w:val="23"/>
          <w:highlight w:val="none"/>
        </w:rPr>
        <w:t>损、折叠、胶装等</w:t>
      </w:r>
      <w:r>
        <w:rPr>
          <w:rFonts w:ascii="方正仿宋_GBK" w:hAnsi="方正仿宋_GBK" w:eastAsia="方正仿宋_GBK" w:cs="方正仿宋_GBK"/>
          <w:spacing w:val="10"/>
          <w:sz w:val="23"/>
          <w:szCs w:val="23"/>
          <w:highlight w:val="none"/>
        </w:rPr>
        <w:t>），</w:t>
      </w:r>
      <w:r>
        <w:rPr>
          <w:rFonts w:ascii="方正仿宋_GBK" w:hAnsi="方正仿宋_GBK" w:eastAsia="方正仿宋_GBK" w:cs="方正仿宋_GBK"/>
          <w:spacing w:val="7"/>
          <w:sz w:val="23"/>
          <w:szCs w:val="23"/>
          <w:highlight w:val="none"/>
        </w:rPr>
        <w:t>导致投标保证金不能按时进入指定账户的</w:t>
      </w:r>
      <w:r>
        <w:rPr>
          <w:rFonts w:ascii="方正仿宋_GBK" w:hAnsi="方正仿宋_GBK" w:eastAsia="方正仿宋_GBK" w:cs="方正仿宋_GBK"/>
          <w:spacing w:val="6"/>
          <w:sz w:val="23"/>
          <w:szCs w:val="23"/>
          <w:highlight w:val="none"/>
        </w:rPr>
        <w:t>，将按照招标文</w:t>
      </w:r>
      <w:r>
        <w:rPr>
          <w:rFonts w:ascii="方正仿宋_GBK" w:hAnsi="方正仿宋_GBK" w:eastAsia="方正仿宋_GBK" w:cs="方正仿宋_GBK"/>
          <w:spacing w:val="3"/>
          <w:sz w:val="23"/>
          <w:szCs w:val="23"/>
          <w:highlight w:val="none"/>
        </w:rPr>
        <w:t>件的第22.2条相关规定处理。</w:t>
      </w:r>
    </w:p>
    <w:p w14:paraId="337FCF83">
      <w:pPr>
        <w:spacing w:before="25" w:line="290" w:lineRule="auto"/>
        <w:ind w:left="894" w:right="87" w:hanging="894"/>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6"/>
          <w:sz w:val="23"/>
          <w:szCs w:val="23"/>
          <w:highlight w:val="none"/>
        </w:rPr>
        <w:t>12.5联合体投标的，可以由联合体中的一方或者共同提交投标保证金。以一方名义提交</w:t>
      </w:r>
      <w:r>
        <w:rPr>
          <w:rFonts w:ascii="方正仿宋_GBK" w:hAnsi="方正仿宋_GBK" w:eastAsia="方正仿宋_GBK" w:cs="方正仿宋_GBK"/>
          <w:spacing w:val="7"/>
          <w:sz w:val="23"/>
          <w:szCs w:val="23"/>
          <w:highlight w:val="none"/>
        </w:rPr>
        <w:t>投标保证金的，对联合体各方均具有约束力。</w:t>
      </w:r>
    </w:p>
    <w:p w14:paraId="583B4A08">
      <w:pPr>
        <w:spacing w:before="26" w:line="241"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2"/>
          <w:sz w:val="23"/>
          <w:szCs w:val="23"/>
          <w:highlight w:val="none"/>
        </w:rPr>
        <w:t>12.6投标保证金的退还</w:t>
      </w:r>
    </w:p>
    <w:p w14:paraId="37741949">
      <w:pPr>
        <w:spacing w:before="83" w:line="237"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6"/>
          <w:sz w:val="23"/>
          <w:szCs w:val="23"/>
          <w:highlight w:val="none"/>
        </w:rPr>
        <w:t>12.6.1中标人应在与采购人签订合同之日起5个工作日内，及时联系保证金收受机构办</w:t>
      </w:r>
    </w:p>
    <w:p w14:paraId="2C41D87F">
      <w:pPr>
        <w:spacing w:before="87"/>
        <w:ind w:left="894"/>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6"/>
          <w:sz w:val="23"/>
          <w:szCs w:val="23"/>
          <w:highlight w:val="none"/>
        </w:rPr>
        <w:t>理投标保证金无息退还手续。</w:t>
      </w:r>
    </w:p>
    <w:p w14:paraId="548EBF1F">
      <w:pPr>
        <w:spacing w:before="83" w:line="295" w:lineRule="auto"/>
        <w:ind w:left="958" w:right="87" w:hanging="958"/>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12.6.2未中标投标人的投标保证金将在中标通知书发出之日暨中标结果公告公布之日起</w:t>
      </w:r>
      <w:r>
        <w:rPr>
          <w:rFonts w:ascii="方正仿宋_GBK" w:hAnsi="方正仿宋_GBK" w:eastAsia="方正仿宋_GBK" w:cs="方正仿宋_GBK"/>
          <w:spacing w:val="9"/>
          <w:sz w:val="23"/>
          <w:szCs w:val="23"/>
          <w:highlight w:val="none"/>
        </w:rPr>
        <w:t>5个工作日内无息退还。投标人应及时联系保证金收受机构办理退还投标保证金</w:t>
      </w:r>
      <w:r>
        <w:rPr>
          <w:rFonts w:ascii="方正仿宋_GBK" w:hAnsi="方正仿宋_GBK" w:eastAsia="方正仿宋_GBK" w:cs="方正仿宋_GBK"/>
          <w:spacing w:val="-5"/>
          <w:sz w:val="23"/>
          <w:szCs w:val="23"/>
          <w:highlight w:val="none"/>
        </w:rPr>
        <w:t>手续。</w:t>
      </w:r>
    </w:p>
    <w:p w14:paraId="6E21B8A6">
      <w:pPr>
        <w:spacing w:before="21"/>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3"/>
          <w:sz w:val="23"/>
          <w:szCs w:val="23"/>
          <w:highlight w:val="none"/>
        </w:rPr>
        <w:t>12.6.3政府采购投标担保函不予退回。</w:t>
      </w:r>
    </w:p>
    <w:p w14:paraId="7F2406E9">
      <w:pPr>
        <w:spacing w:before="83" w:line="236"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7"/>
          <w:sz w:val="23"/>
          <w:szCs w:val="23"/>
          <w:highlight w:val="none"/>
        </w:rPr>
        <w:t>12.7因投标人自身原因导致无法及时退还的，采购人或采购代理机</w:t>
      </w:r>
      <w:r>
        <w:rPr>
          <w:rFonts w:ascii="方正仿宋_GBK" w:hAnsi="方正仿宋_GBK" w:eastAsia="方正仿宋_GBK" w:cs="方正仿宋_GBK"/>
          <w:spacing w:val="6"/>
          <w:sz w:val="23"/>
          <w:szCs w:val="23"/>
          <w:highlight w:val="none"/>
        </w:rPr>
        <w:t>构将不承担相应责</w:t>
      </w:r>
    </w:p>
    <w:p w14:paraId="3A41504D">
      <w:pPr>
        <w:spacing w:before="89" w:line="344" w:lineRule="exact"/>
        <w:ind w:left="956"/>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7"/>
          <w:position w:val="2"/>
          <w:sz w:val="23"/>
          <w:szCs w:val="23"/>
          <w:highlight w:val="none"/>
        </w:rPr>
        <w:t>任。</w:t>
      </w:r>
    </w:p>
    <w:p w14:paraId="6DA5A4DB">
      <w:pPr>
        <w:pStyle w:val="7"/>
        <w:spacing w:line="356" w:lineRule="auto"/>
        <w:rPr>
          <w:highlight w:val="none"/>
        </w:rPr>
      </w:pPr>
    </w:p>
    <w:p w14:paraId="6DE01A45">
      <w:pPr>
        <w:spacing w:before="103" w:line="233" w:lineRule="auto"/>
        <w:ind w:left="3"/>
        <w:outlineLvl w:val="1"/>
        <w:rPr>
          <w:rFonts w:ascii="方正仿宋_GBK" w:hAnsi="方正仿宋_GBK" w:eastAsia="方正仿宋_GBK" w:cs="方正仿宋_GBK"/>
          <w:sz w:val="28"/>
          <w:szCs w:val="28"/>
          <w:highlight w:val="none"/>
        </w:rPr>
      </w:pPr>
      <w:r>
        <w:rPr>
          <w:rFonts w:ascii="方正仿宋_GBK" w:hAnsi="方正仿宋_GBK" w:eastAsia="方正仿宋_GBK" w:cs="方正仿宋_GBK"/>
          <w:b/>
          <w:bCs/>
          <w:spacing w:val="-11"/>
          <w:sz w:val="28"/>
          <w:szCs w:val="28"/>
          <w:highlight w:val="none"/>
        </w:rPr>
        <w:t>13.投标有效期</w:t>
      </w:r>
    </w:p>
    <w:p w14:paraId="034858E4">
      <w:pPr>
        <w:spacing w:before="59" w:line="290" w:lineRule="auto"/>
        <w:ind w:left="890" w:right="85" w:hanging="891"/>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7"/>
          <w:sz w:val="23"/>
          <w:szCs w:val="23"/>
          <w:highlight w:val="none"/>
        </w:rPr>
        <w:t>13.1投标应在</w:t>
      </w:r>
      <w:r>
        <w:rPr>
          <w:rFonts w:ascii="方正仿宋_GBK" w:hAnsi="方正仿宋_GBK" w:eastAsia="方正仿宋_GBK" w:cs="方正仿宋_GBK"/>
          <w:spacing w:val="7"/>
          <w:sz w:val="23"/>
          <w:szCs w:val="23"/>
          <w:highlight w:val="none"/>
          <w:u w:val="single" w:color="auto"/>
        </w:rPr>
        <w:t>投标人须知资料表</w:t>
      </w:r>
      <w:r>
        <w:rPr>
          <w:rFonts w:ascii="方正仿宋_GBK" w:hAnsi="方正仿宋_GBK" w:eastAsia="方正仿宋_GBK" w:cs="方正仿宋_GBK"/>
          <w:spacing w:val="7"/>
          <w:sz w:val="23"/>
          <w:szCs w:val="23"/>
          <w:highlight w:val="none"/>
        </w:rPr>
        <w:t>中规定时间内保持有效。投标有效期不满足要求的投</w:t>
      </w:r>
      <w:r>
        <w:rPr>
          <w:rFonts w:ascii="方正仿宋_GBK" w:hAnsi="方正仿宋_GBK" w:eastAsia="方正仿宋_GBK" w:cs="方正仿宋_GBK"/>
          <w:spacing w:val="8"/>
          <w:sz w:val="23"/>
          <w:szCs w:val="23"/>
          <w:highlight w:val="none"/>
        </w:rPr>
        <w:t>标，其投标将被认定为</w:t>
      </w:r>
      <w:r>
        <w:rPr>
          <w:rFonts w:ascii="方正仿宋_GBK" w:hAnsi="方正仿宋_GBK" w:eastAsia="方正仿宋_GBK" w:cs="方正仿宋_GBK"/>
          <w:b/>
          <w:bCs/>
          <w:spacing w:val="8"/>
          <w:sz w:val="23"/>
          <w:szCs w:val="23"/>
          <w:highlight w:val="none"/>
        </w:rPr>
        <w:t>投标无效</w:t>
      </w:r>
      <w:r>
        <w:rPr>
          <w:rFonts w:ascii="方正仿宋_GBK" w:hAnsi="方正仿宋_GBK" w:eastAsia="方正仿宋_GBK" w:cs="方正仿宋_GBK"/>
          <w:spacing w:val="8"/>
          <w:sz w:val="23"/>
          <w:szCs w:val="23"/>
          <w:highlight w:val="none"/>
        </w:rPr>
        <w:t>。</w:t>
      </w:r>
    </w:p>
    <w:p w14:paraId="48A1E96E">
      <w:pPr>
        <w:spacing w:before="59" w:line="290" w:lineRule="auto"/>
        <w:ind w:left="890" w:right="85" w:hanging="891"/>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6"/>
          <w:sz w:val="23"/>
          <w:szCs w:val="23"/>
          <w:highlight w:val="none"/>
        </w:rPr>
        <w:t>13.2</w:t>
      </w:r>
      <w:r>
        <w:rPr>
          <w:rFonts w:ascii="方正仿宋_GBK" w:hAnsi="方正仿宋_GBK" w:eastAsia="方正仿宋_GBK" w:cs="方正仿宋_GBK"/>
          <w:spacing w:val="7"/>
          <w:sz w:val="23"/>
          <w:szCs w:val="23"/>
          <w:highlight w:val="none"/>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235D2A95">
      <w:pPr>
        <w:pStyle w:val="7"/>
        <w:spacing w:line="305" w:lineRule="auto"/>
        <w:rPr>
          <w:highlight w:val="none"/>
        </w:rPr>
      </w:pPr>
    </w:p>
    <w:p w14:paraId="74D2E491">
      <w:pPr>
        <w:spacing w:before="102" w:line="233" w:lineRule="auto"/>
        <w:ind w:left="3"/>
        <w:outlineLvl w:val="1"/>
        <w:rPr>
          <w:rFonts w:ascii="方正仿宋_GBK" w:hAnsi="方正仿宋_GBK" w:eastAsia="方正仿宋_GBK" w:cs="方正仿宋_GBK"/>
          <w:sz w:val="28"/>
          <w:szCs w:val="28"/>
          <w:highlight w:val="none"/>
        </w:rPr>
      </w:pPr>
      <w:bookmarkStart w:id="25" w:name="bookmark15"/>
      <w:bookmarkEnd w:id="25"/>
      <w:bookmarkStart w:id="26" w:name="bookmark14"/>
      <w:bookmarkEnd w:id="26"/>
      <w:r>
        <w:rPr>
          <w:rFonts w:ascii="方正仿宋_GBK" w:hAnsi="方正仿宋_GBK" w:eastAsia="方正仿宋_GBK" w:cs="方正仿宋_GBK"/>
          <w:b/>
          <w:bCs/>
          <w:spacing w:val="-7"/>
          <w:sz w:val="28"/>
          <w:szCs w:val="28"/>
          <w:highlight w:val="none"/>
        </w:rPr>
        <w:t>14.投标文件的签署及规定</w:t>
      </w:r>
    </w:p>
    <w:p w14:paraId="479EE80F">
      <w:pPr>
        <w:spacing w:before="59" w:line="290"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1"/>
          <w:sz w:val="23"/>
          <w:szCs w:val="23"/>
          <w:highlight w:val="none"/>
        </w:rPr>
        <w:t>14.1投标人应按</w:t>
      </w:r>
      <w:r>
        <w:rPr>
          <w:rFonts w:ascii="方正仿宋_GBK" w:hAnsi="方正仿宋_GBK" w:eastAsia="方正仿宋_GBK" w:cs="方正仿宋_GBK"/>
          <w:spacing w:val="1"/>
          <w:sz w:val="23"/>
          <w:szCs w:val="23"/>
          <w:highlight w:val="none"/>
          <w:u w:val="single" w:color="auto"/>
        </w:rPr>
        <w:t>投标人须知资料表</w:t>
      </w:r>
      <w:r>
        <w:rPr>
          <w:rFonts w:ascii="方正仿宋_GBK" w:hAnsi="方正仿宋_GBK" w:eastAsia="方正仿宋_GBK" w:cs="方正仿宋_GBK"/>
          <w:spacing w:val="1"/>
          <w:sz w:val="23"/>
          <w:szCs w:val="23"/>
          <w:highlight w:val="none"/>
        </w:rPr>
        <w:t>中的规定，准备和递交</w:t>
      </w:r>
      <w:r>
        <w:rPr>
          <w:rFonts w:ascii="方正仿宋_GBK" w:hAnsi="方正仿宋_GBK" w:eastAsia="方正仿宋_GBK" w:cs="方正仿宋_GBK"/>
          <w:sz w:val="23"/>
          <w:szCs w:val="23"/>
          <w:highlight w:val="none"/>
        </w:rPr>
        <w:t>投标文件正本、副本和电子文档。</w:t>
      </w:r>
      <w:r>
        <w:rPr>
          <w:rFonts w:ascii="方正仿宋_GBK" w:hAnsi="方正仿宋_GBK" w:eastAsia="方正仿宋_GBK" w:cs="方正仿宋_GBK"/>
          <w:spacing w:val="7"/>
          <w:sz w:val="23"/>
          <w:szCs w:val="23"/>
          <w:highlight w:val="none"/>
        </w:rPr>
        <w:t>14.2投标文件的正本需打印或用不褪色</w:t>
      </w:r>
      <w:r>
        <w:rPr>
          <w:rFonts w:ascii="方正仿宋_GBK" w:hAnsi="方正仿宋_GBK" w:eastAsia="方正仿宋_GBK" w:cs="方正仿宋_GBK"/>
          <w:spacing w:val="6"/>
          <w:sz w:val="23"/>
          <w:szCs w:val="23"/>
          <w:highlight w:val="none"/>
        </w:rPr>
        <w:t>墨水书写，并由投标人的法定代表人或经其正式委</w:t>
      </w:r>
    </w:p>
    <w:p w14:paraId="5D481A35">
      <w:pPr>
        <w:spacing w:before="29" w:line="296" w:lineRule="auto"/>
        <w:ind w:left="471" w:right="87" w:firstLine="2"/>
        <w:jc w:val="both"/>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2"/>
          <w:sz w:val="23"/>
          <w:szCs w:val="23"/>
          <w:highlight w:val="none"/>
        </w:rPr>
        <w:t>托代理人按招标文件规定在投标文件上签字（或盖章）并加盖单位印章。投标文件（除</w:t>
      </w:r>
      <w:r>
        <w:rPr>
          <w:rFonts w:ascii="方正仿宋_GBK" w:hAnsi="方正仿宋_GBK" w:eastAsia="方正仿宋_GBK" w:cs="方正仿宋_GBK"/>
          <w:spacing w:val="6"/>
          <w:sz w:val="23"/>
          <w:szCs w:val="23"/>
          <w:highlight w:val="none"/>
        </w:rPr>
        <w:t>封面、封底、目录、分隔页外）每页均由投标人盖</w:t>
      </w:r>
      <w:r>
        <w:rPr>
          <w:rFonts w:ascii="方正仿宋_GBK" w:hAnsi="方正仿宋_GBK" w:eastAsia="方正仿宋_GBK" w:cs="方正仿宋_GBK"/>
          <w:spacing w:val="5"/>
          <w:sz w:val="23"/>
          <w:szCs w:val="23"/>
          <w:highlight w:val="none"/>
        </w:rPr>
        <w:t>单位章，否则视为无效投标。委托</w:t>
      </w:r>
      <w:r>
        <w:rPr>
          <w:rFonts w:ascii="方正仿宋_GBK" w:hAnsi="方正仿宋_GBK" w:eastAsia="方正仿宋_GBK" w:cs="方正仿宋_GBK"/>
          <w:spacing w:val="8"/>
          <w:sz w:val="23"/>
          <w:szCs w:val="23"/>
          <w:highlight w:val="none"/>
        </w:rPr>
        <w:t>代理人须持有书面的“法定代表人授权委托书”，并将其附在投标文件中。如对投标文件进行了修改，则应由投标人的法定代表人或其委托代理人在每一修改处签字。投标文件的副本可采用正本已签字盖章的复印</w:t>
      </w:r>
      <w:r>
        <w:rPr>
          <w:rFonts w:ascii="方正仿宋_GBK" w:hAnsi="方正仿宋_GBK" w:eastAsia="方正仿宋_GBK" w:cs="方正仿宋_GBK"/>
          <w:spacing w:val="7"/>
          <w:sz w:val="23"/>
          <w:szCs w:val="23"/>
          <w:highlight w:val="none"/>
        </w:rPr>
        <w:t>件。</w:t>
      </w:r>
    </w:p>
    <w:p w14:paraId="0696B833">
      <w:pPr>
        <w:pStyle w:val="7"/>
        <w:spacing w:line="294" w:lineRule="auto"/>
        <w:rPr>
          <w:highlight w:val="none"/>
        </w:rPr>
      </w:pPr>
    </w:p>
    <w:p w14:paraId="6189F9C8">
      <w:pPr>
        <w:spacing w:before="102" w:line="233" w:lineRule="auto"/>
        <w:ind w:left="3355"/>
        <w:outlineLvl w:val="1"/>
        <w:rPr>
          <w:rFonts w:ascii="方正仿宋_GBK" w:hAnsi="方正仿宋_GBK" w:eastAsia="方正仿宋_GBK" w:cs="方正仿宋_GBK"/>
          <w:sz w:val="28"/>
          <w:szCs w:val="28"/>
          <w:highlight w:val="none"/>
        </w:rPr>
      </w:pPr>
      <w:bookmarkStart w:id="27" w:name="bookmark16"/>
      <w:bookmarkEnd w:id="27"/>
      <w:bookmarkStart w:id="28" w:name="bookmark17"/>
      <w:bookmarkEnd w:id="28"/>
      <w:r>
        <w:rPr>
          <w:rFonts w:ascii="方正仿宋_GBK" w:hAnsi="方正仿宋_GBK" w:eastAsia="方正仿宋_GBK" w:cs="方正仿宋_GBK"/>
          <w:b/>
          <w:bCs/>
          <w:spacing w:val="-11"/>
          <w:sz w:val="28"/>
          <w:szCs w:val="28"/>
          <w:highlight w:val="none"/>
        </w:rPr>
        <w:t>四投标文件的递交</w:t>
      </w:r>
    </w:p>
    <w:p w14:paraId="4A6781DC">
      <w:pPr>
        <w:spacing w:before="23" w:line="233" w:lineRule="auto"/>
        <w:ind w:left="3"/>
        <w:outlineLvl w:val="1"/>
        <w:rPr>
          <w:rFonts w:ascii="方正仿宋_GBK" w:hAnsi="方正仿宋_GBK" w:eastAsia="方正仿宋_GBK" w:cs="方正仿宋_GBK"/>
          <w:sz w:val="28"/>
          <w:szCs w:val="28"/>
          <w:highlight w:val="none"/>
        </w:rPr>
      </w:pPr>
      <w:bookmarkStart w:id="29" w:name="bookmark18"/>
      <w:bookmarkEnd w:id="29"/>
      <w:bookmarkStart w:id="30" w:name="bookmark19"/>
      <w:bookmarkEnd w:id="30"/>
      <w:r>
        <w:rPr>
          <w:rFonts w:ascii="方正仿宋_GBK" w:hAnsi="方正仿宋_GBK" w:eastAsia="方正仿宋_GBK" w:cs="方正仿宋_GBK"/>
          <w:b/>
          <w:bCs/>
          <w:spacing w:val="-7"/>
          <w:sz w:val="28"/>
          <w:szCs w:val="28"/>
          <w:highlight w:val="none"/>
        </w:rPr>
        <w:t>15.投标文件的密封和标记</w:t>
      </w:r>
    </w:p>
    <w:p w14:paraId="5B0ADA8B">
      <w:pPr>
        <w:spacing w:before="55" w:line="295" w:lineRule="auto"/>
        <w:ind w:left="635" w:right="44" w:hanging="636"/>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9"/>
          <w:sz w:val="23"/>
          <w:szCs w:val="23"/>
          <w:highlight w:val="none"/>
        </w:rPr>
        <w:t>15.1</w:t>
      </w:r>
      <w:r>
        <w:rPr>
          <w:rFonts w:ascii="方正仿宋_GBK" w:hAnsi="方正仿宋_GBK" w:eastAsia="方正仿宋_GBK" w:cs="方正仿宋_GBK"/>
          <w:b/>
          <w:bCs/>
          <w:spacing w:val="9"/>
          <w:sz w:val="23"/>
          <w:szCs w:val="23"/>
          <w:highlight w:val="none"/>
        </w:rPr>
        <w:t>依照电子交易管理规范，投标人电子投标文件经过</w:t>
      </w:r>
      <w:r>
        <w:rPr>
          <w:rFonts w:ascii="方正仿宋_GBK" w:hAnsi="方正仿宋_GBK" w:eastAsia="方正仿宋_GBK" w:cs="方正仿宋_GBK"/>
          <w:b/>
          <w:bCs/>
          <w:sz w:val="23"/>
          <w:szCs w:val="23"/>
          <w:highlight w:val="none"/>
        </w:rPr>
        <w:t>CA</w:t>
      </w:r>
      <w:r>
        <w:rPr>
          <w:rFonts w:ascii="方正仿宋_GBK" w:hAnsi="方正仿宋_GBK" w:eastAsia="方正仿宋_GBK" w:cs="方正仿宋_GBK"/>
          <w:b/>
          <w:bCs/>
          <w:spacing w:val="8"/>
          <w:sz w:val="23"/>
          <w:szCs w:val="23"/>
          <w:highlight w:val="none"/>
        </w:rPr>
        <w:t>证书加密后上传提交，不存</w:t>
      </w:r>
      <w:r>
        <w:rPr>
          <w:rFonts w:ascii="方正仿宋_GBK" w:hAnsi="方正仿宋_GBK" w:eastAsia="方正仿宋_GBK" w:cs="方正仿宋_GBK"/>
          <w:b/>
          <w:bCs/>
          <w:spacing w:val="9"/>
          <w:sz w:val="23"/>
          <w:szCs w:val="23"/>
          <w:highlight w:val="none"/>
        </w:rPr>
        <w:t>在泄密风险。（投标人应严格按照政采云电子投标流程制作并上传电子投标文件）</w:t>
      </w:r>
      <w:r>
        <w:rPr>
          <w:rFonts w:ascii="方正仿宋_GBK" w:hAnsi="方正仿宋_GBK" w:eastAsia="方正仿宋_GBK" w:cs="方正仿宋_GBK"/>
          <w:b/>
          <w:bCs/>
          <w:spacing w:val="7"/>
          <w:sz w:val="23"/>
          <w:szCs w:val="23"/>
          <w:highlight w:val="none"/>
        </w:rPr>
        <w:t>若因投标人上传的投标文件无法识别、在规定时间内无法解密等问题，投标文件将</w:t>
      </w:r>
      <w:r>
        <w:rPr>
          <w:rFonts w:ascii="方正仿宋_GBK" w:hAnsi="方正仿宋_GBK" w:eastAsia="方正仿宋_GBK" w:cs="方正仿宋_GBK"/>
          <w:b/>
          <w:bCs/>
          <w:spacing w:val="6"/>
          <w:sz w:val="23"/>
          <w:szCs w:val="23"/>
          <w:highlight w:val="none"/>
        </w:rPr>
        <w:t>被拒绝评审，由投标单位自行承担相关责任。</w:t>
      </w:r>
    </w:p>
    <w:p w14:paraId="20144F31">
      <w:pPr>
        <w:spacing w:before="29" w:line="232"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4"/>
          <w:sz w:val="23"/>
          <w:szCs w:val="23"/>
          <w:highlight w:val="none"/>
        </w:rPr>
        <w:t>15.3如果投标人未按上述要求将被拒绝接收。</w:t>
      </w:r>
    </w:p>
    <w:p w14:paraId="4A5B123A">
      <w:pPr>
        <w:spacing w:before="58" w:line="233" w:lineRule="auto"/>
        <w:ind w:left="3"/>
        <w:outlineLvl w:val="1"/>
        <w:rPr>
          <w:rFonts w:ascii="方正仿宋_GBK" w:hAnsi="方正仿宋_GBK" w:eastAsia="方正仿宋_GBK" w:cs="方正仿宋_GBK"/>
          <w:sz w:val="28"/>
          <w:szCs w:val="28"/>
          <w:highlight w:val="none"/>
        </w:rPr>
      </w:pPr>
      <w:bookmarkStart w:id="31" w:name="bookmark21"/>
      <w:bookmarkEnd w:id="31"/>
      <w:bookmarkStart w:id="32" w:name="bookmark20"/>
      <w:bookmarkEnd w:id="32"/>
      <w:r>
        <w:rPr>
          <w:rFonts w:ascii="方正仿宋_GBK" w:hAnsi="方正仿宋_GBK" w:eastAsia="方正仿宋_GBK" w:cs="方正仿宋_GBK"/>
          <w:b/>
          <w:bCs/>
          <w:spacing w:val="-12"/>
          <w:sz w:val="28"/>
          <w:szCs w:val="28"/>
          <w:highlight w:val="none"/>
        </w:rPr>
        <w:t>16.投标截止</w:t>
      </w:r>
    </w:p>
    <w:p w14:paraId="73667E3F">
      <w:pPr>
        <w:spacing w:before="59" w:line="291" w:lineRule="auto"/>
        <w:ind w:left="926" w:right="87" w:hanging="927"/>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16.1投标人应在</w:t>
      </w:r>
      <w:r>
        <w:rPr>
          <w:rFonts w:ascii="方正仿宋_GBK" w:hAnsi="方正仿宋_GBK" w:eastAsia="方正仿宋_GBK" w:cs="方正仿宋_GBK"/>
          <w:spacing w:val="8"/>
          <w:sz w:val="23"/>
          <w:szCs w:val="23"/>
          <w:highlight w:val="none"/>
          <w:u w:val="single" w:color="auto"/>
        </w:rPr>
        <w:t>投标人须知资料表中</w:t>
      </w:r>
      <w:r>
        <w:rPr>
          <w:rFonts w:ascii="方正仿宋_GBK" w:hAnsi="方正仿宋_GBK" w:eastAsia="方正仿宋_GBK" w:cs="方正仿宋_GBK"/>
          <w:spacing w:val="8"/>
          <w:sz w:val="23"/>
          <w:szCs w:val="23"/>
          <w:highlight w:val="none"/>
        </w:rPr>
        <w:t>规定的截止时间前，将投标文件递交到招标公告</w:t>
      </w:r>
      <w:r>
        <w:rPr>
          <w:rFonts w:ascii="方正仿宋_GBK" w:hAnsi="方正仿宋_GBK" w:eastAsia="方正仿宋_GBK" w:cs="方正仿宋_GBK"/>
          <w:spacing w:val="-1"/>
          <w:sz w:val="23"/>
          <w:szCs w:val="23"/>
          <w:highlight w:val="none"/>
        </w:rPr>
        <w:t>中规定的地点。</w:t>
      </w:r>
    </w:p>
    <w:p w14:paraId="2922088F">
      <w:pPr>
        <w:spacing w:before="25" w:line="294" w:lineRule="auto"/>
        <w:ind w:left="895" w:right="90" w:hanging="896"/>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16.2采购人和采购代理机构有权按本须知的规定，延迟投标截止时间。在此情况</w:t>
      </w:r>
      <w:r>
        <w:rPr>
          <w:rFonts w:ascii="方正仿宋_GBK" w:hAnsi="方正仿宋_GBK" w:eastAsia="方正仿宋_GBK" w:cs="方正仿宋_GBK"/>
          <w:spacing w:val="7"/>
          <w:sz w:val="23"/>
          <w:szCs w:val="23"/>
          <w:highlight w:val="none"/>
        </w:rPr>
        <w:t>下，</w:t>
      </w:r>
      <w:r>
        <w:rPr>
          <w:rFonts w:ascii="方正仿宋_GBK" w:hAnsi="方正仿宋_GBK" w:eastAsia="方正仿宋_GBK" w:cs="方正仿宋_GBK"/>
          <w:spacing w:val="10"/>
          <w:sz w:val="23"/>
          <w:szCs w:val="23"/>
          <w:highlight w:val="none"/>
        </w:rPr>
        <w:t>采购人、采购代理机构和投标人受投标截止时间制约的所</w:t>
      </w:r>
      <w:r>
        <w:rPr>
          <w:rFonts w:ascii="方正仿宋_GBK" w:hAnsi="方正仿宋_GBK" w:eastAsia="方正仿宋_GBK" w:cs="方正仿宋_GBK"/>
          <w:spacing w:val="9"/>
          <w:sz w:val="23"/>
          <w:szCs w:val="23"/>
          <w:highlight w:val="none"/>
        </w:rPr>
        <w:t>有权利和义务均应延长</w:t>
      </w:r>
      <w:r>
        <w:rPr>
          <w:rFonts w:ascii="方正仿宋_GBK" w:hAnsi="方正仿宋_GBK" w:eastAsia="方正仿宋_GBK" w:cs="方正仿宋_GBK"/>
          <w:spacing w:val="4"/>
          <w:sz w:val="23"/>
          <w:szCs w:val="23"/>
          <w:highlight w:val="none"/>
        </w:rPr>
        <w:t>至新的截止时间。</w:t>
      </w:r>
    </w:p>
    <w:p w14:paraId="51919D4E">
      <w:pPr>
        <w:spacing w:before="23" w:line="239"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6"/>
          <w:sz w:val="23"/>
          <w:szCs w:val="23"/>
          <w:highlight w:val="none"/>
        </w:rPr>
        <w:t>16.3采购人和采购代理机构将拒绝接收在投标截止时间后送达的投标文件。</w:t>
      </w:r>
    </w:p>
    <w:p w14:paraId="62777670">
      <w:pPr>
        <w:spacing w:before="50" w:line="231" w:lineRule="auto"/>
        <w:ind w:left="3"/>
        <w:outlineLvl w:val="1"/>
        <w:rPr>
          <w:rFonts w:ascii="方正仿宋_GBK" w:hAnsi="方正仿宋_GBK" w:eastAsia="方正仿宋_GBK" w:cs="方正仿宋_GBK"/>
          <w:sz w:val="28"/>
          <w:szCs w:val="28"/>
          <w:highlight w:val="none"/>
        </w:rPr>
      </w:pPr>
      <w:bookmarkStart w:id="33" w:name="bookmark22"/>
      <w:bookmarkEnd w:id="33"/>
      <w:bookmarkStart w:id="34" w:name="bookmark23"/>
      <w:bookmarkEnd w:id="34"/>
      <w:r>
        <w:rPr>
          <w:rFonts w:ascii="方正仿宋_GBK" w:hAnsi="方正仿宋_GBK" w:eastAsia="方正仿宋_GBK" w:cs="方正仿宋_GBK"/>
          <w:b/>
          <w:bCs/>
          <w:spacing w:val="-6"/>
          <w:sz w:val="28"/>
          <w:szCs w:val="28"/>
          <w:highlight w:val="none"/>
        </w:rPr>
        <w:t>17.投标文件的接收、修改与撤回</w:t>
      </w:r>
    </w:p>
    <w:p w14:paraId="4FAB0064">
      <w:pPr>
        <w:spacing w:before="61" w:line="238"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7"/>
          <w:sz w:val="23"/>
          <w:szCs w:val="23"/>
          <w:highlight w:val="none"/>
        </w:rPr>
        <w:t>17.1在投标截止时间后送达的投标文件的，采购人和采购代理机构将拒绝接收。</w:t>
      </w:r>
    </w:p>
    <w:p w14:paraId="2F314C4D">
      <w:pPr>
        <w:spacing w:before="87" w:line="232"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9"/>
          <w:sz w:val="23"/>
          <w:szCs w:val="23"/>
          <w:highlight w:val="none"/>
        </w:rPr>
        <w:t>17.2递交投标文件以后，如果投标人要进行修改或撤回投标，须提出书面申</w:t>
      </w:r>
      <w:r>
        <w:rPr>
          <w:rFonts w:ascii="方正仿宋_GBK" w:hAnsi="方正仿宋_GBK" w:eastAsia="方正仿宋_GBK" w:cs="方正仿宋_GBK"/>
          <w:spacing w:val="8"/>
          <w:sz w:val="23"/>
          <w:szCs w:val="23"/>
          <w:highlight w:val="none"/>
        </w:rPr>
        <w:t>请并在投</w:t>
      </w:r>
    </w:p>
    <w:p w14:paraId="5CE295CB">
      <w:pPr>
        <w:spacing w:before="95" w:line="294" w:lineRule="auto"/>
        <w:ind w:left="893" w:right="90" w:hanging="2"/>
        <w:jc w:val="both"/>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10"/>
          <w:sz w:val="23"/>
          <w:szCs w:val="23"/>
          <w:highlight w:val="none"/>
        </w:rPr>
        <w:t>标截止时间前送达开标地点，投标人对投标文件的修改或撤回通知应</w:t>
      </w:r>
      <w:r>
        <w:rPr>
          <w:rFonts w:ascii="方正仿宋_GBK" w:hAnsi="方正仿宋_GBK" w:eastAsia="方正仿宋_GBK" w:cs="方正仿宋_GBK"/>
          <w:spacing w:val="9"/>
          <w:sz w:val="23"/>
          <w:szCs w:val="23"/>
          <w:highlight w:val="none"/>
        </w:rPr>
        <w:t>按本须知规</w:t>
      </w:r>
      <w:r>
        <w:rPr>
          <w:rFonts w:ascii="方正仿宋_GBK" w:hAnsi="方正仿宋_GBK" w:eastAsia="方正仿宋_GBK" w:cs="方正仿宋_GBK"/>
          <w:spacing w:val="6"/>
          <w:sz w:val="23"/>
          <w:szCs w:val="23"/>
          <w:highlight w:val="none"/>
        </w:rPr>
        <w:t>定编制、密封、标记。采购人和采购代理机</w:t>
      </w:r>
      <w:r>
        <w:rPr>
          <w:rFonts w:ascii="方正仿宋_GBK" w:hAnsi="方正仿宋_GBK" w:eastAsia="方正仿宋_GBK" w:cs="方正仿宋_GBK"/>
          <w:spacing w:val="5"/>
          <w:sz w:val="23"/>
          <w:szCs w:val="23"/>
          <w:highlight w:val="none"/>
        </w:rPr>
        <w:t>构将予以接收，并视为投标文件的组</w:t>
      </w:r>
      <w:r>
        <w:rPr>
          <w:rFonts w:ascii="方正仿宋_GBK" w:hAnsi="方正仿宋_GBK" w:eastAsia="方正仿宋_GBK" w:cs="方正仿宋_GBK"/>
          <w:spacing w:val="-2"/>
          <w:sz w:val="23"/>
          <w:szCs w:val="23"/>
          <w:highlight w:val="none"/>
        </w:rPr>
        <w:t>成部分。</w:t>
      </w:r>
    </w:p>
    <w:p w14:paraId="4E25DB65">
      <w:pPr>
        <w:pStyle w:val="7"/>
        <w:spacing w:line="265" w:lineRule="auto"/>
        <w:rPr>
          <w:highlight w:val="none"/>
        </w:rPr>
      </w:pPr>
      <w:r>
        <w:rPr>
          <w:rFonts w:ascii="方正仿宋_GBK" w:hAnsi="方正仿宋_GBK" w:eastAsia="方正仿宋_GBK" w:cs="方正仿宋_GBK"/>
          <w:spacing w:val="9"/>
          <w:sz w:val="23"/>
          <w:szCs w:val="23"/>
          <w:highlight w:val="none"/>
        </w:rPr>
        <w:t>17.3在投标截止期之后，采购人和采购代理机构不接受投标人主动对其投标</w:t>
      </w:r>
      <w:r>
        <w:rPr>
          <w:rFonts w:ascii="方正仿宋_GBK" w:hAnsi="方正仿宋_GBK" w:eastAsia="方正仿宋_GBK" w:cs="方正仿宋_GBK"/>
          <w:spacing w:val="8"/>
          <w:sz w:val="23"/>
          <w:szCs w:val="23"/>
          <w:highlight w:val="none"/>
        </w:rPr>
        <w:t>文件做任</w:t>
      </w:r>
    </w:p>
    <w:p w14:paraId="55AF9EFD">
      <w:pPr>
        <w:spacing w:before="85" w:line="239" w:lineRule="auto"/>
        <w:ind w:left="894"/>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2"/>
          <w:sz w:val="23"/>
          <w:szCs w:val="23"/>
          <w:highlight w:val="none"/>
        </w:rPr>
        <w:t>何修改。</w:t>
      </w:r>
    </w:p>
    <w:p w14:paraId="11821369">
      <w:pPr>
        <w:spacing w:before="85" w:line="239"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5"/>
          <w:sz w:val="23"/>
          <w:szCs w:val="23"/>
          <w:highlight w:val="none"/>
        </w:rPr>
        <w:t>17.4采购人和采购代理机构对所接收投标文件概不退回。</w:t>
      </w:r>
    </w:p>
    <w:p w14:paraId="347904B0">
      <w:pPr>
        <w:pStyle w:val="7"/>
        <w:spacing w:line="365" w:lineRule="auto"/>
        <w:rPr>
          <w:highlight w:val="none"/>
        </w:rPr>
      </w:pPr>
    </w:p>
    <w:p w14:paraId="5ACC81D0">
      <w:pPr>
        <w:spacing w:before="102" w:line="233" w:lineRule="auto"/>
        <w:ind w:left="3607"/>
        <w:outlineLvl w:val="0"/>
        <w:rPr>
          <w:rFonts w:ascii="方正仿宋_GBK" w:hAnsi="方正仿宋_GBK" w:eastAsia="方正仿宋_GBK" w:cs="方正仿宋_GBK"/>
          <w:sz w:val="28"/>
          <w:szCs w:val="28"/>
          <w:highlight w:val="none"/>
        </w:rPr>
      </w:pPr>
      <w:bookmarkStart w:id="35" w:name="bookmark25"/>
      <w:bookmarkEnd w:id="35"/>
      <w:bookmarkStart w:id="36" w:name="bookmark24"/>
      <w:bookmarkEnd w:id="36"/>
      <w:r>
        <w:rPr>
          <w:rFonts w:ascii="方正仿宋_GBK" w:hAnsi="方正仿宋_GBK" w:eastAsia="方正仿宋_GBK" w:cs="方正仿宋_GBK"/>
          <w:b/>
          <w:bCs/>
          <w:spacing w:val="-9"/>
          <w:sz w:val="28"/>
          <w:szCs w:val="28"/>
          <w:highlight w:val="none"/>
        </w:rPr>
        <w:t>五开标及评标</w:t>
      </w:r>
    </w:p>
    <w:p w14:paraId="61B02418">
      <w:pPr>
        <w:pStyle w:val="7"/>
        <w:spacing w:line="278" w:lineRule="auto"/>
        <w:rPr>
          <w:highlight w:val="none"/>
        </w:rPr>
      </w:pPr>
    </w:p>
    <w:p w14:paraId="3667FFE6">
      <w:pPr>
        <w:spacing w:before="102" w:line="233" w:lineRule="auto"/>
        <w:ind w:left="3"/>
        <w:outlineLvl w:val="1"/>
        <w:rPr>
          <w:rFonts w:ascii="方正仿宋_GBK" w:hAnsi="方正仿宋_GBK" w:eastAsia="方正仿宋_GBK" w:cs="方正仿宋_GBK"/>
          <w:sz w:val="28"/>
          <w:szCs w:val="28"/>
          <w:highlight w:val="none"/>
        </w:rPr>
      </w:pPr>
      <w:r>
        <w:rPr>
          <w:rFonts w:ascii="方正仿宋_GBK" w:hAnsi="方正仿宋_GBK" w:eastAsia="方正仿宋_GBK" w:cs="方正仿宋_GBK"/>
          <w:b/>
          <w:bCs/>
          <w:spacing w:val="-19"/>
          <w:sz w:val="28"/>
          <w:szCs w:val="28"/>
          <w:highlight w:val="none"/>
        </w:rPr>
        <w:t>18.开标</w:t>
      </w:r>
    </w:p>
    <w:p w14:paraId="204B1C8C">
      <w:pPr>
        <w:spacing w:before="177" w:line="232"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7"/>
          <w:sz w:val="23"/>
          <w:szCs w:val="23"/>
          <w:highlight w:val="none"/>
        </w:rPr>
        <w:t>18.1采购人和采购代理机构将按</w:t>
      </w:r>
      <w:r>
        <w:rPr>
          <w:rFonts w:ascii="方正仿宋_GBK" w:hAnsi="方正仿宋_GBK" w:eastAsia="方正仿宋_GBK" w:cs="方正仿宋_GBK"/>
          <w:spacing w:val="7"/>
          <w:sz w:val="23"/>
          <w:szCs w:val="23"/>
          <w:highlight w:val="none"/>
          <w:u w:val="single" w:color="auto"/>
        </w:rPr>
        <w:t>投标人须知资料表</w:t>
      </w:r>
      <w:r>
        <w:rPr>
          <w:rFonts w:ascii="方正仿宋_GBK" w:hAnsi="方正仿宋_GBK" w:eastAsia="方正仿宋_GBK" w:cs="方正仿宋_GBK"/>
          <w:spacing w:val="7"/>
          <w:sz w:val="23"/>
          <w:szCs w:val="23"/>
          <w:highlight w:val="none"/>
        </w:rPr>
        <w:t>中规定的开标时间和地点</w:t>
      </w:r>
      <w:r>
        <w:rPr>
          <w:rFonts w:ascii="方正仿宋_GBK" w:hAnsi="方正仿宋_GBK" w:eastAsia="方正仿宋_GBK" w:cs="方正仿宋_GBK"/>
          <w:spacing w:val="6"/>
          <w:sz w:val="23"/>
          <w:szCs w:val="23"/>
          <w:highlight w:val="none"/>
        </w:rPr>
        <w:t>组织公开</w:t>
      </w:r>
    </w:p>
    <w:p w14:paraId="5CDFF7A1">
      <w:pPr>
        <w:spacing w:before="26" w:line="236" w:lineRule="auto"/>
        <w:rPr>
          <w:rFonts w:ascii="方正仿宋_GBK" w:hAnsi="方正仿宋_GBK" w:eastAsia="方正仿宋_GBK" w:cs="方正仿宋_GBK"/>
          <w:spacing w:val="10"/>
          <w:sz w:val="23"/>
          <w:szCs w:val="23"/>
          <w:highlight w:val="none"/>
        </w:rPr>
      </w:pPr>
      <w:r>
        <w:rPr>
          <w:rFonts w:ascii="方正仿宋_GBK" w:hAnsi="方正仿宋_GBK" w:eastAsia="方正仿宋_GBK" w:cs="方正仿宋_GBK"/>
          <w:spacing w:val="10"/>
          <w:sz w:val="23"/>
          <w:szCs w:val="23"/>
          <w:highlight w:val="none"/>
        </w:rPr>
        <w:t>开标并邀请所有投标人代表参</w:t>
      </w:r>
      <w:r>
        <w:rPr>
          <w:rFonts w:hint="eastAsia" w:ascii="方正仿宋_GBK" w:hAnsi="方正仿宋_GBK" w:eastAsia="方正仿宋_GBK" w:cs="方正仿宋_GBK"/>
          <w:spacing w:val="10"/>
          <w:sz w:val="23"/>
          <w:szCs w:val="23"/>
          <w:highlight w:val="none"/>
          <w:lang w:val="en-US" w:eastAsia="zh-CN"/>
        </w:rPr>
        <w:t>加</w:t>
      </w:r>
      <w:r>
        <w:rPr>
          <w:rFonts w:ascii="方正仿宋_GBK" w:hAnsi="方正仿宋_GBK" w:eastAsia="方正仿宋_GBK" w:cs="方正仿宋_GBK"/>
          <w:spacing w:val="10"/>
          <w:sz w:val="23"/>
          <w:szCs w:val="23"/>
          <w:highlight w:val="none"/>
        </w:rPr>
        <w:t>。投标人不足3家的，不得开标。</w:t>
      </w:r>
    </w:p>
    <w:p w14:paraId="36949D89">
      <w:pPr>
        <w:spacing w:before="26" w:line="236"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10"/>
          <w:sz w:val="23"/>
          <w:szCs w:val="23"/>
          <w:highlight w:val="none"/>
        </w:rPr>
        <w:t>18.2开标时，由投标人或其推选的代表检查自己或所代表的投标文件的密封情况，经</w:t>
      </w:r>
    </w:p>
    <w:p w14:paraId="1E13179C">
      <w:pPr>
        <w:spacing w:before="91" w:line="293" w:lineRule="auto"/>
        <w:ind w:left="953" w:right="87" w:firstLine="4"/>
        <w:jc w:val="both"/>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7"/>
          <w:sz w:val="23"/>
          <w:szCs w:val="23"/>
          <w:highlight w:val="none"/>
        </w:rPr>
        <w:t>记录后，由采购人或采购代理机构当众拆封投标文件，宣读</w:t>
      </w:r>
      <w:r>
        <w:rPr>
          <w:rFonts w:ascii="方正仿宋_GBK" w:hAnsi="方正仿宋_GBK" w:eastAsia="方正仿宋_GBK" w:cs="方正仿宋_GBK"/>
          <w:spacing w:val="6"/>
          <w:sz w:val="23"/>
          <w:szCs w:val="23"/>
          <w:highlight w:val="none"/>
        </w:rPr>
        <w:t>投标人名称、投标价</w:t>
      </w:r>
      <w:r>
        <w:rPr>
          <w:rFonts w:ascii="方正仿宋_GBK" w:hAnsi="方正仿宋_GBK" w:eastAsia="方正仿宋_GBK" w:cs="方正仿宋_GBK"/>
          <w:spacing w:val="8"/>
          <w:sz w:val="23"/>
          <w:szCs w:val="23"/>
          <w:highlight w:val="none"/>
        </w:rPr>
        <w:t>格及招标文件规定的内容。对于投标人在投标截止期前递交的投标声明，在开标</w:t>
      </w:r>
      <w:r>
        <w:rPr>
          <w:rFonts w:ascii="方正仿宋_GBK" w:hAnsi="方正仿宋_GBK" w:eastAsia="方正仿宋_GBK" w:cs="方正仿宋_GBK"/>
          <w:spacing w:val="6"/>
          <w:sz w:val="23"/>
          <w:szCs w:val="23"/>
          <w:highlight w:val="none"/>
        </w:rPr>
        <w:t>时当众宣读，评标时有效。</w:t>
      </w:r>
    </w:p>
    <w:p w14:paraId="69007F5E">
      <w:pPr>
        <w:spacing w:before="27" w:line="237" w:lineRule="auto"/>
        <w:ind w:left="895"/>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未宣读投标价格、价格折扣等实质内容，评标时不予承认。</w:t>
      </w:r>
    </w:p>
    <w:p w14:paraId="5FB7E9FC">
      <w:pPr>
        <w:spacing w:before="87" w:line="238"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18.3采购人或采购代理机构将对开标过程进行记录，</w:t>
      </w:r>
      <w:r>
        <w:rPr>
          <w:rFonts w:ascii="方正仿宋_GBK" w:hAnsi="方正仿宋_GBK" w:eastAsia="方正仿宋_GBK" w:cs="方正仿宋_GBK"/>
          <w:spacing w:val="7"/>
          <w:sz w:val="23"/>
          <w:szCs w:val="23"/>
          <w:highlight w:val="none"/>
        </w:rPr>
        <w:t>由参加开标的各投标人代表和相</w:t>
      </w:r>
    </w:p>
    <w:p w14:paraId="12E26178">
      <w:pPr>
        <w:spacing w:before="87" w:line="227" w:lineRule="auto"/>
        <w:ind w:left="901"/>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6"/>
          <w:sz w:val="23"/>
          <w:szCs w:val="23"/>
          <w:highlight w:val="none"/>
        </w:rPr>
        <w:t>关工作人员签字确认，并存档备查。</w:t>
      </w:r>
    </w:p>
    <w:p w14:paraId="4C4BD3BF">
      <w:pPr>
        <w:spacing w:before="101" w:line="238"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9"/>
          <w:sz w:val="23"/>
          <w:szCs w:val="23"/>
          <w:highlight w:val="none"/>
        </w:rPr>
        <w:t>18.4投标人代表对开标过程和开标记录有疑义，以</w:t>
      </w:r>
      <w:r>
        <w:rPr>
          <w:rFonts w:ascii="方正仿宋_GBK" w:hAnsi="方正仿宋_GBK" w:eastAsia="方正仿宋_GBK" w:cs="方正仿宋_GBK"/>
          <w:spacing w:val="8"/>
          <w:sz w:val="23"/>
          <w:szCs w:val="23"/>
          <w:highlight w:val="none"/>
        </w:rPr>
        <w:t>及认为采购人、采购代理机构相关</w:t>
      </w:r>
    </w:p>
    <w:p w14:paraId="4FDC76A2">
      <w:pPr>
        <w:spacing w:before="87" w:line="238" w:lineRule="auto"/>
        <w:ind w:left="900"/>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工作人员有需要回避的情形的，应当场提出询问或者回避申请。</w:t>
      </w:r>
    </w:p>
    <w:p w14:paraId="0BAF378A">
      <w:pPr>
        <w:pStyle w:val="7"/>
        <w:spacing w:line="365" w:lineRule="auto"/>
        <w:rPr>
          <w:highlight w:val="none"/>
        </w:rPr>
      </w:pPr>
    </w:p>
    <w:p w14:paraId="62AB779A">
      <w:pPr>
        <w:spacing w:before="103" w:line="232" w:lineRule="auto"/>
        <w:ind w:left="3"/>
        <w:outlineLvl w:val="1"/>
        <w:rPr>
          <w:rFonts w:ascii="方正仿宋_GBK" w:hAnsi="方正仿宋_GBK" w:eastAsia="方正仿宋_GBK" w:cs="方正仿宋_GBK"/>
          <w:sz w:val="28"/>
          <w:szCs w:val="28"/>
          <w:highlight w:val="none"/>
        </w:rPr>
      </w:pPr>
      <w:r>
        <w:rPr>
          <w:rFonts w:ascii="方正仿宋_GBK" w:hAnsi="方正仿宋_GBK" w:eastAsia="方正仿宋_GBK" w:cs="方正仿宋_GBK"/>
          <w:b/>
          <w:bCs/>
          <w:spacing w:val="-7"/>
          <w:sz w:val="28"/>
          <w:szCs w:val="28"/>
          <w:highlight w:val="none"/>
        </w:rPr>
        <w:t>19.资格审查及组建评标委员会</w:t>
      </w:r>
    </w:p>
    <w:p w14:paraId="04EC5048">
      <w:pPr>
        <w:spacing w:line="240" w:lineRule="auto"/>
        <w:ind w:left="0" w:right="0" w:firstLine="0"/>
        <w:rPr>
          <w:rFonts w:hint="eastAsia" w:ascii="方正仿宋_GBK" w:hAnsi="方正仿宋_GBK" w:eastAsia="方正仿宋_GBK" w:cs="方正仿宋_GBK"/>
          <w:sz w:val="23"/>
          <w:szCs w:val="23"/>
          <w:highlight w:val="none"/>
          <w:lang w:eastAsia="zh-CN"/>
        </w:rPr>
      </w:pPr>
      <w:r>
        <w:rPr>
          <w:rFonts w:ascii="方正仿宋_GBK" w:hAnsi="方正仿宋_GBK" w:eastAsia="方正仿宋_GBK" w:cs="方正仿宋_GBK"/>
          <w:spacing w:val="8"/>
          <w:sz w:val="23"/>
          <w:szCs w:val="23"/>
          <w:highlight w:val="none"/>
        </w:rPr>
        <w:t>19.1评标委员会依据法律法规和招标文件中规定的内容，对投标人及其货</w:t>
      </w:r>
      <w:r>
        <w:rPr>
          <w:rFonts w:ascii="方正仿宋_GBK" w:hAnsi="方正仿宋_GBK" w:eastAsia="方正仿宋_GBK" w:cs="方正仿宋_GBK"/>
          <w:spacing w:val="7"/>
          <w:sz w:val="23"/>
          <w:szCs w:val="23"/>
          <w:highlight w:val="none"/>
        </w:rPr>
        <w:t>物的资格进行</w:t>
      </w:r>
      <w:r>
        <w:rPr>
          <w:rFonts w:ascii="方正仿宋_GBK" w:hAnsi="方正仿宋_GBK" w:eastAsia="方正仿宋_GBK" w:cs="方正仿宋_GBK"/>
          <w:sz w:val="23"/>
          <w:szCs w:val="23"/>
          <w:highlight w:val="none"/>
        </w:rPr>
        <w:t>审</w:t>
      </w:r>
      <w:r>
        <w:rPr>
          <w:rFonts w:ascii="方正仿宋_GBK" w:hAnsi="方正仿宋_GBK" w:eastAsia="方正仿宋_GBK" w:cs="方正仿宋_GBK"/>
          <w:spacing w:val="6"/>
          <w:sz w:val="23"/>
          <w:szCs w:val="23"/>
          <w:highlight w:val="none"/>
        </w:rPr>
        <w:t>查，未通过资格审查的投标人不进入评标；</w:t>
      </w:r>
      <w:r>
        <w:rPr>
          <w:rFonts w:ascii="方正仿宋_GBK" w:hAnsi="方正仿宋_GBK" w:eastAsia="方正仿宋_GBK" w:cs="方正仿宋_GBK"/>
          <w:spacing w:val="5"/>
          <w:sz w:val="23"/>
          <w:szCs w:val="23"/>
          <w:highlight w:val="none"/>
        </w:rPr>
        <w:t>进入评标的投标人不足3家的，不得评标</w:t>
      </w:r>
      <w:r>
        <w:rPr>
          <w:rFonts w:hint="eastAsia" w:ascii="方正仿宋_GBK" w:hAnsi="方正仿宋_GBK" w:eastAsia="方正仿宋_GBK" w:cs="方正仿宋_GBK"/>
          <w:spacing w:val="5"/>
          <w:sz w:val="23"/>
          <w:szCs w:val="23"/>
          <w:highlight w:val="none"/>
          <w:lang w:eastAsia="zh-CN"/>
        </w:rPr>
        <w:t>；</w:t>
      </w:r>
    </w:p>
    <w:p w14:paraId="74371639">
      <w:pPr>
        <w:spacing w:line="240" w:lineRule="auto"/>
        <w:ind w:right="0"/>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2"/>
          <w:sz w:val="23"/>
          <w:szCs w:val="23"/>
          <w:highlight w:val="none"/>
        </w:rPr>
        <w:t>此项目资格审查的内容为</w:t>
      </w:r>
      <w:r>
        <w:rPr>
          <w:rFonts w:ascii="方正仿宋_GBK" w:hAnsi="方正仿宋_GBK" w:eastAsia="方正仿宋_GBK" w:cs="方正仿宋_GBK"/>
          <w:b/>
          <w:bCs/>
          <w:spacing w:val="2"/>
          <w:sz w:val="23"/>
          <w:szCs w:val="23"/>
          <w:highlight w:val="none"/>
        </w:rPr>
        <w:t>第4章投标人须知资料表1.3.4要求的内容</w:t>
      </w:r>
      <w:r>
        <w:rPr>
          <w:rFonts w:ascii="方正仿宋_GBK" w:hAnsi="方正仿宋_GBK" w:eastAsia="方正仿宋_GBK" w:cs="方正仿宋_GBK"/>
          <w:spacing w:val="2"/>
          <w:sz w:val="23"/>
          <w:szCs w:val="23"/>
          <w:highlight w:val="none"/>
        </w:rPr>
        <w:t>；</w:t>
      </w:r>
      <w:r>
        <w:rPr>
          <w:rFonts w:ascii="方正仿宋_GBK" w:hAnsi="方正仿宋_GBK" w:eastAsia="方正仿宋_GBK" w:cs="方正仿宋_GBK"/>
          <w:spacing w:val="9"/>
          <w:sz w:val="23"/>
          <w:szCs w:val="23"/>
          <w:highlight w:val="none"/>
        </w:rPr>
        <w:t>本项目不接受联合体投标。</w:t>
      </w:r>
    </w:p>
    <w:p w14:paraId="1EB7DB2A">
      <w:pPr>
        <w:spacing w:before="26" w:line="290" w:lineRule="auto"/>
        <w:ind w:left="862" w:right="85" w:hanging="858"/>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10"/>
          <w:sz w:val="23"/>
          <w:szCs w:val="23"/>
          <w:highlight w:val="none"/>
        </w:rPr>
        <w:t>19.2采购人或采购代理机构将在开标前1个工作日至评标期间内查询</w:t>
      </w:r>
      <w:r>
        <w:rPr>
          <w:rFonts w:ascii="方正仿宋_GBK" w:hAnsi="方正仿宋_GBK" w:eastAsia="方正仿宋_GBK" w:cs="方正仿宋_GBK"/>
          <w:spacing w:val="9"/>
          <w:sz w:val="23"/>
          <w:szCs w:val="23"/>
          <w:highlight w:val="none"/>
        </w:rPr>
        <w:t>投标人的信用记</w:t>
      </w:r>
      <w:r>
        <w:rPr>
          <w:rFonts w:ascii="方正仿宋_GBK" w:hAnsi="方正仿宋_GBK" w:eastAsia="方正仿宋_GBK" w:cs="方正仿宋_GBK"/>
          <w:spacing w:val="8"/>
          <w:sz w:val="23"/>
          <w:szCs w:val="23"/>
          <w:highlight w:val="none"/>
        </w:rPr>
        <w:t>录。投标人存在不良信用记录的，其投标将被认定为</w:t>
      </w:r>
      <w:r>
        <w:rPr>
          <w:rFonts w:ascii="方正仿宋_GBK" w:hAnsi="方正仿宋_GBK" w:eastAsia="方正仿宋_GBK" w:cs="方正仿宋_GBK"/>
          <w:b/>
          <w:bCs/>
          <w:spacing w:val="8"/>
          <w:sz w:val="23"/>
          <w:szCs w:val="23"/>
          <w:highlight w:val="none"/>
        </w:rPr>
        <w:t>投标无效</w:t>
      </w:r>
      <w:r>
        <w:rPr>
          <w:rFonts w:ascii="方正仿宋_GBK" w:hAnsi="方正仿宋_GBK" w:eastAsia="方正仿宋_GBK" w:cs="方正仿宋_GBK"/>
          <w:spacing w:val="8"/>
          <w:sz w:val="23"/>
          <w:szCs w:val="23"/>
          <w:highlight w:val="none"/>
        </w:rPr>
        <w:t>。</w:t>
      </w:r>
    </w:p>
    <w:p w14:paraId="200549A2">
      <w:pPr>
        <w:pStyle w:val="7"/>
        <w:spacing w:line="266" w:lineRule="auto"/>
        <w:rPr>
          <w:highlight w:val="none"/>
        </w:rPr>
      </w:pPr>
      <w:r>
        <w:rPr>
          <w:rFonts w:ascii="方正仿宋_GBK" w:hAnsi="方正仿宋_GBK" w:eastAsia="方正仿宋_GBK" w:cs="方正仿宋_GBK"/>
          <w:spacing w:val="5"/>
          <w:sz w:val="23"/>
          <w:szCs w:val="23"/>
          <w:highlight w:val="none"/>
        </w:rPr>
        <w:t>19.2.1</w:t>
      </w:r>
      <w:r>
        <w:rPr>
          <w:rFonts w:ascii="方正仿宋_GBK" w:hAnsi="方正仿宋_GBK" w:eastAsia="方正仿宋_GBK" w:cs="方正仿宋_GBK"/>
          <w:snapToGrid w:val="0"/>
          <w:color w:val="000000"/>
          <w:spacing w:val="11"/>
          <w:kern w:val="0"/>
          <w:sz w:val="23"/>
          <w:szCs w:val="23"/>
          <w:highlight w:val="none"/>
          <w:lang w:val="en-US" w:eastAsia="en-US" w:bidi="ar-SA"/>
        </w:rPr>
        <w:t>不良信用记录指：投标人被“信用中国”网站列入失信被执行人和重大税收违法案件当事人名单的、被“中国政府采购网”网站列入政府采购严重违法失信行为记录名单（处罚期限尚未届满的）的供应商，及国家企业信用信息公示系统(</w:t>
      </w:r>
      <w:r>
        <w:rPr>
          <w:rFonts w:ascii="方正仿宋_GBK" w:hAnsi="方正仿宋_GBK" w:eastAsia="方正仿宋_GBK" w:cs="方正仿宋_GBK"/>
          <w:snapToGrid w:val="0"/>
          <w:color w:val="000000"/>
          <w:spacing w:val="11"/>
          <w:kern w:val="0"/>
          <w:sz w:val="23"/>
          <w:szCs w:val="23"/>
          <w:highlight w:val="none"/>
          <w:lang w:val="en-US" w:eastAsia="en-US" w:bidi="ar-SA"/>
        </w:rPr>
        <w:fldChar w:fldCharType="begin"/>
      </w:r>
      <w:r>
        <w:rPr>
          <w:rFonts w:ascii="方正仿宋_GBK" w:hAnsi="方正仿宋_GBK" w:eastAsia="方正仿宋_GBK" w:cs="方正仿宋_GBK"/>
          <w:snapToGrid w:val="0"/>
          <w:color w:val="000000"/>
          <w:spacing w:val="11"/>
          <w:kern w:val="0"/>
          <w:sz w:val="23"/>
          <w:szCs w:val="23"/>
          <w:highlight w:val="none"/>
          <w:lang w:val="en-US" w:eastAsia="en-US" w:bidi="ar-SA"/>
        </w:rPr>
        <w:instrText xml:space="preserve"> HYPERLINK "http://www.gsxt.gov.cn" </w:instrText>
      </w:r>
      <w:r>
        <w:rPr>
          <w:rFonts w:ascii="方正仿宋_GBK" w:hAnsi="方正仿宋_GBK" w:eastAsia="方正仿宋_GBK" w:cs="方正仿宋_GBK"/>
          <w:snapToGrid w:val="0"/>
          <w:color w:val="000000"/>
          <w:spacing w:val="11"/>
          <w:kern w:val="0"/>
          <w:sz w:val="23"/>
          <w:szCs w:val="23"/>
          <w:highlight w:val="none"/>
          <w:lang w:val="en-US" w:eastAsia="en-US" w:bidi="ar-SA"/>
        </w:rPr>
        <w:fldChar w:fldCharType="separate"/>
      </w:r>
      <w:r>
        <w:rPr>
          <w:rFonts w:ascii="方正仿宋_GBK" w:hAnsi="方正仿宋_GBK" w:eastAsia="方正仿宋_GBK" w:cs="方正仿宋_GBK"/>
          <w:snapToGrid w:val="0"/>
          <w:color w:val="000000"/>
          <w:spacing w:val="11"/>
          <w:kern w:val="0"/>
          <w:sz w:val="23"/>
          <w:szCs w:val="23"/>
          <w:highlight w:val="none"/>
          <w:lang w:val="en-US" w:eastAsia="en-US" w:bidi="ar-SA"/>
        </w:rPr>
        <w:t>http://www.gsxt.gov.cn</w:t>
      </w:r>
      <w:r>
        <w:rPr>
          <w:rFonts w:ascii="方正仿宋_GBK" w:hAnsi="方正仿宋_GBK" w:eastAsia="方正仿宋_GBK" w:cs="方正仿宋_GBK"/>
          <w:snapToGrid w:val="0"/>
          <w:color w:val="000000"/>
          <w:spacing w:val="11"/>
          <w:kern w:val="0"/>
          <w:sz w:val="23"/>
          <w:szCs w:val="23"/>
          <w:highlight w:val="none"/>
          <w:lang w:val="en-US" w:eastAsia="en-US" w:bidi="ar-SA"/>
        </w:rPr>
        <w:fldChar w:fldCharType="end"/>
      </w:r>
      <w:r>
        <w:rPr>
          <w:rFonts w:ascii="方正仿宋_GBK" w:hAnsi="方正仿宋_GBK" w:eastAsia="方正仿宋_GBK" w:cs="方正仿宋_GBK"/>
          <w:snapToGrid w:val="0"/>
          <w:color w:val="000000"/>
          <w:spacing w:val="11"/>
          <w:kern w:val="0"/>
          <w:sz w:val="23"/>
          <w:szCs w:val="23"/>
          <w:highlight w:val="none"/>
          <w:lang w:val="en-US" w:eastAsia="en-US" w:bidi="ar-SA"/>
        </w:rPr>
        <w:t>)被列入失信被执行人、重大税收违法案件当事人名单中的，以及存在《中华人民共和国政府采购法实施条例》第十九条规定的行政处罚记录。</w:t>
      </w:r>
    </w:p>
    <w:p w14:paraId="45493D1A">
      <w:pPr>
        <w:spacing w:before="84" w:line="291" w:lineRule="auto"/>
        <w:ind w:left="844" w:right="4" w:firstLine="23"/>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11"/>
          <w:sz w:val="23"/>
          <w:szCs w:val="23"/>
          <w:highlight w:val="none"/>
        </w:rPr>
        <w:t>以联合体形式参加投标的，联合体任何成员存在以</w:t>
      </w:r>
      <w:r>
        <w:rPr>
          <w:rFonts w:ascii="方正仿宋_GBK" w:hAnsi="方正仿宋_GBK" w:eastAsia="方正仿宋_GBK" w:cs="方正仿宋_GBK"/>
          <w:spacing w:val="10"/>
          <w:sz w:val="23"/>
          <w:szCs w:val="23"/>
          <w:highlight w:val="none"/>
        </w:rPr>
        <w:t>上不良信用记录的，联合体投</w:t>
      </w:r>
      <w:r>
        <w:rPr>
          <w:rFonts w:ascii="方正仿宋_GBK" w:hAnsi="方正仿宋_GBK" w:eastAsia="方正仿宋_GBK" w:cs="方正仿宋_GBK"/>
          <w:spacing w:val="7"/>
          <w:sz w:val="23"/>
          <w:szCs w:val="23"/>
          <w:highlight w:val="none"/>
        </w:rPr>
        <w:t>标将被认定为</w:t>
      </w:r>
      <w:r>
        <w:rPr>
          <w:rFonts w:ascii="方正仿宋_GBK" w:hAnsi="方正仿宋_GBK" w:eastAsia="方正仿宋_GBK" w:cs="方正仿宋_GBK"/>
          <w:b/>
          <w:bCs/>
          <w:spacing w:val="7"/>
          <w:sz w:val="23"/>
          <w:szCs w:val="23"/>
          <w:highlight w:val="none"/>
        </w:rPr>
        <w:t>投标无效</w:t>
      </w:r>
      <w:r>
        <w:rPr>
          <w:rFonts w:ascii="方正仿宋_GBK" w:hAnsi="方正仿宋_GBK" w:eastAsia="方正仿宋_GBK" w:cs="方正仿宋_GBK"/>
          <w:spacing w:val="7"/>
          <w:sz w:val="23"/>
          <w:szCs w:val="23"/>
          <w:highlight w:val="none"/>
        </w:rPr>
        <w:t>。</w:t>
      </w:r>
    </w:p>
    <w:p w14:paraId="5B5337BB">
      <w:pPr>
        <w:spacing w:before="26" w:line="293" w:lineRule="auto"/>
        <w:ind w:left="849" w:hanging="846"/>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6"/>
          <w:sz w:val="23"/>
          <w:szCs w:val="23"/>
          <w:highlight w:val="none"/>
        </w:rPr>
        <w:t>19.2.2查询及记录方式：采购人或采购代理机构经办人将查询网页打印并存档备查。投标</w:t>
      </w:r>
      <w:r>
        <w:rPr>
          <w:rFonts w:ascii="方正仿宋_GBK" w:hAnsi="方正仿宋_GBK" w:eastAsia="方正仿宋_GBK" w:cs="方正仿宋_GBK"/>
          <w:spacing w:val="11"/>
          <w:sz w:val="23"/>
          <w:szCs w:val="23"/>
          <w:highlight w:val="none"/>
        </w:rPr>
        <w:t>人不良信用记录以采购人或采购代理机构查询结果为准。在本招标文件规定的查询时间之后，网站信息发生的任何变更均不再作为评标依据。投标人自行提供的</w:t>
      </w:r>
      <w:r>
        <w:rPr>
          <w:rFonts w:ascii="方正仿宋_GBK" w:hAnsi="方正仿宋_GBK" w:eastAsia="方正仿宋_GBK" w:cs="方正仿宋_GBK"/>
          <w:spacing w:val="8"/>
          <w:sz w:val="23"/>
          <w:szCs w:val="23"/>
          <w:highlight w:val="none"/>
        </w:rPr>
        <w:t>与网站信息不一致的其他证明材料亦不作为资格审查依据。</w:t>
      </w:r>
    </w:p>
    <w:p w14:paraId="2C355454">
      <w:pPr>
        <w:spacing w:before="36" w:line="290" w:lineRule="auto"/>
        <w:ind w:left="849" w:hanging="846"/>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6"/>
          <w:sz w:val="23"/>
          <w:szCs w:val="23"/>
          <w:highlight w:val="none"/>
        </w:rPr>
        <w:t>19.3按照《中华人民共和国政府采购法》、《中华人民共和国政府采购法实施条例》及</w:t>
      </w:r>
      <w:r>
        <w:rPr>
          <w:rFonts w:ascii="方正仿宋_GBK" w:hAnsi="方正仿宋_GBK" w:eastAsia="方正仿宋_GBK" w:cs="方正仿宋_GBK"/>
          <w:spacing w:val="10"/>
          <w:sz w:val="23"/>
          <w:szCs w:val="23"/>
          <w:highlight w:val="none"/>
        </w:rPr>
        <w:t>本项目本级和上级财政部门的有关规定依法组建的</w:t>
      </w:r>
      <w:r>
        <w:rPr>
          <w:rFonts w:ascii="方正仿宋_GBK" w:hAnsi="方正仿宋_GBK" w:eastAsia="方正仿宋_GBK" w:cs="方正仿宋_GBK"/>
          <w:spacing w:val="9"/>
          <w:sz w:val="23"/>
          <w:szCs w:val="23"/>
          <w:highlight w:val="none"/>
        </w:rPr>
        <w:t>评标委员会，负责评标工作。</w:t>
      </w:r>
    </w:p>
    <w:p w14:paraId="4B8CA396">
      <w:pPr>
        <w:spacing w:before="26" w:line="239" w:lineRule="auto"/>
        <w:ind w:left="850"/>
        <w:rPr>
          <w:rFonts w:ascii="方正仿宋_GBK" w:hAnsi="方正仿宋_GBK" w:eastAsia="方正仿宋_GBK" w:cs="方正仿宋_GBK"/>
          <w:sz w:val="23"/>
          <w:szCs w:val="23"/>
          <w:highlight w:val="none"/>
        </w:rPr>
      </w:pPr>
      <w:r>
        <w:rPr>
          <w:rFonts w:ascii="方正仿宋_GBK" w:hAnsi="方正仿宋_GBK" w:eastAsia="方正仿宋_GBK" w:cs="方正仿宋_GBK"/>
          <w:b/>
          <w:bCs/>
          <w:spacing w:val="11"/>
          <w:sz w:val="23"/>
          <w:szCs w:val="23"/>
          <w:highlight w:val="none"/>
          <w:u w:val="single" w:color="auto"/>
        </w:rPr>
        <w:t>本项目评标委员会由5人组成。</w:t>
      </w:r>
    </w:p>
    <w:p w14:paraId="14553C8A">
      <w:pPr>
        <w:pStyle w:val="7"/>
        <w:spacing w:line="363" w:lineRule="auto"/>
        <w:rPr>
          <w:highlight w:val="none"/>
        </w:rPr>
      </w:pPr>
    </w:p>
    <w:p w14:paraId="45A64382">
      <w:pPr>
        <w:spacing w:before="103" w:line="232" w:lineRule="auto"/>
        <w:ind w:left="2"/>
        <w:outlineLvl w:val="1"/>
        <w:rPr>
          <w:rFonts w:ascii="方正仿宋_GBK" w:hAnsi="方正仿宋_GBK" w:eastAsia="方正仿宋_GBK" w:cs="方正仿宋_GBK"/>
          <w:sz w:val="28"/>
          <w:szCs w:val="28"/>
          <w:highlight w:val="none"/>
        </w:rPr>
      </w:pPr>
      <w:bookmarkStart w:id="37" w:name="bookmark26"/>
      <w:bookmarkEnd w:id="37"/>
      <w:bookmarkStart w:id="38" w:name="bookmark27"/>
      <w:bookmarkEnd w:id="38"/>
      <w:r>
        <w:rPr>
          <w:rFonts w:ascii="方正仿宋_GBK" w:hAnsi="方正仿宋_GBK" w:eastAsia="方正仿宋_GBK" w:cs="方正仿宋_GBK"/>
          <w:b/>
          <w:bCs/>
          <w:spacing w:val="-3"/>
          <w:sz w:val="28"/>
          <w:szCs w:val="28"/>
          <w:highlight w:val="none"/>
        </w:rPr>
        <w:t>20.投标文件符合性审查与澄清</w:t>
      </w:r>
    </w:p>
    <w:p w14:paraId="449B7753">
      <w:pPr>
        <w:spacing w:before="60" w:line="238"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6"/>
          <w:sz w:val="23"/>
          <w:szCs w:val="23"/>
          <w:highlight w:val="none"/>
        </w:rPr>
        <w:t>20.1符合性审查是指依据招标文件的规定，从投标文件的有效性和完整性对招标文件的</w:t>
      </w:r>
    </w:p>
    <w:p w14:paraId="512074C7">
      <w:pPr>
        <w:spacing w:before="86" w:line="238" w:lineRule="auto"/>
        <w:ind w:left="911"/>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响应程度进行审查，以确定是否对招标文件的实质性要求做出响应。</w:t>
      </w:r>
    </w:p>
    <w:p w14:paraId="42F945B8">
      <w:pPr>
        <w:spacing w:before="86" w:line="241"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5"/>
          <w:sz w:val="23"/>
          <w:szCs w:val="23"/>
          <w:highlight w:val="none"/>
        </w:rPr>
        <w:t>20.2投标文件的澄清</w:t>
      </w:r>
    </w:p>
    <w:p w14:paraId="413EC8A7">
      <w:pPr>
        <w:spacing w:before="87" w:line="296" w:lineRule="auto"/>
        <w:ind w:left="898" w:right="4" w:hanging="898"/>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9"/>
          <w:sz w:val="23"/>
          <w:szCs w:val="23"/>
          <w:highlight w:val="none"/>
        </w:rPr>
        <w:t>20.2.1在评标期间，评标委员会将以书面方式要求投标人对其投标文件中含义不明确、</w:t>
      </w:r>
      <w:r>
        <w:rPr>
          <w:rFonts w:ascii="方正仿宋_GBK" w:hAnsi="方正仿宋_GBK" w:eastAsia="方正仿宋_GBK" w:cs="方正仿宋_GBK"/>
          <w:spacing w:val="6"/>
          <w:sz w:val="23"/>
          <w:szCs w:val="23"/>
          <w:highlight w:val="none"/>
        </w:rPr>
        <w:t>对同类问题表述不一致或者有明显文字和计算错</w:t>
      </w:r>
      <w:r>
        <w:rPr>
          <w:rFonts w:ascii="方正仿宋_GBK" w:hAnsi="方正仿宋_GBK" w:eastAsia="方正仿宋_GBK" w:cs="方正仿宋_GBK"/>
          <w:spacing w:val="5"/>
          <w:sz w:val="23"/>
          <w:szCs w:val="23"/>
          <w:highlight w:val="none"/>
        </w:rPr>
        <w:t>误的内容，以及评标委员会认为</w:t>
      </w:r>
      <w:r>
        <w:rPr>
          <w:rFonts w:ascii="方正仿宋_GBK" w:hAnsi="方正仿宋_GBK" w:eastAsia="方正仿宋_GBK" w:cs="方正仿宋_GBK"/>
          <w:spacing w:val="7"/>
          <w:sz w:val="23"/>
          <w:szCs w:val="23"/>
          <w:highlight w:val="none"/>
        </w:rPr>
        <w:t>投标人的报价明显低于其他通过符合性检查投标人的报</w:t>
      </w:r>
      <w:r>
        <w:rPr>
          <w:rFonts w:ascii="方正仿宋_GBK" w:hAnsi="方正仿宋_GBK" w:eastAsia="方正仿宋_GBK" w:cs="方正仿宋_GBK"/>
          <w:spacing w:val="6"/>
          <w:sz w:val="23"/>
          <w:szCs w:val="23"/>
          <w:highlight w:val="none"/>
        </w:rPr>
        <w:t>价，有可能影响履约的情</w:t>
      </w:r>
      <w:r>
        <w:rPr>
          <w:rFonts w:ascii="方正仿宋_GBK" w:hAnsi="方正仿宋_GBK" w:eastAsia="方正仿宋_GBK" w:cs="方正仿宋_GBK"/>
          <w:spacing w:val="10"/>
          <w:sz w:val="23"/>
          <w:szCs w:val="23"/>
          <w:highlight w:val="none"/>
        </w:rPr>
        <w:t>况作必要的澄清、说明或补正。投标人的澄清、说明或补正应</w:t>
      </w:r>
      <w:r>
        <w:rPr>
          <w:rFonts w:ascii="方正仿宋_GBK" w:hAnsi="方正仿宋_GBK" w:eastAsia="方正仿宋_GBK" w:cs="方正仿宋_GBK"/>
          <w:spacing w:val="9"/>
          <w:sz w:val="23"/>
          <w:szCs w:val="23"/>
          <w:highlight w:val="none"/>
        </w:rPr>
        <w:t>在评标委员会规定</w:t>
      </w:r>
      <w:r>
        <w:rPr>
          <w:rFonts w:ascii="方正仿宋_GBK" w:hAnsi="方正仿宋_GBK" w:eastAsia="方正仿宋_GBK" w:cs="方正仿宋_GBK"/>
          <w:spacing w:val="10"/>
          <w:sz w:val="23"/>
          <w:szCs w:val="23"/>
          <w:highlight w:val="none"/>
        </w:rPr>
        <w:t>的时间内以书面方式进行，并不得超出投标文件范围或者改变</w:t>
      </w:r>
      <w:r>
        <w:rPr>
          <w:rFonts w:ascii="方正仿宋_GBK" w:hAnsi="方正仿宋_GBK" w:eastAsia="方正仿宋_GBK" w:cs="方正仿宋_GBK"/>
          <w:spacing w:val="9"/>
          <w:sz w:val="23"/>
          <w:szCs w:val="23"/>
          <w:highlight w:val="none"/>
        </w:rPr>
        <w:t>投标文件的实质性</w:t>
      </w:r>
      <w:r>
        <w:rPr>
          <w:rFonts w:ascii="方正仿宋_GBK" w:hAnsi="方正仿宋_GBK" w:eastAsia="方正仿宋_GBK" w:cs="方正仿宋_GBK"/>
          <w:spacing w:val="-4"/>
          <w:sz w:val="23"/>
          <w:szCs w:val="23"/>
          <w:highlight w:val="none"/>
        </w:rPr>
        <w:t>内容。</w:t>
      </w:r>
    </w:p>
    <w:p w14:paraId="62E08094">
      <w:pPr>
        <w:spacing w:line="240" w:lineRule="auto"/>
        <w:ind w:right="0"/>
        <w:rPr>
          <w:rFonts w:hint="eastAsia" w:ascii="方正仿宋_GBK" w:hAnsi="方正仿宋_GBK" w:eastAsia="方正仿宋_GBK" w:cs="方正仿宋_GBK"/>
          <w:spacing w:val="8"/>
          <w:sz w:val="23"/>
          <w:szCs w:val="23"/>
          <w:highlight w:val="none"/>
          <w:lang w:eastAsia="zh-CN"/>
        </w:rPr>
      </w:pPr>
      <w:r>
        <w:rPr>
          <w:rFonts w:ascii="方正仿宋_GBK" w:hAnsi="方正仿宋_GBK" w:eastAsia="方正仿宋_GBK" w:cs="方正仿宋_GBK"/>
          <w:spacing w:val="8"/>
          <w:sz w:val="23"/>
          <w:szCs w:val="23"/>
          <w:highlight w:val="none"/>
        </w:rPr>
        <w:t>20.2.2投标人的的澄清、说明或补正将作为投标文件的一部分</w:t>
      </w:r>
      <w:r>
        <w:rPr>
          <w:rFonts w:hint="eastAsia" w:ascii="方正仿宋_GBK" w:hAnsi="方正仿宋_GBK" w:eastAsia="方正仿宋_GBK" w:cs="方正仿宋_GBK"/>
          <w:spacing w:val="8"/>
          <w:sz w:val="23"/>
          <w:szCs w:val="23"/>
          <w:highlight w:val="none"/>
          <w:lang w:eastAsia="zh-CN"/>
        </w:rPr>
        <w:t>。</w:t>
      </w:r>
    </w:p>
    <w:p w14:paraId="780635B4">
      <w:pPr>
        <w:spacing w:line="240" w:lineRule="auto"/>
        <w:ind w:right="0"/>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7"/>
          <w:sz w:val="23"/>
          <w:szCs w:val="23"/>
          <w:highlight w:val="none"/>
        </w:rPr>
        <w:t>20.3投标文件报价出现前后不一致的，按照下列规定修正：</w:t>
      </w:r>
    </w:p>
    <w:p w14:paraId="5941BD73">
      <w:pPr>
        <w:spacing w:before="33" w:line="268" w:lineRule="auto"/>
        <w:ind w:left="1046" w:right="49" w:hanging="217"/>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7"/>
          <w:sz w:val="23"/>
          <w:szCs w:val="23"/>
          <w:highlight w:val="none"/>
        </w:rPr>
        <w:t>（一）投标文件中开标一览表（报价表）内容与投标文件中相应内容不一致的，</w:t>
      </w:r>
      <w:r>
        <w:rPr>
          <w:rFonts w:ascii="方正仿宋_GBK" w:hAnsi="方正仿宋_GBK" w:eastAsia="方正仿宋_GBK" w:cs="方正仿宋_GBK"/>
          <w:spacing w:val="3"/>
          <w:sz w:val="23"/>
          <w:szCs w:val="23"/>
          <w:highlight w:val="none"/>
        </w:rPr>
        <w:t>以开标一览表（报价表）为准；</w:t>
      </w:r>
    </w:p>
    <w:p w14:paraId="418D0057">
      <w:pPr>
        <w:spacing w:before="88" w:line="237" w:lineRule="auto"/>
        <w:ind w:left="819"/>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（二）大写金额和小写金额不一致的，以大写金额为准；</w:t>
      </w:r>
    </w:p>
    <w:p w14:paraId="0ADBB0C5">
      <w:pPr>
        <w:spacing w:before="88" w:line="268" w:lineRule="auto"/>
        <w:ind w:left="1016" w:right="2" w:hanging="187"/>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7"/>
          <w:sz w:val="23"/>
          <w:szCs w:val="23"/>
          <w:highlight w:val="none"/>
        </w:rPr>
        <w:t>（三）单价金额小数点或者百分比有明显错位的，以开标一览表</w:t>
      </w:r>
      <w:r>
        <w:rPr>
          <w:rFonts w:ascii="方正仿宋_GBK" w:hAnsi="方正仿宋_GBK" w:eastAsia="方正仿宋_GBK" w:cs="方正仿宋_GBK"/>
          <w:spacing w:val="6"/>
          <w:sz w:val="23"/>
          <w:szCs w:val="23"/>
          <w:highlight w:val="none"/>
        </w:rPr>
        <w:t>的总价为准，并</w:t>
      </w:r>
      <w:r>
        <w:rPr>
          <w:rFonts w:ascii="方正仿宋_GBK" w:hAnsi="方正仿宋_GBK" w:eastAsia="方正仿宋_GBK" w:cs="方正仿宋_GBK"/>
          <w:spacing w:val="-1"/>
          <w:sz w:val="23"/>
          <w:szCs w:val="23"/>
          <w:highlight w:val="none"/>
        </w:rPr>
        <w:t>修改单价；</w:t>
      </w:r>
    </w:p>
    <w:p w14:paraId="11C772FE">
      <w:pPr>
        <w:spacing w:before="89" w:line="232" w:lineRule="auto"/>
        <w:ind w:left="819"/>
        <w:rPr>
          <w:rFonts w:ascii="方正仿宋_GBK" w:hAnsi="方正仿宋_GBK" w:eastAsia="方正仿宋_GBK" w:cs="方正仿宋_GBK"/>
          <w:spacing w:val="9"/>
          <w:sz w:val="23"/>
          <w:szCs w:val="23"/>
          <w:highlight w:val="none"/>
        </w:rPr>
      </w:pPr>
      <w:r>
        <w:rPr>
          <w:rFonts w:ascii="方正仿宋_GBK" w:hAnsi="方正仿宋_GBK" w:eastAsia="方正仿宋_GBK" w:cs="方正仿宋_GBK"/>
          <w:spacing w:val="9"/>
          <w:sz w:val="23"/>
          <w:szCs w:val="23"/>
          <w:highlight w:val="none"/>
        </w:rPr>
        <w:t>（四）总价金额与按单价汇总金额不一致的，以单价金额计算结果为准。</w:t>
      </w:r>
    </w:p>
    <w:p w14:paraId="7DB1E252">
      <w:pPr>
        <w:spacing w:before="89" w:line="232" w:lineRule="auto"/>
        <w:ind w:left="819"/>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13"/>
          <w:sz w:val="23"/>
          <w:szCs w:val="23"/>
          <w:highlight w:val="none"/>
        </w:rPr>
        <w:t>同时出现两种以上不一致的，按照前款规定的顺序修正。修正后的报价按照第</w:t>
      </w:r>
      <w:r>
        <w:rPr>
          <w:rFonts w:ascii="方正仿宋_GBK" w:hAnsi="方正仿宋_GBK" w:eastAsia="方正仿宋_GBK" w:cs="方正仿宋_GBK"/>
          <w:spacing w:val="8"/>
          <w:sz w:val="23"/>
          <w:szCs w:val="23"/>
          <w:highlight w:val="none"/>
        </w:rPr>
        <w:t>20.2条的规定经投标人确认后产生约束力，投标人不</w:t>
      </w:r>
      <w:r>
        <w:rPr>
          <w:rFonts w:ascii="方正仿宋_GBK" w:hAnsi="方正仿宋_GBK" w:eastAsia="方正仿宋_GBK" w:cs="方正仿宋_GBK"/>
          <w:spacing w:val="7"/>
          <w:sz w:val="23"/>
          <w:szCs w:val="23"/>
          <w:highlight w:val="none"/>
        </w:rPr>
        <w:t>确认的，其投标将被认定为</w:t>
      </w:r>
      <w:r>
        <w:rPr>
          <w:rFonts w:ascii="方正仿宋_GBK" w:hAnsi="方正仿宋_GBK" w:eastAsia="方正仿宋_GBK" w:cs="方正仿宋_GBK"/>
          <w:b/>
          <w:bCs/>
          <w:spacing w:val="3"/>
          <w:sz w:val="23"/>
          <w:szCs w:val="23"/>
          <w:highlight w:val="none"/>
        </w:rPr>
        <w:t>投标无效</w:t>
      </w:r>
      <w:r>
        <w:rPr>
          <w:rFonts w:ascii="方正仿宋_GBK" w:hAnsi="方正仿宋_GBK" w:eastAsia="方正仿宋_GBK" w:cs="方正仿宋_GBK"/>
          <w:spacing w:val="3"/>
          <w:sz w:val="23"/>
          <w:szCs w:val="23"/>
          <w:highlight w:val="none"/>
        </w:rPr>
        <w:t>。</w:t>
      </w:r>
    </w:p>
    <w:p w14:paraId="37C60B9E">
      <w:pPr>
        <w:spacing w:before="22" w:line="238" w:lineRule="auto"/>
        <w:ind w:left="858"/>
        <w:rPr>
          <w:rFonts w:ascii="方正仿宋_GBK" w:hAnsi="方正仿宋_GBK" w:eastAsia="方正仿宋_GBK" w:cs="方正仿宋_GBK"/>
          <w:spacing w:val="8"/>
          <w:sz w:val="23"/>
          <w:szCs w:val="23"/>
          <w:highlight w:val="none"/>
        </w:rPr>
      </w:pPr>
      <w:r>
        <w:rPr>
          <w:rFonts w:ascii="方正仿宋_GBK" w:hAnsi="方正仿宋_GBK" w:eastAsia="方正仿宋_GBK" w:cs="方正仿宋_GBK"/>
          <w:spacing w:val="8"/>
          <w:sz w:val="23"/>
          <w:szCs w:val="23"/>
          <w:highlight w:val="none"/>
        </w:rPr>
        <w:t>对不同文字文本投标文件的解释发生异议的，以中文文本为准。</w:t>
      </w:r>
    </w:p>
    <w:p w14:paraId="2AB7850E">
      <w:pPr>
        <w:spacing w:line="240" w:lineRule="auto"/>
        <w:rPr>
          <w:rFonts w:hint="eastAsia" w:ascii="方正仿宋_GBK" w:hAnsi="方正仿宋_GBK" w:eastAsia="方正仿宋_GBK" w:cs="方正仿宋_GBK"/>
          <w:spacing w:val="9"/>
          <w:sz w:val="23"/>
          <w:szCs w:val="23"/>
          <w:highlight w:val="none"/>
          <w:lang w:eastAsia="zh-CN"/>
        </w:rPr>
      </w:pPr>
      <w:r>
        <w:rPr>
          <w:rFonts w:ascii="方正仿宋_GBK" w:hAnsi="方正仿宋_GBK" w:eastAsia="方正仿宋_GBK" w:cs="方正仿宋_GBK"/>
          <w:spacing w:val="12"/>
          <w:sz w:val="23"/>
          <w:szCs w:val="23"/>
          <w:highlight w:val="none"/>
        </w:rPr>
        <w:t>20.4</w:t>
      </w:r>
      <w:r>
        <w:rPr>
          <w:rFonts w:ascii="方正仿宋_GBK" w:hAnsi="方正仿宋_GBK" w:eastAsia="方正仿宋_GBK" w:cs="方正仿宋_GBK"/>
          <w:spacing w:val="9"/>
          <w:sz w:val="23"/>
          <w:szCs w:val="23"/>
          <w:highlight w:val="none"/>
        </w:rPr>
        <w:t>如一个分包内只有一种产品，不同投标人所投产品为同一品牌的，按如下方式处理</w:t>
      </w:r>
      <w:r>
        <w:rPr>
          <w:rFonts w:hint="eastAsia" w:ascii="方正仿宋_GBK" w:hAnsi="方正仿宋_GBK" w:eastAsia="方正仿宋_GBK" w:cs="方正仿宋_GBK"/>
          <w:spacing w:val="9"/>
          <w:sz w:val="23"/>
          <w:szCs w:val="23"/>
          <w:highlight w:val="none"/>
          <w:lang w:eastAsia="zh-CN"/>
        </w:rPr>
        <w:t>：</w:t>
      </w:r>
    </w:p>
    <w:p w14:paraId="7BAC30C5">
      <w:pPr>
        <w:spacing w:before="84" w:line="295" w:lineRule="auto"/>
        <w:ind w:left="946" w:right="92" w:hanging="898"/>
        <w:rPr>
          <w:highlight w:val="none"/>
        </w:rPr>
      </w:pPr>
      <w:r>
        <w:rPr>
          <w:rFonts w:ascii="方正仿宋_GBK" w:hAnsi="方正仿宋_GBK" w:eastAsia="方正仿宋_GBK" w:cs="方正仿宋_GBK"/>
          <w:spacing w:val="9"/>
          <w:sz w:val="23"/>
          <w:szCs w:val="23"/>
          <w:highlight w:val="none"/>
        </w:rPr>
        <w:t>20.4.1如本项目使用最低评标价法，提供相同品牌产品的不同投标人以其中通过资格审</w:t>
      </w:r>
      <w:r>
        <w:rPr>
          <w:rFonts w:ascii="方正仿宋_GBK" w:hAnsi="方正仿宋_GBK" w:eastAsia="方正仿宋_GBK" w:cs="方正仿宋_GBK"/>
          <w:spacing w:val="10"/>
          <w:sz w:val="23"/>
          <w:szCs w:val="23"/>
          <w:highlight w:val="none"/>
        </w:rPr>
        <w:t>查、符合性审查且报价最低的参加评标；报价相同的，由采购</w:t>
      </w:r>
      <w:r>
        <w:rPr>
          <w:rFonts w:ascii="方正仿宋_GBK" w:hAnsi="方正仿宋_GBK" w:eastAsia="方正仿宋_GBK" w:cs="方正仿宋_GBK"/>
          <w:spacing w:val="9"/>
          <w:sz w:val="23"/>
          <w:szCs w:val="23"/>
          <w:highlight w:val="none"/>
        </w:rPr>
        <w:t>人或者采购人委托</w:t>
      </w:r>
      <w:r>
        <w:rPr>
          <w:rFonts w:ascii="方正仿宋_GBK" w:hAnsi="方正仿宋_GBK" w:eastAsia="方正仿宋_GBK" w:cs="方正仿宋_GBK"/>
          <w:spacing w:val="10"/>
          <w:sz w:val="23"/>
          <w:szCs w:val="23"/>
          <w:highlight w:val="none"/>
        </w:rPr>
        <w:t>评标委员会按照招标文件中评标办法规定的方式确定一个参加</w:t>
      </w:r>
      <w:r>
        <w:rPr>
          <w:rFonts w:ascii="方正仿宋_GBK" w:hAnsi="方正仿宋_GBK" w:eastAsia="方正仿宋_GBK" w:cs="方正仿宋_GBK"/>
          <w:spacing w:val="9"/>
          <w:sz w:val="23"/>
          <w:szCs w:val="23"/>
          <w:highlight w:val="none"/>
        </w:rPr>
        <w:t>评标的投标人；未规定的采取随机抽取方式确定，其他投标将被认定为</w:t>
      </w:r>
      <w:r>
        <w:rPr>
          <w:rFonts w:ascii="方正仿宋_GBK" w:hAnsi="方正仿宋_GBK" w:eastAsia="方正仿宋_GBK" w:cs="方正仿宋_GBK"/>
          <w:b/>
          <w:bCs/>
          <w:spacing w:val="9"/>
          <w:sz w:val="23"/>
          <w:szCs w:val="23"/>
          <w:highlight w:val="none"/>
        </w:rPr>
        <w:t>投</w:t>
      </w:r>
      <w:r>
        <w:rPr>
          <w:rFonts w:ascii="方正仿宋_GBK" w:hAnsi="方正仿宋_GBK" w:eastAsia="方正仿宋_GBK" w:cs="方正仿宋_GBK"/>
          <w:b/>
          <w:bCs/>
          <w:spacing w:val="8"/>
          <w:sz w:val="23"/>
          <w:szCs w:val="23"/>
          <w:highlight w:val="none"/>
        </w:rPr>
        <w:t>标无效</w:t>
      </w:r>
      <w:r>
        <w:rPr>
          <w:rFonts w:ascii="方正仿宋_GBK" w:hAnsi="方正仿宋_GBK" w:eastAsia="方正仿宋_GBK" w:cs="方正仿宋_GBK"/>
          <w:spacing w:val="8"/>
          <w:sz w:val="23"/>
          <w:szCs w:val="23"/>
          <w:highlight w:val="none"/>
        </w:rPr>
        <w:t>。</w:t>
      </w:r>
    </w:p>
    <w:p w14:paraId="5FB20720">
      <w:pPr>
        <w:spacing w:before="84" w:line="297" w:lineRule="auto"/>
        <w:ind w:left="943" w:right="61" w:hanging="895"/>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9"/>
          <w:sz w:val="23"/>
          <w:szCs w:val="23"/>
          <w:highlight w:val="none"/>
        </w:rPr>
        <w:t>20.4.2</w:t>
      </w:r>
      <w:r>
        <w:rPr>
          <w:rFonts w:ascii="方正仿宋_GBK" w:hAnsi="方正仿宋_GBK" w:eastAsia="方正仿宋_GBK" w:cs="方正仿宋_GBK"/>
          <w:b/>
          <w:bCs/>
          <w:spacing w:val="9"/>
          <w:sz w:val="23"/>
          <w:szCs w:val="23"/>
          <w:highlight w:val="none"/>
        </w:rPr>
        <w:t>如本项目使用综合评分法</w:t>
      </w:r>
      <w:r>
        <w:rPr>
          <w:rFonts w:ascii="方正仿宋_GBK" w:hAnsi="方正仿宋_GBK" w:eastAsia="方正仿宋_GBK" w:cs="方正仿宋_GBK"/>
          <w:spacing w:val="9"/>
          <w:sz w:val="23"/>
          <w:szCs w:val="23"/>
          <w:highlight w:val="none"/>
        </w:rPr>
        <w:t>，</w:t>
      </w:r>
      <w:r>
        <w:rPr>
          <w:rFonts w:ascii="方正仿宋_GBK" w:hAnsi="方正仿宋_GBK" w:eastAsia="方正仿宋_GBK" w:cs="方正仿宋_GBK"/>
          <w:b/>
          <w:bCs/>
          <w:spacing w:val="9"/>
          <w:sz w:val="23"/>
          <w:szCs w:val="23"/>
          <w:highlight w:val="none"/>
        </w:rPr>
        <w:t>提供相同品牌产品且通过资格审查、符合性审查的不</w:t>
      </w:r>
      <w:r>
        <w:rPr>
          <w:rFonts w:ascii="方正仿宋_GBK" w:hAnsi="方正仿宋_GBK" w:eastAsia="方正仿宋_GBK" w:cs="方正仿宋_GBK"/>
          <w:b/>
          <w:bCs/>
          <w:spacing w:val="6"/>
          <w:sz w:val="23"/>
          <w:szCs w:val="23"/>
          <w:highlight w:val="none"/>
        </w:rPr>
        <w:t>同投标人，按一家投标人计算，评审后得分最高的同品牌投标人获得</w:t>
      </w:r>
      <w:r>
        <w:rPr>
          <w:rFonts w:ascii="方正仿宋_GBK" w:hAnsi="方正仿宋_GBK" w:eastAsia="方正仿宋_GBK" w:cs="方正仿宋_GBK"/>
          <w:b/>
          <w:bCs/>
          <w:spacing w:val="5"/>
          <w:sz w:val="23"/>
          <w:szCs w:val="23"/>
          <w:highlight w:val="none"/>
        </w:rPr>
        <w:t>中标人推荐</w:t>
      </w:r>
      <w:r>
        <w:rPr>
          <w:rFonts w:ascii="方正仿宋_GBK" w:hAnsi="方正仿宋_GBK" w:eastAsia="方正仿宋_GBK" w:cs="方正仿宋_GBK"/>
          <w:b/>
          <w:bCs/>
          <w:spacing w:val="10"/>
          <w:sz w:val="23"/>
          <w:szCs w:val="23"/>
          <w:highlight w:val="none"/>
        </w:rPr>
        <w:t>资格；</w:t>
      </w:r>
      <w:r>
        <w:rPr>
          <w:rFonts w:ascii="方正仿宋_GBK" w:hAnsi="方正仿宋_GBK" w:eastAsia="方正仿宋_GBK" w:cs="方正仿宋_GBK"/>
          <w:spacing w:val="10"/>
          <w:sz w:val="23"/>
          <w:szCs w:val="23"/>
          <w:highlight w:val="none"/>
        </w:rPr>
        <w:t>如评审得分相同，推介报价低的投标人为后选人。或由采</w:t>
      </w:r>
      <w:r>
        <w:rPr>
          <w:rFonts w:ascii="方正仿宋_GBK" w:hAnsi="方正仿宋_GBK" w:eastAsia="方正仿宋_GBK" w:cs="方正仿宋_GBK"/>
          <w:spacing w:val="9"/>
          <w:sz w:val="23"/>
          <w:szCs w:val="23"/>
          <w:highlight w:val="none"/>
        </w:rPr>
        <w:t>购人或者采购人</w:t>
      </w:r>
      <w:r>
        <w:rPr>
          <w:rFonts w:ascii="方正仿宋_GBK" w:hAnsi="方正仿宋_GBK" w:eastAsia="方正仿宋_GBK" w:cs="方正仿宋_GBK"/>
          <w:spacing w:val="10"/>
          <w:sz w:val="23"/>
          <w:szCs w:val="23"/>
          <w:highlight w:val="none"/>
        </w:rPr>
        <w:t>委托评标委员会按照招标文件中评标办法规定的其他方式确定一个投</w:t>
      </w:r>
      <w:r>
        <w:rPr>
          <w:rFonts w:ascii="方正仿宋_GBK" w:hAnsi="方正仿宋_GBK" w:eastAsia="方正仿宋_GBK" w:cs="方正仿宋_GBK"/>
          <w:spacing w:val="9"/>
          <w:sz w:val="23"/>
          <w:szCs w:val="23"/>
          <w:highlight w:val="none"/>
        </w:rPr>
        <w:t>标人获得中</w:t>
      </w:r>
      <w:r>
        <w:rPr>
          <w:rFonts w:ascii="方正仿宋_GBK" w:hAnsi="方正仿宋_GBK" w:eastAsia="方正仿宋_GBK" w:cs="方正仿宋_GBK"/>
          <w:spacing w:val="10"/>
          <w:sz w:val="23"/>
          <w:szCs w:val="23"/>
          <w:highlight w:val="none"/>
        </w:rPr>
        <w:t>标人推荐资格；未规定的采取随机抽取方式确定，其他同品牌投标人</w:t>
      </w:r>
      <w:r>
        <w:rPr>
          <w:rFonts w:ascii="方正仿宋_GBK" w:hAnsi="方正仿宋_GBK" w:eastAsia="方正仿宋_GBK" w:cs="方正仿宋_GBK"/>
          <w:spacing w:val="9"/>
          <w:sz w:val="23"/>
          <w:szCs w:val="23"/>
          <w:highlight w:val="none"/>
        </w:rPr>
        <w:t>不作为中标</w:t>
      </w:r>
      <w:r>
        <w:rPr>
          <w:rFonts w:ascii="方正仿宋_GBK" w:hAnsi="方正仿宋_GBK" w:eastAsia="方正仿宋_GBK" w:cs="方正仿宋_GBK"/>
          <w:spacing w:val="-1"/>
          <w:sz w:val="23"/>
          <w:szCs w:val="23"/>
          <w:highlight w:val="none"/>
        </w:rPr>
        <w:t>候选人。</w:t>
      </w:r>
    </w:p>
    <w:p w14:paraId="607EBEF8">
      <w:pPr>
        <w:spacing w:before="18" w:line="232" w:lineRule="auto"/>
        <w:ind w:left="48"/>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6"/>
          <w:sz w:val="23"/>
          <w:szCs w:val="23"/>
          <w:highlight w:val="none"/>
        </w:rPr>
        <w:t>20.5如一个分包内包含多种产品的，采购人或采购代理机构将在</w:t>
      </w:r>
      <w:r>
        <w:rPr>
          <w:rFonts w:ascii="方正仿宋_GBK" w:hAnsi="方正仿宋_GBK" w:eastAsia="方正仿宋_GBK" w:cs="方正仿宋_GBK"/>
          <w:spacing w:val="6"/>
          <w:sz w:val="23"/>
          <w:szCs w:val="23"/>
          <w:highlight w:val="none"/>
          <w:u w:val="single" w:color="auto"/>
        </w:rPr>
        <w:t>投标人须知资料表</w:t>
      </w:r>
      <w:r>
        <w:rPr>
          <w:rFonts w:ascii="方正仿宋_GBK" w:hAnsi="方正仿宋_GBK" w:eastAsia="方正仿宋_GBK" w:cs="方正仿宋_GBK"/>
          <w:spacing w:val="6"/>
          <w:sz w:val="23"/>
          <w:szCs w:val="23"/>
          <w:highlight w:val="none"/>
        </w:rPr>
        <w:t>中载</w:t>
      </w:r>
    </w:p>
    <w:p w14:paraId="345BD622">
      <w:pPr>
        <w:spacing w:before="95" w:line="238" w:lineRule="auto"/>
        <w:ind w:left="971"/>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7"/>
          <w:sz w:val="23"/>
          <w:szCs w:val="23"/>
          <w:highlight w:val="none"/>
        </w:rPr>
        <w:t>明核心产品，多家投标人提供的核心产品品牌</w:t>
      </w:r>
      <w:r>
        <w:rPr>
          <w:rFonts w:ascii="方正仿宋_GBK" w:hAnsi="方正仿宋_GBK" w:eastAsia="方正仿宋_GBK" w:cs="方正仿宋_GBK"/>
          <w:spacing w:val="6"/>
          <w:sz w:val="23"/>
          <w:szCs w:val="23"/>
          <w:highlight w:val="none"/>
        </w:rPr>
        <w:t>相同的，按第20.4条规定处理。</w:t>
      </w:r>
    </w:p>
    <w:p w14:paraId="5B8628B1">
      <w:pPr>
        <w:spacing w:before="86" w:line="238" w:lineRule="auto"/>
        <w:ind w:left="48"/>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13"/>
          <w:sz w:val="23"/>
          <w:szCs w:val="23"/>
          <w:highlight w:val="none"/>
        </w:rPr>
        <w:t>20.6投标人所投产品如被列入财政部与国家主管部门</w:t>
      </w:r>
      <w:r>
        <w:rPr>
          <w:rFonts w:ascii="方正仿宋_GBK" w:hAnsi="方正仿宋_GBK" w:eastAsia="方正仿宋_GBK" w:cs="方正仿宋_GBK"/>
          <w:spacing w:val="12"/>
          <w:sz w:val="23"/>
          <w:szCs w:val="23"/>
          <w:highlight w:val="none"/>
        </w:rPr>
        <w:t>颁发的节能产品目录或环境标志</w:t>
      </w:r>
    </w:p>
    <w:p w14:paraId="6C9F7DC3">
      <w:pPr>
        <w:spacing w:before="85" w:line="289" w:lineRule="auto"/>
        <w:ind w:left="944" w:right="94" w:firstLine="3"/>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10"/>
          <w:sz w:val="23"/>
          <w:szCs w:val="23"/>
          <w:highlight w:val="none"/>
        </w:rPr>
        <w:t>产品目录或无线局域网产品目录，应提供相关证明，在评</w:t>
      </w:r>
      <w:r>
        <w:rPr>
          <w:rFonts w:ascii="方正仿宋_GBK" w:hAnsi="方正仿宋_GBK" w:eastAsia="方正仿宋_GBK" w:cs="方正仿宋_GBK"/>
          <w:spacing w:val="9"/>
          <w:sz w:val="23"/>
          <w:szCs w:val="23"/>
          <w:highlight w:val="none"/>
        </w:rPr>
        <w:t>标时予以优先采购，具</w:t>
      </w:r>
      <w:r>
        <w:rPr>
          <w:rFonts w:ascii="方正仿宋_GBK" w:hAnsi="方正仿宋_GBK" w:eastAsia="方正仿宋_GBK" w:cs="方正仿宋_GBK"/>
          <w:spacing w:val="7"/>
          <w:sz w:val="23"/>
          <w:szCs w:val="23"/>
          <w:highlight w:val="none"/>
        </w:rPr>
        <w:t>体优先采购办法见第六章评标方法和标准。</w:t>
      </w:r>
    </w:p>
    <w:p w14:paraId="55AF2E00">
      <w:pPr>
        <w:spacing w:before="31" w:line="290" w:lineRule="auto"/>
        <w:ind w:left="960" w:right="92" w:firstLine="51"/>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如采购人所采购产品为政府强制采购的节能产品，投标人所投产品的品牌及</w:t>
      </w:r>
      <w:r>
        <w:rPr>
          <w:rFonts w:ascii="方正仿宋_GBK" w:hAnsi="方正仿宋_GBK" w:eastAsia="方正仿宋_GBK" w:cs="方正仿宋_GBK"/>
          <w:spacing w:val="7"/>
          <w:sz w:val="23"/>
          <w:szCs w:val="23"/>
          <w:highlight w:val="none"/>
        </w:rPr>
        <w:t>型号</w:t>
      </w:r>
      <w:r>
        <w:rPr>
          <w:rFonts w:ascii="方正仿宋_GBK" w:hAnsi="方正仿宋_GBK" w:eastAsia="方正仿宋_GBK" w:cs="方正仿宋_GBK"/>
          <w:spacing w:val="9"/>
          <w:sz w:val="23"/>
          <w:szCs w:val="23"/>
          <w:highlight w:val="none"/>
        </w:rPr>
        <w:t>必须为清单中有效期内产品并提供证明文件，否则其</w:t>
      </w:r>
      <w:r>
        <w:rPr>
          <w:rFonts w:ascii="方正仿宋_GBK" w:hAnsi="方正仿宋_GBK" w:eastAsia="方正仿宋_GBK" w:cs="方正仿宋_GBK"/>
          <w:spacing w:val="8"/>
          <w:sz w:val="23"/>
          <w:szCs w:val="23"/>
          <w:highlight w:val="none"/>
        </w:rPr>
        <w:t>投标将被认定为</w:t>
      </w:r>
      <w:r>
        <w:rPr>
          <w:rFonts w:ascii="方正仿宋_GBK" w:hAnsi="方正仿宋_GBK" w:eastAsia="方正仿宋_GBK" w:cs="方正仿宋_GBK"/>
          <w:b/>
          <w:bCs/>
          <w:spacing w:val="8"/>
          <w:sz w:val="23"/>
          <w:szCs w:val="23"/>
          <w:highlight w:val="none"/>
        </w:rPr>
        <w:t>投标无效</w:t>
      </w:r>
      <w:r>
        <w:rPr>
          <w:rFonts w:ascii="方正仿宋_GBK" w:hAnsi="方正仿宋_GBK" w:eastAsia="方正仿宋_GBK" w:cs="方正仿宋_GBK"/>
          <w:spacing w:val="8"/>
          <w:sz w:val="23"/>
          <w:szCs w:val="23"/>
          <w:highlight w:val="none"/>
        </w:rPr>
        <w:t>。</w:t>
      </w:r>
    </w:p>
    <w:p w14:paraId="55133108">
      <w:pPr>
        <w:pStyle w:val="7"/>
        <w:spacing w:line="306" w:lineRule="auto"/>
        <w:rPr>
          <w:highlight w:val="none"/>
        </w:rPr>
      </w:pPr>
    </w:p>
    <w:p w14:paraId="771F36F8">
      <w:pPr>
        <w:spacing w:before="103" w:line="233" w:lineRule="auto"/>
        <w:ind w:left="50"/>
        <w:outlineLvl w:val="1"/>
        <w:rPr>
          <w:rFonts w:ascii="方正仿宋_GBK" w:hAnsi="方正仿宋_GBK" w:eastAsia="方正仿宋_GBK" w:cs="方正仿宋_GBK"/>
          <w:sz w:val="28"/>
          <w:szCs w:val="28"/>
          <w:highlight w:val="none"/>
        </w:rPr>
      </w:pPr>
      <w:bookmarkStart w:id="39" w:name="bookmark28"/>
      <w:bookmarkEnd w:id="39"/>
      <w:bookmarkStart w:id="40" w:name="bookmark29"/>
      <w:bookmarkEnd w:id="40"/>
      <w:r>
        <w:rPr>
          <w:rFonts w:ascii="方正仿宋_GBK" w:hAnsi="方正仿宋_GBK" w:eastAsia="方正仿宋_GBK" w:cs="方正仿宋_GBK"/>
          <w:b/>
          <w:bCs/>
          <w:spacing w:val="-11"/>
          <w:sz w:val="28"/>
          <w:szCs w:val="28"/>
          <w:highlight w:val="none"/>
        </w:rPr>
        <w:t>21.投标偏离</w:t>
      </w:r>
    </w:p>
    <w:p w14:paraId="6AD60758">
      <w:pPr>
        <w:spacing w:before="58" w:line="239" w:lineRule="auto"/>
        <w:ind w:left="914"/>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9"/>
          <w:sz w:val="23"/>
          <w:szCs w:val="23"/>
          <w:highlight w:val="none"/>
        </w:rPr>
        <w:t>评标委员会可以接受投标文件中不构成实质性偏</w:t>
      </w:r>
      <w:r>
        <w:rPr>
          <w:rFonts w:ascii="方正仿宋_GBK" w:hAnsi="方正仿宋_GBK" w:eastAsia="方正仿宋_GBK" w:cs="方正仿宋_GBK"/>
          <w:spacing w:val="8"/>
          <w:sz w:val="23"/>
          <w:szCs w:val="23"/>
          <w:highlight w:val="none"/>
        </w:rPr>
        <w:t>离的不正规或不一致。</w:t>
      </w:r>
    </w:p>
    <w:p w14:paraId="033DAF86">
      <w:pPr>
        <w:pStyle w:val="7"/>
        <w:spacing w:line="365" w:lineRule="auto"/>
        <w:rPr>
          <w:highlight w:val="none"/>
        </w:rPr>
      </w:pPr>
    </w:p>
    <w:p w14:paraId="371D267A">
      <w:pPr>
        <w:spacing w:before="102" w:line="233" w:lineRule="auto"/>
        <w:ind w:left="50"/>
        <w:outlineLvl w:val="1"/>
        <w:rPr>
          <w:rFonts w:ascii="方正仿宋_GBK" w:hAnsi="方正仿宋_GBK" w:eastAsia="方正仿宋_GBK" w:cs="方正仿宋_GBK"/>
          <w:sz w:val="28"/>
          <w:szCs w:val="28"/>
          <w:highlight w:val="none"/>
        </w:rPr>
      </w:pPr>
      <w:bookmarkStart w:id="41" w:name="bookmark31"/>
      <w:bookmarkEnd w:id="41"/>
      <w:bookmarkStart w:id="42" w:name="bookmark30"/>
      <w:bookmarkEnd w:id="42"/>
      <w:r>
        <w:rPr>
          <w:rFonts w:ascii="方正仿宋_GBK" w:hAnsi="方正仿宋_GBK" w:eastAsia="方正仿宋_GBK" w:cs="方正仿宋_GBK"/>
          <w:b/>
          <w:bCs/>
          <w:spacing w:val="-5"/>
          <w:sz w:val="28"/>
          <w:szCs w:val="28"/>
          <w:highlight w:val="none"/>
        </w:rPr>
        <w:t>22.投标无效</w:t>
      </w:r>
    </w:p>
    <w:p w14:paraId="21AC40E0">
      <w:pPr>
        <w:spacing w:before="58" w:line="234"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7"/>
          <w:sz w:val="23"/>
          <w:szCs w:val="23"/>
          <w:highlight w:val="none"/>
        </w:rPr>
        <w:t>22.1在比较与评价之前，根据本须知的规定，评标委员会要审查每份投标文件是否实质</w:t>
      </w:r>
    </w:p>
    <w:p w14:paraId="7B1ABBFA">
      <w:pPr>
        <w:spacing w:before="94" w:line="296" w:lineRule="auto"/>
        <w:ind w:left="899" w:firstLine="4"/>
        <w:jc w:val="both"/>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7"/>
          <w:sz w:val="23"/>
          <w:szCs w:val="23"/>
          <w:highlight w:val="none"/>
        </w:rPr>
        <w:t>上响应了招标文件的要求。实质上响应的投标应该是与招标文件要求的全部条</w:t>
      </w:r>
      <w:r>
        <w:rPr>
          <w:rFonts w:ascii="方正仿宋_GBK" w:hAnsi="方正仿宋_GBK" w:eastAsia="方正仿宋_GBK" w:cs="方正仿宋_GBK"/>
          <w:spacing w:val="6"/>
          <w:sz w:val="23"/>
          <w:szCs w:val="23"/>
          <w:highlight w:val="none"/>
        </w:rPr>
        <w:t>款、</w:t>
      </w:r>
      <w:r>
        <w:rPr>
          <w:rFonts w:ascii="方正仿宋_GBK" w:hAnsi="方正仿宋_GBK" w:eastAsia="方正仿宋_GBK" w:cs="方正仿宋_GBK"/>
          <w:spacing w:val="11"/>
          <w:sz w:val="23"/>
          <w:szCs w:val="23"/>
          <w:highlight w:val="none"/>
        </w:rPr>
        <w:t>条件和规格相符，没有重大偏离的投标。对关键条款的偏离，将被认定为</w:t>
      </w:r>
      <w:r>
        <w:rPr>
          <w:rFonts w:ascii="方正仿宋_GBK" w:hAnsi="方正仿宋_GBK" w:eastAsia="方正仿宋_GBK" w:cs="方正仿宋_GBK"/>
          <w:b/>
          <w:bCs/>
          <w:spacing w:val="11"/>
          <w:sz w:val="23"/>
          <w:szCs w:val="23"/>
          <w:highlight w:val="none"/>
        </w:rPr>
        <w:t>投标无效</w:t>
      </w:r>
      <w:r>
        <w:rPr>
          <w:rFonts w:ascii="方正仿宋_GBK" w:hAnsi="方正仿宋_GBK" w:eastAsia="方正仿宋_GBK" w:cs="方正仿宋_GBK"/>
          <w:spacing w:val="11"/>
          <w:sz w:val="23"/>
          <w:szCs w:val="23"/>
          <w:highlight w:val="none"/>
        </w:rPr>
        <w:t>。投标人不得通过修正或撤销不符合要求的偏离，从而使其投标成为实质上响应的投标。评标委员会决定投标的响应性只根据招标文件要求、投标文件内容及</w:t>
      </w:r>
      <w:r>
        <w:rPr>
          <w:rFonts w:ascii="方正仿宋_GBK" w:hAnsi="方正仿宋_GBK" w:eastAsia="方正仿宋_GBK" w:cs="方正仿宋_GBK"/>
          <w:spacing w:val="7"/>
          <w:sz w:val="23"/>
          <w:szCs w:val="23"/>
          <w:highlight w:val="none"/>
        </w:rPr>
        <w:t>财政主管部门指定相关信息发布媒体。</w:t>
      </w:r>
    </w:p>
    <w:p w14:paraId="56E0361A">
      <w:pPr>
        <w:spacing w:before="24" w:line="238" w:lineRule="auto"/>
        <w:ind w:left="48"/>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22.2如发现下列情况之一的，其投标将被认定为</w:t>
      </w:r>
      <w:r>
        <w:rPr>
          <w:rFonts w:ascii="方正仿宋_GBK" w:hAnsi="方正仿宋_GBK" w:eastAsia="方正仿宋_GBK" w:cs="方正仿宋_GBK"/>
          <w:b/>
          <w:bCs/>
          <w:spacing w:val="8"/>
          <w:sz w:val="23"/>
          <w:szCs w:val="23"/>
          <w:highlight w:val="none"/>
        </w:rPr>
        <w:t>投标无效</w:t>
      </w:r>
      <w:r>
        <w:rPr>
          <w:rFonts w:ascii="方正仿宋_GBK" w:hAnsi="方正仿宋_GBK" w:eastAsia="方正仿宋_GBK" w:cs="方正仿宋_GBK"/>
          <w:spacing w:val="8"/>
          <w:sz w:val="23"/>
          <w:szCs w:val="23"/>
          <w:highlight w:val="none"/>
        </w:rPr>
        <w:t>：（</w:t>
      </w:r>
      <w:r>
        <w:rPr>
          <w:rFonts w:ascii="方正仿宋_GBK" w:hAnsi="方正仿宋_GBK" w:eastAsia="方正仿宋_GBK" w:cs="方正仿宋_GBK"/>
          <w:b/>
          <w:bCs/>
          <w:spacing w:val="8"/>
          <w:sz w:val="23"/>
          <w:szCs w:val="23"/>
          <w:highlight w:val="none"/>
        </w:rPr>
        <w:t>以下情形应当在招标文</w:t>
      </w:r>
    </w:p>
    <w:p w14:paraId="1EFDDC95">
      <w:pPr>
        <w:spacing w:before="87" w:line="238" w:lineRule="auto"/>
        <w:ind w:left="947"/>
        <w:rPr>
          <w:rFonts w:ascii="方正仿宋_GBK" w:hAnsi="方正仿宋_GBK" w:eastAsia="方正仿宋_GBK" w:cs="方正仿宋_GBK"/>
          <w:sz w:val="23"/>
          <w:szCs w:val="23"/>
          <w:highlight w:val="none"/>
        </w:rPr>
      </w:pPr>
      <w:r>
        <w:rPr>
          <w:rFonts w:ascii="方正仿宋_GBK" w:hAnsi="方正仿宋_GBK" w:eastAsia="方正仿宋_GBK" w:cs="方正仿宋_GBK"/>
          <w:b/>
          <w:bCs/>
          <w:spacing w:val="8"/>
          <w:sz w:val="23"/>
          <w:szCs w:val="23"/>
          <w:highlight w:val="none"/>
        </w:rPr>
        <w:t>件中规定，并以醒目的方式标明</w:t>
      </w:r>
      <w:r>
        <w:rPr>
          <w:rFonts w:ascii="方正仿宋_GBK" w:hAnsi="方正仿宋_GBK" w:eastAsia="方正仿宋_GBK" w:cs="方正仿宋_GBK"/>
          <w:spacing w:val="8"/>
          <w:sz w:val="23"/>
          <w:szCs w:val="23"/>
          <w:highlight w:val="none"/>
        </w:rPr>
        <w:t>）</w:t>
      </w:r>
    </w:p>
    <w:p w14:paraId="60F5A0B0">
      <w:pPr>
        <w:spacing w:before="86" w:line="237" w:lineRule="auto"/>
        <w:ind w:left="940"/>
        <w:rPr>
          <w:rFonts w:ascii="方正仿宋_GBK" w:hAnsi="方正仿宋_GBK" w:eastAsia="方正仿宋_GBK" w:cs="方正仿宋_GBK"/>
          <w:sz w:val="23"/>
          <w:szCs w:val="23"/>
          <w:highlight w:val="none"/>
        </w:rPr>
      </w:pPr>
      <w:r>
        <w:rPr>
          <w:rFonts w:ascii="仿宋" w:hAnsi="仿宋" w:eastAsia="仿宋" w:cs="仿宋"/>
          <w:spacing w:val="5"/>
          <w:sz w:val="23"/>
          <w:szCs w:val="23"/>
          <w:highlight w:val="none"/>
        </w:rPr>
        <w:t>（1）</w:t>
      </w:r>
      <w:r>
        <w:rPr>
          <w:rFonts w:ascii="方正仿宋_GBK" w:hAnsi="方正仿宋_GBK" w:eastAsia="方正仿宋_GBK" w:cs="方正仿宋_GBK"/>
          <w:spacing w:val="5"/>
          <w:sz w:val="23"/>
          <w:szCs w:val="23"/>
          <w:highlight w:val="none"/>
        </w:rPr>
        <w:t>未按招标文件规定的形式和金额提交投标保证金的；</w:t>
      </w:r>
    </w:p>
    <w:p w14:paraId="3372BF0F">
      <w:pPr>
        <w:spacing w:before="88" w:line="237" w:lineRule="auto"/>
        <w:ind w:left="940"/>
        <w:rPr>
          <w:rFonts w:ascii="方正仿宋_GBK" w:hAnsi="方正仿宋_GBK" w:eastAsia="方正仿宋_GBK" w:cs="方正仿宋_GBK"/>
          <w:spacing w:val="4"/>
          <w:sz w:val="23"/>
          <w:szCs w:val="23"/>
          <w:highlight w:val="none"/>
        </w:rPr>
      </w:pPr>
      <w:r>
        <w:rPr>
          <w:rFonts w:ascii="仿宋" w:hAnsi="仿宋" w:eastAsia="仿宋" w:cs="仿宋"/>
          <w:spacing w:val="4"/>
          <w:sz w:val="23"/>
          <w:szCs w:val="23"/>
          <w:highlight w:val="none"/>
        </w:rPr>
        <w:t>（2）</w:t>
      </w:r>
      <w:r>
        <w:rPr>
          <w:rFonts w:ascii="方正仿宋_GBK" w:hAnsi="方正仿宋_GBK" w:eastAsia="方正仿宋_GBK" w:cs="方正仿宋_GBK"/>
          <w:spacing w:val="4"/>
          <w:sz w:val="23"/>
          <w:szCs w:val="23"/>
          <w:highlight w:val="none"/>
        </w:rPr>
        <w:t>未按照招标文件规定要求签署、盖章的；</w:t>
      </w:r>
    </w:p>
    <w:p w14:paraId="3353F76D">
      <w:pPr>
        <w:spacing w:before="88" w:line="237" w:lineRule="auto"/>
        <w:ind w:left="940"/>
        <w:rPr>
          <w:rFonts w:ascii="方正仿宋_GBK" w:hAnsi="方正仿宋_GBK" w:eastAsia="方正仿宋_GBK" w:cs="方正仿宋_GBK"/>
          <w:spacing w:val="4"/>
          <w:sz w:val="23"/>
          <w:szCs w:val="23"/>
          <w:highlight w:val="none"/>
        </w:rPr>
      </w:pPr>
      <w:r>
        <w:rPr>
          <w:rFonts w:ascii="仿宋" w:hAnsi="仿宋" w:eastAsia="仿宋" w:cs="仿宋"/>
          <w:spacing w:val="4"/>
          <w:sz w:val="23"/>
          <w:szCs w:val="23"/>
          <w:highlight w:val="none"/>
        </w:rPr>
        <w:t>（3）</w:t>
      </w:r>
      <w:r>
        <w:rPr>
          <w:rFonts w:ascii="方正仿宋_GBK" w:hAnsi="方正仿宋_GBK" w:eastAsia="方正仿宋_GBK" w:cs="方正仿宋_GBK"/>
          <w:spacing w:val="4"/>
          <w:sz w:val="23"/>
          <w:szCs w:val="23"/>
          <w:highlight w:val="none"/>
        </w:rPr>
        <w:t>未满足招标文件中技术条款的实质性要求；</w:t>
      </w:r>
    </w:p>
    <w:p w14:paraId="0EED6D6C">
      <w:pPr>
        <w:spacing w:before="88" w:line="237" w:lineRule="auto"/>
        <w:ind w:left="940"/>
        <w:rPr>
          <w:rFonts w:ascii="方正仿宋_GBK" w:hAnsi="方正仿宋_GBK" w:eastAsia="方正仿宋_GBK" w:cs="方正仿宋_GBK"/>
          <w:spacing w:val="5"/>
          <w:sz w:val="23"/>
          <w:szCs w:val="23"/>
          <w:highlight w:val="none"/>
        </w:rPr>
      </w:pPr>
      <w:r>
        <w:rPr>
          <w:rFonts w:ascii="仿宋" w:hAnsi="仿宋" w:eastAsia="仿宋" w:cs="仿宋"/>
          <w:spacing w:val="5"/>
          <w:sz w:val="23"/>
          <w:szCs w:val="23"/>
          <w:highlight w:val="none"/>
        </w:rPr>
        <w:t>（4）</w:t>
      </w:r>
      <w:r>
        <w:rPr>
          <w:rFonts w:ascii="方正仿宋_GBK" w:hAnsi="方正仿宋_GBK" w:eastAsia="方正仿宋_GBK" w:cs="方正仿宋_GBK"/>
          <w:spacing w:val="5"/>
          <w:sz w:val="23"/>
          <w:szCs w:val="23"/>
          <w:highlight w:val="none"/>
        </w:rPr>
        <w:t>与其他投标人串通投标，或者与招标人串通投标；</w:t>
      </w:r>
    </w:p>
    <w:p w14:paraId="30673F59">
      <w:pPr>
        <w:spacing w:before="88" w:line="237" w:lineRule="auto"/>
        <w:ind w:left="940"/>
        <w:rPr>
          <w:rFonts w:ascii="方正仿宋_GBK" w:hAnsi="方正仿宋_GBK" w:eastAsia="方正仿宋_GBK" w:cs="方正仿宋_GBK"/>
          <w:spacing w:val="4"/>
          <w:sz w:val="23"/>
          <w:szCs w:val="23"/>
          <w:highlight w:val="none"/>
        </w:rPr>
      </w:pPr>
      <w:r>
        <w:rPr>
          <w:rFonts w:ascii="仿宋" w:hAnsi="仿宋" w:eastAsia="仿宋" w:cs="仿宋"/>
          <w:spacing w:val="4"/>
          <w:sz w:val="23"/>
          <w:szCs w:val="23"/>
          <w:highlight w:val="none"/>
        </w:rPr>
        <w:t>（5）</w:t>
      </w:r>
      <w:r>
        <w:rPr>
          <w:rFonts w:ascii="方正仿宋_GBK" w:hAnsi="方正仿宋_GBK" w:eastAsia="方正仿宋_GBK" w:cs="方正仿宋_GBK"/>
          <w:spacing w:val="4"/>
          <w:sz w:val="23"/>
          <w:szCs w:val="23"/>
          <w:highlight w:val="none"/>
        </w:rPr>
        <w:t>属于招标文件规定的其他</w:t>
      </w:r>
      <w:r>
        <w:rPr>
          <w:rFonts w:ascii="方正仿宋_GBK" w:hAnsi="方正仿宋_GBK" w:eastAsia="方正仿宋_GBK" w:cs="方正仿宋_GBK"/>
          <w:b/>
          <w:bCs/>
          <w:spacing w:val="4"/>
          <w:sz w:val="23"/>
          <w:szCs w:val="23"/>
          <w:highlight w:val="none"/>
        </w:rPr>
        <w:t>投标无效</w:t>
      </w:r>
      <w:r>
        <w:rPr>
          <w:rFonts w:ascii="方正仿宋_GBK" w:hAnsi="方正仿宋_GBK" w:eastAsia="方正仿宋_GBK" w:cs="方正仿宋_GBK"/>
          <w:spacing w:val="4"/>
          <w:sz w:val="23"/>
          <w:szCs w:val="23"/>
          <w:highlight w:val="none"/>
        </w:rPr>
        <w:t>情形；</w:t>
      </w:r>
    </w:p>
    <w:p w14:paraId="45BD4482">
      <w:pPr>
        <w:spacing w:before="88" w:line="237" w:lineRule="auto"/>
        <w:ind w:left="940"/>
        <w:rPr>
          <w:rFonts w:ascii="方正仿宋_GBK" w:hAnsi="方正仿宋_GBK" w:eastAsia="方正仿宋_GBK" w:cs="方正仿宋_GBK"/>
          <w:spacing w:val="7"/>
          <w:sz w:val="23"/>
          <w:szCs w:val="23"/>
          <w:highlight w:val="none"/>
        </w:rPr>
      </w:pPr>
      <w:r>
        <w:rPr>
          <w:rFonts w:ascii="仿宋" w:hAnsi="仿宋" w:eastAsia="仿宋" w:cs="仿宋"/>
          <w:spacing w:val="7"/>
          <w:sz w:val="23"/>
          <w:szCs w:val="23"/>
          <w:highlight w:val="none"/>
        </w:rPr>
        <w:t>（6）</w:t>
      </w:r>
      <w:r>
        <w:rPr>
          <w:rFonts w:ascii="方正仿宋_GBK" w:hAnsi="方正仿宋_GBK" w:eastAsia="方正仿宋_GBK" w:cs="方正仿宋_GBK"/>
          <w:spacing w:val="7"/>
          <w:sz w:val="23"/>
          <w:szCs w:val="23"/>
          <w:highlight w:val="none"/>
        </w:rPr>
        <w:t>评标委员会认为投标人的报价明显低于其他通过符合性检</w:t>
      </w:r>
      <w:r>
        <w:rPr>
          <w:rFonts w:ascii="方正仿宋_GBK" w:hAnsi="方正仿宋_GBK" w:eastAsia="方正仿宋_GBK" w:cs="方正仿宋_GBK"/>
          <w:spacing w:val="6"/>
          <w:sz w:val="23"/>
          <w:szCs w:val="23"/>
          <w:highlight w:val="none"/>
        </w:rPr>
        <w:t>查投标人的报价</w:t>
      </w:r>
      <w:r>
        <w:rPr>
          <w:rFonts w:hint="eastAsia" w:ascii="方正仿宋_GBK" w:hAnsi="方正仿宋_GBK" w:eastAsia="方正仿宋_GBK" w:cs="方正仿宋_GBK"/>
          <w:spacing w:val="6"/>
          <w:sz w:val="23"/>
          <w:szCs w:val="23"/>
          <w:highlight w:val="none"/>
          <w:lang w:eastAsia="zh-CN"/>
        </w:rPr>
        <w:t>，</w:t>
      </w:r>
      <w:r>
        <w:rPr>
          <w:rFonts w:ascii="方正仿宋_GBK" w:hAnsi="方正仿宋_GBK" w:eastAsia="方正仿宋_GBK" w:cs="方正仿宋_GBK"/>
          <w:spacing w:val="8"/>
          <w:sz w:val="23"/>
          <w:szCs w:val="23"/>
          <w:highlight w:val="none"/>
        </w:rPr>
        <w:t>有可能影响履约的，且投标人未按照规定证</w:t>
      </w:r>
      <w:r>
        <w:rPr>
          <w:rFonts w:ascii="方正仿宋_GBK" w:hAnsi="方正仿宋_GBK" w:eastAsia="方正仿宋_GBK" w:cs="方正仿宋_GBK"/>
          <w:spacing w:val="7"/>
          <w:sz w:val="23"/>
          <w:szCs w:val="23"/>
          <w:highlight w:val="none"/>
        </w:rPr>
        <w:t>明其报价合理性的；</w:t>
      </w:r>
    </w:p>
    <w:p w14:paraId="375547F9">
      <w:pPr>
        <w:spacing w:before="88" w:line="237" w:lineRule="auto"/>
        <w:ind w:left="940"/>
        <w:rPr>
          <w:rFonts w:ascii="方正仿宋_GBK" w:hAnsi="方正仿宋_GBK" w:eastAsia="方正仿宋_GBK" w:cs="方正仿宋_GBK"/>
          <w:spacing w:val="5"/>
          <w:sz w:val="23"/>
          <w:szCs w:val="23"/>
          <w:highlight w:val="none"/>
        </w:rPr>
      </w:pPr>
      <w:r>
        <w:rPr>
          <w:rFonts w:ascii="仿宋" w:hAnsi="仿宋" w:eastAsia="仿宋" w:cs="仿宋"/>
          <w:spacing w:val="5"/>
          <w:sz w:val="23"/>
          <w:szCs w:val="23"/>
          <w:highlight w:val="none"/>
        </w:rPr>
        <w:t>（7）</w:t>
      </w:r>
      <w:r>
        <w:rPr>
          <w:rFonts w:ascii="方正仿宋_GBK" w:hAnsi="方正仿宋_GBK" w:eastAsia="方正仿宋_GBK" w:cs="方正仿宋_GBK"/>
          <w:spacing w:val="5"/>
          <w:sz w:val="23"/>
          <w:szCs w:val="23"/>
          <w:highlight w:val="none"/>
        </w:rPr>
        <w:t>投标文件含有采购人不能接受的附加条件的；</w:t>
      </w:r>
    </w:p>
    <w:p w14:paraId="7DDA21F6">
      <w:pPr>
        <w:spacing w:before="88" w:line="237" w:lineRule="auto"/>
        <w:ind w:left="940"/>
        <w:rPr>
          <w:rFonts w:ascii="方正仿宋_GBK" w:hAnsi="方正仿宋_GBK" w:eastAsia="方正仿宋_GBK" w:cs="方正仿宋_GBK"/>
          <w:sz w:val="23"/>
          <w:szCs w:val="23"/>
          <w:highlight w:val="none"/>
        </w:rPr>
      </w:pPr>
      <w:r>
        <w:rPr>
          <w:rFonts w:ascii="仿宋" w:hAnsi="仿宋" w:eastAsia="仿宋" w:cs="仿宋"/>
          <w:spacing w:val="6"/>
          <w:sz w:val="23"/>
          <w:szCs w:val="23"/>
          <w:highlight w:val="none"/>
        </w:rPr>
        <w:t>（8）</w:t>
      </w:r>
      <w:r>
        <w:rPr>
          <w:rFonts w:ascii="方正仿宋_GBK" w:hAnsi="方正仿宋_GBK" w:eastAsia="方正仿宋_GBK" w:cs="方正仿宋_GBK"/>
          <w:spacing w:val="6"/>
          <w:sz w:val="23"/>
          <w:szCs w:val="23"/>
          <w:highlight w:val="none"/>
        </w:rPr>
        <w:t>不符合法规和招标文件中规定的其他实质性</w:t>
      </w:r>
      <w:r>
        <w:rPr>
          <w:rFonts w:ascii="方正仿宋_GBK" w:hAnsi="方正仿宋_GBK" w:eastAsia="方正仿宋_GBK" w:cs="方正仿宋_GBK"/>
          <w:spacing w:val="5"/>
          <w:sz w:val="23"/>
          <w:szCs w:val="23"/>
          <w:highlight w:val="none"/>
        </w:rPr>
        <w:t>要求的。</w:t>
      </w:r>
    </w:p>
    <w:p w14:paraId="6F67ACE3">
      <w:pPr>
        <w:spacing w:before="85" w:line="239" w:lineRule="auto"/>
        <w:outlineLvl w:val="1"/>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6"/>
          <w:sz w:val="23"/>
          <w:szCs w:val="23"/>
          <w:highlight w:val="none"/>
        </w:rPr>
        <w:t>23.比较与评价</w:t>
      </w:r>
    </w:p>
    <w:p w14:paraId="56523628">
      <w:pPr>
        <w:spacing w:before="84" w:line="238"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9"/>
          <w:sz w:val="23"/>
          <w:szCs w:val="23"/>
          <w:highlight w:val="none"/>
        </w:rPr>
        <w:t>23.1经符合性审查合格的投标文件，评标委员会将根据招标文件确定的评标方法和标</w:t>
      </w:r>
    </w:p>
    <w:p w14:paraId="2BDAE4E1">
      <w:pPr>
        <w:spacing w:before="87" w:line="238" w:lineRule="auto"/>
        <w:ind w:left="902"/>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准，对其技术部分和商务部分作进一步的比较</w:t>
      </w:r>
      <w:r>
        <w:rPr>
          <w:rFonts w:ascii="方正仿宋_GBK" w:hAnsi="方正仿宋_GBK" w:eastAsia="方正仿宋_GBK" w:cs="方正仿宋_GBK"/>
          <w:spacing w:val="7"/>
          <w:sz w:val="23"/>
          <w:szCs w:val="23"/>
          <w:highlight w:val="none"/>
        </w:rPr>
        <w:t>和评价。</w:t>
      </w:r>
    </w:p>
    <w:p w14:paraId="47EBCB22">
      <w:pPr>
        <w:spacing w:before="86" w:line="232"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10"/>
          <w:sz w:val="23"/>
          <w:szCs w:val="23"/>
          <w:highlight w:val="none"/>
        </w:rPr>
        <w:t>23.2评标严格按照招标文件的要求和条件进行。根据实际情况，在</w:t>
      </w:r>
      <w:r>
        <w:rPr>
          <w:rFonts w:ascii="方正仿宋_GBK" w:hAnsi="方正仿宋_GBK" w:eastAsia="方正仿宋_GBK" w:cs="方正仿宋_GBK"/>
          <w:spacing w:val="10"/>
          <w:sz w:val="23"/>
          <w:szCs w:val="23"/>
          <w:highlight w:val="none"/>
          <w:u w:val="single" w:color="auto"/>
        </w:rPr>
        <w:t>投</w:t>
      </w:r>
      <w:r>
        <w:rPr>
          <w:rFonts w:ascii="方正仿宋_GBK" w:hAnsi="方正仿宋_GBK" w:eastAsia="方正仿宋_GBK" w:cs="方正仿宋_GBK"/>
          <w:spacing w:val="9"/>
          <w:sz w:val="23"/>
          <w:szCs w:val="23"/>
          <w:highlight w:val="none"/>
          <w:u w:val="single" w:color="auto"/>
        </w:rPr>
        <w:t>标人须知资料表</w:t>
      </w:r>
    </w:p>
    <w:p w14:paraId="5697A104">
      <w:pPr>
        <w:spacing w:before="95" w:line="238" w:lineRule="auto"/>
        <w:ind w:left="930"/>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7"/>
          <w:sz w:val="23"/>
          <w:szCs w:val="23"/>
          <w:highlight w:val="none"/>
        </w:rPr>
        <w:t>中规定采用下列一种评标方法，详细评标标</w:t>
      </w:r>
      <w:r>
        <w:rPr>
          <w:rFonts w:ascii="方正仿宋_GBK" w:hAnsi="方正仿宋_GBK" w:eastAsia="方正仿宋_GBK" w:cs="方正仿宋_GBK"/>
          <w:spacing w:val="6"/>
          <w:sz w:val="23"/>
          <w:szCs w:val="23"/>
          <w:highlight w:val="none"/>
        </w:rPr>
        <w:t>准见招标文件第六章：</w:t>
      </w:r>
    </w:p>
    <w:p w14:paraId="165CBC39">
      <w:pPr>
        <w:spacing w:before="85" w:line="270" w:lineRule="auto"/>
        <w:ind w:left="893" w:right="132" w:hanging="194"/>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7"/>
          <w:sz w:val="23"/>
          <w:szCs w:val="23"/>
          <w:highlight w:val="none"/>
        </w:rPr>
        <w:t>（1）最低评标价法，是指投标文件满足招标文件全部实质性要求，</w:t>
      </w:r>
      <w:r>
        <w:rPr>
          <w:rFonts w:ascii="方正仿宋_GBK" w:hAnsi="方正仿宋_GBK" w:eastAsia="方正仿宋_GBK" w:cs="方正仿宋_GBK"/>
          <w:spacing w:val="6"/>
          <w:sz w:val="23"/>
          <w:szCs w:val="23"/>
          <w:highlight w:val="none"/>
        </w:rPr>
        <w:t>且投标报价最</w:t>
      </w:r>
      <w:r>
        <w:rPr>
          <w:rFonts w:ascii="方正仿宋_GBK" w:hAnsi="方正仿宋_GBK" w:eastAsia="方正仿宋_GBK" w:cs="方正仿宋_GBK"/>
          <w:spacing w:val="7"/>
          <w:sz w:val="23"/>
          <w:szCs w:val="23"/>
          <w:highlight w:val="none"/>
        </w:rPr>
        <w:t>低的投标人为中标候选人的评标方法。</w:t>
      </w:r>
    </w:p>
    <w:p w14:paraId="3B46B3EF">
      <w:pPr>
        <w:spacing w:before="163" w:line="305" w:lineRule="auto"/>
        <w:ind w:left="919" w:right="132" w:hanging="220"/>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7"/>
          <w:sz w:val="23"/>
          <w:szCs w:val="23"/>
          <w:highlight w:val="none"/>
        </w:rPr>
        <w:t>（2）综合评分法，是指投标文件满足招标文件全部实质性要求，且按照评审因素的量化指标评审得分最高的投标人为中标候选人的评标方法。</w:t>
      </w:r>
    </w:p>
    <w:p w14:paraId="2A9183F0">
      <w:pPr>
        <w:spacing w:before="148" w:line="231" w:lineRule="auto"/>
        <w:ind w:left="704"/>
        <w:rPr>
          <w:rFonts w:ascii="方正仿宋_GBK" w:hAnsi="方正仿宋_GBK" w:eastAsia="方正仿宋_GBK" w:cs="方正仿宋_GBK"/>
          <w:b/>
          <w:bCs/>
          <w:i w:val="0"/>
          <w:iCs w:val="0"/>
          <w:sz w:val="28"/>
          <w:szCs w:val="28"/>
          <w:highlight w:val="none"/>
        </w:rPr>
      </w:pPr>
      <w:r>
        <w:rPr>
          <w:rFonts w:ascii="方正仿宋_GBK" w:hAnsi="方正仿宋_GBK" w:eastAsia="方正仿宋_GBK" w:cs="方正仿宋_GBK"/>
          <w:b/>
          <w:bCs/>
          <w:i w:val="0"/>
          <w:iCs w:val="0"/>
          <w:sz w:val="28"/>
          <w:szCs w:val="28"/>
          <w:highlight w:val="none"/>
          <w:u w:val="single" w:color="auto"/>
        </w:rPr>
        <w:t>本项目采用招标方式：公开招标，评分方法：综合评分法</w:t>
      </w:r>
    </w:p>
    <w:p w14:paraId="0DB85E5D">
      <w:pPr>
        <w:pStyle w:val="7"/>
        <w:spacing w:line="363" w:lineRule="auto"/>
        <w:rPr>
          <w:highlight w:val="none"/>
        </w:rPr>
      </w:pPr>
    </w:p>
    <w:p w14:paraId="6F8DC5D1">
      <w:pPr>
        <w:spacing w:before="103" w:line="233" w:lineRule="auto"/>
        <w:ind w:left="2"/>
        <w:outlineLvl w:val="1"/>
        <w:rPr>
          <w:rFonts w:ascii="方正仿宋_GBK" w:hAnsi="方正仿宋_GBK" w:eastAsia="方正仿宋_GBK" w:cs="方正仿宋_GBK"/>
          <w:sz w:val="28"/>
          <w:szCs w:val="28"/>
          <w:highlight w:val="none"/>
        </w:rPr>
      </w:pPr>
      <w:bookmarkStart w:id="43" w:name="bookmark32"/>
      <w:bookmarkEnd w:id="43"/>
      <w:bookmarkStart w:id="44" w:name="bookmark33"/>
      <w:bookmarkEnd w:id="44"/>
      <w:r>
        <w:rPr>
          <w:rFonts w:ascii="方正仿宋_GBK" w:hAnsi="方正仿宋_GBK" w:eastAsia="方正仿宋_GBK" w:cs="方正仿宋_GBK"/>
          <w:b/>
          <w:bCs/>
          <w:spacing w:val="-6"/>
          <w:sz w:val="28"/>
          <w:szCs w:val="28"/>
          <w:highlight w:val="none"/>
        </w:rPr>
        <w:t>24.废标</w:t>
      </w:r>
    </w:p>
    <w:p w14:paraId="5B2FCA8D">
      <w:pPr>
        <w:spacing w:before="59" w:line="238" w:lineRule="auto"/>
        <w:ind w:left="869"/>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2"/>
          <w:sz w:val="23"/>
          <w:szCs w:val="23"/>
          <w:highlight w:val="none"/>
        </w:rPr>
        <w:t>出现下列情形之一，将导致项目废标：</w:t>
      </w:r>
    </w:p>
    <w:p w14:paraId="698031CA">
      <w:pPr>
        <w:spacing w:before="86" w:line="237" w:lineRule="auto"/>
        <w:ind w:left="879"/>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（1）符合专业条件的供应商或者对招标文件做</w:t>
      </w:r>
      <w:r>
        <w:rPr>
          <w:rFonts w:ascii="方正仿宋_GBK" w:hAnsi="方正仿宋_GBK" w:eastAsia="方正仿宋_GBK" w:cs="方正仿宋_GBK"/>
          <w:spacing w:val="7"/>
          <w:sz w:val="23"/>
          <w:szCs w:val="23"/>
          <w:highlight w:val="none"/>
        </w:rPr>
        <w:t>实质性响应的供应商不足三家；</w:t>
      </w:r>
    </w:p>
    <w:p w14:paraId="45E25621">
      <w:pPr>
        <w:spacing w:before="87" w:line="237" w:lineRule="auto"/>
        <w:ind w:left="879"/>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（2）出现影响采购公正的违法、违规行为</w:t>
      </w:r>
      <w:r>
        <w:rPr>
          <w:rFonts w:ascii="方正仿宋_GBK" w:hAnsi="方正仿宋_GBK" w:eastAsia="方正仿宋_GBK" w:cs="方正仿宋_GBK"/>
          <w:spacing w:val="7"/>
          <w:sz w:val="23"/>
          <w:szCs w:val="23"/>
          <w:highlight w:val="none"/>
        </w:rPr>
        <w:t>的；</w:t>
      </w:r>
    </w:p>
    <w:p w14:paraId="6B783A32">
      <w:pPr>
        <w:spacing w:before="88" w:line="237" w:lineRule="auto"/>
        <w:ind w:left="819"/>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（3）投标人的报价均超过了采购预算，采购人不能支付的；</w:t>
      </w:r>
    </w:p>
    <w:p w14:paraId="15698270">
      <w:pPr>
        <w:spacing w:before="89" w:line="238" w:lineRule="auto"/>
        <w:ind w:left="819"/>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（4）因重大变故，采购任务取消的。</w:t>
      </w:r>
    </w:p>
    <w:p w14:paraId="4FED08C0">
      <w:pPr>
        <w:pStyle w:val="7"/>
        <w:spacing w:line="366" w:lineRule="auto"/>
        <w:rPr>
          <w:highlight w:val="none"/>
        </w:rPr>
      </w:pPr>
    </w:p>
    <w:p w14:paraId="25D68CAB">
      <w:pPr>
        <w:spacing w:before="102" w:line="231" w:lineRule="auto"/>
        <w:ind w:left="2"/>
        <w:outlineLvl w:val="1"/>
        <w:rPr>
          <w:rFonts w:ascii="方正仿宋_GBK" w:hAnsi="方正仿宋_GBK" w:eastAsia="方正仿宋_GBK" w:cs="方正仿宋_GBK"/>
          <w:sz w:val="28"/>
          <w:szCs w:val="28"/>
          <w:highlight w:val="none"/>
        </w:rPr>
      </w:pPr>
      <w:bookmarkStart w:id="45" w:name="bookmark35"/>
      <w:bookmarkEnd w:id="45"/>
      <w:bookmarkStart w:id="46" w:name="bookmark34"/>
      <w:bookmarkEnd w:id="46"/>
      <w:r>
        <w:rPr>
          <w:rFonts w:ascii="方正仿宋_GBK" w:hAnsi="方正仿宋_GBK" w:eastAsia="方正仿宋_GBK" w:cs="方正仿宋_GBK"/>
          <w:b/>
          <w:bCs/>
          <w:spacing w:val="-5"/>
          <w:sz w:val="28"/>
          <w:szCs w:val="28"/>
          <w:highlight w:val="none"/>
        </w:rPr>
        <w:t>25.保密原则</w:t>
      </w:r>
    </w:p>
    <w:p w14:paraId="79616D82">
      <w:pPr>
        <w:spacing w:before="61" w:line="239"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3"/>
          <w:sz w:val="23"/>
          <w:szCs w:val="23"/>
          <w:highlight w:val="none"/>
        </w:rPr>
        <w:t>25.1评标将在严格保密的情况下进行。</w:t>
      </w:r>
    </w:p>
    <w:p w14:paraId="68CF85CE">
      <w:pPr>
        <w:spacing w:before="86" w:line="238"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10"/>
          <w:sz w:val="23"/>
          <w:szCs w:val="23"/>
          <w:highlight w:val="none"/>
        </w:rPr>
        <w:t>25.2政府采购评审专家应当遵守评审工作纪律，不得泄露评审文件、评审情况</w:t>
      </w:r>
      <w:r>
        <w:rPr>
          <w:rFonts w:ascii="方正仿宋_GBK" w:hAnsi="方正仿宋_GBK" w:eastAsia="方正仿宋_GBK" w:cs="方正仿宋_GBK"/>
          <w:spacing w:val="9"/>
          <w:sz w:val="23"/>
          <w:szCs w:val="23"/>
          <w:highlight w:val="none"/>
        </w:rPr>
        <w:t>和评审</w:t>
      </w:r>
    </w:p>
    <w:p w14:paraId="30CDA49E">
      <w:pPr>
        <w:spacing w:before="86" w:line="239" w:lineRule="auto"/>
        <w:ind w:left="930"/>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1"/>
          <w:sz w:val="23"/>
          <w:szCs w:val="23"/>
          <w:highlight w:val="none"/>
        </w:rPr>
        <w:t>中获悉的商业秘密。</w:t>
      </w:r>
    </w:p>
    <w:p w14:paraId="4A39CE92">
      <w:pPr>
        <w:spacing w:before="49" w:line="232" w:lineRule="auto"/>
        <w:ind w:left="4028"/>
        <w:outlineLvl w:val="0"/>
        <w:rPr>
          <w:rFonts w:ascii="方正仿宋_GBK" w:hAnsi="方正仿宋_GBK" w:eastAsia="方正仿宋_GBK" w:cs="方正仿宋_GBK"/>
          <w:sz w:val="28"/>
          <w:szCs w:val="28"/>
          <w:highlight w:val="none"/>
        </w:rPr>
      </w:pPr>
      <w:bookmarkStart w:id="47" w:name="bookmark36"/>
      <w:bookmarkEnd w:id="47"/>
      <w:bookmarkStart w:id="48" w:name="bookmark37"/>
      <w:bookmarkEnd w:id="48"/>
      <w:r>
        <w:rPr>
          <w:rFonts w:ascii="方正仿宋_GBK" w:hAnsi="方正仿宋_GBK" w:eastAsia="方正仿宋_GBK" w:cs="方正仿宋_GBK"/>
          <w:b/>
          <w:bCs/>
          <w:spacing w:val="-12"/>
          <w:sz w:val="28"/>
          <w:szCs w:val="28"/>
          <w:highlight w:val="none"/>
        </w:rPr>
        <w:t>六确定中标</w:t>
      </w:r>
    </w:p>
    <w:p w14:paraId="5D22DA50">
      <w:pPr>
        <w:spacing w:before="24" w:line="231" w:lineRule="auto"/>
        <w:ind w:left="2"/>
        <w:outlineLvl w:val="1"/>
        <w:rPr>
          <w:rFonts w:ascii="方正仿宋_GBK" w:hAnsi="方正仿宋_GBK" w:eastAsia="方正仿宋_GBK" w:cs="方正仿宋_GBK"/>
          <w:sz w:val="28"/>
          <w:szCs w:val="28"/>
          <w:highlight w:val="none"/>
        </w:rPr>
      </w:pPr>
      <w:bookmarkStart w:id="49" w:name="bookmark38"/>
      <w:bookmarkEnd w:id="49"/>
      <w:bookmarkStart w:id="50" w:name="bookmark39"/>
      <w:bookmarkEnd w:id="50"/>
      <w:r>
        <w:rPr>
          <w:rFonts w:ascii="方正仿宋_GBK" w:hAnsi="方正仿宋_GBK" w:eastAsia="方正仿宋_GBK" w:cs="方正仿宋_GBK"/>
          <w:b/>
          <w:bCs/>
          <w:spacing w:val="-3"/>
          <w:sz w:val="28"/>
          <w:szCs w:val="28"/>
          <w:highlight w:val="none"/>
        </w:rPr>
        <w:t>26.中标候选人的确定原则及标准</w:t>
      </w:r>
    </w:p>
    <w:p w14:paraId="12635321">
      <w:pPr>
        <w:spacing w:before="61" w:line="292" w:lineRule="auto"/>
        <w:ind w:left="1049" w:right="135" w:firstLine="18"/>
        <w:rPr>
          <w:rFonts w:ascii="方正仿宋_GBK" w:hAnsi="方正仿宋_GBK" w:eastAsia="方正仿宋_GBK" w:cs="方正仿宋_GBK"/>
          <w:spacing w:val="-1"/>
          <w:sz w:val="23"/>
          <w:szCs w:val="23"/>
          <w:highlight w:val="none"/>
        </w:rPr>
      </w:pPr>
      <w:r>
        <w:rPr>
          <w:rFonts w:ascii="方正仿宋_GBK" w:hAnsi="方正仿宋_GBK" w:eastAsia="方正仿宋_GBK" w:cs="方正仿宋_GBK"/>
          <w:spacing w:val="5"/>
          <w:sz w:val="23"/>
          <w:szCs w:val="23"/>
          <w:highlight w:val="none"/>
        </w:rPr>
        <w:t>除第28条规定外，对实质上响应招标文件的投标人按下列方法</w:t>
      </w:r>
      <w:r>
        <w:rPr>
          <w:rFonts w:ascii="方正仿宋_GBK" w:hAnsi="方正仿宋_GBK" w:eastAsia="方正仿宋_GBK" w:cs="方正仿宋_GBK"/>
          <w:spacing w:val="4"/>
          <w:sz w:val="23"/>
          <w:szCs w:val="23"/>
          <w:highlight w:val="none"/>
        </w:rPr>
        <w:t>进行排序，确定</w:t>
      </w:r>
      <w:r>
        <w:rPr>
          <w:rFonts w:ascii="方正仿宋_GBK" w:hAnsi="方正仿宋_GBK" w:eastAsia="方正仿宋_GBK" w:cs="方正仿宋_GBK"/>
          <w:spacing w:val="-1"/>
          <w:sz w:val="23"/>
          <w:szCs w:val="23"/>
          <w:highlight w:val="none"/>
        </w:rPr>
        <w:t>投标候选人：</w:t>
      </w:r>
    </w:p>
    <w:p w14:paraId="535535A5">
      <w:pPr>
        <w:spacing w:before="61" w:line="292" w:lineRule="auto"/>
        <w:ind w:left="1049" w:right="135" w:firstLine="18"/>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11"/>
          <w:sz w:val="23"/>
          <w:szCs w:val="23"/>
          <w:highlight w:val="none"/>
        </w:rPr>
        <w:t>（1）采用综合评分法的，评标结果按评审后得分由</w:t>
      </w:r>
      <w:r>
        <w:rPr>
          <w:rFonts w:ascii="方正仿宋_GBK" w:hAnsi="方正仿宋_GBK" w:eastAsia="方正仿宋_GBK" w:cs="方正仿宋_GBK"/>
          <w:spacing w:val="10"/>
          <w:sz w:val="23"/>
          <w:szCs w:val="23"/>
          <w:highlight w:val="none"/>
        </w:rPr>
        <w:t>高到低顺序排列。得分相同的，</w:t>
      </w:r>
      <w:r>
        <w:rPr>
          <w:rFonts w:ascii="方正仿宋_GBK" w:hAnsi="方正仿宋_GBK" w:eastAsia="方正仿宋_GBK" w:cs="方正仿宋_GBK"/>
          <w:spacing w:val="8"/>
          <w:sz w:val="23"/>
          <w:szCs w:val="23"/>
          <w:highlight w:val="none"/>
        </w:rPr>
        <w:t>按修正和扣除后的投标报价由高到低顺序排列。得分与投标报价均相同的处理方</w:t>
      </w:r>
      <w:r>
        <w:rPr>
          <w:rFonts w:ascii="方正仿宋_GBK" w:hAnsi="方正仿宋_GBK" w:eastAsia="方正仿宋_GBK" w:cs="方正仿宋_GBK"/>
          <w:spacing w:val="2"/>
          <w:sz w:val="23"/>
          <w:szCs w:val="23"/>
          <w:highlight w:val="none"/>
        </w:rPr>
        <w:t>式详见招标文件第6章。</w:t>
      </w:r>
    </w:p>
    <w:p w14:paraId="263DC9EB">
      <w:pPr>
        <w:spacing w:line="232" w:lineRule="auto"/>
        <w:ind w:left="5"/>
        <w:outlineLvl w:val="1"/>
        <w:rPr>
          <w:rFonts w:ascii="方正仿宋_GBK" w:hAnsi="方正仿宋_GBK" w:eastAsia="方正仿宋_GBK" w:cs="方正仿宋_GBK"/>
          <w:sz w:val="28"/>
          <w:szCs w:val="28"/>
          <w:highlight w:val="none"/>
        </w:rPr>
      </w:pPr>
      <w:bookmarkStart w:id="51" w:name="bookmark41"/>
      <w:bookmarkEnd w:id="51"/>
      <w:bookmarkStart w:id="52" w:name="bookmark40"/>
      <w:bookmarkEnd w:id="52"/>
      <w:r>
        <w:rPr>
          <w:rFonts w:ascii="方正仿宋_GBK" w:hAnsi="方正仿宋_GBK" w:eastAsia="方正仿宋_GBK" w:cs="方正仿宋_GBK"/>
          <w:b/>
          <w:bCs/>
          <w:spacing w:val="-3"/>
          <w:sz w:val="28"/>
          <w:szCs w:val="28"/>
          <w:highlight w:val="none"/>
        </w:rPr>
        <w:t>27.确定中标候选人和中标人</w:t>
      </w:r>
    </w:p>
    <w:p w14:paraId="4BD66833">
      <w:pPr>
        <w:spacing w:before="59" w:line="287" w:lineRule="auto"/>
        <w:ind w:left="1055" w:hanging="3"/>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评标委员会将根据评标标准，按</w:t>
      </w:r>
      <w:r>
        <w:rPr>
          <w:rFonts w:ascii="方正仿宋_GBK" w:hAnsi="方正仿宋_GBK" w:eastAsia="方正仿宋_GBK" w:cs="方正仿宋_GBK"/>
          <w:spacing w:val="8"/>
          <w:sz w:val="23"/>
          <w:szCs w:val="23"/>
          <w:highlight w:val="none"/>
          <w:u w:val="single" w:color="auto"/>
        </w:rPr>
        <w:t>投标人须知资料表中</w:t>
      </w:r>
      <w:r>
        <w:rPr>
          <w:rFonts w:ascii="方正仿宋_GBK" w:hAnsi="方正仿宋_GBK" w:eastAsia="方正仿宋_GBK" w:cs="方正仿宋_GBK"/>
          <w:spacing w:val="8"/>
          <w:sz w:val="23"/>
          <w:szCs w:val="23"/>
          <w:highlight w:val="none"/>
        </w:rPr>
        <w:t>规</w:t>
      </w:r>
      <w:r>
        <w:rPr>
          <w:rFonts w:ascii="方正仿宋_GBK" w:hAnsi="方正仿宋_GBK" w:eastAsia="方正仿宋_GBK" w:cs="方正仿宋_GBK"/>
          <w:spacing w:val="7"/>
          <w:sz w:val="23"/>
          <w:szCs w:val="23"/>
          <w:highlight w:val="none"/>
        </w:rPr>
        <w:t>定数量推荐中标候选人；或根据采购人的委托，直接确定中标人。</w:t>
      </w:r>
    </w:p>
    <w:p w14:paraId="26102955">
      <w:pPr>
        <w:spacing w:line="231" w:lineRule="auto"/>
        <w:ind w:left="5"/>
        <w:outlineLvl w:val="1"/>
        <w:rPr>
          <w:rFonts w:ascii="方正仿宋_GBK" w:hAnsi="方正仿宋_GBK" w:eastAsia="方正仿宋_GBK" w:cs="方正仿宋_GBK"/>
          <w:sz w:val="28"/>
          <w:szCs w:val="28"/>
          <w:highlight w:val="none"/>
        </w:rPr>
      </w:pPr>
      <w:bookmarkStart w:id="53" w:name="bookmark43"/>
      <w:bookmarkEnd w:id="53"/>
      <w:bookmarkStart w:id="54" w:name="bookmark42"/>
      <w:bookmarkEnd w:id="54"/>
      <w:r>
        <w:rPr>
          <w:rFonts w:ascii="方正仿宋_GBK" w:hAnsi="方正仿宋_GBK" w:eastAsia="方正仿宋_GBK" w:cs="方正仿宋_GBK"/>
          <w:b/>
          <w:bCs/>
          <w:spacing w:val="-4"/>
          <w:sz w:val="28"/>
          <w:szCs w:val="28"/>
          <w:highlight w:val="none"/>
        </w:rPr>
        <w:t>28.采购任务取消</w:t>
      </w:r>
    </w:p>
    <w:p w14:paraId="3CB94F16">
      <w:pPr>
        <w:spacing w:before="60" w:line="287" w:lineRule="auto"/>
        <w:ind w:left="1052" w:right="75" w:firstLine="30"/>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12"/>
          <w:sz w:val="23"/>
          <w:szCs w:val="23"/>
          <w:highlight w:val="none"/>
        </w:rPr>
        <w:t>因重大变故采购任务取消时，采购人有权拒</w:t>
      </w:r>
      <w:r>
        <w:rPr>
          <w:rFonts w:ascii="方正仿宋_GBK" w:hAnsi="方正仿宋_GBK" w:eastAsia="方正仿宋_GBK" w:cs="方正仿宋_GBK"/>
          <w:spacing w:val="11"/>
          <w:sz w:val="23"/>
          <w:szCs w:val="23"/>
          <w:highlight w:val="none"/>
        </w:rPr>
        <w:t>绝任何投标人中标，且对受影响的</w:t>
      </w:r>
      <w:r>
        <w:rPr>
          <w:rFonts w:ascii="方正仿宋_GBK" w:hAnsi="方正仿宋_GBK" w:eastAsia="方正仿宋_GBK" w:cs="方正仿宋_GBK"/>
          <w:spacing w:val="5"/>
          <w:sz w:val="23"/>
          <w:szCs w:val="23"/>
          <w:highlight w:val="none"/>
        </w:rPr>
        <w:t>投标人不承担任何责任。</w:t>
      </w:r>
    </w:p>
    <w:p w14:paraId="7E9FF665">
      <w:pPr>
        <w:spacing w:before="2" w:line="224" w:lineRule="auto"/>
        <w:ind w:left="5"/>
        <w:outlineLvl w:val="1"/>
        <w:rPr>
          <w:rFonts w:ascii="方正仿宋_GBK" w:hAnsi="方正仿宋_GBK" w:eastAsia="方正仿宋_GBK" w:cs="方正仿宋_GBK"/>
          <w:sz w:val="28"/>
          <w:szCs w:val="28"/>
          <w:highlight w:val="none"/>
        </w:rPr>
      </w:pPr>
      <w:bookmarkStart w:id="55" w:name="bookmark44"/>
      <w:bookmarkEnd w:id="55"/>
      <w:bookmarkStart w:id="56" w:name="bookmark45"/>
      <w:bookmarkEnd w:id="56"/>
      <w:r>
        <w:rPr>
          <w:rFonts w:ascii="方正仿宋_GBK" w:hAnsi="方正仿宋_GBK" w:eastAsia="方正仿宋_GBK" w:cs="方正仿宋_GBK"/>
          <w:b/>
          <w:bCs/>
          <w:spacing w:val="-3"/>
          <w:sz w:val="28"/>
          <w:szCs w:val="28"/>
          <w:highlight w:val="none"/>
        </w:rPr>
        <w:t>29.中标通知书和招标结果通知书</w:t>
      </w:r>
    </w:p>
    <w:p w14:paraId="10AE640E">
      <w:pPr>
        <w:spacing w:before="72" w:line="291" w:lineRule="auto"/>
        <w:ind w:left="928" w:right="75" w:hanging="926"/>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9"/>
          <w:sz w:val="23"/>
          <w:szCs w:val="23"/>
          <w:highlight w:val="none"/>
        </w:rPr>
        <w:t>29.1在投标有效期内，中标人确定后，采购人或者采购代理机构发布中标公告，同时</w:t>
      </w:r>
      <w:r>
        <w:rPr>
          <w:rFonts w:ascii="方正仿宋_GBK" w:hAnsi="方正仿宋_GBK" w:eastAsia="方正仿宋_GBK" w:cs="方正仿宋_GBK"/>
          <w:spacing w:val="5"/>
          <w:sz w:val="23"/>
          <w:szCs w:val="23"/>
          <w:highlight w:val="none"/>
        </w:rPr>
        <w:t>以书面形式向中标人发出中标通知书。</w:t>
      </w:r>
    </w:p>
    <w:p w14:paraId="29871B2B">
      <w:pPr>
        <w:spacing w:before="25" w:line="239" w:lineRule="auto"/>
        <w:ind w:left="2"/>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3"/>
          <w:sz w:val="23"/>
          <w:szCs w:val="23"/>
          <w:highlight w:val="none"/>
        </w:rPr>
        <w:t>29.2中标通知书是合同的组成部分。</w:t>
      </w:r>
    </w:p>
    <w:p w14:paraId="21C1BE93">
      <w:pPr>
        <w:spacing w:before="48" w:line="236" w:lineRule="auto"/>
        <w:ind w:left="2"/>
        <w:outlineLvl w:val="1"/>
        <w:rPr>
          <w:rFonts w:ascii="方正仿宋_GBK" w:hAnsi="方正仿宋_GBK" w:eastAsia="方正仿宋_GBK" w:cs="方正仿宋_GBK"/>
          <w:sz w:val="28"/>
          <w:szCs w:val="28"/>
          <w:highlight w:val="none"/>
        </w:rPr>
      </w:pPr>
      <w:bookmarkStart w:id="57" w:name="bookmark46"/>
      <w:bookmarkEnd w:id="57"/>
      <w:bookmarkStart w:id="58" w:name="bookmark47"/>
      <w:bookmarkEnd w:id="58"/>
      <w:r>
        <w:rPr>
          <w:rFonts w:ascii="方正仿宋_GBK" w:hAnsi="方正仿宋_GBK" w:eastAsia="方正仿宋_GBK" w:cs="方正仿宋_GBK"/>
          <w:b/>
          <w:bCs/>
          <w:spacing w:val="-4"/>
          <w:sz w:val="28"/>
          <w:szCs w:val="28"/>
          <w:highlight w:val="none"/>
        </w:rPr>
        <w:t>30.签订合同</w:t>
      </w:r>
    </w:p>
    <w:p w14:paraId="332EA3CB">
      <w:pPr>
        <w:spacing w:before="54" w:line="236"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3"/>
          <w:sz w:val="23"/>
          <w:szCs w:val="23"/>
          <w:highlight w:val="none"/>
        </w:rPr>
        <w:t>30.1中标人应当自发出中标通知书之日起30日内，与采购人签订合同。</w:t>
      </w:r>
    </w:p>
    <w:p w14:paraId="4F971E6D">
      <w:pPr>
        <w:spacing w:before="89" w:line="238"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9"/>
          <w:sz w:val="23"/>
          <w:szCs w:val="23"/>
          <w:highlight w:val="none"/>
        </w:rPr>
        <w:t>30.2招标文件、中标人的投标文件及其澄清文件等，均为签订</w:t>
      </w:r>
      <w:r>
        <w:rPr>
          <w:rFonts w:ascii="方正仿宋_GBK" w:hAnsi="方正仿宋_GBK" w:eastAsia="方正仿宋_GBK" w:cs="方正仿宋_GBK"/>
          <w:spacing w:val="8"/>
          <w:sz w:val="23"/>
          <w:szCs w:val="23"/>
          <w:highlight w:val="none"/>
        </w:rPr>
        <w:t>合同的依据。</w:t>
      </w:r>
    </w:p>
    <w:p w14:paraId="38557689">
      <w:pPr>
        <w:spacing w:before="87" w:line="238"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11"/>
          <w:sz w:val="23"/>
          <w:szCs w:val="23"/>
          <w:highlight w:val="none"/>
        </w:rPr>
        <w:t>30.3中标人拒绝与采购人签订合同的，采购人可以按照评审</w:t>
      </w:r>
      <w:r>
        <w:rPr>
          <w:rFonts w:ascii="方正仿宋_GBK" w:hAnsi="方正仿宋_GBK" w:eastAsia="方正仿宋_GBK" w:cs="方正仿宋_GBK"/>
          <w:spacing w:val="10"/>
          <w:sz w:val="23"/>
          <w:szCs w:val="23"/>
          <w:highlight w:val="none"/>
        </w:rPr>
        <w:t>报告推荐的中标候选人名</w:t>
      </w:r>
    </w:p>
    <w:p w14:paraId="1F763F34">
      <w:pPr>
        <w:spacing w:before="86" w:line="238" w:lineRule="auto"/>
        <w:ind w:left="906"/>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单排序，确定下一中标候选人为中标人，也可以重新开展政府采购活动。</w:t>
      </w:r>
    </w:p>
    <w:p w14:paraId="6AE229C3">
      <w:pPr>
        <w:spacing w:before="87" w:line="232"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10"/>
          <w:sz w:val="23"/>
          <w:szCs w:val="23"/>
          <w:highlight w:val="none"/>
        </w:rPr>
        <w:t>30.4当出现法规规定的</w:t>
      </w:r>
      <w:r>
        <w:rPr>
          <w:rFonts w:ascii="方正仿宋_GBK" w:hAnsi="方正仿宋_GBK" w:eastAsia="方正仿宋_GBK" w:cs="方正仿宋_GBK"/>
          <w:b/>
          <w:bCs/>
          <w:spacing w:val="10"/>
          <w:sz w:val="23"/>
          <w:szCs w:val="23"/>
          <w:highlight w:val="none"/>
        </w:rPr>
        <w:t>中标无效或中标结果无效</w:t>
      </w:r>
      <w:r>
        <w:rPr>
          <w:rFonts w:ascii="方正仿宋_GBK" w:hAnsi="方正仿宋_GBK" w:eastAsia="方正仿宋_GBK" w:cs="方正仿宋_GBK"/>
          <w:spacing w:val="10"/>
          <w:sz w:val="23"/>
          <w:szCs w:val="23"/>
          <w:highlight w:val="none"/>
        </w:rPr>
        <w:t>情形时，采购人可与排名下一位的中</w:t>
      </w:r>
    </w:p>
    <w:p w14:paraId="34415840">
      <w:pPr>
        <w:spacing w:before="94" w:line="238" w:lineRule="auto"/>
        <w:ind w:left="898"/>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标候选人另行签订合同，或依法重新开展采购活动。</w:t>
      </w:r>
    </w:p>
    <w:p w14:paraId="567FF9E0">
      <w:pPr>
        <w:spacing w:before="50" w:line="234" w:lineRule="auto"/>
        <w:ind w:left="2"/>
        <w:outlineLvl w:val="1"/>
        <w:rPr>
          <w:rFonts w:ascii="方正仿宋_GBK" w:hAnsi="方正仿宋_GBK" w:eastAsia="方正仿宋_GBK" w:cs="方正仿宋_GBK"/>
          <w:sz w:val="28"/>
          <w:szCs w:val="28"/>
          <w:highlight w:val="none"/>
        </w:rPr>
      </w:pPr>
      <w:bookmarkStart w:id="59" w:name="bookmark48"/>
      <w:bookmarkEnd w:id="59"/>
      <w:bookmarkStart w:id="60" w:name="bookmark49"/>
      <w:bookmarkEnd w:id="60"/>
      <w:r>
        <w:rPr>
          <w:rFonts w:ascii="方正仿宋_GBK" w:hAnsi="方正仿宋_GBK" w:eastAsia="方正仿宋_GBK" w:cs="方正仿宋_GBK"/>
          <w:b/>
          <w:bCs/>
          <w:spacing w:val="-10"/>
          <w:sz w:val="28"/>
          <w:szCs w:val="28"/>
          <w:highlight w:val="none"/>
        </w:rPr>
        <w:t>31.履约保证金</w:t>
      </w:r>
    </w:p>
    <w:p w14:paraId="4A9C8B3E">
      <w:pPr>
        <w:spacing w:before="57" w:line="232" w:lineRule="auto"/>
        <w:jc w:val="right"/>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2"/>
          <w:sz w:val="23"/>
          <w:szCs w:val="23"/>
          <w:highlight w:val="none"/>
        </w:rPr>
        <w:t>31.1中标人应按照</w:t>
      </w:r>
      <w:r>
        <w:rPr>
          <w:rFonts w:ascii="方正仿宋_GBK" w:hAnsi="方正仿宋_GBK" w:eastAsia="方正仿宋_GBK" w:cs="方正仿宋_GBK"/>
          <w:spacing w:val="2"/>
          <w:sz w:val="23"/>
          <w:szCs w:val="23"/>
          <w:highlight w:val="none"/>
          <w:u w:val="single" w:color="auto"/>
        </w:rPr>
        <w:t>投标人须知资料表</w:t>
      </w:r>
      <w:r>
        <w:rPr>
          <w:rFonts w:ascii="方正仿宋_GBK" w:hAnsi="方正仿宋_GBK" w:eastAsia="方正仿宋_GBK" w:cs="方正仿宋_GBK"/>
          <w:spacing w:val="2"/>
          <w:sz w:val="23"/>
          <w:szCs w:val="23"/>
          <w:highlight w:val="none"/>
        </w:rPr>
        <w:t>规定向采购人缴纳履约保证金（如采用保函形式，</w:t>
      </w:r>
    </w:p>
    <w:p w14:paraId="2041E15A">
      <w:pPr>
        <w:spacing w:before="96" w:line="239" w:lineRule="auto"/>
        <w:ind w:left="899"/>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1"/>
          <w:sz w:val="23"/>
          <w:szCs w:val="23"/>
          <w:highlight w:val="none"/>
        </w:rPr>
        <w:t>格式见本章附件1）。</w:t>
      </w:r>
    </w:p>
    <w:p w14:paraId="6017E5E0">
      <w:pPr>
        <w:spacing w:before="83" w:line="236"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4"/>
          <w:sz w:val="23"/>
          <w:szCs w:val="23"/>
          <w:highlight w:val="none"/>
        </w:rPr>
        <w:t>31.2政府采购利用担保试点范围内的项目，除31.1规定的情形外，中标人也可以按照</w:t>
      </w:r>
    </w:p>
    <w:p w14:paraId="1184F994">
      <w:pPr>
        <w:spacing w:before="90" w:line="238" w:lineRule="auto"/>
        <w:ind w:left="903"/>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财政部门的规定，向采购人提供合格的履约担保函（格式见本章附件2）。</w:t>
      </w:r>
    </w:p>
    <w:p w14:paraId="2531BAE7">
      <w:pPr>
        <w:spacing w:before="87" w:line="232"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6"/>
          <w:sz w:val="23"/>
          <w:szCs w:val="23"/>
          <w:highlight w:val="none"/>
        </w:rPr>
        <w:t>31.3如果中标人没有按照上述履约保证金的规定执行，将视为放弃中标资格，中标人的</w:t>
      </w:r>
    </w:p>
    <w:p w14:paraId="2DC744CA">
      <w:pPr>
        <w:spacing w:before="94" w:line="287" w:lineRule="auto"/>
        <w:ind w:left="928" w:right="78" w:hanging="28"/>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10"/>
          <w:sz w:val="23"/>
          <w:szCs w:val="23"/>
          <w:highlight w:val="none"/>
        </w:rPr>
        <w:t>投标保证金将不予退还。在此情况下，采购人可确定下一候选</w:t>
      </w:r>
      <w:r>
        <w:rPr>
          <w:rFonts w:ascii="方正仿宋_GBK" w:hAnsi="方正仿宋_GBK" w:eastAsia="方正仿宋_GBK" w:cs="方正仿宋_GBK"/>
          <w:spacing w:val="9"/>
          <w:sz w:val="23"/>
          <w:szCs w:val="23"/>
          <w:highlight w:val="none"/>
        </w:rPr>
        <w:t>人为中标人，也可</w:t>
      </w:r>
      <w:r>
        <w:rPr>
          <w:rFonts w:ascii="方正仿宋_GBK" w:hAnsi="方正仿宋_GBK" w:eastAsia="方正仿宋_GBK" w:cs="方正仿宋_GBK"/>
          <w:spacing w:val="2"/>
          <w:sz w:val="23"/>
          <w:szCs w:val="23"/>
          <w:highlight w:val="none"/>
        </w:rPr>
        <w:t>以重新开展采购活动。</w:t>
      </w:r>
    </w:p>
    <w:p w14:paraId="063EABC6">
      <w:pPr>
        <w:spacing w:before="1" w:line="214" w:lineRule="auto"/>
        <w:ind w:left="2"/>
        <w:outlineLvl w:val="1"/>
        <w:rPr>
          <w:rFonts w:ascii="方正仿宋_GBK" w:hAnsi="方正仿宋_GBK" w:eastAsia="方正仿宋_GBK" w:cs="方正仿宋_GBK"/>
          <w:sz w:val="28"/>
          <w:szCs w:val="28"/>
          <w:highlight w:val="none"/>
        </w:rPr>
      </w:pPr>
      <w:bookmarkStart w:id="61" w:name="bookmark51"/>
      <w:bookmarkEnd w:id="61"/>
      <w:bookmarkStart w:id="62" w:name="bookmark53"/>
      <w:bookmarkEnd w:id="62"/>
      <w:bookmarkStart w:id="63" w:name="bookmark50"/>
      <w:bookmarkEnd w:id="63"/>
      <w:r>
        <w:rPr>
          <w:rFonts w:ascii="方正仿宋_GBK" w:hAnsi="方正仿宋_GBK" w:eastAsia="方正仿宋_GBK" w:cs="方正仿宋_GBK"/>
          <w:b/>
          <w:bCs/>
          <w:spacing w:val="-4"/>
          <w:sz w:val="28"/>
          <w:szCs w:val="28"/>
          <w:highlight w:val="none"/>
        </w:rPr>
        <w:t>32.代理服务费</w:t>
      </w:r>
    </w:p>
    <w:p w14:paraId="36E34153">
      <w:pPr>
        <w:spacing w:before="2" w:line="224" w:lineRule="auto"/>
        <w:ind w:left="445"/>
        <w:rPr>
          <w:rFonts w:ascii="仿宋" w:hAnsi="仿宋" w:eastAsia="仿宋" w:cs="仿宋"/>
          <w:sz w:val="23"/>
          <w:szCs w:val="23"/>
          <w:highlight w:val="none"/>
        </w:rPr>
      </w:pPr>
      <w:r>
        <w:rPr>
          <w:rFonts w:ascii="仿宋" w:hAnsi="仿宋" w:eastAsia="仿宋" w:cs="仿宋"/>
          <w:spacing w:val="8"/>
          <w:sz w:val="23"/>
          <w:szCs w:val="23"/>
          <w:highlight w:val="none"/>
        </w:rPr>
        <w:t>中标人须按照</w:t>
      </w:r>
      <w:r>
        <w:rPr>
          <w:rFonts w:ascii="仿宋" w:hAnsi="仿宋" w:eastAsia="仿宋" w:cs="仿宋"/>
          <w:spacing w:val="8"/>
          <w:sz w:val="23"/>
          <w:szCs w:val="23"/>
          <w:highlight w:val="none"/>
          <w:u w:val="single" w:color="auto"/>
        </w:rPr>
        <w:t>投标人须知资料表</w:t>
      </w:r>
      <w:r>
        <w:rPr>
          <w:rFonts w:ascii="仿宋" w:hAnsi="仿宋" w:eastAsia="仿宋" w:cs="仿宋"/>
          <w:spacing w:val="8"/>
          <w:sz w:val="23"/>
          <w:szCs w:val="23"/>
          <w:highlight w:val="none"/>
        </w:rPr>
        <w:t>规定，向采购代理机构支付中标服务费。</w:t>
      </w:r>
    </w:p>
    <w:p w14:paraId="0DE4278B">
      <w:pPr>
        <w:spacing w:before="82" w:line="233" w:lineRule="auto"/>
        <w:ind w:left="2"/>
        <w:outlineLvl w:val="1"/>
        <w:rPr>
          <w:rFonts w:ascii="方正仿宋_GBK" w:hAnsi="方正仿宋_GBK" w:eastAsia="方正仿宋_GBK" w:cs="方正仿宋_GBK"/>
          <w:sz w:val="28"/>
          <w:szCs w:val="28"/>
          <w:highlight w:val="none"/>
        </w:rPr>
      </w:pPr>
      <w:bookmarkStart w:id="64" w:name="bookmark52"/>
      <w:bookmarkEnd w:id="64"/>
      <w:r>
        <w:rPr>
          <w:rFonts w:ascii="方正仿宋_GBK" w:hAnsi="方正仿宋_GBK" w:eastAsia="方正仿宋_GBK" w:cs="方正仿宋_GBK"/>
          <w:b/>
          <w:bCs/>
          <w:spacing w:val="-3"/>
          <w:sz w:val="28"/>
          <w:szCs w:val="28"/>
          <w:highlight w:val="none"/>
        </w:rPr>
        <w:t>33.政府采购信用担保</w:t>
      </w:r>
    </w:p>
    <w:p w14:paraId="5F2FFA7C">
      <w:pPr>
        <w:spacing w:before="58" w:line="232"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33.1本项目是否属于信用担保试点范围见</w:t>
      </w:r>
      <w:r>
        <w:rPr>
          <w:rFonts w:ascii="方正仿宋_GBK" w:hAnsi="方正仿宋_GBK" w:eastAsia="方正仿宋_GBK" w:cs="方正仿宋_GBK"/>
          <w:spacing w:val="8"/>
          <w:sz w:val="23"/>
          <w:szCs w:val="23"/>
          <w:highlight w:val="none"/>
          <w:u w:val="single" w:color="auto"/>
        </w:rPr>
        <w:t>投标人须知资料表</w:t>
      </w:r>
      <w:r>
        <w:rPr>
          <w:rFonts w:ascii="方正仿宋_GBK" w:hAnsi="方正仿宋_GBK" w:eastAsia="方正仿宋_GBK" w:cs="方正仿宋_GBK"/>
          <w:spacing w:val="8"/>
          <w:sz w:val="23"/>
          <w:szCs w:val="23"/>
          <w:highlight w:val="none"/>
        </w:rPr>
        <w:t>。</w:t>
      </w:r>
    </w:p>
    <w:p w14:paraId="0DB53597">
      <w:pPr>
        <w:spacing w:before="96" w:line="236"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11"/>
          <w:sz w:val="23"/>
          <w:szCs w:val="23"/>
          <w:highlight w:val="none"/>
        </w:rPr>
        <w:t>33.2如属于政府采购信用担保试点范围内，中小型企业投标人可以自由按照财政部门</w:t>
      </w:r>
    </w:p>
    <w:p w14:paraId="04A7D3E4">
      <w:pPr>
        <w:spacing w:before="89" w:line="238" w:lineRule="auto"/>
        <w:ind w:left="875"/>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6"/>
          <w:sz w:val="23"/>
          <w:szCs w:val="23"/>
          <w:highlight w:val="none"/>
        </w:rPr>
        <w:t>的规定，采用投标担保、履约担保和融资担保。</w:t>
      </w:r>
    </w:p>
    <w:p w14:paraId="313CB51B">
      <w:pPr>
        <w:pStyle w:val="7"/>
        <w:spacing w:line="265" w:lineRule="auto"/>
        <w:rPr>
          <w:highlight w:val="none"/>
        </w:rPr>
      </w:pPr>
      <w:r>
        <w:rPr>
          <w:rFonts w:ascii="方正仿宋_GBK" w:hAnsi="方正仿宋_GBK" w:eastAsia="方正仿宋_GBK" w:cs="方正仿宋_GBK"/>
          <w:spacing w:val="6"/>
          <w:sz w:val="23"/>
          <w:szCs w:val="23"/>
          <w:highlight w:val="none"/>
        </w:rPr>
        <w:t>33.2.1投标人递交的投标担保函和履约担保函应符合本招标文件的规定。</w:t>
      </w:r>
    </w:p>
    <w:p w14:paraId="00F9D9CD">
      <w:pPr>
        <w:spacing w:before="84" w:line="287" w:lineRule="auto"/>
        <w:ind w:right="1974"/>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6"/>
          <w:sz w:val="23"/>
          <w:szCs w:val="23"/>
          <w:highlight w:val="none"/>
        </w:rPr>
        <w:t>33.2.2中标人可以采取融资担保的形式为政府采购项目履约进行融资。</w:t>
      </w:r>
      <w:r>
        <w:rPr>
          <w:rFonts w:ascii="方正仿宋_GBK" w:hAnsi="方正仿宋_GBK" w:eastAsia="方正仿宋_GBK" w:cs="方正仿宋_GBK"/>
          <w:spacing w:val="8"/>
          <w:sz w:val="23"/>
          <w:szCs w:val="23"/>
          <w:highlight w:val="none"/>
        </w:rPr>
        <w:t>33.2.3合格的政府采购专业信用担保机构名单见</w:t>
      </w:r>
      <w:r>
        <w:rPr>
          <w:rFonts w:ascii="方正仿宋_GBK" w:hAnsi="方正仿宋_GBK" w:eastAsia="方正仿宋_GBK" w:cs="方正仿宋_GBK"/>
          <w:spacing w:val="8"/>
          <w:sz w:val="23"/>
          <w:szCs w:val="23"/>
          <w:highlight w:val="none"/>
          <w:u w:val="single" w:color="auto"/>
        </w:rPr>
        <w:t>投标人</w:t>
      </w:r>
      <w:r>
        <w:rPr>
          <w:rFonts w:ascii="方正仿宋_GBK" w:hAnsi="方正仿宋_GBK" w:eastAsia="方正仿宋_GBK" w:cs="方正仿宋_GBK"/>
          <w:spacing w:val="7"/>
          <w:sz w:val="23"/>
          <w:szCs w:val="23"/>
          <w:highlight w:val="none"/>
          <w:u w:val="single" w:color="auto"/>
        </w:rPr>
        <w:t>须知资料表</w:t>
      </w:r>
      <w:r>
        <w:rPr>
          <w:rFonts w:ascii="方正仿宋_GBK" w:hAnsi="方正仿宋_GBK" w:eastAsia="方正仿宋_GBK" w:cs="方正仿宋_GBK"/>
          <w:spacing w:val="7"/>
          <w:sz w:val="23"/>
          <w:szCs w:val="23"/>
          <w:highlight w:val="none"/>
        </w:rPr>
        <w:t>。</w:t>
      </w:r>
    </w:p>
    <w:p w14:paraId="4C67FB29">
      <w:pPr>
        <w:spacing w:before="1" w:line="228" w:lineRule="auto"/>
        <w:ind w:left="2"/>
        <w:outlineLvl w:val="1"/>
        <w:rPr>
          <w:rFonts w:ascii="方正仿宋_GBK" w:hAnsi="方正仿宋_GBK" w:eastAsia="方正仿宋_GBK" w:cs="方正仿宋_GBK"/>
          <w:sz w:val="28"/>
          <w:szCs w:val="28"/>
          <w:highlight w:val="none"/>
        </w:rPr>
      </w:pPr>
      <w:bookmarkStart w:id="65" w:name="bookmark55"/>
      <w:bookmarkEnd w:id="65"/>
      <w:bookmarkStart w:id="66" w:name="bookmark54"/>
      <w:bookmarkEnd w:id="66"/>
      <w:r>
        <w:rPr>
          <w:rFonts w:ascii="方正仿宋_GBK" w:hAnsi="方正仿宋_GBK" w:eastAsia="方正仿宋_GBK" w:cs="方正仿宋_GBK"/>
          <w:b/>
          <w:bCs/>
          <w:spacing w:val="-4"/>
          <w:sz w:val="28"/>
          <w:szCs w:val="28"/>
          <w:highlight w:val="none"/>
        </w:rPr>
        <w:t>34.廉洁自律规定</w:t>
      </w:r>
    </w:p>
    <w:p w14:paraId="65B0F501">
      <w:pPr>
        <w:spacing w:before="65" w:line="238" w:lineRule="auto"/>
        <w:jc w:val="right"/>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34.1采购代理机构工作人员不得以不正当手段获取政府采购代理业务，不得与采购人、</w:t>
      </w:r>
    </w:p>
    <w:p w14:paraId="6687BF70">
      <w:pPr>
        <w:spacing w:before="86" w:line="239" w:lineRule="auto"/>
        <w:ind w:left="899"/>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7"/>
          <w:sz w:val="23"/>
          <w:szCs w:val="23"/>
          <w:highlight w:val="none"/>
        </w:rPr>
        <w:t>供应商恶意串通操纵政府采购活动。</w:t>
      </w:r>
    </w:p>
    <w:p w14:paraId="34358AA8">
      <w:pPr>
        <w:spacing w:before="85" w:line="238"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12"/>
          <w:sz w:val="23"/>
          <w:szCs w:val="23"/>
          <w:highlight w:val="none"/>
        </w:rPr>
        <w:t>34.2采购代理机构人员不得接受采购人或者供应商组织的宴请、旅游、娱乐，不得收</w:t>
      </w:r>
    </w:p>
    <w:p w14:paraId="52985D11">
      <w:pPr>
        <w:spacing w:before="86" w:line="293" w:lineRule="auto"/>
        <w:ind w:left="903" w:right="97" w:firstLine="12"/>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9"/>
          <w:sz w:val="23"/>
          <w:szCs w:val="23"/>
          <w:highlight w:val="none"/>
        </w:rPr>
        <w:t>受礼品、现金、有价证券等，不得向采购人或者供应商报销应当由个人承担的费</w:t>
      </w:r>
      <w:r>
        <w:rPr>
          <w:rFonts w:ascii="方正仿宋_GBK" w:hAnsi="方正仿宋_GBK" w:eastAsia="方正仿宋_GBK" w:cs="方正仿宋_GBK"/>
          <w:spacing w:val="-7"/>
          <w:sz w:val="23"/>
          <w:szCs w:val="23"/>
          <w:highlight w:val="none"/>
        </w:rPr>
        <w:t>用。</w:t>
      </w:r>
    </w:p>
    <w:p w14:paraId="11AE04B4">
      <w:pPr>
        <w:spacing w:before="18" w:line="232"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12"/>
          <w:sz w:val="23"/>
          <w:szCs w:val="23"/>
          <w:highlight w:val="none"/>
        </w:rPr>
        <w:t>34.3为强化采购代理机构内部监督机制，供应商可按</w:t>
      </w:r>
      <w:r>
        <w:rPr>
          <w:rFonts w:ascii="方正仿宋_GBK" w:hAnsi="方正仿宋_GBK" w:eastAsia="方正仿宋_GBK" w:cs="方正仿宋_GBK"/>
          <w:spacing w:val="12"/>
          <w:sz w:val="23"/>
          <w:szCs w:val="23"/>
          <w:highlight w:val="none"/>
          <w:u w:val="single" w:color="auto"/>
        </w:rPr>
        <w:t>投标人须知资料表中的</w:t>
      </w:r>
      <w:r>
        <w:rPr>
          <w:rFonts w:ascii="方正仿宋_GBK" w:hAnsi="方正仿宋_GBK" w:eastAsia="方正仿宋_GBK" w:cs="方正仿宋_GBK"/>
          <w:spacing w:val="12"/>
          <w:sz w:val="23"/>
          <w:szCs w:val="23"/>
          <w:highlight w:val="none"/>
        </w:rPr>
        <w:t>监督电话</w:t>
      </w:r>
    </w:p>
    <w:p w14:paraId="2995BB36">
      <w:pPr>
        <w:spacing w:before="96" w:line="236" w:lineRule="auto"/>
        <w:ind w:left="903"/>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7"/>
          <w:sz w:val="23"/>
          <w:szCs w:val="23"/>
          <w:highlight w:val="none"/>
        </w:rPr>
        <w:t>和邮箱，反映采购代理机构的廉洁自律等问题。</w:t>
      </w:r>
    </w:p>
    <w:p w14:paraId="4C92CF30">
      <w:pPr>
        <w:spacing w:before="53" w:line="237" w:lineRule="auto"/>
        <w:ind w:left="2"/>
        <w:outlineLvl w:val="1"/>
        <w:rPr>
          <w:rFonts w:ascii="方正仿宋_GBK" w:hAnsi="方正仿宋_GBK" w:eastAsia="方正仿宋_GBK" w:cs="方正仿宋_GBK"/>
          <w:sz w:val="28"/>
          <w:szCs w:val="28"/>
          <w:highlight w:val="none"/>
        </w:rPr>
      </w:pPr>
      <w:bookmarkStart w:id="67" w:name="bookmark57"/>
      <w:bookmarkEnd w:id="67"/>
      <w:bookmarkStart w:id="68" w:name="bookmark56"/>
      <w:bookmarkEnd w:id="68"/>
      <w:r>
        <w:rPr>
          <w:rFonts w:ascii="方正仿宋_GBK" w:hAnsi="方正仿宋_GBK" w:eastAsia="方正仿宋_GBK" w:cs="方正仿宋_GBK"/>
          <w:b/>
          <w:bCs/>
          <w:spacing w:val="-4"/>
          <w:sz w:val="28"/>
          <w:szCs w:val="28"/>
          <w:highlight w:val="none"/>
        </w:rPr>
        <w:t>35.人员回避</w:t>
      </w:r>
    </w:p>
    <w:p w14:paraId="3F86344B">
      <w:pPr>
        <w:spacing w:before="51" w:line="287" w:lineRule="auto"/>
        <w:ind w:left="1059" w:right="91" w:hanging="99"/>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投标人认为采购人员及其相关人员有法律法规所列与其他供应商有利害关系的，可以向采购人或采购代理机构书面提出回避申请，并说明理由。</w:t>
      </w:r>
    </w:p>
    <w:p w14:paraId="66F33C2D">
      <w:pPr>
        <w:spacing w:line="232" w:lineRule="auto"/>
        <w:ind w:left="2"/>
        <w:outlineLvl w:val="1"/>
        <w:rPr>
          <w:rFonts w:ascii="方正仿宋_GBK" w:hAnsi="方正仿宋_GBK" w:eastAsia="方正仿宋_GBK" w:cs="方正仿宋_GBK"/>
          <w:sz w:val="28"/>
          <w:szCs w:val="28"/>
          <w:highlight w:val="none"/>
        </w:rPr>
      </w:pPr>
      <w:bookmarkStart w:id="69" w:name="bookmark58"/>
      <w:bookmarkEnd w:id="69"/>
      <w:bookmarkStart w:id="70" w:name="bookmark59"/>
      <w:bookmarkEnd w:id="70"/>
      <w:r>
        <w:rPr>
          <w:rFonts w:ascii="方正仿宋_GBK" w:hAnsi="方正仿宋_GBK" w:eastAsia="方正仿宋_GBK" w:cs="方正仿宋_GBK"/>
          <w:b/>
          <w:bCs/>
          <w:spacing w:val="-4"/>
          <w:sz w:val="28"/>
          <w:szCs w:val="28"/>
          <w:highlight w:val="none"/>
        </w:rPr>
        <w:t>36.质疑与接收</w:t>
      </w:r>
    </w:p>
    <w:p w14:paraId="201F5CE5">
      <w:pPr>
        <w:spacing w:before="62" w:line="293" w:lineRule="auto"/>
        <w:ind w:left="724" w:right="6" w:hanging="724"/>
        <w:jc w:val="right"/>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3"/>
          <w:sz w:val="23"/>
          <w:szCs w:val="23"/>
          <w:highlight w:val="none"/>
        </w:rPr>
        <w:t>36.1投标人认为招标文件、招标过程和中标结果使自己的权益受到损害的，可以根据《中</w:t>
      </w:r>
      <w:r>
        <w:rPr>
          <w:rFonts w:ascii="方正仿宋_GBK" w:hAnsi="方正仿宋_GBK" w:eastAsia="方正仿宋_GBK" w:cs="方正仿宋_GBK"/>
          <w:spacing w:val="8"/>
          <w:sz w:val="23"/>
          <w:szCs w:val="23"/>
          <w:highlight w:val="none"/>
        </w:rPr>
        <w:t>华人民共和国政府采购法》、《中华人民共和国政府采购法实施条例》和《政府采</w:t>
      </w:r>
      <w:r>
        <w:rPr>
          <w:rFonts w:ascii="方正仿宋_GBK" w:hAnsi="方正仿宋_GBK" w:eastAsia="方正仿宋_GBK" w:cs="方正仿宋_GBK"/>
          <w:spacing w:val="4"/>
          <w:sz w:val="23"/>
          <w:szCs w:val="23"/>
          <w:highlight w:val="none"/>
        </w:rPr>
        <w:t>购质疑和投诉办法》的有关规定，依法向采购人或其委托的采购代理机构提出质疑。</w:t>
      </w:r>
    </w:p>
    <w:p w14:paraId="55FA852B">
      <w:pPr>
        <w:spacing w:before="28" w:line="293" w:lineRule="auto"/>
        <w:ind w:left="725" w:right="92" w:hanging="725"/>
        <w:rPr>
          <w:rFonts w:ascii="方正仿宋_GBK" w:hAnsi="方正仿宋_GBK" w:eastAsia="方正仿宋_GBK" w:cs="方正仿宋_GBK"/>
          <w:spacing w:val="7"/>
          <w:sz w:val="23"/>
          <w:szCs w:val="23"/>
          <w:highlight w:val="none"/>
        </w:rPr>
      </w:pPr>
      <w:r>
        <w:rPr>
          <w:rFonts w:ascii="方正仿宋_GBK" w:hAnsi="方正仿宋_GBK" w:eastAsia="方正仿宋_GBK" w:cs="方正仿宋_GBK"/>
          <w:spacing w:val="10"/>
          <w:sz w:val="23"/>
          <w:szCs w:val="23"/>
          <w:highlight w:val="none"/>
        </w:rPr>
        <w:t>36.2质疑供应商应按照财政部制定的《政府采购质疑</w:t>
      </w:r>
      <w:r>
        <w:rPr>
          <w:rFonts w:ascii="方正仿宋_GBK" w:hAnsi="方正仿宋_GBK" w:eastAsia="方正仿宋_GBK" w:cs="方正仿宋_GBK"/>
          <w:spacing w:val="9"/>
          <w:sz w:val="23"/>
          <w:szCs w:val="23"/>
          <w:highlight w:val="none"/>
        </w:rPr>
        <w:t>函范本》格式（可从财政部官方网</w:t>
      </w:r>
      <w:r>
        <w:rPr>
          <w:rFonts w:ascii="方正仿宋_GBK" w:hAnsi="方正仿宋_GBK" w:eastAsia="方正仿宋_GBK" w:cs="方正仿宋_GBK"/>
          <w:spacing w:val="7"/>
          <w:sz w:val="23"/>
          <w:szCs w:val="23"/>
          <w:highlight w:val="none"/>
        </w:rPr>
        <w:t>站下载）和《政府采购质疑和投诉办法》的要求，在法定质疑期内以纸质</w:t>
      </w:r>
      <w:r>
        <w:rPr>
          <w:rFonts w:ascii="方正仿宋_GBK" w:hAnsi="方正仿宋_GBK" w:eastAsia="方正仿宋_GBK" w:cs="方正仿宋_GBK"/>
          <w:spacing w:val="6"/>
          <w:sz w:val="23"/>
          <w:szCs w:val="23"/>
          <w:highlight w:val="none"/>
        </w:rPr>
        <w:t>形式提出</w:t>
      </w:r>
      <w:r>
        <w:rPr>
          <w:rFonts w:ascii="方正仿宋_GBK" w:hAnsi="方正仿宋_GBK" w:eastAsia="方正仿宋_GBK" w:cs="方正仿宋_GBK"/>
          <w:spacing w:val="7"/>
          <w:sz w:val="23"/>
          <w:szCs w:val="23"/>
          <w:highlight w:val="none"/>
        </w:rPr>
        <w:t>质疑，针对同一采购程序环节的质疑应一次性提出。</w:t>
      </w:r>
    </w:p>
    <w:p w14:paraId="2475A975">
      <w:pPr>
        <w:spacing w:before="28" w:line="293" w:lineRule="auto"/>
        <w:ind w:left="736" w:leftChars="297" w:right="92" w:hanging="112" w:hangingChars="45"/>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10"/>
          <w:sz w:val="23"/>
          <w:szCs w:val="23"/>
          <w:highlight w:val="none"/>
        </w:rPr>
        <w:t>超出法定质疑期的、重复提出的、分次提出的或内容、形式不符合《政府采购质疑和投诉办法》的，质疑供应商将依法承担不利后果。</w:t>
      </w:r>
    </w:p>
    <w:p w14:paraId="792ADFED">
      <w:pPr>
        <w:spacing w:before="34" w:line="293" w:lineRule="auto"/>
        <w:ind w:right="640"/>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6"/>
          <w:sz w:val="23"/>
          <w:szCs w:val="23"/>
          <w:highlight w:val="none"/>
        </w:rPr>
        <w:t>36.3采购代理机构质疑函接收部门、联系电话和通讯地址,见</w:t>
      </w:r>
      <w:r>
        <w:rPr>
          <w:rFonts w:ascii="方正仿宋_GBK" w:hAnsi="方正仿宋_GBK" w:eastAsia="方正仿宋_GBK" w:cs="方正仿宋_GBK"/>
          <w:spacing w:val="6"/>
          <w:sz w:val="23"/>
          <w:szCs w:val="23"/>
          <w:highlight w:val="none"/>
          <w:u w:val="single" w:color="auto"/>
        </w:rPr>
        <w:t>投标人须知资料表。</w:t>
      </w:r>
      <w:r>
        <w:rPr>
          <w:rFonts w:ascii="方正仿宋_GBK" w:hAnsi="方正仿宋_GBK" w:eastAsia="方正仿宋_GBK" w:cs="方正仿宋_GBK"/>
          <w:spacing w:val="2"/>
          <w:sz w:val="23"/>
          <w:szCs w:val="23"/>
          <w:highlight w:val="none"/>
        </w:rPr>
        <w:t>36.4、质疑的提出</w:t>
      </w:r>
    </w:p>
    <w:p w14:paraId="7CA737D8">
      <w:pPr>
        <w:spacing w:before="17" w:line="288" w:lineRule="auto"/>
        <w:ind w:left="743" w:right="131" w:hanging="743"/>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36.5、本采购文件中所称质疑及答复，是指参加本次采购活动的供应商对政府采购活动中的采购文件、采购过程和成交结果向采购方提出质疑，采购方答复质疑的行为。</w:t>
      </w:r>
    </w:p>
    <w:p w14:paraId="528C8230">
      <w:pPr>
        <w:spacing w:before="36" w:line="293" w:lineRule="auto"/>
        <w:ind w:left="723" w:right="92" w:hanging="723"/>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7"/>
          <w:sz w:val="23"/>
          <w:szCs w:val="23"/>
          <w:highlight w:val="none"/>
        </w:rPr>
        <w:t>36.6供应商认为采购文件、采购过程和成交结果使自己的</w:t>
      </w:r>
      <w:r>
        <w:rPr>
          <w:rFonts w:ascii="方正仿宋_GBK" w:hAnsi="方正仿宋_GBK" w:eastAsia="方正仿宋_GBK" w:cs="方正仿宋_GBK"/>
          <w:spacing w:val="6"/>
          <w:sz w:val="23"/>
          <w:szCs w:val="23"/>
          <w:highlight w:val="none"/>
        </w:rPr>
        <w:t>权益受到损害的，可以在知道或</w:t>
      </w:r>
      <w:r>
        <w:rPr>
          <w:rFonts w:ascii="方正仿宋_GBK" w:hAnsi="方正仿宋_GBK" w:eastAsia="方正仿宋_GBK" w:cs="方正仿宋_GBK"/>
          <w:spacing w:val="7"/>
          <w:sz w:val="23"/>
          <w:szCs w:val="23"/>
          <w:highlight w:val="none"/>
        </w:rPr>
        <w:t>者应知其权益受到损害之日起7个工作日内，以书面形式向采购方提出质疑。供应</w:t>
      </w:r>
      <w:r>
        <w:rPr>
          <w:rFonts w:ascii="方正仿宋_GBK" w:hAnsi="方正仿宋_GBK" w:eastAsia="方正仿宋_GBK" w:cs="方正仿宋_GBK"/>
          <w:spacing w:val="5"/>
          <w:sz w:val="23"/>
          <w:szCs w:val="23"/>
          <w:highlight w:val="none"/>
        </w:rPr>
        <w:t>商应知其权益受到损害之日，是指：</w:t>
      </w:r>
    </w:p>
    <w:p w14:paraId="6B4967BE">
      <w:pPr>
        <w:spacing w:before="27" w:line="268" w:lineRule="auto"/>
        <w:ind w:left="1222" w:right="94" w:hanging="760"/>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（一）对可以质疑的采购文件提出质疑的，为收到</w:t>
      </w:r>
      <w:r>
        <w:rPr>
          <w:rFonts w:ascii="方正仿宋_GBK" w:hAnsi="方正仿宋_GBK" w:eastAsia="方正仿宋_GBK" w:cs="方正仿宋_GBK"/>
          <w:spacing w:val="7"/>
          <w:sz w:val="23"/>
          <w:szCs w:val="23"/>
          <w:highlight w:val="none"/>
        </w:rPr>
        <w:t>采购文件之日或者采购文件公告期</w:t>
      </w:r>
      <w:r>
        <w:rPr>
          <w:rFonts w:ascii="方正仿宋_GBK" w:hAnsi="方正仿宋_GBK" w:eastAsia="方正仿宋_GBK" w:cs="方正仿宋_GBK"/>
          <w:spacing w:val="-3"/>
          <w:sz w:val="23"/>
          <w:szCs w:val="23"/>
          <w:highlight w:val="none"/>
        </w:rPr>
        <w:t>限届满之日；</w:t>
      </w:r>
    </w:p>
    <w:p w14:paraId="57031415">
      <w:pPr>
        <w:spacing w:before="88" w:line="237" w:lineRule="auto"/>
        <w:ind w:left="462"/>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（二）对采购过程提出质疑的，为各采购程序环节结束之日；</w:t>
      </w:r>
    </w:p>
    <w:p w14:paraId="3AE16DCD">
      <w:pPr>
        <w:spacing w:before="88" w:line="232" w:lineRule="auto"/>
        <w:ind w:left="462"/>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9"/>
          <w:sz w:val="23"/>
          <w:szCs w:val="23"/>
          <w:highlight w:val="none"/>
        </w:rPr>
        <w:t>（三）对成交结果提出质疑的，为成交结果公告期限届满之日。</w:t>
      </w:r>
    </w:p>
    <w:p w14:paraId="06765790">
      <w:pPr>
        <w:pStyle w:val="7"/>
        <w:spacing w:line="266"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36.7对可以质疑的采购文件提出质疑的，质疑人为</w:t>
      </w:r>
      <w:r>
        <w:rPr>
          <w:rFonts w:ascii="方正仿宋_GBK" w:hAnsi="方正仿宋_GBK" w:eastAsia="方正仿宋_GBK" w:cs="方正仿宋_GBK"/>
          <w:spacing w:val="7"/>
          <w:sz w:val="23"/>
          <w:szCs w:val="23"/>
          <w:highlight w:val="none"/>
        </w:rPr>
        <w:t>参与本项目的报价方或潜在报价方。可</w:t>
      </w:r>
      <w:r>
        <w:rPr>
          <w:rFonts w:ascii="方正仿宋_GBK" w:hAnsi="方正仿宋_GBK" w:eastAsia="方正仿宋_GBK" w:cs="方正仿宋_GBK"/>
          <w:spacing w:val="8"/>
          <w:sz w:val="23"/>
          <w:szCs w:val="23"/>
          <w:highlight w:val="none"/>
        </w:rPr>
        <w:t>质疑的文件为采购公告以及采购文件（包括属于其组成部分的澄清、修改、补充文件</w:t>
      </w:r>
      <w:r>
        <w:rPr>
          <w:rFonts w:ascii="方正仿宋_GBK" w:hAnsi="方正仿宋_GBK" w:eastAsia="方正仿宋_GBK" w:cs="方正仿宋_GBK"/>
          <w:spacing w:val="6"/>
          <w:sz w:val="23"/>
          <w:szCs w:val="23"/>
          <w:highlight w:val="none"/>
        </w:rPr>
        <w:t>和评审标准、合同文本等）。</w:t>
      </w:r>
    </w:p>
    <w:p w14:paraId="240446C8">
      <w:pPr>
        <w:spacing w:before="22" w:line="288" w:lineRule="auto"/>
        <w:ind w:left="502" w:right="3" w:hanging="503"/>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12"/>
          <w:sz w:val="23"/>
          <w:szCs w:val="23"/>
          <w:highlight w:val="none"/>
        </w:rPr>
        <w:t>36.8对采购过程和成交结果提出质疑的</w:t>
      </w:r>
      <w:r>
        <w:rPr>
          <w:rFonts w:ascii="方正仿宋_GBK" w:hAnsi="方正仿宋_GBK" w:eastAsia="方正仿宋_GBK" w:cs="方正仿宋_GBK"/>
          <w:spacing w:val="11"/>
          <w:sz w:val="23"/>
          <w:szCs w:val="23"/>
          <w:highlight w:val="none"/>
        </w:rPr>
        <w:t>，质疑人为直接参与本项目的报价方。采购过程,</w:t>
      </w:r>
      <w:r>
        <w:rPr>
          <w:rFonts w:ascii="方正仿宋_GBK" w:hAnsi="方正仿宋_GBK" w:eastAsia="方正仿宋_GBK" w:cs="方正仿宋_GBK"/>
          <w:spacing w:val="8"/>
          <w:sz w:val="23"/>
          <w:szCs w:val="23"/>
          <w:highlight w:val="none"/>
        </w:rPr>
        <w:t>即从采购项目信息公告发布起到成交结果公告止，包</w:t>
      </w:r>
      <w:r>
        <w:rPr>
          <w:rFonts w:ascii="方正仿宋_GBK" w:hAnsi="方正仿宋_GBK" w:eastAsia="方正仿宋_GBK" w:cs="方正仿宋_GBK"/>
          <w:spacing w:val="7"/>
          <w:sz w:val="23"/>
          <w:szCs w:val="23"/>
          <w:highlight w:val="none"/>
        </w:rPr>
        <w:t>括采购文件的发出、提交响应文</w:t>
      </w:r>
    </w:p>
    <w:p w14:paraId="1583EA83">
      <w:pPr>
        <w:spacing w:before="35" w:line="291" w:lineRule="auto"/>
        <w:ind w:right="3827" w:firstLine="482"/>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7"/>
          <w:sz w:val="23"/>
          <w:szCs w:val="23"/>
          <w:highlight w:val="none"/>
        </w:rPr>
        <w:t>件、响应文件开启、评审等各个采购程序环节。</w:t>
      </w:r>
      <w:r>
        <w:rPr>
          <w:rFonts w:ascii="方正仿宋_GBK" w:hAnsi="方正仿宋_GBK" w:eastAsia="方正仿宋_GBK" w:cs="方正仿宋_GBK"/>
          <w:spacing w:val="4"/>
          <w:sz w:val="23"/>
          <w:szCs w:val="23"/>
          <w:highlight w:val="none"/>
        </w:rPr>
        <w:t>36.9提出质疑应当符合下列条件：</w:t>
      </w:r>
    </w:p>
    <w:p w14:paraId="046B9BCD">
      <w:pPr>
        <w:spacing w:before="23" w:line="237" w:lineRule="auto"/>
        <w:ind w:left="462"/>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4"/>
          <w:sz w:val="23"/>
          <w:szCs w:val="23"/>
          <w:highlight w:val="none"/>
        </w:rPr>
        <w:t>（一）质疑主体应当符合有关规定；</w:t>
      </w:r>
    </w:p>
    <w:p w14:paraId="0DE7FE23">
      <w:pPr>
        <w:spacing w:before="87" w:line="237" w:lineRule="auto"/>
        <w:ind w:left="462"/>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7"/>
          <w:sz w:val="23"/>
          <w:szCs w:val="23"/>
          <w:highlight w:val="none"/>
        </w:rPr>
        <w:t>（二）在质疑法定期限内提出；</w:t>
      </w:r>
    </w:p>
    <w:p w14:paraId="495D1142">
      <w:pPr>
        <w:spacing w:before="88" w:line="237" w:lineRule="auto"/>
        <w:ind w:left="462"/>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9"/>
          <w:sz w:val="23"/>
          <w:szCs w:val="23"/>
          <w:highlight w:val="none"/>
        </w:rPr>
        <w:t>（三）属于可以提出质疑的政府采购事项受理范围和本项目采购人的管</w:t>
      </w:r>
      <w:r>
        <w:rPr>
          <w:rFonts w:ascii="方正仿宋_GBK" w:hAnsi="方正仿宋_GBK" w:eastAsia="方正仿宋_GBK" w:cs="方正仿宋_GBK"/>
          <w:spacing w:val="8"/>
          <w:sz w:val="23"/>
          <w:szCs w:val="23"/>
          <w:highlight w:val="none"/>
        </w:rPr>
        <w:t>辖权范围；</w:t>
      </w:r>
    </w:p>
    <w:p w14:paraId="2C89777C">
      <w:pPr>
        <w:spacing w:before="88"/>
        <w:ind w:left="462"/>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（四）政府采购法律、法规、规章规定的其他条件。</w:t>
      </w:r>
    </w:p>
    <w:p w14:paraId="2144AB3D">
      <w:pPr>
        <w:spacing w:before="83" w:line="277" w:lineRule="auto"/>
        <w:ind w:left="482" w:right="6" w:hanging="482"/>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7"/>
          <w:sz w:val="23"/>
          <w:szCs w:val="23"/>
          <w:highlight w:val="none"/>
        </w:rPr>
        <w:t>40.提出质疑应当具有明确的请求和提供必要的证明材料。明确的请求,即质疑人在质疑函中提出的，要求采购方对其予以支持的主张。必</w:t>
      </w:r>
      <w:r>
        <w:rPr>
          <w:rFonts w:ascii="方正仿宋_GBK" w:hAnsi="方正仿宋_GBK" w:eastAsia="方正仿宋_GBK" w:cs="方正仿宋_GBK"/>
          <w:spacing w:val="6"/>
          <w:sz w:val="23"/>
          <w:szCs w:val="23"/>
          <w:highlight w:val="none"/>
        </w:rPr>
        <w:t>要的证明材料,即能够证明质疑人的质</w:t>
      </w:r>
      <w:r>
        <w:rPr>
          <w:rFonts w:ascii="方正仿宋_GBK" w:hAnsi="方正仿宋_GBK" w:eastAsia="方正仿宋_GBK" w:cs="方正仿宋_GBK"/>
          <w:spacing w:val="8"/>
          <w:sz w:val="23"/>
          <w:szCs w:val="23"/>
          <w:highlight w:val="none"/>
        </w:rPr>
        <w:t>疑请求成立的必要材料，包括相关证据、依据和其他有关材料。</w:t>
      </w:r>
    </w:p>
    <w:p w14:paraId="7D1DA6E6">
      <w:pPr>
        <w:spacing w:before="97" w:line="290" w:lineRule="auto"/>
        <w:ind w:left="486" w:right="6" w:hanging="486"/>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11"/>
          <w:sz w:val="23"/>
          <w:szCs w:val="23"/>
          <w:highlight w:val="none"/>
        </w:rPr>
        <w:t>40.1质疑人所提供的证明材料应当具有真</w:t>
      </w:r>
      <w:r>
        <w:rPr>
          <w:rFonts w:ascii="方正仿宋_GBK" w:hAnsi="方正仿宋_GBK" w:eastAsia="方正仿宋_GBK" w:cs="方正仿宋_GBK"/>
          <w:spacing w:val="10"/>
          <w:sz w:val="23"/>
          <w:szCs w:val="23"/>
          <w:highlight w:val="none"/>
        </w:rPr>
        <w:t>实性、合法性以及与质疑事项的关联性和证明</w:t>
      </w:r>
      <w:r>
        <w:rPr>
          <w:rFonts w:ascii="方正仿宋_GBK" w:hAnsi="方正仿宋_GBK" w:eastAsia="方正仿宋_GBK" w:cs="方正仿宋_GBK"/>
          <w:spacing w:val="7"/>
          <w:sz w:val="23"/>
          <w:szCs w:val="23"/>
          <w:highlight w:val="none"/>
        </w:rPr>
        <w:t>力，否则不能作为认定该质疑事项成立的依据。</w:t>
      </w:r>
    </w:p>
    <w:p w14:paraId="2E9FBFBF">
      <w:pPr>
        <w:spacing w:before="26" w:line="237"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6"/>
          <w:sz w:val="23"/>
          <w:szCs w:val="23"/>
          <w:highlight w:val="none"/>
        </w:rPr>
        <w:t>40.2质疑人提出质疑时应当提交质疑函。质疑函包括下列内容：</w:t>
      </w:r>
    </w:p>
    <w:p w14:paraId="623AD899">
      <w:pPr>
        <w:spacing w:before="87" w:line="237" w:lineRule="auto"/>
        <w:ind w:left="462"/>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7"/>
          <w:sz w:val="23"/>
          <w:szCs w:val="23"/>
          <w:highlight w:val="none"/>
        </w:rPr>
        <w:t>（一）提出质疑的质疑人的名称、地址、邮编、联系人及联系电话等；</w:t>
      </w:r>
    </w:p>
    <w:p w14:paraId="5C5372F2">
      <w:pPr>
        <w:spacing w:before="88" w:line="237" w:lineRule="auto"/>
        <w:ind w:left="462"/>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7"/>
          <w:sz w:val="23"/>
          <w:szCs w:val="23"/>
          <w:highlight w:val="none"/>
        </w:rPr>
        <w:t>（二）质疑项目的名称、编号；</w:t>
      </w:r>
    </w:p>
    <w:p w14:paraId="29B584BA">
      <w:pPr>
        <w:spacing w:before="88" w:line="237" w:lineRule="auto"/>
        <w:ind w:left="462"/>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5"/>
          <w:sz w:val="23"/>
          <w:szCs w:val="23"/>
          <w:highlight w:val="none"/>
        </w:rPr>
        <w:t>（三）质疑事项；</w:t>
      </w:r>
    </w:p>
    <w:p w14:paraId="46B0CC1C">
      <w:pPr>
        <w:spacing w:before="87" w:line="232" w:lineRule="auto"/>
        <w:ind w:left="462"/>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6"/>
          <w:sz w:val="23"/>
          <w:szCs w:val="23"/>
          <w:highlight w:val="none"/>
        </w:rPr>
        <w:t>（四）事实依据和证明材料；</w:t>
      </w:r>
    </w:p>
    <w:p w14:paraId="015C3F23">
      <w:pPr>
        <w:spacing w:before="95" w:line="237" w:lineRule="auto"/>
        <w:ind w:left="462"/>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5"/>
          <w:sz w:val="23"/>
          <w:szCs w:val="23"/>
          <w:highlight w:val="none"/>
        </w:rPr>
        <w:t>（五）法律依据；</w:t>
      </w:r>
    </w:p>
    <w:p w14:paraId="4DC0BEC2">
      <w:pPr>
        <w:spacing w:before="88" w:line="242" w:lineRule="auto"/>
        <w:ind w:left="462"/>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7"/>
          <w:sz w:val="23"/>
          <w:szCs w:val="23"/>
          <w:highlight w:val="none"/>
        </w:rPr>
        <w:t>（六）提出质疑的日期。</w:t>
      </w:r>
    </w:p>
    <w:p w14:paraId="56337893">
      <w:pPr>
        <w:spacing w:before="79" w:line="295" w:lineRule="auto"/>
        <w:ind w:left="725"/>
        <w:jc w:val="both"/>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质疑函采用实名制。质疑人为自然人的应当由本人签字，并附有效身份证明文件；质疑人为法人或者非法人组织的应当由法定代表人或者负责人签字并加盖公章，并</w:t>
      </w:r>
      <w:r>
        <w:rPr>
          <w:rFonts w:ascii="方正仿宋_GBK" w:hAnsi="方正仿宋_GBK" w:eastAsia="方正仿宋_GBK" w:cs="方正仿宋_GBK"/>
          <w:spacing w:val="5"/>
          <w:sz w:val="23"/>
          <w:szCs w:val="23"/>
          <w:highlight w:val="none"/>
        </w:rPr>
        <w:t>附有效身份证明文件。</w:t>
      </w:r>
    </w:p>
    <w:p w14:paraId="00B0CE27">
      <w:pPr>
        <w:spacing w:before="22" w:line="291" w:lineRule="auto"/>
        <w:ind w:left="745" w:right="6" w:hanging="745"/>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11"/>
          <w:sz w:val="23"/>
          <w:szCs w:val="23"/>
          <w:highlight w:val="none"/>
        </w:rPr>
        <w:t>40.3质疑人可以委托代理人进行质疑。代理人应当提交授权委托书。授权委托书应当载</w:t>
      </w:r>
      <w:r>
        <w:rPr>
          <w:rFonts w:ascii="方正仿宋_GBK" w:hAnsi="方正仿宋_GBK" w:eastAsia="方正仿宋_GBK" w:cs="方正仿宋_GBK"/>
          <w:spacing w:val="6"/>
          <w:sz w:val="23"/>
          <w:szCs w:val="23"/>
          <w:highlight w:val="none"/>
        </w:rPr>
        <w:t>明委托代理的具体权限、期限和相关事项。</w:t>
      </w:r>
    </w:p>
    <w:p w14:paraId="14B5FE79">
      <w:pPr>
        <w:spacing w:before="24" w:line="241"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5"/>
          <w:sz w:val="23"/>
          <w:szCs w:val="23"/>
          <w:highlight w:val="none"/>
        </w:rPr>
        <w:t>40.4、质疑的审查和受理</w:t>
      </w:r>
    </w:p>
    <w:p w14:paraId="6722E052">
      <w:pPr>
        <w:spacing w:before="84" w:line="290" w:lineRule="auto"/>
        <w:ind w:left="854" w:right="6"/>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11"/>
          <w:sz w:val="23"/>
          <w:szCs w:val="23"/>
          <w:highlight w:val="none"/>
        </w:rPr>
        <w:t>采购方在收到质疑函后应当及时审查是否符合质疑受理条件，对符合质疑受理条</w:t>
      </w:r>
      <w:r>
        <w:rPr>
          <w:rFonts w:ascii="方正仿宋_GBK" w:hAnsi="方正仿宋_GBK" w:eastAsia="方正仿宋_GBK" w:cs="方正仿宋_GBK"/>
          <w:spacing w:val="5"/>
          <w:sz w:val="23"/>
          <w:szCs w:val="23"/>
          <w:highlight w:val="none"/>
        </w:rPr>
        <w:t>件的，及时予以受理。</w:t>
      </w:r>
    </w:p>
    <w:p w14:paraId="2A200896">
      <w:pPr>
        <w:spacing w:before="26" w:line="238"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40.5对不符合质疑受理条件的，分别按照下列不同情形予</w:t>
      </w:r>
      <w:r>
        <w:rPr>
          <w:rFonts w:ascii="方正仿宋_GBK" w:hAnsi="方正仿宋_GBK" w:eastAsia="方正仿宋_GBK" w:cs="方正仿宋_GBK"/>
          <w:spacing w:val="7"/>
          <w:sz w:val="23"/>
          <w:szCs w:val="23"/>
          <w:highlight w:val="none"/>
        </w:rPr>
        <w:t>以处理：</w:t>
      </w:r>
    </w:p>
    <w:p w14:paraId="04CB0419">
      <w:pPr>
        <w:spacing w:before="86" w:line="290" w:lineRule="auto"/>
        <w:ind w:left="1206" w:right="6" w:hanging="744"/>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6"/>
          <w:sz w:val="23"/>
          <w:szCs w:val="23"/>
          <w:highlight w:val="none"/>
        </w:rPr>
        <w:t>（一）质疑函内容不符合规定的，告知质疑人进行修改并重新提出质疑。修改后质疑</w:t>
      </w:r>
      <w:r>
        <w:rPr>
          <w:rFonts w:ascii="方正仿宋_GBK" w:hAnsi="方正仿宋_GBK" w:eastAsia="方正仿宋_GBK" w:cs="方正仿宋_GBK"/>
          <w:spacing w:val="8"/>
          <w:sz w:val="23"/>
          <w:szCs w:val="23"/>
          <w:highlight w:val="none"/>
        </w:rPr>
        <w:t>事项仍不具体、不明确或者最终递交质疑函的时间超过质疑法定期限的</w:t>
      </w:r>
      <w:r>
        <w:rPr>
          <w:rFonts w:ascii="方正仿宋_GBK" w:hAnsi="方正仿宋_GBK" w:eastAsia="方正仿宋_GBK" w:cs="方正仿宋_GBK"/>
          <w:spacing w:val="7"/>
          <w:sz w:val="23"/>
          <w:szCs w:val="23"/>
          <w:highlight w:val="none"/>
        </w:rPr>
        <w:t>，不予</w:t>
      </w:r>
      <w:r>
        <w:rPr>
          <w:rFonts w:ascii="方正仿宋_GBK" w:hAnsi="方正仿宋_GBK" w:eastAsia="方正仿宋_GBK" w:cs="方正仿宋_GBK"/>
          <w:spacing w:val="-8"/>
          <w:sz w:val="23"/>
          <w:szCs w:val="23"/>
          <w:highlight w:val="none"/>
        </w:rPr>
        <w:t>受理；</w:t>
      </w:r>
    </w:p>
    <w:p w14:paraId="7B64850D">
      <w:pPr>
        <w:spacing w:before="84" w:line="237" w:lineRule="auto"/>
        <w:ind w:left="461"/>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（二）质疑主体不符合有关规定的，告知质疑人不予受理；</w:t>
      </w:r>
    </w:p>
    <w:p w14:paraId="129D07EE">
      <w:pPr>
        <w:spacing w:before="87" w:line="237" w:lineRule="auto"/>
        <w:ind w:left="461"/>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（三）超过质疑法定期限提出质疑的，告知质疑人不予受理；</w:t>
      </w:r>
    </w:p>
    <w:p w14:paraId="6D8764DF">
      <w:pPr>
        <w:spacing w:before="87" w:line="237" w:lineRule="auto"/>
        <w:ind w:left="461"/>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9"/>
          <w:sz w:val="23"/>
          <w:szCs w:val="23"/>
          <w:highlight w:val="none"/>
        </w:rPr>
        <w:t>（四）对不属于可以提出质疑的政府采购事项提出质疑的，告知质疑人</w:t>
      </w:r>
      <w:r>
        <w:rPr>
          <w:rFonts w:ascii="方正仿宋_GBK" w:hAnsi="方正仿宋_GBK" w:eastAsia="方正仿宋_GBK" w:cs="方正仿宋_GBK"/>
          <w:spacing w:val="8"/>
          <w:sz w:val="23"/>
          <w:szCs w:val="23"/>
          <w:highlight w:val="none"/>
        </w:rPr>
        <w:t>不予受理；</w:t>
      </w:r>
    </w:p>
    <w:p w14:paraId="65BF22FF">
      <w:pPr>
        <w:spacing w:before="87" w:line="237" w:lineRule="auto"/>
        <w:ind w:left="461"/>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9"/>
          <w:sz w:val="23"/>
          <w:szCs w:val="23"/>
          <w:highlight w:val="none"/>
        </w:rPr>
        <w:t>（五）质疑不属于本项目采购方管辖的，告知质疑人向有管辖权的采购人提出质疑；</w:t>
      </w:r>
    </w:p>
    <w:p w14:paraId="5D0A3199">
      <w:pPr>
        <w:spacing w:before="89" w:line="269" w:lineRule="auto"/>
        <w:ind w:right="3309" w:firstLine="461"/>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9"/>
          <w:sz w:val="23"/>
          <w:szCs w:val="23"/>
          <w:highlight w:val="none"/>
        </w:rPr>
        <w:t>（六）质疑不符合其他条件的，告知质疑人不</w:t>
      </w:r>
      <w:r>
        <w:rPr>
          <w:rFonts w:ascii="方正仿宋_GBK" w:hAnsi="方正仿宋_GBK" w:eastAsia="方正仿宋_GBK" w:cs="方正仿宋_GBK"/>
          <w:spacing w:val="8"/>
          <w:sz w:val="23"/>
          <w:szCs w:val="23"/>
          <w:highlight w:val="none"/>
        </w:rPr>
        <w:t>予受理。</w:t>
      </w:r>
      <w:r>
        <w:rPr>
          <w:rFonts w:ascii="方正仿宋_GBK" w:hAnsi="方正仿宋_GBK" w:eastAsia="方正仿宋_GBK" w:cs="方正仿宋_GBK"/>
          <w:spacing w:val="5"/>
          <w:sz w:val="23"/>
          <w:szCs w:val="23"/>
          <w:highlight w:val="none"/>
        </w:rPr>
        <w:t>40.6、质疑的处理和答复</w:t>
      </w:r>
    </w:p>
    <w:p w14:paraId="2E72908E">
      <w:pPr>
        <w:spacing w:before="86" w:line="287" w:lineRule="auto"/>
        <w:ind w:left="730" w:right="207" w:hanging="731"/>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11"/>
          <w:sz w:val="23"/>
          <w:szCs w:val="23"/>
          <w:highlight w:val="none"/>
        </w:rPr>
        <w:t>40.7采购方受理质疑后，将及时把质疑函发送给被质疑人，并要求其在一定限期人提交</w:t>
      </w:r>
      <w:r>
        <w:rPr>
          <w:rFonts w:ascii="方正仿宋_GBK" w:hAnsi="方正仿宋_GBK" w:eastAsia="方正仿宋_GBK" w:cs="方正仿宋_GBK"/>
          <w:spacing w:val="7"/>
          <w:sz w:val="23"/>
          <w:szCs w:val="23"/>
          <w:highlight w:val="none"/>
        </w:rPr>
        <w:t>书面答复，同时提供有关证据、依据和相关材料。</w:t>
      </w:r>
    </w:p>
    <w:p w14:paraId="508E9504">
      <w:pPr>
        <w:spacing w:before="34" w:line="288" w:lineRule="auto"/>
        <w:ind w:left="741" w:right="205" w:hanging="742"/>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9"/>
          <w:sz w:val="23"/>
          <w:szCs w:val="23"/>
          <w:highlight w:val="none"/>
        </w:rPr>
        <w:t>40.8对于质疑事项中涉及的问题较多、情况比较复杂的，为了全面查清事实、取得充分</w:t>
      </w:r>
      <w:r>
        <w:rPr>
          <w:rFonts w:ascii="方正仿宋_GBK" w:hAnsi="方正仿宋_GBK" w:eastAsia="方正仿宋_GBK" w:cs="方正仿宋_GBK"/>
          <w:spacing w:val="7"/>
          <w:sz w:val="23"/>
          <w:szCs w:val="23"/>
          <w:highlight w:val="none"/>
        </w:rPr>
        <w:t>的证据，采购方认为有必要时，可以进行调查取证或者组织质证。</w:t>
      </w:r>
    </w:p>
    <w:p w14:paraId="034AF24E">
      <w:pPr>
        <w:spacing w:before="34" w:line="232"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9"/>
          <w:sz w:val="23"/>
          <w:szCs w:val="23"/>
          <w:highlight w:val="none"/>
        </w:rPr>
        <w:t>40.9对评审过程、成交结果提出质疑的，采购方可以组织原评审委员会协助答复质疑。</w:t>
      </w:r>
    </w:p>
    <w:p w14:paraId="4EF5A3F4">
      <w:pPr>
        <w:spacing w:before="94" w:line="238"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41.质疑处理过程中，质疑人书面申请撤回</w:t>
      </w:r>
      <w:r>
        <w:rPr>
          <w:rFonts w:ascii="方正仿宋_GBK" w:hAnsi="方正仿宋_GBK" w:eastAsia="方正仿宋_GBK" w:cs="方正仿宋_GBK"/>
          <w:spacing w:val="7"/>
          <w:sz w:val="23"/>
          <w:szCs w:val="23"/>
          <w:highlight w:val="none"/>
        </w:rPr>
        <w:t>质疑的，将终止质疑处理程序。</w:t>
      </w:r>
    </w:p>
    <w:p w14:paraId="0D94544C">
      <w:pPr>
        <w:spacing w:before="85" w:line="295" w:lineRule="auto"/>
        <w:ind w:left="479" w:right="207" w:hanging="479"/>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5"/>
          <w:sz w:val="23"/>
          <w:szCs w:val="23"/>
          <w:highlight w:val="none"/>
        </w:rPr>
        <w:t>41.1质疑人拒绝配合采购方依法对质疑进行调查处理的，采购方将按质疑人自动撤回质疑</w:t>
      </w:r>
      <w:r>
        <w:rPr>
          <w:rFonts w:ascii="方正仿宋_GBK" w:hAnsi="方正仿宋_GBK" w:eastAsia="方正仿宋_GBK" w:cs="方正仿宋_GBK"/>
          <w:spacing w:val="8"/>
          <w:sz w:val="23"/>
          <w:szCs w:val="23"/>
          <w:highlight w:val="none"/>
        </w:rPr>
        <w:t>处理；被质疑人拒绝配合采购方依法对质疑进行调查处理的，采购方将视同其认可质</w:t>
      </w:r>
      <w:r>
        <w:rPr>
          <w:rFonts w:ascii="方正仿宋_GBK" w:hAnsi="方正仿宋_GBK" w:eastAsia="方正仿宋_GBK" w:cs="方正仿宋_GBK"/>
          <w:spacing w:val="-2"/>
          <w:sz w:val="23"/>
          <w:szCs w:val="23"/>
          <w:highlight w:val="none"/>
        </w:rPr>
        <w:t>疑事项。</w:t>
      </w:r>
    </w:p>
    <w:p w14:paraId="7D3B08AF">
      <w:pPr>
        <w:spacing w:before="22" w:line="293" w:lineRule="auto"/>
        <w:ind w:left="485" w:right="165" w:hanging="486"/>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6"/>
          <w:sz w:val="23"/>
          <w:szCs w:val="23"/>
          <w:highlight w:val="none"/>
        </w:rPr>
        <w:t>41.2采购方将在正式受理质疑后7个工作日内作出答复，但处理质疑需要进行调查取证、</w:t>
      </w:r>
      <w:r>
        <w:rPr>
          <w:rFonts w:ascii="方正仿宋_GBK" w:hAnsi="方正仿宋_GBK" w:eastAsia="方正仿宋_GBK" w:cs="方正仿宋_GBK"/>
          <w:spacing w:val="8"/>
          <w:sz w:val="23"/>
          <w:szCs w:val="23"/>
          <w:highlight w:val="none"/>
        </w:rPr>
        <w:t>组织专家评审、质疑人及被质疑人提交或补正材料等所需时间，不计算在质疑处理期</w:t>
      </w:r>
      <w:r>
        <w:rPr>
          <w:rFonts w:ascii="方正仿宋_GBK" w:hAnsi="方正仿宋_GBK" w:eastAsia="方正仿宋_GBK" w:cs="方正仿宋_GBK"/>
          <w:spacing w:val="-5"/>
          <w:sz w:val="23"/>
          <w:szCs w:val="23"/>
          <w:highlight w:val="none"/>
        </w:rPr>
        <w:t>限内。</w:t>
      </w:r>
    </w:p>
    <w:p w14:paraId="647CC28E">
      <w:pPr>
        <w:spacing w:before="28" w:line="290" w:lineRule="auto"/>
        <w:ind w:left="485" w:right="205" w:hanging="485"/>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11"/>
          <w:sz w:val="23"/>
          <w:szCs w:val="23"/>
          <w:highlight w:val="none"/>
        </w:rPr>
        <w:t>41.3采购方经调查、论证、核实，认定</w:t>
      </w:r>
      <w:r>
        <w:rPr>
          <w:rFonts w:ascii="方正仿宋_GBK" w:hAnsi="方正仿宋_GBK" w:eastAsia="方正仿宋_GBK" w:cs="方正仿宋_GBK"/>
          <w:spacing w:val="10"/>
          <w:sz w:val="23"/>
          <w:szCs w:val="23"/>
          <w:highlight w:val="none"/>
        </w:rPr>
        <w:t>质疑不能成立的，继续开展采购活动；认定质疑</w:t>
      </w:r>
      <w:r>
        <w:rPr>
          <w:rFonts w:ascii="方正仿宋_GBK" w:hAnsi="方正仿宋_GBK" w:eastAsia="方正仿宋_GBK" w:cs="方正仿宋_GBK"/>
          <w:spacing w:val="4"/>
          <w:sz w:val="23"/>
          <w:szCs w:val="23"/>
          <w:highlight w:val="none"/>
        </w:rPr>
        <w:t>成立的，按照以下情况处理：</w:t>
      </w:r>
    </w:p>
    <w:p w14:paraId="3FC1BF04">
      <w:pPr>
        <w:spacing w:before="27" w:line="279" w:lineRule="auto"/>
        <w:ind w:left="1204" w:hanging="743"/>
        <w:rPr>
          <w:rFonts w:hint="eastAsia" w:ascii="方正仿宋_GBK" w:hAnsi="方正仿宋_GBK" w:eastAsia="方正仿宋_GBK" w:cs="方正仿宋_GBK"/>
          <w:sz w:val="23"/>
          <w:szCs w:val="23"/>
          <w:highlight w:val="none"/>
          <w:lang w:eastAsia="zh-CN"/>
        </w:rPr>
      </w:pPr>
      <w:r>
        <w:rPr>
          <w:rFonts w:ascii="方正仿宋_GBK" w:hAnsi="方正仿宋_GBK" w:eastAsia="方正仿宋_GBK" w:cs="方正仿宋_GBK"/>
          <w:spacing w:val="5"/>
          <w:sz w:val="23"/>
          <w:szCs w:val="23"/>
          <w:highlight w:val="none"/>
        </w:rPr>
        <w:t>（一）对采购文件提出的质疑未对成交结果构成影响的，继续开展采购活动；对成交</w:t>
      </w:r>
      <w:r>
        <w:rPr>
          <w:rFonts w:ascii="方正仿宋_GBK" w:hAnsi="方正仿宋_GBK" w:eastAsia="方正仿宋_GBK" w:cs="方正仿宋_GBK"/>
          <w:spacing w:val="8"/>
          <w:sz w:val="23"/>
          <w:szCs w:val="23"/>
          <w:highlight w:val="none"/>
        </w:rPr>
        <w:t>结果构成影响但依法通过澄清或者修改可以继续开展采购活动的，澄清或</w:t>
      </w:r>
      <w:r>
        <w:rPr>
          <w:rFonts w:ascii="方正仿宋_GBK" w:hAnsi="方正仿宋_GBK" w:eastAsia="方正仿宋_GBK" w:cs="方正仿宋_GBK"/>
          <w:spacing w:val="7"/>
          <w:sz w:val="23"/>
          <w:szCs w:val="23"/>
          <w:highlight w:val="none"/>
        </w:rPr>
        <w:t>者修改采购文件后继续开展采购活动，否则应当修改采购文件后重新开展采购活动</w:t>
      </w:r>
      <w:r>
        <w:rPr>
          <w:rFonts w:hint="eastAsia" w:ascii="方正仿宋_GBK" w:hAnsi="方正仿宋_GBK" w:eastAsia="方正仿宋_GBK" w:cs="方正仿宋_GBK"/>
          <w:spacing w:val="7"/>
          <w:sz w:val="23"/>
          <w:szCs w:val="23"/>
          <w:highlight w:val="none"/>
          <w:lang w:eastAsia="zh-CN"/>
        </w:rPr>
        <w:t>。</w:t>
      </w:r>
    </w:p>
    <w:p w14:paraId="300897DC">
      <w:pPr>
        <w:spacing w:before="87" w:line="279" w:lineRule="auto"/>
        <w:ind w:left="1198" w:right="207" w:hanging="737"/>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（二）对采购过程、成交结果提出的质疑未对成交</w:t>
      </w:r>
      <w:r>
        <w:rPr>
          <w:rFonts w:ascii="方正仿宋_GBK" w:hAnsi="方正仿宋_GBK" w:eastAsia="方正仿宋_GBK" w:cs="方正仿宋_GBK"/>
          <w:spacing w:val="7"/>
          <w:sz w:val="23"/>
          <w:szCs w:val="23"/>
          <w:highlight w:val="none"/>
        </w:rPr>
        <w:t>结果构成影响的，继续开展采购活动；对成交结果构成影响但合格报价方仍不少于3家时，依法从合</w:t>
      </w:r>
      <w:r>
        <w:rPr>
          <w:rFonts w:ascii="方正仿宋_GBK" w:hAnsi="方正仿宋_GBK" w:eastAsia="方正仿宋_GBK" w:cs="方正仿宋_GBK"/>
          <w:spacing w:val="6"/>
          <w:sz w:val="23"/>
          <w:szCs w:val="23"/>
          <w:highlight w:val="none"/>
        </w:rPr>
        <w:t>格的成交候</w:t>
      </w:r>
      <w:r>
        <w:rPr>
          <w:rFonts w:ascii="方正仿宋_GBK" w:hAnsi="方正仿宋_GBK" w:eastAsia="方正仿宋_GBK" w:cs="方正仿宋_GBK"/>
          <w:spacing w:val="8"/>
          <w:sz w:val="23"/>
          <w:szCs w:val="23"/>
          <w:highlight w:val="none"/>
        </w:rPr>
        <w:t>选人中另行确定成交报价方，否则将重新开展采购活动。</w:t>
      </w:r>
    </w:p>
    <w:p w14:paraId="4FA340D5">
      <w:pPr>
        <w:spacing w:before="87" w:line="237" w:lineRule="auto"/>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4"/>
          <w:sz w:val="23"/>
          <w:szCs w:val="23"/>
          <w:highlight w:val="none"/>
        </w:rPr>
        <w:t>41.4采购方将书面答复质疑，质疑答复包括下列内容：</w:t>
      </w:r>
    </w:p>
    <w:p w14:paraId="6D971F35">
      <w:pPr>
        <w:spacing w:before="87" w:line="237" w:lineRule="auto"/>
        <w:ind w:left="461"/>
        <w:rPr>
          <w:rFonts w:ascii="方正仿宋_GBK" w:hAnsi="方正仿宋_GBK" w:eastAsia="方正仿宋_GBK" w:cs="方正仿宋_GBK"/>
          <w:sz w:val="23"/>
          <w:szCs w:val="23"/>
          <w:highlight w:val="none"/>
        </w:rPr>
      </w:pPr>
      <w:r>
        <w:rPr>
          <w:rFonts w:ascii="方正仿宋_GBK" w:hAnsi="方正仿宋_GBK" w:eastAsia="方正仿宋_GBK" w:cs="方正仿宋_GBK"/>
          <w:sz w:val="23"/>
          <w:szCs w:val="23"/>
          <w:highlight w:val="none"/>
        </w:rPr>
        <w:t>（一）质疑人名称；</w:t>
      </w:r>
    </w:p>
    <w:p w14:paraId="0547400D">
      <w:pPr>
        <w:spacing w:before="88" w:line="241" w:lineRule="auto"/>
        <w:ind w:left="461"/>
        <w:rPr>
          <w:rFonts w:hint="eastAsia" w:ascii="方正仿宋_GBK" w:hAnsi="方正仿宋_GBK" w:eastAsia="方正仿宋_GBK" w:cs="方正仿宋_GBK"/>
          <w:sz w:val="23"/>
          <w:szCs w:val="23"/>
          <w:highlight w:val="none"/>
          <w:lang w:eastAsia="zh-CN"/>
        </w:rPr>
      </w:pPr>
      <w:r>
        <w:rPr>
          <w:rFonts w:ascii="方正仿宋_GBK" w:hAnsi="方正仿宋_GBK" w:eastAsia="方正仿宋_GBK" w:cs="方正仿宋_GBK"/>
          <w:spacing w:val="10"/>
          <w:sz w:val="23"/>
          <w:szCs w:val="23"/>
          <w:highlight w:val="none"/>
        </w:rPr>
        <w:t>（二）收到质疑函的日期、质疑项目名称及编号</w:t>
      </w:r>
      <w:r>
        <w:rPr>
          <w:rFonts w:hint="eastAsia" w:ascii="方正仿宋_GBK" w:hAnsi="方正仿宋_GBK" w:eastAsia="方正仿宋_GBK" w:cs="方正仿宋_GBK"/>
          <w:spacing w:val="10"/>
          <w:sz w:val="23"/>
          <w:szCs w:val="23"/>
          <w:highlight w:val="none"/>
          <w:lang w:eastAsia="zh-CN"/>
        </w:rPr>
        <w:t>；</w:t>
      </w:r>
    </w:p>
    <w:p w14:paraId="31025E03">
      <w:pPr>
        <w:spacing w:before="82" w:line="237" w:lineRule="auto"/>
        <w:ind w:left="721"/>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7"/>
          <w:sz w:val="23"/>
          <w:szCs w:val="23"/>
          <w:highlight w:val="none"/>
        </w:rPr>
        <w:t>(三)质疑事项、质疑答复的具体内容、事实依据和法律依据；</w:t>
      </w:r>
    </w:p>
    <w:p w14:paraId="39581DE6">
      <w:pPr>
        <w:spacing w:before="87" w:line="236" w:lineRule="auto"/>
        <w:ind w:left="461"/>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7"/>
          <w:sz w:val="23"/>
          <w:szCs w:val="23"/>
          <w:highlight w:val="none"/>
        </w:rPr>
        <w:t>（四）告知质疑人依法投诉的权利；</w:t>
      </w:r>
    </w:p>
    <w:p w14:paraId="425E7985">
      <w:pPr>
        <w:spacing w:before="90" w:line="239" w:lineRule="auto"/>
        <w:ind w:left="461"/>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7"/>
          <w:sz w:val="23"/>
          <w:szCs w:val="23"/>
          <w:highlight w:val="none"/>
        </w:rPr>
        <w:t>（五）质疑答复日期。</w:t>
      </w:r>
    </w:p>
    <w:p w14:paraId="23E97CF7">
      <w:pPr>
        <w:pStyle w:val="7"/>
        <w:spacing w:line="266" w:lineRule="auto"/>
        <w:rPr>
          <w:highlight w:val="none"/>
        </w:rPr>
      </w:pPr>
      <w:r>
        <w:rPr>
          <w:rFonts w:ascii="方正仿宋_GBK" w:hAnsi="方正仿宋_GBK" w:eastAsia="方正仿宋_GBK" w:cs="方正仿宋_GBK"/>
          <w:spacing w:val="11"/>
          <w:sz w:val="23"/>
          <w:szCs w:val="23"/>
          <w:highlight w:val="none"/>
        </w:rPr>
        <w:t>41.5质疑人有下列行为之一的，属于虚</w:t>
      </w:r>
      <w:r>
        <w:rPr>
          <w:rFonts w:ascii="方正仿宋_GBK" w:hAnsi="方正仿宋_GBK" w:eastAsia="方正仿宋_GBK" w:cs="方正仿宋_GBK"/>
          <w:spacing w:val="10"/>
          <w:sz w:val="23"/>
          <w:szCs w:val="23"/>
          <w:highlight w:val="none"/>
        </w:rPr>
        <w:t>假、恶意质疑，将由采购方建议财政部门将其列</w:t>
      </w:r>
      <w:r>
        <w:rPr>
          <w:rFonts w:ascii="方正仿宋_GBK" w:hAnsi="方正仿宋_GBK" w:eastAsia="方正仿宋_GBK" w:cs="方正仿宋_GBK"/>
          <w:spacing w:val="2"/>
          <w:sz w:val="23"/>
          <w:szCs w:val="23"/>
          <w:highlight w:val="none"/>
        </w:rPr>
        <w:t>入不良行为记录名单，禁止其1至3年内参加政府采购活动：</w:t>
      </w:r>
    </w:p>
    <w:p w14:paraId="4E0B790D">
      <w:pPr>
        <w:spacing w:before="84" w:line="237" w:lineRule="auto"/>
        <w:ind w:left="475"/>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1"/>
          <w:sz w:val="23"/>
          <w:szCs w:val="23"/>
          <w:highlight w:val="none"/>
        </w:rPr>
        <w:t>（一）捏造事实；</w:t>
      </w:r>
    </w:p>
    <w:p w14:paraId="73E509EF">
      <w:pPr>
        <w:spacing w:before="87" w:line="232" w:lineRule="auto"/>
        <w:ind w:left="475"/>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6"/>
          <w:sz w:val="23"/>
          <w:szCs w:val="23"/>
          <w:highlight w:val="none"/>
        </w:rPr>
        <w:t>（二）提供虚假材料；</w:t>
      </w:r>
    </w:p>
    <w:p w14:paraId="6A5E3D4A">
      <w:pPr>
        <w:spacing w:before="94" w:line="232" w:lineRule="auto"/>
        <w:ind w:left="475"/>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（三）以非法手段取得证明材料或者无法提供证据的合法来源；</w:t>
      </w:r>
    </w:p>
    <w:p w14:paraId="5538E4CB">
      <w:pPr>
        <w:spacing w:before="95"/>
        <w:ind w:left="475"/>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8"/>
          <w:sz w:val="23"/>
          <w:szCs w:val="23"/>
          <w:highlight w:val="none"/>
        </w:rPr>
        <w:t>（四）法律法规规定的其他违法情形。</w:t>
      </w:r>
    </w:p>
    <w:p w14:paraId="1A391292">
      <w:pPr>
        <w:rPr>
          <w:rFonts w:ascii="仿宋" w:hAnsi="仿宋" w:eastAsia="仿宋" w:cs="仿宋"/>
          <w:b/>
          <w:bCs/>
          <w:spacing w:val="-7"/>
          <w:sz w:val="28"/>
          <w:szCs w:val="28"/>
          <w:highlight w:val="none"/>
        </w:rPr>
      </w:pPr>
      <w:r>
        <w:rPr>
          <w:rFonts w:ascii="仿宋" w:hAnsi="仿宋" w:eastAsia="仿宋" w:cs="仿宋"/>
          <w:b/>
          <w:bCs/>
          <w:spacing w:val="-7"/>
          <w:sz w:val="28"/>
          <w:szCs w:val="28"/>
          <w:highlight w:val="none"/>
        </w:rPr>
        <w:br w:type="page"/>
      </w:r>
    </w:p>
    <w:p w14:paraId="1C0384C4">
      <w:pPr>
        <w:spacing w:before="1" w:line="223" w:lineRule="auto"/>
        <w:ind w:left="26"/>
        <w:outlineLvl w:val="2"/>
        <w:rPr>
          <w:rFonts w:ascii="仿宋" w:hAnsi="仿宋" w:eastAsia="仿宋" w:cs="仿宋"/>
          <w:sz w:val="28"/>
          <w:szCs w:val="28"/>
          <w:highlight w:val="none"/>
        </w:rPr>
      </w:pPr>
      <w:r>
        <w:rPr>
          <w:rFonts w:ascii="仿宋" w:hAnsi="仿宋" w:eastAsia="仿宋" w:cs="仿宋"/>
          <w:b/>
          <w:bCs/>
          <w:spacing w:val="-7"/>
          <w:sz w:val="28"/>
          <w:szCs w:val="28"/>
          <w:highlight w:val="none"/>
        </w:rPr>
        <w:t>质疑函模板</w:t>
      </w:r>
    </w:p>
    <w:p w14:paraId="66694AE1">
      <w:pPr>
        <w:pStyle w:val="7"/>
        <w:spacing w:line="410" w:lineRule="auto"/>
        <w:rPr>
          <w:highlight w:val="none"/>
        </w:rPr>
      </w:pPr>
    </w:p>
    <w:p w14:paraId="5E11766A">
      <w:pPr>
        <w:spacing w:before="101" w:line="229" w:lineRule="auto"/>
        <w:ind w:left="4203"/>
        <w:rPr>
          <w:rFonts w:ascii="仿宋" w:hAnsi="仿宋" w:eastAsia="仿宋" w:cs="仿宋"/>
          <w:sz w:val="31"/>
          <w:szCs w:val="31"/>
          <w:highlight w:val="none"/>
        </w:rPr>
      </w:pPr>
      <w:r>
        <w:rPr>
          <w:rFonts w:ascii="仿宋" w:hAnsi="仿宋" w:eastAsia="仿宋" w:cs="仿宋"/>
          <w:b/>
          <w:bCs/>
          <w:spacing w:val="-2"/>
          <w:sz w:val="31"/>
          <w:szCs w:val="31"/>
          <w:highlight w:val="none"/>
        </w:rPr>
        <w:t>质疑函</w:t>
      </w:r>
    </w:p>
    <w:p w14:paraId="6804C30B">
      <w:pPr>
        <w:pStyle w:val="7"/>
        <w:spacing w:line="285" w:lineRule="auto"/>
        <w:rPr>
          <w:highlight w:val="none"/>
        </w:rPr>
      </w:pPr>
    </w:p>
    <w:p w14:paraId="37564919">
      <w:pPr>
        <w:pStyle w:val="7"/>
        <w:spacing w:line="285" w:lineRule="auto"/>
        <w:rPr>
          <w:highlight w:val="none"/>
        </w:rPr>
      </w:pPr>
    </w:p>
    <w:p w14:paraId="387D5BEB">
      <w:pPr>
        <w:spacing w:before="75" w:line="230" w:lineRule="auto"/>
        <w:ind w:left="20"/>
        <w:rPr>
          <w:rFonts w:ascii="仿宋" w:hAnsi="仿宋" w:eastAsia="仿宋" w:cs="仿宋"/>
          <w:sz w:val="23"/>
          <w:szCs w:val="23"/>
          <w:highlight w:val="none"/>
        </w:rPr>
      </w:pPr>
      <w:r>
        <w:rPr>
          <w:rFonts w:ascii="仿宋" w:hAnsi="仿宋" w:eastAsia="仿宋" w:cs="仿宋"/>
          <w:spacing w:val="5"/>
          <w:sz w:val="23"/>
          <w:szCs w:val="23"/>
          <w:highlight w:val="none"/>
        </w:rPr>
        <w:t>一、质疑供应商基本信息</w:t>
      </w:r>
    </w:p>
    <w:p w14:paraId="740C2700">
      <w:pPr>
        <w:spacing w:before="253" w:line="227" w:lineRule="auto"/>
        <w:ind w:left="22"/>
        <w:rPr>
          <w:sz w:val="23"/>
          <w:szCs w:val="23"/>
          <w:highlight w:val="none"/>
        </w:rPr>
      </w:pPr>
      <w:r>
        <w:rPr>
          <w:rFonts w:ascii="仿宋" w:hAnsi="仿宋" w:eastAsia="仿宋" w:cs="仿宋"/>
          <w:sz w:val="23"/>
          <w:szCs w:val="23"/>
          <w:highlight w:val="none"/>
        </w:rPr>
        <w:t>质疑供应商：</w:t>
      </w:r>
      <w:r>
        <w:rPr>
          <w:position w:val="-3"/>
          <w:sz w:val="23"/>
          <w:szCs w:val="23"/>
          <w:highlight w:val="none"/>
        </w:rPr>
        <w:drawing>
          <wp:inline distT="0" distB="0" distL="0" distR="0">
            <wp:extent cx="1523365" cy="762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4"/>
                    <a:stretch>
                      <a:fillRect/>
                    </a:stretch>
                  </pic:blipFill>
                  <pic:spPr>
                    <a:xfrm>
                      <a:off x="0" y="0"/>
                      <a:ext cx="1523978" cy="7621"/>
                    </a:xfrm>
                    <a:prstGeom prst="rect">
                      <a:avLst/>
                    </a:prstGeom>
                  </pic:spPr>
                </pic:pic>
              </a:graphicData>
            </a:graphic>
          </wp:inline>
        </w:drawing>
      </w:r>
    </w:p>
    <w:p w14:paraId="38972DC8">
      <w:pPr>
        <w:spacing w:before="258" w:line="227" w:lineRule="auto"/>
        <w:ind w:left="17"/>
        <w:rPr>
          <w:sz w:val="23"/>
          <w:szCs w:val="23"/>
          <w:highlight w:val="none"/>
        </w:rPr>
      </w:pPr>
      <w:r>
        <w:rPr>
          <w:rFonts w:ascii="仿宋" w:hAnsi="仿宋" w:eastAsia="仿宋" w:cs="仿宋"/>
          <w:spacing w:val="1"/>
          <w:sz w:val="23"/>
          <w:szCs w:val="23"/>
          <w:highlight w:val="none"/>
        </w:rPr>
        <w:t>地址：</w:t>
      </w:r>
      <w:r>
        <w:rPr>
          <w:position w:val="-3"/>
          <w:sz w:val="23"/>
          <w:szCs w:val="23"/>
          <w:highlight w:val="none"/>
        </w:rPr>
        <w:drawing>
          <wp:inline distT="0" distB="0" distL="0" distR="0">
            <wp:extent cx="1828165" cy="762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5"/>
                    <a:stretch>
                      <a:fillRect/>
                    </a:stretch>
                  </pic:blipFill>
                  <pic:spPr>
                    <a:xfrm>
                      <a:off x="0" y="0"/>
                      <a:ext cx="1828770" cy="7621"/>
                    </a:xfrm>
                    <a:prstGeom prst="rect">
                      <a:avLst/>
                    </a:prstGeom>
                  </pic:spPr>
                </pic:pic>
              </a:graphicData>
            </a:graphic>
          </wp:inline>
        </w:drawing>
      </w:r>
      <w:r>
        <w:rPr>
          <w:rFonts w:ascii="仿宋" w:hAnsi="仿宋" w:eastAsia="仿宋" w:cs="仿宋"/>
          <w:spacing w:val="1"/>
          <w:sz w:val="23"/>
          <w:szCs w:val="23"/>
          <w:highlight w:val="none"/>
        </w:rPr>
        <w:t>邮编：</w:t>
      </w:r>
      <w:r>
        <w:rPr>
          <w:position w:val="-3"/>
          <w:sz w:val="23"/>
          <w:szCs w:val="23"/>
          <w:highlight w:val="none"/>
        </w:rPr>
        <w:drawing>
          <wp:inline distT="0" distB="0" distL="0" distR="0">
            <wp:extent cx="2056765" cy="762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36"/>
                    <a:stretch>
                      <a:fillRect/>
                    </a:stretch>
                  </pic:blipFill>
                  <pic:spPr>
                    <a:xfrm>
                      <a:off x="0" y="0"/>
                      <a:ext cx="2057366" cy="7621"/>
                    </a:xfrm>
                    <a:prstGeom prst="rect">
                      <a:avLst/>
                    </a:prstGeom>
                  </pic:spPr>
                </pic:pic>
              </a:graphicData>
            </a:graphic>
          </wp:inline>
        </w:drawing>
      </w:r>
    </w:p>
    <w:p w14:paraId="67486F52">
      <w:pPr>
        <w:spacing w:before="257" w:line="227" w:lineRule="auto"/>
        <w:ind w:left="13"/>
        <w:rPr>
          <w:sz w:val="23"/>
          <w:szCs w:val="23"/>
          <w:highlight w:val="none"/>
        </w:rPr>
      </w:pPr>
      <w:r>
        <w:rPr>
          <w:rFonts w:ascii="仿宋" w:hAnsi="仿宋" w:eastAsia="仿宋" w:cs="仿宋"/>
          <w:sz w:val="23"/>
          <w:szCs w:val="23"/>
          <w:highlight w:val="none"/>
        </w:rPr>
        <w:t>联系人：</w:t>
      </w:r>
      <w:r>
        <w:rPr>
          <w:position w:val="-3"/>
          <w:sz w:val="23"/>
          <w:szCs w:val="23"/>
          <w:highlight w:val="none"/>
        </w:rPr>
        <w:drawing>
          <wp:inline distT="0" distB="0" distL="0" distR="0">
            <wp:extent cx="1675765" cy="762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37"/>
                    <a:stretch>
                      <a:fillRect/>
                    </a:stretch>
                  </pic:blipFill>
                  <pic:spPr>
                    <a:xfrm>
                      <a:off x="0" y="0"/>
                      <a:ext cx="1676374" cy="7621"/>
                    </a:xfrm>
                    <a:prstGeom prst="rect">
                      <a:avLst/>
                    </a:prstGeom>
                  </pic:spPr>
                </pic:pic>
              </a:graphicData>
            </a:graphic>
          </wp:inline>
        </w:drawing>
      </w:r>
      <w:r>
        <w:rPr>
          <w:rFonts w:ascii="仿宋" w:hAnsi="仿宋" w:eastAsia="仿宋" w:cs="仿宋"/>
          <w:sz w:val="23"/>
          <w:szCs w:val="23"/>
          <w:highlight w:val="none"/>
        </w:rPr>
        <w:t>联系电话：</w:t>
      </w:r>
      <w:r>
        <w:rPr>
          <w:position w:val="-3"/>
          <w:sz w:val="23"/>
          <w:szCs w:val="23"/>
          <w:highlight w:val="none"/>
        </w:rPr>
        <w:drawing>
          <wp:inline distT="0" distB="0" distL="0" distR="0">
            <wp:extent cx="1980565" cy="762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38"/>
                    <a:stretch>
                      <a:fillRect/>
                    </a:stretch>
                  </pic:blipFill>
                  <pic:spPr>
                    <a:xfrm>
                      <a:off x="0" y="0"/>
                      <a:ext cx="1981170" cy="7621"/>
                    </a:xfrm>
                    <a:prstGeom prst="rect">
                      <a:avLst/>
                    </a:prstGeom>
                  </pic:spPr>
                </pic:pic>
              </a:graphicData>
            </a:graphic>
          </wp:inline>
        </w:drawing>
      </w:r>
    </w:p>
    <w:p w14:paraId="3D6E2ECA">
      <w:pPr>
        <w:spacing w:before="257" w:line="227" w:lineRule="auto"/>
        <w:ind w:left="16"/>
        <w:rPr>
          <w:sz w:val="23"/>
          <w:szCs w:val="23"/>
          <w:highlight w:val="none"/>
        </w:rPr>
      </w:pPr>
      <w:r>
        <w:rPr>
          <w:rFonts w:ascii="仿宋" w:hAnsi="仿宋" w:eastAsia="仿宋" w:cs="仿宋"/>
          <w:sz w:val="23"/>
          <w:szCs w:val="23"/>
          <w:highlight w:val="none"/>
        </w:rPr>
        <w:t>授权代表：</w:t>
      </w:r>
      <w:r>
        <w:rPr>
          <w:position w:val="-3"/>
          <w:sz w:val="23"/>
          <w:szCs w:val="23"/>
          <w:highlight w:val="none"/>
        </w:rPr>
        <w:drawing>
          <wp:inline distT="0" distB="0" distL="0" distR="0">
            <wp:extent cx="1599565" cy="762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39"/>
                    <a:stretch>
                      <a:fillRect/>
                    </a:stretch>
                  </pic:blipFill>
                  <pic:spPr>
                    <a:xfrm>
                      <a:off x="0" y="0"/>
                      <a:ext cx="1600174" cy="7621"/>
                    </a:xfrm>
                    <a:prstGeom prst="rect">
                      <a:avLst/>
                    </a:prstGeom>
                  </pic:spPr>
                </pic:pic>
              </a:graphicData>
            </a:graphic>
          </wp:inline>
        </w:drawing>
      </w:r>
    </w:p>
    <w:p w14:paraId="39780C90">
      <w:pPr>
        <w:spacing w:before="257" w:line="227" w:lineRule="auto"/>
        <w:ind w:left="13"/>
        <w:rPr>
          <w:sz w:val="23"/>
          <w:szCs w:val="23"/>
          <w:highlight w:val="none"/>
        </w:rPr>
      </w:pPr>
      <w:r>
        <w:rPr>
          <w:rFonts w:ascii="仿宋" w:hAnsi="仿宋" w:eastAsia="仿宋" w:cs="仿宋"/>
          <w:sz w:val="23"/>
          <w:szCs w:val="23"/>
          <w:highlight w:val="none"/>
        </w:rPr>
        <w:t>联系电话：</w:t>
      </w:r>
      <w:r>
        <w:rPr>
          <w:position w:val="-3"/>
          <w:sz w:val="23"/>
          <w:szCs w:val="23"/>
          <w:highlight w:val="none"/>
        </w:rPr>
        <w:drawing>
          <wp:inline distT="0" distB="0" distL="0" distR="0">
            <wp:extent cx="1599565" cy="762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40"/>
                    <a:stretch>
                      <a:fillRect/>
                    </a:stretch>
                  </pic:blipFill>
                  <pic:spPr>
                    <a:xfrm>
                      <a:off x="0" y="0"/>
                      <a:ext cx="1600174" cy="7620"/>
                    </a:xfrm>
                    <a:prstGeom prst="rect">
                      <a:avLst/>
                    </a:prstGeom>
                  </pic:spPr>
                </pic:pic>
              </a:graphicData>
            </a:graphic>
          </wp:inline>
        </w:drawing>
      </w:r>
    </w:p>
    <w:p w14:paraId="3E4E2EE5">
      <w:pPr>
        <w:spacing w:before="257" w:line="227" w:lineRule="auto"/>
        <w:ind w:left="17"/>
        <w:rPr>
          <w:sz w:val="23"/>
          <w:szCs w:val="23"/>
          <w:highlight w:val="none"/>
        </w:rPr>
      </w:pPr>
      <w:r>
        <w:rPr>
          <w:rFonts w:ascii="仿宋" w:hAnsi="仿宋" w:eastAsia="仿宋" w:cs="仿宋"/>
          <w:spacing w:val="1"/>
          <w:sz w:val="23"/>
          <w:szCs w:val="23"/>
          <w:highlight w:val="none"/>
        </w:rPr>
        <w:t>地址：</w:t>
      </w:r>
      <w:r>
        <w:rPr>
          <w:position w:val="-3"/>
          <w:sz w:val="23"/>
          <w:szCs w:val="23"/>
          <w:highlight w:val="none"/>
        </w:rPr>
        <w:drawing>
          <wp:inline distT="0" distB="0" distL="0" distR="0">
            <wp:extent cx="1828165" cy="762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41"/>
                    <a:stretch>
                      <a:fillRect/>
                    </a:stretch>
                  </pic:blipFill>
                  <pic:spPr>
                    <a:xfrm>
                      <a:off x="0" y="0"/>
                      <a:ext cx="1828770" cy="7620"/>
                    </a:xfrm>
                    <a:prstGeom prst="rect">
                      <a:avLst/>
                    </a:prstGeom>
                  </pic:spPr>
                </pic:pic>
              </a:graphicData>
            </a:graphic>
          </wp:inline>
        </w:drawing>
      </w:r>
      <w:r>
        <w:rPr>
          <w:rFonts w:ascii="仿宋" w:hAnsi="仿宋" w:eastAsia="仿宋" w:cs="仿宋"/>
          <w:spacing w:val="1"/>
          <w:sz w:val="23"/>
          <w:szCs w:val="23"/>
          <w:highlight w:val="none"/>
        </w:rPr>
        <w:t>邮编：</w:t>
      </w:r>
      <w:r>
        <w:rPr>
          <w:position w:val="-3"/>
          <w:sz w:val="23"/>
          <w:szCs w:val="23"/>
          <w:highlight w:val="none"/>
        </w:rPr>
        <w:drawing>
          <wp:inline distT="0" distB="0" distL="0" distR="0">
            <wp:extent cx="2056765" cy="762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42"/>
                    <a:stretch>
                      <a:fillRect/>
                    </a:stretch>
                  </pic:blipFill>
                  <pic:spPr>
                    <a:xfrm>
                      <a:off x="0" y="0"/>
                      <a:ext cx="2057367" cy="7620"/>
                    </a:xfrm>
                    <a:prstGeom prst="rect">
                      <a:avLst/>
                    </a:prstGeom>
                  </pic:spPr>
                </pic:pic>
              </a:graphicData>
            </a:graphic>
          </wp:inline>
        </w:drawing>
      </w:r>
    </w:p>
    <w:p w14:paraId="1B300FB3">
      <w:pPr>
        <w:spacing w:before="257" w:line="231" w:lineRule="auto"/>
        <w:ind w:left="24"/>
        <w:rPr>
          <w:rFonts w:ascii="仿宋" w:hAnsi="仿宋" w:eastAsia="仿宋" w:cs="仿宋"/>
          <w:sz w:val="23"/>
          <w:szCs w:val="23"/>
          <w:highlight w:val="none"/>
        </w:rPr>
      </w:pPr>
      <w:r>
        <w:rPr>
          <w:rFonts w:ascii="仿宋" w:hAnsi="仿宋" w:eastAsia="仿宋" w:cs="仿宋"/>
          <w:spacing w:val="7"/>
          <w:sz w:val="23"/>
          <w:szCs w:val="23"/>
          <w:highlight w:val="none"/>
        </w:rPr>
        <w:t>二、质疑项目基本情况</w:t>
      </w:r>
    </w:p>
    <w:p w14:paraId="57D07E8E">
      <w:pPr>
        <w:spacing w:before="253" w:line="227" w:lineRule="auto"/>
        <w:ind w:left="22"/>
        <w:rPr>
          <w:sz w:val="23"/>
          <w:szCs w:val="23"/>
          <w:highlight w:val="none"/>
        </w:rPr>
      </w:pPr>
      <w:r>
        <w:rPr>
          <w:rFonts w:ascii="仿宋" w:hAnsi="仿宋" w:eastAsia="仿宋" w:cs="仿宋"/>
          <w:sz w:val="23"/>
          <w:szCs w:val="23"/>
          <w:highlight w:val="none"/>
        </w:rPr>
        <w:t>质疑项目的名称：</w:t>
      </w:r>
      <w:r>
        <w:rPr>
          <w:position w:val="-3"/>
          <w:sz w:val="23"/>
          <w:szCs w:val="23"/>
          <w:highlight w:val="none"/>
        </w:rPr>
        <w:drawing>
          <wp:inline distT="0" distB="0" distL="0" distR="0">
            <wp:extent cx="2894965" cy="762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43"/>
                    <a:stretch>
                      <a:fillRect/>
                    </a:stretch>
                  </pic:blipFill>
                  <pic:spPr>
                    <a:xfrm>
                      <a:off x="0" y="0"/>
                      <a:ext cx="2895555" cy="7620"/>
                    </a:xfrm>
                    <a:prstGeom prst="rect">
                      <a:avLst/>
                    </a:prstGeom>
                  </pic:spPr>
                </pic:pic>
              </a:graphicData>
            </a:graphic>
          </wp:inline>
        </w:drawing>
      </w:r>
    </w:p>
    <w:p w14:paraId="27499413">
      <w:pPr>
        <w:spacing w:before="257" w:line="227" w:lineRule="auto"/>
        <w:ind w:left="22"/>
        <w:rPr>
          <w:sz w:val="23"/>
          <w:szCs w:val="23"/>
          <w:highlight w:val="none"/>
        </w:rPr>
      </w:pPr>
      <w:r>
        <w:rPr>
          <w:rFonts w:ascii="仿宋" w:hAnsi="仿宋" w:eastAsia="仿宋" w:cs="仿宋"/>
          <w:sz w:val="23"/>
          <w:szCs w:val="23"/>
          <w:highlight w:val="none"/>
        </w:rPr>
        <w:t>质疑项目的编号：</w:t>
      </w:r>
      <w:r>
        <w:rPr>
          <w:position w:val="-3"/>
          <w:sz w:val="23"/>
          <w:szCs w:val="23"/>
          <w:highlight w:val="none"/>
        </w:rPr>
        <w:drawing>
          <wp:inline distT="0" distB="0" distL="0" distR="0">
            <wp:extent cx="1142365" cy="762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44"/>
                    <a:stretch>
                      <a:fillRect/>
                    </a:stretch>
                  </pic:blipFill>
                  <pic:spPr>
                    <a:xfrm>
                      <a:off x="0" y="0"/>
                      <a:ext cx="1142981" cy="7621"/>
                    </a:xfrm>
                    <a:prstGeom prst="rect">
                      <a:avLst/>
                    </a:prstGeom>
                  </pic:spPr>
                </pic:pic>
              </a:graphicData>
            </a:graphic>
          </wp:inline>
        </w:drawing>
      </w:r>
      <w:r>
        <w:rPr>
          <w:rFonts w:hint="eastAsia" w:ascii="仿宋" w:hAnsi="仿宋" w:eastAsia="仿宋" w:cs="仿宋"/>
          <w:sz w:val="23"/>
          <w:szCs w:val="23"/>
          <w:highlight w:val="none"/>
          <w:lang w:eastAsia="zh-CN"/>
        </w:rPr>
        <w:t>标项号</w:t>
      </w:r>
      <w:r>
        <w:rPr>
          <w:rFonts w:ascii="仿宋" w:hAnsi="仿宋" w:eastAsia="仿宋" w:cs="仿宋"/>
          <w:sz w:val="23"/>
          <w:szCs w:val="23"/>
          <w:highlight w:val="none"/>
        </w:rPr>
        <w:t>：</w:t>
      </w:r>
      <w:r>
        <w:rPr>
          <w:position w:val="-3"/>
          <w:sz w:val="23"/>
          <w:szCs w:val="23"/>
          <w:highlight w:val="none"/>
        </w:rPr>
        <w:drawing>
          <wp:inline distT="0" distB="0" distL="0" distR="0">
            <wp:extent cx="1294765" cy="762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45"/>
                    <a:stretch>
                      <a:fillRect/>
                    </a:stretch>
                  </pic:blipFill>
                  <pic:spPr>
                    <a:xfrm>
                      <a:off x="0" y="0"/>
                      <a:ext cx="1295381" cy="7621"/>
                    </a:xfrm>
                    <a:prstGeom prst="rect">
                      <a:avLst/>
                    </a:prstGeom>
                  </pic:spPr>
                </pic:pic>
              </a:graphicData>
            </a:graphic>
          </wp:inline>
        </w:drawing>
      </w:r>
    </w:p>
    <w:p w14:paraId="647710E8">
      <w:pPr>
        <w:spacing w:before="257" w:line="227" w:lineRule="auto"/>
        <w:ind w:left="18"/>
        <w:rPr>
          <w:sz w:val="23"/>
          <w:szCs w:val="23"/>
          <w:highlight w:val="none"/>
        </w:rPr>
      </w:pPr>
      <w:r>
        <w:rPr>
          <w:rFonts w:ascii="仿宋" w:hAnsi="仿宋" w:eastAsia="仿宋" w:cs="仿宋"/>
          <w:sz w:val="23"/>
          <w:szCs w:val="23"/>
          <w:highlight w:val="none"/>
        </w:rPr>
        <w:t>采购人名称：</w:t>
      </w:r>
      <w:r>
        <w:rPr>
          <w:position w:val="-3"/>
          <w:sz w:val="23"/>
          <w:szCs w:val="23"/>
          <w:highlight w:val="none"/>
        </w:rPr>
        <w:drawing>
          <wp:inline distT="0" distB="0" distL="0" distR="0">
            <wp:extent cx="3123565" cy="762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46"/>
                    <a:stretch>
                      <a:fillRect/>
                    </a:stretch>
                  </pic:blipFill>
                  <pic:spPr>
                    <a:xfrm>
                      <a:off x="0" y="0"/>
                      <a:ext cx="3124152" cy="7620"/>
                    </a:xfrm>
                    <a:prstGeom prst="rect">
                      <a:avLst/>
                    </a:prstGeom>
                  </pic:spPr>
                </pic:pic>
              </a:graphicData>
            </a:graphic>
          </wp:inline>
        </w:drawing>
      </w:r>
    </w:p>
    <w:p w14:paraId="38E1846B">
      <w:pPr>
        <w:spacing w:before="257" w:line="227" w:lineRule="auto"/>
        <w:ind w:left="18"/>
        <w:rPr>
          <w:sz w:val="23"/>
          <w:szCs w:val="23"/>
          <w:highlight w:val="none"/>
        </w:rPr>
      </w:pPr>
      <w:r>
        <w:rPr>
          <w:rFonts w:ascii="仿宋" w:hAnsi="仿宋" w:eastAsia="仿宋" w:cs="仿宋"/>
          <w:spacing w:val="-1"/>
          <w:sz w:val="23"/>
          <w:szCs w:val="23"/>
          <w:highlight w:val="none"/>
        </w:rPr>
        <w:t>采购文件获取日期：</w:t>
      </w:r>
      <w:r>
        <w:rPr>
          <w:position w:val="-3"/>
          <w:sz w:val="23"/>
          <w:szCs w:val="23"/>
          <w:highlight w:val="none"/>
        </w:rPr>
        <w:drawing>
          <wp:inline distT="0" distB="0" distL="0" distR="0">
            <wp:extent cx="3123565" cy="762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47"/>
                    <a:stretch>
                      <a:fillRect/>
                    </a:stretch>
                  </pic:blipFill>
                  <pic:spPr>
                    <a:xfrm>
                      <a:off x="0" y="0"/>
                      <a:ext cx="3124152" cy="7621"/>
                    </a:xfrm>
                    <a:prstGeom prst="rect">
                      <a:avLst/>
                    </a:prstGeom>
                  </pic:spPr>
                </pic:pic>
              </a:graphicData>
            </a:graphic>
          </wp:inline>
        </w:drawing>
      </w:r>
    </w:p>
    <w:p w14:paraId="1820F160">
      <w:pPr>
        <w:spacing w:before="257" w:line="231" w:lineRule="auto"/>
        <w:ind w:left="23"/>
        <w:rPr>
          <w:rFonts w:ascii="仿宋" w:hAnsi="仿宋" w:eastAsia="仿宋" w:cs="仿宋"/>
          <w:sz w:val="23"/>
          <w:szCs w:val="23"/>
          <w:highlight w:val="none"/>
        </w:rPr>
      </w:pPr>
      <w:r>
        <w:rPr>
          <w:rFonts w:ascii="仿宋" w:hAnsi="仿宋" w:eastAsia="仿宋" w:cs="仿宋"/>
          <w:spacing w:val="7"/>
          <w:sz w:val="23"/>
          <w:szCs w:val="23"/>
          <w:highlight w:val="none"/>
        </w:rPr>
        <w:t>三、质疑事项具体内容</w:t>
      </w:r>
    </w:p>
    <w:p w14:paraId="5FF9194C">
      <w:pPr>
        <w:spacing w:before="253" w:line="227" w:lineRule="auto"/>
        <w:ind w:left="22"/>
        <w:rPr>
          <w:sz w:val="23"/>
          <w:szCs w:val="23"/>
          <w:highlight w:val="none"/>
        </w:rPr>
      </w:pPr>
      <w:r>
        <w:rPr>
          <w:rFonts w:ascii="仿宋" w:hAnsi="仿宋" w:eastAsia="仿宋" w:cs="仿宋"/>
          <w:spacing w:val="1"/>
          <w:sz w:val="23"/>
          <w:szCs w:val="23"/>
          <w:highlight w:val="none"/>
        </w:rPr>
        <w:t>质疑事项1：</w:t>
      </w:r>
      <w:r>
        <w:rPr>
          <w:position w:val="-3"/>
          <w:sz w:val="23"/>
          <w:szCs w:val="23"/>
          <w:highlight w:val="none"/>
        </w:rPr>
        <w:drawing>
          <wp:inline distT="0" distB="0" distL="0" distR="0">
            <wp:extent cx="3123565" cy="762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48"/>
                    <a:stretch>
                      <a:fillRect/>
                    </a:stretch>
                  </pic:blipFill>
                  <pic:spPr>
                    <a:xfrm>
                      <a:off x="0" y="0"/>
                      <a:ext cx="3124152" cy="7621"/>
                    </a:xfrm>
                    <a:prstGeom prst="rect">
                      <a:avLst/>
                    </a:prstGeom>
                  </pic:spPr>
                </pic:pic>
              </a:graphicData>
            </a:graphic>
          </wp:inline>
        </w:drawing>
      </w:r>
    </w:p>
    <w:p w14:paraId="3CFDA16A">
      <w:pPr>
        <w:spacing w:before="257" w:line="227" w:lineRule="auto"/>
        <w:ind w:left="16"/>
        <w:rPr>
          <w:sz w:val="23"/>
          <w:szCs w:val="23"/>
          <w:highlight w:val="none"/>
        </w:rPr>
      </w:pPr>
      <w:r>
        <w:rPr>
          <w:rFonts w:ascii="仿宋" w:hAnsi="仿宋" w:eastAsia="仿宋" w:cs="仿宋"/>
          <w:sz w:val="23"/>
          <w:szCs w:val="23"/>
          <w:highlight w:val="none"/>
        </w:rPr>
        <w:t>事实依据：</w:t>
      </w:r>
      <w:r>
        <w:rPr>
          <w:position w:val="-3"/>
          <w:sz w:val="23"/>
          <w:szCs w:val="23"/>
          <w:highlight w:val="none"/>
        </w:rPr>
        <w:drawing>
          <wp:inline distT="0" distB="0" distL="0" distR="0">
            <wp:extent cx="3199765" cy="762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49"/>
                    <a:stretch>
                      <a:fillRect/>
                    </a:stretch>
                  </pic:blipFill>
                  <pic:spPr>
                    <a:xfrm>
                      <a:off x="0" y="0"/>
                      <a:ext cx="3200348" cy="7621"/>
                    </a:xfrm>
                    <a:prstGeom prst="rect">
                      <a:avLst/>
                    </a:prstGeom>
                  </pic:spPr>
                </pic:pic>
              </a:graphicData>
            </a:graphic>
          </wp:inline>
        </w:drawing>
      </w:r>
    </w:p>
    <w:p w14:paraId="3018F956">
      <w:pPr>
        <w:spacing w:before="257" w:line="227" w:lineRule="auto"/>
        <w:ind w:left="24"/>
        <w:rPr>
          <w:sz w:val="23"/>
          <w:szCs w:val="23"/>
          <w:highlight w:val="none"/>
        </w:rPr>
      </w:pPr>
      <w:r>
        <w:rPr>
          <w:rFonts w:ascii="仿宋" w:hAnsi="仿宋" w:eastAsia="仿宋" w:cs="仿宋"/>
          <w:sz w:val="23"/>
          <w:szCs w:val="23"/>
          <w:highlight w:val="none"/>
        </w:rPr>
        <w:t>法律依据：</w:t>
      </w:r>
      <w:r>
        <w:rPr>
          <w:position w:val="-3"/>
          <w:sz w:val="23"/>
          <w:szCs w:val="23"/>
          <w:highlight w:val="none"/>
        </w:rPr>
        <w:drawing>
          <wp:inline distT="0" distB="0" distL="0" distR="0">
            <wp:extent cx="3199765" cy="762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49"/>
                    <a:stretch>
                      <a:fillRect/>
                    </a:stretch>
                  </pic:blipFill>
                  <pic:spPr>
                    <a:xfrm>
                      <a:off x="0" y="0"/>
                      <a:ext cx="3200348" cy="7621"/>
                    </a:xfrm>
                    <a:prstGeom prst="rect">
                      <a:avLst/>
                    </a:prstGeom>
                  </pic:spPr>
                </pic:pic>
              </a:graphicData>
            </a:graphic>
          </wp:inline>
        </w:drawing>
      </w:r>
    </w:p>
    <w:p w14:paraId="47A47AD6">
      <w:pPr>
        <w:pStyle w:val="7"/>
        <w:spacing w:line="359" w:lineRule="auto"/>
        <w:rPr>
          <w:highlight w:val="none"/>
        </w:rPr>
      </w:pPr>
    </w:p>
    <w:p w14:paraId="4DD5E3E7">
      <w:pPr>
        <w:pStyle w:val="7"/>
        <w:spacing w:line="359" w:lineRule="auto"/>
        <w:rPr>
          <w:highlight w:val="none"/>
        </w:rPr>
      </w:pPr>
      <w:r>
        <w:rPr>
          <w:highlight w:val="none"/>
        </w:rPr>
        <w:pict>
          <v:shape id="_x0000_s1026" o:spid="_x0000_s1026" style="position:absolute;left:0pt;margin-left:0.3pt;margin-top:6.5pt;height:0.65pt;width:318pt;z-index:251659264;mso-width-relative:page;mso-height-relative:page;" filled="f" stroked="t" coordsize="6360,12" path="m0,6l6359,6e">
            <v:fill on="f" focussize="0,0"/>
            <v:stroke weight="0.6pt" color="#000000" miterlimit="10" joinstyle="bevel" dashstyle="dash"/>
            <v:imagedata o:title=""/>
            <o:lock v:ext="edit"/>
          </v:shape>
        </w:pict>
      </w:r>
    </w:p>
    <w:p w14:paraId="04FD7F07">
      <w:pPr>
        <w:spacing w:before="75" w:line="231" w:lineRule="auto"/>
        <w:ind w:left="22"/>
        <w:rPr>
          <w:rFonts w:ascii="仿宋" w:hAnsi="仿宋" w:eastAsia="仿宋" w:cs="仿宋"/>
          <w:sz w:val="23"/>
          <w:szCs w:val="23"/>
          <w:highlight w:val="none"/>
        </w:rPr>
      </w:pPr>
      <w:r>
        <w:rPr>
          <w:rFonts w:ascii="仿宋" w:hAnsi="仿宋" w:eastAsia="仿宋" w:cs="仿宋"/>
          <w:spacing w:val="3"/>
          <w:sz w:val="23"/>
          <w:szCs w:val="23"/>
          <w:highlight w:val="none"/>
        </w:rPr>
        <w:t>质疑事项2</w:t>
      </w:r>
    </w:p>
    <w:p w14:paraId="68782868">
      <w:pPr>
        <w:pStyle w:val="7"/>
        <w:spacing w:line="325" w:lineRule="auto"/>
        <w:rPr>
          <w:highlight w:val="none"/>
        </w:rPr>
      </w:pPr>
    </w:p>
    <w:p w14:paraId="60E8377D">
      <w:pPr>
        <w:spacing w:before="1" w:line="57" w:lineRule="exact"/>
        <w:ind w:firstLine="44"/>
        <w:rPr>
          <w:highlight w:val="none"/>
        </w:rPr>
      </w:pPr>
      <w:r>
        <w:rPr>
          <w:position w:val="-1"/>
          <w:highlight w:val="none"/>
        </w:rPr>
        <w:drawing>
          <wp:inline distT="0" distB="0" distL="0" distR="0">
            <wp:extent cx="252095" cy="3556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50"/>
                    <a:stretch>
                      <a:fillRect/>
                    </a:stretch>
                  </pic:blipFill>
                  <pic:spPr>
                    <a:xfrm>
                      <a:off x="0" y="0"/>
                      <a:ext cx="252692" cy="35977"/>
                    </a:xfrm>
                    <a:prstGeom prst="rect">
                      <a:avLst/>
                    </a:prstGeom>
                  </pic:spPr>
                </pic:pic>
              </a:graphicData>
            </a:graphic>
          </wp:inline>
        </w:drawing>
      </w:r>
    </w:p>
    <w:p w14:paraId="570C1B46">
      <w:pPr>
        <w:pStyle w:val="7"/>
        <w:spacing w:line="331" w:lineRule="auto"/>
        <w:rPr>
          <w:highlight w:val="none"/>
        </w:rPr>
      </w:pPr>
    </w:p>
    <w:p w14:paraId="4BE775B7">
      <w:pPr>
        <w:spacing w:before="75" w:line="228" w:lineRule="auto"/>
        <w:ind w:left="44"/>
        <w:rPr>
          <w:rFonts w:ascii="仿宋" w:hAnsi="仿宋" w:eastAsia="仿宋" w:cs="仿宋"/>
          <w:sz w:val="23"/>
          <w:szCs w:val="23"/>
          <w:highlight w:val="none"/>
        </w:rPr>
      </w:pPr>
      <w:r>
        <w:rPr>
          <w:rFonts w:ascii="仿宋" w:hAnsi="仿宋" w:eastAsia="仿宋" w:cs="仿宋"/>
          <w:spacing w:val="6"/>
          <w:sz w:val="23"/>
          <w:szCs w:val="23"/>
          <w:highlight w:val="none"/>
        </w:rPr>
        <w:t>四、与质疑事项相关的质疑请求</w:t>
      </w:r>
    </w:p>
    <w:p w14:paraId="2A456DDE">
      <w:pPr>
        <w:spacing w:line="228" w:lineRule="auto"/>
        <w:rPr>
          <w:rFonts w:ascii="仿宋" w:hAnsi="仿宋" w:eastAsia="仿宋" w:cs="仿宋"/>
          <w:sz w:val="23"/>
          <w:szCs w:val="23"/>
          <w:highlight w:val="none"/>
        </w:rPr>
        <w:sectPr>
          <w:footerReference r:id="rId9" w:type="default"/>
          <w:pgSz w:w="11906" w:h="16838"/>
          <w:pgMar w:top="400" w:right="1217" w:bottom="1033" w:left="1383" w:header="0" w:footer="857" w:gutter="0"/>
          <w:pgNumType w:fmt="decimal"/>
          <w:cols w:space="720" w:num="1"/>
        </w:sectPr>
      </w:pPr>
    </w:p>
    <w:p w14:paraId="673DF5BE">
      <w:pPr>
        <w:pStyle w:val="7"/>
        <w:spacing w:line="269" w:lineRule="auto"/>
        <w:rPr>
          <w:highlight w:val="none"/>
        </w:rPr>
      </w:pPr>
    </w:p>
    <w:p w14:paraId="0B76FF0C">
      <w:pPr>
        <w:pStyle w:val="7"/>
        <w:spacing w:line="269" w:lineRule="auto"/>
        <w:rPr>
          <w:highlight w:val="none"/>
        </w:rPr>
      </w:pPr>
    </w:p>
    <w:p w14:paraId="4DC5E6A2">
      <w:pPr>
        <w:pStyle w:val="7"/>
        <w:spacing w:line="270" w:lineRule="auto"/>
        <w:rPr>
          <w:highlight w:val="none"/>
        </w:rPr>
      </w:pPr>
    </w:p>
    <w:p w14:paraId="22DEB193">
      <w:pPr>
        <w:pStyle w:val="7"/>
        <w:spacing w:line="270" w:lineRule="auto"/>
        <w:rPr>
          <w:highlight w:val="none"/>
        </w:rPr>
      </w:pPr>
    </w:p>
    <w:p w14:paraId="1E6CA666">
      <w:pPr>
        <w:spacing w:before="75" w:line="227" w:lineRule="auto"/>
        <w:ind w:left="8"/>
        <w:rPr>
          <w:sz w:val="23"/>
          <w:szCs w:val="23"/>
          <w:highlight w:val="none"/>
        </w:rPr>
      </w:pPr>
      <w:r>
        <w:rPr>
          <w:rFonts w:ascii="仿宋" w:hAnsi="仿宋" w:eastAsia="仿宋" w:cs="仿宋"/>
          <w:spacing w:val="4"/>
          <w:sz w:val="23"/>
          <w:szCs w:val="23"/>
          <w:highlight w:val="none"/>
        </w:rPr>
        <w:t>请求：</w:t>
      </w:r>
      <w:r>
        <w:rPr>
          <w:position w:val="-3"/>
          <w:sz w:val="23"/>
          <w:szCs w:val="23"/>
          <w:highlight w:val="none"/>
        </w:rPr>
        <w:drawing>
          <wp:inline distT="0" distB="0" distL="0" distR="0">
            <wp:extent cx="3580765" cy="698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51"/>
                    <a:stretch>
                      <a:fillRect/>
                    </a:stretch>
                  </pic:blipFill>
                  <pic:spPr>
                    <a:xfrm>
                      <a:off x="0" y="0"/>
                      <a:ext cx="3581344" cy="7619"/>
                    </a:xfrm>
                    <a:prstGeom prst="rect">
                      <a:avLst/>
                    </a:prstGeom>
                  </pic:spPr>
                </pic:pic>
              </a:graphicData>
            </a:graphic>
          </wp:inline>
        </w:drawing>
      </w:r>
    </w:p>
    <w:p w14:paraId="560BF610">
      <w:pPr>
        <w:spacing w:before="257" w:line="227" w:lineRule="auto"/>
        <w:ind w:left="14"/>
        <w:rPr>
          <w:sz w:val="23"/>
          <w:szCs w:val="23"/>
          <w:highlight w:val="none"/>
        </w:rPr>
      </w:pPr>
      <w:r>
        <w:rPr>
          <w:rFonts w:ascii="仿宋" w:hAnsi="仿宋" w:eastAsia="仿宋" w:cs="仿宋"/>
          <w:spacing w:val="5"/>
          <w:sz w:val="23"/>
          <w:szCs w:val="23"/>
          <w:highlight w:val="none"/>
        </w:rPr>
        <w:t>签字(签章)：</w:t>
      </w:r>
      <w:r>
        <w:rPr>
          <w:position w:val="-3"/>
          <w:sz w:val="23"/>
          <w:szCs w:val="23"/>
          <w:highlight w:val="none"/>
        </w:rPr>
        <w:drawing>
          <wp:inline distT="0" distB="0" distL="0" distR="0">
            <wp:extent cx="3123565" cy="762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52"/>
                    <a:stretch>
                      <a:fillRect/>
                    </a:stretch>
                  </pic:blipFill>
                  <pic:spPr>
                    <a:xfrm>
                      <a:off x="0" y="0"/>
                      <a:ext cx="3124152" cy="7621"/>
                    </a:xfrm>
                    <a:prstGeom prst="rect">
                      <a:avLst/>
                    </a:prstGeom>
                  </pic:spPr>
                </pic:pic>
              </a:graphicData>
            </a:graphic>
          </wp:inline>
        </w:drawing>
      </w:r>
    </w:p>
    <w:p w14:paraId="39493FCA">
      <w:pPr>
        <w:spacing w:before="257" w:line="227" w:lineRule="auto"/>
        <w:ind w:left="59"/>
        <w:rPr>
          <w:sz w:val="23"/>
          <w:szCs w:val="23"/>
          <w:highlight w:val="none"/>
        </w:rPr>
      </w:pPr>
      <w:r>
        <w:rPr>
          <w:rFonts w:ascii="仿宋" w:hAnsi="仿宋" w:eastAsia="仿宋" w:cs="仿宋"/>
          <w:spacing w:val="-13"/>
          <w:sz w:val="23"/>
          <w:szCs w:val="23"/>
          <w:highlight w:val="none"/>
        </w:rPr>
        <w:t>日期：</w:t>
      </w:r>
      <w:r>
        <w:rPr>
          <w:position w:val="-3"/>
          <w:sz w:val="23"/>
          <w:szCs w:val="23"/>
          <w:highlight w:val="none"/>
        </w:rPr>
        <w:drawing>
          <wp:inline distT="0" distB="0" distL="0" distR="0">
            <wp:extent cx="304165" cy="762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53"/>
                    <a:stretch>
                      <a:fillRect/>
                    </a:stretch>
                  </pic:blipFill>
                  <pic:spPr>
                    <a:xfrm>
                      <a:off x="0" y="0"/>
                      <a:ext cx="304796" cy="7620"/>
                    </a:xfrm>
                    <a:prstGeom prst="rect">
                      <a:avLst/>
                    </a:prstGeom>
                  </pic:spPr>
                </pic:pic>
              </a:graphicData>
            </a:graphic>
          </wp:inline>
        </w:drawing>
      </w:r>
    </w:p>
    <w:p w14:paraId="79FEDBA6">
      <w:pPr>
        <w:pStyle w:val="7"/>
        <w:spacing w:line="359" w:lineRule="auto"/>
        <w:rPr>
          <w:highlight w:val="none"/>
        </w:rPr>
      </w:pPr>
    </w:p>
    <w:p w14:paraId="2EEF38EA">
      <w:pPr>
        <w:pStyle w:val="7"/>
        <w:spacing w:line="359" w:lineRule="auto"/>
        <w:rPr>
          <w:highlight w:val="none"/>
        </w:rPr>
      </w:pPr>
    </w:p>
    <w:p w14:paraId="483861BE">
      <w:pPr>
        <w:spacing w:before="75" w:line="228" w:lineRule="auto"/>
        <w:ind w:left="14"/>
        <w:rPr>
          <w:rFonts w:ascii="仿宋" w:hAnsi="仿宋" w:eastAsia="仿宋" w:cs="仿宋"/>
          <w:sz w:val="23"/>
          <w:szCs w:val="23"/>
          <w:highlight w:val="none"/>
        </w:rPr>
      </w:pPr>
      <w:r>
        <w:rPr>
          <w:rFonts w:ascii="仿宋" w:hAnsi="仿宋" w:eastAsia="仿宋" w:cs="仿宋"/>
          <w:spacing w:val="-1"/>
          <w:sz w:val="23"/>
          <w:szCs w:val="23"/>
          <w:highlight w:val="none"/>
        </w:rPr>
        <w:t>质疑函制作说明：</w:t>
      </w:r>
    </w:p>
    <w:p w14:paraId="1CAF06A7">
      <w:pPr>
        <w:spacing w:before="255" w:line="228" w:lineRule="auto"/>
        <w:ind w:left="18"/>
        <w:rPr>
          <w:rFonts w:ascii="仿宋" w:hAnsi="仿宋" w:eastAsia="仿宋" w:cs="仿宋"/>
          <w:sz w:val="23"/>
          <w:szCs w:val="23"/>
          <w:highlight w:val="none"/>
        </w:rPr>
      </w:pPr>
      <w:r>
        <w:rPr>
          <w:rFonts w:ascii="仿宋" w:hAnsi="仿宋" w:eastAsia="仿宋" w:cs="仿宋"/>
          <w:spacing w:val="7"/>
          <w:sz w:val="23"/>
          <w:szCs w:val="23"/>
          <w:highlight w:val="none"/>
        </w:rPr>
        <w:t>1.供应商提出质疑时，应提交质疑函和必要的证明材料。</w:t>
      </w:r>
    </w:p>
    <w:p w14:paraId="46B7319F">
      <w:pPr>
        <w:spacing w:before="255" w:line="326" w:lineRule="auto"/>
        <w:ind w:left="7" w:right="2" w:hanging="4"/>
        <w:jc w:val="both"/>
        <w:rPr>
          <w:rFonts w:ascii="仿宋" w:hAnsi="仿宋" w:eastAsia="仿宋" w:cs="仿宋"/>
          <w:sz w:val="23"/>
          <w:szCs w:val="23"/>
          <w:highlight w:val="none"/>
        </w:rPr>
      </w:pPr>
      <w:r>
        <w:rPr>
          <w:rFonts w:ascii="仿宋" w:hAnsi="仿宋" w:eastAsia="仿宋" w:cs="仿宋"/>
          <w:spacing w:val="7"/>
          <w:sz w:val="23"/>
          <w:szCs w:val="23"/>
          <w:highlight w:val="none"/>
        </w:rPr>
        <w:t>2.质疑供应商若委托代理人进行质疑的，质疑函应按要求列明“授权代表”的有关内容，</w:t>
      </w:r>
      <w:r>
        <w:rPr>
          <w:rFonts w:ascii="仿宋" w:hAnsi="仿宋" w:eastAsia="仿宋" w:cs="仿宋"/>
          <w:spacing w:val="8"/>
          <w:sz w:val="23"/>
          <w:szCs w:val="23"/>
          <w:highlight w:val="none"/>
        </w:rPr>
        <w:t>并在附件中提交由质疑供应商签署的授权委托书。授权委托书应载明代理人的姓名或者名</w:t>
      </w:r>
      <w:r>
        <w:rPr>
          <w:rFonts w:ascii="仿宋" w:hAnsi="仿宋" w:eastAsia="仿宋" w:cs="仿宋"/>
          <w:spacing w:val="7"/>
          <w:sz w:val="23"/>
          <w:szCs w:val="23"/>
          <w:highlight w:val="none"/>
        </w:rPr>
        <w:t>称、代理事项、具体权限、期限和相关事项。</w:t>
      </w:r>
    </w:p>
    <w:p w14:paraId="73D3C4CB">
      <w:pPr>
        <w:spacing w:before="162" w:line="229" w:lineRule="auto"/>
        <w:ind w:left="5"/>
        <w:rPr>
          <w:rFonts w:ascii="仿宋" w:hAnsi="仿宋" w:eastAsia="仿宋" w:cs="仿宋"/>
          <w:sz w:val="23"/>
          <w:szCs w:val="23"/>
          <w:highlight w:val="none"/>
        </w:rPr>
      </w:pPr>
      <w:r>
        <w:rPr>
          <w:rFonts w:ascii="仿宋" w:hAnsi="仿宋" w:eastAsia="仿宋" w:cs="仿宋"/>
          <w:spacing w:val="8"/>
          <w:sz w:val="23"/>
          <w:szCs w:val="23"/>
          <w:highlight w:val="none"/>
        </w:rPr>
        <w:t>3.质疑供应商若对项目的某一分包进行质疑，质疑函中应列明具体分</w:t>
      </w:r>
      <w:r>
        <w:rPr>
          <w:rFonts w:hint="eastAsia" w:ascii="仿宋" w:hAnsi="仿宋" w:eastAsia="仿宋" w:cs="仿宋"/>
          <w:spacing w:val="8"/>
          <w:sz w:val="23"/>
          <w:szCs w:val="23"/>
          <w:highlight w:val="none"/>
          <w:lang w:eastAsia="zh-CN"/>
        </w:rPr>
        <w:t>标项号</w:t>
      </w:r>
      <w:r>
        <w:rPr>
          <w:rFonts w:ascii="仿宋" w:hAnsi="仿宋" w:eastAsia="仿宋" w:cs="仿宋"/>
          <w:spacing w:val="8"/>
          <w:sz w:val="23"/>
          <w:szCs w:val="23"/>
          <w:highlight w:val="none"/>
        </w:rPr>
        <w:t>。</w:t>
      </w:r>
    </w:p>
    <w:p w14:paraId="1742237C">
      <w:pPr>
        <w:spacing w:before="255" w:line="416" w:lineRule="auto"/>
        <w:ind w:left="5" w:right="1908" w:hanging="5"/>
        <w:rPr>
          <w:rFonts w:ascii="仿宋" w:hAnsi="仿宋" w:eastAsia="仿宋" w:cs="仿宋"/>
          <w:sz w:val="23"/>
          <w:szCs w:val="23"/>
          <w:highlight w:val="none"/>
        </w:rPr>
      </w:pPr>
      <w:r>
        <w:rPr>
          <w:rFonts w:ascii="仿宋" w:hAnsi="仿宋" w:eastAsia="仿宋" w:cs="仿宋"/>
          <w:spacing w:val="8"/>
          <w:sz w:val="23"/>
          <w:szCs w:val="23"/>
          <w:highlight w:val="none"/>
        </w:rPr>
        <w:t>4.质疑函的质疑事项应具体、明确，并有必要的事实依据和法律依据。</w:t>
      </w:r>
      <w:r>
        <w:rPr>
          <w:rFonts w:ascii="仿宋" w:hAnsi="仿宋" w:eastAsia="仿宋" w:cs="仿宋"/>
          <w:spacing w:val="6"/>
          <w:sz w:val="23"/>
          <w:szCs w:val="23"/>
          <w:highlight w:val="none"/>
        </w:rPr>
        <w:t>5.质疑函的质疑请求应与质疑事项相关。</w:t>
      </w:r>
    </w:p>
    <w:p w14:paraId="1201CF78">
      <w:pPr>
        <w:spacing w:before="43" w:line="321" w:lineRule="auto"/>
        <w:ind w:left="9" w:hanging="7"/>
        <w:rPr>
          <w:rFonts w:ascii="仿宋" w:hAnsi="仿宋" w:eastAsia="仿宋" w:cs="仿宋"/>
          <w:sz w:val="23"/>
          <w:szCs w:val="23"/>
          <w:highlight w:val="none"/>
        </w:rPr>
      </w:pPr>
      <w:r>
        <w:rPr>
          <w:rFonts w:ascii="仿宋" w:hAnsi="仿宋" w:eastAsia="仿宋" w:cs="仿宋"/>
          <w:spacing w:val="8"/>
          <w:sz w:val="23"/>
          <w:szCs w:val="23"/>
          <w:highlight w:val="none"/>
        </w:rPr>
        <w:t>6.质疑供应商为自然人的，质疑函应由本人签章；质疑供应商为法人或者其他组织的，质</w:t>
      </w:r>
      <w:bookmarkStart w:id="71" w:name="bookmark61"/>
      <w:bookmarkEnd w:id="71"/>
      <w:r>
        <w:rPr>
          <w:rFonts w:ascii="仿宋" w:hAnsi="仿宋" w:eastAsia="仿宋" w:cs="仿宋"/>
          <w:spacing w:val="8"/>
          <w:sz w:val="23"/>
          <w:szCs w:val="23"/>
          <w:highlight w:val="none"/>
        </w:rPr>
        <w:t>疑函应由法定代表人或者其授权代表签章。</w:t>
      </w:r>
    </w:p>
    <w:p w14:paraId="59CDAAC8">
      <w:pPr>
        <w:pStyle w:val="7"/>
        <w:spacing w:line="240" w:lineRule="auto"/>
        <w:ind w:left="0"/>
        <w:rPr>
          <w:sz w:val="23"/>
          <w:szCs w:val="23"/>
          <w:highlight w:val="none"/>
        </w:rPr>
      </w:pPr>
      <w:r>
        <w:rPr>
          <w:spacing w:val="3"/>
          <w:sz w:val="23"/>
          <w:szCs w:val="23"/>
          <w:highlight w:val="none"/>
        </w:rPr>
        <w:t>7.</w:t>
      </w:r>
      <w:r>
        <w:rPr>
          <w:b/>
          <w:bCs/>
          <w:spacing w:val="3"/>
          <w:sz w:val="23"/>
          <w:szCs w:val="23"/>
          <w:highlight w:val="none"/>
        </w:rPr>
        <w:t>质疑函份数要求：三份</w:t>
      </w:r>
      <w:r>
        <w:rPr>
          <w:spacing w:val="3"/>
          <w:sz w:val="23"/>
          <w:szCs w:val="23"/>
          <w:highlight w:val="none"/>
        </w:rPr>
        <w:t>。</w:t>
      </w:r>
    </w:p>
    <w:p w14:paraId="7A03DDEF">
      <w:pPr>
        <w:pStyle w:val="23"/>
        <w:rPr>
          <w:highlight w:val="none"/>
        </w:rPr>
      </w:pPr>
    </w:p>
    <w:p w14:paraId="5E106F80">
      <w:pPr>
        <w:rPr>
          <w:highlight w:val="none"/>
        </w:rPr>
      </w:pPr>
    </w:p>
    <w:p w14:paraId="3B934286">
      <w:pPr>
        <w:pStyle w:val="23"/>
        <w:rPr>
          <w:highlight w:val="none"/>
        </w:rPr>
      </w:pPr>
    </w:p>
    <w:p w14:paraId="20785F3B">
      <w:pPr>
        <w:rPr>
          <w:highlight w:val="none"/>
        </w:rPr>
      </w:pPr>
    </w:p>
    <w:p w14:paraId="6C5BD9C5">
      <w:pPr>
        <w:pStyle w:val="23"/>
        <w:rPr>
          <w:highlight w:val="none"/>
        </w:rPr>
      </w:pPr>
    </w:p>
    <w:p w14:paraId="27C645B0">
      <w:pPr>
        <w:rPr>
          <w:highlight w:val="none"/>
        </w:rPr>
      </w:pPr>
    </w:p>
    <w:p w14:paraId="16341EC9">
      <w:pPr>
        <w:pStyle w:val="23"/>
        <w:rPr>
          <w:highlight w:val="none"/>
        </w:rPr>
      </w:pPr>
    </w:p>
    <w:p w14:paraId="4CD5EB0F">
      <w:pPr>
        <w:rPr>
          <w:highlight w:val="none"/>
        </w:rPr>
      </w:pPr>
    </w:p>
    <w:p w14:paraId="7A4AF6AB">
      <w:pPr>
        <w:pStyle w:val="23"/>
        <w:rPr>
          <w:highlight w:val="none"/>
        </w:rPr>
      </w:pPr>
    </w:p>
    <w:p w14:paraId="0AC5FF03">
      <w:pPr>
        <w:rPr>
          <w:highlight w:val="none"/>
        </w:rPr>
      </w:pPr>
    </w:p>
    <w:p w14:paraId="685886F1">
      <w:pPr>
        <w:pStyle w:val="23"/>
        <w:rPr>
          <w:highlight w:val="none"/>
        </w:rPr>
      </w:pPr>
    </w:p>
    <w:p w14:paraId="65382B17">
      <w:pPr>
        <w:rPr>
          <w:highlight w:val="none"/>
        </w:rPr>
      </w:pPr>
    </w:p>
    <w:p w14:paraId="341EBD58">
      <w:pPr>
        <w:pStyle w:val="23"/>
        <w:rPr>
          <w:highlight w:val="none"/>
        </w:rPr>
      </w:pPr>
    </w:p>
    <w:p w14:paraId="119AA08B">
      <w:pPr>
        <w:rPr>
          <w:highlight w:val="none"/>
        </w:rPr>
      </w:pPr>
    </w:p>
    <w:p w14:paraId="7288AE28">
      <w:pPr>
        <w:pStyle w:val="23"/>
        <w:rPr>
          <w:highlight w:val="none"/>
        </w:rPr>
      </w:pPr>
    </w:p>
    <w:p w14:paraId="7BC5DD7D">
      <w:pPr>
        <w:rPr>
          <w:highlight w:val="none"/>
        </w:rPr>
      </w:pPr>
    </w:p>
    <w:p w14:paraId="490A2091">
      <w:pPr>
        <w:pStyle w:val="23"/>
        <w:rPr>
          <w:highlight w:val="none"/>
        </w:rPr>
      </w:pPr>
    </w:p>
    <w:p w14:paraId="6BA4208D">
      <w:pPr>
        <w:rPr>
          <w:highlight w:val="none"/>
        </w:rPr>
      </w:pPr>
    </w:p>
    <w:p w14:paraId="3FF9B3A7">
      <w:pPr>
        <w:pStyle w:val="23"/>
        <w:rPr>
          <w:highlight w:val="none"/>
        </w:rPr>
      </w:pPr>
    </w:p>
    <w:p w14:paraId="32F01EB7">
      <w:pPr>
        <w:rPr>
          <w:highlight w:val="none"/>
        </w:rPr>
      </w:pPr>
    </w:p>
    <w:p w14:paraId="6DE97B81">
      <w:pPr>
        <w:pStyle w:val="23"/>
        <w:rPr>
          <w:highlight w:val="none"/>
        </w:rPr>
      </w:pPr>
    </w:p>
    <w:p w14:paraId="0A481621">
      <w:pPr>
        <w:rPr>
          <w:highlight w:val="none"/>
        </w:rPr>
      </w:pPr>
    </w:p>
    <w:p w14:paraId="73C58B4C">
      <w:pPr>
        <w:pStyle w:val="23"/>
        <w:rPr>
          <w:highlight w:val="none"/>
        </w:rPr>
      </w:pPr>
    </w:p>
    <w:p w14:paraId="4E79C2A4">
      <w:pPr>
        <w:rPr>
          <w:highlight w:val="none"/>
        </w:rPr>
      </w:pPr>
    </w:p>
    <w:p w14:paraId="4F51B599">
      <w:pPr>
        <w:pStyle w:val="23"/>
        <w:rPr>
          <w:highlight w:val="none"/>
        </w:rPr>
      </w:pPr>
    </w:p>
    <w:p w14:paraId="0C567129">
      <w:pPr>
        <w:rPr>
          <w:highlight w:val="none"/>
        </w:rPr>
      </w:pPr>
    </w:p>
    <w:p w14:paraId="06A293A9">
      <w:pPr>
        <w:pStyle w:val="7"/>
        <w:spacing w:before="94" w:line="227" w:lineRule="auto"/>
        <w:ind w:left="2319"/>
        <w:rPr>
          <w:sz w:val="29"/>
          <w:szCs w:val="29"/>
          <w:highlight w:val="none"/>
        </w:rPr>
      </w:pPr>
      <w:r>
        <w:rPr>
          <w:b/>
          <w:bCs/>
          <w:sz w:val="29"/>
          <w:szCs w:val="29"/>
          <w:highlight w:val="none"/>
        </w:rPr>
        <w:t>附件1：履约保证金保函（格式）</w:t>
      </w:r>
    </w:p>
    <w:p w14:paraId="1D9E3C53">
      <w:pPr>
        <w:pStyle w:val="7"/>
        <w:spacing w:before="214" w:line="231" w:lineRule="auto"/>
        <w:ind w:left="3586"/>
        <w:rPr>
          <w:sz w:val="23"/>
          <w:szCs w:val="23"/>
          <w:highlight w:val="none"/>
        </w:rPr>
      </w:pPr>
      <w:r>
        <w:rPr>
          <w:b/>
          <w:bCs/>
          <w:spacing w:val="-11"/>
          <w:sz w:val="23"/>
          <w:szCs w:val="23"/>
          <w:highlight w:val="none"/>
        </w:rPr>
        <w:t>（中标后开具）</w:t>
      </w:r>
    </w:p>
    <w:p w14:paraId="205176CE">
      <w:pPr>
        <w:pStyle w:val="7"/>
        <w:spacing w:before="172" w:line="221" w:lineRule="auto"/>
        <w:ind w:left="47"/>
        <w:rPr>
          <w:sz w:val="23"/>
          <w:szCs w:val="23"/>
          <w:highlight w:val="none"/>
        </w:rPr>
      </w:pPr>
      <w:r>
        <w:rPr>
          <w:spacing w:val="-5"/>
          <w:sz w:val="23"/>
          <w:szCs w:val="23"/>
          <w:highlight w:val="none"/>
        </w:rPr>
        <w:t>致:(</w:t>
      </w:r>
      <w:r>
        <w:rPr>
          <w:i/>
          <w:iCs/>
          <w:spacing w:val="-5"/>
          <w:sz w:val="25"/>
          <w:szCs w:val="25"/>
          <w:highlight w:val="none"/>
          <w:u w:val="single" w:color="auto"/>
        </w:rPr>
        <w:t>买方名称</w:t>
      </w:r>
      <w:r>
        <w:rPr>
          <w:spacing w:val="-5"/>
          <w:sz w:val="23"/>
          <w:szCs w:val="23"/>
          <w:highlight w:val="none"/>
        </w:rPr>
        <w:t>)</w:t>
      </w:r>
    </w:p>
    <w:p w14:paraId="06B02F42">
      <w:pPr>
        <w:pStyle w:val="7"/>
        <w:tabs>
          <w:tab w:val="left" w:pos="4312"/>
        </w:tabs>
        <w:spacing w:before="172" w:line="229" w:lineRule="auto"/>
        <w:ind w:left="2752"/>
        <w:rPr>
          <w:sz w:val="23"/>
          <w:szCs w:val="23"/>
          <w:highlight w:val="none"/>
        </w:rPr>
      </w:pPr>
      <w:r>
        <w:rPr>
          <w:sz w:val="23"/>
          <w:szCs w:val="23"/>
          <w:highlight w:val="none"/>
          <w:u w:val="single" w:color="auto"/>
        </w:rPr>
        <w:tab/>
      </w:r>
      <w:r>
        <w:rPr>
          <w:spacing w:val="4"/>
          <w:sz w:val="23"/>
          <w:szCs w:val="23"/>
          <w:highlight w:val="none"/>
        </w:rPr>
        <w:t>号合同履约保函</w:t>
      </w:r>
    </w:p>
    <w:p w14:paraId="7067D457">
      <w:pPr>
        <w:pStyle w:val="7"/>
        <w:spacing w:before="211" w:line="326" w:lineRule="auto"/>
        <w:ind w:left="37" w:right="123" w:firstLine="598"/>
        <w:jc w:val="both"/>
        <w:rPr>
          <w:sz w:val="23"/>
          <w:szCs w:val="23"/>
          <w:highlight w:val="none"/>
        </w:rPr>
      </w:pPr>
      <w:r>
        <w:rPr>
          <w:spacing w:val="-2"/>
          <w:sz w:val="23"/>
          <w:szCs w:val="23"/>
          <w:highlight w:val="none"/>
        </w:rPr>
        <w:t>本保函作为贵方与(</w:t>
      </w:r>
      <w:r>
        <w:rPr>
          <w:i/>
          <w:iCs/>
          <w:spacing w:val="-2"/>
          <w:sz w:val="25"/>
          <w:szCs w:val="25"/>
          <w:highlight w:val="none"/>
          <w:u w:val="single" w:color="auto"/>
        </w:rPr>
        <w:t>卖方名称</w:t>
      </w:r>
      <w:r>
        <w:rPr>
          <w:spacing w:val="-2"/>
          <w:sz w:val="23"/>
          <w:szCs w:val="23"/>
          <w:highlight w:val="none"/>
        </w:rPr>
        <w:t>)(以下简称卖方)于年月日</w:t>
      </w:r>
      <w:r>
        <w:rPr>
          <w:spacing w:val="-5"/>
          <w:sz w:val="23"/>
          <w:szCs w:val="23"/>
          <w:highlight w:val="none"/>
        </w:rPr>
        <w:t>就项目(以下简称项目)项下提供(</w:t>
      </w:r>
      <w:r>
        <w:rPr>
          <w:i/>
          <w:iCs/>
          <w:spacing w:val="-5"/>
          <w:sz w:val="25"/>
          <w:szCs w:val="25"/>
          <w:highlight w:val="none"/>
          <w:u w:val="single" w:color="auto"/>
        </w:rPr>
        <w:t>货物名称</w:t>
      </w:r>
      <w:r>
        <w:rPr>
          <w:spacing w:val="-5"/>
          <w:sz w:val="23"/>
          <w:szCs w:val="23"/>
          <w:highlight w:val="none"/>
        </w:rPr>
        <w:t>)(以下简称货</w:t>
      </w:r>
      <w:r>
        <w:rPr>
          <w:spacing w:val="3"/>
          <w:sz w:val="23"/>
          <w:szCs w:val="23"/>
          <w:highlight w:val="none"/>
        </w:rPr>
        <w:t>物)签订的(</w:t>
      </w:r>
      <w:r>
        <w:rPr>
          <w:i/>
          <w:iCs/>
          <w:spacing w:val="3"/>
          <w:sz w:val="25"/>
          <w:szCs w:val="25"/>
          <w:highlight w:val="none"/>
          <w:u w:val="single" w:color="auto"/>
        </w:rPr>
        <w:t>合同号</w:t>
      </w:r>
      <w:r>
        <w:rPr>
          <w:spacing w:val="3"/>
          <w:sz w:val="23"/>
          <w:szCs w:val="23"/>
          <w:highlight w:val="none"/>
        </w:rPr>
        <w:t>)号合同的履约保函。</w:t>
      </w:r>
    </w:p>
    <w:p w14:paraId="456175AC">
      <w:pPr>
        <w:pStyle w:val="7"/>
        <w:spacing w:before="73" w:line="326" w:lineRule="auto"/>
        <w:ind w:left="29" w:right="22" w:firstLine="630"/>
        <w:jc w:val="both"/>
        <w:rPr>
          <w:sz w:val="23"/>
          <w:szCs w:val="23"/>
          <w:highlight w:val="none"/>
        </w:rPr>
      </w:pPr>
      <w:r>
        <w:rPr>
          <w:spacing w:val="-1"/>
          <w:sz w:val="23"/>
          <w:szCs w:val="23"/>
          <w:highlight w:val="none"/>
        </w:rPr>
        <w:t>(</w:t>
      </w:r>
      <w:r>
        <w:rPr>
          <w:i/>
          <w:iCs/>
          <w:spacing w:val="-1"/>
          <w:sz w:val="25"/>
          <w:szCs w:val="25"/>
          <w:highlight w:val="none"/>
          <w:u w:val="single" w:color="auto"/>
        </w:rPr>
        <w:t>出具保函的银行名称</w:t>
      </w:r>
      <w:r>
        <w:rPr>
          <w:spacing w:val="-1"/>
          <w:sz w:val="23"/>
          <w:szCs w:val="23"/>
          <w:highlight w:val="none"/>
        </w:rPr>
        <w:t>)(以下简称银行)无条件地、不可撤销地具</w:t>
      </w:r>
      <w:r>
        <w:rPr>
          <w:spacing w:val="-2"/>
          <w:sz w:val="23"/>
          <w:szCs w:val="23"/>
          <w:highlight w:val="none"/>
        </w:rPr>
        <w:t>结保证本</w:t>
      </w:r>
      <w:r>
        <w:rPr>
          <w:spacing w:val="12"/>
          <w:sz w:val="23"/>
          <w:szCs w:val="23"/>
          <w:highlight w:val="none"/>
        </w:rPr>
        <w:t>行、其继承人和受让人无追索地向贵方以(</w:t>
      </w:r>
      <w:r>
        <w:rPr>
          <w:i/>
          <w:iCs/>
          <w:spacing w:val="12"/>
          <w:sz w:val="25"/>
          <w:szCs w:val="25"/>
          <w:highlight w:val="none"/>
          <w:u w:val="single" w:color="auto"/>
        </w:rPr>
        <w:t>货币名称</w:t>
      </w:r>
      <w:r>
        <w:rPr>
          <w:spacing w:val="12"/>
          <w:sz w:val="23"/>
          <w:szCs w:val="23"/>
          <w:highlight w:val="none"/>
        </w:rPr>
        <w:t>)支付总额不超过(</w:t>
      </w:r>
      <w:r>
        <w:rPr>
          <w:i/>
          <w:iCs/>
          <w:spacing w:val="12"/>
          <w:sz w:val="25"/>
          <w:szCs w:val="25"/>
          <w:highlight w:val="none"/>
          <w:u w:val="single" w:color="auto"/>
        </w:rPr>
        <w:t>货币数</w:t>
      </w:r>
      <w:r>
        <w:rPr>
          <w:i/>
          <w:iCs/>
          <w:spacing w:val="6"/>
          <w:sz w:val="25"/>
          <w:szCs w:val="25"/>
          <w:highlight w:val="none"/>
          <w:u w:val="single" w:color="auto"/>
        </w:rPr>
        <w:t>量</w:t>
      </w:r>
      <w:r>
        <w:rPr>
          <w:spacing w:val="6"/>
          <w:sz w:val="23"/>
          <w:szCs w:val="23"/>
          <w:highlight w:val="none"/>
        </w:rPr>
        <w:t>),即相当于合同价格的%,并以此约定如下:</w:t>
      </w:r>
    </w:p>
    <w:p w14:paraId="2E7B2BB7">
      <w:pPr>
        <w:pStyle w:val="7"/>
        <w:spacing w:before="75" w:line="363" w:lineRule="auto"/>
        <w:ind w:left="584" w:right="131" w:firstLine="14"/>
        <w:jc w:val="both"/>
        <w:rPr>
          <w:sz w:val="23"/>
          <w:szCs w:val="23"/>
          <w:highlight w:val="none"/>
        </w:rPr>
      </w:pPr>
      <w:r>
        <w:rPr>
          <w:spacing w:val="15"/>
          <w:sz w:val="23"/>
          <w:szCs w:val="23"/>
          <w:highlight w:val="none"/>
        </w:rPr>
        <w:t>1.只要贵方确定卖方未能忠实地履行所有</w:t>
      </w:r>
      <w:r>
        <w:rPr>
          <w:spacing w:val="14"/>
          <w:sz w:val="23"/>
          <w:szCs w:val="23"/>
          <w:highlight w:val="none"/>
        </w:rPr>
        <w:t>合同文件的规定和双方此后一</w:t>
      </w:r>
      <w:r>
        <w:rPr>
          <w:spacing w:val="9"/>
          <w:sz w:val="23"/>
          <w:szCs w:val="23"/>
          <w:highlight w:val="none"/>
        </w:rPr>
        <w:t>致同意的修改、补充和变动,包括更改和/或修补贵方认</w:t>
      </w:r>
      <w:r>
        <w:rPr>
          <w:spacing w:val="8"/>
          <w:sz w:val="23"/>
          <w:szCs w:val="23"/>
          <w:highlight w:val="none"/>
        </w:rPr>
        <w:t>为有缺陷的货物</w:t>
      </w:r>
      <w:r>
        <w:rPr>
          <w:spacing w:val="15"/>
          <w:sz w:val="23"/>
          <w:szCs w:val="23"/>
          <w:highlight w:val="none"/>
        </w:rPr>
        <w:t>(以下简称违约),无论卖方有任何反对,本</w:t>
      </w:r>
      <w:r>
        <w:rPr>
          <w:spacing w:val="14"/>
          <w:sz w:val="23"/>
          <w:szCs w:val="23"/>
          <w:highlight w:val="none"/>
        </w:rPr>
        <w:t>行将凭贵方关于卖方违约说明</w:t>
      </w:r>
      <w:r>
        <w:rPr>
          <w:spacing w:val="11"/>
          <w:sz w:val="23"/>
          <w:szCs w:val="23"/>
          <w:highlight w:val="none"/>
        </w:rPr>
        <w:t>的书面通知,立即按贵方提出的累计总额不超过上述金额的款项和按贵方</w:t>
      </w:r>
      <w:r>
        <w:rPr>
          <w:spacing w:val="6"/>
          <w:sz w:val="23"/>
          <w:szCs w:val="23"/>
          <w:highlight w:val="none"/>
        </w:rPr>
        <w:t>通知规定的方式付给贵方。</w:t>
      </w:r>
    </w:p>
    <w:p w14:paraId="76F193EF">
      <w:pPr>
        <w:pStyle w:val="7"/>
        <w:spacing w:before="76" w:line="353" w:lineRule="auto"/>
        <w:ind w:left="581" w:right="56" w:hanging="2"/>
        <w:rPr>
          <w:sz w:val="23"/>
          <w:szCs w:val="23"/>
          <w:highlight w:val="none"/>
        </w:rPr>
      </w:pPr>
      <w:r>
        <w:rPr>
          <w:spacing w:val="3"/>
          <w:sz w:val="23"/>
          <w:szCs w:val="23"/>
          <w:highlight w:val="none"/>
        </w:rPr>
        <w:t>2.本保函项下的任何支付应为免税和净值。对于现有或将来的税收、关税、</w:t>
      </w:r>
      <w:r>
        <w:rPr>
          <w:spacing w:val="7"/>
          <w:sz w:val="23"/>
          <w:szCs w:val="23"/>
          <w:highlight w:val="none"/>
        </w:rPr>
        <w:t>收费、费用扣减或预提税款，不论这些款项是何种性质和由谁征收，都不</w:t>
      </w:r>
      <w:r>
        <w:rPr>
          <w:spacing w:val="6"/>
          <w:sz w:val="23"/>
          <w:szCs w:val="23"/>
          <w:highlight w:val="none"/>
        </w:rPr>
        <w:t>应从本保函项下的支付中扣除。</w:t>
      </w:r>
    </w:p>
    <w:p w14:paraId="04FBC02F">
      <w:pPr>
        <w:pStyle w:val="7"/>
        <w:spacing w:before="79" w:line="360" w:lineRule="auto"/>
        <w:ind w:left="576" w:right="128" w:firstLine="14"/>
        <w:jc w:val="both"/>
        <w:rPr>
          <w:sz w:val="23"/>
          <w:szCs w:val="23"/>
          <w:highlight w:val="none"/>
        </w:rPr>
      </w:pPr>
      <w:r>
        <w:rPr>
          <w:spacing w:val="8"/>
          <w:sz w:val="23"/>
          <w:szCs w:val="23"/>
          <w:highlight w:val="none"/>
        </w:rPr>
        <w:t>3.本保函的条款构成本行无条件的、不可撤销</w:t>
      </w:r>
      <w:r>
        <w:rPr>
          <w:spacing w:val="7"/>
          <w:sz w:val="23"/>
          <w:szCs w:val="23"/>
          <w:highlight w:val="none"/>
        </w:rPr>
        <w:t>的直接责任。对即将履行的</w:t>
      </w:r>
      <w:r>
        <w:rPr>
          <w:spacing w:val="8"/>
          <w:sz w:val="23"/>
          <w:szCs w:val="23"/>
          <w:highlight w:val="none"/>
        </w:rPr>
        <w:t>合同条款的任何变更、贵方在时间上的宽限、或由贵方采取的如果没有本款可能免除本行责任的任何其它行为，均不能解除或免除本行在本保函项</w:t>
      </w:r>
      <w:r>
        <w:rPr>
          <w:spacing w:val="3"/>
          <w:sz w:val="23"/>
          <w:szCs w:val="23"/>
          <w:highlight w:val="none"/>
        </w:rPr>
        <w:t>下的责任。</w:t>
      </w:r>
    </w:p>
    <w:p w14:paraId="1D8D191E">
      <w:pPr>
        <w:pStyle w:val="7"/>
        <w:keepNext w:val="0"/>
        <w:keepLines w:val="0"/>
        <w:pageBreakBefore w:val="0"/>
        <w:widowControl/>
        <w:kinsoku w:val="0"/>
        <w:wordWrap/>
        <w:overflowPunct/>
        <w:topLinePunct w:val="0"/>
        <w:autoSpaceDE w:val="0"/>
        <w:autoSpaceDN w:val="0"/>
        <w:bidi w:val="0"/>
        <w:adjustRightInd w:val="0"/>
        <w:snapToGrid w:val="0"/>
        <w:spacing w:before="74" w:line="348" w:lineRule="auto"/>
        <w:ind w:left="578" w:right="2591" w:hanging="6"/>
        <w:textAlignment w:val="baseline"/>
        <w:rPr>
          <w:spacing w:val="-2"/>
          <w:sz w:val="23"/>
          <w:szCs w:val="23"/>
          <w:highlight w:val="none"/>
        </w:rPr>
      </w:pPr>
      <w:r>
        <w:rPr>
          <w:spacing w:val="4"/>
          <w:sz w:val="23"/>
          <w:szCs w:val="23"/>
          <w:highlight w:val="none"/>
        </w:rPr>
        <w:t>4.本保函在本合同规定的保证期期满前完全有效。</w:t>
      </w:r>
      <w:r>
        <w:rPr>
          <w:spacing w:val="-2"/>
          <w:sz w:val="23"/>
          <w:szCs w:val="23"/>
          <w:highlight w:val="none"/>
        </w:rPr>
        <w:t>谨启</w:t>
      </w:r>
    </w:p>
    <w:p w14:paraId="3AD0909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573" w:right="2268" w:firstLine="6" w:firstLineChars="0"/>
        <w:textAlignment w:val="baseline"/>
        <w:rPr>
          <w:rFonts w:hint="default" w:eastAsia="仿宋"/>
          <w:sz w:val="23"/>
          <w:szCs w:val="23"/>
          <w:highlight w:val="none"/>
          <w:u w:val="single" w:color="auto"/>
          <w:lang w:val="en-US" w:eastAsia="zh-CN"/>
        </w:rPr>
      </w:pPr>
      <w:r>
        <w:rPr>
          <w:sz w:val="23"/>
          <w:szCs w:val="23"/>
          <w:highlight w:val="none"/>
        </w:rPr>
        <w:t>出具保函银行名称：</w:t>
      </w:r>
      <w:r>
        <w:rPr>
          <w:sz w:val="23"/>
          <w:szCs w:val="23"/>
          <w:highlight w:val="none"/>
          <w:u w:val="single" w:color="auto"/>
        </w:rPr>
        <w:tab/>
      </w:r>
    </w:p>
    <w:p w14:paraId="1EDF518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573" w:right="2268" w:firstLine="6" w:firstLineChars="0"/>
        <w:textAlignment w:val="baseline"/>
        <w:rPr>
          <w:rFonts w:hint="default" w:eastAsia="仿宋"/>
          <w:sz w:val="23"/>
          <w:szCs w:val="23"/>
          <w:highlight w:val="none"/>
          <w:u w:val="single" w:color="auto"/>
          <w:lang w:val="en-US" w:eastAsia="zh-CN"/>
        </w:rPr>
      </w:pPr>
      <w:r>
        <w:rPr>
          <w:spacing w:val="5"/>
          <w:sz w:val="23"/>
          <w:szCs w:val="23"/>
          <w:highlight w:val="none"/>
        </w:rPr>
        <w:t>签字人姓名和职务：</w:t>
      </w:r>
      <w:r>
        <w:rPr>
          <w:sz w:val="23"/>
          <w:szCs w:val="23"/>
          <w:highlight w:val="none"/>
          <w:u w:val="single" w:color="auto"/>
        </w:rPr>
        <w:tab/>
      </w:r>
    </w:p>
    <w:p w14:paraId="663C09F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573" w:right="2268" w:firstLine="6" w:firstLineChars="0"/>
        <w:textAlignment w:val="baseline"/>
        <w:rPr>
          <w:rFonts w:hint="default" w:eastAsia="仿宋"/>
          <w:sz w:val="23"/>
          <w:szCs w:val="23"/>
          <w:highlight w:val="none"/>
          <w:u w:val="single"/>
          <w:lang w:val="en-US" w:eastAsia="zh-CN"/>
        </w:rPr>
      </w:pPr>
      <w:r>
        <w:rPr>
          <w:spacing w:val="2"/>
          <w:sz w:val="23"/>
          <w:szCs w:val="23"/>
          <w:highlight w:val="none"/>
        </w:rPr>
        <w:t>签字人签名：</w:t>
      </w:r>
    </w:p>
    <w:p w14:paraId="044970F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573" w:right="2268" w:firstLine="6" w:firstLineChars="0"/>
        <w:textAlignment w:val="baseline"/>
        <w:outlineLvl w:val="1"/>
        <w:rPr>
          <w:sz w:val="23"/>
          <w:szCs w:val="23"/>
          <w:highlight w:val="none"/>
        </w:rPr>
      </w:pPr>
      <w:r>
        <w:rPr>
          <w:sz w:val="23"/>
          <w:szCs w:val="23"/>
          <w:highlight w:val="none"/>
        </w:rPr>
        <w:t>公章：</w:t>
      </w:r>
    </w:p>
    <w:p w14:paraId="457FDAA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573" w:right="2268" w:firstLine="6" w:firstLineChars="0"/>
        <w:textAlignment w:val="baseline"/>
        <w:outlineLvl w:val="1"/>
        <w:rPr>
          <w:rFonts w:hint="eastAsia" w:eastAsia="宋体"/>
          <w:sz w:val="23"/>
          <w:szCs w:val="23"/>
          <w:highlight w:val="none"/>
          <w:lang w:val="en-US" w:eastAsia="zh-CN"/>
        </w:rPr>
        <w:sectPr>
          <w:footerReference r:id="rId10" w:type="default"/>
          <w:pgSz w:w="11906" w:h="16838"/>
          <w:pgMar w:top="400" w:right="1785" w:bottom="1155" w:left="1785" w:header="0" w:footer="979" w:gutter="0"/>
          <w:pgNumType w:fmt="decimal"/>
          <w:cols w:space="720" w:num="1"/>
        </w:sectPr>
      </w:pPr>
      <w:r>
        <w:rPr>
          <w:spacing w:val="-10"/>
          <w:sz w:val="23"/>
          <w:szCs w:val="23"/>
          <w:highlight w:val="none"/>
        </w:rPr>
        <w:t>年月</w:t>
      </w:r>
      <w:r>
        <w:rPr>
          <w:rFonts w:hint="eastAsia" w:eastAsia="宋体"/>
          <w:spacing w:val="-10"/>
          <w:sz w:val="23"/>
          <w:szCs w:val="23"/>
          <w:highlight w:val="none"/>
          <w:lang w:val="en-US" w:eastAsia="zh-CN"/>
        </w:rPr>
        <w:t>日</w:t>
      </w:r>
    </w:p>
    <w:p w14:paraId="016B97D8">
      <w:pPr>
        <w:spacing w:line="412" w:lineRule="auto"/>
        <w:rPr>
          <w:rFonts w:ascii="Arial"/>
          <w:sz w:val="21"/>
          <w:highlight w:val="none"/>
        </w:rPr>
      </w:pPr>
    </w:p>
    <w:p w14:paraId="78E84680">
      <w:pPr>
        <w:pStyle w:val="7"/>
        <w:spacing w:before="322" w:line="227" w:lineRule="auto"/>
        <w:ind w:left="2919"/>
        <w:rPr>
          <w:sz w:val="29"/>
          <w:szCs w:val="29"/>
          <w:highlight w:val="none"/>
        </w:rPr>
      </w:pPr>
      <w:r>
        <w:rPr>
          <w:b/>
          <w:bCs/>
          <w:spacing w:val="-2"/>
          <w:sz w:val="29"/>
          <w:szCs w:val="29"/>
          <w:highlight w:val="none"/>
        </w:rPr>
        <w:t>附件2：履约担保函格式</w:t>
      </w:r>
    </w:p>
    <w:p w14:paraId="6E892CA1">
      <w:pPr>
        <w:pStyle w:val="7"/>
        <w:spacing w:before="104" w:line="227" w:lineRule="auto"/>
        <w:ind w:left="1903"/>
        <w:outlineLvl w:val="1"/>
        <w:rPr>
          <w:sz w:val="29"/>
          <w:szCs w:val="29"/>
          <w:highlight w:val="none"/>
        </w:rPr>
      </w:pPr>
      <w:r>
        <w:rPr>
          <w:b/>
          <w:bCs/>
          <w:spacing w:val="3"/>
          <w:sz w:val="29"/>
          <w:szCs w:val="29"/>
          <w:highlight w:val="none"/>
        </w:rPr>
        <w:t>（采用政府采购信用担保形式时使用）</w:t>
      </w:r>
    </w:p>
    <w:p w14:paraId="3099888C">
      <w:pPr>
        <w:pStyle w:val="7"/>
        <w:spacing w:before="155" w:line="229" w:lineRule="auto"/>
        <w:ind w:left="2457"/>
        <w:rPr>
          <w:sz w:val="23"/>
          <w:szCs w:val="23"/>
          <w:highlight w:val="none"/>
        </w:rPr>
      </w:pPr>
      <w:r>
        <w:rPr>
          <w:spacing w:val="6"/>
          <w:sz w:val="23"/>
          <w:szCs w:val="23"/>
          <w:highlight w:val="none"/>
        </w:rPr>
        <w:t>政府采购履约担保函（项目用）</w:t>
      </w:r>
    </w:p>
    <w:p w14:paraId="0F5614DE">
      <w:pPr>
        <w:pStyle w:val="7"/>
        <w:spacing w:before="175" w:line="232" w:lineRule="auto"/>
        <w:ind w:left="6166"/>
        <w:rPr>
          <w:sz w:val="23"/>
          <w:szCs w:val="23"/>
          <w:highlight w:val="none"/>
        </w:rPr>
      </w:pPr>
      <w:r>
        <w:rPr>
          <w:spacing w:val="-2"/>
          <w:sz w:val="23"/>
          <w:szCs w:val="23"/>
          <w:highlight w:val="none"/>
        </w:rPr>
        <w:t>编号：</w:t>
      </w:r>
    </w:p>
    <w:p w14:paraId="5C4D0237">
      <w:pPr>
        <w:pStyle w:val="7"/>
        <w:tabs>
          <w:tab w:val="left" w:pos="2168"/>
        </w:tabs>
        <w:spacing w:before="168" w:line="231" w:lineRule="auto"/>
        <w:ind w:left="9"/>
        <w:rPr>
          <w:sz w:val="23"/>
          <w:szCs w:val="23"/>
          <w:highlight w:val="none"/>
        </w:rPr>
      </w:pPr>
      <w:r>
        <w:rPr>
          <w:sz w:val="23"/>
          <w:szCs w:val="23"/>
          <w:highlight w:val="none"/>
          <w:u w:val="single" w:color="auto"/>
        </w:rPr>
        <w:tab/>
      </w:r>
      <w:r>
        <w:rPr>
          <w:sz w:val="23"/>
          <w:szCs w:val="23"/>
          <w:highlight w:val="none"/>
        </w:rPr>
        <w:t>（采购人）：</w:t>
      </w:r>
    </w:p>
    <w:p w14:paraId="31E7F030">
      <w:pPr>
        <w:pStyle w:val="7"/>
        <w:spacing w:before="196" w:line="354" w:lineRule="auto"/>
        <w:ind w:left="51" w:right="121" w:firstLine="479"/>
        <w:jc w:val="both"/>
        <w:rPr>
          <w:sz w:val="23"/>
          <w:szCs w:val="23"/>
          <w:highlight w:val="none"/>
        </w:rPr>
      </w:pPr>
      <w:r>
        <w:rPr>
          <w:spacing w:val="-2"/>
          <w:sz w:val="23"/>
          <w:szCs w:val="23"/>
          <w:highlight w:val="none"/>
        </w:rPr>
        <w:t>鉴于你方与（以下简称供应商）于年月日签</w:t>
      </w:r>
      <w:r>
        <w:rPr>
          <w:spacing w:val="5"/>
          <w:sz w:val="23"/>
          <w:szCs w:val="23"/>
          <w:highlight w:val="none"/>
        </w:rPr>
        <w:t>定编号为的《政府采购合同》（以下</w:t>
      </w:r>
      <w:r>
        <w:rPr>
          <w:spacing w:val="4"/>
          <w:sz w:val="23"/>
          <w:szCs w:val="23"/>
          <w:highlight w:val="none"/>
        </w:rPr>
        <w:t>简称主合同</w:t>
      </w:r>
      <w:r>
        <w:rPr>
          <w:spacing w:val="1"/>
          <w:sz w:val="23"/>
          <w:szCs w:val="23"/>
          <w:highlight w:val="none"/>
        </w:rPr>
        <w:t>），</w:t>
      </w:r>
      <w:r>
        <w:rPr>
          <w:spacing w:val="4"/>
          <w:sz w:val="23"/>
          <w:szCs w:val="23"/>
          <w:highlight w:val="none"/>
        </w:rPr>
        <w:t>且依据该</w:t>
      </w:r>
      <w:r>
        <w:rPr>
          <w:spacing w:val="1"/>
          <w:sz w:val="23"/>
          <w:szCs w:val="23"/>
          <w:highlight w:val="none"/>
        </w:rPr>
        <w:t>合同的约定，供应商应在年月日前向你方交纳履约保</w:t>
      </w:r>
      <w:r>
        <w:rPr>
          <w:sz w:val="23"/>
          <w:szCs w:val="23"/>
          <w:highlight w:val="none"/>
        </w:rPr>
        <w:t>证金，且可以</w:t>
      </w:r>
      <w:r>
        <w:rPr>
          <w:spacing w:val="10"/>
          <w:sz w:val="23"/>
          <w:szCs w:val="23"/>
          <w:highlight w:val="none"/>
        </w:rPr>
        <w:t>履约担保函的形式交纳履约保证金。应供应商的申请，</w:t>
      </w:r>
      <w:r>
        <w:rPr>
          <w:spacing w:val="9"/>
          <w:sz w:val="23"/>
          <w:szCs w:val="23"/>
          <w:highlight w:val="none"/>
        </w:rPr>
        <w:t>我方以保证的方式向你</w:t>
      </w:r>
      <w:r>
        <w:rPr>
          <w:spacing w:val="5"/>
          <w:sz w:val="23"/>
          <w:szCs w:val="23"/>
          <w:highlight w:val="none"/>
        </w:rPr>
        <w:t>方提供如下履约保证金担保：</w:t>
      </w:r>
    </w:p>
    <w:p w14:paraId="0FEF6B45">
      <w:pPr>
        <w:pStyle w:val="7"/>
        <w:spacing w:before="62" w:line="229" w:lineRule="auto"/>
        <w:ind w:left="530"/>
        <w:rPr>
          <w:sz w:val="23"/>
          <w:szCs w:val="23"/>
          <w:highlight w:val="none"/>
        </w:rPr>
      </w:pPr>
      <w:r>
        <w:rPr>
          <w:spacing w:val="6"/>
          <w:sz w:val="23"/>
          <w:szCs w:val="23"/>
          <w:highlight w:val="none"/>
        </w:rPr>
        <w:t>一、保证责任的情形及保证金额</w:t>
      </w:r>
    </w:p>
    <w:p w14:paraId="5B74865D">
      <w:pPr>
        <w:pStyle w:val="7"/>
        <w:spacing w:before="175" w:line="228" w:lineRule="auto"/>
        <w:ind w:left="531"/>
        <w:rPr>
          <w:sz w:val="23"/>
          <w:szCs w:val="23"/>
          <w:highlight w:val="none"/>
        </w:rPr>
      </w:pPr>
      <w:r>
        <w:rPr>
          <w:spacing w:val="6"/>
          <w:sz w:val="23"/>
          <w:szCs w:val="23"/>
          <w:highlight w:val="none"/>
        </w:rPr>
        <w:t>（一）在供应商出现下列情形之一时，我方承担保证责任：</w:t>
      </w:r>
    </w:p>
    <w:p w14:paraId="5B3AB8F9">
      <w:pPr>
        <w:pStyle w:val="7"/>
        <w:spacing w:before="195" w:line="264" w:lineRule="auto"/>
        <w:ind w:left="41" w:right="147" w:firstLine="500"/>
        <w:rPr>
          <w:sz w:val="23"/>
          <w:szCs w:val="23"/>
          <w:highlight w:val="none"/>
        </w:rPr>
      </w:pPr>
      <w:r>
        <w:rPr>
          <w:spacing w:val="5"/>
          <w:sz w:val="23"/>
          <w:szCs w:val="23"/>
          <w:highlight w:val="none"/>
        </w:rPr>
        <w:t>1．将中标项目转让给他人，或者在投标文件中未说明，且未经采购招标机</w:t>
      </w:r>
      <w:r>
        <w:rPr>
          <w:spacing w:val="7"/>
          <w:sz w:val="23"/>
          <w:szCs w:val="23"/>
          <w:highlight w:val="none"/>
        </w:rPr>
        <w:t>构人同意，将中标项目分包给他人的；</w:t>
      </w:r>
    </w:p>
    <w:p w14:paraId="506C883F">
      <w:pPr>
        <w:pStyle w:val="7"/>
        <w:spacing w:before="242" w:line="229" w:lineRule="auto"/>
        <w:ind w:left="512"/>
        <w:rPr>
          <w:sz w:val="23"/>
          <w:szCs w:val="23"/>
          <w:highlight w:val="none"/>
        </w:rPr>
      </w:pPr>
      <w:r>
        <w:rPr>
          <w:spacing w:val="9"/>
          <w:sz w:val="23"/>
          <w:szCs w:val="23"/>
          <w:highlight w:val="none"/>
        </w:rPr>
        <w:t>2．主合同约定的应当缴纳履约保证金的情形:</w:t>
      </w:r>
    </w:p>
    <w:p w14:paraId="4D4EDE50">
      <w:pPr>
        <w:pStyle w:val="7"/>
        <w:spacing w:before="192" w:line="275" w:lineRule="auto"/>
        <w:ind w:left="531" w:right="50"/>
        <w:rPr>
          <w:sz w:val="23"/>
          <w:szCs w:val="23"/>
          <w:highlight w:val="none"/>
        </w:rPr>
      </w:pPr>
      <w:r>
        <w:rPr>
          <w:spacing w:val="1"/>
          <w:sz w:val="23"/>
          <w:szCs w:val="23"/>
          <w:highlight w:val="none"/>
        </w:rPr>
        <w:t>（1）未按主合同约定的质量、数量和期限供应货物/提供服务/完成工程的；</w:t>
      </w:r>
    </w:p>
    <w:p w14:paraId="0CB0BB0B">
      <w:pPr>
        <w:pStyle w:val="7"/>
        <w:spacing w:before="233" w:line="264" w:lineRule="auto"/>
        <w:ind w:left="50" w:right="138" w:firstLine="481"/>
        <w:rPr>
          <w:sz w:val="23"/>
          <w:szCs w:val="23"/>
          <w:highlight w:val="none"/>
        </w:rPr>
      </w:pPr>
      <w:r>
        <w:rPr>
          <w:spacing w:val="12"/>
          <w:sz w:val="23"/>
          <w:szCs w:val="23"/>
          <w:highlight w:val="none"/>
        </w:rPr>
        <w:t>（二）我方的保证范围是主合同约定的合同</w:t>
      </w:r>
      <w:r>
        <w:rPr>
          <w:spacing w:val="11"/>
          <w:sz w:val="23"/>
          <w:szCs w:val="23"/>
          <w:highlight w:val="none"/>
        </w:rPr>
        <w:t>价款总额的%数额为</w:t>
      </w:r>
      <w:r>
        <w:rPr>
          <w:spacing w:val="4"/>
          <w:sz w:val="23"/>
          <w:szCs w:val="23"/>
          <w:highlight w:val="none"/>
        </w:rPr>
        <w:t>元（大写</w:t>
      </w:r>
      <w:r>
        <w:rPr>
          <w:spacing w:val="3"/>
          <w:sz w:val="23"/>
          <w:szCs w:val="23"/>
          <w:highlight w:val="none"/>
        </w:rPr>
        <w:t>），</w:t>
      </w:r>
      <w:r>
        <w:rPr>
          <w:spacing w:val="4"/>
          <w:sz w:val="23"/>
          <w:szCs w:val="23"/>
          <w:highlight w:val="none"/>
        </w:rPr>
        <w:t>币种为。（即主合同履约保证金金额）</w:t>
      </w:r>
    </w:p>
    <w:p w14:paraId="2A317196">
      <w:pPr>
        <w:pStyle w:val="7"/>
        <w:spacing w:before="241" w:line="229" w:lineRule="auto"/>
        <w:ind w:left="536"/>
        <w:rPr>
          <w:sz w:val="23"/>
          <w:szCs w:val="23"/>
          <w:highlight w:val="none"/>
        </w:rPr>
      </w:pPr>
      <w:r>
        <w:rPr>
          <w:spacing w:val="6"/>
          <w:sz w:val="23"/>
          <w:szCs w:val="23"/>
          <w:highlight w:val="none"/>
        </w:rPr>
        <w:t>二、保证的方式及保证期间</w:t>
      </w:r>
    </w:p>
    <w:p w14:paraId="1DBC3D7D">
      <w:pPr>
        <w:pStyle w:val="7"/>
        <w:spacing w:before="176" w:line="228" w:lineRule="auto"/>
        <w:ind w:left="540"/>
        <w:rPr>
          <w:sz w:val="23"/>
          <w:szCs w:val="23"/>
          <w:highlight w:val="none"/>
        </w:rPr>
      </w:pPr>
      <w:r>
        <w:rPr>
          <w:spacing w:val="6"/>
          <w:sz w:val="23"/>
          <w:szCs w:val="23"/>
          <w:highlight w:val="none"/>
        </w:rPr>
        <w:t>我方保证的方式为：连带责任保证。</w:t>
      </w:r>
    </w:p>
    <w:p w14:paraId="28994CBC">
      <w:pPr>
        <w:pStyle w:val="7"/>
        <w:spacing w:before="194" w:line="336" w:lineRule="auto"/>
        <w:ind w:left="51" w:right="147" w:firstLine="486"/>
        <w:rPr>
          <w:sz w:val="23"/>
          <w:szCs w:val="23"/>
          <w:highlight w:val="none"/>
        </w:rPr>
      </w:pPr>
      <w:r>
        <w:rPr>
          <w:spacing w:val="3"/>
          <w:sz w:val="23"/>
          <w:szCs w:val="23"/>
          <w:highlight w:val="none"/>
        </w:rPr>
        <w:t>我方保证的期间为：自本合同生效之日起至供应商按照主合同约定的供货/</w:t>
      </w:r>
      <w:r>
        <w:rPr>
          <w:spacing w:val="-2"/>
          <w:sz w:val="23"/>
          <w:szCs w:val="23"/>
          <w:highlight w:val="none"/>
        </w:rPr>
        <w:t>完工期限届满后日内。</w:t>
      </w:r>
    </w:p>
    <w:p w14:paraId="14490A92">
      <w:pPr>
        <w:pStyle w:val="7"/>
        <w:spacing w:before="81" w:line="333" w:lineRule="auto"/>
        <w:ind w:left="52" w:right="145" w:firstLine="473"/>
        <w:rPr>
          <w:sz w:val="23"/>
          <w:szCs w:val="23"/>
          <w:highlight w:val="none"/>
        </w:rPr>
      </w:pPr>
      <w:r>
        <w:rPr>
          <w:spacing w:val="9"/>
          <w:sz w:val="23"/>
          <w:szCs w:val="23"/>
          <w:highlight w:val="none"/>
        </w:rPr>
        <w:t>如果供应商未按主合同约定向贵方供应货物/提供服务/完成工程的，由我</w:t>
      </w:r>
      <w:r>
        <w:rPr>
          <w:spacing w:val="5"/>
          <w:sz w:val="23"/>
          <w:szCs w:val="23"/>
          <w:highlight w:val="none"/>
        </w:rPr>
        <w:t>方在保证金额内向你方支付上述款项。</w:t>
      </w:r>
    </w:p>
    <w:p w14:paraId="3591BCC9">
      <w:pPr>
        <w:pStyle w:val="7"/>
        <w:spacing w:before="68" w:line="229" w:lineRule="auto"/>
        <w:ind w:left="535"/>
        <w:rPr>
          <w:sz w:val="23"/>
          <w:szCs w:val="23"/>
          <w:highlight w:val="none"/>
        </w:rPr>
      </w:pPr>
      <w:r>
        <w:rPr>
          <w:spacing w:val="5"/>
          <w:sz w:val="23"/>
          <w:szCs w:val="23"/>
          <w:highlight w:val="none"/>
        </w:rPr>
        <w:t>三、承担保证责任的程序</w:t>
      </w:r>
    </w:p>
    <w:p w14:paraId="712425D2">
      <w:pPr>
        <w:pStyle w:val="7"/>
        <w:spacing w:before="193" w:line="291" w:lineRule="auto"/>
        <w:ind w:left="41" w:right="147" w:firstLine="500"/>
        <w:rPr>
          <w:sz w:val="23"/>
          <w:szCs w:val="23"/>
          <w:highlight w:val="none"/>
        </w:rPr>
      </w:pPr>
      <w:r>
        <w:rPr>
          <w:spacing w:val="5"/>
          <w:sz w:val="23"/>
          <w:szCs w:val="23"/>
          <w:highlight w:val="none"/>
        </w:rPr>
        <w:t>1．你方要求我方承担保证责任的，应在本保函保证期间内向我方发出书面</w:t>
      </w:r>
      <w:r>
        <w:rPr>
          <w:spacing w:val="9"/>
          <w:sz w:val="23"/>
          <w:szCs w:val="23"/>
          <w:highlight w:val="none"/>
        </w:rPr>
        <w:t>索赔通知。索赔通知应写明要求索赔的金额，支付款项应到达的帐号。并附有</w:t>
      </w:r>
      <w:r>
        <w:rPr>
          <w:spacing w:val="6"/>
          <w:sz w:val="23"/>
          <w:szCs w:val="23"/>
          <w:highlight w:val="none"/>
        </w:rPr>
        <w:t>证明供应商违约事实的证明材料。</w:t>
      </w:r>
    </w:p>
    <w:p w14:paraId="758E0BAB">
      <w:pPr>
        <w:spacing w:line="412" w:lineRule="auto"/>
        <w:rPr>
          <w:sz w:val="23"/>
          <w:szCs w:val="23"/>
          <w:highlight w:val="none"/>
        </w:rPr>
      </w:pPr>
      <w:r>
        <w:rPr>
          <w:spacing w:val="-8"/>
          <w:sz w:val="23"/>
          <w:szCs w:val="23"/>
          <w:highlight w:val="none"/>
        </w:rPr>
        <w:t>如果你方与供应商因货物质量问题产生争议，你方还需</w:t>
      </w:r>
      <w:r>
        <w:rPr>
          <w:spacing w:val="-9"/>
          <w:sz w:val="23"/>
          <w:szCs w:val="23"/>
          <w:highlight w:val="none"/>
        </w:rPr>
        <w:t>同时提供</w:t>
      </w:r>
      <w:r>
        <w:rPr>
          <w:spacing w:val="7"/>
          <w:sz w:val="23"/>
          <w:szCs w:val="23"/>
          <w:highlight w:val="none"/>
        </w:rPr>
        <w:t>部门出具的质量检测报告，或经诉讼（仲裁）程序裁决</w:t>
      </w:r>
      <w:r>
        <w:rPr>
          <w:spacing w:val="6"/>
          <w:sz w:val="23"/>
          <w:szCs w:val="23"/>
          <w:highlight w:val="none"/>
        </w:rPr>
        <w:t>后的裁决书、调解书，</w:t>
      </w:r>
      <w:r>
        <w:rPr>
          <w:spacing w:val="7"/>
          <w:sz w:val="23"/>
          <w:szCs w:val="23"/>
          <w:highlight w:val="none"/>
        </w:rPr>
        <w:t>本保证人即按照检测结果或裁决书、调解书决定是否承担保证责任。</w:t>
      </w:r>
    </w:p>
    <w:p w14:paraId="77CD2B2B">
      <w:pPr>
        <w:pStyle w:val="7"/>
        <w:spacing w:before="83" w:line="264" w:lineRule="auto"/>
        <w:ind w:left="41" w:right="131" w:firstLine="471"/>
        <w:rPr>
          <w:sz w:val="23"/>
          <w:szCs w:val="23"/>
          <w:highlight w:val="none"/>
        </w:rPr>
      </w:pPr>
      <w:r>
        <w:rPr>
          <w:spacing w:val="5"/>
          <w:sz w:val="23"/>
          <w:szCs w:val="23"/>
          <w:highlight w:val="none"/>
        </w:rPr>
        <w:t>2．我方收到你方的书面索赔通知及相应证明材料，在</w:t>
      </w:r>
      <w:r>
        <w:rPr>
          <w:spacing w:val="4"/>
          <w:sz w:val="23"/>
          <w:szCs w:val="23"/>
          <w:highlight w:val="none"/>
        </w:rPr>
        <w:t>工作日内进行</w:t>
      </w:r>
      <w:r>
        <w:rPr>
          <w:spacing w:val="6"/>
          <w:sz w:val="23"/>
          <w:szCs w:val="23"/>
          <w:highlight w:val="none"/>
        </w:rPr>
        <w:t>核定后按照本保函的承诺承担保证责任。</w:t>
      </w:r>
    </w:p>
    <w:p w14:paraId="0F63BD38">
      <w:pPr>
        <w:pStyle w:val="7"/>
        <w:spacing w:before="240" w:line="229" w:lineRule="auto"/>
        <w:ind w:left="579"/>
        <w:rPr>
          <w:sz w:val="23"/>
          <w:szCs w:val="23"/>
          <w:highlight w:val="none"/>
        </w:rPr>
      </w:pPr>
      <w:r>
        <w:rPr>
          <w:sz w:val="23"/>
          <w:szCs w:val="23"/>
          <w:highlight w:val="none"/>
        </w:rPr>
        <w:t>四、保证责任的终止</w:t>
      </w:r>
    </w:p>
    <w:p w14:paraId="4B266D8B">
      <w:pPr>
        <w:pStyle w:val="7"/>
        <w:spacing w:before="193" w:line="291" w:lineRule="auto"/>
        <w:ind w:left="42" w:right="147" w:firstLine="498"/>
        <w:rPr>
          <w:sz w:val="23"/>
          <w:szCs w:val="23"/>
          <w:highlight w:val="none"/>
        </w:rPr>
      </w:pPr>
      <w:r>
        <w:rPr>
          <w:spacing w:val="3"/>
          <w:sz w:val="23"/>
          <w:szCs w:val="23"/>
          <w:highlight w:val="none"/>
        </w:rPr>
        <w:t>1．保证期间届满你方未向我方书面主张保证责任的，自保证期间届满次日</w:t>
      </w:r>
      <w:r>
        <w:rPr>
          <w:spacing w:val="9"/>
          <w:sz w:val="23"/>
          <w:szCs w:val="23"/>
          <w:highlight w:val="none"/>
        </w:rPr>
        <w:t>起，我方保证责任自动终止。保证期间届满前，主合同约定的货物\工程\服务</w:t>
      </w:r>
      <w:r>
        <w:rPr>
          <w:spacing w:val="4"/>
          <w:sz w:val="23"/>
          <w:szCs w:val="23"/>
          <w:highlight w:val="none"/>
        </w:rPr>
        <w:t>全部验收合格的，自验收合格日起，我方保证责任自动终止。</w:t>
      </w:r>
    </w:p>
    <w:p w14:paraId="0A6DBD8F">
      <w:pPr>
        <w:pStyle w:val="7"/>
        <w:spacing w:before="287" w:line="264" w:lineRule="auto"/>
        <w:ind w:left="41" w:right="133" w:firstLine="470"/>
        <w:rPr>
          <w:sz w:val="23"/>
          <w:szCs w:val="23"/>
          <w:highlight w:val="none"/>
        </w:rPr>
      </w:pPr>
      <w:r>
        <w:rPr>
          <w:spacing w:val="4"/>
          <w:sz w:val="23"/>
          <w:szCs w:val="23"/>
          <w:highlight w:val="none"/>
        </w:rPr>
        <w:t>2．我方按照本保函向你方履行了保证责任后，自我方向你方支付款项（支</w:t>
      </w:r>
      <w:r>
        <w:rPr>
          <w:spacing w:val="7"/>
          <w:sz w:val="23"/>
          <w:szCs w:val="23"/>
          <w:highlight w:val="none"/>
        </w:rPr>
        <w:t>付款项从我方账户划出）之日起，保证责任即终止。</w:t>
      </w:r>
    </w:p>
    <w:p w14:paraId="2031F751">
      <w:pPr>
        <w:pStyle w:val="7"/>
        <w:spacing w:before="259" w:line="265" w:lineRule="auto"/>
        <w:ind w:left="42" w:right="148" w:firstLine="473"/>
        <w:rPr>
          <w:sz w:val="23"/>
          <w:szCs w:val="23"/>
          <w:highlight w:val="none"/>
        </w:rPr>
      </w:pPr>
      <w:r>
        <w:rPr>
          <w:spacing w:val="6"/>
          <w:sz w:val="23"/>
          <w:szCs w:val="23"/>
          <w:highlight w:val="none"/>
        </w:rPr>
        <w:t>3．按照法律法规的规定或出现应终止我方保证责任的其它情</w:t>
      </w:r>
      <w:r>
        <w:rPr>
          <w:spacing w:val="5"/>
          <w:sz w:val="23"/>
          <w:szCs w:val="23"/>
          <w:highlight w:val="none"/>
        </w:rPr>
        <w:t>形的，我方在</w:t>
      </w:r>
      <w:r>
        <w:rPr>
          <w:spacing w:val="6"/>
          <w:sz w:val="23"/>
          <w:szCs w:val="23"/>
          <w:highlight w:val="none"/>
        </w:rPr>
        <w:t>本保函项下的保证责任亦终止。</w:t>
      </w:r>
    </w:p>
    <w:p w14:paraId="6F1E846D">
      <w:pPr>
        <w:pStyle w:val="7"/>
        <w:spacing w:before="261" w:line="308" w:lineRule="auto"/>
        <w:ind w:left="46" w:right="133" w:firstLine="457"/>
        <w:rPr>
          <w:sz w:val="23"/>
          <w:szCs w:val="23"/>
          <w:highlight w:val="none"/>
        </w:rPr>
      </w:pPr>
      <w:r>
        <w:rPr>
          <w:spacing w:val="7"/>
          <w:sz w:val="23"/>
          <w:szCs w:val="23"/>
          <w:highlight w:val="none"/>
        </w:rPr>
        <w:t>4．你方与供应商修改主合同，加重我方保证责任</w:t>
      </w:r>
      <w:r>
        <w:rPr>
          <w:spacing w:val="6"/>
          <w:sz w:val="23"/>
          <w:szCs w:val="23"/>
          <w:highlight w:val="none"/>
        </w:rPr>
        <w:t>的，我方对加重部分不承</w:t>
      </w:r>
      <w:r>
        <w:rPr>
          <w:spacing w:val="9"/>
          <w:sz w:val="23"/>
          <w:szCs w:val="23"/>
          <w:highlight w:val="none"/>
        </w:rPr>
        <w:t>担保证责任，但该等修改事先经我方书面同意的除外；你方与供应商修改主合同履行期限，我方保证期间仍依修改前的履行期限计算，但该等修改事先经我</w:t>
      </w:r>
      <w:r>
        <w:rPr>
          <w:spacing w:val="5"/>
          <w:sz w:val="23"/>
          <w:szCs w:val="23"/>
          <w:highlight w:val="none"/>
        </w:rPr>
        <w:t>方书面同意的除外。</w:t>
      </w:r>
    </w:p>
    <w:p w14:paraId="0452F66F">
      <w:pPr>
        <w:pStyle w:val="7"/>
        <w:spacing w:before="283" w:line="231" w:lineRule="auto"/>
        <w:ind w:left="530"/>
        <w:rPr>
          <w:sz w:val="23"/>
          <w:szCs w:val="23"/>
          <w:highlight w:val="none"/>
        </w:rPr>
      </w:pPr>
      <w:r>
        <w:rPr>
          <w:spacing w:val="3"/>
          <w:sz w:val="23"/>
          <w:szCs w:val="23"/>
          <w:highlight w:val="none"/>
        </w:rPr>
        <w:t>五、免责条款</w:t>
      </w:r>
    </w:p>
    <w:p w14:paraId="38E2D6EF">
      <w:pPr>
        <w:pStyle w:val="7"/>
        <w:spacing w:before="190" w:line="265" w:lineRule="auto"/>
        <w:ind w:left="41" w:right="147" w:firstLine="499"/>
        <w:rPr>
          <w:sz w:val="23"/>
          <w:szCs w:val="23"/>
          <w:highlight w:val="none"/>
        </w:rPr>
      </w:pPr>
      <w:r>
        <w:rPr>
          <w:spacing w:val="5"/>
          <w:sz w:val="23"/>
          <w:szCs w:val="23"/>
          <w:highlight w:val="none"/>
        </w:rPr>
        <w:t>1．因你方违反主合同约定致使供应商不能履行义务的，我方不承担保证责</w:t>
      </w:r>
      <w:r>
        <w:rPr>
          <w:spacing w:val="-3"/>
          <w:sz w:val="23"/>
          <w:szCs w:val="23"/>
          <w:highlight w:val="none"/>
        </w:rPr>
        <w:t>任。</w:t>
      </w:r>
    </w:p>
    <w:p w14:paraId="52B12A44">
      <w:pPr>
        <w:pStyle w:val="7"/>
        <w:spacing w:before="256" w:line="264" w:lineRule="auto"/>
        <w:ind w:left="41" w:right="131" w:firstLine="470"/>
        <w:rPr>
          <w:sz w:val="23"/>
          <w:szCs w:val="23"/>
          <w:highlight w:val="none"/>
        </w:rPr>
      </w:pPr>
      <w:r>
        <w:rPr>
          <w:spacing w:val="6"/>
          <w:sz w:val="23"/>
          <w:szCs w:val="23"/>
          <w:highlight w:val="none"/>
        </w:rPr>
        <w:t>2．依照法律法规的规定或你方与供应商的另行约定，全部或者部分免除供</w:t>
      </w:r>
      <w:r>
        <w:rPr>
          <w:spacing w:val="7"/>
          <w:sz w:val="23"/>
          <w:szCs w:val="23"/>
          <w:highlight w:val="none"/>
        </w:rPr>
        <w:t>应商应缴纳的保证金义务的，我方亦免除相应的保证责任。</w:t>
      </w:r>
    </w:p>
    <w:p w14:paraId="2335FC90">
      <w:pPr>
        <w:pStyle w:val="7"/>
        <w:spacing w:before="240" w:line="229" w:lineRule="auto"/>
        <w:ind w:left="516"/>
        <w:rPr>
          <w:sz w:val="23"/>
          <w:szCs w:val="23"/>
          <w:highlight w:val="none"/>
        </w:rPr>
      </w:pPr>
      <w:r>
        <w:rPr>
          <w:spacing w:val="5"/>
          <w:sz w:val="23"/>
          <w:szCs w:val="23"/>
          <w:highlight w:val="none"/>
        </w:rPr>
        <w:t>3．因不可抗力造成供应商不能履行供货义务的，我方不承担保证责任。</w:t>
      </w:r>
    </w:p>
    <w:p w14:paraId="592D8222">
      <w:pPr>
        <w:pStyle w:val="7"/>
        <w:spacing w:before="177" w:line="231" w:lineRule="auto"/>
        <w:ind w:left="526"/>
        <w:rPr>
          <w:sz w:val="23"/>
          <w:szCs w:val="23"/>
          <w:highlight w:val="none"/>
        </w:rPr>
      </w:pPr>
      <w:r>
        <w:rPr>
          <w:spacing w:val="4"/>
          <w:sz w:val="23"/>
          <w:szCs w:val="23"/>
          <w:highlight w:val="none"/>
        </w:rPr>
        <w:t>六、争议的解决</w:t>
      </w:r>
    </w:p>
    <w:p w14:paraId="0C891248">
      <w:pPr>
        <w:pStyle w:val="7"/>
        <w:spacing w:before="190" w:line="334" w:lineRule="auto"/>
        <w:ind w:left="46" w:right="133" w:firstLine="524"/>
        <w:rPr>
          <w:sz w:val="23"/>
          <w:szCs w:val="23"/>
          <w:highlight w:val="none"/>
        </w:rPr>
      </w:pPr>
      <w:r>
        <w:rPr>
          <w:spacing w:val="8"/>
          <w:sz w:val="23"/>
          <w:szCs w:val="23"/>
          <w:highlight w:val="none"/>
        </w:rPr>
        <w:t>因本保函发生的纠纷，由你我双方协商解决，协商不成的，通过诉讼程序</w:t>
      </w:r>
      <w:r>
        <w:rPr>
          <w:spacing w:val="4"/>
          <w:sz w:val="23"/>
          <w:szCs w:val="23"/>
          <w:highlight w:val="none"/>
        </w:rPr>
        <w:t>解决，诉讼管辖地法院为法</w:t>
      </w:r>
      <w:r>
        <w:rPr>
          <w:spacing w:val="3"/>
          <w:sz w:val="23"/>
          <w:szCs w:val="23"/>
          <w:highlight w:val="none"/>
        </w:rPr>
        <w:t>院。</w:t>
      </w:r>
    </w:p>
    <w:p w14:paraId="554A32F6">
      <w:pPr>
        <w:pStyle w:val="7"/>
        <w:spacing w:before="66" w:line="229" w:lineRule="auto"/>
        <w:ind w:left="531"/>
        <w:rPr>
          <w:sz w:val="23"/>
          <w:szCs w:val="23"/>
          <w:highlight w:val="none"/>
        </w:rPr>
      </w:pPr>
      <w:r>
        <w:rPr>
          <w:spacing w:val="4"/>
          <w:sz w:val="23"/>
          <w:szCs w:val="23"/>
          <w:highlight w:val="none"/>
        </w:rPr>
        <w:t>七、保函的生效</w:t>
      </w:r>
    </w:p>
    <w:p w14:paraId="39B3EBD1">
      <w:pPr>
        <w:pStyle w:val="7"/>
        <w:spacing w:before="173" w:line="229" w:lineRule="auto"/>
        <w:ind w:left="522"/>
        <w:rPr>
          <w:sz w:val="23"/>
          <w:szCs w:val="23"/>
          <w:highlight w:val="none"/>
        </w:rPr>
      </w:pPr>
      <w:r>
        <w:rPr>
          <w:spacing w:val="6"/>
          <w:sz w:val="23"/>
          <w:szCs w:val="23"/>
          <w:highlight w:val="none"/>
        </w:rPr>
        <w:t>本保函自我方加盖公章之日起生效。</w:t>
      </w:r>
    </w:p>
    <w:p w14:paraId="1534385D">
      <w:pPr>
        <w:pStyle w:val="7"/>
        <w:spacing w:before="173" w:line="229" w:lineRule="auto"/>
        <w:ind w:left="5442"/>
        <w:rPr>
          <w:sz w:val="23"/>
          <w:szCs w:val="23"/>
          <w:highlight w:val="none"/>
        </w:rPr>
      </w:pPr>
      <w:r>
        <w:rPr>
          <w:spacing w:val="9"/>
          <w:sz w:val="23"/>
          <w:szCs w:val="23"/>
          <w:highlight w:val="none"/>
        </w:rPr>
        <w:t>保证人</w:t>
      </w:r>
      <w:r>
        <w:rPr>
          <w:spacing w:val="-12"/>
          <w:sz w:val="23"/>
          <w:szCs w:val="23"/>
          <w:highlight w:val="none"/>
        </w:rPr>
        <w:t>：（</w:t>
      </w:r>
      <w:r>
        <w:rPr>
          <w:spacing w:val="9"/>
          <w:sz w:val="23"/>
          <w:szCs w:val="23"/>
          <w:highlight w:val="none"/>
        </w:rPr>
        <w:t>公章）</w:t>
      </w:r>
    </w:p>
    <w:p w14:paraId="5F52792A">
      <w:pPr>
        <w:pStyle w:val="7"/>
        <w:spacing w:before="175" w:line="231" w:lineRule="auto"/>
        <w:ind w:right="36"/>
        <w:jc w:val="right"/>
        <w:rPr>
          <w:rFonts w:hint="eastAsia" w:eastAsia="宋体"/>
          <w:sz w:val="23"/>
          <w:szCs w:val="23"/>
          <w:highlight w:val="none"/>
          <w:lang w:val="en-US" w:eastAsia="zh-CN"/>
        </w:rPr>
        <w:sectPr>
          <w:footerReference r:id="rId11" w:type="default"/>
          <w:pgSz w:w="11906" w:h="16838"/>
          <w:pgMar w:top="400" w:right="1785" w:bottom="1155" w:left="1785" w:header="0" w:footer="979" w:gutter="0"/>
          <w:pgNumType w:fmt="decimal"/>
          <w:cols w:space="720" w:num="1"/>
        </w:sectPr>
      </w:pPr>
      <w:r>
        <w:rPr>
          <w:spacing w:val="-10"/>
          <w:sz w:val="23"/>
          <w:szCs w:val="23"/>
          <w:highlight w:val="none"/>
        </w:rPr>
        <w:t>年月</w:t>
      </w:r>
      <w:r>
        <w:rPr>
          <w:rFonts w:hint="eastAsia" w:eastAsia="宋体"/>
          <w:spacing w:val="-10"/>
          <w:sz w:val="23"/>
          <w:szCs w:val="23"/>
          <w:highlight w:val="none"/>
          <w:lang w:val="en-US" w:eastAsia="zh-CN"/>
        </w:rPr>
        <w:t>日</w:t>
      </w:r>
    </w:p>
    <w:p w14:paraId="7E4AD239">
      <w:pPr>
        <w:pStyle w:val="7"/>
        <w:spacing w:line="241" w:lineRule="auto"/>
        <w:rPr>
          <w:highlight w:val="none"/>
        </w:rPr>
      </w:pPr>
    </w:p>
    <w:p w14:paraId="470D8D45">
      <w:pPr>
        <w:pStyle w:val="7"/>
        <w:spacing w:line="241" w:lineRule="auto"/>
        <w:rPr>
          <w:highlight w:val="none"/>
        </w:rPr>
      </w:pPr>
    </w:p>
    <w:p w14:paraId="3D8D12F1">
      <w:pPr>
        <w:pStyle w:val="7"/>
        <w:spacing w:line="241" w:lineRule="auto"/>
        <w:rPr>
          <w:highlight w:val="none"/>
        </w:rPr>
      </w:pPr>
    </w:p>
    <w:p w14:paraId="6A153CA0">
      <w:pPr>
        <w:pStyle w:val="7"/>
        <w:spacing w:line="242" w:lineRule="auto"/>
        <w:rPr>
          <w:highlight w:val="none"/>
        </w:rPr>
      </w:pPr>
    </w:p>
    <w:p w14:paraId="3E12C439">
      <w:pPr>
        <w:spacing w:before="113" w:line="237" w:lineRule="auto"/>
        <w:ind w:left="3506"/>
        <w:outlineLvl w:val="0"/>
        <w:rPr>
          <w:rFonts w:ascii="方正仿宋_GBK" w:hAnsi="方正仿宋_GBK" w:eastAsia="方正仿宋_GBK" w:cs="方正仿宋_GBK"/>
          <w:sz w:val="31"/>
          <w:szCs w:val="31"/>
          <w:highlight w:val="none"/>
        </w:rPr>
      </w:pPr>
      <w:bookmarkStart w:id="72" w:name="bookmark60"/>
      <w:bookmarkEnd w:id="72"/>
      <w:r>
        <w:rPr>
          <w:rFonts w:ascii="方正仿宋_GBK" w:hAnsi="方正仿宋_GBK" w:eastAsia="方正仿宋_GBK" w:cs="方正仿宋_GBK"/>
          <w:b/>
          <w:bCs/>
          <w:spacing w:val="1"/>
          <w:sz w:val="31"/>
          <w:szCs w:val="31"/>
          <w:highlight w:val="none"/>
        </w:rPr>
        <w:t>第2章投标文件格式</w:t>
      </w:r>
    </w:p>
    <w:p w14:paraId="5C792407">
      <w:pPr>
        <w:spacing w:before="15" w:line="239" w:lineRule="auto"/>
        <w:ind w:left="280"/>
        <w:rPr>
          <w:rFonts w:ascii="方正仿宋_GBK" w:hAnsi="方正仿宋_GBK" w:eastAsia="方正仿宋_GBK" w:cs="方正仿宋_GBK"/>
          <w:sz w:val="29"/>
          <w:szCs w:val="29"/>
          <w:highlight w:val="none"/>
        </w:rPr>
      </w:pPr>
      <w:r>
        <w:rPr>
          <w:rFonts w:ascii="方正仿宋_GBK" w:hAnsi="方正仿宋_GBK" w:eastAsia="方正仿宋_GBK" w:cs="方正仿宋_GBK"/>
          <w:b/>
          <w:bCs/>
          <w:spacing w:val="4"/>
          <w:sz w:val="29"/>
          <w:szCs w:val="29"/>
          <w:highlight w:val="none"/>
        </w:rPr>
        <w:t>投标文件封面</w:t>
      </w:r>
    </w:p>
    <w:p w14:paraId="28635EDE">
      <w:pPr>
        <w:spacing w:before="57"/>
        <w:rPr>
          <w:highlight w:val="none"/>
        </w:rPr>
      </w:pPr>
    </w:p>
    <w:p w14:paraId="30031B1F">
      <w:pPr>
        <w:pStyle w:val="17"/>
        <w:numPr>
          <w:ilvl w:val="0"/>
          <w:numId w:val="0"/>
        </w:numPr>
        <w:jc w:val="both"/>
        <w:rPr>
          <w:highlight w:val="none"/>
        </w:rPr>
      </w:pPr>
    </w:p>
    <w:tbl>
      <w:tblPr>
        <w:tblStyle w:val="25"/>
        <w:tblW w:w="5000" w:type="pct"/>
        <w:tblInd w:w="0" w:type="dxa"/>
        <w:tblBorders>
          <w:top w:val="double" w:color="666699" w:sz="2" w:space="0"/>
          <w:left w:val="double" w:color="666699" w:sz="2" w:space="0"/>
          <w:bottom w:val="double" w:color="666699" w:sz="2" w:space="0"/>
          <w:right w:val="double" w:color="666699" w:sz="2" w:space="0"/>
          <w:insideH w:val="none" w:color="auto" w:sz="0" w:space="0"/>
          <w:insideV w:val="none" w:color="auto" w:sz="0" w:space="0"/>
        </w:tblBorders>
        <w:shd w:val="clear" w:color="auto" w:fill="FCFEEA"/>
        <w:tblLayout w:type="autofit"/>
        <w:tblCellMar>
          <w:top w:w="0" w:type="dxa"/>
          <w:left w:w="0" w:type="dxa"/>
          <w:bottom w:w="0" w:type="dxa"/>
          <w:right w:w="0" w:type="dxa"/>
        </w:tblCellMar>
      </w:tblPr>
      <w:tblGrid>
        <w:gridCol w:w="9585"/>
      </w:tblGrid>
      <w:tr w14:paraId="5BB06DC7">
        <w:tblPrEx>
          <w:tblBorders>
            <w:top w:val="double" w:color="666699" w:sz="2" w:space="0"/>
            <w:left w:val="double" w:color="666699" w:sz="2" w:space="0"/>
            <w:bottom w:val="double" w:color="666699" w:sz="2" w:space="0"/>
            <w:right w:val="double" w:color="666699" w:sz="2" w:space="0"/>
            <w:insideH w:val="none" w:color="auto" w:sz="0" w:space="0"/>
            <w:insideV w:val="none" w:color="auto" w:sz="0" w:space="0"/>
          </w:tblBorders>
          <w:shd w:val="clear" w:color="auto" w:fill="FCFEEA"/>
          <w:tblCellMar>
            <w:top w:w="0" w:type="dxa"/>
            <w:left w:w="0" w:type="dxa"/>
            <w:bottom w:w="0" w:type="dxa"/>
            <w:right w:w="0" w:type="dxa"/>
          </w:tblCellMar>
        </w:tblPrEx>
        <w:trPr>
          <w:trHeight w:val="12361" w:hRule="atLeast"/>
        </w:trPr>
        <w:tc>
          <w:tcPr>
            <w:tcW w:w="5000" w:type="pct"/>
            <w:shd w:val="clear" w:color="auto" w:fill="FCFEEA"/>
            <w:vAlign w:val="top"/>
          </w:tcPr>
          <w:p w14:paraId="6538070A">
            <w:pPr>
              <w:pStyle w:val="26"/>
              <w:spacing w:line="327" w:lineRule="auto"/>
              <w:rPr>
                <w:highlight w:val="none"/>
              </w:rPr>
            </w:pPr>
          </w:p>
          <w:p w14:paraId="48263258">
            <w:pPr>
              <w:spacing w:before="91" w:line="219" w:lineRule="auto"/>
              <w:ind w:left="127"/>
              <w:outlineLvl w:val="1"/>
              <w:rPr>
                <w:rFonts w:ascii="宋体" w:hAnsi="宋体" w:eastAsia="宋体" w:cs="宋体"/>
                <w:sz w:val="28"/>
                <w:szCs w:val="28"/>
                <w:highlight w:val="none"/>
              </w:rPr>
            </w:pPr>
            <w:r>
              <w:rPr>
                <w:rFonts w:ascii="宋体" w:hAnsi="宋体" w:eastAsia="宋体" w:cs="宋体"/>
                <w:b/>
                <w:bCs/>
                <w:spacing w:val="-8"/>
                <w:sz w:val="28"/>
                <w:szCs w:val="28"/>
                <w:highlight w:val="none"/>
              </w:rPr>
              <w:t>（正本或副本）</w:t>
            </w:r>
          </w:p>
          <w:p w14:paraId="20B82F0D">
            <w:pPr>
              <w:spacing w:before="149" w:line="221" w:lineRule="auto"/>
              <w:ind w:left="2638" w:firstLine="813" w:firstLineChars="300"/>
              <w:jc w:val="both"/>
              <w:rPr>
                <w:rFonts w:ascii="宋体" w:hAnsi="宋体" w:eastAsia="宋体" w:cs="宋体"/>
                <w:sz w:val="28"/>
                <w:szCs w:val="28"/>
                <w:highlight w:val="none"/>
              </w:rPr>
            </w:pPr>
            <w:r>
              <w:rPr>
                <w:rFonts w:ascii="宋体" w:hAnsi="宋体" w:eastAsia="宋体" w:cs="宋体"/>
                <w:b/>
                <w:bCs/>
                <w:spacing w:val="-5"/>
                <w:sz w:val="28"/>
                <w:szCs w:val="28"/>
                <w:highlight w:val="none"/>
              </w:rPr>
              <w:t>*****************项目</w:t>
            </w:r>
          </w:p>
          <w:p w14:paraId="3045A99A">
            <w:pPr>
              <w:spacing w:before="85" w:line="191" w:lineRule="auto"/>
              <w:ind w:left="3261" w:firstLine="780" w:firstLineChars="300"/>
              <w:jc w:val="both"/>
              <w:rPr>
                <w:rFonts w:hint="eastAsia" w:ascii="微软雅黑" w:hAnsi="微软雅黑" w:eastAsia="微软雅黑" w:cs="微软雅黑"/>
                <w:b/>
                <w:bCs/>
                <w:spacing w:val="14"/>
                <w:w w:val="116"/>
                <w:sz w:val="20"/>
                <w:szCs w:val="20"/>
                <w:highlight w:val="none"/>
                <w:lang w:val="en-US" w:eastAsia="zh-CN"/>
              </w:rPr>
            </w:pPr>
            <w:r>
              <w:rPr>
                <w:rFonts w:hint="eastAsia" w:ascii="微软雅黑" w:hAnsi="微软雅黑" w:eastAsia="微软雅黑" w:cs="微软雅黑"/>
                <w:b/>
                <w:bCs/>
                <w:spacing w:val="14"/>
                <w:w w:val="116"/>
                <w:sz w:val="20"/>
                <w:szCs w:val="20"/>
                <w:highlight w:val="none"/>
                <w:lang w:val="en-US" w:eastAsia="zh-CN"/>
              </w:rPr>
              <w:t>标项号：</w:t>
            </w:r>
          </w:p>
          <w:p w14:paraId="21416955">
            <w:pPr>
              <w:spacing w:before="85" w:line="191" w:lineRule="auto"/>
              <w:ind w:left="3261" w:firstLine="780" w:firstLineChars="300"/>
              <w:jc w:val="both"/>
              <w:rPr>
                <w:rFonts w:ascii="宋体" w:hAnsi="宋体" w:eastAsia="宋体" w:cs="宋体"/>
                <w:b/>
                <w:bCs/>
                <w:spacing w:val="14"/>
                <w:w w:val="116"/>
                <w:sz w:val="20"/>
                <w:szCs w:val="20"/>
                <w:highlight w:val="none"/>
              </w:rPr>
            </w:pPr>
            <w:r>
              <w:rPr>
                <w:rFonts w:ascii="微软雅黑" w:hAnsi="微软雅黑" w:eastAsia="微软雅黑" w:cs="微软雅黑"/>
                <w:b/>
                <w:bCs/>
                <w:spacing w:val="14"/>
                <w:w w:val="116"/>
                <w:sz w:val="20"/>
                <w:szCs w:val="20"/>
                <w:highlight w:val="none"/>
              </w:rPr>
              <w:t>项目编号</w:t>
            </w:r>
            <w:r>
              <w:rPr>
                <w:rFonts w:ascii="宋体" w:hAnsi="宋体" w:eastAsia="宋体" w:cs="宋体"/>
                <w:b/>
                <w:bCs/>
                <w:spacing w:val="14"/>
                <w:w w:val="116"/>
                <w:sz w:val="20"/>
                <w:szCs w:val="20"/>
                <w:highlight w:val="none"/>
              </w:rPr>
              <w:t>***</w:t>
            </w:r>
          </w:p>
          <w:p w14:paraId="096704E9">
            <w:pPr>
              <w:pStyle w:val="2"/>
              <w:rPr>
                <w:highlight w:val="none"/>
              </w:rPr>
            </w:pPr>
          </w:p>
          <w:p w14:paraId="32BEB74C">
            <w:pPr>
              <w:spacing w:before="251" w:line="487" w:lineRule="exact"/>
              <w:ind w:left="3268" w:firstLine="456" w:firstLineChars="100"/>
              <w:jc w:val="both"/>
              <w:rPr>
                <w:rFonts w:ascii="微软雅黑" w:hAnsi="微软雅黑" w:eastAsia="微软雅黑" w:cs="微软雅黑"/>
                <w:sz w:val="47"/>
                <w:szCs w:val="47"/>
                <w:highlight w:val="none"/>
              </w:rPr>
            </w:pPr>
            <w:r>
              <w:rPr>
                <w:rFonts w:ascii="微软雅黑" w:hAnsi="微软雅黑" w:eastAsia="微软雅黑" w:cs="微软雅黑"/>
                <w:b/>
                <w:bCs/>
                <w:spacing w:val="-7"/>
                <w:position w:val="-3"/>
                <w:sz w:val="47"/>
                <w:szCs w:val="47"/>
                <w:highlight w:val="none"/>
              </w:rPr>
              <w:t>响应文件</w:t>
            </w:r>
          </w:p>
          <w:p w14:paraId="111F1EA5">
            <w:pPr>
              <w:pStyle w:val="26"/>
              <w:spacing w:line="254" w:lineRule="auto"/>
              <w:jc w:val="both"/>
              <w:rPr>
                <w:highlight w:val="none"/>
              </w:rPr>
            </w:pPr>
          </w:p>
          <w:p w14:paraId="3AB1DC13">
            <w:pPr>
              <w:pStyle w:val="26"/>
              <w:spacing w:line="254" w:lineRule="auto"/>
              <w:jc w:val="both"/>
              <w:rPr>
                <w:highlight w:val="none"/>
              </w:rPr>
            </w:pPr>
          </w:p>
          <w:p w14:paraId="0DFC393B">
            <w:pPr>
              <w:pStyle w:val="26"/>
              <w:spacing w:line="255" w:lineRule="auto"/>
              <w:jc w:val="both"/>
              <w:rPr>
                <w:highlight w:val="none"/>
              </w:rPr>
            </w:pPr>
          </w:p>
          <w:p w14:paraId="3E99F9DD">
            <w:pPr>
              <w:pStyle w:val="26"/>
              <w:spacing w:line="255" w:lineRule="auto"/>
              <w:jc w:val="both"/>
              <w:rPr>
                <w:highlight w:val="none"/>
              </w:rPr>
            </w:pPr>
          </w:p>
          <w:p w14:paraId="074BC062">
            <w:pPr>
              <w:pStyle w:val="26"/>
              <w:spacing w:line="255" w:lineRule="auto"/>
              <w:jc w:val="both"/>
              <w:rPr>
                <w:highlight w:val="none"/>
              </w:rPr>
            </w:pPr>
          </w:p>
          <w:p w14:paraId="5DE93333">
            <w:pPr>
              <w:pStyle w:val="26"/>
              <w:spacing w:line="255" w:lineRule="auto"/>
              <w:jc w:val="both"/>
              <w:rPr>
                <w:highlight w:val="none"/>
              </w:rPr>
            </w:pPr>
          </w:p>
          <w:p w14:paraId="480B4D9E">
            <w:pPr>
              <w:pStyle w:val="26"/>
              <w:spacing w:line="255" w:lineRule="auto"/>
              <w:jc w:val="both"/>
              <w:rPr>
                <w:highlight w:val="none"/>
              </w:rPr>
            </w:pPr>
          </w:p>
          <w:p w14:paraId="5186470E">
            <w:pPr>
              <w:spacing w:before="65" w:line="362" w:lineRule="auto"/>
              <w:ind w:left="1763" w:right="1294"/>
              <w:jc w:val="both"/>
              <w:rPr>
                <w:rFonts w:ascii="宋体" w:hAnsi="宋体" w:eastAsia="宋体" w:cs="宋体"/>
                <w:spacing w:val="6"/>
                <w:sz w:val="20"/>
                <w:szCs w:val="20"/>
                <w:highlight w:val="none"/>
              </w:rPr>
            </w:pPr>
            <w:r>
              <w:rPr>
                <w:rFonts w:ascii="宋体" w:hAnsi="宋体" w:eastAsia="宋体" w:cs="宋体"/>
                <w:spacing w:val="6"/>
                <w:sz w:val="20"/>
                <w:szCs w:val="20"/>
                <w:highlight w:val="none"/>
              </w:rPr>
              <w:t>投标单位</w:t>
            </w:r>
            <w:r>
              <w:rPr>
                <w:rFonts w:ascii="宋体" w:hAnsi="宋体" w:eastAsia="宋体" w:cs="宋体"/>
                <w:spacing w:val="8"/>
                <w:sz w:val="20"/>
                <w:szCs w:val="20"/>
                <w:highlight w:val="none"/>
              </w:rPr>
              <w:t>：</w:t>
            </w:r>
            <w:r>
              <w:rPr>
                <w:rFonts w:ascii="仿宋" w:hAnsi="仿宋" w:eastAsia="仿宋" w:cs="仿宋"/>
                <w:sz w:val="23"/>
                <w:szCs w:val="23"/>
                <w:highlight w:val="none"/>
                <w:u w:val="single" w:color="auto"/>
              </w:rPr>
              <w:tab/>
            </w:r>
            <w:r>
              <w:rPr>
                <w:rFonts w:ascii="宋体" w:hAnsi="宋体" w:eastAsia="宋体" w:cs="宋体"/>
                <w:spacing w:val="8"/>
                <w:sz w:val="20"/>
                <w:szCs w:val="20"/>
                <w:highlight w:val="none"/>
              </w:rPr>
              <w:t>（</w:t>
            </w:r>
            <w:r>
              <w:rPr>
                <w:rFonts w:ascii="宋体" w:hAnsi="宋体" w:eastAsia="宋体" w:cs="宋体"/>
                <w:spacing w:val="6"/>
                <w:sz w:val="20"/>
                <w:szCs w:val="20"/>
                <w:highlight w:val="none"/>
              </w:rPr>
              <w:t>公章）</w:t>
            </w:r>
          </w:p>
          <w:p w14:paraId="51708A8A">
            <w:pPr>
              <w:spacing w:before="65" w:line="362" w:lineRule="auto"/>
              <w:ind w:left="1763" w:right="1294"/>
              <w:jc w:val="both"/>
              <w:rPr>
                <w:rFonts w:hint="default" w:ascii="宋体" w:hAnsi="宋体" w:eastAsia="仿宋" w:cs="宋体"/>
                <w:sz w:val="20"/>
                <w:szCs w:val="20"/>
                <w:highlight w:val="none"/>
                <w:lang w:val="en-US" w:eastAsia="zh-CN"/>
              </w:rPr>
            </w:pPr>
            <w:r>
              <w:rPr>
                <w:rFonts w:ascii="宋体" w:hAnsi="宋体" w:eastAsia="宋体" w:cs="宋体"/>
                <w:spacing w:val="7"/>
                <w:sz w:val="20"/>
                <w:szCs w:val="20"/>
                <w:highlight w:val="none"/>
              </w:rPr>
              <w:t>项目名称：</w:t>
            </w:r>
          </w:p>
          <w:p w14:paraId="17E1C837">
            <w:pPr>
              <w:tabs>
                <w:tab w:val="left" w:pos="7002"/>
              </w:tabs>
              <w:spacing w:before="32" w:line="372" w:lineRule="auto"/>
              <w:ind w:left="1760" w:right="2114" w:firstLine="3"/>
              <w:jc w:val="both"/>
              <w:rPr>
                <w:rFonts w:hint="default" w:ascii="宋体" w:hAnsi="宋体" w:eastAsia="宋体" w:cs="宋体"/>
                <w:spacing w:val="7"/>
                <w:sz w:val="20"/>
                <w:szCs w:val="20"/>
                <w:highlight w:val="none"/>
                <w:u w:val="single"/>
                <w:lang w:val="en-US" w:eastAsia="zh-CN"/>
              </w:rPr>
            </w:pPr>
            <w:r>
              <w:rPr>
                <w:rFonts w:ascii="宋体" w:hAnsi="宋体" w:eastAsia="宋体" w:cs="宋体"/>
                <w:spacing w:val="7"/>
                <w:sz w:val="20"/>
                <w:szCs w:val="20"/>
                <w:highlight w:val="none"/>
              </w:rPr>
              <w:t>项目编号：</w:t>
            </w:r>
          </w:p>
          <w:p w14:paraId="3C4118B7">
            <w:pPr>
              <w:tabs>
                <w:tab w:val="left" w:pos="7002"/>
              </w:tabs>
              <w:spacing w:before="32" w:line="372" w:lineRule="auto"/>
              <w:ind w:left="1760" w:right="2114" w:firstLine="3"/>
              <w:jc w:val="both"/>
              <w:rPr>
                <w:rFonts w:hint="eastAsia" w:ascii="宋体" w:hAnsi="宋体" w:eastAsia="宋体" w:cs="宋体"/>
                <w:spacing w:val="1"/>
                <w:sz w:val="20"/>
                <w:szCs w:val="20"/>
                <w:highlight w:val="none"/>
                <w:lang w:val="en-US" w:eastAsia="zh-CN"/>
              </w:rPr>
            </w:pPr>
            <w:r>
              <w:rPr>
                <w:rFonts w:ascii="宋体" w:hAnsi="宋体" w:eastAsia="宋体" w:cs="宋体"/>
                <w:spacing w:val="1"/>
                <w:sz w:val="20"/>
                <w:szCs w:val="20"/>
                <w:highlight w:val="none"/>
              </w:rPr>
              <w:t>联系人：</w:t>
            </w:r>
          </w:p>
          <w:p w14:paraId="6E10F85C">
            <w:pPr>
              <w:tabs>
                <w:tab w:val="left" w:pos="7002"/>
              </w:tabs>
              <w:spacing w:before="32" w:line="372" w:lineRule="auto"/>
              <w:ind w:left="1760" w:right="2114" w:firstLine="3"/>
              <w:jc w:val="both"/>
              <w:rPr>
                <w:rFonts w:hint="default" w:ascii="宋体" w:hAnsi="宋体" w:eastAsia="宋体" w:cs="宋体"/>
                <w:spacing w:val="4"/>
                <w:sz w:val="20"/>
                <w:szCs w:val="20"/>
                <w:highlight w:val="none"/>
                <w:u w:val="single"/>
                <w:lang w:val="en-US" w:eastAsia="zh-CN"/>
              </w:rPr>
            </w:pPr>
            <w:r>
              <w:rPr>
                <w:rFonts w:ascii="宋体" w:hAnsi="宋体" w:eastAsia="宋体" w:cs="宋体"/>
                <w:spacing w:val="4"/>
                <w:sz w:val="20"/>
                <w:szCs w:val="20"/>
                <w:highlight w:val="none"/>
              </w:rPr>
              <w:t>电话：</w:t>
            </w:r>
          </w:p>
          <w:p w14:paraId="073A3D08">
            <w:pPr>
              <w:tabs>
                <w:tab w:val="left" w:pos="7002"/>
              </w:tabs>
              <w:spacing w:before="32" w:line="372" w:lineRule="auto"/>
              <w:ind w:left="1760" w:right="2114" w:firstLine="3"/>
              <w:jc w:val="both"/>
              <w:rPr>
                <w:rFonts w:hint="default" w:ascii="宋体" w:hAnsi="宋体" w:eastAsia="宋体" w:cs="宋体"/>
                <w:sz w:val="20"/>
                <w:szCs w:val="20"/>
                <w:highlight w:val="none"/>
                <w:u w:val="single"/>
                <w:lang w:val="en-US" w:eastAsia="zh-CN"/>
              </w:rPr>
            </w:pPr>
            <w:r>
              <w:rPr>
                <w:rFonts w:ascii="宋体" w:hAnsi="宋体" w:eastAsia="宋体" w:cs="宋体"/>
                <w:spacing w:val="3"/>
                <w:sz w:val="20"/>
                <w:szCs w:val="20"/>
                <w:highlight w:val="none"/>
              </w:rPr>
              <w:t>地址：</w:t>
            </w:r>
          </w:p>
          <w:p w14:paraId="23DF20D9">
            <w:pPr>
              <w:pStyle w:val="26"/>
              <w:spacing w:line="246" w:lineRule="auto"/>
              <w:jc w:val="both"/>
              <w:rPr>
                <w:highlight w:val="none"/>
              </w:rPr>
            </w:pPr>
          </w:p>
          <w:p w14:paraId="36381199">
            <w:pPr>
              <w:pStyle w:val="26"/>
              <w:spacing w:line="246" w:lineRule="auto"/>
              <w:jc w:val="both"/>
              <w:rPr>
                <w:highlight w:val="none"/>
              </w:rPr>
            </w:pPr>
          </w:p>
          <w:p w14:paraId="0053BBC8">
            <w:pPr>
              <w:pStyle w:val="26"/>
              <w:spacing w:line="246" w:lineRule="auto"/>
              <w:jc w:val="both"/>
              <w:rPr>
                <w:highlight w:val="none"/>
              </w:rPr>
            </w:pPr>
          </w:p>
          <w:p w14:paraId="1BFE1EDF">
            <w:pPr>
              <w:pStyle w:val="26"/>
              <w:spacing w:line="247" w:lineRule="auto"/>
              <w:jc w:val="both"/>
              <w:rPr>
                <w:highlight w:val="none"/>
              </w:rPr>
            </w:pPr>
          </w:p>
          <w:p w14:paraId="611EC034">
            <w:pPr>
              <w:pStyle w:val="26"/>
              <w:spacing w:line="247" w:lineRule="auto"/>
              <w:jc w:val="both"/>
              <w:rPr>
                <w:highlight w:val="none"/>
              </w:rPr>
            </w:pPr>
          </w:p>
          <w:p w14:paraId="527CDECC">
            <w:pPr>
              <w:spacing w:before="65" w:line="228" w:lineRule="auto"/>
              <w:ind w:left="2204" w:firstLine="811" w:firstLineChars="400"/>
              <w:jc w:val="both"/>
              <w:rPr>
                <w:rFonts w:ascii="宋体" w:hAnsi="宋体" w:eastAsia="宋体" w:cs="宋体"/>
                <w:sz w:val="20"/>
                <w:szCs w:val="20"/>
                <w:highlight w:val="none"/>
              </w:rPr>
            </w:pPr>
            <w:r>
              <w:rPr>
                <w:rFonts w:ascii="宋体" w:hAnsi="宋体" w:eastAsia="宋体" w:cs="宋体"/>
                <w:b/>
                <w:bCs/>
                <w:spacing w:val="1"/>
                <w:sz w:val="20"/>
                <w:szCs w:val="20"/>
                <w:highlight w:val="none"/>
              </w:rPr>
              <w:t>注：在202X年月日上午</w:t>
            </w:r>
            <w:r>
              <w:rPr>
                <w:rFonts w:ascii="宋体" w:hAnsi="宋体" w:eastAsia="宋体" w:cs="宋体"/>
                <w:sz w:val="20"/>
                <w:szCs w:val="20"/>
                <w:highlight w:val="none"/>
              </w:rPr>
              <w:t>XX</w:t>
            </w:r>
            <w:r>
              <w:rPr>
                <w:rFonts w:ascii="宋体" w:hAnsi="宋体" w:eastAsia="宋体" w:cs="宋体"/>
                <w:b/>
                <w:bCs/>
                <w:spacing w:val="1"/>
                <w:sz w:val="20"/>
                <w:szCs w:val="20"/>
                <w:highlight w:val="none"/>
              </w:rPr>
              <w:t>之前不得启封</w:t>
            </w:r>
          </w:p>
        </w:tc>
      </w:tr>
    </w:tbl>
    <w:p w14:paraId="0A877722">
      <w:pPr>
        <w:spacing w:line="47" w:lineRule="exact"/>
        <w:rPr>
          <w:sz w:val="4"/>
          <w:szCs w:val="4"/>
          <w:highlight w:val="none"/>
        </w:rPr>
        <w:sectPr>
          <w:footerReference r:id="rId12" w:type="default"/>
          <w:pgSz w:w="11906" w:h="16838"/>
          <w:pgMar w:top="400" w:right="1217" w:bottom="1033" w:left="1120" w:header="0" w:footer="857" w:gutter="0"/>
          <w:pgNumType w:fmt="decimal"/>
          <w:cols w:space="720" w:num="1"/>
        </w:sectPr>
      </w:pPr>
    </w:p>
    <w:p w14:paraId="6A9E179A">
      <w:pPr>
        <w:pStyle w:val="7"/>
        <w:spacing w:line="318" w:lineRule="auto"/>
        <w:rPr>
          <w:highlight w:val="none"/>
        </w:rPr>
      </w:pPr>
    </w:p>
    <w:p w14:paraId="09B3E462">
      <w:pPr>
        <w:pStyle w:val="7"/>
        <w:spacing w:line="318" w:lineRule="auto"/>
        <w:rPr>
          <w:highlight w:val="none"/>
        </w:rPr>
      </w:pPr>
    </w:p>
    <w:p w14:paraId="0571E5B6">
      <w:pPr>
        <w:pStyle w:val="7"/>
        <w:spacing w:line="319" w:lineRule="auto"/>
        <w:rPr>
          <w:highlight w:val="none"/>
        </w:rPr>
      </w:pPr>
    </w:p>
    <w:p w14:paraId="61114813">
      <w:pPr>
        <w:spacing w:before="128"/>
        <w:ind w:left="3800"/>
        <w:outlineLvl w:val="0"/>
        <w:rPr>
          <w:rFonts w:ascii="方正仿宋_GBK" w:hAnsi="方正仿宋_GBK" w:eastAsia="方正仿宋_GBK" w:cs="方正仿宋_GBK"/>
          <w:sz w:val="35"/>
          <w:szCs w:val="35"/>
          <w:highlight w:val="none"/>
        </w:rPr>
      </w:pPr>
      <w:r>
        <w:rPr>
          <w:rFonts w:ascii="方正仿宋_GBK" w:hAnsi="方正仿宋_GBK" w:eastAsia="方正仿宋_GBK" w:cs="方正仿宋_GBK"/>
          <w:b/>
          <w:bCs/>
          <w:spacing w:val="-46"/>
          <w:sz w:val="35"/>
          <w:szCs w:val="35"/>
          <w:highlight w:val="none"/>
        </w:rPr>
        <w:t>目录</w:t>
      </w:r>
    </w:p>
    <w:p w14:paraId="7FF63374">
      <w:pPr>
        <w:pStyle w:val="7"/>
        <w:spacing w:line="298" w:lineRule="auto"/>
        <w:rPr>
          <w:highlight w:val="none"/>
        </w:rPr>
      </w:pPr>
    </w:p>
    <w:p w14:paraId="0CC18196">
      <w:pPr>
        <w:spacing w:before="103" w:line="232" w:lineRule="auto"/>
        <w:ind w:left="2085"/>
        <w:outlineLvl w:val="1"/>
        <w:rPr>
          <w:rFonts w:ascii="方正仿宋_GBK" w:hAnsi="方正仿宋_GBK" w:eastAsia="方正仿宋_GBK" w:cs="方正仿宋_GBK"/>
          <w:sz w:val="28"/>
          <w:szCs w:val="28"/>
          <w:highlight w:val="none"/>
        </w:rPr>
      </w:pPr>
      <w:bookmarkStart w:id="73" w:name="bookmark62"/>
      <w:bookmarkEnd w:id="73"/>
      <w:r>
        <w:rPr>
          <w:rFonts w:ascii="方正仿宋_GBK" w:hAnsi="方正仿宋_GBK" w:eastAsia="方正仿宋_GBK" w:cs="方正仿宋_GBK"/>
          <w:b/>
          <w:bCs/>
          <w:spacing w:val="-4"/>
          <w:sz w:val="28"/>
          <w:szCs w:val="28"/>
          <w:highlight w:val="none"/>
        </w:rPr>
        <w:t>第一部分开标一览表及资格证明文件</w:t>
      </w:r>
    </w:p>
    <w:p w14:paraId="4C7BFAA9">
      <w:pPr>
        <w:spacing w:before="96" w:line="237" w:lineRule="auto"/>
        <w:ind w:left="7"/>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3"/>
          <w:sz w:val="23"/>
          <w:szCs w:val="23"/>
          <w:highlight w:val="none"/>
        </w:rPr>
        <w:t>1、开标一览表；</w:t>
      </w:r>
    </w:p>
    <w:p w14:paraId="21A017F7">
      <w:pPr>
        <w:spacing w:before="96" w:line="237" w:lineRule="auto"/>
        <w:ind w:left="7"/>
        <w:rPr>
          <w:rFonts w:ascii="方正仿宋_GBK" w:hAnsi="方正仿宋_GBK" w:eastAsia="方正仿宋_GBK" w:cs="方正仿宋_GBK"/>
          <w:spacing w:val="-3"/>
          <w:sz w:val="23"/>
          <w:szCs w:val="23"/>
          <w:highlight w:val="none"/>
        </w:rPr>
      </w:pPr>
      <w:r>
        <w:rPr>
          <w:rFonts w:ascii="方正仿宋_GBK" w:hAnsi="方正仿宋_GBK" w:eastAsia="方正仿宋_GBK" w:cs="方正仿宋_GBK"/>
          <w:spacing w:val="-3"/>
          <w:sz w:val="23"/>
          <w:szCs w:val="23"/>
          <w:highlight w:val="none"/>
        </w:rPr>
        <w:t>2、</w:t>
      </w:r>
      <w:r>
        <w:rPr>
          <w:rFonts w:hint="eastAsia" w:ascii="方正仿宋_GBK" w:hAnsi="方正仿宋_GBK" w:eastAsia="方正仿宋_GBK" w:cs="方正仿宋_GBK"/>
          <w:spacing w:val="-3"/>
          <w:sz w:val="23"/>
          <w:szCs w:val="23"/>
          <w:highlight w:val="none"/>
          <w:lang w:eastAsia="zh-CN"/>
        </w:rPr>
        <w:t>法人或者非法人组织的营业执照等证明文件复印件（须加盖本单位章）或自然人的身份证明复印件；</w:t>
      </w:r>
    </w:p>
    <w:p w14:paraId="7A6D082D">
      <w:pPr>
        <w:spacing w:before="96" w:line="237" w:lineRule="auto"/>
        <w:ind w:left="7"/>
        <w:rPr>
          <w:rFonts w:hint="eastAsia" w:ascii="方正仿宋_GBK" w:hAnsi="方正仿宋_GBK" w:eastAsia="方正仿宋_GBK" w:cs="方正仿宋_GBK"/>
          <w:spacing w:val="-3"/>
          <w:sz w:val="23"/>
          <w:szCs w:val="23"/>
          <w:highlight w:val="none"/>
          <w:lang w:eastAsia="zh-CN"/>
        </w:rPr>
      </w:pPr>
      <w:r>
        <w:rPr>
          <w:rFonts w:ascii="方正仿宋_GBK" w:hAnsi="方正仿宋_GBK" w:eastAsia="方正仿宋_GBK" w:cs="方正仿宋_GBK"/>
          <w:spacing w:val="-3"/>
          <w:sz w:val="23"/>
          <w:szCs w:val="23"/>
          <w:highlight w:val="none"/>
        </w:rPr>
        <w:t>3、</w:t>
      </w:r>
      <w:r>
        <w:rPr>
          <w:rFonts w:hint="eastAsia" w:ascii="方正仿宋_GBK" w:hAnsi="方正仿宋_GBK" w:eastAsia="方正仿宋_GBK" w:cs="方正仿宋_GBK"/>
          <w:spacing w:val="-3"/>
          <w:sz w:val="23"/>
          <w:szCs w:val="23"/>
          <w:highlight w:val="none"/>
          <w:lang w:eastAsia="zh-CN"/>
        </w:rPr>
        <w:t>法定代表人证明或法定代表人授权委托书签字并加盖公章（自然人投标的无需提供）；</w:t>
      </w:r>
    </w:p>
    <w:p w14:paraId="37A23D52">
      <w:pPr>
        <w:spacing w:before="96" w:line="237" w:lineRule="auto"/>
        <w:ind w:left="7"/>
        <w:rPr>
          <w:rFonts w:ascii="方正仿宋_GBK" w:hAnsi="方正仿宋_GBK" w:eastAsia="方正仿宋_GBK" w:cs="方正仿宋_GBK"/>
          <w:spacing w:val="-3"/>
          <w:sz w:val="23"/>
          <w:szCs w:val="23"/>
          <w:highlight w:val="none"/>
        </w:rPr>
      </w:pPr>
      <w:r>
        <w:rPr>
          <w:rFonts w:ascii="方正仿宋_GBK" w:hAnsi="方正仿宋_GBK" w:eastAsia="方正仿宋_GBK" w:cs="方正仿宋_GBK"/>
          <w:spacing w:val="-3"/>
          <w:sz w:val="23"/>
          <w:szCs w:val="23"/>
          <w:highlight w:val="none"/>
        </w:rPr>
        <w:t>4、</w:t>
      </w:r>
      <w:r>
        <w:rPr>
          <w:rFonts w:hint="eastAsia" w:ascii="方正仿宋_GBK" w:hAnsi="方正仿宋_GBK" w:eastAsia="方正仿宋_GBK" w:cs="方正仿宋_GBK"/>
          <w:spacing w:val="-3"/>
          <w:sz w:val="23"/>
          <w:szCs w:val="23"/>
          <w:highlight w:val="none"/>
        </w:rPr>
        <w:t>提供依法缴纳近6个月任意</w:t>
      </w:r>
      <w:r>
        <w:rPr>
          <w:rFonts w:hint="eastAsia" w:ascii="方正仿宋_GBK" w:hAnsi="方正仿宋_GBK" w:eastAsia="方正仿宋_GBK" w:cs="方正仿宋_GBK"/>
          <w:spacing w:val="-3"/>
          <w:sz w:val="23"/>
          <w:szCs w:val="23"/>
          <w:highlight w:val="none"/>
          <w:lang w:val="en-US" w:eastAsia="zh-CN"/>
        </w:rPr>
        <w:t>连续3</w:t>
      </w:r>
      <w:r>
        <w:rPr>
          <w:rFonts w:hint="eastAsia" w:ascii="方正仿宋_GBK" w:hAnsi="方正仿宋_GBK" w:eastAsia="方正仿宋_GBK" w:cs="方正仿宋_GBK"/>
          <w:spacing w:val="-3"/>
          <w:sz w:val="23"/>
          <w:szCs w:val="23"/>
          <w:highlight w:val="none"/>
        </w:rPr>
        <w:t>个月缴纳社会保障金的证明材料（</w:t>
      </w:r>
      <w:r>
        <w:rPr>
          <w:rFonts w:hint="eastAsia" w:ascii="方正仿宋_GBK" w:hAnsi="方正仿宋_GBK" w:eastAsia="方正仿宋_GBK" w:cs="方正仿宋_GBK"/>
          <w:spacing w:val="-3"/>
          <w:sz w:val="23"/>
          <w:szCs w:val="23"/>
          <w:highlight w:val="none"/>
          <w:lang w:eastAsia="zh-CN"/>
        </w:rPr>
        <w:t>投标人单位的社保缴费凭证及个人明细表，新成立不足三个月的企业提供成立至今的缴纳社会保障金的证明材料</w:t>
      </w:r>
      <w:r>
        <w:rPr>
          <w:rFonts w:hint="eastAsia" w:ascii="方正仿宋_GBK" w:hAnsi="方正仿宋_GBK" w:eastAsia="方正仿宋_GBK" w:cs="方正仿宋_GBK"/>
          <w:spacing w:val="-3"/>
          <w:sz w:val="23"/>
          <w:szCs w:val="23"/>
          <w:highlight w:val="none"/>
        </w:rPr>
        <w:t>）；</w:t>
      </w:r>
    </w:p>
    <w:p w14:paraId="67B4CFA6">
      <w:pPr>
        <w:spacing w:before="96" w:line="237" w:lineRule="auto"/>
        <w:ind w:left="7"/>
        <w:rPr>
          <w:rFonts w:hint="eastAsia" w:ascii="方正仿宋_GBK" w:hAnsi="方正仿宋_GBK" w:eastAsia="方正仿宋_GBK" w:cs="方正仿宋_GBK"/>
          <w:spacing w:val="-3"/>
          <w:sz w:val="23"/>
          <w:szCs w:val="23"/>
          <w:highlight w:val="none"/>
          <w:lang w:eastAsia="zh-CN"/>
        </w:rPr>
      </w:pPr>
      <w:r>
        <w:rPr>
          <w:rFonts w:ascii="方正仿宋_GBK" w:hAnsi="方正仿宋_GBK" w:eastAsia="方正仿宋_GBK" w:cs="方正仿宋_GBK"/>
          <w:spacing w:val="-3"/>
          <w:sz w:val="23"/>
          <w:szCs w:val="23"/>
          <w:highlight w:val="none"/>
        </w:rPr>
        <w:t>5、</w:t>
      </w:r>
      <w:r>
        <w:rPr>
          <w:rFonts w:hint="eastAsia" w:ascii="方正仿宋_GBK" w:hAnsi="方正仿宋_GBK" w:eastAsia="方正仿宋_GBK" w:cs="方正仿宋_GBK"/>
          <w:spacing w:val="-3"/>
          <w:sz w:val="23"/>
          <w:szCs w:val="23"/>
          <w:highlight w:val="none"/>
          <w:lang w:eastAsia="zh-CN"/>
        </w:rPr>
        <w:t>提供依法缴纳近6个月任意</w:t>
      </w:r>
      <w:r>
        <w:rPr>
          <w:rFonts w:hint="eastAsia" w:ascii="方正仿宋_GBK" w:hAnsi="方正仿宋_GBK" w:eastAsia="方正仿宋_GBK" w:cs="方正仿宋_GBK"/>
          <w:spacing w:val="-3"/>
          <w:sz w:val="23"/>
          <w:szCs w:val="23"/>
          <w:highlight w:val="none"/>
          <w:lang w:val="en-US" w:eastAsia="zh-CN"/>
        </w:rPr>
        <w:t>3</w:t>
      </w:r>
      <w:r>
        <w:rPr>
          <w:rFonts w:hint="eastAsia" w:ascii="方正仿宋_GBK" w:hAnsi="方正仿宋_GBK" w:eastAsia="方正仿宋_GBK" w:cs="方正仿宋_GBK"/>
          <w:spacing w:val="-3"/>
          <w:sz w:val="23"/>
          <w:szCs w:val="23"/>
          <w:highlight w:val="none"/>
          <w:lang w:eastAsia="zh-CN"/>
        </w:rPr>
        <w:t>个月税收证明（税务部门出具的完税凭证或缴税证明或银行出具的“银行电子缴税付款凭证”）；注：①若为零申报企业，需提供无欠税证明或国家税务总局电子税务局“申报结果查询截图”。②“税种”非社会保险；</w:t>
      </w:r>
    </w:p>
    <w:p w14:paraId="54A98E77">
      <w:pPr>
        <w:spacing w:before="96" w:line="237" w:lineRule="auto"/>
        <w:ind w:left="7"/>
        <w:rPr>
          <w:rFonts w:hint="eastAsia" w:ascii="方正仿宋_GBK" w:hAnsi="方正仿宋_GBK" w:eastAsia="方正仿宋_GBK" w:cs="方正仿宋_GBK"/>
          <w:spacing w:val="-3"/>
          <w:sz w:val="23"/>
          <w:szCs w:val="23"/>
          <w:highlight w:val="none"/>
          <w:lang w:eastAsia="zh-CN"/>
        </w:rPr>
      </w:pPr>
      <w:r>
        <w:rPr>
          <w:rFonts w:ascii="方正仿宋_GBK" w:hAnsi="方正仿宋_GBK" w:eastAsia="方正仿宋_GBK" w:cs="方正仿宋_GBK"/>
          <w:spacing w:val="-3"/>
          <w:sz w:val="23"/>
          <w:szCs w:val="23"/>
          <w:highlight w:val="none"/>
        </w:rPr>
        <w:t>6、</w:t>
      </w:r>
      <w:r>
        <w:rPr>
          <w:rFonts w:hint="eastAsia" w:ascii="方正仿宋_GBK" w:hAnsi="方正仿宋_GBK" w:eastAsia="方正仿宋_GBK" w:cs="方正仿宋_GBK"/>
          <w:spacing w:val="-3"/>
          <w:sz w:val="23"/>
          <w:szCs w:val="23"/>
          <w:highlight w:val="none"/>
          <w:lang w:eastAsia="zh-CN"/>
        </w:rPr>
        <w:t>具有良好的商业信誉和健全的财务会计制度的证明材料（2023年度财务审计报告或2024年度财务审计报告，新成立公司提供银行资信证明复印件加盖投标单位公章）；</w:t>
      </w:r>
    </w:p>
    <w:p w14:paraId="7592880C">
      <w:pPr>
        <w:spacing w:before="96" w:line="237" w:lineRule="auto"/>
        <w:ind w:left="7"/>
        <w:rPr>
          <w:rFonts w:ascii="方正仿宋_GBK" w:hAnsi="方正仿宋_GBK" w:eastAsia="方正仿宋_GBK" w:cs="方正仿宋_GBK"/>
          <w:spacing w:val="-3"/>
          <w:sz w:val="23"/>
          <w:szCs w:val="23"/>
          <w:highlight w:val="none"/>
        </w:rPr>
      </w:pPr>
      <w:r>
        <w:rPr>
          <w:rFonts w:ascii="方正仿宋_GBK" w:hAnsi="方正仿宋_GBK" w:eastAsia="方正仿宋_GBK" w:cs="方正仿宋_GBK"/>
          <w:spacing w:val="-3"/>
          <w:sz w:val="23"/>
          <w:szCs w:val="23"/>
          <w:highlight w:val="none"/>
        </w:rPr>
        <w:t>7、参加政府采购活动前3年内，在经营活动中无重大违法声明；</w:t>
      </w:r>
    </w:p>
    <w:p w14:paraId="5CBBF047">
      <w:pPr>
        <w:spacing w:before="96" w:line="237" w:lineRule="auto"/>
        <w:ind w:left="7"/>
        <w:rPr>
          <w:rFonts w:ascii="方正仿宋_GBK" w:hAnsi="方正仿宋_GBK" w:eastAsia="方正仿宋_GBK" w:cs="方正仿宋_GBK"/>
          <w:spacing w:val="-3"/>
          <w:sz w:val="23"/>
          <w:szCs w:val="23"/>
          <w:highlight w:val="none"/>
        </w:rPr>
      </w:pPr>
      <w:r>
        <w:rPr>
          <w:rFonts w:ascii="方正仿宋_GBK" w:hAnsi="方正仿宋_GBK" w:eastAsia="方正仿宋_GBK" w:cs="方正仿宋_GBK"/>
          <w:spacing w:val="-3"/>
          <w:sz w:val="23"/>
          <w:szCs w:val="23"/>
          <w:highlight w:val="none"/>
        </w:rPr>
        <w:t>8、投标人提供针对本项目的《反商业贿赂承诺书》；</w:t>
      </w:r>
    </w:p>
    <w:p w14:paraId="7B0B574C">
      <w:pPr>
        <w:spacing w:before="96" w:line="237" w:lineRule="auto"/>
        <w:ind w:left="7"/>
        <w:rPr>
          <w:rFonts w:ascii="方正仿宋_GBK" w:hAnsi="方正仿宋_GBK" w:eastAsia="方正仿宋_GBK" w:cs="方正仿宋_GBK"/>
          <w:spacing w:val="-3"/>
          <w:sz w:val="23"/>
          <w:szCs w:val="23"/>
          <w:highlight w:val="none"/>
        </w:rPr>
      </w:pPr>
      <w:r>
        <w:rPr>
          <w:rFonts w:ascii="方正仿宋_GBK" w:hAnsi="方正仿宋_GBK" w:eastAsia="方正仿宋_GBK" w:cs="方正仿宋_GBK"/>
          <w:spacing w:val="-3"/>
          <w:sz w:val="23"/>
          <w:szCs w:val="23"/>
          <w:highlight w:val="none"/>
        </w:rPr>
        <w:t>9、提供在“信用中国”网站</w:t>
      </w:r>
      <w:r>
        <w:rPr>
          <w:rFonts w:ascii="方正仿宋_GBK" w:hAnsi="方正仿宋_GBK" w:eastAsia="方正仿宋_GBK" w:cs="方正仿宋_GBK"/>
          <w:spacing w:val="-3"/>
          <w:sz w:val="23"/>
          <w:szCs w:val="23"/>
          <w:highlight w:val="none"/>
        </w:rPr>
        <w:fldChar w:fldCharType="begin"/>
      </w:r>
      <w:r>
        <w:rPr>
          <w:rFonts w:ascii="方正仿宋_GBK" w:hAnsi="方正仿宋_GBK" w:eastAsia="方正仿宋_GBK" w:cs="方正仿宋_GBK"/>
          <w:spacing w:val="-3"/>
          <w:sz w:val="23"/>
          <w:szCs w:val="23"/>
          <w:highlight w:val="none"/>
        </w:rPr>
        <w:instrText xml:space="preserve"> HYPERLINK "http://www.credi" </w:instrText>
      </w:r>
      <w:r>
        <w:rPr>
          <w:rFonts w:ascii="方正仿宋_GBK" w:hAnsi="方正仿宋_GBK" w:eastAsia="方正仿宋_GBK" w:cs="方正仿宋_GBK"/>
          <w:spacing w:val="-3"/>
          <w:sz w:val="23"/>
          <w:szCs w:val="23"/>
          <w:highlight w:val="none"/>
        </w:rPr>
        <w:fldChar w:fldCharType="separate"/>
      </w:r>
      <w:r>
        <w:rPr>
          <w:rFonts w:ascii="方正仿宋_GBK" w:hAnsi="方正仿宋_GBK" w:eastAsia="方正仿宋_GBK" w:cs="方正仿宋_GBK"/>
          <w:spacing w:val="-3"/>
          <w:sz w:val="23"/>
          <w:szCs w:val="23"/>
          <w:highlight w:val="none"/>
        </w:rPr>
        <w:t>（http://www.credi</w:t>
      </w:r>
      <w:r>
        <w:rPr>
          <w:rFonts w:ascii="方正仿宋_GBK" w:hAnsi="方正仿宋_GBK" w:eastAsia="方正仿宋_GBK" w:cs="方正仿宋_GBK"/>
          <w:spacing w:val="-3"/>
          <w:sz w:val="23"/>
          <w:szCs w:val="23"/>
          <w:highlight w:val="none"/>
        </w:rPr>
        <w:fldChar w:fldCharType="end"/>
      </w:r>
      <w:r>
        <w:rPr>
          <w:rFonts w:ascii="方正仿宋_GBK" w:hAnsi="方正仿宋_GBK" w:eastAsia="方正仿宋_GBK" w:cs="方正仿宋_GBK"/>
          <w:spacing w:val="-3"/>
          <w:sz w:val="23"/>
          <w:szCs w:val="23"/>
          <w:highlight w:val="none"/>
        </w:rPr>
        <w:t>tchina.gov.cn）、网站上查询未列入失信被执行人、重大税收违法失信主体、中国政府采购网（</w:t>
      </w:r>
      <w:r>
        <w:rPr>
          <w:rFonts w:ascii="方正仿宋_GBK" w:hAnsi="方正仿宋_GBK" w:eastAsia="方正仿宋_GBK" w:cs="方正仿宋_GBK"/>
          <w:spacing w:val="-3"/>
          <w:sz w:val="23"/>
          <w:szCs w:val="23"/>
          <w:highlight w:val="none"/>
        </w:rPr>
        <w:fldChar w:fldCharType="begin"/>
      </w:r>
      <w:r>
        <w:rPr>
          <w:rFonts w:ascii="方正仿宋_GBK" w:hAnsi="方正仿宋_GBK" w:eastAsia="方正仿宋_GBK" w:cs="方正仿宋_GBK"/>
          <w:spacing w:val="-3"/>
          <w:sz w:val="23"/>
          <w:szCs w:val="23"/>
          <w:highlight w:val="none"/>
        </w:rPr>
        <w:instrText xml:space="preserve"> HYPERLINK "http://www.ccgp.gov.cn" </w:instrText>
      </w:r>
      <w:r>
        <w:rPr>
          <w:rFonts w:ascii="方正仿宋_GBK" w:hAnsi="方正仿宋_GBK" w:eastAsia="方正仿宋_GBK" w:cs="方正仿宋_GBK"/>
          <w:spacing w:val="-3"/>
          <w:sz w:val="23"/>
          <w:szCs w:val="23"/>
          <w:highlight w:val="none"/>
        </w:rPr>
        <w:fldChar w:fldCharType="separate"/>
      </w:r>
      <w:r>
        <w:rPr>
          <w:rFonts w:ascii="方正仿宋_GBK" w:hAnsi="方正仿宋_GBK" w:eastAsia="方正仿宋_GBK" w:cs="方正仿宋_GBK"/>
          <w:spacing w:val="-3"/>
          <w:sz w:val="23"/>
          <w:szCs w:val="23"/>
          <w:highlight w:val="none"/>
        </w:rPr>
        <w:t>http://www.ccgp.gov.cn</w:t>
      </w:r>
      <w:r>
        <w:rPr>
          <w:rFonts w:ascii="方正仿宋_GBK" w:hAnsi="方正仿宋_GBK" w:eastAsia="方正仿宋_GBK" w:cs="方正仿宋_GBK"/>
          <w:spacing w:val="-3"/>
          <w:sz w:val="23"/>
          <w:szCs w:val="23"/>
          <w:highlight w:val="none"/>
        </w:rPr>
        <w:fldChar w:fldCharType="end"/>
      </w:r>
      <w:r>
        <w:rPr>
          <w:rFonts w:hint="eastAsia" w:ascii="方正仿宋_GBK" w:hAnsi="方正仿宋_GBK" w:eastAsia="方正仿宋_GBK" w:cs="方正仿宋_GBK"/>
          <w:spacing w:val="-3"/>
          <w:sz w:val="23"/>
          <w:szCs w:val="23"/>
          <w:highlight w:val="none"/>
          <w:lang w:eastAsia="zh-CN"/>
        </w:rPr>
        <w:t>）</w:t>
      </w:r>
      <w:r>
        <w:rPr>
          <w:rFonts w:ascii="方正仿宋_GBK" w:hAnsi="方正仿宋_GBK" w:eastAsia="方正仿宋_GBK" w:cs="方正仿宋_GBK"/>
          <w:spacing w:val="-3"/>
          <w:sz w:val="23"/>
          <w:szCs w:val="23"/>
          <w:highlight w:val="none"/>
        </w:rPr>
        <w:t>网站上查询政府采购严重违法失信行为记录名单（财库[2016]125号）；国家企业信用信息公示系统</w:t>
      </w:r>
      <w:r>
        <w:rPr>
          <w:rFonts w:ascii="方正仿宋_GBK" w:hAnsi="方正仿宋_GBK" w:eastAsia="方正仿宋_GBK" w:cs="方正仿宋_GBK"/>
          <w:spacing w:val="-3"/>
          <w:sz w:val="23"/>
          <w:szCs w:val="23"/>
          <w:highlight w:val="none"/>
        </w:rPr>
        <w:fldChar w:fldCharType="begin"/>
      </w:r>
      <w:r>
        <w:rPr>
          <w:rFonts w:ascii="方正仿宋_GBK" w:hAnsi="方正仿宋_GBK" w:eastAsia="方正仿宋_GBK" w:cs="方正仿宋_GBK"/>
          <w:spacing w:val="-3"/>
          <w:sz w:val="23"/>
          <w:szCs w:val="23"/>
          <w:highlight w:val="none"/>
        </w:rPr>
        <w:instrText xml:space="preserve"> HYPERLINK "http://www.gsxt.gov.cn" </w:instrText>
      </w:r>
      <w:r>
        <w:rPr>
          <w:rFonts w:ascii="方正仿宋_GBK" w:hAnsi="方正仿宋_GBK" w:eastAsia="方正仿宋_GBK" w:cs="方正仿宋_GBK"/>
          <w:spacing w:val="-3"/>
          <w:sz w:val="23"/>
          <w:szCs w:val="23"/>
          <w:highlight w:val="none"/>
        </w:rPr>
        <w:fldChar w:fldCharType="separate"/>
      </w:r>
      <w:r>
        <w:rPr>
          <w:rFonts w:ascii="方正仿宋_GBK" w:hAnsi="方正仿宋_GBK" w:eastAsia="方正仿宋_GBK" w:cs="方正仿宋_GBK"/>
          <w:spacing w:val="-3"/>
          <w:sz w:val="23"/>
          <w:szCs w:val="23"/>
          <w:highlight w:val="none"/>
        </w:rPr>
        <w:t>(http://www.gsxt.gov.cn</w:t>
      </w:r>
      <w:r>
        <w:rPr>
          <w:rFonts w:ascii="方正仿宋_GBK" w:hAnsi="方正仿宋_GBK" w:eastAsia="方正仿宋_GBK" w:cs="方正仿宋_GBK"/>
          <w:spacing w:val="-3"/>
          <w:sz w:val="23"/>
          <w:szCs w:val="23"/>
          <w:highlight w:val="none"/>
        </w:rPr>
        <w:fldChar w:fldCharType="end"/>
      </w:r>
      <w:r>
        <w:rPr>
          <w:rFonts w:ascii="方正仿宋_GBK" w:hAnsi="方正仿宋_GBK" w:eastAsia="方正仿宋_GBK" w:cs="方正仿宋_GBK"/>
          <w:spacing w:val="-3"/>
          <w:sz w:val="23"/>
          <w:szCs w:val="23"/>
          <w:highlight w:val="none"/>
        </w:rPr>
        <w:t>)查询投标人的信用记录，投标人有重大违法记录（尚在处罚期内）的将被认定为投标无效；需提供相关网站打印件（加盖响应单位公章、必须为完整版）提供截图日期需在本项目发布磋商公告日期之后；</w:t>
      </w:r>
    </w:p>
    <w:p w14:paraId="75A636FE">
      <w:pPr>
        <w:spacing w:before="96" w:line="237" w:lineRule="auto"/>
        <w:ind w:left="7"/>
        <w:rPr>
          <w:rFonts w:hint="default" w:eastAsia="方正仿宋_GBK"/>
          <w:highlight w:val="none"/>
          <w:lang w:val="en-US" w:eastAsia="zh-CN"/>
        </w:rPr>
      </w:pPr>
      <w:r>
        <w:rPr>
          <w:rFonts w:hint="eastAsia" w:ascii="方正仿宋_GBK" w:hAnsi="方正仿宋_GBK" w:eastAsia="方正仿宋_GBK" w:cs="方正仿宋_GBK"/>
          <w:spacing w:val="-3"/>
          <w:sz w:val="23"/>
          <w:szCs w:val="23"/>
          <w:highlight w:val="none"/>
          <w:lang w:val="en-US" w:eastAsia="zh-CN"/>
        </w:rPr>
        <w:t>10、</w:t>
      </w:r>
      <w:r>
        <w:rPr>
          <w:rFonts w:ascii="方正仿宋_GBK" w:hAnsi="方正仿宋_GBK" w:eastAsia="方正仿宋_GBK" w:cs="方正仿宋_GBK"/>
          <w:spacing w:val="-3"/>
          <w:sz w:val="23"/>
          <w:szCs w:val="23"/>
          <w:highlight w:val="none"/>
        </w:rPr>
        <w:t>缴纳投标保证金（电汇或转账）凭证或保函扫描件；</w:t>
      </w:r>
    </w:p>
    <w:p w14:paraId="7FCE402F">
      <w:pPr>
        <w:spacing w:before="96" w:line="237" w:lineRule="auto"/>
        <w:ind w:left="7"/>
        <w:rPr>
          <w:rFonts w:hint="eastAsia" w:ascii="方正仿宋_GBK" w:hAnsi="方正仿宋_GBK" w:eastAsia="方正仿宋_GBK" w:cs="方正仿宋_GBK"/>
          <w:spacing w:val="-3"/>
          <w:sz w:val="23"/>
          <w:szCs w:val="23"/>
          <w:highlight w:val="none"/>
          <w:lang w:val="en-US" w:eastAsia="zh-CN"/>
        </w:rPr>
      </w:pPr>
      <w:r>
        <w:rPr>
          <w:rFonts w:hint="eastAsia" w:ascii="方正仿宋_GBK" w:hAnsi="方正仿宋_GBK" w:eastAsia="方正仿宋_GBK" w:cs="方正仿宋_GBK"/>
          <w:spacing w:val="-3"/>
          <w:sz w:val="23"/>
          <w:szCs w:val="23"/>
          <w:highlight w:val="none"/>
          <w:lang w:val="en-US" w:eastAsia="zh-CN"/>
        </w:rPr>
        <w:t>11、具有省级部门认定的农民培训资格或者具有主管部门颁发的办学许可证。</w:t>
      </w:r>
    </w:p>
    <w:p w14:paraId="43B81A33">
      <w:pPr>
        <w:spacing w:before="96" w:line="237" w:lineRule="auto"/>
        <w:ind w:left="7"/>
        <w:rPr>
          <w:rFonts w:hint="eastAsia" w:ascii="方正仿宋_GBK" w:hAnsi="方正仿宋_GBK" w:eastAsia="方正仿宋_GBK" w:cs="方正仿宋_GBK"/>
          <w:spacing w:val="-3"/>
          <w:sz w:val="23"/>
          <w:szCs w:val="23"/>
          <w:highlight w:val="none"/>
          <w:lang w:eastAsia="zh-CN"/>
        </w:rPr>
      </w:pPr>
      <w:r>
        <w:rPr>
          <w:rFonts w:hint="eastAsia" w:ascii="方正仿宋_GBK" w:hAnsi="方正仿宋_GBK" w:eastAsia="方正仿宋_GBK" w:cs="方正仿宋_GBK"/>
          <w:spacing w:val="-3"/>
          <w:sz w:val="23"/>
          <w:szCs w:val="23"/>
          <w:highlight w:val="none"/>
          <w:lang w:val="en-US" w:eastAsia="zh-CN"/>
        </w:rPr>
        <w:t>12、</w:t>
      </w:r>
      <w:r>
        <w:rPr>
          <w:rFonts w:ascii="方正仿宋_GBK" w:hAnsi="方正仿宋_GBK" w:eastAsia="方正仿宋_GBK" w:cs="方正仿宋_GBK"/>
          <w:spacing w:val="-3"/>
          <w:sz w:val="23"/>
          <w:szCs w:val="23"/>
          <w:highlight w:val="none"/>
        </w:rPr>
        <w:t>供应商须知资料表要求的其他资格证明文件</w:t>
      </w:r>
      <w:r>
        <w:rPr>
          <w:rFonts w:hint="eastAsia" w:ascii="方正仿宋_GBK" w:hAnsi="方正仿宋_GBK" w:eastAsia="方正仿宋_GBK" w:cs="方正仿宋_GBK"/>
          <w:spacing w:val="-3"/>
          <w:sz w:val="23"/>
          <w:szCs w:val="23"/>
          <w:highlight w:val="none"/>
          <w:lang w:eastAsia="zh-CN"/>
        </w:rPr>
        <w:t>；</w:t>
      </w:r>
    </w:p>
    <w:p w14:paraId="0E934FCB">
      <w:pPr>
        <w:pStyle w:val="7"/>
        <w:spacing w:line="284" w:lineRule="auto"/>
        <w:rPr>
          <w:highlight w:val="none"/>
        </w:rPr>
      </w:pPr>
    </w:p>
    <w:p w14:paraId="26A54646">
      <w:pPr>
        <w:pStyle w:val="7"/>
        <w:spacing w:line="284" w:lineRule="auto"/>
        <w:rPr>
          <w:highlight w:val="none"/>
        </w:rPr>
      </w:pPr>
    </w:p>
    <w:p w14:paraId="050EDD94">
      <w:pPr>
        <w:rPr>
          <w:highlight w:val="none"/>
        </w:rPr>
      </w:pPr>
    </w:p>
    <w:p w14:paraId="26E42E30">
      <w:pPr>
        <w:pStyle w:val="23"/>
        <w:rPr>
          <w:highlight w:val="none"/>
        </w:rPr>
      </w:pPr>
    </w:p>
    <w:p w14:paraId="469476E4">
      <w:pPr>
        <w:rPr>
          <w:highlight w:val="none"/>
        </w:rPr>
      </w:pPr>
    </w:p>
    <w:p w14:paraId="566D5556">
      <w:pPr>
        <w:pStyle w:val="23"/>
        <w:rPr>
          <w:highlight w:val="none"/>
        </w:rPr>
      </w:pPr>
    </w:p>
    <w:p w14:paraId="1621EA9C">
      <w:pPr>
        <w:rPr>
          <w:highlight w:val="none"/>
        </w:rPr>
      </w:pPr>
    </w:p>
    <w:p w14:paraId="5C475F15">
      <w:pPr>
        <w:pStyle w:val="23"/>
        <w:rPr>
          <w:highlight w:val="none"/>
        </w:rPr>
      </w:pPr>
    </w:p>
    <w:p w14:paraId="2875F4F3">
      <w:pPr>
        <w:rPr>
          <w:highlight w:val="none"/>
        </w:rPr>
      </w:pPr>
    </w:p>
    <w:p w14:paraId="43753ED4">
      <w:pPr>
        <w:pStyle w:val="23"/>
        <w:rPr>
          <w:highlight w:val="none"/>
        </w:rPr>
      </w:pPr>
    </w:p>
    <w:p w14:paraId="1A6C7191">
      <w:pPr>
        <w:rPr>
          <w:highlight w:val="none"/>
        </w:rPr>
      </w:pPr>
    </w:p>
    <w:p w14:paraId="529195E1">
      <w:pPr>
        <w:pStyle w:val="23"/>
        <w:rPr>
          <w:highlight w:val="none"/>
        </w:rPr>
      </w:pPr>
    </w:p>
    <w:p w14:paraId="035502BF">
      <w:pPr>
        <w:rPr>
          <w:highlight w:val="none"/>
        </w:rPr>
      </w:pPr>
    </w:p>
    <w:p w14:paraId="165BD70C">
      <w:pPr>
        <w:pStyle w:val="23"/>
        <w:rPr>
          <w:highlight w:val="none"/>
        </w:rPr>
      </w:pPr>
    </w:p>
    <w:p w14:paraId="774C2DD0">
      <w:pPr>
        <w:rPr>
          <w:highlight w:val="none"/>
        </w:rPr>
      </w:pPr>
    </w:p>
    <w:p w14:paraId="24D99A96">
      <w:pPr>
        <w:pStyle w:val="23"/>
        <w:rPr>
          <w:highlight w:val="none"/>
        </w:rPr>
      </w:pPr>
    </w:p>
    <w:p w14:paraId="65A4BB4A">
      <w:pPr>
        <w:rPr>
          <w:highlight w:val="none"/>
        </w:rPr>
      </w:pPr>
    </w:p>
    <w:p w14:paraId="635229EA">
      <w:pPr>
        <w:pStyle w:val="7"/>
        <w:spacing w:line="284" w:lineRule="auto"/>
        <w:rPr>
          <w:highlight w:val="none"/>
        </w:rPr>
      </w:pPr>
    </w:p>
    <w:p w14:paraId="1CF05213">
      <w:pPr>
        <w:pStyle w:val="7"/>
        <w:spacing w:line="284" w:lineRule="auto"/>
        <w:rPr>
          <w:highlight w:val="none"/>
        </w:rPr>
      </w:pPr>
    </w:p>
    <w:p w14:paraId="02D8F299">
      <w:pPr>
        <w:pStyle w:val="7"/>
        <w:spacing w:before="91" w:line="223" w:lineRule="auto"/>
        <w:ind w:left="2315"/>
        <w:outlineLvl w:val="1"/>
        <w:rPr>
          <w:sz w:val="28"/>
          <w:szCs w:val="28"/>
          <w:highlight w:val="none"/>
        </w:rPr>
      </w:pPr>
      <w:r>
        <w:rPr>
          <w:b/>
          <w:bCs/>
          <w:spacing w:val="-6"/>
          <w:sz w:val="28"/>
          <w:szCs w:val="28"/>
          <w:highlight w:val="none"/>
        </w:rPr>
        <w:t>1、开标一览表（投标文件格式一）</w:t>
      </w:r>
    </w:p>
    <w:p w14:paraId="6FF43C74">
      <w:pPr>
        <w:spacing w:before="184" w:line="232" w:lineRule="auto"/>
        <w:ind w:left="3976"/>
        <w:rPr>
          <w:rFonts w:ascii="方正仿宋_GBK" w:hAnsi="方正仿宋_GBK" w:eastAsia="方正仿宋_GBK" w:cs="方正仿宋_GBK"/>
          <w:sz w:val="28"/>
          <w:szCs w:val="28"/>
          <w:highlight w:val="none"/>
        </w:rPr>
      </w:pPr>
      <w:r>
        <w:rPr>
          <w:rFonts w:ascii="方正仿宋_GBK" w:hAnsi="方正仿宋_GBK" w:eastAsia="方正仿宋_GBK" w:cs="方正仿宋_GBK"/>
          <w:b/>
          <w:bCs/>
          <w:spacing w:val="-7"/>
          <w:sz w:val="28"/>
          <w:szCs w:val="28"/>
          <w:highlight w:val="none"/>
        </w:rPr>
        <w:t>开标一览表</w:t>
      </w:r>
    </w:p>
    <w:p w14:paraId="7DAC2383">
      <w:pPr>
        <w:pStyle w:val="7"/>
        <w:spacing w:line="307" w:lineRule="auto"/>
        <w:rPr>
          <w:highlight w:val="none"/>
        </w:rPr>
      </w:pPr>
    </w:p>
    <w:p w14:paraId="549039CA">
      <w:pPr>
        <w:pStyle w:val="4"/>
        <w:spacing w:before="0" w:line="240" w:lineRule="atLeast"/>
        <w:ind w:left="1080" w:leftChars="257" w:hanging="540"/>
        <w:rPr>
          <w:rFonts w:hint="eastAsia" w:ascii="宋体" w:hAnsi="宋体" w:eastAsia="宋体" w:cs="宋体"/>
          <w:sz w:val="28"/>
          <w:szCs w:val="28"/>
          <w:highlight w:val="none"/>
        </w:rPr>
      </w:pPr>
      <w:bookmarkStart w:id="74" w:name="_Toc11332"/>
      <w:r>
        <w:rPr>
          <w:rFonts w:hint="eastAsia" w:ascii="宋体" w:hAnsi="宋体" w:eastAsia="宋体" w:cs="宋体"/>
          <w:sz w:val="28"/>
          <w:szCs w:val="28"/>
          <w:highlight w:val="none"/>
        </w:rPr>
        <w:t>开标一览表</w:t>
      </w:r>
      <w:bookmarkEnd w:id="74"/>
    </w:p>
    <w:p w14:paraId="1AF50548">
      <w:pPr>
        <w:tabs>
          <w:tab w:val="left" w:pos="1800"/>
          <w:tab w:val="left" w:pos="5580"/>
        </w:tabs>
        <w:spacing w:line="240" w:lineRule="atLeast"/>
        <w:ind w:left="1080" w:leftChars="257" w:right="-867" w:rightChars="-413" w:hanging="540"/>
        <w:rPr>
          <w:rFonts w:hint="eastAsia" w:ascii="方正仿宋_GBK" w:hAnsi="方正仿宋_GBK" w:eastAsia="方正仿宋_GBK" w:cs="方正仿宋_GBK"/>
          <w:spacing w:val="-3"/>
          <w:sz w:val="28"/>
          <w:szCs w:val="28"/>
          <w:highlight w:val="none"/>
          <w:lang w:eastAsia="zh-CN"/>
        </w:rPr>
      </w:pPr>
      <w:bookmarkStart w:id="75" w:name="_Hlt520356241"/>
      <w:bookmarkEnd w:id="75"/>
      <w:r>
        <w:rPr>
          <w:rFonts w:hint="eastAsia" w:ascii="宋体" w:hAnsi="宋体" w:eastAsia="宋体" w:cs="宋体"/>
          <w:sz w:val="28"/>
          <w:szCs w:val="28"/>
          <w:highlight w:val="none"/>
        </w:rPr>
        <w:t>项目名称：</w:t>
      </w:r>
      <w:r>
        <w:rPr>
          <w:rFonts w:hint="eastAsia" w:ascii="方正仿宋_GBK" w:hAnsi="方正仿宋_GBK" w:eastAsia="方正仿宋_GBK" w:cs="方正仿宋_GBK"/>
          <w:spacing w:val="-3"/>
          <w:sz w:val="28"/>
          <w:szCs w:val="28"/>
          <w:highlight w:val="none"/>
          <w:lang w:eastAsia="zh-CN"/>
        </w:rPr>
        <w:t>英吉沙县2024年农民培训项目（二次）</w:t>
      </w:r>
    </w:p>
    <w:p w14:paraId="0CB8BB9D">
      <w:pPr>
        <w:tabs>
          <w:tab w:val="left" w:pos="1800"/>
          <w:tab w:val="left" w:pos="5580"/>
        </w:tabs>
        <w:spacing w:line="240" w:lineRule="atLeast"/>
        <w:ind w:left="1080" w:leftChars="257" w:right="-867" w:rightChars="-413" w:hanging="54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eastAsia="zh-CN"/>
        </w:rPr>
        <w:t>项目编号</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p>
    <w:p w14:paraId="42E367AB">
      <w:pPr>
        <w:tabs>
          <w:tab w:val="left" w:pos="1800"/>
          <w:tab w:val="left" w:pos="5580"/>
        </w:tabs>
        <w:spacing w:line="240" w:lineRule="atLeast"/>
        <w:ind w:left="1080" w:leftChars="257" w:right="-867" w:rightChars="-413" w:hanging="54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报价单位：</w:t>
      </w:r>
      <w:r>
        <w:rPr>
          <w:rFonts w:hint="eastAsia" w:ascii="宋体" w:hAnsi="宋体" w:eastAsia="宋体" w:cs="宋体"/>
          <w:sz w:val="28"/>
          <w:szCs w:val="28"/>
          <w:highlight w:val="none"/>
          <w:lang w:val="en-US" w:eastAsia="zh-CN"/>
        </w:rPr>
        <w:t>人次               标项号：</w:t>
      </w:r>
    </w:p>
    <w:tbl>
      <w:tblPr>
        <w:tblStyle w:val="20"/>
        <w:tblW w:w="9671" w:type="dxa"/>
        <w:tblInd w:w="-61" w:type="dxa"/>
        <w:tblLayout w:type="fixed"/>
        <w:tblCellMar>
          <w:top w:w="0" w:type="dxa"/>
          <w:left w:w="0" w:type="dxa"/>
          <w:bottom w:w="0" w:type="dxa"/>
          <w:right w:w="0" w:type="dxa"/>
        </w:tblCellMar>
      </w:tblPr>
      <w:tblGrid>
        <w:gridCol w:w="3859"/>
        <w:gridCol w:w="5812"/>
      </w:tblGrid>
      <w:tr w14:paraId="518A2679">
        <w:tblPrEx>
          <w:tblCellMar>
            <w:top w:w="0" w:type="dxa"/>
            <w:left w:w="0" w:type="dxa"/>
            <w:bottom w:w="0" w:type="dxa"/>
            <w:right w:w="0" w:type="dxa"/>
          </w:tblCellMar>
        </w:tblPrEx>
        <w:trPr>
          <w:trHeight w:val="594" w:hRule="atLeast"/>
        </w:trPr>
        <w:tc>
          <w:tcPr>
            <w:tcW w:w="3859" w:type="dxa"/>
            <w:tcBorders>
              <w:top w:val="single" w:color="auto" w:sz="4" w:space="0"/>
              <w:left w:val="single" w:color="auto" w:sz="4" w:space="0"/>
              <w:bottom w:val="single" w:color="auto" w:sz="8" w:space="0"/>
              <w:right w:val="single" w:color="auto" w:sz="4" w:space="0"/>
            </w:tcBorders>
            <w:noWrap w:val="0"/>
            <w:vAlign w:val="center"/>
          </w:tcPr>
          <w:p w14:paraId="7160A488">
            <w:pPr>
              <w:tabs>
                <w:tab w:val="left" w:pos="5580"/>
              </w:tabs>
              <w:spacing w:line="240" w:lineRule="atLeast"/>
              <w:ind w:right="-199"/>
              <w:jc w:val="center"/>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eastAsia="zh-CN"/>
              </w:rPr>
              <w:t>项目</w:t>
            </w:r>
            <w:r>
              <w:rPr>
                <w:rFonts w:hint="eastAsia" w:ascii="宋体" w:hAnsi="宋体" w:eastAsia="宋体" w:cs="宋体"/>
                <w:sz w:val="28"/>
                <w:szCs w:val="28"/>
                <w:highlight w:val="none"/>
              </w:rPr>
              <w:t>名称</w:t>
            </w:r>
          </w:p>
        </w:tc>
        <w:tc>
          <w:tcPr>
            <w:tcW w:w="5812" w:type="dxa"/>
            <w:tcBorders>
              <w:top w:val="single" w:color="auto" w:sz="4" w:space="0"/>
              <w:left w:val="single" w:color="auto" w:sz="8" w:space="0"/>
              <w:bottom w:val="single" w:color="auto" w:sz="8" w:space="0"/>
              <w:right w:val="single" w:color="auto" w:sz="4" w:space="0"/>
            </w:tcBorders>
            <w:noWrap w:val="0"/>
            <w:vAlign w:val="center"/>
          </w:tcPr>
          <w:p w14:paraId="5995D7E2">
            <w:pPr>
              <w:tabs>
                <w:tab w:val="left" w:pos="5580"/>
              </w:tabs>
              <w:spacing w:line="240" w:lineRule="atLeast"/>
              <w:jc w:val="center"/>
              <w:rPr>
                <w:rFonts w:hint="eastAsia" w:ascii="宋体" w:hAnsi="宋体" w:eastAsia="宋体" w:cs="宋体"/>
                <w:sz w:val="28"/>
                <w:szCs w:val="28"/>
                <w:highlight w:val="none"/>
              </w:rPr>
            </w:pPr>
          </w:p>
        </w:tc>
      </w:tr>
      <w:tr w14:paraId="3EE74F19">
        <w:tblPrEx>
          <w:tblCellMar>
            <w:top w:w="0" w:type="dxa"/>
            <w:left w:w="0" w:type="dxa"/>
            <w:bottom w:w="0" w:type="dxa"/>
            <w:right w:w="0" w:type="dxa"/>
          </w:tblCellMar>
        </w:tblPrEx>
        <w:trPr>
          <w:cantSplit/>
          <w:trHeight w:val="1621" w:hRule="atLeast"/>
        </w:trPr>
        <w:tc>
          <w:tcPr>
            <w:tcW w:w="3859" w:type="dxa"/>
            <w:tcBorders>
              <w:top w:val="single" w:color="auto" w:sz="8" w:space="0"/>
              <w:left w:val="single" w:color="auto" w:sz="4" w:space="0"/>
              <w:bottom w:val="single" w:color="auto" w:sz="8" w:space="0"/>
              <w:right w:val="single" w:color="auto" w:sz="4" w:space="0"/>
            </w:tcBorders>
            <w:noWrap w:val="0"/>
            <w:vAlign w:val="center"/>
          </w:tcPr>
          <w:p w14:paraId="564327B3">
            <w:pPr>
              <w:tabs>
                <w:tab w:val="left" w:pos="5580"/>
              </w:tabs>
              <w:spacing w:line="240" w:lineRule="atLeas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投标总报价</w:t>
            </w:r>
          </w:p>
        </w:tc>
        <w:tc>
          <w:tcPr>
            <w:tcW w:w="5812" w:type="dxa"/>
            <w:tcBorders>
              <w:top w:val="single" w:color="auto" w:sz="8" w:space="0"/>
              <w:left w:val="single" w:color="auto" w:sz="8" w:space="0"/>
              <w:bottom w:val="single" w:color="auto" w:sz="8" w:space="0"/>
              <w:right w:val="single" w:color="auto" w:sz="4" w:space="0"/>
            </w:tcBorders>
            <w:noWrap w:val="0"/>
            <w:vAlign w:val="center"/>
          </w:tcPr>
          <w:p w14:paraId="5E2C8AF8">
            <w:pPr>
              <w:tabs>
                <w:tab w:val="left" w:pos="5580"/>
              </w:tabs>
              <w:spacing w:line="240" w:lineRule="atLeast"/>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大写：</w:t>
            </w:r>
          </w:p>
          <w:p w14:paraId="09B0832E">
            <w:pPr>
              <w:pStyle w:val="2"/>
              <w:rPr>
                <w:rFonts w:hint="eastAsia"/>
                <w:highlight w:val="none"/>
              </w:rPr>
            </w:pPr>
          </w:p>
          <w:p w14:paraId="3D9F9D35">
            <w:pPr>
              <w:tabs>
                <w:tab w:val="left" w:pos="5580"/>
              </w:tabs>
              <w:spacing w:line="240" w:lineRule="atLeast"/>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小写：</w:t>
            </w:r>
          </w:p>
        </w:tc>
      </w:tr>
      <w:tr w14:paraId="78E22AC0">
        <w:tblPrEx>
          <w:tblCellMar>
            <w:top w:w="0" w:type="dxa"/>
            <w:left w:w="0" w:type="dxa"/>
            <w:bottom w:w="0" w:type="dxa"/>
            <w:right w:w="0" w:type="dxa"/>
          </w:tblCellMar>
        </w:tblPrEx>
        <w:trPr>
          <w:cantSplit/>
          <w:trHeight w:val="795" w:hRule="atLeast"/>
        </w:trPr>
        <w:tc>
          <w:tcPr>
            <w:tcW w:w="3859" w:type="dxa"/>
            <w:tcBorders>
              <w:top w:val="single" w:color="auto" w:sz="8" w:space="0"/>
              <w:left w:val="single" w:color="auto" w:sz="4" w:space="0"/>
              <w:bottom w:val="single" w:color="auto" w:sz="8" w:space="0"/>
              <w:right w:val="single" w:color="auto" w:sz="4" w:space="0"/>
            </w:tcBorders>
            <w:noWrap w:val="0"/>
            <w:vAlign w:val="center"/>
          </w:tcPr>
          <w:p w14:paraId="1672B216">
            <w:pPr>
              <w:tabs>
                <w:tab w:val="left" w:pos="5580"/>
              </w:tabs>
              <w:spacing w:line="240" w:lineRule="atLeast"/>
              <w:jc w:val="center"/>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最大培训人次</w:t>
            </w:r>
          </w:p>
        </w:tc>
        <w:tc>
          <w:tcPr>
            <w:tcW w:w="5812" w:type="dxa"/>
            <w:tcBorders>
              <w:top w:val="single" w:color="auto" w:sz="8" w:space="0"/>
              <w:left w:val="single" w:color="auto" w:sz="8" w:space="0"/>
              <w:bottom w:val="single" w:color="auto" w:sz="8" w:space="0"/>
              <w:right w:val="single" w:color="auto" w:sz="4" w:space="0"/>
            </w:tcBorders>
            <w:noWrap w:val="0"/>
            <w:vAlign w:val="center"/>
          </w:tcPr>
          <w:p w14:paraId="4CCC5AD5">
            <w:pPr>
              <w:tabs>
                <w:tab w:val="left" w:pos="5580"/>
              </w:tabs>
              <w:spacing w:line="240" w:lineRule="atLeast"/>
              <w:jc w:val="left"/>
              <w:rPr>
                <w:rFonts w:hint="eastAsia" w:ascii="宋体" w:hAnsi="宋体" w:eastAsia="宋体" w:cs="宋体"/>
                <w:sz w:val="28"/>
                <w:szCs w:val="28"/>
                <w:highlight w:val="none"/>
              </w:rPr>
            </w:pPr>
          </w:p>
        </w:tc>
      </w:tr>
      <w:tr w14:paraId="754CB29E">
        <w:tblPrEx>
          <w:tblCellMar>
            <w:top w:w="0" w:type="dxa"/>
            <w:left w:w="0" w:type="dxa"/>
            <w:bottom w:w="0" w:type="dxa"/>
            <w:right w:w="0" w:type="dxa"/>
          </w:tblCellMar>
        </w:tblPrEx>
        <w:trPr>
          <w:cantSplit/>
          <w:trHeight w:val="834" w:hRule="atLeast"/>
        </w:trPr>
        <w:tc>
          <w:tcPr>
            <w:tcW w:w="3859" w:type="dxa"/>
            <w:tcBorders>
              <w:top w:val="single" w:color="auto" w:sz="8" w:space="0"/>
              <w:left w:val="single" w:color="auto" w:sz="4" w:space="0"/>
              <w:bottom w:val="single" w:color="auto" w:sz="4" w:space="0"/>
              <w:right w:val="single" w:color="auto" w:sz="4" w:space="0"/>
            </w:tcBorders>
            <w:noWrap w:val="0"/>
            <w:vAlign w:val="center"/>
          </w:tcPr>
          <w:p w14:paraId="5CEA3845">
            <w:pPr>
              <w:tabs>
                <w:tab w:val="left" w:pos="5580"/>
              </w:tabs>
              <w:spacing w:line="240" w:lineRule="atLeast"/>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备注</w:t>
            </w:r>
          </w:p>
        </w:tc>
        <w:tc>
          <w:tcPr>
            <w:tcW w:w="5812" w:type="dxa"/>
            <w:tcBorders>
              <w:top w:val="single" w:color="auto" w:sz="8" w:space="0"/>
              <w:left w:val="single" w:color="auto" w:sz="8" w:space="0"/>
              <w:bottom w:val="single" w:color="auto" w:sz="4" w:space="0"/>
              <w:right w:val="single" w:color="auto" w:sz="4" w:space="0"/>
            </w:tcBorders>
            <w:noWrap w:val="0"/>
            <w:vAlign w:val="center"/>
          </w:tcPr>
          <w:p w14:paraId="48C91565">
            <w:pPr>
              <w:tabs>
                <w:tab w:val="left" w:pos="5580"/>
              </w:tabs>
              <w:spacing w:line="240" w:lineRule="atLeast"/>
              <w:jc w:val="left"/>
              <w:rPr>
                <w:rFonts w:hint="eastAsia" w:ascii="宋体" w:hAnsi="宋体" w:eastAsia="宋体" w:cs="宋体"/>
                <w:sz w:val="28"/>
                <w:szCs w:val="28"/>
                <w:highlight w:val="none"/>
              </w:rPr>
            </w:pPr>
          </w:p>
        </w:tc>
      </w:tr>
    </w:tbl>
    <w:p w14:paraId="29479AA5">
      <w:pPr>
        <w:pStyle w:val="10"/>
        <w:tabs>
          <w:tab w:val="left" w:pos="5580"/>
        </w:tabs>
        <w:spacing w:line="240" w:lineRule="atLeast"/>
        <w:ind w:left="1080" w:leftChars="257" w:hanging="540"/>
        <w:rPr>
          <w:rFonts w:hint="eastAsia" w:ascii="宋体" w:hAnsi="宋体" w:eastAsia="宋体" w:cs="宋体"/>
          <w:sz w:val="28"/>
          <w:szCs w:val="28"/>
          <w:highlight w:val="none"/>
        </w:rPr>
      </w:pPr>
    </w:p>
    <w:p w14:paraId="1E019E91">
      <w:pPr>
        <w:pStyle w:val="10"/>
        <w:tabs>
          <w:tab w:val="left" w:pos="5580"/>
        </w:tabs>
        <w:spacing w:line="240" w:lineRule="atLeast"/>
        <w:ind w:left="1080" w:leftChars="257" w:hanging="54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投标人名称（单位盖章）：</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p>
    <w:p w14:paraId="370ED7A2">
      <w:pPr>
        <w:pStyle w:val="10"/>
        <w:tabs>
          <w:tab w:val="left" w:pos="5580"/>
        </w:tabs>
        <w:spacing w:line="240" w:lineRule="atLeast"/>
        <w:ind w:left="1080" w:leftChars="257" w:hanging="540"/>
        <w:rPr>
          <w:rFonts w:hint="eastAsia" w:ascii="宋体" w:hAnsi="宋体" w:eastAsia="宋体" w:cs="宋体"/>
          <w:sz w:val="28"/>
          <w:szCs w:val="28"/>
          <w:highlight w:val="none"/>
        </w:rPr>
      </w:pPr>
    </w:p>
    <w:p w14:paraId="7C31D33C">
      <w:pPr>
        <w:pStyle w:val="10"/>
        <w:tabs>
          <w:tab w:val="left" w:pos="5580"/>
        </w:tabs>
        <w:spacing w:line="240" w:lineRule="atLeast"/>
        <w:ind w:left="1080" w:leftChars="257" w:hanging="54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法定代表人或委托代理(签字或盖章):</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p>
    <w:p w14:paraId="42E06D61">
      <w:pPr>
        <w:pStyle w:val="10"/>
        <w:tabs>
          <w:tab w:val="left" w:pos="5580"/>
        </w:tabs>
        <w:spacing w:line="240" w:lineRule="atLeast"/>
        <w:rPr>
          <w:rFonts w:hint="eastAsia" w:ascii="宋体" w:hAnsi="宋体" w:eastAsia="宋体" w:cs="宋体"/>
          <w:sz w:val="28"/>
          <w:szCs w:val="28"/>
          <w:highlight w:val="none"/>
        </w:rPr>
      </w:pPr>
    </w:p>
    <w:p w14:paraId="1BD9FCDE">
      <w:pPr>
        <w:pStyle w:val="10"/>
        <w:tabs>
          <w:tab w:val="left" w:pos="5580"/>
        </w:tabs>
        <w:spacing w:line="240" w:lineRule="atLeast"/>
        <w:rPr>
          <w:rFonts w:hint="eastAsia" w:ascii="宋体" w:hAnsi="宋体" w:eastAsia="宋体" w:cs="宋体"/>
          <w:b/>
          <w:bCs/>
          <w:sz w:val="28"/>
          <w:szCs w:val="28"/>
          <w:highlight w:val="none"/>
          <w:lang w:val="en-US" w:eastAsia="zh-CN"/>
        </w:rPr>
      </w:pPr>
      <w:r>
        <w:rPr>
          <w:rFonts w:hint="eastAsia" w:ascii="宋体" w:hAnsi="宋体" w:eastAsia="宋体" w:cs="宋体"/>
          <w:sz w:val="28"/>
          <w:szCs w:val="28"/>
          <w:highlight w:val="none"/>
        </w:rPr>
        <w:t>注:</w:t>
      </w:r>
      <w:r>
        <w:rPr>
          <w:rFonts w:hint="eastAsia" w:ascii="宋体" w:hAnsi="宋体" w:eastAsia="宋体" w:cs="宋体"/>
          <w:sz w:val="28"/>
          <w:szCs w:val="28"/>
          <w:highlight w:val="none"/>
          <w:lang w:val="en-US" w:eastAsia="zh-CN"/>
        </w:rPr>
        <w:t xml:space="preserve"> 1、</w:t>
      </w:r>
      <w:r>
        <w:rPr>
          <w:rFonts w:hint="eastAsia" w:ascii="宋体" w:hAnsi="宋体" w:eastAsia="宋体" w:cs="宋体"/>
          <w:b/>
          <w:bCs/>
          <w:sz w:val="28"/>
          <w:szCs w:val="28"/>
          <w:highlight w:val="none"/>
          <w:lang w:val="en-US" w:eastAsia="zh-CN"/>
        </w:rPr>
        <w:t>报价时总价不变，</w:t>
      </w:r>
      <w:r>
        <w:rPr>
          <w:rFonts w:hint="eastAsia" w:hAnsi="宋体" w:eastAsia="宋体" w:cs="宋体"/>
          <w:b/>
          <w:bCs/>
          <w:sz w:val="28"/>
          <w:szCs w:val="28"/>
          <w:highlight w:val="none"/>
          <w:lang w:val="en-US" w:eastAsia="zh-CN"/>
        </w:rPr>
        <w:t>报价得分以培训人次计算（供应商依据自身情况填报最多人数）</w:t>
      </w:r>
      <w:r>
        <w:rPr>
          <w:rFonts w:hint="eastAsia" w:ascii="宋体" w:hAnsi="宋体" w:eastAsia="宋体" w:cs="宋体"/>
          <w:b/>
          <w:bCs/>
          <w:sz w:val="28"/>
          <w:szCs w:val="28"/>
          <w:highlight w:val="none"/>
          <w:lang w:val="en-US" w:eastAsia="zh-CN"/>
        </w:rPr>
        <w:t>。</w:t>
      </w:r>
    </w:p>
    <w:p w14:paraId="30E79258">
      <w:pPr>
        <w:pStyle w:val="10"/>
        <w:spacing w:line="240" w:lineRule="atLeast"/>
        <w:ind w:firstLine="560" w:firstLineChars="20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2、如投标</w:t>
      </w:r>
      <w:r>
        <w:rPr>
          <w:rFonts w:hint="eastAsia" w:hAnsi="宋体" w:eastAsia="宋体" w:cs="宋体"/>
          <w:sz w:val="28"/>
          <w:szCs w:val="28"/>
          <w:highlight w:val="none"/>
          <w:lang w:val="en-US" w:eastAsia="zh-CN"/>
        </w:rPr>
        <w:t>文件中培训人次少于项目需求</w:t>
      </w:r>
      <w:r>
        <w:rPr>
          <w:rFonts w:hint="eastAsia" w:ascii="宋体" w:hAnsi="宋体" w:eastAsia="宋体" w:cs="宋体"/>
          <w:sz w:val="28"/>
          <w:szCs w:val="28"/>
          <w:highlight w:val="none"/>
          <w:lang w:val="en-US" w:eastAsia="zh-CN"/>
        </w:rPr>
        <w:t>，其投标无效，不能进入下一阶段评审。</w:t>
      </w:r>
    </w:p>
    <w:p w14:paraId="23A718BE">
      <w:pPr>
        <w:pStyle w:val="10"/>
        <w:tabs>
          <w:tab w:val="left" w:pos="5580"/>
        </w:tabs>
        <w:spacing w:line="240" w:lineRule="atLeas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3、投标总价包含：税金、培训费、人工、住宿、车费、招标代理服务费等所发生的全部费用。</w:t>
      </w:r>
    </w:p>
    <w:p w14:paraId="1B774059">
      <w:pPr>
        <w:rPr>
          <w:highlight w:val="none"/>
        </w:rPr>
      </w:pPr>
      <w:r>
        <w:rPr>
          <w:highlight w:val="none"/>
        </w:rPr>
        <w:br w:type="page"/>
      </w:r>
    </w:p>
    <w:p w14:paraId="1DE11C0D">
      <w:pPr>
        <w:rPr>
          <w:highlight w:val="none"/>
        </w:rPr>
      </w:pPr>
    </w:p>
    <w:p w14:paraId="268E5DD4">
      <w:pPr>
        <w:pStyle w:val="7"/>
        <w:spacing w:line="248" w:lineRule="auto"/>
        <w:rPr>
          <w:highlight w:val="none"/>
        </w:rPr>
      </w:pPr>
    </w:p>
    <w:p w14:paraId="1914936B">
      <w:pPr>
        <w:spacing w:before="187" w:line="239" w:lineRule="auto"/>
        <w:rPr>
          <w:rFonts w:ascii="方正仿宋_GBK" w:hAnsi="方正仿宋_GBK" w:eastAsia="方正仿宋_GBK" w:cs="方正仿宋_GBK"/>
          <w:sz w:val="23"/>
          <w:szCs w:val="23"/>
          <w:highlight w:val="none"/>
        </w:rPr>
      </w:pPr>
      <w:r>
        <w:rPr>
          <w:rFonts w:hint="eastAsia" w:ascii="方正仿宋_GBK" w:hAnsi="方正仿宋_GBK" w:eastAsia="方正仿宋_GBK" w:cs="方正仿宋_GBK"/>
          <w:b/>
          <w:bCs/>
          <w:spacing w:val="7"/>
          <w:sz w:val="23"/>
          <w:szCs w:val="23"/>
          <w:highlight w:val="none"/>
          <w:lang w:eastAsia="zh-CN"/>
        </w:rPr>
        <w:t>2法人或者非法人组织的营业执照等证明文件复印件（须加盖本单位章）或自然人的身份证明复印件；</w:t>
      </w:r>
    </w:p>
    <w:p w14:paraId="0CFB6069">
      <w:pPr>
        <w:spacing w:before="205" w:line="238" w:lineRule="auto"/>
        <w:ind w:left="555"/>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9"/>
          <w:sz w:val="23"/>
          <w:szCs w:val="23"/>
          <w:highlight w:val="none"/>
        </w:rPr>
        <w:t>说明：</w:t>
      </w:r>
      <w:r>
        <w:rPr>
          <w:rFonts w:hint="eastAsia" w:ascii="方正仿宋_GBK" w:hAnsi="方正仿宋_GBK" w:eastAsia="方正仿宋_GBK" w:cs="方正仿宋_GBK"/>
          <w:spacing w:val="9"/>
          <w:sz w:val="23"/>
          <w:szCs w:val="23"/>
          <w:highlight w:val="none"/>
          <w:lang w:val="en-US" w:eastAsia="zh-CN"/>
        </w:rPr>
        <w:t>1.</w:t>
      </w:r>
      <w:r>
        <w:rPr>
          <w:rFonts w:ascii="方正仿宋_GBK" w:hAnsi="方正仿宋_GBK" w:eastAsia="方正仿宋_GBK" w:cs="方正仿宋_GBK"/>
          <w:spacing w:val="9"/>
          <w:sz w:val="23"/>
          <w:szCs w:val="23"/>
          <w:highlight w:val="none"/>
        </w:rPr>
        <w:t>提供有效的营业执照等证明文件复印</w:t>
      </w:r>
      <w:r>
        <w:rPr>
          <w:rFonts w:ascii="方正仿宋_GBK" w:hAnsi="方正仿宋_GBK" w:eastAsia="方正仿宋_GBK" w:cs="方正仿宋_GBK"/>
          <w:spacing w:val="8"/>
          <w:sz w:val="23"/>
          <w:szCs w:val="23"/>
          <w:highlight w:val="none"/>
        </w:rPr>
        <w:t>件，复印件上应加盖本单位章。</w:t>
      </w:r>
    </w:p>
    <w:p w14:paraId="459CC953">
      <w:pPr>
        <w:pStyle w:val="23"/>
        <w:ind w:firstLine="1240" w:firstLineChars="500"/>
        <w:rPr>
          <w:rFonts w:ascii="方正仿宋_GBK" w:hAnsi="方正仿宋_GBK" w:eastAsia="方正仿宋_GBK" w:cs="方正仿宋_GBK"/>
          <w:snapToGrid w:val="0"/>
          <w:color w:val="000000"/>
          <w:spacing w:val="9"/>
          <w:kern w:val="0"/>
          <w:sz w:val="23"/>
          <w:szCs w:val="23"/>
          <w:highlight w:val="none"/>
          <w:lang w:val="en-US" w:eastAsia="en-US" w:bidi="ar-SA"/>
        </w:rPr>
      </w:pPr>
      <w:r>
        <w:rPr>
          <w:rFonts w:ascii="方正仿宋_GBK" w:hAnsi="方正仿宋_GBK" w:eastAsia="方正仿宋_GBK" w:cs="方正仿宋_GBK"/>
          <w:snapToGrid w:val="0"/>
          <w:color w:val="000000"/>
          <w:spacing w:val="9"/>
          <w:kern w:val="0"/>
          <w:sz w:val="23"/>
          <w:szCs w:val="23"/>
          <w:highlight w:val="none"/>
          <w:lang w:val="en-US" w:eastAsia="en-US" w:bidi="ar-SA"/>
        </w:rPr>
        <w:t>2.供应商为自然人的，应提供身份证明的原件扫描件。</w:t>
      </w:r>
    </w:p>
    <w:p w14:paraId="46E0D65A">
      <w:pPr>
        <w:pStyle w:val="23"/>
        <w:ind w:firstLine="1240" w:firstLineChars="500"/>
        <w:rPr>
          <w:rFonts w:ascii="方正仿宋_GBK" w:hAnsi="方正仿宋_GBK" w:eastAsia="方正仿宋_GBK" w:cs="方正仿宋_GBK"/>
          <w:snapToGrid w:val="0"/>
          <w:color w:val="000000"/>
          <w:spacing w:val="9"/>
          <w:kern w:val="0"/>
          <w:sz w:val="23"/>
          <w:szCs w:val="23"/>
          <w:highlight w:val="none"/>
          <w:lang w:val="en-US" w:eastAsia="en-US" w:bidi="ar-SA"/>
        </w:rPr>
        <w:sectPr>
          <w:footerReference r:id="rId13" w:type="default"/>
          <w:pgSz w:w="11906" w:h="16838"/>
          <w:pgMar w:top="400" w:right="1186" w:bottom="1033" w:left="1382" w:header="0" w:footer="857" w:gutter="0"/>
          <w:pgNumType w:fmt="decimal"/>
          <w:cols w:space="720" w:num="1"/>
        </w:sectPr>
      </w:pPr>
      <w:r>
        <w:rPr>
          <w:rFonts w:ascii="方正仿宋_GBK" w:hAnsi="方正仿宋_GBK" w:eastAsia="方正仿宋_GBK" w:cs="方正仿宋_GBK"/>
          <w:snapToGrid w:val="0"/>
          <w:color w:val="000000"/>
          <w:spacing w:val="9"/>
          <w:kern w:val="0"/>
          <w:sz w:val="23"/>
          <w:szCs w:val="23"/>
          <w:highlight w:val="none"/>
          <w:lang w:val="en-US" w:eastAsia="en-US" w:bidi="ar-SA"/>
        </w:rPr>
        <w:t>3.联合体投标应提供联合体各方满足以上要求的证明文件。</w:t>
      </w:r>
    </w:p>
    <w:p w14:paraId="174E281C">
      <w:pPr>
        <w:pStyle w:val="7"/>
        <w:spacing w:line="243" w:lineRule="auto"/>
        <w:rPr>
          <w:highlight w:val="none"/>
        </w:rPr>
      </w:pPr>
    </w:p>
    <w:p w14:paraId="788CBBB7">
      <w:pPr>
        <w:pStyle w:val="7"/>
        <w:spacing w:line="243" w:lineRule="auto"/>
        <w:rPr>
          <w:highlight w:val="none"/>
        </w:rPr>
      </w:pPr>
    </w:p>
    <w:p w14:paraId="4C64CB80">
      <w:pPr>
        <w:pStyle w:val="7"/>
        <w:spacing w:line="243" w:lineRule="auto"/>
        <w:rPr>
          <w:highlight w:val="none"/>
        </w:rPr>
      </w:pPr>
    </w:p>
    <w:p w14:paraId="19FAF7B5">
      <w:pPr>
        <w:pStyle w:val="7"/>
        <w:spacing w:line="243" w:lineRule="auto"/>
        <w:rPr>
          <w:highlight w:val="none"/>
        </w:rPr>
      </w:pPr>
    </w:p>
    <w:p w14:paraId="35D94B74">
      <w:pPr>
        <w:pStyle w:val="7"/>
        <w:spacing w:line="243" w:lineRule="auto"/>
        <w:rPr>
          <w:highlight w:val="none"/>
        </w:rPr>
      </w:pPr>
    </w:p>
    <w:p w14:paraId="25A5FD40">
      <w:pPr>
        <w:pStyle w:val="7"/>
        <w:spacing w:line="243" w:lineRule="auto"/>
        <w:rPr>
          <w:highlight w:val="none"/>
        </w:rPr>
      </w:pPr>
    </w:p>
    <w:p w14:paraId="716495D9">
      <w:pPr>
        <w:pStyle w:val="7"/>
        <w:spacing w:line="243" w:lineRule="auto"/>
        <w:rPr>
          <w:highlight w:val="none"/>
        </w:rPr>
      </w:pPr>
    </w:p>
    <w:p w14:paraId="4F74A589">
      <w:pPr>
        <w:pStyle w:val="7"/>
        <w:spacing w:line="244" w:lineRule="auto"/>
        <w:rPr>
          <w:highlight w:val="none"/>
        </w:rPr>
      </w:pPr>
    </w:p>
    <w:p w14:paraId="3AA0541E">
      <w:pPr>
        <w:spacing w:line="240" w:lineRule="auto"/>
        <w:ind w:left="0"/>
        <w:jc w:val="center"/>
        <w:rPr>
          <w:rFonts w:ascii="仿宋" w:hAnsi="仿宋" w:eastAsia="仿宋" w:cs="仿宋"/>
          <w:sz w:val="23"/>
          <w:szCs w:val="23"/>
          <w:highlight w:val="none"/>
        </w:rPr>
      </w:pPr>
      <w:r>
        <w:rPr>
          <w:rFonts w:ascii="仿宋" w:hAnsi="仿宋" w:eastAsia="仿宋" w:cs="仿宋"/>
          <w:b/>
          <w:bCs/>
          <w:spacing w:val="6"/>
          <w:sz w:val="23"/>
          <w:szCs w:val="23"/>
          <w:highlight w:val="none"/>
        </w:rPr>
        <w:t>3</w:t>
      </w:r>
      <w:r>
        <w:rPr>
          <w:rFonts w:hint="eastAsia" w:ascii="仿宋" w:hAnsi="仿宋" w:eastAsia="仿宋" w:cs="仿宋"/>
          <w:b/>
          <w:bCs/>
          <w:spacing w:val="6"/>
          <w:sz w:val="23"/>
          <w:szCs w:val="23"/>
          <w:highlight w:val="none"/>
          <w:lang w:eastAsia="zh-CN"/>
        </w:rPr>
        <w:t>法定代表人身份证明或法定代表人授权委托书</w:t>
      </w:r>
      <w:r>
        <w:rPr>
          <w:rFonts w:ascii="仿宋" w:hAnsi="仿宋" w:eastAsia="仿宋" w:cs="仿宋"/>
          <w:b/>
          <w:bCs/>
          <w:spacing w:val="6"/>
          <w:sz w:val="23"/>
          <w:szCs w:val="23"/>
          <w:highlight w:val="none"/>
        </w:rPr>
        <w:t>（</w:t>
      </w:r>
      <w:r>
        <w:rPr>
          <w:rFonts w:hint="eastAsia" w:ascii="仿宋" w:hAnsi="仿宋" w:eastAsia="仿宋" w:cs="仿宋"/>
          <w:b/>
          <w:bCs/>
          <w:spacing w:val="6"/>
          <w:sz w:val="23"/>
          <w:szCs w:val="23"/>
          <w:highlight w:val="none"/>
          <w:lang w:eastAsia="zh-CN"/>
        </w:rPr>
        <w:t>投标文件</w:t>
      </w:r>
      <w:r>
        <w:rPr>
          <w:rFonts w:ascii="仿宋" w:hAnsi="仿宋" w:eastAsia="仿宋" w:cs="仿宋"/>
          <w:b/>
          <w:bCs/>
          <w:spacing w:val="6"/>
          <w:sz w:val="23"/>
          <w:szCs w:val="23"/>
          <w:highlight w:val="none"/>
        </w:rPr>
        <w:t>格式二）</w:t>
      </w:r>
    </w:p>
    <w:p w14:paraId="47D39D75">
      <w:pPr>
        <w:pStyle w:val="7"/>
        <w:spacing w:line="244" w:lineRule="auto"/>
        <w:rPr>
          <w:highlight w:val="none"/>
        </w:rPr>
      </w:pPr>
    </w:p>
    <w:p w14:paraId="017FF1F6">
      <w:pPr>
        <w:pStyle w:val="7"/>
        <w:spacing w:line="244" w:lineRule="auto"/>
        <w:rPr>
          <w:highlight w:val="none"/>
        </w:rPr>
      </w:pPr>
    </w:p>
    <w:p w14:paraId="5808EA12">
      <w:pPr>
        <w:pStyle w:val="10"/>
        <w:tabs>
          <w:tab w:val="left" w:pos="5580"/>
        </w:tabs>
        <w:spacing w:line="240" w:lineRule="atLeast"/>
        <w:jc w:val="center"/>
        <w:outlineLvl w:val="1"/>
        <w:rPr>
          <w:rFonts w:hint="eastAsia" w:ascii="宋体" w:hAnsi="宋体" w:eastAsia="宋体" w:cs="宋体"/>
          <w:b/>
          <w:bCs/>
          <w:color w:val="auto"/>
          <w:sz w:val="28"/>
          <w:szCs w:val="28"/>
          <w:highlight w:val="none"/>
        </w:rPr>
      </w:pPr>
      <w:bookmarkStart w:id="76" w:name="_Toc31138"/>
      <w:bookmarkStart w:id="77" w:name="_Toc983"/>
      <w:bookmarkStart w:id="78" w:name="_Toc16088"/>
      <w:bookmarkStart w:id="79" w:name="_Toc29204"/>
      <w:r>
        <w:rPr>
          <w:rFonts w:hint="eastAsia" w:ascii="宋体" w:hAnsi="宋体" w:eastAsia="宋体" w:cs="宋体"/>
          <w:b/>
          <w:bCs/>
          <w:color w:val="auto"/>
          <w:sz w:val="28"/>
          <w:szCs w:val="28"/>
          <w:highlight w:val="none"/>
        </w:rPr>
        <w:t>法定代表人身份证明</w:t>
      </w:r>
      <w:bookmarkEnd w:id="76"/>
      <w:bookmarkEnd w:id="77"/>
      <w:bookmarkEnd w:id="78"/>
      <w:bookmarkEnd w:id="79"/>
    </w:p>
    <w:p w14:paraId="4A4C69C6">
      <w:pPr>
        <w:pStyle w:val="10"/>
        <w:tabs>
          <w:tab w:val="left" w:pos="5580"/>
        </w:tabs>
        <w:spacing w:line="240" w:lineRule="atLeast"/>
        <w:jc w:val="center"/>
        <w:outlineLvl w:val="1"/>
        <w:rPr>
          <w:rFonts w:hint="eastAsia" w:ascii="宋体" w:hAnsi="宋体" w:eastAsia="宋体" w:cs="宋体"/>
          <w:b/>
          <w:bCs/>
          <w:color w:val="auto"/>
          <w:sz w:val="28"/>
          <w:szCs w:val="28"/>
          <w:highlight w:val="none"/>
        </w:rPr>
      </w:pPr>
      <w:bookmarkStart w:id="80" w:name="_Toc19910"/>
      <w:bookmarkStart w:id="81" w:name="_Toc14508"/>
      <w:bookmarkStart w:id="82" w:name="_Toc13054"/>
      <w:bookmarkStart w:id="83" w:name="_Toc5183"/>
      <w:r>
        <w:rPr>
          <w:rFonts w:hint="eastAsia" w:ascii="宋体" w:hAnsi="宋体" w:eastAsia="宋体" w:cs="宋体"/>
          <w:b/>
          <w:bCs/>
          <w:color w:val="auto"/>
          <w:sz w:val="28"/>
          <w:szCs w:val="28"/>
          <w:highlight w:val="none"/>
        </w:rPr>
        <w:t>(法定代表人参与投标时提供)</w:t>
      </w:r>
      <w:bookmarkEnd w:id="80"/>
      <w:bookmarkEnd w:id="81"/>
      <w:bookmarkEnd w:id="82"/>
      <w:bookmarkEnd w:id="83"/>
    </w:p>
    <w:p w14:paraId="15823A27">
      <w:pPr>
        <w:spacing w:line="360" w:lineRule="auto"/>
        <w:rPr>
          <w:rFonts w:hint="eastAsia" w:ascii="宋体" w:hAnsi="宋体" w:eastAsia="宋体" w:cs="宋体"/>
          <w:color w:val="auto"/>
          <w:sz w:val="22"/>
          <w:szCs w:val="22"/>
          <w:highlight w:val="none"/>
          <w:lang w:eastAsia="zh-CN"/>
        </w:rPr>
      </w:pPr>
    </w:p>
    <w:p w14:paraId="062E4F40">
      <w:pPr>
        <w:spacing w:line="360" w:lineRule="auto"/>
        <w:ind w:firstLine="230" w:firstLineChars="100"/>
        <w:rPr>
          <w:rFonts w:hint="eastAsia" w:ascii="宋体" w:hAnsi="宋体" w:eastAsia="宋体" w:cs="宋体"/>
          <w:color w:val="auto"/>
          <w:kern w:val="2"/>
          <w:sz w:val="24"/>
          <w:szCs w:val="24"/>
          <w:highlight w:val="none"/>
          <w:lang w:val="en-US" w:eastAsia="zh-CN" w:bidi="ar-SA"/>
        </w:rPr>
      </w:pPr>
      <w:r>
        <w:rPr>
          <w:rFonts w:ascii="仿宋" w:hAnsi="仿宋" w:eastAsia="仿宋" w:cs="仿宋"/>
          <w:sz w:val="23"/>
          <w:szCs w:val="23"/>
          <w:highlight w:val="none"/>
          <w:u w:val="single" w:color="auto"/>
        </w:rPr>
        <w:tab/>
      </w:r>
      <w:r>
        <w:rPr>
          <w:rFonts w:hint="eastAsia" w:ascii="宋体" w:hAnsi="宋体" w:eastAsia="宋体" w:cs="宋体"/>
          <w:color w:val="auto"/>
          <w:kern w:val="2"/>
          <w:sz w:val="24"/>
          <w:szCs w:val="24"/>
          <w:highlight w:val="none"/>
          <w:lang w:val="en-US" w:eastAsia="zh-CN" w:bidi="ar-SA"/>
        </w:rPr>
        <w:t>同志，现任我单位</w:t>
      </w:r>
      <w:r>
        <w:rPr>
          <w:rFonts w:ascii="仿宋" w:hAnsi="仿宋" w:eastAsia="仿宋" w:cs="仿宋"/>
          <w:sz w:val="23"/>
          <w:szCs w:val="23"/>
          <w:highlight w:val="none"/>
          <w:u w:val="single" w:color="auto"/>
        </w:rPr>
        <w:tab/>
      </w:r>
      <w:r>
        <w:rPr>
          <w:rFonts w:hint="eastAsia" w:ascii="宋体" w:hAnsi="宋体" w:eastAsia="宋体" w:cs="宋体"/>
          <w:color w:val="auto"/>
          <w:kern w:val="2"/>
          <w:sz w:val="24"/>
          <w:szCs w:val="24"/>
          <w:highlight w:val="none"/>
          <w:lang w:val="en-US" w:eastAsia="zh-CN" w:bidi="ar-SA"/>
        </w:rPr>
        <w:t>职务，为法定代表人，特此证明。</w:t>
      </w:r>
    </w:p>
    <w:p w14:paraId="7233C952">
      <w:pPr>
        <w:spacing w:line="360" w:lineRule="auto"/>
        <w:ind w:firstLine="240" w:firstLineChars="100"/>
        <w:rPr>
          <w:rFonts w:hint="eastAsia" w:ascii="仿宋" w:hAnsi="仿宋" w:eastAsia="仿宋" w:cs="仿宋"/>
          <w:sz w:val="23"/>
          <w:szCs w:val="23"/>
          <w:highlight w:val="none"/>
          <w:u w:val="single" w:color="auto"/>
          <w:lang w:val="en-US" w:eastAsia="zh-CN"/>
        </w:rPr>
      </w:pPr>
      <w:r>
        <w:rPr>
          <w:rFonts w:hint="eastAsia" w:ascii="宋体" w:hAnsi="宋体" w:eastAsia="宋体" w:cs="宋体"/>
          <w:color w:val="auto"/>
          <w:kern w:val="2"/>
          <w:sz w:val="24"/>
          <w:szCs w:val="24"/>
          <w:highlight w:val="none"/>
          <w:lang w:val="en-US" w:eastAsia="zh-CN" w:bidi="ar-SA"/>
        </w:rPr>
        <w:t>签发日期：</w:t>
      </w:r>
      <w:r>
        <w:rPr>
          <w:rFonts w:ascii="仿宋" w:hAnsi="仿宋" w:eastAsia="仿宋" w:cs="仿宋"/>
          <w:sz w:val="23"/>
          <w:szCs w:val="23"/>
          <w:highlight w:val="none"/>
          <w:u w:val="single" w:color="auto"/>
        </w:rPr>
        <w:tab/>
      </w:r>
      <w:r>
        <w:rPr>
          <w:rFonts w:hint="eastAsia" w:ascii="宋体" w:hAnsi="宋体" w:eastAsia="宋体" w:cs="宋体"/>
          <w:color w:val="auto"/>
          <w:kern w:val="2"/>
          <w:sz w:val="24"/>
          <w:szCs w:val="24"/>
          <w:highlight w:val="none"/>
          <w:lang w:val="en-US" w:eastAsia="zh-CN" w:bidi="ar-SA"/>
        </w:rPr>
        <w:t>单位：</w:t>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p>
    <w:p w14:paraId="1ED3F2FF">
      <w:pPr>
        <w:spacing w:line="360" w:lineRule="auto"/>
        <w:ind w:firstLine="240" w:firstLineChars="100"/>
        <w:rPr>
          <w:rFonts w:hint="eastAsia" w:ascii="仿宋" w:hAnsi="仿宋" w:eastAsia="仿宋" w:cs="仿宋"/>
          <w:sz w:val="23"/>
          <w:szCs w:val="23"/>
          <w:highlight w:val="none"/>
          <w:u w:val="single" w:color="auto"/>
          <w:lang w:val="en-US" w:eastAsia="zh-CN"/>
        </w:rPr>
      </w:pPr>
      <w:r>
        <w:rPr>
          <w:rFonts w:hint="eastAsia" w:ascii="宋体" w:hAnsi="宋体" w:eastAsia="宋体" w:cs="宋体"/>
          <w:color w:val="auto"/>
          <w:kern w:val="2"/>
          <w:sz w:val="24"/>
          <w:szCs w:val="24"/>
          <w:highlight w:val="none"/>
          <w:lang w:val="en-US" w:eastAsia="zh-CN" w:bidi="ar-SA"/>
        </w:rPr>
        <w:t>附：代表人性别：</w:t>
      </w:r>
      <w:r>
        <w:rPr>
          <w:rFonts w:ascii="仿宋" w:hAnsi="仿宋" w:eastAsia="仿宋" w:cs="仿宋"/>
          <w:sz w:val="23"/>
          <w:szCs w:val="23"/>
          <w:highlight w:val="none"/>
          <w:u w:val="single" w:color="auto"/>
        </w:rPr>
        <w:tab/>
      </w:r>
      <w:r>
        <w:rPr>
          <w:rFonts w:hint="eastAsia" w:ascii="宋体" w:hAnsi="宋体" w:eastAsia="宋体" w:cs="宋体"/>
          <w:color w:val="auto"/>
          <w:kern w:val="2"/>
          <w:sz w:val="24"/>
          <w:szCs w:val="24"/>
          <w:highlight w:val="none"/>
          <w:lang w:val="en-US" w:eastAsia="zh-CN" w:bidi="ar-SA"/>
        </w:rPr>
        <w:t>年龄：</w:t>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hint="eastAsia" w:ascii="宋体" w:hAnsi="宋体" w:eastAsia="宋体" w:cs="宋体"/>
          <w:color w:val="auto"/>
          <w:kern w:val="2"/>
          <w:sz w:val="24"/>
          <w:szCs w:val="24"/>
          <w:highlight w:val="none"/>
          <w:lang w:val="en-US" w:eastAsia="zh-CN" w:bidi="ar-SA"/>
        </w:rPr>
        <w:t>身份证号码：</w:t>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p>
    <w:p w14:paraId="349C910E">
      <w:pPr>
        <w:spacing w:line="360" w:lineRule="auto"/>
        <w:ind w:firstLine="240" w:firstLineChars="100"/>
        <w:rPr>
          <w:rFonts w:hint="eastAsia" w:ascii="仿宋" w:hAnsi="仿宋" w:eastAsia="仿宋" w:cs="仿宋"/>
          <w:sz w:val="23"/>
          <w:szCs w:val="23"/>
          <w:highlight w:val="none"/>
          <w:u w:val="single" w:color="auto"/>
          <w:lang w:val="en-US" w:eastAsia="zh-CN"/>
        </w:rPr>
      </w:pPr>
      <w:r>
        <w:rPr>
          <w:rFonts w:hint="eastAsia" w:ascii="宋体" w:hAnsi="宋体" w:eastAsia="宋体" w:cs="宋体"/>
          <w:color w:val="auto"/>
          <w:kern w:val="2"/>
          <w:sz w:val="24"/>
          <w:szCs w:val="24"/>
          <w:highlight w:val="none"/>
          <w:lang w:val="en-US" w:eastAsia="zh-CN" w:bidi="ar-SA"/>
        </w:rPr>
        <w:t>联系电话：</w:t>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p>
    <w:p w14:paraId="77587B34">
      <w:pPr>
        <w:spacing w:line="360" w:lineRule="auto"/>
        <w:ind w:firstLine="240" w:firstLineChars="100"/>
        <w:rPr>
          <w:rFonts w:hint="eastAsia" w:ascii="仿宋" w:hAnsi="仿宋" w:eastAsia="仿宋" w:cs="仿宋"/>
          <w:sz w:val="23"/>
          <w:szCs w:val="23"/>
          <w:highlight w:val="none"/>
          <w:u w:val="single" w:color="auto"/>
          <w:lang w:val="en-US" w:eastAsia="zh-CN"/>
        </w:rPr>
      </w:pPr>
      <w:r>
        <w:rPr>
          <w:rFonts w:hint="eastAsia" w:ascii="宋体" w:hAnsi="宋体" w:eastAsia="宋体" w:cs="宋体"/>
          <w:color w:val="auto"/>
          <w:kern w:val="2"/>
          <w:sz w:val="24"/>
          <w:szCs w:val="24"/>
          <w:highlight w:val="none"/>
          <w:lang w:val="en-US" w:eastAsia="zh-CN" w:bidi="ar-SA"/>
        </w:rPr>
        <w:t>营业执照号码：</w:t>
      </w:r>
      <w:r>
        <w:rPr>
          <w:rFonts w:ascii="仿宋" w:hAnsi="仿宋" w:eastAsia="仿宋" w:cs="仿宋"/>
          <w:sz w:val="23"/>
          <w:szCs w:val="23"/>
          <w:highlight w:val="none"/>
          <w:u w:val="single" w:color="auto"/>
        </w:rPr>
        <w:tab/>
      </w:r>
      <w:r>
        <w:rPr>
          <w:rFonts w:hint="eastAsia" w:ascii="宋体" w:hAnsi="宋体" w:eastAsia="宋体" w:cs="宋体"/>
          <w:color w:val="auto"/>
          <w:kern w:val="2"/>
          <w:sz w:val="24"/>
          <w:szCs w:val="24"/>
          <w:highlight w:val="none"/>
          <w:lang w:val="en-US" w:eastAsia="zh-CN" w:bidi="ar-SA"/>
        </w:rPr>
        <w:t>经济性质：</w:t>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p>
    <w:p w14:paraId="17F08EB4">
      <w:pPr>
        <w:spacing w:line="360" w:lineRule="auto"/>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w:t>
      </w:r>
    </w:p>
    <w:p w14:paraId="26D0D71E">
      <w:pPr>
        <w:numPr>
          <w:ilvl w:val="0"/>
          <w:numId w:val="1"/>
        </w:numPr>
        <w:spacing w:line="360" w:lineRule="auto"/>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法定代表人为企业事业单位、国家机关、社会团体的主要行政负责人。</w:t>
      </w:r>
    </w:p>
    <w:p w14:paraId="1B91A5F4">
      <w:pPr>
        <w:numPr>
          <w:ilvl w:val="0"/>
          <w:numId w:val="1"/>
        </w:numPr>
        <w:spacing w:line="360" w:lineRule="auto"/>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内容必须填写真实、清楚、涂改无效，不得转让。</w:t>
      </w:r>
    </w:p>
    <w:p w14:paraId="4EE472A6">
      <w:pPr>
        <w:pStyle w:val="7"/>
        <w:tabs>
          <w:tab w:val="left" w:pos="567"/>
        </w:tabs>
        <w:rPr>
          <w:rFonts w:hint="eastAsia" w:ascii="宋体" w:hAnsi="宋体" w:eastAsia="宋体" w:cs="宋体"/>
          <w:color w:val="auto"/>
          <w:kern w:val="2"/>
          <w:sz w:val="24"/>
          <w:szCs w:val="24"/>
          <w:highlight w:val="none"/>
          <w:lang w:val="en-US" w:eastAsia="zh-CN" w:bidi="ar-SA"/>
        </w:rPr>
      </w:pPr>
    </w:p>
    <w:p w14:paraId="22880161">
      <w:pPr>
        <w:rPr>
          <w:rFonts w:hint="eastAsia" w:ascii="宋体" w:hAnsi="宋体" w:eastAsia="宋体" w:cs="宋体"/>
          <w:highlight w:val="none"/>
          <w:lang w:val="en-US" w:eastAsia="zh-CN"/>
        </w:rPr>
      </w:pPr>
    </w:p>
    <w:p w14:paraId="39C58B1F">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mc:AlternateContent>
          <mc:Choice Requires="wps">
            <w:drawing>
              <wp:anchor distT="0" distB="0" distL="114300" distR="114300" simplePos="0" relativeHeight="251660288" behindDoc="0" locked="0" layoutInCell="1" allowOverlap="1">
                <wp:simplePos x="0" y="0"/>
                <wp:positionH relativeFrom="column">
                  <wp:posOffset>154305</wp:posOffset>
                </wp:positionH>
                <wp:positionV relativeFrom="paragraph">
                  <wp:posOffset>10795</wp:posOffset>
                </wp:positionV>
                <wp:extent cx="2361565" cy="1489710"/>
                <wp:effectExtent l="4445" t="4445" r="15240" b="10795"/>
                <wp:wrapNone/>
                <wp:docPr id="1027" name="流程图: 可选过程 102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B91001F">
                            <w:pPr>
                              <w:jc w:val="center"/>
                              <w:rPr>
                                <w:rFonts w:hAnsi="宋体"/>
                              </w:rPr>
                            </w:pPr>
                          </w:p>
                          <w:p w14:paraId="58325D64">
                            <w:pPr>
                              <w:jc w:val="center"/>
                              <w:rPr>
                                <w:rFonts w:hAnsi="宋体"/>
                              </w:rPr>
                            </w:pPr>
                          </w:p>
                          <w:p w14:paraId="0C163202">
                            <w:pPr>
                              <w:jc w:val="center"/>
                              <w:rPr>
                                <w:rFonts w:hAnsi="宋体"/>
                              </w:rPr>
                            </w:pPr>
                          </w:p>
                          <w:p w14:paraId="3168B633">
                            <w:pPr>
                              <w:jc w:val="center"/>
                            </w:pPr>
                            <w:r>
                              <w:rPr>
                                <w:rFonts w:hint="eastAsia" w:hAnsi="宋体" w:cs="宋体"/>
                              </w:rPr>
                              <w:t>法定代表人身份证复印件</w:t>
                            </w:r>
                            <w:r>
                              <w:rPr>
                                <w:rFonts w:hint="eastAsia" w:hAnsi="宋体" w:cs="宋体"/>
                                <w:lang w:val="en-US" w:eastAsia="zh-CN"/>
                              </w:rPr>
                              <w:t>正/</w:t>
                            </w:r>
                            <w:r>
                              <w:rPr>
                                <w:rFonts w:hint="eastAsia" w:hAnsi="宋体" w:cs="宋体"/>
                              </w:rPr>
                              <w:t>反面</w:t>
                            </w:r>
                          </w:p>
                        </w:txbxContent>
                      </wps:txbx>
                      <wps:bodyPr upright="1"/>
                    </wps:wsp>
                  </a:graphicData>
                </a:graphic>
              </wp:anchor>
            </w:drawing>
          </mc:Choice>
          <mc:Fallback>
            <w:pict>
              <v:shape id="_x0000_s1026" o:spid="_x0000_s1026" o:spt="176" type="#_x0000_t176" style="position:absolute;left:0pt;margin-left:12.15pt;margin-top:0.85pt;height:117.3pt;width:185.95pt;z-index:251660288;mso-width-relative:page;mso-height-relative:page;" fillcolor="#FFFFFF" filled="t" stroked="t" coordsize="21600,21600" o:gfxdata="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2EDydYAAAAIAQAADwAAAAAAAAABACAAAAAiAAAAZHJzL2Rvd25yZXYueG1sUEsB&#10;AhQAFAAAAAgAh07iQEFtPr4wAgAAZAQAAA4AAAAAAAAAAQAgAAAAJQEAAGRycy9lMm9Eb2MueG1s&#10;UEsFBgAAAAAGAAYAWQEAAMcFAAAAAA==&#10;">
                <v:fill on="t" focussize="0,0"/>
                <v:stroke color="#000000" joinstyle="miter"/>
                <v:imagedata o:title=""/>
                <o:lock v:ext="edit" aspectratio="f"/>
                <v:textbox>
                  <w:txbxContent>
                    <w:p w14:paraId="7B91001F">
                      <w:pPr>
                        <w:jc w:val="center"/>
                        <w:rPr>
                          <w:rFonts w:hAnsi="宋体"/>
                        </w:rPr>
                      </w:pPr>
                    </w:p>
                    <w:p w14:paraId="58325D64">
                      <w:pPr>
                        <w:jc w:val="center"/>
                        <w:rPr>
                          <w:rFonts w:hAnsi="宋体"/>
                        </w:rPr>
                      </w:pPr>
                    </w:p>
                    <w:p w14:paraId="0C163202">
                      <w:pPr>
                        <w:jc w:val="center"/>
                        <w:rPr>
                          <w:rFonts w:hAnsi="宋体"/>
                        </w:rPr>
                      </w:pPr>
                    </w:p>
                    <w:p w14:paraId="3168B633">
                      <w:pPr>
                        <w:jc w:val="center"/>
                      </w:pPr>
                      <w:r>
                        <w:rPr>
                          <w:rFonts w:hint="eastAsia" w:hAnsi="宋体" w:cs="宋体"/>
                        </w:rPr>
                        <w:t>法定代表人身份证复印件</w:t>
                      </w:r>
                      <w:r>
                        <w:rPr>
                          <w:rFonts w:hint="eastAsia" w:hAnsi="宋体" w:cs="宋体"/>
                          <w:lang w:val="en-US" w:eastAsia="zh-CN"/>
                        </w:rPr>
                        <w:t>正/</w:t>
                      </w:r>
                      <w:r>
                        <w:rPr>
                          <w:rFonts w:hint="eastAsia" w:hAnsi="宋体" w:cs="宋体"/>
                        </w:rPr>
                        <w:t>反面</w:t>
                      </w:r>
                    </w:p>
                  </w:txbxContent>
                </v:textbox>
              </v:shape>
            </w:pict>
          </mc:Fallback>
        </mc:AlternateContent>
      </w:r>
      <w:r>
        <w:rPr>
          <w:rFonts w:hint="eastAsia" w:ascii="宋体" w:hAnsi="宋体" w:eastAsia="宋体" w:cs="宋体"/>
          <w:color w:val="auto"/>
          <w:sz w:val="22"/>
          <w:szCs w:val="22"/>
          <w:highlight w:val="none"/>
        </w:rPr>
        <mc:AlternateContent>
          <mc:Choice Requires="wps">
            <w:drawing>
              <wp:anchor distT="0" distB="0" distL="114300" distR="114300" simplePos="0" relativeHeight="251661312" behindDoc="0" locked="0" layoutInCell="1" allowOverlap="1">
                <wp:simplePos x="0" y="0"/>
                <wp:positionH relativeFrom="column">
                  <wp:posOffset>2918460</wp:posOffset>
                </wp:positionH>
                <wp:positionV relativeFrom="paragraph">
                  <wp:posOffset>28575</wp:posOffset>
                </wp:positionV>
                <wp:extent cx="2562860" cy="1452880"/>
                <wp:effectExtent l="7620" t="7620" r="20320" b="25400"/>
                <wp:wrapNone/>
                <wp:docPr id="1028" name="圆角矩形 1028"/>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74F2827C">
                            <w:pPr>
                              <w:jc w:val="center"/>
                              <w:rPr>
                                <w:rFonts w:hint="eastAsia" w:hAnsi="宋体" w:eastAsia="宋体"/>
                                <w:lang w:eastAsia="zh-CN"/>
                              </w:rPr>
                            </w:pPr>
                          </w:p>
                          <w:p w14:paraId="73807BC0">
                            <w:pPr>
                              <w:jc w:val="center"/>
                              <w:rPr>
                                <w:rFonts w:hAnsi="宋体"/>
                              </w:rPr>
                            </w:pPr>
                          </w:p>
                          <w:p w14:paraId="5D965871">
                            <w:pPr>
                              <w:jc w:val="center"/>
                              <w:rPr>
                                <w:rFonts w:hAnsi="宋体"/>
                              </w:rPr>
                            </w:pPr>
                          </w:p>
                          <w:p w14:paraId="705AB095">
                            <w:pPr>
                              <w:jc w:val="center"/>
                            </w:pPr>
                            <w:r>
                              <w:rPr>
                                <w:rFonts w:hint="eastAsia" w:hAnsi="宋体" w:cs="宋体"/>
                              </w:rPr>
                              <w:t>法定代表人身份证复印件</w:t>
                            </w:r>
                            <w:r>
                              <w:rPr>
                                <w:rFonts w:hint="eastAsia" w:hAnsi="宋体" w:cs="宋体"/>
                                <w:lang w:val="en-US" w:eastAsia="zh-CN"/>
                              </w:rPr>
                              <w:t>正/</w:t>
                            </w:r>
                            <w:r>
                              <w:rPr>
                                <w:rFonts w:hint="eastAsia" w:hAnsi="宋体" w:cs="宋体"/>
                              </w:rPr>
                              <w:t>反面</w:t>
                            </w:r>
                          </w:p>
                          <w:p w14:paraId="0716DAFF"/>
                          <w:p w14:paraId="472A71AD">
                            <w:pPr>
                              <w:pStyle w:val="2"/>
                              <w:rPr>
                                <w:rFonts w:cs="Times New Roman"/>
                              </w:rPr>
                            </w:pPr>
                          </w:p>
                          <w:p w14:paraId="32C544F9">
                            <w:pPr>
                              <w:pStyle w:val="2"/>
                              <w:rPr>
                                <w:rFonts w:cs="Times New Roman"/>
                              </w:rPr>
                            </w:pPr>
                          </w:p>
                          <w:p w14:paraId="415C4A07">
                            <w:pPr>
                              <w:pStyle w:val="2"/>
                              <w:rPr>
                                <w:rFonts w:cs="Times New Roman"/>
                              </w:rPr>
                            </w:pPr>
                          </w:p>
                          <w:p w14:paraId="3D92E64A">
                            <w:pPr>
                              <w:pStyle w:val="2"/>
                              <w:rPr>
                                <w:rFonts w:cs="Times New Roman"/>
                              </w:rPr>
                            </w:pPr>
                          </w:p>
                        </w:txbxContent>
                      </wps:txbx>
                      <wps:bodyPr upright="1"/>
                    </wps:wsp>
                  </a:graphicData>
                </a:graphic>
              </wp:anchor>
            </w:drawing>
          </mc:Choice>
          <mc:Fallback>
            <w:pict>
              <v:roundrect id="_x0000_s1026" o:spid="_x0000_s1026" o:spt="2" style="position:absolute;left:0pt;margin-left:229.8pt;margin-top:2.25pt;height:114.4pt;width:201.8pt;z-index:251661312;mso-width-relative:page;mso-height-relative:page;" fillcolor="#FFFFFF" filled="t" stroked="t" coordsize="21600,21600" arcsize="0.166666666666667" o:gfxdata="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3hGF9oAAAAJAQAADwAAAAAAAAABACAAAAAiAAAAZHJzL2Rvd25yZXYu&#10;eG1sUEsBAhQAFAAAAAgAh07iQFTsdcQyAgAAdgQAAA4AAAAAAAAAAQAgAAAAKQEAAGRycy9lMm9E&#10;b2MueG1sUEsFBgAAAAAGAAYAWQEAAM0FAAAAAA==&#10;">
                <v:fill on="t" focussize="0,0"/>
                <v:stroke weight="1.25pt" color="#808080" joinstyle="round"/>
                <v:imagedata o:title=""/>
                <o:lock v:ext="edit" aspectratio="f"/>
                <v:textbox>
                  <w:txbxContent>
                    <w:p w14:paraId="74F2827C">
                      <w:pPr>
                        <w:jc w:val="center"/>
                        <w:rPr>
                          <w:rFonts w:hint="eastAsia" w:hAnsi="宋体" w:eastAsia="宋体"/>
                          <w:lang w:eastAsia="zh-CN"/>
                        </w:rPr>
                      </w:pPr>
                    </w:p>
                    <w:p w14:paraId="73807BC0">
                      <w:pPr>
                        <w:jc w:val="center"/>
                        <w:rPr>
                          <w:rFonts w:hAnsi="宋体"/>
                        </w:rPr>
                      </w:pPr>
                    </w:p>
                    <w:p w14:paraId="5D965871">
                      <w:pPr>
                        <w:jc w:val="center"/>
                        <w:rPr>
                          <w:rFonts w:hAnsi="宋体"/>
                        </w:rPr>
                      </w:pPr>
                    </w:p>
                    <w:p w14:paraId="705AB095">
                      <w:pPr>
                        <w:jc w:val="center"/>
                      </w:pPr>
                      <w:r>
                        <w:rPr>
                          <w:rFonts w:hint="eastAsia" w:hAnsi="宋体" w:cs="宋体"/>
                        </w:rPr>
                        <w:t>法定代表人身份证复印件</w:t>
                      </w:r>
                      <w:r>
                        <w:rPr>
                          <w:rFonts w:hint="eastAsia" w:hAnsi="宋体" w:cs="宋体"/>
                          <w:lang w:val="en-US" w:eastAsia="zh-CN"/>
                        </w:rPr>
                        <w:t>正/</w:t>
                      </w:r>
                      <w:r>
                        <w:rPr>
                          <w:rFonts w:hint="eastAsia" w:hAnsi="宋体" w:cs="宋体"/>
                        </w:rPr>
                        <w:t>反面</w:t>
                      </w:r>
                    </w:p>
                    <w:p w14:paraId="0716DAFF"/>
                    <w:p w14:paraId="472A71AD">
                      <w:pPr>
                        <w:pStyle w:val="2"/>
                        <w:rPr>
                          <w:rFonts w:cs="Times New Roman"/>
                        </w:rPr>
                      </w:pPr>
                    </w:p>
                    <w:p w14:paraId="32C544F9">
                      <w:pPr>
                        <w:pStyle w:val="2"/>
                        <w:rPr>
                          <w:rFonts w:cs="Times New Roman"/>
                        </w:rPr>
                      </w:pPr>
                    </w:p>
                    <w:p w14:paraId="415C4A07">
                      <w:pPr>
                        <w:pStyle w:val="2"/>
                        <w:rPr>
                          <w:rFonts w:cs="Times New Roman"/>
                        </w:rPr>
                      </w:pPr>
                    </w:p>
                    <w:p w14:paraId="3D92E64A">
                      <w:pPr>
                        <w:pStyle w:val="2"/>
                        <w:rPr>
                          <w:rFonts w:cs="Times New Roman"/>
                        </w:rPr>
                      </w:pPr>
                    </w:p>
                  </w:txbxContent>
                </v:textbox>
              </v:roundrect>
            </w:pict>
          </mc:Fallback>
        </mc:AlternateContent>
      </w:r>
    </w:p>
    <w:p w14:paraId="191E5417">
      <w:pPr>
        <w:spacing w:line="360" w:lineRule="auto"/>
        <w:rPr>
          <w:rFonts w:hint="eastAsia" w:ascii="宋体" w:hAnsi="宋体" w:eastAsia="宋体" w:cs="宋体"/>
          <w:color w:val="auto"/>
          <w:sz w:val="22"/>
          <w:szCs w:val="22"/>
          <w:highlight w:val="none"/>
        </w:rPr>
      </w:pPr>
    </w:p>
    <w:p w14:paraId="7CA6C7FC">
      <w:pPr>
        <w:spacing w:line="360" w:lineRule="auto"/>
        <w:rPr>
          <w:rFonts w:hint="eastAsia" w:ascii="宋体" w:hAnsi="宋体" w:eastAsia="宋体" w:cs="宋体"/>
          <w:color w:val="auto"/>
          <w:sz w:val="22"/>
          <w:szCs w:val="22"/>
          <w:highlight w:val="none"/>
        </w:rPr>
      </w:pPr>
    </w:p>
    <w:p w14:paraId="51A0CB19">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cs="宋体"/>
          <w:color w:val="auto"/>
          <w:sz w:val="22"/>
          <w:szCs w:val="22"/>
          <w:highlight w:val="none"/>
        </w:rPr>
      </w:pPr>
    </w:p>
    <w:p w14:paraId="3B815F5E">
      <w:pPr>
        <w:autoSpaceDE w:val="0"/>
        <w:autoSpaceDN w:val="0"/>
        <w:adjustRightInd w:val="0"/>
        <w:spacing w:line="360" w:lineRule="auto"/>
        <w:ind w:right="246"/>
        <w:rPr>
          <w:rFonts w:hint="eastAsia" w:ascii="宋体" w:hAnsi="宋体" w:eastAsia="宋体" w:cs="宋体"/>
          <w:color w:val="auto"/>
          <w:kern w:val="0"/>
          <w:sz w:val="22"/>
          <w:szCs w:val="22"/>
          <w:highlight w:val="none"/>
        </w:rPr>
      </w:pPr>
    </w:p>
    <w:p w14:paraId="748F4A40">
      <w:pPr>
        <w:pStyle w:val="2"/>
        <w:rPr>
          <w:rFonts w:hint="eastAsia" w:ascii="宋体" w:hAnsi="宋体" w:eastAsia="宋体" w:cs="宋体"/>
          <w:color w:val="auto"/>
          <w:kern w:val="0"/>
          <w:sz w:val="22"/>
          <w:szCs w:val="22"/>
          <w:highlight w:val="none"/>
        </w:rPr>
      </w:pPr>
    </w:p>
    <w:p w14:paraId="68F3062E">
      <w:pPr>
        <w:pStyle w:val="6"/>
        <w:rPr>
          <w:rFonts w:hint="eastAsia"/>
          <w:highlight w:val="none"/>
        </w:rPr>
      </w:pPr>
    </w:p>
    <w:p w14:paraId="3FF93D04">
      <w:pPr>
        <w:wordWrap/>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投标人（公章）：</w:t>
      </w:r>
    </w:p>
    <w:p w14:paraId="764CC149">
      <w:pPr>
        <w:wordWrap/>
        <w:spacing w:line="360" w:lineRule="auto"/>
        <w:jc w:val="right"/>
        <w:rPr>
          <w:rFonts w:hint="default" w:ascii="宋体" w:hAnsi="宋体" w:eastAsia="宋体" w:cs="宋体"/>
          <w:color w:val="auto"/>
          <w:kern w:val="2"/>
          <w:sz w:val="24"/>
          <w:szCs w:val="24"/>
          <w:highlight w:val="none"/>
          <w:lang w:val="en-US" w:eastAsia="zh-CN" w:bidi="ar-SA"/>
        </w:rPr>
      </w:pPr>
    </w:p>
    <w:p w14:paraId="7A8B3056">
      <w:pPr>
        <w:wordWrap/>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法定代表人（签字或盖章）：</w:t>
      </w:r>
    </w:p>
    <w:p w14:paraId="6B770570">
      <w:pPr>
        <w:wordWrap/>
        <w:spacing w:line="360" w:lineRule="auto"/>
        <w:jc w:val="right"/>
        <w:rPr>
          <w:rFonts w:hint="default" w:ascii="宋体" w:hAnsi="宋体" w:eastAsia="宋体" w:cs="宋体"/>
          <w:color w:val="auto"/>
          <w:kern w:val="2"/>
          <w:sz w:val="24"/>
          <w:szCs w:val="24"/>
          <w:highlight w:val="none"/>
          <w:lang w:val="en-US" w:eastAsia="zh-CN" w:bidi="ar-SA"/>
        </w:rPr>
      </w:pPr>
    </w:p>
    <w:p w14:paraId="79143D9E">
      <w:pPr>
        <w:wordWrap/>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日期：</w:t>
      </w:r>
    </w:p>
    <w:p w14:paraId="229660AE">
      <w:pPr>
        <w:spacing w:line="241" w:lineRule="auto"/>
        <w:rPr>
          <w:rFonts w:ascii="方正仿宋_GBK" w:hAnsi="方正仿宋_GBK" w:eastAsia="方正仿宋_GBK" w:cs="方正仿宋_GBK"/>
          <w:sz w:val="23"/>
          <w:szCs w:val="23"/>
          <w:highlight w:val="none"/>
        </w:rPr>
        <w:sectPr>
          <w:footerReference r:id="rId14" w:type="default"/>
          <w:pgSz w:w="11906" w:h="16838"/>
          <w:pgMar w:top="400" w:right="1170" w:bottom="1032" w:left="1399" w:header="0" w:footer="857" w:gutter="0"/>
          <w:pgNumType w:fmt="decimal"/>
          <w:cols w:space="720" w:num="1"/>
        </w:sectPr>
      </w:pPr>
    </w:p>
    <w:p w14:paraId="32E9379F">
      <w:pPr>
        <w:pStyle w:val="7"/>
        <w:spacing w:line="241" w:lineRule="auto"/>
        <w:rPr>
          <w:highlight w:val="none"/>
        </w:rPr>
      </w:pPr>
    </w:p>
    <w:p w14:paraId="0F4AFD36">
      <w:pPr>
        <w:pStyle w:val="7"/>
        <w:spacing w:line="242" w:lineRule="auto"/>
        <w:rPr>
          <w:highlight w:val="none"/>
        </w:rPr>
      </w:pPr>
    </w:p>
    <w:p w14:paraId="0D00390F">
      <w:pPr>
        <w:pStyle w:val="7"/>
        <w:spacing w:line="242" w:lineRule="auto"/>
        <w:rPr>
          <w:highlight w:val="none"/>
        </w:rPr>
      </w:pPr>
    </w:p>
    <w:p w14:paraId="0D061111">
      <w:pPr>
        <w:pStyle w:val="7"/>
        <w:spacing w:line="242" w:lineRule="auto"/>
        <w:rPr>
          <w:highlight w:val="none"/>
        </w:rPr>
      </w:pPr>
    </w:p>
    <w:p w14:paraId="2105086D">
      <w:pPr>
        <w:pStyle w:val="10"/>
        <w:tabs>
          <w:tab w:val="left" w:pos="5580"/>
        </w:tabs>
        <w:spacing w:line="240" w:lineRule="atLeast"/>
        <w:jc w:val="center"/>
        <w:outlineLvl w:val="1"/>
        <w:rPr>
          <w:rFonts w:hint="eastAsia" w:ascii="宋体" w:hAnsi="宋体" w:eastAsia="宋体" w:cs="宋体"/>
          <w:b/>
          <w:bCs/>
          <w:color w:val="auto"/>
          <w:sz w:val="28"/>
          <w:szCs w:val="28"/>
          <w:highlight w:val="none"/>
        </w:rPr>
      </w:pPr>
      <w:bookmarkStart w:id="84" w:name="_Toc12676"/>
      <w:bookmarkStart w:id="85" w:name="_Toc2579"/>
      <w:bookmarkStart w:id="86" w:name="_Toc30365"/>
      <w:bookmarkStart w:id="87" w:name="_Toc6761"/>
      <w:bookmarkStart w:id="88" w:name="_Toc7634"/>
      <w:r>
        <w:rPr>
          <w:rFonts w:hint="eastAsia" w:ascii="宋体" w:hAnsi="宋体" w:eastAsia="宋体" w:cs="宋体"/>
          <w:b/>
          <w:bCs/>
          <w:color w:val="auto"/>
          <w:sz w:val="28"/>
          <w:szCs w:val="28"/>
          <w:highlight w:val="none"/>
        </w:rPr>
        <w:t>法定代表人授权委托书</w:t>
      </w:r>
      <w:bookmarkEnd w:id="84"/>
      <w:bookmarkEnd w:id="85"/>
      <w:bookmarkEnd w:id="86"/>
      <w:bookmarkEnd w:id="87"/>
      <w:bookmarkEnd w:id="88"/>
    </w:p>
    <w:p w14:paraId="5B6BE32B">
      <w:pPr>
        <w:pStyle w:val="10"/>
        <w:tabs>
          <w:tab w:val="left" w:pos="5580"/>
        </w:tabs>
        <w:spacing w:line="240" w:lineRule="atLeast"/>
        <w:jc w:val="center"/>
        <w:rPr>
          <w:rFonts w:hint="eastAsia" w:ascii="宋体" w:hAnsi="宋体" w:eastAsia="宋体" w:cs="宋体"/>
          <w:b/>
          <w:bCs/>
          <w:color w:val="auto"/>
          <w:sz w:val="28"/>
          <w:szCs w:val="21"/>
          <w:highlight w:val="none"/>
        </w:rPr>
      </w:pPr>
      <w:r>
        <w:rPr>
          <w:rFonts w:hint="eastAsia" w:ascii="宋体" w:hAnsi="宋体" w:eastAsia="宋体" w:cs="宋体"/>
          <w:b/>
          <w:bCs/>
          <w:color w:val="auto"/>
          <w:sz w:val="32"/>
          <w:szCs w:val="22"/>
          <w:highlight w:val="none"/>
        </w:rPr>
        <w:t>（</w:t>
      </w:r>
      <w:r>
        <w:rPr>
          <w:rFonts w:hint="eastAsia" w:ascii="宋体" w:hAnsi="宋体" w:eastAsia="宋体" w:cs="宋体"/>
          <w:b/>
          <w:bCs/>
          <w:color w:val="auto"/>
          <w:sz w:val="28"/>
          <w:szCs w:val="21"/>
          <w:highlight w:val="none"/>
        </w:rPr>
        <w:t>授权委托人参与投标时提供）</w:t>
      </w:r>
    </w:p>
    <w:p w14:paraId="78413842">
      <w:pPr>
        <w:pStyle w:val="10"/>
        <w:tabs>
          <w:tab w:val="left" w:pos="5580"/>
        </w:tabs>
        <w:spacing w:line="540" w:lineRule="exact"/>
        <w:ind w:firstLine="480" w:firstLineChars="200"/>
        <w:rPr>
          <w:rFonts w:hint="eastAsia" w:ascii="宋体" w:hAnsi="宋体" w:eastAsia="宋体" w:cs="宋体"/>
          <w:color w:val="auto"/>
          <w:sz w:val="24"/>
          <w:szCs w:val="24"/>
          <w:highlight w:val="none"/>
        </w:rPr>
      </w:pPr>
    </w:p>
    <w:p w14:paraId="25644EB7">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本授权书声明：注册于</w:t>
      </w:r>
      <w:r>
        <w:rPr>
          <w:rFonts w:hint="eastAsia" w:ascii="宋体" w:hAnsi="宋体" w:eastAsia="宋体" w:cs="宋体"/>
          <w:color w:val="auto"/>
          <w:kern w:val="2"/>
          <w:sz w:val="24"/>
          <w:szCs w:val="24"/>
          <w:highlight w:val="none"/>
          <w:u w:val="single"/>
          <w:lang w:val="en-US" w:eastAsia="zh-CN" w:bidi="ar-SA"/>
        </w:rPr>
        <w:t>（国家或地区的名称）</w:t>
      </w:r>
      <w:r>
        <w:rPr>
          <w:rFonts w:hint="eastAsia" w:ascii="宋体" w:hAnsi="宋体" w:eastAsia="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u w:val="single"/>
          <w:lang w:val="en-US" w:eastAsia="zh-CN" w:bidi="ar-SA"/>
        </w:rPr>
        <w:t>（投标人）</w:t>
      </w:r>
      <w:r>
        <w:rPr>
          <w:rFonts w:hint="eastAsia" w:ascii="宋体" w:hAnsi="宋体" w:eastAsia="宋体" w:cs="宋体"/>
          <w:color w:val="auto"/>
          <w:kern w:val="2"/>
          <w:sz w:val="24"/>
          <w:szCs w:val="24"/>
          <w:highlight w:val="none"/>
          <w:lang w:val="en-US" w:eastAsia="zh-CN" w:bidi="ar-SA"/>
        </w:rPr>
        <w:t>的在下面签字的</w:t>
      </w:r>
      <w:r>
        <w:rPr>
          <w:rFonts w:hint="eastAsia" w:ascii="宋体" w:hAnsi="宋体" w:eastAsia="宋体" w:cs="宋体"/>
          <w:color w:val="auto"/>
          <w:kern w:val="2"/>
          <w:sz w:val="24"/>
          <w:szCs w:val="24"/>
          <w:highlight w:val="none"/>
          <w:u w:val="single"/>
          <w:lang w:val="en-US" w:eastAsia="zh-CN" w:bidi="ar-SA"/>
        </w:rPr>
        <w:t>（法人代表姓名、职务）</w:t>
      </w:r>
      <w:r>
        <w:rPr>
          <w:rFonts w:hint="eastAsia" w:ascii="宋体" w:hAnsi="宋体" w:eastAsia="宋体" w:cs="宋体"/>
          <w:color w:val="auto"/>
          <w:kern w:val="2"/>
          <w:sz w:val="24"/>
          <w:szCs w:val="24"/>
          <w:highlight w:val="none"/>
          <w:lang w:val="en-US" w:eastAsia="zh-CN" w:bidi="ar-SA"/>
        </w:rPr>
        <w:t>代表我单位授权</w:t>
      </w:r>
      <w:r>
        <w:rPr>
          <w:rFonts w:hint="eastAsia" w:ascii="宋体" w:hAnsi="宋体" w:eastAsia="宋体" w:cs="宋体"/>
          <w:color w:val="auto"/>
          <w:kern w:val="2"/>
          <w:sz w:val="24"/>
          <w:szCs w:val="24"/>
          <w:highlight w:val="none"/>
          <w:u w:val="single"/>
          <w:lang w:val="en-US" w:eastAsia="zh-CN" w:bidi="ar-SA"/>
        </w:rPr>
        <w:t>（单位名称）</w:t>
      </w:r>
      <w:r>
        <w:rPr>
          <w:rFonts w:hint="eastAsia" w:ascii="宋体" w:hAnsi="宋体" w:eastAsia="宋体" w:cs="宋体"/>
          <w:color w:val="auto"/>
          <w:kern w:val="2"/>
          <w:sz w:val="24"/>
          <w:szCs w:val="24"/>
          <w:highlight w:val="none"/>
          <w:lang w:val="en-US" w:eastAsia="zh-CN" w:bidi="ar-SA"/>
        </w:rPr>
        <w:t>的在下面签字的</w:t>
      </w:r>
      <w:r>
        <w:rPr>
          <w:rFonts w:hint="eastAsia" w:ascii="宋体" w:hAnsi="宋体" w:eastAsia="宋体" w:cs="宋体"/>
          <w:color w:val="auto"/>
          <w:kern w:val="2"/>
          <w:sz w:val="24"/>
          <w:szCs w:val="24"/>
          <w:highlight w:val="none"/>
          <w:u w:val="single"/>
          <w:lang w:val="en-US" w:eastAsia="zh-CN" w:bidi="ar-SA"/>
        </w:rPr>
        <w:t>（被授权人的姓名、职务）</w:t>
      </w:r>
      <w:r>
        <w:rPr>
          <w:rFonts w:hint="eastAsia" w:ascii="宋体" w:hAnsi="宋体" w:eastAsia="宋体" w:cs="宋体"/>
          <w:color w:val="auto"/>
          <w:kern w:val="2"/>
          <w:sz w:val="24"/>
          <w:szCs w:val="24"/>
          <w:highlight w:val="none"/>
          <w:lang w:val="en-US" w:eastAsia="zh-CN" w:bidi="ar-SA"/>
        </w:rPr>
        <w:t>为我单位的合法代理人，就</w:t>
      </w:r>
      <w:r>
        <w:rPr>
          <w:rFonts w:hint="eastAsia" w:ascii="宋体" w:hAnsi="宋体" w:eastAsia="宋体" w:cs="宋体"/>
          <w:color w:val="auto"/>
          <w:kern w:val="2"/>
          <w:sz w:val="24"/>
          <w:szCs w:val="24"/>
          <w:highlight w:val="none"/>
          <w:u w:val="single"/>
          <w:lang w:val="en-US" w:eastAsia="zh-CN" w:bidi="ar-SA"/>
        </w:rPr>
        <w:t>（项目名称）</w:t>
      </w:r>
      <w:r>
        <w:rPr>
          <w:rFonts w:hint="eastAsia" w:ascii="宋体" w:hAnsi="宋体" w:eastAsia="宋体" w:cs="宋体"/>
          <w:color w:val="auto"/>
          <w:kern w:val="2"/>
          <w:sz w:val="24"/>
          <w:szCs w:val="24"/>
          <w:highlight w:val="none"/>
          <w:lang w:val="en-US" w:eastAsia="zh-CN" w:bidi="ar-SA"/>
        </w:rPr>
        <w:t>的投标，以我单位名义处理一切与之有关的事务。　　</w:t>
      </w:r>
    </w:p>
    <w:p w14:paraId="42F8CBDB">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本授权书于</w:t>
      </w:r>
      <w:r>
        <w:rPr>
          <w:rFonts w:ascii="仿宋" w:hAnsi="仿宋" w:eastAsia="仿宋" w:cs="仿宋"/>
          <w:sz w:val="23"/>
          <w:szCs w:val="23"/>
          <w:highlight w:val="none"/>
          <w:u w:val="single" w:color="auto"/>
        </w:rPr>
        <w:tab/>
      </w:r>
      <w:r>
        <w:rPr>
          <w:rFonts w:hint="eastAsia" w:ascii="宋体" w:hAnsi="宋体" w:eastAsia="宋体" w:cs="宋体"/>
          <w:color w:val="auto"/>
          <w:kern w:val="2"/>
          <w:sz w:val="24"/>
          <w:szCs w:val="24"/>
          <w:highlight w:val="none"/>
          <w:lang w:val="en-US" w:eastAsia="zh-CN" w:bidi="ar-SA"/>
        </w:rPr>
        <w:t>年</w:t>
      </w:r>
      <w:r>
        <w:rPr>
          <w:rFonts w:ascii="仿宋" w:hAnsi="仿宋" w:eastAsia="仿宋" w:cs="仿宋"/>
          <w:sz w:val="23"/>
          <w:szCs w:val="23"/>
          <w:highlight w:val="none"/>
          <w:u w:val="single" w:color="auto"/>
        </w:rPr>
        <w:tab/>
      </w:r>
      <w:r>
        <w:rPr>
          <w:rFonts w:hint="eastAsia" w:ascii="宋体" w:hAnsi="宋体" w:eastAsia="宋体" w:cs="宋体"/>
          <w:color w:val="auto"/>
          <w:kern w:val="2"/>
          <w:sz w:val="24"/>
          <w:szCs w:val="24"/>
          <w:highlight w:val="none"/>
          <w:lang w:val="en-US" w:eastAsia="zh-CN" w:bidi="ar-SA"/>
        </w:rPr>
        <w:t>月</w:t>
      </w:r>
      <w:r>
        <w:rPr>
          <w:rFonts w:ascii="仿宋" w:hAnsi="仿宋" w:eastAsia="仿宋" w:cs="仿宋"/>
          <w:sz w:val="23"/>
          <w:szCs w:val="23"/>
          <w:highlight w:val="none"/>
          <w:u w:val="single" w:color="auto"/>
        </w:rPr>
        <w:tab/>
      </w:r>
      <w:r>
        <w:rPr>
          <w:rFonts w:hint="eastAsia" w:ascii="宋体" w:hAnsi="宋体" w:eastAsia="宋体" w:cs="宋体"/>
          <w:color w:val="auto"/>
          <w:kern w:val="2"/>
          <w:sz w:val="24"/>
          <w:szCs w:val="24"/>
          <w:highlight w:val="none"/>
          <w:lang w:val="en-US" w:eastAsia="zh-CN" w:bidi="ar-SA"/>
        </w:rPr>
        <w:t>日签字生效,特此声明。</w:t>
      </w:r>
    </w:p>
    <w:p w14:paraId="044588C3">
      <w:pPr>
        <w:pStyle w:val="10"/>
        <w:tabs>
          <w:tab w:val="left" w:pos="5580"/>
        </w:tabs>
        <w:spacing w:line="240" w:lineRule="atLeast"/>
        <w:ind w:left="-540" w:leftChars="-257" w:firstLine="900" w:firstLine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2837815</wp:posOffset>
                </wp:positionH>
                <wp:positionV relativeFrom="paragraph">
                  <wp:posOffset>128905</wp:posOffset>
                </wp:positionV>
                <wp:extent cx="2555240" cy="1379220"/>
                <wp:effectExtent l="7620" t="7620" r="8890" b="22860"/>
                <wp:wrapNone/>
                <wp:docPr id="1032" name="圆角矩形 1032"/>
                <wp:cNvGraphicFramePr/>
                <a:graphic xmlns:a="http://schemas.openxmlformats.org/drawingml/2006/main">
                  <a:graphicData uri="http://schemas.microsoft.com/office/word/2010/wordprocessingShape">
                    <wps:wsp>
                      <wps:cNvSpPr/>
                      <wps:spPr>
                        <a:xfrm>
                          <a:off x="0" y="0"/>
                          <a:ext cx="2555240" cy="1024888"/>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63A90E80">
                            <w:pPr>
                              <w:jc w:val="center"/>
                              <w:rPr>
                                <w:rFonts w:hAnsi="宋体"/>
                              </w:rPr>
                            </w:pPr>
                          </w:p>
                          <w:p w14:paraId="6E791A82">
                            <w:pPr>
                              <w:rPr>
                                <w:rFonts w:hAnsi="宋体"/>
                              </w:rPr>
                            </w:pPr>
                          </w:p>
                          <w:p w14:paraId="5BD53CD4">
                            <w:pPr>
                              <w:jc w:val="center"/>
                            </w:pPr>
                            <w:r>
                              <w:rPr>
                                <w:rFonts w:hint="eastAsia" w:hAnsi="宋体" w:cs="宋体"/>
                              </w:rPr>
                              <w:t>法人身份证复印件正</w:t>
                            </w:r>
                            <w:r>
                              <w:rPr>
                                <w:rFonts w:hint="eastAsia" w:hAnsi="宋体" w:cs="宋体"/>
                                <w:lang w:val="en-US" w:eastAsia="zh-CN"/>
                              </w:rPr>
                              <w:t>/反</w:t>
                            </w:r>
                            <w:r>
                              <w:rPr>
                                <w:rFonts w:hint="eastAsia" w:hAnsi="宋体" w:cs="宋体"/>
                              </w:rPr>
                              <w:t>面</w:t>
                            </w:r>
                          </w:p>
                          <w:p w14:paraId="2AAEB8B9"/>
                        </w:txbxContent>
                      </wps:txbx>
                      <wps:bodyPr upright="1"/>
                    </wps:wsp>
                  </a:graphicData>
                </a:graphic>
              </wp:anchor>
            </w:drawing>
          </mc:Choice>
          <mc:Fallback>
            <w:pict>
              <v:roundrect id="_x0000_s1026" o:spid="_x0000_s1026" o:spt="2" style="position:absolute;left:0pt;margin-left:223.45pt;margin-top:10.15pt;height:108.6pt;width:201.2pt;z-index:251665408;mso-width-relative:page;mso-height-relative:page;" fillcolor="#FFFFFF" filled="t" stroked="t" coordsize="21600,21600" arcsize="0.166666666666667" o:gfxdata="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RiL5tsAAAAKAQAADwAAAAAAAAABACAAAAAiAAAAZHJzL2Rvd25y&#10;ZXYueG1sUEsBAhQAFAAAAAgAh07iQME1y/c0AgAAdgQAAA4AAAAAAAAAAQAgAAAAKgEAAGRycy9l&#10;Mm9Eb2MueG1sUEsFBgAAAAAGAAYAWQEAANAFAAAAAA==&#10;">
                <v:fill on="t" focussize="0,0"/>
                <v:stroke weight="1.25pt" color="#808080" joinstyle="round"/>
                <v:imagedata o:title=""/>
                <o:lock v:ext="edit" aspectratio="f"/>
                <v:textbox>
                  <w:txbxContent>
                    <w:p w14:paraId="63A90E80">
                      <w:pPr>
                        <w:jc w:val="center"/>
                        <w:rPr>
                          <w:rFonts w:hAnsi="宋体"/>
                        </w:rPr>
                      </w:pPr>
                    </w:p>
                    <w:p w14:paraId="6E791A82">
                      <w:pPr>
                        <w:rPr>
                          <w:rFonts w:hAnsi="宋体"/>
                        </w:rPr>
                      </w:pPr>
                    </w:p>
                    <w:p w14:paraId="5BD53CD4">
                      <w:pPr>
                        <w:jc w:val="center"/>
                      </w:pPr>
                      <w:r>
                        <w:rPr>
                          <w:rFonts w:hint="eastAsia" w:hAnsi="宋体" w:cs="宋体"/>
                        </w:rPr>
                        <w:t>法人身份证复印件正</w:t>
                      </w:r>
                      <w:r>
                        <w:rPr>
                          <w:rFonts w:hint="eastAsia" w:hAnsi="宋体" w:cs="宋体"/>
                          <w:lang w:val="en-US" w:eastAsia="zh-CN"/>
                        </w:rPr>
                        <w:t>/反</w:t>
                      </w:r>
                      <w:r>
                        <w:rPr>
                          <w:rFonts w:hint="eastAsia" w:hAnsi="宋体" w:cs="宋体"/>
                        </w:rPr>
                        <w:t>面</w:t>
                      </w:r>
                    </w:p>
                    <w:p w14:paraId="2AAEB8B9"/>
                  </w:txbxContent>
                </v:textbox>
              </v:roundrect>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68580</wp:posOffset>
                </wp:positionH>
                <wp:positionV relativeFrom="paragraph">
                  <wp:posOffset>121920</wp:posOffset>
                </wp:positionV>
                <wp:extent cx="2535555" cy="1424940"/>
                <wp:effectExtent l="8255" t="7620" r="8890" b="15240"/>
                <wp:wrapNone/>
                <wp:docPr id="1031" name="圆角矩形 1031"/>
                <wp:cNvGraphicFramePr/>
                <a:graphic xmlns:a="http://schemas.openxmlformats.org/drawingml/2006/main">
                  <a:graphicData uri="http://schemas.microsoft.com/office/word/2010/wordprocessingShape">
                    <wps:wsp>
                      <wps:cNvSpPr/>
                      <wps:spPr>
                        <a:xfrm>
                          <a:off x="0" y="0"/>
                          <a:ext cx="2535555" cy="935355"/>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5246A91C">
                            <w:pPr>
                              <w:jc w:val="center"/>
                              <w:rPr>
                                <w:rFonts w:hint="eastAsia" w:hAnsi="宋体" w:eastAsia="宋体"/>
                                <w:lang w:eastAsia="zh-CN"/>
                              </w:rPr>
                            </w:pPr>
                          </w:p>
                          <w:p w14:paraId="6C5E2159">
                            <w:pPr>
                              <w:jc w:val="both"/>
                              <w:rPr>
                                <w:rFonts w:hint="eastAsia" w:hAnsi="宋体" w:cs="宋体"/>
                              </w:rPr>
                            </w:pPr>
                          </w:p>
                          <w:p w14:paraId="4FD46C72">
                            <w:pPr>
                              <w:jc w:val="center"/>
                            </w:pPr>
                            <w:r>
                              <w:rPr>
                                <w:rFonts w:hint="eastAsia" w:hAnsi="宋体" w:cs="宋体"/>
                              </w:rPr>
                              <w:t>法人身份证复印件</w:t>
                            </w:r>
                            <w:r>
                              <w:rPr>
                                <w:rFonts w:hint="eastAsia" w:hAnsi="宋体" w:cs="宋体"/>
                                <w:lang w:val="en-US" w:eastAsia="zh-CN"/>
                              </w:rPr>
                              <w:t>正/</w:t>
                            </w:r>
                            <w:r>
                              <w:rPr>
                                <w:rFonts w:hint="eastAsia" w:hAnsi="宋体" w:cs="宋体"/>
                              </w:rPr>
                              <w:t>反面</w:t>
                            </w:r>
                          </w:p>
                          <w:p w14:paraId="01089D14"/>
                        </w:txbxContent>
                      </wps:txbx>
                      <wps:bodyPr upright="1"/>
                    </wps:wsp>
                  </a:graphicData>
                </a:graphic>
              </wp:anchor>
            </w:drawing>
          </mc:Choice>
          <mc:Fallback>
            <w:pict>
              <v:roundrect id="_x0000_s1026" o:spid="_x0000_s1026" o:spt="2" style="position:absolute;left:0pt;margin-left:5.4pt;margin-top:9.6pt;height:112.2pt;width:199.65pt;z-index:251664384;mso-width-relative:page;mso-height-relative:page;" fillcolor="#FFFFFF" filled="t" stroked="t" coordsize="21600,21600" arcsize="0.166666666666667" o:gfxdata="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0ajGtoAAAAJAQAADwAAAAAAAAABACAAAAAiAAAAZHJzL2Rvd25yZXYueG1s&#10;UEsBAhQAFAAAAAgAh07iQCgtwR4vAgAAdQQAAA4AAAAAAAAAAQAgAAAAKQEAAGRycy9lMm9Eb2Mu&#10;eG1sUEsFBgAAAAAGAAYAWQEAAMoFAAAAAA==&#10;">
                <v:fill on="t" focussize="0,0"/>
                <v:stroke weight="1.25pt" color="#808080" joinstyle="round"/>
                <v:imagedata o:title=""/>
                <o:lock v:ext="edit" aspectratio="f"/>
                <v:textbox>
                  <w:txbxContent>
                    <w:p w14:paraId="5246A91C">
                      <w:pPr>
                        <w:jc w:val="center"/>
                        <w:rPr>
                          <w:rFonts w:hint="eastAsia" w:hAnsi="宋体" w:eastAsia="宋体"/>
                          <w:lang w:eastAsia="zh-CN"/>
                        </w:rPr>
                      </w:pPr>
                    </w:p>
                    <w:p w14:paraId="6C5E2159">
                      <w:pPr>
                        <w:jc w:val="both"/>
                        <w:rPr>
                          <w:rFonts w:hint="eastAsia" w:hAnsi="宋体" w:cs="宋体"/>
                        </w:rPr>
                      </w:pPr>
                    </w:p>
                    <w:p w14:paraId="4FD46C72">
                      <w:pPr>
                        <w:jc w:val="center"/>
                      </w:pPr>
                      <w:r>
                        <w:rPr>
                          <w:rFonts w:hint="eastAsia" w:hAnsi="宋体" w:cs="宋体"/>
                        </w:rPr>
                        <w:t>法人身份证复印件</w:t>
                      </w:r>
                      <w:r>
                        <w:rPr>
                          <w:rFonts w:hint="eastAsia" w:hAnsi="宋体" w:cs="宋体"/>
                          <w:lang w:val="en-US" w:eastAsia="zh-CN"/>
                        </w:rPr>
                        <w:t>正/</w:t>
                      </w:r>
                      <w:r>
                        <w:rPr>
                          <w:rFonts w:hint="eastAsia" w:hAnsi="宋体" w:cs="宋体"/>
                        </w:rPr>
                        <w:t>反面</w:t>
                      </w:r>
                    </w:p>
                    <w:p w14:paraId="01089D14"/>
                  </w:txbxContent>
                </v:textbox>
              </v:roundrect>
            </w:pict>
          </mc:Fallback>
        </mc:AlternateContent>
      </w:r>
    </w:p>
    <w:p w14:paraId="2039632E">
      <w:pPr>
        <w:spacing w:line="360" w:lineRule="auto"/>
        <w:ind w:firstLine="240" w:firstLineChars="100"/>
        <w:rPr>
          <w:rFonts w:hint="eastAsia" w:ascii="宋体" w:hAnsi="宋体" w:eastAsia="宋体" w:cs="宋体"/>
          <w:color w:val="auto"/>
          <w:sz w:val="24"/>
          <w:szCs w:val="24"/>
          <w:highlight w:val="none"/>
        </w:rPr>
      </w:pPr>
    </w:p>
    <w:p w14:paraId="00C34989">
      <w:pPr>
        <w:spacing w:line="360" w:lineRule="auto"/>
        <w:rPr>
          <w:rFonts w:hint="eastAsia" w:ascii="宋体" w:hAnsi="宋体" w:eastAsia="宋体" w:cs="宋体"/>
          <w:color w:val="auto"/>
          <w:sz w:val="24"/>
          <w:szCs w:val="24"/>
          <w:highlight w:val="none"/>
        </w:rPr>
      </w:pPr>
    </w:p>
    <w:p w14:paraId="61D65FCF">
      <w:pPr>
        <w:spacing w:line="360" w:lineRule="auto"/>
        <w:ind w:firstLine="240" w:firstLineChars="100"/>
        <w:rPr>
          <w:rFonts w:hint="eastAsia" w:ascii="宋体" w:hAnsi="宋体" w:eastAsia="宋体" w:cs="宋体"/>
          <w:color w:val="auto"/>
          <w:sz w:val="24"/>
          <w:szCs w:val="24"/>
          <w:highlight w:val="none"/>
        </w:rPr>
      </w:pPr>
    </w:p>
    <w:p w14:paraId="4EF2D2F8">
      <w:pPr>
        <w:spacing w:line="360" w:lineRule="auto"/>
        <w:ind w:firstLine="240" w:firstLineChars="100"/>
        <w:rPr>
          <w:rFonts w:hint="eastAsia" w:ascii="宋体" w:hAnsi="宋体" w:eastAsia="宋体" w:cs="宋体"/>
          <w:color w:val="auto"/>
          <w:sz w:val="24"/>
          <w:szCs w:val="24"/>
          <w:highlight w:val="none"/>
        </w:rPr>
      </w:pPr>
    </w:p>
    <w:p w14:paraId="7AE58B6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p>
    <w:p w14:paraId="25B32C89">
      <w:pPr>
        <w:pStyle w:val="2"/>
        <w:rPr>
          <w:rFonts w:hint="eastAsia"/>
          <w:highlight w:val="none"/>
          <w:lang w:val="en-US" w:eastAsia="zh-CN"/>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2898775</wp:posOffset>
                </wp:positionH>
                <wp:positionV relativeFrom="paragraph">
                  <wp:posOffset>95885</wp:posOffset>
                </wp:positionV>
                <wp:extent cx="2551430" cy="1304290"/>
                <wp:effectExtent l="7620" t="7620" r="12700" b="21590"/>
                <wp:wrapNone/>
                <wp:docPr id="1029" name="圆角矩形 1029"/>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a:effectLst/>
                      </wps:spPr>
                      <wps:txbx>
                        <w:txbxContent>
                          <w:p w14:paraId="397FC7E7">
                            <w:pPr>
                              <w:rPr>
                                <w:rFonts w:hAnsi="宋体"/>
                              </w:rPr>
                            </w:pPr>
                          </w:p>
                          <w:p w14:paraId="7DDEEB91">
                            <w:pPr>
                              <w:rPr>
                                <w:rFonts w:hAnsi="宋体"/>
                              </w:rPr>
                            </w:pPr>
                          </w:p>
                          <w:p w14:paraId="2E50EBA3">
                            <w:pPr>
                              <w:jc w:val="center"/>
                            </w:pPr>
                            <w:r>
                              <w:rPr>
                                <w:rFonts w:hint="eastAsia" w:hAnsi="宋体" w:cs="宋体"/>
                              </w:rPr>
                              <w:t>授权委托人身份证复印件</w:t>
                            </w:r>
                            <w:r>
                              <w:rPr>
                                <w:rFonts w:hint="eastAsia" w:hAnsi="宋体" w:cs="宋体"/>
                                <w:lang w:val="en-US" w:eastAsia="zh-CN"/>
                              </w:rPr>
                              <w:t>正/</w:t>
                            </w:r>
                            <w:r>
                              <w:rPr>
                                <w:rFonts w:hint="eastAsia" w:hAnsi="宋体" w:cs="宋体"/>
                              </w:rPr>
                              <w:t>反面</w:t>
                            </w:r>
                          </w:p>
                          <w:p w14:paraId="2BA1D8B6"/>
                        </w:txbxContent>
                      </wps:txbx>
                      <wps:bodyPr upright="1"/>
                    </wps:wsp>
                  </a:graphicData>
                </a:graphic>
              </wp:anchor>
            </w:drawing>
          </mc:Choice>
          <mc:Fallback>
            <w:pict>
              <v:roundrect id="_x0000_s1026" o:spid="_x0000_s1026" o:spt="2" style="position:absolute;left:0pt;margin-left:228.25pt;margin-top:7.55pt;height:102.7pt;width:200.9pt;z-index:251662336;mso-width-relative:page;mso-height-relative:page;" fillcolor="#FFFFFF" filled="t" stroked="t" coordsize="21600,21600" arcsize="0.166666666666667" o:gfxdata="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MIUjtsAAAAKAQAADwAAAAAAAAABACAAAAAiAAAAZHJzL2Rvd25yZXYu&#10;eG1sUEsBAhQAFAAAAAgAh07iQJg+PiQxAgAAdQQAAA4AAAAAAAAAAQAgAAAAKgEAAGRycy9lMm9E&#10;b2MueG1sUEsFBgAAAAAGAAYAWQEAAM0FAAAAAA==&#10;">
                <v:fill on="t" focussize="0,0"/>
                <v:stroke weight="1.25pt" color="#808080" joinstyle="round"/>
                <v:imagedata o:title=""/>
                <o:lock v:ext="edit" aspectratio="f"/>
                <v:textbox>
                  <w:txbxContent>
                    <w:p w14:paraId="397FC7E7">
                      <w:pPr>
                        <w:rPr>
                          <w:rFonts w:hAnsi="宋体"/>
                        </w:rPr>
                      </w:pPr>
                    </w:p>
                    <w:p w14:paraId="7DDEEB91">
                      <w:pPr>
                        <w:rPr>
                          <w:rFonts w:hAnsi="宋体"/>
                        </w:rPr>
                      </w:pPr>
                    </w:p>
                    <w:p w14:paraId="2E50EBA3">
                      <w:pPr>
                        <w:jc w:val="center"/>
                      </w:pPr>
                      <w:r>
                        <w:rPr>
                          <w:rFonts w:hint="eastAsia" w:hAnsi="宋体" w:cs="宋体"/>
                        </w:rPr>
                        <w:t>授权委托人身份证复印件</w:t>
                      </w:r>
                      <w:r>
                        <w:rPr>
                          <w:rFonts w:hint="eastAsia" w:hAnsi="宋体" w:cs="宋体"/>
                          <w:lang w:val="en-US" w:eastAsia="zh-CN"/>
                        </w:rPr>
                        <w:t>正/</w:t>
                      </w:r>
                      <w:r>
                        <w:rPr>
                          <w:rFonts w:hint="eastAsia" w:hAnsi="宋体" w:cs="宋体"/>
                        </w:rPr>
                        <w:t>反面</w:t>
                      </w:r>
                    </w:p>
                    <w:p w14:paraId="2BA1D8B6"/>
                  </w:txbxContent>
                </v:textbox>
              </v:roundrect>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102235</wp:posOffset>
                </wp:positionH>
                <wp:positionV relativeFrom="paragraph">
                  <wp:posOffset>92710</wp:posOffset>
                </wp:positionV>
                <wp:extent cx="2546350" cy="1311910"/>
                <wp:effectExtent l="5080" t="4445" r="20320" b="17145"/>
                <wp:wrapNone/>
                <wp:docPr id="1030" name="流程图: 可选过程 1030"/>
                <wp:cNvGraphicFramePr/>
                <a:graphic xmlns:a="http://schemas.openxmlformats.org/drawingml/2006/main">
                  <a:graphicData uri="http://schemas.microsoft.com/office/word/2010/wordprocessingShape">
                    <wps:wsp>
                      <wps:cNvSpPr/>
                      <wps:spPr>
                        <a:xfrm>
                          <a:off x="0" y="0"/>
                          <a:ext cx="2317750" cy="9423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69346B4">
                            <w:pPr>
                              <w:jc w:val="center"/>
                              <w:rPr>
                                <w:rFonts w:hAnsi="宋体"/>
                              </w:rPr>
                            </w:pPr>
                          </w:p>
                          <w:p w14:paraId="05F58A6C">
                            <w:pPr>
                              <w:jc w:val="center"/>
                              <w:rPr>
                                <w:rFonts w:hAnsi="宋体"/>
                              </w:rPr>
                            </w:pPr>
                          </w:p>
                          <w:p w14:paraId="7ABA9E9F">
                            <w:pPr>
                              <w:jc w:val="center"/>
                            </w:pPr>
                            <w:r>
                              <w:rPr>
                                <w:rFonts w:hint="eastAsia" w:hAnsi="宋体" w:cs="宋体"/>
                              </w:rPr>
                              <w:t>授权委托人身份证复印件正</w:t>
                            </w:r>
                            <w:r>
                              <w:rPr>
                                <w:rFonts w:hint="eastAsia" w:hAnsi="宋体" w:cs="宋体"/>
                                <w:lang w:val="en-US" w:eastAsia="zh-CN"/>
                              </w:rPr>
                              <w:t>/反</w:t>
                            </w:r>
                            <w:r>
                              <w:rPr>
                                <w:rFonts w:hint="eastAsia" w:hAnsi="宋体" w:cs="宋体"/>
                              </w:rPr>
                              <w:t>面</w:t>
                            </w:r>
                          </w:p>
                        </w:txbxContent>
                      </wps:txbx>
                      <wps:bodyPr upright="1"/>
                    </wps:wsp>
                  </a:graphicData>
                </a:graphic>
              </wp:anchor>
            </w:drawing>
          </mc:Choice>
          <mc:Fallback>
            <w:pict>
              <v:shape id="_x0000_s1026" o:spid="_x0000_s1026" o:spt="176" type="#_x0000_t176" style="position:absolute;left:0pt;margin-left:8.05pt;margin-top:7.3pt;height:103.3pt;width:200.5pt;z-index:251663360;mso-width-relative:page;mso-height-relative:page;" fillcolor="#FFFFFF" filled="t" stroked="t" coordsize="21600,21600" o:gfxdata="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3PAmr1gAAAAkBAAAPAAAAAAAAAAEAIAAAACIAAABkcnMvZG93bnJldi54bWxQ&#10;SwECFAAUAAAACACHTuJA1/VDkzICAABjBAAADgAAAAAAAAABACAAAAAlAQAAZHJzL2Uyb0RvYy54&#10;bWxQSwUGAAAAAAYABgBZAQAAyQUAAAAA&#10;">
                <v:fill on="t" focussize="0,0"/>
                <v:stroke color="#000000" joinstyle="miter"/>
                <v:imagedata o:title=""/>
                <o:lock v:ext="edit" aspectratio="f"/>
                <v:textbox>
                  <w:txbxContent>
                    <w:p w14:paraId="069346B4">
                      <w:pPr>
                        <w:jc w:val="center"/>
                        <w:rPr>
                          <w:rFonts w:hAnsi="宋体"/>
                        </w:rPr>
                      </w:pPr>
                    </w:p>
                    <w:p w14:paraId="05F58A6C">
                      <w:pPr>
                        <w:jc w:val="center"/>
                        <w:rPr>
                          <w:rFonts w:hAnsi="宋体"/>
                        </w:rPr>
                      </w:pPr>
                    </w:p>
                    <w:p w14:paraId="7ABA9E9F">
                      <w:pPr>
                        <w:jc w:val="center"/>
                      </w:pPr>
                      <w:r>
                        <w:rPr>
                          <w:rFonts w:hint="eastAsia" w:hAnsi="宋体" w:cs="宋体"/>
                        </w:rPr>
                        <w:t>授权委托人身份证复印件正</w:t>
                      </w:r>
                      <w:r>
                        <w:rPr>
                          <w:rFonts w:hint="eastAsia" w:hAnsi="宋体" w:cs="宋体"/>
                          <w:lang w:val="en-US" w:eastAsia="zh-CN"/>
                        </w:rPr>
                        <w:t>/反</w:t>
                      </w:r>
                      <w:r>
                        <w:rPr>
                          <w:rFonts w:hint="eastAsia" w:hAnsi="宋体" w:cs="宋体"/>
                        </w:rPr>
                        <w:t>面</w:t>
                      </w:r>
                    </w:p>
                  </w:txbxContent>
                </v:textbox>
              </v:shape>
            </w:pict>
          </mc:Fallback>
        </mc:AlternateContent>
      </w:r>
    </w:p>
    <w:p w14:paraId="6B966EC3">
      <w:pPr>
        <w:pStyle w:val="6"/>
        <w:rPr>
          <w:rFonts w:hint="eastAsia"/>
          <w:highlight w:val="none"/>
          <w:lang w:val="en-US" w:eastAsia="zh-CN"/>
        </w:rPr>
      </w:pPr>
    </w:p>
    <w:p w14:paraId="227BB53F">
      <w:pPr>
        <w:rPr>
          <w:rFonts w:hint="eastAsia"/>
          <w:highlight w:val="none"/>
          <w:lang w:val="en-US" w:eastAsia="zh-CN"/>
        </w:rPr>
      </w:pPr>
    </w:p>
    <w:p w14:paraId="4F6702DB">
      <w:pPr>
        <w:pStyle w:val="2"/>
        <w:rPr>
          <w:rFonts w:hint="eastAsia"/>
          <w:highlight w:val="none"/>
          <w:lang w:val="en-US" w:eastAsia="zh-CN"/>
        </w:rPr>
      </w:pPr>
    </w:p>
    <w:p w14:paraId="208D812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p>
    <w:p w14:paraId="25DB35A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p>
    <w:p w14:paraId="4783C9E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投标人（公章）；</w:t>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p>
    <w:p w14:paraId="5325B619">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法定代表人（签字或盖章）：</w:t>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p>
    <w:p w14:paraId="1755122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3"/>
          <w:szCs w:val="23"/>
          <w:highlight w:val="none"/>
          <w:u w:val="single" w:color="auto"/>
          <w:lang w:val="en-US" w:eastAsia="zh-CN"/>
        </w:rPr>
      </w:pPr>
      <w:r>
        <w:rPr>
          <w:rFonts w:hint="eastAsia" w:ascii="宋体" w:hAnsi="宋体" w:eastAsia="宋体" w:cs="宋体"/>
          <w:color w:val="auto"/>
          <w:kern w:val="2"/>
          <w:sz w:val="24"/>
          <w:szCs w:val="24"/>
          <w:highlight w:val="none"/>
          <w:lang w:val="en-US" w:eastAsia="zh-CN" w:bidi="ar-SA"/>
        </w:rPr>
        <w:t>身份证号码：</w:t>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p>
    <w:p w14:paraId="1929A5A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委托代理人（签字或盖章）：</w:t>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p>
    <w:p w14:paraId="726D6DD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身份证号码：</w:t>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p>
    <w:p w14:paraId="065DAA78">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详细通讯地址：</w:t>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p>
    <w:p w14:paraId="1C8AA2B7">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邮政编码：</w:t>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p>
    <w:p w14:paraId="430F2F8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传　　　　真：</w:t>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p>
    <w:p w14:paraId="7679FD6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仿宋" w:cs="宋体"/>
          <w:color w:val="auto"/>
          <w:sz w:val="22"/>
          <w:szCs w:val="22"/>
          <w:highlight w:val="none"/>
          <w:lang w:eastAsia="zh-CN"/>
        </w:rPr>
      </w:pPr>
      <w:r>
        <w:rPr>
          <w:rFonts w:hint="eastAsia" w:ascii="宋体" w:hAnsi="宋体" w:eastAsia="宋体" w:cs="宋体"/>
          <w:color w:val="auto"/>
          <w:kern w:val="2"/>
          <w:sz w:val="24"/>
          <w:szCs w:val="24"/>
          <w:highlight w:val="none"/>
          <w:lang w:val="en-US" w:eastAsia="zh-CN" w:bidi="ar-SA"/>
        </w:rPr>
        <w:t>电　　　　话：</w:t>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p>
    <w:p w14:paraId="63712B22">
      <w:pPr>
        <w:spacing w:before="65" w:line="231" w:lineRule="auto"/>
        <w:ind w:left="6979"/>
        <w:rPr>
          <w:rFonts w:ascii="仿宋" w:hAnsi="仿宋" w:eastAsia="仿宋" w:cs="仿宋"/>
          <w:sz w:val="20"/>
          <w:szCs w:val="20"/>
          <w:highlight w:val="none"/>
        </w:rPr>
      </w:pPr>
      <w:bookmarkStart w:id="89" w:name="_Toc10717"/>
      <w:bookmarkStart w:id="90" w:name="_Toc20955"/>
      <w:bookmarkStart w:id="91" w:name="_Toc20985"/>
      <w:bookmarkStart w:id="92" w:name="_Toc11027"/>
      <w:bookmarkStart w:id="93" w:name="_Toc9530"/>
      <w:r>
        <w:rPr>
          <w:rFonts w:hint="eastAsia" w:ascii="宋体" w:hAnsi="宋体" w:eastAsia="宋体" w:cs="宋体"/>
          <w:color w:val="auto"/>
          <w:kern w:val="2"/>
          <w:sz w:val="24"/>
          <w:szCs w:val="24"/>
          <w:highlight w:val="none"/>
          <w:lang w:val="en-US" w:eastAsia="zh-CN" w:bidi="ar-SA"/>
        </w:rPr>
        <w:t>年月日</w:t>
      </w:r>
      <w:bookmarkEnd w:id="89"/>
      <w:bookmarkEnd w:id="90"/>
      <w:bookmarkEnd w:id="91"/>
      <w:bookmarkEnd w:id="92"/>
      <w:bookmarkEnd w:id="93"/>
    </w:p>
    <w:p w14:paraId="2C331D99">
      <w:pPr>
        <w:spacing w:line="231" w:lineRule="auto"/>
        <w:rPr>
          <w:rFonts w:ascii="仿宋" w:hAnsi="仿宋" w:eastAsia="仿宋" w:cs="仿宋"/>
          <w:sz w:val="20"/>
          <w:szCs w:val="20"/>
          <w:highlight w:val="none"/>
        </w:rPr>
        <w:sectPr>
          <w:footerReference r:id="rId15" w:type="default"/>
          <w:pgSz w:w="11906" w:h="16838"/>
          <w:pgMar w:top="1427" w:right="1350" w:bottom="1171" w:left="1767" w:header="0" w:footer="996" w:gutter="0"/>
          <w:pgNumType w:fmt="decimal"/>
          <w:cols w:space="720" w:num="1"/>
        </w:sectPr>
      </w:pPr>
    </w:p>
    <w:p w14:paraId="17F4A5B0">
      <w:pPr>
        <w:spacing w:before="75" w:line="229" w:lineRule="auto"/>
        <w:ind w:firstLine="486" w:firstLineChars="200"/>
        <w:outlineLvl w:val="1"/>
        <w:rPr>
          <w:highlight w:val="none"/>
        </w:rPr>
      </w:pPr>
      <w:r>
        <w:rPr>
          <w:rFonts w:ascii="仿宋" w:hAnsi="仿宋" w:eastAsia="仿宋" w:cs="仿宋"/>
          <w:b/>
          <w:bCs/>
          <w:spacing w:val="6"/>
          <w:sz w:val="23"/>
          <w:szCs w:val="23"/>
          <w:highlight w:val="none"/>
        </w:rPr>
        <w:t>4本单位缴纳的</w:t>
      </w:r>
      <w:r>
        <w:rPr>
          <w:rFonts w:hint="eastAsia" w:ascii="仿宋" w:hAnsi="仿宋" w:eastAsia="仿宋" w:cs="仿宋"/>
          <w:b/>
          <w:bCs/>
          <w:spacing w:val="6"/>
          <w:sz w:val="23"/>
          <w:szCs w:val="23"/>
          <w:highlight w:val="none"/>
          <w:lang w:eastAsia="zh-CN"/>
        </w:rPr>
        <w:t>近6个月任意</w:t>
      </w:r>
      <w:r>
        <w:rPr>
          <w:rFonts w:hint="eastAsia" w:ascii="仿宋" w:hAnsi="仿宋" w:eastAsia="仿宋" w:cs="仿宋"/>
          <w:b/>
          <w:bCs/>
          <w:spacing w:val="6"/>
          <w:sz w:val="23"/>
          <w:szCs w:val="23"/>
          <w:highlight w:val="none"/>
          <w:lang w:val="en-US" w:eastAsia="zh-CN"/>
        </w:rPr>
        <w:t>连续三</w:t>
      </w:r>
      <w:r>
        <w:rPr>
          <w:rFonts w:hint="eastAsia" w:ascii="仿宋" w:hAnsi="仿宋" w:eastAsia="仿宋" w:cs="仿宋"/>
          <w:b/>
          <w:bCs/>
          <w:spacing w:val="6"/>
          <w:sz w:val="23"/>
          <w:szCs w:val="23"/>
          <w:highlight w:val="none"/>
          <w:lang w:eastAsia="zh-CN"/>
        </w:rPr>
        <w:t>个月</w:t>
      </w:r>
      <w:r>
        <w:rPr>
          <w:rFonts w:ascii="仿宋" w:hAnsi="仿宋" w:eastAsia="仿宋" w:cs="仿宋"/>
          <w:b/>
          <w:bCs/>
          <w:spacing w:val="6"/>
          <w:sz w:val="23"/>
          <w:szCs w:val="23"/>
          <w:highlight w:val="none"/>
        </w:rPr>
        <w:t>的社保缴纳证明；</w:t>
      </w:r>
    </w:p>
    <w:p w14:paraId="48F27CB8">
      <w:pPr>
        <w:pStyle w:val="7"/>
        <w:spacing w:line="294" w:lineRule="auto"/>
        <w:ind w:firstLine="448" w:firstLineChars="200"/>
        <w:rPr>
          <w:rFonts w:hint="eastAsia" w:ascii="方正仿宋_GBK" w:hAnsi="方正仿宋_GBK" w:eastAsia="方正仿宋_GBK" w:cs="方正仿宋_GBK"/>
          <w:spacing w:val="-3"/>
          <w:sz w:val="23"/>
          <w:szCs w:val="23"/>
          <w:highlight w:val="none"/>
          <w:lang w:val="en-US" w:eastAsia="zh-CN"/>
        </w:rPr>
      </w:pPr>
    </w:p>
    <w:p w14:paraId="440076F1">
      <w:pPr>
        <w:pStyle w:val="7"/>
        <w:spacing w:line="294" w:lineRule="auto"/>
        <w:ind w:firstLine="448" w:firstLineChars="200"/>
        <w:rPr>
          <w:rFonts w:hint="default" w:eastAsia="方正仿宋_GBK"/>
          <w:highlight w:val="none"/>
          <w:lang w:val="en-US" w:eastAsia="zh-CN"/>
        </w:rPr>
      </w:pPr>
      <w:r>
        <w:rPr>
          <w:rFonts w:hint="eastAsia" w:ascii="方正仿宋_GBK" w:hAnsi="方正仿宋_GBK" w:eastAsia="方正仿宋_GBK" w:cs="方正仿宋_GBK"/>
          <w:spacing w:val="-3"/>
          <w:sz w:val="23"/>
          <w:szCs w:val="23"/>
          <w:highlight w:val="none"/>
          <w:lang w:val="en-US" w:eastAsia="zh-CN"/>
        </w:rPr>
        <w:t>注：提供</w:t>
      </w:r>
      <w:r>
        <w:rPr>
          <w:rFonts w:hint="eastAsia" w:ascii="方正仿宋_GBK" w:hAnsi="方正仿宋_GBK" w:eastAsia="方正仿宋_GBK" w:cs="方正仿宋_GBK"/>
          <w:spacing w:val="-3"/>
          <w:sz w:val="23"/>
          <w:szCs w:val="23"/>
          <w:highlight w:val="none"/>
          <w:lang w:eastAsia="zh-CN"/>
        </w:rPr>
        <w:t>投标人单位的社保缴费凭证及个人明细表，新成立不足三个月的企业提供成立至今的缴纳社会保障金的证明材料。</w:t>
      </w:r>
    </w:p>
    <w:p w14:paraId="0405EB35">
      <w:pPr>
        <w:pStyle w:val="7"/>
        <w:spacing w:line="294" w:lineRule="auto"/>
        <w:rPr>
          <w:highlight w:val="none"/>
        </w:rPr>
      </w:pPr>
    </w:p>
    <w:p w14:paraId="6A78581F">
      <w:pPr>
        <w:pStyle w:val="7"/>
        <w:spacing w:line="294" w:lineRule="auto"/>
        <w:rPr>
          <w:highlight w:val="none"/>
        </w:rPr>
      </w:pPr>
    </w:p>
    <w:p w14:paraId="54B400B4">
      <w:pPr>
        <w:spacing w:before="75" w:line="231" w:lineRule="auto"/>
        <w:ind w:left="579"/>
        <w:outlineLvl w:val="1"/>
        <w:rPr>
          <w:rFonts w:ascii="仿宋" w:hAnsi="仿宋" w:eastAsia="仿宋" w:cs="仿宋"/>
          <w:sz w:val="23"/>
          <w:szCs w:val="23"/>
          <w:highlight w:val="none"/>
        </w:rPr>
      </w:pPr>
      <w:r>
        <w:rPr>
          <w:rFonts w:ascii="仿宋" w:hAnsi="仿宋" w:eastAsia="仿宋" w:cs="仿宋"/>
          <w:b/>
          <w:bCs/>
          <w:spacing w:val="8"/>
          <w:sz w:val="23"/>
          <w:szCs w:val="23"/>
          <w:highlight w:val="none"/>
        </w:rPr>
        <w:t>5具有税务局开具依法缴纳</w:t>
      </w:r>
      <w:r>
        <w:rPr>
          <w:rFonts w:hint="eastAsia" w:ascii="仿宋" w:hAnsi="仿宋" w:eastAsia="仿宋" w:cs="仿宋"/>
          <w:b/>
          <w:bCs/>
          <w:spacing w:val="8"/>
          <w:sz w:val="23"/>
          <w:szCs w:val="23"/>
          <w:highlight w:val="none"/>
          <w:lang w:eastAsia="zh-CN"/>
        </w:rPr>
        <w:t>近6个月任意</w:t>
      </w:r>
      <w:r>
        <w:rPr>
          <w:rFonts w:hint="eastAsia" w:ascii="仿宋" w:hAnsi="仿宋" w:eastAsia="仿宋" w:cs="仿宋"/>
          <w:b/>
          <w:bCs/>
          <w:spacing w:val="8"/>
          <w:sz w:val="23"/>
          <w:szCs w:val="23"/>
          <w:highlight w:val="none"/>
          <w:lang w:val="en-US" w:eastAsia="zh-CN"/>
        </w:rPr>
        <w:t>三</w:t>
      </w:r>
      <w:r>
        <w:rPr>
          <w:rFonts w:hint="eastAsia" w:ascii="仿宋" w:hAnsi="仿宋" w:eastAsia="仿宋" w:cs="仿宋"/>
          <w:b/>
          <w:bCs/>
          <w:spacing w:val="8"/>
          <w:sz w:val="23"/>
          <w:szCs w:val="23"/>
          <w:highlight w:val="none"/>
          <w:lang w:eastAsia="zh-CN"/>
        </w:rPr>
        <w:t>个月</w:t>
      </w:r>
      <w:r>
        <w:rPr>
          <w:rFonts w:ascii="仿宋" w:hAnsi="仿宋" w:eastAsia="仿宋" w:cs="仿宋"/>
          <w:b/>
          <w:bCs/>
          <w:spacing w:val="7"/>
          <w:sz w:val="23"/>
          <w:szCs w:val="23"/>
          <w:highlight w:val="none"/>
        </w:rPr>
        <w:t>的税收证明的良好记</w:t>
      </w:r>
    </w:p>
    <w:p w14:paraId="59FC804B">
      <w:pPr>
        <w:ind w:left="0" w:right="0" w:firstLine="0"/>
        <w:rPr>
          <w:rFonts w:hint="eastAsia" w:ascii="仿宋" w:hAnsi="仿宋" w:eastAsia="仿宋" w:cs="仿宋"/>
          <w:sz w:val="23"/>
          <w:szCs w:val="23"/>
          <w:highlight w:val="none"/>
          <w:lang w:eastAsia="zh-CN"/>
        </w:rPr>
      </w:pPr>
      <w:r>
        <w:rPr>
          <w:rFonts w:ascii="仿宋" w:hAnsi="仿宋" w:eastAsia="仿宋" w:cs="仿宋"/>
          <w:b/>
          <w:bCs/>
          <w:spacing w:val="7"/>
          <w:sz w:val="23"/>
          <w:szCs w:val="23"/>
          <w:highlight w:val="none"/>
        </w:rPr>
        <w:t>录（完税证明</w:t>
      </w:r>
      <w:r>
        <w:rPr>
          <w:rFonts w:ascii="仿宋" w:hAnsi="仿宋" w:eastAsia="仿宋" w:cs="仿宋"/>
          <w:b/>
          <w:bCs/>
          <w:spacing w:val="20"/>
          <w:sz w:val="23"/>
          <w:szCs w:val="23"/>
          <w:highlight w:val="none"/>
        </w:rPr>
        <w:t>），</w:t>
      </w:r>
      <w:r>
        <w:rPr>
          <w:rFonts w:ascii="仿宋" w:hAnsi="仿宋" w:eastAsia="仿宋" w:cs="仿宋"/>
          <w:b/>
          <w:bCs/>
          <w:spacing w:val="7"/>
          <w:sz w:val="23"/>
          <w:szCs w:val="23"/>
          <w:highlight w:val="none"/>
        </w:rPr>
        <w:t>注：</w:t>
      </w:r>
      <w:r>
        <w:rPr>
          <w:rFonts w:hint="eastAsia" w:ascii="仿宋" w:hAnsi="仿宋" w:eastAsia="仿宋" w:cs="仿宋"/>
          <w:b/>
          <w:bCs/>
          <w:spacing w:val="7"/>
          <w:sz w:val="23"/>
          <w:szCs w:val="23"/>
          <w:highlight w:val="none"/>
          <w:lang w:eastAsia="zh-CN"/>
        </w:rPr>
        <w:t>税务部门出具的完税凭证或缴税证明或银行出具的“银行电子缴税付款凭证”；①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p>
    <w:p w14:paraId="108EECB7">
      <w:pPr>
        <w:pStyle w:val="7"/>
        <w:spacing w:line="286" w:lineRule="auto"/>
        <w:rPr>
          <w:highlight w:val="none"/>
        </w:rPr>
      </w:pPr>
    </w:p>
    <w:p w14:paraId="3C67E37E">
      <w:pPr>
        <w:pStyle w:val="7"/>
        <w:spacing w:line="286" w:lineRule="auto"/>
        <w:rPr>
          <w:highlight w:val="none"/>
        </w:rPr>
      </w:pPr>
    </w:p>
    <w:p w14:paraId="5F50B990">
      <w:pPr>
        <w:pStyle w:val="7"/>
        <w:spacing w:line="286" w:lineRule="auto"/>
        <w:rPr>
          <w:highlight w:val="none"/>
        </w:rPr>
      </w:pPr>
    </w:p>
    <w:p w14:paraId="5F3A592F">
      <w:pPr>
        <w:pStyle w:val="7"/>
        <w:spacing w:line="286" w:lineRule="auto"/>
        <w:rPr>
          <w:highlight w:val="none"/>
        </w:rPr>
      </w:pPr>
    </w:p>
    <w:p w14:paraId="7D9DA787">
      <w:pPr>
        <w:pStyle w:val="7"/>
        <w:spacing w:line="286" w:lineRule="auto"/>
        <w:jc w:val="left"/>
        <w:rPr>
          <w:highlight w:val="none"/>
        </w:rPr>
      </w:pPr>
    </w:p>
    <w:p w14:paraId="7DCC7BC4">
      <w:pPr>
        <w:spacing w:before="75"/>
        <w:ind w:firstLine="486" w:firstLineChars="200"/>
        <w:jc w:val="both"/>
        <w:outlineLvl w:val="1"/>
        <w:rPr>
          <w:rFonts w:ascii="仿宋" w:hAnsi="仿宋" w:eastAsia="仿宋" w:cs="仿宋"/>
          <w:sz w:val="23"/>
          <w:szCs w:val="23"/>
          <w:highlight w:val="none"/>
        </w:rPr>
      </w:pPr>
      <w:r>
        <w:rPr>
          <w:rFonts w:ascii="仿宋" w:hAnsi="仿宋" w:eastAsia="仿宋" w:cs="仿宋"/>
          <w:b/>
          <w:bCs/>
          <w:spacing w:val="6"/>
          <w:sz w:val="23"/>
          <w:szCs w:val="23"/>
          <w:highlight w:val="none"/>
        </w:rPr>
        <w:t>6具有2023年度的财务审计报告</w:t>
      </w:r>
      <w:r>
        <w:rPr>
          <w:rFonts w:hint="eastAsia" w:ascii="仿宋" w:hAnsi="仿宋" w:eastAsia="仿宋" w:cs="仿宋"/>
          <w:b/>
          <w:bCs/>
          <w:spacing w:val="6"/>
          <w:sz w:val="23"/>
          <w:szCs w:val="23"/>
          <w:highlight w:val="none"/>
          <w:lang w:val="en-US" w:eastAsia="zh-CN"/>
        </w:rPr>
        <w:t>或2024年度的财务审计报告</w:t>
      </w:r>
      <w:r>
        <w:rPr>
          <w:rFonts w:ascii="仿宋" w:hAnsi="仿宋" w:eastAsia="仿宋" w:cs="仿宋"/>
          <w:b/>
          <w:bCs/>
          <w:spacing w:val="6"/>
          <w:sz w:val="23"/>
          <w:szCs w:val="23"/>
          <w:highlight w:val="none"/>
        </w:rPr>
        <w:t>（新成立</w:t>
      </w:r>
      <w:r>
        <w:rPr>
          <w:rFonts w:ascii="仿宋" w:hAnsi="仿宋" w:eastAsia="仿宋" w:cs="仿宋"/>
          <w:b/>
          <w:bCs/>
          <w:spacing w:val="5"/>
          <w:sz w:val="23"/>
          <w:szCs w:val="23"/>
          <w:highlight w:val="none"/>
        </w:rPr>
        <w:t>未满一年的公司提供有效的银行</w:t>
      </w:r>
      <w:r>
        <w:rPr>
          <w:rFonts w:ascii="仿宋" w:hAnsi="仿宋" w:eastAsia="仿宋" w:cs="仿宋"/>
          <w:b/>
          <w:bCs/>
          <w:spacing w:val="1"/>
          <w:sz w:val="23"/>
          <w:szCs w:val="23"/>
          <w:highlight w:val="none"/>
        </w:rPr>
        <w:t>资信证明</w:t>
      </w:r>
      <w:r>
        <w:rPr>
          <w:rFonts w:ascii="仿宋" w:hAnsi="仿宋" w:eastAsia="仿宋" w:cs="仿宋"/>
          <w:b/>
          <w:bCs/>
          <w:spacing w:val="-12"/>
          <w:sz w:val="23"/>
          <w:szCs w:val="23"/>
          <w:highlight w:val="none"/>
        </w:rPr>
        <w:t>）；</w:t>
      </w:r>
    </w:p>
    <w:p w14:paraId="79E69EB8">
      <w:pPr>
        <w:spacing w:before="25" w:line="232" w:lineRule="auto"/>
        <w:ind w:left="568"/>
        <w:rPr>
          <w:rFonts w:ascii="仿宋" w:hAnsi="仿宋" w:eastAsia="仿宋" w:cs="仿宋"/>
          <w:sz w:val="23"/>
          <w:szCs w:val="23"/>
          <w:highlight w:val="none"/>
        </w:rPr>
      </w:pPr>
      <w:r>
        <w:rPr>
          <w:rFonts w:ascii="仿宋" w:hAnsi="仿宋" w:eastAsia="仿宋" w:cs="仿宋"/>
          <w:spacing w:val="-11"/>
          <w:sz w:val="23"/>
          <w:szCs w:val="23"/>
          <w:highlight w:val="none"/>
        </w:rPr>
        <w:t>说明：</w:t>
      </w:r>
    </w:p>
    <w:p w14:paraId="09607863">
      <w:pPr>
        <w:spacing w:before="22"/>
        <w:ind w:left="573" w:right="136" w:firstLine="4"/>
        <w:rPr>
          <w:rFonts w:ascii="仿宋" w:hAnsi="仿宋" w:eastAsia="仿宋" w:cs="仿宋"/>
          <w:sz w:val="23"/>
          <w:szCs w:val="23"/>
          <w:highlight w:val="none"/>
        </w:rPr>
      </w:pPr>
      <w:r>
        <w:rPr>
          <w:rFonts w:ascii="仿宋" w:hAnsi="仿宋" w:eastAsia="仿宋" w:cs="仿宋"/>
          <w:spacing w:val="12"/>
          <w:sz w:val="23"/>
          <w:szCs w:val="23"/>
          <w:highlight w:val="none"/>
        </w:rPr>
        <w:t>1、如提供本单位上年度经会计师事务所出具的审计报</w:t>
      </w:r>
      <w:r>
        <w:rPr>
          <w:rFonts w:ascii="仿宋" w:hAnsi="仿宋" w:eastAsia="仿宋" w:cs="仿宋"/>
          <w:spacing w:val="11"/>
          <w:sz w:val="23"/>
          <w:szCs w:val="23"/>
          <w:highlight w:val="none"/>
        </w:rPr>
        <w:t>告原件扫描件须加</w:t>
      </w:r>
      <w:r>
        <w:rPr>
          <w:rFonts w:ascii="仿宋" w:hAnsi="仿宋" w:eastAsia="仿宋" w:cs="仿宋"/>
          <w:sz w:val="23"/>
          <w:szCs w:val="23"/>
          <w:highlight w:val="none"/>
        </w:rPr>
        <w:t>盖本单位章。</w:t>
      </w:r>
    </w:p>
    <w:p w14:paraId="57E7AFA2">
      <w:pPr>
        <w:spacing w:before="27" w:line="245" w:lineRule="auto"/>
        <w:ind w:left="567" w:right="134" w:hanging="4"/>
        <w:jc w:val="both"/>
        <w:rPr>
          <w:rFonts w:ascii="仿宋" w:hAnsi="仿宋" w:eastAsia="仿宋" w:cs="仿宋"/>
          <w:sz w:val="23"/>
          <w:szCs w:val="23"/>
          <w:highlight w:val="none"/>
        </w:rPr>
      </w:pPr>
      <w:r>
        <w:rPr>
          <w:rFonts w:ascii="仿宋" w:hAnsi="仿宋" w:eastAsia="仿宋" w:cs="仿宋"/>
          <w:spacing w:val="12"/>
          <w:sz w:val="23"/>
          <w:szCs w:val="23"/>
          <w:highlight w:val="none"/>
        </w:rPr>
        <w:t>2、如提供银行出具的证明文件。可提供银</w:t>
      </w:r>
      <w:r>
        <w:rPr>
          <w:rFonts w:ascii="仿宋" w:hAnsi="仿宋" w:eastAsia="仿宋" w:cs="仿宋"/>
          <w:spacing w:val="8"/>
          <w:sz w:val="23"/>
          <w:szCs w:val="23"/>
          <w:highlight w:val="none"/>
        </w:rPr>
        <w:t>行在开标日前三个月内开具证明文件的原件扫描件。若提供的是原件扫描件，招标采购单位保留审核原件的权利。银行出具的证明文件应能说明该</w:t>
      </w:r>
      <w:r>
        <w:rPr>
          <w:rFonts w:ascii="仿宋" w:hAnsi="仿宋" w:eastAsia="仿宋" w:cs="仿宋"/>
          <w:spacing w:val="7"/>
          <w:sz w:val="23"/>
          <w:szCs w:val="23"/>
          <w:highlight w:val="none"/>
        </w:rPr>
        <w:t>供应商与银行之间业务往来正常，企业信誉良好等。</w:t>
      </w:r>
    </w:p>
    <w:p w14:paraId="5B79DAF2">
      <w:pPr>
        <w:spacing w:before="27" w:line="241" w:lineRule="auto"/>
        <w:ind w:left="1107" w:right="136" w:hanging="543"/>
        <w:rPr>
          <w:rFonts w:ascii="仿宋" w:hAnsi="仿宋" w:eastAsia="仿宋" w:cs="仿宋"/>
          <w:sz w:val="23"/>
          <w:szCs w:val="23"/>
          <w:highlight w:val="none"/>
        </w:rPr>
      </w:pPr>
      <w:r>
        <w:rPr>
          <w:rFonts w:ascii="仿宋" w:hAnsi="仿宋" w:eastAsia="仿宋" w:cs="仿宋"/>
          <w:spacing w:val="12"/>
          <w:sz w:val="23"/>
          <w:szCs w:val="23"/>
          <w:highlight w:val="none"/>
        </w:rPr>
        <w:t>3、（本项目不接受联合体投标）如果是联合体投标，联合体各方均需提</w:t>
      </w:r>
      <w:r>
        <w:rPr>
          <w:rFonts w:ascii="仿宋" w:hAnsi="仿宋" w:eastAsia="仿宋" w:cs="仿宋"/>
          <w:spacing w:val="1"/>
          <w:sz w:val="23"/>
          <w:szCs w:val="23"/>
          <w:highlight w:val="none"/>
        </w:rPr>
        <w:t>供上述证明。</w:t>
      </w:r>
    </w:p>
    <w:p w14:paraId="310F49A8">
      <w:pPr>
        <w:pStyle w:val="7"/>
        <w:spacing w:line="284" w:lineRule="auto"/>
        <w:rPr>
          <w:highlight w:val="none"/>
        </w:rPr>
      </w:pPr>
    </w:p>
    <w:p w14:paraId="26700E3E">
      <w:pPr>
        <w:pStyle w:val="7"/>
        <w:spacing w:line="284" w:lineRule="auto"/>
        <w:rPr>
          <w:highlight w:val="none"/>
        </w:rPr>
      </w:pPr>
    </w:p>
    <w:p w14:paraId="49D2A7D3">
      <w:pPr>
        <w:pStyle w:val="7"/>
        <w:spacing w:line="284" w:lineRule="auto"/>
        <w:rPr>
          <w:highlight w:val="none"/>
        </w:rPr>
      </w:pPr>
    </w:p>
    <w:p w14:paraId="1E0CCF16">
      <w:pPr>
        <w:pStyle w:val="7"/>
        <w:spacing w:line="284" w:lineRule="auto"/>
        <w:rPr>
          <w:highlight w:val="none"/>
        </w:rPr>
      </w:pPr>
    </w:p>
    <w:p w14:paraId="248A971F">
      <w:pPr>
        <w:spacing w:before="76" w:line="230" w:lineRule="auto"/>
        <w:ind w:left="589"/>
        <w:outlineLvl w:val="1"/>
        <w:rPr>
          <w:rFonts w:ascii="仿宋" w:hAnsi="仿宋" w:eastAsia="仿宋" w:cs="仿宋"/>
          <w:sz w:val="23"/>
          <w:szCs w:val="23"/>
          <w:highlight w:val="none"/>
        </w:rPr>
      </w:pPr>
      <w:r>
        <w:rPr>
          <w:rFonts w:ascii="仿宋" w:hAnsi="仿宋" w:eastAsia="仿宋" w:cs="仿宋"/>
          <w:b/>
          <w:bCs/>
          <w:spacing w:val="16"/>
          <w:sz w:val="23"/>
          <w:szCs w:val="23"/>
          <w:highlight w:val="none"/>
        </w:rPr>
        <w:t>7投标供应商参加项目领取</w:t>
      </w:r>
      <w:r>
        <w:rPr>
          <w:rFonts w:hint="eastAsia" w:ascii="仿宋" w:hAnsi="仿宋" w:eastAsia="仿宋" w:cs="仿宋"/>
          <w:b/>
          <w:bCs/>
          <w:spacing w:val="16"/>
          <w:sz w:val="23"/>
          <w:szCs w:val="23"/>
          <w:highlight w:val="none"/>
          <w:lang w:eastAsia="zh-CN"/>
        </w:rPr>
        <w:t>投标文件</w:t>
      </w:r>
      <w:r>
        <w:rPr>
          <w:rFonts w:ascii="仿宋" w:hAnsi="仿宋" w:eastAsia="仿宋" w:cs="仿宋"/>
          <w:b/>
          <w:bCs/>
          <w:spacing w:val="16"/>
          <w:sz w:val="23"/>
          <w:szCs w:val="23"/>
          <w:highlight w:val="none"/>
        </w:rPr>
        <w:t>及投标环节期间</w:t>
      </w:r>
      <w:r>
        <w:rPr>
          <w:rFonts w:ascii="仿宋" w:hAnsi="仿宋" w:eastAsia="仿宋" w:cs="仿宋"/>
          <w:b/>
          <w:bCs/>
          <w:spacing w:val="15"/>
          <w:sz w:val="23"/>
          <w:szCs w:val="23"/>
          <w:highlight w:val="none"/>
        </w:rPr>
        <w:t>采购活动前3年</w:t>
      </w:r>
    </w:p>
    <w:p w14:paraId="4295CE5E">
      <w:pPr>
        <w:spacing w:before="25" w:line="228" w:lineRule="auto"/>
        <w:ind w:left="56"/>
        <w:rPr>
          <w:rFonts w:ascii="仿宋" w:hAnsi="仿宋" w:eastAsia="仿宋" w:cs="仿宋"/>
          <w:sz w:val="23"/>
          <w:szCs w:val="23"/>
          <w:highlight w:val="none"/>
        </w:rPr>
      </w:pPr>
      <w:r>
        <w:rPr>
          <w:rFonts w:ascii="仿宋" w:hAnsi="仿宋" w:eastAsia="仿宋" w:cs="仿宋"/>
          <w:b/>
          <w:bCs/>
          <w:spacing w:val="6"/>
          <w:sz w:val="23"/>
          <w:szCs w:val="23"/>
          <w:highlight w:val="none"/>
        </w:rPr>
        <w:t>内，在经营活动中没有重大违法记录的书面承诺书（</w:t>
      </w:r>
      <w:r>
        <w:rPr>
          <w:rFonts w:ascii="仿宋" w:hAnsi="仿宋" w:eastAsia="仿宋" w:cs="仿宋"/>
          <w:b/>
          <w:bCs/>
          <w:spacing w:val="5"/>
          <w:sz w:val="23"/>
          <w:szCs w:val="23"/>
          <w:highlight w:val="none"/>
        </w:rPr>
        <w:t>自拟</w:t>
      </w:r>
      <w:r>
        <w:rPr>
          <w:rFonts w:ascii="仿宋" w:hAnsi="仿宋" w:eastAsia="仿宋" w:cs="仿宋"/>
          <w:b/>
          <w:bCs/>
          <w:spacing w:val="-7"/>
          <w:sz w:val="23"/>
          <w:szCs w:val="23"/>
          <w:highlight w:val="none"/>
        </w:rPr>
        <w:t>）；</w:t>
      </w:r>
    </w:p>
    <w:p w14:paraId="091C7707">
      <w:pPr>
        <w:pStyle w:val="7"/>
        <w:spacing w:line="286" w:lineRule="auto"/>
        <w:rPr>
          <w:highlight w:val="none"/>
        </w:rPr>
      </w:pPr>
    </w:p>
    <w:p w14:paraId="4A4995AB">
      <w:pPr>
        <w:pStyle w:val="7"/>
        <w:spacing w:line="287" w:lineRule="auto"/>
        <w:rPr>
          <w:highlight w:val="none"/>
        </w:rPr>
      </w:pPr>
    </w:p>
    <w:p w14:paraId="292230B5">
      <w:pPr>
        <w:spacing w:before="75" w:line="231" w:lineRule="auto"/>
        <w:ind w:left="585"/>
        <w:outlineLvl w:val="1"/>
        <w:rPr>
          <w:rFonts w:ascii="仿宋" w:hAnsi="仿宋" w:eastAsia="仿宋" w:cs="仿宋"/>
          <w:b/>
          <w:bCs/>
          <w:spacing w:val="4"/>
          <w:sz w:val="23"/>
          <w:szCs w:val="23"/>
          <w:highlight w:val="none"/>
        </w:rPr>
      </w:pPr>
    </w:p>
    <w:p w14:paraId="68297308">
      <w:pPr>
        <w:pStyle w:val="23"/>
        <w:rPr>
          <w:highlight w:val="none"/>
        </w:rPr>
      </w:pPr>
    </w:p>
    <w:p w14:paraId="685A3755">
      <w:pPr>
        <w:pStyle w:val="23"/>
        <w:rPr>
          <w:highlight w:val="none"/>
        </w:rPr>
      </w:pPr>
    </w:p>
    <w:p w14:paraId="20465BFA">
      <w:pPr>
        <w:spacing w:before="75" w:line="231" w:lineRule="auto"/>
        <w:ind w:left="585"/>
        <w:outlineLvl w:val="1"/>
        <w:rPr>
          <w:rFonts w:ascii="仿宋" w:hAnsi="仿宋" w:eastAsia="仿宋" w:cs="仿宋"/>
          <w:sz w:val="23"/>
          <w:szCs w:val="23"/>
          <w:highlight w:val="none"/>
        </w:rPr>
      </w:pPr>
      <w:r>
        <w:rPr>
          <w:rFonts w:ascii="仿宋" w:hAnsi="仿宋" w:eastAsia="仿宋" w:cs="仿宋"/>
          <w:b/>
          <w:bCs/>
          <w:spacing w:val="4"/>
          <w:sz w:val="23"/>
          <w:szCs w:val="23"/>
          <w:highlight w:val="none"/>
        </w:rPr>
        <w:t>8针对本项目的反商业贿赂承诺书；</w:t>
      </w:r>
    </w:p>
    <w:p w14:paraId="65E2D6EB">
      <w:pPr>
        <w:pStyle w:val="7"/>
        <w:spacing w:line="285" w:lineRule="auto"/>
        <w:rPr>
          <w:highlight w:val="none"/>
        </w:rPr>
      </w:pPr>
    </w:p>
    <w:p w14:paraId="5DA83FE4">
      <w:pPr>
        <w:pStyle w:val="7"/>
        <w:spacing w:line="285" w:lineRule="auto"/>
        <w:rPr>
          <w:highlight w:val="none"/>
        </w:rPr>
      </w:pPr>
    </w:p>
    <w:p w14:paraId="1F5D1062">
      <w:pPr>
        <w:rPr>
          <w:highlight w:val="none"/>
        </w:rPr>
      </w:pPr>
    </w:p>
    <w:p w14:paraId="0ED6CFAD">
      <w:pPr>
        <w:rPr>
          <w:highlight w:val="none"/>
        </w:rPr>
      </w:pPr>
    </w:p>
    <w:p w14:paraId="3434276B">
      <w:pPr>
        <w:rPr>
          <w:highlight w:val="none"/>
        </w:rPr>
      </w:pPr>
    </w:p>
    <w:p w14:paraId="0DA1B380">
      <w:pPr>
        <w:rPr>
          <w:highlight w:val="none"/>
        </w:rPr>
      </w:pPr>
    </w:p>
    <w:p w14:paraId="1085006C">
      <w:pPr>
        <w:rPr>
          <w:highlight w:val="none"/>
        </w:rPr>
      </w:pPr>
    </w:p>
    <w:p w14:paraId="304EEC68">
      <w:pPr>
        <w:rPr>
          <w:highlight w:val="none"/>
        </w:rPr>
      </w:pPr>
    </w:p>
    <w:p w14:paraId="11BEBE0D">
      <w:pPr>
        <w:spacing w:before="75" w:line="228" w:lineRule="auto"/>
        <w:ind w:left="585"/>
        <w:outlineLvl w:val="1"/>
        <w:rPr>
          <w:rFonts w:ascii="仿宋" w:hAnsi="仿宋" w:eastAsia="仿宋" w:cs="仿宋"/>
          <w:sz w:val="23"/>
          <w:szCs w:val="23"/>
          <w:highlight w:val="none"/>
        </w:rPr>
      </w:pPr>
      <w:r>
        <w:rPr>
          <w:rFonts w:ascii="仿宋" w:hAnsi="仿宋" w:eastAsia="仿宋" w:cs="仿宋"/>
          <w:b/>
          <w:bCs/>
          <w:spacing w:val="8"/>
          <w:sz w:val="23"/>
          <w:szCs w:val="23"/>
          <w:highlight w:val="none"/>
        </w:rPr>
        <w:t>9根据《财政部关于在政府采购活动中查询及使用信用记</w:t>
      </w:r>
      <w:r>
        <w:rPr>
          <w:rFonts w:ascii="仿宋" w:hAnsi="仿宋" w:eastAsia="仿宋" w:cs="仿宋"/>
          <w:b/>
          <w:bCs/>
          <w:spacing w:val="7"/>
          <w:sz w:val="23"/>
          <w:szCs w:val="23"/>
          <w:highlight w:val="none"/>
        </w:rPr>
        <w:t>录有关问题的通知》（财库﹝2016)125号）的要求，</w:t>
      </w:r>
      <w:r>
        <w:rPr>
          <w:rFonts w:hint="eastAsia" w:ascii="仿宋" w:hAnsi="仿宋" w:eastAsia="仿宋" w:cs="仿宋"/>
          <w:b/>
          <w:bCs/>
          <w:spacing w:val="7"/>
          <w:sz w:val="23"/>
          <w:szCs w:val="23"/>
          <w:highlight w:val="none"/>
        </w:rPr>
        <w:t>凡拟参加本次项目的投标人，</w:t>
      </w:r>
      <w:r>
        <w:rPr>
          <w:rFonts w:hint="eastAsia" w:ascii="仿宋" w:hAnsi="仿宋" w:eastAsia="仿宋" w:cs="仿宋"/>
          <w:b/>
          <w:bCs/>
          <w:spacing w:val="8"/>
          <w:sz w:val="23"/>
          <w:szCs w:val="23"/>
          <w:highlight w:val="none"/>
        </w:rPr>
        <w:t>在“信用中国”网站（http://www.creditchina.gov.cn）网站上</w:t>
      </w:r>
      <w:r>
        <w:rPr>
          <w:rFonts w:hint="eastAsia" w:ascii="仿宋" w:hAnsi="仿宋" w:eastAsia="仿宋" w:cs="仿宋"/>
          <w:b/>
          <w:bCs/>
          <w:spacing w:val="8"/>
          <w:sz w:val="23"/>
          <w:szCs w:val="23"/>
          <w:highlight w:val="none"/>
          <w:lang w:val="en-US" w:eastAsia="zh-CN"/>
        </w:rPr>
        <w:t>被</w:t>
      </w:r>
      <w:r>
        <w:rPr>
          <w:rFonts w:hint="eastAsia" w:ascii="仿宋" w:hAnsi="仿宋" w:eastAsia="仿宋" w:cs="仿宋"/>
          <w:b/>
          <w:bCs/>
          <w:spacing w:val="8"/>
          <w:sz w:val="23"/>
          <w:szCs w:val="23"/>
          <w:highlight w:val="none"/>
        </w:rPr>
        <w:t>列入失信被执行人名单、重大税收违法案件当事人名单</w:t>
      </w:r>
      <w:r>
        <w:rPr>
          <w:rFonts w:hint="eastAsia" w:ascii="仿宋" w:hAnsi="仿宋" w:eastAsia="仿宋" w:cs="仿宋"/>
          <w:b/>
          <w:bCs/>
          <w:spacing w:val="8"/>
          <w:sz w:val="23"/>
          <w:szCs w:val="23"/>
          <w:highlight w:val="none"/>
          <w:lang w:eastAsia="zh-CN"/>
        </w:rPr>
        <w:t>；</w:t>
      </w:r>
      <w:r>
        <w:rPr>
          <w:rFonts w:hint="eastAsia" w:ascii="仿宋" w:hAnsi="仿宋" w:eastAsia="仿宋" w:cs="仿宋"/>
          <w:b/>
          <w:bCs/>
          <w:spacing w:val="8"/>
          <w:sz w:val="23"/>
          <w:szCs w:val="23"/>
          <w:highlight w:val="none"/>
        </w:rPr>
        <w:t>中国政府采购网（http://www.ccgp.gov.cn）网站上</w:t>
      </w:r>
      <w:r>
        <w:rPr>
          <w:rFonts w:hint="eastAsia" w:ascii="仿宋" w:hAnsi="仿宋" w:eastAsia="仿宋" w:cs="仿宋"/>
          <w:b/>
          <w:bCs/>
          <w:spacing w:val="7"/>
          <w:sz w:val="23"/>
          <w:szCs w:val="23"/>
          <w:highlight w:val="none"/>
        </w:rPr>
        <w:t>被列入</w:t>
      </w:r>
      <w:r>
        <w:rPr>
          <w:rFonts w:hint="eastAsia" w:ascii="仿宋" w:hAnsi="仿宋" w:eastAsia="仿宋" w:cs="仿宋"/>
          <w:b/>
          <w:bCs/>
          <w:spacing w:val="8"/>
          <w:sz w:val="23"/>
          <w:szCs w:val="23"/>
          <w:highlight w:val="none"/>
        </w:rPr>
        <w:t>政府采购严重违法失信行为记录名单；国家企业信用信息公示系统(http://www.gsxt.gov.cn)查询</w:t>
      </w:r>
      <w:r>
        <w:rPr>
          <w:rFonts w:hint="eastAsia" w:ascii="仿宋" w:hAnsi="仿宋" w:eastAsia="仿宋" w:cs="仿宋"/>
          <w:b/>
          <w:bCs/>
          <w:spacing w:val="8"/>
          <w:sz w:val="23"/>
          <w:szCs w:val="23"/>
          <w:highlight w:val="none"/>
          <w:lang w:val="en-US" w:eastAsia="zh-CN"/>
        </w:rPr>
        <w:t>被列入</w:t>
      </w:r>
      <w:r>
        <w:rPr>
          <w:rFonts w:hint="eastAsia" w:ascii="仿宋" w:hAnsi="仿宋" w:eastAsia="仿宋" w:cs="仿宋"/>
          <w:b/>
          <w:bCs/>
          <w:spacing w:val="8"/>
          <w:sz w:val="23"/>
          <w:szCs w:val="23"/>
          <w:highlight w:val="none"/>
        </w:rPr>
        <w:t>经营异常名录、严重违法失信名单</w:t>
      </w:r>
      <w:r>
        <w:rPr>
          <w:rFonts w:hint="eastAsia" w:ascii="仿宋" w:hAnsi="仿宋" w:eastAsia="仿宋" w:cs="仿宋"/>
          <w:b/>
          <w:bCs/>
          <w:spacing w:val="8"/>
          <w:sz w:val="23"/>
          <w:szCs w:val="23"/>
          <w:highlight w:val="none"/>
          <w:lang w:eastAsia="zh-CN"/>
        </w:rPr>
        <w:t>的</w:t>
      </w:r>
      <w:r>
        <w:rPr>
          <w:rFonts w:hint="eastAsia" w:ascii="仿宋" w:hAnsi="仿宋" w:eastAsia="仿宋" w:cs="仿宋"/>
          <w:b/>
          <w:bCs/>
          <w:spacing w:val="8"/>
          <w:sz w:val="23"/>
          <w:szCs w:val="23"/>
          <w:highlight w:val="none"/>
        </w:rPr>
        <w:t>投标人将被认定为投标无效；需提供相关网站打印件（加盖响应单位公章、必须为完整版）提供截图日期需在本项目发布公告日期之后；</w:t>
      </w:r>
    </w:p>
    <w:p w14:paraId="2BDCAED4">
      <w:pPr>
        <w:spacing w:line="246" w:lineRule="auto"/>
        <w:rPr>
          <w:rFonts w:ascii="仿宋" w:hAnsi="仿宋" w:eastAsia="仿宋" w:cs="仿宋"/>
          <w:sz w:val="23"/>
          <w:szCs w:val="23"/>
          <w:highlight w:val="none"/>
        </w:rPr>
        <w:sectPr>
          <w:footerReference r:id="rId16" w:type="default"/>
          <w:pgSz w:w="11906" w:h="16838"/>
          <w:pgMar w:top="1431" w:right="1782" w:bottom="1171" w:left="1785" w:header="0" w:footer="996" w:gutter="0"/>
          <w:pgNumType w:fmt="decimal"/>
          <w:cols w:space="720" w:num="1"/>
        </w:sectPr>
      </w:pPr>
    </w:p>
    <w:p w14:paraId="2A3709E0">
      <w:pPr>
        <w:spacing w:before="49" w:line="229" w:lineRule="auto"/>
        <w:ind w:left="577"/>
        <w:rPr>
          <w:rFonts w:ascii="仿宋" w:hAnsi="仿宋" w:eastAsia="仿宋" w:cs="仿宋"/>
          <w:sz w:val="23"/>
          <w:szCs w:val="23"/>
          <w:highlight w:val="none"/>
        </w:rPr>
      </w:pPr>
      <w:r>
        <w:rPr>
          <w:rFonts w:ascii="仿宋" w:hAnsi="仿宋" w:eastAsia="仿宋" w:cs="仿宋"/>
          <w:b/>
          <w:bCs/>
          <w:spacing w:val="4"/>
          <w:sz w:val="23"/>
          <w:szCs w:val="23"/>
          <w:highlight w:val="none"/>
        </w:rPr>
        <w:t>10</w:t>
      </w:r>
      <w:r>
        <w:rPr>
          <w:rFonts w:hint="eastAsia" w:ascii="仿宋" w:hAnsi="仿宋" w:eastAsia="仿宋" w:cs="仿宋"/>
          <w:b/>
          <w:bCs/>
          <w:spacing w:val="4"/>
          <w:sz w:val="23"/>
          <w:szCs w:val="23"/>
          <w:highlight w:val="none"/>
          <w:lang w:eastAsia="zh-CN"/>
        </w:rPr>
        <w:t>投标保证金</w:t>
      </w:r>
      <w:r>
        <w:rPr>
          <w:rFonts w:ascii="仿宋" w:hAnsi="仿宋" w:eastAsia="仿宋" w:cs="仿宋"/>
          <w:b/>
          <w:bCs/>
          <w:spacing w:val="4"/>
          <w:sz w:val="23"/>
          <w:szCs w:val="23"/>
          <w:highlight w:val="none"/>
        </w:rPr>
        <w:t>有效凭证</w:t>
      </w:r>
    </w:p>
    <w:p w14:paraId="132982A3">
      <w:pPr>
        <w:spacing w:before="25" w:line="246" w:lineRule="auto"/>
        <w:ind w:left="27" w:right="121" w:firstLine="480"/>
        <w:jc w:val="both"/>
        <w:rPr>
          <w:rFonts w:ascii="仿宋" w:hAnsi="仿宋" w:eastAsia="仿宋" w:cs="仿宋"/>
          <w:sz w:val="23"/>
          <w:szCs w:val="23"/>
          <w:highlight w:val="none"/>
        </w:rPr>
      </w:pPr>
      <w:r>
        <w:rPr>
          <w:rFonts w:ascii="仿宋" w:hAnsi="仿宋" w:eastAsia="仿宋" w:cs="仿宋"/>
          <w:spacing w:val="10"/>
          <w:sz w:val="23"/>
          <w:szCs w:val="23"/>
          <w:highlight w:val="none"/>
        </w:rPr>
        <w:t>供应商可将本项目</w:t>
      </w:r>
      <w:r>
        <w:rPr>
          <w:rFonts w:hint="eastAsia" w:ascii="仿宋" w:hAnsi="仿宋" w:eastAsia="仿宋" w:cs="仿宋"/>
          <w:spacing w:val="10"/>
          <w:sz w:val="23"/>
          <w:szCs w:val="23"/>
          <w:highlight w:val="none"/>
          <w:lang w:eastAsia="zh-CN"/>
        </w:rPr>
        <w:t>投标保证金</w:t>
      </w:r>
      <w:r>
        <w:rPr>
          <w:rFonts w:ascii="仿宋" w:hAnsi="仿宋" w:eastAsia="仿宋" w:cs="仿宋"/>
          <w:spacing w:val="10"/>
          <w:sz w:val="23"/>
          <w:szCs w:val="23"/>
          <w:highlight w:val="none"/>
        </w:rPr>
        <w:t>支付的电汇、转账、汇票、本票的原</w:t>
      </w:r>
      <w:r>
        <w:rPr>
          <w:rFonts w:ascii="仿宋" w:hAnsi="仿宋" w:eastAsia="仿宋" w:cs="仿宋"/>
          <w:spacing w:val="8"/>
          <w:sz w:val="23"/>
          <w:szCs w:val="23"/>
          <w:highlight w:val="none"/>
        </w:rPr>
        <w:t>件扫描件作为</w:t>
      </w:r>
      <w:r>
        <w:rPr>
          <w:rFonts w:ascii="仿宋" w:hAnsi="仿宋" w:eastAsia="仿宋" w:cs="仿宋"/>
          <w:b/>
          <w:bCs/>
          <w:spacing w:val="8"/>
          <w:sz w:val="23"/>
          <w:szCs w:val="23"/>
          <w:highlight w:val="none"/>
        </w:rPr>
        <w:t>缴纳凭证</w:t>
      </w:r>
      <w:r>
        <w:rPr>
          <w:rFonts w:ascii="仿宋" w:hAnsi="仿宋" w:eastAsia="仿宋" w:cs="仿宋"/>
          <w:spacing w:val="8"/>
          <w:sz w:val="23"/>
          <w:szCs w:val="23"/>
          <w:highlight w:val="none"/>
        </w:rPr>
        <w:t>装订在本部分，原件扫描件上应加盖</w:t>
      </w:r>
      <w:r>
        <w:rPr>
          <w:rFonts w:ascii="仿宋" w:hAnsi="仿宋" w:eastAsia="仿宋" w:cs="仿宋"/>
          <w:spacing w:val="10"/>
          <w:sz w:val="23"/>
          <w:szCs w:val="23"/>
          <w:highlight w:val="none"/>
        </w:rPr>
        <w:t>本单位章；使用银行保函等其他投标担保函的，应将担保函正本，装订在本部</w:t>
      </w:r>
      <w:r>
        <w:rPr>
          <w:rFonts w:ascii="仿宋" w:hAnsi="仿宋" w:eastAsia="仿宋" w:cs="仿宋"/>
          <w:spacing w:val="7"/>
          <w:sz w:val="23"/>
          <w:szCs w:val="23"/>
          <w:highlight w:val="none"/>
        </w:rPr>
        <w:t>分正本中；如采用政府采购信用担保形式的，应使用（</w:t>
      </w:r>
      <w:r>
        <w:rPr>
          <w:rFonts w:hint="eastAsia" w:ascii="仿宋" w:hAnsi="仿宋" w:eastAsia="仿宋" w:cs="仿宋"/>
          <w:spacing w:val="7"/>
          <w:sz w:val="23"/>
          <w:szCs w:val="23"/>
          <w:highlight w:val="none"/>
          <w:lang w:eastAsia="zh-CN"/>
        </w:rPr>
        <w:t>投标文件</w:t>
      </w:r>
      <w:r>
        <w:rPr>
          <w:rFonts w:ascii="仿宋" w:hAnsi="仿宋" w:eastAsia="仿宋" w:cs="仿宋"/>
          <w:spacing w:val="7"/>
          <w:sz w:val="23"/>
          <w:szCs w:val="23"/>
          <w:highlight w:val="none"/>
        </w:rPr>
        <w:t>格</w:t>
      </w:r>
      <w:r>
        <w:rPr>
          <w:rFonts w:ascii="仿宋" w:hAnsi="仿宋" w:eastAsia="仿宋" w:cs="仿宋"/>
          <w:spacing w:val="6"/>
          <w:sz w:val="23"/>
          <w:szCs w:val="23"/>
          <w:highlight w:val="none"/>
        </w:rPr>
        <w:t>式三）,将原</w:t>
      </w:r>
      <w:r>
        <w:rPr>
          <w:rFonts w:ascii="仿宋" w:hAnsi="仿宋" w:eastAsia="仿宋" w:cs="仿宋"/>
          <w:spacing w:val="7"/>
          <w:sz w:val="23"/>
          <w:szCs w:val="23"/>
          <w:highlight w:val="none"/>
        </w:rPr>
        <w:t>件装订在本部分正本中。</w:t>
      </w:r>
    </w:p>
    <w:p w14:paraId="2E4F9BB5">
      <w:pPr>
        <w:spacing w:before="22"/>
        <w:rPr>
          <w:highlight w:val="none"/>
        </w:rPr>
      </w:pPr>
    </w:p>
    <w:p w14:paraId="0941A1FB">
      <w:pPr>
        <w:spacing w:before="22"/>
        <w:rPr>
          <w:highlight w:val="none"/>
        </w:rPr>
      </w:pPr>
    </w:p>
    <w:p w14:paraId="53B4D225">
      <w:pPr>
        <w:spacing w:before="22"/>
        <w:rPr>
          <w:highlight w:val="none"/>
        </w:rPr>
      </w:pPr>
    </w:p>
    <w:p w14:paraId="052B9CA5">
      <w:pPr>
        <w:spacing w:before="22"/>
        <w:rPr>
          <w:highlight w:val="none"/>
        </w:rPr>
      </w:pPr>
    </w:p>
    <w:tbl>
      <w:tblPr>
        <w:tblStyle w:val="25"/>
        <w:tblW w:w="7883" w:type="dxa"/>
        <w:tblInd w:w="19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883"/>
      </w:tblGrid>
      <w:tr w14:paraId="60FC00E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335" w:hRule="atLeast"/>
        </w:trPr>
        <w:tc>
          <w:tcPr>
            <w:tcW w:w="7883" w:type="dxa"/>
            <w:vAlign w:val="top"/>
          </w:tcPr>
          <w:p w14:paraId="6F760407">
            <w:pPr>
              <w:pStyle w:val="26"/>
              <w:spacing w:line="250" w:lineRule="auto"/>
              <w:rPr>
                <w:highlight w:val="none"/>
              </w:rPr>
            </w:pPr>
          </w:p>
          <w:p w14:paraId="2CD5CEA6">
            <w:pPr>
              <w:pStyle w:val="26"/>
              <w:spacing w:line="250" w:lineRule="auto"/>
              <w:rPr>
                <w:highlight w:val="none"/>
              </w:rPr>
            </w:pPr>
          </w:p>
          <w:p w14:paraId="28790A7B">
            <w:pPr>
              <w:pStyle w:val="26"/>
              <w:spacing w:line="251" w:lineRule="auto"/>
              <w:rPr>
                <w:highlight w:val="none"/>
              </w:rPr>
            </w:pPr>
          </w:p>
          <w:p w14:paraId="3823B123">
            <w:pPr>
              <w:pStyle w:val="26"/>
              <w:spacing w:line="251" w:lineRule="auto"/>
              <w:rPr>
                <w:highlight w:val="none"/>
              </w:rPr>
            </w:pPr>
          </w:p>
          <w:p w14:paraId="69807C08">
            <w:pPr>
              <w:spacing w:before="95" w:line="227" w:lineRule="auto"/>
              <w:ind w:left="2453"/>
              <w:rPr>
                <w:rFonts w:ascii="仿宋" w:hAnsi="仿宋" w:eastAsia="仿宋" w:cs="仿宋"/>
                <w:sz w:val="29"/>
                <w:szCs w:val="29"/>
                <w:highlight w:val="none"/>
              </w:rPr>
            </w:pPr>
            <w:r>
              <w:rPr>
                <w:rFonts w:hint="eastAsia" w:ascii="仿宋" w:hAnsi="仿宋" w:eastAsia="仿宋" w:cs="仿宋"/>
                <w:b/>
                <w:bCs/>
                <w:spacing w:val="6"/>
                <w:sz w:val="29"/>
                <w:szCs w:val="29"/>
                <w:highlight w:val="none"/>
                <w:lang w:eastAsia="zh-CN"/>
              </w:rPr>
              <w:t>投标保证金缴纳凭证</w:t>
            </w:r>
          </w:p>
        </w:tc>
      </w:tr>
    </w:tbl>
    <w:p w14:paraId="048C82B6">
      <w:pPr>
        <w:pStyle w:val="7"/>
        <w:rPr>
          <w:highlight w:val="none"/>
        </w:rPr>
      </w:pPr>
    </w:p>
    <w:p w14:paraId="0F7B9753">
      <w:pPr>
        <w:rPr>
          <w:highlight w:val="none"/>
        </w:rPr>
        <w:sectPr>
          <w:pgSz w:w="11906" w:h="16838"/>
          <w:pgMar w:top="1427" w:right="1785" w:bottom="1171" w:left="1785" w:header="0" w:footer="996" w:gutter="0"/>
          <w:pgNumType w:fmt="decimal"/>
          <w:cols w:space="720" w:num="1"/>
        </w:sectPr>
      </w:pPr>
    </w:p>
    <w:p w14:paraId="55514609">
      <w:pPr>
        <w:spacing w:before="179" w:line="222" w:lineRule="auto"/>
        <w:ind w:left="835"/>
        <w:rPr>
          <w:rFonts w:ascii="仿宋" w:hAnsi="仿宋" w:eastAsia="仿宋" w:cs="仿宋"/>
          <w:sz w:val="28"/>
          <w:szCs w:val="28"/>
          <w:highlight w:val="none"/>
        </w:rPr>
      </w:pPr>
      <w:r>
        <w:rPr>
          <w:rFonts w:ascii="仿宋" w:hAnsi="仿宋" w:eastAsia="仿宋" w:cs="仿宋"/>
          <w:spacing w:val="-2"/>
          <w:sz w:val="28"/>
          <w:szCs w:val="28"/>
          <w:highlight w:val="none"/>
        </w:rPr>
        <w:t>政府采购投标担保函（项目用</w:t>
      </w:r>
      <w:r>
        <w:rPr>
          <w:rFonts w:ascii="仿宋" w:hAnsi="仿宋" w:eastAsia="仿宋" w:cs="仿宋"/>
          <w:spacing w:val="6"/>
          <w:sz w:val="28"/>
          <w:szCs w:val="28"/>
          <w:highlight w:val="none"/>
        </w:rPr>
        <w:t>）（</w:t>
      </w:r>
      <w:r>
        <w:rPr>
          <w:rFonts w:hint="eastAsia" w:ascii="仿宋" w:hAnsi="仿宋" w:eastAsia="仿宋" w:cs="仿宋"/>
          <w:spacing w:val="-2"/>
          <w:sz w:val="28"/>
          <w:szCs w:val="28"/>
          <w:highlight w:val="none"/>
          <w:lang w:eastAsia="zh-CN"/>
        </w:rPr>
        <w:t>投标文件</w:t>
      </w:r>
      <w:r>
        <w:rPr>
          <w:rFonts w:ascii="仿宋" w:hAnsi="仿宋" w:eastAsia="仿宋" w:cs="仿宋"/>
          <w:spacing w:val="-2"/>
          <w:sz w:val="28"/>
          <w:szCs w:val="28"/>
          <w:highlight w:val="none"/>
        </w:rPr>
        <w:t>格式三）</w:t>
      </w:r>
    </w:p>
    <w:p w14:paraId="23CE1006">
      <w:pPr>
        <w:spacing w:before="167" w:line="232" w:lineRule="auto"/>
        <w:ind w:left="6747"/>
        <w:rPr>
          <w:rFonts w:ascii="仿宋" w:hAnsi="仿宋" w:eastAsia="仿宋" w:cs="仿宋"/>
          <w:sz w:val="20"/>
          <w:szCs w:val="20"/>
          <w:highlight w:val="none"/>
        </w:rPr>
      </w:pPr>
      <w:r>
        <w:rPr>
          <w:rFonts w:ascii="仿宋" w:hAnsi="仿宋" w:eastAsia="仿宋" w:cs="仿宋"/>
          <w:sz w:val="20"/>
          <w:szCs w:val="20"/>
          <w:highlight w:val="none"/>
        </w:rPr>
        <w:t>编号：</w:t>
      </w:r>
    </w:p>
    <w:p w14:paraId="07D9008C">
      <w:pPr>
        <w:keepNext w:val="0"/>
        <w:keepLines w:val="0"/>
        <w:pageBreakBefore w:val="0"/>
        <w:widowControl/>
        <w:tabs>
          <w:tab w:val="left" w:pos="2006"/>
        </w:tabs>
        <w:kinsoku w:val="0"/>
        <w:wordWrap/>
        <w:overflowPunct/>
        <w:topLinePunct w:val="0"/>
        <w:autoSpaceDE w:val="0"/>
        <w:autoSpaceDN w:val="0"/>
        <w:bidi w:val="0"/>
        <w:adjustRightInd w:val="0"/>
        <w:snapToGrid w:val="0"/>
        <w:spacing w:before="120" w:after="0" w:afterLines="50" w:line="231" w:lineRule="auto"/>
        <w:ind w:left="114"/>
        <w:textAlignment w:val="baseline"/>
        <w:rPr>
          <w:rFonts w:ascii="仿宋" w:hAnsi="仿宋" w:eastAsia="仿宋" w:cs="仿宋"/>
          <w:sz w:val="20"/>
          <w:szCs w:val="20"/>
          <w:highlight w:val="none"/>
        </w:rPr>
      </w:pPr>
      <w:r>
        <w:rPr>
          <w:rFonts w:ascii="仿宋" w:hAnsi="仿宋" w:eastAsia="仿宋" w:cs="仿宋"/>
          <w:sz w:val="20"/>
          <w:szCs w:val="20"/>
          <w:highlight w:val="none"/>
          <w:u w:val="single" w:color="auto"/>
        </w:rPr>
        <w:tab/>
      </w:r>
      <w:r>
        <w:rPr>
          <w:rFonts w:ascii="仿宋" w:hAnsi="仿宋" w:eastAsia="仿宋" w:cs="仿宋"/>
          <w:spacing w:val="9"/>
          <w:sz w:val="20"/>
          <w:szCs w:val="20"/>
          <w:highlight w:val="none"/>
        </w:rPr>
        <w:t>（采购人或采购代理机构</w:t>
      </w:r>
      <w:r>
        <w:rPr>
          <w:rFonts w:ascii="仿宋" w:hAnsi="仿宋" w:eastAsia="仿宋" w:cs="仿宋"/>
          <w:spacing w:val="11"/>
          <w:sz w:val="20"/>
          <w:szCs w:val="20"/>
          <w:highlight w:val="none"/>
        </w:rPr>
        <w:t>）：</w:t>
      </w:r>
    </w:p>
    <w:p w14:paraId="519AC8D4">
      <w:pPr>
        <w:keepNext w:val="0"/>
        <w:keepLines w:val="0"/>
        <w:pageBreakBefore w:val="0"/>
        <w:widowControl/>
        <w:tabs>
          <w:tab w:val="left" w:pos="8202"/>
        </w:tabs>
        <w:kinsoku w:val="0"/>
        <w:wordWrap/>
        <w:overflowPunct/>
        <w:topLinePunct w:val="0"/>
        <w:autoSpaceDE w:val="0"/>
        <w:autoSpaceDN w:val="0"/>
        <w:bidi w:val="0"/>
        <w:adjustRightInd w:val="0"/>
        <w:snapToGrid w:val="0"/>
        <w:spacing w:before="120" w:after="0" w:afterLines="50" w:line="240" w:lineRule="auto"/>
        <w:ind w:left="0" w:right="315" w:rightChars="150" w:firstLine="424" w:firstLineChars="200"/>
        <w:jc w:val="left"/>
        <w:textAlignment w:val="baseline"/>
        <w:rPr>
          <w:rFonts w:ascii="仿宋" w:hAnsi="仿宋" w:eastAsia="仿宋" w:cs="仿宋"/>
          <w:sz w:val="20"/>
          <w:szCs w:val="20"/>
          <w:highlight w:val="none"/>
        </w:rPr>
      </w:pPr>
      <w:r>
        <w:rPr>
          <w:rFonts w:ascii="仿宋" w:hAnsi="仿宋" w:eastAsia="仿宋" w:cs="仿宋"/>
          <w:spacing w:val="6"/>
          <w:sz w:val="20"/>
          <w:szCs w:val="20"/>
          <w:highlight w:val="none"/>
        </w:rPr>
        <w:t>鉴于（以下简称“</w:t>
      </w:r>
      <w:r>
        <w:rPr>
          <w:rFonts w:ascii="仿宋" w:hAnsi="仿宋" w:eastAsia="仿宋" w:cs="仿宋"/>
          <w:spacing w:val="5"/>
          <w:sz w:val="20"/>
          <w:szCs w:val="20"/>
          <w:highlight w:val="none"/>
        </w:rPr>
        <w:t>供应商”）拟参加编号为的</w:t>
      </w:r>
      <w:r>
        <w:rPr>
          <w:rFonts w:ascii="仿宋" w:hAnsi="仿宋" w:eastAsia="仿宋" w:cs="仿宋"/>
          <w:spacing w:val="9"/>
          <w:sz w:val="20"/>
          <w:szCs w:val="20"/>
          <w:highlight w:val="none"/>
        </w:rPr>
        <w:t>项目（以下简称“本项目”）投标，根据本项目</w:t>
      </w:r>
      <w:r>
        <w:rPr>
          <w:rFonts w:hint="eastAsia" w:ascii="仿宋" w:hAnsi="仿宋" w:eastAsia="仿宋" w:cs="仿宋"/>
          <w:spacing w:val="9"/>
          <w:sz w:val="20"/>
          <w:szCs w:val="20"/>
          <w:highlight w:val="none"/>
          <w:lang w:eastAsia="zh-CN"/>
        </w:rPr>
        <w:t>投标文件</w:t>
      </w:r>
      <w:r>
        <w:rPr>
          <w:rFonts w:ascii="仿宋" w:hAnsi="仿宋" w:eastAsia="仿宋" w:cs="仿宋"/>
          <w:spacing w:val="9"/>
          <w:sz w:val="20"/>
          <w:szCs w:val="20"/>
          <w:highlight w:val="none"/>
        </w:rPr>
        <w:t>，供应商参加投标时应</w:t>
      </w:r>
      <w:r>
        <w:rPr>
          <w:rFonts w:ascii="仿宋" w:hAnsi="仿宋" w:eastAsia="仿宋" w:cs="仿宋"/>
          <w:spacing w:val="8"/>
          <w:sz w:val="20"/>
          <w:szCs w:val="20"/>
          <w:highlight w:val="none"/>
        </w:rPr>
        <w:t>向你方交纳</w:t>
      </w:r>
      <w:r>
        <w:rPr>
          <w:rFonts w:hint="eastAsia" w:ascii="仿宋" w:hAnsi="仿宋" w:eastAsia="仿宋" w:cs="仿宋"/>
          <w:spacing w:val="8"/>
          <w:sz w:val="20"/>
          <w:szCs w:val="20"/>
          <w:highlight w:val="none"/>
          <w:lang w:eastAsia="zh-CN"/>
        </w:rPr>
        <w:t>投标保证金</w:t>
      </w:r>
      <w:r>
        <w:rPr>
          <w:rFonts w:ascii="仿宋" w:hAnsi="仿宋" w:eastAsia="仿宋" w:cs="仿宋"/>
          <w:spacing w:val="8"/>
          <w:sz w:val="20"/>
          <w:szCs w:val="20"/>
          <w:highlight w:val="none"/>
        </w:rPr>
        <w:t>，且可以投标担保函的形式交纳</w:t>
      </w:r>
      <w:r>
        <w:rPr>
          <w:rFonts w:hint="eastAsia" w:ascii="仿宋" w:hAnsi="仿宋" w:eastAsia="仿宋" w:cs="仿宋"/>
          <w:spacing w:val="8"/>
          <w:sz w:val="20"/>
          <w:szCs w:val="20"/>
          <w:highlight w:val="none"/>
          <w:lang w:eastAsia="zh-CN"/>
        </w:rPr>
        <w:t>投标保证金</w:t>
      </w:r>
      <w:r>
        <w:rPr>
          <w:rFonts w:ascii="仿宋" w:hAnsi="仿宋" w:eastAsia="仿宋" w:cs="仿宋"/>
          <w:spacing w:val="8"/>
          <w:sz w:val="20"/>
          <w:szCs w:val="20"/>
          <w:highlight w:val="none"/>
        </w:rPr>
        <w:t>。应供应商的申请，我方以保证的方式向你方提供如下</w:t>
      </w:r>
      <w:r>
        <w:rPr>
          <w:rFonts w:hint="eastAsia" w:ascii="仿宋" w:hAnsi="仿宋" w:eastAsia="仿宋" w:cs="仿宋"/>
          <w:spacing w:val="8"/>
          <w:sz w:val="20"/>
          <w:szCs w:val="20"/>
          <w:highlight w:val="none"/>
          <w:lang w:eastAsia="zh-CN"/>
        </w:rPr>
        <w:t>投标保证金</w:t>
      </w:r>
      <w:r>
        <w:rPr>
          <w:rFonts w:ascii="仿宋" w:hAnsi="仿宋" w:eastAsia="仿宋" w:cs="仿宋"/>
          <w:spacing w:val="8"/>
          <w:sz w:val="20"/>
          <w:szCs w:val="20"/>
          <w:highlight w:val="none"/>
        </w:rPr>
        <w:t>担保：</w:t>
      </w:r>
    </w:p>
    <w:p w14:paraId="57F2CDB9">
      <w:pPr>
        <w:spacing w:before="36" w:line="229" w:lineRule="auto"/>
        <w:ind w:left="448"/>
        <w:rPr>
          <w:rFonts w:ascii="仿宋" w:hAnsi="仿宋" w:eastAsia="仿宋" w:cs="仿宋"/>
          <w:sz w:val="20"/>
          <w:szCs w:val="20"/>
          <w:highlight w:val="none"/>
        </w:rPr>
      </w:pPr>
      <w:r>
        <w:rPr>
          <w:rFonts w:ascii="仿宋" w:hAnsi="仿宋" w:eastAsia="仿宋" w:cs="仿宋"/>
          <w:spacing w:val="7"/>
          <w:sz w:val="20"/>
          <w:szCs w:val="20"/>
          <w:highlight w:val="none"/>
        </w:rPr>
        <w:t>一、保证责任的情形及保证金额</w:t>
      </w:r>
    </w:p>
    <w:p w14:paraId="18062174">
      <w:pPr>
        <w:spacing w:before="64" w:line="228" w:lineRule="auto"/>
        <w:ind w:left="238"/>
        <w:rPr>
          <w:rFonts w:ascii="仿宋" w:hAnsi="仿宋" w:eastAsia="仿宋" w:cs="仿宋"/>
          <w:sz w:val="20"/>
          <w:szCs w:val="20"/>
          <w:highlight w:val="none"/>
        </w:rPr>
      </w:pPr>
      <w:r>
        <w:rPr>
          <w:rFonts w:ascii="仿宋" w:hAnsi="仿宋" w:eastAsia="仿宋" w:cs="仿宋"/>
          <w:spacing w:val="8"/>
          <w:sz w:val="20"/>
          <w:szCs w:val="20"/>
          <w:highlight w:val="none"/>
        </w:rPr>
        <w:t>（一）在供应商出现下列情形之一时，我方承担保证责</w:t>
      </w:r>
      <w:r>
        <w:rPr>
          <w:rFonts w:ascii="仿宋" w:hAnsi="仿宋" w:eastAsia="仿宋" w:cs="仿宋"/>
          <w:spacing w:val="7"/>
          <w:sz w:val="20"/>
          <w:szCs w:val="20"/>
          <w:highlight w:val="none"/>
        </w:rPr>
        <w:t>任：</w:t>
      </w:r>
    </w:p>
    <w:p w14:paraId="3C1E1369">
      <w:pPr>
        <w:spacing w:before="64" w:line="231" w:lineRule="auto"/>
        <w:ind w:left="454"/>
        <w:rPr>
          <w:rFonts w:ascii="仿宋" w:hAnsi="仿宋" w:eastAsia="仿宋" w:cs="仿宋"/>
          <w:sz w:val="20"/>
          <w:szCs w:val="20"/>
          <w:highlight w:val="none"/>
        </w:rPr>
      </w:pPr>
      <w:r>
        <w:rPr>
          <w:rFonts w:ascii="仿宋" w:hAnsi="仿宋" w:eastAsia="仿宋" w:cs="仿宋"/>
          <w:spacing w:val="8"/>
          <w:sz w:val="20"/>
          <w:szCs w:val="20"/>
          <w:highlight w:val="none"/>
        </w:rPr>
        <w:t>1．成交后供应商无正当理由不与采购人或者采购代理机构签订《政府采购合同》；</w:t>
      </w:r>
    </w:p>
    <w:p w14:paraId="63A33841">
      <w:pPr>
        <w:spacing w:before="63" w:line="229" w:lineRule="auto"/>
        <w:ind w:left="441"/>
        <w:rPr>
          <w:rFonts w:ascii="仿宋" w:hAnsi="仿宋" w:eastAsia="仿宋" w:cs="仿宋"/>
          <w:sz w:val="20"/>
          <w:szCs w:val="20"/>
          <w:highlight w:val="none"/>
        </w:rPr>
      </w:pPr>
      <w:r>
        <w:rPr>
          <w:rFonts w:ascii="仿宋" w:hAnsi="仿宋" w:eastAsia="仿宋" w:cs="仿宋"/>
          <w:spacing w:val="8"/>
          <w:sz w:val="20"/>
          <w:szCs w:val="20"/>
          <w:highlight w:val="none"/>
        </w:rPr>
        <w:t>2．</w:t>
      </w:r>
      <w:r>
        <w:rPr>
          <w:rFonts w:hint="eastAsia" w:ascii="仿宋" w:hAnsi="仿宋" w:eastAsia="仿宋" w:cs="仿宋"/>
          <w:spacing w:val="8"/>
          <w:sz w:val="20"/>
          <w:szCs w:val="20"/>
          <w:highlight w:val="none"/>
          <w:lang w:eastAsia="zh-CN"/>
        </w:rPr>
        <w:t>投标文件</w:t>
      </w:r>
      <w:r>
        <w:rPr>
          <w:rFonts w:ascii="仿宋" w:hAnsi="仿宋" w:eastAsia="仿宋" w:cs="仿宋"/>
          <w:spacing w:val="8"/>
          <w:sz w:val="20"/>
          <w:szCs w:val="20"/>
          <w:highlight w:val="none"/>
        </w:rPr>
        <w:t>规定的供应商应当缴纳保证金的其他情形。</w:t>
      </w:r>
    </w:p>
    <w:p w14:paraId="1A5D8914">
      <w:pPr>
        <w:spacing w:before="63" w:line="259" w:lineRule="auto"/>
        <w:ind w:left="62" w:right="148" w:firstLine="176"/>
        <w:rPr>
          <w:rFonts w:hint="eastAsia" w:ascii="仿宋" w:hAnsi="仿宋" w:eastAsia="仿宋" w:cs="仿宋"/>
          <w:sz w:val="20"/>
          <w:szCs w:val="20"/>
          <w:highlight w:val="none"/>
          <w:lang w:eastAsia="zh-CN"/>
        </w:rPr>
      </w:pPr>
      <w:r>
        <w:rPr>
          <w:rFonts w:ascii="仿宋" w:hAnsi="仿宋" w:eastAsia="仿宋" w:cs="仿宋"/>
          <w:spacing w:val="6"/>
          <w:sz w:val="20"/>
          <w:szCs w:val="20"/>
          <w:highlight w:val="none"/>
        </w:rPr>
        <w:t>（二）我方承担保证责任的最高金额为人民币</w:t>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pacing w:val="5"/>
          <w:sz w:val="20"/>
          <w:szCs w:val="20"/>
          <w:highlight w:val="none"/>
        </w:rPr>
        <w:t>元（大写</w:t>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pacing w:val="-12"/>
          <w:sz w:val="20"/>
          <w:szCs w:val="20"/>
          <w:highlight w:val="none"/>
        </w:rPr>
        <w:t>），</w:t>
      </w:r>
      <w:r>
        <w:rPr>
          <w:rFonts w:ascii="仿宋" w:hAnsi="仿宋" w:eastAsia="仿宋" w:cs="仿宋"/>
          <w:spacing w:val="5"/>
          <w:sz w:val="20"/>
          <w:szCs w:val="20"/>
          <w:highlight w:val="none"/>
        </w:rPr>
        <w:t>即本项</w:t>
      </w:r>
      <w:r>
        <w:rPr>
          <w:rFonts w:ascii="仿宋" w:hAnsi="仿宋" w:eastAsia="仿宋" w:cs="仿宋"/>
          <w:spacing w:val="3"/>
          <w:sz w:val="20"/>
          <w:szCs w:val="20"/>
          <w:highlight w:val="none"/>
        </w:rPr>
        <w:t>目的</w:t>
      </w:r>
      <w:r>
        <w:rPr>
          <w:rFonts w:hint="eastAsia" w:ascii="仿宋" w:hAnsi="仿宋" w:eastAsia="仿宋" w:cs="仿宋"/>
          <w:spacing w:val="3"/>
          <w:sz w:val="20"/>
          <w:szCs w:val="20"/>
          <w:highlight w:val="none"/>
          <w:lang w:eastAsia="zh-CN"/>
        </w:rPr>
        <w:t>投标保证金</w:t>
      </w:r>
      <w:r>
        <w:rPr>
          <w:rFonts w:ascii="仿宋" w:hAnsi="仿宋" w:eastAsia="仿宋" w:cs="仿宋"/>
          <w:spacing w:val="3"/>
          <w:sz w:val="20"/>
          <w:szCs w:val="20"/>
          <w:highlight w:val="none"/>
        </w:rPr>
        <w:t>金额</w:t>
      </w:r>
      <w:r>
        <w:rPr>
          <w:rFonts w:hint="eastAsia" w:ascii="仿宋" w:hAnsi="仿宋" w:eastAsia="仿宋" w:cs="仿宋"/>
          <w:spacing w:val="3"/>
          <w:sz w:val="20"/>
          <w:szCs w:val="20"/>
          <w:highlight w:val="none"/>
          <w:lang w:eastAsia="zh-CN"/>
        </w:rPr>
        <w:t>。</w:t>
      </w:r>
    </w:p>
    <w:p w14:paraId="75B92010">
      <w:pPr>
        <w:spacing w:before="64" w:line="229" w:lineRule="auto"/>
        <w:ind w:left="452"/>
        <w:rPr>
          <w:rFonts w:ascii="仿宋" w:hAnsi="仿宋" w:eastAsia="仿宋" w:cs="仿宋"/>
          <w:sz w:val="20"/>
          <w:szCs w:val="20"/>
          <w:highlight w:val="none"/>
        </w:rPr>
      </w:pPr>
      <w:r>
        <w:rPr>
          <w:rFonts w:ascii="仿宋" w:hAnsi="仿宋" w:eastAsia="仿宋" w:cs="仿宋"/>
          <w:spacing w:val="8"/>
          <w:sz w:val="20"/>
          <w:szCs w:val="20"/>
          <w:highlight w:val="none"/>
        </w:rPr>
        <w:t>二、保证的方式及保证期间</w:t>
      </w:r>
    </w:p>
    <w:p w14:paraId="3FD484CF">
      <w:pPr>
        <w:spacing w:before="63" w:line="229" w:lineRule="auto"/>
        <w:ind w:left="453"/>
        <w:rPr>
          <w:rFonts w:ascii="仿宋" w:hAnsi="仿宋" w:eastAsia="仿宋" w:cs="仿宋"/>
          <w:sz w:val="20"/>
          <w:szCs w:val="20"/>
          <w:highlight w:val="none"/>
        </w:rPr>
      </w:pPr>
      <w:r>
        <w:rPr>
          <w:rFonts w:ascii="仿宋" w:hAnsi="仿宋" w:eastAsia="仿宋" w:cs="仿宋"/>
          <w:spacing w:val="7"/>
          <w:sz w:val="20"/>
          <w:szCs w:val="20"/>
          <w:highlight w:val="none"/>
        </w:rPr>
        <w:t>我方保证的方式为：连带责任保证。</w:t>
      </w:r>
    </w:p>
    <w:p w14:paraId="553EC79A">
      <w:pPr>
        <w:spacing w:before="64" w:line="229" w:lineRule="auto"/>
        <w:ind w:left="453"/>
        <w:rPr>
          <w:rFonts w:ascii="仿宋" w:hAnsi="仿宋" w:eastAsia="仿宋" w:cs="仿宋"/>
          <w:sz w:val="20"/>
          <w:szCs w:val="20"/>
          <w:highlight w:val="none"/>
        </w:rPr>
      </w:pPr>
      <w:r>
        <w:rPr>
          <w:rFonts w:ascii="仿宋" w:hAnsi="仿宋" w:eastAsia="仿宋" w:cs="仿宋"/>
          <w:spacing w:val="6"/>
          <w:sz w:val="20"/>
          <w:szCs w:val="20"/>
          <w:highlight w:val="none"/>
        </w:rPr>
        <w:t>我方的保证期间为：自本保函生效之日起</w:t>
      </w:r>
      <w:r>
        <w:rPr>
          <w:rFonts w:ascii="仿宋" w:hAnsi="仿宋" w:eastAsia="仿宋" w:cs="仿宋"/>
          <w:sz w:val="23"/>
          <w:szCs w:val="23"/>
          <w:highlight w:val="none"/>
          <w:u w:val="single" w:color="auto"/>
        </w:rPr>
        <w:tab/>
      </w:r>
      <w:r>
        <w:rPr>
          <w:rFonts w:ascii="仿宋" w:hAnsi="仿宋" w:eastAsia="仿宋" w:cs="仿宋"/>
          <w:spacing w:val="6"/>
          <w:sz w:val="20"/>
          <w:szCs w:val="20"/>
          <w:highlight w:val="none"/>
        </w:rPr>
        <w:t>个月止。</w:t>
      </w:r>
    </w:p>
    <w:p w14:paraId="3F80950D">
      <w:pPr>
        <w:spacing w:before="64" w:line="229" w:lineRule="auto"/>
        <w:ind w:left="451"/>
        <w:rPr>
          <w:rFonts w:ascii="仿宋" w:hAnsi="仿宋" w:eastAsia="仿宋" w:cs="仿宋"/>
          <w:sz w:val="20"/>
          <w:szCs w:val="20"/>
          <w:highlight w:val="none"/>
        </w:rPr>
      </w:pPr>
      <w:r>
        <w:rPr>
          <w:rFonts w:ascii="仿宋" w:hAnsi="仿宋" w:eastAsia="仿宋" w:cs="仿宋"/>
          <w:spacing w:val="8"/>
          <w:sz w:val="20"/>
          <w:szCs w:val="20"/>
          <w:highlight w:val="none"/>
        </w:rPr>
        <w:t>三、承担保证责任的程序</w:t>
      </w:r>
    </w:p>
    <w:p w14:paraId="13F34314">
      <w:pPr>
        <w:spacing w:before="64" w:line="268" w:lineRule="auto"/>
        <w:ind w:left="25" w:right="62" w:firstLine="428"/>
        <w:rPr>
          <w:rFonts w:ascii="仿宋" w:hAnsi="仿宋" w:eastAsia="仿宋" w:cs="仿宋"/>
          <w:sz w:val="20"/>
          <w:szCs w:val="20"/>
          <w:highlight w:val="none"/>
        </w:rPr>
      </w:pPr>
      <w:r>
        <w:rPr>
          <w:rFonts w:ascii="仿宋" w:hAnsi="仿宋" w:eastAsia="仿宋" w:cs="仿宋"/>
          <w:spacing w:val="8"/>
          <w:sz w:val="20"/>
          <w:szCs w:val="20"/>
          <w:highlight w:val="none"/>
        </w:rPr>
        <w:t>1．你方要求我方承担保证责任的，应在本保函保证期间内向我方发出书面索赔通知。</w:t>
      </w:r>
      <w:r>
        <w:rPr>
          <w:rFonts w:ascii="仿宋" w:hAnsi="仿宋" w:eastAsia="仿宋" w:cs="仿宋"/>
          <w:spacing w:val="10"/>
          <w:sz w:val="20"/>
          <w:szCs w:val="20"/>
          <w:highlight w:val="none"/>
        </w:rPr>
        <w:t>索赔通知应写明要求索赔的金额，支付款项应到达的账号，并附</w:t>
      </w:r>
      <w:r>
        <w:rPr>
          <w:rFonts w:ascii="仿宋" w:hAnsi="仿宋" w:eastAsia="仿宋" w:cs="仿宋"/>
          <w:spacing w:val="9"/>
          <w:sz w:val="20"/>
          <w:szCs w:val="20"/>
          <w:highlight w:val="none"/>
        </w:rPr>
        <w:t>有证明供应商发生我方应</w:t>
      </w:r>
      <w:r>
        <w:rPr>
          <w:rFonts w:ascii="仿宋" w:hAnsi="仿宋" w:eastAsia="仿宋" w:cs="仿宋"/>
          <w:spacing w:val="7"/>
          <w:sz w:val="20"/>
          <w:szCs w:val="20"/>
          <w:highlight w:val="none"/>
        </w:rPr>
        <w:t>承担保证责任情形的事实材料。</w:t>
      </w:r>
    </w:p>
    <w:p w14:paraId="5E290B5A">
      <w:pPr>
        <w:spacing w:before="64" w:line="259" w:lineRule="auto"/>
        <w:ind w:left="27" w:right="130" w:firstLine="414"/>
        <w:rPr>
          <w:rFonts w:ascii="仿宋" w:hAnsi="仿宋" w:eastAsia="仿宋" w:cs="仿宋"/>
          <w:sz w:val="20"/>
          <w:szCs w:val="20"/>
          <w:highlight w:val="none"/>
        </w:rPr>
      </w:pPr>
      <w:r>
        <w:rPr>
          <w:rFonts w:ascii="仿宋" w:hAnsi="仿宋" w:eastAsia="仿宋" w:cs="仿宋"/>
          <w:spacing w:val="6"/>
          <w:sz w:val="20"/>
          <w:szCs w:val="20"/>
          <w:highlight w:val="none"/>
        </w:rPr>
        <w:t>2．我方在收到索赔通知及相关证明材料后，在</w:t>
      </w:r>
      <w:r>
        <w:rPr>
          <w:rFonts w:ascii="仿宋" w:hAnsi="仿宋" w:eastAsia="仿宋" w:cs="仿宋"/>
          <w:sz w:val="23"/>
          <w:szCs w:val="23"/>
          <w:highlight w:val="none"/>
          <w:u w:val="single" w:color="auto"/>
        </w:rPr>
        <w:tab/>
      </w:r>
      <w:r>
        <w:rPr>
          <w:rFonts w:ascii="仿宋" w:hAnsi="仿宋" w:eastAsia="仿宋" w:cs="仿宋"/>
          <w:spacing w:val="6"/>
          <w:sz w:val="20"/>
          <w:szCs w:val="20"/>
          <w:highlight w:val="none"/>
        </w:rPr>
        <w:t>个工作日内进行审查，符合应承</w:t>
      </w:r>
      <w:r>
        <w:rPr>
          <w:rFonts w:ascii="仿宋" w:hAnsi="仿宋" w:eastAsia="仿宋" w:cs="仿宋"/>
          <w:spacing w:val="9"/>
          <w:sz w:val="20"/>
          <w:szCs w:val="20"/>
          <w:highlight w:val="none"/>
        </w:rPr>
        <w:t>担保证责任情形的，我方应按照你方的要求代供应商向你方支付</w:t>
      </w:r>
      <w:r>
        <w:rPr>
          <w:rFonts w:hint="eastAsia" w:ascii="仿宋" w:hAnsi="仿宋" w:eastAsia="仿宋" w:cs="仿宋"/>
          <w:spacing w:val="9"/>
          <w:sz w:val="20"/>
          <w:szCs w:val="20"/>
          <w:highlight w:val="none"/>
          <w:lang w:eastAsia="zh-CN"/>
        </w:rPr>
        <w:t>投标保证金</w:t>
      </w:r>
      <w:r>
        <w:rPr>
          <w:rFonts w:ascii="仿宋" w:hAnsi="仿宋" w:eastAsia="仿宋" w:cs="仿宋"/>
          <w:spacing w:val="9"/>
          <w:sz w:val="20"/>
          <w:szCs w:val="20"/>
          <w:highlight w:val="none"/>
        </w:rPr>
        <w:t>。</w:t>
      </w:r>
    </w:p>
    <w:p w14:paraId="14924093">
      <w:pPr>
        <w:spacing w:before="64" w:line="229" w:lineRule="auto"/>
        <w:ind w:left="470"/>
        <w:rPr>
          <w:rFonts w:ascii="仿宋" w:hAnsi="仿宋" w:eastAsia="仿宋" w:cs="仿宋"/>
          <w:sz w:val="20"/>
          <w:szCs w:val="20"/>
          <w:highlight w:val="none"/>
        </w:rPr>
      </w:pPr>
      <w:r>
        <w:rPr>
          <w:rFonts w:ascii="仿宋" w:hAnsi="仿宋" w:eastAsia="仿宋" w:cs="仿宋"/>
          <w:spacing w:val="5"/>
          <w:sz w:val="20"/>
          <w:szCs w:val="20"/>
          <w:highlight w:val="none"/>
        </w:rPr>
        <w:t>四、保证责任的终止</w:t>
      </w:r>
    </w:p>
    <w:p w14:paraId="6F11DA3C">
      <w:pPr>
        <w:spacing w:before="63" w:line="260" w:lineRule="auto"/>
        <w:ind w:left="24" w:right="132" w:firstLine="429"/>
        <w:rPr>
          <w:rFonts w:ascii="仿宋" w:hAnsi="仿宋" w:eastAsia="仿宋" w:cs="仿宋"/>
          <w:sz w:val="20"/>
          <w:szCs w:val="20"/>
          <w:highlight w:val="none"/>
        </w:rPr>
      </w:pPr>
      <w:r>
        <w:rPr>
          <w:rFonts w:ascii="仿宋" w:hAnsi="仿宋" w:eastAsia="仿宋" w:cs="仿宋"/>
          <w:spacing w:val="6"/>
          <w:sz w:val="20"/>
          <w:szCs w:val="20"/>
          <w:highlight w:val="none"/>
        </w:rPr>
        <w:t>1．保证期间届满你方未向我方书面主张保证责任的，自保证期间届满次日起，我方保</w:t>
      </w:r>
      <w:r>
        <w:rPr>
          <w:rFonts w:ascii="仿宋" w:hAnsi="仿宋" w:eastAsia="仿宋" w:cs="仿宋"/>
          <w:spacing w:val="4"/>
          <w:sz w:val="20"/>
          <w:szCs w:val="20"/>
          <w:highlight w:val="none"/>
        </w:rPr>
        <w:t>证责任自动终止。</w:t>
      </w:r>
    </w:p>
    <w:p w14:paraId="34ACB645">
      <w:pPr>
        <w:spacing w:before="60" w:line="259" w:lineRule="auto"/>
        <w:ind w:left="33" w:right="132" w:firstLine="408"/>
        <w:rPr>
          <w:rFonts w:ascii="仿宋" w:hAnsi="仿宋" w:eastAsia="仿宋" w:cs="仿宋"/>
          <w:sz w:val="20"/>
          <w:szCs w:val="20"/>
          <w:highlight w:val="none"/>
        </w:rPr>
      </w:pPr>
      <w:r>
        <w:rPr>
          <w:rFonts w:ascii="仿宋" w:hAnsi="仿宋" w:eastAsia="仿宋" w:cs="仿宋"/>
          <w:spacing w:val="7"/>
          <w:sz w:val="20"/>
          <w:szCs w:val="20"/>
          <w:highlight w:val="none"/>
        </w:rPr>
        <w:t>2．我方按照本保函向你贵方履行了保证责任后，自我方向你方支付</w:t>
      </w:r>
      <w:r>
        <w:rPr>
          <w:rFonts w:ascii="仿宋" w:hAnsi="仿宋" w:eastAsia="仿宋" w:cs="仿宋"/>
          <w:spacing w:val="6"/>
          <w:sz w:val="20"/>
          <w:szCs w:val="20"/>
          <w:highlight w:val="none"/>
        </w:rPr>
        <w:t>款项（支付款项从</w:t>
      </w:r>
      <w:r>
        <w:rPr>
          <w:rFonts w:ascii="仿宋" w:hAnsi="仿宋" w:eastAsia="仿宋" w:cs="仿宋"/>
          <w:spacing w:val="7"/>
          <w:sz w:val="20"/>
          <w:szCs w:val="20"/>
          <w:highlight w:val="none"/>
        </w:rPr>
        <w:t>我方账户划出）之日起，保证责任终止。</w:t>
      </w:r>
    </w:p>
    <w:p w14:paraId="66ADAC8F">
      <w:pPr>
        <w:spacing w:before="63" w:line="259" w:lineRule="auto"/>
        <w:ind w:left="26" w:right="132" w:firstLine="416"/>
        <w:rPr>
          <w:rFonts w:ascii="仿宋" w:hAnsi="仿宋" w:eastAsia="仿宋" w:cs="仿宋"/>
          <w:sz w:val="20"/>
          <w:szCs w:val="20"/>
          <w:highlight w:val="none"/>
        </w:rPr>
      </w:pPr>
      <w:r>
        <w:rPr>
          <w:rFonts w:ascii="仿宋" w:hAnsi="仿宋" w:eastAsia="仿宋" w:cs="仿宋"/>
          <w:spacing w:val="7"/>
          <w:sz w:val="20"/>
          <w:szCs w:val="20"/>
          <w:highlight w:val="none"/>
        </w:rPr>
        <w:t>3．按照法律法规的规定或出现我方保证责任终止的其它情形的，</w:t>
      </w:r>
      <w:r>
        <w:rPr>
          <w:rFonts w:ascii="仿宋" w:hAnsi="仿宋" w:eastAsia="仿宋" w:cs="仿宋"/>
          <w:spacing w:val="6"/>
          <w:sz w:val="20"/>
          <w:szCs w:val="20"/>
          <w:highlight w:val="none"/>
        </w:rPr>
        <w:t>我方在本保函项下的</w:t>
      </w:r>
      <w:r>
        <w:rPr>
          <w:rFonts w:ascii="仿宋" w:hAnsi="仿宋" w:eastAsia="仿宋" w:cs="仿宋"/>
          <w:spacing w:val="4"/>
          <w:sz w:val="20"/>
          <w:szCs w:val="20"/>
          <w:highlight w:val="none"/>
        </w:rPr>
        <w:t>保证责任亦终止。</w:t>
      </w:r>
    </w:p>
    <w:p w14:paraId="03D5A59A">
      <w:pPr>
        <w:spacing w:before="63" w:line="232" w:lineRule="auto"/>
        <w:ind w:left="448"/>
        <w:rPr>
          <w:rFonts w:ascii="仿宋" w:hAnsi="仿宋" w:eastAsia="仿宋" w:cs="仿宋"/>
          <w:sz w:val="20"/>
          <w:szCs w:val="20"/>
          <w:highlight w:val="none"/>
        </w:rPr>
      </w:pPr>
      <w:r>
        <w:rPr>
          <w:rFonts w:ascii="仿宋" w:hAnsi="仿宋" w:eastAsia="仿宋" w:cs="仿宋"/>
          <w:spacing w:val="6"/>
          <w:sz w:val="20"/>
          <w:szCs w:val="20"/>
          <w:highlight w:val="none"/>
        </w:rPr>
        <w:t>五、免责条款</w:t>
      </w:r>
    </w:p>
    <w:p w14:paraId="390646CC">
      <w:pPr>
        <w:spacing w:before="61" w:line="259" w:lineRule="auto"/>
        <w:ind w:left="31" w:right="133" w:firstLine="423"/>
        <w:rPr>
          <w:rFonts w:ascii="仿宋" w:hAnsi="仿宋" w:eastAsia="仿宋" w:cs="仿宋"/>
          <w:sz w:val="20"/>
          <w:szCs w:val="20"/>
          <w:highlight w:val="none"/>
        </w:rPr>
      </w:pPr>
      <w:r>
        <w:rPr>
          <w:rFonts w:ascii="仿宋" w:hAnsi="仿宋" w:eastAsia="仿宋" w:cs="仿宋"/>
          <w:spacing w:val="6"/>
          <w:sz w:val="20"/>
          <w:szCs w:val="20"/>
          <w:highlight w:val="none"/>
        </w:rPr>
        <w:t>1．依照法律规定或你方与供应商的另行约定，全部或者部分免除供应商</w:t>
      </w:r>
      <w:r>
        <w:rPr>
          <w:rFonts w:hint="eastAsia" w:ascii="仿宋" w:hAnsi="仿宋" w:eastAsia="仿宋" w:cs="仿宋"/>
          <w:spacing w:val="6"/>
          <w:sz w:val="20"/>
          <w:szCs w:val="20"/>
          <w:highlight w:val="none"/>
          <w:lang w:eastAsia="zh-CN"/>
        </w:rPr>
        <w:t>投标保证金</w:t>
      </w:r>
      <w:r>
        <w:rPr>
          <w:rFonts w:ascii="仿宋" w:hAnsi="仿宋" w:eastAsia="仿宋" w:cs="仿宋"/>
          <w:spacing w:val="6"/>
          <w:sz w:val="20"/>
          <w:szCs w:val="20"/>
          <w:highlight w:val="none"/>
        </w:rPr>
        <w:t>义</w:t>
      </w:r>
      <w:r>
        <w:rPr>
          <w:rFonts w:ascii="仿宋" w:hAnsi="仿宋" w:eastAsia="仿宋" w:cs="仿宋"/>
          <w:spacing w:val="7"/>
          <w:sz w:val="20"/>
          <w:szCs w:val="20"/>
          <w:highlight w:val="none"/>
        </w:rPr>
        <w:t>务时，我方亦免除相应的保证责任。</w:t>
      </w:r>
    </w:p>
    <w:p w14:paraId="0ED3FAFE">
      <w:pPr>
        <w:spacing w:before="63" w:line="260" w:lineRule="auto"/>
        <w:ind w:left="27" w:right="132" w:firstLine="414"/>
        <w:rPr>
          <w:rFonts w:ascii="仿宋" w:hAnsi="仿宋" w:eastAsia="仿宋" w:cs="仿宋"/>
          <w:sz w:val="20"/>
          <w:szCs w:val="20"/>
          <w:highlight w:val="none"/>
        </w:rPr>
      </w:pPr>
      <w:r>
        <w:rPr>
          <w:rFonts w:ascii="仿宋" w:hAnsi="仿宋" w:eastAsia="仿宋" w:cs="仿宋"/>
          <w:spacing w:val="7"/>
          <w:sz w:val="20"/>
          <w:szCs w:val="20"/>
          <w:highlight w:val="none"/>
        </w:rPr>
        <w:t>2．因你方原因致使供应商发生本保函第一条第（一）款约定情形的</w:t>
      </w:r>
      <w:r>
        <w:rPr>
          <w:rFonts w:ascii="仿宋" w:hAnsi="仿宋" w:eastAsia="仿宋" w:cs="仿宋"/>
          <w:spacing w:val="6"/>
          <w:sz w:val="20"/>
          <w:szCs w:val="20"/>
          <w:highlight w:val="none"/>
        </w:rPr>
        <w:t>，我方不承担保证</w:t>
      </w:r>
      <w:r>
        <w:rPr>
          <w:rFonts w:ascii="仿宋" w:hAnsi="仿宋" w:eastAsia="仿宋" w:cs="仿宋"/>
          <w:sz w:val="20"/>
          <w:szCs w:val="20"/>
          <w:highlight w:val="none"/>
        </w:rPr>
        <w:t>责任。</w:t>
      </w:r>
    </w:p>
    <w:p w14:paraId="779BA157">
      <w:pPr>
        <w:spacing w:before="61" w:line="229" w:lineRule="auto"/>
        <w:ind w:left="443"/>
        <w:rPr>
          <w:rFonts w:ascii="仿宋" w:hAnsi="仿宋" w:eastAsia="仿宋" w:cs="仿宋"/>
          <w:sz w:val="20"/>
          <w:szCs w:val="20"/>
          <w:highlight w:val="none"/>
        </w:rPr>
      </w:pPr>
      <w:r>
        <w:rPr>
          <w:rFonts w:ascii="仿宋" w:hAnsi="仿宋" w:eastAsia="仿宋" w:cs="仿宋"/>
          <w:spacing w:val="8"/>
          <w:sz w:val="20"/>
          <w:szCs w:val="20"/>
          <w:highlight w:val="none"/>
        </w:rPr>
        <w:t>3．因不可抗力造成供应商发生本保函第一条约定情形的，我方不承担保证责任。</w:t>
      </w:r>
    </w:p>
    <w:p w14:paraId="78DFE2B2">
      <w:pPr>
        <w:spacing w:before="63" w:line="259" w:lineRule="auto"/>
        <w:ind w:left="27" w:right="130" w:firstLine="411"/>
        <w:rPr>
          <w:rFonts w:ascii="仿宋" w:hAnsi="仿宋" w:eastAsia="仿宋" w:cs="仿宋"/>
          <w:sz w:val="20"/>
          <w:szCs w:val="20"/>
          <w:highlight w:val="none"/>
        </w:rPr>
      </w:pPr>
      <w:r>
        <w:rPr>
          <w:rFonts w:ascii="仿宋" w:hAnsi="仿宋" w:eastAsia="仿宋" w:cs="仿宋"/>
          <w:spacing w:val="7"/>
          <w:sz w:val="20"/>
          <w:szCs w:val="20"/>
          <w:highlight w:val="none"/>
        </w:rPr>
        <w:t>4．你方或其他有权机关对</w:t>
      </w:r>
      <w:r>
        <w:rPr>
          <w:rFonts w:hint="eastAsia" w:ascii="仿宋" w:hAnsi="仿宋" w:eastAsia="仿宋" w:cs="仿宋"/>
          <w:spacing w:val="7"/>
          <w:sz w:val="20"/>
          <w:szCs w:val="20"/>
          <w:highlight w:val="none"/>
          <w:lang w:eastAsia="zh-CN"/>
        </w:rPr>
        <w:t>投标文件</w:t>
      </w:r>
      <w:r>
        <w:rPr>
          <w:rFonts w:ascii="仿宋" w:hAnsi="仿宋" w:eastAsia="仿宋" w:cs="仿宋"/>
          <w:spacing w:val="7"/>
          <w:sz w:val="20"/>
          <w:szCs w:val="20"/>
          <w:highlight w:val="none"/>
        </w:rPr>
        <w:t>进行任何澄清或修改，加重我方保证责任的</w:t>
      </w:r>
      <w:r>
        <w:rPr>
          <w:rFonts w:ascii="仿宋" w:hAnsi="仿宋" w:eastAsia="仿宋" w:cs="仿宋"/>
          <w:spacing w:val="6"/>
          <w:sz w:val="20"/>
          <w:szCs w:val="20"/>
          <w:highlight w:val="none"/>
        </w:rPr>
        <w:t>，我方</w:t>
      </w:r>
      <w:r>
        <w:rPr>
          <w:rFonts w:ascii="仿宋" w:hAnsi="仿宋" w:eastAsia="仿宋" w:cs="仿宋"/>
          <w:spacing w:val="9"/>
          <w:sz w:val="20"/>
          <w:szCs w:val="20"/>
          <w:highlight w:val="none"/>
        </w:rPr>
        <w:t>对加重部分不承担保证责任，但该澄清或修改经我方事先书面同意的除外。</w:t>
      </w:r>
    </w:p>
    <w:p w14:paraId="6F8A0B85">
      <w:pPr>
        <w:spacing w:before="63" w:line="231" w:lineRule="auto"/>
        <w:ind w:left="447"/>
        <w:rPr>
          <w:rFonts w:ascii="仿宋" w:hAnsi="仿宋" w:eastAsia="仿宋" w:cs="仿宋"/>
          <w:sz w:val="20"/>
          <w:szCs w:val="20"/>
          <w:highlight w:val="none"/>
        </w:rPr>
      </w:pPr>
      <w:r>
        <w:rPr>
          <w:rFonts w:ascii="仿宋" w:hAnsi="仿宋" w:eastAsia="仿宋" w:cs="仿宋"/>
          <w:spacing w:val="7"/>
          <w:sz w:val="20"/>
          <w:szCs w:val="20"/>
          <w:highlight w:val="none"/>
        </w:rPr>
        <w:t>六、争议的解决</w:t>
      </w:r>
    </w:p>
    <w:p w14:paraId="63F98891">
      <w:pPr>
        <w:spacing w:before="63" w:line="271" w:lineRule="auto"/>
        <w:ind w:left="37" w:right="127" w:firstLine="429"/>
        <w:rPr>
          <w:rFonts w:ascii="仿宋" w:hAnsi="仿宋" w:eastAsia="仿宋" w:cs="仿宋"/>
          <w:sz w:val="20"/>
          <w:szCs w:val="20"/>
          <w:highlight w:val="none"/>
        </w:rPr>
      </w:pPr>
      <w:r>
        <w:rPr>
          <w:rFonts w:ascii="仿宋" w:hAnsi="仿宋" w:eastAsia="仿宋" w:cs="仿宋"/>
          <w:spacing w:val="9"/>
          <w:sz w:val="20"/>
          <w:szCs w:val="20"/>
          <w:highlight w:val="none"/>
        </w:rPr>
        <w:t>因本保函发生的纠纷，由你我双方协商解决，协商不成的，通过诉讼程序解决，诉讼</w:t>
      </w:r>
      <w:r>
        <w:rPr>
          <w:rFonts w:ascii="仿宋" w:hAnsi="仿宋" w:eastAsia="仿宋" w:cs="仿宋"/>
          <w:spacing w:val="3"/>
          <w:sz w:val="20"/>
          <w:szCs w:val="20"/>
          <w:highlight w:val="none"/>
        </w:rPr>
        <w:t>管辖地法院为</w:t>
      </w: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pacing w:val="3"/>
          <w:sz w:val="20"/>
          <w:szCs w:val="20"/>
          <w:highlight w:val="none"/>
        </w:rPr>
        <w:t>法院。</w:t>
      </w:r>
    </w:p>
    <w:p w14:paraId="4571310E">
      <w:pPr>
        <w:spacing w:before="37" w:line="229" w:lineRule="auto"/>
        <w:ind w:left="449"/>
        <w:rPr>
          <w:rFonts w:ascii="仿宋" w:hAnsi="仿宋" w:eastAsia="仿宋" w:cs="仿宋"/>
          <w:sz w:val="20"/>
          <w:szCs w:val="20"/>
          <w:highlight w:val="none"/>
        </w:rPr>
      </w:pPr>
      <w:r>
        <w:rPr>
          <w:rFonts w:ascii="仿宋" w:hAnsi="仿宋" w:eastAsia="仿宋" w:cs="仿宋"/>
          <w:spacing w:val="7"/>
          <w:sz w:val="20"/>
          <w:szCs w:val="20"/>
          <w:highlight w:val="none"/>
        </w:rPr>
        <w:t>七、保函的生效</w:t>
      </w:r>
    </w:p>
    <w:p w14:paraId="3BBDBE05">
      <w:pPr>
        <w:spacing w:before="64" w:line="229" w:lineRule="auto"/>
        <w:ind w:left="446"/>
        <w:rPr>
          <w:rFonts w:ascii="仿宋" w:hAnsi="仿宋" w:eastAsia="仿宋" w:cs="仿宋"/>
          <w:sz w:val="20"/>
          <w:szCs w:val="20"/>
          <w:highlight w:val="none"/>
        </w:rPr>
      </w:pPr>
      <w:r>
        <w:rPr>
          <w:rFonts w:ascii="仿宋" w:hAnsi="仿宋" w:eastAsia="仿宋" w:cs="仿宋"/>
          <w:spacing w:val="7"/>
          <w:sz w:val="20"/>
          <w:szCs w:val="20"/>
          <w:highlight w:val="none"/>
        </w:rPr>
        <w:t>本保函自我方加盖公章之日起生效。</w:t>
      </w:r>
    </w:p>
    <w:p w14:paraId="78E22809">
      <w:pPr>
        <w:spacing w:before="63" w:line="229" w:lineRule="auto"/>
        <w:ind w:left="446"/>
        <w:rPr>
          <w:rFonts w:ascii="仿宋" w:hAnsi="仿宋" w:eastAsia="仿宋" w:cs="仿宋"/>
          <w:sz w:val="20"/>
          <w:szCs w:val="20"/>
          <w:highlight w:val="none"/>
        </w:rPr>
        <w:sectPr>
          <w:footerReference r:id="rId17" w:type="default"/>
          <w:pgSz w:w="11906" w:h="16838"/>
          <w:pgMar w:top="1431" w:right="1785" w:bottom="1171" w:left="1785" w:header="0" w:footer="996" w:gutter="0"/>
          <w:pgNumType w:fmt="decimal"/>
          <w:cols w:space="720" w:num="1"/>
        </w:sectPr>
      </w:pPr>
      <w:r>
        <w:rPr>
          <w:rFonts w:ascii="仿宋" w:hAnsi="仿宋" w:eastAsia="仿宋" w:cs="仿宋"/>
          <w:spacing w:val="-3"/>
          <w:sz w:val="20"/>
          <w:szCs w:val="20"/>
          <w:highlight w:val="none"/>
        </w:rPr>
        <w:t>保证人</w:t>
      </w:r>
      <w:r>
        <w:rPr>
          <w:rFonts w:ascii="仿宋" w:hAnsi="仿宋" w:eastAsia="仿宋" w:cs="仿宋"/>
          <w:spacing w:val="2"/>
          <w:sz w:val="20"/>
          <w:szCs w:val="20"/>
          <w:highlight w:val="none"/>
        </w:rPr>
        <w:t>：（</w:t>
      </w:r>
      <w:r>
        <w:rPr>
          <w:rFonts w:ascii="仿宋" w:hAnsi="仿宋" w:eastAsia="仿宋" w:cs="仿宋"/>
          <w:spacing w:val="-3"/>
          <w:sz w:val="20"/>
          <w:szCs w:val="20"/>
          <w:highlight w:val="none"/>
        </w:rPr>
        <w:t>公章）年月日</w:t>
      </w:r>
    </w:p>
    <w:p w14:paraId="20B76D62">
      <w:pPr>
        <w:pStyle w:val="7"/>
        <w:keepNext w:val="0"/>
        <w:keepLines w:val="0"/>
        <w:pageBreakBefore w:val="0"/>
        <w:widowControl/>
        <w:kinsoku w:val="0"/>
        <w:wordWrap/>
        <w:overflowPunct/>
        <w:topLinePunct w:val="0"/>
        <w:autoSpaceDE w:val="0"/>
        <w:autoSpaceDN w:val="0"/>
        <w:bidi w:val="0"/>
        <w:adjustRightInd w:val="0"/>
        <w:snapToGrid w:val="0"/>
        <w:spacing w:line="295" w:lineRule="auto"/>
        <w:ind w:left="105" w:leftChars="50" w:right="-6"/>
        <w:textAlignment w:val="baseline"/>
        <w:rPr>
          <w:highlight w:val="none"/>
        </w:rPr>
      </w:pPr>
    </w:p>
    <w:p w14:paraId="7D802D5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717" w:firstLineChars="300"/>
        <w:textAlignment w:val="baseline"/>
        <w:outlineLvl w:val="1"/>
        <w:rPr>
          <w:rFonts w:hint="eastAsia"/>
          <w:spacing w:val="8"/>
          <w:highlight w:val="none"/>
          <w:lang w:val="en-US" w:eastAsia="zh-CN"/>
        </w:rPr>
      </w:pPr>
      <w:r>
        <w:rPr>
          <w:rFonts w:ascii="仿宋" w:hAnsi="仿宋" w:eastAsia="仿宋" w:cs="仿宋"/>
          <w:b/>
          <w:bCs/>
          <w:spacing w:val="4"/>
          <w:sz w:val="23"/>
          <w:szCs w:val="23"/>
          <w:highlight w:val="none"/>
        </w:rPr>
        <w:t>1</w:t>
      </w:r>
      <w:r>
        <w:rPr>
          <w:rFonts w:hint="eastAsia" w:ascii="仿宋" w:hAnsi="仿宋" w:eastAsia="仿宋" w:cs="仿宋"/>
          <w:b/>
          <w:bCs/>
          <w:spacing w:val="4"/>
          <w:sz w:val="23"/>
          <w:szCs w:val="23"/>
          <w:highlight w:val="none"/>
          <w:lang w:val="en-US" w:eastAsia="zh-CN"/>
        </w:rPr>
        <w:t>1具有省级部门认定的农民培训资格或者具有主管部门颁发的办学许可证。</w:t>
      </w:r>
    </w:p>
    <w:p w14:paraId="75403EF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717" w:firstLineChars="300"/>
        <w:textAlignment w:val="baseline"/>
        <w:outlineLvl w:val="1"/>
        <w:rPr>
          <w:rFonts w:hint="eastAsia" w:ascii="仿宋" w:hAnsi="仿宋" w:eastAsia="仿宋" w:cs="仿宋"/>
          <w:b/>
          <w:bCs/>
          <w:spacing w:val="4"/>
          <w:sz w:val="23"/>
          <w:szCs w:val="23"/>
          <w:highlight w:val="none"/>
          <w:lang w:val="en-US" w:eastAsia="zh-CN"/>
        </w:rPr>
      </w:pPr>
    </w:p>
    <w:p w14:paraId="68B2FBF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717" w:firstLineChars="300"/>
        <w:textAlignment w:val="baseline"/>
        <w:outlineLvl w:val="1"/>
        <w:rPr>
          <w:rFonts w:hint="eastAsia" w:ascii="仿宋" w:hAnsi="仿宋" w:eastAsia="仿宋" w:cs="仿宋"/>
          <w:b/>
          <w:bCs/>
          <w:spacing w:val="4"/>
          <w:sz w:val="23"/>
          <w:szCs w:val="23"/>
          <w:highlight w:val="none"/>
          <w:lang w:val="en-US" w:eastAsia="zh-CN"/>
        </w:rPr>
      </w:pPr>
    </w:p>
    <w:p w14:paraId="068880A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717" w:firstLineChars="300"/>
        <w:textAlignment w:val="baseline"/>
        <w:outlineLvl w:val="1"/>
        <w:rPr>
          <w:rFonts w:hint="eastAsia" w:ascii="仿宋" w:hAnsi="仿宋" w:eastAsia="仿宋" w:cs="仿宋"/>
          <w:b/>
          <w:bCs/>
          <w:spacing w:val="4"/>
          <w:sz w:val="23"/>
          <w:szCs w:val="23"/>
          <w:highlight w:val="none"/>
          <w:lang w:val="en-US" w:eastAsia="zh-CN"/>
        </w:rPr>
      </w:pPr>
    </w:p>
    <w:p w14:paraId="7BD8CDC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717" w:firstLineChars="300"/>
        <w:textAlignment w:val="baseline"/>
        <w:outlineLvl w:val="1"/>
        <w:rPr>
          <w:rFonts w:hint="eastAsia" w:ascii="仿宋" w:hAnsi="仿宋" w:eastAsia="仿宋" w:cs="仿宋"/>
          <w:b/>
          <w:bCs/>
          <w:spacing w:val="4"/>
          <w:sz w:val="23"/>
          <w:szCs w:val="23"/>
          <w:highlight w:val="none"/>
          <w:lang w:val="en-US" w:eastAsia="zh-CN"/>
        </w:rPr>
      </w:pPr>
    </w:p>
    <w:p w14:paraId="23930D4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717" w:firstLineChars="300"/>
        <w:textAlignment w:val="baseline"/>
        <w:outlineLvl w:val="1"/>
        <w:rPr>
          <w:rFonts w:hint="eastAsia" w:ascii="仿宋" w:hAnsi="仿宋" w:eastAsia="仿宋" w:cs="仿宋"/>
          <w:b/>
          <w:bCs/>
          <w:spacing w:val="4"/>
          <w:sz w:val="23"/>
          <w:szCs w:val="23"/>
          <w:highlight w:val="none"/>
          <w:lang w:val="en-US" w:eastAsia="zh-CN"/>
        </w:rPr>
      </w:pPr>
    </w:p>
    <w:p w14:paraId="0E2479D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717" w:firstLineChars="300"/>
        <w:textAlignment w:val="baseline"/>
        <w:outlineLvl w:val="1"/>
        <w:rPr>
          <w:rFonts w:hint="eastAsia" w:ascii="仿宋" w:hAnsi="仿宋" w:eastAsia="仿宋" w:cs="仿宋"/>
          <w:b/>
          <w:bCs/>
          <w:spacing w:val="4"/>
          <w:sz w:val="23"/>
          <w:szCs w:val="23"/>
          <w:highlight w:val="none"/>
          <w:lang w:val="en-US" w:eastAsia="zh-CN"/>
        </w:rPr>
      </w:pPr>
    </w:p>
    <w:p w14:paraId="574F6D2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717" w:firstLineChars="300"/>
        <w:textAlignment w:val="baseline"/>
        <w:outlineLvl w:val="1"/>
        <w:rPr>
          <w:rFonts w:hint="eastAsia" w:ascii="仿宋" w:hAnsi="仿宋" w:eastAsia="仿宋" w:cs="仿宋"/>
          <w:b/>
          <w:bCs/>
          <w:spacing w:val="4"/>
          <w:sz w:val="23"/>
          <w:szCs w:val="23"/>
          <w:highlight w:val="none"/>
          <w:lang w:val="en-US" w:eastAsia="zh-CN"/>
        </w:rPr>
      </w:pPr>
    </w:p>
    <w:p w14:paraId="2244447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717" w:firstLineChars="300"/>
        <w:textAlignment w:val="baseline"/>
        <w:outlineLvl w:val="1"/>
        <w:rPr>
          <w:rFonts w:hint="eastAsia" w:ascii="仿宋" w:hAnsi="仿宋" w:eastAsia="仿宋" w:cs="仿宋"/>
          <w:b/>
          <w:bCs/>
          <w:spacing w:val="4"/>
          <w:sz w:val="23"/>
          <w:szCs w:val="23"/>
          <w:highlight w:val="none"/>
          <w:lang w:val="en-US" w:eastAsia="zh-CN"/>
        </w:rPr>
      </w:pPr>
    </w:p>
    <w:p w14:paraId="0A3AB93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717" w:firstLineChars="300"/>
        <w:textAlignment w:val="baseline"/>
        <w:outlineLvl w:val="1"/>
        <w:rPr>
          <w:rFonts w:hint="eastAsia" w:ascii="仿宋" w:hAnsi="仿宋" w:eastAsia="仿宋" w:cs="仿宋"/>
          <w:b/>
          <w:bCs/>
          <w:spacing w:val="4"/>
          <w:sz w:val="23"/>
          <w:szCs w:val="23"/>
          <w:highlight w:val="none"/>
          <w:lang w:val="en-US" w:eastAsia="zh-CN"/>
        </w:rPr>
      </w:pPr>
    </w:p>
    <w:p w14:paraId="1483D00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717" w:firstLineChars="300"/>
        <w:textAlignment w:val="baseline"/>
        <w:outlineLvl w:val="1"/>
        <w:rPr>
          <w:rFonts w:hint="eastAsia" w:ascii="仿宋" w:hAnsi="仿宋" w:eastAsia="仿宋" w:cs="仿宋"/>
          <w:b/>
          <w:bCs/>
          <w:spacing w:val="4"/>
          <w:sz w:val="23"/>
          <w:szCs w:val="23"/>
          <w:highlight w:val="none"/>
          <w:lang w:val="en-US" w:eastAsia="zh-CN"/>
        </w:rPr>
      </w:pPr>
    </w:p>
    <w:p w14:paraId="6430C6C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717" w:firstLineChars="300"/>
        <w:textAlignment w:val="baseline"/>
        <w:outlineLvl w:val="1"/>
        <w:rPr>
          <w:rFonts w:hint="eastAsia" w:ascii="仿宋" w:hAnsi="仿宋" w:eastAsia="仿宋" w:cs="仿宋"/>
          <w:b/>
          <w:bCs/>
          <w:spacing w:val="4"/>
          <w:sz w:val="23"/>
          <w:szCs w:val="23"/>
          <w:highlight w:val="none"/>
          <w:lang w:val="en-US" w:eastAsia="zh-CN"/>
        </w:rPr>
      </w:pPr>
    </w:p>
    <w:p w14:paraId="1D582C7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717" w:firstLineChars="300"/>
        <w:textAlignment w:val="baseline"/>
        <w:outlineLvl w:val="1"/>
        <w:rPr>
          <w:rFonts w:ascii="仿宋" w:hAnsi="仿宋" w:eastAsia="仿宋" w:cs="仿宋"/>
          <w:sz w:val="23"/>
          <w:szCs w:val="23"/>
          <w:highlight w:val="none"/>
        </w:rPr>
      </w:pPr>
      <w:r>
        <w:rPr>
          <w:rFonts w:hint="eastAsia" w:ascii="仿宋" w:hAnsi="仿宋" w:eastAsia="仿宋" w:cs="仿宋"/>
          <w:b/>
          <w:bCs/>
          <w:spacing w:val="4"/>
          <w:sz w:val="23"/>
          <w:szCs w:val="23"/>
          <w:highlight w:val="none"/>
          <w:lang w:val="en-US" w:eastAsia="zh-CN"/>
        </w:rPr>
        <w:t>12</w:t>
      </w:r>
      <w:r>
        <w:rPr>
          <w:rFonts w:ascii="仿宋" w:hAnsi="仿宋" w:eastAsia="仿宋" w:cs="仿宋"/>
          <w:b/>
          <w:bCs/>
          <w:spacing w:val="4"/>
          <w:sz w:val="23"/>
          <w:szCs w:val="23"/>
          <w:highlight w:val="none"/>
        </w:rPr>
        <w:t>供应商须知资料表要求的其他资格证明文件；</w:t>
      </w:r>
    </w:p>
    <w:p w14:paraId="5F099EA2">
      <w:pPr>
        <w:pStyle w:val="7"/>
        <w:spacing w:line="294" w:lineRule="auto"/>
        <w:rPr>
          <w:highlight w:val="none"/>
        </w:rPr>
      </w:pPr>
    </w:p>
    <w:p w14:paraId="62FA8254">
      <w:pPr>
        <w:pStyle w:val="7"/>
        <w:spacing w:line="294" w:lineRule="auto"/>
        <w:rPr>
          <w:highlight w:val="none"/>
        </w:rPr>
      </w:pPr>
    </w:p>
    <w:p w14:paraId="6F15A286">
      <w:pPr>
        <w:pStyle w:val="7"/>
        <w:spacing w:line="295" w:lineRule="auto"/>
        <w:rPr>
          <w:highlight w:val="none"/>
        </w:rPr>
      </w:pPr>
    </w:p>
    <w:p w14:paraId="4A979813">
      <w:pPr>
        <w:spacing w:before="75" w:line="228" w:lineRule="auto"/>
        <w:ind w:left="540"/>
        <w:rPr>
          <w:rFonts w:ascii="仿宋" w:hAnsi="仿宋" w:eastAsia="仿宋" w:cs="仿宋"/>
          <w:sz w:val="23"/>
          <w:szCs w:val="23"/>
          <w:highlight w:val="none"/>
        </w:rPr>
      </w:pPr>
      <w:r>
        <w:rPr>
          <w:rFonts w:ascii="仿宋" w:hAnsi="仿宋" w:eastAsia="仿宋" w:cs="仿宋"/>
          <w:spacing w:val="8"/>
          <w:sz w:val="23"/>
          <w:szCs w:val="23"/>
          <w:highlight w:val="none"/>
        </w:rPr>
        <w:t>说明：1.应提供</w:t>
      </w:r>
      <w:r>
        <w:rPr>
          <w:rFonts w:ascii="仿宋" w:hAnsi="仿宋" w:eastAsia="仿宋" w:cs="仿宋"/>
          <w:spacing w:val="8"/>
          <w:sz w:val="23"/>
          <w:szCs w:val="23"/>
          <w:highlight w:val="none"/>
          <w:u w:val="single" w:color="auto"/>
        </w:rPr>
        <w:t>供应商须知资料表</w:t>
      </w:r>
      <w:r>
        <w:rPr>
          <w:rFonts w:ascii="仿宋" w:hAnsi="仿宋" w:eastAsia="仿宋" w:cs="仿宋"/>
          <w:spacing w:val="8"/>
          <w:sz w:val="23"/>
          <w:szCs w:val="23"/>
          <w:highlight w:val="none"/>
        </w:rPr>
        <w:t>要求的</w:t>
      </w:r>
      <w:r>
        <w:rPr>
          <w:rFonts w:ascii="仿宋" w:hAnsi="仿宋" w:eastAsia="仿宋" w:cs="仿宋"/>
          <w:spacing w:val="7"/>
          <w:sz w:val="23"/>
          <w:szCs w:val="23"/>
          <w:highlight w:val="none"/>
        </w:rPr>
        <w:t>其他资格证明文件。</w:t>
      </w:r>
    </w:p>
    <w:p w14:paraId="4C624CE3">
      <w:pPr>
        <w:spacing w:before="28" w:line="229" w:lineRule="auto"/>
        <w:ind w:left="1255"/>
        <w:rPr>
          <w:rFonts w:ascii="仿宋" w:hAnsi="仿宋" w:eastAsia="仿宋" w:cs="仿宋"/>
          <w:sz w:val="23"/>
          <w:szCs w:val="23"/>
          <w:highlight w:val="none"/>
        </w:rPr>
      </w:pPr>
      <w:r>
        <w:rPr>
          <w:rFonts w:ascii="仿宋" w:hAnsi="仿宋" w:eastAsia="仿宋" w:cs="仿宋"/>
          <w:spacing w:val="8"/>
          <w:sz w:val="23"/>
          <w:szCs w:val="23"/>
          <w:highlight w:val="none"/>
        </w:rPr>
        <w:t>2.原件扫描件上应加盖本单位章（自然人投标的无需盖章，需要签字）。</w:t>
      </w:r>
    </w:p>
    <w:p w14:paraId="2601C6BC">
      <w:pPr>
        <w:spacing w:before="27"/>
        <w:ind w:left="1259" w:right="33" w:firstLine="59"/>
        <w:rPr>
          <w:rFonts w:ascii="仿宋" w:hAnsi="仿宋" w:eastAsia="仿宋" w:cs="仿宋"/>
          <w:sz w:val="23"/>
          <w:szCs w:val="23"/>
          <w:highlight w:val="none"/>
        </w:rPr>
      </w:pPr>
      <w:r>
        <w:rPr>
          <w:rFonts w:ascii="仿宋" w:hAnsi="仿宋" w:eastAsia="仿宋" w:cs="仿宋"/>
          <w:spacing w:val="8"/>
          <w:sz w:val="23"/>
          <w:szCs w:val="23"/>
          <w:highlight w:val="none"/>
        </w:rPr>
        <w:t>3.（本项目不接受联合体）如果是联合体投标，联</w:t>
      </w:r>
      <w:r>
        <w:rPr>
          <w:rFonts w:ascii="仿宋" w:hAnsi="仿宋" w:eastAsia="仿宋" w:cs="仿宋"/>
          <w:spacing w:val="7"/>
          <w:sz w:val="23"/>
          <w:szCs w:val="23"/>
          <w:highlight w:val="none"/>
        </w:rPr>
        <w:t>合体各方需提供的满足</w:t>
      </w:r>
      <w:r>
        <w:rPr>
          <w:rFonts w:hint="eastAsia" w:ascii="仿宋" w:hAnsi="仿宋" w:eastAsia="仿宋" w:cs="仿宋"/>
          <w:spacing w:val="7"/>
          <w:sz w:val="23"/>
          <w:szCs w:val="23"/>
          <w:highlight w:val="none"/>
          <w:lang w:eastAsia="zh-CN"/>
        </w:rPr>
        <w:t>投标文件</w:t>
      </w:r>
      <w:r>
        <w:rPr>
          <w:rFonts w:ascii="仿宋" w:hAnsi="仿宋" w:eastAsia="仿宋" w:cs="仿宋"/>
          <w:spacing w:val="5"/>
          <w:sz w:val="23"/>
          <w:szCs w:val="23"/>
          <w:highlight w:val="none"/>
        </w:rPr>
        <w:t>要求的其他资格证明文件。</w:t>
      </w:r>
    </w:p>
    <w:p w14:paraId="12E0FE21">
      <w:pPr>
        <w:rPr>
          <w:rFonts w:ascii="仿宋" w:hAnsi="仿宋" w:eastAsia="仿宋" w:cs="仿宋"/>
          <w:sz w:val="23"/>
          <w:szCs w:val="23"/>
          <w:highlight w:val="none"/>
        </w:rPr>
        <w:sectPr>
          <w:footerReference r:id="rId18" w:type="default"/>
          <w:pgSz w:w="11906" w:h="16838"/>
          <w:pgMar w:top="1427" w:right="1129" w:bottom="1171" w:left="1095" w:header="0" w:footer="996" w:gutter="0"/>
          <w:pgNumType w:fmt="decimal"/>
          <w:cols w:space="720" w:num="1"/>
        </w:sectPr>
      </w:pPr>
    </w:p>
    <w:p w14:paraId="4857473F">
      <w:pPr>
        <w:numPr>
          <w:ilvl w:val="0"/>
          <w:numId w:val="2"/>
        </w:numPr>
        <w:spacing w:before="102" w:line="233" w:lineRule="auto"/>
        <w:ind w:left="2980"/>
        <w:outlineLvl w:val="1"/>
        <w:rPr>
          <w:rFonts w:ascii="方正仿宋_GBK" w:hAnsi="方正仿宋_GBK" w:eastAsia="方正仿宋_GBK" w:cs="方正仿宋_GBK"/>
          <w:b/>
          <w:bCs/>
          <w:spacing w:val="-8"/>
          <w:sz w:val="28"/>
          <w:szCs w:val="28"/>
          <w:highlight w:val="none"/>
        </w:rPr>
      </w:pPr>
      <w:r>
        <w:rPr>
          <w:rFonts w:ascii="方正仿宋_GBK" w:hAnsi="方正仿宋_GBK" w:eastAsia="方正仿宋_GBK" w:cs="方正仿宋_GBK"/>
          <w:b/>
          <w:bCs/>
          <w:spacing w:val="-8"/>
          <w:sz w:val="28"/>
          <w:szCs w:val="28"/>
          <w:highlight w:val="none"/>
        </w:rPr>
        <w:t>商务及技术组成</w:t>
      </w:r>
    </w:p>
    <w:p w14:paraId="26B81F88">
      <w:pPr>
        <w:pStyle w:val="10"/>
        <w:tabs>
          <w:tab w:val="left" w:pos="5580"/>
        </w:tabs>
        <w:spacing w:line="240" w:lineRule="atLeas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1、政府采购诚信投标承诺书</w:t>
      </w:r>
    </w:p>
    <w:p w14:paraId="10CFD361">
      <w:pPr>
        <w:pStyle w:val="10"/>
        <w:tabs>
          <w:tab w:val="left" w:pos="5580"/>
        </w:tabs>
        <w:spacing w:line="240" w:lineRule="atLeas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2、投标书</w:t>
      </w:r>
    </w:p>
    <w:p w14:paraId="1A8882B8">
      <w:pPr>
        <w:pStyle w:val="10"/>
        <w:tabs>
          <w:tab w:val="left" w:pos="5580"/>
        </w:tabs>
        <w:spacing w:line="240" w:lineRule="atLeas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3、服务说明一览表</w:t>
      </w:r>
    </w:p>
    <w:p w14:paraId="141A4C77">
      <w:pPr>
        <w:pStyle w:val="10"/>
        <w:tabs>
          <w:tab w:val="left" w:pos="5580"/>
        </w:tabs>
        <w:spacing w:line="240" w:lineRule="atLeas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4、技术条款偏离表</w:t>
      </w:r>
    </w:p>
    <w:p w14:paraId="33E97A27">
      <w:pPr>
        <w:pStyle w:val="10"/>
        <w:tabs>
          <w:tab w:val="left" w:pos="5580"/>
        </w:tabs>
        <w:spacing w:line="240" w:lineRule="atLeas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5、商务条款偏离表</w:t>
      </w:r>
    </w:p>
    <w:p w14:paraId="7901BEC2">
      <w:pPr>
        <w:pStyle w:val="10"/>
        <w:tabs>
          <w:tab w:val="left" w:pos="5580"/>
        </w:tabs>
        <w:spacing w:line="240" w:lineRule="atLeast"/>
        <w:ind w:left="1079" w:leftChars="257" w:hanging="540"/>
        <w:rPr>
          <w:rFonts w:hint="eastAsia" w:ascii="仿宋" w:hAnsi="仿宋" w:eastAsia="仿宋" w:cs="仿宋"/>
          <w:sz w:val="28"/>
          <w:szCs w:val="28"/>
          <w:highlight w:val="none"/>
        </w:rPr>
      </w:pPr>
      <w:r>
        <w:rPr>
          <w:rFonts w:hint="eastAsia" w:ascii="仿宋" w:hAnsi="仿宋" w:eastAsia="仿宋" w:cs="仿宋"/>
          <w:sz w:val="28"/>
          <w:szCs w:val="28"/>
          <w:highlight w:val="none"/>
        </w:rPr>
        <w:t>6、根据《政府采购促进中小企业发展管理办法》和《三部门联合发布关于促进残疾人就业政府采购政策的通知》</w:t>
      </w:r>
      <w:r>
        <w:rPr>
          <w:rFonts w:hint="eastAsia" w:ascii="仿宋" w:hAnsi="仿宋" w:eastAsia="仿宋" w:cs="仿宋"/>
          <w:sz w:val="28"/>
          <w:szCs w:val="28"/>
          <w:highlight w:val="none"/>
          <w:lang w:val="en-US" w:eastAsia="zh-CN"/>
        </w:rPr>
        <w:t>符合</w:t>
      </w:r>
      <w:r>
        <w:rPr>
          <w:rFonts w:hint="eastAsia" w:ascii="仿宋" w:hAnsi="仿宋" w:eastAsia="仿宋" w:cs="仿宋"/>
          <w:sz w:val="28"/>
          <w:szCs w:val="28"/>
          <w:highlight w:val="none"/>
        </w:rPr>
        <w:t>条件的投标人须提交）</w:t>
      </w:r>
    </w:p>
    <w:p w14:paraId="4AD5BC6C">
      <w:pPr>
        <w:pStyle w:val="10"/>
        <w:tabs>
          <w:tab w:val="left" w:pos="5580"/>
        </w:tabs>
        <w:spacing w:line="240" w:lineRule="atLeast"/>
        <w:ind w:left="1079" w:leftChars="257" w:hanging="540"/>
        <w:rPr>
          <w:rFonts w:hint="eastAsia" w:ascii="仿宋" w:hAnsi="仿宋" w:eastAsia="仿宋" w:cs="仿宋"/>
          <w:sz w:val="28"/>
          <w:szCs w:val="28"/>
          <w:highlight w:val="none"/>
        </w:rPr>
      </w:pPr>
      <w:r>
        <w:rPr>
          <w:rFonts w:hint="eastAsia" w:ascii="仿宋" w:hAnsi="仿宋" w:eastAsia="仿宋" w:cs="仿宋"/>
          <w:sz w:val="28"/>
          <w:szCs w:val="28"/>
          <w:highlight w:val="none"/>
        </w:rPr>
        <w:t>6-1《</w:t>
      </w:r>
      <w:r>
        <w:rPr>
          <w:rFonts w:hint="eastAsia" w:ascii="仿宋" w:hAnsi="仿宋" w:eastAsia="仿宋" w:cs="仿宋"/>
          <w:sz w:val="28"/>
          <w:szCs w:val="28"/>
          <w:highlight w:val="none"/>
          <w:lang w:val="en-US" w:eastAsia="zh-CN"/>
        </w:rPr>
        <w:t>中小企业</w:t>
      </w:r>
      <w:r>
        <w:rPr>
          <w:rFonts w:hint="eastAsia" w:ascii="仿宋" w:hAnsi="仿宋" w:eastAsia="仿宋" w:cs="仿宋"/>
          <w:sz w:val="28"/>
          <w:szCs w:val="28"/>
          <w:highlight w:val="none"/>
        </w:rPr>
        <w:t>声明函》</w:t>
      </w:r>
    </w:p>
    <w:p w14:paraId="3CD7DC31">
      <w:pPr>
        <w:pStyle w:val="10"/>
        <w:tabs>
          <w:tab w:val="left" w:pos="5580"/>
        </w:tabs>
        <w:spacing w:line="240" w:lineRule="atLeast"/>
        <w:ind w:left="1079" w:leftChars="257" w:hanging="540"/>
        <w:rPr>
          <w:rFonts w:hint="eastAsia" w:ascii="仿宋" w:hAnsi="仿宋" w:eastAsia="仿宋" w:cs="仿宋"/>
          <w:sz w:val="28"/>
          <w:szCs w:val="28"/>
          <w:highlight w:val="none"/>
        </w:rPr>
      </w:pPr>
      <w:r>
        <w:rPr>
          <w:rFonts w:hint="eastAsia" w:ascii="仿宋" w:hAnsi="仿宋" w:eastAsia="仿宋" w:cs="仿宋"/>
          <w:sz w:val="28"/>
          <w:szCs w:val="28"/>
          <w:highlight w:val="none"/>
        </w:rPr>
        <w:t>6-2《残疾人福利性单位声明函》</w:t>
      </w:r>
    </w:p>
    <w:p w14:paraId="623F803E">
      <w:pPr>
        <w:pStyle w:val="10"/>
        <w:tabs>
          <w:tab w:val="left" w:pos="5580"/>
        </w:tabs>
        <w:spacing w:line="240" w:lineRule="atLeast"/>
        <w:ind w:left="1079" w:leftChars="257" w:hanging="540"/>
        <w:rPr>
          <w:rFonts w:hint="eastAsia" w:ascii="仿宋" w:hAnsi="仿宋" w:eastAsia="仿宋" w:cs="仿宋"/>
          <w:sz w:val="28"/>
          <w:szCs w:val="28"/>
          <w:highlight w:val="none"/>
        </w:rPr>
      </w:pPr>
      <w:r>
        <w:rPr>
          <w:rFonts w:hint="eastAsia" w:ascii="仿宋" w:hAnsi="仿宋" w:eastAsia="仿宋" w:cs="仿宋"/>
          <w:sz w:val="28"/>
          <w:szCs w:val="28"/>
          <w:highlight w:val="none"/>
        </w:rPr>
        <w:t>7、投标人关联单位的说明（格式自拟）</w:t>
      </w:r>
    </w:p>
    <w:p w14:paraId="3024FE29">
      <w:pPr>
        <w:pStyle w:val="10"/>
        <w:tabs>
          <w:tab w:val="left" w:pos="5580"/>
        </w:tabs>
        <w:spacing w:line="240" w:lineRule="atLeast"/>
        <w:ind w:left="1079" w:leftChars="257" w:hanging="540"/>
        <w:rPr>
          <w:rFonts w:hint="eastAsia" w:ascii="仿宋" w:hAnsi="仿宋" w:eastAsia="仿宋" w:cs="仿宋"/>
          <w:sz w:val="28"/>
          <w:szCs w:val="28"/>
          <w:highlight w:val="none"/>
        </w:rPr>
      </w:pPr>
      <w:r>
        <w:rPr>
          <w:rFonts w:hint="eastAsia" w:ascii="仿宋" w:hAnsi="仿宋" w:eastAsia="仿宋" w:cs="仿宋"/>
          <w:sz w:val="28"/>
          <w:szCs w:val="28"/>
          <w:highlight w:val="none"/>
        </w:rPr>
        <w:t>8、其他有利于投标人的资料</w:t>
      </w:r>
    </w:p>
    <w:p w14:paraId="2DB88D6D">
      <w:pPr>
        <w:rPr>
          <w:rFonts w:hint="eastAsia" w:ascii="仿宋" w:hAnsi="仿宋" w:eastAsia="仿宋" w:cs="仿宋"/>
          <w:sz w:val="28"/>
          <w:szCs w:val="28"/>
          <w:highlight w:val="none"/>
        </w:rPr>
      </w:pPr>
      <w:bookmarkStart w:id="94" w:name="_Toc14915"/>
      <w:bookmarkStart w:id="95" w:name="_Toc22043"/>
      <w:bookmarkStart w:id="96" w:name="_Toc515647817"/>
      <w:bookmarkStart w:id="97" w:name="_Toc2041"/>
    </w:p>
    <w:p w14:paraId="1853813E">
      <w:pPr>
        <w:pStyle w:val="19"/>
        <w:ind w:firstLine="560"/>
        <w:rPr>
          <w:rFonts w:hint="eastAsia" w:ascii="仿宋" w:hAnsi="仿宋" w:eastAsia="仿宋" w:cs="仿宋"/>
          <w:sz w:val="28"/>
          <w:szCs w:val="28"/>
          <w:highlight w:val="none"/>
        </w:rPr>
      </w:pPr>
    </w:p>
    <w:p w14:paraId="700BFA3A">
      <w:pPr>
        <w:pStyle w:val="2"/>
        <w:rPr>
          <w:rFonts w:hint="eastAsia" w:ascii="仿宋" w:hAnsi="仿宋" w:eastAsia="仿宋" w:cs="仿宋"/>
          <w:sz w:val="28"/>
          <w:szCs w:val="28"/>
          <w:highlight w:val="none"/>
        </w:rPr>
      </w:pPr>
    </w:p>
    <w:p w14:paraId="53FC0345">
      <w:pPr>
        <w:rPr>
          <w:rFonts w:hint="eastAsia" w:ascii="仿宋" w:hAnsi="仿宋" w:eastAsia="仿宋" w:cs="仿宋"/>
          <w:sz w:val="28"/>
          <w:szCs w:val="28"/>
          <w:highlight w:val="none"/>
        </w:rPr>
      </w:pPr>
    </w:p>
    <w:p w14:paraId="5A7AFED6">
      <w:pPr>
        <w:pStyle w:val="19"/>
        <w:ind w:firstLine="560"/>
        <w:rPr>
          <w:rFonts w:hint="eastAsia" w:ascii="仿宋" w:hAnsi="仿宋" w:eastAsia="仿宋" w:cs="仿宋"/>
          <w:sz w:val="28"/>
          <w:szCs w:val="28"/>
          <w:highlight w:val="none"/>
        </w:rPr>
      </w:pPr>
    </w:p>
    <w:p w14:paraId="0EB960E5">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06F43178">
      <w:pPr>
        <w:pStyle w:val="7"/>
        <w:tabs>
          <w:tab w:val="left" w:pos="265"/>
        </w:tabs>
        <w:spacing w:before="94" w:line="302" w:lineRule="auto"/>
        <w:ind w:left="9" w:right="2303" w:firstLine="2215"/>
        <w:rPr>
          <w:sz w:val="23"/>
          <w:szCs w:val="23"/>
          <w:highlight w:val="none"/>
        </w:rPr>
      </w:pPr>
      <w:bookmarkStart w:id="98" w:name="_Toc14570"/>
      <w:bookmarkStart w:id="99" w:name="_Toc15795"/>
      <w:r>
        <w:rPr>
          <w:rFonts w:ascii="黑体" w:hAnsi="黑体" w:eastAsia="黑体" w:cs="黑体"/>
          <w:spacing w:val="2"/>
          <w:sz w:val="29"/>
          <w:szCs w:val="29"/>
          <w:highlight w:val="none"/>
        </w:rPr>
        <w:t>1、政府采购诚信投标承诺书</w:t>
      </w:r>
      <w:r>
        <w:rPr>
          <w:sz w:val="23"/>
          <w:szCs w:val="23"/>
          <w:highlight w:val="none"/>
          <w:u w:val="single" w:color="auto"/>
        </w:rPr>
        <w:tab/>
      </w:r>
      <w:r>
        <w:rPr>
          <w:spacing w:val="-38"/>
          <w:w w:val="96"/>
          <w:sz w:val="23"/>
          <w:szCs w:val="23"/>
          <w:highlight w:val="none"/>
          <w:u w:val="single" w:color="auto"/>
        </w:rPr>
        <w:t>（采购人</w:t>
      </w:r>
      <w:r>
        <w:rPr>
          <w:spacing w:val="-12"/>
          <w:sz w:val="23"/>
          <w:szCs w:val="23"/>
          <w:highlight w:val="none"/>
          <w:u w:val="single" w:color="auto"/>
        </w:rPr>
        <w:t>）</w:t>
      </w:r>
      <w:r>
        <w:rPr>
          <w:spacing w:val="-12"/>
          <w:sz w:val="23"/>
          <w:szCs w:val="23"/>
          <w:highlight w:val="none"/>
        </w:rPr>
        <w:t>：</w:t>
      </w:r>
    </w:p>
    <w:p w14:paraId="4647EAA1">
      <w:pPr>
        <w:pStyle w:val="7"/>
        <w:spacing w:before="76" w:line="316" w:lineRule="auto"/>
        <w:ind w:left="29" w:right="128" w:firstLine="505"/>
        <w:jc w:val="both"/>
        <w:rPr>
          <w:sz w:val="23"/>
          <w:szCs w:val="23"/>
          <w:highlight w:val="none"/>
        </w:rPr>
      </w:pPr>
      <w:r>
        <w:rPr>
          <w:spacing w:val="3"/>
          <w:sz w:val="23"/>
          <w:szCs w:val="23"/>
          <w:highlight w:val="none"/>
        </w:rPr>
        <w:t>我公司（投标人名称）已详细阅读了项目</w:t>
      </w:r>
      <w:r>
        <w:rPr>
          <w:spacing w:val="6"/>
          <w:sz w:val="23"/>
          <w:szCs w:val="23"/>
          <w:highlight w:val="none"/>
        </w:rPr>
        <w:t>（项目编号</w:t>
      </w:r>
      <w:r>
        <w:rPr>
          <w:spacing w:val="-26"/>
          <w:sz w:val="23"/>
          <w:szCs w:val="23"/>
          <w:highlight w:val="none"/>
        </w:rPr>
        <w:t>：）</w:t>
      </w:r>
      <w:r>
        <w:rPr>
          <w:spacing w:val="6"/>
          <w:sz w:val="23"/>
          <w:szCs w:val="23"/>
          <w:highlight w:val="none"/>
        </w:rPr>
        <w:t>招标文件，自愿参加本次投标</w:t>
      </w:r>
      <w:r>
        <w:rPr>
          <w:spacing w:val="5"/>
          <w:sz w:val="23"/>
          <w:szCs w:val="23"/>
          <w:highlight w:val="none"/>
        </w:rPr>
        <w:t>，现就有关事项郑重</w:t>
      </w:r>
      <w:r>
        <w:rPr>
          <w:spacing w:val="4"/>
          <w:sz w:val="23"/>
          <w:szCs w:val="23"/>
          <w:highlight w:val="none"/>
        </w:rPr>
        <w:t>承诺如下：</w:t>
      </w:r>
    </w:p>
    <w:p w14:paraId="3ACF730D">
      <w:pPr>
        <w:pStyle w:val="7"/>
        <w:spacing w:before="79" w:line="297" w:lineRule="auto"/>
        <w:ind w:left="39" w:right="133" w:firstLine="498"/>
        <w:rPr>
          <w:sz w:val="23"/>
          <w:szCs w:val="23"/>
          <w:highlight w:val="none"/>
        </w:rPr>
      </w:pPr>
      <w:r>
        <w:rPr>
          <w:spacing w:val="9"/>
          <w:sz w:val="23"/>
          <w:szCs w:val="23"/>
          <w:highlight w:val="none"/>
        </w:rPr>
        <w:t>一、诚信投标，材料真实。我公司保证所提供的全部材料、投标</w:t>
      </w:r>
      <w:r>
        <w:rPr>
          <w:spacing w:val="8"/>
          <w:sz w:val="23"/>
          <w:szCs w:val="23"/>
          <w:highlight w:val="none"/>
        </w:rPr>
        <w:t>内容均真</w:t>
      </w:r>
      <w:r>
        <w:rPr>
          <w:spacing w:val="10"/>
          <w:sz w:val="23"/>
          <w:szCs w:val="23"/>
          <w:highlight w:val="none"/>
        </w:rPr>
        <w:t>实、合法、有效，保证不出借或者借用其他企业资质，不以他人名义投标，不</w:t>
      </w:r>
      <w:r>
        <w:rPr>
          <w:spacing w:val="9"/>
          <w:sz w:val="23"/>
          <w:szCs w:val="23"/>
          <w:highlight w:val="none"/>
        </w:rPr>
        <w:t>弄虚作假；未列入失信被执行人、重大税收违法案件当事人名单、政府采购严</w:t>
      </w:r>
      <w:r>
        <w:rPr>
          <w:spacing w:val="10"/>
          <w:sz w:val="23"/>
          <w:szCs w:val="23"/>
          <w:highlight w:val="none"/>
        </w:rPr>
        <w:t>重违法失信行为记录名单及其他不符合《中华人民共和国政府采购法》第二十</w:t>
      </w:r>
      <w:r>
        <w:rPr>
          <w:spacing w:val="4"/>
          <w:sz w:val="23"/>
          <w:szCs w:val="23"/>
          <w:highlight w:val="none"/>
        </w:rPr>
        <w:t>二条规定条件。</w:t>
      </w:r>
    </w:p>
    <w:p w14:paraId="7AC1E61E">
      <w:pPr>
        <w:pStyle w:val="7"/>
        <w:spacing w:before="244" w:line="275" w:lineRule="auto"/>
        <w:ind w:left="36" w:right="133" w:firstLine="502"/>
        <w:rPr>
          <w:sz w:val="23"/>
          <w:szCs w:val="23"/>
          <w:highlight w:val="none"/>
        </w:rPr>
      </w:pPr>
      <w:r>
        <w:rPr>
          <w:spacing w:val="9"/>
          <w:sz w:val="23"/>
          <w:szCs w:val="23"/>
          <w:highlight w:val="none"/>
        </w:rPr>
        <w:t>二、遵纪守法，公平竞争。不与其他投标人相互串通、哄抬价格，不排挤</w:t>
      </w:r>
      <w:r>
        <w:rPr>
          <w:spacing w:val="10"/>
          <w:sz w:val="23"/>
          <w:szCs w:val="23"/>
          <w:highlight w:val="none"/>
        </w:rPr>
        <w:t>其他投标人，不损害招标人的合法权益；不向招标人、招标代理机构、评标委</w:t>
      </w:r>
      <w:r>
        <w:rPr>
          <w:spacing w:val="8"/>
          <w:sz w:val="23"/>
          <w:szCs w:val="23"/>
          <w:highlight w:val="none"/>
        </w:rPr>
        <w:t>员会成员等及其他参与招标活动的人员行贿或采用其他不正当手段谋取中标。</w:t>
      </w:r>
    </w:p>
    <w:p w14:paraId="0C39D25A">
      <w:pPr>
        <w:pStyle w:val="7"/>
        <w:spacing w:before="227" w:line="311" w:lineRule="auto"/>
        <w:ind w:left="34" w:right="128" w:firstLine="509"/>
        <w:rPr>
          <w:sz w:val="23"/>
          <w:szCs w:val="23"/>
          <w:highlight w:val="none"/>
        </w:rPr>
      </w:pPr>
      <w:r>
        <w:rPr>
          <w:spacing w:val="9"/>
          <w:sz w:val="23"/>
          <w:szCs w:val="23"/>
          <w:highlight w:val="none"/>
        </w:rPr>
        <w:t>三、不捏造事实或借用他人名义进行虚假、恶意质疑和投诉，不以质疑或投诉为名排挤竞争对手，干扰政府采购秩序。如在投标过</w:t>
      </w:r>
      <w:r>
        <w:rPr>
          <w:spacing w:val="8"/>
          <w:sz w:val="23"/>
          <w:szCs w:val="23"/>
          <w:highlight w:val="none"/>
        </w:rPr>
        <w:t>程和公示期间需要投</w:t>
      </w:r>
      <w:r>
        <w:rPr>
          <w:spacing w:val="9"/>
          <w:sz w:val="23"/>
          <w:szCs w:val="23"/>
          <w:highlight w:val="none"/>
        </w:rPr>
        <w:t>诉，则保证按照《政府采购质疑和投诉办法》的要求进行。投诉的内容和程序</w:t>
      </w:r>
      <w:r>
        <w:rPr>
          <w:spacing w:val="10"/>
          <w:sz w:val="23"/>
          <w:szCs w:val="23"/>
          <w:highlight w:val="none"/>
        </w:rPr>
        <w:t>符合法律法规的规定，投诉材料加盖企业公章或由法定代表人或授权委托人签字，并附有相关身份证明复印件；遵守《中华人民共和国政府采购法》、《政</w:t>
      </w:r>
      <w:r>
        <w:rPr>
          <w:spacing w:val="4"/>
          <w:sz w:val="23"/>
          <w:szCs w:val="23"/>
          <w:highlight w:val="none"/>
        </w:rPr>
        <w:t>府采购货物和服务招标投标管理办法》（财政部87号令）、《财政部关于加强</w:t>
      </w:r>
      <w:r>
        <w:rPr>
          <w:spacing w:val="3"/>
          <w:sz w:val="23"/>
          <w:szCs w:val="23"/>
          <w:highlight w:val="none"/>
        </w:rPr>
        <w:t>政府采购货物和服务项目价格评审管理的通知》（财库【2007】2号文）和《政</w:t>
      </w:r>
      <w:r>
        <w:rPr>
          <w:spacing w:val="4"/>
          <w:sz w:val="23"/>
          <w:szCs w:val="23"/>
          <w:highlight w:val="none"/>
        </w:rPr>
        <w:t>府采购非招标采购方式管理办法》（财政部74号令）的规定。</w:t>
      </w:r>
    </w:p>
    <w:p w14:paraId="71B4F4B7">
      <w:pPr>
        <w:pStyle w:val="7"/>
        <w:spacing w:before="255" w:line="289" w:lineRule="auto"/>
        <w:ind w:left="38" w:right="135" w:firstLine="536"/>
        <w:rPr>
          <w:sz w:val="23"/>
          <w:szCs w:val="23"/>
          <w:highlight w:val="none"/>
        </w:rPr>
      </w:pPr>
      <w:r>
        <w:rPr>
          <w:spacing w:val="8"/>
          <w:sz w:val="23"/>
          <w:szCs w:val="23"/>
          <w:highlight w:val="none"/>
        </w:rPr>
        <w:t>四、若中标后，将按照规定及时与招标人签订政府采购合同，不与招标人</w:t>
      </w:r>
      <w:r>
        <w:rPr>
          <w:spacing w:val="9"/>
          <w:sz w:val="23"/>
          <w:szCs w:val="23"/>
          <w:highlight w:val="none"/>
        </w:rPr>
        <w:t>订立有悖于招标结果的合同或协议；严格履行政府采购合同，不降低合同约定的产品质量及相关服务，不擅自变更、中止、终止合同，或者拒绝履行合同义</w:t>
      </w:r>
      <w:r>
        <w:rPr>
          <w:spacing w:val="-4"/>
          <w:sz w:val="23"/>
          <w:szCs w:val="23"/>
          <w:highlight w:val="none"/>
        </w:rPr>
        <w:t>务。</w:t>
      </w:r>
    </w:p>
    <w:p w14:paraId="1F644741">
      <w:pPr>
        <w:pStyle w:val="7"/>
        <w:spacing w:before="233" w:line="321" w:lineRule="auto"/>
        <w:ind w:left="34" w:right="128" w:firstLine="485"/>
        <w:jc w:val="both"/>
        <w:rPr>
          <w:sz w:val="23"/>
          <w:szCs w:val="23"/>
          <w:highlight w:val="none"/>
        </w:rPr>
      </w:pPr>
      <w:r>
        <w:rPr>
          <w:spacing w:val="8"/>
          <w:sz w:val="23"/>
          <w:szCs w:val="23"/>
          <w:highlight w:val="none"/>
        </w:rPr>
        <w:t>若有违反以上承诺内容的行为，我公司自愿接受取消投标资格、</w:t>
      </w:r>
      <w:r>
        <w:rPr>
          <w:spacing w:val="7"/>
          <w:sz w:val="23"/>
          <w:szCs w:val="23"/>
          <w:highlight w:val="none"/>
        </w:rPr>
        <w:t>记入信用</w:t>
      </w:r>
      <w:r>
        <w:rPr>
          <w:spacing w:val="9"/>
          <w:sz w:val="23"/>
          <w:szCs w:val="23"/>
          <w:highlight w:val="none"/>
        </w:rPr>
        <w:t>档案、没收投标保证金、媒体通报、1～3年内</w:t>
      </w:r>
      <w:r>
        <w:rPr>
          <w:spacing w:val="8"/>
          <w:sz w:val="23"/>
          <w:szCs w:val="23"/>
          <w:highlight w:val="none"/>
        </w:rPr>
        <w:t>禁止参与新疆维吾尔自治区政府</w:t>
      </w:r>
      <w:r>
        <w:rPr>
          <w:spacing w:val="6"/>
          <w:sz w:val="23"/>
          <w:szCs w:val="23"/>
          <w:highlight w:val="none"/>
        </w:rPr>
        <w:t>采购活动等处罚；如已中标的，自动放弃中标资格，并承担全部法律责任；给招标人造成损失的，依法承担赔偿责任。</w:t>
      </w:r>
    </w:p>
    <w:p w14:paraId="3F59372E">
      <w:pPr>
        <w:pStyle w:val="7"/>
        <w:spacing w:before="53" w:line="229" w:lineRule="auto"/>
        <w:ind w:left="4013"/>
        <w:rPr>
          <w:sz w:val="23"/>
          <w:szCs w:val="23"/>
          <w:highlight w:val="none"/>
        </w:rPr>
      </w:pPr>
      <w:r>
        <w:rPr>
          <w:spacing w:val="4"/>
          <w:sz w:val="23"/>
          <w:szCs w:val="23"/>
          <w:highlight w:val="none"/>
        </w:rPr>
        <w:t>投标人名称(公章)：</w:t>
      </w:r>
    </w:p>
    <w:p w14:paraId="64A70B24">
      <w:pPr>
        <w:pStyle w:val="7"/>
        <w:spacing w:before="137" w:line="231" w:lineRule="auto"/>
        <w:ind w:left="4026"/>
        <w:rPr>
          <w:spacing w:val="-8"/>
          <w:sz w:val="23"/>
          <w:szCs w:val="23"/>
          <w:highlight w:val="none"/>
        </w:rPr>
      </w:pPr>
      <w:r>
        <w:rPr>
          <w:spacing w:val="5"/>
          <w:sz w:val="23"/>
          <w:szCs w:val="23"/>
          <w:highlight w:val="none"/>
        </w:rPr>
        <w:t>法定代表人（签字盖章</w:t>
      </w:r>
      <w:r>
        <w:rPr>
          <w:spacing w:val="-8"/>
          <w:sz w:val="23"/>
          <w:szCs w:val="23"/>
          <w:highlight w:val="none"/>
        </w:rPr>
        <w:t>）：</w:t>
      </w:r>
    </w:p>
    <w:p w14:paraId="159276B6">
      <w:pPr>
        <w:pStyle w:val="7"/>
        <w:spacing w:before="137" w:line="231" w:lineRule="auto"/>
        <w:ind w:left="4026"/>
        <w:rPr>
          <w:rFonts w:hint="eastAsia" w:ascii="仿宋" w:hAnsi="仿宋" w:eastAsia="仿宋" w:cs="仿宋"/>
          <w:sz w:val="28"/>
          <w:szCs w:val="28"/>
          <w:highlight w:val="none"/>
        </w:rPr>
      </w:pPr>
      <w:r>
        <w:rPr>
          <w:rFonts w:ascii="Arial" w:hAnsi="Arial" w:eastAsia="Arial" w:cs="Arial"/>
          <w:b w:val="0"/>
          <w:snapToGrid w:val="0"/>
          <w:color w:val="000000"/>
          <w:spacing w:val="9"/>
          <w:kern w:val="0"/>
          <w:sz w:val="23"/>
          <w:szCs w:val="23"/>
          <w:highlight w:val="none"/>
          <w:lang w:val="en-US" w:eastAsia="en-US" w:bidi="ar-SA"/>
        </w:rPr>
        <w:t>日期：年月日</w:t>
      </w:r>
    </w:p>
    <w:p w14:paraId="4440DB0D">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6386754A">
      <w:pPr>
        <w:pStyle w:val="4"/>
        <w:spacing w:before="0" w:line="240" w:lineRule="atLeast"/>
        <w:rPr>
          <w:rFonts w:hint="eastAsia" w:ascii="仿宋" w:hAnsi="仿宋" w:eastAsia="仿宋" w:cs="仿宋"/>
          <w:sz w:val="28"/>
          <w:szCs w:val="28"/>
          <w:highlight w:val="none"/>
        </w:rPr>
      </w:pPr>
      <w:bookmarkStart w:id="100" w:name="_Hlt520355504"/>
      <w:bookmarkEnd w:id="100"/>
      <w:r>
        <w:rPr>
          <w:rFonts w:hint="eastAsia" w:ascii="黑体" w:hAnsi="黑体" w:eastAsia="黑体" w:cs="黑体"/>
          <w:b w:val="0"/>
          <w:snapToGrid w:val="0"/>
          <w:color w:val="000000"/>
          <w:spacing w:val="2"/>
          <w:kern w:val="0"/>
          <w:sz w:val="29"/>
          <w:szCs w:val="29"/>
          <w:highlight w:val="none"/>
          <w:lang w:val="en-US" w:eastAsia="zh-CN" w:bidi="ar-SA"/>
        </w:rPr>
        <w:t>2、</w:t>
      </w:r>
      <w:r>
        <w:rPr>
          <w:rFonts w:hint="eastAsia" w:ascii="黑体" w:hAnsi="黑体" w:eastAsia="黑体" w:cs="黑体"/>
          <w:b w:val="0"/>
          <w:snapToGrid w:val="0"/>
          <w:color w:val="000000"/>
          <w:spacing w:val="2"/>
          <w:kern w:val="0"/>
          <w:sz w:val="29"/>
          <w:szCs w:val="29"/>
          <w:highlight w:val="none"/>
          <w:lang w:val="en-US" w:eastAsia="en-US" w:bidi="ar-SA"/>
        </w:rPr>
        <w:t>投标书</w:t>
      </w:r>
      <w:bookmarkEnd w:id="94"/>
      <w:bookmarkEnd w:id="95"/>
      <w:bookmarkEnd w:id="96"/>
      <w:bookmarkEnd w:id="97"/>
      <w:bookmarkEnd w:id="98"/>
      <w:bookmarkEnd w:id="99"/>
    </w:p>
    <w:p w14:paraId="7EC7932D">
      <w:pPr>
        <w:tabs>
          <w:tab w:val="left" w:pos="5580"/>
        </w:tabs>
        <w:spacing w:line="240" w:lineRule="atLeast"/>
        <w:ind w:left="1079" w:leftChars="257" w:hanging="540"/>
        <w:rPr>
          <w:rFonts w:hint="eastAsia" w:ascii="仿宋" w:hAnsi="仿宋" w:eastAsia="仿宋" w:cs="仿宋"/>
          <w:sz w:val="28"/>
          <w:szCs w:val="28"/>
          <w:highlight w:val="none"/>
        </w:rPr>
      </w:pPr>
    </w:p>
    <w:p w14:paraId="4859E80B">
      <w:pPr>
        <w:tabs>
          <w:tab w:val="left" w:pos="5580"/>
        </w:tabs>
        <w:spacing w:line="320" w:lineRule="exact"/>
        <w:ind w:left="1080" w:hanging="1080"/>
        <w:rPr>
          <w:rFonts w:hint="eastAsia" w:ascii="仿宋" w:hAnsi="仿宋" w:eastAsia="仿宋" w:cs="仿宋"/>
          <w:sz w:val="28"/>
          <w:szCs w:val="28"/>
          <w:highlight w:val="none"/>
        </w:rPr>
      </w:pPr>
      <w:r>
        <w:rPr>
          <w:rFonts w:hint="eastAsia" w:ascii="仿宋" w:hAnsi="仿宋" w:eastAsia="仿宋" w:cs="仿宋"/>
          <w:sz w:val="28"/>
          <w:szCs w:val="28"/>
          <w:highlight w:val="none"/>
        </w:rPr>
        <w:t>致：</w:t>
      </w:r>
      <w:r>
        <w:rPr>
          <w:rFonts w:hint="eastAsia" w:ascii="仿宋" w:hAnsi="仿宋" w:eastAsia="仿宋" w:cs="仿宋"/>
          <w:sz w:val="28"/>
          <w:szCs w:val="28"/>
          <w:highlight w:val="none"/>
          <w:u w:val="single"/>
        </w:rPr>
        <w:t>采购人</w:t>
      </w:r>
    </w:p>
    <w:p w14:paraId="7895CD58">
      <w:pPr>
        <w:pStyle w:val="10"/>
        <w:tabs>
          <w:tab w:val="left" w:pos="5580"/>
        </w:tabs>
        <w:spacing w:line="320" w:lineRule="exact"/>
        <w:ind w:left="1079" w:leftChars="257" w:hanging="540"/>
        <w:rPr>
          <w:rFonts w:hint="eastAsia" w:ascii="仿宋" w:hAnsi="仿宋" w:eastAsia="仿宋" w:cs="仿宋"/>
          <w:sz w:val="28"/>
          <w:szCs w:val="28"/>
          <w:highlight w:val="none"/>
        </w:rPr>
      </w:pPr>
    </w:p>
    <w:p w14:paraId="1491D054">
      <w:pPr>
        <w:pStyle w:val="10"/>
        <w:tabs>
          <w:tab w:val="left" w:pos="5580"/>
        </w:tabs>
        <w:spacing w:line="320" w:lineRule="exact"/>
        <w:ind w:left="2" w:leftChars="1"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根据贵方(</w:t>
      </w:r>
      <w:r>
        <w:rPr>
          <w:rFonts w:hint="eastAsia" w:ascii="仿宋" w:hAnsi="仿宋" w:eastAsia="仿宋" w:cs="仿宋"/>
          <w:i/>
          <w:sz w:val="28"/>
          <w:szCs w:val="28"/>
          <w:highlight w:val="none"/>
          <w:u w:val="single"/>
        </w:rPr>
        <w:t>项目名称</w:t>
      </w:r>
      <w:r>
        <w:rPr>
          <w:rFonts w:hint="eastAsia" w:ascii="仿宋" w:hAnsi="仿宋" w:eastAsia="仿宋" w:cs="仿宋"/>
          <w:sz w:val="28"/>
          <w:szCs w:val="28"/>
          <w:highlight w:val="none"/>
        </w:rPr>
        <w:t>)的投标邀请(</w:t>
      </w:r>
      <w:r>
        <w:rPr>
          <w:rFonts w:hint="eastAsia" w:ascii="仿宋" w:hAnsi="仿宋" w:eastAsia="仿宋" w:cs="仿宋"/>
          <w:i/>
          <w:sz w:val="28"/>
          <w:szCs w:val="28"/>
          <w:highlight w:val="none"/>
          <w:u w:val="single"/>
        </w:rPr>
        <w:t>招标编号</w:t>
      </w:r>
      <w:r>
        <w:rPr>
          <w:rFonts w:hint="eastAsia" w:ascii="仿宋" w:hAnsi="仿宋" w:eastAsia="仿宋" w:cs="仿宋"/>
          <w:sz w:val="28"/>
          <w:szCs w:val="28"/>
          <w:highlight w:val="none"/>
        </w:rPr>
        <w:t>),签字代表(</w:t>
      </w:r>
      <w:r>
        <w:rPr>
          <w:rFonts w:hint="eastAsia" w:ascii="仿宋" w:hAnsi="仿宋" w:eastAsia="仿宋" w:cs="仿宋"/>
          <w:i/>
          <w:sz w:val="28"/>
          <w:szCs w:val="28"/>
          <w:highlight w:val="none"/>
          <w:u w:val="single"/>
        </w:rPr>
        <w:t>姓名、职务</w:t>
      </w:r>
      <w:r>
        <w:rPr>
          <w:rFonts w:hint="eastAsia" w:ascii="仿宋" w:hAnsi="仿宋" w:eastAsia="仿宋" w:cs="仿宋"/>
          <w:sz w:val="28"/>
          <w:szCs w:val="28"/>
          <w:highlight w:val="none"/>
        </w:rPr>
        <w:t>)经正式授权并代表投标人（</w:t>
      </w:r>
      <w:r>
        <w:rPr>
          <w:rFonts w:hint="eastAsia" w:ascii="仿宋" w:hAnsi="仿宋" w:eastAsia="仿宋" w:cs="仿宋"/>
          <w:i/>
          <w:sz w:val="28"/>
          <w:szCs w:val="28"/>
          <w:highlight w:val="none"/>
          <w:u w:val="single"/>
        </w:rPr>
        <w:t>名称、地址</w:t>
      </w:r>
      <w:r>
        <w:rPr>
          <w:rFonts w:hint="eastAsia" w:ascii="仿宋" w:hAnsi="仿宋" w:eastAsia="仿宋" w:cs="仿宋"/>
          <w:sz w:val="28"/>
          <w:szCs w:val="28"/>
          <w:highlight w:val="none"/>
        </w:rPr>
        <w:t>）提交下述文件，并以</w:t>
      </w:r>
    </w:p>
    <w:p w14:paraId="7FBE3A34">
      <w:pPr>
        <w:pStyle w:val="10"/>
        <w:tabs>
          <w:tab w:val="left" w:pos="5580"/>
        </w:tabs>
        <w:spacing w:line="320" w:lineRule="exact"/>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形式出具的金额为人民币</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元的投标保证金。</w:t>
      </w:r>
    </w:p>
    <w:p w14:paraId="27EAF63C">
      <w:pPr>
        <w:pStyle w:val="10"/>
        <w:tabs>
          <w:tab w:val="left" w:pos="5580"/>
        </w:tabs>
        <w:spacing w:line="320" w:lineRule="exact"/>
        <w:ind w:left="1079" w:leftChars="257" w:hanging="540"/>
        <w:rPr>
          <w:rFonts w:hint="eastAsia" w:ascii="仿宋" w:hAnsi="仿宋" w:eastAsia="仿宋" w:cs="仿宋"/>
          <w:sz w:val="28"/>
          <w:szCs w:val="28"/>
          <w:highlight w:val="none"/>
        </w:rPr>
      </w:pPr>
      <w:r>
        <w:rPr>
          <w:rFonts w:hint="eastAsia" w:ascii="仿宋" w:hAnsi="仿宋" w:eastAsia="仿宋" w:cs="仿宋"/>
          <w:sz w:val="28"/>
          <w:szCs w:val="28"/>
          <w:highlight w:val="none"/>
        </w:rPr>
        <w:t>据此，签字代表宣布同意如下：</w:t>
      </w:r>
    </w:p>
    <w:p w14:paraId="386ACC07">
      <w:pPr>
        <w:pStyle w:val="10"/>
        <w:tabs>
          <w:tab w:val="left" w:pos="720"/>
          <w:tab w:val="left" w:pos="900"/>
        </w:tabs>
        <w:spacing w:line="320" w:lineRule="exact"/>
        <w:ind w:left="768" w:leftChars="257" w:hanging="229"/>
        <w:rPr>
          <w:rFonts w:hint="eastAsia" w:ascii="仿宋" w:hAnsi="仿宋" w:eastAsia="仿宋" w:cs="仿宋"/>
          <w:sz w:val="28"/>
          <w:szCs w:val="28"/>
          <w:highlight w:val="none"/>
          <w:u w:val="single"/>
          <w:lang w:eastAsia="zh-CN"/>
        </w:rPr>
      </w:pPr>
      <w:r>
        <w:rPr>
          <w:rFonts w:hint="eastAsia" w:ascii="仿宋" w:hAnsi="仿宋" w:eastAsia="仿宋" w:cs="仿宋"/>
          <w:sz w:val="28"/>
          <w:szCs w:val="28"/>
          <w:highlight w:val="none"/>
        </w:rPr>
        <w:t>（1）附投标价格表中规定的应提供服务的投标总价为</w:t>
      </w:r>
      <w:r>
        <w:rPr>
          <w:rFonts w:hint="eastAsia" w:ascii="仿宋" w:hAnsi="仿宋" w:eastAsia="仿宋" w:cs="仿宋"/>
          <w:sz w:val="28"/>
          <w:szCs w:val="28"/>
          <w:highlight w:val="none"/>
          <w:u w:val="single"/>
        </w:rPr>
        <w:t>　（用文字和数字表示）</w:t>
      </w:r>
      <w:r>
        <w:rPr>
          <w:rFonts w:hint="eastAsia" w:ascii="仿宋" w:hAnsi="仿宋" w:eastAsia="仿宋" w:cs="仿宋"/>
          <w:sz w:val="28"/>
          <w:szCs w:val="28"/>
          <w:highlight w:val="none"/>
          <w:u w:val="single"/>
          <w:lang w:eastAsia="zh-CN"/>
        </w:rPr>
        <w:t>，</w:t>
      </w:r>
      <w:r>
        <w:rPr>
          <w:rFonts w:hint="eastAsia" w:ascii="仿宋" w:hAnsi="仿宋" w:eastAsia="仿宋" w:cs="仿宋"/>
          <w:sz w:val="28"/>
          <w:szCs w:val="28"/>
          <w:highlight w:val="none"/>
          <w:u w:val="none"/>
          <w:lang w:val="en-US" w:eastAsia="zh-CN"/>
        </w:rPr>
        <w:t>投标培训人数为</w:t>
      </w:r>
      <w:r>
        <w:rPr>
          <w:rFonts w:hint="eastAsia" w:ascii="仿宋" w:hAnsi="仿宋" w:eastAsia="仿宋" w:cs="仿宋"/>
          <w:sz w:val="28"/>
          <w:szCs w:val="28"/>
          <w:highlight w:val="none"/>
          <w:u w:val="single"/>
        </w:rPr>
        <w:t>（用文字和数字表示）</w:t>
      </w:r>
      <w:r>
        <w:rPr>
          <w:rFonts w:hint="eastAsia" w:ascii="仿宋" w:hAnsi="仿宋" w:eastAsia="仿宋" w:cs="仿宋"/>
          <w:sz w:val="28"/>
          <w:szCs w:val="28"/>
          <w:highlight w:val="none"/>
          <w:u w:val="single"/>
          <w:lang w:eastAsia="zh-CN"/>
        </w:rPr>
        <w:t>。</w:t>
      </w:r>
    </w:p>
    <w:p w14:paraId="52909ADD">
      <w:pPr>
        <w:pStyle w:val="10"/>
        <w:tabs>
          <w:tab w:val="left" w:pos="5580"/>
        </w:tabs>
        <w:spacing w:line="320" w:lineRule="exact"/>
        <w:ind w:left="1079" w:leftChars="257" w:hanging="540"/>
        <w:rPr>
          <w:rFonts w:hint="eastAsia" w:ascii="仿宋" w:hAnsi="仿宋" w:eastAsia="仿宋" w:cs="仿宋"/>
          <w:sz w:val="28"/>
          <w:szCs w:val="28"/>
          <w:highlight w:val="none"/>
        </w:rPr>
      </w:pPr>
      <w:r>
        <w:rPr>
          <w:rFonts w:hint="eastAsia" w:ascii="仿宋" w:hAnsi="仿宋" w:eastAsia="仿宋" w:cs="仿宋"/>
          <w:sz w:val="28"/>
          <w:szCs w:val="28"/>
          <w:highlight w:val="none"/>
        </w:rPr>
        <w:t>（2）本投标有效期为自投标截止之日起</w:t>
      </w:r>
      <w:r>
        <w:rPr>
          <w:rFonts w:hint="eastAsia" w:ascii="仿宋" w:hAnsi="仿宋" w:eastAsia="仿宋" w:cs="仿宋"/>
          <w:sz w:val="28"/>
          <w:szCs w:val="28"/>
          <w:highlight w:val="none"/>
          <w:u w:val="single"/>
        </w:rPr>
        <w:t>90</w:t>
      </w:r>
      <w:r>
        <w:rPr>
          <w:rFonts w:hint="eastAsia" w:ascii="仿宋" w:hAnsi="仿宋" w:eastAsia="仿宋" w:cs="仿宋"/>
          <w:sz w:val="28"/>
          <w:szCs w:val="28"/>
          <w:highlight w:val="none"/>
        </w:rPr>
        <w:t>个日历日。</w:t>
      </w:r>
    </w:p>
    <w:p w14:paraId="24D70BF2">
      <w:pPr>
        <w:pStyle w:val="10"/>
        <w:tabs>
          <w:tab w:val="left" w:pos="5580"/>
        </w:tabs>
        <w:spacing w:line="320" w:lineRule="exact"/>
        <w:ind w:left="1079" w:leftChars="257" w:hanging="540"/>
        <w:rPr>
          <w:rFonts w:hint="eastAsia" w:ascii="仿宋" w:hAnsi="仿宋" w:eastAsia="仿宋" w:cs="仿宋"/>
          <w:sz w:val="28"/>
          <w:szCs w:val="28"/>
          <w:highlight w:val="none"/>
        </w:rPr>
      </w:pPr>
      <w:r>
        <w:rPr>
          <w:rFonts w:hint="eastAsia" w:ascii="仿宋" w:hAnsi="仿宋" w:eastAsia="仿宋" w:cs="仿宋"/>
          <w:sz w:val="28"/>
          <w:szCs w:val="28"/>
          <w:highlight w:val="none"/>
        </w:rPr>
        <w:t>（3）联合体中的大中型企业和其他自然人、法人或者非法人组织，与联合体中的小型、微型企业之间</w:t>
      </w:r>
      <w:r>
        <w:rPr>
          <w:rFonts w:hint="eastAsia" w:ascii="仿宋" w:hAnsi="仿宋" w:eastAsia="仿宋" w:cs="仿宋"/>
          <w:sz w:val="28"/>
          <w:szCs w:val="28"/>
          <w:highlight w:val="none"/>
          <w:u w:val="single"/>
        </w:rPr>
        <w:t>/（</w:t>
      </w:r>
      <w:r>
        <w:rPr>
          <w:rFonts w:hint="eastAsia" w:ascii="仿宋" w:hAnsi="仿宋" w:eastAsia="仿宋" w:cs="仿宋"/>
          <w:sz w:val="28"/>
          <w:szCs w:val="28"/>
          <w:highlight w:val="none"/>
        </w:rPr>
        <w:t>存在、不存在）投资关系（如果是联合体的话）。</w:t>
      </w:r>
    </w:p>
    <w:p w14:paraId="1B2784AE">
      <w:pPr>
        <w:pStyle w:val="10"/>
        <w:tabs>
          <w:tab w:val="left" w:pos="5580"/>
        </w:tabs>
        <w:spacing w:line="320" w:lineRule="exact"/>
        <w:ind w:left="1079" w:leftChars="257" w:hanging="540"/>
        <w:rPr>
          <w:rFonts w:hint="eastAsia" w:ascii="仿宋" w:hAnsi="仿宋" w:eastAsia="仿宋" w:cs="仿宋"/>
          <w:sz w:val="28"/>
          <w:szCs w:val="28"/>
          <w:highlight w:val="none"/>
        </w:rPr>
      </w:pPr>
      <w:r>
        <w:rPr>
          <w:rFonts w:hint="eastAsia" w:ascii="仿宋" w:hAnsi="仿宋" w:eastAsia="仿宋" w:cs="仿宋"/>
          <w:sz w:val="28"/>
          <w:szCs w:val="28"/>
          <w:highlight w:val="none"/>
        </w:rPr>
        <w:t>（4）已详细审查全部招标文件，包括所有补充通知（如果有的话），完全理解并同意放弃对这方面有不明、误解和质疑的权力。</w:t>
      </w:r>
    </w:p>
    <w:p w14:paraId="3DF1F7FD">
      <w:pPr>
        <w:pStyle w:val="10"/>
        <w:tabs>
          <w:tab w:val="left" w:pos="5580"/>
        </w:tabs>
        <w:spacing w:line="320" w:lineRule="exact"/>
        <w:ind w:left="1079" w:leftChars="257" w:hanging="540"/>
        <w:rPr>
          <w:rFonts w:hint="eastAsia" w:ascii="仿宋" w:hAnsi="仿宋" w:eastAsia="仿宋" w:cs="仿宋"/>
          <w:sz w:val="28"/>
          <w:szCs w:val="28"/>
          <w:highlight w:val="none"/>
        </w:rPr>
      </w:pPr>
      <w:r>
        <w:rPr>
          <w:rFonts w:hint="eastAsia" w:ascii="仿宋" w:hAnsi="仿宋" w:eastAsia="仿宋" w:cs="仿宋"/>
          <w:sz w:val="28"/>
          <w:szCs w:val="28"/>
          <w:highlight w:val="none"/>
        </w:rPr>
        <w:t>（5）在规定的开标时间后，遵守招标文件中有关保证金的规定。</w:t>
      </w:r>
    </w:p>
    <w:p w14:paraId="667F1160">
      <w:pPr>
        <w:pStyle w:val="10"/>
        <w:tabs>
          <w:tab w:val="left" w:pos="5580"/>
        </w:tabs>
        <w:spacing w:line="320" w:lineRule="exact"/>
        <w:ind w:left="1079" w:leftChars="257" w:hanging="540"/>
        <w:rPr>
          <w:rFonts w:hint="eastAsia" w:ascii="仿宋" w:hAnsi="仿宋" w:eastAsia="仿宋" w:cs="仿宋"/>
          <w:sz w:val="28"/>
          <w:szCs w:val="28"/>
          <w:highlight w:val="none"/>
        </w:rPr>
      </w:pPr>
      <w:r>
        <w:rPr>
          <w:rFonts w:hint="eastAsia" w:ascii="仿宋" w:hAnsi="仿宋" w:eastAsia="仿宋" w:cs="仿宋"/>
          <w:sz w:val="28"/>
          <w:szCs w:val="28"/>
          <w:highlight w:val="none"/>
        </w:rPr>
        <w:t>（6）我方不是为本项目提供整体设计、规范编制或者项目管理、监理、检测等服务的投标人，我方不是采购代理机构的附属机构。</w:t>
      </w:r>
    </w:p>
    <w:p w14:paraId="28E83166">
      <w:pPr>
        <w:pStyle w:val="10"/>
        <w:tabs>
          <w:tab w:val="left" w:pos="5580"/>
        </w:tabs>
        <w:spacing w:line="320" w:lineRule="exact"/>
        <w:ind w:left="1079" w:leftChars="257" w:hanging="540"/>
        <w:rPr>
          <w:rFonts w:hint="eastAsia" w:ascii="仿宋" w:hAnsi="仿宋" w:eastAsia="仿宋" w:cs="仿宋"/>
          <w:sz w:val="28"/>
          <w:szCs w:val="28"/>
          <w:highlight w:val="none"/>
        </w:rPr>
      </w:pPr>
      <w:r>
        <w:rPr>
          <w:rFonts w:hint="eastAsia" w:ascii="仿宋" w:hAnsi="仿宋" w:eastAsia="仿宋" w:cs="仿宋"/>
          <w:sz w:val="28"/>
          <w:szCs w:val="28"/>
          <w:highlight w:val="none"/>
        </w:rPr>
        <w:t>（7）在领取中标通知书的同时按招标文件规定的形式，向贵方一次性支付中标服务费。</w:t>
      </w:r>
    </w:p>
    <w:p w14:paraId="7430F24E">
      <w:pPr>
        <w:pStyle w:val="10"/>
        <w:tabs>
          <w:tab w:val="left" w:pos="5580"/>
        </w:tabs>
        <w:spacing w:line="320" w:lineRule="exact"/>
        <w:ind w:left="1079" w:leftChars="257" w:hanging="540"/>
        <w:rPr>
          <w:rFonts w:hint="eastAsia" w:ascii="仿宋" w:hAnsi="仿宋" w:eastAsia="仿宋" w:cs="仿宋"/>
          <w:sz w:val="28"/>
          <w:szCs w:val="28"/>
          <w:highlight w:val="none"/>
        </w:rPr>
      </w:pPr>
      <w:r>
        <w:rPr>
          <w:rFonts w:hint="eastAsia" w:ascii="仿宋" w:hAnsi="仿宋" w:eastAsia="仿宋" w:cs="仿宋"/>
          <w:sz w:val="28"/>
          <w:szCs w:val="28"/>
          <w:highlight w:val="none"/>
        </w:rPr>
        <w:t>（8）按照贵方可能要求，提供与其投标有关的一切数据或资料，完全理解贵方不一定接受最高价的投标或收到的任何投标。</w:t>
      </w:r>
    </w:p>
    <w:p w14:paraId="75CB2CDC">
      <w:pPr>
        <w:pStyle w:val="10"/>
        <w:tabs>
          <w:tab w:val="left" w:pos="5580"/>
        </w:tabs>
        <w:spacing w:line="320" w:lineRule="exact"/>
        <w:ind w:left="1079" w:leftChars="257" w:hanging="540"/>
        <w:rPr>
          <w:rFonts w:hint="eastAsia" w:ascii="仿宋" w:hAnsi="仿宋" w:eastAsia="仿宋" w:cs="仿宋"/>
          <w:sz w:val="28"/>
          <w:szCs w:val="28"/>
          <w:highlight w:val="none"/>
        </w:rPr>
      </w:pPr>
      <w:r>
        <w:rPr>
          <w:rFonts w:hint="eastAsia" w:ascii="仿宋" w:hAnsi="仿宋" w:eastAsia="仿宋" w:cs="仿宋"/>
          <w:sz w:val="28"/>
          <w:szCs w:val="28"/>
          <w:highlight w:val="none"/>
        </w:rPr>
        <w:t>（9）按照招标文件的规定履行合同责任和义务。</w:t>
      </w:r>
    </w:p>
    <w:p w14:paraId="0A897D39">
      <w:pPr>
        <w:pStyle w:val="10"/>
        <w:tabs>
          <w:tab w:val="left" w:pos="5580"/>
        </w:tabs>
        <w:spacing w:line="320" w:lineRule="exact"/>
        <w:ind w:left="394" w:leftChars="68" w:hanging="252" w:hangingChars="90"/>
        <w:rPr>
          <w:rFonts w:hint="eastAsia" w:ascii="仿宋" w:hAnsi="仿宋" w:eastAsia="仿宋" w:cs="仿宋"/>
          <w:sz w:val="28"/>
          <w:szCs w:val="28"/>
          <w:highlight w:val="none"/>
        </w:rPr>
      </w:pPr>
      <w:r>
        <w:rPr>
          <w:rFonts w:hint="eastAsia" w:ascii="仿宋" w:hAnsi="仿宋" w:eastAsia="仿宋" w:cs="仿宋"/>
          <w:sz w:val="28"/>
          <w:szCs w:val="28"/>
          <w:highlight w:val="none"/>
        </w:rPr>
        <w:t>与本投标有关的一切正式往来信函请寄：</w:t>
      </w:r>
    </w:p>
    <w:p w14:paraId="404BECAD">
      <w:pPr>
        <w:pStyle w:val="10"/>
        <w:tabs>
          <w:tab w:val="left" w:pos="5580"/>
        </w:tabs>
        <w:spacing w:line="320" w:lineRule="exact"/>
        <w:ind w:left="1079" w:leftChars="257" w:hanging="54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地址传真</w:t>
      </w:r>
    </w:p>
    <w:p w14:paraId="4B916E74">
      <w:pPr>
        <w:pStyle w:val="10"/>
        <w:tabs>
          <w:tab w:val="left" w:pos="5580"/>
        </w:tabs>
        <w:spacing w:line="320" w:lineRule="exact"/>
        <w:ind w:left="1079" w:leftChars="257" w:hanging="540"/>
        <w:rPr>
          <w:rFonts w:hint="eastAsia" w:ascii="仿宋" w:hAnsi="仿宋" w:eastAsia="仿宋" w:cs="仿宋"/>
          <w:b/>
          <w:sz w:val="28"/>
          <w:szCs w:val="28"/>
          <w:highlight w:val="none"/>
          <w:lang w:eastAsia="zh-CN"/>
        </w:rPr>
      </w:pPr>
      <w:r>
        <w:rPr>
          <w:rFonts w:hint="eastAsia" w:ascii="仿宋" w:hAnsi="仿宋" w:eastAsia="仿宋" w:cs="仿宋"/>
          <w:sz w:val="28"/>
          <w:szCs w:val="28"/>
          <w:highlight w:val="none"/>
        </w:rPr>
        <w:t>电话电子函件</w:t>
      </w:r>
    </w:p>
    <w:p w14:paraId="7D854EB2">
      <w:pPr>
        <w:pStyle w:val="10"/>
        <w:tabs>
          <w:tab w:val="left" w:pos="5580"/>
        </w:tabs>
        <w:spacing w:line="320" w:lineRule="exact"/>
        <w:ind w:left="1079" w:leftChars="257" w:hanging="540"/>
        <w:rPr>
          <w:rFonts w:hint="eastAsia" w:ascii="仿宋" w:hAnsi="仿宋" w:eastAsia="仿宋" w:cs="仿宋"/>
          <w:sz w:val="28"/>
          <w:szCs w:val="28"/>
          <w:highlight w:val="none"/>
        </w:rPr>
      </w:pPr>
    </w:p>
    <w:p w14:paraId="399C2E64">
      <w:pPr>
        <w:pStyle w:val="10"/>
        <w:tabs>
          <w:tab w:val="left" w:pos="5580"/>
        </w:tabs>
        <w:spacing w:line="320" w:lineRule="exact"/>
        <w:ind w:left="1079" w:leftChars="257" w:hanging="54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法定代表人或其委托代理人签字-----------------</w:t>
      </w:r>
    </w:p>
    <w:p w14:paraId="3DDBC720">
      <w:pPr>
        <w:pStyle w:val="10"/>
        <w:tabs>
          <w:tab w:val="left" w:pos="5580"/>
        </w:tabs>
        <w:spacing w:line="320" w:lineRule="exact"/>
        <w:ind w:left="1079" w:leftChars="257" w:hanging="540"/>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投标人名称（全称）-----------------</w:t>
      </w:r>
    </w:p>
    <w:p w14:paraId="32C49B3D">
      <w:pPr>
        <w:pStyle w:val="10"/>
        <w:tabs>
          <w:tab w:val="left" w:pos="5580"/>
        </w:tabs>
        <w:spacing w:line="320" w:lineRule="exact"/>
        <w:ind w:left="1079" w:leftChars="257" w:hanging="540"/>
        <w:rPr>
          <w:rFonts w:hint="eastAsia" w:ascii="仿宋" w:hAnsi="仿宋" w:eastAsia="仿宋" w:cs="仿宋"/>
          <w:sz w:val="28"/>
          <w:szCs w:val="28"/>
          <w:highlight w:val="none"/>
        </w:rPr>
      </w:pPr>
      <w:r>
        <w:rPr>
          <w:rFonts w:hint="eastAsia" w:ascii="仿宋" w:hAnsi="仿宋" w:eastAsia="仿宋" w:cs="仿宋"/>
          <w:sz w:val="28"/>
          <w:szCs w:val="28"/>
          <w:highlight w:val="none"/>
        </w:rPr>
        <w:t>投标人单位章-------------------------</w:t>
      </w:r>
    </w:p>
    <w:p w14:paraId="23486722">
      <w:pPr>
        <w:pStyle w:val="10"/>
        <w:tabs>
          <w:tab w:val="left" w:pos="5580"/>
        </w:tabs>
        <w:spacing w:line="320" w:lineRule="exact"/>
        <w:ind w:left="1079" w:leftChars="257" w:hanging="540"/>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p>
    <w:p w14:paraId="02DE079F">
      <w:pPr>
        <w:pStyle w:val="10"/>
        <w:tabs>
          <w:tab w:val="left" w:pos="5580"/>
        </w:tabs>
        <w:spacing w:line="240" w:lineRule="atLeast"/>
        <w:ind w:left="1079" w:leftChars="257" w:hanging="540"/>
        <w:rPr>
          <w:rFonts w:hint="eastAsia" w:ascii="仿宋" w:hAnsi="仿宋" w:eastAsia="仿宋" w:cs="仿宋"/>
          <w:sz w:val="28"/>
          <w:szCs w:val="28"/>
          <w:highlight w:val="none"/>
        </w:rPr>
        <w:sectPr>
          <w:headerReference r:id="rId19" w:type="default"/>
          <w:footerReference r:id="rId20" w:type="default"/>
          <w:pgSz w:w="11906" w:h="16838"/>
          <w:pgMar w:top="1440" w:right="1797" w:bottom="1440" w:left="1797" w:header="851" w:footer="992" w:gutter="0"/>
          <w:pgNumType w:fmt="decimal"/>
          <w:cols w:space="720" w:num="1"/>
          <w:docGrid w:type="linesAndChars" w:linePitch="312" w:charSpace="0"/>
        </w:sectPr>
      </w:pPr>
      <w:bookmarkStart w:id="101" w:name="_Hlt520355938"/>
      <w:bookmarkEnd w:id="101"/>
      <w:bookmarkStart w:id="102" w:name="_Hlt520356243"/>
      <w:bookmarkEnd w:id="102"/>
    </w:p>
    <w:p w14:paraId="3DFC8022">
      <w:pPr>
        <w:rPr>
          <w:rFonts w:hint="eastAsia" w:ascii="仿宋" w:hAnsi="仿宋" w:eastAsia="仿宋" w:cs="仿宋"/>
          <w:highlight w:val="none"/>
        </w:rPr>
      </w:pPr>
    </w:p>
    <w:p w14:paraId="5B4F3E43">
      <w:pPr>
        <w:pStyle w:val="4"/>
        <w:spacing w:before="0" w:line="240" w:lineRule="atLeast"/>
        <w:rPr>
          <w:rFonts w:hint="eastAsia" w:ascii="仿宋" w:hAnsi="仿宋" w:eastAsia="仿宋" w:cs="仿宋"/>
          <w:b/>
          <w:sz w:val="28"/>
          <w:szCs w:val="28"/>
          <w:highlight w:val="none"/>
        </w:rPr>
      </w:pPr>
      <w:bookmarkStart w:id="103" w:name="_Toc1632"/>
      <w:bookmarkStart w:id="104" w:name="_Toc216582816"/>
      <w:bookmarkStart w:id="105" w:name="_Toc18267"/>
      <w:bookmarkStart w:id="106" w:name="_Toc32398"/>
      <w:bookmarkStart w:id="107" w:name="_Toc14037"/>
      <w:bookmarkStart w:id="108" w:name="_Toc515647819"/>
      <w:bookmarkStart w:id="109" w:name="_Toc11969"/>
      <w:r>
        <w:rPr>
          <w:rFonts w:hint="eastAsia" w:ascii="黑体" w:hAnsi="黑体" w:eastAsia="黑体" w:cs="黑体"/>
          <w:b w:val="0"/>
          <w:snapToGrid w:val="0"/>
          <w:color w:val="000000"/>
          <w:spacing w:val="2"/>
          <w:kern w:val="0"/>
          <w:sz w:val="29"/>
          <w:szCs w:val="29"/>
          <w:highlight w:val="none"/>
          <w:lang w:val="en-US" w:eastAsia="zh-CN" w:bidi="ar-SA"/>
        </w:rPr>
        <w:t>3、服务说明一览表</w:t>
      </w:r>
      <w:bookmarkEnd w:id="103"/>
    </w:p>
    <w:p w14:paraId="0B8930FF">
      <w:pPr>
        <w:pStyle w:val="7"/>
        <w:tabs>
          <w:tab w:val="left" w:pos="567"/>
        </w:tabs>
        <w:spacing w:before="8"/>
        <w:rPr>
          <w:rFonts w:hint="eastAsia" w:ascii="仿宋" w:hAnsi="仿宋" w:eastAsia="仿宋" w:cs="仿宋"/>
          <w:b/>
          <w:highlight w:val="none"/>
        </w:rPr>
      </w:pPr>
    </w:p>
    <w:p w14:paraId="67E3B706">
      <w:pPr>
        <w:pStyle w:val="7"/>
        <w:tabs>
          <w:tab w:val="left" w:pos="567"/>
        </w:tabs>
        <w:spacing w:before="1"/>
        <w:ind w:left="1697"/>
        <w:rPr>
          <w:rFonts w:hint="eastAsia" w:ascii="仿宋" w:hAnsi="仿宋" w:eastAsia="仿宋" w:cs="仿宋"/>
          <w:highlight w:val="none"/>
        </w:rPr>
      </w:pPr>
      <w:r>
        <w:rPr>
          <w:rFonts w:hint="eastAsia" w:ascii="仿宋" w:hAnsi="仿宋" w:eastAsia="仿宋" w:cs="仿宋"/>
          <w:highlight w:val="none"/>
        </w:rPr>
        <w:t>项目名称:</w:t>
      </w:r>
    </w:p>
    <w:p w14:paraId="6F54A9E1">
      <w:pPr>
        <w:pStyle w:val="7"/>
        <w:tabs>
          <w:tab w:val="left" w:pos="5537"/>
        </w:tabs>
        <w:spacing w:before="2"/>
        <w:ind w:left="1697"/>
        <w:rPr>
          <w:rFonts w:hint="eastAsia" w:ascii="仿宋" w:hAnsi="仿宋" w:eastAsia="仿宋" w:cs="仿宋"/>
          <w:highlight w:val="none"/>
        </w:rPr>
      </w:pPr>
      <w:r>
        <w:rPr>
          <w:rFonts w:hint="eastAsia" w:ascii="仿宋" w:hAnsi="仿宋" w:eastAsia="仿宋" w:cs="仿宋"/>
          <w:highlight w:val="none"/>
        </w:rPr>
        <w:t>项目编号:</w:t>
      </w:r>
      <w:r>
        <w:rPr>
          <w:rFonts w:hint="eastAsia" w:ascii="仿宋" w:hAnsi="仿宋" w:eastAsia="仿宋" w:cs="仿宋"/>
          <w:highlight w:val="none"/>
        </w:rPr>
        <w:tab/>
      </w:r>
      <w:r>
        <w:rPr>
          <w:rFonts w:hint="eastAsia" w:ascii="仿宋" w:hAnsi="仿宋" w:eastAsia="仿宋" w:cs="仿宋"/>
          <w:highlight w:val="none"/>
          <w:lang w:eastAsia="zh-CN"/>
        </w:rPr>
        <w:t>标项号</w:t>
      </w:r>
      <w:r>
        <w:rPr>
          <w:rFonts w:hint="eastAsia" w:ascii="仿宋" w:hAnsi="仿宋" w:eastAsia="仿宋" w:cs="仿宋"/>
          <w:highlight w:val="none"/>
        </w:rPr>
        <w:t>：</w:t>
      </w:r>
    </w:p>
    <w:p w14:paraId="7C5649D0">
      <w:pPr>
        <w:pStyle w:val="7"/>
        <w:tabs>
          <w:tab w:val="left" w:pos="567"/>
        </w:tabs>
        <w:spacing w:before="6"/>
        <w:rPr>
          <w:rFonts w:hint="eastAsia" w:ascii="仿宋" w:hAnsi="仿宋" w:eastAsia="仿宋" w:cs="仿宋"/>
          <w:highlight w:val="none"/>
        </w:rPr>
      </w:pPr>
    </w:p>
    <w:tbl>
      <w:tblPr>
        <w:tblStyle w:val="20"/>
        <w:tblW w:w="0" w:type="auto"/>
        <w:tblInd w:w="10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1"/>
        <w:gridCol w:w="1588"/>
        <w:gridCol w:w="2225"/>
        <w:gridCol w:w="1167"/>
        <w:gridCol w:w="1256"/>
        <w:gridCol w:w="1227"/>
        <w:gridCol w:w="1132"/>
      </w:tblGrid>
      <w:tr w14:paraId="038AC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01" w:type="dxa"/>
            <w:noWrap w:val="0"/>
            <w:vAlign w:val="top"/>
          </w:tcPr>
          <w:p w14:paraId="0CFFD5AA">
            <w:pPr>
              <w:pStyle w:val="27"/>
              <w:spacing w:before="9" w:line="310" w:lineRule="atLeast"/>
              <w:ind w:left="180" w:right="168"/>
              <w:rPr>
                <w:rFonts w:hint="eastAsia" w:ascii="仿宋" w:hAnsi="仿宋" w:eastAsia="仿宋" w:cs="仿宋"/>
                <w:sz w:val="24"/>
                <w:highlight w:val="none"/>
              </w:rPr>
            </w:pPr>
            <w:r>
              <w:rPr>
                <w:rFonts w:hint="eastAsia" w:ascii="仿宋" w:hAnsi="仿宋" w:eastAsia="仿宋" w:cs="仿宋"/>
                <w:sz w:val="24"/>
                <w:highlight w:val="none"/>
              </w:rPr>
              <w:t>序号</w:t>
            </w:r>
          </w:p>
        </w:tc>
        <w:tc>
          <w:tcPr>
            <w:tcW w:w="1588" w:type="dxa"/>
            <w:noWrap w:val="0"/>
            <w:vAlign w:val="top"/>
          </w:tcPr>
          <w:p w14:paraId="3A5B2597">
            <w:pPr>
              <w:pStyle w:val="27"/>
              <w:spacing w:before="168"/>
              <w:ind w:left="313"/>
              <w:rPr>
                <w:rFonts w:hint="eastAsia" w:ascii="仿宋" w:hAnsi="仿宋" w:eastAsia="仿宋" w:cs="仿宋"/>
                <w:sz w:val="24"/>
                <w:highlight w:val="none"/>
              </w:rPr>
            </w:pPr>
            <w:r>
              <w:rPr>
                <w:rFonts w:hint="eastAsia" w:ascii="仿宋" w:hAnsi="仿宋" w:eastAsia="仿宋" w:cs="仿宋"/>
                <w:sz w:val="24"/>
                <w:highlight w:val="none"/>
              </w:rPr>
              <w:t>服务名称</w:t>
            </w:r>
          </w:p>
        </w:tc>
        <w:tc>
          <w:tcPr>
            <w:tcW w:w="2225" w:type="dxa"/>
            <w:noWrap w:val="0"/>
            <w:vAlign w:val="top"/>
          </w:tcPr>
          <w:p w14:paraId="21C819D6">
            <w:pPr>
              <w:pStyle w:val="27"/>
              <w:spacing w:before="168"/>
              <w:ind w:left="631"/>
              <w:rPr>
                <w:rFonts w:hint="eastAsia" w:ascii="仿宋" w:hAnsi="仿宋" w:eastAsia="仿宋" w:cs="仿宋"/>
                <w:sz w:val="24"/>
                <w:highlight w:val="none"/>
              </w:rPr>
            </w:pPr>
            <w:r>
              <w:rPr>
                <w:rFonts w:hint="eastAsia" w:ascii="仿宋" w:hAnsi="仿宋" w:eastAsia="仿宋" w:cs="仿宋"/>
                <w:sz w:val="24"/>
                <w:highlight w:val="none"/>
              </w:rPr>
              <w:t>服务内容</w:t>
            </w:r>
          </w:p>
        </w:tc>
        <w:tc>
          <w:tcPr>
            <w:tcW w:w="1167" w:type="dxa"/>
            <w:noWrap w:val="0"/>
            <w:vAlign w:val="top"/>
          </w:tcPr>
          <w:p w14:paraId="3A985312">
            <w:pPr>
              <w:pStyle w:val="27"/>
              <w:spacing w:before="168"/>
              <w:ind w:left="343"/>
              <w:rPr>
                <w:rFonts w:hint="eastAsia" w:ascii="仿宋" w:hAnsi="仿宋" w:eastAsia="仿宋" w:cs="仿宋"/>
                <w:sz w:val="24"/>
                <w:highlight w:val="none"/>
              </w:rPr>
            </w:pPr>
            <w:r>
              <w:rPr>
                <w:rFonts w:hint="eastAsia" w:ascii="仿宋" w:hAnsi="仿宋" w:eastAsia="仿宋" w:cs="仿宋"/>
                <w:sz w:val="24"/>
                <w:highlight w:val="none"/>
              </w:rPr>
              <w:t>数量</w:t>
            </w:r>
          </w:p>
        </w:tc>
        <w:tc>
          <w:tcPr>
            <w:tcW w:w="1256" w:type="dxa"/>
            <w:noWrap w:val="0"/>
            <w:vAlign w:val="top"/>
          </w:tcPr>
          <w:p w14:paraId="53437052">
            <w:pPr>
              <w:pStyle w:val="27"/>
              <w:spacing w:before="168"/>
              <w:ind w:left="148"/>
              <w:rPr>
                <w:rFonts w:hint="eastAsia" w:ascii="仿宋" w:hAnsi="仿宋" w:eastAsia="仿宋" w:cs="仿宋"/>
                <w:sz w:val="24"/>
                <w:highlight w:val="none"/>
              </w:rPr>
            </w:pPr>
            <w:r>
              <w:rPr>
                <w:rFonts w:hint="eastAsia" w:ascii="仿宋" w:hAnsi="仿宋" w:eastAsia="仿宋" w:cs="仿宋"/>
                <w:sz w:val="24"/>
                <w:highlight w:val="none"/>
              </w:rPr>
              <w:t>服务期限</w:t>
            </w:r>
          </w:p>
        </w:tc>
        <w:tc>
          <w:tcPr>
            <w:tcW w:w="1227" w:type="dxa"/>
            <w:noWrap w:val="0"/>
            <w:vAlign w:val="top"/>
          </w:tcPr>
          <w:p w14:paraId="36655FE9">
            <w:pPr>
              <w:pStyle w:val="27"/>
              <w:spacing w:before="168"/>
              <w:ind w:left="132"/>
              <w:rPr>
                <w:rFonts w:hint="eastAsia" w:ascii="仿宋" w:hAnsi="仿宋" w:eastAsia="仿宋" w:cs="仿宋"/>
                <w:sz w:val="24"/>
                <w:highlight w:val="none"/>
              </w:rPr>
            </w:pPr>
            <w:r>
              <w:rPr>
                <w:rFonts w:hint="eastAsia" w:ascii="仿宋" w:hAnsi="仿宋" w:eastAsia="仿宋" w:cs="仿宋"/>
                <w:sz w:val="24"/>
                <w:highlight w:val="none"/>
              </w:rPr>
              <w:t>服务地点</w:t>
            </w:r>
          </w:p>
        </w:tc>
        <w:tc>
          <w:tcPr>
            <w:tcW w:w="1132" w:type="dxa"/>
            <w:noWrap w:val="0"/>
            <w:vAlign w:val="top"/>
          </w:tcPr>
          <w:p w14:paraId="22364221">
            <w:pPr>
              <w:pStyle w:val="27"/>
              <w:spacing w:before="168"/>
              <w:ind w:left="326"/>
              <w:rPr>
                <w:rFonts w:hint="eastAsia" w:ascii="仿宋" w:hAnsi="仿宋" w:eastAsia="仿宋" w:cs="仿宋"/>
                <w:sz w:val="24"/>
                <w:highlight w:val="none"/>
              </w:rPr>
            </w:pPr>
            <w:r>
              <w:rPr>
                <w:rFonts w:hint="eastAsia" w:ascii="仿宋" w:hAnsi="仿宋" w:eastAsia="仿宋" w:cs="仿宋"/>
                <w:sz w:val="24"/>
                <w:highlight w:val="none"/>
              </w:rPr>
              <w:t>其它</w:t>
            </w:r>
          </w:p>
        </w:tc>
      </w:tr>
      <w:tr w14:paraId="5091E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601" w:type="dxa"/>
            <w:noWrap w:val="0"/>
            <w:vAlign w:val="top"/>
          </w:tcPr>
          <w:p w14:paraId="7E7E98AD">
            <w:pPr>
              <w:pStyle w:val="27"/>
              <w:rPr>
                <w:rFonts w:hint="eastAsia" w:ascii="仿宋" w:hAnsi="仿宋" w:eastAsia="仿宋" w:cs="仿宋"/>
                <w:highlight w:val="none"/>
              </w:rPr>
            </w:pPr>
          </w:p>
        </w:tc>
        <w:tc>
          <w:tcPr>
            <w:tcW w:w="1588" w:type="dxa"/>
            <w:noWrap w:val="0"/>
            <w:vAlign w:val="top"/>
          </w:tcPr>
          <w:p w14:paraId="5BD7572D">
            <w:pPr>
              <w:pStyle w:val="27"/>
              <w:rPr>
                <w:rFonts w:hint="eastAsia" w:ascii="仿宋" w:hAnsi="仿宋" w:eastAsia="仿宋" w:cs="仿宋"/>
                <w:highlight w:val="none"/>
              </w:rPr>
            </w:pPr>
          </w:p>
        </w:tc>
        <w:tc>
          <w:tcPr>
            <w:tcW w:w="2225" w:type="dxa"/>
            <w:noWrap w:val="0"/>
            <w:vAlign w:val="top"/>
          </w:tcPr>
          <w:p w14:paraId="778801A7">
            <w:pPr>
              <w:pStyle w:val="27"/>
              <w:rPr>
                <w:rFonts w:hint="eastAsia" w:ascii="仿宋" w:hAnsi="仿宋" w:eastAsia="仿宋" w:cs="仿宋"/>
                <w:highlight w:val="none"/>
              </w:rPr>
            </w:pPr>
          </w:p>
        </w:tc>
        <w:tc>
          <w:tcPr>
            <w:tcW w:w="1167" w:type="dxa"/>
            <w:noWrap w:val="0"/>
            <w:vAlign w:val="top"/>
          </w:tcPr>
          <w:p w14:paraId="679007D5">
            <w:pPr>
              <w:pStyle w:val="27"/>
              <w:rPr>
                <w:rFonts w:hint="eastAsia" w:ascii="仿宋" w:hAnsi="仿宋" w:eastAsia="仿宋" w:cs="仿宋"/>
                <w:highlight w:val="none"/>
              </w:rPr>
            </w:pPr>
          </w:p>
        </w:tc>
        <w:tc>
          <w:tcPr>
            <w:tcW w:w="1256" w:type="dxa"/>
            <w:noWrap w:val="0"/>
            <w:vAlign w:val="top"/>
          </w:tcPr>
          <w:p w14:paraId="5EBC833B">
            <w:pPr>
              <w:pStyle w:val="27"/>
              <w:rPr>
                <w:rFonts w:hint="eastAsia" w:ascii="仿宋" w:hAnsi="仿宋" w:eastAsia="仿宋" w:cs="仿宋"/>
                <w:highlight w:val="none"/>
              </w:rPr>
            </w:pPr>
          </w:p>
        </w:tc>
        <w:tc>
          <w:tcPr>
            <w:tcW w:w="1227" w:type="dxa"/>
            <w:noWrap w:val="0"/>
            <w:vAlign w:val="top"/>
          </w:tcPr>
          <w:p w14:paraId="5A507087">
            <w:pPr>
              <w:pStyle w:val="27"/>
              <w:rPr>
                <w:rFonts w:hint="eastAsia" w:ascii="仿宋" w:hAnsi="仿宋" w:eastAsia="仿宋" w:cs="仿宋"/>
                <w:highlight w:val="none"/>
              </w:rPr>
            </w:pPr>
          </w:p>
        </w:tc>
        <w:tc>
          <w:tcPr>
            <w:tcW w:w="1132" w:type="dxa"/>
            <w:noWrap w:val="0"/>
            <w:vAlign w:val="top"/>
          </w:tcPr>
          <w:p w14:paraId="47FC3DBE">
            <w:pPr>
              <w:pStyle w:val="27"/>
              <w:rPr>
                <w:rFonts w:hint="eastAsia" w:ascii="仿宋" w:hAnsi="仿宋" w:eastAsia="仿宋" w:cs="仿宋"/>
                <w:highlight w:val="none"/>
              </w:rPr>
            </w:pPr>
          </w:p>
        </w:tc>
      </w:tr>
      <w:tr w14:paraId="7B534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01" w:type="dxa"/>
            <w:noWrap w:val="0"/>
            <w:vAlign w:val="top"/>
          </w:tcPr>
          <w:p w14:paraId="367675B3">
            <w:pPr>
              <w:pStyle w:val="27"/>
              <w:rPr>
                <w:rFonts w:hint="eastAsia" w:ascii="仿宋" w:hAnsi="仿宋" w:eastAsia="仿宋" w:cs="仿宋"/>
                <w:highlight w:val="none"/>
              </w:rPr>
            </w:pPr>
          </w:p>
        </w:tc>
        <w:tc>
          <w:tcPr>
            <w:tcW w:w="1588" w:type="dxa"/>
            <w:noWrap w:val="0"/>
            <w:vAlign w:val="top"/>
          </w:tcPr>
          <w:p w14:paraId="09FB729D">
            <w:pPr>
              <w:pStyle w:val="27"/>
              <w:rPr>
                <w:rFonts w:hint="eastAsia" w:ascii="仿宋" w:hAnsi="仿宋" w:eastAsia="仿宋" w:cs="仿宋"/>
                <w:highlight w:val="none"/>
              </w:rPr>
            </w:pPr>
          </w:p>
        </w:tc>
        <w:tc>
          <w:tcPr>
            <w:tcW w:w="2225" w:type="dxa"/>
            <w:noWrap w:val="0"/>
            <w:vAlign w:val="top"/>
          </w:tcPr>
          <w:p w14:paraId="4BD46D64">
            <w:pPr>
              <w:pStyle w:val="27"/>
              <w:rPr>
                <w:rFonts w:hint="eastAsia" w:ascii="仿宋" w:hAnsi="仿宋" w:eastAsia="仿宋" w:cs="仿宋"/>
                <w:highlight w:val="none"/>
              </w:rPr>
            </w:pPr>
          </w:p>
        </w:tc>
        <w:tc>
          <w:tcPr>
            <w:tcW w:w="1167" w:type="dxa"/>
            <w:noWrap w:val="0"/>
            <w:vAlign w:val="top"/>
          </w:tcPr>
          <w:p w14:paraId="184F2E53">
            <w:pPr>
              <w:pStyle w:val="27"/>
              <w:rPr>
                <w:rFonts w:hint="eastAsia" w:ascii="仿宋" w:hAnsi="仿宋" w:eastAsia="仿宋" w:cs="仿宋"/>
                <w:highlight w:val="none"/>
              </w:rPr>
            </w:pPr>
          </w:p>
        </w:tc>
        <w:tc>
          <w:tcPr>
            <w:tcW w:w="1256" w:type="dxa"/>
            <w:noWrap w:val="0"/>
            <w:vAlign w:val="top"/>
          </w:tcPr>
          <w:p w14:paraId="1219A07F">
            <w:pPr>
              <w:pStyle w:val="27"/>
              <w:rPr>
                <w:rFonts w:hint="eastAsia" w:ascii="仿宋" w:hAnsi="仿宋" w:eastAsia="仿宋" w:cs="仿宋"/>
                <w:highlight w:val="none"/>
              </w:rPr>
            </w:pPr>
          </w:p>
        </w:tc>
        <w:tc>
          <w:tcPr>
            <w:tcW w:w="1227" w:type="dxa"/>
            <w:noWrap w:val="0"/>
            <w:vAlign w:val="top"/>
          </w:tcPr>
          <w:p w14:paraId="3E231516">
            <w:pPr>
              <w:pStyle w:val="27"/>
              <w:rPr>
                <w:rFonts w:hint="eastAsia" w:ascii="仿宋" w:hAnsi="仿宋" w:eastAsia="仿宋" w:cs="仿宋"/>
                <w:highlight w:val="none"/>
              </w:rPr>
            </w:pPr>
          </w:p>
        </w:tc>
        <w:tc>
          <w:tcPr>
            <w:tcW w:w="1132" w:type="dxa"/>
            <w:noWrap w:val="0"/>
            <w:vAlign w:val="top"/>
          </w:tcPr>
          <w:p w14:paraId="6A618AA5">
            <w:pPr>
              <w:pStyle w:val="27"/>
              <w:rPr>
                <w:rFonts w:hint="eastAsia" w:ascii="仿宋" w:hAnsi="仿宋" w:eastAsia="仿宋" w:cs="仿宋"/>
                <w:highlight w:val="none"/>
              </w:rPr>
            </w:pPr>
          </w:p>
        </w:tc>
      </w:tr>
      <w:tr w14:paraId="52B86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601" w:type="dxa"/>
            <w:noWrap w:val="0"/>
            <w:vAlign w:val="top"/>
          </w:tcPr>
          <w:p w14:paraId="66FE886B">
            <w:pPr>
              <w:pStyle w:val="27"/>
              <w:rPr>
                <w:rFonts w:hint="eastAsia" w:ascii="仿宋" w:hAnsi="仿宋" w:eastAsia="仿宋" w:cs="仿宋"/>
                <w:highlight w:val="none"/>
              </w:rPr>
            </w:pPr>
          </w:p>
        </w:tc>
        <w:tc>
          <w:tcPr>
            <w:tcW w:w="1588" w:type="dxa"/>
            <w:noWrap w:val="0"/>
            <w:vAlign w:val="top"/>
          </w:tcPr>
          <w:p w14:paraId="06702619">
            <w:pPr>
              <w:pStyle w:val="27"/>
              <w:rPr>
                <w:rFonts w:hint="eastAsia" w:ascii="仿宋" w:hAnsi="仿宋" w:eastAsia="仿宋" w:cs="仿宋"/>
                <w:highlight w:val="none"/>
              </w:rPr>
            </w:pPr>
          </w:p>
        </w:tc>
        <w:tc>
          <w:tcPr>
            <w:tcW w:w="2225" w:type="dxa"/>
            <w:noWrap w:val="0"/>
            <w:vAlign w:val="top"/>
          </w:tcPr>
          <w:p w14:paraId="746E03D3">
            <w:pPr>
              <w:pStyle w:val="27"/>
              <w:rPr>
                <w:rFonts w:hint="eastAsia" w:ascii="仿宋" w:hAnsi="仿宋" w:eastAsia="仿宋" w:cs="仿宋"/>
                <w:highlight w:val="none"/>
              </w:rPr>
            </w:pPr>
          </w:p>
        </w:tc>
        <w:tc>
          <w:tcPr>
            <w:tcW w:w="1167" w:type="dxa"/>
            <w:noWrap w:val="0"/>
            <w:vAlign w:val="top"/>
          </w:tcPr>
          <w:p w14:paraId="7D37F3F6">
            <w:pPr>
              <w:pStyle w:val="27"/>
              <w:rPr>
                <w:rFonts w:hint="eastAsia" w:ascii="仿宋" w:hAnsi="仿宋" w:eastAsia="仿宋" w:cs="仿宋"/>
                <w:highlight w:val="none"/>
              </w:rPr>
            </w:pPr>
          </w:p>
        </w:tc>
        <w:tc>
          <w:tcPr>
            <w:tcW w:w="1256" w:type="dxa"/>
            <w:noWrap w:val="0"/>
            <w:vAlign w:val="top"/>
          </w:tcPr>
          <w:p w14:paraId="3DE6BC13">
            <w:pPr>
              <w:pStyle w:val="27"/>
              <w:rPr>
                <w:rFonts w:hint="eastAsia" w:ascii="仿宋" w:hAnsi="仿宋" w:eastAsia="仿宋" w:cs="仿宋"/>
                <w:highlight w:val="none"/>
              </w:rPr>
            </w:pPr>
          </w:p>
        </w:tc>
        <w:tc>
          <w:tcPr>
            <w:tcW w:w="1227" w:type="dxa"/>
            <w:noWrap w:val="0"/>
            <w:vAlign w:val="top"/>
          </w:tcPr>
          <w:p w14:paraId="009F1088">
            <w:pPr>
              <w:pStyle w:val="27"/>
              <w:rPr>
                <w:rFonts w:hint="eastAsia" w:ascii="仿宋" w:hAnsi="仿宋" w:eastAsia="仿宋" w:cs="仿宋"/>
                <w:highlight w:val="none"/>
              </w:rPr>
            </w:pPr>
          </w:p>
        </w:tc>
        <w:tc>
          <w:tcPr>
            <w:tcW w:w="1132" w:type="dxa"/>
            <w:noWrap w:val="0"/>
            <w:vAlign w:val="top"/>
          </w:tcPr>
          <w:p w14:paraId="270E3ACD">
            <w:pPr>
              <w:pStyle w:val="27"/>
              <w:rPr>
                <w:rFonts w:hint="eastAsia" w:ascii="仿宋" w:hAnsi="仿宋" w:eastAsia="仿宋" w:cs="仿宋"/>
                <w:highlight w:val="none"/>
              </w:rPr>
            </w:pPr>
          </w:p>
        </w:tc>
      </w:tr>
      <w:tr w14:paraId="2B5DB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01" w:type="dxa"/>
            <w:noWrap w:val="0"/>
            <w:vAlign w:val="top"/>
          </w:tcPr>
          <w:p w14:paraId="341127DE">
            <w:pPr>
              <w:pStyle w:val="27"/>
              <w:rPr>
                <w:rFonts w:hint="eastAsia" w:ascii="仿宋" w:hAnsi="仿宋" w:eastAsia="仿宋" w:cs="仿宋"/>
                <w:highlight w:val="none"/>
              </w:rPr>
            </w:pPr>
          </w:p>
        </w:tc>
        <w:tc>
          <w:tcPr>
            <w:tcW w:w="1588" w:type="dxa"/>
            <w:noWrap w:val="0"/>
            <w:vAlign w:val="top"/>
          </w:tcPr>
          <w:p w14:paraId="68C1A043">
            <w:pPr>
              <w:pStyle w:val="27"/>
              <w:rPr>
                <w:rFonts w:hint="eastAsia" w:ascii="仿宋" w:hAnsi="仿宋" w:eastAsia="仿宋" w:cs="仿宋"/>
                <w:highlight w:val="none"/>
              </w:rPr>
            </w:pPr>
          </w:p>
        </w:tc>
        <w:tc>
          <w:tcPr>
            <w:tcW w:w="2225" w:type="dxa"/>
            <w:noWrap w:val="0"/>
            <w:vAlign w:val="top"/>
          </w:tcPr>
          <w:p w14:paraId="7653D1F8">
            <w:pPr>
              <w:pStyle w:val="27"/>
              <w:rPr>
                <w:rFonts w:hint="eastAsia" w:ascii="仿宋" w:hAnsi="仿宋" w:eastAsia="仿宋" w:cs="仿宋"/>
                <w:highlight w:val="none"/>
              </w:rPr>
            </w:pPr>
          </w:p>
        </w:tc>
        <w:tc>
          <w:tcPr>
            <w:tcW w:w="1167" w:type="dxa"/>
            <w:noWrap w:val="0"/>
            <w:vAlign w:val="top"/>
          </w:tcPr>
          <w:p w14:paraId="57BDD068">
            <w:pPr>
              <w:pStyle w:val="27"/>
              <w:rPr>
                <w:rFonts w:hint="eastAsia" w:ascii="仿宋" w:hAnsi="仿宋" w:eastAsia="仿宋" w:cs="仿宋"/>
                <w:highlight w:val="none"/>
              </w:rPr>
            </w:pPr>
          </w:p>
        </w:tc>
        <w:tc>
          <w:tcPr>
            <w:tcW w:w="1256" w:type="dxa"/>
            <w:noWrap w:val="0"/>
            <w:vAlign w:val="top"/>
          </w:tcPr>
          <w:p w14:paraId="58CAB6F6">
            <w:pPr>
              <w:pStyle w:val="27"/>
              <w:rPr>
                <w:rFonts w:hint="eastAsia" w:ascii="仿宋" w:hAnsi="仿宋" w:eastAsia="仿宋" w:cs="仿宋"/>
                <w:highlight w:val="none"/>
              </w:rPr>
            </w:pPr>
          </w:p>
        </w:tc>
        <w:tc>
          <w:tcPr>
            <w:tcW w:w="1227" w:type="dxa"/>
            <w:noWrap w:val="0"/>
            <w:vAlign w:val="top"/>
          </w:tcPr>
          <w:p w14:paraId="0A9461CA">
            <w:pPr>
              <w:pStyle w:val="27"/>
              <w:rPr>
                <w:rFonts w:hint="eastAsia" w:ascii="仿宋" w:hAnsi="仿宋" w:eastAsia="仿宋" w:cs="仿宋"/>
                <w:highlight w:val="none"/>
              </w:rPr>
            </w:pPr>
          </w:p>
        </w:tc>
        <w:tc>
          <w:tcPr>
            <w:tcW w:w="1132" w:type="dxa"/>
            <w:noWrap w:val="0"/>
            <w:vAlign w:val="top"/>
          </w:tcPr>
          <w:p w14:paraId="304A071D">
            <w:pPr>
              <w:pStyle w:val="27"/>
              <w:rPr>
                <w:rFonts w:hint="eastAsia" w:ascii="仿宋" w:hAnsi="仿宋" w:eastAsia="仿宋" w:cs="仿宋"/>
                <w:highlight w:val="none"/>
              </w:rPr>
            </w:pPr>
          </w:p>
        </w:tc>
      </w:tr>
      <w:tr w14:paraId="4BE0B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01" w:type="dxa"/>
            <w:noWrap w:val="0"/>
            <w:vAlign w:val="top"/>
          </w:tcPr>
          <w:p w14:paraId="4ED5CA80">
            <w:pPr>
              <w:pStyle w:val="27"/>
              <w:rPr>
                <w:rFonts w:hint="eastAsia" w:ascii="仿宋" w:hAnsi="仿宋" w:eastAsia="仿宋" w:cs="仿宋"/>
                <w:highlight w:val="none"/>
              </w:rPr>
            </w:pPr>
          </w:p>
        </w:tc>
        <w:tc>
          <w:tcPr>
            <w:tcW w:w="1588" w:type="dxa"/>
            <w:noWrap w:val="0"/>
            <w:vAlign w:val="top"/>
          </w:tcPr>
          <w:p w14:paraId="6D7744EF">
            <w:pPr>
              <w:pStyle w:val="27"/>
              <w:rPr>
                <w:rFonts w:hint="eastAsia" w:ascii="仿宋" w:hAnsi="仿宋" w:eastAsia="仿宋" w:cs="仿宋"/>
                <w:highlight w:val="none"/>
              </w:rPr>
            </w:pPr>
          </w:p>
        </w:tc>
        <w:tc>
          <w:tcPr>
            <w:tcW w:w="2225" w:type="dxa"/>
            <w:noWrap w:val="0"/>
            <w:vAlign w:val="top"/>
          </w:tcPr>
          <w:p w14:paraId="18E7B439">
            <w:pPr>
              <w:pStyle w:val="27"/>
              <w:rPr>
                <w:rFonts w:hint="eastAsia" w:ascii="仿宋" w:hAnsi="仿宋" w:eastAsia="仿宋" w:cs="仿宋"/>
                <w:highlight w:val="none"/>
              </w:rPr>
            </w:pPr>
          </w:p>
        </w:tc>
        <w:tc>
          <w:tcPr>
            <w:tcW w:w="1167" w:type="dxa"/>
            <w:noWrap w:val="0"/>
            <w:vAlign w:val="top"/>
          </w:tcPr>
          <w:p w14:paraId="5AD047D0">
            <w:pPr>
              <w:pStyle w:val="27"/>
              <w:rPr>
                <w:rFonts w:hint="eastAsia" w:ascii="仿宋" w:hAnsi="仿宋" w:eastAsia="仿宋" w:cs="仿宋"/>
                <w:highlight w:val="none"/>
              </w:rPr>
            </w:pPr>
          </w:p>
        </w:tc>
        <w:tc>
          <w:tcPr>
            <w:tcW w:w="1256" w:type="dxa"/>
            <w:noWrap w:val="0"/>
            <w:vAlign w:val="top"/>
          </w:tcPr>
          <w:p w14:paraId="55A7DCD4">
            <w:pPr>
              <w:pStyle w:val="27"/>
              <w:rPr>
                <w:rFonts w:hint="eastAsia" w:ascii="仿宋" w:hAnsi="仿宋" w:eastAsia="仿宋" w:cs="仿宋"/>
                <w:highlight w:val="none"/>
              </w:rPr>
            </w:pPr>
          </w:p>
        </w:tc>
        <w:tc>
          <w:tcPr>
            <w:tcW w:w="1227" w:type="dxa"/>
            <w:noWrap w:val="0"/>
            <w:vAlign w:val="top"/>
          </w:tcPr>
          <w:p w14:paraId="087FF0BB">
            <w:pPr>
              <w:pStyle w:val="27"/>
              <w:rPr>
                <w:rFonts w:hint="eastAsia" w:ascii="仿宋" w:hAnsi="仿宋" w:eastAsia="仿宋" w:cs="仿宋"/>
                <w:highlight w:val="none"/>
              </w:rPr>
            </w:pPr>
          </w:p>
        </w:tc>
        <w:tc>
          <w:tcPr>
            <w:tcW w:w="1132" w:type="dxa"/>
            <w:noWrap w:val="0"/>
            <w:vAlign w:val="top"/>
          </w:tcPr>
          <w:p w14:paraId="2A27FECC">
            <w:pPr>
              <w:pStyle w:val="27"/>
              <w:rPr>
                <w:rFonts w:hint="eastAsia" w:ascii="仿宋" w:hAnsi="仿宋" w:eastAsia="仿宋" w:cs="仿宋"/>
                <w:highlight w:val="none"/>
              </w:rPr>
            </w:pPr>
          </w:p>
        </w:tc>
      </w:tr>
      <w:tr w14:paraId="5A328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601" w:type="dxa"/>
            <w:noWrap w:val="0"/>
            <w:vAlign w:val="top"/>
          </w:tcPr>
          <w:p w14:paraId="426CDCBD">
            <w:pPr>
              <w:pStyle w:val="27"/>
              <w:rPr>
                <w:rFonts w:hint="eastAsia" w:ascii="仿宋" w:hAnsi="仿宋" w:eastAsia="仿宋" w:cs="仿宋"/>
                <w:highlight w:val="none"/>
              </w:rPr>
            </w:pPr>
          </w:p>
        </w:tc>
        <w:tc>
          <w:tcPr>
            <w:tcW w:w="1588" w:type="dxa"/>
            <w:noWrap w:val="0"/>
            <w:vAlign w:val="top"/>
          </w:tcPr>
          <w:p w14:paraId="5FAE0975">
            <w:pPr>
              <w:pStyle w:val="27"/>
              <w:rPr>
                <w:rFonts w:hint="eastAsia" w:ascii="仿宋" w:hAnsi="仿宋" w:eastAsia="仿宋" w:cs="仿宋"/>
                <w:highlight w:val="none"/>
              </w:rPr>
            </w:pPr>
          </w:p>
        </w:tc>
        <w:tc>
          <w:tcPr>
            <w:tcW w:w="2225" w:type="dxa"/>
            <w:noWrap w:val="0"/>
            <w:vAlign w:val="top"/>
          </w:tcPr>
          <w:p w14:paraId="6147BEC8">
            <w:pPr>
              <w:pStyle w:val="27"/>
              <w:rPr>
                <w:rFonts w:hint="eastAsia" w:ascii="仿宋" w:hAnsi="仿宋" w:eastAsia="仿宋" w:cs="仿宋"/>
                <w:highlight w:val="none"/>
              </w:rPr>
            </w:pPr>
          </w:p>
        </w:tc>
        <w:tc>
          <w:tcPr>
            <w:tcW w:w="1167" w:type="dxa"/>
            <w:noWrap w:val="0"/>
            <w:vAlign w:val="top"/>
          </w:tcPr>
          <w:p w14:paraId="3B2437FE">
            <w:pPr>
              <w:pStyle w:val="27"/>
              <w:rPr>
                <w:rFonts w:hint="eastAsia" w:ascii="仿宋" w:hAnsi="仿宋" w:eastAsia="仿宋" w:cs="仿宋"/>
                <w:highlight w:val="none"/>
              </w:rPr>
            </w:pPr>
          </w:p>
        </w:tc>
        <w:tc>
          <w:tcPr>
            <w:tcW w:w="1256" w:type="dxa"/>
            <w:noWrap w:val="0"/>
            <w:vAlign w:val="top"/>
          </w:tcPr>
          <w:p w14:paraId="6E8C566B">
            <w:pPr>
              <w:pStyle w:val="27"/>
              <w:rPr>
                <w:rFonts w:hint="eastAsia" w:ascii="仿宋" w:hAnsi="仿宋" w:eastAsia="仿宋" w:cs="仿宋"/>
                <w:highlight w:val="none"/>
              </w:rPr>
            </w:pPr>
          </w:p>
        </w:tc>
        <w:tc>
          <w:tcPr>
            <w:tcW w:w="1227" w:type="dxa"/>
            <w:noWrap w:val="0"/>
            <w:vAlign w:val="top"/>
          </w:tcPr>
          <w:p w14:paraId="5A9022C6">
            <w:pPr>
              <w:pStyle w:val="27"/>
              <w:rPr>
                <w:rFonts w:hint="eastAsia" w:ascii="仿宋" w:hAnsi="仿宋" w:eastAsia="仿宋" w:cs="仿宋"/>
                <w:highlight w:val="none"/>
              </w:rPr>
            </w:pPr>
          </w:p>
        </w:tc>
        <w:tc>
          <w:tcPr>
            <w:tcW w:w="1132" w:type="dxa"/>
            <w:noWrap w:val="0"/>
            <w:vAlign w:val="top"/>
          </w:tcPr>
          <w:p w14:paraId="3D88C479">
            <w:pPr>
              <w:pStyle w:val="27"/>
              <w:rPr>
                <w:rFonts w:hint="eastAsia" w:ascii="仿宋" w:hAnsi="仿宋" w:eastAsia="仿宋" w:cs="仿宋"/>
                <w:highlight w:val="none"/>
              </w:rPr>
            </w:pPr>
          </w:p>
        </w:tc>
      </w:tr>
      <w:tr w14:paraId="7BAC5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601" w:type="dxa"/>
            <w:noWrap w:val="0"/>
            <w:vAlign w:val="top"/>
          </w:tcPr>
          <w:p w14:paraId="54A94553">
            <w:pPr>
              <w:pStyle w:val="27"/>
              <w:rPr>
                <w:rFonts w:hint="eastAsia" w:ascii="仿宋" w:hAnsi="仿宋" w:eastAsia="仿宋" w:cs="仿宋"/>
                <w:highlight w:val="none"/>
              </w:rPr>
            </w:pPr>
          </w:p>
        </w:tc>
        <w:tc>
          <w:tcPr>
            <w:tcW w:w="1588" w:type="dxa"/>
            <w:noWrap w:val="0"/>
            <w:vAlign w:val="top"/>
          </w:tcPr>
          <w:p w14:paraId="6E5CB26D">
            <w:pPr>
              <w:pStyle w:val="27"/>
              <w:rPr>
                <w:rFonts w:hint="eastAsia" w:ascii="仿宋" w:hAnsi="仿宋" w:eastAsia="仿宋" w:cs="仿宋"/>
                <w:highlight w:val="none"/>
              </w:rPr>
            </w:pPr>
          </w:p>
        </w:tc>
        <w:tc>
          <w:tcPr>
            <w:tcW w:w="2225" w:type="dxa"/>
            <w:noWrap w:val="0"/>
            <w:vAlign w:val="top"/>
          </w:tcPr>
          <w:p w14:paraId="29BBFEA1">
            <w:pPr>
              <w:pStyle w:val="27"/>
              <w:rPr>
                <w:rFonts w:hint="eastAsia" w:ascii="仿宋" w:hAnsi="仿宋" w:eastAsia="仿宋" w:cs="仿宋"/>
                <w:highlight w:val="none"/>
              </w:rPr>
            </w:pPr>
          </w:p>
        </w:tc>
        <w:tc>
          <w:tcPr>
            <w:tcW w:w="1167" w:type="dxa"/>
            <w:noWrap w:val="0"/>
            <w:vAlign w:val="top"/>
          </w:tcPr>
          <w:p w14:paraId="6E3CD602">
            <w:pPr>
              <w:pStyle w:val="27"/>
              <w:rPr>
                <w:rFonts w:hint="eastAsia" w:ascii="仿宋" w:hAnsi="仿宋" w:eastAsia="仿宋" w:cs="仿宋"/>
                <w:highlight w:val="none"/>
              </w:rPr>
            </w:pPr>
          </w:p>
        </w:tc>
        <w:tc>
          <w:tcPr>
            <w:tcW w:w="1256" w:type="dxa"/>
            <w:noWrap w:val="0"/>
            <w:vAlign w:val="top"/>
          </w:tcPr>
          <w:p w14:paraId="0D3CF75B">
            <w:pPr>
              <w:pStyle w:val="27"/>
              <w:rPr>
                <w:rFonts w:hint="eastAsia" w:ascii="仿宋" w:hAnsi="仿宋" w:eastAsia="仿宋" w:cs="仿宋"/>
                <w:highlight w:val="none"/>
              </w:rPr>
            </w:pPr>
          </w:p>
        </w:tc>
        <w:tc>
          <w:tcPr>
            <w:tcW w:w="1227" w:type="dxa"/>
            <w:noWrap w:val="0"/>
            <w:vAlign w:val="top"/>
          </w:tcPr>
          <w:p w14:paraId="48675CBE">
            <w:pPr>
              <w:pStyle w:val="27"/>
              <w:rPr>
                <w:rFonts w:hint="eastAsia" w:ascii="仿宋" w:hAnsi="仿宋" w:eastAsia="仿宋" w:cs="仿宋"/>
                <w:highlight w:val="none"/>
              </w:rPr>
            </w:pPr>
          </w:p>
        </w:tc>
        <w:tc>
          <w:tcPr>
            <w:tcW w:w="1132" w:type="dxa"/>
            <w:noWrap w:val="0"/>
            <w:vAlign w:val="top"/>
          </w:tcPr>
          <w:p w14:paraId="36316FF7">
            <w:pPr>
              <w:pStyle w:val="27"/>
              <w:rPr>
                <w:rFonts w:hint="eastAsia" w:ascii="仿宋" w:hAnsi="仿宋" w:eastAsia="仿宋" w:cs="仿宋"/>
                <w:highlight w:val="none"/>
              </w:rPr>
            </w:pPr>
          </w:p>
        </w:tc>
      </w:tr>
      <w:tr w14:paraId="62CF9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601" w:type="dxa"/>
            <w:noWrap w:val="0"/>
            <w:vAlign w:val="top"/>
          </w:tcPr>
          <w:p w14:paraId="19F2EECD">
            <w:pPr>
              <w:pStyle w:val="27"/>
              <w:rPr>
                <w:rFonts w:hint="eastAsia" w:ascii="仿宋" w:hAnsi="仿宋" w:eastAsia="仿宋" w:cs="仿宋"/>
                <w:highlight w:val="none"/>
              </w:rPr>
            </w:pPr>
          </w:p>
        </w:tc>
        <w:tc>
          <w:tcPr>
            <w:tcW w:w="1588" w:type="dxa"/>
            <w:noWrap w:val="0"/>
            <w:vAlign w:val="top"/>
          </w:tcPr>
          <w:p w14:paraId="749EA20D">
            <w:pPr>
              <w:pStyle w:val="27"/>
              <w:rPr>
                <w:rFonts w:hint="eastAsia" w:ascii="仿宋" w:hAnsi="仿宋" w:eastAsia="仿宋" w:cs="仿宋"/>
                <w:highlight w:val="none"/>
              </w:rPr>
            </w:pPr>
          </w:p>
        </w:tc>
        <w:tc>
          <w:tcPr>
            <w:tcW w:w="2225" w:type="dxa"/>
            <w:noWrap w:val="0"/>
            <w:vAlign w:val="top"/>
          </w:tcPr>
          <w:p w14:paraId="454DD255">
            <w:pPr>
              <w:pStyle w:val="27"/>
              <w:rPr>
                <w:rFonts w:hint="eastAsia" w:ascii="仿宋" w:hAnsi="仿宋" w:eastAsia="仿宋" w:cs="仿宋"/>
                <w:highlight w:val="none"/>
              </w:rPr>
            </w:pPr>
          </w:p>
        </w:tc>
        <w:tc>
          <w:tcPr>
            <w:tcW w:w="1167" w:type="dxa"/>
            <w:noWrap w:val="0"/>
            <w:vAlign w:val="top"/>
          </w:tcPr>
          <w:p w14:paraId="33CA673B">
            <w:pPr>
              <w:pStyle w:val="27"/>
              <w:rPr>
                <w:rFonts w:hint="eastAsia" w:ascii="仿宋" w:hAnsi="仿宋" w:eastAsia="仿宋" w:cs="仿宋"/>
                <w:highlight w:val="none"/>
              </w:rPr>
            </w:pPr>
          </w:p>
        </w:tc>
        <w:tc>
          <w:tcPr>
            <w:tcW w:w="1256" w:type="dxa"/>
            <w:noWrap w:val="0"/>
            <w:vAlign w:val="top"/>
          </w:tcPr>
          <w:p w14:paraId="61BA8F2D">
            <w:pPr>
              <w:pStyle w:val="27"/>
              <w:rPr>
                <w:rFonts w:hint="eastAsia" w:ascii="仿宋" w:hAnsi="仿宋" w:eastAsia="仿宋" w:cs="仿宋"/>
                <w:highlight w:val="none"/>
              </w:rPr>
            </w:pPr>
          </w:p>
        </w:tc>
        <w:tc>
          <w:tcPr>
            <w:tcW w:w="1227" w:type="dxa"/>
            <w:noWrap w:val="0"/>
            <w:vAlign w:val="top"/>
          </w:tcPr>
          <w:p w14:paraId="158E9619">
            <w:pPr>
              <w:pStyle w:val="27"/>
              <w:rPr>
                <w:rFonts w:hint="eastAsia" w:ascii="仿宋" w:hAnsi="仿宋" w:eastAsia="仿宋" w:cs="仿宋"/>
                <w:highlight w:val="none"/>
              </w:rPr>
            </w:pPr>
          </w:p>
        </w:tc>
        <w:tc>
          <w:tcPr>
            <w:tcW w:w="1132" w:type="dxa"/>
            <w:noWrap w:val="0"/>
            <w:vAlign w:val="top"/>
          </w:tcPr>
          <w:p w14:paraId="4EA1EA9F">
            <w:pPr>
              <w:pStyle w:val="27"/>
              <w:rPr>
                <w:rFonts w:hint="eastAsia" w:ascii="仿宋" w:hAnsi="仿宋" w:eastAsia="仿宋" w:cs="仿宋"/>
                <w:highlight w:val="none"/>
              </w:rPr>
            </w:pPr>
          </w:p>
        </w:tc>
      </w:tr>
      <w:tr w14:paraId="29035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01" w:type="dxa"/>
            <w:noWrap w:val="0"/>
            <w:vAlign w:val="top"/>
          </w:tcPr>
          <w:p w14:paraId="4BE30135">
            <w:pPr>
              <w:pStyle w:val="27"/>
              <w:rPr>
                <w:rFonts w:hint="eastAsia" w:ascii="仿宋" w:hAnsi="仿宋" w:eastAsia="仿宋" w:cs="仿宋"/>
                <w:highlight w:val="none"/>
              </w:rPr>
            </w:pPr>
          </w:p>
        </w:tc>
        <w:tc>
          <w:tcPr>
            <w:tcW w:w="1588" w:type="dxa"/>
            <w:noWrap w:val="0"/>
            <w:vAlign w:val="top"/>
          </w:tcPr>
          <w:p w14:paraId="726E4CA6">
            <w:pPr>
              <w:pStyle w:val="27"/>
              <w:rPr>
                <w:rFonts w:hint="eastAsia" w:ascii="仿宋" w:hAnsi="仿宋" w:eastAsia="仿宋" w:cs="仿宋"/>
                <w:highlight w:val="none"/>
              </w:rPr>
            </w:pPr>
          </w:p>
        </w:tc>
        <w:tc>
          <w:tcPr>
            <w:tcW w:w="2225" w:type="dxa"/>
            <w:noWrap w:val="0"/>
            <w:vAlign w:val="top"/>
          </w:tcPr>
          <w:p w14:paraId="01B43238">
            <w:pPr>
              <w:pStyle w:val="27"/>
              <w:rPr>
                <w:rFonts w:hint="eastAsia" w:ascii="仿宋" w:hAnsi="仿宋" w:eastAsia="仿宋" w:cs="仿宋"/>
                <w:highlight w:val="none"/>
              </w:rPr>
            </w:pPr>
          </w:p>
        </w:tc>
        <w:tc>
          <w:tcPr>
            <w:tcW w:w="1167" w:type="dxa"/>
            <w:noWrap w:val="0"/>
            <w:vAlign w:val="top"/>
          </w:tcPr>
          <w:p w14:paraId="3E1F9190">
            <w:pPr>
              <w:pStyle w:val="27"/>
              <w:rPr>
                <w:rFonts w:hint="eastAsia" w:ascii="仿宋" w:hAnsi="仿宋" w:eastAsia="仿宋" w:cs="仿宋"/>
                <w:highlight w:val="none"/>
              </w:rPr>
            </w:pPr>
          </w:p>
        </w:tc>
        <w:tc>
          <w:tcPr>
            <w:tcW w:w="1256" w:type="dxa"/>
            <w:noWrap w:val="0"/>
            <w:vAlign w:val="top"/>
          </w:tcPr>
          <w:p w14:paraId="1372E84E">
            <w:pPr>
              <w:pStyle w:val="27"/>
              <w:rPr>
                <w:rFonts w:hint="eastAsia" w:ascii="仿宋" w:hAnsi="仿宋" w:eastAsia="仿宋" w:cs="仿宋"/>
                <w:highlight w:val="none"/>
              </w:rPr>
            </w:pPr>
          </w:p>
        </w:tc>
        <w:tc>
          <w:tcPr>
            <w:tcW w:w="1227" w:type="dxa"/>
            <w:noWrap w:val="0"/>
            <w:vAlign w:val="top"/>
          </w:tcPr>
          <w:p w14:paraId="118976B4">
            <w:pPr>
              <w:pStyle w:val="27"/>
              <w:rPr>
                <w:rFonts w:hint="eastAsia" w:ascii="仿宋" w:hAnsi="仿宋" w:eastAsia="仿宋" w:cs="仿宋"/>
                <w:highlight w:val="none"/>
              </w:rPr>
            </w:pPr>
          </w:p>
        </w:tc>
        <w:tc>
          <w:tcPr>
            <w:tcW w:w="1132" w:type="dxa"/>
            <w:noWrap w:val="0"/>
            <w:vAlign w:val="top"/>
          </w:tcPr>
          <w:p w14:paraId="6A4D4E10">
            <w:pPr>
              <w:pStyle w:val="27"/>
              <w:rPr>
                <w:rFonts w:hint="eastAsia" w:ascii="仿宋" w:hAnsi="仿宋" w:eastAsia="仿宋" w:cs="仿宋"/>
                <w:highlight w:val="none"/>
              </w:rPr>
            </w:pPr>
          </w:p>
        </w:tc>
      </w:tr>
      <w:tr w14:paraId="558C4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601" w:type="dxa"/>
            <w:noWrap w:val="0"/>
            <w:vAlign w:val="top"/>
          </w:tcPr>
          <w:p w14:paraId="77325BF0">
            <w:pPr>
              <w:pStyle w:val="27"/>
              <w:rPr>
                <w:rFonts w:hint="eastAsia" w:ascii="仿宋" w:hAnsi="仿宋" w:eastAsia="仿宋" w:cs="仿宋"/>
                <w:highlight w:val="none"/>
              </w:rPr>
            </w:pPr>
          </w:p>
        </w:tc>
        <w:tc>
          <w:tcPr>
            <w:tcW w:w="1588" w:type="dxa"/>
            <w:noWrap w:val="0"/>
            <w:vAlign w:val="top"/>
          </w:tcPr>
          <w:p w14:paraId="6C5E86AC">
            <w:pPr>
              <w:pStyle w:val="27"/>
              <w:rPr>
                <w:rFonts w:hint="eastAsia" w:ascii="仿宋" w:hAnsi="仿宋" w:eastAsia="仿宋" w:cs="仿宋"/>
                <w:highlight w:val="none"/>
              </w:rPr>
            </w:pPr>
          </w:p>
        </w:tc>
        <w:tc>
          <w:tcPr>
            <w:tcW w:w="2225" w:type="dxa"/>
            <w:noWrap w:val="0"/>
            <w:vAlign w:val="top"/>
          </w:tcPr>
          <w:p w14:paraId="3E4AED03">
            <w:pPr>
              <w:pStyle w:val="27"/>
              <w:rPr>
                <w:rFonts w:hint="eastAsia" w:ascii="仿宋" w:hAnsi="仿宋" w:eastAsia="仿宋" w:cs="仿宋"/>
                <w:highlight w:val="none"/>
              </w:rPr>
            </w:pPr>
          </w:p>
        </w:tc>
        <w:tc>
          <w:tcPr>
            <w:tcW w:w="1167" w:type="dxa"/>
            <w:noWrap w:val="0"/>
            <w:vAlign w:val="top"/>
          </w:tcPr>
          <w:p w14:paraId="259C9D01">
            <w:pPr>
              <w:pStyle w:val="27"/>
              <w:rPr>
                <w:rFonts w:hint="eastAsia" w:ascii="仿宋" w:hAnsi="仿宋" w:eastAsia="仿宋" w:cs="仿宋"/>
                <w:highlight w:val="none"/>
              </w:rPr>
            </w:pPr>
          </w:p>
        </w:tc>
        <w:tc>
          <w:tcPr>
            <w:tcW w:w="1256" w:type="dxa"/>
            <w:noWrap w:val="0"/>
            <w:vAlign w:val="top"/>
          </w:tcPr>
          <w:p w14:paraId="31D5D828">
            <w:pPr>
              <w:pStyle w:val="27"/>
              <w:rPr>
                <w:rFonts w:hint="eastAsia" w:ascii="仿宋" w:hAnsi="仿宋" w:eastAsia="仿宋" w:cs="仿宋"/>
                <w:highlight w:val="none"/>
              </w:rPr>
            </w:pPr>
          </w:p>
        </w:tc>
        <w:tc>
          <w:tcPr>
            <w:tcW w:w="1227" w:type="dxa"/>
            <w:noWrap w:val="0"/>
            <w:vAlign w:val="top"/>
          </w:tcPr>
          <w:p w14:paraId="7805B595">
            <w:pPr>
              <w:pStyle w:val="27"/>
              <w:rPr>
                <w:rFonts w:hint="eastAsia" w:ascii="仿宋" w:hAnsi="仿宋" w:eastAsia="仿宋" w:cs="仿宋"/>
                <w:highlight w:val="none"/>
              </w:rPr>
            </w:pPr>
          </w:p>
        </w:tc>
        <w:tc>
          <w:tcPr>
            <w:tcW w:w="1132" w:type="dxa"/>
            <w:noWrap w:val="0"/>
            <w:vAlign w:val="top"/>
          </w:tcPr>
          <w:p w14:paraId="49DD9E05">
            <w:pPr>
              <w:pStyle w:val="27"/>
              <w:rPr>
                <w:rFonts w:hint="eastAsia" w:ascii="仿宋" w:hAnsi="仿宋" w:eastAsia="仿宋" w:cs="仿宋"/>
                <w:highlight w:val="none"/>
              </w:rPr>
            </w:pPr>
          </w:p>
        </w:tc>
      </w:tr>
      <w:tr w14:paraId="44263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601" w:type="dxa"/>
            <w:noWrap w:val="0"/>
            <w:vAlign w:val="top"/>
          </w:tcPr>
          <w:p w14:paraId="40D8B6DF">
            <w:pPr>
              <w:pStyle w:val="27"/>
              <w:rPr>
                <w:rFonts w:hint="eastAsia" w:ascii="仿宋" w:hAnsi="仿宋" w:eastAsia="仿宋" w:cs="仿宋"/>
                <w:highlight w:val="none"/>
              </w:rPr>
            </w:pPr>
          </w:p>
        </w:tc>
        <w:tc>
          <w:tcPr>
            <w:tcW w:w="1588" w:type="dxa"/>
            <w:noWrap w:val="0"/>
            <w:vAlign w:val="top"/>
          </w:tcPr>
          <w:p w14:paraId="264F137A">
            <w:pPr>
              <w:pStyle w:val="27"/>
              <w:rPr>
                <w:rFonts w:hint="eastAsia" w:ascii="仿宋" w:hAnsi="仿宋" w:eastAsia="仿宋" w:cs="仿宋"/>
                <w:highlight w:val="none"/>
              </w:rPr>
            </w:pPr>
          </w:p>
        </w:tc>
        <w:tc>
          <w:tcPr>
            <w:tcW w:w="2225" w:type="dxa"/>
            <w:noWrap w:val="0"/>
            <w:vAlign w:val="top"/>
          </w:tcPr>
          <w:p w14:paraId="20512FDC">
            <w:pPr>
              <w:pStyle w:val="27"/>
              <w:rPr>
                <w:rFonts w:hint="eastAsia" w:ascii="仿宋" w:hAnsi="仿宋" w:eastAsia="仿宋" w:cs="仿宋"/>
                <w:highlight w:val="none"/>
              </w:rPr>
            </w:pPr>
          </w:p>
        </w:tc>
        <w:tc>
          <w:tcPr>
            <w:tcW w:w="1167" w:type="dxa"/>
            <w:noWrap w:val="0"/>
            <w:vAlign w:val="top"/>
          </w:tcPr>
          <w:p w14:paraId="35DF4234">
            <w:pPr>
              <w:pStyle w:val="27"/>
              <w:rPr>
                <w:rFonts w:hint="eastAsia" w:ascii="仿宋" w:hAnsi="仿宋" w:eastAsia="仿宋" w:cs="仿宋"/>
                <w:highlight w:val="none"/>
              </w:rPr>
            </w:pPr>
          </w:p>
        </w:tc>
        <w:tc>
          <w:tcPr>
            <w:tcW w:w="1256" w:type="dxa"/>
            <w:noWrap w:val="0"/>
            <w:vAlign w:val="top"/>
          </w:tcPr>
          <w:p w14:paraId="35ADD09C">
            <w:pPr>
              <w:pStyle w:val="27"/>
              <w:rPr>
                <w:rFonts w:hint="eastAsia" w:ascii="仿宋" w:hAnsi="仿宋" w:eastAsia="仿宋" w:cs="仿宋"/>
                <w:highlight w:val="none"/>
              </w:rPr>
            </w:pPr>
          </w:p>
        </w:tc>
        <w:tc>
          <w:tcPr>
            <w:tcW w:w="1227" w:type="dxa"/>
            <w:noWrap w:val="0"/>
            <w:vAlign w:val="top"/>
          </w:tcPr>
          <w:p w14:paraId="6E39FAAF">
            <w:pPr>
              <w:pStyle w:val="27"/>
              <w:rPr>
                <w:rFonts w:hint="eastAsia" w:ascii="仿宋" w:hAnsi="仿宋" w:eastAsia="仿宋" w:cs="仿宋"/>
                <w:highlight w:val="none"/>
              </w:rPr>
            </w:pPr>
          </w:p>
        </w:tc>
        <w:tc>
          <w:tcPr>
            <w:tcW w:w="1132" w:type="dxa"/>
            <w:noWrap w:val="0"/>
            <w:vAlign w:val="top"/>
          </w:tcPr>
          <w:p w14:paraId="2C513CBA">
            <w:pPr>
              <w:pStyle w:val="27"/>
              <w:rPr>
                <w:rFonts w:hint="eastAsia" w:ascii="仿宋" w:hAnsi="仿宋" w:eastAsia="仿宋" w:cs="仿宋"/>
                <w:highlight w:val="none"/>
              </w:rPr>
            </w:pPr>
          </w:p>
        </w:tc>
      </w:tr>
      <w:tr w14:paraId="066F0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01" w:type="dxa"/>
            <w:noWrap w:val="0"/>
            <w:vAlign w:val="top"/>
          </w:tcPr>
          <w:p w14:paraId="1A49A5AA">
            <w:pPr>
              <w:pStyle w:val="27"/>
              <w:rPr>
                <w:rFonts w:hint="eastAsia" w:ascii="仿宋" w:hAnsi="仿宋" w:eastAsia="仿宋" w:cs="仿宋"/>
                <w:highlight w:val="none"/>
              </w:rPr>
            </w:pPr>
          </w:p>
        </w:tc>
        <w:tc>
          <w:tcPr>
            <w:tcW w:w="1588" w:type="dxa"/>
            <w:noWrap w:val="0"/>
            <w:vAlign w:val="top"/>
          </w:tcPr>
          <w:p w14:paraId="76ADCF80">
            <w:pPr>
              <w:pStyle w:val="27"/>
              <w:rPr>
                <w:rFonts w:hint="eastAsia" w:ascii="仿宋" w:hAnsi="仿宋" w:eastAsia="仿宋" w:cs="仿宋"/>
                <w:highlight w:val="none"/>
              </w:rPr>
            </w:pPr>
          </w:p>
        </w:tc>
        <w:tc>
          <w:tcPr>
            <w:tcW w:w="2225" w:type="dxa"/>
            <w:noWrap w:val="0"/>
            <w:vAlign w:val="top"/>
          </w:tcPr>
          <w:p w14:paraId="41CA5B30">
            <w:pPr>
              <w:pStyle w:val="27"/>
              <w:rPr>
                <w:rFonts w:hint="eastAsia" w:ascii="仿宋" w:hAnsi="仿宋" w:eastAsia="仿宋" w:cs="仿宋"/>
                <w:highlight w:val="none"/>
              </w:rPr>
            </w:pPr>
          </w:p>
        </w:tc>
        <w:tc>
          <w:tcPr>
            <w:tcW w:w="1167" w:type="dxa"/>
            <w:noWrap w:val="0"/>
            <w:vAlign w:val="top"/>
          </w:tcPr>
          <w:p w14:paraId="3C2111E4">
            <w:pPr>
              <w:pStyle w:val="27"/>
              <w:rPr>
                <w:rFonts w:hint="eastAsia" w:ascii="仿宋" w:hAnsi="仿宋" w:eastAsia="仿宋" w:cs="仿宋"/>
                <w:highlight w:val="none"/>
              </w:rPr>
            </w:pPr>
          </w:p>
        </w:tc>
        <w:tc>
          <w:tcPr>
            <w:tcW w:w="1256" w:type="dxa"/>
            <w:noWrap w:val="0"/>
            <w:vAlign w:val="top"/>
          </w:tcPr>
          <w:p w14:paraId="6FEB234C">
            <w:pPr>
              <w:pStyle w:val="27"/>
              <w:rPr>
                <w:rFonts w:hint="eastAsia" w:ascii="仿宋" w:hAnsi="仿宋" w:eastAsia="仿宋" w:cs="仿宋"/>
                <w:highlight w:val="none"/>
              </w:rPr>
            </w:pPr>
          </w:p>
        </w:tc>
        <w:tc>
          <w:tcPr>
            <w:tcW w:w="1227" w:type="dxa"/>
            <w:noWrap w:val="0"/>
            <w:vAlign w:val="top"/>
          </w:tcPr>
          <w:p w14:paraId="3252F550">
            <w:pPr>
              <w:pStyle w:val="27"/>
              <w:rPr>
                <w:rFonts w:hint="eastAsia" w:ascii="仿宋" w:hAnsi="仿宋" w:eastAsia="仿宋" w:cs="仿宋"/>
                <w:highlight w:val="none"/>
              </w:rPr>
            </w:pPr>
          </w:p>
        </w:tc>
        <w:tc>
          <w:tcPr>
            <w:tcW w:w="1132" w:type="dxa"/>
            <w:noWrap w:val="0"/>
            <w:vAlign w:val="top"/>
          </w:tcPr>
          <w:p w14:paraId="4A6C6D25">
            <w:pPr>
              <w:pStyle w:val="27"/>
              <w:rPr>
                <w:rFonts w:hint="eastAsia" w:ascii="仿宋" w:hAnsi="仿宋" w:eastAsia="仿宋" w:cs="仿宋"/>
                <w:highlight w:val="none"/>
              </w:rPr>
            </w:pPr>
          </w:p>
        </w:tc>
      </w:tr>
      <w:tr w14:paraId="0DB5D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601" w:type="dxa"/>
            <w:noWrap w:val="0"/>
            <w:vAlign w:val="top"/>
          </w:tcPr>
          <w:p w14:paraId="4E477AA4">
            <w:pPr>
              <w:pStyle w:val="27"/>
              <w:rPr>
                <w:rFonts w:hint="eastAsia" w:ascii="仿宋" w:hAnsi="仿宋" w:eastAsia="仿宋" w:cs="仿宋"/>
                <w:highlight w:val="none"/>
              </w:rPr>
            </w:pPr>
          </w:p>
        </w:tc>
        <w:tc>
          <w:tcPr>
            <w:tcW w:w="1588" w:type="dxa"/>
            <w:noWrap w:val="0"/>
            <w:vAlign w:val="top"/>
          </w:tcPr>
          <w:p w14:paraId="7D6CD09D">
            <w:pPr>
              <w:pStyle w:val="27"/>
              <w:rPr>
                <w:rFonts w:hint="eastAsia" w:ascii="仿宋" w:hAnsi="仿宋" w:eastAsia="仿宋" w:cs="仿宋"/>
                <w:highlight w:val="none"/>
              </w:rPr>
            </w:pPr>
          </w:p>
        </w:tc>
        <w:tc>
          <w:tcPr>
            <w:tcW w:w="2225" w:type="dxa"/>
            <w:noWrap w:val="0"/>
            <w:vAlign w:val="top"/>
          </w:tcPr>
          <w:p w14:paraId="633BADE1">
            <w:pPr>
              <w:pStyle w:val="27"/>
              <w:rPr>
                <w:rFonts w:hint="eastAsia" w:ascii="仿宋" w:hAnsi="仿宋" w:eastAsia="仿宋" w:cs="仿宋"/>
                <w:highlight w:val="none"/>
              </w:rPr>
            </w:pPr>
          </w:p>
        </w:tc>
        <w:tc>
          <w:tcPr>
            <w:tcW w:w="1167" w:type="dxa"/>
            <w:noWrap w:val="0"/>
            <w:vAlign w:val="top"/>
          </w:tcPr>
          <w:p w14:paraId="275557A2">
            <w:pPr>
              <w:pStyle w:val="27"/>
              <w:rPr>
                <w:rFonts w:hint="eastAsia" w:ascii="仿宋" w:hAnsi="仿宋" w:eastAsia="仿宋" w:cs="仿宋"/>
                <w:highlight w:val="none"/>
              </w:rPr>
            </w:pPr>
          </w:p>
        </w:tc>
        <w:tc>
          <w:tcPr>
            <w:tcW w:w="1256" w:type="dxa"/>
            <w:noWrap w:val="0"/>
            <w:vAlign w:val="top"/>
          </w:tcPr>
          <w:p w14:paraId="64D86922">
            <w:pPr>
              <w:pStyle w:val="27"/>
              <w:rPr>
                <w:rFonts w:hint="eastAsia" w:ascii="仿宋" w:hAnsi="仿宋" w:eastAsia="仿宋" w:cs="仿宋"/>
                <w:highlight w:val="none"/>
              </w:rPr>
            </w:pPr>
          </w:p>
        </w:tc>
        <w:tc>
          <w:tcPr>
            <w:tcW w:w="1227" w:type="dxa"/>
            <w:noWrap w:val="0"/>
            <w:vAlign w:val="top"/>
          </w:tcPr>
          <w:p w14:paraId="2633D2E7">
            <w:pPr>
              <w:pStyle w:val="27"/>
              <w:rPr>
                <w:rFonts w:hint="eastAsia" w:ascii="仿宋" w:hAnsi="仿宋" w:eastAsia="仿宋" w:cs="仿宋"/>
                <w:highlight w:val="none"/>
              </w:rPr>
            </w:pPr>
          </w:p>
        </w:tc>
        <w:tc>
          <w:tcPr>
            <w:tcW w:w="1132" w:type="dxa"/>
            <w:noWrap w:val="0"/>
            <w:vAlign w:val="top"/>
          </w:tcPr>
          <w:p w14:paraId="0067B783">
            <w:pPr>
              <w:pStyle w:val="27"/>
              <w:rPr>
                <w:rFonts w:hint="eastAsia" w:ascii="仿宋" w:hAnsi="仿宋" w:eastAsia="仿宋" w:cs="仿宋"/>
                <w:highlight w:val="none"/>
              </w:rPr>
            </w:pPr>
          </w:p>
        </w:tc>
      </w:tr>
    </w:tbl>
    <w:p w14:paraId="7325D144">
      <w:pPr>
        <w:pStyle w:val="7"/>
        <w:tabs>
          <w:tab w:val="left" w:pos="567"/>
        </w:tabs>
        <w:spacing w:before="4"/>
        <w:rPr>
          <w:rFonts w:hint="eastAsia" w:ascii="仿宋" w:hAnsi="仿宋" w:eastAsia="仿宋" w:cs="仿宋"/>
          <w:highlight w:val="none"/>
        </w:rPr>
      </w:pPr>
    </w:p>
    <w:p w14:paraId="4EDF25AD">
      <w:pPr>
        <w:pStyle w:val="7"/>
        <w:tabs>
          <w:tab w:val="left" w:pos="6585"/>
          <w:tab w:val="left" w:pos="7876"/>
        </w:tabs>
        <w:spacing w:line="242" w:lineRule="auto"/>
        <w:ind w:left="1157" w:right="2667"/>
        <w:rPr>
          <w:rFonts w:hint="eastAsia" w:ascii="仿宋" w:hAnsi="仿宋" w:eastAsia="仿宋" w:cs="仿宋"/>
          <w:highlight w:val="none"/>
          <w:u w:val="single"/>
        </w:rPr>
      </w:pPr>
      <w:r>
        <w:rPr>
          <w:rFonts w:hint="eastAsia" w:ascii="仿宋" w:hAnsi="仿宋" w:eastAsia="仿宋" w:cs="仿宋"/>
          <w:spacing w:val="-1"/>
          <w:highlight w:val="none"/>
        </w:rPr>
        <w:t>法</w:t>
      </w:r>
      <w:r>
        <w:rPr>
          <w:rFonts w:hint="eastAsia" w:ascii="仿宋" w:hAnsi="仿宋" w:eastAsia="仿宋" w:cs="仿宋"/>
          <w:highlight w:val="none"/>
        </w:rPr>
        <w:t>定代表人或其委托代理人（签/章）:</w:t>
      </w:r>
      <w:r>
        <w:rPr>
          <w:rFonts w:hint="eastAsia" w:ascii="仿宋" w:hAnsi="仿宋" w:eastAsia="仿宋" w:cs="仿宋"/>
          <w:highlight w:val="none"/>
          <w:u w:val="single"/>
        </w:rPr>
        <w:tab/>
      </w:r>
    </w:p>
    <w:p w14:paraId="1D57900A">
      <w:pPr>
        <w:pStyle w:val="7"/>
        <w:tabs>
          <w:tab w:val="left" w:pos="6585"/>
          <w:tab w:val="left" w:pos="7876"/>
        </w:tabs>
        <w:spacing w:line="242" w:lineRule="auto"/>
        <w:ind w:left="1157" w:right="2667"/>
        <w:rPr>
          <w:rFonts w:hint="eastAsia" w:ascii="仿宋" w:hAnsi="仿宋" w:eastAsia="仿宋" w:cs="仿宋"/>
          <w:highlight w:val="none"/>
          <w:lang w:eastAsia="zh-CN"/>
        </w:rPr>
      </w:pPr>
      <w:r>
        <w:rPr>
          <w:rFonts w:hint="eastAsia" w:ascii="仿宋" w:hAnsi="仿宋" w:eastAsia="仿宋" w:cs="仿宋"/>
          <w:spacing w:val="-1"/>
          <w:highlight w:val="none"/>
        </w:rPr>
        <w:t>供</w:t>
      </w:r>
      <w:r>
        <w:rPr>
          <w:rFonts w:hint="eastAsia" w:ascii="仿宋" w:hAnsi="仿宋" w:eastAsia="仿宋" w:cs="仿宋"/>
          <w:highlight w:val="none"/>
        </w:rPr>
        <w:t>应商(公章):</w:t>
      </w:r>
      <w:r>
        <w:rPr>
          <w:rFonts w:hint="eastAsia" w:ascii="仿宋" w:hAnsi="仿宋" w:eastAsia="仿宋" w:cs="仿宋"/>
          <w:highlight w:val="none"/>
          <w:u w:val="single"/>
        </w:rPr>
        <w:tab/>
      </w:r>
    </w:p>
    <w:p w14:paraId="3651258C">
      <w:pPr>
        <w:pStyle w:val="7"/>
        <w:tabs>
          <w:tab w:val="left" w:pos="1997"/>
          <w:tab w:val="left" w:pos="5776"/>
        </w:tabs>
        <w:spacing w:before="3"/>
        <w:ind w:left="1157"/>
        <w:rPr>
          <w:rFonts w:hint="eastAsia" w:ascii="仿宋" w:hAnsi="仿宋" w:eastAsia="仿宋" w:cs="仿宋"/>
          <w:highlight w:val="none"/>
          <w:lang w:eastAsia="zh-CN"/>
        </w:rPr>
      </w:pPr>
      <w:r>
        <w:rPr>
          <w:rFonts w:hint="eastAsia" w:ascii="仿宋" w:hAnsi="仿宋" w:eastAsia="仿宋" w:cs="仿宋"/>
          <w:highlight w:val="none"/>
        </w:rPr>
        <w:t>日</w:t>
      </w:r>
      <w:r>
        <w:rPr>
          <w:rFonts w:hint="eastAsia" w:ascii="仿宋" w:hAnsi="仿宋" w:eastAsia="仿宋" w:cs="仿宋"/>
          <w:highlight w:val="none"/>
        </w:rPr>
        <w:tab/>
      </w:r>
      <w:r>
        <w:rPr>
          <w:rFonts w:hint="eastAsia" w:ascii="仿宋" w:hAnsi="仿宋" w:eastAsia="仿宋" w:cs="仿宋"/>
          <w:spacing w:val="-1"/>
          <w:highlight w:val="none"/>
        </w:rPr>
        <w:t>期</w:t>
      </w:r>
      <w:r>
        <w:rPr>
          <w:rFonts w:hint="eastAsia" w:ascii="仿宋" w:hAnsi="仿宋" w:eastAsia="仿宋" w:cs="仿宋"/>
          <w:highlight w:val="none"/>
        </w:rPr>
        <w:t>：</w:t>
      </w:r>
      <w:r>
        <w:rPr>
          <w:rFonts w:hint="eastAsia" w:ascii="仿宋" w:hAnsi="仿宋" w:eastAsia="仿宋" w:cs="仿宋"/>
          <w:highlight w:val="none"/>
          <w:u w:val="single"/>
        </w:rPr>
        <w:tab/>
      </w:r>
    </w:p>
    <w:p w14:paraId="4B459CF6">
      <w:pPr>
        <w:rPr>
          <w:rFonts w:hint="eastAsia" w:ascii="仿宋" w:hAnsi="仿宋" w:eastAsia="仿宋" w:cs="仿宋"/>
          <w:highlight w:val="none"/>
        </w:rPr>
        <w:sectPr>
          <w:pgSz w:w="11910" w:h="16840"/>
          <w:pgMar w:top="1340" w:right="720" w:bottom="1180" w:left="640" w:header="891" w:footer="1000" w:gutter="0"/>
          <w:pgNumType w:fmt="decimal"/>
          <w:cols w:space="720" w:num="1"/>
        </w:sectPr>
      </w:pPr>
    </w:p>
    <w:p w14:paraId="215C9F38">
      <w:pPr>
        <w:pStyle w:val="29"/>
        <w:snapToGrid w:val="0"/>
        <w:spacing w:line="276" w:lineRule="auto"/>
        <w:jc w:val="center"/>
        <w:outlineLvl w:val="1"/>
        <w:rPr>
          <w:rFonts w:hint="eastAsia" w:ascii="仿宋" w:hAnsi="仿宋" w:eastAsia="仿宋" w:cs="仿宋"/>
          <w:b/>
          <w:bCs/>
          <w:color w:val="auto"/>
          <w:kern w:val="2"/>
          <w:sz w:val="28"/>
          <w:szCs w:val="28"/>
          <w:highlight w:val="none"/>
        </w:rPr>
      </w:pPr>
      <w:bookmarkStart w:id="110" w:name="_Toc11783"/>
      <w:r>
        <w:rPr>
          <w:rFonts w:hint="eastAsia" w:ascii="黑体" w:hAnsi="黑体" w:eastAsia="黑体" w:cs="黑体"/>
          <w:b w:val="0"/>
          <w:snapToGrid w:val="0"/>
          <w:color w:val="000000"/>
          <w:spacing w:val="2"/>
          <w:kern w:val="0"/>
          <w:sz w:val="29"/>
          <w:szCs w:val="29"/>
          <w:highlight w:val="none"/>
          <w:lang w:val="en-US" w:eastAsia="zh-CN" w:bidi="ar-SA"/>
        </w:rPr>
        <w:t>4、技术规格偏离表</w:t>
      </w:r>
      <w:bookmarkEnd w:id="110"/>
    </w:p>
    <w:p w14:paraId="1B390F0E">
      <w:pPr>
        <w:pStyle w:val="29"/>
        <w:snapToGrid w:val="0"/>
        <w:spacing w:line="276" w:lineRule="auto"/>
        <w:jc w:val="center"/>
        <w:outlineLvl w:val="1"/>
        <w:rPr>
          <w:rFonts w:hint="eastAsia" w:ascii="仿宋" w:hAnsi="仿宋" w:eastAsia="仿宋" w:cs="仿宋"/>
          <w:b/>
          <w:bCs/>
          <w:color w:val="auto"/>
          <w:kern w:val="2"/>
          <w:sz w:val="28"/>
          <w:szCs w:val="28"/>
          <w:highlight w:val="none"/>
        </w:rPr>
      </w:pPr>
    </w:p>
    <w:p w14:paraId="374680BA">
      <w:pPr>
        <w:pStyle w:val="29"/>
        <w:snapToGrid w:val="0"/>
        <w:spacing w:line="276" w:lineRule="auto"/>
        <w:jc w:val="both"/>
        <w:outlineLvl w:val="1"/>
        <w:rPr>
          <w:rFonts w:hint="eastAsia" w:ascii="仿宋" w:hAnsi="仿宋" w:eastAsia="仿宋" w:cs="仿宋"/>
          <w:color w:val="auto"/>
          <w:sz w:val="28"/>
          <w:szCs w:val="21"/>
          <w:highlight w:val="none"/>
          <w:lang w:eastAsia="zh-CN"/>
        </w:rPr>
      </w:pPr>
      <w:bookmarkStart w:id="111" w:name="_Toc24281"/>
      <w:r>
        <w:rPr>
          <w:rFonts w:hint="eastAsia" w:ascii="仿宋" w:hAnsi="仿宋" w:eastAsia="仿宋" w:cs="仿宋"/>
          <w:color w:val="auto"/>
          <w:sz w:val="28"/>
          <w:szCs w:val="21"/>
          <w:highlight w:val="none"/>
        </w:rPr>
        <w:t>项目名称:</w:t>
      </w:r>
      <w:bookmarkEnd w:id="111"/>
      <w:r>
        <w:rPr>
          <w:rFonts w:hint="eastAsia" w:ascii="仿宋" w:hAnsi="仿宋" w:eastAsia="仿宋" w:cs="仿宋"/>
          <w:color w:val="auto"/>
          <w:sz w:val="28"/>
          <w:szCs w:val="21"/>
          <w:highlight w:val="none"/>
          <w:lang w:val="en-US" w:eastAsia="zh-CN"/>
        </w:rPr>
        <w:t xml:space="preserve">                                </w:t>
      </w:r>
      <w:r>
        <w:rPr>
          <w:rFonts w:hint="eastAsia" w:ascii="仿宋" w:hAnsi="仿宋" w:eastAsia="仿宋" w:cs="仿宋"/>
          <w:color w:val="auto"/>
          <w:sz w:val="28"/>
          <w:szCs w:val="21"/>
          <w:highlight w:val="none"/>
          <w:lang w:eastAsia="zh-CN"/>
        </w:rPr>
        <w:t>标项</w:t>
      </w:r>
      <w:r>
        <w:rPr>
          <w:rFonts w:hint="eastAsia" w:ascii="仿宋" w:hAnsi="仿宋" w:eastAsia="仿宋" w:cs="仿宋"/>
          <w:color w:val="auto"/>
          <w:sz w:val="28"/>
          <w:szCs w:val="21"/>
          <w:highlight w:val="none"/>
        </w:rPr>
        <w:t>号：</w:t>
      </w:r>
    </w:p>
    <w:tbl>
      <w:tblPr>
        <w:tblStyle w:val="20"/>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06"/>
        <w:gridCol w:w="1794"/>
        <w:gridCol w:w="1450"/>
        <w:gridCol w:w="1388"/>
        <w:gridCol w:w="2000"/>
        <w:gridCol w:w="1479"/>
      </w:tblGrid>
      <w:tr w14:paraId="71E7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668" w:type="dxa"/>
            <w:noWrap w:val="0"/>
            <w:vAlign w:val="center"/>
          </w:tcPr>
          <w:p w14:paraId="4FF66E70">
            <w:pPr>
              <w:spacing w:line="276" w:lineRule="auto"/>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406" w:type="dxa"/>
            <w:noWrap w:val="0"/>
            <w:vAlign w:val="center"/>
          </w:tcPr>
          <w:p w14:paraId="43CEBB44">
            <w:pPr>
              <w:spacing w:line="276" w:lineRule="auto"/>
              <w:jc w:val="center"/>
              <w:rPr>
                <w:rFonts w:hint="eastAsia" w:ascii="仿宋" w:hAnsi="仿宋" w:eastAsia="仿宋" w:cs="仿宋"/>
                <w:sz w:val="24"/>
                <w:highlight w:val="none"/>
              </w:rPr>
            </w:pPr>
            <w:r>
              <w:rPr>
                <w:rFonts w:hint="eastAsia" w:ascii="仿宋" w:hAnsi="仿宋" w:eastAsia="仿宋" w:cs="仿宋"/>
                <w:sz w:val="24"/>
                <w:highlight w:val="none"/>
              </w:rPr>
              <w:t>服务名称</w:t>
            </w:r>
          </w:p>
        </w:tc>
        <w:tc>
          <w:tcPr>
            <w:tcW w:w="1794" w:type="dxa"/>
            <w:noWrap w:val="0"/>
            <w:vAlign w:val="center"/>
          </w:tcPr>
          <w:p w14:paraId="52A5B148">
            <w:pPr>
              <w:tabs>
                <w:tab w:val="left" w:pos="444"/>
              </w:tabs>
              <w:spacing w:line="276" w:lineRule="auto"/>
              <w:jc w:val="center"/>
              <w:rPr>
                <w:rFonts w:hint="eastAsia" w:ascii="仿宋" w:hAnsi="仿宋" w:eastAsia="仿宋" w:cs="仿宋"/>
                <w:sz w:val="24"/>
                <w:highlight w:val="none"/>
              </w:rPr>
            </w:pPr>
            <w:r>
              <w:rPr>
                <w:rFonts w:hint="eastAsia" w:ascii="仿宋" w:hAnsi="仿宋" w:eastAsia="仿宋" w:cs="仿宋"/>
                <w:sz w:val="24"/>
                <w:highlight w:val="none"/>
              </w:rPr>
              <w:t>招标文件条款号</w:t>
            </w:r>
          </w:p>
        </w:tc>
        <w:tc>
          <w:tcPr>
            <w:tcW w:w="1450" w:type="dxa"/>
            <w:noWrap w:val="0"/>
            <w:vAlign w:val="center"/>
          </w:tcPr>
          <w:p w14:paraId="66A5BDDC">
            <w:pPr>
              <w:spacing w:line="276" w:lineRule="auto"/>
              <w:jc w:val="center"/>
              <w:rPr>
                <w:rFonts w:hint="eastAsia" w:ascii="仿宋" w:hAnsi="仿宋" w:eastAsia="仿宋" w:cs="仿宋"/>
                <w:sz w:val="24"/>
                <w:highlight w:val="none"/>
              </w:rPr>
            </w:pPr>
            <w:r>
              <w:rPr>
                <w:rFonts w:hint="eastAsia" w:ascii="仿宋" w:hAnsi="仿宋" w:eastAsia="仿宋" w:cs="仿宋"/>
                <w:sz w:val="24"/>
                <w:highlight w:val="none"/>
              </w:rPr>
              <w:t>招标规格</w:t>
            </w:r>
          </w:p>
        </w:tc>
        <w:tc>
          <w:tcPr>
            <w:tcW w:w="1388" w:type="dxa"/>
            <w:noWrap w:val="0"/>
            <w:vAlign w:val="center"/>
          </w:tcPr>
          <w:p w14:paraId="057935FE">
            <w:pPr>
              <w:spacing w:line="276" w:lineRule="auto"/>
              <w:jc w:val="center"/>
              <w:rPr>
                <w:rFonts w:hint="eastAsia" w:ascii="仿宋" w:hAnsi="仿宋" w:eastAsia="仿宋" w:cs="仿宋"/>
                <w:sz w:val="24"/>
                <w:highlight w:val="none"/>
              </w:rPr>
            </w:pPr>
            <w:r>
              <w:rPr>
                <w:rFonts w:hint="eastAsia" w:ascii="仿宋" w:hAnsi="仿宋" w:eastAsia="仿宋" w:cs="仿宋"/>
                <w:sz w:val="24"/>
                <w:highlight w:val="none"/>
              </w:rPr>
              <w:t>投标规格</w:t>
            </w:r>
          </w:p>
        </w:tc>
        <w:tc>
          <w:tcPr>
            <w:tcW w:w="2000" w:type="dxa"/>
            <w:noWrap w:val="0"/>
            <w:vAlign w:val="center"/>
          </w:tcPr>
          <w:p w14:paraId="6A93639B">
            <w:pPr>
              <w:spacing w:line="276" w:lineRule="auto"/>
              <w:jc w:val="center"/>
              <w:rPr>
                <w:rFonts w:hint="eastAsia" w:ascii="仿宋" w:hAnsi="仿宋" w:eastAsia="仿宋" w:cs="仿宋"/>
                <w:sz w:val="24"/>
                <w:highlight w:val="none"/>
              </w:rPr>
            </w:pPr>
            <w:r>
              <w:rPr>
                <w:rFonts w:hint="eastAsia" w:ascii="仿宋" w:hAnsi="仿宋" w:eastAsia="仿宋" w:cs="仿宋"/>
                <w:sz w:val="24"/>
                <w:highlight w:val="none"/>
              </w:rPr>
              <w:t>偏离情况</w:t>
            </w:r>
          </w:p>
        </w:tc>
        <w:tc>
          <w:tcPr>
            <w:tcW w:w="1479" w:type="dxa"/>
            <w:noWrap w:val="0"/>
            <w:vAlign w:val="center"/>
          </w:tcPr>
          <w:p w14:paraId="59B160DB">
            <w:pPr>
              <w:spacing w:line="276" w:lineRule="auto"/>
              <w:jc w:val="center"/>
              <w:rPr>
                <w:rFonts w:hint="eastAsia" w:ascii="仿宋" w:hAnsi="仿宋" w:eastAsia="仿宋" w:cs="仿宋"/>
                <w:sz w:val="24"/>
                <w:highlight w:val="none"/>
              </w:rPr>
            </w:pPr>
            <w:r>
              <w:rPr>
                <w:rFonts w:hint="eastAsia" w:ascii="仿宋" w:hAnsi="仿宋" w:eastAsia="仿宋" w:cs="仿宋"/>
                <w:sz w:val="24"/>
                <w:highlight w:val="none"/>
              </w:rPr>
              <w:t>详细说明</w:t>
            </w:r>
          </w:p>
        </w:tc>
      </w:tr>
      <w:tr w14:paraId="17F30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68" w:type="dxa"/>
            <w:noWrap w:val="0"/>
            <w:vAlign w:val="top"/>
          </w:tcPr>
          <w:p w14:paraId="7BAB90F3">
            <w:pPr>
              <w:spacing w:line="276" w:lineRule="auto"/>
              <w:rPr>
                <w:rFonts w:hint="eastAsia" w:ascii="仿宋" w:hAnsi="仿宋" w:eastAsia="仿宋" w:cs="仿宋"/>
                <w:sz w:val="28"/>
                <w:szCs w:val="28"/>
                <w:highlight w:val="none"/>
              </w:rPr>
            </w:pPr>
          </w:p>
        </w:tc>
        <w:tc>
          <w:tcPr>
            <w:tcW w:w="1406" w:type="dxa"/>
            <w:noWrap w:val="0"/>
            <w:vAlign w:val="top"/>
          </w:tcPr>
          <w:p w14:paraId="16873CAD">
            <w:pPr>
              <w:spacing w:line="276" w:lineRule="auto"/>
              <w:rPr>
                <w:rFonts w:hint="eastAsia" w:ascii="仿宋" w:hAnsi="仿宋" w:eastAsia="仿宋" w:cs="仿宋"/>
                <w:sz w:val="28"/>
                <w:szCs w:val="28"/>
                <w:highlight w:val="none"/>
              </w:rPr>
            </w:pPr>
          </w:p>
        </w:tc>
        <w:tc>
          <w:tcPr>
            <w:tcW w:w="1794" w:type="dxa"/>
            <w:noWrap w:val="0"/>
            <w:vAlign w:val="top"/>
          </w:tcPr>
          <w:p w14:paraId="0FBAB0C6">
            <w:pPr>
              <w:spacing w:line="276" w:lineRule="auto"/>
              <w:rPr>
                <w:rFonts w:hint="eastAsia" w:ascii="仿宋" w:hAnsi="仿宋" w:eastAsia="仿宋" w:cs="仿宋"/>
                <w:sz w:val="28"/>
                <w:szCs w:val="28"/>
                <w:highlight w:val="none"/>
              </w:rPr>
            </w:pPr>
          </w:p>
        </w:tc>
        <w:tc>
          <w:tcPr>
            <w:tcW w:w="1450" w:type="dxa"/>
            <w:noWrap w:val="0"/>
            <w:vAlign w:val="top"/>
          </w:tcPr>
          <w:p w14:paraId="4197709B">
            <w:pPr>
              <w:spacing w:line="276" w:lineRule="auto"/>
              <w:rPr>
                <w:rFonts w:hint="eastAsia" w:ascii="仿宋" w:hAnsi="仿宋" w:eastAsia="仿宋" w:cs="仿宋"/>
                <w:sz w:val="28"/>
                <w:szCs w:val="28"/>
                <w:highlight w:val="none"/>
              </w:rPr>
            </w:pPr>
          </w:p>
        </w:tc>
        <w:tc>
          <w:tcPr>
            <w:tcW w:w="1388" w:type="dxa"/>
            <w:noWrap w:val="0"/>
            <w:vAlign w:val="top"/>
          </w:tcPr>
          <w:p w14:paraId="0884F0C6">
            <w:pPr>
              <w:spacing w:line="276" w:lineRule="auto"/>
              <w:rPr>
                <w:rFonts w:hint="eastAsia" w:ascii="仿宋" w:hAnsi="仿宋" w:eastAsia="仿宋" w:cs="仿宋"/>
                <w:sz w:val="28"/>
                <w:szCs w:val="28"/>
                <w:highlight w:val="none"/>
              </w:rPr>
            </w:pPr>
          </w:p>
        </w:tc>
        <w:tc>
          <w:tcPr>
            <w:tcW w:w="2000" w:type="dxa"/>
            <w:noWrap w:val="0"/>
            <w:vAlign w:val="top"/>
          </w:tcPr>
          <w:p w14:paraId="201838CB">
            <w:pPr>
              <w:spacing w:line="276" w:lineRule="auto"/>
              <w:rPr>
                <w:rFonts w:hint="eastAsia" w:ascii="仿宋" w:hAnsi="仿宋" w:eastAsia="仿宋" w:cs="仿宋"/>
                <w:sz w:val="28"/>
                <w:szCs w:val="28"/>
                <w:highlight w:val="none"/>
              </w:rPr>
            </w:pPr>
          </w:p>
        </w:tc>
        <w:tc>
          <w:tcPr>
            <w:tcW w:w="1479" w:type="dxa"/>
            <w:noWrap w:val="0"/>
            <w:vAlign w:val="top"/>
          </w:tcPr>
          <w:p w14:paraId="078B2EA2">
            <w:pPr>
              <w:spacing w:line="276" w:lineRule="auto"/>
              <w:rPr>
                <w:rFonts w:hint="eastAsia" w:ascii="仿宋" w:hAnsi="仿宋" w:eastAsia="仿宋" w:cs="仿宋"/>
                <w:sz w:val="28"/>
                <w:szCs w:val="28"/>
                <w:highlight w:val="none"/>
              </w:rPr>
            </w:pPr>
          </w:p>
        </w:tc>
      </w:tr>
      <w:tr w14:paraId="1315D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68" w:type="dxa"/>
            <w:noWrap w:val="0"/>
            <w:vAlign w:val="top"/>
          </w:tcPr>
          <w:p w14:paraId="536D1DF2">
            <w:pPr>
              <w:spacing w:line="276" w:lineRule="auto"/>
              <w:rPr>
                <w:rFonts w:hint="eastAsia" w:ascii="仿宋" w:hAnsi="仿宋" w:eastAsia="仿宋" w:cs="仿宋"/>
                <w:sz w:val="28"/>
                <w:szCs w:val="28"/>
                <w:highlight w:val="none"/>
              </w:rPr>
            </w:pPr>
          </w:p>
        </w:tc>
        <w:tc>
          <w:tcPr>
            <w:tcW w:w="1406" w:type="dxa"/>
            <w:noWrap w:val="0"/>
            <w:vAlign w:val="top"/>
          </w:tcPr>
          <w:p w14:paraId="251D69A6">
            <w:pPr>
              <w:spacing w:line="276" w:lineRule="auto"/>
              <w:rPr>
                <w:rFonts w:hint="eastAsia" w:ascii="仿宋" w:hAnsi="仿宋" w:eastAsia="仿宋" w:cs="仿宋"/>
                <w:sz w:val="28"/>
                <w:szCs w:val="28"/>
                <w:highlight w:val="none"/>
              </w:rPr>
            </w:pPr>
          </w:p>
        </w:tc>
        <w:tc>
          <w:tcPr>
            <w:tcW w:w="1794" w:type="dxa"/>
            <w:noWrap w:val="0"/>
            <w:vAlign w:val="top"/>
          </w:tcPr>
          <w:p w14:paraId="4BD09086">
            <w:pPr>
              <w:spacing w:line="276" w:lineRule="auto"/>
              <w:rPr>
                <w:rFonts w:hint="eastAsia" w:ascii="仿宋" w:hAnsi="仿宋" w:eastAsia="仿宋" w:cs="仿宋"/>
                <w:sz w:val="28"/>
                <w:szCs w:val="28"/>
                <w:highlight w:val="none"/>
              </w:rPr>
            </w:pPr>
          </w:p>
        </w:tc>
        <w:tc>
          <w:tcPr>
            <w:tcW w:w="1450" w:type="dxa"/>
            <w:noWrap w:val="0"/>
            <w:vAlign w:val="top"/>
          </w:tcPr>
          <w:p w14:paraId="02D6B34D">
            <w:pPr>
              <w:spacing w:line="276" w:lineRule="auto"/>
              <w:rPr>
                <w:rFonts w:hint="eastAsia" w:ascii="仿宋" w:hAnsi="仿宋" w:eastAsia="仿宋" w:cs="仿宋"/>
                <w:sz w:val="28"/>
                <w:szCs w:val="28"/>
                <w:highlight w:val="none"/>
              </w:rPr>
            </w:pPr>
          </w:p>
        </w:tc>
        <w:tc>
          <w:tcPr>
            <w:tcW w:w="1388" w:type="dxa"/>
            <w:noWrap w:val="0"/>
            <w:vAlign w:val="top"/>
          </w:tcPr>
          <w:p w14:paraId="138BD47A">
            <w:pPr>
              <w:spacing w:line="276" w:lineRule="auto"/>
              <w:rPr>
                <w:rFonts w:hint="eastAsia" w:ascii="仿宋" w:hAnsi="仿宋" w:eastAsia="仿宋" w:cs="仿宋"/>
                <w:sz w:val="28"/>
                <w:szCs w:val="28"/>
                <w:highlight w:val="none"/>
              </w:rPr>
            </w:pPr>
          </w:p>
        </w:tc>
        <w:tc>
          <w:tcPr>
            <w:tcW w:w="2000" w:type="dxa"/>
            <w:noWrap w:val="0"/>
            <w:vAlign w:val="top"/>
          </w:tcPr>
          <w:p w14:paraId="127EDF0B">
            <w:pPr>
              <w:spacing w:line="276" w:lineRule="auto"/>
              <w:rPr>
                <w:rFonts w:hint="eastAsia" w:ascii="仿宋" w:hAnsi="仿宋" w:eastAsia="仿宋" w:cs="仿宋"/>
                <w:sz w:val="28"/>
                <w:szCs w:val="28"/>
                <w:highlight w:val="none"/>
              </w:rPr>
            </w:pPr>
          </w:p>
        </w:tc>
        <w:tc>
          <w:tcPr>
            <w:tcW w:w="1479" w:type="dxa"/>
            <w:noWrap w:val="0"/>
            <w:vAlign w:val="top"/>
          </w:tcPr>
          <w:p w14:paraId="355ACDB1">
            <w:pPr>
              <w:spacing w:line="276" w:lineRule="auto"/>
              <w:rPr>
                <w:rFonts w:hint="eastAsia" w:ascii="仿宋" w:hAnsi="仿宋" w:eastAsia="仿宋" w:cs="仿宋"/>
                <w:sz w:val="28"/>
                <w:szCs w:val="28"/>
                <w:highlight w:val="none"/>
              </w:rPr>
            </w:pPr>
          </w:p>
        </w:tc>
      </w:tr>
      <w:tr w14:paraId="07CE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68" w:type="dxa"/>
            <w:noWrap w:val="0"/>
            <w:vAlign w:val="top"/>
          </w:tcPr>
          <w:p w14:paraId="10EB5514">
            <w:pPr>
              <w:spacing w:line="276" w:lineRule="auto"/>
              <w:rPr>
                <w:rFonts w:hint="eastAsia" w:ascii="仿宋" w:hAnsi="仿宋" w:eastAsia="仿宋" w:cs="仿宋"/>
                <w:sz w:val="28"/>
                <w:szCs w:val="28"/>
                <w:highlight w:val="none"/>
              </w:rPr>
            </w:pPr>
          </w:p>
        </w:tc>
        <w:tc>
          <w:tcPr>
            <w:tcW w:w="1406" w:type="dxa"/>
            <w:noWrap w:val="0"/>
            <w:vAlign w:val="top"/>
          </w:tcPr>
          <w:p w14:paraId="39BE78B3">
            <w:pPr>
              <w:spacing w:line="276" w:lineRule="auto"/>
              <w:rPr>
                <w:rFonts w:hint="eastAsia" w:ascii="仿宋" w:hAnsi="仿宋" w:eastAsia="仿宋" w:cs="仿宋"/>
                <w:sz w:val="28"/>
                <w:szCs w:val="28"/>
                <w:highlight w:val="none"/>
              </w:rPr>
            </w:pPr>
          </w:p>
        </w:tc>
        <w:tc>
          <w:tcPr>
            <w:tcW w:w="1794" w:type="dxa"/>
            <w:noWrap w:val="0"/>
            <w:vAlign w:val="top"/>
          </w:tcPr>
          <w:p w14:paraId="0D50DC30">
            <w:pPr>
              <w:spacing w:line="276" w:lineRule="auto"/>
              <w:rPr>
                <w:rFonts w:hint="eastAsia" w:ascii="仿宋" w:hAnsi="仿宋" w:eastAsia="仿宋" w:cs="仿宋"/>
                <w:sz w:val="28"/>
                <w:szCs w:val="28"/>
                <w:highlight w:val="none"/>
              </w:rPr>
            </w:pPr>
          </w:p>
        </w:tc>
        <w:tc>
          <w:tcPr>
            <w:tcW w:w="1450" w:type="dxa"/>
            <w:noWrap w:val="0"/>
            <w:vAlign w:val="top"/>
          </w:tcPr>
          <w:p w14:paraId="2F701D80">
            <w:pPr>
              <w:spacing w:line="276" w:lineRule="auto"/>
              <w:rPr>
                <w:rFonts w:hint="eastAsia" w:ascii="仿宋" w:hAnsi="仿宋" w:eastAsia="仿宋" w:cs="仿宋"/>
                <w:sz w:val="28"/>
                <w:szCs w:val="28"/>
                <w:highlight w:val="none"/>
              </w:rPr>
            </w:pPr>
          </w:p>
        </w:tc>
        <w:tc>
          <w:tcPr>
            <w:tcW w:w="1388" w:type="dxa"/>
            <w:noWrap w:val="0"/>
            <w:vAlign w:val="top"/>
          </w:tcPr>
          <w:p w14:paraId="4C9AEF87">
            <w:pPr>
              <w:spacing w:line="276" w:lineRule="auto"/>
              <w:rPr>
                <w:rFonts w:hint="eastAsia" w:ascii="仿宋" w:hAnsi="仿宋" w:eastAsia="仿宋" w:cs="仿宋"/>
                <w:sz w:val="28"/>
                <w:szCs w:val="28"/>
                <w:highlight w:val="none"/>
              </w:rPr>
            </w:pPr>
          </w:p>
        </w:tc>
        <w:tc>
          <w:tcPr>
            <w:tcW w:w="2000" w:type="dxa"/>
            <w:noWrap w:val="0"/>
            <w:vAlign w:val="top"/>
          </w:tcPr>
          <w:p w14:paraId="43872EE3">
            <w:pPr>
              <w:spacing w:line="276" w:lineRule="auto"/>
              <w:rPr>
                <w:rFonts w:hint="eastAsia" w:ascii="仿宋" w:hAnsi="仿宋" w:eastAsia="仿宋" w:cs="仿宋"/>
                <w:sz w:val="28"/>
                <w:szCs w:val="28"/>
                <w:highlight w:val="none"/>
              </w:rPr>
            </w:pPr>
          </w:p>
        </w:tc>
        <w:tc>
          <w:tcPr>
            <w:tcW w:w="1479" w:type="dxa"/>
            <w:noWrap w:val="0"/>
            <w:vAlign w:val="top"/>
          </w:tcPr>
          <w:p w14:paraId="572D1DFF">
            <w:pPr>
              <w:spacing w:line="276" w:lineRule="auto"/>
              <w:rPr>
                <w:rFonts w:hint="eastAsia" w:ascii="仿宋" w:hAnsi="仿宋" w:eastAsia="仿宋" w:cs="仿宋"/>
                <w:sz w:val="28"/>
                <w:szCs w:val="28"/>
                <w:highlight w:val="none"/>
              </w:rPr>
            </w:pPr>
          </w:p>
        </w:tc>
      </w:tr>
      <w:tr w14:paraId="10261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68" w:type="dxa"/>
            <w:noWrap w:val="0"/>
            <w:vAlign w:val="top"/>
          </w:tcPr>
          <w:p w14:paraId="5464E1D4">
            <w:pPr>
              <w:spacing w:line="276" w:lineRule="auto"/>
              <w:rPr>
                <w:rFonts w:hint="eastAsia" w:ascii="仿宋" w:hAnsi="仿宋" w:eastAsia="仿宋" w:cs="仿宋"/>
                <w:sz w:val="28"/>
                <w:szCs w:val="28"/>
                <w:highlight w:val="none"/>
              </w:rPr>
            </w:pPr>
          </w:p>
        </w:tc>
        <w:tc>
          <w:tcPr>
            <w:tcW w:w="1406" w:type="dxa"/>
            <w:noWrap w:val="0"/>
            <w:vAlign w:val="top"/>
          </w:tcPr>
          <w:p w14:paraId="3E54BEA0">
            <w:pPr>
              <w:spacing w:line="276" w:lineRule="auto"/>
              <w:rPr>
                <w:rFonts w:hint="eastAsia" w:ascii="仿宋" w:hAnsi="仿宋" w:eastAsia="仿宋" w:cs="仿宋"/>
                <w:sz w:val="28"/>
                <w:szCs w:val="28"/>
                <w:highlight w:val="none"/>
              </w:rPr>
            </w:pPr>
          </w:p>
        </w:tc>
        <w:tc>
          <w:tcPr>
            <w:tcW w:w="1794" w:type="dxa"/>
            <w:noWrap w:val="0"/>
            <w:vAlign w:val="top"/>
          </w:tcPr>
          <w:p w14:paraId="3B37C38A">
            <w:pPr>
              <w:spacing w:line="276" w:lineRule="auto"/>
              <w:rPr>
                <w:rFonts w:hint="eastAsia" w:ascii="仿宋" w:hAnsi="仿宋" w:eastAsia="仿宋" w:cs="仿宋"/>
                <w:sz w:val="28"/>
                <w:szCs w:val="28"/>
                <w:highlight w:val="none"/>
              </w:rPr>
            </w:pPr>
          </w:p>
        </w:tc>
        <w:tc>
          <w:tcPr>
            <w:tcW w:w="1450" w:type="dxa"/>
            <w:noWrap w:val="0"/>
            <w:vAlign w:val="top"/>
          </w:tcPr>
          <w:p w14:paraId="3ACAC6CF">
            <w:pPr>
              <w:spacing w:line="276" w:lineRule="auto"/>
              <w:rPr>
                <w:rFonts w:hint="eastAsia" w:ascii="仿宋" w:hAnsi="仿宋" w:eastAsia="仿宋" w:cs="仿宋"/>
                <w:sz w:val="28"/>
                <w:szCs w:val="28"/>
                <w:highlight w:val="none"/>
              </w:rPr>
            </w:pPr>
          </w:p>
        </w:tc>
        <w:tc>
          <w:tcPr>
            <w:tcW w:w="1388" w:type="dxa"/>
            <w:noWrap w:val="0"/>
            <w:vAlign w:val="top"/>
          </w:tcPr>
          <w:p w14:paraId="53A9100E">
            <w:pPr>
              <w:spacing w:line="276" w:lineRule="auto"/>
              <w:rPr>
                <w:rFonts w:hint="eastAsia" w:ascii="仿宋" w:hAnsi="仿宋" w:eastAsia="仿宋" w:cs="仿宋"/>
                <w:sz w:val="28"/>
                <w:szCs w:val="28"/>
                <w:highlight w:val="none"/>
              </w:rPr>
            </w:pPr>
          </w:p>
        </w:tc>
        <w:tc>
          <w:tcPr>
            <w:tcW w:w="2000" w:type="dxa"/>
            <w:noWrap w:val="0"/>
            <w:vAlign w:val="top"/>
          </w:tcPr>
          <w:p w14:paraId="35D4E85F">
            <w:pPr>
              <w:spacing w:line="276" w:lineRule="auto"/>
              <w:rPr>
                <w:rFonts w:hint="eastAsia" w:ascii="仿宋" w:hAnsi="仿宋" w:eastAsia="仿宋" w:cs="仿宋"/>
                <w:sz w:val="28"/>
                <w:szCs w:val="28"/>
                <w:highlight w:val="none"/>
              </w:rPr>
            </w:pPr>
          </w:p>
        </w:tc>
        <w:tc>
          <w:tcPr>
            <w:tcW w:w="1479" w:type="dxa"/>
            <w:noWrap w:val="0"/>
            <w:vAlign w:val="top"/>
          </w:tcPr>
          <w:p w14:paraId="28BB1F62">
            <w:pPr>
              <w:spacing w:line="276" w:lineRule="auto"/>
              <w:rPr>
                <w:rFonts w:hint="eastAsia" w:ascii="仿宋" w:hAnsi="仿宋" w:eastAsia="仿宋" w:cs="仿宋"/>
                <w:sz w:val="28"/>
                <w:szCs w:val="28"/>
                <w:highlight w:val="none"/>
              </w:rPr>
            </w:pPr>
          </w:p>
        </w:tc>
      </w:tr>
      <w:tr w14:paraId="7947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68" w:type="dxa"/>
            <w:noWrap w:val="0"/>
            <w:vAlign w:val="top"/>
          </w:tcPr>
          <w:p w14:paraId="1FA926AA">
            <w:pPr>
              <w:spacing w:line="276" w:lineRule="auto"/>
              <w:rPr>
                <w:rFonts w:hint="eastAsia" w:ascii="仿宋" w:hAnsi="仿宋" w:eastAsia="仿宋" w:cs="仿宋"/>
                <w:sz w:val="28"/>
                <w:szCs w:val="28"/>
                <w:highlight w:val="none"/>
              </w:rPr>
            </w:pPr>
          </w:p>
        </w:tc>
        <w:tc>
          <w:tcPr>
            <w:tcW w:w="1406" w:type="dxa"/>
            <w:noWrap w:val="0"/>
            <w:vAlign w:val="top"/>
          </w:tcPr>
          <w:p w14:paraId="496DEA18">
            <w:pPr>
              <w:spacing w:line="276" w:lineRule="auto"/>
              <w:rPr>
                <w:rFonts w:hint="eastAsia" w:ascii="仿宋" w:hAnsi="仿宋" w:eastAsia="仿宋" w:cs="仿宋"/>
                <w:sz w:val="28"/>
                <w:szCs w:val="28"/>
                <w:highlight w:val="none"/>
              </w:rPr>
            </w:pPr>
          </w:p>
        </w:tc>
        <w:tc>
          <w:tcPr>
            <w:tcW w:w="1794" w:type="dxa"/>
            <w:noWrap w:val="0"/>
            <w:vAlign w:val="top"/>
          </w:tcPr>
          <w:p w14:paraId="7413B418">
            <w:pPr>
              <w:spacing w:line="276" w:lineRule="auto"/>
              <w:rPr>
                <w:rFonts w:hint="eastAsia" w:ascii="仿宋" w:hAnsi="仿宋" w:eastAsia="仿宋" w:cs="仿宋"/>
                <w:sz w:val="28"/>
                <w:szCs w:val="28"/>
                <w:highlight w:val="none"/>
              </w:rPr>
            </w:pPr>
          </w:p>
        </w:tc>
        <w:tc>
          <w:tcPr>
            <w:tcW w:w="1450" w:type="dxa"/>
            <w:noWrap w:val="0"/>
            <w:vAlign w:val="top"/>
          </w:tcPr>
          <w:p w14:paraId="18E8E8B4">
            <w:pPr>
              <w:spacing w:line="276" w:lineRule="auto"/>
              <w:rPr>
                <w:rFonts w:hint="eastAsia" w:ascii="仿宋" w:hAnsi="仿宋" w:eastAsia="仿宋" w:cs="仿宋"/>
                <w:sz w:val="28"/>
                <w:szCs w:val="28"/>
                <w:highlight w:val="none"/>
              </w:rPr>
            </w:pPr>
          </w:p>
        </w:tc>
        <w:tc>
          <w:tcPr>
            <w:tcW w:w="1388" w:type="dxa"/>
            <w:noWrap w:val="0"/>
            <w:vAlign w:val="top"/>
          </w:tcPr>
          <w:p w14:paraId="2B90E875">
            <w:pPr>
              <w:spacing w:line="276" w:lineRule="auto"/>
              <w:rPr>
                <w:rFonts w:hint="eastAsia" w:ascii="仿宋" w:hAnsi="仿宋" w:eastAsia="仿宋" w:cs="仿宋"/>
                <w:sz w:val="28"/>
                <w:szCs w:val="28"/>
                <w:highlight w:val="none"/>
              </w:rPr>
            </w:pPr>
          </w:p>
        </w:tc>
        <w:tc>
          <w:tcPr>
            <w:tcW w:w="2000" w:type="dxa"/>
            <w:noWrap w:val="0"/>
            <w:vAlign w:val="top"/>
          </w:tcPr>
          <w:p w14:paraId="16354F13">
            <w:pPr>
              <w:spacing w:line="276" w:lineRule="auto"/>
              <w:rPr>
                <w:rFonts w:hint="eastAsia" w:ascii="仿宋" w:hAnsi="仿宋" w:eastAsia="仿宋" w:cs="仿宋"/>
                <w:sz w:val="28"/>
                <w:szCs w:val="28"/>
                <w:highlight w:val="none"/>
              </w:rPr>
            </w:pPr>
          </w:p>
        </w:tc>
        <w:tc>
          <w:tcPr>
            <w:tcW w:w="1479" w:type="dxa"/>
            <w:noWrap w:val="0"/>
            <w:vAlign w:val="top"/>
          </w:tcPr>
          <w:p w14:paraId="0362007E">
            <w:pPr>
              <w:spacing w:line="276" w:lineRule="auto"/>
              <w:rPr>
                <w:rFonts w:hint="eastAsia" w:ascii="仿宋" w:hAnsi="仿宋" w:eastAsia="仿宋" w:cs="仿宋"/>
                <w:sz w:val="28"/>
                <w:szCs w:val="28"/>
                <w:highlight w:val="none"/>
              </w:rPr>
            </w:pPr>
          </w:p>
        </w:tc>
      </w:tr>
      <w:tr w14:paraId="4861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68" w:type="dxa"/>
            <w:noWrap w:val="0"/>
            <w:vAlign w:val="top"/>
          </w:tcPr>
          <w:p w14:paraId="1D5B4D1E">
            <w:pPr>
              <w:spacing w:line="276" w:lineRule="auto"/>
              <w:rPr>
                <w:rFonts w:hint="eastAsia" w:ascii="仿宋" w:hAnsi="仿宋" w:eastAsia="仿宋" w:cs="仿宋"/>
                <w:sz w:val="28"/>
                <w:szCs w:val="28"/>
                <w:highlight w:val="none"/>
              </w:rPr>
            </w:pPr>
          </w:p>
        </w:tc>
        <w:tc>
          <w:tcPr>
            <w:tcW w:w="1406" w:type="dxa"/>
            <w:noWrap w:val="0"/>
            <w:vAlign w:val="top"/>
          </w:tcPr>
          <w:p w14:paraId="5B05263B">
            <w:pPr>
              <w:spacing w:line="276" w:lineRule="auto"/>
              <w:rPr>
                <w:rFonts w:hint="eastAsia" w:ascii="仿宋" w:hAnsi="仿宋" w:eastAsia="仿宋" w:cs="仿宋"/>
                <w:sz w:val="28"/>
                <w:szCs w:val="28"/>
                <w:highlight w:val="none"/>
              </w:rPr>
            </w:pPr>
          </w:p>
        </w:tc>
        <w:tc>
          <w:tcPr>
            <w:tcW w:w="1794" w:type="dxa"/>
            <w:noWrap w:val="0"/>
            <w:vAlign w:val="top"/>
          </w:tcPr>
          <w:p w14:paraId="6BEE269D">
            <w:pPr>
              <w:spacing w:line="276" w:lineRule="auto"/>
              <w:rPr>
                <w:rFonts w:hint="eastAsia" w:ascii="仿宋" w:hAnsi="仿宋" w:eastAsia="仿宋" w:cs="仿宋"/>
                <w:sz w:val="28"/>
                <w:szCs w:val="28"/>
                <w:highlight w:val="none"/>
              </w:rPr>
            </w:pPr>
          </w:p>
        </w:tc>
        <w:tc>
          <w:tcPr>
            <w:tcW w:w="1450" w:type="dxa"/>
            <w:noWrap w:val="0"/>
            <w:vAlign w:val="top"/>
          </w:tcPr>
          <w:p w14:paraId="415B13D1">
            <w:pPr>
              <w:spacing w:line="276" w:lineRule="auto"/>
              <w:rPr>
                <w:rFonts w:hint="eastAsia" w:ascii="仿宋" w:hAnsi="仿宋" w:eastAsia="仿宋" w:cs="仿宋"/>
                <w:sz w:val="28"/>
                <w:szCs w:val="28"/>
                <w:highlight w:val="none"/>
              </w:rPr>
            </w:pPr>
          </w:p>
        </w:tc>
        <w:tc>
          <w:tcPr>
            <w:tcW w:w="1388" w:type="dxa"/>
            <w:noWrap w:val="0"/>
            <w:vAlign w:val="top"/>
          </w:tcPr>
          <w:p w14:paraId="28351460">
            <w:pPr>
              <w:spacing w:line="276" w:lineRule="auto"/>
              <w:rPr>
                <w:rFonts w:hint="eastAsia" w:ascii="仿宋" w:hAnsi="仿宋" w:eastAsia="仿宋" w:cs="仿宋"/>
                <w:sz w:val="28"/>
                <w:szCs w:val="28"/>
                <w:highlight w:val="none"/>
              </w:rPr>
            </w:pPr>
          </w:p>
        </w:tc>
        <w:tc>
          <w:tcPr>
            <w:tcW w:w="2000" w:type="dxa"/>
            <w:noWrap w:val="0"/>
            <w:vAlign w:val="top"/>
          </w:tcPr>
          <w:p w14:paraId="670C6FFB">
            <w:pPr>
              <w:spacing w:line="276" w:lineRule="auto"/>
              <w:rPr>
                <w:rFonts w:hint="eastAsia" w:ascii="仿宋" w:hAnsi="仿宋" w:eastAsia="仿宋" w:cs="仿宋"/>
                <w:sz w:val="28"/>
                <w:szCs w:val="28"/>
                <w:highlight w:val="none"/>
              </w:rPr>
            </w:pPr>
          </w:p>
        </w:tc>
        <w:tc>
          <w:tcPr>
            <w:tcW w:w="1479" w:type="dxa"/>
            <w:noWrap w:val="0"/>
            <w:vAlign w:val="top"/>
          </w:tcPr>
          <w:p w14:paraId="378F8ACC">
            <w:pPr>
              <w:spacing w:line="276" w:lineRule="auto"/>
              <w:rPr>
                <w:rFonts w:hint="eastAsia" w:ascii="仿宋" w:hAnsi="仿宋" w:eastAsia="仿宋" w:cs="仿宋"/>
                <w:sz w:val="28"/>
                <w:szCs w:val="28"/>
                <w:highlight w:val="none"/>
              </w:rPr>
            </w:pPr>
          </w:p>
        </w:tc>
      </w:tr>
      <w:tr w14:paraId="390F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68" w:type="dxa"/>
            <w:noWrap w:val="0"/>
            <w:vAlign w:val="top"/>
          </w:tcPr>
          <w:p w14:paraId="20E8A194">
            <w:pPr>
              <w:spacing w:line="276" w:lineRule="auto"/>
              <w:rPr>
                <w:rFonts w:hint="eastAsia" w:ascii="仿宋" w:hAnsi="仿宋" w:eastAsia="仿宋" w:cs="仿宋"/>
                <w:sz w:val="28"/>
                <w:szCs w:val="28"/>
                <w:highlight w:val="none"/>
              </w:rPr>
            </w:pPr>
          </w:p>
        </w:tc>
        <w:tc>
          <w:tcPr>
            <w:tcW w:w="1406" w:type="dxa"/>
            <w:noWrap w:val="0"/>
            <w:vAlign w:val="top"/>
          </w:tcPr>
          <w:p w14:paraId="57E8BC39">
            <w:pPr>
              <w:spacing w:line="276" w:lineRule="auto"/>
              <w:rPr>
                <w:rFonts w:hint="eastAsia" w:ascii="仿宋" w:hAnsi="仿宋" w:eastAsia="仿宋" w:cs="仿宋"/>
                <w:sz w:val="28"/>
                <w:szCs w:val="28"/>
                <w:highlight w:val="none"/>
              </w:rPr>
            </w:pPr>
          </w:p>
        </w:tc>
        <w:tc>
          <w:tcPr>
            <w:tcW w:w="1794" w:type="dxa"/>
            <w:noWrap w:val="0"/>
            <w:vAlign w:val="top"/>
          </w:tcPr>
          <w:p w14:paraId="50BED20E">
            <w:pPr>
              <w:spacing w:line="276" w:lineRule="auto"/>
              <w:rPr>
                <w:rFonts w:hint="eastAsia" w:ascii="仿宋" w:hAnsi="仿宋" w:eastAsia="仿宋" w:cs="仿宋"/>
                <w:sz w:val="28"/>
                <w:szCs w:val="28"/>
                <w:highlight w:val="none"/>
              </w:rPr>
            </w:pPr>
          </w:p>
        </w:tc>
        <w:tc>
          <w:tcPr>
            <w:tcW w:w="1450" w:type="dxa"/>
            <w:noWrap w:val="0"/>
            <w:vAlign w:val="top"/>
          </w:tcPr>
          <w:p w14:paraId="462A674B">
            <w:pPr>
              <w:spacing w:line="276" w:lineRule="auto"/>
              <w:rPr>
                <w:rFonts w:hint="eastAsia" w:ascii="仿宋" w:hAnsi="仿宋" w:eastAsia="仿宋" w:cs="仿宋"/>
                <w:sz w:val="28"/>
                <w:szCs w:val="28"/>
                <w:highlight w:val="none"/>
              </w:rPr>
            </w:pPr>
          </w:p>
        </w:tc>
        <w:tc>
          <w:tcPr>
            <w:tcW w:w="1388" w:type="dxa"/>
            <w:noWrap w:val="0"/>
            <w:vAlign w:val="top"/>
          </w:tcPr>
          <w:p w14:paraId="14D17D67">
            <w:pPr>
              <w:spacing w:line="276" w:lineRule="auto"/>
              <w:rPr>
                <w:rFonts w:hint="eastAsia" w:ascii="仿宋" w:hAnsi="仿宋" w:eastAsia="仿宋" w:cs="仿宋"/>
                <w:sz w:val="28"/>
                <w:szCs w:val="28"/>
                <w:highlight w:val="none"/>
              </w:rPr>
            </w:pPr>
          </w:p>
        </w:tc>
        <w:tc>
          <w:tcPr>
            <w:tcW w:w="2000" w:type="dxa"/>
            <w:noWrap w:val="0"/>
            <w:vAlign w:val="top"/>
          </w:tcPr>
          <w:p w14:paraId="1D44128C">
            <w:pPr>
              <w:spacing w:line="276" w:lineRule="auto"/>
              <w:rPr>
                <w:rFonts w:hint="eastAsia" w:ascii="仿宋" w:hAnsi="仿宋" w:eastAsia="仿宋" w:cs="仿宋"/>
                <w:sz w:val="28"/>
                <w:szCs w:val="28"/>
                <w:highlight w:val="none"/>
              </w:rPr>
            </w:pPr>
          </w:p>
        </w:tc>
        <w:tc>
          <w:tcPr>
            <w:tcW w:w="1479" w:type="dxa"/>
            <w:noWrap w:val="0"/>
            <w:vAlign w:val="top"/>
          </w:tcPr>
          <w:p w14:paraId="4D098B21">
            <w:pPr>
              <w:spacing w:line="276" w:lineRule="auto"/>
              <w:rPr>
                <w:rFonts w:hint="eastAsia" w:ascii="仿宋" w:hAnsi="仿宋" w:eastAsia="仿宋" w:cs="仿宋"/>
                <w:sz w:val="28"/>
                <w:szCs w:val="28"/>
                <w:highlight w:val="none"/>
              </w:rPr>
            </w:pPr>
          </w:p>
        </w:tc>
      </w:tr>
      <w:tr w14:paraId="57E9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68" w:type="dxa"/>
            <w:noWrap w:val="0"/>
            <w:vAlign w:val="top"/>
          </w:tcPr>
          <w:p w14:paraId="2293EF62">
            <w:pPr>
              <w:spacing w:line="276" w:lineRule="auto"/>
              <w:rPr>
                <w:rFonts w:hint="eastAsia" w:ascii="仿宋" w:hAnsi="仿宋" w:eastAsia="仿宋" w:cs="仿宋"/>
                <w:sz w:val="28"/>
                <w:szCs w:val="28"/>
                <w:highlight w:val="none"/>
              </w:rPr>
            </w:pPr>
          </w:p>
        </w:tc>
        <w:tc>
          <w:tcPr>
            <w:tcW w:w="1406" w:type="dxa"/>
            <w:noWrap w:val="0"/>
            <w:vAlign w:val="top"/>
          </w:tcPr>
          <w:p w14:paraId="2A9C7955">
            <w:pPr>
              <w:spacing w:line="276" w:lineRule="auto"/>
              <w:rPr>
                <w:rFonts w:hint="eastAsia" w:ascii="仿宋" w:hAnsi="仿宋" w:eastAsia="仿宋" w:cs="仿宋"/>
                <w:sz w:val="28"/>
                <w:szCs w:val="28"/>
                <w:highlight w:val="none"/>
              </w:rPr>
            </w:pPr>
          </w:p>
        </w:tc>
        <w:tc>
          <w:tcPr>
            <w:tcW w:w="1794" w:type="dxa"/>
            <w:noWrap w:val="0"/>
            <w:vAlign w:val="top"/>
          </w:tcPr>
          <w:p w14:paraId="3E4DBF96">
            <w:pPr>
              <w:spacing w:line="276" w:lineRule="auto"/>
              <w:rPr>
                <w:rFonts w:hint="eastAsia" w:ascii="仿宋" w:hAnsi="仿宋" w:eastAsia="仿宋" w:cs="仿宋"/>
                <w:sz w:val="28"/>
                <w:szCs w:val="28"/>
                <w:highlight w:val="none"/>
              </w:rPr>
            </w:pPr>
          </w:p>
        </w:tc>
        <w:tc>
          <w:tcPr>
            <w:tcW w:w="1450" w:type="dxa"/>
            <w:noWrap w:val="0"/>
            <w:vAlign w:val="top"/>
          </w:tcPr>
          <w:p w14:paraId="206AFD91">
            <w:pPr>
              <w:spacing w:line="276" w:lineRule="auto"/>
              <w:rPr>
                <w:rFonts w:hint="eastAsia" w:ascii="仿宋" w:hAnsi="仿宋" w:eastAsia="仿宋" w:cs="仿宋"/>
                <w:sz w:val="28"/>
                <w:szCs w:val="28"/>
                <w:highlight w:val="none"/>
              </w:rPr>
            </w:pPr>
          </w:p>
        </w:tc>
        <w:tc>
          <w:tcPr>
            <w:tcW w:w="1388" w:type="dxa"/>
            <w:noWrap w:val="0"/>
            <w:vAlign w:val="top"/>
          </w:tcPr>
          <w:p w14:paraId="015BD18C">
            <w:pPr>
              <w:spacing w:line="276" w:lineRule="auto"/>
              <w:rPr>
                <w:rFonts w:hint="eastAsia" w:ascii="仿宋" w:hAnsi="仿宋" w:eastAsia="仿宋" w:cs="仿宋"/>
                <w:sz w:val="28"/>
                <w:szCs w:val="28"/>
                <w:highlight w:val="none"/>
              </w:rPr>
            </w:pPr>
          </w:p>
        </w:tc>
        <w:tc>
          <w:tcPr>
            <w:tcW w:w="2000" w:type="dxa"/>
            <w:noWrap w:val="0"/>
            <w:vAlign w:val="top"/>
          </w:tcPr>
          <w:p w14:paraId="4A540673">
            <w:pPr>
              <w:spacing w:line="276" w:lineRule="auto"/>
              <w:rPr>
                <w:rFonts w:hint="eastAsia" w:ascii="仿宋" w:hAnsi="仿宋" w:eastAsia="仿宋" w:cs="仿宋"/>
                <w:sz w:val="28"/>
                <w:szCs w:val="28"/>
                <w:highlight w:val="none"/>
              </w:rPr>
            </w:pPr>
          </w:p>
        </w:tc>
        <w:tc>
          <w:tcPr>
            <w:tcW w:w="1479" w:type="dxa"/>
            <w:noWrap w:val="0"/>
            <w:vAlign w:val="top"/>
          </w:tcPr>
          <w:p w14:paraId="3459AEA9">
            <w:pPr>
              <w:spacing w:line="276" w:lineRule="auto"/>
              <w:rPr>
                <w:rFonts w:hint="eastAsia" w:ascii="仿宋" w:hAnsi="仿宋" w:eastAsia="仿宋" w:cs="仿宋"/>
                <w:sz w:val="28"/>
                <w:szCs w:val="28"/>
                <w:highlight w:val="none"/>
              </w:rPr>
            </w:pPr>
          </w:p>
        </w:tc>
      </w:tr>
    </w:tbl>
    <w:p w14:paraId="0D96DEE1">
      <w:pPr>
        <w:spacing w:line="276"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注：投标人要将投标文件和招标文件在参数部分汇集成表。</w:t>
      </w:r>
    </w:p>
    <w:p w14:paraId="0B71C948">
      <w:pPr>
        <w:adjustRightInd w:val="0"/>
        <w:snapToGrid w:val="0"/>
        <w:spacing w:line="276" w:lineRule="auto"/>
        <w:ind w:right="480"/>
        <w:rPr>
          <w:rFonts w:hint="eastAsia" w:ascii="仿宋" w:hAnsi="仿宋" w:eastAsia="仿宋" w:cs="仿宋"/>
          <w:sz w:val="28"/>
          <w:szCs w:val="28"/>
          <w:highlight w:val="none"/>
        </w:rPr>
      </w:pPr>
    </w:p>
    <w:p w14:paraId="38988E63">
      <w:pPr>
        <w:pStyle w:val="12"/>
        <w:adjustRightInd w:val="0"/>
        <w:snapToGrid w:val="0"/>
        <w:spacing w:line="360" w:lineRule="auto"/>
        <w:ind w:left="0" w:leftChars="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投标人名称：</w:t>
      </w:r>
    </w:p>
    <w:p w14:paraId="3BFF4215">
      <w:pPr>
        <w:adjustRightInd w:val="0"/>
        <w:snapToGrid w:val="0"/>
        <w:spacing w:line="360" w:lineRule="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法定代表人或其委托代理人(签字或盖章)：</w:t>
      </w:r>
    </w:p>
    <w:p w14:paraId="46214723">
      <w:pPr>
        <w:pStyle w:val="10"/>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日期：年</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日</w:t>
      </w:r>
    </w:p>
    <w:p w14:paraId="79129404">
      <w:pPr>
        <w:spacing w:line="276" w:lineRule="auto"/>
        <w:jc w:val="center"/>
        <w:rPr>
          <w:rFonts w:hint="eastAsia" w:ascii="仿宋" w:hAnsi="仿宋" w:eastAsia="仿宋" w:cs="仿宋"/>
          <w:b/>
          <w:sz w:val="30"/>
          <w:highlight w:val="none"/>
        </w:rPr>
      </w:pPr>
    </w:p>
    <w:p w14:paraId="7A4A7EC3">
      <w:pPr>
        <w:pStyle w:val="15"/>
        <w:rPr>
          <w:rFonts w:hint="eastAsia" w:ascii="仿宋" w:hAnsi="仿宋" w:eastAsia="仿宋" w:cs="仿宋"/>
          <w:b/>
          <w:sz w:val="30"/>
          <w:highlight w:val="none"/>
        </w:rPr>
      </w:pPr>
    </w:p>
    <w:p w14:paraId="72FC3386">
      <w:pPr>
        <w:pStyle w:val="2"/>
        <w:ind w:firstLine="0"/>
        <w:rPr>
          <w:rFonts w:hint="eastAsia" w:ascii="仿宋" w:hAnsi="仿宋" w:eastAsia="仿宋" w:cs="仿宋"/>
          <w:highlight w:val="none"/>
        </w:rPr>
        <w:sectPr>
          <w:headerReference r:id="rId21" w:type="default"/>
          <w:footerReference r:id="rId22" w:type="default"/>
          <w:pgSz w:w="11906" w:h="16838"/>
          <w:pgMar w:top="1440" w:right="1797" w:bottom="1440" w:left="1797" w:header="851" w:footer="992" w:gutter="0"/>
          <w:pgNumType w:fmt="decimal"/>
          <w:cols w:space="720" w:num="1"/>
          <w:docGrid w:linePitch="312" w:charSpace="0"/>
        </w:sectPr>
      </w:pPr>
    </w:p>
    <w:bookmarkEnd w:id="104"/>
    <w:bookmarkEnd w:id="105"/>
    <w:bookmarkEnd w:id="106"/>
    <w:bookmarkEnd w:id="107"/>
    <w:bookmarkEnd w:id="108"/>
    <w:bookmarkEnd w:id="109"/>
    <w:p w14:paraId="7E2FC361">
      <w:pPr>
        <w:pStyle w:val="24"/>
        <w:jc w:val="both"/>
        <w:rPr>
          <w:rFonts w:hint="eastAsia" w:ascii="仿宋" w:hAnsi="仿宋" w:eastAsia="仿宋" w:cs="仿宋"/>
          <w:highlight w:val="none"/>
        </w:rPr>
      </w:pPr>
      <w:bookmarkStart w:id="112" w:name="_Hlt520274911"/>
      <w:bookmarkEnd w:id="112"/>
      <w:bookmarkStart w:id="113" w:name="_Hlt520274065"/>
      <w:bookmarkEnd w:id="113"/>
      <w:bookmarkStart w:id="114" w:name="_Hlt520274393"/>
      <w:bookmarkEnd w:id="114"/>
      <w:bookmarkStart w:id="115" w:name="_Hlt520343392"/>
      <w:bookmarkEnd w:id="115"/>
      <w:bookmarkStart w:id="116" w:name="_Hlt520343000"/>
      <w:bookmarkEnd w:id="116"/>
      <w:bookmarkStart w:id="117" w:name="_Hlt520274407"/>
      <w:bookmarkEnd w:id="117"/>
      <w:bookmarkStart w:id="118" w:name="_Hlt520273711"/>
      <w:bookmarkEnd w:id="118"/>
      <w:bookmarkStart w:id="119" w:name="_Hlt520271212"/>
      <w:bookmarkEnd w:id="119"/>
      <w:bookmarkStart w:id="120" w:name="_Hlt520273973"/>
      <w:bookmarkEnd w:id="120"/>
      <w:bookmarkStart w:id="121" w:name="_Hlt520350918"/>
      <w:bookmarkEnd w:id="121"/>
      <w:bookmarkStart w:id="122" w:name="_Hlt520350957"/>
      <w:bookmarkEnd w:id="122"/>
      <w:bookmarkStart w:id="123" w:name="_Toc21312"/>
      <w:bookmarkStart w:id="124" w:name="_Toc10725"/>
      <w:bookmarkStart w:id="125" w:name="_Toc515647823"/>
      <w:bookmarkStart w:id="126" w:name="_Toc27653"/>
      <w:bookmarkStart w:id="127" w:name="_Toc25347"/>
    </w:p>
    <w:p w14:paraId="2777D99A">
      <w:pPr>
        <w:pStyle w:val="4"/>
        <w:spacing w:before="0" w:line="240" w:lineRule="atLeast"/>
        <w:ind w:left="1378" w:leftChars="656" w:firstLine="1887" w:firstLineChars="642"/>
        <w:jc w:val="both"/>
        <w:rPr>
          <w:rFonts w:hint="eastAsia" w:ascii="仿宋" w:hAnsi="仿宋" w:eastAsia="仿宋" w:cs="仿宋"/>
          <w:sz w:val="24"/>
          <w:highlight w:val="none"/>
        </w:rPr>
      </w:pPr>
      <w:bookmarkStart w:id="128" w:name="_Toc2499"/>
      <w:r>
        <w:rPr>
          <w:rFonts w:hint="eastAsia" w:ascii="黑体" w:hAnsi="黑体" w:eastAsia="黑体" w:cs="黑体"/>
          <w:b w:val="0"/>
          <w:snapToGrid w:val="0"/>
          <w:color w:val="000000"/>
          <w:spacing w:val="2"/>
          <w:kern w:val="0"/>
          <w:sz w:val="29"/>
          <w:szCs w:val="29"/>
          <w:highlight w:val="none"/>
          <w:lang w:val="en-US" w:eastAsia="zh-CN" w:bidi="ar-SA"/>
        </w:rPr>
        <w:t>5</w:t>
      </w:r>
      <w:r>
        <w:rPr>
          <w:rFonts w:hint="eastAsia" w:ascii="黑体" w:hAnsi="黑体" w:cs="黑体"/>
          <w:b w:val="0"/>
          <w:snapToGrid w:val="0"/>
          <w:color w:val="000000"/>
          <w:spacing w:val="2"/>
          <w:kern w:val="0"/>
          <w:sz w:val="29"/>
          <w:szCs w:val="29"/>
          <w:highlight w:val="none"/>
          <w:lang w:val="en-US" w:eastAsia="zh-CN" w:bidi="ar-SA"/>
        </w:rPr>
        <w:t>、</w:t>
      </w:r>
      <w:r>
        <w:rPr>
          <w:rFonts w:hint="eastAsia" w:ascii="黑体" w:hAnsi="黑体" w:eastAsia="黑体" w:cs="黑体"/>
          <w:b w:val="0"/>
          <w:snapToGrid w:val="0"/>
          <w:color w:val="000000"/>
          <w:spacing w:val="2"/>
          <w:kern w:val="0"/>
          <w:sz w:val="29"/>
          <w:szCs w:val="29"/>
          <w:highlight w:val="none"/>
          <w:lang w:val="en-US" w:eastAsia="zh-CN" w:bidi="ar-SA"/>
        </w:rPr>
        <w:t>商务条款偏离表</w:t>
      </w:r>
      <w:bookmarkEnd w:id="128"/>
    </w:p>
    <w:p w14:paraId="51B12551">
      <w:pPr>
        <w:pStyle w:val="10"/>
        <w:spacing w:line="240" w:lineRule="atLeast"/>
        <w:ind w:left="1080" w:leftChars="257" w:hanging="540"/>
        <w:rPr>
          <w:rFonts w:hint="eastAsia" w:ascii="仿宋" w:hAnsi="仿宋" w:eastAsia="仿宋" w:cs="仿宋"/>
          <w:sz w:val="24"/>
          <w:highlight w:val="none"/>
        </w:rPr>
      </w:pPr>
    </w:p>
    <w:p w14:paraId="4A46A978">
      <w:pPr>
        <w:pStyle w:val="10"/>
        <w:spacing w:line="240" w:lineRule="atLeast"/>
        <w:rPr>
          <w:rFonts w:hint="eastAsia" w:ascii="仿宋" w:hAnsi="仿宋" w:eastAsia="仿宋" w:cs="仿宋"/>
          <w:sz w:val="28"/>
          <w:szCs w:val="21"/>
          <w:highlight w:val="none"/>
          <w:lang w:eastAsia="zh-CN"/>
        </w:rPr>
      </w:pPr>
      <w:r>
        <w:rPr>
          <w:rFonts w:hint="eastAsia" w:ascii="仿宋" w:hAnsi="仿宋" w:eastAsia="仿宋" w:cs="仿宋"/>
          <w:sz w:val="28"/>
          <w:szCs w:val="21"/>
          <w:highlight w:val="none"/>
        </w:rPr>
        <w:t>项目名称:</w:t>
      </w:r>
      <w:r>
        <w:rPr>
          <w:rFonts w:hint="eastAsia" w:ascii="仿宋" w:hAnsi="仿宋" w:eastAsia="仿宋" w:cs="仿宋"/>
          <w:color w:val="auto"/>
          <w:sz w:val="28"/>
          <w:szCs w:val="21"/>
          <w:highlight w:val="none"/>
          <w:lang w:val="en-US" w:eastAsia="zh-CN"/>
        </w:rPr>
        <w:t xml:space="preserve">                                </w:t>
      </w:r>
      <w:r>
        <w:rPr>
          <w:rFonts w:hint="eastAsia" w:ascii="仿宋" w:hAnsi="仿宋" w:eastAsia="仿宋" w:cs="仿宋"/>
          <w:color w:val="auto"/>
          <w:sz w:val="28"/>
          <w:szCs w:val="21"/>
          <w:highlight w:val="none"/>
          <w:lang w:eastAsia="zh-CN"/>
        </w:rPr>
        <w:t>标项</w:t>
      </w:r>
      <w:r>
        <w:rPr>
          <w:rFonts w:hint="eastAsia" w:ascii="仿宋" w:hAnsi="仿宋" w:eastAsia="仿宋" w:cs="仿宋"/>
          <w:color w:val="auto"/>
          <w:sz w:val="28"/>
          <w:szCs w:val="21"/>
          <w:highlight w:val="none"/>
        </w:rPr>
        <w:t>号：</w:t>
      </w:r>
    </w:p>
    <w:p w14:paraId="7A8CCED8">
      <w:pPr>
        <w:pStyle w:val="10"/>
        <w:spacing w:line="240" w:lineRule="atLeast"/>
        <w:ind w:left="1080" w:leftChars="257" w:hanging="540"/>
        <w:rPr>
          <w:rFonts w:hint="eastAsia" w:ascii="仿宋" w:hAnsi="仿宋" w:eastAsia="仿宋" w:cs="仿宋"/>
          <w:sz w:val="28"/>
          <w:szCs w:val="21"/>
          <w:highlight w:val="none"/>
        </w:rPr>
      </w:pPr>
    </w:p>
    <w:tbl>
      <w:tblPr>
        <w:tblStyle w:val="20"/>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014"/>
        <w:gridCol w:w="2221"/>
        <w:gridCol w:w="1063"/>
        <w:gridCol w:w="2578"/>
        <w:gridCol w:w="1559"/>
      </w:tblGrid>
      <w:tr w14:paraId="0E489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83" w:type="dxa"/>
            <w:vMerge w:val="restart"/>
            <w:noWrap w:val="0"/>
            <w:vAlign w:val="center"/>
          </w:tcPr>
          <w:p w14:paraId="0ED479E5">
            <w:pPr>
              <w:spacing w:line="276" w:lineRule="auto"/>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3235" w:type="dxa"/>
            <w:gridSpan w:val="2"/>
            <w:noWrap w:val="0"/>
            <w:vAlign w:val="center"/>
          </w:tcPr>
          <w:p w14:paraId="6D6057C8">
            <w:pPr>
              <w:spacing w:line="276" w:lineRule="auto"/>
              <w:jc w:val="center"/>
              <w:rPr>
                <w:rFonts w:hint="eastAsia" w:ascii="仿宋" w:hAnsi="仿宋" w:eastAsia="仿宋" w:cs="仿宋"/>
                <w:sz w:val="24"/>
                <w:highlight w:val="none"/>
              </w:rPr>
            </w:pPr>
            <w:r>
              <w:rPr>
                <w:rFonts w:hint="eastAsia" w:ascii="仿宋" w:hAnsi="仿宋" w:eastAsia="仿宋" w:cs="仿宋"/>
                <w:sz w:val="24"/>
                <w:highlight w:val="none"/>
              </w:rPr>
              <w:t>招标文件</w:t>
            </w:r>
          </w:p>
        </w:tc>
        <w:tc>
          <w:tcPr>
            <w:tcW w:w="3641" w:type="dxa"/>
            <w:gridSpan w:val="2"/>
            <w:noWrap w:val="0"/>
            <w:vAlign w:val="center"/>
          </w:tcPr>
          <w:p w14:paraId="35867EB7">
            <w:pPr>
              <w:spacing w:line="276" w:lineRule="auto"/>
              <w:jc w:val="center"/>
              <w:rPr>
                <w:rFonts w:hint="eastAsia" w:ascii="仿宋" w:hAnsi="仿宋" w:eastAsia="仿宋" w:cs="仿宋"/>
                <w:sz w:val="24"/>
                <w:highlight w:val="none"/>
              </w:rPr>
            </w:pPr>
            <w:r>
              <w:rPr>
                <w:rFonts w:hint="eastAsia" w:ascii="仿宋" w:hAnsi="仿宋" w:eastAsia="仿宋" w:cs="仿宋"/>
                <w:sz w:val="24"/>
                <w:highlight w:val="none"/>
              </w:rPr>
              <w:t>投标文件</w:t>
            </w:r>
          </w:p>
        </w:tc>
        <w:tc>
          <w:tcPr>
            <w:tcW w:w="1559" w:type="dxa"/>
            <w:vMerge w:val="restart"/>
            <w:noWrap w:val="0"/>
            <w:vAlign w:val="center"/>
          </w:tcPr>
          <w:p w14:paraId="590EB241">
            <w:pPr>
              <w:spacing w:line="276"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说明</w:t>
            </w:r>
            <w:bookmarkStart w:id="151" w:name="_GoBack"/>
            <w:bookmarkEnd w:id="151"/>
          </w:p>
        </w:tc>
      </w:tr>
      <w:tr w14:paraId="730B0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83" w:type="dxa"/>
            <w:vMerge w:val="continue"/>
            <w:noWrap w:val="0"/>
            <w:vAlign w:val="center"/>
          </w:tcPr>
          <w:p w14:paraId="4FA56528">
            <w:pPr>
              <w:spacing w:line="276" w:lineRule="auto"/>
              <w:jc w:val="center"/>
              <w:rPr>
                <w:rFonts w:hint="eastAsia" w:ascii="仿宋" w:hAnsi="仿宋" w:eastAsia="仿宋" w:cs="仿宋"/>
                <w:sz w:val="24"/>
                <w:highlight w:val="none"/>
              </w:rPr>
            </w:pPr>
          </w:p>
        </w:tc>
        <w:tc>
          <w:tcPr>
            <w:tcW w:w="1014" w:type="dxa"/>
            <w:noWrap w:val="0"/>
            <w:vAlign w:val="center"/>
          </w:tcPr>
          <w:p w14:paraId="0DA803A7">
            <w:pPr>
              <w:spacing w:line="276" w:lineRule="auto"/>
              <w:jc w:val="center"/>
              <w:rPr>
                <w:rFonts w:hint="eastAsia" w:ascii="仿宋" w:hAnsi="仿宋" w:eastAsia="仿宋" w:cs="仿宋"/>
                <w:sz w:val="24"/>
                <w:highlight w:val="none"/>
              </w:rPr>
            </w:pPr>
            <w:r>
              <w:rPr>
                <w:rFonts w:hint="eastAsia" w:ascii="仿宋" w:hAnsi="仿宋" w:eastAsia="仿宋" w:cs="仿宋"/>
                <w:sz w:val="24"/>
                <w:highlight w:val="none"/>
              </w:rPr>
              <w:t>条款号</w:t>
            </w:r>
          </w:p>
        </w:tc>
        <w:tc>
          <w:tcPr>
            <w:tcW w:w="2221" w:type="dxa"/>
            <w:noWrap w:val="0"/>
            <w:vAlign w:val="center"/>
          </w:tcPr>
          <w:p w14:paraId="638A561E">
            <w:pPr>
              <w:spacing w:line="276" w:lineRule="auto"/>
              <w:jc w:val="center"/>
              <w:rPr>
                <w:rFonts w:hint="eastAsia" w:ascii="仿宋" w:hAnsi="仿宋" w:eastAsia="仿宋" w:cs="仿宋"/>
                <w:sz w:val="24"/>
                <w:highlight w:val="none"/>
              </w:rPr>
            </w:pPr>
            <w:r>
              <w:rPr>
                <w:rFonts w:hint="eastAsia" w:ascii="仿宋" w:hAnsi="仿宋" w:eastAsia="仿宋" w:cs="仿宋"/>
                <w:sz w:val="24"/>
                <w:highlight w:val="none"/>
              </w:rPr>
              <w:t>招标文件条款</w:t>
            </w:r>
          </w:p>
        </w:tc>
        <w:tc>
          <w:tcPr>
            <w:tcW w:w="1063" w:type="dxa"/>
            <w:noWrap w:val="0"/>
            <w:vAlign w:val="center"/>
          </w:tcPr>
          <w:p w14:paraId="691077DB">
            <w:pPr>
              <w:spacing w:line="276" w:lineRule="auto"/>
              <w:jc w:val="center"/>
              <w:rPr>
                <w:rFonts w:hint="eastAsia" w:ascii="仿宋" w:hAnsi="仿宋" w:eastAsia="仿宋" w:cs="仿宋"/>
                <w:sz w:val="24"/>
                <w:highlight w:val="none"/>
              </w:rPr>
            </w:pPr>
            <w:r>
              <w:rPr>
                <w:rFonts w:hint="eastAsia" w:ascii="仿宋" w:hAnsi="仿宋" w:eastAsia="仿宋" w:cs="仿宋"/>
                <w:sz w:val="24"/>
                <w:highlight w:val="none"/>
              </w:rPr>
              <w:t>条款号</w:t>
            </w:r>
          </w:p>
        </w:tc>
        <w:tc>
          <w:tcPr>
            <w:tcW w:w="2578" w:type="dxa"/>
            <w:noWrap w:val="0"/>
            <w:vAlign w:val="center"/>
          </w:tcPr>
          <w:p w14:paraId="385D9EBA">
            <w:pPr>
              <w:spacing w:line="276" w:lineRule="auto"/>
              <w:jc w:val="center"/>
              <w:rPr>
                <w:rFonts w:hint="eastAsia" w:ascii="仿宋" w:hAnsi="仿宋" w:eastAsia="仿宋" w:cs="仿宋"/>
                <w:sz w:val="24"/>
                <w:highlight w:val="none"/>
              </w:rPr>
            </w:pPr>
            <w:r>
              <w:rPr>
                <w:rFonts w:hint="eastAsia" w:ascii="仿宋" w:hAnsi="仿宋" w:eastAsia="仿宋" w:cs="仿宋"/>
                <w:sz w:val="24"/>
                <w:highlight w:val="none"/>
              </w:rPr>
              <w:t>投标文件条款</w:t>
            </w:r>
          </w:p>
        </w:tc>
        <w:tc>
          <w:tcPr>
            <w:tcW w:w="1559" w:type="dxa"/>
            <w:vMerge w:val="continue"/>
            <w:tcBorders/>
            <w:noWrap w:val="0"/>
            <w:vAlign w:val="center"/>
          </w:tcPr>
          <w:p w14:paraId="4E2D2D45">
            <w:pPr>
              <w:spacing w:line="276" w:lineRule="auto"/>
              <w:jc w:val="center"/>
              <w:rPr>
                <w:rFonts w:hint="eastAsia" w:ascii="仿宋" w:hAnsi="仿宋" w:eastAsia="仿宋" w:cs="仿宋"/>
                <w:sz w:val="24"/>
                <w:highlight w:val="none"/>
              </w:rPr>
            </w:pPr>
          </w:p>
        </w:tc>
      </w:tr>
      <w:tr w14:paraId="08630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83" w:type="dxa"/>
            <w:noWrap w:val="0"/>
            <w:vAlign w:val="center"/>
          </w:tcPr>
          <w:p w14:paraId="7425F1EE">
            <w:pPr>
              <w:spacing w:line="276" w:lineRule="auto"/>
              <w:rPr>
                <w:rFonts w:hint="eastAsia" w:ascii="仿宋" w:hAnsi="仿宋" w:eastAsia="仿宋" w:cs="仿宋"/>
                <w:sz w:val="28"/>
                <w:szCs w:val="28"/>
                <w:highlight w:val="none"/>
              </w:rPr>
            </w:pPr>
          </w:p>
        </w:tc>
        <w:tc>
          <w:tcPr>
            <w:tcW w:w="1014" w:type="dxa"/>
            <w:noWrap w:val="0"/>
            <w:vAlign w:val="center"/>
          </w:tcPr>
          <w:p w14:paraId="70D4D17F">
            <w:pPr>
              <w:spacing w:line="276" w:lineRule="auto"/>
              <w:rPr>
                <w:rFonts w:hint="eastAsia" w:ascii="仿宋" w:hAnsi="仿宋" w:eastAsia="仿宋" w:cs="仿宋"/>
                <w:sz w:val="28"/>
                <w:szCs w:val="28"/>
                <w:highlight w:val="none"/>
              </w:rPr>
            </w:pPr>
          </w:p>
        </w:tc>
        <w:tc>
          <w:tcPr>
            <w:tcW w:w="2221" w:type="dxa"/>
            <w:noWrap w:val="0"/>
            <w:vAlign w:val="center"/>
          </w:tcPr>
          <w:p w14:paraId="67DD7364">
            <w:pPr>
              <w:spacing w:line="276" w:lineRule="auto"/>
              <w:rPr>
                <w:rFonts w:hint="eastAsia" w:ascii="仿宋" w:hAnsi="仿宋" w:eastAsia="仿宋" w:cs="仿宋"/>
                <w:sz w:val="28"/>
                <w:szCs w:val="28"/>
                <w:highlight w:val="none"/>
              </w:rPr>
            </w:pPr>
          </w:p>
        </w:tc>
        <w:tc>
          <w:tcPr>
            <w:tcW w:w="1063" w:type="dxa"/>
            <w:noWrap w:val="0"/>
            <w:vAlign w:val="center"/>
          </w:tcPr>
          <w:p w14:paraId="72ECFFCA">
            <w:pPr>
              <w:spacing w:line="276" w:lineRule="auto"/>
              <w:jc w:val="center"/>
              <w:rPr>
                <w:rFonts w:hint="eastAsia" w:ascii="仿宋" w:hAnsi="仿宋" w:eastAsia="仿宋" w:cs="仿宋"/>
                <w:sz w:val="28"/>
                <w:szCs w:val="28"/>
                <w:highlight w:val="none"/>
              </w:rPr>
            </w:pPr>
          </w:p>
        </w:tc>
        <w:tc>
          <w:tcPr>
            <w:tcW w:w="2578" w:type="dxa"/>
            <w:noWrap w:val="0"/>
            <w:vAlign w:val="center"/>
          </w:tcPr>
          <w:p w14:paraId="5BFFC112">
            <w:pPr>
              <w:spacing w:line="276" w:lineRule="auto"/>
              <w:jc w:val="center"/>
              <w:rPr>
                <w:rFonts w:hint="eastAsia" w:ascii="仿宋" w:hAnsi="仿宋" w:eastAsia="仿宋" w:cs="仿宋"/>
                <w:sz w:val="28"/>
                <w:szCs w:val="28"/>
                <w:highlight w:val="none"/>
              </w:rPr>
            </w:pPr>
          </w:p>
        </w:tc>
        <w:tc>
          <w:tcPr>
            <w:tcW w:w="1559" w:type="dxa"/>
            <w:noWrap w:val="0"/>
            <w:vAlign w:val="center"/>
          </w:tcPr>
          <w:p w14:paraId="4821A060">
            <w:pPr>
              <w:spacing w:line="276" w:lineRule="auto"/>
              <w:jc w:val="center"/>
              <w:rPr>
                <w:rFonts w:hint="eastAsia" w:ascii="仿宋" w:hAnsi="仿宋" w:eastAsia="仿宋" w:cs="仿宋"/>
                <w:sz w:val="28"/>
                <w:szCs w:val="28"/>
                <w:highlight w:val="none"/>
              </w:rPr>
            </w:pPr>
          </w:p>
        </w:tc>
      </w:tr>
      <w:tr w14:paraId="00E8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83" w:type="dxa"/>
            <w:noWrap w:val="0"/>
            <w:vAlign w:val="center"/>
          </w:tcPr>
          <w:p w14:paraId="5D91BDDD">
            <w:pPr>
              <w:spacing w:line="276" w:lineRule="auto"/>
              <w:rPr>
                <w:rFonts w:hint="eastAsia" w:ascii="仿宋" w:hAnsi="仿宋" w:eastAsia="仿宋" w:cs="仿宋"/>
                <w:sz w:val="28"/>
                <w:szCs w:val="28"/>
                <w:highlight w:val="none"/>
              </w:rPr>
            </w:pPr>
          </w:p>
        </w:tc>
        <w:tc>
          <w:tcPr>
            <w:tcW w:w="1014" w:type="dxa"/>
            <w:noWrap w:val="0"/>
            <w:vAlign w:val="center"/>
          </w:tcPr>
          <w:p w14:paraId="7561267F">
            <w:pPr>
              <w:spacing w:line="276" w:lineRule="auto"/>
              <w:rPr>
                <w:rFonts w:hint="eastAsia" w:ascii="仿宋" w:hAnsi="仿宋" w:eastAsia="仿宋" w:cs="仿宋"/>
                <w:sz w:val="28"/>
                <w:szCs w:val="28"/>
                <w:highlight w:val="none"/>
              </w:rPr>
            </w:pPr>
          </w:p>
        </w:tc>
        <w:tc>
          <w:tcPr>
            <w:tcW w:w="2221" w:type="dxa"/>
            <w:noWrap w:val="0"/>
            <w:vAlign w:val="center"/>
          </w:tcPr>
          <w:p w14:paraId="0606882D">
            <w:pPr>
              <w:spacing w:line="276" w:lineRule="auto"/>
              <w:rPr>
                <w:rFonts w:hint="eastAsia" w:ascii="仿宋" w:hAnsi="仿宋" w:eastAsia="仿宋" w:cs="仿宋"/>
                <w:sz w:val="28"/>
                <w:szCs w:val="28"/>
                <w:highlight w:val="none"/>
              </w:rPr>
            </w:pPr>
          </w:p>
        </w:tc>
        <w:tc>
          <w:tcPr>
            <w:tcW w:w="1063" w:type="dxa"/>
            <w:noWrap w:val="0"/>
            <w:vAlign w:val="center"/>
          </w:tcPr>
          <w:p w14:paraId="3D2E2566">
            <w:pPr>
              <w:spacing w:line="276" w:lineRule="auto"/>
              <w:jc w:val="center"/>
              <w:rPr>
                <w:rFonts w:hint="eastAsia" w:ascii="仿宋" w:hAnsi="仿宋" w:eastAsia="仿宋" w:cs="仿宋"/>
                <w:sz w:val="28"/>
                <w:szCs w:val="28"/>
                <w:highlight w:val="none"/>
              </w:rPr>
            </w:pPr>
          </w:p>
        </w:tc>
        <w:tc>
          <w:tcPr>
            <w:tcW w:w="2578" w:type="dxa"/>
            <w:noWrap w:val="0"/>
            <w:vAlign w:val="center"/>
          </w:tcPr>
          <w:p w14:paraId="6265F5DF">
            <w:pPr>
              <w:spacing w:line="276" w:lineRule="auto"/>
              <w:jc w:val="center"/>
              <w:rPr>
                <w:rFonts w:hint="eastAsia" w:ascii="仿宋" w:hAnsi="仿宋" w:eastAsia="仿宋" w:cs="仿宋"/>
                <w:sz w:val="28"/>
                <w:szCs w:val="28"/>
                <w:highlight w:val="none"/>
              </w:rPr>
            </w:pPr>
          </w:p>
        </w:tc>
        <w:tc>
          <w:tcPr>
            <w:tcW w:w="1559" w:type="dxa"/>
            <w:noWrap w:val="0"/>
            <w:vAlign w:val="center"/>
          </w:tcPr>
          <w:p w14:paraId="6C169C37">
            <w:pPr>
              <w:spacing w:line="276" w:lineRule="auto"/>
              <w:jc w:val="center"/>
              <w:rPr>
                <w:rFonts w:hint="eastAsia" w:ascii="仿宋" w:hAnsi="仿宋" w:eastAsia="仿宋" w:cs="仿宋"/>
                <w:sz w:val="28"/>
                <w:szCs w:val="28"/>
                <w:highlight w:val="none"/>
              </w:rPr>
            </w:pPr>
          </w:p>
        </w:tc>
      </w:tr>
      <w:tr w14:paraId="2D5A5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83" w:type="dxa"/>
            <w:noWrap w:val="0"/>
            <w:vAlign w:val="center"/>
          </w:tcPr>
          <w:p w14:paraId="5DFBA709">
            <w:pPr>
              <w:spacing w:line="276" w:lineRule="auto"/>
              <w:rPr>
                <w:rFonts w:hint="eastAsia" w:ascii="仿宋" w:hAnsi="仿宋" w:eastAsia="仿宋" w:cs="仿宋"/>
                <w:sz w:val="28"/>
                <w:szCs w:val="28"/>
                <w:highlight w:val="none"/>
              </w:rPr>
            </w:pPr>
          </w:p>
        </w:tc>
        <w:tc>
          <w:tcPr>
            <w:tcW w:w="1014" w:type="dxa"/>
            <w:noWrap w:val="0"/>
            <w:vAlign w:val="center"/>
          </w:tcPr>
          <w:p w14:paraId="6E7AE1A6">
            <w:pPr>
              <w:spacing w:line="276" w:lineRule="auto"/>
              <w:rPr>
                <w:rFonts w:hint="eastAsia" w:ascii="仿宋" w:hAnsi="仿宋" w:eastAsia="仿宋" w:cs="仿宋"/>
                <w:sz w:val="28"/>
                <w:szCs w:val="28"/>
                <w:highlight w:val="none"/>
              </w:rPr>
            </w:pPr>
          </w:p>
        </w:tc>
        <w:tc>
          <w:tcPr>
            <w:tcW w:w="2221" w:type="dxa"/>
            <w:noWrap w:val="0"/>
            <w:vAlign w:val="center"/>
          </w:tcPr>
          <w:p w14:paraId="147E572A">
            <w:pPr>
              <w:spacing w:line="276" w:lineRule="auto"/>
              <w:rPr>
                <w:rFonts w:hint="eastAsia" w:ascii="仿宋" w:hAnsi="仿宋" w:eastAsia="仿宋" w:cs="仿宋"/>
                <w:sz w:val="28"/>
                <w:szCs w:val="28"/>
                <w:highlight w:val="none"/>
              </w:rPr>
            </w:pPr>
          </w:p>
        </w:tc>
        <w:tc>
          <w:tcPr>
            <w:tcW w:w="1063" w:type="dxa"/>
            <w:noWrap w:val="0"/>
            <w:vAlign w:val="center"/>
          </w:tcPr>
          <w:p w14:paraId="153E00F4">
            <w:pPr>
              <w:spacing w:line="276" w:lineRule="auto"/>
              <w:jc w:val="center"/>
              <w:rPr>
                <w:rFonts w:hint="eastAsia" w:ascii="仿宋" w:hAnsi="仿宋" w:eastAsia="仿宋" w:cs="仿宋"/>
                <w:sz w:val="28"/>
                <w:szCs w:val="28"/>
                <w:highlight w:val="none"/>
              </w:rPr>
            </w:pPr>
          </w:p>
        </w:tc>
        <w:tc>
          <w:tcPr>
            <w:tcW w:w="2578" w:type="dxa"/>
            <w:noWrap w:val="0"/>
            <w:vAlign w:val="center"/>
          </w:tcPr>
          <w:p w14:paraId="5BC34FC3">
            <w:pPr>
              <w:spacing w:line="276" w:lineRule="auto"/>
              <w:jc w:val="center"/>
              <w:rPr>
                <w:rFonts w:hint="eastAsia" w:ascii="仿宋" w:hAnsi="仿宋" w:eastAsia="仿宋" w:cs="仿宋"/>
                <w:sz w:val="28"/>
                <w:szCs w:val="28"/>
                <w:highlight w:val="none"/>
              </w:rPr>
            </w:pPr>
          </w:p>
        </w:tc>
        <w:tc>
          <w:tcPr>
            <w:tcW w:w="1559" w:type="dxa"/>
            <w:noWrap w:val="0"/>
            <w:vAlign w:val="center"/>
          </w:tcPr>
          <w:p w14:paraId="7D7E4817">
            <w:pPr>
              <w:spacing w:line="276" w:lineRule="auto"/>
              <w:jc w:val="center"/>
              <w:rPr>
                <w:rFonts w:hint="eastAsia" w:ascii="仿宋" w:hAnsi="仿宋" w:eastAsia="仿宋" w:cs="仿宋"/>
                <w:sz w:val="28"/>
                <w:szCs w:val="28"/>
                <w:highlight w:val="none"/>
              </w:rPr>
            </w:pPr>
          </w:p>
        </w:tc>
      </w:tr>
      <w:tr w14:paraId="78A1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83" w:type="dxa"/>
            <w:noWrap w:val="0"/>
            <w:vAlign w:val="center"/>
          </w:tcPr>
          <w:p w14:paraId="3E5BB91C">
            <w:pPr>
              <w:spacing w:line="276" w:lineRule="auto"/>
              <w:rPr>
                <w:rFonts w:hint="eastAsia" w:ascii="仿宋" w:hAnsi="仿宋" w:eastAsia="仿宋" w:cs="仿宋"/>
                <w:sz w:val="28"/>
                <w:szCs w:val="28"/>
                <w:highlight w:val="none"/>
              </w:rPr>
            </w:pPr>
          </w:p>
        </w:tc>
        <w:tc>
          <w:tcPr>
            <w:tcW w:w="1014" w:type="dxa"/>
            <w:noWrap w:val="0"/>
            <w:vAlign w:val="center"/>
          </w:tcPr>
          <w:p w14:paraId="4D4E1DFE">
            <w:pPr>
              <w:spacing w:line="276" w:lineRule="auto"/>
              <w:rPr>
                <w:rFonts w:hint="eastAsia" w:ascii="仿宋" w:hAnsi="仿宋" w:eastAsia="仿宋" w:cs="仿宋"/>
                <w:sz w:val="28"/>
                <w:szCs w:val="28"/>
                <w:highlight w:val="none"/>
              </w:rPr>
            </w:pPr>
          </w:p>
        </w:tc>
        <w:tc>
          <w:tcPr>
            <w:tcW w:w="2221" w:type="dxa"/>
            <w:noWrap w:val="0"/>
            <w:vAlign w:val="center"/>
          </w:tcPr>
          <w:p w14:paraId="5EAF4493">
            <w:pPr>
              <w:spacing w:line="276" w:lineRule="auto"/>
              <w:rPr>
                <w:rFonts w:hint="eastAsia" w:ascii="仿宋" w:hAnsi="仿宋" w:eastAsia="仿宋" w:cs="仿宋"/>
                <w:sz w:val="28"/>
                <w:szCs w:val="28"/>
                <w:highlight w:val="none"/>
              </w:rPr>
            </w:pPr>
          </w:p>
        </w:tc>
        <w:tc>
          <w:tcPr>
            <w:tcW w:w="1063" w:type="dxa"/>
            <w:noWrap w:val="0"/>
            <w:vAlign w:val="center"/>
          </w:tcPr>
          <w:p w14:paraId="58E02D28">
            <w:pPr>
              <w:spacing w:line="276" w:lineRule="auto"/>
              <w:jc w:val="center"/>
              <w:rPr>
                <w:rFonts w:hint="eastAsia" w:ascii="仿宋" w:hAnsi="仿宋" w:eastAsia="仿宋" w:cs="仿宋"/>
                <w:sz w:val="28"/>
                <w:szCs w:val="28"/>
                <w:highlight w:val="none"/>
              </w:rPr>
            </w:pPr>
          </w:p>
        </w:tc>
        <w:tc>
          <w:tcPr>
            <w:tcW w:w="2578" w:type="dxa"/>
            <w:noWrap w:val="0"/>
            <w:vAlign w:val="center"/>
          </w:tcPr>
          <w:p w14:paraId="33814ED1">
            <w:pPr>
              <w:spacing w:line="276" w:lineRule="auto"/>
              <w:jc w:val="center"/>
              <w:rPr>
                <w:rFonts w:hint="eastAsia" w:ascii="仿宋" w:hAnsi="仿宋" w:eastAsia="仿宋" w:cs="仿宋"/>
                <w:sz w:val="28"/>
                <w:szCs w:val="28"/>
                <w:highlight w:val="none"/>
              </w:rPr>
            </w:pPr>
          </w:p>
        </w:tc>
        <w:tc>
          <w:tcPr>
            <w:tcW w:w="1559" w:type="dxa"/>
            <w:noWrap w:val="0"/>
            <w:vAlign w:val="center"/>
          </w:tcPr>
          <w:p w14:paraId="42EB0181">
            <w:pPr>
              <w:spacing w:line="276" w:lineRule="auto"/>
              <w:jc w:val="center"/>
              <w:rPr>
                <w:rFonts w:hint="eastAsia" w:ascii="仿宋" w:hAnsi="仿宋" w:eastAsia="仿宋" w:cs="仿宋"/>
                <w:sz w:val="28"/>
                <w:szCs w:val="28"/>
                <w:highlight w:val="none"/>
              </w:rPr>
            </w:pPr>
          </w:p>
        </w:tc>
      </w:tr>
      <w:tr w14:paraId="05AB3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83" w:type="dxa"/>
            <w:noWrap w:val="0"/>
            <w:vAlign w:val="center"/>
          </w:tcPr>
          <w:p w14:paraId="4A2F147A">
            <w:pPr>
              <w:spacing w:line="276" w:lineRule="auto"/>
              <w:rPr>
                <w:rFonts w:hint="eastAsia" w:ascii="仿宋" w:hAnsi="仿宋" w:eastAsia="仿宋" w:cs="仿宋"/>
                <w:sz w:val="28"/>
                <w:szCs w:val="28"/>
                <w:highlight w:val="none"/>
              </w:rPr>
            </w:pPr>
          </w:p>
        </w:tc>
        <w:tc>
          <w:tcPr>
            <w:tcW w:w="1014" w:type="dxa"/>
            <w:noWrap w:val="0"/>
            <w:vAlign w:val="center"/>
          </w:tcPr>
          <w:p w14:paraId="258C5EB2">
            <w:pPr>
              <w:spacing w:line="276" w:lineRule="auto"/>
              <w:rPr>
                <w:rFonts w:hint="eastAsia" w:ascii="仿宋" w:hAnsi="仿宋" w:eastAsia="仿宋" w:cs="仿宋"/>
                <w:sz w:val="28"/>
                <w:szCs w:val="28"/>
                <w:highlight w:val="none"/>
              </w:rPr>
            </w:pPr>
          </w:p>
        </w:tc>
        <w:tc>
          <w:tcPr>
            <w:tcW w:w="2221" w:type="dxa"/>
            <w:noWrap w:val="0"/>
            <w:vAlign w:val="center"/>
          </w:tcPr>
          <w:p w14:paraId="788DF5C7">
            <w:pPr>
              <w:spacing w:line="276" w:lineRule="auto"/>
              <w:rPr>
                <w:rFonts w:hint="eastAsia" w:ascii="仿宋" w:hAnsi="仿宋" w:eastAsia="仿宋" w:cs="仿宋"/>
                <w:sz w:val="28"/>
                <w:szCs w:val="28"/>
                <w:highlight w:val="none"/>
              </w:rPr>
            </w:pPr>
          </w:p>
        </w:tc>
        <w:tc>
          <w:tcPr>
            <w:tcW w:w="1063" w:type="dxa"/>
            <w:noWrap w:val="0"/>
            <w:vAlign w:val="center"/>
          </w:tcPr>
          <w:p w14:paraId="21AADEE2">
            <w:pPr>
              <w:spacing w:line="276" w:lineRule="auto"/>
              <w:jc w:val="center"/>
              <w:rPr>
                <w:rFonts w:hint="eastAsia" w:ascii="仿宋" w:hAnsi="仿宋" w:eastAsia="仿宋" w:cs="仿宋"/>
                <w:sz w:val="28"/>
                <w:szCs w:val="28"/>
                <w:highlight w:val="none"/>
              </w:rPr>
            </w:pPr>
          </w:p>
        </w:tc>
        <w:tc>
          <w:tcPr>
            <w:tcW w:w="2578" w:type="dxa"/>
            <w:noWrap w:val="0"/>
            <w:vAlign w:val="center"/>
          </w:tcPr>
          <w:p w14:paraId="7691CE39">
            <w:pPr>
              <w:spacing w:line="276" w:lineRule="auto"/>
              <w:jc w:val="center"/>
              <w:rPr>
                <w:rFonts w:hint="eastAsia" w:ascii="仿宋" w:hAnsi="仿宋" w:eastAsia="仿宋" w:cs="仿宋"/>
                <w:sz w:val="28"/>
                <w:szCs w:val="28"/>
                <w:highlight w:val="none"/>
              </w:rPr>
            </w:pPr>
          </w:p>
        </w:tc>
        <w:tc>
          <w:tcPr>
            <w:tcW w:w="1559" w:type="dxa"/>
            <w:noWrap w:val="0"/>
            <w:vAlign w:val="center"/>
          </w:tcPr>
          <w:p w14:paraId="559828AE">
            <w:pPr>
              <w:spacing w:line="276" w:lineRule="auto"/>
              <w:jc w:val="center"/>
              <w:rPr>
                <w:rFonts w:hint="eastAsia" w:ascii="仿宋" w:hAnsi="仿宋" w:eastAsia="仿宋" w:cs="仿宋"/>
                <w:sz w:val="28"/>
                <w:szCs w:val="28"/>
                <w:highlight w:val="none"/>
              </w:rPr>
            </w:pPr>
          </w:p>
        </w:tc>
      </w:tr>
      <w:tr w14:paraId="08F36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83" w:type="dxa"/>
            <w:noWrap w:val="0"/>
            <w:vAlign w:val="center"/>
          </w:tcPr>
          <w:p w14:paraId="37F29EB0">
            <w:pPr>
              <w:spacing w:line="276" w:lineRule="auto"/>
              <w:rPr>
                <w:rFonts w:hint="eastAsia" w:ascii="仿宋" w:hAnsi="仿宋" w:eastAsia="仿宋" w:cs="仿宋"/>
                <w:sz w:val="28"/>
                <w:szCs w:val="28"/>
                <w:highlight w:val="none"/>
              </w:rPr>
            </w:pPr>
          </w:p>
        </w:tc>
        <w:tc>
          <w:tcPr>
            <w:tcW w:w="1014" w:type="dxa"/>
            <w:noWrap w:val="0"/>
            <w:vAlign w:val="center"/>
          </w:tcPr>
          <w:p w14:paraId="12D528EE">
            <w:pPr>
              <w:spacing w:line="276" w:lineRule="auto"/>
              <w:rPr>
                <w:rFonts w:hint="eastAsia" w:ascii="仿宋" w:hAnsi="仿宋" w:eastAsia="仿宋" w:cs="仿宋"/>
                <w:sz w:val="28"/>
                <w:szCs w:val="28"/>
                <w:highlight w:val="none"/>
              </w:rPr>
            </w:pPr>
          </w:p>
        </w:tc>
        <w:tc>
          <w:tcPr>
            <w:tcW w:w="2221" w:type="dxa"/>
            <w:noWrap w:val="0"/>
            <w:vAlign w:val="center"/>
          </w:tcPr>
          <w:p w14:paraId="15FC3E86">
            <w:pPr>
              <w:spacing w:line="276" w:lineRule="auto"/>
              <w:rPr>
                <w:rFonts w:hint="eastAsia" w:ascii="仿宋" w:hAnsi="仿宋" w:eastAsia="仿宋" w:cs="仿宋"/>
                <w:sz w:val="28"/>
                <w:szCs w:val="28"/>
                <w:highlight w:val="none"/>
              </w:rPr>
            </w:pPr>
          </w:p>
        </w:tc>
        <w:tc>
          <w:tcPr>
            <w:tcW w:w="1063" w:type="dxa"/>
            <w:noWrap w:val="0"/>
            <w:vAlign w:val="center"/>
          </w:tcPr>
          <w:p w14:paraId="7020D2F7">
            <w:pPr>
              <w:spacing w:line="276" w:lineRule="auto"/>
              <w:jc w:val="center"/>
              <w:rPr>
                <w:rFonts w:hint="eastAsia" w:ascii="仿宋" w:hAnsi="仿宋" w:eastAsia="仿宋" w:cs="仿宋"/>
                <w:sz w:val="28"/>
                <w:szCs w:val="28"/>
                <w:highlight w:val="none"/>
              </w:rPr>
            </w:pPr>
          </w:p>
        </w:tc>
        <w:tc>
          <w:tcPr>
            <w:tcW w:w="2578" w:type="dxa"/>
            <w:noWrap w:val="0"/>
            <w:vAlign w:val="center"/>
          </w:tcPr>
          <w:p w14:paraId="39392359">
            <w:pPr>
              <w:spacing w:line="276" w:lineRule="auto"/>
              <w:jc w:val="center"/>
              <w:rPr>
                <w:rFonts w:hint="eastAsia" w:ascii="仿宋" w:hAnsi="仿宋" w:eastAsia="仿宋" w:cs="仿宋"/>
                <w:sz w:val="28"/>
                <w:szCs w:val="28"/>
                <w:highlight w:val="none"/>
              </w:rPr>
            </w:pPr>
          </w:p>
        </w:tc>
        <w:tc>
          <w:tcPr>
            <w:tcW w:w="1559" w:type="dxa"/>
            <w:noWrap w:val="0"/>
            <w:vAlign w:val="center"/>
          </w:tcPr>
          <w:p w14:paraId="1C918EB3">
            <w:pPr>
              <w:spacing w:line="276" w:lineRule="auto"/>
              <w:jc w:val="center"/>
              <w:rPr>
                <w:rFonts w:hint="eastAsia" w:ascii="仿宋" w:hAnsi="仿宋" w:eastAsia="仿宋" w:cs="仿宋"/>
                <w:sz w:val="28"/>
                <w:szCs w:val="28"/>
                <w:highlight w:val="none"/>
              </w:rPr>
            </w:pPr>
          </w:p>
        </w:tc>
      </w:tr>
      <w:tr w14:paraId="27122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83" w:type="dxa"/>
            <w:noWrap w:val="0"/>
            <w:vAlign w:val="center"/>
          </w:tcPr>
          <w:p w14:paraId="7B287667">
            <w:pPr>
              <w:spacing w:line="276" w:lineRule="auto"/>
              <w:rPr>
                <w:rFonts w:hint="eastAsia" w:ascii="仿宋" w:hAnsi="仿宋" w:eastAsia="仿宋" w:cs="仿宋"/>
                <w:sz w:val="28"/>
                <w:szCs w:val="28"/>
                <w:highlight w:val="none"/>
              </w:rPr>
            </w:pPr>
          </w:p>
        </w:tc>
        <w:tc>
          <w:tcPr>
            <w:tcW w:w="1014" w:type="dxa"/>
            <w:noWrap w:val="0"/>
            <w:vAlign w:val="center"/>
          </w:tcPr>
          <w:p w14:paraId="484B713F">
            <w:pPr>
              <w:spacing w:line="276" w:lineRule="auto"/>
              <w:rPr>
                <w:rFonts w:hint="eastAsia" w:ascii="仿宋" w:hAnsi="仿宋" w:eastAsia="仿宋" w:cs="仿宋"/>
                <w:sz w:val="28"/>
                <w:szCs w:val="28"/>
                <w:highlight w:val="none"/>
              </w:rPr>
            </w:pPr>
          </w:p>
        </w:tc>
        <w:tc>
          <w:tcPr>
            <w:tcW w:w="2221" w:type="dxa"/>
            <w:noWrap w:val="0"/>
            <w:vAlign w:val="center"/>
          </w:tcPr>
          <w:p w14:paraId="7C750512">
            <w:pPr>
              <w:spacing w:line="276" w:lineRule="auto"/>
              <w:rPr>
                <w:rFonts w:hint="eastAsia" w:ascii="仿宋" w:hAnsi="仿宋" w:eastAsia="仿宋" w:cs="仿宋"/>
                <w:sz w:val="28"/>
                <w:szCs w:val="28"/>
                <w:highlight w:val="none"/>
              </w:rPr>
            </w:pPr>
          </w:p>
        </w:tc>
        <w:tc>
          <w:tcPr>
            <w:tcW w:w="1063" w:type="dxa"/>
            <w:noWrap w:val="0"/>
            <w:vAlign w:val="center"/>
          </w:tcPr>
          <w:p w14:paraId="2048188B">
            <w:pPr>
              <w:spacing w:line="276" w:lineRule="auto"/>
              <w:jc w:val="center"/>
              <w:rPr>
                <w:rFonts w:hint="eastAsia" w:ascii="仿宋" w:hAnsi="仿宋" w:eastAsia="仿宋" w:cs="仿宋"/>
                <w:sz w:val="28"/>
                <w:szCs w:val="28"/>
                <w:highlight w:val="none"/>
              </w:rPr>
            </w:pPr>
          </w:p>
        </w:tc>
        <w:tc>
          <w:tcPr>
            <w:tcW w:w="2578" w:type="dxa"/>
            <w:noWrap w:val="0"/>
            <w:vAlign w:val="center"/>
          </w:tcPr>
          <w:p w14:paraId="2108C34E">
            <w:pPr>
              <w:spacing w:line="276" w:lineRule="auto"/>
              <w:jc w:val="center"/>
              <w:rPr>
                <w:rFonts w:hint="eastAsia" w:ascii="仿宋" w:hAnsi="仿宋" w:eastAsia="仿宋" w:cs="仿宋"/>
                <w:sz w:val="28"/>
                <w:szCs w:val="28"/>
                <w:highlight w:val="none"/>
              </w:rPr>
            </w:pPr>
          </w:p>
        </w:tc>
        <w:tc>
          <w:tcPr>
            <w:tcW w:w="1559" w:type="dxa"/>
            <w:noWrap w:val="0"/>
            <w:vAlign w:val="center"/>
          </w:tcPr>
          <w:p w14:paraId="458BC414">
            <w:pPr>
              <w:spacing w:line="276" w:lineRule="auto"/>
              <w:jc w:val="center"/>
              <w:rPr>
                <w:rFonts w:hint="eastAsia" w:ascii="仿宋" w:hAnsi="仿宋" w:eastAsia="仿宋" w:cs="仿宋"/>
                <w:sz w:val="28"/>
                <w:szCs w:val="28"/>
                <w:highlight w:val="none"/>
              </w:rPr>
            </w:pPr>
          </w:p>
        </w:tc>
      </w:tr>
      <w:tr w14:paraId="7C44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83" w:type="dxa"/>
            <w:noWrap w:val="0"/>
            <w:vAlign w:val="center"/>
          </w:tcPr>
          <w:p w14:paraId="6FCACFAC">
            <w:pPr>
              <w:spacing w:line="276" w:lineRule="auto"/>
              <w:rPr>
                <w:rFonts w:hint="eastAsia" w:ascii="仿宋" w:hAnsi="仿宋" w:eastAsia="仿宋" w:cs="仿宋"/>
                <w:sz w:val="28"/>
                <w:szCs w:val="28"/>
                <w:highlight w:val="none"/>
              </w:rPr>
            </w:pPr>
          </w:p>
        </w:tc>
        <w:tc>
          <w:tcPr>
            <w:tcW w:w="1014" w:type="dxa"/>
            <w:noWrap w:val="0"/>
            <w:vAlign w:val="center"/>
          </w:tcPr>
          <w:p w14:paraId="58C820EE">
            <w:pPr>
              <w:spacing w:line="276" w:lineRule="auto"/>
              <w:rPr>
                <w:rFonts w:hint="eastAsia" w:ascii="仿宋" w:hAnsi="仿宋" w:eastAsia="仿宋" w:cs="仿宋"/>
                <w:sz w:val="28"/>
                <w:szCs w:val="28"/>
                <w:highlight w:val="none"/>
              </w:rPr>
            </w:pPr>
          </w:p>
        </w:tc>
        <w:tc>
          <w:tcPr>
            <w:tcW w:w="2221" w:type="dxa"/>
            <w:noWrap w:val="0"/>
            <w:vAlign w:val="center"/>
          </w:tcPr>
          <w:p w14:paraId="629D97FA">
            <w:pPr>
              <w:spacing w:line="276" w:lineRule="auto"/>
              <w:rPr>
                <w:rFonts w:hint="eastAsia" w:ascii="仿宋" w:hAnsi="仿宋" w:eastAsia="仿宋" w:cs="仿宋"/>
                <w:sz w:val="28"/>
                <w:szCs w:val="28"/>
                <w:highlight w:val="none"/>
              </w:rPr>
            </w:pPr>
          </w:p>
        </w:tc>
        <w:tc>
          <w:tcPr>
            <w:tcW w:w="1063" w:type="dxa"/>
            <w:noWrap w:val="0"/>
            <w:vAlign w:val="center"/>
          </w:tcPr>
          <w:p w14:paraId="362667DD">
            <w:pPr>
              <w:spacing w:line="276" w:lineRule="auto"/>
              <w:jc w:val="center"/>
              <w:rPr>
                <w:rFonts w:hint="eastAsia" w:ascii="仿宋" w:hAnsi="仿宋" w:eastAsia="仿宋" w:cs="仿宋"/>
                <w:sz w:val="28"/>
                <w:szCs w:val="28"/>
                <w:highlight w:val="none"/>
              </w:rPr>
            </w:pPr>
          </w:p>
        </w:tc>
        <w:tc>
          <w:tcPr>
            <w:tcW w:w="2578" w:type="dxa"/>
            <w:noWrap w:val="0"/>
            <w:vAlign w:val="center"/>
          </w:tcPr>
          <w:p w14:paraId="02457D2F">
            <w:pPr>
              <w:spacing w:line="276" w:lineRule="auto"/>
              <w:jc w:val="center"/>
              <w:rPr>
                <w:rFonts w:hint="eastAsia" w:ascii="仿宋" w:hAnsi="仿宋" w:eastAsia="仿宋" w:cs="仿宋"/>
                <w:sz w:val="28"/>
                <w:szCs w:val="28"/>
                <w:highlight w:val="none"/>
              </w:rPr>
            </w:pPr>
          </w:p>
        </w:tc>
        <w:tc>
          <w:tcPr>
            <w:tcW w:w="1559" w:type="dxa"/>
            <w:noWrap w:val="0"/>
            <w:vAlign w:val="center"/>
          </w:tcPr>
          <w:p w14:paraId="1FD6C085">
            <w:pPr>
              <w:spacing w:line="276" w:lineRule="auto"/>
              <w:jc w:val="center"/>
              <w:rPr>
                <w:rFonts w:hint="eastAsia" w:ascii="仿宋" w:hAnsi="仿宋" w:eastAsia="仿宋" w:cs="仿宋"/>
                <w:sz w:val="28"/>
                <w:szCs w:val="28"/>
                <w:highlight w:val="none"/>
              </w:rPr>
            </w:pPr>
          </w:p>
        </w:tc>
      </w:tr>
      <w:tr w14:paraId="79921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83" w:type="dxa"/>
            <w:noWrap w:val="0"/>
            <w:vAlign w:val="center"/>
          </w:tcPr>
          <w:p w14:paraId="6F8CADAC">
            <w:pPr>
              <w:spacing w:line="276" w:lineRule="auto"/>
              <w:rPr>
                <w:rFonts w:hint="eastAsia" w:ascii="仿宋" w:hAnsi="仿宋" w:eastAsia="仿宋" w:cs="仿宋"/>
                <w:sz w:val="28"/>
                <w:szCs w:val="28"/>
                <w:highlight w:val="none"/>
              </w:rPr>
            </w:pPr>
          </w:p>
        </w:tc>
        <w:tc>
          <w:tcPr>
            <w:tcW w:w="1014" w:type="dxa"/>
            <w:noWrap w:val="0"/>
            <w:vAlign w:val="center"/>
          </w:tcPr>
          <w:p w14:paraId="549274CC">
            <w:pPr>
              <w:spacing w:line="276" w:lineRule="auto"/>
              <w:rPr>
                <w:rFonts w:hint="eastAsia" w:ascii="仿宋" w:hAnsi="仿宋" w:eastAsia="仿宋" w:cs="仿宋"/>
                <w:sz w:val="28"/>
                <w:szCs w:val="28"/>
                <w:highlight w:val="none"/>
              </w:rPr>
            </w:pPr>
          </w:p>
        </w:tc>
        <w:tc>
          <w:tcPr>
            <w:tcW w:w="2221" w:type="dxa"/>
            <w:noWrap w:val="0"/>
            <w:vAlign w:val="center"/>
          </w:tcPr>
          <w:p w14:paraId="3070182E">
            <w:pPr>
              <w:spacing w:line="276" w:lineRule="auto"/>
              <w:rPr>
                <w:rFonts w:hint="eastAsia" w:ascii="仿宋" w:hAnsi="仿宋" w:eastAsia="仿宋" w:cs="仿宋"/>
                <w:sz w:val="28"/>
                <w:szCs w:val="28"/>
                <w:highlight w:val="none"/>
              </w:rPr>
            </w:pPr>
          </w:p>
        </w:tc>
        <w:tc>
          <w:tcPr>
            <w:tcW w:w="1063" w:type="dxa"/>
            <w:noWrap w:val="0"/>
            <w:vAlign w:val="center"/>
          </w:tcPr>
          <w:p w14:paraId="423541F8">
            <w:pPr>
              <w:spacing w:line="276" w:lineRule="auto"/>
              <w:jc w:val="center"/>
              <w:rPr>
                <w:rFonts w:hint="eastAsia" w:ascii="仿宋" w:hAnsi="仿宋" w:eastAsia="仿宋" w:cs="仿宋"/>
                <w:sz w:val="28"/>
                <w:szCs w:val="28"/>
                <w:highlight w:val="none"/>
              </w:rPr>
            </w:pPr>
          </w:p>
        </w:tc>
        <w:tc>
          <w:tcPr>
            <w:tcW w:w="2578" w:type="dxa"/>
            <w:noWrap w:val="0"/>
            <w:vAlign w:val="center"/>
          </w:tcPr>
          <w:p w14:paraId="1017B33D">
            <w:pPr>
              <w:spacing w:line="276" w:lineRule="auto"/>
              <w:jc w:val="center"/>
              <w:rPr>
                <w:rFonts w:hint="eastAsia" w:ascii="仿宋" w:hAnsi="仿宋" w:eastAsia="仿宋" w:cs="仿宋"/>
                <w:sz w:val="28"/>
                <w:szCs w:val="28"/>
                <w:highlight w:val="none"/>
              </w:rPr>
            </w:pPr>
          </w:p>
        </w:tc>
        <w:tc>
          <w:tcPr>
            <w:tcW w:w="1559" w:type="dxa"/>
            <w:noWrap w:val="0"/>
            <w:vAlign w:val="center"/>
          </w:tcPr>
          <w:p w14:paraId="67E04277">
            <w:pPr>
              <w:spacing w:line="276" w:lineRule="auto"/>
              <w:jc w:val="center"/>
              <w:rPr>
                <w:rFonts w:hint="eastAsia" w:ascii="仿宋" w:hAnsi="仿宋" w:eastAsia="仿宋" w:cs="仿宋"/>
                <w:sz w:val="28"/>
                <w:szCs w:val="28"/>
                <w:highlight w:val="none"/>
              </w:rPr>
            </w:pPr>
          </w:p>
        </w:tc>
      </w:tr>
      <w:tr w14:paraId="528DF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83" w:type="dxa"/>
            <w:noWrap w:val="0"/>
            <w:vAlign w:val="center"/>
          </w:tcPr>
          <w:p w14:paraId="76585263">
            <w:pPr>
              <w:spacing w:line="276" w:lineRule="auto"/>
              <w:rPr>
                <w:rFonts w:hint="eastAsia" w:ascii="仿宋" w:hAnsi="仿宋" w:eastAsia="仿宋" w:cs="仿宋"/>
                <w:sz w:val="28"/>
                <w:szCs w:val="28"/>
                <w:highlight w:val="none"/>
              </w:rPr>
            </w:pPr>
          </w:p>
        </w:tc>
        <w:tc>
          <w:tcPr>
            <w:tcW w:w="1014" w:type="dxa"/>
            <w:noWrap w:val="0"/>
            <w:vAlign w:val="center"/>
          </w:tcPr>
          <w:p w14:paraId="4E05EF66">
            <w:pPr>
              <w:spacing w:line="276" w:lineRule="auto"/>
              <w:rPr>
                <w:rFonts w:hint="eastAsia" w:ascii="仿宋" w:hAnsi="仿宋" w:eastAsia="仿宋" w:cs="仿宋"/>
                <w:sz w:val="28"/>
                <w:szCs w:val="28"/>
                <w:highlight w:val="none"/>
              </w:rPr>
            </w:pPr>
          </w:p>
        </w:tc>
        <w:tc>
          <w:tcPr>
            <w:tcW w:w="2221" w:type="dxa"/>
            <w:noWrap w:val="0"/>
            <w:vAlign w:val="center"/>
          </w:tcPr>
          <w:p w14:paraId="6D6C1C05">
            <w:pPr>
              <w:spacing w:line="276" w:lineRule="auto"/>
              <w:rPr>
                <w:rFonts w:hint="eastAsia" w:ascii="仿宋" w:hAnsi="仿宋" w:eastAsia="仿宋" w:cs="仿宋"/>
                <w:sz w:val="28"/>
                <w:szCs w:val="28"/>
                <w:highlight w:val="none"/>
              </w:rPr>
            </w:pPr>
          </w:p>
        </w:tc>
        <w:tc>
          <w:tcPr>
            <w:tcW w:w="1063" w:type="dxa"/>
            <w:noWrap w:val="0"/>
            <w:vAlign w:val="center"/>
          </w:tcPr>
          <w:p w14:paraId="229BF73F">
            <w:pPr>
              <w:spacing w:line="276" w:lineRule="auto"/>
              <w:jc w:val="center"/>
              <w:rPr>
                <w:rFonts w:hint="eastAsia" w:ascii="仿宋" w:hAnsi="仿宋" w:eastAsia="仿宋" w:cs="仿宋"/>
                <w:sz w:val="28"/>
                <w:szCs w:val="28"/>
                <w:highlight w:val="none"/>
              </w:rPr>
            </w:pPr>
          </w:p>
        </w:tc>
        <w:tc>
          <w:tcPr>
            <w:tcW w:w="2578" w:type="dxa"/>
            <w:noWrap w:val="0"/>
            <w:vAlign w:val="center"/>
          </w:tcPr>
          <w:p w14:paraId="1E4E226F">
            <w:pPr>
              <w:spacing w:line="276" w:lineRule="auto"/>
              <w:jc w:val="center"/>
              <w:rPr>
                <w:rFonts w:hint="eastAsia" w:ascii="仿宋" w:hAnsi="仿宋" w:eastAsia="仿宋" w:cs="仿宋"/>
                <w:sz w:val="28"/>
                <w:szCs w:val="28"/>
                <w:highlight w:val="none"/>
              </w:rPr>
            </w:pPr>
          </w:p>
        </w:tc>
        <w:tc>
          <w:tcPr>
            <w:tcW w:w="1559" w:type="dxa"/>
            <w:noWrap w:val="0"/>
            <w:vAlign w:val="center"/>
          </w:tcPr>
          <w:p w14:paraId="1A8E7F6D">
            <w:pPr>
              <w:spacing w:line="276" w:lineRule="auto"/>
              <w:jc w:val="center"/>
              <w:rPr>
                <w:rFonts w:hint="eastAsia" w:ascii="仿宋" w:hAnsi="仿宋" w:eastAsia="仿宋" w:cs="仿宋"/>
                <w:sz w:val="28"/>
                <w:szCs w:val="28"/>
                <w:highlight w:val="none"/>
              </w:rPr>
            </w:pPr>
          </w:p>
        </w:tc>
      </w:tr>
      <w:tr w14:paraId="14693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83" w:type="dxa"/>
            <w:noWrap w:val="0"/>
            <w:vAlign w:val="center"/>
          </w:tcPr>
          <w:p w14:paraId="706DFE99">
            <w:pPr>
              <w:spacing w:line="276" w:lineRule="auto"/>
              <w:rPr>
                <w:rFonts w:hint="eastAsia" w:ascii="仿宋" w:hAnsi="仿宋" w:eastAsia="仿宋" w:cs="仿宋"/>
                <w:sz w:val="28"/>
                <w:szCs w:val="28"/>
                <w:highlight w:val="none"/>
              </w:rPr>
            </w:pPr>
          </w:p>
        </w:tc>
        <w:tc>
          <w:tcPr>
            <w:tcW w:w="1014" w:type="dxa"/>
            <w:noWrap w:val="0"/>
            <w:vAlign w:val="center"/>
          </w:tcPr>
          <w:p w14:paraId="4999EDBE">
            <w:pPr>
              <w:spacing w:line="276" w:lineRule="auto"/>
              <w:rPr>
                <w:rFonts w:hint="eastAsia" w:ascii="仿宋" w:hAnsi="仿宋" w:eastAsia="仿宋" w:cs="仿宋"/>
                <w:sz w:val="28"/>
                <w:szCs w:val="28"/>
                <w:highlight w:val="none"/>
              </w:rPr>
            </w:pPr>
          </w:p>
        </w:tc>
        <w:tc>
          <w:tcPr>
            <w:tcW w:w="2221" w:type="dxa"/>
            <w:noWrap w:val="0"/>
            <w:vAlign w:val="center"/>
          </w:tcPr>
          <w:p w14:paraId="55160DC6">
            <w:pPr>
              <w:spacing w:line="276" w:lineRule="auto"/>
              <w:rPr>
                <w:rFonts w:hint="eastAsia" w:ascii="仿宋" w:hAnsi="仿宋" w:eastAsia="仿宋" w:cs="仿宋"/>
                <w:sz w:val="28"/>
                <w:szCs w:val="28"/>
                <w:highlight w:val="none"/>
              </w:rPr>
            </w:pPr>
          </w:p>
        </w:tc>
        <w:tc>
          <w:tcPr>
            <w:tcW w:w="1063" w:type="dxa"/>
            <w:noWrap w:val="0"/>
            <w:vAlign w:val="center"/>
          </w:tcPr>
          <w:p w14:paraId="4DC2C2AC">
            <w:pPr>
              <w:spacing w:line="276" w:lineRule="auto"/>
              <w:jc w:val="center"/>
              <w:rPr>
                <w:rFonts w:hint="eastAsia" w:ascii="仿宋" w:hAnsi="仿宋" w:eastAsia="仿宋" w:cs="仿宋"/>
                <w:sz w:val="28"/>
                <w:szCs w:val="28"/>
                <w:highlight w:val="none"/>
              </w:rPr>
            </w:pPr>
          </w:p>
        </w:tc>
        <w:tc>
          <w:tcPr>
            <w:tcW w:w="2578" w:type="dxa"/>
            <w:noWrap w:val="0"/>
            <w:vAlign w:val="center"/>
          </w:tcPr>
          <w:p w14:paraId="0DAB1407">
            <w:pPr>
              <w:spacing w:line="276" w:lineRule="auto"/>
              <w:jc w:val="center"/>
              <w:rPr>
                <w:rFonts w:hint="eastAsia" w:ascii="仿宋" w:hAnsi="仿宋" w:eastAsia="仿宋" w:cs="仿宋"/>
                <w:sz w:val="28"/>
                <w:szCs w:val="28"/>
                <w:highlight w:val="none"/>
              </w:rPr>
            </w:pPr>
          </w:p>
        </w:tc>
        <w:tc>
          <w:tcPr>
            <w:tcW w:w="1559" w:type="dxa"/>
            <w:noWrap w:val="0"/>
            <w:vAlign w:val="center"/>
          </w:tcPr>
          <w:p w14:paraId="44E739B5">
            <w:pPr>
              <w:spacing w:line="276" w:lineRule="auto"/>
              <w:jc w:val="center"/>
              <w:rPr>
                <w:rFonts w:hint="eastAsia" w:ascii="仿宋" w:hAnsi="仿宋" w:eastAsia="仿宋" w:cs="仿宋"/>
                <w:sz w:val="28"/>
                <w:szCs w:val="28"/>
                <w:highlight w:val="none"/>
              </w:rPr>
            </w:pPr>
          </w:p>
        </w:tc>
      </w:tr>
      <w:tr w14:paraId="3C56B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683" w:type="dxa"/>
            <w:noWrap w:val="0"/>
            <w:vAlign w:val="center"/>
          </w:tcPr>
          <w:p w14:paraId="3A6E55C7">
            <w:pPr>
              <w:spacing w:line="276" w:lineRule="auto"/>
              <w:rPr>
                <w:rFonts w:hint="eastAsia" w:ascii="仿宋" w:hAnsi="仿宋" w:eastAsia="仿宋" w:cs="仿宋"/>
                <w:sz w:val="28"/>
                <w:szCs w:val="28"/>
                <w:highlight w:val="none"/>
              </w:rPr>
            </w:pPr>
          </w:p>
        </w:tc>
        <w:tc>
          <w:tcPr>
            <w:tcW w:w="1014" w:type="dxa"/>
            <w:noWrap w:val="0"/>
            <w:vAlign w:val="center"/>
          </w:tcPr>
          <w:p w14:paraId="7438E849">
            <w:pPr>
              <w:spacing w:line="276" w:lineRule="auto"/>
              <w:rPr>
                <w:rFonts w:hint="eastAsia" w:ascii="仿宋" w:hAnsi="仿宋" w:eastAsia="仿宋" w:cs="仿宋"/>
                <w:sz w:val="28"/>
                <w:szCs w:val="28"/>
                <w:highlight w:val="none"/>
              </w:rPr>
            </w:pPr>
          </w:p>
        </w:tc>
        <w:tc>
          <w:tcPr>
            <w:tcW w:w="2221" w:type="dxa"/>
            <w:noWrap w:val="0"/>
            <w:vAlign w:val="center"/>
          </w:tcPr>
          <w:p w14:paraId="60442B2F">
            <w:pPr>
              <w:spacing w:line="276" w:lineRule="auto"/>
              <w:rPr>
                <w:rFonts w:hint="eastAsia" w:ascii="仿宋" w:hAnsi="仿宋" w:eastAsia="仿宋" w:cs="仿宋"/>
                <w:sz w:val="28"/>
                <w:szCs w:val="28"/>
                <w:highlight w:val="none"/>
              </w:rPr>
            </w:pPr>
          </w:p>
        </w:tc>
        <w:tc>
          <w:tcPr>
            <w:tcW w:w="1063" w:type="dxa"/>
            <w:noWrap w:val="0"/>
            <w:vAlign w:val="center"/>
          </w:tcPr>
          <w:p w14:paraId="666A019D">
            <w:pPr>
              <w:spacing w:line="276" w:lineRule="auto"/>
              <w:jc w:val="center"/>
              <w:rPr>
                <w:rFonts w:hint="eastAsia" w:ascii="仿宋" w:hAnsi="仿宋" w:eastAsia="仿宋" w:cs="仿宋"/>
                <w:sz w:val="28"/>
                <w:szCs w:val="28"/>
                <w:highlight w:val="none"/>
              </w:rPr>
            </w:pPr>
          </w:p>
        </w:tc>
        <w:tc>
          <w:tcPr>
            <w:tcW w:w="2578" w:type="dxa"/>
            <w:noWrap w:val="0"/>
            <w:vAlign w:val="center"/>
          </w:tcPr>
          <w:p w14:paraId="5700DB34">
            <w:pPr>
              <w:spacing w:line="276" w:lineRule="auto"/>
              <w:jc w:val="center"/>
              <w:rPr>
                <w:rFonts w:hint="eastAsia" w:ascii="仿宋" w:hAnsi="仿宋" w:eastAsia="仿宋" w:cs="仿宋"/>
                <w:sz w:val="28"/>
                <w:szCs w:val="28"/>
                <w:highlight w:val="none"/>
              </w:rPr>
            </w:pPr>
          </w:p>
        </w:tc>
        <w:tc>
          <w:tcPr>
            <w:tcW w:w="1559" w:type="dxa"/>
            <w:noWrap w:val="0"/>
            <w:vAlign w:val="center"/>
          </w:tcPr>
          <w:p w14:paraId="6D7B6EE1">
            <w:pPr>
              <w:spacing w:line="276" w:lineRule="auto"/>
              <w:jc w:val="center"/>
              <w:rPr>
                <w:rFonts w:hint="eastAsia" w:ascii="仿宋" w:hAnsi="仿宋" w:eastAsia="仿宋" w:cs="仿宋"/>
                <w:sz w:val="28"/>
                <w:szCs w:val="28"/>
                <w:highlight w:val="none"/>
              </w:rPr>
            </w:pPr>
          </w:p>
        </w:tc>
      </w:tr>
    </w:tbl>
    <w:p w14:paraId="1DC9167B">
      <w:pPr>
        <w:adjustRightInd w:val="0"/>
        <w:snapToGrid w:val="0"/>
        <w:spacing w:line="276" w:lineRule="auto"/>
        <w:ind w:right="480"/>
        <w:rPr>
          <w:rFonts w:hint="eastAsia" w:ascii="仿宋" w:hAnsi="仿宋" w:eastAsia="仿宋" w:cs="仿宋"/>
          <w:sz w:val="28"/>
          <w:szCs w:val="28"/>
          <w:highlight w:val="none"/>
        </w:rPr>
      </w:pPr>
      <w:r>
        <w:rPr>
          <w:rFonts w:hint="eastAsia" w:ascii="仿宋" w:hAnsi="仿宋" w:eastAsia="仿宋" w:cs="仿宋"/>
          <w:sz w:val="28"/>
          <w:szCs w:val="28"/>
          <w:highlight w:val="none"/>
        </w:rPr>
        <w:t>注：投标人要将投标文件和招标文件在商务部分汇集成表。</w:t>
      </w:r>
    </w:p>
    <w:p w14:paraId="769DE113">
      <w:pPr>
        <w:pStyle w:val="12"/>
        <w:adjustRightInd w:val="0"/>
        <w:snapToGrid w:val="0"/>
        <w:spacing w:line="360" w:lineRule="auto"/>
        <w:ind w:left="0" w:leftChars="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投标人名称：</w:t>
      </w:r>
    </w:p>
    <w:p w14:paraId="67FA596F">
      <w:pPr>
        <w:adjustRightInd w:val="0"/>
        <w:snapToGrid w:val="0"/>
        <w:spacing w:line="360" w:lineRule="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法定代表人或其委托代理人(签字或盖章)：</w:t>
      </w:r>
    </w:p>
    <w:p w14:paraId="0AFE1416">
      <w:pPr>
        <w:pStyle w:val="10"/>
        <w:snapToGrid w:val="0"/>
        <w:spacing w:line="360" w:lineRule="auto"/>
        <w:rPr>
          <w:rFonts w:hint="eastAsia" w:ascii="仿宋" w:hAnsi="仿宋" w:eastAsia="仿宋" w:cs="仿宋"/>
          <w:sz w:val="32"/>
          <w:szCs w:val="32"/>
          <w:highlight w:val="none"/>
          <w:lang w:val="en-US" w:eastAsia="zh-CN"/>
        </w:rPr>
        <w:sectPr>
          <w:footerReference r:id="rId23" w:type="default"/>
          <w:pgSz w:w="11906" w:h="16838"/>
          <w:pgMar w:top="1440" w:right="1797" w:bottom="1440" w:left="1797" w:header="851" w:footer="992" w:gutter="0"/>
          <w:pgNumType w:fmt="decimal"/>
          <w:cols w:space="720" w:num="1"/>
          <w:docGrid w:linePitch="312" w:charSpace="0"/>
        </w:sectPr>
      </w:pPr>
      <w:r>
        <w:rPr>
          <w:rFonts w:hint="eastAsia" w:ascii="仿宋" w:hAnsi="仿宋" w:eastAsia="仿宋" w:cs="仿宋"/>
          <w:sz w:val="28"/>
          <w:szCs w:val="28"/>
          <w:highlight w:val="none"/>
        </w:rPr>
        <w:t>日期：年</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 xml:space="preserve"> 日</w:t>
      </w:r>
    </w:p>
    <w:bookmarkEnd w:id="123"/>
    <w:bookmarkEnd w:id="124"/>
    <w:bookmarkEnd w:id="125"/>
    <w:bookmarkEnd w:id="126"/>
    <w:bookmarkEnd w:id="127"/>
    <w:p w14:paraId="53CB7A74">
      <w:pPr>
        <w:snapToGrid w:val="0"/>
        <w:spacing w:line="360" w:lineRule="auto"/>
        <w:ind w:firstLine="560" w:firstLineChars="200"/>
        <w:jc w:val="center"/>
        <w:textAlignment w:val="baseline"/>
        <w:rPr>
          <w:rFonts w:hint="eastAsia" w:ascii="仿宋" w:hAnsi="仿宋" w:eastAsia="仿宋" w:cs="仿宋"/>
          <w:highlight w:val="none"/>
        </w:rPr>
      </w:pPr>
      <w:bookmarkStart w:id="129" w:name="_Toc24702"/>
      <w:bookmarkStart w:id="130" w:name="_Toc28099"/>
      <w:bookmarkStart w:id="131" w:name="_Toc515647827"/>
      <w:bookmarkStart w:id="132" w:name="_Toc10002"/>
      <w:bookmarkStart w:id="133" w:name="_Toc30795"/>
      <w:r>
        <w:rPr>
          <w:rFonts w:hint="eastAsia" w:ascii="仿宋" w:hAnsi="仿宋" w:eastAsia="仿宋" w:cs="仿宋"/>
          <w:sz w:val="28"/>
          <w:szCs w:val="28"/>
          <w:highlight w:val="none"/>
        </w:rPr>
        <w:t>6-1</w:t>
      </w:r>
      <w:bookmarkEnd w:id="129"/>
      <w:r>
        <w:rPr>
          <w:rFonts w:hint="eastAsia" w:ascii="仿宋" w:hAnsi="仿宋" w:eastAsia="仿宋" w:cs="仿宋"/>
          <w:b/>
          <w:bCs/>
          <w:kern w:val="0"/>
          <w:sz w:val="28"/>
          <w:szCs w:val="28"/>
          <w:highlight w:val="none"/>
        </w:rPr>
        <w:t>中小企业声明函（服务）</w:t>
      </w:r>
    </w:p>
    <w:p w14:paraId="79BCC30C">
      <w:pPr>
        <w:pStyle w:val="7"/>
        <w:tabs>
          <w:tab w:val="left" w:pos="567"/>
        </w:tabs>
        <w:spacing w:before="78" w:line="360" w:lineRule="auto"/>
        <w:ind w:left="21" w:firstLine="480"/>
        <w:rPr>
          <w:rFonts w:hint="eastAsia" w:ascii="仿宋" w:hAnsi="仿宋" w:eastAsia="仿宋" w:cs="仿宋"/>
          <w:sz w:val="28"/>
          <w:szCs w:val="28"/>
          <w:highlight w:val="none"/>
        </w:rPr>
      </w:pPr>
      <w:r>
        <w:rPr>
          <w:rFonts w:hint="eastAsia" w:ascii="仿宋" w:hAnsi="仿宋" w:eastAsia="仿宋" w:cs="仿宋"/>
          <w:spacing w:val="-1"/>
          <w:sz w:val="28"/>
          <w:szCs w:val="28"/>
          <w:highlight w:val="none"/>
        </w:rPr>
        <w:t>本公司（联合体）郑重声明，根据《政府采购促进中小企业发展管理办法》（财库﹝2020﹞46号）的规定，本公司（联合体）参加</w:t>
      </w:r>
      <w:r>
        <w:rPr>
          <w:rFonts w:hint="eastAsia" w:ascii="仿宋" w:hAnsi="仿宋" w:eastAsia="仿宋" w:cs="仿宋"/>
          <w:spacing w:val="-1"/>
          <w:sz w:val="28"/>
          <w:szCs w:val="28"/>
          <w:highlight w:val="none"/>
          <w:u w:val="single"/>
        </w:rPr>
        <w:t>（单位名称）</w:t>
      </w:r>
      <w:r>
        <w:rPr>
          <w:rFonts w:hint="eastAsia" w:ascii="仿宋" w:hAnsi="仿宋" w:eastAsia="仿宋" w:cs="仿宋"/>
          <w:spacing w:val="-1"/>
          <w:sz w:val="28"/>
          <w:szCs w:val="28"/>
          <w:highlight w:val="none"/>
        </w:rPr>
        <w:t>的</w:t>
      </w:r>
      <w:r>
        <w:rPr>
          <w:rFonts w:hint="eastAsia" w:ascii="仿宋" w:hAnsi="仿宋" w:eastAsia="仿宋" w:cs="仿宋"/>
          <w:spacing w:val="-1"/>
          <w:sz w:val="28"/>
          <w:szCs w:val="28"/>
          <w:highlight w:val="none"/>
          <w:u w:val="single"/>
        </w:rPr>
        <w:t>（项目</w:t>
      </w:r>
      <w:r>
        <w:rPr>
          <w:rFonts w:hint="eastAsia" w:ascii="仿宋" w:hAnsi="仿宋" w:eastAsia="仿宋" w:cs="仿宋"/>
          <w:spacing w:val="-3"/>
          <w:sz w:val="28"/>
          <w:szCs w:val="28"/>
          <w:highlight w:val="none"/>
          <w:u w:val="single"/>
        </w:rPr>
        <w:t>名称）</w:t>
      </w:r>
      <w:r>
        <w:rPr>
          <w:rFonts w:hint="eastAsia" w:ascii="仿宋" w:hAnsi="仿宋" w:eastAsia="仿宋" w:cs="仿宋"/>
          <w:spacing w:val="-3"/>
          <w:sz w:val="28"/>
          <w:szCs w:val="28"/>
          <w:highlight w:val="none"/>
        </w:rPr>
        <w:t>采购活动，服务</w:t>
      </w:r>
      <w:r>
        <w:rPr>
          <w:rFonts w:hint="eastAsia" w:ascii="仿宋" w:hAnsi="仿宋" w:eastAsia="仿宋" w:cs="仿宋"/>
          <w:sz w:val="28"/>
          <w:szCs w:val="28"/>
          <w:highlight w:val="none"/>
        </w:rPr>
        <w:t>全部由符合政策要求的中小企业承接。相关企业（含联合体中的中小企业、</w:t>
      </w:r>
      <w:r>
        <w:rPr>
          <w:rFonts w:hint="eastAsia" w:ascii="仿宋" w:hAnsi="仿宋" w:eastAsia="仿宋" w:cs="仿宋"/>
          <w:spacing w:val="-1"/>
          <w:sz w:val="28"/>
          <w:szCs w:val="28"/>
          <w:highlight w:val="none"/>
        </w:rPr>
        <w:t>签订分包意向协议的中小企业）的具体情况如下：</w:t>
      </w:r>
    </w:p>
    <w:p w14:paraId="60816638">
      <w:pPr>
        <w:pStyle w:val="7"/>
        <w:tabs>
          <w:tab w:val="left" w:pos="567"/>
        </w:tabs>
        <w:spacing w:before="78" w:line="360" w:lineRule="auto"/>
        <w:ind w:left="23" w:right="74" w:firstLine="494"/>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1.</w:t>
      </w:r>
      <w:r>
        <w:rPr>
          <w:rFonts w:hint="eastAsia" w:ascii="仿宋" w:hAnsi="仿宋" w:eastAsia="仿宋" w:cs="仿宋"/>
          <w:spacing w:val="-3"/>
          <w:sz w:val="28"/>
          <w:szCs w:val="28"/>
          <w:highlight w:val="none"/>
          <w:u w:val="single"/>
        </w:rPr>
        <w:t>（标的名称</w:t>
      </w:r>
      <w:r>
        <w:rPr>
          <w:rFonts w:hint="eastAsia" w:ascii="仿宋" w:hAnsi="仿宋" w:eastAsia="仿宋" w:cs="仿宋"/>
          <w:spacing w:val="-6"/>
          <w:sz w:val="28"/>
          <w:szCs w:val="28"/>
          <w:highlight w:val="none"/>
          <w:u w:val="single"/>
        </w:rPr>
        <w:t>）</w:t>
      </w:r>
      <w:r>
        <w:rPr>
          <w:rFonts w:hint="eastAsia" w:ascii="仿宋" w:hAnsi="仿宋" w:eastAsia="仿宋" w:cs="仿宋"/>
          <w:spacing w:val="-6"/>
          <w:sz w:val="28"/>
          <w:szCs w:val="28"/>
          <w:highlight w:val="none"/>
        </w:rPr>
        <w:t>，</w:t>
      </w:r>
      <w:r>
        <w:rPr>
          <w:rFonts w:hint="eastAsia" w:ascii="仿宋" w:hAnsi="仿宋" w:eastAsia="仿宋" w:cs="仿宋"/>
          <w:spacing w:val="-3"/>
          <w:sz w:val="28"/>
          <w:szCs w:val="28"/>
          <w:highlight w:val="none"/>
        </w:rPr>
        <w:t>属于</w:t>
      </w:r>
      <w:r>
        <w:rPr>
          <w:rFonts w:hint="eastAsia" w:ascii="仿宋" w:hAnsi="仿宋" w:eastAsia="仿宋" w:cs="仿宋"/>
          <w:spacing w:val="-3"/>
          <w:sz w:val="28"/>
          <w:szCs w:val="28"/>
          <w:highlight w:val="none"/>
          <w:u w:val="single"/>
        </w:rPr>
        <w:t>（采购文件中明确的所属行业</w:t>
      </w:r>
      <w:r>
        <w:rPr>
          <w:rFonts w:hint="eastAsia" w:ascii="仿宋" w:hAnsi="仿宋" w:eastAsia="仿宋" w:cs="仿宋"/>
          <w:spacing w:val="-6"/>
          <w:sz w:val="28"/>
          <w:szCs w:val="28"/>
          <w:highlight w:val="none"/>
          <w:u w:val="single"/>
        </w:rPr>
        <w:t>）</w:t>
      </w:r>
      <w:r>
        <w:rPr>
          <w:rFonts w:hint="eastAsia" w:ascii="仿宋" w:hAnsi="仿宋" w:eastAsia="仿宋" w:cs="仿宋"/>
          <w:spacing w:val="-6"/>
          <w:sz w:val="28"/>
          <w:szCs w:val="28"/>
          <w:highlight w:val="none"/>
        </w:rPr>
        <w:t>；</w:t>
      </w:r>
      <w:r>
        <w:rPr>
          <w:rFonts w:hint="eastAsia" w:ascii="仿宋" w:hAnsi="仿宋" w:eastAsia="仿宋" w:cs="仿宋"/>
          <w:spacing w:val="-4"/>
          <w:sz w:val="28"/>
          <w:szCs w:val="28"/>
          <w:highlight w:val="none"/>
        </w:rPr>
        <w:t>承接企业</w:t>
      </w:r>
      <w:r>
        <w:rPr>
          <w:rFonts w:hint="eastAsia" w:ascii="仿宋" w:hAnsi="仿宋" w:eastAsia="仿宋" w:cs="仿宋"/>
          <w:spacing w:val="-6"/>
          <w:sz w:val="28"/>
          <w:szCs w:val="28"/>
          <w:highlight w:val="none"/>
        </w:rPr>
        <w:t>为</w:t>
      </w:r>
      <w:r>
        <w:rPr>
          <w:rFonts w:hint="eastAsia" w:ascii="仿宋" w:hAnsi="仿宋" w:eastAsia="仿宋" w:cs="仿宋"/>
          <w:spacing w:val="-6"/>
          <w:sz w:val="28"/>
          <w:szCs w:val="28"/>
          <w:highlight w:val="none"/>
          <w:u w:val="single"/>
        </w:rPr>
        <w:t>（企业名称</w:t>
      </w:r>
      <w:r>
        <w:rPr>
          <w:rFonts w:hint="eastAsia" w:ascii="仿宋" w:hAnsi="仿宋" w:eastAsia="仿宋" w:cs="仿宋"/>
          <w:spacing w:val="7"/>
          <w:sz w:val="28"/>
          <w:szCs w:val="28"/>
          <w:highlight w:val="none"/>
          <w:u w:val="single"/>
        </w:rPr>
        <w:t>）</w:t>
      </w:r>
      <w:r>
        <w:rPr>
          <w:rFonts w:hint="eastAsia" w:ascii="仿宋" w:hAnsi="仿宋" w:eastAsia="仿宋" w:cs="仿宋"/>
          <w:spacing w:val="7"/>
          <w:sz w:val="28"/>
          <w:szCs w:val="28"/>
          <w:highlight w:val="none"/>
        </w:rPr>
        <w:t>，</w:t>
      </w:r>
      <w:r>
        <w:rPr>
          <w:rFonts w:hint="eastAsia" w:ascii="仿宋" w:hAnsi="仿宋" w:eastAsia="仿宋" w:cs="仿宋"/>
          <w:spacing w:val="-6"/>
          <w:sz w:val="28"/>
          <w:szCs w:val="28"/>
          <w:highlight w:val="none"/>
        </w:rPr>
        <w:t>从业人员人，营业收入为万元，资产总额</w:t>
      </w:r>
      <w:r>
        <w:rPr>
          <w:rFonts w:hint="eastAsia" w:ascii="仿宋" w:hAnsi="仿宋" w:eastAsia="仿宋" w:cs="仿宋"/>
          <w:spacing w:val="-2"/>
          <w:sz w:val="28"/>
          <w:szCs w:val="28"/>
          <w:highlight w:val="none"/>
        </w:rPr>
        <w:t>为万元，属于</w:t>
      </w:r>
      <w:r>
        <w:rPr>
          <w:rFonts w:hint="eastAsia" w:ascii="仿宋" w:hAnsi="仿宋" w:eastAsia="仿宋" w:cs="仿宋"/>
          <w:spacing w:val="-2"/>
          <w:sz w:val="28"/>
          <w:szCs w:val="28"/>
          <w:highlight w:val="none"/>
          <w:u w:val="single"/>
        </w:rPr>
        <w:t>（中型企业、小型企业、微型企业</w:t>
      </w:r>
      <w:r>
        <w:rPr>
          <w:rFonts w:hint="eastAsia" w:ascii="仿宋" w:hAnsi="仿宋" w:eastAsia="仿宋" w:cs="仿宋"/>
          <w:spacing w:val="7"/>
          <w:sz w:val="28"/>
          <w:szCs w:val="28"/>
          <w:highlight w:val="none"/>
          <w:u w:val="single"/>
        </w:rPr>
        <w:t>）</w:t>
      </w:r>
      <w:r>
        <w:rPr>
          <w:rFonts w:hint="eastAsia" w:ascii="仿宋" w:hAnsi="仿宋" w:eastAsia="仿宋" w:cs="仿宋"/>
          <w:spacing w:val="7"/>
          <w:sz w:val="28"/>
          <w:szCs w:val="28"/>
          <w:highlight w:val="none"/>
        </w:rPr>
        <w:t>；</w:t>
      </w:r>
    </w:p>
    <w:p w14:paraId="2482156E">
      <w:pPr>
        <w:pStyle w:val="7"/>
        <w:tabs>
          <w:tab w:val="left" w:pos="567"/>
        </w:tabs>
        <w:spacing w:before="78" w:line="360" w:lineRule="auto"/>
        <w:ind w:left="23" w:right="74" w:firstLine="480"/>
        <w:rPr>
          <w:rFonts w:hint="eastAsia" w:ascii="仿宋" w:hAnsi="仿宋" w:eastAsia="仿宋" w:cs="仿宋"/>
          <w:sz w:val="28"/>
          <w:szCs w:val="28"/>
          <w:highlight w:val="none"/>
        </w:rPr>
      </w:pPr>
      <w:r>
        <w:rPr>
          <w:rFonts w:hint="eastAsia" w:ascii="仿宋" w:hAnsi="仿宋" w:eastAsia="仿宋" w:cs="仿宋"/>
          <w:spacing w:val="-3"/>
          <w:sz w:val="28"/>
          <w:szCs w:val="28"/>
          <w:highlight w:val="none"/>
        </w:rPr>
        <w:t>2.</w:t>
      </w:r>
      <w:r>
        <w:rPr>
          <w:rFonts w:hint="eastAsia" w:ascii="仿宋" w:hAnsi="仿宋" w:eastAsia="仿宋" w:cs="仿宋"/>
          <w:spacing w:val="-3"/>
          <w:sz w:val="28"/>
          <w:szCs w:val="28"/>
          <w:highlight w:val="none"/>
          <w:u w:val="single"/>
        </w:rPr>
        <w:t>（标的名称</w:t>
      </w:r>
      <w:r>
        <w:rPr>
          <w:rFonts w:hint="eastAsia" w:ascii="仿宋" w:hAnsi="仿宋" w:eastAsia="仿宋" w:cs="仿宋"/>
          <w:spacing w:val="-4"/>
          <w:sz w:val="28"/>
          <w:szCs w:val="28"/>
          <w:highlight w:val="none"/>
          <w:u w:val="single"/>
        </w:rPr>
        <w:t>）</w:t>
      </w:r>
      <w:r>
        <w:rPr>
          <w:rFonts w:hint="eastAsia" w:ascii="仿宋" w:hAnsi="仿宋" w:eastAsia="仿宋" w:cs="仿宋"/>
          <w:spacing w:val="-4"/>
          <w:sz w:val="28"/>
          <w:szCs w:val="28"/>
          <w:highlight w:val="none"/>
        </w:rPr>
        <w:t>，</w:t>
      </w:r>
      <w:r>
        <w:rPr>
          <w:rFonts w:hint="eastAsia" w:ascii="仿宋" w:hAnsi="仿宋" w:eastAsia="仿宋" w:cs="仿宋"/>
          <w:spacing w:val="-3"/>
          <w:sz w:val="28"/>
          <w:szCs w:val="28"/>
          <w:highlight w:val="none"/>
        </w:rPr>
        <w:t>属于（采购文件中明确的所属行业</w:t>
      </w:r>
      <w:r>
        <w:rPr>
          <w:rFonts w:hint="eastAsia" w:ascii="仿宋" w:hAnsi="仿宋" w:eastAsia="仿宋" w:cs="仿宋"/>
          <w:spacing w:val="-4"/>
          <w:sz w:val="28"/>
          <w:szCs w:val="28"/>
          <w:highlight w:val="none"/>
        </w:rPr>
        <w:t>）；</w:t>
      </w:r>
      <w:r>
        <w:rPr>
          <w:rFonts w:hint="eastAsia" w:ascii="仿宋" w:hAnsi="仿宋" w:eastAsia="仿宋" w:cs="仿宋"/>
          <w:spacing w:val="-3"/>
          <w:sz w:val="28"/>
          <w:szCs w:val="28"/>
          <w:highlight w:val="none"/>
        </w:rPr>
        <w:t>承接企业为</w:t>
      </w:r>
      <w:r>
        <w:rPr>
          <w:rFonts w:hint="eastAsia" w:ascii="仿宋" w:hAnsi="仿宋" w:eastAsia="仿宋" w:cs="仿宋"/>
          <w:spacing w:val="-3"/>
          <w:sz w:val="28"/>
          <w:szCs w:val="28"/>
          <w:highlight w:val="none"/>
          <w:u w:val="single"/>
        </w:rPr>
        <w:t>（企业名称</w:t>
      </w:r>
      <w:r>
        <w:rPr>
          <w:rFonts w:hint="eastAsia" w:ascii="仿宋" w:hAnsi="仿宋" w:eastAsia="仿宋" w:cs="仿宋"/>
          <w:spacing w:val="14"/>
          <w:sz w:val="28"/>
          <w:szCs w:val="28"/>
          <w:highlight w:val="none"/>
          <w:u w:val="single"/>
        </w:rPr>
        <w:t>）</w:t>
      </w:r>
      <w:r>
        <w:rPr>
          <w:rFonts w:hint="eastAsia" w:ascii="仿宋" w:hAnsi="仿宋" w:eastAsia="仿宋" w:cs="仿宋"/>
          <w:spacing w:val="14"/>
          <w:sz w:val="28"/>
          <w:szCs w:val="28"/>
          <w:highlight w:val="none"/>
        </w:rPr>
        <w:t>，</w:t>
      </w:r>
      <w:r>
        <w:rPr>
          <w:rFonts w:hint="eastAsia" w:ascii="仿宋" w:hAnsi="仿宋" w:eastAsia="仿宋" w:cs="仿宋"/>
          <w:spacing w:val="-3"/>
          <w:sz w:val="28"/>
          <w:szCs w:val="28"/>
          <w:highlight w:val="none"/>
        </w:rPr>
        <w:t>从业人员人，营业收入为万元，资产</w:t>
      </w:r>
      <w:r>
        <w:rPr>
          <w:rFonts w:hint="eastAsia" w:ascii="仿宋" w:hAnsi="仿宋" w:eastAsia="仿宋" w:cs="仿宋"/>
          <w:spacing w:val="-1"/>
          <w:sz w:val="28"/>
          <w:szCs w:val="28"/>
          <w:highlight w:val="none"/>
        </w:rPr>
        <w:t>总额为万元，属于</w:t>
      </w:r>
      <w:r>
        <w:rPr>
          <w:rFonts w:hint="eastAsia" w:ascii="仿宋" w:hAnsi="仿宋" w:eastAsia="仿宋" w:cs="仿宋"/>
          <w:spacing w:val="-1"/>
          <w:sz w:val="28"/>
          <w:szCs w:val="28"/>
          <w:highlight w:val="none"/>
          <w:u w:val="single"/>
        </w:rPr>
        <w:t>（中型企业、小型企业</w:t>
      </w:r>
      <w:r>
        <w:rPr>
          <w:rFonts w:hint="eastAsia" w:ascii="仿宋" w:hAnsi="仿宋" w:eastAsia="仿宋" w:cs="仿宋"/>
          <w:spacing w:val="-2"/>
          <w:sz w:val="28"/>
          <w:szCs w:val="28"/>
          <w:highlight w:val="none"/>
          <w:u w:val="single"/>
        </w:rPr>
        <w:t>、微型企业</w:t>
      </w:r>
      <w:r>
        <w:rPr>
          <w:rFonts w:hint="eastAsia" w:ascii="仿宋" w:hAnsi="仿宋" w:eastAsia="仿宋" w:cs="仿宋"/>
          <w:sz w:val="28"/>
          <w:szCs w:val="28"/>
          <w:highlight w:val="none"/>
          <w:u w:val="single"/>
        </w:rPr>
        <w:t>）</w:t>
      </w:r>
      <w:r>
        <w:rPr>
          <w:rFonts w:hint="eastAsia" w:ascii="仿宋" w:hAnsi="仿宋" w:eastAsia="仿宋" w:cs="仿宋"/>
          <w:sz w:val="28"/>
          <w:szCs w:val="28"/>
          <w:highlight w:val="none"/>
        </w:rPr>
        <w:t>；</w:t>
      </w:r>
    </w:p>
    <w:p w14:paraId="297474BE">
      <w:pPr>
        <w:pStyle w:val="7"/>
        <w:tabs>
          <w:tab w:val="left" w:pos="567"/>
        </w:tabs>
        <w:spacing w:before="78" w:line="360" w:lineRule="auto"/>
        <w:ind w:left="20" w:right="74" w:firstLine="28"/>
        <w:rPr>
          <w:rFonts w:hint="eastAsia" w:ascii="仿宋" w:hAnsi="仿宋" w:eastAsia="仿宋" w:cs="仿宋"/>
          <w:sz w:val="28"/>
          <w:szCs w:val="28"/>
          <w:highlight w:val="none"/>
        </w:rPr>
      </w:pPr>
      <w:r>
        <w:rPr>
          <w:rFonts w:hint="eastAsia" w:ascii="仿宋" w:hAnsi="仿宋" w:eastAsia="仿宋" w:cs="仿宋"/>
          <w:spacing w:val="-4"/>
          <w:sz w:val="28"/>
          <w:szCs w:val="28"/>
          <w:highlight w:val="none"/>
        </w:rPr>
        <w:t>以上企业，不属于大企业的分支机构，不存在控股股东为大企业的情形，也不存</w:t>
      </w:r>
      <w:r>
        <w:rPr>
          <w:rFonts w:hint="eastAsia" w:ascii="仿宋" w:hAnsi="仿宋" w:eastAsia="仿宋" w:cs="仿宋"/>
          <w:spacing w:val="-1"/>
          <w:sz w:val="28"/>
          <w:szCs w:val="28"/>
          <w:highlight w:val="none"/>
        </w:rPr>
        <w:t>在与大企业的负责人为同一人的情形。</w:t>
      </w:r>
    </w:p>
    <w:p w14:paraId="7BEA6113">
      <w:pPr>
        <w:spacing w:line="360" w:lineRule="auto"/>
        <w:rPr>
          <w:rFonts w:hint="eastAsia" w:ascii="仿宋" w:hAnsi="仿宋" w:eastAsia="仿宋" w:cs="仿宋"/>
          <w:sz w:val="28"/>
          <w:szCs w:val="28"/>
          <w:highlight w:val="none"/>
        </w:rPr>
      </w:pPr>
    </w:p>
    <w:p w14:paraId="26ADAA04">
      <w:pPr>
        <w:pStyle w:val="7"/>
        <w:tabs>
          <w:tab w:val="left" w:pos="567"/>
        </w:tabs>
        <w:spacing w:before="79" w:line="360" w:lineRule="auto"/>
        <w:ind w:left="499"/>
        <w:rPr>
          <w:rFonts w:hint="eastAsia" w:ascii="仿宋" w:hAnsi="仿宋" w:eastAsia="仿宋" w:cs="仿宋"/>
          <w:sz w:val="28"/>
          <w:szCs w:val="28"/>
          <w:highlight w:val="none"/>
        </w:rPr>
      </w:pPr>
      <w:r>
        <w:rPr>
          <w:rFonts w:hint="eastAsia" w:ascii="仿宋" w:hAnsi="仿宋" w:eastAsia="仿宋" w:cs="仿宋"/>
          <w:sz w:val="28"/>
          <w:szCs w:val="28"/>
          <w:highlight w:val="none"/>
        </w:rPr>
        <w:t>本企业对上述声明内容的真实性负责。如有虚</w:t>
      </w:r>
      <w:r>
        <w:rPr>
          <w:rFonts w:hint="eastAsia" w:ascii="仿宋" w:hAnsi="仿宋" w:eastAsia="仿宋" w:cs="仿宋"/>
          <w:spacing w:val="-1"/>
          <w:sz w:val="28"/>
          <w:szCs w:val="28"/>
          <w:highlight w:val="none"/>
        </w:rPr>
        <w:t>假，将依法承担相应责任。</w:t>
      </w:r>
    </w:p>
    <w:p w14:paraId="651F5670">
      <w:pPr>
        <w:spacing w:line="278" w:lineRule="auto"/>
        <w:rPr>
          <w:rFonts w:hint="eastAsia" w:ascii="仿宋" w:hAnsi="仿宋" w:eastAsia="仿宋" w:cs="仿宋"/>
          <w:sz w:val="28"/>
          <w:szCs w:val="28"/>
          <w:highlight w:val="none"/>
        </w:rPr>
      </w:pPr>
    </w:p>
    <w:p w14:paraId="5875B5D2">
      <w:pPr>
        <w:spacing w:line="278" w:lineRule="auto"/>
        <w:rPr>
          <w:rFonts w:hint="eastAsia" w:ascii="仿宋" w:hAnsi="仿宋" w:eastAsia="仿宋" w:cs="仿宋"/>
          <w:sz w:val="28"/>
          <w:szCs w:val="28"/>
          <w:highlight w:val="none"/>
        </w:rPr>
      </w:pPr>
    </w:p>
    <w:p w14:paraId="1FC534DD">
      <w:pPr>
        <w:pStyle w:val="7"/>
        <w:tabs>
          <w:tab w:val="left" w:pos="567"/>
        </w:tabs>
        <w:spacing w:before="78" w:line="219" w:lineRule="auto"/>
        <w:ind w:left="3983"/>
        <w:rPr>
          <w:rFonts w:hint="eastAsia" w:ascii="仿宋" w:hAnsi="仿宋" w:eastAsia="仿宋" w:cs="仿宋"/>
          <w:highlight w:val="none"/>
          <w:lang w:eastAsia="zh-CN"/>
        </w:rPr>
      </w:pPr>
      <w:r>
        <w:rPr>
          <w:rFonts w:hint="eastAsia" w:ascii="仿宋" w:hAnsi="仿宋" w:eastAsia="仿宋" w:cs="仿宋"/>
          <w:spacing w:val="-2"/>
          <w:sz w:val="28"/>
          <w:szCs w:val="28"/>
          <w:highlight w:val="none"/>
        </w:rPr>
        <w:t>投标人名称（盖单位章</w:t>
      </w:r>
      <w:r>
        <w:rPr>
          <w:rFonts w:hint="eastAsia" w:ascii="仿宋" w:hAnsi="仿宋" w:eastAsia="仿宋" w:cs="仿宋"/>
          <w:spacing w:val="3"/>
          <w:sz w:val="28"/>
          <w:szCs w:val="28"/>
          <w:highlight w:val="none"/>
        </w:rPr>
        <w:t>）：</w:t>
      </w:r>
    </w:p>
    <w:p w14:paraId="0B4E7174">
      <w:pPr>
        <w:spacing w:line="283" w:lineRule="auto"/>
        <w:rPr>
          <w:rFonts w:hint="eastAsia" w:ascii="仿宋" w:hAnsi="仿宋" w:eastAsia="仿宋" w:cs="仿宋"/>
          <w:highlight w:val="none"/>
        </w:rPr>
      </w:pPr>
    </w:p>
    <w:p w14:paraId="79C85E82">
      <w:pPr>
        <w:spacing w:line="284" w:lineRule="auto"/>
        <w:rPr>
          <w:rFonts w:hint="eastAsia" w:ascii="仿宋" w:hAnsi="仿宋" w:eastAsia="仿宋" w:cs="仿宋"/>
          <w:highlight w:val="none"/>
        </w:rPr>
      </w:pPr>
    </w:p>
    <w:p w14:paraId="3967440E">
      <w:pPr>
        <w:pStyle w:val="7"/>
        <w:tabs>
          <w:tab w:val="left" w:pos="567"/>
        </w:tabs>
        <w:spacing w:before="79" w:line="220" w:lineRule="auto"/>
        <w:ind w:left="4022"/>
        <w:rPr>
          <w:rFonts w:hint="eastAsia" w:ascii="仿宋" w:hAnsi="仿宋" w:eastAsia="仿宋" w:cs="仿宋"/>
          <w:sz w:val="28"/>
          <w:szCs w:val="28"/>
          <w:highlight w:val="none"/>
          <w:u w:val="single"/>
          <w:lang w:eastAsia="zh-CN"/>
        </w:rPr>
      </w:pPr>
      <w:r>
        <w:rPr>
          <w:rFonts w:hint="eastAsia" w:ascii="仿宋" w:hAnsi="仿宋" w:eastAsia="仿宋" w:cs="仿宋"/>
          <w:spacing w:val="-22"/>
          <w:sz w:val="28"/>
          <w:szCs w:val="28"/>
          <w:highlight w:val="none"/>
        </w:rPr>
        <w:t>日期：</w:t>
      </w:r>
    </w:p>
    <w:p w14:paraId="746AB0FD">
      <w:pPr>
        <w:pStyle w:val="23"/>
        <w:rPr>
          <w:rFonts w:hint="eastAsia"/>
          <w:highlight w:val="none"/>
        </w:rPr>
      </w:pPr>
    </w:p>
    <w:p w14:paraId="53831BD4">
      <w:pPr>
        <w:rPr>
          <w:rFonts w:hint="eastAsia" w:ascii="仿宋" w:hAnsi="仿宋" w:eastAsia="仿宋" w:cs="仿宋"/>
          <w:sz w:val="28"/>
          <w:szCs w:val="28"/>
          <w:highlight w:val="none"/>
          <w:lang w:eastAsia="zh-CN"/>
        </w:rPr>
      </w:pPr>
      <w:r>
        <w:rPr>
          <w:rFonts w:hint="eastAsia" w:ascii="仿宋" w:hAnsi="仿宋" w:eastAsia="仿宋" w:cs="仿宋"/>
          <w:b/>
          <w:sz w:val="24"/>
          <w:highlight w:val="none"/>
        </w:rPr>
        <w:t>注：1、从业人员、营业收入、资产总额填报上一年度数据，无上一年度数据的新成立企业可不填报。新成立企业应参照国务院批准的中小企业划分标准，根据企业自身情况如实判断。认为本企业属于中小企业的，可按照《办法，财库〔2021〕6号》的规定出具《中小企业声明函》，享受相关扶持政策。</w:t>
      </w:r>
    </w:p>
    <w:p w14:paraId="7903A4E2">
      <w:pPr>
        <w:spacing w:line="440" w:lineRule="exact"/>
        <w:jc w:val="center"/>
        <w:outlineLvl w:val="1"/>
        <w:rPr>
          <w:rFonts w:hint="eastAsia" w:ascii="仿宋" w:hAnsi="仿宋" w:eastAsia="仿宋" w:cs="仿宋"/>
          <w:b/>
          <w:color w:val="auto"/>
          <w:sz w:val="32"/>
          <w:szCs w:val="32"/>
          <w:highlight w:val="none"/>
          <w:lang w:val="en-US"/>
        </w:rPr>
      </w:pPr>
    </w:p>
    <w:p w14:paraId="304B62E5">
      <w:pPr>
        <w:spacing w:line="440" w:lineRule="exact"/>
        <w:jc w:val="center"/>
        <w:outlineLvl w:val="1"/>
        <w:rPr>
          <w:rFonts w:hint="eastAsia" w:ascii="仿宋" w:hAnsi="仿宋" w:eastAsia="仿宋" w:cs="仿宋"/>
          <w:b/>
          <w:color w:val="auto"/>
          <w:sz w:val="32"/>
          <w:szCs w:val="32"/>
          <w:highlight w:val="none"/>
          <w:lang w:val="en-US"/>
        </w:rPr>
      </w:pPr>
    </w:p>
    <w:p w14:paraId="3321728D">
      <w:pPr>
        <w:spacing w:line="440" w:lineRule="exact"/>
        <w:jc w:val="center"/>
        <w:outlineLvl w:val="1"/>
        <w:rPr>
          <w:rFonts w:hint="eastAsia" w:ascii="仿宋" w:hAnsi="仿宋" w:eastAsia="仿宋" w:cs="仿宋"/>
          <w:b/>
          <w:color w:val="auto"/>
          <w:sz w:val="32"/>
          <w:szCs w:val="32"/>
          <w:highlight w:val="none"/>
          <w:lang w:val="en-US"/>
        </w:rPr>
      </w:pPr>
      <w:bookmarkStart w:id="134" w:name="_Toc29398"/>
      <w:r>
        <w:rPr>
          <w:rFonts w:hint="eastAsia" w:ascii="仿宋" w:hAnsi="仿宋" w:eastAsia="仿宋" w:cs="仿宋"/>
          <w:b/>
          <w:color w:val="auto"/>
          <w:sz w:val="32"/>
          <w:szCs w:val="32"/>
          <w:highlight w:val="none"/>
          <w:lang w:val="en-US"/>
        </w:rPr>
        <w:t>中小企业划分标准</w:t>
      </w:r>
      <w:bookmarkEnd w:id="134"/>
    </w:p>
    <w:p w14:paraId="1706705B">
      <w:pPr>
        <w:spacing w:line="440" w:lineRule="exact"/>
        <w:jc w:val="center"/>
        <w:outlineLvl w:val="1"/>
        <w:rPr>
          <w:rFonts w:hint="eastAsia" w:ascii="仿宋" w:hAnsi="仿宋" w:eastAsia="仿宋" w:cs="仿宋"/>
          <w:b/>
          <w:color w:val="auto"/>
          <w:sz w:val="32"/>
          <w:szCs w:val="32"/>
          <w:highlight w:val="none"/>
          <w:lang w:val="en-US" w:eastAsia="zh-CN"/>
        </w:rPr>
      </w:pPr>
    </w:p>
    <w:p w14:paraId="5F6768E2">
      <w:pPr>
        <w:spacing w:line="440" w:lineRule="exact"/>
        <w:jc w:val="left"/>
        <w:outlineLvl w:val="9"/>
        <w:rPr>
          <w:rFonts w:hint="eastAsia" w:ascii="仿宋" w:hAnsi="仿宋" w:eastAsia="仿宋" w:cs="仿宋"/>
          <w:b/>
          <w:color w:val="auto"/>
          <w:sz w:val="32"/>
          <w:szCs w:val="32"/>
          <w:highlight w:val="none"/>
        </w:rPr>
      </w:pPr>
      <w:r>
        <w:rPr>
          <w:rFonts w:hint="eastAsia" w:ascii="仿宋" w:hAnsi="仿宋" w:eastAsia="仿宋" w:cs="仿宋"/>
          <w:b/>
          <w:bCs w:val="0"/>
          <w:color w:val="auto"/>
          <w:sz w:val="24"/>
          <w:szCs w:val="24"/>
          <w:highlight w:val="none"/>
          <w:lang w:val="en-US" w:eastAsia="zh-CN"/>
        </w:rPr>
        <w:t>工业和信息化部、国家统计局、发展改革委、财政部等四部门《关于印发中小企业划型标准规定的通知》（工信部联企业〔2011〕300号）规定中小企业划型标准如表所示：</w:t>
      </w:r>
    </w:p>
    <w:tbl>
      <w:tblPr>
        <w:tblStyle w:val="20"/>
        <w:tblW w:w="95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11"/>
        <w:gridCol w:w="1610"/>
        <w:gridCol w:w="6158"/>
      </w:tblGrid>
      <w:tr w14:paraId="21806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1126AC">
            <w:pPr>
              <w:keepNext w:val="0"/>
              <w:keepLines w:val="0"/>
              <w:widowControl/>
              <w:suppressLineNumbers w:val="0"/>
              <w:jc w:val="both"/>
              <w:textAlignment w:val="center"/>
              <w:rPr>
                <w:rFonts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农、林、牧、渔业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888A3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营业收入20000万元以下的为中小微型企业。</w:t>
            </w:r>
          </w:p>
        </w:tc>
      </w:tr>
      <w:tr w14:paraId="63822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655FC6">
            <w:pPr>
              <w:jc w:val="both"/>
              <w:rPr>
                <w:rFonts w:hint="eastAsia" w:ascii="仿宋" w:hAnsi="仿宋" w:eastAsia="仿宋" w:cs="仿宋"/>
                <w:i w:val="0"/>
                <w:iCs w:val="0"/>
                <w:color w:val="000000"/>
                <w:sz w:val="20"/>
                <w:szCs w:val="20"/>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3EA7F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D01CE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500万元-20000万元</w:t>
            </w:r>
          </w:p>
        </w:tc>
      </w:tr>
      <w:tr w14:paraId="015C2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C6307B">
            <w:pPr>
              <w:jc w:val="both"/>
              <w:rPr>
                <w:rFonts w:hint="eastAsia" w:ascii="仿宋" w:hAnsi="仿宋" w:eastAsia="仿宋" w:cs="仿宋"/>
                <w:i w:val="0"/>
                <w:iCs w:val="0"/>
                <w:color w:val="000000"/>
                <w:sz w:val="20"/>
                <w:szCs w:val="20"/>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496E6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5FAD0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50万元-500万元</w:t>
            </w:r>
          </w:p>
        </w:tc>
      </w:tr>
      <w:tr w14:paraId="2A369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DACD2B">
            <w:pPr>
              <w:jc w:val="both"/>
              <w:rPr>
                <w:rFonts w:hint="eastAsia" w:ascii="仿宋" w:hAnsi="仿宋" w:eastAsia="仿宋" w:cs="仿宋"/>
                <w:i w:val="0"/>
                <w:iCs w:val="0"/>
                <w:color w:val="000000"/>
                <w:sz w:val="20"/>
                <w:szCs w:val="20"/>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78E85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18A76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50万元以下</w:t>
            </w:r>
          </w:p>
        </w:tc>
      </w:tr>
      <w:tr w14:paraId="33D60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1811" w:type="dxa"/>
            <w:vMerge w:val="restart"/>
            <w:tcBorders>
              <w:top w:val="single" w:color="000000" w:sz="4" w:space="0"/>
              <w:left w:val="single" w:color="000000" w:sz="4" w:space="0"/>
              <w:right w:val="single" w:color="000000" w:sz="4" w:space="0"/>
            </w:tcBorders>
            <w:shd w:val="clear" w:color="auto" w:fill="FFFFFF"/>
            <w:noWrap w:val="0"/>
            <w:vAlign w:val="center"/>
          </w:tcPr>
          <w:p w14:paraId="394B5F26">
            <w:pPr>
              <w:keepNext w:val="0"/>
              <w:keepLines w:val="0"/>
              <w:widowControl/>
              <w:suppressLineNumbers w:val="0"/>
              <w:jc w:val="both"/>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工业（包括采矿业，制造业，电力、热力、燃气及水生产和供应</w:t>
            </w:r>
          </w:p>
          <w:p w14:paraId="4299E4F7">
            <w:pPr>
              <w:keepNext w:val="0"/>
              <w:keepLines w:val="0"/>
              <w:widowControl/>
              <w:suppressLineNumbers w:val="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EB68B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从业人员1000人以下或营业收入40000万元以下的为中小微型企业。</w:t>
            </w:r>
          </w:p>
        </w:tc>
      </w:tr>
      <w:tr w14:paraId="220D3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811" w:type="dxa"/>
            <w:vMerge w:val="continue"/>
            <w:tcBorders>
              <w:left w:val="single" w:color="000000" w:sz="4" w:space="0"/>
              <w:right w:val="single" w:color="000000" w:sz="4" w:space="0"/>
            </w:tcBorders>
            <w:shd w:val="clear" w:color="auto" w:fill="FFFFFF"/>
            <w:noWrap w:val="0"/>
            <w:vAlign w:val="center"/>
          </w:tcPr>
          <w:p w14:paraId="0F9C23A7">
            <w:pPr>
              <w:keepNext w:val="0"/>
              <w:keepLines w:val="0"/>
              <w:widowControl/>
              <w:suppressLineNumbers w:val="0"/>
              <w:jc w:val="both"/>
              <w:textAlignment w:val="center"/>
              <w:rPr>
                <w:rFonts w:hint="eastAsia" w:ascii="仿宋" w:hAnsi="仿宋" w:eastAsia="仿宋" w:cs="仿宋"/>
                <w:i w:val="0"/>
                <w:iCs w:val="0"/>
                <w:color w:val="000000"/>
                <w:sz w:val="20"/>
                <w:szCs w:val="20"/>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71F33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7EB7B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从业人员300人一1000人，且营业收入2000万元一40000万元</w:t>
            </w:r>
          </w:p>
        </w:tc>
      </w:tr>
      <w:tr w14:paraId="231EB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811" w:type="dxa"/>
            <w:vMerge w:val="continue"/>
            <w:tcBorders>
              <w:left w:val="single" w:color="000000" w:sz="4" w:space="0"/>
              <w:right w:val="single" w:color="000000" w:sz="4" w:space="0"/>
            </w:tcBorders>
            <w:shd w:val="clear" w:color="auto" w:fill="auto"/>
            <w:noWrap/>
            <w:vAlign w:val="center"/>
          </w:tcPr>
          <w:p w14:paraId="1BDB04CB">
            <w:pPr>
              <w:rPr>
                <w:rFonts w:hint="eastAsia" w:ascii="宋体" w:hAnsi="宋体" w:eastAsia="宋体" w:cs="宋体"/>
                <w:i w:val="0"/>
                <w:iCs w:val="0"/>
                <w:color w:val="000000"/>
                <w:sz w:val="22"/>
                <w:szCs w:val="22"/>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C3954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A516F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从业人员20人一300人，且营业收入300万元一2000万元</w:t>
            </w:r>
          </w:p>
        </w:tc>
      </w:tr>
      <w:tr w14:paraId="505BE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811" w:type="dxa"/>
            <w:vMerge w:val="continue"/>
            <w:tcBorders>
              <w:left w:val="single" w:color="000000" w:sz="4" w:space="0"/>
              <w:bottom w:val="single" w:color="000000" w:sz="4" w:space="0"/>
              <w:right w:val="single" w:color="000000" w:sz="4" w:space="0"/>
            </w:tcBorders>
            <w:shd w:val="clear" w:color="auto" w:fill="auto"/>
            <w:noWrap/>
            <w:vAlign w:val="center"/>
          </w:tcPr>
          <w:p w14:paraId="161C7031">
            <w:pPr>
              <w:rPr>
                <w:rFonts w:hint="eastAsia" w:ascii="宋体" w:hAnsi="宋体" w:eastAsia="宋体" w:cs="宋体"/>
                <w:i w:val="0"/>
                <w:iCs w:val="0"/>
                <w:color w:val="000000"/>
                <w:sz w:val="22"/>
                <w:szCs w:val="22"/>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39320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EC075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从业人员20人以下或营业收入300万元以下</w:t>
            </w:r>
          </w:p>
        </w:tc>
      </w:tr>
      <w:tr w14:paraId="7FC66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92E9F9">
            <w:pPr>
              <w:keepNext w:val="0"/>
              <w:keepLines w:val="0"/>
              <w:widowControl/>
              <w:suppressLineNumbers w:val="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建筑业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5FE7F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营业收入80000万元以下或资产总额80000万元以下的为中小微型企业。</w:t>
            </w:r>
          </w:p>
        </w:tc>
      </w:tr>
      <w:tr w14:paraId="46177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13A16B">
            <w:pPr>
              <w:jc w:val="both"/>
              <w:rPr>
                <w:rFonts w:hint="eastAsia" w:ascii="仿宋" w:hAnsi="仿宋" w:eastAsia="仿宋" w:cs="仿宋"/>
                <w:i w:val="0"/>
                <w:iCs w:val="0"/>
                <w:color w:val="000000"/>
                <w:sz w:val="20"/>
                <w:szCs w:val="20"/>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95E0F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81C9B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营业收入6000万元一80000万元，且资产总额5000万元一80000万元</w:t>
            </w:r>
          </w:p>
        </w:tc>
      </w:tr>
      <w:tr w14:paraId="7B5AB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E54F7C">
            <w:pPr>
              <w:jc w:val="both"/>
              <w:rPr>
                <w:rFonts w:hint="eastAsia" w:ascii="仿宋" w:hAnsi="仿宋" w:eastAsia="仿宋" w:cs="仿宋"/>
                <w:i w:val="0"/>
                <w:iCs w:val="0"/>
                <w:color w:val="000000"/>
                <w:sz w:val="20"/>
                <w:szCs w:val="20"/>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D7513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F5D6F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营业收入300万元一6000万元，且资产总额300万一5000万元</w:t>
            </w:r>
          </w:p>
        </w:tc>
      </w:tr>
      <w:tr w14:paraId="31661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5BDAE5">
            <w:pPr>
              <w:jc w:val="both"/>
              <w:rPr>
                <w:rFonts w:hint="eastAsia" w:ascii="仿宋" w:hAnsi="仿宋" w:eastAsia="仿宋" w:cs="仿宋"/>
                <w:i w:val="0"/>
                <w:iCs w:val="0"/>
                <w:color w:val="000000"/>
                <w:sz w:val="20"/>
                <w:szCs w:val="20"/>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0BEB2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D476A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营业收入300万元以下或资产总额300万元以下</w:t>
            </w:r>
          </w:p>
        </w:tc>
      </w:tr>
      <w:tr w14:paraId="51BCF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781B04">
            <w:pPr>
              <w:keepNext w:val="0"/>
              <w:keepLines w:val="0"/>
              <w:widowControl/>
              <w:suppressLineNumbers w:val="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批发业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6216C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从业人员200人以下或营业收入40000万元以下的为中小微型企业。</w:t>
            </w:r>
          </w:p>
        </w:tc>
      </w:tr>
      <w:tr w14:paraId="59D3A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577BA3">
            <w:pPr>
              <w:jc w:val="both"/>
              <w:rPr>
                <w:rFonts w:hint="eastAsia" w:ascii="仿宋" w:hAnsi="仿宋" w:eastAsia="仿宋" w:cs="仿宋"/>
                <w:i w:val="0"/>
                <w:iCs w:val="0"/>
                <w:color w:val="000000"/>
                <w:sz w:val="20"/>
                <w:szCs w:val="20"/>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1E262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5594B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从业人员20人一200人，且营业收入5000万元一40000万元</w:t>
            </w:r>
          </w:p>
        </w:tc>
      </w:tr>
      <w:tr w14:paraId="147E5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4A6FAF">
            <w:pPr>
              <w:jc w:val="both"/>
              <w:rPr>
                <w:rFonts w:hint="eastAsia" w:ascii="仿宋" w:hAnsi="仿宋" w:eastAsia="仿宋" w:cs="仿宋"/>
                <w:i w:val="0"/>
                <w:iCs w:val="0"/>
                <w:color w:val="000000"/>
                <w:sz w:val="20"/>
                <w:szCs w:val="20"/>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C96CF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C7BD0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从业人员5人一20人，且营业收入1000万元一5000万元</w:t>
            </w:r>
          </w:p>
        </w:tc>
      </w:tr>
      <w:tr w14:paraId="615D3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93332D">
            <w:pPr>
              <w:jc w:val="both"/>
              <w:rPr>
                <w:rFonts w:hint="eastAsia" w:ascii="仿宋" w:hAnsi="仿宋" w:eastAsia="仿宋" w:cs="仿宋"/>
                <w:i w:val="0"/>
                <w:iCs w:val="0"/>
                <w:color w:val="000000"/>
                <w:sz w:val="20"/>
                <w:szCs w:val="20"/>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8C8CC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060E3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从业人员5人以下或营业收入1000万元以下</w:t>
            </w:r>
          </w:p>
        </w:tc>
      </w:tr>
      <w:tr w14:paraId="755E0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B48C1F">
            <w:pPr>
              <w:keepNext w:val="0"/>
              <w:keepLines w:val="0"/>
              <w:widowControl/>
              <w:suppressLineNumbers w:val="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零售业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67B97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从业人员300人以下或营业收入20000万元以下的为中小微型企业。</w:t>
            </w:r>
          </w:p>
        </w:tc>
      </w:tr>
      <w:tr w14:paraId="245B3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59DB8F">
            <w:pPr>
              <w:jc w:val="both"/>
              <w:rPr>
                <w:rFonts w:hint="eastAsia" w:ascii="仿宋" w:hAnsi="仿宋" w:eastAsia="仿宋" w:cs="仿宋"/>
                <w:i w:val="0"/>
                <w:iCs w:val="0"/>
                <w:color w:val="000000"/>
                <w:sz w:val="20"/>
                <w:szCs w:val="20"/>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6D161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676C8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从业人员50人一300人，且营业收入500万元一20000万元</w:t>
            </w:r>
          </w:p>
        </w:tc>
      </w:tr>
      <w:tr w14:paraId="558BA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0E1341">
            <w:pPr>
              <w:jc w:val="both"/>
              <w:rPr>
                <w:rFonts w:hint="eastAsia" w:ascii="仿宋" w:hAnsi="仿宋" w:eastAsia="仿宋" w:cs="仿宋"/>
                <w:i w:val="0"/>
                <w:iCs w:val="0"/>
                <w:color w:val="000000"/>
                <w:sz w:val="20"/>
                <w:szCs w:val="20"/>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C2988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CF719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从业人员10人一50人，且营业收入100万元一500万元</w:t>
            </w:r>
          </w:p>
        </w:tc>
      </w:tr>
      <w:tr w14:paraId="14942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F06AC8">
            <w:pPr>
              <w:jc w:val="both"/>
              <w:rPr>
                <w:rFonts w:hint="eastAsia" w:ascii="仿宋" w:hAnsi="仿宋" w:eastAsia="仿宋" w:cs="仿宋"/>
                <w:i w:val="0"/>
                <w:iCs w:val="0"/>
                <w:color w:val="000000"/>
                <w:sz w:val="20"/>
                <w:szCs w:val="20"/>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69889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438FD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从业人员10人以下或营业收入100万元以下</w:t>
            </w:r>
          </w:p>
        </w:tc>
      </w:tr>
      <w:tr w14:paraId="1971B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right w:val="single" w:color="000000" w:sz="4" w:space="0"/>
            </w:tcBorders>
            <w:shd w:val="clear" w:color="auto" w:fill="FFFFFF"/>
            <w:noWrap w:val="0"/>
            <w:vAlign w:val="center"/>
          </w:tcPr>
          <w:p w14:paraId="76E596B6">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交通运输业</w:t>
            </w:r>
          </w:p>
          <w:p w14:paraId="101471A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（不含铁路运输业）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D1195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从业人员1000人以下或营业收入30000万元以下的为中小微型企业。</w:t>
            </w:r>
          </w:p>
        </w:tc>
      </w:tr>
      <w:tr w14:paraId="2FBC7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811" w:type="dxa"/>
            <w:vMerge w:val="continue"/>
            <w:tcBorders>
              <w:left w:val="single" w:color="000000" w:sz="4" w:space="0"/>
              <w:right w:val="single" w:color="000000" w:sz="4" w:space="0"/>
            </w:tcBorders>
            <w:shd w:val="clear" w:color="auto" w:fill="FFFFFF"/>
            <w:noWrap w:val="0"/>
            <w:vAlign w:val="center"/>
          </w:tcPr>
          <w:p w14:paraId="0EFED94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1F3F8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DB8F2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从业人员300人一1000人，且营业收入3000万元一30000万元</w:t>
            </w:r>
          </w:p>
        </w:tc>
      </w:tr>
      <w:tr w14:paraId="36A2A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811" w:type="dxa"/>
            <w:vMerge w:val="continue"/>
            <w:tcBorders>
              <w:left w:val="single" w:color="000000" w:sz="4" w:space="0"/>
              <w:right w:val="single" w:color="000000" w:sz="4" w:space="0"/>
            </w:tcBorders>
            <w:shd w:val="clear" w:color="auto" w:fill="auto"/>
            <w:noWrap/>
            <w:vAlign w:val="center"/>
          </w:tcPr>
          <w:p w14:paraId="342A942D">
            <w:pPr>
              <w:rPr>
                <w:rFonts w:hint="eastAsia" w:ascii="宋体" w:hAnsi="宋体" w:eastAsia="宋体" w:cs="宋体"/>
                <w:i w:val="0"/>
                <w:iCs w:val="0"/>
                <w:color w:val="000000"/>
                <w:sz w:val="22"/>
                <w:szCs w:val="22"/>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60BA6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984D2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从业人员20人一300人，且营业收入200万元一3000万元</w:t>
            </w:r>
          </w:p>
        </w:tc>
      </w:tr>
      <w:tr w14:paraId="532DC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811" w:type="dxa"/>
            <w:vMerge w:val="continue"/>
            <w:tcBorders>
              <w:left w:val="single" w:color="000000" w:sz="4" w:space="0"/>
              <w:bottom w:val="single" w:color="000000" w:sz="4" w:space="0"/>
              <w:right w:val="single" w:color="000000" w:sz="4" w:space="0"/>
            </w:tcBorders>
            <w:shd w:val="clear" w:color="auto" w:fill="auto"/>
            <w:noWrap/>
            <w:vAlign w:val="center"/>
          </w:tcPr>
          <w:p w14:paraId="0845D721">
            <w:pPr>
              <w:rPr>
                <w:rFonts w:hint="eastAsia" w:ascii="宋体" w:hAnsi="宋体" w:eastAsia="宋体" w:cs="宋体"/>
                <w:i w:val="0"/>
                <w:iCs w:val="0"/>
                <w:color w:val="000000"/>
                <w:sz w:val="22"/>
                <w:szCs w:val="22"/>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4E44D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A15E1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从业人员20人以下或营业收入200万元以下</w:t>
            </w:r>
          </w:p>
        </w:tc>
      </w:tr>
      <w:tr w14:paraId="24E3D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54F7EE">
            <w:pPr>
              <w:keepNext w:val="0"/>
              <w:keepLines w:val="0"/>
              <w:widowControl/>
              <w:suppressLineNumbers w:val="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仓储业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E7EA7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从业人员200人以下或营业收入30000万元以下的为中小微型企业。</w:t>
            </w:r>
          </w:p>
        </w:tc>
      </w:tr>
      <w:tr w14:paraId="4F6C8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675E8B">
            <w:pPr>
              <w:jc w:val="both"/>
              <w:rPr>
                <w:rFonts w:hint="eastAsia" w:ascii="仿宋" w:hAnsi="仿宋" w:eastAsia="仿宋" w:cs="仿宋"/>
                <w:i w:val="0"/>
                <w:iCs w:val="0"/>
                <w:color w:val="000000"/>
                <w:sz w:val="20"/>
                <w:szCs w:val="20"/>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6B10D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F62B0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从业人员100人一200人，且营业收入1000万元一30000万元</w:t>
            </w:r>
          </w:p>
        </w:tc>
      </w:tr>
      <w:tr w14:paraId="665BA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539183">
            <w:pPr>
              <w:jc w:val="both"/>
              <w:rPr>
                <w:rFonts w:hint="eastAsia" w:ascii="仿宋" w:hAnsi="仿宋" w:eastAsia="仿宋" w:cs="仿宋"/>
                <w:i w:val="0"/>
                <w:iCs w:val="0"/>
                <w:color w:val="000000"/>
                <w:sz w:val="20"/>
                <w:szCs w:val="20"/>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9EB0A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BC657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从业人员20人一100人，且营业收入100万元一1000万元</w:t>
            </w:r>
          </w:p>
        </w:tc>
      </w:tr>
      <w:tr w14:paraId="79D5E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19C266">
            <w:pPr>
              <w:jc w:val="both"/>
              <w:rPr>
                <w:rFonts w:hint="eastAsia" w:ascii="仿宋" w:hAnsi="仿宋" w:eastAsia="仿宋" w:cs="仿宋"/>
                <w:i w:val="0"/>
                <w:iCs w:val="0"/>
                <w:color w:val="000000"/>
                <w:sz w:val="20"/>
                <w:szCs w:val="20"/>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FD466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BDE4A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从业人员20人以下或营业收入100万元以下</w:t>
            </w:r>
          </w:p>
        </w:tc>
      </w:tr>
      <w:tr w14:paraId="71F81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CC61FB">
            <w:pPr>
              <w:keepNext w:val="0"/>
              <w:keepLines w:val="0"/>
              <w:widowControl/>
              <w:suppressLineNumbers w:val="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邮政业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C6FF1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从业人员1000人以下或营业收入30000万元以下的为中小微型企业。</w:t>
            </w:r>
          </w:p>
        </w:tc>
      </w:tr>
      <w:tr w14:paraId="4E75F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607290">
            <w:pPr>
              <w:jc w:val="both"/>
              <w:rPr>
                <w:rFonts w:hint="eastAsia" w:ascii="仿宋" w:hAnsi="仿宋" w:eastAsia="仿宋" w:cs="仿宋"/>
                <w:i w:val="0"/>
                <w:iCs w:val="0"/>
                <w:color w:val="000000"/>
                <w:sz w:val="20"/>
                <w:szCs w:val="20"/>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BED10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A6D7D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从业人员300人一1000人，且营业收入2000万元一30000万元</w:t>
            </w:r>
          </w:p>
        </w:tc>
      </w:tr>
      <w:tr w14:paraId="1BD83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3E84AD">
            <w:pPr>
              <w:jc w:val="both"/>
              <w:rPr>
                <w:rFonts w:hint="eastAsia" w:ascii="仿宋" w:hAnsi="仿宋" w:eastAsia="仿宋" w:cs="仿宋"/>
                <w:i w:val="0"/>
                <w:iCs w:val="0"/>
                <w:color w:val="000000"/>
                <w:sz w:val="20"/>
                <w:szCs w:val="20"/>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11174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BC719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从业人员20人一300人，且营业收入100万元一2000万元</w:t>
            </w:r>
          </w:p>
        </w:tc>
      </w:tr>
      <w:tr w14:paraId="6772D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58D44E">
            <w:pPr>
              <w:jc w:val="both"/>
              <w:rPr>
                <w:rFonts w:hint="eastAsia" w:ascii="仿宋" w:hAnsi="仿宋" w:eastAsia="仿宋" w:cs="仿宋"/>
                <w:i w:val="0"/>
                <w:iCs w:val="0"/>
                <w:color w:val="000000"/>
                <w:sz w:val="20"/>
                <w:szCs w:val="20"/>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F7CEB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D4774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从业人员20人以下或营业收入100万元以下</w:t>
            </w:r>
          </w:p>
        </w:tc>
      </w:tr>
      <w:tr w14:paraId="59209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784A25">
            <w:pPr>
              <w:keepNext w:val="0"/>
              <w:keepLines w:val="0"/>
              <w:widowControl/>
              <w:suppressLineNumbers w:val="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住宿业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607BD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从业人员300人以下或营业收入10000万元以下的为中小微型企业。</w:t>
            </w:r>
          </w:p>
        </w:tc>
      </w:tr>
      <w:tr w14:paraId="54E53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06F2CD">
            <w:pPr>
              <w:jc w:val="both"/>
              <w:rPr>
                <w:rFonts w:hint="eastAsia" w:ascii="仿宋" w:hAnsi="仿宋" w:eastAsia="仿宋" w:cs="仿宋"/>
                <w:i w:val="0"/>
                <w:iCs w:val="0"/>
                <w:color w:val="000000"/>
                <w:sz w:val="20"/>
                <w:szCs w:val="20"/>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A110B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BCE5C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从业人员100人一300人，且营业收入2000万元一10000万元</w:t>
            </w:r>
          </w:p>
        </w:tc>
      </w:tr>
      <w:tr w14:paraId="71C5A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4422A5">
            <w:pPr>
              <w:jc w:val="both"/>
              <w:rPr>
                <w:rFonts w:hint="eastAsia" w:ascii="仿宋" w:hAnsi="仿宋" w:eastAsia="仿宋" w:cs="仿宋"/>
                <w:i w:val="0"/>
                <w:iCs w:val="0"/>
                <w:color w:val="000000"/>
                <w:sz w:val="20"/>
                <w:szCs w:val="20"/>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A9701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5A2A5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从业人员10人一100人，且营业收入100万元一2000万元</w:t>
            </w:r>
          </w:p>
        </w:tc>
      </w:tr>
      <w:tr w14:paraId="20109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A5717E">
            <w:pPr>
              <w:jc w:val="both"/>
              <w:rPr>
                <w:rFonts w:hint="eastAsia" w:ascii="仿宋" w:hAnsi="仿宋" w:eastAsia="仿宋" w:cs="仿宋"/>
                <w:i w:val="0"/>
                <w:iCs w:val="0"/>
                <w:color w:val="000000"/>
                <w:sz w:val="20"/>
                <w:szCs w:val="20"/>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54F86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67CB4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从业人员10人以下或营业收入100万元以下</w:t>
            </w:r>
          </w:p>
        </w:tc>
      </w:tr>
      <w:tr w14:paraId="4CE57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CC9FC5">
            <w:pPr>
              <w:keepNext w:val="0"/>
              <w:keepLines w:val="0"/>
              <w:widowControl/>
              <w:suppressLineNumbers w:val="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餐饮业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8A132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从业人员300人以下或营业收入10000万元以下的为中小微型企业。</w:t>
            </w:r>
          </w:p>
        </w:tc>
      </w:tr>
      <w:tr w14:paraId="31A56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3071B5">
            <w:pPr>
              <w:jc w:val="both"/>
              <w:rPr>
                <w:rFonts w:hint="eastAsia" w:ascii="仿宋" w:hAnsi="仿宋" w:eastAsia="仿宋" w:cs="仿宋"/>
                <w:i w:val="0"/>
                <w:iCs w:val="0"/>
                <w:color w:val="000000"/>
                <w:sz w:val="20"/>
                <w:szCs w:val="20"/>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08408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E33E4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从业人员100—300人，且营业收入2000万元一10000万元</w:t>
            </w:r>
          </w:p>
        </w:tc>
      </w:tr>
      <w:tr w14:paraId="7DD01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91D28A">
            <w:pPr>
              <w:jc w:val="both"/>
              <w:rPr>
                <w:rFonts w:hint="eastAsia" w:ascii="仿宋" w:hAnsi="仿宋" w:eastAsia="仿宋" w:cs="仿宋"/>
                <w:i w:val="0"/>
                <w:iCs w:val="0"/>
                <w:color w:val="000000"/>
                <w:sz w:val="20"/>
                <w:szCs w:val="20"/>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D580C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5E54D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从业人员10人一100人，且营业收入100万元一2000万元</w:t>
            </w:r>
          </w:p>
        </w:tc>
      </w:tr>
      <w:tr w14:paraId="09419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CCFDA5">
            <w:pPr>
              <w:jc w:val="both"/>
              <w:rPr>
                <w:rFonts w:hint="eastAsia" w:ascii="仿宋" w:hAnsi="仿宋" w:eastAsia="仿宋" w:cs="仿宋"/>
                <w:i w:val="0"/>
                <w:iCs w:val="0"/>
                <w:color w:val="000000"/>
                <w:sz w:val="20"/>
                <w:szCs w:val="20"/>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BC039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B77EB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从业人员10人以下或营业收入100万元以下</w:t>
            </w:r>
          </w:p>
        </w:tc>
      </w:tr>
      <w:tr w14:paraId="7B5B3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9D34E5">
            <w:pPr>
              <w:keepNext w:val="0"/>
              <w:keepLines w:val="0"/>
              <w:widowControl/>
              <w:suppressLineNumbers w:val="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信息传输业（包括电信、互联网和相关服务）</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A5860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从业人员2000人以下或营业收入100000万元以下的为中小微型企业。</w:t>
            </w:r>
          </w:p>
        </w:tc>
      </w:tr>
      <w:tr w14:paraId="0DFE9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33E51A">
            <w:pPr>
              <w:jc w:val="both"/>
              <w:rPr>
                <w:rFonts w:hint="eastAsia" w:ascii="仿宋" w:hAnsi="仿宋" w:eastAsia="仿宋" w:cs="仿宋"/>
                <w:i w:val="0"/>
                <w:iCs w:val="0"/>
                <w:color w:val="000000"/>
                <w:sz w:val="20"/>
                <w:szCs w:val="20"/>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563F2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8748F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从业人员100人一2000人，且营业收入1000万元一10000万元</w:t>
            </w:r>
          </w:p>
        </w:tc>
      </w:tr>
      <w:tr w14:paraId="5B0C3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E8CC97">
            <w:pPr>
              <w:jc w:val="both"/>
              <w:rPr>
                <w:rFonts w:hint="eastAsia" w:ascii="仿宋" w:hAnsi="仿宋" w:eastAsia="仿宋" w:cs="仿宋"/>
                <w:i w:val="0"/>
                <w:iCs w:val="0"/>
                <w:color w:val="000000"/>
                <w:sz w:val="20"/>
                <w:szCs w:val="20"/>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75FB3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7C761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从业人员10人一100人，且营业收入100万元一1000万元</w:t>
            </w:r>
          </w:p>
        </w:tc>
      </w:tr>
      <w:tr w14:paraId="674DE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B6BD6B">
            <w:pPr>
              <w:jc w:val="both"/>
              <w:rPr>
                <w:rFonts w:hint="eastAsia" w:ascii="仿宋" w:hAnsi="仿宋" w:eastAsia="仿宋" w:cs="仿宋"/>
                <w:i w:val="0"/>
                <w:iCs w:val="0"/>
                <w:color w:val="000000"/>
                <w:sz w:val="20"/>
                <w:szCs w:val="20"/>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A0F0B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4A279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从业人员10人以下或营业收入100万元以下</w:t>
            </w:r>
          </w:p>
        </w:tc>
      </w:tr>
      <w:tr w14:paraId="41493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8D561E">
            <w:pPr>
              <w:keepNext w:val="0"/>
              <w:keepLines w:val="0"/>
              <w:widowControl/>
              <w:suppressLineNumbers w:val="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软件和信息技术服务业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22D47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从业人员300人以下或营业收入10000万元以下的为中小微型企业。</w:t>
            </w:r>
          </w:p>
        </w:tc>
      </w:tr>
      <w:tr w14:paraId="0C17C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9BBD90">
            <w:pPr>
              <w:jc w:val="both"/>
              <w:rPr>
                <w:rFonts w:hint="eastAsia" w:ascii="仿宋" w:hAnsi="仿宋" w:eastAsia="仿宋" w:cs="仿宋"/>
                <w:i w:val="0"/>
                <w:iCs w:val="0"/>
                <w:color w:val="000000"/>
                <w:sz w:val="20"/>
                <w:szCs w:val="20"/>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107A1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7491B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从业人员100—300人，且营业收入1000万元一10000万元</w:t>
            </w:r>
          </w:p>
        </w:tc>
      </w:tr>
      <w:tr w14:paraId="3DDEE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007CE8">
            <w:pPr>
              <w:jc w:val="both"/>
              <w:rPr>
                <w:rFonts w:hint="eastAsia" w:ascii="仿宋" w:hAnsi="仿宋" w:eastAsia="仿宋" w:cs="仿宋"/>
                <w:i w:val="0"/>
                <w:iCs w:val="0"/>
                <w:color w:val="000000"/>
                <w:sz w:val="20"/>
                <w:szCs w:val="20"/>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FAE7C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9E761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从业人员10人一100人，且营业收入50万元一1000万元</w:t>
            </w:r>
          </w:p>
        </w:tc>
      </w:tr>
      <w:tr w14:paraId="381D0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42927B">
            <w:pPr>
              <w:jc w:val="both"/>
              <w:rPr>
                <w:rFonts w:hint="eastAsia" w:ascii="仿宋" w:hAnsi="仿宋" w:eastAsia="仿宋" w:cs="仿宋"/>
                <w:i w:val="0"/>
                <w:iCs w:val="0"/>
                <w:color w:val="000000"/>
                <w:sz w:val="20"/>
                <w:szCs w:val="20"/>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DCC6E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41DBB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从业人员10人以下或营业收入50万元以下</w:t>
            </w:r>
          </w:p>
        </w:tc>
      </w:tr>
      <w:tr w14:paraId="56D1C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03A60B">
            <w:pPr>
              <w:keepNext w:val="0"/>
              <w:keepLines w:val="0"/>
              <w:widowControl/>
              <w:suppressLineNumbers w:val="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房地产开发经营</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22C86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营业收入200000万元以下或资产总额10000万元以下的为中小微型企业。</w:t>
            </w:r>
          </w:p>
        </w:tc>
      </w:tr>
      <w:tr w14:paraId="72802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D54569">
            <w:pPr>
              <w:jc w:val="both"/>
              <w:rPr>
                <w:rFonts w:hint="eastAsia" w:ascii="仿宋" w:hAnsi="仿宋" w:eastAsia="仿宋" w:cs="仿宋"/>
                <w:i w:val="0"/>
                <w:iCs w:val="0"/>
                <w:color w:val="000000"/>
                <w:sz w:val="20"/>
                <w:szCs w:val="20"/>
                <w:highlight w:val="none"/>
                <w:u w:val="none"/>
              </w:rPr>
            </w:pPr>
          </w:p>
        </w:tc>
        <w:tc>
          <w:tcPr>
            <w:tcW w:w="16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70F6C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F500C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营业收入1000万元一200000万元，</w:t>
            </w:r>
          </w:p>
        </w:tc>
      </w:tr>
      <w:tr w14:paraId="553CB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247202">
            <w:pPr>
              <w:jc w:val="both"/>
              <w:rPr>
                <w:rFonts w:hint="eastAsia" w:ascii="仿宋" w:hAnsi="仿宋" w:eastAsia="仿宋" w:cs="仿宋"/>
                <w:i w:val="0"/>
                <w:iCs w:val="0"/>
                <w:color w:val="000000"/>
                <w:sz w:val="20"/>
                <w:szCs w:val="20"/>
                <w:highlight w:val="none"/>
                <w:u w:val="none"/>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AD32A1">
            <w:pPr>
              <w:jc w:val="center"/>
              <w:rPr>
                <w:rFonts w:hint="eastAsia" w:ascii="仿宋" w:hAnsi="仿宋" w:eastAsia="仿宋" w:cs="仿宋"/>
                <w:i w:val="0"/>
                <w:iCs w:val="0"/>
                <w:color w:val="000000"/>
                <w:sz w:val="20"/>
                <w:szCs w:val="20"/>
                <w:highlight w:val="none"/>
                <w:u w:val="none"/>
              </w:rPr>
            </w:pP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6F910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且资产总额5000万元一10000万元</w:t>
            </w:r>
          </w:p>
        </w:tc>
      </w:tr>
      <w:tr w14:paraId="22952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F1E59D">
            <w:pPr>
              <w:jc w:val="both"/>
              <w:rPr>
                <w:rFonts w:hint="eastAsia" w:ascii="仿宋" w:hAnsi="仿宋" w:eastAsia="仿宋" w:cs="仿宋"/>
                <w:i w:val="0"/>
                <w:iCs w:val="0"/>
                <w:color w:val="000000"/>
                <w:sz w:val="20"/>
                <w:szCs w:val="20"/>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C6FDD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F3F0A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营业收入100万元一1000万元，且资产总额2000万元一5000万元</w:t>
            </w:r>
          </w:p>
        </w:tc>
      </w:tr>
      <w:tr w14:paraId="40CAA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C153BB">
            <w:pPr>
              <w:jc w:val="both"/>
              <w:rPr>
                <w:rFonts w:hint="eastAsia" w:ascii="仿宋" w:hAnsi="仿宋" w:eastAsia="仿宋" w:cs="仿宋"/>
                <w:i w:val="0"/>
                <w:iCs w:val="0"/>
                <w:color w:val="000000"/>
                <w:sz w:val="20"/>
                <w:szCs w:val="20"/>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0EE5B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9A538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营业收入100万元以下或资产总额2000万元以下的为微型企业</w:t>
            </w:r>
          </w:p>
        </w:tc>
      </w:tr>
      <w:tr w14:paraId="6DC03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2CEF27">
            <w:pPr>
              <w:keepNext w:val="0"/>
              <w:keepLines w:val="0"/>
              <w:widowControl/>
              <w:suppressLineNumbers w:val="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物业管理</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E99A8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从业人员1000人以下或营业收入5000万元以下的为中小微型企业。</w:t>
            </w:r>
          </w:p>
        </w:tc>
      </w:tr>
      <w:tr w14:paraId="2A6B9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135364">
            <w:pPr>
              <w:jc w:val="both"/>
              <w:rPr>
                <w:rFonts w:hint="eastAsia" w:ascii="仿宋" w:hAnsi="仿宋" w:eastAsia="仿宋" w:cs="仿宋"/>
                <w:i w:val="0"/>
                <w:iCs w:val="0"/>
                <w:color w:val="000000"/>
                <w:sz w:val="20"/>
                <w:szCs w:val="20"/>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D0490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16B0B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从业人员300人一1000人，且营业收入1000万元一5000万元</w:t>
            </w:r>
          </w:p>
        </w:tc>
      </w:tr>
      <w:tr w14:paraId="446E7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04201D">
            <w:pPr>
              <w:jc w:val="both"/>
              <w:rPr>
                <w:rFonts w:hint="eastAsia" w:ascii="仿宋" w:hAnsi="仿宋" w:eastAsia="仿宋" w:cs="仿宋"/>
                <w:i w:val="0"/>
                <w:iCs w:val="0"/>
                <w:color w:val="000000"/>
                <w:sz w:val="20"/>
                <w:szCs w:val="20"/>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0EC43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EA574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从业人员100人一300人，且营业收入500万元一1000万元</w:t>
            </w:r>
          </w:p>
        </w:tc>
      </w:tr>
      <w:tr w14:paraId="6F9BB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24D988">
            <w:pPr>
              <w:jc w:val="both"/>
              <w:rPr>
                <w:rFonts w:hint="eastAsia" w:ascii="仿宋" w:hAnsi="仿宋" w:eastAsia="仿宋" w:cs="仿宋"/>
                <w:i w:val="0"/>
                <w:iCs w:val="0"/>
                <w:color w:val="000000"/>
                <w:sz w:val="20"/>
                <w:szCs w:val="20"/>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6ADAD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489E6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从业人员100人以下或营业收入500万元以下</w:t>
            </w:r>
          </w:p>
        </w:tc>
      </w:tr>
      <w:tr w14:paraId="6736D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357CE7">
            <w:pPr>
              <w:keepNext w:val="0"/>
              <w:keepLines w:val="0"/>
              <w:widowControl/>
              <w:suppressLineNumbers w:val="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租赁和商务服务业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1012D5">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300人以下或资产总额120000万元以下的为中小微型企业。其中，从业人员100人及以上，且资产总额8000万元及以上的为中型企业；从业人员10人及以上，且资产总额100万元及以上的为小型企业；从业人员人以下或资产总额100万元以下的为微型企业。10</w:t>
            </w:r>
          </w:p>
        </w:tc>
      </w:tr>
      <w:tr w14:paraId="76F64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A53343">
            <w:pPr>
              <w:jc w:val="both"/>
              <w:rPr>
                <w:rFonts w:hint="eastAsia" w:ascii="仿宋" w:hAnsi="仿宋" w:eastAsia="仿宋" w:cs="仿宋"/>
                <w:i w:val="0"/>
                <w:iCs w:val="0"/>
                <w:color w:val="000000"/>
                <w:sz w:val="20"/>
                <w:szCs w:val="20"/>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926C7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21E17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从业人员100人一300人，且资产总额8000万元一120000万元</w:t>
            </w:r>
          </w:p>
        </w:tc>
      </w:tr>
      <w:tr w14:paraId="24788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8DB45C">
            <w:pPr>
              <w:jc w:val="both"/>
              <w:rPr>
                <w:rFonts w:hint="eastAsia" w:ascii="仿宋" w:hAnsi="仿宋" w:eastAsia="仿宋" w:cs="仿宋"/>
                <w:i w:val="0"/>
                <w:iCs w:val="0"/>
                <w:color w:val="000000"/>
                <w:sz w:val="20"/>
                <w:szCs w:val="20"/>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95342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4DBA5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从业人员10人一100人，且资产总额100万元一8000万元</w:t>
            </w:r>
          </w:p>
        </w:tc>
      </w:tr>
      <w:tr w14:paraId="4A3B3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D563C8">
            <w:pPr>
              <w:jc w:val="both"/>
              <w:rPr>
                <w:rFonts w:hint="eastAsia" w:ascii="仿宋" w:hAnsi="仿宋" w:eastAsia="仿宋" w:cs="仿宋"/>
                <w:i w:val="0"/>
                <w:iCs w:val="0"/>
                <w:color w:val="000000"/>
                <w:sz w:val="20"/>
                <w:szCs w:val="20"/>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B192E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4BDD0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从业人员10人以下或资产总额100万元以下</w:t>
            </w:r>
          </w:p>
        </w:tc>
      </w:tr>
      <w:tr w14:paraId="31777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2BFD70">
            <w:pPr>
              <w:keepNext w:val="0"/>
              <w:keepLines w:val="0"/>
              <w:widowControl/>
              <w:suppressLineNumbers w:val="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其他未列明行业</w:t>
            </w:r>
          </w:p>
        </w:tc>
        <w:tc>
          <w:tcPr>
            <w:tcW w:w="77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46CC6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从业人员300人以下的为中小微型企业。</w:t>
            </w:r>
          </w:p>
        </w:tc>
      </w:tr>
      <w:tr w14:paraId="03E2D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7BBCD4">
            <w:pPr>
              <w:jc w:val="both"/>
              <w:rPr>
                <w:rFonts w:hint="eastAsia" w:ascii="仿宋" w:hAnsi="仿宋" w:eastAsia="仿宋" w:cs="仿宋"/>
                <w:i w:val="0"/>
                <w:iCs w:val="0"/>
                <w:color w:val="000000"/>
                <w:sz w:val="20"/>
                <w:szCs w:val="20"/>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A0AF4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中型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6C4A2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从业人员100—300人</w:t>
            </w:r>
          </w:p>
        </w:tc>
      </w:tr>
      <w:tr w14:paraId="5CA66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F35AE5">
            <w:pPr>
              <w:jc w:val="both"/>
              <w:rPr>
                <w:rFonts w:hint="eastAsia" w:ascii="仿宋" w:hAnsi="仿宋" w:eastAsia="仿宋" w:cs="仿宋"/>
                <w:i w:val="0"/>
                <w:iCs w:val="0"/>
                <w:color w:val="000000"/>
                <w:sz w:val="20"/>
                <w:szCs w:val="20"/>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781F6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小型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1EB2E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从业人员10人一100人</w:t>
            </w:r>
          </w:p>
        </w:tc>
      </w:tr>
      <w:tr w14:paraId="3E3E9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F7096D">
            <w:pPr>
              <w:jc w:val="both"/>
              <w:rPr>
                <w:rFonts w:hint="eastAsia" w:ascii="仿宋" w:hAnsi="仿宋" w:eastAsia="仿宋" w:cs="仿宋"/>
                <w:i w:val="0"/>
                <w:iCs w:val="0"/>
                <w:color w:val="000000"/>
                <w:sz w:val="20"/>
                <w:szCs w:val="20"/>
                <w:highlight w:val="none"/>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8DED8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微型</w:t>
            </w:r>
          </w:p>
        </w:tc>
        <w:tc>
          <w:tcPr>
            <w:tcW w:w="61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D28AF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从业人员10人以下</w:t>
            </w:r>
          </w:p>
        </w:tc>
      </w:tr>
    </w:tbl>
    <w:p w14:paraId="4C05A8E6">
      <w:pPr>
        <w:snapToGrid w:val="0"/>
        <w:spacing w:line="360" w:lineRule="auto"/>
        <w:textAlignment w:val="baseline"/>
        <w:rPr>
          <w:rFonts w:hint="eastAsia" w:ascii="仿宋" w:hAnsi="仿宋" w:eastAsia="仿宋" w:cs="仿宋"/>
          <w:kern w:val="0"/>
          <w:sz w:val="28"/>
          <w:szCs w:val="28"/>
          <w:highlight w:val="none"/>
        </w:rPr>
      </w:pPr>
    </w:p>
    <w:p w14:paraId="3124E2DC">
      <w:pPr>
        <w:snapToGrid w:val="0"/>
        <w:spacing w:line="360" w:lineRule="auto"/>
        <w:ind w:firstLine="567"/>
        <w:jc w:val="center"/>
        <w:textAlignment w:val="baseline"/>
        <w:rPr>
          <w:rFonts w:hint="eastAsia" w:ascii="仿宋" w:hAnsi="仿宋" w:eastAsia="仿宋" w:cs="仿宋"/>
          <w:b/>
          <w:sz w:val="28"/>
          <w:szCs w:val="28"/>
          <w:highlight w:val="none"/>
        </w:rPr>
      </w:pPr>
      <w:r>
        <w:rPr>
          <w:rFonts w:hint="eastAsia" w:ascii="仿宋" w:hAnsi="仿宋" w:eastAsia="仿宋" w:cs="仿宋"/>
          <w:b/>
          <w:kern w:val="0"/>
          <w:sz w:val="28"/>
          <w:szCs w:val="28"/>
          <w:highlight w:val="none"/>
        </w:rPr>
        <w:t>6-2</w:t>
      </w:r>
      <w:r>
        <w:rPr>
          <w:rFonts w:hint="eastAsia" w:ascii="仿宋" w:hAnsi="仿宋" w:eastAsia="仿宋" w:cs="仿宋"/>
          <w:b/>
          <w:bCs/>
          <w:kern w:val="0"/>
          <w:sz w:val="28"/>
          <w:szCs w:val="28"/>
          <w:highlight w:val="none"/>
        </w:rPr>
        <w:t>残疾人福利性单位声明函</w:t>
      </w:r>
    </w:p>
    <w:p w14:paraId="6BE679C7">
      <w:pPr>
        <w:snapToGrid w:val="0"/>
        <w:spacing w:line="360" w:lineRule="auto"/>
        <w:ind w:firstLine="567"/>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单位郑重声明，根据《财政部民政部中国残疾人联合会关于促进残疾人就业政府采购政策的通知》（财库〔2017〕141号）的规定，本单位为符合条件的残疾人福利性单位，且本单位参加______单位的______项目采购活动提供本单位服务，或者提供其他残疾人福利性单位服务（不包括使用非残疾人福利性单位注册商标服务）。</w:t>
      </w:r>
    </w:p>
    <w:p w14:paraId="45CBE299">
      <w:pPr>
        <w:snapToGrid w:val="0"/>
        <w:spacing w:line="360" w:lineRule="auto"/>
        <w:ind w:left="1080" w:leftChars="257" w:hanging="540"/>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本单位对上述声明的真实性负责。如有虚假，将依法承担相应责任。</w:t>
      </w:r>
    </w:p>
    <w:p w14:paraId="66FB0D65">
      <w:pPr>
        <w:snapToGrid w:val="0"/>
        <w:spacing w:line="360" w:lineRule="auto"/>
        <w:textAlignment w:val="baseline"/>
        <w:rPr>
          <w:rFonts w:hint="eastAsia" w:ascii="仿宋" w:hAnsi="仿宋" w:eastAsia="仿宋" w:cs="仿宋"/>
          <w:kern w:val="0"/>
          <w:sz w:val="28"/>
          <w:szCs w:val="28"/>
          <w:highlight w:val="none"/>
        </w:rPr>
      </w:pPr>
    </w:p>
    <w:p w14:paraId="4F65BBEB">
      <w:pPr>
        <w:snapToGrid w:val="0"/>
        <w:spacing w:line="360" w:lineRule="auto"/>
        <w:ind w:left="1080" w:leftChars="257" w:hanging="540"/>
        <w:jc w:val="center"/>
        <w:textAlignment w:val="baseline"/>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残疾人福利性单位名称（公章）：______________</w:t>
      </w:r>
    </w:p>
    <w:p w14:paraId="6B8290EC">
      <w:pPr>
        <w:pStyle w:val="2"/>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日期：_____________________________________</w:t>
      </w:r>
    </w:p>
    <w:p w14:paraId="1BBB6A4B">
      <w:pPr>
        <w:pStyle w:val="2"/>
        <w:ind w:firstLine="0"/>
        <w:rPr>
          <w:rFonts w:hint="eastAsia" w:ascii="仿宋" w:hAnsi="仿宋" w:eastAsia="仿宋" w:cs="仿宋"/>
          <w:sz w:val="28"/>
          <w:szCs w:val="28"/>
          <w:highlight w:val="none"/>
        </w:rPr>
      </w:pPr>
    </w:p>
    <w:p w14:paraId="458A01D9">
      <w:pPr>
        <w:rPr>
          <w:rFonts w:hint="eastAsia" w:ascii="仿宋" w:hAnsi="仿宋" w:eastAsia="仿宋" w:cs="仿宋"/>
          <w:sz w:val="28"/>
          <w:szCs w:val="28"/>
          <w:highlight w:val="none"/>
        </w:rPr>
      </w:pPr>
    </w:p>
    <w:p w14:paraId="1482DE9B">
      <w:pPr>
        <w:spacing w:after="60" w:afterLines="25" w:line="300" w:lineRule="auto"/>
        <w:ind w:firstLine="422" w:firstLineChars="200"/>
        <w:rPr>
          <w:rFonts w:hint="eastAsia" w:ascii="仿宋" w:hAnsi="仿宋" w:eastAsia="仿宋" w:cs="仿宋"/>
          <w:b/>
          <w:szCs w:val="21"/>
          <w:highlight w:val="none"/>
        </w:rPr>
      </w:pPr>
    </w:p>
    <w:p w14:paraId="28509256">
      <w:pPr>
        <w:spacing w:after="60" w:afterLines="25" w:line="300" w:lineRule="auto"/>
        <w:ind w:firstLine="422" w:firstLineChars="200"/>
        <w:rPr>
          <w:rFonts w:hint="eastAsia" w:ascii="仿宋" w:hAnsi="仿宋" w:eastAsia="仿宋" w:cs="仿宋"/>
          <w:b/>
          <w:szCs w:val="21"/>
          <w:highlight w:val="none"/>
        </w:rPr>
      </w:pPr>
    </w:p>
    <w:p w14:paraId="59D04362">
      <w:pPr>
        <w:spacing w:after="60" w:afterLines="25" w:line="300" w:lineRule="auto"/>
        <w:ind w:firstLine="422" w:firstLineChars="200"/>
        <w:rPr>
          <w:rFonts w:hint="eastAsia" w:ascii="仿宋" w:hAnsi="仿宋" w:eastAsia="仿宋" w:cs="仿宋"/>
          <w:szCs w:val="21"/>
          <w:highlight w:val="none"/>
        </w:rPr>
      </w:pPr>
      <w:r>
        <w:rPr>
          <w:rFonts w:hint="eastAsia" w:ascii="仿宋" w:hAnsi="仿宋" w:eastAsia="仿宋" w:cs="仿宋"/>
          <w:b/>
          <w:szCs w:val="21"/>
          <w:highlight w:val="none"/>
        </w:rPr>
        <w:t>说明：</w:t>
      </w:r>
      <w:r>
        <w:rPr>
          <w:rFonts w:hint="eastAsia" w:ascii="仿宋" w:hAnsi="仿宋" w:eastAsia="仿宋" w:cs="仿宋"/>
          <w:szCs w:val="21"/>
          <w:highlight w:val="none"/>
        </w:rPr>
        <w:t>根据财库〔2017〕141号文件的规定,享受政府采购支持政策的残疾人福利性单位应当同时满足以下条件：</w:t>
      </w:r>
    </w:p>
    <w:p w14:paraId="4C9D41C2">
      <w:pPr>
        <w:spacing w:after="60" w:afterLines="25"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（一）</w:t>
      </w:r>
      <w:r>
        <w:rPr>
          <w:rFonts w:hint="eastAsia" w:ascii="仿宋" w:hAnsi="仿宋" w:eastAsia="仿宋" w:cs="仿宋"/>
          <w:b/>
          <w:szCs w:val="21"/>
          <w:highlight w:val="none"/>
        </w:rPr>
        <w:t>安置的残疾人占本单位在职职工人数的比例不低于25%（含25%），并且安置的残疾人人数不少于10人（含10人）</w:t>
      </w:r>
      <w:r>
        <w:rPr>
          <w:rFonts w:hint="eastAsia" w:ascii="仿宋" w:hAnsi="仿宋" w:eastAsia="仿宋" w:cs="仿宋"/>
          <w:szCs w:val="21"/>
          <w:highlight w:val="none"/>
        </w:rPr>
        <w:t>；</w:t>
      </w:r>
    </w:p>
    <w:p w14:paraId="1EFE0CFA">
      <w:pPr>
        <w:spacing w:after="60" w:afterLines="25"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（二）依法与安置的每位残疾人签订了一年以上（含一年）的劳动合同或服务协议；</w:t>
      </w:r>
    </w:p>
    <w:p w14:paraId="4A2CB483">
      <w:pPr>
        <w:spacing w:after="60" w:afterLines="25"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（三）为安置的每位残疾人按月足额缴纳了基本养老保险、基本医疗保险、失业保险、工伤保险和生育保险等社会保险费；</w:t>
      </w:r>
    </w:p>
    <w:p w14:paraId="395CED55">
      <w:pPr>
        <w:spacing w:after="60" w:afterLines="25" w:line="30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（四）通过银行等金融机构向安置的每位残疾人，按月支付了不低于单位所在区县适用的经省级人民政府批准的月最低工资标准的工资；</w:t>
      </w:r>
    </w:p>
    <w:p w14:paraId="35138D21">
      <w:pPr>
        <w:spacing w:after="60" w:afterLines="25" w:line="300" w:lineRule="auto"/>
        <w:ind w:firstLine="420" w:firstLineChars="200"/>
        <w:rPr>
          <w:rFonts w:hint="eastAsia" w:ascii="仿宋" w:hAnsi="仿宋" w:eastAsia="仿宋" w:cs="仿宋"/>
          <w:szCs w:val="21"/>
          <w:highlight w:val="none"/>
        </w:rPr>
        <w:sectPr>
          <w:pgSz w:w="11907" w:h="16840"/>
          <w:pgMar w:top="1474" w:right="1253" w:bottom="1474" w:left="1194" w:header="851" w:footer="851" w:gutter="0"/>
          <w:pgNumType w:fmt="decimal"/>
          <w:cols w:space="720" w:num="1"/>
          <w:docGrid w:linePitch="462" w:charSpace="0"/>
        </w:sectPr>
      </w:pPr>
      <w:r>
        <w:rPr>
          <w:rFonts w:hint="eastAsia" w:ascii="仿宋" w:hAnsi="仿宋" w:eastAsia="仿宋" w:cs="仿宋"/>
          <w:szCs w:val="21"/>
          <w:highlight w:val="none"/>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C63EE4A">
      <w:pPr>
        <w:pStyle w:val="19"/>
        <w:ind w:firstLine="0" w:firstLineChars="0"/>
        <w:rPr>
          <w:rFonts w:hint="eastAsia" w:ascii="仿宋" w:hAnsi="仿宋" w:eastAsia="仿宋" w:cs="仿宋"/>
          <w:highlight w:val="none"/>
        </w:rPr>
      </w:pPr>
    </w:p>
    <w:p w14:paraId="2481A993">
      <w:pPr>
        <w:pStyle w:val="2"/>
        <w:ind w:firstLine="0"/>
        <w:jc w:val="center"/>
        <w:rPr>
          <w:rFonts w:hint="eastAsia" w:ascii="仿宋" w:hAnsi="仿宋" w:eastAsia="仿宋" w:cs="仿宋"/>
          <w:b/>
          <w:bCs/>
          <w:sz w:val="28"/>
          <w:szCs w:val="28"/>
          <w:highlight w:val="none"/>
        </w:rPr>
      </w:pPr>
      <w:bookmarkStart w:id="135" w:name="_Toc17521"/>
      <w:r>
        <w:rPr>
          <w:rFonts w:hint="eastAsia" w:ascii="仿宋" w:hAnsi="仿宋" w:eastAsia="仿宋" w:cs="仿宋"/>
          <w:b/>
          <w:bCs/>
          <w:sz w:val="28"/>
          <w:szCs w:val="28"/>
          <w:highlight w:val="none"/>
        </w:rPr>
        <w:t>7投标人关联单位的说明</w:t>
      </w:r>
      <w:bookmarkEnd w:id="130"/>
      <w:bookmarkEnd w:id="131"/>
      <w:bookmarkEnd w:id="132"/>
      <w:bookmarkEnd w:id="133"/>
      <w:bookmarkEnd w:id="135"/>
    </w:p>
    <w:p w14:paraId="70C3B0F8">
      <w:pPr>
        <w:rPr>
          <w:rFonts w:hint="eastAsia" w:ascii="仿宋" w:hAnsi="仿宋" w:eastAsia="仿宋" w:cs="仿宋"/>
          <w:b/>
          <w:bCs/>
          <w:kern w:val="0"/>
          <w:sz w:val="28"/>
          <w:szCs w:val="28"/>
          <w:highlight w:val="none"/>
        </w:rPr>
      </w:pPr>
    </w:p>
    <w:p w14:paraId="1E4542B0">
      <w:pPr>
        <w:pStyle w:val="19"/>
        <w:ind w:firstLine="480"/>
        <w:rPr>
          <w:rFonts w:hint="eastAsia" w:ascii="仿宋" w:hAnsi="仿宋" w:eastAsia="仿宋" w:cs="仿宋"/>
          <w:highlight w:val="none"/>
        </w:rPr>
      </w:pPr>
    </w:p>
    <w:p w14:paraId="2855747C">
      <w:pPr>
        <w:pStyle w:val="2"/>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说明：投标人应当如实披露与本单位存在下列关联关系的单位名称：</w:t>
      </w:r>
    </w:p>
    <w:p w14:paraId="5803D1E5">
      <w:pPr>
        <w:pStyle w:val="2"/>
        <w:numPr>
          <w:ilvl w:val="0"/>
          <w:numId w:val="3"/>
        </w:numPr>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与投标人单位负责人为同一人的其他单位；</w:t>
      </w:r>
    </w:p>
    <w:p w14:paraId="2A7B0BAB">
      <w:pPr>
        <w:pStyle w:val="2"/>
        <w:numPr>
          <w:ilvl w:val="0"/>
          <w:numId w:val="3"/>
        </w:numPr>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与投标人存在直接控股、管理关系的其他单位。</w:t>
      </w:r>
    </w:p>
    <w:p w14:paraId="3DBD90D1">
      <w:pPr>
        <w:pStyle w:val="2"/>
        <w:ind w:firstLine="0"/>
        <w:rPr>
          <w:rFonts w:hint="eastAsia" w:ascii="仿宋" w:hAnsi="仿宋" w:eastAsia="仿宋" w:cs="仿宋"/>
          <w:sz w:val="28"/>
          <w:szCs w:val="28"/>
          <w:highlight w:val="none"/>
        </w:rPr>
      </w:pPr>
    </w:p>
    <w:p w14:paraId="507DC3E7">
      <w:pPr>
        <w:pStyle w:val="2"/>
        <w:ind w:firstLine="0"/>
        <w:rPr>
          <w:rFonts w:hint="eastAsia" w:ascii="仿宋" w:hAnsi="仿宋" w:eastAsia="仿宋" w:cs="仿宋"/>
          <w:sz w:val="28"/>
          <w:szCs w:val="28"/>
          <w:highlight w:val="none"/>
        </w:rPr>
      </w:pPr>
    </w:p>
    <w:p w14:paraId="2AE0B6D9">
      <w:pPr>
        <w:pStyle w:val="2"/>
        <w:ind w:firstLine="0"/>
        <w:rPr>
          <w:rFonts w:hint="eastAsia" w:ascii="仿宋" w:hAnsi="仿宋" w:eastAsia="仿宋" w:cs="仿宋"/>
          <w:sz w:val="28"/>
          <w:szCs w:val="28"/>
          <w:highlight w:val="none"/>
        </w:rPr>
      </w:pPr>
    </w:p>
    <w:p w14:paraId="4F665A77">
      <w:pPr>
        <w:pStyle w:val="2"/>
        <w:ind w:firstLine="0"/>
        <w:jc w:val="both"/>
        <w:rPr>
          <w:rFonts w:hint="eastAsia" w:ascii="仿宋" w:hAnsi="仿宋" w:eastAsia="仿宋" w:cs="仿宋"/>
          <w:b/>
          <w:bCs/>
          <w:sz w:val="28"/>
          <w:szCs w:val="28"/>
          <w:highlight w:val="none"/>
        </w:rPr>
      </w:pPr>
      <w:bookmarkStart w:id="136" w:name="_Toc14039"/>
      <w:bookmarkStart w:id="137" w:name="_Toc17333"/>
      <w:bookmarkStart w:id="138" w:name="_Toc7414"/>
      <w:bookmarkStart w:id="139" w:name="_Toc515647828"/>
    </w:p>
    <w:p w14:paraId="412938B6">
      <w:pPr>
        <w:rPr>
          <w:rFonts w:hint="eastAsia" w:ascii="仿宋" w:hAnsi="仿宋" w:eastAsia="仿宋" w:cs="仿宋"/>
          <w:b/>
          <w:bCs/>
          <w:sz w:val="28"/>
          <w:szCs w:val="28"/>
          <w:highlight w:val="none"/>
        </w:rPr>
      </w:pPr>
    </w:p>
    <w:p w14:paraId="7DCB828B">
      <w:pPr>
        <w:pStyle w:val="19"/>
        <w:ind w:firstLine="562"/>
        <w:rPr>
          <w:rFonts w:hint="eastAsia" w:ascii="仿宋" w:hAnsi="仿宋" w:eastAsia="仿宋" w:cs="仿宋"/>
          <w:b/>
          <w:bCs/>
          <w:sz w:val="28"/>
          <w:szCs w:val="28"/>
          <w:highlight w:val="none"/>
        </w:rPr>
      </w:pPr>
    </w:p>
    <w:p w14:paraId="21B373D6">
      <w:pPr>
        <w:pStyle w:val="2"/>
        <w:rPr>
          <w:rFonts w:hint="eastAsia" w:ascii="仿宋" w:hAnsi="仿宋" w:eastAsia="仿宋" w:cs="仿宋"/>
          <w:b/>
          <w:bCs/>
          <w:sz w:val="28"/>
          <w:szCs w:val="28"/>
          <w:highlight w:val="none"/>
        </w:rPr>
      </w:pPr>
    </w:p>
    <w:p w14:paraId="4453F53C">
      <w:pPr>
        <w:rPr>
          <w:rFonts w:hint="eastAsia" w:ascii="仿宋" w:hAnsi="仿宋" w:eastAsia="仿宋" w:cs="仿宋"/>
          <w:b/>
          <w:bCs/>
          <w:sz w:val="28"/>
          <w:szCs w:val="28"/>
          <w:highlight w:val="none"/>
        </w:rPr>
      </w:pPr>
    </w:p>
    <w:p w14:paraId="639278D1">
      <w:pPr>
        <w:pStyle w:val="19"/>
        <w:ind w:firstLine="562"/>
        <w:rPr>
          <w:rFonts w:hint="eastAsia" w:ascii="仿宋" w:hAnsi="仿宋" w:eastAsia="仿宋" w:cs="仿宋"/>
          <w:b/>
          <w:bCs/>
          <w:sz w:val="28"/>
          <w:szCs w:val="28"/>
          <w:highlight w:val="none"/>
        </w:rPr>
      </w:pPr>
    </w:p>
    <w:p w14:paraId="0251DE16">
      <w:pPr>
        <w:pStyle w:val="2"/>
        <w:rPr>
          <w:rFonts w:hint="eastAsia" w:ascii="仿宋" w:hAnsi="仿宋" w:eastAsia="仿宋" w:cs="仿宋"/>
          <w:b/>
          <w:bCs/>
          <w:sz w:val="28"/>
          <w:szCs w:val="28"/>
          <w:highlight w:val="none"/>
        </w:rPr>
      </w:pPr>
    </w:p>
    <w:p w14:paraId="4CA65A77">
      <w:pPr>
        <w:rPr>
          <w:rFonts w:hint="eastAsia" w:ascii="仿宋" w:hAnsi="仿宋" w:eastAsia="仿宋" w:cs="仿宋"/>
          <w:b/>
          <w:bCs/>
          <w:sz w:val="28"/>
          <w:szCs w:val="28"/>
          <w:highlight w:val="none"/>
        </w:rPr>
      </w:pPr>
    </w:p>
    <w:p w14:paraId="35E0DBD3">
      <w:pPr>
        <w:pStyle w:val="2"/>
        <w:ind w:firstLine="562" w:firstLineChars="20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8</w:t>
      </w:r>
      <w:bookmarkEnd w:id="136"/>
      <w:bookmarkEnd w:id="137"/>
      <w:bookmarkEnd w:id="138"/>
      <w:bookmarkEnd w:id="139"/>
      <w:r>
        <w:rPr>
          <w:rFonts w:hint="eastAsia" w:ascii="仿宋" w:hAnsi="仿宋" w:eastAsia="仿宋" w:cs="仿宋"/>
          <w:b/>
          <w:bCs/>
          <w:sz w:val="28"/>
          <w:szCs w:val="28"/>
          <w:highlight w:val="none"/>
        </w:rPr>
        <w:t>其他有利于投标人的资料</w:t>
      </w:r>
    </w:p>
    <w:p w14:paraId="2D357E17">
      <w:pPr>
        <w:rPr>
          <w:rFonts w:hint="eastAsia" w:ascii="仿宋" w:hAnsi="仿宋" w:eastAsia="仿宋" w:cs="仿宋"/>
          <w:b/>
          <w:bCs/>
          <w:sz w:val="28"/>
          <w:szCs w:val="28"/>
          <w:highlight w:val="none"/>
        </w:rPr>
      </w:pPr>
    </w:p>
    <w:p w14:paraId="130C3289">
      <w:pPr>
        <w:rPr>
          <w:rFonts w:hint="eastAsia" w:ascii="仿宋" w:hAnsi="仿宋" w:eastAsia="仿宋" w:cs="仿宋"/>
          <w:sz w:val="24"/>
          <w:highlight w:val="none"/>
          <w:u w:val="single"/>
        </w:rPr>
      </w:pPr>
    </w:p>
    <w:p w14:paraId="1A4ED4DF">
      <w:pPr>
        <w:pStyle w:val="23"/>
        <w:numPr>
          <w:ilvl w:val="0"/>
          <w:numId w:val="0"/>
        </w:numPr>
        <w:rPr>
          <w:highlight w:val="none"/>
        </w:rPr>
      </w:pPr>
      <w:r>
        <w:rPr>
          <w:rFonts w:hint="eastAsia" w:ascii="仿宋" w:hAnsi="仿宋" w:eastAsia="仿宋" w:cs="仿宋"/>
          <w:sz w:val="28"/>
          <w:szCs w:val="28"/>
          <w:highlight w:val="none"/>
        </w:rPr>
        <w:t>注：参照“第六章评分方法和标准”，提供有力于投标人的其他资料。</w:t>
      </w:r>
    </w:p>
    <w:p w14:paraId="673CFE0F">
      <w:pPr>
        <w:spacing w:line="237" w:lineRule="auto"/>
        <w:rPr>
          <w:rFonts w:ascii="方正仿宋_GBK" w:hAnsi="方正仿宋_GBK" w:eastAsia="方正仿宋_GBK" w:cs="方正仿宋_GBK"/>
          <w:sz w:val="23"/>
          <w:szCs w:val="23"/>
          <w:highlight w:val="none"/>
        </w:rPr>
        <w:sectPr>
          <w:footerReference r:id="rId24" w:type="default"/>
          <w:pgSz w:w="11906" w:h="16838"/>
          <w:pgMar w:top="400" w:right="1192" w:bottom="1033" w:left="1612" w:header="0" w:footer="857" w:gutter="0"/>
          <w:pgNumType w:fmt="decimal"/>
          <w:cols w:space="720" w:num="1"/>
        </w:sectPr>
      </w:pPr>
    </w:p>
    <w:p w14:paraId="4CED60DC">
      <w:pPr>
        <w:spacing w:line="251" w:lineRule="auto"/>
        <w:rPr>
          <w:rFonts w:ascii="Arial"/>
          <w:sz w:val="21"/>
          <w:highlight w:val="none"/>
        </w:rPr>
      </w:pPr>
    </w:p>
    <w:p w14:paraId="187443C6">
      <w:pPr>
        <w:spacing w:before="94" w:line="227" w:lineRule="auto"/>
        <w:ind w:left="2741"/>
        <w:outlineLvl w:val="1"/>
        <w:rPr>
          <w:rFonts w:ascii="黑体" w:hAnsi="黑体" w:eastAsia="黑体" w:cs="黑体"/>
          <w:sz w:val="29"/>
          <w:szCs w:val="29"/>
          <w:highlight w:val="none"/>
        </w:rPr>
      </w:pPr>
      <w:r>
        <w:rPr>
          <w:rFonts w:ascii="黑体" w:hAnsi="黑体" w:eastAsia="黑体" w:cs="黑体"/>
          <w:spacing w:val="5"/>
          <w:sz w:val="29"/>
          <w:szCs w:val="29"/>
          <w:highlight w:val="none"/>
        </w:rPr>
        <w:t>9、中标服务费承诺书</w:t>
      </w:r>
    </w:p>
    <w:p w14:paraId="42A42530">
      <w:pPr>
        <w:spacing w:line="442" w:lineRule="auto"/>
        <w:rPr>
          <w:rFonts w:ascii="Arial"/>
          <w:sz w:val="21"/>
          <w:highlight w:val="none"/>
        </w:rPr>
      </w:pPr>
    </w:p>
    <w:p w14:paraId="1F9C3C0E">
      <w:pPr>
        <w:pStyle w:val="7"/>
        <w:spacing w:before="74" w:line="231" w:lineRule="auto"/>
        <w:ind w:left="174"/>
        <w:rPr>
          <w:rFonts w:hint="eastAsia" w:eastAsia="仿宋"/>
          <w:sz w:val="23"/>
          <w:szCs w:val="23"/>
          <w:highlight w:val="none"/>
          <w:lang w:eastAsia="zh-CN"/>
        </w:rPr>
      </w:pPr>
      <w:r>
        <w:rPr>
          <w:spacing w:val="6"/>
          <w:sz w:val="23"/>
          <w:szCs w:val="23"/>
          <w:highlight w:val="none"/>
          <w:u w:val="single" w:color="auto"/>
        </w:rPr>
        <w:t>致：</w:t>
      </w:r>
      <w:r>
        <w:rPr>
          <w:rFonts w:hint="eastAsia"/>
          <w:spacing w:val="6"/>
          <w:sz w:val="23"/>
          <w:szCs w:val="23"/>
          <w:highlight w:val="none"/>
          <w:u w:val="single" w:color="auto"/>
          <w:lang w:eastAsia="zh-CN"/>
        </w:rPr>
        <w:t>新疆中泰正信项目管理有限公司</w:t>
      </w:r>
    </w:p>
    <w:p w14:paraId="2D6105E1">
      <w:pPr>
        <w:spacing w:line="326" w:lineRule="auto"/>
        <w:rPr>
          <w:rFonts w:ascii="Arial"/>
          <w:sz w:val="21"/>
          <w:highlight w:val="none"/>
        </w:rPr>
      </w:pPr>
    </w:p>
    <w:p w14:paraId="1BB51027">
      <w:pPr>
        <w:pStyle w:val="7"/>
        <w:spacing w:before="75" w:line="350" w:lineRule="auto"/>
        <w:ind w:left="154" w:right="140" w:firstLine="487"/>
        <w:jc w:val="both"/>
        <w:rPr>
          <w:sz w:val="23"/>
          <w:szCs w:val="23"/>
          <w:highlight w:val="none"/>
        </w:rPr>
      </w:pPr>
      <w:r>
        <w:rPr>
          <w:spacing w:val="10"/>
          <w:sz w:val="23"/>
          <w:szCs w:val="23"/>
          <w:highlight w:val="none"/>
        </w:rPr>
        <w:t>如果我方在贵公司组织的项目名称</w:t>
      </w:r>
      <w:r>
        <w:rPr>
          <w:spacing w:val="-23"/>
          <w:sz w:val="23"/>
          <w:szCs w:val="23"/>
          <w:highlight w:val="none"/>
        </w:rPr>
        <w:t>：</w:t>
      </w:r>
      <w:r>
        <w:rPr>
          <w:spacing w:val="-23"/>
          <w:sz w:val="23"/>
          <w:szCs w:val="23"/>
          <w:highlight w:val="none"/>
          <w:u w:val="single" w:color="auto"/>
        </w:rPr>
        <w:t>（</w:t>
      </w:r>
      <w:r>
        <w:rPr>
          <w:spacing w:val="10"/>
          <w:sz w:val="23"/>
          <w:szCs w:val="23"/>
          <w:highlight w:val="none"/>
          <w:u w:val="single" w:color="auto"/>
        </w:rPr>
        <w:t>项目编号</w:t>
      </w:r>
      <w:r>
        <w:rPr>
          <w:spacing w:val="-23"/>
          <w:sz w:val="23"/>
          <w:szCs w:val="23"/>
          <w:highlight w:val="none"/>
          <w:u w:val="single" w:color="auto"/>
        </w:rPr>
        <w:t>：</w:t>
      </w:r>
      <w:r>
        <w:rPr>
          <w:spacing w:val="-23"/>
          <w:sz w:val="23"/>
          <w:szCs w:val="23"/>
          <w:highlight w:val="none"/>
        </w:rPr>
        <w:t>）</w:t>
      </w:r>
      <w:r>
        <w:rPr>
          <w:spacing w:val="10"/>
          <w:sz w:val="23"/>
          <w:szCs w:val="23"/>
          <w:highlight w:val="none"/>
        </w:rPr>
        <w:t>采购</w:t>
      </w:r>
      <w:r>
        <w:rPr>
          <w:spacing w:val="6"/>
          <w:sz w:val="23"/>
          <w:szCs w:val="23"/>
          <w:highlight w:val="none"/>
        </w:rPr>
        <w:t>项目中被确定为中标供应商候选人，我方保证在收到《中标通知书》前，按照招标文件的规定向贵公司缴纳招标代理服务费。</w:t>
      </w:r>
    </w:p>
    <w:p w14:paraId="45303F7A">
      <w:pPr>
        <w:pStyle w:val="7"/>
        <w:spacing w:before="112" w:line="351" w:lineRule="auto"/>
        <w:ind w:left="152" w:right="131" w:firstLine="503"/>
        <w:jc w:val="both"/>
        <w:rPr>
          <w:sz w:val="23"/>
          <w:szCs w:val="23"/>
          <w:highlight w:val="none"/>
        </w:rPr>
      </w:pPr>
      <w:r>
        <w:rPr>
          <w:spacing w:val="6"/>
          <w:sz w:val="23"/>
          <w:szCs w:val="23"/>
          <w:highlight w:val="none"/>
        </w:rPr>
        <w:t>我方如违约，愿凭贵公司开出的违约通知，按上述承诺金额的200％在采</w:t>
      </w:r>
      <w:r>
        <w:rPr>
          <w:spacing w:val="7"/>
          <w:sz w:val="23"/>
          <w:szCs w:val="23"/>
          <w:highlight w:val="none"/>
        </w:rPr>
        <w:t>购人与我方签订的采购合同款项中扣付，并在此同意和要</w:t>
      </w:r>
      <w:r>
        <w:rPr>
          <w:spacing w:val="6"/>
          <w:sz w:val="23"/>
          <w:szCs w:val="23"/>
          <w:highlight w:val="none"/>
        </w:rPr>
        <w:t>求采购人办理支付手续。</w:t>
      </w:r>
    </w:p>
    <w:p w14:paraId="61459C2C">
      <w:pPr>
        <w:pStyle w:val="7"/>
        <w:spacing w:before="90" w:line="232" w:lineRule="auto"/>
        <w:ind w:left="634"/>
        <w:rPr>
          <w:sz w:val="23"/>
          <w:szCs w:val="23"/>
          <w:highlight w:val="none"/>
        </w:rPr>
      </w:pPr>
      <w:r>
        <w:rPr>
          <w:spacing w:val="3"/>
          <w:sz w:val="23"/>
          <w:szCs w:val="23"/>
          <w:highlight w:val="none"/>
        </w:rPr>
        <w:t>特此承诺！</w:t>
      </w:r>
    </w:p>
    <w:p w14:paraId="00919329">
      <w:pPr>
        <w:spacing w:line="242" w:lineRule="auto"/>
        <w:rPr>
          <w:rFonts w:ascii="Arial"/>
          <w:sz w:val="21"/>
          <w:highlight w:val="none"/>
        </w:rPr>
      </w:pPr>
    </w:p>
    <w:p w14:paraId="11FC85FF">
      <w:pPr>
        <w:spacing w:line="242" w:lineRule="auto"/>
        <w:rPr>
          <w:rFonts w:ascii="Arial"/>
          <w:sz w:val="21"/>
          <w:highlight w:val="none"/>
        </w:rPr>
      </w:pPr>
    </w:p>
    <w:p w14:paraId="2BF694C0">
      <w:pPr>
        <w:spacing w:line="242" w:lineRule="auto"/>
        <w:rPr>
          <w:rFonts w:ascii="Arial"/>
          <w:sz w:val="21"/>
          <w:highlight w:val="none"/>
        </w:rPr>
      </w:pPr>
    </w:p>
    <w:p w14:paraId="3D89F857">
      <w:pPr>
        <w:spacing w:line="242" w:lineRule="auto"/>
        <w:rPr>
          <w:rFonts w:ascii="Arial"/>
          <w:sz w:val="21"/>
          <w:highlight w:val="none"/>
        </w:rPr>
      </w:pPr>
    </w:p>
    <w:p w14:paraId="41E3E8D9">
      <w:pPr>
        <w:pStyle w:val="7"/>
        <w:spacing w:before="75" w:line="440" w:lineRule="auto"/>
        <w:ind w:right="15"/>
        <w:jc w:val="right"/>
        <w:rPr>
          <w:rFonts w:hint="eastAsia" w:eastAsia="仿宋"/>
          <w:sz w:val="23"/>
          <w:szCs w:val="23"/>
          <w:highlight w:val="none"/>
          <w:lang w:eastAsia="zh-CN"/>
        </w:rPr>
      </w:pPr>
      <w:r>
        <w:rPr>
          <w:spacing w:val="6"/>
          <w:sz w:val="23"/>
          <w:szCs w:val="23"/>
          <w:highlight w:val="none"/>
        </w:rPr>
        <w:t>投标人名称（加盖公章</w:t>
      </w:r>
      <w:r>
        <w:rPr>
          <w:spacing w:val="13"/>
          <w:sz w:val="23"/>
          <w:szCs w:val="23"/>
          <w:highlight w:val="none"/>
        </w:rPr>
        <w:t>）：</w:t>
      </w:r>
      <w:r>
        <w:rPr>
          <w:spacing w:val="5"/>
          <w:sz w:val="23"/>
          <w:szCs w:val="23"/>
          <w:highlight w:val="none"/>
        </w:rPr>
        <w:t>法定代表人（签字盖章</w:t>
      </w:r>
      <w:r>
        <w:rPr>
          <w:spacing w:val="11"/>
          <w:sz w:val="23"/>
          <w:szCs w:val="23"/>
          <w:highlight w:val="none"/>
        </w:rPr>
        <w:t>）：</w:t>
      </w:r>
    </w:p>
    <w:p w14:paraId="369F0CB6">
      <w:pPr>
        <w:pStyle w:val="7"/>
        <w:spacing w:before="77" w:line="440" w:lineRule="auto"/>
        <w:ind w:left="3361" w:right="15" w:hanging="296"/>
        <w:rPr>
          <w:sz w:val="23"/>
          <w:szCs w:val="23"/>
          <w:highlight w:val="none"/>
        </w:rPr>
      </w:pPr>
      <w:r>
        <w:rPr>
          <w:spacing w:val="10"/>
          <w:sz w:val="23"/>
          <w:szCs w:val="23"/>
          <w:highlight w:val="none"/>
        </w:rPr>
        <w:t>授权代理人</w:t>
      </w:r>
      <w:r>
        <w:rPr>
          <w:spacing w:val="-21"/>
          <w:sz w:val="23"/>
          <w:szCs w:val="23"/>
          <w:highlight w:val="none"/>
        </w:rPr>
        <w:t>：（</w:t>
      </w:r>
      <w:r>
        <w:rPr>
          <w:spacing w:val="10"/>
          <w:sz w:val="23"/>
          <w:szCs w:val="23"/>
          <w:highlight w:val="none"/>
        </w:rPr>
        <w:t>签字）</w:t>
      </w:r>
      <w:r>
        <w:rPr>
          <w:spacing w:val="-5"/>
          <w:sz w:val="23"/>
          <w:szCs w:val="23"/>
          <w:highlight w:val="none"/>
        </w:rPr>
        <w:t>签署日期：年月日</w:t>
      </w:r>
    </w:p>
    <w:p w14:paraId="28E9242E">
      <w:pPr>
        <w:spacing w:line="440" w:lineRule="auto"/>
        <w:rPr>
          <w:sz w:val="23"/>
          <w:szCs w:val="23"/>
          <w:highlight w:val="none"/>
        </w:rPr>
        <w:sectPr>
          <w:footerReference r:id="rId25" w:type="default"/>
          <w:pgSz w:w="11906" w:h="16838"/>
          <w:pgMar w:top="400" w:right="1785" w:bottom="1387" w:left="1785" w:header="0" w:footer="1212" w:gutter="0"/>
          <w:pgNumType w:fmt="decimal"/>
          <w:cols w:space="720" w:num="1"/>
        </w:sectPr>
      </w:pPr>
    </w:p>
    <w:p w14:paraId="0BB1A9AE">
      <w:pPr>
        <w:spacing w:line="256" w:lineRule="auto"/>
        <w:rPr>
          <w:rFonts w:ascii="Arial"/>
          <w:sz w:val="21"/>
          <w:highlight w:val="none"/>
        </w:rPr>
      </w:pPr>
    </w:p>
    <w:p w14:paraId="1590C609">
      <w:pPr>
        <w:spacing w:line="257" w:lineRule="auto"/>
        <w:rPr>
          <w:rFonts w:ascii="Arial"/>
          <w:sz w:val="21"/>
          <w:highlight w:val="none"/>
        </w:rPr>
      </w:pPr>
    </w:p>
    <w:p w14:paraId="7F19A936">
      <w:pPr>
        <w:spacing w:line="257" w:lineRule="auto"/>
        <w:rPr>
          <w:rFonts w:ascii="Arial"/>
          <w:sz w:val="21"/>
          <w:highlight w:val="none"/>
        </w:rPr>
      </w:pPr>
    </w:p>
    <w:p w14:paraId="5DEA84C6">
      <w:pPr>
        <w:spacing w:line="257" w:lineRule="auto"/>
        <w:rPr>
          <w:rFonts w:ascii="Arial"/>
          <w:sz w:val="21"/>
          <w:highlight w:val="none"/>
        </w:rPr>
      </w:pPr>
    </w:p>
    <w:p w14:paraId="0E0FD25A">
      <w:pPr>
        <w:pStyle w:val="7"/>
        <w:tabs>
          <w:tab w:val="left" w:pos="265"/>
        </w:tabs>
        <w:spacing w:before="94" w:line="335" w:lineRule="auto"/>
        <w:ind w:left="9" w:right="1380" w:firstLine="1361"/>
        <w:rPr>
          <w:sz w:val="23"/>
          <w:szCs w:val="23"/>
          <w:highlight w:val="none"/>
        </w:rPr>
      </w:pPr>
      <w:r>
        <w:rPr>
          <w:rFonts w:ascii="黑体" w:hAnsi="黑体" w:eastAsia="黑体" w:cs="黑体"/>
          <w:spacing w:val="4"/>
          <w:sz w:val="29"/>
          <w:szCs w:val="29"/>
          <w:highlight w:val="none"/>
        </w:rPr>
        <w:t>10、自觉抵制招标领域商业贿赂行为承诺书</w:t>
      </w:r>
      <w:r>
        <w:rPr>
          <w:sz w:val="23"/>
          <w:szCs w:val="23"/>
          <w:highlight w:val="none"/>
          <w:u w:val="single" w:color="auto"/>
        </w:rPr>
        <w:tab/>
      </w:r>
      <w:r>
        <w:rPr>
          <w:spacing w:val="-26"/>
          <w:sz w:val="23"/>
          <w:szCs w:val="23"/>
          <w:highlight w:val="none"/>
          <w:u w:val="single" w:color="auto"/>
        </w:rPr>
        <w:t>（招标人名称</w:t>
      </w:r>
      <w:r>
        <w:rPr>
          <w:spacing w:val="-3"/>
          <w:sz w:val="23"/>
          <w:szCs w:val="23"/>
          <w:highlight w:val="none"/>
          <w:u w:val="single" w:color="auto"/>
        </w:rPr>
        <w:t>）</w:t>
      </w:r>
      <w:r>
        <w:rPr>
          <w:spacing w:val="-3"/>
          <w:sz w:val="23"/>
          <w:szCs w:val="23"/>
          <w:highlight w:val="none"/>
        </w:rPr>
        <w:t>：</w:t>
      </w:r>
    </w:p>
    <w:p w14:paraId="2D59A55D">
      <w:pPr>
        <w:pStyle w:val="7"/>
        <w:spacing w:before="90" w:line="360" w:lineRule="auto"/>
        <w:ind w:left="38" w:firstLine="483"/>
        <w:rPr>
          <w:sz w:val="23"/>
          <w:szCs w:val="23"/>
          <w:highlight w:val="none"/>
        </w:rPr>
      </w:pPr>
      <w:r>
        <w:rPr>
          <w:spacing w:val="14"/>
          <w:sz w:val="23"/>
          <w:szCs w:val="23"/>
          <w:highlight w:val="none"/>
        </w:rPr>
        <w:t>开展治理招标领域商业贿赂工作，是中央确定的反腐败工作的重点领域之</w:t>
      </w:r>
      <w:r>
        <w:rPr>
          <w:spacing w:val="8"/>
          <w:sz w:val="23"/>
          <w:szCs w:val="23"/>
          <w:highlight w:val="none"/>
        </w:rPr>
        <w:t>一，它既是完善市场经济、构建社会主义和谐社会</w:t>
      </w:r>
      <w:r>
        <w:rPr>
          <w:spacing w:val="7"/>
          <w:sz w:val="23"/>
          <w:szCs w:val="23"/>
          <w:highlight w:val="none"/>
        </w:rPr>
        <w:t>的客观需要，又是从源头上抑</w:t>
      </w:r>
      <w:r>
        <w:rPr>
          <w:spacing w:val="8"/>
          <w:sz w:val="23"/>
          <w:szCs w:val="23"/>
          <w:highlight w:val="none"/>
        </w:rPr>
        <w:t>制腐败的有力措施，意义重大、影响深远。为深入</w:t>
      </w:r>
      <w:r>
        <w:rPr>
          <w:spacing w:val="7"/>
          <w:sz w:val="23"/>
          <w:szCs w:val="23"/>
          <w:highlight w:val="none"/>
        </w:rPr>
        <w:t>贯彻落实中央的有关部署及要求，进一步规范招标行为，营造公平竞争的市场环境，维护招标制度良好声誉，在参与贵公司组织的招标活动中，我方庄重承诺：</w:t>
      </w:r>
    </w:p>
    <w:p w14:paraId="4C5F7D33">
      <w:pPr>
        <w:pStyle w:val="7"/>
        <w:spacing w:before="80" w:line="310" w:lineRule="auto"/>
        <w:ind w:left="46" w:right="33" w:firstLine="486"/>
        <w:rPr>
          <w:sz w:val="23"/>
          <w:szCs w:val="23"/>
          <w:highlight w:val="none"/>
        </w:rPr>
      </w:pPr>
      <w:r>
        <w:rPr>
          <w:spacing w:val="5"/>
          <w:sz w:val="23"/>
          <w:szCs w:val="23"/>
          <w:highlight w:val="none"/>
        </w:rPr>
        <w:t>一、依法参与招标活动，遵纪守法，诚信经营，公平竞争。我单位在前三年</w:t>
      </w:r>
      <w:r>
        <w:rPr>
          <w:spacing w:val="6"/>
          <w:sz w:val="23"/>
          <w:szCs w:val="23"/>
          <w:highlight w:val="none"/>
        </w:rPr>
        <w:t>内的经营活动中没有政府采购法实施条例第十九条所称重大违法记录，包括：我单位或者其法定代表人、董事、监事、高级管理人员因经营活动中的违法行为受</w:t>
      </w:r>
      <w:r>
        <w:rPr>
          <w:spacing w:val="3"/>
          <w:sz w:val="23"/>
          <w:szCs w:val="23"/>
          <w:highlight w:val="none"/>
        </w:rPr>
        <w:t>到行政处罚和刑事处罚。</w:t>
      </w:r>
    </w:p>
    <w:p w14:paraId="71EF6816">
      <w:pPr>
        <w:spacing w:line="244" w:lineRule="auto"/>
        <w:rPr>
          <w:rFonts w:ascii="Arial"/>
          <w:sz w:val="21"/>
          <w:highlight w:val="none"/>
        </w:rPr>
      </w:pPr>
    </w:p>
    <w:p w14:paraId="6AFA4B98">
      <w:pPr>
        <w:pStyle w:val="7"/>
        <w:spacing w:before="75" w:line="263" w:lineRule="auto"/>
        <w:ind w:left="35" w:right="33" w:firstLine="501"/>
        <w:rPr>
          <w:sz w:val="23"/>
          <w:szCs w:val="23"/>
          <w:highlight w:val="none"/>
        </w:rPr>
      </w:pPr>
      <w:r>
        <w:rPr>
          <w:spacing w:val="6"/>
          <w:sz w:val="23"/>
          <w:szCs w:val="23"/>
          <w:highlight w:val="none"/>
        </w:rPr>
        <w:t>二、不向采购人、招标公司和评审专家提供任何形式的商业贿赂；</w:t>
      </w:r>
      <w:r>
        <w:rPr>
          <w:spacing w:val="5"/>
          <w:sz w:val="23"/>
          <w:szCs w:val="23"/>
          <w:highlight w:val="none"/>
        </w:rPr>
        <w:t>对索取或</w:t>
      </w:r>
      <w:r>
        <w:rPr>
          <w:spacing w:val="8"/>
          <w:sz w:val="23"/>
          <w:szCs w:val="23"/>
          <w:highlight w:val="none"/>
        </w:rPr>
        <w:t>接受商业贿赂的单位和个人，及时向主管部门和纪检监察机关举报。</w:t>
      </w:r>
    </w:p>
    <w:p w14:paraId="4315C956">
      <w:pPr>
        <w:pStyle w:val="7"/>
        <w:spacing w:before="251" w:line="228" w:lineRule="auto"/>
        <w:jc w:val="right"/>
        <w:rPr>
          <w:sz w:val="23"/>
          <w:szCs w:val="23"/>
          <w:highlight w:val="none"/>
        </w:rPr>
      </w:pPr>
      <w:r>
        <w:rPr>
          <w:spacing w:val="5"/>
          <w:sz w:val="23"/>
          <w:szCs w:val="23"/>
          <w:highlight w:val="none"/>
        </w:rPr>
        <w:t>三、不以提供虚假资质文件等形式参与招标活动，不以虚假材料谋取中标。</w:t>
      </w:r>
    </w:p>
    <w:p w14:paraId="27EC6C1D">
      <w:pPr>
        <w:pStyle w:val="7"/>
        <w:spacing w:before="206" w:line="264" w:lineRule="auto"/>
        <w:ind w:left="33" w:right="35" w:firstLine="538"/>
        <w:rPr>
          <w:sz w:val="23"/>
          <w:szCs w:val="23"/>
          <w:highlight w:val="none"/>
        </w:rPr>
      </w:pPr>
      <w:r>
        <w:rPr>
          <w:spacing w:val="5"/>
          <w:sz w:val="23"/>
          <w:szCs w:val="23"/>
          <w:highlight w:val="none"/>
        </w:rPr>
        <w:t>四、不采取不正当手段诋毁、排挤其他投标人，与其他参</w:t>
      </w:r>
      <w:r>
        <w:rPr>
          <w:spacing w:val="4"/>
          <w:sz w:val="23"/>
          <w:szCs w:val="23"/>
          <w:highlight w:val="none"/>
        </w:rPr>
        <w:t>与招标活动投标人</w:t>
      </w:r>
      <w:r>
        <w:rPr>
          <w:spacing w:val="6"/>
          <w:sz w:val="23"/>
          <w:szCs w:val="23"/>
          <w:highlight w:val="none"/>
        </w:rPr>
        <w:t>保持良性的竞争关系。</w:t>
      </w:r>
    </w:p>
    <w:p w14:paraId="26E0D8D7">
      <w:pPr>
        <w:pStyle w:val="7"/>
        <w:spacing w:before="271" w:line="266" w:lineRule="auto"/>
        <w:ind w:left="53" w:right="31" w:firstLine="474"/>
        <w:rPr>
          <w:sz w:val="23"/>
          <w:szCs w:val="23"/>
          <w:highlight w:val="none"/>
        </w:rPr>
      </w:pPr>
      <w:r>
        <w:rPr>
          <w:spacing w:val="4"/>
          <w:sz w:val="23"/>
          <w:szCs w:val="23"/>
          <w:highlight w:val="none"/>
        </w:rPr>
        <w:t>五、不与采购人、招标公司和评审专家恶意串通，自觉维护招标公平竞争的</w:t>
      </w:r>
      <w:r>
        <w:rPr>
          <w:spacing w:val="1"/>
          <w:sz w:val="23"/>
          <w:szCs w:val="23"/>
          <w:highlight w:val="none"/>
        </w:rPr>
        <w:t>市场秩序。</w:t>
      </w:r>
    </w:p>
    <w:p w14:paraId="2738B06F">
      <w:pPr>
        <w:pStyle w:val="7"/>
        <w:spacing w:before="268" w:line="266" w:lineRule="auto"/>
        <w:ind w:left="46" w:right="33" w:firstLine="482"/>
        <w:rPr>
          <w:sz w:val="23"/>
          <w:szCs w:val="23"/>
          <w:highlight w:val="none"/>
        </w:rPr>
      </w:pPr>
      <w:r>
        <w:rPr>
          <w:spacing w:val="6"/>
          <w:sz w:val="23"/>
          <w:szCs w:val="23"/>
          <w:highlight w:val="none"/>
        </w:rPr>
        <w:t>六、不与其他投标人串通采取围标、陪标等商业欺诈手段谋取中标，积极维</w:t>
      </w:r>
      <w:r>
        <w:rPr>
          <w:spacing w:val="8"/>
          <w:sz w:val="23"/>
          <w:szCs w:val="23"/>
          <w:highlight w:val="none"/>
        </w:rPr>
        <w:t>护国家利益、社会公共利益和采购人的合法权</w:t>
      </w:r>
      <w:r>
        <w:rPr>
          <w:spacing w:val="7"/>
          <w:sz w:val="23"/>
          <w:szCs w:val="23"/>
          <w:highlight w:val="none"/>
        </w:rPr>
        <w:t>益。</w:t>
      </w:r>
    </w:p>
    <w:p w14:paraId="658B91BD">
      <w:pPr>
        <w:pStyle w:val="7"/>
        <w:spacing w:before="273" w:line="263" w:lineRule="auto"/>
        <w:ind w:left="34" w:right="15" w:firstLine="492"/>
        <w:rPr>
          <w:sz w:val="23"/>
          <w:szCs w:val="23"/>
          <w:highlight w:val="none"/>
        </w:rPr>
      </w:pPr>
      <w:r>
        <w:rPr>
          <w:spacing w:val="6"/>
          <w:sz w:val="23"/>
          <w:szCs w:val="23"/>
          <w:highlight w:val="none"/>
        </w:rPr>
        <w:t>七、严格履行招标合同约定义务，不在招标合同执行过程中采取降低质量或</w:t>
      </w:r>
      <w:r>
        <w:rPr>
          <w:spacing w:val="1"/>
          <w:sz w:val="23"/>
          <w:szCs w:val="23"/>
          <w:highlight w:val="none"/>
        </w:rPr>
        <w:t>标准、减少数量、拖延交付时间等方式损害采购人的利益</w:t>
      </w:r>
      <w:r>
        <w:rPr>
          <w:sz w:val="23"/>
          <w:szCs w:val="23"/>
          <w:highlight w:val="none"/>
        </w:rPr>
        <w:t>，并自觉承担违约责任。</w:t>
      </w:r>
    </w:p>
    <w:p w14:paraId="057EA13C">
      <w:pPr>
        <w:pStyle w:val="7"/>
        <w:spacing w:before="276" w:line="264" w:lineRule="auto"/>
        <w:ind w:left="51" w:right="33" w:firstLine="467"/>
        <w:rPr>
          <w:sz w:val="23"/>
          <w:szCs w:val="23"/>
          <w:highlight w:val="none"/>
        </w:rPr>
      </w:pPr>
      <w:r>
        <w:rPr>
          <w:spacing w:val="6"/>
          <w:sz w:val="23"/>
          <w:szCs w:val="23"/>
          <w:highlight w:val="none"/>
        </w:rPr>
        <w:t>八、自觉接受并积极配合主管部门和纪检监察机关依法实施的监督检查，如</w:t>
      </w:r>
      <w:r>
        <w:rPr>
          <w:spacing w:val="5"/>
          <w:sz w:val="23"/>
          <w:szCs w:val="23"/>
          <w:highlight w:val="none"/>
        </w:rPr>
        <w:t>实反映情况，及时提供有关证明材料。</w:t>
      </w:r>
    </w:p>
    <w:p w14:paraId="108D19F7">
      <w:pPr>
        <w:spacing w:line="330" w:lineRule="auto"/>
        <w:rPr>
          <w:rFonts w:ascii="Arial"/>
          <w:sz w:val="21"/>
          <w:highlight w:val="none"/>
        </w:rPr>
      </w:pPr>
    </w:p>
    <w:p w14:paraId="3CF50D1C">
      <w:pPr>
        <w:spacing w:line="331" w:lineRule="auto"/>
        <w:rPr>
          <w:rFonts w:ascii="Arial"/>
          <w:sz w:val="21"/>
          <w:highlight w:val="none"/>
        </w:rPr>
      </w:pPr>
    </w:p>
    <w:p w14:paraId="20CAB067">
      <w:pPr>
        <w:pStyle w:val="7"/>
        <w:spacing w:before="75" w:line="344" w:lineRule="auto"/>
        <w:ind w:left="3486" w:right="38" w:hanging="296"/>
        <w:rPr>
          <w:spacing w:val="13"/>
          <w:sz w:val="23"/>
          <w:szCs w:val="23"/>
          <w:highlight w:val="none"/>
        </w:rPr>
      </w:pPr>
      <w:r>
        <w:rPr>
          <w:spacing w:val="6"/>
          <w:sz w:val="23"/>
          <w:szCs w:val="23"/>
          <w:highlight w:val="none"/>
        </w:rPr>
        <w:t>投标人名称（加盖公章</w:t>
      </w:r>
      <w:r>
        <w:rPr>
          <w:spacing w:val="13"/>
          <w:sz w:val="23"/>
          <w:szCs w:val="23"/>
          <w:highlight w:val="none"/>
        </w:rPr>
        <w:t>）：</w:t>
      </w:r>
    </w:p>
    <w:p w14:paraId="6C8694ED">
      <w:pPr>
        <w:pStyle w:val="7"/>
        <w:spacing w:before="75" w:line="344" w:lineRule="auto"/>
        <w:ind w:left="3486" w:right="38" w:hanging="296"/>
        <w:rPr>
          <w:rFonts w:hint="eastAsia" w:eastAsia="仿宋"/>
          <w:sz w:val="23"/>
          <w:szCs w:val="23"/>
          <w:highlight w:val="none"/>
          <w:lang w:eastAsia="zh-CN"/>
        </w:rPr>
      </w:pPr>
      <w:r>
        <w:rPr>
          <w:spacing w:val="5"/>
          <w:sz w:val="23"/>
          <w:szCs w:val="23"/>
          <w:highlight w:val="none"/>
        </w:rPr>
        <w:t>法定代表人（签字盖章</w:t>
      </w:r>
      <w:r>
        <w:rPr>
          <w:spacing w:val="11"/>
          <w:sz w:val="23"/>
          <w:szCs w:val="23"/>
          <w:highlight w:val="none"/>
        </w:rPr>
        <w:t>）：</w:t>
      </w:r>
    </w:p>
    <w:p w14:paraId="26AE8FEE">
      <w:pPr>
        <w:pStyle w:val="7"/>
        <w:spacing w:before="77" w:line="344" w:lineRule="auto"/>
        <w:ind w:left="3481" w:right="38" w:hanging="296"/>
        <w:rPr>
          <w:spacing w:val="9"/>
          <w:sz w:val="23"/>
          <w:szCs w:val="23"/>
          <w:highlight w:val="none"/>
        </w:rPr>
      </w:pPr>
      <w:r>
        <w:rPr>
          <w:spacing w:val="9"/>
          <w:sz w:val="23"/>
          <w:szCs w:val="23"/>
          <w:highlight w:val="none"/>
        </w:rPr>
        <w:t>授权代表</w:t>
      </w:r>
      <w:r>
        <w:rPr>
          <w:spacing w:val="-21"/>
          <w:sz w:val="23"/>
          <w:szCs w:val="23"/>
          <w:highlight w:val="none"/>
        </w:rPr>
        <w:t>：（</w:t>
      </w:r>
      <w:r>
        <w:rPr>
          <w:spacing w:val="9"/>
          <w:sz w:val="23"/>
          <w:szCs w:val="23"/>
          <w:highlight w:val="none"/>
        </w:rPr>
        <w:t>签字）</w:t>
      </w:r>
    </w:p>
    <w:p w14:paraId="5ADA3B2A">
      <w:pPr>
        <w:pStyle w:val="7"/>
        <w:spacing w:before="77" w:line="344" w:lineRule="auto"/>
        <w:ind w:left="3481" w:right="38" w:hanging="296"/>
        <w:rPr>
          <w:sz w:val="23"/>
          <w:szCs w:val="23"/>
          <w:highlight w:val="none"/>
        </w:rPr>
      </w:pPr>
      <w:r>
        <w:rPr>
          <w:spacing w:val="-5"/>
          <w:sz w:val="23"/>
          <w:szCs w:val="23"/>
          <w:highlight w:val="none"/>
        </w:rPr>
        <w:t>签署日期：年月日</w:t>
      </w:r>
    </w:p>
    <w:p w14:paraId="55A0B5E6">
      <w:pPr>
        <w:spacing w:line="344" w:lineRule="auto"/>
        <w:rPr>
          <w:sz w:val="23"/>
          <w:szCs w:val="23"/>
          <w:highlight w:val="none"/>
        </w:rPr>
        <w:sectPr>
          <w:footerReference r:id="rId26" w:type="default"/>
          <w:pgSz w:w="11906" w:h="16838"/>
          <w:pgMar w:top="400" w:right="1763" w:bottom="1388" w:left="1785" w:header="0" w:footer="1212" w:gutter="0"/>
          <w:pgNumType w:fmt="decimal"/>
          <w:cols w:space="720" w:num="1"/>
        </w:sectPr>
      </w:pPr>
    </w:p>
    <w:p w14:paraId="46F95A76">
      <w:pPr>
        <w:spacing w:line="251" w:lineRule="auto"/>
        <w:rPr>
          <w:rFonts w:ascii="Arial"/>
          <w:sz w:val="21"/>
          <w:highlight w:val="none"/>
        </w:rPr>
      </w:pPr>
    </w:p>
    <w:p w14:paraId="5ADEF835">
      <w:pPr>
        <w:spacing w:line="251" w:lineRule="auto"/>
        <w:rPr>
          <w:rFonts w:ascii="Arial"/>
          <w:sz w:val="21"/>
          <w:highlight w:val="none"/>
        </w:rPr>
      </w:pPr>
    </w:p>
    <w:p w14:paraId="5744ADC5">
      <w:pPr>
        <w:spacing w:before="94" w:line="227" w:lineRule="auto"/>
        <w:ind w:left="1070"/>
        <w:rPr>
          <w:rFonts w:ascii="黑体" w:hAnsi="黑体" w:eastAsia="黑体" w:cs="黑体"/>
          <w:sz w:val="29"/>
          <w:szCs w:val="29"/>
          <w:highlight w:val="none"/>
        </w:rPr>
      </w:pPr>
      <w:r>
        <w:rPr>
          <w:rFonts w:ascii="黑体" w:hAnsi="黑体" w:eastAsia="黑体" w:cs="黑体"/>
          <w:spacing w:val="6"/>
          <w:sz w:val="29"/>
          <w:szCs w:val="29"/>
          <w:highlight w:val="none"/>
        </w:rPr>
        <w:t>1</w:t>
      </w:r>
      <w:r>
        <w:rPr>
          <w:rFonts w:hint="eastAsia" w:ascii="黑体" w:hAnsi="黑体" w:eastAsia="黑体" w:cs="黑体"/>
          <w:spacing w:val="6"/>
          <w:sz w:val="29"/>
          <w:szCs w:val="29"/>
          <w:highlight w:val="none"/>
          <w:lang w:val="en-US" w:eastAsia="zh-CN"/>
        </w:rPr>
        <w:t>1</w:t>
      </w:r>
      <w:r>
        <w:rPr>
          <w:rFonts w:ascii="黑体" w:hAnsi="黑体" w:eastAsia="黑体" w:cs="黑体"/>
          <w:spacing w:val="6"/>
          <w:sz w:val="29"/>
          <w:szCs w:val="29"/>
          <w:highlight w:val="none"/>
        </w:rPr>
        <w:t>、投标人没有被限制或取消投标资格的承诺函</w:t>
      </w:r>
    </w:p>
    <w:p w14:paraId="637232B9">
      <w:pPr>
        <w:spacing w:line="266" w:lineRule="auto"/>
        <w:rPr>
          <w:rFonts w:ascii="Arial"/>
          <w:sz w:val="21"/>
          <w:highlight w:val="none"/>
        </w:rPr>
      </w:pPr>
    </w:p>
    <w:p w14:paraId="1F93BD5A">
      <w:pPr>
        <w:spacing w:line="266" w:lineRule="auto"/>
        <w:rPr>
          <w:rFonts w:ascii="Arial"/>
          <w:sz w:val="21"/>
          <w:highlight w:val="none"/>
        </w:rPr>
      </w:pPr>
    </w:p>
    <w:p w14:paraId="2CE72467">
      <w:pPr>
        <w:spacing w:line="266" w:lineRule="auto"/>
        <w:rPr>
          <w:rFonts w:ascii="Arial"/>
          <w:sz w:val="21"/>
          <w:highlight w:val="none"/>
        </w:rPr>
      </w:pPr>
    </w:p>
    <w:p w14:paraId="5AA63742">
      <w:pPr>
        <w:pStyle w:val="7"/>
        <w:spacing w:before="74" w:line="229" w:lineRule="auto"/>
        <w:ind w:left="527"/>
        <w:rPr>
          <w:rFonts w:hint="eastAsia" w:eastAsia="仿宋"/>
          <w:sz w:val="23"/>
          <w:szCs w:val="23"/>
          <w:highlight w:val="none"/>
          <w:lang w:eastAsia="zh-CN"/>
        </w:rPr>
      </w:pPr>
      <w:r>
        <w:rPr>
          <w:spacing w:val="9"/>
          <w:sz w:val="23"/>
          <w:szCs w:val="23"/>
          <w:highlight w:val="none"/>
        </w:rPr>
        <w:t>致</w:t>
      </w:r>
      <w:r>
        <w:rPr>
          <w:spacing w:val="-18"/>
          <w:sz w:val="23"/>
          <w:szCs w:val="23"/>
          <w:highlight w:val="none"/>
        </w:rPr>
        <w:t>：</w:t>
      </w:r>
      <w:r>
        <w:rPr>
          <w:spacing w:val="-18"/>
          <w:sz w:val="23"/>
          <w:szCs w:val="23"/>
          <w:highlight w:val="none"/>
          <w:u w:val="single" w:color="auto"/>
        </w:rPr>
        <w:t>（</w:t>
      </w:r>
      <w:r>
        <w:rPr>
          <w:spacing w:val="9"/>
          <w:sz w:val="23"/>
          <w:szCs w:val="23"/>
          <w:highlight w:val="none"/>
          <w:u w:val="single" w:color="auto"/>
        </w:rPr>
        <w:t>采购人名称）</w:t>
      </w:r>
    </w:p>
    <w:p w14:paraId="5AF37F68">
      <w:pPr>
        <w:spacing w:line="312" w:lineRule="auto"/>
        <w:rPr>
          <w:rFonts w:ascii="Arial"/>
          <w:sz w:val="21"/>
          <w:highlight w:val="none"/>
        </w:rPr>
      </w:pPr>
    </w:p>
    <w:p w14:paraId="3F7637DC">
      <w:pPr>
        <w:spacing w:line="313" w:lineRule="auto"/>
        <w:rPr>
          <w:rFonts w:ascii="Arial"/>
          <w:sz w:val="21"/>
          <w:highlight w:val="none"/>
        </w:rPr>
      </w:pPr>
    </w:p>
    <w:p w14:paraId="44C3ED78">
      <w:pPr>
        <w:spacing w:line="313" w:lineRule="auto"/>
        <w:rPr>
          <w:rFonts w:ascii="Arial"/>
          <w:sz w:val="21"/>
          <w:highlight w:val="none"/>
        </w:rPr>
      </w:pPr>
    </w:p>
    <w:p w14:paraId="25835C63">
      <w:pPr>
        <w:pStyle w:val="7"/>
        <w:spacing w:before="75" w:line="479" w:lineRule="auto"/>
        <w:ind w:left="37" w:right="13" w:firstLine="498"/>
        <w:rPr>
          <w:sz w:val="23"/>
          <w:szCs w:val="23"/>
          <w:highlight w:val="none"/>
        </w:rPr>
      </w:pPr>
      <w:r>
        <w:rPr>
          <w:spacing w:val="5"/>
          <w:sz w:val="23"/>
          <w:szCs w:val="23"/>
          <w:highlight w:val="none"/>
        </w:rPr>
        <w:t>我公司</w:t>
      </w:r>
      <w:r>
        <w:rPr>
          <w:spacing w:val="5"/>
          <w:sz w:val="23"/>
          <w:szCs w:val="23"/>
          <w:highlight w:val="none"/>
          <w:u w:val="single" w:color="auto"/>
        </w:rPr>
        <w:t>（投标人名称）</w:t>
      </w:r>
      <w:r>
        <w:rPr>
          <w:spacing w:val="5"/>
          <w:sz w:val="23"/>
          <w:szCs w:val="23"/>
          <w:highlight w:val="none"/>
        </w:rPr>
        <w:t>作为</w:t>
      </w:r>
      <w:r>
        <w:rPr>
          <w:spacing w:val="5"/>
          <w:sz w:val="23"/>
          <w:szCs w:val="23"/>
          <w:highlight w:val="none"/>
          <w:u w:val="single" w:color="auto"/>
        </w:rPr>
        <w:t>（项目名称、项目编号</w:t>
      </w:r>
      <w:r>
        <w:rPr>
          <w:spacing w:val="-8"/>
          <w:sz w:val="23"/>
          <w:szCs w:val="23"/>
          <w:highlight w:val="none"/>
          <w:u w:val="single" w:color="auto"/>
        </w:rPr>
        <w:t>）</w:t>
      </w:r>
      <w:r>
        <w:rPr>
          <w:spacing w:val="-8"/>
          <w:sz w:val="23"/>
          <w:szCs w:val="23"/>
          <w:highlight w:val="none"/>
        </w:rPr>
        <w:t>（</w:t>
      </w:r>
      <w:r>
        <w:rPr>
          <w:spacing w:val="5"/>
          <w:sz w:val="23"/>
          <w:szCs w:val="23"/>
          <w:highlight w:val="none"/>
        </w:rPr>
        <w:t>以下简</w:t>
      </w:r>
      <w:r>
        <w:rPr>
          <w:spacing w:val="2"/>
          <w:sz w:val="23"/>
          <w:szCs w:val="23"/>
          <w:highlight w:val="none"/>
        </w:rPr>
        <w:t>称“本项目”）的投标人在此郑重承诺：</w:t>
      </w:r>
    </w:p>
    <w:p w14:paraId="582EED54">
      <w:pPr>
        <w:pStyle w:val="7"/>
        <w:spacing w:before="83" w:line="492" w:lineRule="auto"/>
        <w:ind w:left="37" w:right="6" w:firstLine="498"/>
        <w:jc w:val="both"/>
        <w:rPr>
          <w:sz w:val="23"/>
          <w:szCs w:val="23"/>
          <w:highlight w:val="none"/>
        </w:rPr>
      </w:pPr>
      <w:r>
        <w:rPr>
          <w:spacing w:val="6"/>
          <w:sz w:val="23"/>
          <w:szCs w:val="23"/>
          <w:highlight w:val="none"/>
        </w:rPr>
        <w:t>我公司承诺我方没有违反现行法律、法规及有关规定而被限制投标情形或者</w:t>
      </w:r>
      <w:r>
        <w:rPr>
          <w:spacing w:val="7"/>
          <w:sz w:val="23"/>
          <w:szCs w:val="23"/>
          <w:highlight w:val="none"/>
        </w:rPr>
        <w:t>没有被有关行政监督部门限制或取消投标资格情形；否则，仍然投</w:t>
      </w:r>
      <w:r>
        <w:rPr>
          <w:spacing w:val="6"/>
          <w:sz w:val="23"/>
          <w:szCs w:val="23"/>
          <w:highlight w:val="none"/>
        </w:rPr>
        <w:t>标的行为将纳</w:t>
      </w:r>
      <w:r>
        <w:rPr>
          <w:spacing w:val="8"/>
          <w:sz w:val="23"/>
          <w:szCs w:val="23"/>
          <w:highlight w:val="none"/>
        </w:rPr>
        <w:t>入政府采购诚信评价予以扣分；若中标也自愿接受取消中标资格的处罚。</w:t>
      </w:r>
    </w:p>
    <w:p w14:paraId="69782233">
      <w:pPr>
        <w:pStyle w:val="7"/>
        <w:spacing w:before="55" w:line="232" w:lineRule="auto"/>
        <w:ind w:left="516"/>
        <w:rPr>
          <w:sz w:val="23"/>
          <w:szCs w:val="23"/>
          <w:highlight w:val="none"/>
        </w:rPr>
      </w:pPr>
      <w:r>
        <w:rPr>
          <w:spacing w:val="3"/>
          <w:sz w:val="23"/>
          <w:szCs w:val="23"/>
          <w:highlight w:val="none"/>
        </w:rPr>
        <w:t>特此承诺！</w:t>
      </w:r>
    </w:p>
    <w:p w14:paraId="72D4ED7D">
      <w:pPr>
        <w:spacing w:line="272" w:lineRule="auto"/>
        <w:rPr>
          <w:rFonts w:ascii="Arial"/>
          <w:sz w:val="21"/>
          <w:highlight w:val="none"/>
        </w:rPr>
      </w:pPr>
    </w:p>
    <w:p w14:paraId="772E7341">
      <w:pPr>
        <w:spacing w:line="272" w:lineRule="auto"/>
        <w:rPr>
          <w:rFonts w:ascii="Arial"/>
          <w:sz w:val="21"/>
          <w:highlight w:val="none"/>
        </w:rPr>
      </w:pPr>
    </w:p>
    <w:p w14:paraId="6C447955">
      <w:pPr>
        <w:spacing w:line="272" w:lineRule="auto"/>
        <w:rPr>
          <w:rFonts w:ascii="Arial"/>
          <w:sz w:val="21"/>
          <w:highlight w:val="none"/>
        </w:rPr>
      </w:pPr>
    </w:p>
    <w:p w14:paraId="7DFFF3D9">
      <w:pPr>
        <w:spacing w:line="272" w:lineRule="auto"/>
        <w:rPr>
          <w:rFonts w:ascii="Arial"/>
          <w:sz w:val="21"/>
          <w:highlight w:val="none"/>
        </w:rPr>
      </w:pPr>
    </w:p>
    <w:p w14:paraId="726F7DA7">
      <w:pPr>
        <w:spacing w:line="272" w:lineRule="auto"/>
        <w:rPr>
          <w:rFonts w:ascii="Arial"/>
          <w:sz w:val="21"/>
          <w:highlight w:val="none"/>
        </w:rPr>
      </w:pPr>
    </w:p>
    <w:p w14:paraId="49B7EC07">
      <w:pPr>
        <w:spacing w:line="272" w:lineRule="auto"/>
        <w:rPr>
          <w:rFonts w:ascii="Arial"/>
          <w:sz w:val="21"/>
          <w:highlight w:val="none"/>
        </w:rPr>
      </w:pPr>
    </w:p>
    <w:p w14:paraId="6FBAE4D2">
      <w:pPr>
        <w:spacing w:line="272" w:lineRule="auto"/>
        <w:rPr>
          <w:rFonts w:ascii="Arial"/>
          <w:sz w:val="21"/>
          <w:highlight w:val="none"/>
        </w:rPr>
      </w:pPr>
    </w:p>
    <w:p w14:paraId="39730820">
      <w:pPr>
        <w:pStyle w:val="7"/>
        <w:spacing w:before="75" w:line="229" w:lineRule="auto"/>
        <w:ind w:left="3070"/>
        <w:rPr>
          <w:rFonts w:hint="eastAsia" w:eastAsia="仿宋"/>
          <w:sz w:val="23"/>
          <w:szCs w:val="23"/>
          <w:highlight w:val="none"/>
          <w:lang w:eastAsia="zh-CN"/>
        </w:rPr>
      </w:pPr>
      <w:r>
        <w:rPr>
          <w:spacing w:val="6"/>
          <w:sz w:val="23"/>
          <w:szCs w:val="23"/>
          <w:highlight w:val="none"/>
        </w:rPr>
        <w:t>投标人名称（加盖公章</w:t>
      </w:r>
      <w:r>
        <w:rPr>
          <w:spacing w:val="13"/>
          <w:sz w:val="23"/>
          <w:szCs w:val="23"/>
          <w:highlight w:val="none"/>
        </w:rPr>
        <w:t>）：</w:t>
      </w:r>
    </w:p>
    <w:p w14:paraId="1810B7BD">
      <w:pPr>
        <w:pStyle w:val="7"/>
        <w:spacing w:before="163" w:line="231" w:lineRule="auto"/>
        <w:ind w:firstLine="3198" w:firstLineChars="1300"/>
        <w:rPr>
          <w:rFonts w:hint="eastAsia" w:eastAsia="仿宋"/>
          <w:sz w:val="23"/>
          <w:szCs w:val="23"/>
          <w:highlight w:val="none"/>
          <w:lang w:eastAsia="zh-CN"/>
        </w:rPr>
      </w:pPr>
      <w:r>
        <w:rPr>
          <w:spacing w:val="8"/>
          <w:sz w:val="23"/>
          <w:szCs w:val="23"/>
          <w:highlight w:val="none"/>
        </w:rPr>
        <w:t>法定代表人/授权代表（签字盖章</w:t>
      </w:r>
      <w:r>
        <w:rPr>
          <w:spacing w:val="9"/>
          <w:sz w:val="23"/>
          <w:szCs w:val="23"/>
          <w:highlight w:val="none"/>
        </w:rPr>
        <w:t>）：</w:t>
      </w:r>
    </w:p>
    <w:p w14:paraId="16CA3BE1">
      <w:pPr>
        <w:pStyle w:val="7"/>
        <w:spacing w:before="200" w:line="231" w:lineRule="auto"/>
        <w:ind w:left="3071"/>
        <w:rPr>
          <w:sz w:val="23"/>
          <w:szCs w:val="23"/>
          <w:highlight w:val="none"/>
        </w:rPr>
      </w:pPr>
      <w:r>
        <w:rPr>
          <w:spacing w:val="-4"/>
          <w:sz w:val="23"/>
          <w:szCs w:val="23"/>
          <w:highlight w:val="none"/>
        </w:rPr>
        <w:t>签署日期：年月日</w:t>
      </w:r>
    </w:p>
    <w:p w14:paraId="77DBD9F4">
      <w:pPr>
        <w:spacing w:line="231" w:lineRule="auto"/>
        <w:rPr>
          <w:sz w:val="23"/>
          <w:szCs w:val="23"/>
          <w:highlight w:val="none"/>
        </w:rPr>
        <w:sectPr>
          <w:footerReference r:id="rId27" w:type="default"/>
          <w:pgSz w:w="11906" w:h="16838"/>
          <w:pgMar w:top="400" w:right="1785" w:bottom="1387" w:left="1785" w:header="0" w:footer="1212" w:gutter="0"/>
          <w:pgNumType w:fmt="decimal"/>
          <w:cols w:space="720" w:num="1"/>
        </w:sectPr>
      </w:pPr>
    </w:p>
    <w:p w14:paraId="76BB20C2">
      <w:pPr>
        <w:spacing w:line="251" w:lineRule="auto"/>
        <w:rPr>
          <w:rFonts w:ascii="Arial"/>
          <w:sz w:val="21"/>
          <w:highlight w:val="none"/>
        </w:rPr>
      </w:pPr>
    </w:p>
    <w:p w14:paraId="2D4C31B1">
      <w:pPr>
        <w:spacing w:line="251" w:lineRule="auto"/>
        <w:rPr>
          <w:rFonts w:ascii="Arial"/>
          <w:sz w:val="21"/>
          <w:highlight w:val="none"/>
        </w:rPr>
      </w:pPr>
    </w:p>
    <w:p w14:paraId="0B8FEA22">
      <w:pPr>
        <w:spacing w:line="251" w:lineRule="auto"/>
        <w:rPr>
          <w:rFonts w:ascii="Arial"/>
          <w:sz w:val="21"/>
          <w:highlight w:val="none"/>
        </w:rPr>
      </w:pPr>
    </w:p>
    <w:p w14:paraId="6EC8DAF9">
      <w:pPr>
        <w:spacing w:line="252" w:lineRule="auto"/>
        <w:rPr>
          <w:rFonts w:ascii="Arial"/>
          <w:sz w:val="21"/>
          <w:highlight w:val="none"/>
        </w:rPr>
      </w:pPr>
    </w:p>
    <w:p w14:paraId="318BEE9C">
      <w:pPr>
        <w:spacing w:before="149" w:line="223" w:lineRule="auto"/>
        <w:ind w:left="137"/>
        <w:jc w:val="center"/>
        <w:outlineLvl w:val="0"/>
        <w:rPr>
          <w:rFonts w:ascii="宋体" w:hAnsi="宋体" w:eastAsia="宋体" w:cs="宋体"/>
          <w:b/>
          <w:bCs/>
          <w:spacing w:val="10"/>
          <w:sz w:val="46"/>
          <w:szCs w:val="46"/>
          <w:highlight w:val="none"/>
        </w:rPr>
      </w:pPr>
    </w:p>
    <w:p w14:paraId="74B68760">
      <w:pPr>
        <w:spacing w:before="149" w:line="223" w:lineRule="auto"/>
        <w:ind w:left="137"/>
        <w:jc w:val="center"/>
        <w:outlineLvl w:val="0"/>
        <w:rPr>
          <w:rFonts w:ascii="宋体" w:hAnsi="宋体" w:eastAsia="宋体" w:cs="宋体"/>
          <w:b/>
          <w:bCs/>
          <w:spacing w:val="10"/>
          <w:sz w:val="46"/>
          <w:szCs w:val="46"/>
          <w:highlight w:val="none"/>
        </w:rPr>
      </w:pPr>
    </w:p>
    <w:p w14:paraId="05C80F8F">
      <w:pPr>
        <w:spacing w:before="149" w:line="223" w:lineRule="auto"/>
        <w:ind w:left="137"/>
        <w:jc w:val="center"/>
        <w:outlineLvl w:val="0"/>
        <w:rPr>
          <w:rFonts w:ascii="宋体" w:hAnsi="宋体" w:eastAsia="宋体" w:cs="宋体"/>
          <w:b/>
          <w:bCs/>
          <w:spacing w:val="10"/>
          <w:sz w:val="46"/>
          <w:szCs w:val="46"/>
          <w:highlight w:val="none"/>
        </w:rPr>
      </w:pPr>
    </w:p>
    <w:p w14:paraId="18A780D6">
      <w:pPr>
        <w:spacing w:before="149" w:line="223" w:lineRule="auto"/>
        <w:ind w:left="137"/>
        <w:jc w:val="center"/>
        <w:outlineLvl w:val="0"/>
        <w:rPr>
          <w:rFonts w:hint="eastAsia" w:ascii="宋体" w:hAnsi="宋体" w:eastAsia="宋体" w:cs="宋体"/>
          <w:b/>
          <w:bCs/>
          <w:spacing w:val="10"/>
          <w:sz w:val="46"/>
          <w:szCs w:val="46"/>
          <w:highlight w:val="none"/>
          <w:lang w:eastAsia="zh-CN"/>
        </w:rPr>
      </w:pPr>
      <w:r>
        <w:rPr>
          <w:rFonts w:hint="eastAsia" w:ascii="宋体" w:hAnsi="宋体" w:eastAsia="宋体" w:cs="宋体"/>
          <w:b/>
          <w:bCs/>
          <w:spacing w:val="10"/>
          <w:sz w:val="46"/>
          <w:szCs w:val="46"/>
          <w:highlight w:val="none"/>
          <w:lang w:eastAsia="zh-CN"/>
        </w:rPr>
        <w:t>英吉沙县2024年农民培训项目（二次）</w:t>
      </w:r>
    </w:p>
    <w:p w14:paraId="0758820C">
      <w:pPr>
        <w:spacing w:before="149" w:line="223" w:lineRule="auto"/>
        <w:ind w:left="137"/>
        <w:jc w:val="center"/>
        <w:outlineLvl w:val="0"/>
        <w:rPr>
          <w:rFonts w:hint="default" w:ascii="宋体" w:hAnsi="宋体" w:eastAsia="宋体" w:cs="宋体"/>
          <w:sz w:val="46"/>
          <w:szCs w:val="46"/>
          <w:highlight w:val="none"/>
        </w:rPr>
      </w:pPr>
    </w:p>
    <w:p w14:paraId="2FFC54CF">
      <w:pPr>
        <w:kinsoku w:val="0"/>
        <w:autoSpaceDE w:val="0"/>
        <w:autoSpaceDN w:val="0"/>
        <w:adjustRightInd w:val="0"/>
        <w:snapToGrid w:val="0"/>
        <w:spacing w:before="10" w:line="223" w:lineRule="auto"/>
        <w:jc w:val="center"/>
        <w:textAlignment w:val="baseline"/>
        <w:rPr>
          <w:rFonts w:ascii="仿宋" w:hAnsi="仿宋" w:eastAsia="仿宋" w:cs="仿宋"/>
          <w:snapToGrid w:val="0"/>
          <w:color w:val="000000"/>
          <w:kern w:val="0"/>
          <w:sz w:val="52"/>
          <w:szCs w:val="52"/>
          <w:highlight w:val="none"/>
          <w:lang w:val="en-US" w:eastAsia="en-US" w:bidi="ar-SA"/>
        </w:rPr>
      </w:pPr>
      <w:r>
        <w:rPr>
          <w:rFonts w:ascii="仿宋" w:hAnsi="仿宋" w:eastAsia="仿宋" w:cs="仿宋"/>
          <w:b/>
          <w:bCs/>
          <w:snapToGrid w:val="0"/>
          <w:color w:val="000000"/>
          <w:spacing w:val="-30"/>
          <w:kern w:val="0"/>
          <w:sz w:val="52"/>
          <w:szCs w:val="52"/>
          <w:highlight w:val="none"/>
          <w:lang w:val="en-US" w:eastAsia="en-US" w:bidi="ar-SA"/>
        </w:rPr>
        <w:t>招标文件</w:t>
      </w:r>
    </w:p>
    <w:p w14:paraId="37B3C13E">
      <w:pPr>
        <w:spacing w:line="445" w:lineRule="auto"/>
        <w:rPr>
          <w:rFonts w:ascii="Arial"/>
          <w:sz w:val="21"/>
          <w:highlight w:val="none"/>
        </w:rPr>
      </w:pPr>
    </w:p>
    <w:p w14:paraId="4E3E73B2">
      <w:pPr>
        <w:kinsoku w:val="0"/>
        <w:autoSpaceDE w:val="0"/>
        <w:autoSpaceDN w:val="0"/>
        <w:adjustRightInd w:val="0"/>
        <w:snapToGrid w:val="0"/>
        <w:spacing w:before="97" w:line="230" w:lineRule="auto"/>
        <w:ind w:left="1335"/>
        <w:jc w:val="left"/>
        <w:textAlignment w:val="baseline"/>
        <w:rPr>
          <w:rFonts w:ascii="仿宋" w:hAnsi="仿宋" w:eastAsia="仿宋" w:cs="仿宋"/>
          <w:snapToGrid w:val="0"/>
          <w:color w:val="000000"/>
          <w:kern w:val="0"/>
          <w:sz w:val="30"/>
          <w:szCs w:val="30"/>
          <w:highlight w:val="none"/>
          <w:lang w:val="en-US" w:eastAsia="en-US" w:bidi="ar-SA"/>
        </w:rPr>
      </w:pPr>
      <w:r>
        <w:rPr>
          <w:rFonts w:ascii="仿宋" w:hAnsi="仿宋" w:eastAsia="仿宋" w:cs="仿宋"/>
          <w:b/>
          <w:bCs/>
          <w:snapToGrid w:val="0"/>
          <w:color w:val="000000"/>
          <w:spacing w:val="9"/>
          <w:kern w:val="0"/>
          <w:sz w:val="30"/>
          <w:szCs w:val="30"/>
          <w:highlight w:val="none"/>
          <w:lang w:val="en-US" w:eastAsia="en-US" w:bidi="ar-SA"/>
        </w:rPr>
        <w:t>（</w:t>
      </w:r>
      <w:r>
        <w:rPr>
          <w:rFonts w:hint="eastAsia" w:ascii="仿宋" w:hAnsi="仿宋" w:eastAsia="仿宋" w:cs="仿宋"/>
          <w:snapToGrid w:val="0"/>
          <w:color w:val="000000"/>
          <w:spacing w:val="9"/>
          <w:kern w:val="0"/>
          <w:sz w:val="30"/>
          <w:szCs w:val="30"/>
          <w:highlight w:val="none"/>
          <w:lang w:val="en-US" w:eastAsia="zh-CN" w:bidi="ar-SA"/>
        </w:rPr>
        <w:t>项目编号：ZTZXYJSX（GK）DL-2025-06</w:t>
      </w:r>
      <w:r>
        <w:rPr>
          <w:rFonts w:ascii="仿宋" w:hAnsi="仿宋" w:eastAsia="仿宋" w:cs="仿宋"/>
          <w:b/>
          <w:bCs/>
          <w:snapToGrid w:val="0"/>
          <w:color w:val="000000"/>
          <w:spacing w:val="9"/>
          <w:kern w:val="0"/>
          <w:sz w:val="30"/>
          <w:szCs w:val="30"/>
          <w:highlight w:val="none"/>
          <w:lang w:val="en-US" w:eastAsia="en-US" w:bidi="ar-SA"/>
        </w:rPr>
        <w:t>）</w:t>
      </w:r>
    </w:p>
    <w:p w14:paraId="718E4A49">
      <w:pPr>
        <w:spacing w:line="283" w:lineRule="auto"/>
        <w:rPr>
          <w:rFonts w:ascii="Arial"/>
          <w:sz w:val="21"/>
          <w:highlight w:val="none"/>
        </w:rPr>
      </w:pPr>
    </w:p>
    <w:p w14:paraId="352F6B0D">
      <w:pPr>
        <w:spacing w:line="284" w:lineRule="auto"/>
        <w:rPr>
          <w:rFonts w:ascii="Arial"/>
          <w:sz w:val="21"/>
          <w:highlight w:val="none"/>
        </w:rPr>
      </w:pPr>
    </w:p>
    <w:p w14:paraId="0A0DED94">
      <w:pPr>
        <w:spacing w:line="284" w:lineRule="auto"/>
        <w:rPr>
          <w:rFonts w:ascii="Arial"/>
          <w:sz w:val="21"/>
          <w:highlight w:val="none"/>
        </w:rPr>
      </w:pPr>
    </w:p>
    <w:p w14:paraId="0F7B3692">
      <w:pPr>
        <w:spacing w:line="284" w:lineRule="auto"/>
        <w:rPr>
          <w:rFonts w:ascii="Arial"/>
          <w:sz w:val="21"/>
          <w:highlight w:val="none"/>
        </w:rPr>
      </w:pPr>
    </w:p>
    <w:p w14:paraId="16C13934">
      <w:pPr>
        <w:spacing w:line="284" w:lineRule="auto"/>
        <w:rPr>
          <w:rFonts w:ascii="Arial"/>
          <w:sz w:val="21"/>
          <w:highlight w:val="none"/>
        </w:rPr>
      </w:pPr>
    </w:p>
    <w:p w14:paraId="1FF2BADC">
      <w:pPr>
        <w:kinsoku w:val="0"/>
        <w:autoSpaceDE w:val="0"/>
        <w:autoSpaceDN w:val="0"/>
        <w:adjustRightInd w:val="0"/>
        <w:snapToGrid w:val="0"/>
        <w:spacing w:before="149" w:line="226" w:lineRule="auto"/>
        <w:ind w:left="3535"/>
        <w:jc w:val="left"/>
        <w:textAlignment w:val="baseline"/>
        <w:rPr>
          <w:rFonts w:ascii="仿宋" w:hAnsi="仿宋" w:eastAsia="仿宋" w:cs="仿宋"/>
          <w:snapToGrid w:val="0"/>
          <w:color w:val="000000"/>
          <w:kern w:val="0"/>
          <w:sz w:val="46"/>
          <w:szCs w:val="46"/>
          <w:highlight w:val="none"/>
          <w:lang w:val="en-US" w:eastAsia="en-US" w:bidi="ar-SA"/>
        </w:rPr>
      </w:pPr>
      <w:r>
        <w:rPr>
          <w:rFonts w:ascii="仿宋" w:hAnsi="仿宋" w:eastAsia="仿宋" w:cs="仿宋"/>
          <w:b/>
          <w:bCs/>
          <w:snapToGrid w:val="0"/>
          <w:color w:val="000000"/>
          <w:spacing w:val="-14"/>
          <w:kern w:val="0"/>
          <w:sz w:val="46"/>
          <w:szCs w:val="46"/>
          <w:highlight w:val="none"/>
          <w:lang w:val="en-US" w:eastAsia="en-US" w:bidi="ar-SA"/>
        </w:rPr>
        <w:t>第二册</w:t>
      </w:r>
    </w:p>
    <w:p w14:paraId="58646A7B">
      <w:pPr>
        <w:spacing w:line="244" w:lineRule="auto"/>
        <w:rPr>
          <w:rFonts w:ascii="Arial"/>
          <w:sz w:val="21"/>
          <w:highlight w:val="none"/>
        </w:rPr>
      </w:pPr>
    </w:p>
    <w:p w14:paraId="42AAB321">
      <w:pPr>
        <w:spacing w:line="244" w:lineRule="auto"/>
        <w:rPr>
          <w:rFonts w:ascii="Arial"/>
          <w:sz w:val="21"/>
          <w:highlight w:val="none"/>
        </w:rPr>
      </w:pPr>
    </w:p>
    <w:p w14:paraId="7F22191A">
      <w:pPr>
        <w:spacing w:line="244" w:lineRule="auto"/>
        <w:rPr>
          <w:rFonts w:ascii="Arial"/>
          <w:sz w:val="21"/>
          <w:highlight w:val="none"/>
        </w:rPr>
      </w:pPr>
    </w:p>
    <w:p w14:paraId="6A6331E4">
      <w:pPr>
        <w:spacing w:line="244" w:lineRule="auto"/>
        <w:rPr>
          <w:rFonts w:ascii="Arial"/>
          <w:sz w:val="21"/>
          <w:highlight w:val="none"/>
        </w:rPr>
      </w:pPr>
    </w:p>
    <w:p w14:paraId="0D633B0F">
      <w:pPr>
        <w:spacing w:line="244" w:lineRule="auto"/>
        <w:rPr>
          <w:rFonts w:ascii="Arial"/>
          <w:sz w:val="21"/>
          <w:highlight w:val="none"/>
        </w:rPr>
      </w:pPr>
    </w:p>
    <w:p w14:paraId="7CB3B5ED">
      <w:pPr>
        <w:spacing w:line="244" w:lineRule="auto"/>
        <w:rPr>
          <w:rFonts w:ascii="Arial"/>
          <w:sz w:val="21"/>
          <w:highlight w:val="none"/>
        </w:rPr>
      </w:pPr>
    </w:p>
    <w:p w14:paraId="1848A38F">
      <w:pPr>
        <w:spacing w:line="244" w:lineRule="auto"/>
        <w:rPr>
          <w:rFonts w:ascii="Arial"/>
          <w:sz w:val="21"/>
          <w:highlight w:val="none"/>
        </w:rPr>
      </w:pPr>
    </w:p>
    <w:p w14:paraId="3BD57FF0">
      <w:pPr>
        <w:spacing w:line="244" w:lineRule="auto"/>
        <w:rPr>
          <w:rFonts w:ascii="Arial"/>
          <w:sz w:val="21"/>
          <w:highlight w:val="none"/>
        </w:rPr>
      </w:pPr>
    </w:p>
    <w:p w14:paraId="63889A37">
      <w:pPr>
        <w:spacing w:line="244" w:lineRule="auto"/>
        <w:rPr>
          <w:rFonts w:ascii="Arial"/>
          <w:sz w:val="21"/>
          <w:highlight w:val="none"/>
        </w:rPr>
      </w:pPr>
    </w:p>
    <w:p w14:paraId="73A753B0">
      <w:pPr>
        <w:spacing w:line="245" w:lineRule="auto"/>
        <w:rPr>
          <w:rFonts w:ascii="Arial"/>
          <w:sz w:val="21"/>
          <w:highlight w:val="none"/>
        </w:rPr>
      </w:pPr>
    </w:p>
    <w:p w14:paraId="4E75AF1D">
      <w:pPr>
        <w:spacing w:line="245" w:lineRule="auto"/>
        <w:rPr>
          <w:rFonts w:ascii="Arial"/>
          <w:sz w:val="21"/>
          <w:highlight w:val="none"/>
        </w:rPr>
      </w:pPr>
    </w:p>
    <w:p w14:paraId="096BC14B">
      <w:pPr>
        <w:kinsoku w:val="0"/>
        <w:autoSpaceDE w:val="0"/>
        <w:autoSpaceDN w:val="0"/>
        <w:adjustRightInd w:val="0"/>
        <w:snapToGrid w:val="0"/>
        <w:spacing w:before="98" w:line="229" w:lineRule="auto"/>
        <w:ind w:right="48"/>
        <w:jc w:val="both"/>
        <w:textAlignment w:val="baseline"/>
        <w:rPr>
          <w:rFonts w:hint="eastAsia" w:ascii="仿宋" w:hAnsi="仿宋" w:eastAsia="仿宋" w:cs="仿宋"/>
          <w:snapToGrid w:val="0"/>
          <w:color w:val="000000"/>
          <w:kern w:val="0"/>
          <w:sz w:val="30"/>
          <w:szCs w:val="30"/>
          <w:highlight w:val="none"/>
          <w:lang w:val="en-US" w:eastAsia="zh-CN" w:bidi="ar-SA"/>
        </w:rPr>
      </w:pPr>
      <w:r>
        <w:rPr>
          <w:rFonts w:ascii="仿宋" w:hAnsi="仿宋" w:eastAsia="仿宋" w:cs="仿宋"/>
          <w:snapToGrid w:val="0"/>
          <w:color w:val="000000"/>
          <w:spacing w:val="11"/>
          <w:kern w:val="0"/>
          <w:sz w:val="30"/>
          <w:szCs w:val="30"/>
          <w:highlight w:val="none"/>
          <w:lang w:val="en-US" w:eastAsia="en-US" w:bidi="ar-SA"/>
        </w:rPr>
        <w:t>采购人：</w:t>
      </w:r>
      <w:r>
        <w:rPr>
          <w:rFonts w:hint="eastAsia" w:ascii="仿宋" w:hAnsi="仿宋" w:eastAsia="仿宋" w:cs="仿宋"/>
          <w:snapToGrid w:val="0"/>
          <w:color w:val="000000"/>
          <w:spacing w:val="11"/>
          <w:kern w:val="0"/>
          <w:sz w:val="30"/>
          <w:szCs w:val="30"/>
          <w:highlight w:val="none"/>
          <w:lang w:val="en-US" w:eastAsia="zh-CN" w:bidi="ar-SA"/>
        </w:rPr>
        <w:t>英吉沙县农业农村局</w:t>
      </w:r>
    </w:p>
    <w:p w14:paraId="36B55C13">
      <w:pPr>
        <w:kinsoku w:val="0"/>
        <w:autoSpaceDE w:val="0"/>
        <w:autoSpaceDN w:val="0"/>
        <w:adjustRightInd w:val="0"/>
        <w:snapToGrid w:val="0"/>
        <w:spacing w:before="246" w:line="231" w:lineRule="auto"/>
        <w:ind w:right="31"/>
        <w:jc w:val="left"/>
        <w:textAlignment w:val="baseline"/>
        <w:rPr>
          <w:rFonts w:hint="eastAsia" w:ascii="仿宋" w:hAnsi="仿宋" w:eastAsia="仿宋" w:cs="仿宋"/>
          <w:snapToGrid w:val="0"/>
          <w:color w:val="000000"/>
          <w:kern w:val="0"/>
          <w:sz w:val="30"/>
          <w:szCs w:val="30"/>
          <w:highlight w:val="none"/>
          <w:lang w:val="en-US" w:eastAsia="zh-CN" w:bidi="ar-SA"/>
        </w:rPr>
      </w:pPr>
      <w:r>
        <w:rPr>
          <w:rFonts w:ascii="仿宋" w:hAnsi="仿宋" w:eastAsia="仿宋" w:cs="仿宋"/>
          <w:snapToGrid w:val="0"/>
          <w:color w:val="000000"/>
          <w:spacing w:val="16"/>
          <w:kern w:val="0"/>
          <w:sz w:val="30"/>
          <w:szCs w:val="30"/>
          <w:highlight w:val="none"/>
          <w:lang w:val="en-US" w:eastAsia="en-US" w:bidi="ar-SA"/>
        </w:rPr>
        <w:t>采购代理机构：</w:t>
      </w:r>
      <w:r>
        <w:rPr>
          <w:rFonts w:hint="eastAsia" w:ascii="仿宋" w:hAnsi="仿宋" w:eastAsia="仿宋" w:cs="仿宋"/>
          <w:snapToGrid w:val="0"/>
          <w:color w:val="000000"/>
          <w:spacing w:val="16"/>
          <w:kern w:val="0"/>
          <w:sz w:val="30"/>
          <w:szCs w:val="30"/>
          <w:highlight w:val="none"/>
          <w:lang w:val="en-US" w:eastAsia="zh-CN" w:bidi="ar-SA"/>
        </w:rPr>
        <w:t>新疆中泰正信项目管理有限公司</w:t>
      </w:r>
    </w:p>
    <w:p w14:paraId="6CD25BF3">
      <w:pPr>
        <w:kinsoku w:val="0"/>
        <w:autoSpaceDE w:val="0"/>
        <w:autoSpaceDN w:val="0"/>
        <w:adjustRightInd w:val="0"/>
        <w:snapToGrid w:val="0"/>
        <w:spacing w:before="255" w:line="229" w:lineRule="auto"/>
        <w:jc w:val="left"/>
        <w:textAlignment w:val="baseline"/>
        <w:rPr>
          <w:rFonts w:hint="eastAsia" w:ascii="仿宋" w:hAnsi="仿宋" w:eastAsia="仿宋" w:cs="仿宋"/>
          <w:snapToGrid w:val="0"/>
          <w:color w:val="000000"/>
          <w:kern w:val="0"/>
          <w:sz w:val="30"/>
          <w:szCs w:val="30"/>
          <w:highlight w:val="none"/>
          <w:lang w:val="en-US" w:eastAsia="zh-CN" w:bidi="ar-SA"/>
        </w:rPr>
      </w:pPr>
      <w:r>
        <w:rPr>
          <w:rFonts w:ascii="仿宋" w:hAnsi="仿宋" w:eastAsia="仿宋" w:cs="仿宋"/>
          <w:snapToGrid w:val="0"/>
          <w:color w:val="000000"/>
          <w:spacing w:val="-5"/>
          <w:kern w:val="0"/>
          <w:sz w:val="30"/>
          <w:szCs w:val="30"/>
          <w:highlight w:val="none"/>
          <w:lang w:val="en-US" w:eastAsia="en-US" w:bidi="ar-SA"/>
        </w:rPr>
        <w:t>联系人：</w:t>
      </w:r>
      <w:r>
        <w:rPr>
          <w:rFonts w:hint="eastAsia" w:ascii="仿宋" w:hAnsi="仿宋" w:eastAsia="仿宋" w:cs="仿宋"/>
          <w:snapToGrid w:val="0"/>
          <w:color w:val="000000"/>
          <w:spacing w:val="-5"/>
          <w:kern w:val="0"/>
          <w:sz w:val="30"/>
          <w:szCs w:val="30"/>
          <w:highlight w:val="none"/>
          <w:lang w:val="en-US" w:eastAsia="zh-CN" w:bidi="ar-SA"/>
        </w:rPr>
        <w:t>苏贺</w:t>
      </w:r>
    </w:p>
    <w:p w14:paraId="08FA56C8">
      <w:pPr>
        <w:kinsoku w:val="0"/>
        <w:autoSpaceDE w:val="0"/>
        <w:autoSpaceDN w:val="0"/>
        <w:adjustRightInd w:val="0"/>
        <w:snapToGrid w:val="0"/>
        <w:spacing w:before="249" w:line="229" w:lineRule="auto"/>
        <w:jc w:val="left"/>
        <w:textAlignment w:val="baseline"/>
        <w:rPr>
          <w:rFonts w:hint="eastAsia" w:ascii="仿宋" w:hAnsi="仿宋" w:eastAsia="仿宋" w:cs="仿宋"/>
          <w:snapToGrid w:val="0"/>
          <w:color w:val="000000"/>
          <w:kern w:val="0"/>
          <w:sz w:val="30"/>
          <w:szCs w:val="30"/>
          <w:highlight w:val="none"/>
          <w:lang w:val="en-US" w:eastAsia="zh-CN" w:bidi="ar-SA"/>
        </w:rPr>
      </w:pPr>
      <w:r>
        <w:rPr>
          <w:rFonts w:ascii="仿宋" w:hAnsi="仿宋" w:eastAsia="仿宋" w:cs="仿宋"/>
          <w:snapToGrid w:val="0"/>
          <w:color w:val="000000"/>
          <w:spacing w:val="-1"/>
          <w:kern w:val="0"/>
          <w:sz w:val="30"/>
          <w:szCs w:val="30"/>
          <w:highlight w:val="none"/>
          <w:lang w:val="en-US" w:eastAsia="en-US" w:bidi="ar-SA"/>
        </w:rPr>
        <w:t>联系电话：</w:t>
      </w:r>
      <w:r>
        <w:rPr>
          <w:rFonts w:hint="eastAsia" w:ascii="仿宋" w:hAnsi="仿宋" w:eastAsia="仿宋" w:cs="仿宋"/>
          <w:snapToGrid w:val="0"/>
          <w:color w:val="000000"/>
          <w:spacing w:val="-1"/>
          <w:kern w:val="0"/>
          <w:sz w:val="30"/>
          <w:szCs w:val="30"/>
          <w:highlight w:val="none"/>
          <w:lang w:val="en-US" w:eastAsia="zh-CN" w:bidi="ar-SA"/>
        </w:rPr>
        <w:t>15026328789</w:t>
      </w:r>
    </w:p>
    <w:p w14:paraId="30369F32">
      <w:pPr>
        <w:spacing w:before="246" w:line="229" w:lineRule="auto"/>
        <w:rPr>
          <w:highlight w:val="none"/>
        </w:rPr>
        <w:sectPr>
          <w:footerReference r:id="rId28" w:type="default"/>
          <w:pgSz w:w="11906" w:h="16838"/>
          <w:pgMar w:top="400" w:right="1785" w:bottom="1386" w:left="1785" w:header="0" w:footer="1212" w:gutter="0"/>
          <w:pgNumType w:fmt="decimal"/>
          <w:cols w:space="720" w:num="1"/>
        </w:sectPr>
      </w:pPr>
      <w:r>
        <w:rPr>
          <w:rFonts w:ascii="仿宋" w:hAnsi="仿宋" w:eastAsia="仿宋" w:cs="仿宋"/>
          <w:snapToGrid w:val="0"/>
          <w:color w:val="000000"/>
          <w:spacing w:val="-3"/>
          <w:kern w:val="0"/>
          <w:sz w:val="30"/>
          <w:szCs w:val="30"/>
          <w:highlight w:val="none"/>
          <w:lang w:val="en-US" w:eastAsia="en-US" w:bidi="ar-SA"/>
        </w:rPr>
        <w:t>日期：</w:t>
      </w:r>
      <w:r>
        <w:rPr>
          <w:rFonts w:hint="eastAsia" w:ascii="仿宋" w:hAnsi="仿宋" w:eastAsia="仿宋" w:cs="仿宋"/>
          <w:snapToGrid w:val="0"/>
          <w:color w:val="000000"/>
          <w:spacing w:val="-3"/>
          <w:kern w:val="0"/>
          <w:sz w:val="30"/>
          <w:szCs w:val="30"/>
          <w:highlight w:val="none"/>
          <w:lang w:val="en-US" w:eastAsia="zh-CN" w:bidi="ar-SA"/>
        </w:rPr>
        <w:t>2025年3月</w:t>
      </w:r>
    </w:p>
    <w:p w14:paraId="0E385D15">
      <w:pPr>
        <w:spacing w:before="64" w:line="220" w:lineRule="auto"/>
        <w:jc w:val="center"/>
        <w:outlineLvl w:val="0"/>
        <w:rPr>
          <w:rFonts w:hint="eastAsia" w:ascii="仿宋" w:hAnsi="仿宋" w:eastAsia="仿宋" w:cs="仿宋"/>
          <w:sz w:val="31"/>
          <w:szCs w:val="31"/>
          <w:highlight w:val="none"/>
          <w:lang w:eastAsia="zh-CN"/>
        </w:rPr>
      </w:pPr>
      <w:bookmarkStart w:id="140" w:name="bookmark67"/>
      <w:bookmarkEnd w:id="140"/>
      <w:bookmarkStart w:id="141" w:name="bookmark68"/>
      <w:bookmarkEnd w:id="141"/>
      <w:bookmarkStart w:id="142" w:name="bookmark70"/>
      <w:bookmarkEnd w:id="142"/>
      <w:r>
        <w:rPr>
          <w:rFonts w:ascii="仿宋" w:hAnsi="仿宋" w:eastAsia="仿宋" w:cs="仿宋"/>
          <w:b/>
          <w:bCs/>
          <w:spacing w:val="8"/>
          <w:sz w:val="31"/>
          <w:szCs w:val="31"/>
          <w:highlight w:val="none"/>
        </w:rPr>
        <w:t>第3章</w:t>
      </w:r>
      <w:r>
        <w:rPr>
          <w:rFonts w:hint="eastAsia" w:ascii="仿宋" w:hAnsi="仿宋" w:eastAsia="仿宋" w:cs="仿宋"/>
          <w:b/>
          <w:bCs/>
          <w:spacing w:val="8"/>
          <w:sz w:val="31"/>
          <w:szCs w:val="31"/>
          <w:highlight w:val="none"/>
          <w:lang w:val="en-US" w:eastAsia="zh-CN"/>
        </w:rPr>
        <w:t>招标公告</w:t>
      </w:r>
    </w:p>
    <w:p w14:paraId="6310AE56">
      <w:pPr>
        <w:spacing w:line="240" w:lineRule="auto"/>
        <w:ind w:right="0"/>
        <w:jc w:val="center"/>
        <w:rPr>
          <w:rFonts w:hint="eastAsia" w:ascii="仿宋" w:hAnsi="仿宋" w:eastAsia="仿宋" w:cs="仿宋"/>
          <w:b/>
          <w:bCs/>
          <w:spacing w:val="6"/>
          <w:sz w:val="31"/>
          <w:szCs w:val="31"/>
          <w:highlight w:val="none"/>
          <w:lang w:eastAsia="zh-CN"/>
        </w:rPr>
      </w:pPr>
      <w:r>
        <w:rPr>
          <w:rFonts w:hint="eastAsia" w:ascii="仿宋" w:hAnsi="仿宋" w:eastAsia="仿宋" w:cs="仿宋"/>
          <w:b/>
          <w:bCs/>
          <w:spacing w:val="6"/>
          <w:sz w:val="31"/>
          <w:szCs w:val="31"/>
          <w:highlight w:val="none"/>
          <w:lang w:eastAsia="zh-CN"/>
        </w:rPr>
        <w:t>英吉沙县2024年农民培训项目（二次）</w:t>
      </w:r>
    </w:p>
    <w:p w14:paraId="16907D96">
      <w:pPr>
        <w:spacing w:line="240" w:lineRule="auto"/>
        <w:ind w:right="0"/>
        <w:jc w:val="center"/>
        <w:rPr>
          <w:highlight w:val="none"/>
        </w:rPr>
      </w:pPr>
      <w:r>
        <w:rPr>
          <w:rFonts w:hint="eastAsia" w:ascii="仿宋" w:hAnsi="仿宋" w:eastAsia="仿宋" w:cs="仿宋"/>
          <w:b/>
          <w:bCs/>
          <w:spacing w:val="2"/>
          <w:sz w:val="31"/>
          <w:szCs w:val="31"/>
          <w:highlight w:val="none"/>
          <w:lang w:val="en-US" w:eastAsia="zh-CN"/>
        </w:rPr>
        <w:t>公开招标</w:t>
      </w:r>
      <w:r>
        <w:rPr>
          <w:rFonts w:ascii="仿宋" w:hAnsi="仿宋" w:eastAsia="仿宋" w:cs="仿宋"/>
          <w:b/>
          <w:bCs/>
          <w:spacing w:val="2"/>
          <w:sz w:val="31"/>
          <w:szCs w:val="31"/>
          <w:highlight w:val="none"/>
        </w:rPr>
        <w:t>公告</w:t>
      </w:r>
    </w:p>
    <w:tbl>
      <w:tblPr>
        <w:tblStyle w:val="25"/>
        <w:tblW w:w="846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60"/>
      </w:tblGrid>
      <w:tr w14:paraId="15C6DAE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82" w:hRule="atLeast"/>
        </w:trPr>
        <w:tc>
          <w:tcPr>
            <w:tcW w:w="8460" w:type="dxa"/>
            <w:noWrap w:val="0"/>
            <w:vAlign w:val="top"/>
          </w:tcPr>
          <w:p w14:paraId="6370E0F8">
            <w:pPr>
              <w:spacing w:before="121" w:line="231" w:lineRule="auto"/>
              <w:ind w:left="101"/>
              <w:rPr>
                <w:rFonts w:ascii="仿宋" w:hAnsi="仿宋" w:eastAsia="仿宋" w:cs="仿宋"/>
                <w:sz w:val="23"/>
                <w:szCs w:val="23"/>
                <w:highlight w:val="none"/>
              </w:rPr>
            </w:pPr>
            <w:r>
              <w:rPr>
                <w:rFonts w:ascii="仿宋" w:hAnsi="仿宋" w:eastAsia="仿宋" w:cs="仿宋"/>
                <w:spacing w:val="5"/>
                <w:sz w:val="23"/>
                <w:szCs w:val="23"/>
                <w:highlight w:val="none"/>
              </w:rPr>
              <w:t>项目概况</w:t>
            </w:r>
          </w:p>
          <w:p w14:paraId="6530F456">
            <w:pPr>
              <w:spacing w:before="94" w:line="271" w:lineRule="auto"/>
              <w:ind w:left="102" w:right="85" w:firstLine="478"/>
              <w:rPr>
                <w:rFonts w:ascii="仿宋" w:hAnsi="仿宋" w:eastAsia="仿宋" w:cs="仿宋"/>
                <w:sz w:val="23"/>
                <w:szCs w:val="23"/>
                <w:highlight w:val="none"/>
              </w:rPr>
            </w:pPr>
            <w:r>
              <w:rPr>
                <w:rFonts w:hint="eastAsia" w:ascii="仿宋" w:hAnsi="仿宋" w:eastAsia="仿宋" w:cs="仿宋"/>
                <w:spacing w:val="13"/>
                <w:sz w:val="23"/>
                <w:szCs w:val="23"/>
                <w:highlight w:val="none"/>
                <w:u w:val="single" w:color="auto"/>
                <w:lang w:eastAsia="zh-CN"/>
              </w:rPr>
              <w:t>英吉沙县2024年农民培训项目（二次）</w:t>
            </w:r>
            <w:r>
              <w:rPr>
                <w:rFonts w:ascii="仿宋" w:hAnsi="仿宋" w:eastAsia="仿宋" w:cs="仿宋"/>
                <w:spacing w:val="13"/>
                <w:sz w:val="23"/>
                <w:szCs w:val="23"/>
                <w:highlight w:val="none"/>
              </w:rPr>
              <w:t>采购项目的潜在供应商应在政采云平台线</w:t>
            </w:r>
            <w:r>
              <w:rPr>
                <w:rFonts w:ascii="仿宋" w:hAnsi="仿宋" w:eastAsia="仿宋" w:cs="仿宋"/>
                <w:sz w:val="23"/>
                <w:szCs w:val="23"/>
                <w:highlight w:val="none"/>
              </w:rPr>
              <w:t>上获取采购文件，并于</w:t>
            </w:r>
            <w:r>
              <w:rPr>
                <w:rFonts w:hint="eastAsia" w:ascii="仿宋" w:hAnsi="仿宋" w:eastAsia="仿宋" w:cs="仿宋"/>
                <w:sz w:val="23"/>
                <w:szCs w:val="23"/>
                <w:highlight w:val="none"/>
                <w:lang w:eastAsia="zh-CN"/>
              </w:rPr>
              <w:t>2025年03月27日12时00分</w:t>
            </w:r>
            <w:r>
              <w:rPr>
                <w:rFonts w:ascii="仿宋" w:hAnsi="仿宋" w:eastAsia="仿宋" w:cs="仿宋"/>
                <w:sz w:val="23"/>
                <w:szCs w:val="23"/>
                <w:highlight w:val="none"/>
              </w:rPr>
              <w:t>（</w:t>
            </w:r>
            <w:r>
              <w:rPr>
                <w:rFonts w:ascii="仿宋" w:hAnsi="仿宋" w:eastAsia="仿宋" w:cs="仿宋"/>
                <w:spacing w:val="-1"/>
                <w:sz w:val="23"/>
                <w:szCs w:val="23"/>
                <w:highlight w:val="none"/>
              </w:rPr>
              <w:t>北京时间）前提交响应文件。</w:t>
            </w:r>
          </w:p>
        </w:tc>
      </w:tr>
    </w:tbl>
    <w:p w14:paraId="6FFEECC1">
      <w:pPr>
        <w:keepNext w:val="0"/>
        <w:keepLines w:val="0"/>
        <w:pageBreakBefore w:val="0"/>
        <w:widowControl/>
        <w:kinsoku w:val="0"/>
        <w:wordWrap/>
        <w:overflowPunct/>
        <w:topLinePunct w:val="0"/>
        <w:autoSpaceDE w:val="0"/>
        <w:autoSpaceDN w:val="0"/>
        <w:bidi w:val="0"/>
        <w:adjustRightInd w:val="0"/>
        <w:snapToGrid w:val="0"/>
        <w:spacing w:before="98" w:line="400" w:lineRule="exact"/>
        <w:ind w:left="109"/>
        <w:textAlignment w:val="baseline"/>
        <w:outlineLvl w:val="1"/>
        <w:rPr>
          <w:rFonts w:ascii="仿宋" w:hAnsi="仿宋" w:eastAsia="仿宋" w:cs="仿宋"/>
          <w:sz w:val="23"/>
          <w:szCs w:val="23"/>
          <w:highlight w:val="none"/>
        </w:rPr>
      </w:pPr>
      <w:r>
        <w:rPr>
          <w:rFonts w:ascii="仿宋" w:hAnsi="仿宋" w:eastAsia="仿宋" w:cs="仿宋"/>
          <w:b/>
          <w:bCs/>
          <w:spacing w:val="4"/>
          <w:sz w:val="23"/>
          <w:szCs w:val="23"/>
          <w:highlight w:val="none"/>
        </w:rPr>
        <w:t>一、项目基本情况</w:t>
      </w:r>
    </w:p>
    <w:p w14:paraId="0AF9939B">
      <w:pPr>
        <w:keepNext w:val="0"/>
        <w:keepLines w:val="0"/>
        <w:pageBreakBefore w:val="0"/>
        <w:widowControl/>
        <w:kinsoku w:val="0"/>
        <w:wordWrap/>
        <w:overflowPunct/>
        <w:topLinePunct w:val="0"/>
        <w:autoSpaceDE w:val="0"/>
        <w:autoSpaceDN w:val="0"/>
        <w:bidi w:val="0"/>
        <w:adjustRightInd w:val="0"/>
        <w:snapToGrid w:val="0"/>
        <w:spacing w:before="91" w:line="400" w:lineRule="exact"/>
        <w:ind w:left="358"/>
        <w:textAlignment w:val="baseline"/>
        <w:rPr>
          <w:rFonts w:hint="eastAsia" w:ascii="仿宋" w:hAnsi="仿宋" w:eastAsia="仿宋" w:cs="仿宋"/>
          <w:sz w:val="23"/>
          <w:szCs w:val="23"/>
          <w:highlight w:val="none"/>
          <w:lang w:eastAsia="zh-CN"/>
        </w:rPr>
      </w:pPr>
      <w:r>
        <w:rPr>
          <w:rFonts w:ascii="仿宋" w:hAnsi="仿宋" w:eastAsia="仿宋" w:cs="仿宋"/>
          <w:spacing w:val="8"/>
          <w:sz w:val="23"/>
          <w:szCs w:val="23"/>
          <w:highlight w:val="none"/>
        </w:rPr>
        <w:t>项目编号：</w:t>
      </w:r>
      <w:r>
        <w:rPr>
          <w:rFonts w:hint="eastAsia" w:ascii="仿宋" w:hAnsi="仿宋" w:eastAsia="仿宋" w:cs="仿宋"/>
          <w:sz w:val="23"/>
          <w:szCs w:val="23"/>
          <w:highlight w:val="none"/>
          <w:lang w:eastAsia="zh-CN"/>
        </w:rPr>
        <w:t>ZTZXYJSX（GK）DL-2025-06</w:t>
      </w:r>
    </w:p>
    <w:p w14:paraId="5C9DA5FC">
      <w:pPr>
        <w:keepNext w:val="0"/>
        <w:keepLines w:val="0"/>
        <w:pageBreakBefore w:val="0"/>
        <w:widowControl/>
        <w:kinsoku w:val="0"/>
        <w:wordWrap/>
        <w:overflowPunct/>
        <w:topLinePunct w:val="0"/>
        <w:autoSpaceDE w:val="0"/>
        <w:autoSpaceDN w:val="0"/>
        <w:bidi w:val="0"/>
        <w:adjustRightInd w:val="0"/>
        <w:snapToGrid w:val="0"/>
        <w:spacing w:before="90" w:line="400" w:lineRule="exact"/>
        <w:ind w:left="358"/>
        <w:textAlignment w:val="baseline"/>
        <w:rPr>
          <w:rFonts w:hint="eastAsia" w:ascii="仿宋" w:hAnsi="仿宋" w:eastAsia="仿宋" w:cs="仿宋"/>
          <w:sz w:val="23"/>
          <w:szCs w:val="23"/>
          <w:highlight w:val="none"/>
          <w:lang w:eastAsia="zh-CN"/>
        </w:rPr>
      </w:pPr>
      <w:r>
        <w:rPr>
          <w:rFonts w:ascii="仿宋" w:hAnsi="仿宋" w:eastAsia="仿宋" w:cs="仿宋"/>
          <w:spacing w:val="7"/>
          <w:sz w:val="23"/>
          <w:szCs w:val="23"/>
          <w:highlight w:val="none"/>
        </w:rPr>
        <w:t>项目名称：</w:t>
      </w:r>
      <w:r>
        <w:rPr>
          <w:rFonts w:hint="eastAsia" w:ascii="仿宋" w:hAnsi="仿宋" w:eastAsia="仿宋" w:cs="仿宋"/>
          <w:spacing w:val="7"/>
          <w:sz w:val="23"/>
          <w:szCs w:val="23"/>
          <w:highlight w:val="none"/>
          <w:lang w:eastAsia="zh-CN"/>
        </w:rPr>
        <w:t>英吉沙县2024年农民培训项目（二次）</w:t>
      </w:r>
    </w:p>
    <w:p w14:paraId="3ADD1518">
      <w:pPr>
        <w:keepNext w:val="0"/>
        <w:keepLines w:val="0"/>
        <w:pageBreakBefore w:val="0"/>
        <w:widowControl/>
        <w:kinsoku w:val="0"/>
        <w:wordWrap/>
        <w:overflowPunct/>
        <w:topLinePunct w:val="0"/>
        <w:autoSpaceDE w:val="0"/>
        <w:autoSpaceDN w:val="0"/>
        <w:bidi w:val="0"/>
        <w:adjustRightInd w:val="0"/>
        <w:snapToGrid w:val="0"/>
        <w:spacing w:before="96" w:line="400" w:lineRule="exact"/>
        <w:ind w:left="359"/>
        <w:textAlignment w:val="baseline"/>
        <w:rPr>
          <w:rFonts w:hint="default" w:ascii="仿宋" w:hAnsi="仿宋" w:eastAsia="仿宋" w:cs="仿宋"/>
          <w:sz w:val="23"/>
          <w:szCs w:val="23"/>
          <w:highlight w:val="none"/>
          <w:lang w:val="en-US" w:eastAsia="zh-CN"/>
        </w:rPr>
      </w:pPr>
      <w:r>
        <w:rPr>
          <w:rFonts w:ascii="仿宋" w:hAnsi="仿宋" w:eastAsia="仿宋" w:cs="仿宋"/>
          <w:spacing w:val="2"/>
          <w:sz w:val="23"/>
          <w:szCs w:val="23"/>
          <w:highlight w:val="none"/>
        </w:rPr>
        <w:t>采购方式：</w:t>
      </w:r>
      <w:r>
        <w:rPr>
          <w:rFonts w:hint="eastAsia" w:ascii="仿宋" w:hAnsi="仿宋" w:eastAsia="仿宋" w:cs="仿宋"/>
          <w:spacing w:val="2"/>
          <w:sz w:val="23"/>
          <w:szCs w:val="23"/>
          <w:highlight w:val="none"/>
          <w:lang w:val="en-US" w:eastAsia="zh-CN"/>
        </w:rPr>
        <w:t>公开招标</w:t>
      </w:r>
    </w:p>
    <w:p w14:paraId="0EC50E96">
      <w:pPr>
        <w:keepNext w:val="0"/>
        <w:keepLines w:val="0"/>
        <w:pageBreakBefore w:val="0"/>
        <w:widowControl/>
        <w:kinsoku w:val="0"/>
        <w:wordWrap/>
        <w:overflowPunct/>
        <w:topLinePunct w:val="0"/>
        <w:autoSpaceDE w:val="0"/>
        <w:autoSpaceDN w:val="0"/>
        <w:bidi w:val="0"/>
        <w:adjustRightInd w:val="0"/>
        <w:snapToGrid w:val="0"/>
        <w:spacing w:before="93" w:line="400" w:lineRule="exact"/>
        <w:ind w:left="110" w:firstLine="238" w:firstLineChars="100"/>
        <w:textAlignment w:val="baseline"/>
        <w:rPr>
          <w:rFonts w:hint="default" w:ascii="仿宋" w:hAnsi="仿宋" w:eastAsia="仿宋" w:cs="仿宋"/>
          <w:spacing w:val="4"/>
          <w:sz w:val="23"/>
          <w:szCs w:val="23"/>
          <w:highlight w:val="none"/>
          <w:lang w:val="en-US" w:eastAsia="zh-CN"/>
        </w:rPr>
      </w:pPr>
      <w:r>
        <w:rPr>
          <w:rFonts w:hint="eastAsia" w:ascii="仿宋" w:hAnsi="仿宋" w:eastAsia="仿宋" w:cs="仿宋"/>
          <w:spacing w:val="4"/>
          <w:sz w:val="23"/>
          <w:szCs w:val="23"/>
          <w:highlight w:val="none"/>
          <w:lang w:eastAsia="zh-CN"/>
        </w:rPr>
        <w:t>预算金额（元）：</w:t>
      </w:r>
      <w:r>
        <w:rPr>
          <w:rFonts w:hint="eastAsia"/>
          <w:spacing w:val="3"/>
          <w:highlight w:val="none"/>
          <w:lang w:val="en-US" w:eastAsia="zh-CN"/>
        </w:rPr>
        <w:t>5000000.00</w:t>
      </w:r>
    </w:p>
    <w:p w14:paraId="3255F696">
      <w:pPr>
        <w:keepNext w:val="0"/>
        <w:keepLines w:val="0"/>
        <w:pageBreakBefore w:val="0"/>
        <w:widowControl/>
        <w:kinsoku w:val="0"/>
        <w:wordWrap/>
        <w:overflowPunct/>
        <w:topLinePunct w:val="0"/>
        <w:autoSpaceDE w:val="0"/>
        <w:autoSpaceDN w:val="0"/>
        <w:bidi w:val="0"/>
        <w:adjustRightInd w:val="0"/>
        <w:snapToGrid w:val="0"/>
        <w:spacing w:before="90" w:line="400" w:lineRule="exact"/>
        <w:ind w:left="358"/>
        <w:textAlignment w:val="baseline"/>
        <w:rPr>
          <w:rFonts w:hint="eastAsia" w:ascii="仿宋" w:hAnsi="仿宋" w:eastAsia="仿宋" w:cs="仿宋"/>
          <w:spacing w:val="4"/>
          <w:sz w:val="23"/>
          <w:szCs w:val="23"/>
          <w:highlight w:val="none"/>
          <w:lang w:eastAsia="zh-CN"/>
        </w:rPr>
      </w:pPr>
      <w:r>
        <w:rPr>
          <w:rFonts w:hint="eastAsia" w:ascii="仿宋" w:hAnsi="仿宋" w:eastAsia="仿宋" w:cs="仿宋"/>
          <w:spacing w:val="4"/>
          <w:sz w:val="23"/>
          <w:szCs w:val="23"/>
          <w:highlight w:val="none"/>
          <w:lang w:eastAsia="zh-CN"/>
        </w:rPr>
        <w:t>最高限价（元）：</w:t>
      </w:r>
    </w:p>
    <w:p w14:paraId="31FC147C">
      <w:pPr>
        <w:keepNext w:val="0"/>
        <w:keepLines w:val="0"/>
        <w:pageBreakBefore w:val="0"/>
        <w:widowControl/>
        <w:kinsoku w:val="0"/>
        <w:wordWrap/>
        <w:overflowPunct/>
        <w:topLinePunct w:val="0"/>
        <w:autoSpaceDE w:val="0"/>
        <w:autoSpaceDN w:val="0"/>
        <w:bidi w:val="0"/>
        <w:adjustRightInd w:val="0"/>
        <w:snapToGrid w:val="0"/>
        <w:spacing w:before="90" w:line="400" w:lineRule="exact"/>
        <w:ind w:firstLine="508" w:firstLineChars="200"/>
        <w:textAlignment w:val="baseline"/>
        <w:rPr>
          <w:rFonts w:hint="eastAsia" w:ascii="仿宋" w:hAnsi="仿宋" w:eastAsia="仿宋" w:cs="仿宋"/>
          <w:spacing w:val="7"/>
          <w:sz w:val="24"/>
          <w:szCs w:val="24"/>
          <w:highlight w:val="none"/>
          <w:lang w:val="en-US" w:eastAsia="zh-CN"/>
        </w:rPr>
      </w:pPr>
      <w:r>
        <w:rPr>
          <w:rFonts w:hint="eastAsia" w:ascii="仿宋" w:hAnsi="仿宋" w:eastAsia="仿宋" w:cs="仿宋"/>
          <w:spacing w:val="7"/>
          <w:sz w:val="24"/>
          <w:szCs w:val="24"/>
          <w:highlight w:val="none"/>
          <w:lang w:eastAsia="zh-CN"/>
        </w:rPr>
        <w:t>英吉沙县2024年高素质农民培训项目（标项一）：</w:t>
      </w:r>
      <w:r>
        <w:rPr>
          <w:rFonts w:hint="eastAsia" w:ascii="仿宋" w:hAnsi="仿宋" w:eastAsia="仿宋" w:cs="仿宋"/>
          <w:spacing w:val="7"/>
          <w:sz w:val="24"/>
          <w:szCs w:val="24"/>
          <w:highlight w:val="none"/>
          <w:lang w:val="en-US" w:eastAsia="zh-CN"/>
        </w:rPr>
        <w:t>600000.00；</w:t>
      </w:r>
    </w:p>
    <w:p w14:paraId="6ECEAF32">
      <w:pPr>
        <w:keepNext w:val="0"/>
        <w:keepLines w:val="0"/>
        <w:pageBreakBefore w:val="0"/>
        <w:widowControl/>
        <w:kinsoku w:val="0"/>
        <w:wordWrap/>
        <w:overflowPunct/>
        <w:topLinePunct w:val="0"/>
        <w:autoSpaceDE w:val="0"/>
        <w:autoSpaceDN w:val="0"/>
        <w:bidi w:val="0"/>
        <w:adjustRightInd w:val="0"/>
        <w:snapToGrid w:val="0"/>
        <w:spacing w:before="90" w:line="400" w:lineRule="exact"/>
        <w:ind w:firstLine="508" w:firstLineChars="200"/>
        <w:textAlignment w:val="baseline"/>
        <w:rPr>
          <w:rFonts w:hint="eastAsia" w:ascii="仿宋" w:hAnsi="仿宋" w:eastAsia="仿宋" w:cs="仿宋"/>
          <w:spacing w:val="7"/>
          <w:sz w:val="24"/>
          <w:szCs w:val="24"/>
          <w:highlight w:val="none"/>
          <w:lang w:val="en-US" w:eastAsia="zh-CN"/>
        </w:rPr>
      </w:pPr>
      <w:r>
        <w:rPr>
          <w:rFonts w:hint="eastAsia" w:ascii="仿宋" w:hAnsi="仿宋" w:eastAsia="仿宋" w:cs="仿宋"/>
          <w:spacing w:val="7"/>
          <w:sz w:val="24"/>
          <w:szCs w:val="24"/>
          <w:highlight w:val="none"/>
          <w:lang w:eastAsia="zh-CN"/>
        </w:rPr>
        <w:t>英吉沙县2024年农民实用技术培训项目（标项二）</w:t>
      </w:r>
      <w:r>
        <w:rPr>
          <w:rFonts w:hint="eastAsia" w:ascii="仿宋" w:hAnsi="仿宋" w:eastAsia="仿宋" w:cs="仿宋"/>
          <w:spacing w:val="4"/>
          <w:sz w:val="24"/>
          <w:szCs w:val="24"/>
          <w:highlight w:val="none"/>
          <w:lang w:val="en-US" w:eastAsia="zh-CN"/>
        </w:rPr>
        <w:t>：</w:t>
      </w:r>
      <w:r>
        <w:rPr>
          <w:rFonts w:hint="eastAsia" w:ascii="仿宋" w:hAnsi="仿宋" w:eastAsia="仿宋" w:cs="仿宋"/>
          <w:spacing w:val="7"/>
          <w:sz w:val="24"/>
          <w:szCs w:val="24"/>
          <w:highlight w:val="none"/>
          <w:lang w:val="en-US" w:eastAsia="zh-CN"/>
        </w:rPr>
        <w:t>4400000.00</w:t>
      </w:r>
    </w:p>
    <w:p w14:paraId="1B0F8DB3">
      <w:pPr>
        <w:keepNext w:val="0"/>
        <w:keepLines w:val="0"/>
        <w:pageBreakBefore w:val="0"/>
        <w:widowControl/>
        <w:kinsoku w:val="0"/>
        <w:wordWrap/>
        <w:overflowPunct/>
        <w:topLinePunct w:val="0"/>
        <w:autoSpaceDE w:val="0"/>
        <w:autoSpaceDN w:val="0"/>
        <w:bidi w:val="0"/>
        <w:adjustRightInd w:val="0"/>
        <w:snapToGrid w:val="0"/>
        <w:spacing w:before="90" w:line="400" w:lineRule="exact"/>
        <w:ind w:left="358"/>
        <w:textAlignment w:val="baseline"/>
        <w:rPr>
          <w:rFonts w:ascii="仿宋" w:hAnsi="仿宋" w:eastAsia="仿宋" w:cs="仿宋"/>
          <w:spacing w:val="5"/>
          <w:sz w:val="23"/>
          <w:szCs w:val="23"/>
          <w:highlight w:val="none"/>
        </w:rPr>
      </w:pPr>
      <w:r>
        <w:rPr>
          <w:rFonts w:ascii="仿宋" w:hAnsi="仿宋" w:eastAsia="仿宋" w:cs="仿宋"/>
          <w:spacing w:val="5"/>
          <w:sz w:val="23"/>
          <w:szCs w:val="23"/>
          <w:highlight w:val="none"/>
        </w:rPr>
        <w:t>采购需求：</w:t>
      </w:r>
    </w:p>
    <w:p w14:paraId="0EEF156A">
      <w:pPr>
        <w:keepNext w:val="0"/>
        <w:keepLines w:val="0"/>
        <w:pageBreakBefore w:val="0"/>
        <w:widowControl/>
        <w:kinsoku w:val="0"/>
        <w:wordWrap/>
        <w:overflowPunct/>
        <w:topLinePunct w:val="0"/>
        <w:autoSpaceDE w:val="0"/>
        <w:autoSpaceDN w:val="0"/>
        <w:bidi w:val="0"/>
        <w:adjustRightInd w:val="0"/>
        <w:snapToGrid w:val="0"/>
        <w:spacing w:before="90" w:line="400" w:lineRule="exact"/>
        <w:ind w:left="358"/>
        <w:textAlignment w:val="baseline"/>
        <w:rPr>
          <w:rFonts w:hint="eastAsia" w:ascii="仿宋" w:hAnsi="仿宋" w:eastAsia="仿宋" w:cs="仿宋"/>
          <w:spacing w:val="5"/>
          <w:sz w:val="23"/>
          <w:szCs w:val="23"/>
          <w:highlight w:val="none"/>
          <w:lang w:val="en-US" w:eastAsia="zh-CN"/>
        </w:rPr>
      </w:pPr>
      <w:r>
        <w:rPr>
          <w:rFonts w:hint="eastAsia" w:ascii="仿宋" w:hAnsi="仿宋" w:eastAsia="仿宋" w:cs="仿宋"/>
          <w:spacing w:val="5"/>
          <w:sz w:val="23"/>
          <w:szCs w:val="23"/>
          <w:highlight w:val="none"/>
          <w:lang w:val="en-US" w:eastAsia="zh-CN"/>
        </w:rPr>
        <w:t>标项一：</w:t>
      </w:r>
    </w:p>
    <w:p w14:paraId="3A53A641">
      <w:pPr>
        <w:keepNext w:val="0"/>
        <w:keepLines w:val="0"/>
        <w:pageBreakBefore w:val="0"/>
        <w:widowControl/>
        <w:kinsoku w:val="0"/>
        <w:wordWrap/>
        <w:overflowPunct/>
        <w:topLinePunct w:val="0"/>
        <w:autoSpaceDE w:val="0"/>
        <w:autoSpaceDN w:val="0"/>
        <w:bidi w:val="0"/>
        <w:adjustRightInd w:val="0"/>
        <w:snapToGrid w:val="0"/>
        <w:spacing w:before="90" w:line="400" w:lineRule="exact"/>
        <w:ind w:left="358"/>
        <w:textAlignment w:val="baseline"/>
        <w:rPr>
          <w:rFonts w:hint="eastAsia" w:ascii="仿宋" w:hAnsi="仿宋" w:eastAsia="仿宋" w:cs="仿宋"/>
          <w:spacing w:val="7"/>
          <w:sz w:val="23"/>
          <w:szCs w:val="23"/>
          <w:highlight w:val="none"/>
          <w:lang w:eastAsia="zh-CN"/>
        </w:rPr>
      </w:pPr>
      <w:r>
        <w:rPr>
          <w:rFonts w:hint="eastAsia" w:ascii="仿宋" w:hAnsi="仿宋" w:eastAsia="仿宋" w:cs="仿宋"/>
          <w:spacing w:val="7"/>
          <w:sz w:val="23"/>
          <w:szCs w:val="23"/>
          <w:highlight w:val="none"/>
          <w:lang w:eastAsia="zh-CN"/>
        </w:rPr>
        <w:t>标项名称:英吉沙县2024年高素质农民培训项目（标项一）</w:t>
      </w:r>
    </w:p>
    <w:p w14:paraId="74CE313B">
      <w:pPr>
        <w:keepNext w:val="0"/>
        <w:keepLines w:val="0"/>
        <w:pageBreakBefore w:val="0"/>
        <w:widowControl/>
        <w:kinsoku w:val="0"/>
        <w:wordWrap/>
        <w:overflowPunct/>
        <w:topLinePunct w:val="0"/>
        <w:autoSpaceDE w:val="0"/>
        <w:autoSpaceDN w:val="0"/>
        <w:bidi w:val="0"/>
        <w:adjustRightInd w:val="0"/>
        <w:snapToGrid w:val="0"/>
        <w:spacing w:before="90" w:line="400" w:lineRule="exact"/>
        <w:ind w:left="358"/>
        <w:textAlignment w:val="baseline"/>
        <w:rPr>
          <w:rFonts w:hint="eastAsia" w:ascii="仿宋" w:hAnsi="仿宋" w:eastAsia="仿宋" w:cs="仿宋"/>
          <w:spacing w:val="7"/>
          <w:sz w:val="23"/>
          <w:szCs w:val="23"/>
          <w:highlight w:val="none"/>
          <w:lang w:val="en-US" w:eastAsia="zh-CN"/>
        </w:rPr>
      </w:pPr>
      <w:r>
        <w:rPr>
          <w:rFonts w:hint="eastAsia" w:ascii="仿宋" w:hAnsi="仿宋" w:eastAsia="仿宋" w:cs="仿宋"/>
          <w:spacing w:val="7"/>
          <w:sz w:val="23"/>
          <w:szCs w:val="23"/>
          <w:highlight w:val="none"/>
          <w:lang w:eastAsia="zh-CN"/>
        </w:rPr>
        <w:t>预算金额（元）:</w:t>
      </w:r>
      <w:r>
        <w:rPr>
          <w:rFonts w:hint="eastAsia" w:ascii="仿宋" w:hAnsi="仿宋" w:eastAsia="仿宋" w:cs="仿宋"/>
          <w:spacing w:val="7"/>
          <w:sz w:val="23"/>
          <w:szCs w:val="23"/>
          <w:highlight w:val="none"/>
          <w:lang w:val="en-US" w:eastAsia="zh-CN"/>
        </w:rPr>
        <w:t>600000.00</w:t>
      </w:r>
    </w:p>
    <w:p w14:paraId="30965C54">
      <w:pPr>
        <w:keepNext w:val="0"/>
        <w:keepLines w:val="0"/>
        <w:pageBreakBefore w:val="0"/>
        <w:widowControl/>
        <w:kinsoku w:val="0"/>
        <w:wordWrap/>
        <w:overflowPunct/>
        <w:topLinePunct w:val="0"/>
        <w:autoSpaceDE w:val="0"/>
        <w:autoSpaceDN w:val="0"/>
        <w:bidi w:val="0"/>
        <w:adjustRightInd w:val="0"/>
        <w:snapToGrid w:val="0"/>
        <w:spacing w:before="90" w:line="400" w:lineRule="exact"/>
        <w:ind w:left="358"/>
        <w:textAlignment w:val="baseline"/>
        <w:rPr>
          <w:rFonts w:ascii="方正仿宋_GBK" w:hAnsi="方正仿宋_GBK" w:eastAsia="方正仿宋_GBK" w:cs="方正仿宋_GBK"/>
          <w:spacing w:val="6"/>
          <w:sz w:val="23"/>
          <w:szCs w:val="23"/>
          <w:highlight w:val="none"/>
        </w:rPr>
      </w:pPr>
      <w:r>
        <w:rPr>
          <w:rFonts w:hint="eastAsia" w:ascii="仿宋" w:hAnsi="仿宋" w:eastAsia="仿宋" w:cs="仿宋"/>
          <w:spacing w:val="7"/>
          <w:sz w:val="23"/>
          <w:szCs w:val="23"/>
          <w:highlight w:val="none"/>
          <w:lang w:eastAsia="zh-CN"/>
        </w:rPr>
        <w:t>简要规格描述或项目基本概况介绍、用途：</w:t>
      </w:r>
      <w:r>
        <w:rPr>
          <w:rFonts w:hint="eastAsia" w:ascii="仿宋" w:hAnsi="仿宋" w:eastAsia="仿宋" w:cs="仿宋"/>
          <w:spacing w:val="7"/>
          <w:sz w:val="23"/>
          <w:szCs w:val="23"/>
          <w:highlight w:val="none"/>
          <w:lang w:val="en-US" w:eastAsia="zh-CN"/>
        </w:rPr>
        <w:t>英吉沙县</w:t>
      </w:r>
      <w:r>
        <w:rPr>
          <w:rFonts w:hint="eastAsia" w:ascii="仿宋" w:hAnsi="仿宋" w:eastAsia="仿宋" w:cs="仿宋"/>
          <w:spacing w:val="7"/>
          <w:sz w:val="23"/>
          <w:szCs w:val="23"/>
          <w:highlight w:val="none"/>
          <w:lang w:eastAsia="zh-CN"/>
        </w:rPr>
        <w:t>计划完成高素质农民培训，</w:t>
      </w:r>
      <w:r>
        <w:rPr>
          <w:rFonts w:hint="eastAsia" w:ascii="仿宋" w:hAnsi="仿宋" w:eastAsia="仿宋" w:cs="仿宋"/>
          <w:spacing w:val="7"/>
          <w:sz w:val="23"/>
          <w:szCs w:val="23"/>
          <w:highlight w:val="none"/>
          <w:lang w:val="en-US" w:eastAsia="zh-CN"/>
        </w:rPr>
        <w:t>对</w:t>
      </w:r>
      <w:r>
        <w:rPr>
          <w:rFonts w:hint="eastAsia" w:ascii="仿宋" w:hAnsi="仿宋" w:eastAsia="仿宋" w:cs="仿宋"/>
          <w:b w:val="0"/>
          <w:bCs/>
          <w:color w:val="auto"/>
          <w:spacing w:val="1"/>
          <w:kern w:val="2"/>
          <w:sz w:val="24"/>
          <w:szCs w:val="24"/>
          <w:highlight w:val="none"/>
          <w:lang w:val="en-US" w:eastAsia="zh-CN" w:bidi="ar-SA"/>
        </w:rPr>
        <w:t>新型农业经营主体和社会化服务组织带头人，专业生产人，技能服务型人，乡村振兴带头人，乡村治理带头人，返乡入乡创业创新人进行培训</w:t>
      </w:r>
      <w:r>
        <w:rPr>
          <w:rFonts w:hint="eastAsia" w:ascii="仿宋" w:hAnsi="仿宋" w:eastAsia="仿宋" w:cs="仿宋"/>
          <w:spacing w:val="7"/>
          <w:sz w:val="23"/>
          <w:szCs w:val="23"/>
          <w:highlight w:val="none"/>
          <w:lang w:eastAsia="zh-CN"/>
        </w:rPr>
        <w:t>（</w:t>
      </w:r>
      <w:r>
        <w:rPr>
          <w:rFonts w:ascii="方正仿宋_GBK" w:hAnsi="方正仿宋_GBK" w:eastAsia="方正仿宋_GBK" w:cs="方正仿宋_GBK"/>
          <w:spacing w:val="6"/>
          <w:sz w:val="23"/>
          <w:szCs w:val="23"/>
          <w:highlight w:val="none"/>
        </w:rPr>
        <w:t>详见招标文件</w:t>
      </w:r>
      <w:r>
        <w:rPr>
          <w:rFonts w:hint="eastAsia" w:ascii="仿宋" w:hAnsi="仿宋" w:eastAsia="仿宋" w:cs="仿宋"/>
          <w:spacing w:val="7"/>
          <w:sz w:val="23"/>
          <w:szCs w:val="23"/>
          <w:highlight w:val="none"/>
          <w:lang w:eastAsia="zh-CN"/>
        </w:rPr>
        <w:t>）。</w:t>
      </w:r>
    </w:p>
    <w:p w14:paraId="092A134E">
      <w:pPr>
        <w:keepNext w:val="0"/>
        <w:keepLines w:val="0"/>
        <w:pageBreakBefore w:val="0"/>
        <w:widowControl/>
        <w:kinsoku w:val="0"/>
        <w:wordWrap/>
        <w:overflowPunct/>
        <w:topLinePunct w:val="0"/>
        <w:autoSpaceDE w:val="0"/>
        <w:autoSpaceDN w:val="0"/>
        <w:bidi w:val="0"/>
        <w:adjustRightInd w:val="0"/>
        <w:snapToGrid w:val="0"/>
        <w:spacing w:before="90" w:line="400" w:lineRule="exact"/>
        <w:ind w:left="358"/>
        <w:textAlignment w:val="baseline"/>
        <w:rPr>
          <w:rFonts w:hint="default" w:eastAsia="方正仿宋_GBK"/>
          <w:highlight w:val="none"/>
          <w:lang w:val="en-US" w:eastAsia="zh-CN"/>
        </w:rPr>
      </w:pPr>
      <w:r>
        <w:rPr>
          <w:rFonts w:hint="eastAsia" w:ascii="方正仿宋_GBK" w:hAnsi="方正仿宋_GBK" w:eastAsia="方正仿宋_GBK" w:cs="方正仿宋_GBK"/>
          <w:spacing w:val="6"/>
          <w:sz w:val="23"/>
          <w:szCs w:val="23"/>
          <w:highlight w:val="none"/>
          <w:lang w:val="en-US" w:eastAsia="zh-CN"/>
        </w:rPr>
        <w:t>服务人数：不少于200人</w:t>
      </w:r>
    </w:p>
    <w:p w14:paraId="05729325">
      <w:pPr>
        <w:keepNext w:val="0"/>
        <w:keepLines w:val="0"/>
        <w:pageBreakBefore w:val="0"/>
        <w:widowControl/>
        <w:kinsoku w:val="0"/>
        <w:wordWrap/>
        <w:overflowPunct/>
        <w:topLinePunct w:val="0"/>
        <w:autoSpaceDE w:val="0"/>
        <w:autoSpaceDN w:val="0"/>
        <w:bidi w:val="0"/>
        <w:adjustRightInd w:val="0"/>
        <w:snapToGrid w:val="0"/>
        <w:spacing w:before="90" w:line="400" w:lineRule="exact"/>
        <w:ind w:left="358"/>
        <w:textAlignment w:val="baseline"/>
        <w:rPr>
          <w:rFonts w:hint="eastAsia" w:ascii="仿宋" w:hAnsi="仿宋" w:eastAsia="仿宋" w:cs="仿宋"/>
          <w:spacing w:val="7"/>
          <w:sz w:val="23"/>
          <w:szCs w:val="23"/>
          <w:highlight w:val="none"/>
          <w:lang w:eastAsia="zh-CN"/>
        </w:rPr>
      </w:pPr>
      <w:r>
        <w:rPr>
          <w:rFonts w:hint="eastAsia" w:ascii="仿宋" w:hAnsi="仿宋" w:eastAsia="仿宋" w:cs="仿宋"/>
          <w:spacing w:val="7"/>
          <w:sz w:val="23"/>
          <w:szCs w:val="23"/>
          <w:highlight w:val="none"/>
          <w:lang w:eastAsia="zh-CN"/>
        </w:rPr>
        <w:t>  备注：</w:t>
      </w:r>
    </w:p>
    <w:p w14:paraId="77ED7069">
      <w:pPr>
        <w:keepNext w:val="0"/>
        <w:keepLines w:val="0"/>
        <w:pageBreakBefore w:val="0"/>
        <w:widowControl/>
        <w:kinsoku w:val="0"/>
        <w:wordWrap/>
        <w:overflowPunct/>
        <w:topLinePunct w:val="0"/>
        <w:autoSpaceDE w:val="0"/>
        <w:autoSpaceDN w:val="0"/>
        <w:bidi w:val="0"/>
        <w:adjustRightInd w:val="0"/>
        <w:snapToGrid w:val="0"/>
        <w:spacing w:before="90" w:line="400" w:lineRule="exact"/>
        <w:ind w:left="358"/>
        <w:textAlignment w:val="baseline"/>
        <w:rPr>
          <w:rFonts w:hint="eastAsia" w:ascii="仿宋" w:hAnsi="仿宋" w:eastAsia="仿宋" w:cs="仿宋"/>
          <w:spacing w:val="5"/>
          <w:sz w:val="23"/>
          <w:szCs w:val="23"/>
          <w:highlight w:val="none"/>
          <w:lang w:val="en-US" w:eastAsia="zh-CN"/>
        </w:rPr>
      </w:pPr>
      <w:r>
        <w:rPr>
          <w:rFonts w:hint="eastAsia" w:ascii="仿宋" w:hAnsi="仿宋" w:eastAsia="仿宋" w:cs="仿宋"/>
          <w:spacing w:val="5"/>
          <w:sz w:val="23"/>
          <w:szCs w:val="23"/>
          <w:highlight w:val="none"/>
          <w:lang w:val="en-US" w:eastAsia="zh-CN"/>
        </w:rPr>
        <w:t>标项二：</w:t>
      </w:r>
    </w:p>
    <w:p w14:paraId="52943A84">
      <w:pPr>
        <w:keepNext w:val="0"/>
        <w:keepLines w:val="0"/>
        <w:pageBreakBefore w:val="0"/>
        <w:widowControl/>
        <w:kinsoku w:val="0"/>
        <w:wordWrap/>
        <w:overflowPunct/>
        <w:topLinePunct w:val="0"/>
        <w:autoSpaceDE w:val="0"/>
        <w:autoSpaceDN w:val="0"/>
        <w:bidi w:val="0"/>
        <w:adjustRightInd w:val="0"/>
        <w:snapToGrid w:val="0"/>
        <w:spacing w:before="90" w:line="400" w:lineRule="exact"/>
        <w:ind w:left="358"/>
        <w:textAlignment w:val="baseline"/>
        <w:rPr>
          <w:rFonts w:hint="eastAsia" w:ascii="仿宋" w:hAnsi="仿宋" w:eastAsia="仿宋" w:cs="仿宋"/>
          <w:spacing w:val="7"/>
          <w:sz w:val="23"/>
          <w:szCs w:val="23"/>
          <w:highlight w:val="none"/>
          <w:lang w:val="en-US" w:eastAsia="zh-CN"/>
        </w:rPr>
      </w:pPr>
      <w:r>
        <w:rPr>
          <w:rFonts w:hint="eastAsia" w:ascii="仿宋" w:hAnsi="仿宋" w:eastAsia="仿宋" w:cs="仿宋"/>
          <w:spacing w:val="7"/>
          <w:sz w:val="23"/>
          <w:szCs w:val="23"/>
          <w:highlight w:val="none"/>
          <w:lang w:eastAsia="zh-CN"/>
        </w:rPr>
        <w:t>标项名称:英吉沙县2024年农民实用技术培训项目（标项二）</w:t>
      </w:r>
    </w:p>
    <w:p w14:paraId="350AFA5F">
      <w:pPr>
        <w:keepNext w:val="0"/>
        <w:keepLines w:val="0"/>
        <w:pageBreakBefore w:val="0"/>
        <w:widowControl/>
        <w:kinsoku w:val="0"/>
        <w:wordWrap/>
        <w:overflowPunct/>
        <w:topLinePunct w:val="0"/>
        <w:autoSpaceDE w:val="0"/>
        <w:autoSpaceDN w:val="0"/>
        <w:bidi w:val="0"/>
        <w:adjustRightInd w:val="0"/>
        <w:snapToGrid w:val="0"/>
        <w:spacing w:before="90" w:line="400" w:lineRule="exact"/>
        <w:ind w:left="358"/>
        <w:textAlignment w:val="baseline"/>
        <w:rPr>
          <w:rFonts w:hint="eastAsia" w:ascii="仿宋" w:hAnsi="仿宋" w:eastAsia="仿宋" w:cs="仿宋"/>
          <w:spacing w:val="7"/>
          <w:sz w:val="23"/>
          <w:szCs w:val="23"/>
          <w:highlight w:val="none"/>
          <w:lang w:val="en-US" w:eastAsia="zh-CN"/>
        </w:rPr>
      </w:pPr>
      <w:r>
        <w:rPr>
          <w:rFonts w:hint="eastAsia" w:ascii="仿宋" w:hAnsi="仿宋" w:eastAsia="仿宋" w:cs="仿宋"/>
          <w:spacing w:val="7"/>
          <w:sz w:val="23"/>
          <w:szCs w:val="23"/>
          <w:highlight w:val="none"/>
          <w:lang w:eastAsia="zh-CN"/>
        </w:rPr>
        <w:t>预算金额（元）:</w:t>
      </w:r>
      <w:r>
        <w:rPr>
          <w:rFonts w:hint="eastAsia" w:ascii="仿宋" w:hAnsi="仿宋" w:eastAsia="仿宋" w:cs="仿宋"/>
          <w:spacing w:val="7"/>
          <w:sz w:val="23"/>
          <w:szCs w:val="23"/>
          <w:highlight w:val="none"/>
          <w:lang w:val="en-US" w:eastAsia="zh-CN"/>
        </w:rPr>
        <w:t>4400000.00</w:t>
      </w:r>
    </w:p>
    <w:p w14:paraId="4FA7CD30">
      <w:pPr>
        <w:keepNext w:val="0"/>
        <w:keepLines w:val="0"/>
        <w:pageBreakBefore w:val="0"/>
        <w:widowControl/>
        <w:kinsoku w:val="0"/>
        <w:wordWrap/>
        <w:overflowPunct/>
        <w:topLinePunct w:val="0"/>
        <w:autoSpaceDE w:val="0"/>
        <w:autoSpaceDN w:val="0"/>
        <w:bidi w:val="0"/>
        <w:adjustRightInd w:val="0"/>
        <w:snapToGrid w:val="0"/>
        <w:spacing w:before="90" w:line="400" w:lineRule="exact"/>
        <w:ind w:left="358"/>
        <w:textAlignment w:val="baseline"/>
        <w:rPr>
          <w:rFonts w:ascii="方正仿宋_GBK" w:hAnsi="方正仿宋_GBK" w:eastAsia="方正仿宋_GBK" w:cs="方正仿宋_GBK"/>
          <w:spacing w:val="6"/>
          <w:sz w:val="23"/>
          <w:szCs w:val="23"/>
          <w:highlight w:val="none"/>
        </w:rPr>
      </w:pPr>
      <w:r>
        <w:rPr>
          <w:rFonts w:hint="eastAsia" w:ascii="仿宋" w:hAnsi="仿宋" w:eastAsia="仿宋" w:cs="仿宋"/>
          <w:spacing w:val="7"/>
          <w:sz w:val="23"/>
          <w:szCs w:val="23"/>
          <w:highlight w:val="none"/>
          <w:lang w:eastAsia="zh-CN"/>
        </w:rPr>
        <w:t>简要规格描述或项目基本概况介绍、用途：</w:t>
      </w:r>
      <w:r>
        <w:rPr>
          <w:rFonts w:hint="eastAsia" w:ascii="仿宋" w:hAnsi="仿宋" w:eastAsia="仿宋" w:cs="仿宋"/>
          <w:i w:val="0"/>
          <w:iCs w:val="0"/>
          <w:snapToGrid w:val="0"/>
          <w:color w:val="000000"/>
          <w:kern w:val="0"/>
          <w:sz w:val="24"/>
          <w:szCs w:val="24"/>
          <w:highlight w:val="none"/>
          <w:u w:val="none"/>
          <w:lang w:val="en-US" w:eastAsia="zh-CN" w:bidi="ar"/>
        </w:rPr>
        <w:t>对全县农村劳动力进行农业实用技</w:t>
      </w:r>
      <w:r>
        <w:rPr>
          <w:rFonts w:hint="eastAsia" w:ascii="仿宋" w:hAnsi="仿宋" w:eastAsia="仿宋" w:cs="仿宋"/>
          <w:i w:val="0"/>
          <w:iCs w:val="0"/>
          <w:snapToGrid w:val="0"/>
          <w:color w:val="auto"/>
          <w:kern w:val="0"/>
          <w:sz w:val="24"/>
          <w:szCs w:val="24"/>
          <w:highlight w:val="none"/>
          <w:u w:val="none"/>
          <w:lang w:val="en-US" w:eastAsia="zh-CN" w:bidi="ar"/>
        </w:rPr>
        <w:t>术培训</w:t>
      </w:r>
      <w:r>
        <w:rPr>
          <w:rFonts w:hint="eastAsia" w:ascii="仿宋" w:hAnsi="仿宋" w:eastAsia="仿宋" w:cs="仿宋"/>
          <w:color w:val="auto"/>
          <w:spacing w:val="7"/>
          <w:sz w:val="23"/>
          <w:szCs w:val="23"/>
          <w:highlight w:val="none"/>
          <w:lang w:eastAsia="zh-CN"/>
        </w:rPr>
        <w:t>（</w:t>
      </w:r>
      <w:r>
        <w:rPr>
          <w:rFonts w:ascii="方正仿宋_GBK" w:hAnsi="方正仿宋_GBK" w:eastAsia="方正仿宋_GBK" w:cs="方正仿宋_GBK"/>
          <w:color w:val="auto"/>
          <w:spacing w:val="6"/>
          <w:sz w:val="23"/>
          <w:szCs w:val="23"/>
          <w:highlight w:val="none"/>
        </w:rPr>
        <w:t>详见招标文件</w:t>
      </w:r>
      <w:r>
        <w:rPr>
          <w:rFonts w:hint="eastAsia" w:ascii="仿宋" w:hAnsi="仿宋" w:eastAsia="仿宋" w:cs="仿宋"/>
          <w:color w:val="auto"/>
          <w:spacing w:val="7"/>
          <w:sz w:val="23"/>
          <w:szCs w:val="23"/>
          <w:highlight w:val="none"/>
          <w:lang w:eastAsia="zh-CN"/>
        </w:rPr>
        <w:t>）</w:t>
      </w:r>
      <w:r>
        <w:rPr>
          <w:rFonts w:ascii="方正仿宋_GBK" w:hAnsi="方正仿宋_GBK" w:eastAsia="方正仿宋_GBK" w:cs="方正仿宋_GBK"/>
          <w:color w:val="auto"/>
          <w:spacing w:val="6"/>
          <w:sz w:val="23"/>
          <w:szCs w:val="23"/>
          <w:highlight w:val="none"/>
        </w:rPr>
        <w:t>。</w:t>
      </w:r>
    </w:p>
    <w:p w14:paraId="300373E7">
      <w:pPr>
        <w:keepNext w:val="0"/>
        <w:keepLines w:val="0"/>
        <w:pageBreakBefore w:val="0"/>
        <w:widowControl/>
        <w:kinsoku w:val="0"/>
        <w:wordWrap/>
        <w:overflowPunct/>
        <w:topLinePunct w:val="0"/>
        <w:autoSpaceDE w:val="0"/>
        <w:autoSpaceDN w:val="0"/>
        <w:bidi w:val="0"/>
        <w:adjustRightInd w:val="0"/>
        <w:snapToGrid w:val="0"/>
        <w:spacing w:before="90" w:line="400" w:lineRule="exact"/>
        <w:ind w:left="358"/>
        <w:textAlignment w:val="baseline"/>
        <w:rPr>
          <w:rFonts w:hint="default" w:ascii="方正仿宋_GBK" w:hAnsi="方正仿宋_GBK" w:eastAsia="方正仿宋_GBK" w:cs="方正仿宋_GBK"/>
          <w:sz w:val="23"/>
          <w:szCs w:val="23"/>
          <w:highlight w:val="none"/>
          <w:lang w:val="en-US"/>
        </w:rPr>
      </w:pPr>
      <w:r>
        <w:rPr>
          <w:rFonts w:hint="eastAsia" w:ascii="方正仿宋_GBK" w:hAnsi="方正仿宋_GBK" w:eastAsia="方正仿宋_GBK" w:cs="方正仿宋_GBK"/>
          <w:spacing w:val="6"/>
          <w:sz w:val="23"/>
          <w:szCs w:val="23"/>
          <w:highlight w:val="none"/>
          <w:lang w:val="en-US" w:eastAsia="zh-CN"/>
        </w:rPr>
        <w:t>服务人数：不少于2700人</w:t>
      </w:r>
    </w:p>
    <w:p w14:paraId="4D65B750">
      <w:pPr>
        <w:keepNext w:val="0"/>
        <w:keepLines w:val="0"/>
        <w:pageBreakBefore w:val="0"/>
        <w:widowControl/>
        <w:kinsoku w:val="0"/>
        <w:wordWrap/>
        <w:overflowPunct/>
        <w:topLinePunct w:val="0"/>
        <w:autoSpaceDE w:val="0"/>
        <w:autoSpaceDN w:val="0"/>
        <w:bidi w:val="0"/>
        <w:adjustRightInd w:val="0"/>
        <w:snapToGrid w:val="0"/>
        <w:spacing w:before="90" w:line="400" w:lineRule="exact"/>
        <w:ind w:left="358"/>
        <w:textAlignment w:val="baseline"/>
        <w:rPr>
          <w:rFonts w:ascii="仿宋" w:hAnsi="仿宋" w:eastAsia="仿宋" w:cs="仿宋"/>
          <w:spacing w:val="5"/>
          <w:sz w:val="23"/>
          <w:szCs w:val="23"/>
          <w:highlight w:val="none"/>
        </w:rPr>
      </w:pPr>
      <w:r>
        <w:rPr>
          <w:rFonts w:hint="eastAsia" w:ascii="仿宋" w:hAnsi="仿宋" w:eastAsia="仿宋" w:cs="仿宋"/>
          <w:spacing w:val="7"/>
          <w:sz w:val="23"/>
          <w:szCs w:val="23"/>
          <w:highlight w:val="none"/>
          <w:lang w:eastAsia="zh-CN"/>
        </w:rPr>
        <w:t>  备注：</w:t>
      </w:r>
      <w:r>
        <w:rPr>
          <w:rFonts w:hint="eastAsia" w:ascii="仿宋" w:hAnsi="仿宋" w:eastAsia="仿宋" w:cs="仿宋"/>
          <w:spacing w:val="5"/>
          <w:sz w:val="23"/>
          <w:szCs w:val="23"/>
          <w:highlight w:val="none"/>
          <w:lang w:val="en-US" w:eastAsia="zh-CN"/>
        </w:rPr>
        <w:t>本项目标项一、标项二均</w:t>
      </w:r>
      <w:r>
        <w:rPr>
          <w:rFonts w:ascii="仿宋" w:hAnsi="仿宋" w:eastAsia="仿宋" w:cs="仿宋"/>
          <w:spacing w:val="5"/>
          <w:sz w:val="23"/>
          <w:szCs w:val="23"/>
          <w:highlight w:val="none"/>
        </w:rPr>
        <w:t>不接受联合体投标。</w:t>
      </w:r>
    </w:p>
    <w:p w14:paraId="1B829E2E">
      <w:pPr>
        <w:keepNext w:val="0"/>
        <w:keepLines w:val="0"/>
        <w:pageBreakBefore w:val="0"/>
        <w:widowControl/>
        <w:kinsoku w:val="0"/>
        <w:wordWrap/>
        <w:overflowPunct/>
        <w:topLinePunct w:val="0"/>
        <w:autoSpaceDE w:val="0"/>
        <w:autoSpaceDN w:val="0"/>
        <w:bidi w:val="0"/>
        <w:adjustRightInd w:val="0"/>
        <w:snapToGrid w:val="0"/>
        <w:spacing w:line="400" w:lineRule="exact"/>
        <w:ind w:left="113"/>
        <w:textAlignment w:val="baseline"/>
        <w:outlineLvl w:val="1"/>
        <w:rPr>
          <w:rFonts w:ascii="仿宋" w:hAnsi="仿宋" w:eastAsia="仿宋" w:cs="仿宋"/>
          <w:sz w:val="23"/>
          <w:szCs w:val="23"/>
          <w:highlight w:val="none"/>
        </w:rPr>
      </w:pPr>
      <w:r>
        <w:rPr>
          <w:rFonts w:ascii="仿宋" w:hAnsi="仿宋" w:eastAsia="仿宋" w:cs="仿宋"/>
          <w:b/>
          <w:bCs/>
          <w:spacing w:val="2"/>
          <w:sz w:val="23"/>
          <w:szCs w:val="23"/>
          <w:highlight w:val="none"/>
        </w:rPr>
        <w:t>二、申请人的资格要求：</w:t>
      </w:r>
    </w:p>
    <w:p w14:paraId="3567B0D8">
      <w:pPr>
        <w:pStyle w:val="26"/>
        <w:keepNext w:val="0"/>
        <w:keepLines w:val="0"/>
        <w:pageBreakBefore w:val="0"/>
        <w:widowControl/>
        <w:kinsoku w:val="0"/>
        <w:wordWrap/>
        <w:overflowPunct/>
        <w:topLinePunct w:val="0"/>
        <w:autoSpaceDE w:val="0"/>
        <w:autoSpaceDN w:val="0"/>
        <w:bidi w:val="0"/>
        <w:adjustRightInd w:val="0"/>
        <w:snapToGrid w:val="0"/>
        <w:spacing w:before="1" w:line="400" w:lineRule="exact"/>
        <w:ind w:right="16"/>
        <w:textAlignment w:val="baseline"/>
        <w:rPr>
          <w:rFonts w:hint="eastAsia"/>
          <w:spacing w:val="8"/>
          <w:highlight w:val="none"/>
          <w:lang w:val="en-US" w:eastAsia="zh-CN"/>
        </w:rPr>
      </w:pPr>
      <w:r>
        <w:rPr>
          <w:rFonts w:hint="eastAsia"/>
          <w:spacing w:val="8"/>
          <w:highlight w:val="none"/>
          <w:lang w:val="en-US" w:eastAsia="zh-CN"/>
        </w:rPr>
        <w:t>1.满足《中华人民共和国政府采购法》第二十二条规定；</w:t>
      </w:r>
    </w:p>
    <w:p w14:paraId="659E5ACD">
      <w:pPr>
        <w:pStyle w:val="26"/>
        <w:keepNext w:val="0"/>
        <w:keepLines w:val="0"/>
        <w:pageBreakBefore w:val="0"/>
        <w:widowControl/>
        <w:kinsoku w:val="0"/>
        <w:wordWrap/>
        <w:overflowPunct/>
        <w:topLinePunct w:val="0"/>
        <w:autoSpaceDE w:val="0"/>
        <w:autoSpaceDN w:val="0"/>
        <w:bidi w:val="0"/>
        <w:adjustRightInd w:val="0"/>
        <w:snapToGrid w:val="0"/>
        <w:spacing w:before="1" w:line="400" w:lineRule="exact"/>
        <w:ind w:right="16"/>
        <w:textAlignment w:val="baseline"/>
        <w:rPr>
          <w:highlight w:val="none"/>
        </w:rPr>
      </w:pPr>
      <w:r>
        <w:rPr>
          <w:spacing w:val="8"/>
          <w:highlight w:val="none"/>
        </w:rPr>
        <w:t>①</w:t>
      </w:r>
      <w:r>
        <w:rPr>
          <w:rFonts w:hint="eastAsia"/>
          <w:spacing w:val="8"/>
          <w:highlight w:val="none"/>
          <w:lang w:eastAsia="zh-CN"/>
        </w:rPr>
        <w:t>法人或者非法人组织的营业执照等证明文件复印件（须加盖本单位章）或自然人的身份证明复印件；</w:t>
      </w:r>
    </w:p>
    <w:p w14:paraId="4BA99994">
      <w:pPr>
        <w:pStyle w:val="26"/>
        <w:keepNext w:val="0"/>
        <w:keepLines w:val="0"/>
        <w:pageBreakBefore w:val="0"/>
        <w:widowControl/>
        <w:kinsoku w:val="0"/>
        <w:wordWrap/>
        <w:overflowPunct/>
        <w:topLinePunct w:val="0"/>
        <w:autoSpaceDE w:val="0"/>
        <w:autoSpaceDN w:val="0"/>
        <w:bidi w:val="0"/>
        <w:adjustRightInd w:val="0"/>
        <w:snapToGrid w:val="0"/>
        <w:spacing w:before="22" w:line="400" w:lineRule="exact"/>
        <w:ind w:left="267" w:right="16" w:hanging="250"/>
        <w:textAlignment w:val="baseline"/>
        <w:rPr>
          <w:rFonts w:hint="eastAsia" w:eastAsia="方正仿宋_GBK"/>
          <w:highlight w:val="none"/>
          <w:lang w:eastAsia="zh-CN"/>
        </w:rPr>
      </w:pPr>
      <w:r>
        <w:rPr>
          <w:spacing w:val="9"/>
          <w:highlight w:val="none"/>
        </w:rPr>
        <w:t>②</w:t>
      </w:r>
      <w:r>
        <w:rPr>
          <w:rFonts w:hint="eastAsia"/>
          <w:spacing w:val="9"/>
          <w:highlight w:val="none"/>
          <w:lang w:eastAsia="zh-CN"/>
        </w:rPr>
        <w:t>法定代表人证明或法定代表人授权委托书签字并加盖公章（自然人投标的无需提供）；</w:t>
      </w:r>
    </w:p>
    <w:p w14:paraId="60C021B9">
      <w:pPr>
        <w:pStyle w:val="26"/>
        <w:keepNext w:val="0"/>
        <w:keepLines w:val="0"/>
        <w:pageBreakBefore w:val="0"/>
        <w:widowControl/>
        <w:kinsoku w:val="0"/>
        <w:wordWrap/>
        <w:overflowPunct/>
        <w:topLinePunct w:val="0"/>
        <w:autoSpaceDE w:val="0"/>
        <w:autoSpaceDN w:val="0"/>
        <w:bidi w:val="0"/>
        <w:adjustRightInd w:val="0"/>
        <w:snapToGrid w:val="0"/>
        <w:spacing w:before="18" w:line="400" w:lineRule="exact"/>
        <w:ind w:right="2"/>
        <w:jc w:val="left"/>
        <w:textAlignment w:val="baseline"/>
        <w:rPr>
          <w:rFonts w:hint="eastAsia"/>
          <w:spacing w:val="8"/>
          <w:highlight w:val="none"/>
        </w:rPr>
      </w:pPr>
      <w:r>
        <w:rPr>
          <w:spacing w:val="4"/>
          <w:highlight w:val="none"/>
        </w:rPr>
        <w:t>③</w:t>
      </w:r>
      <w:r>
        <w:rPr>
          <w:rFonts w:hint="eastAsia"/>
          <w:spacing w:val="8"/>
          <w:highlight w:val="none"/>
        </w:rPr>
        <w:t>提供依法缴纳近6个月任意</w:t>
      </w:r>
      <w:r>
        <w:rPr>
          <w:rFonts w:hint="eastAsia"/>
          <w:spacing w:val="8"/>
          <w:highlight w:val="none"/>
          <w:lang w:val="en-US" w:eastAsia="zh-CN"/>
        </w:rPr>
        <w:t>连续3</w:t>
      </w:r>
      <w:r>
        <w:rPr>
          <w:rFonts w:hint="eastAsia"/>
          <w:spacing w:val="8"/>
          <w:highlight w:val="none"/>
        </w:rPr>
        <w:t>个月缴纳社会保障金的证明材料（</w:t>
      </w:r>
      <w:r>
        <w:rPr>
          <w:rFonts w:hint="eastAsia"/>
          <w:spacing w:val="8"/>
          <w:highlight w:val="none"/>
          <w:lang w:eastAsia="zh-CN"/>
        </w:rPr>
        <w:t>投标人单位的社保缴费凭证及个人明细表，新成立不足三个月的企业提供成立至今的缴纳社会保障金的证明材料</w:t>
      </w:r>
      <w:r>
        <w:rPr>
          <w:rFonts w:hint="eastAsia"/>
          <w:spacing w:val="8"/>
          <w:highlight w:val="none"/>
        </w:rPr>
        <w:t>）；</w:t>
      </w:r>
    </w:p>
    <w:p w14:paraId="0C36779C">
      <w:pPr>
        <w:pStyle w:val="26"/>
        <w:keepNext w:val="0"/>
        <w:keepLines w:val="0"/>
        <w:pageBreakBefore w:val="0"/>
        <w:widowControl/>
        <w:kinsoku w:val="0"/>
        <w:wordWrap/>
        <w:overflowPunct/>
        <w:topLinePunct w:val="0"/>
        <w:autoSpaceDE w:val="0"/>
        <w:autoSpaceDN w:val="0"/>
        <w:bidi w:val="0"/>
        <w:adjustRightInd w:val="0"/>
        <w:snapToGrid w:val="0"/>
        <w:spacing w:before="18" w:line="400" w:lineRule="exact"/>
        <w:ind w:right="2"/>
        <w:jc w:val="left"/>
        <w:textAlignment w:val="baseline"/>
        <w:rPr>
          <w:rFonts w:hint="eastAsia" w:eastAsia="方正仿宋_GBK"/>
          <w:highlight w:val="none"/>
          <w:lang w:eastAsia="zh-CN"/>
        </w:rPr>
      </w:pPr>
      <w:r>
        <w:rPr>
          <w:spacing w:val="13"/>
          <w:highlight w:val="none"/>
        </w:rPr>
        <w:t>④</w:t>
      </w:r>
      <w:r>
        <w:rPr>
          <w:rFonts w:hint="eastAsia"/>
          <w:spacing w:val="2"/>
          <w:highlight w:val="none"/>
          <w:lang w:eastAsia="zh-CN"/>
        </w:rPr>
        <w:t>提供依法缴纳近6个月任意</w:t>
      </w:r>
      <w:r>
        <w:rPr>
          <w:rFonts w:hint="eastAsia"/>
          <w:spacing w:val="2"/>
          <w:highlight w:val="none"/>
          <w:lang w:val="en-US" w:eastAsia="zh-CN"/>
        </w:rPr>
        <w:t>3</w:t>
      </w:r>
      <w:r>
        <w:rPr>
          <w:rFonts w:hint="eastAsia"/>
          <w:spacing w:val="2"/>
          <w:highlight w:val="none"/>
          <w:lang w:eastAsia="zh-CN"/>
        </w:rPr>
        <w:t>个月税收证明（税务部门出具的完税凭证或缴税证明或银行出具的“银行电子缴税付款凭证”）；注：①若为零申报企业，需提供无欠税证明或国家税务总局电子税务局“申报结果查询截图”。②“税种”非社会保险；</w:t>
      </w:r>
    </w:p>
    <w:p w14:paraId="36998AC0">
      <w:pPr>
        <w:pStyle w:val="26"/>
        <w:keepNext w:val="0"/>
        <w:keepLines w:val="0"/>
        <w:pageBreakBefore w:val="0"/>
        <w:widowControl/>
        <w:kinsoku w:val="0"/>
        <w:wordWrap/>
        <w:overflowPunct/>
        <w:topLinePunct w:val="0"/>
        <w:autoSpaceDE w:val="0"/>
        <w:autoSpaceDN w:val="0"/>
        <w:bidi w:val="0"/>
        <w:adjustRightInd w:val="0"/>
        <w:snapToGrid w:val="0"/>
        <w:spacing w:before="18" w:line="400" w:lineRule="exact"/>
        <w:ind w:left="266" w:right="14" w:hanging="249"/>
        <w:jc w:val="left"/>
        <w:textAlignment w:val="baseline"/>
        <w:rPr>
          <w:rFonts w:hint="eastAsia" w:eastAsia="方正仿宋_GBK"/>
          <w:highlight w:val="none"/>
          <w:lang w:eastAsia="zh-CN"/>
        </w:rPr>
      </w:pPr>
      <w:r>
        <w:rPr>
          <w:spacing w:val="8"/>
          <w:highlight w:val="none"/>
        </w:rPr>
        <w:t>⑤</w:t>
      </w:r>
      <w:r>
        <w:rPr>
          <w:rFonts w:hint="eastAsia"/>
          <w:spacing w:val="13"/>
          <w:highlight w:val="none"/>
          <w:lang w:eastAsia="zh-CN"/>
        </w:rPr>
        <w:t>具有良好的商业信誉和健全的财务会计制度的证明材料（2023年度财务审计报告或2024年度财务审计报告，新成立公司提供银行资信证明复印件加盖投标单位公章）；</w:t>
      </w:r>
    </w:p>
    <w:p w14:paraId="33B3516B">
      <w:pPr>
        <w:pStyle w:val="26"/>
        <w:keepNext w:val="0"/>
        <w:keepLines w:val="0"/>
        <w:pageBreakBefore w:val="0"/>
        <w:widowControl/>
        <w:kinsoku w:val="0"/>
        <w:wordWrap/>
        <w:overflowPunct/>
        <w:topLinePunct w:val="0"/>
        <w:autoSpaceDE w:val="0"/>
        <w:autoSpaceDN w:val="0"/>
        <w:bidi w:val="0"/>
        <w:adjustRightInd w:val="0"/>
        <w:snapToGrid w:val="0"/>
        <w:spacing w:before="12" w:line="400" w:lineRule="exact"/>
        <w:ind w:left="17"/>
        <w:textAlignment w:val="baseline"/>
        <w:rPr>
          <w:rFonts w:hint="eastAsia" w:eastAsia="方正仿宋_GBK"/>
          <w:highlight w:val="none"/>
          <w:lang w:eastAsia="zh-CN"/>
        </w:rPr>
      </w:pPr>
      <w:r>
        <w:rPr>
          <w:spacing w:val="7"/>
          <w:highlight w:val="none"/>
        </w:rPr>
        <w:t>⑥</w:t>
      </w:r>
      <w:r>
        <w:rPr>
          <w:rFonts w:hint="eastAsia"/>
          <w:spacing w:val="8"/>
          <w:highlight w:val="none"/>
          <w:lang w:eastAsia="zh-CN"/>
        </w:rPr>
        <w:t>参加政府采购活动前3年内，在经营活动中无重大违法声明；</w:t>
      </w:r>
    </w:p>
    <w:p w14:paraId="4759A211">
      <w:pPr>
        <w:pStyle w:val="26"/>
        <w:keepNext w:val="0"/>
        <w:keepLines w:val="0"/>
        <w:pageBreakBefore w:val="0"/>
        <w:widowControl/>
        <w:kinsoku w:val="0"/>
        <w:wordWrap/>
        <w:overflowPunct/>
        <w:topLinePunct w:val="0"/>
        <w:autoSpaceDE w:val="0"/>
        <w:autoSpaceDN w:val="0"/>
        <w:bidi w:val="0"/>
        <w:adjustRightInd w:val="0"/>
        <w:snapToGrid w:val="0"/>
        <w:spacing w:before="23" w:line="400" w:lineRule="exact"/>
        <w:ind w:left="17"/>
        <w:textAlignment w:val="baseline"/>
        <w:rPr>
          <w:highlight w:val="none"/>
        </w:rPr>
      </w:pPr>
      <w:r>
        <w:rPr>
          <w:spacing w:val="7"/>
          <w:highlight w:val="none"/>
        </w:rPr>
        <w:t>⑦投标人提供针对本项目的《反商业贿赂承诺书》；</w:t>
      </w:r>
    </w:p>
    <w:p w14:paraId="113F67AF">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254" w:hanging="237"/>
        <w:textAlignment w:val="baseline"/>
        <w:rPr>
          <w:highlight w:val="none"/>
        </w:rPr>
      </w:pPr>
      <w:r>
        <w:rPr>
          <w:rFonts w:ascii="方正仿宋_GBK" w:hAnsi="方正仿宋_GBK" w:eastAsia="方正仿宋_GBK" w:cs="方正仿宋_GBK"/>
          <w:snapToGrid w:val="0"/>
          <w:color w:val="000000"/>
          <w:spacing w:val="12"/>
          <w:kern w:val="0"/>
          <w:sz w:val="23"/>
          <w:szCs w:val="23"/>
          <w:highlight w:val="none"/>
          <w:lang w:val="en-US" w:eastAsia="en-US" w:bidi="ar-SA"/>
        </w:rPr>
        <w:t>⑧</w:t>
      </w:r>
      <w:r>
        <w:rPr>
          <w:rFonts w:hint="eastAsia"/>
          <w:highlight w:val="none"/>
        </w:rPr>
        <w:t>根据《财政部关于在政府采购活动中查询及使用信用记录有关问题的通知》（财库﹝2016)125号）的要求，凡拟参加本次项目的投标人，在“信用中国”网站（http://www.creditchina.gov.cn）网站上被列入失信被执行人名单、重大税收违法案件当事人名单；中国政府采购网（http://www.ccgp.gov.cn）网站上被列入政府采购严重违法失信行为记录名单；国家企业信用信息公示系统(http://www.gsxt.gov.cn)查询被列入经营异常名录、严重违法失信名单的投标人将被认定为投标无效；需提供相关网站打印件（加盖响应单位公章、必须为完整版）提供截图日期需在本项目发布公告日期之后；</w:t>
      </w:r>
    </w:p>
    <w:p w14:paraId="08442563">
      <w:pPr>
        <w:pStyle w:val="26"/>
        <w:keepNext w:val="0"/>
        <w:keepLines w:val="0"/>
        <w:pageBreakBefore w:val="0"/>
        <w:widowControl/>
        <w:kinsoku w:val="0"/>
        <w:wordWrap/>
        <w:overflowPunct/>
        <w:topLinePunct w:val="0"/>
        <w:autoSpaceDE w:val="0"/>
        <w:autoSpaceDN w:val="0"/>
        <w:bidi w:val="0"/>
        <w:adjustRightInd w:val="0"/>
        <w:snapToGrid w:val="0"/>
        <w:spacing w:before="1" w:line="400" w:lineRule="exact"/>
        <w:ind w:right="16"/>
        <w:textAlignment w:val="baseline"/>
        <w:rPr>
          <w:rFonts w:hint="eastAsia" w:ascii="仿宋" w:hAnsi="仿宋" w:eastAsia="仿宋" w:cs="仿宋"/>
          <w:spacing w:val="3"/>
          <w:sz w:val="23"/>
          <w:szCs w:val="23"/>
          <w:highlight w:val="none"/>
          <w:lang w:val="en-US" w:eastAsia="zh-CN"/>
        </w:rPr>
      </w:pPr>
      <w:r>
        <w:rPr>
          <w:rFonts w:hint="eastAsia" w:ascii="方正仿宋_GBK" w:hAnsi="方正仿宋_GBK" w:eastAsia="方正仿宋_GBK" w:cs="方正仿宋_GBK"/>
          <w:snapToGrid w:val="0"/>
          <w:color w:val="000000"/>
          <w:spacing w:val="12"/>
          <w:kern w:val="0"/>
          <w:sz w:val="23"/>
          <w:szCs w:val="23"/>
          <w:highlight w:val="none"/>
          <w:lang w:val="en-US" w:eastAsia="zh-CN" w:bidi="ar-SA"/>
        </w:rPr>
        <w:t>⑨</w:t>
      </w:r>
      <w:r>
        <w:rPr>
          <w:rFonts w:ascii="方正仿宋_GBK" w:hAnsi="方正仿宋_GBK" w:eastAsia="方正仿宋_GBK" w:cs="方正仿宋_GBK"/>
          <w:snapToGrid w:val="0"/>
          <w:color w:val="000000"/>
          <w:spacing w:val="12"/>
          <w:kern w:val="0"/>
          <w:sz w:val="23"/>
          <w:szCs w:val="23"/>
          <w:highlight w:val="none"/>
          <w:lang w:val="en-US" w:eastAsia="en-US" w:bidi="ar-SA"/>
        </w:rPr>
        <w:t>缴纳投标保证金（电汇或转账）凭证或保函扫描件</w:t>
      </w:r>
      <w:r>
        <w:rPr>
          <w:rFonts w:hint="eastAsia" w:ascii="仿宋" w:hAnsi="仿宋" w:eastAsia="仿宋" w:cs="仿宋"/>
          <w:spacing w:val="3"/>
          <w:sz w:val="23"/>
          <w:szCs w:val="23"/>
          <w:highlight w:val="none"/>
          <w:lang w:val="en-US" w:eastAsia="zh-CN"/>
        </w:rPr>
        <w:t>。</w:t>
      </w:r>
    </w:p>
    <w:p w14:paraId="5D79031B">
      <w:pPr>
        <w:pStyle w:val="26"/>
        <w:keepNext w:val="0"/>
        <w:keepLines w:val="0"/>
        <w:pageBreakBefore w:val="0"/>
        <w:widowControl/>
        <w:kinsoku w:val="0"/>
        <w:wordWrap/>
        <w:overflowPunct/>
        <w:topLinePunct w:val="0"/>
        <w:autoSpaceDE w:val="0"/>
        <w:autoSpaceDN w:val="0"/>
        <w:bidi w:val="0"/>
        <w:adjustRightInd w:val="0"/>
        <w:snapToGrid w:val="0"/>
        <w:spacing w:before="1" w:line="400" w:lineRule="exact"/>
        <w:ind w:right="16"/>
        <w:textAlignment w:val="baseline"/>
        <w:rPr>
          <w:rFonts w:hint="eastAsia"/>
          <w:spacing w:val="8"/>
          <w:highlight w:val="none"/>
          <w:lang w:val="en-US" w:eastAsia="zh-CN"/>
        </w:rPr>
      </w:pPr>
      <w:r>
        <w:rPr>
          <w:rFonts w:hint="eastAsia"/>
          <w:spacing w:val="8"/>
          <w:highlight w:val="none"/>
          <w:lang w:val="en-US" w:eastAsia="zh-CN"/>
        </w:rPr>
        <w:t>2.落实政府采购政策需满足的资格要求：本项目专门面向中小微企业；</w:t>
      </w:r>
    </w:p>
    <w:p w14:paraId="5B491D80">
      <w:pPr>
        <w:pStyle w:val="26"/>
        <w:keepNext w:val="0"/>
        <w:keepLines w:val="0"/>
        <w:pageBreakBefore w:val="0"/>
        <w:widowControl/>
        <w:kinsoku w:val="0"/>
        <w:wordWrap/>
        <w:overflowPunct/>
        <w:topLinePunct w:val="0"/>
        <w:autoSpaceDE w:val="0"/>
        <w:autoSpaceDN w:val="0"/>
        <w:bidi w:val="0"/>
        <w:adjustRightInd w:val="0"/>
        <w:snapToGrid w:val="0"/>
        <w:spacing w:before="1" w:line="400" w:lineRule="exact"/>
        <w:ind w:right="16"/>
        <w:textAlignment w:val="baseline"/>
        <w:rPr>
          <w:spacing w:val="9"/>
          <w:highlight w:val="none"/>
        </w:rPr>
      </w:pPr>
      <w:r>
        <w:rPr>
          <w:rFonts w:hint="eastAsia"/>
          <w:spacing w:val="8"/>
          <w:highlight w:val="none"/>
          <w:lang w:val="en-US" w:eastAsia="zh-CN"/>
        </w:rPr>
        <w:t>3.本项目的特定资格要求：具有省级部门认定的农民培训资格或者具有主管部门颁发的办学许可证。</w:t>
      </w:r>
    </w:p>
    <w:p w14:paraId="76F653D1">
      <w:pPr>
        <w:keepNext w:val="0"/>
        <w:keepLines w:val="0"/>
        <w:pageBreakBefore w:val="0"/>
        <w:widowControl/>
        <w:kinsoku w:val="0"/>
        <w:wordWrap/>
        <w:overflowPunct/>
        <w:topLinePunct w:val="0"/>
        <w:autoSpaceDE w:val="0"/>
        <w:autoSpaceDN w:val="0"/>
        <w:bidi w:val="0"/>
        <w:adjustRightInd w:val="0"/>
        <w:snapToGrid w:val="0"/>
        <w:spacing w:before="29" w:line="400" w:lineRule="exact"/>
        <w:textAlignment w:val="baseline"/>
        <w:outlineLvl w:val="1"/>
        <w:rPr>
          <w:rFonts w:hint="eastAsia" w:ascii="仿宋" w:hAnsi="仿宋" w:eastAsia="仿宋" w:cs="仿宋"/>
          <w:sz w:val="23"/>
          <w:szCs w:val="23"/>
          <w:highlight w:val="none"/>
          <w:lang w:eastAsia="zh-CN"/>
        </w:rPr>
      </w:pPr>
      <w:r>
        <w:rPr>
          <w:rFonts w:ascii="仿宋" w:hAnsi="仿宋" w:eastAsia="仿宋" w:cs="仿宋"/>
          <w:b/>
          <w:bCs/>
          <w:spacing w:val="5"/>
          <w:sz w:val="23"/>
          <w:szCs w:val="23"/>
          <w:highlight w:val="none"/>
        </w:rPr>
        <w:t>三、获取</w:t>
      </w:r>
      <w:r>
        <w:rPr>
          <w:rFonts w:hint="eastAsia" w:ascii="仿宋" w:hAnsi="仿宋" w:eastAsia="仿宋" w:cs="仿宋"/>
          <w:b/>
          <w:bCs/>
          <w:spacing w:val="5"/>
          <w:sz w:val="23"/>
          <w:szCs w:val="23"/>
          <w:highlight w:val="none"/>
          <w:lang w:eastAsia="zh-CN"/>
        </w:rPr>
        <w:t>投标文件</w:t>
      </w:r>
    </w:p>
    <w:p w14:paraId="5A4205DB">
      <w:pPr>
        <w:keepNext w:val="0"/>
        <w:keepLines w:val="0"/>
        <w:pageBreakBefore w:val="0"/>
        <w:widowControl/>
        <w:kinsoku w:val="0"/>
        <w:wordWrap/>
        <w:overflowPunct/>
        <w:topLinePunct w:val="0"/>
        <w:autoSpaceDE w:val="0"/>
        <w:autoSpaceDN w:val="0"/>
        <w:bidi w:val="0"/>
        <w:adjustRightInd w:val="0"/>
        <w:snapToGrid w:val="0"/>
        <w:spacing w:before="87" w:line="400" w:lineRule="exact"/>
        <w:ind w:left="12" w:right="19" w:firstLine="556"/>
        <w:textAlignment w:val="baseline"/>
        <w:rPr>
          <w:rFonts w:ascii="仿宋" w:hAnsi="仿宋" w:eastAsia="仿宋" w:cs="仿宋"/>
          <w:sz w:val="23"/>
          <w:szCs w:val="23"/>
          <w:highlight w:val="none"/>
        </w:rPr>
      </w:pPr>
      <w:r>
        <w:rPr>
          <w:rFonts w:ascii="仿宋" w:hAnsi="仿宋" w:eastAsia="仿宋" w:cs="仿宋"/>
          <w:spacing w:val="-1"/>
          <w:sz w:val="23"/>
          <w:szCs w:val="23"/>
          <w:highlight w:val="none"/>
        </w:rPr>
        <w:t>时间：</w:t>
      </w:r>
      <w:r>
        <w:rPr>
          <w:rFonts w:hint="eastAsia" w:ascii="仿宋" w:hAnsi="仿宋" w:eastAsia="仿宋" w:cs="仿宋"/>
          <w:spacing w:val="-1"/>
          <w:sz w:val="23"/>
          <w:szCs w:val="23"/>
          <w:highlight w:val="none"/>
          <w:lang w:eastAsia="zh-CN"/>
        </w:rPr>
        <w:t>2025年03月07日至2025年03月14日</w:t>
      </w:r>
      <w:r>
        <w:rPr>
          <w:rFonts w:ascii="仿宋" w:hAnsi="仿宋" w:eastAsia="仿宋" w:cs="仿宋"/>
          <w:spacing w:val="-2"/>
          <w:sz w:val="23"/>
          <w:szCs w:val="23"/>
          <w:highlight w:val="none"/>
        </w:rPr>
        <w:t>，每天上午</w:t>
      </w:r>
      <w:r>
        <w:rPr>
          <w:rFonts w:hint="eastAsia" w:ascii="仿宋" w:hAnsi="仿宋" w:eastAsia="仿宋" w:cs="仿宋"/>
          <w:spacing w:val="-2"/>
          <w:sz w:val="23"/>
          <w:szCs w:val="23"/>
          <w:highlight w:val="none"/>
          <w:lang w:val="en-US" w:eastAsia="zh-CN"/>
        </w:rPr>
        <w:t>1</w:t>
      </w:r>
      <w:r>
        <w:rPr>
          <w:rFonts w:ascii="仿宋" w:hAnsi="仿宋" w:eastAsia="仿宋" w:cs="仿宋"/>
          <w:spacing w:val="-2"/>
          <w:sz w:val="23"/>
          <w:szCs w:val="23"/>
          <w:highlight w:val="none"/>
        </w:rPr>
        <w:t>0:00至1</w:t>
      </w:r>
      <w:r>
        <w:rPr>
          <w:rFonts w:hint="eastAsia" w:ascii="仿宋" w:hAnsi="仿宋" w:eastAsia="仿宋" w:cs="仿宋"/>
          <w:spacing w:val="-2"/>
          <w:sz w:val="23"/>
          <w:szCs w:val="23"/>
          <w:highlight w:val="none"/>
          <w:lang w:val="en-US" w:eastAsia="zh-CN"/>
        </w:rPr>
        <w:t>4</w:t>
      </w:r>
      <w:r>
        <w:rPr>
          <w:rFonts w:ascii="仿宋" w:hAnsi="仿宋" w:eastAsia="仿宋" w:cs="仿宋"/>
          <w:spacing w:val="-2"/>
          <w:sz w:val="23"/>
          <w:szCs w:val="23"/>
          <w:highlight w:val="none"/>
        </w:rPr>
        <w:t>:00，下午1</w:t>
      </w:r>
      <w:r>
        <w:rPr>
          <w:rFonts w:hint="eastAsia" w:ascii="仿宋" w:hAnsi="仿宋" w:eastAsia="仿宋" w:cs="仿宋"/>
          <w:spacing w:val="-2"/>
          <w:sz w:val="23"/>
          <w:szCs w:val="23"/>
          <w:highlight w:val="none"/>
          <w:lang w:val="en-US" w:eastAsia="zh-CN"/>
        </w:rPr>
        <w:t>6</w:t>
      </w:r>
      <w:r>
        <w:rPr>
          <w:rFonts w:ascii="仿宋" w:hAnsi="仿宋" w:eastAsia="仿宋" w:cs="仿宋"/>
          <w:spacing w:val="-2"/>
          <w:sz w:val="23"/>
          <w:szCs w:val="23"/>
          <w:highlight w:val="none"/>
        </w:rPr>
        <w:t>:00</w:t>
      </w:r>
      <w:r>
        <w:rPr>
          <w:rFonts w:ascii="仿宋" w:hAnsi="仿宋" w:eastAsia="仿宋" w:cs="仿宋"/>
          <w:sz w:val="23"/>
          <w:szCs w:val="23"/>
          <w:highlight w:val="none"/>
        </w:rPr>
        <w:t>至2</w:t>
      </w:r>
      <w:r>
        <w:rPr>
          <w:rFonts w:hint="eastAsia" w:ascii="仿宋" w:hAnsi="仿宋" w:eastAsia="仿宋" w:cs="仿宋"/>
          <w:sz w:val="23"/>
          <w:szCs w:val="23"/>
          <w:highlight w:val="none"/>
          <w:lang w:val="en-US" w:eastAsia="zh-CN"/>
        </w:rPr>
        <w:t>0</w:t>
      </w:r>
      <w:r>
        <w:rPr>
          <w:rFonts w:ascii="仿宋" w:hAnsi="仿宋" w:eastAsia="仿宋" w:cs="仿宋"/>
          <w:sz w:val="23"/>
          <w:szCs w:val="23"/>
          <w:highlight w:val="none"/>
        </w:rPr>
        <w:t>:</w:t>
      </w:r>
      <w:r>
        <w:rPr>
          <w:rFonts w:hint="eastAsia" w:ascii="仿宋" w:hAnsi="仿宋" w:eastAsia="仿宋" w:cs="仿宋"/>
          <w:sz w:val="23"/>
          <w:szCs w:val="23"/>
          <w:highlight w:val="none"/>
          <w:lang w:val="en-US" w:eastAsia="zh-CN"/>
        </w:rPr>
        <w:t>00</w:t>
      </w:r>
      <w:r>
        <w:rPr>
          <w:rFonts w:ascii="仿宋" w:hAnsi="仿宋" w:eastAsia="仿宋" w:cs="仿宋"/>
          <w:sz w:val="23"/>
          <w:szCs w:val="23"/>
          <w:highlight w:val="none"/>
        </w:rPr>
        <w:t>（北京时间，法定节假日除外）</w:t>
      </w:r>
    </w:p>
    <w:p w14:paraId="0A290149">
      <w:pPr>
        <w:keepNext w:val="0"/>
        <w:keepLines w:val="0"/>
        <w:pageBreakBefore w:val="0"/>
        <w:widowControl/>
        <w:kinsoku w:val="0"/>
        <w:wordWrap/>
        <w:overflowPunct/>
        <w:topLinePunct w:val="0"/>
        <w:autoSpaceDE w:val="0"/>
        <w:autoSpaceDN w:val="0"/>
        <w:bidi w:val="0"/>
        <w:adjustRightInd w:val="0"/>
        <w:snapToGrid w:val="0"/>
        <w:spacing w:before="40" w:line="400" w:lineRule="exact"/>
        <w:ind w:left="672"/>
        <w:textAlignment w:val="baseline"/>
        <w:outlineLvl w:val="0"/>
        <w:rPr>
          <w:rFonts w:ascii="仿宋" w:hAnsi="仿宋" w:eastAsia="仿宋" w:cs="仿宋"/>
          <w:sz w:val="23"/>
          <w:szCs w:val="23"/>
          <w:highlight w:val="none"/>
        </w:rPr>
      </w:pPr>
      <w:r>
        <w:rPr>
          <w:rFonts w:ascii="仿宋" w:hAnsi="仿宋" w:eastAsia="仿宋" w:cs="仿宋"/>
          <w:spacing w:val="8"/>
          <w:sz w:val="23"/>
          <w:szCs w:val="23"/>
          <w:highlight w:val="none"/>
        </w:rPr>
        <w:t>地点：政采云平台线上</w:t>
      </w:r>
    </w:p>
    <w:p w14:paraId="7B6B5B60">
      <w:pPr>
        <w:keepNext w:val="0"/>
        <w:keepLines w:val="0"/>
        <w:pageBreakBefore w:val="0"/>
        <w:widowControl/>
        <w:kinsoku w:val="0"/>
        <w:wordWrap/>
        <w:overflowPunct/>
        <w:topLinePunct w:val="0"/>
        <w:autoSpaceDE w:val="0"/>
        <w:autoSpaceDN w:val="0"/>
        <w:bidi w:val="0"/>
        <w:adjustRightInd w:val="0"/>
        <w:snapToGrid w:val="0"/>
        <w:spacing w:before="95" w:line="400" w:lineRule="exact"/>
        <w:ind w:left="5" w:firstLine="671"/>
        <w:jc w:val="both"/>
        <w:textAlignment w:val="baseline"/>
        <w:rPr>
          <w:rFonts w:ascii="仿宋" w:hAnsi="仿宋" w:eastAsia="仿宋" w:cs="仿宋"/>
          <w:sz w:val="23"/>
          <w:szCs w:val="23"/>
          <w:highlight w:val="none"/>
        </w:rPr>
      </w:pPr>
      <w:r>
        <w:rPr>
          <w:rFonts w:ascii="仿宋" w:hAnsi="仿宋" w:eastAsia="仿宋" w:cs="仿宋"/>
          <w:spacing w:val="2"/>
          <w:sz w:val="23"/>
          <w:szCs w:val="23"/>
          <w:highlight w:val="none"/>
        </w:rPr>
        <w:t>方式：供应商登录政采云平台</w:t>
      </w:r>
      <w:r>
        <w:rPr>
          <w:highlight w:val="none"/>
        </w:rPr>
        <w:fldChar w:fldCharType="begin"/>
      </w:r>
      <w:r>
        <w:rPr>
          <w:highlight w:val="none"/>
        </w:rPr>
        <w:instrText xml:space="preserve"> HYPERLINK "https://www.zcygov.cn/" </w:instrText>
      </w:r>
      <w:r>
        <w:rPr>
          <w:highlight w:val="none"/>
        </w:rPr>
        <w:fldChar w:fldCharType="separate"/>
      </w:r>
      <w:r>
        <w:rPr>
          <w:rFonts w:ascii="仿宋" w:hAnsi="仿宋" w:eastAsia="仿宋" w:cs="仿宋"/>
          <w:sz w:val="23"/>
          <w:szCs w:val="23"/>
          <w:highlight w:val="none"/>
        </w:rPr>
        <w:t>https</w:t>
      </w:r>
      <w:r>
        <w:rPr>
          <w:rFonts w:ascii="仿宋" w:hAnsi="仿宋" w:eastAsia="仿宋" w:cs="仿宋"/>
          <w:spacing w:val="2"/>
          <w:sz w:val="23"/>
          <w:szCs w:val="23"/>
          <w:highlight w:val="none"/>
        </w:rPr>
        <w:t>://</w:t>
      </w:r>
      <w:r>
        <w:rPr>
          <w:rFonts w:ascii="仿宋" w:hAnsi="仿宋" w:eastAsia="仿宋" w:cs="仿宋"/>
          <w:sz w:val="23"/>
          <w:szCs w:val="23"/>
          <w:highlight w:val="none"/>
        </w:rPr>
        <w:t>www</w:t>
      </w:r>
      <w:r>
        <w:rPr>
          <w:rFonts w:ascii="仿宋" w:hAnsi="仿宋" w:eastAsia="仿宋" w:cs="仿宋"/>
          <w:spacing w:val="2"/>
          <w:sz w:val="23"/>
          <w:szCs w:val="23"/>
          <w:highlight w:val="none"/>
        </w:rPr>
        <w:t>.</w:t>
      </w:r>
      <w:r>
        <w:rPr>
          <w:rFonts w:ascii="仿宋" w:hAnsi="仿宋" w:eastAsia="仿宋" w:cs="仿宋"/>
          <w:sz w:val="23"/>
          <w:szCs w:val="23"/>
          <w:highlight w:val="none"/>
        </w:rPr>
        <w:t>zcygov</w:t>
      </w:r>
      <w:r>
        <w:rPr>
          <w:rFonts w:ascii="仿宋" w:hAnsi="仿宋" w:eastAsia="仿宋" w:cs="仿宋"/>
          <w:spacing w:val="2"/>
          <w:sz w:val="23"/>
          <w:szCs w:val="23"/>
          <w:highlight w:val="none"/>
        </w:rPr>
        <w:t>.</w:t>
      </w:r>
      <w:r>
        <w:rPr>
          <w:rFonts w:ascii="仿宋" w:hAnsi="仿宋" w:eastAsia="仿宋" w:cs="仿宋"/>
          <w:sz w:val="23"/>
          <w:szCs w:val="23"/>
          <w:highlight w:val="none"/>
        </w:rPr>
        <w:t>cn</w:t>
      </w:r>
      <w:r>
        <w:rPr>
          <w:rFonts w:ascii="仿宋" w:hAnsi="仿宋" w:eastAsia="仿宋" w:cs="仿宋"/>
          <w:spacing w:val="2"/>
          <w:sz w:val="23"/>
          <w:szCs w:val="23"/>
          <w:highlight w:val="none"/>
        </w:rPr>
        <w:t>/</w:t>
      </w:r>
      <w:r>
        <w:rPr>
          <w:rFonts w:ascii="仿宋" w:hAnsi="仿宋" w:eastAsia="仿宋" w:cs="仿宋"/>
          <w:spacing w:val="2"/>
          <w:sz w:val="23"/>
          <w:szCs w:val="23"/>
          <w:highlight w:val="none"/>
        </w:rPr>
        <w:fldChar w:fldCharType="end"/>
      </w:r>
      <w:r>
        <w:rPr>
          <w:rFonts w:ascii="仿宋" w:hAnsi="仿宋" w:eastAsia="仿宋" w:cs="仿宋"/>
          <w:spacing w:val="2"/>
          <w:sz w:val="23"/>
          <w:szCs w:val="23"/>
          <w:highlight w:val="none"/>
        </w:rPr>
        <w:t>在线申请获取采购文件（进入“项</w:t>
      </w:r>
      <w:r>
        <w:rPr>
          <w:rFonts w:ascii="仿宋" w:hAnsi="仿宋" w:eastAsia="仿宋" w:cs="仿宋"/>
          <w:spacing w:val="7"/>
          <w:sz w:val="23"/>
          <w:szCs w:val="23"/>
          <w:highlight w:val="none"/>
        </w:rPr>
        <w:t>目采购”应用，在获取采购文件菜单中选择项目，申请获取采购文件</w:t>
      </w:r>
      <w:r>
        <w:rPr>
          <w:rFonts w:ascii="仿宋" w:hAnsi="仿宋" w:eastAsia="仿宋" w:cs="仿宋"/>
          <w:sz w:val="23"/>
          <w:szCs w:val="23"/>
          <w:highlight w:val="none"/>
        </w:rPr>
        <w:t>），</w:t>
      </w:r>
      <w:r>
        <w:rPr>
          <w:rFonts w:ascii="仿宋" w:hAnsi="仿宋" w:eastAsia="仿宋" w:cs="仿宋"/>
          <w:spacing w:val="7"/>
          <w:sz w:val="23"/>
          <w:szCs w:val="23"/>
          <w:highlight w:val="none"/>
        </w:rPr>
        <w:t>或</w:t>
      </w:r>
      <w:r>
        <w:rPr>
          <w:rFonts w:ascii="仿宋" w:hAnsi="仿宋" w:eastAsia="仿宋" w:cs="仿宋"/>
          <w:spacing w:val="6"/>
          <w:sz w:val="23"/>
          <w:szCs w:val="23"/>
          <w:highlight w:val="none"/>
        </w:rPr>
        <w:t>者点击采购公告底</w:t>
      </w:r>
      <w:r>
        <w:rPr>
          <w:rFonts w:ascii="仿宋" w:hAnsi="仿宋" w:eastAsia="仿宋" w:cs="仿宋"/>
          <w:spacing w:val="7"/>
          <w:sz w:val="23"/>
          <w:szCs w:val="23"/>
          <w:highlight w:val="none"/>
        </w:rPr>
        <w:t>部潜在供应商“获取采购文件”，页面跳转后登陆，直接获取采购文件。</w:t>
      </w:r>
    </w:p>
    <w:p w14:paraId="5BCDDA33">
      <w:pPr>
        <w:keepNext w:val="0"/>
        <w:keepLines w:val="0"/>
        <w:pageBreakBefore w:val="0"/>
        <w:widowControl/>
        <w:kinsoku w:val="0"/>
        <w:wordWrap/>
        <w:overflowPunct/>
        <w:topLinePunct w:val="0"/>
        <w:autoSpaceDE w:val="0"/>
        <w:autoSpaceDN w:val="0"/>
        <w:bidi w:val="0"/>
        <w:adjustRightInd w:val="0"/>
        <w:snapToGrid w:val="0"/>
        <w:spacing w:before="43" w:line="400" w:lineRule="exact"/>
        <w:ind w:left="684"/>
        <w:textAlignment w:val="baseline"/>
        <w:rPr>
          <w:rFonts w:ascii="仿宋" w:hAnsi="仿宋" w:eastAsia="仿宋" w:cs="仿宋"/>
          <w:sz w:val="23"/>
          <w:szCs w:val="23"/>
          <w:highlight w:val="none"/>
        </w:rPr>
      </w:pPr>
      <w:r>
        <w:rPr>
          <w:rFonts w:ascii="仿宋" w:hAnsi="仿宋" w:eastAsia="仿宋" w:cs="仿宋"/>
          <w:sz w:val="23"/>
          <w:szCs w:val="23"/>
          <w:highlight w:val="none"/>
        </w:rPr>
        <w:t>售价（元）：0</w:t>
      </w:r>
    </w:p>
    <w:p w14:paraId="2FB59388">
      <w:pPr>
        <w:keepNext w:val="0"/>
        <w:keepLines w:val="0"/>
        <w:pageBreakBefore w:val="0"/>
        <w:widowControl/>
        <w:kinsoku w:val="0"/>
        <w:wordWrap/>
        <w:overflowPunct/>
        <w:topLinePunct w:val="0"/>
        <w:autoSpaceDE w:val="0"/>
        <w:autoSpaceDN w:val="0"/>
        <w:bidi w:val="0"/>
        <w:adjustRightInd w:val="0"/>
        <w:snapToGrid w:val="0"/>
        <w:spacing w:before="96" w:line="400" w:lineRule="exact"/>
        <w:ind w:left="32"/>
        <w:textAlignment w:val="baseline"/>
        <w:outlineLvl w:val="1"/>
        <w:rPr>
          <w:rFonts w:ascii="仿宋" w:hAnsi="仿宋" w:eastAsia="仿宋" w:cs="仿宋"/>
          <w:sz w:val="23"/>
          <w:szCs w:val="23"/>
          <w:highlight w:val="none"/>
        </w:rPr>
      </w:pPr>
      <w:r>
        <w:rPr>
          <w:rFonts w:ascii="仿宋" w:hAnsi="仿宋" w:eastAsia="仿宋" w:cs="仿宋"/>
          <w:b/>
          <w:bCs/>
          <w:spacing w:val="6"/>
          <w:sz w:val="23"/>
          <w:szCs w:val="23"/>
          <w:highlight w:val="none"/>
        </w:rPr>
        <w:t>四、提交响应文件截止时间、开标时间和地点</w:t>
      </w:r>
    </w:p>
    <w:p w14:paraId="23BDA6DF">
      <w:pPr>
        <w:keepNext w:val="0"/>
        <w:keepLines w:val="0"/>
        <w:pageBreakBefore w:val="0"/>
        <w:widowControl/>
        <w:kinsoku w:val="0"/>
        <w:wordWrap/>
        <w:overflowPunct/>
        <w:topLinePunct w:val="0"/>
        <w:autoSpaceDE w:val="0"/>
        <w:autoSpaceDN w:val="0"/>
        <w:bidi w:val="0"/>
        <w:adjustRightInd w:val="0"/>
        <w:snapToGrid w:val="0"/>
        <w:spacing w:before="91" w:line="400" w:lineRule="exact"/>
        <w:ind w:left="501"/>
        <w:textAlignment w:val="baseline"/>
        <w:rPr>
          <w:rFonts w:ascii="仿宋" w:hAnsi="仿宋" w:eastAsia="仿宋" w:cs="仿宋"/>
          <w:sz w:val="23"/>
          <w:szCs w:val="23"/>
          <w:highlight w:val="none"/>
        </w:rPr>
      </w:pPr>
      <w:r>
        <w:rPr>
          <w:rFonts w:ascii="仿宋" w:hAnsi="仿宋" w:eastAsia="仿宋" w:cs="仿宋"/>
          <w:spacing w:val="-3"/>
          <w:sz w:val="23"/>
          <w:szCs w:val="23"/>
          <w:highlight w:val="none"/>
        </w:rPr>
        <w:t>时间：</w:t>
      </w:r>
      <w:r>
        <w:rPr>
          <w:rFonts w:hint="eastAsia" w:ascii="仿宋" w:hAnsi="仿宋" w:eastAsia="仿宋" w:cs="仿宋"/>
          <w:spacing w:val="-3"/>
          <w:sz w:val="23"/>
          <w:szCs w:val="23"/>
          <w:highlight w:val="none"/>
          <w:u w:val="single" w:color="auto"/>
          <w:lang w:eastAsia="zh-CN"/>
        </w:rPr>
        <w:t>2025年03月27日12时00分</w:t>
      </w:r>
      <w:r>
        <w:rPr>
          <w:rFonts w:ascii="仿宋" w:hAnsi="仿宋" w:eastAsia="仿宋" w:cs="仿宋"/>
          <w:spacing w:val="-4"/>
          <w:sz w:val="23"/>
          <w:szCs w:val="23"/>
          <w:highlight w:val="none"/>
        </w:rPr>
        <w:t>（北京时间）</w:t>
      </w:r>
    </w:p>
    <w:p w14:paraId="5192F1B6">
      <w:pPr>
        <w:keepNext w:val="0"/>
        <w:keepLines w:val="0"/>
        <w:pageBreakBefore w:val="0"/>
        <w:widowControl/>
        <w:kinsoku w:val="0"/>
        <w:wordWrap/>
        <w:overflowPunct/>
        <w:topLinePunct w:val="0"/>
        <w:autoSpaceDE w:val="0"/>
        <w:autoSpaceDN w:val="0"/>
        <w:bidi w:val="0"/>
        <w:adjustRightInd w:val="0"/>
        <w:snapToGrid w:val="0"/>
        <w:spacing w:before="93" w:line="400" w:lineRule="exact"/>
        <w:ind w:left="485"/>
        <w:textAlignment w:val="baseline"/>
        <w:rPr>
          <w:rFonts w:ascii="仿宋" w:hAnsi="仿宋" w:eastAsia="仿宋" w:cs="仿宋"/>
          <w:sz w:val="23"/>
          <w:szCs w:val="23"/>
          <w:highlight w:val="none"/>
        </w:rPr>
      </w:pPr>
      <w:r>
        <w:rPr>
          <w:rFonts w:ascii="仿宋" w:hAnsi="仿宋" w:eastAsia="仿宋" w:cs="仿宋"/>
          <w:spacing w:val="8"/>
          <w:sz w:val="23"/>
          <w:szCs w:val="23"/>
          <w:highlight w:val="none"/>
        </w:rPr>
        <w:t>地点</w:t>
      </w:r>
      <w:r>
        <w:rPr>
          <w:rFonts w:ascii="仿宋" w:hAnsi="仿宋" w:eastAsia="仿宋" w:cs="仿宋"/>
          <w:spacing w:val="20"/>
          <w:sz w:val="23"/>
          <w:szCs w:val="23"/>
          <w:highlight w:val="none"/>
        </w:rPr>
        <w:t>：（</w:t>
      </w:r>
      <w:r>
        <w:rPr>
          <w:highlight w:val="none"/>
        </w:rPr>
        <w:fldChar w:fldCharType="begin"/>
      </w:r>
      <w:r>
        <w:rPr>
          <w:highlight w:val="none"/>
        </w:rPr>
        <w:instrText xml:space="preserve"> HYPERLINK "https://www.zcygov.cn" </w:instrText>
      </w:r>
      <w:r>
        <w:rPr>
          <w:highlight w:val="none"/>
        </w:rPr>
        <w:fldChar w:fldCharType="separate"/>
      </w:r>
      <w:r>
        <w:rPr>
          <w:rFonts w:ascii="仿宋" w:hAnsi="仿宋" w:eastAsia="仿宋" w:cs="仿宋"/>
          <w:sz w:val="23"/>
          <w:szCs w:val="23"/>
          <w:highlight w:val="none"/>
        </w:rPr>
        <w:t>https</w:t>
      </w:r>
      <w:r>
        <w:rPr>
          <w:rFonts w:ascii="仿宋" w:hAnsi="仿宋" w:eastAsia="仿宋" w:cs="仿宋"/>
          <w:spacing w:val="8"/>
          <w:sz w:val="23"/>
          <w:szCs w:val="23"/>
          <w:highlight w:val="none"/>
        </w:rPr>
        <w:t>://</w:t>
      </w:r>
      <w:r>
        <w:rPr>
          <w:rFonts w:ascii="仿宋" w:hAnsi="仿宋" w:eastAsia="仿宋" w:cs="仿宋"/>
          <w:sz w:val="23"/>
          <w:szCs w:val="23"/>
          <w:highlight w:val="none"/>
        </w:rPr>
        <w:t>www</w:t>
      </w:r>
      <w:r>
        <w:rPr>
          <w:rFonts w:ascii="仿宋" w:hAnsi="仿宋" w:eastAsia="仿宋" w:cs="仿宋"/>
          <w:spacing w:val="8"/>
          <w:sz w:val="23"/>
          <w:szCs w:val="23"/>
          <w:highlight w:val="none"/>
        </w:rPr>
        <w:t>.</w:t>
      </w:r>
      <w:r>
        <w:rPr>
          <w:rFonts w:ascii="仿宋" w:hAnsi="仿宋" w:eastAsia="仿宋" w:cs="仿宋"/>
          <w:sz w:val="23"/>
          <w:szCs w:val="23"/>
          <w:highlight w:val="none"/>
        </w:rPr>
        <w:t>zcygov</w:t>
      </w:r>
      <w:r>
        <w:rPr>
          <w:rFonts w:ascii="仿宋" w:hAnsi="仿宋" w:eastAsia="仿宋" w:cs="仿宋"/>
          <w:spacing w:val="8"/>
          <w:sz w:val="23"/>
          <w:szCs w:val="23"/>
          <w:highlight w:val="none"/>
        </w:rPr>
        <w:t>.</w:t>
      </w:r>
      <w:r>
        <w:rPr>
          <w:rFonts w:ascii="仿宋" w:hAnsi="仿宋" w:eastAsia="仿宋" w:cs="仿宋"/>
          <w:sz w:val="23"/>
          <w:szCs w:val="23"/>
          <w:highlight w:val="none"/>
        </w:rPr>
        <w:t>cn</w:t>
      </w:r>
      <w:r>
        <w:rPr>
          <w:rFonts w:ascii="仿宋" w:hAnsi="仿宋" w:eastAsia="仿宋" w:cs="仿宋"/>
          <w:sz w:val="23"/>
          <w:szCs w:val="23"/>
          <w:highlight w:val="none"/>
        </w:rPr>
        <w:fldChar w:fldCharType="end"/>
      </w:r>
      <w:r>
        <w:rPr>
          <w:rFonts w:ascii="仿宋" w:hAnsi="仿宋" w:eastAsia="仿宋" w:cs="仿宋"/>
          <w:spacing w:val="8"/>
          <w:sz w:val="23"/>
          <w:szCs w:val="23"/>
          <w:highlight w:val="none"/>
        </w:rPr>
        <w:t>在线投标）</w:t>
      </w:r>
    </w:p>
    <w:p w14:paraId="27BB3DFD">
      <w:pPr>
        <w:keepNext w:val="0"/>
        <w:keepLines w:val="0"/>
        <w:pageBreakBefore w:val="0"/>
        <w:widowControl/>
        <w:kinsoku w:val="0"/>
        <w:wordWrap/>
        <w:overflowPunct/>
        <w:topLinePunct w:val="0"/>
        <w:autoSpaceDE w:val="0"/>
        <w:autoSpaceDN w:val="0"/>
        <w:bidi w:val="0"/>
        <w:adjustRightInd w:val="0"/>
        <w:snapToGrid w:val="0"/>
        <w:spacing w:before="103" w:line="400" w:lineRule="exact"/>
        <w:ind w:left="8"/>
        <w:textAlignment w:val="baseline"/>
        <w:outlineLvl w:val="1"/>
        <w:rPr>
          <w:rFonts w:ascii="仿宋" w:hAnsi="仿宋" w:eastAsia="仿宋" w:cs="仿宋"/>
          <w:sz w:val="23"/>
          <w:szCs w:val="23"/>
          <w:highlight w:val="none"/>
        </w:rPr>
      </w:pPr>
      <w:r>
        <w:rPr>
          <w:rFonts w:ascii="仿宋" w:hAnsi="仿宋" w:eastAsia="仿宋" w:cs="仿宋"/>
          <w:b/>
          <w:bCs/>
          <w:spacing w:val="5"/>
          <w:sz w:val="23"/>
          <w:szCs w:val="23"/>
          <w:highlight w:val="none"/>
        </w:rPr>
        <w:t>五、公告期限</w:t>
      </w:r>
    </w:p>
    <w:p w14:paraId="2BA6AC04">
      <w:pPr>
        <w:keepNext w:val="0"/>
        <w:keepLines w:val="0"/>
        <w:pageBreakBefore w:val="0"/>
        <w:widowControl/>
        <w:kinsoku w:val="0"/>
        <w:wordWrap/>
        <w:overflowPunct/>
        <w:topLinePunct w:val="0"/>
        <w:autoSpaceDE w:val="0"/>
        <w:autoSpaceDN w:val="0"/>
        <w:bidi w:val="0"/>
        <w:adjustRightInd w:val="0"/>
        <w:snapToGrid w:val="0"/>
        <w:spacing w:before="92" w:line="400" w:lineRule="exact"/>
        <w:ind w:left="529"/>
        <w:textAlignment w:val="baseline"/>
        <w:rPr>
          <w:rFonts w:ascii="仿宋" w:hAnsi="仿宋" w:eastAsia="仿宋" w:cs="仿宋"/>
          <w:sz w:val="23"/>
          <w:szCs w:val="23"/>
          <w:highlight w:val="none"/>
        </w:rPr>
      </w:pPr>
      <w:r>
        <w:rPr>
          <w:rFonts w:ascii="仿宋" w:hAnsi="仿宋" w:eastAsia="仿宋" w:cs="仿宋"/>
          <w:spacing w:val="1"/>
          <w:sz w:val="23"/>
          <w:szCs w:val="23"/>
          <w:highlight w:val="none"/>
        </w:rPr>
        <w:t>自本公告发布之日起5个工作日。</w:t>
      </w:r>
    </w:p>
    <w:p w14:paraId="24947FFB">
      <w:pPr>
        <w:keepNext w:val="0"/>
        <w:keepLines w:val="0"/>
        <w:pageBreakBefore w:val="0"/>
        <w:widowControl/>
        <w:kinsoku w:val="0"/>
        <w:wordWrap/>
        <w:overflowPunct/>
        <w:topLinePunct w:val="0"/>
        <w:autoSpaceDE w:val="0"/>
        <w:autoSpaceDN w:val="0"/>
        <w:bidi w:val="0"/>
        <w:adjustRightInd w:val="0"/>
        <w:snapToGrid w:val="0"/>
        <w:spacing w:before="95" w:line="400" w:lineRule="exact"/>
        <w:ind w:left="6"/>
        <w:textAlignment w:val="baseline"/>
        <w:outlineLvl w:val="1"/>
        <w:rPr>
          <w:rFonts w:ascii="仿宋" w:hAnsi="仿宋" w:eastAsia="仿宋" w:cs="仿宋"/>
          <w:sz w:val="23"/>
          <w:szCs w:val="23"/>
          <w:highlight w:val="none"/>
        </w:rPr>
      </w:pPr>
      <w:r>
        <w:rPr>
          <w:rFonts w:ascii="仿宋" w:hAnsi="仿宋" w:eastAsia="仿宋" w:cs="仿宋"/>
          <w:b/>
          <w:bCs/>
          <w:spacing w:val="6"/>
          <w:sz w:val="23"/>
          <w:szCs w:val="23"/>
          <w:highlight w:val="none"/>
        </w:rPr>
        <w:t>六、其他补充事宜</w:t>
      </w:r>
    </w:p>
    <w:p w14:paraId="02D9A055">
      <w:pPr>
        <w:keepNext w:val="0"/>
        <w:keepLines w:val="0"/>
        <w:pageBreakBefore w:val="0"/>
        <w:widowControl/>
        <w:kinsoku w:val="0"/>
        <w:wordWrap/>
        <w:overflowPunct/>
        <w:topLinePunct w:val="0"/>
        <w:autoSpaceDE w:val="0"/>
        <w:autoSpaceDN w:val="0"/>
        <w:bidi w:val="0"/>
        <w:adjustRightInd w:val="0"/>
        <w:snapToGrid w:val="0"/>
        <w:spacing w:before="95" w:line="400" w:lineRule="exact"/>
        <w:ind w:left="487"/>
        <w:textAlignment w:val="baseline"/>
        <w:rPr>
          <w:rFonts w:hint="eastAsia" w:ascii="仿宋" w:hAnsi="仿宋" w:eastAsia="仿宋" w:cs="仿宋"/>
          <w:spacing w:val="7"/>
          <w:sz w:val="23"/>
          <w:szCs w:val="23"/>
          <w:highlight w:val="none"/>
        </w:rPr>
      </w:pPr>
      <w:r>
        <w:rPr>
          <w:rFonts w:hint="eastAsia" w:ascii="仿宋" w:hAnsi="仿宋" w:eastAsia="仿宋" w:cs="仿宋"/>
          <w:spacing w:val="7"/>
          <w:sz w:val="23"/>
          <w:szCs w:val="23"/>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6293CE26">
      <w:pPr>
        <w:keepNext w:val="0"/>
        <w:keepLines w:val="0"/>
        <w:pageBreakBefore w:val="0"/>
        <w:widowControl/>
        <w:kinsoku w:val="0"/>
        <w:wordWrap/>
        <w:overflowPunct/>
        <w:topLinePunct w:val="0"/>
        <w:autoSpaceDE w:val="0"/>
        <w:autoSpaceDN w:val="0"/>
        <w:bidi w:val="0"/>
        <w:adjustRightInd w:val="0"/>
        <w:snapToGrid w:val="0"/>
        <w:spacing w:before="95" w:line="400" w:lineRule="exact"/>
        <w:ind w:left="487"/>
        <w:textAlignment w:val="baseline"/>
        <w:rPr>
          <w:rFonts w:hint="eastAsia" w:ascii="仿宋" w:hAnsi="仿宋" w:eastAsia="仿宋" w:cs="仿宋"/>
          <w:spacing w:val="7"/>
          <w:sz w:val="23"/>
          <w:szCs w:val="23"/>
          <w:highlight w:val="none"/>
        </w:rPr>
      </w:pPr>
      <w:r>
        <w:rPr>
          <w:rFonts w:hint="eastAsia" w:ascii="仿宋" w:hAnsi="仿宋" w:eastAsia="仿宋" w:cs="仿宋"/>
          <w:spacing w:val="7"/>
          <w:sz w:val="23"/>
          <w:szCs w:val="23"/>
          <w:highlight w:val="none"/>
        </w:rPr>
        <w:t>2.本项目实行网上投标，采用电子响应文件(供应商须使用CA加密设备通过政采云电子投标客户端制作响应文件)。若供应商参与投标，自行承担投标一切费用。</w:t>
      </w:r>
    </w:p>
    <w:p w14:paraId="392B92EE">
      <w:pPr>
        <w:keepNext w:val="0"/>
        <w:keepLines w:val="0"/>
        <w:pageBreakBefore w:val="0"/>
        <w:widowControl/>
        <w:kinsoku w:val="0"/>
        <w:wordWrap/>
        <w:overflowPunct/>
        <w:topLinePunct w:val="0"/>
        <w:autoSpaceDE w:val="0"/>
        <w:autoSpaceDN w:val="0"/>
        <w:bidi w:val="0"/>
        <w:adjustRightInd w:val="0"/>
        <w:snapToGrid w:val="0"/>
        <w:spacing w:before="95" w:line="400" w:lineRule="exact"/>
        <w:ind w:left="487"/>
        <w:textAlignment w:val="baseline"/>
        <w:rPr>
          <w:rFonts w:hint="eastAsia" w:ascii="仿宋" w:hAnsi="仿宋" w:eastAsia="仿宋" w:cs="仿宋"/>
          <w:spacing w:val="7"/>
          <w:sz w:val="23"/>
          <w:szCs w:val="23"/>
          <w:highlight w:val="none"/>
        </w:rPr>
      </w:pPr>
      <w:r>
        <w:rPr>
          <w:rFonts w:hint="eastAsia" w:ascii="仿宋" w:hAnsi="仿宋" w:eastAsia="仿宋" w:cs="仿宋"/>
          <w:spacing w:val="7"/>
          <w:sz w:val="23"/>
          <w:szCs w:val="23"/>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2BD11497">
      <w:pPr>
        <w:keepNext w:val="0"/>
        <w:keepLines w:val="0"/>
        <w:pageBreakBefore w:val="0"/>
        <w:widowControl/>
        <w:kinsoku w:val="0"/>
        <w:wordWrap/>
        <w:overflowPunct/>
        <w:topLinePunct w:val="0"/>
        <w:autoSpaceDE w:val="0"/>
        <w:autoSpaceDN w:val="0"/>
        <w:bidi w:val="0"/>
        <w:adjustRightInd w:val="0"/>
        <w:snapToGrid w:val="0"/>
        <w:spacing w:before="95" w:line="400" w:lineRule="exact"/>
        <w:ind w:left="487"/>
        <w:textAlignment w:val="baseline"/>
        <w:rPr>
          <w:rFonts w:hint="eastAsia" w:ascii="仿宋" w:hAnsi="仿宋" w:eastAsia="仿宋" w:cs="仿宋"/>
          <w:spacing w:val="7"/>
          <w:sz w:val="23"/>
          <w:szCs w:val="23"/>
          <w:highlight w:val="none"/>
        </w:rPr>
      </w:pPr>
      <w:r>
        <w:rPr>
          <w:rFonts w:hint="eastAsia" w:ascii="仿宋" w:hAnsi="仿宋" w:eastAsia="仿宋" w:cs="仿宋"/>
          <w:spacing w:val="7"/>
          <w:sz w:val="23"/>
          <w:szCs w:val="23"/>
          <w:highlight w:val="none"/>
        </w:rPr>
        <w:t>4.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400-881-7190进行咨询。</w:t>
      </w:r>
    </w:p>
    <w:p w14:paraId="0F055C63">
      <w:pPr>
        <w:keepNext w:val="0"/>
        <w:keepLines w:val="0"/>
        <w:pageBreakBefore w:val="0"/>
        <w:widowControl/>
        <w:kinsoku w:val="0"/>
        <w:wordWrap/>
        <w:overflowPunct/>
        <w:topLinePunct w:val="0"/>
        <w:autoSpaceDE w:val="0"/>
        <w:autoSpaceDN w:val="0"/>
        <w:bidi w:val="0"/>
        <w:adjustRightInd w:val="0"/>
        <w:snapToGrid w:val="0"/>
        <w:spacing w:before="95" w:line="400" w:lineRule="exact"/>
        <w:ind w:left="487"/>
        <w:textAlignment w:val="baseline"/>
        <w:rPr>
          <w:rFonts w:ascii="仿宋" w:hAnsi="仿宋" w:eastAsia="仿宋" w:cs="仿宋"/>
          <w:spacing w:val="7"/>
          <w:sz w:val="23"/>
          <w:szCs w:val="23"/>
          <w:highlight w:val="none"/>
        </w:rPr>
      </w:pPr>
      <w:r>
        <w:rPr>
          <w:rFonts w:hint="eastAsia" w:ascii="仿宋" w:hAnsi="仿宋" w:eastAsia="仿宋" w:cs="仿宋"/>
          <w:spacing w:val="7"/>
          <w:sz w:val="23"/>
          <w:szCs w:val="23"/>
          <w:highlight w:val="none"/>
        </w:rPr>
        <w:t>5.供应商在开标时须使用制作加密电子响应文件所使用的CA锁及电脑，电脑须提前配置好浏览器（建议使用谷歌浏览器或360浏览器），以便开标时解锁</w:t>
      </w:r>
      <w:r>
        <w:rPr>
          <w:rFonts w:ascii="仿宋" w:hAnsi="仿宋" w:eastAsia="仿宋" w:cs="仿宋"/>
          <w:spacing w:val="7"/>
          <w:sz w:val="23"/>
          <w:szCs w:val="23"/>
          <w:highlight w:val="none"/>
        </w:rPr>
        <w:t>。</w:t>
      </w:r>
    </w:p>
    <w:p w14:paraId="59A504C8">
      <w:pPr>
        <w:keepNext w:val="0"/>
        <w:keepLines w:val="0"/>
        <w:pageBreakBefore w:val="0"/>
        <w:widowControl/>
        <w:kinsoku w:val="0"/>
        <w:wordWrap/>
        <w:overflowPunct/>
        <w:topLinePunct w:val="0"/>
        <w:autoSpaceDE w:val="0"/>
        <w:autoSpaceDN w:val="0"/>
        <w:bidi w:val="0"/>
        <w:adjustRightInd w:val="0"/>
        <w:snapToGrid w:val="0"/>
        <w:spacing w:before="95" w:line="400" w:lineRule="exact"/>
        <w:ind w:left="487"/>
        <w:textAlignment w:val="baseline"/>
        <w:rPr>
          <w:rFonts w:hint="eastAsia" w:ascii="仿宋" w:hAnsi="仿宋" w:eastAsia="仿宋" w:cs="仿宋"/>
          <w:spacing w:val="7"/>
          <w:sz w:val="23"/>
          <w:szCs w:val="23"/>
          <w:highlight w:val="none"/>
        </w:rPr>
      </w:pPr>
      <w:r>
        <w:rPr>
          <w:rFonts w:hint="eastAsia" w:ascii="仿宋" w:hAnsi="仿宋" w:eastAsia="仿宋" w:cs="仿宋"/>
          <w:spacing w:val="7"/>
          <w:sz w:val="23"/>
          <w:szCs w:val="23"/>
          <w:highlight w:val="none"/>
        </w:rPr>
        <w:t>特别提示：</w:t>
      </w:r>
    </w:p>
    <w:p w14:paraId="76B4A6B7">
      <w:pPr>
        <w:keepNext w:val="0"/>
        <w:keepLines w:val="0"/>
        <w:pageBreakBefore w:val="0"/>
        <w:widowControl/>
        <w:kinsoku w:val="0"/>
        <w:wordWrap/>
        <w:overflowPunct/>
        <w:topLinePunct w:val="0"/>
        <w:autoSpaceDE w:val="0"/>
        <w:autoSpaceDN w:val="0"/>
        <w:bidi w:val="0"/>
        <w:adjustRightInd w:val="0"/>
        <w:snapToGrid w:val="0"/>
        <w:spacing w:before="95" w:line="400" w:lineRule="exact"/>
        <w:ind w:left="487"/>
        <w:textAlignment w:val="baseline"/>
        <w:rPr>
          <w:rFonts w:hint="eastAsia" w:ascii="仿宋" w:hAnsi="仿宋" w:eastAsia="仿宋" w:cs="仿宋"/>
          <w:spacing w:val="7"/>
          <w:sz w:val="23"/>
          <w:szCs w:val="23"/>
          <w:highlight w:val="none"/>
        </w:rPr>
      </w:pPr>
      <w:r>
        <w:rPr>
          <w:rFonts w:hint="eastAsia" w:ascii="仿宋" w:hAnsi="仿宋" w:eastAsia="仿宋" w:cs="仿宋"/>
          <w:spacing w:val="7"/>
          <w:sz w:val="23"/>
          <w:szCs w:val="23"/>
          <w:highlight w:val="none"/>
        </w:rPr>
        <w:t>1、超过200万元的货物和服务采购项目、超过400万元的工程采购项目中适宜由中小企业提供的，预留该部分采购项目预算总额的40%以上专门面向中小企业采购，其中预留给小微企业的比例不低于60%。</w:t>
      </w:r>
    </w:p>
    <w:p w14:paraId="4115D561">
      <w:pPr>
        <w:keepNext w:val="0"/>
        <w:keepLines w:val="0"/>
        <w:pageBreakBefore w:val="0"/>
        <w:widowControl/>
        <w:kinsoku w:val="0"/>
        <w:wordWrap/>
        <w:overflowPunct/>
        <w:topLinePunct w:val="0"/>
        <w:autoSpaceDE w:val="0"/>
        <w:autoSpaceDN w:val="0"/>
        <w:bidi w:val="0"/>
        <w:adjustRightInd w:val="0"/>
        <w:snapToGrid w:val="0"/>
        <w:spacing w:before="95" w:line="400" w:lineRule="exact"/>
        <w:ind w:left="487"/>
        <w:textAlignment w:val="baseline"/>
        <w:rPr>
          <w:rFonts w:hint="eastAsia" w:ascii="仿宋" w:hAnsi="仿宋" w:eastAsia="仿宋" w:cs="仿宋"/>
          <w:spacing w:val="7"/>
          <w:sz w:val="23"/>
          <w:szCs w:val="23"/>
          <w:highlight w:val="none"/>
        </w:rPr>
      </w:pPr>
      <w:r>
        <w:rPr>
          <w:rFonts w:hint="eastAsia" w:ascii="仿宋" w:hAnsi="仿宋" w:eastAsia="仿宋" w:cs="仿宋"/>
          <w:spacing w:val="7"/>
          <w:sz w:val="23"/>
          <w:szCs w:val="23"/>
          <w:highlight w:val="none"/>
        </w:rPr>
        <w:t>2、对于未预留份额专门面向中小企业的采购项目，以及预留份额项目中的非预留部分采购包，采购人、采购代理机构应当对符合规定的小微企业报价给予</w:t>
      </w:r>
      <w:r>
        <w:rPr>
          <w:rFonts w:hint="eastAsia" w:ascii="仿宋" w:hAnsi="仿宋" w:eastAsia="仿宋" w:cs="仿宋"/>
          <w:spacing w:val="7"/>
          <w:sz w:val="23"/>
          <w:szCs w:val="23"/>
          <w:highlight w:val="none"/>
          <w:lang w:val="en-US" w:eastAsia="zh-CN"/>
        </w:rPr>
        <w:t>6</w:t>
      </w:r>
      <w:r>
        <w:rPr>
          <w:rFonts w:hint="eastAsia" w:ascii="仿宋" w:hAnsi="仿宋" w:eastAsia="仿宋" w:cs="仿宋"/>
          <w:spacing w:val="7"/>
          <w:sz w:val="23"/>
          <w:szCs w:val="23"/>
          <w:highlight w:val="none"/>
        </w:rPr>
        <w:t>%~</w:t>
      </w:r>
      <w:r>
        <w:rPr>
          <w:rFonts w:hint="eastAsia" w:ascii="仿宋" w:hAnsi="仿宋" w:eastAsia="仿宋" w:cs="仿宋"/>
          <w:spacing w:val="7"/>
          <w:sz w:val="23"/>
          <w:szCs w:val="23"/>
          <w:highlight w:val="none"/>
          <w:lang w:val="en-US" w:eastAsia="zh-CN"/>
        </w:rPr>
        <w:t>1</w:t>
      </w:r>
      <w:r>
        <w:rPr>
          <w:rFonts w:hint="eastAsia" w:ascii="仿宋" w:hAnsi="仿宋" w:eastAsia="仿宋" w:cs="仿宋"/>
          <w:spacing w:val="7"/>
          <w:sz w:val="23"/>
          <w:szCs w:val="23"/>
          <w:highlight w:val="none"/>
        </w:rPr>
        <w:t>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C1D2D3A">
      <w:pPr>
        <w:keepNext w:val="0"/>
        <w:keepLines w:val="0"/>
        <w:pageBreakBefore w:val="0"/>
        <w:widowControl/>
        <w:kinsoku w:val="0"/>
        <w:wordWrap/>
        <w:overflowPunct/>
        <w:topLinePunct w:val="0"/>
        <w:autoSpaceDE w:val="0"/>
        <w:autoSpaceDN w:val="0"/>
        <w:bidi w:val="0"/>
        <w:adjustRightInd w:val="0"/>
        <w:snapToGrid w:val="0"/>
        <w:spacing w:before="95" w:line="400" w:lineRule="exact"/>
        <w:ind w:left="487"/>
        <w:textAlignment w:val="baseline"/>
        <w:rPr>
          <w:rFonts w:ascii="仿宋" w:hAnsi="仿宋" w:eastAsia="仿宋" w:cs="仿宋"/>
          <w:spacing w:val="7"/>
          <w:sz w:val="23"/>
          <w:szCs w:val="23"/>
          <w:highlight w:val="none"/>
        </w:rPr>
      </w:pPr>
      <w:r>
        <w:rPr>
          <w:rFonts w:hint="eastAsia" w:ascii="仿宋" w:hAnsi="仿宋" w:eastAsia="仿宋" w:cs="仿宋"/>
          <w:spacing w:val="7"/>
          <w:sz w:val="23"/>
          <w:szCs w:val="23"/>
          <w:highlight w:val="none"/>
        </w:rPr>
        <w:t>3、接受大中型企业与小微企业组成联合体或者允许大中型企业向一家或者多家小微企业分包的采购项目，对于联合协议或者分包意向协议约定小微企业的合同份额占到合同总金额</w:t>
      </w:r>
      <w:r>
        <w:rPr>
          <w:rFonts w:hint="eastAsia" w:ascii="仿宋" w:hAnsi="仿宋" w:eastAsia="仿宋" w:cs="仿宋"/>
          <w:spacing w:val="7"/>
          <w:sz w:val="23"/>
          <w:szCs w:val="23"/>
          <w:highlight w:val="none"/>
          <w:lang w:val="en-US" w:eastAsia="zh-CN"/>
        </w:rPr>
        <w:t>3</w:t>
      </w:r>
      <w:r>
        <w:rPr>
          <w:rFonts w:hint="eastAsia" w:ascii="仿宋" w:hAnsi="仿宋" w:eastAsia="仿宋" w:cs="仿宋"/>
          <w:spacing w:val="7"/>
          <w:sz w:val="23"/>
          <w:szCs w:val="23"/>
          <w:highlight w:val="none"/>
        </w:rPr>
        <w:t>0%以上的，采购人、采购代理机构应当对联合体或者大中型企业的报价给予</w:t>
      </w:r>
      <w:r>
        <w:rPr>
          <w:rFonts w:hint="eastAsia" w:ascii="仿宋" w:hAnsi="仿宋" w:eastAsia="仿宋" w:cs="仿宋"/>
          <w:spacing w:val="7"/>
          <w:sz w:val="23"/>
          <w:szCs w:val="23"/>
          <w:highlight w:val="none"/>
          <w:lang w:val="en-US" w:eastAsia="zh-CN"/>
        </w:rPr>
        <w:t>2</w:t>
      </w:r>
      <w:r>
        <w:rPr>
          <w:rFonts w:hint="eastAsia" w:ascii="仿宋" w:hAnsi="仿宋" w:eastAsia="仿宋" w:cs="仿宋"/>
          <w:spacing w:val="7"/>
          <w:sz w:val="23"/>
          <w:szCs w:val="23"/>
          <w:highlight w:val="none"/>
        </w:rPr>
        <w:t>%~</w:t>
      </w:r>
      <w:r>
        <w:rPr>
          <w:rFonts w:hint="eastAsia" w:ascii="仿宋" w:hAnsi="仿宋" w:eastAsia="仿宋" w:cs="仿宋"/>
          <w:spacing w:val="7"/>
          <w:sz w:val="23"/>
          <w:szCs w:val="23"/>
          <w:highlight w:val="none"/>
          <w:lang w:val="en-US" w:eastAsia="zh-CN"/>
        </w:rPr>
        <w:t>3</w:t>
      </w:r>
      <w:r>
        <w:rPr>
          <w:rFonts w:hint="eastAsia" w:ascii="仿宋" w:hAnsi="仿宋" w:eastAsia="仿宋" w:cs="仿宋"/>
          <w:spacing w:val="7"/>
          <w:sz w:val="23"/>
          <w:szCs w:val="23"/>
          <w:highlight w:val="none"/>
        </w:rPr>
        <w:t>%（工程项目为</w:t>
      </w:r>
      <w:r>
        <w:rPr>
          <w:rFonts w:hint="eastAsia" w:ascii="仿宋" w:hAnsi="仿宋" w:eastAsia="仿宋" w:cs="仿宋"/>
          <w:spacing w:val="7"/>
          <w:sz w:val="23"/>
          <w:szCs w:val="23"/>
          <w:highlight w:val="none"/>
          <w:lang w:val="en-US" w:eastAsia="zh-CN"/>
        </w:rPr>
        <w:t>1</w:t>
      </w:r>
      <w:r>
        <w:rPr>
          <w:rFonts w:hint="eastAsia" w:ascii="仿宋" w:hAnsi="仿宋" w:eastAsia="仿宋" w:cs="仿宋"/>
          <w:spacing w:val="7"/>
          <w:sz w:val="23"/>
          <w:szCs w:val="23"/>
          <w:highlight w:val="none"/>
        </w:rPr>
        <w:t>%~</w:t>
      </w:r>
      <w:r>
        <w:rPr>
          <w:rFonts w:hint="eastAsia" w:ascii="仿宋" w:hAnsi="仿宋" w:eastAsia="仿宋" w:cs="仿宋"/>
          <w:spacing w:val="7"/>
          <w:sz w:val="23"/>
          <w:szCs w:val="23"/>
          <w:highlight w:val="none"/>
          <w:lang w:val="en-US" w:eastAsia="zh-CN"/>
        </w:rPr>
        <w:t>2</w:t>
      </w:r>
      <w:r>
        <w:rPr>
          <w:rFonts w:hint="eastAsia" w:ascii="仿宋" w:hAnsi="仿宋" w:eastAsia="仿宋" w:cs="仿宋"/>
          <w:spacing w:val="7"/>
          <w:sz w:val="23"/>
          <w:szCs w:val="23"/>
          <w:highlight w:val="none"/>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仿宋" w:hAnsi="仿宋" w:eastAsia="仿宋" w:cs="仿宋"/>
          <w:spacing w:val="7"/>
          <w:sz w:val="23"/>
          <w:szCs w:val="23"/>
          <w:highlight w:val="none"/>
          <w:lang w:val="en-US" w:eastAsia="zh-CN"/>
        </w:rPr>
        <w:t>1</w:t>
      </w:r>
      <w:r>
        <w:rPr>
          <w:rFonts w:hint="eastAsia" w:ascii="仿宋" w:hAnsi="仿宋" w:eastAsia="仿宋" w:cs="仿宋"/>
          <w:spacing w:val="7"/>
          <w:sz w:val="23"/>
          <w:szCs w:val="23"/>
          <w:highlight w:val="none"/>
        </w:rPr>
        <w:t>%~</w:t>
      </w:r>
      <w:r>
        <w:rPr>
          <w:rFonts w:hint="eastAsia" w:ascii="仿宋" w:hAnsi="仿宋" w:eastAsia="仿宋" w:cs="仿宋"/>
          <w:spacing w:val="7"/>
          <w:sz w:val="23"/>
          <w:szCs w:val="23"/>
          <w:highlight w:val="none"/>
          <w:lang w:val="en-US" w:eastAsia="zh-CN"/>
        </w:rPr>
        <w:t>2</w:t>
      </w:r>
      <w:r>
        <w:rPr>
          <w:rFonts w:hint="eastAsia" w:ascii="仿宋" w:hAnsi="仿宋" w:eastAsia="仿宋" w:cs="仿宋"/>
          <w:spacing w:val="7"/>
          <w:sz w:val="23"/>
          <w:szCs w:val="23"/>
          <w:highlight w:val="none"/>
        </w:rPr>
        <w:t>%作为其价格分。</w:t>
      </w:r>
    </w:p>
    <w:p w14:paraId="09E390D3">
      <w:pPr>
        <w:keepNext w:val="0"/>
        <w:keepLines w:val="0"/>
        <w:pageBreakBefore w:val="0"/>
        <w:widowControl/>
        <w:kinsoku w:val="0"/>
        <w:wordWrap/>
        <w:overflowPunct/>
        <w:topLinePunct w:val="0"/>
        <w:autoSpaceDE w:val="0"/>
        <w:autoSpaceDN w:val="0"/>
        <w:bidi w:val="0"/>
        <w:adjustRightInd w:val="0"/>
        <w:snapToGrid w:val="0"/>
        <w:spacing w:before="94" w:line="400" w:lineRule="exact"/>
        <w:ind w:left="9"/>
        <w:textAlignment w:val="baseline"/>
        <w:rPr>
          <w:rFonts w:ascii="仿宋" w:hAnsi="仿宋" w:eastAsia="仿宋" w:cs="仿宋"/>
          <w:sz w:val="23"/>
          <w:szCs w:val="23"/>
          <w:highlight w:val="none"/>
        </w:rPr>
      </w:pPr>
      <w:r>
        <w:rPr>
          <w:rFonts w:ascii="仿宋" w:hAnsi="仿宋" w:eastAsia="仿宋" w:cs="仿宋"/>
          <w:b/>
          <w:bCs/>
          <w:spacing w:val="4"/>
          <w:sz w:val="23"/>
          <w:szCs w:val="23"/>
          <w:highlight w:val="none"/>
        </w:rPr>
        <w:t>七、对本次招标提出询问，请按以下方式联系。</w:t>
      </w:r>
    </w:p>
    <w:p w14:paraId="6F451867">
      <w:pPr>
        <w:keepNext w:val="0"/>
        <w:keepLines w:val="0"/>
        <w:pageBreakBefore w:val="0"/>
        <w:widowControl/>
        <w:kinsoku w:val="0"/>
        <w:wordWrap/>
        <w:overflowPunct/>
        <w:topLinePunct w:val="0"/>
        <w:autoSpaceDE w:val="0"/>
        <w:autoSpaceDN w:val="0"/>
        <w:bidi w:val="0"/>
        <w:adjustRightInd w:val="0"/>
        <w:snapToGrid w:val="0"/>
        <w:spacing w:before="95" w:line="400" w:lineRule="exact"/>
        <w:ind w:left="14"/>
        <w:textAlignment w:val="baseline"/>
        <w:rPr>
          <w:rFonts w:ascii="仿宋" w:hAnsi="仿宋" w:eastAsia="仿宋" w:cs="仿宋"/>
          <w:sz w:val="23"/>
          <w:szCs w:val="23"/>
          <w:highlight w:val="none"/>
        </w:rPr>
      </w:pPr>
      <w:r>
        <w:rPr>
          <w:rFonts w:ascii="仿宋" w:hAnsi="仿宋" w:eastAsia="仿宋" w:cs="仿宋"/>
          <w:spacing w:val="4"/>
          <w:sz w:val="23"/>
          <w:szCs w:val="23"/>
          <w:highlight w:val="none"/>
        </w:rPr>
        <w:t>1.采购人信息</w:t>
      </w:r>
    </w:p>
    <w:p w14:paraId="644F79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仿宋" w:hAnsi="仿宋" w:eastAsia="仿宋" w:cs="仿宋"/>
          <w:spacing w:val="8"/>
          <w:sz w:val="23"/>
          <w:szCs w:val="23"/>
          <w:highlight w:val="none"/>
          <w:lang w:eastAsia="zh-CN"/>
        </w:rPr>
      </w:pPr>
      <w:r>
        <w:rPr>
          <w:rFonts w:ascii="仿宋" w:hAnsi="仿宋" w:eastAsia="仿宋" w:cs="仿宋"/>
          <w:spacing w:val="8"/>
          <w:sz w:val="23"/>
          <w:szCs w:val="23"/>
          <w:highlight w:val="none"/>
        </w:rPr>
        <w:t>名称：</w:t>
      </w:r>
      <w:r>
        <w:rPr>
          <w:rFonts w:hint="eastAsia" w:ascii="仿宋" w:hAnsi="仿宋" w:eastAsia="仿宋" w:cs="仿宋"/>
          <w:spacing w:val="8"/>
          <w:sz w:val="23"/>
          <w:szCs w:val="23"/>
          <w:highlight w:val="none"/>
          <w:lang w:eastAsia="zh-CN"/>
        </w:rPr>
        <w:t>英吉沙县农业农村局</w:t>
      </w:r>
    </w:p>
    <w:p w14:paraId="27C61F5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仿宋" w:hAnsi="仿宋" w:eastAsia="仿宋" w:cs="仿宋"/>
          <w:sz w:val="23"/>
          <w:szCs w:val="23"/>
          <w:highlight w:val="none"/>
          <w:lang w:eastAsia="zh-CN"/>
        </w:rPr>
      </w:pPr>
      <w:r>
        <w:rPr>
          <w:rFonts w:ascii="仿宋" w:hAnsi="仿宋" w:eastAsia="仿宋" w:cs="仿宋"/>
          <w:spacing w:val="8"/>
          <w:sz w:val="23"/>
          <w:szCs w:val="23"/>
          <w:highlight w:val="none"/>
        </w:rPr>
        <w:t>地址：</w:t>
      </w:r>
      <w:r>
        <w:rPr>
          <w:rFonts w:hint="eastAsia" w:ascii="仿宋" w:hAnsi="仿宋" w:eastAsia="仿宋" w:cs="仿宋"/>
          <w:spacing w:val="8"/>
          <w:sz w:val="23"/>
          <w:szCs w:val="23"/>
          <w:highlight w:val="none"/>
          <w:lang w:eastAsia="zh-CN"/>
        </w:rPr>
        <w:t>英吉沙县农业农村局</w:t>
      </w:r>
    </w:p>
    <w:p w14:paraId="2246340B">
      <w:pPr>
        <w:keepNext w:val="0"/>
        <w:keepLines w:val="0"/>
        <w:pageBreakBefore w:val="0"/>
        <w:widowControl/>
        <w:kinsoku w:val="0"/>
        <w:wordWrap/>
        <w:overflowPunct/>
        <w:topLinePunct w:val="0"/>
        <w:autoSpaceDE w:val="0"/>
        <w:autoSpaceDN w:val="0"/>
        <w:bidi w:val="0"/>
        <w:adjustRightInd w:val="0"/>
        <w:snapToGrid w:val="0"/>
        <w:spacing w:before="39" w:line="400" w:lineRule="exact"/>
        <w:ind w:left="5"/>
        <w:textAlignment w:val="baseline"/>
        <w:rPr>
          <w:rFonts w:hint="default" w:ascii="仿宋" w:hAnsi="仿宋" w:eastAsia="仿宋" w:cs="仿宋"/>
          <w:spacing w:val="8"/>
          <w:sz w:val="23"/>
          <w:szCs w:val="23"/>
          <w:highlight w:val="none"/>
          <w:lang w:val="en-US" w:eastAsia="zh-CN"/>
        </w:rPr>
      </w:pPr>
      <w:r>
        <w:rPr>
          <w:rFonts w:ascii="仿宋" w:hAnsi="仿宋" w:eastAsia="仿宋" w:cs="仿宋"/>
          <w:spacing w:val="8"/>
          <w:sz w:val="23"/>
          <w:szCs w:val="23"/>
          <w:highlight w:val="none"/>
        </w:rPr>
        <w:t>联系人：</w:t>
      </w:r>
      <w:r>
        <w:rPr>
          <w:rFonts w:hint="eastAsia" w:ascii="仿宋" w:hAnsi="仿宋" w:eastAsia="仿宋" w:cs="仿宋"/>
          <w:spacing w:val="8"/>
          <w:sz w:val="23"/>
          <w:szCs w:val="23"/>
          <w:highlight w:val="none"/>
        </w:rPr>
        <w:t>热依汉古丽·喀迪尔</w:t>
      </w:r>
    </w:p>
    <w:p w14:paraId="41741E68">
      <w:pPr>
        <w:keepNext w:val="0"/>
        <w:keepLines w:val="0"/>
        <w:pageBreakBefore w:val="0"/>
        <w:widowControl/>
        <w:kinsoku w:val="0"/>
        <w:wordWrap/>
        <w:overflowPunct/>
        <w:topLinePunct w:val="0"/>
        <w:autoSpaceDE w:val="0"/>
        <w:autoSpaceDN w:val="0"/>
        <w:bidi w:val="0"/>
        <w:adjustRightInd w:val="0"/>
        <w:snapToGrid w:val="0"/>
        <w:spacing w:before="39" w:line="400" w:lineRule="exact"/>
        <w:ind w:left="5"/>
        <w:textAlignment w:val="baseline"/>
        <w:rPr>
          <w:rFonts w:hint="eastAsia" w:ascii="仿宋" w:hAnsi="仿宋" w:eastAsia="仿宋" w:cs="仿宋"/>
          <w:spacing w:val="2"/>
          <w:sz w:val="23"/>
          <w:szCs w:val="23"/>
          <w:highlight w:val="none"/>
          <w:lang w:val="en-US" w:eastAsia="zh-CN"/>
        </w:rPr>
      </w:pPr>
      <w:r>
        <w:rPr>
          <w:rFonts w:hint="eastAsia" w:ascii="仿宋" w:hAnsi="仿宋" w:eastAsia="仿宋" w:cs="仿宋"/>
          <w:spacing w:val="8"/>
          <w:sz w:val="23"/>
          <w:szCs w:val="23"/>
          <w:highlight w:val="none"/>
          <w:lang w:val="en-US" w:eastAsia="zh-CN"/>
        </w:rPr>
        <w:t>联系方式：13579574473</w:t>
      </w:r>
    </w:p>
    <w:p w14:paraId="3AEDD537">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0"/>
        <w:textAlignment w:val="baseline"/>
        <w:rPr>
          <w:rFonts w:ascii="仿宋" w:hAnsi="仿宋" w:eastAsia="仿宋" w:cs="仿宋"/>
          <w:sz w:val="23"/>
          <w:szCs w:val="23"/>
          <w:highlight w:val="none"/>
        </w:rPr>
      </w:pPr>
      <w:r>
        <w:rPr>
          <w:rFonts w:hint="eastAsia" w:ascii="仿宋" w:hAnsi="仿宋" w:eastAsia="仿宋" w:cs="仿宋"/>
          <w:spacing w:val="7"/>
          <w:sz w:val="23"/>
          <w:szCs w:val="23"/>
          <w:highlight w:val="none"/>
          <w:lang w:val="en-US" w:eastAsia="zh-CN"/>
        </w:rPr>
        <w:t>2.</w:t>
      </w:r>
      <w:r>
        <w:rPr>
          <w:rFonts w:ascii="仿宋" w:hAnsi="仿宋" w:eastAsia="仿宋" w:cs="仿宋"/>
          <w:spacing w:val="7"/>
          <w:sz w:val="23"/>
          <w:szCs w:val="23"/>
          <w:highlight w:val="none"/>
        </w:rPr>
        <w:t>采购代理机构信息</w:t>
      </w:r>
    </w:p>
    <w:p w14:paraId="29DE88ED">
      <w:pPr>
        <w:keepNext w:val="0"/>
        <w:keepLines w:val="0"/>
        <w:pageBreakBefore w:val="0"/>
        <w:widowControl/>
        <w:kinsoku w:val="0"/>
        <w:wordWrap/>
        <w:overflowPunct/>
        <w:topLinePunct w:val="0"/>
        <w:autoSpaceDE w:val="0"/>
        <w:autoSpaceDN w:val="0"/>
        <w:bidi w:val="0"/>
        <w:adjustRightInd w:val="0"/>
        <w:snapToGrid w:val="0"/>
        <w:spacing w:before="39" w:line="400" w:lineRule="exact"/>
        <w:ind w:left="5"/>
        <w:textAlignment w:val="baseline"/>
        <w:rPr>
          <w:rFonts w:hint="eastAsia" w:ascii="仿宋" w:hAnsi="仿宋" w:eastAsia="仿宋" w:cs="仿宋"/>
          <w:sz w:val="23"/>
          <w:szCs w:val="23"/>
          <w:highlight w:val="none"/>
          <w:lang w:eastAsia="zh-CN"/>
        </w:rPr>
      </w:pPr>
      <w:r>
        <w:rPr>
          <w:rFonts w:ascii="仿宋" w:hAnsi="仿宋" w:eastAsia="仿宋" w:cs="仿宋"/>
          <w:spacing w:val="8"/>
          <w:sz w:val="23"/>
          <w:szCs w:val="23"/>
          <w:highlight w:val="none"/>
        </w:rPr>
        <w:t>名称：</w:t>
      </w:r>
      <w:r>
        <w:rPr>
          <w:rFonts w:hint="eastAsia" w:ascii="仿宋" w:hAnsi="仿宋" w:eastAsia="仿宋" w:cs="仿宋"/>
          <w:spacing w:val="8"/>
          <w:sz w:val="23"/>
          <w:szCs w:val="23"/>
          <w:highlight w:val="none"/>
          <w:lang w:eastAsia="zh-CN"/>
        </w:rPr>
        <w:t>新疆中泰正信项目管理有限公司</w:t>
      </w:r>
    </w:p>
    <w:p w14:paraId="46C6974F">
      <w:pPr>
        <w:keepNext w:val="0"/>
        <w:keepLines w:val="0"/>
        <w:pageBreakBefore w:val="0"/>
        <w:widowControl/>
        <w:kinsoku w:val="0"/>
        <w:wordWrap/>
        <w:overflowPunct/>
        <w:topLinePunct w:val="0"/>
        <w:autoSpaceDE w:val="0"/>
        <w:autoSpaceDN w:val="0"/>
        <w:bidi w:val="0"/>
        <w:adjustRightInd w:val="0"/>
        <w:snapToGrid w:val="0"/>
        <w:spacing w:before="94" w:line="400" w:lineRule="exact"/>
        <w:ind w:left="1" w:right="1226" w:firstLine="3"/>
        <w:textAlignment w:val="baseline"/>
        <w:rPr>
          <w:rFonts w:hint="eastAsia" w:ascii="仿宋" w:hAnsi="仿宋" w:eastAsia="仿宋" w:cs="仿宋"/>
          <w:spacing w:val="6"/>
          <w:sz w:val="23"/>
          <w:szCs w:val="23"/>
          <w:highlight w:val="none"/>
          <w:lang w:eastAsia="zh-CN"/>
        </w:rPr>
      </w:pPr>
      <w:r>
        <w:rPr>
          <w:rFonts w:ascii="仿宋" w:hAnsi="仿宋" w:eastAsia="仿宋" w:cs="仿宋"/>
          <w:spacing w:val="6"/>
          <w:sz w:val="23"/>
          <w:szCs w:val="23"/>
          <w:highlight w:val="none"/>
        </w:rPr>
        <w:t>地址：</w:t>
      </w:r>
      <w:r>
        <w:rPr>
          <w:rFonts w:hint="eastAsia" w:ascii="仿宋" w:hAnsi="仿宋" w:eastAsia="仿宋" w:cs="仿宋"/>
          <w:spacing w:val="6"/>
          <w:sz w:val="23"/>
          <w:szCs w:val="23"/>
          <w:highlight w:val="none"/>
          <w:lang w:eastAsia="zh-CN"/>
        </w:rPr>
        <w:t>新疆喀什地区英吉沙县光明路新城商业街1号楼2-1号</w:t>
      </w:r>
    </w:p>
    <w:p w14:paraId="5CDD024C">
      <w:pPr>
        <w:keepNext w:val="0"/>
        <w:keepLines w:val="0"/>
        <w:pageBreakBefore w:val="0"/>
        <w:widowControl/>
        <w:kinsoku w:val="0"/>
        <w:wordWrap/>
        <w:overflowPunct/>
        <w:topLinePunct w:val="0"/>
        <w:autoSpaceDE w:val="0"/>
        <w:autoSpaceDN w:val="0"/>
        <w:bidi w:val="0"/>
        <w:adjustRightInd w:val="0"/>
        <w:snapToGrid w:val="0"/>
        <w:spacing w:before="94" w:line="400" w:lineRule="exact"/>
        <w:ind w:left="1" w:right="1226" w:firstLine="3"/>
        <w:textAlignment w:val="baseline"/>
        <w:rPr>
          <w:rFonts w:hint="eastAsia" w:ascii="仿宋" w:hAnsi="仿宋" w:eastAsia="仿宋" w:cs="仿宋"/>
          <w:spacing w:val="1"/>
          <w:sz w:val="23"/>
          <w:szCs w:val="23"/>
          <w:highlight w:val="none"/>
          <w:lang w:eastAsia="zh-CN"/>
        </w:rPr>
      </w:pPr>
      <w:r>
        <w:rPr>
          <w:rFonts w:ascii="仿宋" w:hAnsi="仿宋" w:eastAsia="仿宋" w:cs="仿宋"/>
          <w:spacing w:val="1"/>
          <w:sz w:val="23"/>
          <w:szCs w:val="23"/>
          <w:highlight w:val="none"/>
        </w:rPr>
        <w:t>联系</w:t>
      </w:r>
      <w:r>
        <w:rPr>
          <w:rFonts w:hint="eastAsia" w:ascii="仿宋" w:hAnsi="仿宋" w:eastAsia="仿宋" w:cs="仿宋"/>
          <w:spacing w:val="1"/>
          <w:sz w:val="23"/>
          <w:szCs w:val="23"/>
          <w:highlight w:val="none"/>
          <w:lang w:val="en-US" w:eastAsia="zh-CN"/>
        </w:rPr>
        <w:t>人</w:t>
      </w:r>
      <w:r>
        <w:rPr>
          <w:rFonts w:ascii="仿宋" w:hAnsi="仿宋" w:eastAsia="仿宋" w:cs="仿宋"/>
          <w:spacing w:val="1"/>
          <w:sz w:val="23"/>
          <w:szCs w:val="23"/>
          <w:highlight w:val="none"/>
        </w:rPr>
        <w:t>：</w:t>
      </w:r>
      <w:r>
        <w:rPr>
          <w:rFonts w:hint="eastAsia" w:ascii="仿宋" w:hAnsi="仿宋" w:eastAsia="仿宋" w:cs="仿宋"/>
          <w:spacing w:val="1"/>
          <w:sz w:val="23"/>
          <w:szCs w:val="23"/>
          <w:highlight w:val="none"/>
          <w:lang w:eastAsia="zh-CN"/>
        </w:rPr>
        <w:t>苏贺</w:t>
      </w:r>
    </w:p>
    <w:p w14:paraId="21A6032B">
      <w:pPr>
        <w:keepNext w:val="0"/>
        <w:keepLines w:val="0"/>
        <w:pageBreakBefore w:val="0"/>
        <w:widowControl/>
        <w:kinsoku w:val="0"/>
        <w:wordWrap/>
        <w:overflowPunct/>
        <w:topLinePunct w:val="0"/>
        <w:autoSpaceDE w:val="0"/>
        <w:autoSpaceDN w:val="0"/>
        <w:bidi w:val="0"/>
        <w:adjustRightInd w:val="0"/>
        <w:snapToGrid w:val="0"/>
        <w:spacing w:before="94" w:line="400" w:lineRule="exact"/>
        <w:ind w:left="1" w:right="1226" w:firstLine="3"/>
        <w:textAlignment w:val="baseline"/>
        <w:rPr>
          <w:rFonts w:hint="eastAsia" w:ascii="仿宋" w:hAnsi="仿宋" w:eastAsia="仿宋" w:cs="仿宋"/>
          <w:sz w:val="23"/>
          <w:szCs w:val="23"/>
          <w:highlight w:val="none"/>
          <w:lang w:eastAsia="zh-CN"/>
        </w:rPr>
      </w:pPr>
      <w:r>
        <w:rPr>
          <w:rFonts w:hint="eastAsia" w:ascii="仿宋" w:hAnsi="仿宋" w:eastAsia="仿宋" w:cs="仿宋"/>
          <w:spacing w:val="1"/>
          <w:sz w:val="23"/>
          <w:szCs w:val="23"/>
          <w:highlight w:val="none"/>
          <w:lang w:val="en-US" w:eastAsia="zh-CN"/>
        </w:rPr>
        <w:t>联系方式：</w:t>
      </w:r>
      <w:r>
        <w:rPr>
          <w:rFonts w:hint="eastAsia" w:ascii="仿宋" w:hAnsi="仿宋" w:eastAsia="仿宋" w:cs="仿宋"/>
          <w:spacing w:val="1"/>
          <w:sz w:val="23"/>
          <w:szCs w:val="23"/>
          <w:highlight w:val="none"/>
          <w:lang w:eastAsia="zh-CN"/>
        </w:rPr>
        <w:t>15026328789</w:t>
      </w:r>
    </w:p>
    <w:p w14:paraId="43788D04">
      <w:pPr>
        <w:pStyle w:val="7"/>
        <w:spacing w:line="243" w:lineRule="auto"/>
        <w:rPr>
          <w:highlight w:val="none"/>
        </w:rPr>
      </w:pPr>
    </w:p>
    <w:p w14:paraId="6C13849F">
      <w:pPr>
        <w:rPr>
          <w:highlight w:val="none"/>
        </w:rPr>
      </w:pPr>
    </w:p>
    <w:p w14:paraId="3BAA93B1">
      <w:pPr>
        <w:pStyle w:val="2"/>
        <w:rPr>
          <w:highlight w:val="none"/>
        </w:rPr>
      </w:pPr>
    </w:p>
    <w:p w14:paraId="58581A99">
      <w:pPr>
        <w:rPr>
          <w:highlight w:val="none"/>
        </w:rPr>
      </w:pPr>
    </w:p>
    <w:p w14:paraId="6AAC3C19">
      <w:pPr>
        <w:pStyle w:val="2"/>
        <w:rPr>
          <w:highlight w:val="none"/>
        </w:rPr>
      </w:pPr>
    </w:p>
    <w:p w14:paraId="20496CF6">
      <w:pPr>
        <w:rPr>
          <w:highlight w:val="none"/>
        </w:rPr>
      </w:pPr>
    </w:p>
    <w:p w14:paraId="41FCE56A">
      <w:pPr>
        <w:pStyle w:val="2"/>
        <w:rPr>
          <w:highlight w:val="none"/>
        </w:rPr>
      </w:pPr>
    </w:p>
    <w:p w14:paraId="7BB2F1F1">
      <w:pPr>
        <w:rPr>
          <w:highlight w:val="none"/>
        </w:rPr>
      </w:pPr>
    </w:p>
    <w:p w14:paraId="18278469">
      <w:pPr>
        <w:pStyle w:val="2"/>
        <w:rPr>
          <w:highlight w:val="none"/>
        </w:rPr>
      </w:pPr>
    </w:p>
    <w:p w14:paraId="36C00883">
      <w:pPr>
        <w:rPr>
          <w:highlight w:val="none"/>
        </w:rPr>
      </w:pPr>
    </w:p>
    <w:p w14:paraId="7EB9D9F7">
      <w:pPr>
        <w:pStyle w:val="2"/>
        <w:rPr>
          <w:highlight w:val="none"/>
        </w:rPr>
      </w:pPr>
    </w:p>
    <w:p w14:paraId="15A67569">
      <w:pPr>
        <w:rPr>
          <w:highlight w:val="none"/>
        </w:rPr>
      </w:pPr>
    </w:p>
    <w:p w14:paraId="72541A96">
      <w:pPr>
        <w:pStyle w:val="2"/>
        <w:rPr>
          <w:highlight w:val="none"/>
        </w:rPr>
      </w:pPr>
    </w:p>
    <w:p w14:paraId="48F9BC7F">
      <w:pPr>
        <w:rPr>
          <w:highlight w:val="none"/>
        </w:rPr>
      </w:pPr>
    </w:p>
    <w:p w14:paraId="4C75E90A">
      <w:pPr>
        <w:pStyle w:val="2"/>
        <w:rPr>
          <w:highlight w:val="none"/>
        </w:rPr>
      </w:pPr>
    </w:p>
    <w:p w14:paraId="322D5FC6">
      <w:pPr>
        <w:rPr>
          <w:highlight w:val="none"/>
        </w:rPr>
      </w:pPr>
    </w:p>
    <w:p w14:paraId="6CF27E45">
      <w:pPr>
        <w:pStyle w:val="2"/>
        <w:rPr>
          <w:highlight w:val="none"/>
        </w:rPr>
      </w:pPr>
    </w:p>
    <w:p w14:paraId="7AD700E8">
      <w:pPr>
        <w:rPr>
          <w:highlight w:val="none"/>
        </w:rPr>
      </w:pPr>
    </w:p>
    <w:p w14:paraId="6155297C">
      <w:pPr>
        <w:pStyle w:val="2"/>
        <w:rPr>
          <w:highlight w:val="none"/>
        </w:rPr>
      </w:pPr>
    </w:p>
    <w:p w14:paraId="6AF6CC59">
      <w:pPr>
        <w:rPr>
          <w:highlight w:val="none"/>
        </w:rPr>
      </w:pPr>
    </w:p>
    <w:p w14:paraId="318BE6C9">
      <w:pPr>
        <w:pStyle w:val="2"/>
        <w:rPr>
          <w:highlight w:val="none"/>
        </w:rPr>
      </w:pPr>
    </w:p>
    <w:p w14:paraId="2313A023">
      <w:pPr>
        <w:rPr>
          <w:highlight w:val="none"/>
        </w:rPr>
      </w:pPr>
    </w:p>
    <w:p w14:paraId="32E4F266">
      <w:pPr>
        <w:pStyle w:val="2"/>
        <w:rPr>
          <w:highlight w:val="none"/>
        </w:rPr>
      </w:pPr>
    </w:p>
    <w:p w14:paraId="6DC4EC5E">
      <w:pPr>
        <w:pStyle w:val="2"/>
        <w:rPr>
          <w:highlight w:val="none"/>
        </w:rPr>
      </w:pPr>
    </w:p>
    <w:p w14:paraId="6F0CEE91">
      <w:pPr>
        <w:rPr>
          <w:highlight w:val="none"/>
        </w:rPr>
      </w:pPr>
    </w:p>
    <w:p w14:paraId="34C18015">
      <w:pPr>
        <w:pStyle w:val="7"/>
        <w:spacing w:line="244" w:lineRule="auto"/>
        <w:rPr>
          <w:highlight w:val="none"/>
        </w:rPr>
      </w:pPr>
    </w:p>
    <w:p w14:paraId="70886C90">
      <w:pPr>
        <w:spacing w:line="253" w:lineRule="auto"/>
        <w:jc w:val="center"/>
        <w:rPr>
          <w:rFonts w:ascii="Arial"/>
          <w:sz w:val="21"/>
          <w:highlight w:val="none"/>
        </w:rPr>
      </w:pPr>
      <w:bookmarkStart w:id="143" w:name="bookmark69"/>
      <w:bookmarkEnd w:id="143"/>
    </w:p>
    <w:p w14:paraId="01BBC7BA">
      <w:pPr>
        <w:spacing w:line="240" w:lineRule="auto"/>
        <w:ind w:left="0"/>
        <w:jc w:val="center"/>
        <w:outlineLvl w:val="0"/>
        <w:rPr>
          <w:rFonts w:ascii="方正仿宋_GBK" w:hAnsi="方正仿宋_GBK" w:eastAsia="方正仿宋_GBK" w:cs="方正仿宋_GBK"/>
          <w:b/>
          <w:bCs/>
          <w:spacing w:val="3"/>
          <w:sz w:val="31"/>
          <w:szCs w:val="31"/>
          <w:highlight w:val="none"/>
        </w:rPr>
      </w:pPr>
      <w:r>
        <w:rPr>
          <w:rFonts w:ascii="方正仿宋_GBK" w:hAnsi="方正仿宋_GBK" w:eastAsia="方正仿宋_GBK" w:cs="方正仿宋_GBK"/>
          <w:b/>
          <w:bCs/>
          <w:spacing w:val="3"/>
          <w:sz w:val="31"/>
          <w:szCs w:val="31"/>
          <w:highlight w:val="none"/>
        </w:rPr>
        <w:t>第4章投标人须知资料表</w:t>
      </w:r>
    </w:p>
    <w:p w14:paraId="448524C5">
      <w:pPr>
        <w:spacing w:before="84" w:line="241" w:lineRule="auto"/>
        <w:ind w:left="407" w:right="395" w:firstLine="347"/>
        <w:rPr>
          <w:rFonts w:ascii="方正仿宋_GBK" w:hAnsi="方正仿宋_GBK" w:eastAsia="方正仿宋_GBK" w:cs="方正仿宋_GBK"/>
          <w:b/>
          <w:bCs/>
          <w:spacing w:val="8"/>
          <w:sz w:val="23"/>
          <w:szCs w:val="23"/>
          <w:highlight w:val="none"/>
        </w:rPr>
      </w:pPr>
      <w:r>
        <w:rPr>
          <w:rFonts w:ascii="方正仿宋_GBK" w:hAnsi="方正仿宋_GBK" w:eastAsia="方正仿宋_GBK" w:cs="方正仿宋_GBK"/>
          <w:b/>
          <w:bCs/>
          <w:spacing w:val="8"/>
          <w:sz w:val="23"/>
          <w:szCs w:val="23"/>
          <w:highlight w:val="none"/>
        </w:rPr>
        <w:t>本表是本招标项目的具体资料，是对投标人须知的具体补充和修改，如有矛盾，应以本资料表为准。</w:t>
      </w:r>
    </w:p>
    <w:p w14:paraId="3704D9AB">
      <w:pPr>
        <w:spacing w:line="137" w:lineRule="auto"/>
        <w:rPr>
          <w:rFonts w:ascii="Arial"/>
          <w:sz w:val="2"/>
          <w:highlight w:val="none"/>
        </w:rPr>
      </w:pPr>
    </w:p>
    <w:tbl>
      <w:tblPr>
        <w:tblStyle w:val="25"/>
        <w:tblW w:w="8314"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9"/>
        <w:gridCol w:w="7005"/>
      </w:tblGrid>
      <w:tr w14:paraId="58582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309" w:type="dxa"/>
            <w:tcBorders>
              <w:top w:val="single" w:color="000000" w:sz="8" w:space="0"/>
              <w:left w:val="single" w:color="000000" w:sz="8" w:space="0"/>
            </w:tcBorders>
            <w:vAlign w:val="top"/>
          </w:tcPr>
          <w:p w14:paraId="4658ACC3">
            <w:pPr>
              <w:pStyle w:val="26"/>
              <w:spacing w:before="125" w:line="231" w:lineRule="auto"/>
              <w:jc w:val="center"/>
              <w:rPr>
                <w:highlight w:val="none"/>
              </w:rPr>
            </w:pPr>
            <w:r>
              <w:rPr>
                <w:highlight w:val="none"/>
              </w:rPr>
              <w:t>条款号</w:t>
            </w:r>
          </w:p>
        </w:tc>
        <w:tc>
          <w:tcPr>
            <w:tcW w:w="7005" w:type="dxa"/>
            <w:tcBorders>
              <w:top w:val="single" w:color="000000" w:sz="8" w:space="0"/>
              <w:right w:val="single" w:color="000000" w:sz="8" w:space="0"/>
            </w:tcBorders>
            <w:vAlign w:val="top"/>
          </w:tcPr>
          <w:p w14:paraId="12E48228">
            <w:pPr>
              <w:pStyle w:val="26"/>
              <w:spacing w:before="124" w:line="231" w:lineRule="auto"/>
              <w:ind w:left="637"/>
              <w:rPr>
                <w:highlight w:val="none"/>
              </w:rPr>
            </w:pPr>
            <w:r>
              <w:rPr>
                <w:b/>
                <w:bCs/>
                <w:spacing w:val="-20"/>
                <w:highlight w:val="none"/>
              </w:rPr>
              <w:t>内容</w:t>
            </w:r>
          </w:p>
        </w:tc>
      </w:tr>
      <w:tr w14:paraId="59C56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1309" w:type="dxa"/>
            <w:tcBorders>
              <w:left w:val="single" w:color="000000" w:sz="8" w:space="0"/>
            </w:tcBorders>
            <w:vAlign w:val="center"/>
          </w:tcPr>
          <w:p w14:paraId="0BCA10AB">
            <w:pPr>
              <w:pStyle w:val="26"/>
              <w:spacing w:before="74" w:line="187" w:lineRule="auto"/>
              <w:jc w:val="center"/>
              <w:rPr>
                <w:highlight w:val="none"/>
              </w:rPr>
            </w:pPr>
            <w:r>
              <w:rPr>
                <w:spacing w:val="-9"/>
                <w:highlight w:val="none"/>
              </w:rPr>
              <w:t>1.1</w:t>
            </w:r>
          </w:p>
        </w:tc>
        <w:tc>
          <w:tcPr>
            <w:tcW w:w="7005" w:type="dxa"/>
            <w:tcBorders>
              <w:right w:val="single" w:color="000000" w:sz="8" w:space="0"/>
            </w:tcBorders>
            <w:vAlign w:val="top"/>
          </w:tcPr>
          <w:p w14:paraId="248C528C">
            <w:pPr>
              <w:pStyle w:val="26"/>
              <w:spacing w:before="51" w:line="231" w:lineRule="auto"/>
              <w:ind w:left="46"/>
              <w:rPr>
                <w:rFonts w:hint="eastAsia" w:eastAsia="仿宋"/>
                <w:highlight w:val="none"/>
                <w:lang w:eastAsia="zh-CN"/>
              </w:rPr>
            </w:pPr>
            <w:r>
              <w:rPr>
                <w:spacing w:val="7"/>
                <w:highlight w:val="none"/>
              </w:rPr>
              <w:t>采购人：</w:t>
            </w:r>
            <w:r>
              <w:rPr>
                <w:rFonts w:hint="eastAsia"/>
                <w:spacing w:val="7"/>
                <w:highlight w:val="none"/>
                <w:lang w:eastAsia="zh-CN"/>
              </w:rPr>
              <w:t>英吉沙县农业农村局</w:t>
            </w:r>
          </w:p>
          <w:p w14:paraId="1E15965D">
            <w:pPr>
              <w:pStyle w:val="26"/>
              <w:spacing w:before="177" w:line="231" w:lineRule="auto"/>
              <w:ind w:left="42"/>
              <w:rPr>
                <w:rFonts w:hint="eastAsia" w:eastAsia="仿宋"/>
                <w:highlight w:val="none"/>
                <w:lang w:eastAsia="zh-CN"/>
              </w:rPr>
            </w:pPr>
            <w:r>
              <w:rPr>
                <w:spacing w:val="7"/>
                <w:highlight w:val="none"/>
              </w:rPr>
              <w:t>地址：</w:t>
            </w:r>
            <w:r>
              <w:rPr>
                <w:rFonts w:hint="eastAsia"/>
                <w:spacing w:val="7"/>
                <w:highlight w:val="none"/>
                <w:lang w:eastAsia="zh-CN"/>
              </w:rPr>
              <w:t>英吉沙县农业农村局</w:t>
            </w:r>
          </w:p>
          <w:p w14:paraId="5E6BA5AD">
            <w:pPr>
              <w:pStyle w:val="26"/>
              <w:spacing w:before="176" w:line="231" w:lineRule="auto"/>
              <w:ind w:left="36"/>
              <w:rPr>
                <w:rFonts w:hint="eastAsia" w:eastAsia="仿宋"/>
                <w:highlight w:val="none"/>
                <w:lang w:eastAsia="zh-CN"/>
              </w:rPr>
            </w:pPr>
            <w:r>
              <w:rPr>
                <w:spacing w:val="4"/>
                <w:highlight w:val="none"/>
              </w:rPr>
              <w:t>联系方式：</w:t>
            </w:r>
            <w:r>
              <w:rPr>
                <w:rFonts w:hint="eastAsia"/>
                <w:spacing w:val="4"/>
                <w:highlight w:val="none"/>
                <w:lang w:eastAsia="zh-CN"/>
              </w:rPr>
              <w:t>13579574473</w:t>
            </w:r>
          </w:p>
        </w:tc>
      </w:tr>
      <w:tr w14:paraId="377B3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09" w:type="dxa"/>
            <w:tcBorders>
              <w:left w:val="single" w:color="000000" w:sz="8" w:space="0"/>
            </w:tcBorders>
            <w:vAlign w:val="center"/>
          </w:tcPr>
          <w:p w14:paraId="3E91C6BF">
            <w:pPr>
              <w:pStyle w:val="26"/>
              <w:spacing w:before="75" w:line="187" w:lineRule="auto"/>
              <w:jc w:val="center"/>
              <w:rPr>
                <w:highlight w:val="none"/>
              </w:rPr>
            </w:pPr>
            <w:r>
              <w:rPr>
                <w:spacing w:val="-9"/>
                <w:highlight w:val="none"/>
              </w:rPr>
              <w:t>1.2</w:t>
            </w:r>
          </w:p>
        </w:tc>
        <w:tc>
          <w:tcPr>
            <w:tcW w:w="7005" w:type="dxa"/>
            <w:tcBorders>
              <w:right w:val="single" w:color="000000" w:sz="8" w:space="0"/>
            </w:tcBorders>
            <w:vAlign w:val="top"/>
          </w:tcPr>
          <w:p w14:paraId="40556CEF">
            <w:pPr>
              <w:pStyle w:val="26"/>
              <w:spacing w:before="54" w:line="231" w:lineRule="auto"/>
              <w:ind w:left="46"/>
              <w:rPr>
                <w:rFonts w:hint="eastAsia" w:eastAsia="仿宋"/>
                <w:highlight w:val="none"/>
                <w:lang w:eastAsia="zh-CN"/>
              </w:rPr>
            </w:pPr>
            <w:r>
              <w:rPr>
                <w:spacing w:val="8"/>
                <w:highlight w:val="none"/>
              </w:rPr>
              <w:t>采购代理机构：</w:t>
            </w:r>
            <w:r>
              <w:rPr>
                <w:rFonts w:hint="eastAsia"/>
                <w:spacing w:val="8"/>
                <w:highlight w:val="none"/>
                <w:lang w:eastAsia="zh-CN"/>
              </w:rPr>
              <w:t>新疆中泰正信项目管理有限公司</w:t>
            </w:r>
          </w:p>
          <w:p w14:paraId="06E08465">
            <w:pPr>
              <w:pStyle w:val="26"/>
              <w:spacing w:before="175" w:line="231" w:lineRule="auto"/>
              <w:ind w:left="48" w:right="127" w:hanging="6"/>
              <w:rPr>
                <w:highlight w:val="none"/>
              </w:rPr>
            </w:pPr>
            <w:r>
              <w:rPr>
                <w:spacing w:val="6"/>
                <w:highlight w:val="none"/>
              </w:rPr>
              <w:t>地</w:t>
            </w:r>
            <w:r>
              <w:rPr>
                <w:rFonts w:hint="eastAsia"/>
                <w:spacing w:val="8"/>
                <w:highlight w:val="none"/>
                <w:lang w:eastAsia="zh-CN"/>
              </w:rPr>
              <w:t>址：新疆喀什地区英吉沙县光明路新城商业街1号楼2-1号</w:t>
            </w:r>
          </w:p>
          <w:p w14:paraId="0025FB40">
            <w:pPr>
              <w:pStyle w:val="26"/>
              <w:spacing w:before="181" w:line="231" w:lineRule="auto"/>
              <w:ind w:left="36"/>
              <w:rPr>
                <w:rFonts w:hint="eastAsia" w:eastAsia="仿宋"/>
                <w:highlight w:val="none"/>
                <w:lang w:eastAsia="zh-CN"/>
              </w:rPr>
            </w:pPr>
            <w:r>
              <w:rPr>
                <w:spacing w:val="-5"/>
                <w:highlight w:val="none"/>
              </w:rPr>
              <w:t>联系人：</w:t>
            </w:r>
            <w:r>
              <w:rPr>
                <w:rFonts w:hint="eastAsia"/>
                <w:spacing w:val="-5"/>
                <w:highlight w:val="none"/>
                <w:lang w:eastAsia="zh-CN"/>
              </w:rPr>
              <w:t>苏贺</w:t>
            </w:r>
          </w:p>
          <w:p w14:paraId="1283754B">
            <w:pPr>
              <w:pStyle w:val="26"/>
              <w:spacing w:before="176" w:line="209" w:lineRule="auto"/>
              <w:ind w:left="94"/>
              <w:rPr>
                <w:rFonts w:hint="eastAsia" w:eastAsia="仿宋"/>
                <w:highlight w:val="none"/>
                <w:lang w:eastAsia="zh-CN"/>
              </w:rPr>
            </w:pPr>
            <w:r>
              <w:rPr>
                <w:spacing w:val="-3"/>
                <w:highlight w:val="none"/>
              </w:rPr>
              <w:t>电话：</w:t>
            </w:r>
            <w:r>
              <w:rPr>
                <w:rFonts w:hint="eastAsia"/>
                <w:spacing w:val="-3"/>
                <w:highlight w:val="none"/>
                <w:lang w:eastAsia="zh-CN"/>
              </w:rPr>
              <w:t>15026328789</w:t>
            </w:r>
          </w:p>
        </w:tc>
      </w:tr>
      <w:tr w14:paraId="33FC3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09" w:type="dxa"/>
            <w:tcBorders>
              <w:left w:val="single" w:color="000000" w:sz="8" w:space="0"/>
            </w:tcBorders>
            <w:vAlign w:val="center"/>
          </w:tcPr>
          <w:p w14:paraId="1B3867FC">
            <w:pPr>
              <w:pStyle w:val="26"/>
              <w:spacing w:before="75" w:line="187" w:lineRule="auto"/>
              <w:jc w:val="center"/>
              <w:rPr>
                <w:highlight w:val="none"/>
              </w:rPr>
            </w:pPr>
            <w:r>
              <w:rPr>
                <w:spacing w:val="-5"/>
                <w:highlight w:val="none"/>
              </w:rPr>
              <w:t>1.3.4</w:t>
            </w:r>
          </w:p>
        </w:tc>
        <w:tc>
          <w:tcPr>
            <w:tcW w:w="7005" w:type="dxa"/>
            <w:tcBorders>
              <w:right w:val="single" w:color="000000" w:sz="8" w:space="0"/>
            </w:tcBorders>
            <w:vAlign w:val="top"/>
          </w:tcPr>
          <w:p w14:paraId="3C1C2A1E">
            <w:pPr>
              <w:spacing w:before="23" w:line="243" w:lineRule="auto"/>
              <w:ind w:left="10" w:right="14" w:firstLine="11"/>
              <w:jc w:val="both"/>
              <w:rPr>
                <w:rFonts w:hint="eastAsia" w:ascii="仿宋" w:hAnsi="仿宋" w:eastAsia="仿宋" w:cs="仿宋"/>
                <w:spacing w:val="7"/>
                <w:sz w:val="23"/>
                <w:szCs w:val="23"/>
                <w:highlight w:val="none"/>
                <w:lang w:eastAsia="zh-CN"/>
              </w:rPr>
            </w:pPr>
            <w:r>
              <w:rPr>
                <w:rFonts w:hint="eastAsia" w:ascii="仿宋" w:hAnsi="仿宋" w:eastAsia="仿宋" w:cs="仿宋"/>
                <w:spacing w:val="7"/>
                <w:sz w:val="23"/>
                <w:szCs w:val="23"/>
                <w:highlight w:val="none"/>
                <w:lang w:eastAsia="zh-CN"/>
              </w:rPr>
              <w:t>合格供应商的其他资格要求：</w:t>
            </w:r>
          </w:p>
          <w:p w14:paraId="261C8DB2">
            <w:pPr>
              <w:pStyle w:val="26"/>
              <w:spacing w:before="1" w:line="242" w:lineRule="auto"/>
              <w:ind w:right="16"/>
              <w:rPr>
                <w:highlight w:val="none"/>
              </w:rPr>
            </w:pPr>
            <w:r>
              <w:rPr>
                <w:spacing w:val="8"/>
                <w:highlight w:val="none"/>
              </w:rPr>
              <w:t>①</w:t>
            </w:r>
            <w:r>
              <w:rPr>
                <w:rFonts w:hint="eastAsia"/>
                <w:spacing w:val="8"/>
                <w:highlight w:val="none"/>
                <w:lang w:eastAsia="zh-CN"/>
              </w:rPr>
              <w:t>法人或者非法人组织的营业执照等证明文件复印件（须加盖本单位章）或自然人的身份证明复印件；</w:t>
            </w:r>
          </w:p>
          <w:p w14:paraId="7A8549AB">
            <w:pPr>
              <w:pStyle w:val="26"/>
              <w:spacing w:before="22" w:line="243" w:lineRule="auto"/>
              <w:ind w:left="267" w:right="16" w:hanging="250"/>
              <w:rPr>
                <w:rFonts w:hint="eastAsia" w:eastAsia="方正仿宋_GBK"/>
                <w:highlight w:val="none"/>
                <w:lang w:eastAsia="zh-CN"/>
              </w:rPr>
            </w:pPr>
            <w:r>
              <w:rPr>
                <w:spacing w:val="9"/>
                <w:highlight w:val="none"/>
              </w:rPr>
              <w:t>②</w:t>
            </w:r>
            <w:r>
              <w:rPr>
                <w:rFonts w:hint="eastAsia"/>
                <w:spacing w:val="9"/>
                <w:highlight w:val="none"/>
                <w:lang w:eastAsia="zh-CN"/>
              </w:rPr>
              <w:t>法定代表人证明或法定代表人授权委托书签字并加盖公章（自然人投标的无需提供）；</w:t>
            </w:r>
          </w:p>
          <w:p w14:paraId="5BE7D8C2">
            <w:pPr>
              <w:pStyle w:val="26"/>
              <w:spacing w:before="18" w:line="237" w:lineRule="auto"/>
              <w:ind w:right="2"/>
              <w:jc w:val="left"/>
              <w:rPr>
                <w:rFonts w:hint="eastAsia"/>
                <w:spacing w:val="8"/>
                <w:highlight w:val="none"/>
              </w:rPr>
            </w:pPr>
            <w:r>
              <w:rPr>
                <w:spacing w:val="4"/>
                <w:highlight w:val="none"/>
              </w:rPr>
              <w:t>③</w:t>
            </w:r>
            <w:r>
              <w:rPr>
                <w:rFonts w:hint="eastAsia"/>
                <w:spacing w:val="8"/>
                <w:highlight w:val="none"/>
              </w:rPr>
              <w:t>提供依法缴纳近6个月任意</w:t>
            </w:r>
            <w:r>
              <w:rPr>
                <w:rFonts w:hint="eastAsia"/>
                <w:spacing w:val="8"/>
                <w:highlight w:val="none"/>
                <w:lang w:val="en-US" w:eastAsia="zh-CN"/>
              </w:rPr>
              <w:t>连续3</w:t>
            </w:r>
            <w:r>
              <w:rPr>
                <w:rFonts w:hint="eastAsia"/>
                <w:spacing w:val="8"/>
                <w:highlight w:val="none"/>
              </w:rPr>
              <w:t>个月缴纳社会保障金的证明材料（</w:t>
            </w:r>
            <w:r>
              <w:rPr>
                <w:rFonts w:hint="eastAsia"/>
                <w:spacing w:val="8"/>
                <w:highlight w:val="none"/>
                <w:lang w:eastAsia="zh-CN"/>
              </w:rPr>
              <w:t>投标人单位的社保缴费凭证及个人明细表，新成立不足三个月的企业提供成立至今的缴纳社会保障金的证明材料</w:t>
            </w:r>
            <w:r>
              <w:rPr>
                <w:rFonts w:hint="eastAsia"/>
                <w:spacing w:val="8"/>
                <w:highlight w:val="none"/>
              </w:rPr>
              <w:t>）；</w:t>
            </w:r>
          </w:p>
          <w:p w14:paraId="798B71EC">
            <w:pPr>
              <w:pStyle w:val="26"/>
              <w:spacing w:before="18" w:line="237" w:lineRule="auto"/>
              <w:ind w:right="2"/>
              <w:jc w:val="left"/>
              <w:rPr>
                <w:rFonts w:hint="eastAsia" w:eastAsia="方正仿宋_GBK"/>
                <w:highlight w:val="none"/>
                <w:lang w:eastAsia="zh-CN"/>
              </w:rPr>
            </w:pPr>
            <w:r>
              <w:rPr>
                <w:spacing w:val="13"/>
                <w:highlight w:val="none"/>
              </w:rPr>
              <w:t>④</w:t>
            </w:r>
            <w:r>
              <w:rPr>
                <w:rFonts w:hint="eastAsia"/>
                <w:spacing w:val="2"/>
                <w:highlight w:val="none"/>
                <w:lang w:eastAsia="zh-CN"/>
              </w:rPr>
              <w:t>提供依法缴纳近6个月任意</w:t>
            </w:r>
            <w:r>
              <w:rPr>
                <w:rFonts w:hint="eastAsia"/>
                <w:spacing w:val="2"/>
                <w:highlight w:val="none"/>
                <w:lang w:val="en-US" w:eastAsia="zh-CN"/>
              </w:rPr>
              <w:t>3</w:t>
            </w:r>
            <w:r>
              <w:rPr>
                <w:rFonts w:hint="eastAsia"/>
                <w:spacing w:val="2"/>
                <w:highlight w:val="none"/>
                <w:lang w:eastAsia="zh-CN"/>
              </w:rPr>
              <w:t>个月税收证明（税务部门出具的完税凭证或缴税证明或银行出具的“银行电子缴税付款凭证”）；注：①若为零申报企业，需提供无欠税证明或国家税务总局电子税务局“申报结果查询截图”。②“税种”非社会保险；</w:t>
            </w:r>
          </w:p>
          <w:p w14:paraId="1770DDAE">
            <w:pPr>
              <w:pStyle w:val="26"/>
              <w:spacing w:before="18" w:line="247" w:lineRule="auto"/>
              <w:ind w:left="266" w:right="14" w:hanging="249"/>
              <w:jc w:val="left"/>
              <w:rPr>
                <w:rFonts w:hint="eastAsia" w:eastAsia="方正仿宋_GBK"/>
                <w:highlight w:val="none"/>
                <w:lang w:eastAsia="zh-CN"/>
              </w:rPr>
            </w:pPr>
            <w:r>
              <w:rPr>
                <w:spacing w:val="8"/>
                <w:highlight w:val="none"/>
              </w:rPr>
              <w:t>⑤</w:t>
            </w:r>
            <w:r>
              <w:rPr>
                <w:rFonts w:hint="eastAsia"/>
                <w:spacing w:val="13"/>
                <w:highlight w:val="none"/>
                <w:lang w:eastAsia="zh-CN"/>
              </w:rPr>
              <w:t>具有良好的商业信誉和健全的财务会计制度的证明材料（2023年度财务审计报告或2024年度财务审计报告，新成立公司提供银行资信证明复印件加盖投标单位公章）；</w:t>
            </w:r>
          </w:p>
          <w:p w14:paraId="04FA22C3">
            <w:pPr>
              <w:pStyle w:val="26"/>
              <w:spacing w:before="12" w:line="234" w:lineRule="auto"/>
              <w:ind w:left="17"/>
              <w:rPr>
                <w:rFonts w:hint="eastAsia" w:eastAsia="方正仿宋_GBK"/>
                <w:highlight w:val="none"/>
                <w:lang w:eastAsia="zh-CN"/>
              </w:rPr>
            </w:pPr>
            <w:r>
              <w:rPr>
                <w:spacing w:val="7"/>
                <w:highlight w:val="none"/>
              </w:rPr>
              <w:t>⑥</w:t>
            </w:r>
            <w:r>
              <w:rPr>
                <w:rFonts w:hint="eastAsia"/>
                <w:spacing w:val="8"/>
                <w:highlight w:val="none"/>
                <w:lang w:eastAsia="zh-CN"/>
              </w:rPr>
              <w:t>参加政府采购活动前3年内，在经营活动中无重大违法声明；</w:t>
            </w:r>
          </w:p>
          <w:p w14:paraId="4D1B03AE">
            <w:pPr>
              <w:pStyle w:val="26"/>
              <w:spacing w:before="23" w:line="217" w:lineRule="auto"/>
              <w:ind w:left="17"/>
              <w:rPr>
                <w:highlight w:val="none"/>
              </w:rPr>
            </w:pPr>
            <w:r>
              <w:rPr>
                <w:spacing w:val="7"/>
                <w:highlight w:val="none"/>
              </w:rPr>
              <w:t>⑦投标人提供针对本项目的《反商业贿赂承诺书》；</w:t>
            </w:r>
          </w:p>
          <w:p w14:paraId="2988A297">
            <w:pPr>
              <w:pStyle w:val="26"/>
              <w:spacing w:line="253" w:lineRule="auto"/>
              <w:ind w:left="254" w:hanging="237"/>
              <w:rPr>
                <w:highlight w:val="none"/>
              </w:rPr>
            </w:pPr>
            <w:r>
              <w:rPr>
                <w:rFonts w:ascii="方正仿宋_GBK" w:hAnsi="方正仿宋_GBK" w:eastAsia="方正仿宋_GBK" w:cs="方正仿宋_GBK"/>
                <w:snapToGrid w:val="0"/>
                <w:color w:val="000000"/>
                <w:spacing w:val="12"/>
                <w:kern w:val="0"/>
                <w:sz w:val="23"/>
                <w:szCs w:val="23"/>
                <w:highlight w:val="none"/>
                <w:lang w:val="en-US" w:eastAsia="en-US" w:bidi="ar-SA"/>
              </w:rPr>
              <w:t>⑧</w:t>
            </w:r>
            <w:r>
              <w:rPr>
                <w:rFonts w:hint="eastAsia"/>
                <w:highlight w:val="none"/>
              </w:rPr>
              <w:t>根据《财政部关于在政府采购活动中查询及使用信用记录有关问题的通知》（财库﹝2016)125号）的要求，凡拟参加本次项目的投标人，在“信用中国”网站（http://www.creditchina.gov.cn）网站上被列入失信被执行人名单、重大税收违法案件当事人名单；中国政府采购网（http://www.ccgp.gov.cn）网站上被列入政府采购严重违法失信行为记录名单；国家企业信用信息公示系统(http://www.gsxt.gov.cn)查询被列入经营异常名录、严重违法失信名单的投标人将被认定为投标无效；需提供相关网站打印件（加盖响应单位公章、必须为完整版）提供截图日期需在本项目发布公告日期之后；</w:t>
            </w:r>
          </w:p>
          <w:p w14:paraId="16199C11">
            <w:pPr>
              <w:spacing w:before="23" w:line="248" w:lineRule="auto"/>
              <w:ind w:left="24"/>
              <w:rPr>
                <w:rFonts w:hint="eastAsia" w:ascii="仿宋" w:hAnsi="仿宋" w:eastAsia="仿宋" w:cs="仿宋"/>
                <w:spacing w:val="3"/>
                <w:sz w:val="23"/>
                <w:szCs w:val="23"/>
                <w:highlight w:val="none"/>
                <w:lang w:val="en-US" w:eastAsia="zh-CN"/>
              </w:rPr>
            </w:pPr>
            <w:r>
              <w:rPr>
                <w:rFonts w:hint="eastAsia" w:ascii="方正仿宋_GBK" w:hAnsi="方正仿宋_GBK" w:eastAsia="方正仿宋_GBK" w:cs="方正仿宋_GBK"/>
                <w:snapToGrid w:val="0"/>
                <w:color w:val="000000"/>
                <w:spacing w:val="12"/>
                <w:kern w:val="0"/>
                <w:sz w:val="23"/>
                <w:szCs w:val="23"/>
                <w:highlight w:val="none"/>
                <w:lang w:val="en-US" w:eastAsia="zh-CN" w:bidi="ar-SA"/>
              </w:rPr>
              <w:t>⑨</w:t>
            </w:r>
            <w:r>
              <w:rPr>
                <w:rFonts w:ascii="方正仿宋_GBK" w:hAnsi="方正仿宋_GBK" w:eastAsia="方正仿宋_GBK" w:cs="方正仿宋_GBK"/>
                <w:snapToGrid w:val="0"/>
                <w:color w:val="000000"/>
                <w:spacing w:val="12"/>
                <w:kern w:val="0"/>
                <w:sz w:val="23"/>
                <w:szCs w:val="23"/>
                <w:highlight w:val="none"/>
                <w:lang w:val="en-US" w:eastAsia="en-US" w:bidi="ar-SA"/>
              </w:rPr>
              <w:t>缴纳投标保证金（电汇或转账）凭证或保函扫描件</w:t>
            </w:r>
            <w:r>
              <w:rPr>
                <w:rFonts w:hint="eastAsia" w:ascii="仿宋" w:hAnsi="仿宋" w:eastAsia="仿宋" w:cs="仿宋"/>
                <w:spacing w:val="3"/>
                <w:sz w:val="23"/>
                <w:szCs w:val="23"/>
                <w:highlight w:val="none"/>
                <w:lang w:val="en-US" w:eastAsia="zh-CN"/>
              </w:rPr>
              <w:t>。</w:t>
            </w:r>
          </w:p>
          <w:p w14:paraId="16C8034D">
            <w:pPr>
              <w:pStyle w:val="2"/>
              <w:ind w:left="0" w:leftChars="0" w:firstLine="0" w:firstLineChars="0"/>
              <w:rPr>
                <w:highlight w:val="none"/>
              </w:rPr>
            </w:pPr>
            <w:r>
              <w:rPr>
                <w:rFonts w:hint="eastAsia" w:eastAsia="宋体"/>
                <w:highlight w:val="none"/>
                <w:lang w:val="en-US" w:eastAsia="zh-CN"/>
              </w:rPr>
              <w:t>⑩</w:t>
            </w:r>
            <w:r>
              <w:rPr>
                <w:rFonts w:hint="eastAsia" w:ascii="方正仿宋_GBK" w:hAnsi="方正仿宋_GBK" w:eastAsia="方正仿宋_GBK" w:cs="方正仿宋_GBK"/>
                <w:snapToGrid w:val="0"/>
                <w:color w:val="000000"/>
                <w:spacing w:val="12"/>
                <w:kern w:val="0"/>
                <w:sz w:val="23"/>
                <w:szCs w:val="23"/>
                <w:highlight w:val="none"/>
                <w:lang w:val="en-US" w:eastAsia="en-US" w:bidi="ar-SA"/>
              </w:rPr>
              <w:t>具有省级部门认定的农民培训资格或者具有主管部门颁发的办学许可证。</w:t>
            </w:r>
          </w:p>
        </w:tc>
      </w:tr>
      <w:tr w14:paraId="3BECF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09" w:type="dxa"/>
            <w:tcBorders>
              <w:left w:val="single" w:color="000000" w:sz="8" w:space="0"/>
            </w:tcBorders>
            <w:shd w:val="clear" w:color="auto" w:fill="auto"/>
            <w:vAlign w:val="center"/>
          </w:tcPr>
          <w:p w14:paraId="1A70D24C">
            <w:pPr>
              <w:pStyle w:val="26"/>
              <w:spacing w:line="240" w:lineRule="auto"/>
              <w:jc w:val="center"/>
              <w:rPr>
                <w:rFonts w:ascii="仿宋" w:hAnsi="仿宋" w:eastAsia="仿宋" w:cs="仿宋"/>
                <w:snapToGrid w:val="0"/>
                <w:color w:val="000000"/>
                <w:kern w:val="0"/>
                <w:sz w:val="23"/>
                <w:szCs w:val="23"/>
                <w:highlight w:val="none"/>
                <w:lang w:val="en-US" w:eastAsia="en-US" w:bidi="ar-SA"/>
              </w:rPr>
            </w:pPr>
            <w:r>
              <w:rPr>
                <w:spacing w:val="-5"/>
                <w:highlight w:val="none"/>
              </w:rPr>
              <w:t>1.3.5</w:t>
            </w:r>
          </w:p>
        </w:tc>
        <w:tc>
          <w:tcPr>
            <w:tcW w:w="7005" w:type="dxa"/>
            <w:tcBorders>
              <w:right w:val="single" w:color="000000" w:sz="8" w:space="0"/>
            </w:tcBorders>
            <w:shd w:val="clear" w:color="auto" w:fill="auto"/>
            <w:vAlign w:val="top"/>
          </w:tcPr>
          <w:p w14:paraId="49B63956">
            <w:pPr>
              <w:pStyle w:val="26"/>
              <w:spacing w:before="68" w:line="231" w:lineRule="auto"/>
              <w:ind w:left="42" w:leftChars="0"/>
              <w:jc w:val="both"/>
              <w:rPr>
                <w:rFonts w:hint="eastAsia" w:ascii="仿宋" w:hAnsi="仿宋" w:eastAsia="方正仿宋_GBK" w:cs="仿宋"/>
                <w:snapToGrid w:val="0"/>
                <w:color w:val="000000"/>
                <w:kern w:val="0"/>
                <w:sz w:val="23"/>
                <w:szCs w:val="23"/>
                <w:highlight w:val="none"/>
                <w:lang w:val="en-US" w:eastAsia="zh-CN" w:bidi="ar-SA"/>
              </w:rPr>
            </w:pPr>
            <w:r>
              <w:rPr>
                <w:spacing w:val="6"/>
                <w:highlight w:val="none"/>
              </w:rPr>
              <w:t>是否允许采购进口产品：</w:t>
            </w:r>
            <w:r>
              <w:rPr>
                <w:spacing w:val="6"/>
                <w:highlight w:val="none"/>
                <w:u w:val="single"/>
              </w:rPr>
              <w:t>否</w:t>
            </w:r>
          </w:p>
        </w:tc>
      </w:tr>
      <w:tr w14:paraId="1284A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309" w:type="dxa"/>
            <w:tcBorders>
              <w:left w:val="single" w:color="000000" w:sz="8" w:space="0"/>
            </w:tcBorders>
            <w:shd w:val="clear" w:color="auto" w:fill="auto"/>
            <w:vAlign w:val="center"/>
          </w:tcPr>
          <w:p w14:paraId="52C0A082">
            <w:pPr>
              <w:pStyle w:val="26"/>
              <w:spacing w:before="88" w:line="187" w:lineRule="auto"/>
              <w:jc w:val="center"/>
              <w:rPr>
                <w:rFonts w:ascii="仿宋" w:hAnsi="仿宋" w:eastAsia="仿宋" w:cs="仿宋"/>
                <w:snapToGrid w:val="0"/>
                <w:color w:val="000000"/>
                <w:kern w:val="0"/>
                <w:sz w:val="23"/>
                <w:szCs w:val="23"/>
                <w:highlight w:val="none"/>
                <w:lang w:val="en-US" w:eastAsia="en-US" w:bidi="ar-SA"/>
              </w:rPr>
            </w:pPr>
            <w:r>
              <w:rPr>
                <w:spacing w:val="-5"/>
                <w:highlight w:val="none"/>
              </w:rPr>
              <w:t>1.3.6</w:t>
            </w:r>
          </w:p>
        </w:tc>
        <w:tc>
          <w:tcPr>
            <w:tcW w:w="7005" w:type="dxa"/>
            <w:tcBorders>
              <w:right w:val="single" w:color="000000" w:sz="8" w:space="0"/>
            </w:tcBorders>
            <w:shd w:val="clear" w:color="auto" w:fill="auto"/>
            <w:vAlign w:val="top"/>
          </w:tcPr>
          <w:p w14:paraId="411E5B36">
            <w:pPr>
              <w:pStyle w:val="26"/>
              <w:spacing w:before="55" w:line="230" w:lineRule="auto"/>
              <w:ind w:left="42"/>
              <w:rPr>
                <w:rFonts w:hint="default" w:eastAsia="仿宋"/>
                <w:highlight w:val="none"/>
                <w:u w:val="single"/>
                <w:lang w:val="en-US" w:eastAsia="zh-CN"/>
              </w:rPr>
            </w:pPr>
            <w:r>
              <w:rPr>
                <w:spacing w:val="8"/>
                <w:highlight w:val="none"/>
              </w:rPr>
              <w:t>是否为专门面向中小企业采购：</w:t>
            </w:r>
            <w:r>
              <w:rPr>
                <w:rFonts w:hint="eastAsia"/>
                <w:spacing w:val="8"/>
                <w:highlight w:val="none"/>
                <w:u w:val="single"/>
                <w:lang w:val="en-US" w:eastAsia="zh-CN"/>
              </w:rPr>
              <w:t>是</w:t>
            </w:r>
          </w:p>
          <w:p w14:paraId="5D09885B">
            <w:pPr>
              <w:pStyle w:val="26"/>
              <w:spacing w:before="39" w:line="212" w:lineRule="auto"/>
              <w:ind w:left="42" w:leftChars="0"/>
              <w:rPr>
                <w:rFonts w:hint="eastAsia" w:ascii="仿宋" w:hAnsi="仿宋" w:eastAsia="仿宋" w:cs="仿宋"/>
                <w:snapToGrid w:val="0"/>
                <w:color w:val="000000"/>
                <w:kern w:val="0"/>
                <w:sz w:val="23"/>
                <w:szCs w:val="23"/>
                <w:highlight w:val="none"/>
                <w:lang w:val="en-US" w:eastAsia="zh-CN" w:bidi="ar-SA"/>
              </w:rPr>
            </w:pPr>
            <w:r>
              <w:rPr>
                <w:spacing w:val="9"/>
                <w:highlight w:val="none"/>
              </w:rPr>
              <w:t>本项目行业划分为：</w:t>
            </w:r>
            <w:r>
              <w:rPr>
                <w:rFonts w:hint="eastAsia" w:ascii="仿宋" w:hAnsi="仿宋" w:eastAsia="仿宋" w:cs="仿宋"/>
                <w:b/>
                <w:bCs/>
                <w:i w:val="0"/>
                <w:iCs w:val="0"/>
                <w:color w:val="auto"/>
                <w:kern w:val="0"/>
                <w:sz w:val="20"/>
                <w:szCs w:val="20"/>
                <w:highlight w:val="none"/>
                <w:u w:val="single"/>
                <w:lang w:val="en-US" w:eastAsia="zh-CN" w:bidi="ar"/>
              </w:rPr>
              <w:t>其他未列明行业</w:t>
            </w:r>
          </w:p>
        </w:tc>
      </w:tr>
      <w:tr w14:paraId="49AA2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309" w:type="dxa"/>
            <w:tcBorders>
              <w:left w:val="single" w:color="000000" w:sz="8" w:space="0"/>
            </w:tcBorders>
            <w:shd w:val="clear" w:color="auto" w:fill="auto"/>
            <w:vAlign w:val="center"/>
          </w:tcPr>
          <w:p w14:paraId="76D226A7">
            <w:pPr>
              <w:pStyle w:val="26"/>
              <w:spacing w:before="87" w:line="187" w:lineRule="auto"/>
              <w:jc w:val="center"/>
              <w:rPr>
                <w:rFonts w:ascii="仿宋" w:hAnsi="仿宋" w:eastAsia="仿宋" w:cs="仿宋"/>
                <w:snapToGrid w:val="0"/>
                <w:color w:val="000000"/>
                <w:kern w:val="0"/>
                <w:sz w:val="23"/>
                <w:szCs w:val="23"/>
                <w:highlight w:val="none"/>
                <w:lang w:val="en-US" w:eastAsia="en-US" w:bidi="ar-SA"/>
              </w:rPr>
            </w:pPr>
            <w:r>
              <w:rPr>
                <w:spacing w:val="-9"/>
                <w:highlight w:val="none"/>
              </w:rPr>
              <w:t>1.4</w:t>
            </w:r>
          </w:p>
        </w:tc>
        <w:tc>
          <w:tcPr>
            <w:tcW w:w="7005" w:type="dxa"/>
            <w:tcBorders>
              <w:right w:val="single" w:color="000000" w:sz="8" w:space="0"/>
            </w:tcBorders>
            <w:shd w:val="clear" w:color="auto" w:fill="auto"/>
            <w:vAlign w:val="top"/>
          </w:tcPr>
          <w:p w14:paraId="39278AA3">
            <w:pPr>
              <w:pStyle w:val="26"/>
              <w:spacing w:before="56" w:line="231" w:lineRule="auto"/>
              <w:ind w:left="42" w:leftChars="0"/>
              <w:rPr>
                <w:rFonts w:ascii="仿宋" w:hAnsi="仿宋" w:eastAsia="仿宋" w:cs="仿宋"/>
                <w:snapToGrid w:val="0"/>
                <w:color w:val="000000"/>
                <w:kern w:val="0"/>
                <w:sz w:val="23"/>
                <w:szCs w:val="23"/>
                <w:highlight w:val="none"/>
                <w:lang w:val="en-US" w:eastAsia="en-US" w:bidi="ar-SA"/>
              </w:rPr>
            </w:pPr>
            <w:r>
              <w:rPr>
                <w:spacing w:val="8"/>
                <w:highlight w:val="none"/>
              </w:rPr>
              <w:t>是否允许联合体投标：否</w:t>
            </w:r>
          </w:p>
        </w:tc>
      </w:tr>
      <w:tr w14:paraId="6B3E7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309" w:type="dxa"/>
            <w:tcBorders>
              <w:left w:val="single" w:color="000000" w:sz="8" w:space="0"/>
            </w:tcBorders>
            <w:shd w:val="clear" w:color="auto" w:fill="auto"/>
            <w:vAlign w:val="center"/>
          </w:tcPr>
          <w:p w14:paraId="6DEA937B">
            <w:pPr>
              <w:pStyle w:val="26"/>
              <w:spacing w:before="90" w:line="187" w:lineRule="auto"/>
              <w:jc w:val="center"/>
              <w:rPr>
                <w:rFonts w:ascii="仿宋" w:hAnsi="仿宋" w:eastAsia="仿宋" w:cs="仿宋"/>
                <w:snapToGrid w:val="0"/>
                <w:color w:val="000000"/>
                <w:kern w:val="0"/>
                <w:sz w:val="23"/>
                <w:szCs w:val="23"/>
                <w:highlight w:val="none"/>
                <w:lang w:val="en-US" w:eastAsia="en-US" w:bidi="ar-SA"/>
              </w:rPr>
            </w:pPr>
            <w:r>
              <w:rPr>
                <w:spacing w:val="-5"/>
                <w:highlight w:val="none"/>
              </w:rPr>
              <w:t>1.4.8</w:t>
            </w:r>
          </w:p>
        </w:tc>
        <w:tc>
          <w:tcPr>
            <w:tcW w:w="7005" w:type="dxa"/>
            <w:tcBorders>
              <w:right w:val="single" w:color="000000" w:sz="8" w:space="0"/>
            </w:tcBorders>
            <w:shd w:val="clear" w:color="auto" w:fill="auto"/>
            <w:vAlign w:val="top"/>
          </w:tcPr>
          <w:p w14:paraId="2F46EE8B">
            <w:pPr>
              <w:pStyle w:val="26"/>
              <w:spacing w:before="59" w:line="230" w:lineRule="auto"/>
              <w:ind w:left="36" w:leftChars="0"/>
              <w:rPr>
                <w:rFonts w:ascii="仿宋" w:hAnsi="仿宋" w:eastAsia="仿宋" w:cs="仿宋"/>
                <w:snapToGrid w:val="0"/>
                <w:color w:val="000000"/>
                <w:kern w:val="0"/>
                <w:sz w:val="23"/>
                <w:szCs w:val="23"/>
                <w:highlight w:val="none"/>
                <w:lang w:val="en-US" w:eastAsia="en-US" w:bidi="ar-SA"/>
              </w:rPr>
            </w:pPr>
            <w:r>
              <w:rPr>
                <w:spacing w:val="7"/>
                <w:highlight w:val="none"/>
              </w:rPr>
              <w:t>联合体的其他资格要求：/</w:t>
            </w:r>
          </w:p>
        </w:tc>
      </w:tr>
      <w:tr w14:paraId="74FA4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309" w:type="dxa"/>
            <w:tcBorders>
              <w:left w:val="single" w:color="000000" w:sz="8" w:space="0"/>
            </w:tcBorders>
            <w:shd w:val="clear" w:color="auto" w:fill="auto"/>
            <w:vAlign w:val="center"/>
          </w:tcPr>
          <w:p w14:paraId="0C91FC7C">
            <w:pPr>
              <w:pStyle w:val="26"/>
              <w:spacing w:before="93" w:line="186" w:lineRule="auto"/>
              <w:jc w:val="center"/>
              <w:rPr>
                <w:rFonts w:ascii="仿宋" w:hAnsi="仿宋" w:eastAsia="仿宋" w:cs="仿宋"/>
                <w:snapToGrid w:val="0"/>
                <w:color w:val="000000"/>
                <w:kern w:val="0"/>
                <w:sz w:val="23"/>
                <w:szCs w:val="23"/>
                <w:highlight w:val="none"/>
                <w:lang w:val="en-US" w:eastAsia="en-US" w:bidi="ar-SA"/>
              </w:rPr>
            </w:pPr>
            <w:r>
              <w:rPr>
                <w:rFonts w:hint="eastAsia"/>
                <w:spacing w:val="-3"/>
                <w:highlight w:val="none"/>
                <w:lang w:val="en-US" w:eastAsia="zh-CN"/>
              </w:rPr>
              <w:t>2</w:t>
            </w:r>
            <w:r>
              <w:rPr>
                <w:spacing w:val="-3"/>
                <w:highlight w:val="none"/>
              </w:rPr>
              <w:t>.2</w:t>
            </w:r>
          </w:p>
        </w:tc>
        <w:tc>
          <w:tcPr>
            <w:tcW w:w="7005" w:type="dxa"/>
            <w:tcBorders>
              <w:right w:val="single" w:color="000000" w:sz="8" w:space="0"/>
            </w:tcBorders>
            <w:shd w:val="clear" w:color="auto" w:fill="auto"/>
            <w:vAlign w:val="top"/>
          </w:tcPr>
          <w:p w14:paraId="0A6558DB">
            <w:pPr>
              <w:pStyle w:val="26"/>
              <w:spacing w:before="59" w:line="230" w:lineRule="auto"/>
              <w:ind w:left="42"/>
              <w:rPr>
                <w:highlight w:val="none"/>
              </w:rPr>
            </w:pPr>
            <w:r>
              <w:rPr>
                <w:spacing w:val="3"/>
                <w:highlight w:val="none"/>
              </w:rPr>
              <w:t>项目预算金额：</w:t>
            </w:r>
            <w:r>
              <w:rPr>
                <w:rFonts w:hint="eastAsia"/>
                <w:spacing w:val="3"/>
                <w:highlight w:val="none"/>
                <w:lang w:eastAsia="zh-CN"/>
              </w:rPr>
              <w:t>5000000.00元</w:t>
            </w:r>
            <w:r>
              <w:rPr>
                <w:spacing w:val="3"/>
                <w:highlight w:val="none"/>
              </w:rPr>
              <w:t>；</w:t>
            </w:r>
          </w:p>
          <w:p w14:paraId="4FE147DD">
            <w:pPr>
              <w:pStyle w:val="26"/>
              <w:spacing w:before="40" w:line="210" w:lineRule="auto"/>
              <w:ind w:left="48" w:leftChars="0"/>
              <w:rPr>
                <w:rFonts w:hint="default" w:ascii="仿宋" w:hAnsi="仿宋" w:eastAsia="方正仿宋_GBK" w:cs="仿宋"/>
                <w:snapToGrid w:val="0"/>
                <w:color w:val="000000"/>
                <w:kern w:val="0"/>
                <w:sz w:val="23"/>
                <w:szCs w:val="23"/>
                <w:highlight w:val="none"/>
                <w:lang w:val="en-US" w:eastAsia="zh-CN" w:bidi="ar-SA"/>
              </w:rPr>
            </w:pPr>
            <w:r>
              <w:rPr>
                <w:spacing w:val="2"/>
                <w:highlight w:val="none"/>
              </w:rPr>
              <w:t>最高限价：</w:t>
            </w:r>
            <w:r>
              <w:rPr>
                <w:rFonts w:hint="eastAsia"/>
                <w:spacing w:val="2"/>
                <w:highlight w:val="none"/>
                <w:lang w:val="en-US" w:eastAsia="zh-CN"/>
              </w:rPr>
              <w:t>标项一</w:t>
            </w:r>
            <w:r>
              <w:rPr>
                <w:rFonts w:hint="eastAsia"/>
                <w:spacing w:val="2"/>
                <w:highlight w:val="none"/>
              </w:rPr>
              <w:t>：</w:t>
            </w:r>
            <w:r>
              <w:rPr>
                <w:rFonts w:hint="eastAsia"/>
                <w:spacing w:val="2"/>
                <w:highlight w:val="none"/>
                <w:lang w:eastAsia="zh-CN"/>
              </w:rPr>
              <w:t>600000.00</w:t>
            </w:r>
            <w:r>
              <w:rPr>
                <w:rFonts w:hint="eastAsia"/>
                <w:spacing w:val="2"/>
                <w:highlight w:val="none"/>
                <w:lang w:val="en-US" w:eastAsia="zh-CN"/>
              </w:rPr>
              <w:t>元；标项二</w:t>
            </w:r>
            <w:r>
              <w:rPr>
                <w:rFonts w:hint="eastAsia"/>
                <w:spacing w:val="2"/>
                <w:highlight w:val="none"/>
              </w:rPr>
              <w:t>：</w:t>
            </w:r>
            <w:r>
              <w:rPr>
                <w:rFonts w:hint="eastAsia"/>
                <w:spacing w:val="2"/>
                <w:highlight w:val="none"/>
                <w:lang w:eastAsia="zh-CN"/>
              </w:rPr>
              <w:t>4400000.00</w:t>
            </w:r>
            <w:r>
              <w:rPr>
                <w:rFonts w:hint="eastAsia"/>
                <w:spacing w:val="2"/>
                <w:highlight w:val="none"/>
                <w:lang w:val="en-US" w:eastAsia="zh-CN"/>
              </w:rPr>
              <w:t>元</w:t>
            </w:r>
          </w:p>
        </w:tc>
      </w:tr>
      <w:tr w14:paraId="1ADEB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1309" w:type="dxa"/>
            <w:tcBorders>
              <w:left w:val="single" w:color="000000" w:sz="8" w:space="0"/>
            </w:tcBorders>
            <w:shd w:val="clear" w:color="auto" w:fill="auto"/>
            <w:vAlign w:val="center"/>
          </w:tcPr>
          <w:p w14:paraId="1A1D0DBE">
            <w:pPr>
              <w:pStyle w:val="26"/>
              <w:spacing w:before="74" w:line="186" w:lineRule="auto"/>
              <w:jc w:val="center"/>
              <w:rPr>
                <w:rFonts w:ascii="仿宋" w:hAnsi="仿宋" w:eastAsia="仿宋" w:cs="仿宋"/>
                <w:snapToGrid w:val="0"/>
                <w:color w:val="000000"/>
                <w:kern w:val="0"/>
                <w:sz w:val="23"/>
                <w:szCs w:val="23"/>
                <w:highlight w:val="none"/>
                <w:lang w:val="en-US" w:eastAsia="en-US" w:bidi="ar-SA"/>
              </w:rPr>
            </w:pPr>
            <w:r>
              <w:rPr>
                <w:spacing w:val="-2"/>
                <w:highlight w:val="none"/>
              </w:rPr>
              <w:t>2.3</w:t>
            </w:r>
          </w:p>
        </w:tc>
        <w:tc>
          <w:tcPr>
            <w:tcW w:w="7005" w:type="dxa"/>
            <w:tcBorders>
              <w:right w:val="single" w:color="000000" w:sz="8" w:space="0"/>
            </w:tcBorders>
            <w:shd w:val="clear" w:color="auto" w:fill="auto"/>
            <w:vAlign w:val="top"/>
          </w:tcPr>
          <w:p w14:paraId="779A9DC7">
            <w:pPr>
              <w:pStyle w:val="26"/>
              <w:spacing w:before="84" w:line="338" w:lineRule="auto"/>
              <w:ind w:left="40" w:leftChars="0" w:right="106" w:rightChars="0"/>
              <w:rPr>
                <w:rFonts w:ascii="仿宋" w:hAnsi="仿宋" w:eastAsia="仿宋" w:cs="仿宋"/>
                <w:snapToGrid w:val="0"/>
                <w:color w:val="000000"/>
                <w:kern w:val="0"/>
                <w:sz w:val="23"/>
                <w:szCs w:val="23"/>
                <w:highlight w:val="none"/>
                <w:lang w:val="en-US" w:eastAsia="en-US" w:bidi="ar-SA"/>
              </w:rPr>
            </w:pPr>
            <w:r>
              <w:rPr>
                <w:spacing w:val="8"/>
                <w:highlight w:val="none"/>
              </w:rPr>
              <w:t>投标报价（即开标报价）不得有选择性报价和附有条件的报价。</w:t>
            </w:r>
            <w:r>
              <w:rPr>
                <w:spacing w:val="6"/>
                <w:highlight w:val="none"/>
              </w:rPr>
              <w:t>投标报价不得超过最高限价。</w:t>
            </w:r>
          </w:p>
        </w:tc>
      </w:tr>
      <w:tr w14:paraId="00526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309" w:type="dxa"/>
            <w:tcBorders>
              <w:left w:val="single" w:color="000000" w:sz="8" w:space="0"/>
            </w:tcBorders>
            <w:shd w:val="clear" w:color="auto" w:fill="auto"/>
            <w:vAlign w:val="center"/>
          </w:tcPr>
          <w:p w14:paraId="2FB4B4E7">
            <w:pPr>
              <w:pStyle w:val="26"/>
              <w:spacing w:before="98" w:line="187" w:lineRule="auto"/>
              <w:jc w:val="center"/>
              <w:rPr>
                <w:rFonts w:ascii="仿宋" w:hAnsi="仿宋" w:eastAsia="仿宋" w:cs="仿宋"/>
                <w:snapToGrid w:val="0"/>
                <w:color w:val="000000"/>
                <w:kern w:val="0"/>
                <w:sz w:val="23"/>
                <w:szCs w:val="23"/>
                <w:highlight w:val="none"/>
                <w:lang w:val="en-US" w:eastAsia="en-US" w:bidi="ar-SA"/>
              </w:rPr>
            </w:pPr>
            <w:r>
              <w:rPr>
                <w:spacing w:val="-3"/>
                <w:highlight w:val="none"/>
              </w:rPr>
              <w:t>8.1</w:t>
            </w:r>
          </w:p>
        </w:tc>
        <w:tc>
          <w:tcPr>
            <w:tcW w:w="7005" w:type="dxa"/>
            <w:tcBorders>
              <w:right w:val="single" w:color="000000" w:sz="8" w:space="0"/>
            </w:tcBorders>
            <w:shd w:val="clear" w:color="auto" w:fill="auto"/>
            <w:vAlign w:val="top"/>
          </w:tcPr>
          <w:p w14:paraId="3C69986E">
            <w:pPr>
              <w:pStyle w:val="26"/>
              <w:spacing w:before="63" w:line="229" w:lineRule="auto"/>
              <w:ind w:left="46" w:leftChars="0"/>
              <w:rPr>
                <w:rFonts w:hint="eastAsia" w:ascii="仿宋" w:hAnsi="仿宋" w:eastAsia="方正仿宋_GBK" w:cs="仿宋"/>
                <w:snapToGrid w:val="0"/>
                <w:color w:val="000000"/>
                <w:kern w:val="0"/>
                <w:sz w:val="23"/>
                <w:szCs w:val="23"/>
                <w:highlight w:val="none"/>
                <w:lang w:val="en-US" w:eastAsia="zh-CN" w:bidi="ar-SA"/>
              </w:rPr>
            </w:pPr>
            <w:r>
              <w:rPr>
                <w:rFonts w:hint="eastAsia"/>
                <w:spacing w:val="9"/>
                <w:highlight w:val="none"/>
              </w:rPr>
              <w:t>如投标商对多个</w:t>
            </w:r>
            <w:r>
              <w:rPr>
                <w:rFonts w:hint="eastAsia"/>
                <w:spacing w:val="9"/>
                <w:highlight w:val="none"/>
                <w:lang w:eastAsia="zh-CN"/>
              </w:rPr>
              <w:t>标项</w:t>
            </w:r>
            <w:r>
              <w:rPr>
                <w:rFonts w:hint="eastAsia"/>
                <w:spacing w:val="9"/>
                <w:highlight w:val="none"/>
              </w:rPr>
              <w:t>进行投标，可以中标1个</w:t>
            </w:r>
            <w:r>
              <w:rPr>
                <w:rFonts w:hint="eastAsia"/>
                <w:spacing w:val="9"/>
                <w:highlight w:val="none"/>
                <w:lang w:eastAsia="zh-CN"/>
              </w:rPr>
              <w:t>标项</w:t>
            </w:r>
            <w:r>
              <w:rPr>
                <w:rFonts w:hint="eastAsia"/>
                <w:spacing w:val="9"/>
                <w:highlight w:val="none"/>
              </w:rPr>
              <w:t>，不可兼中兼得</w:t>
            </w:r>
            <w:r>
              <w:rPr>
                <w:rFonts w:hint="eastAsia"/>
                <w:spacing w:val="9"/>
                <w:highlight w:val="none"/>
                <w:lang w:eastAsia="zh-CN"/>
              </w:rPr>
              <w:t>。</w:t>
            </w:r>
          </w:p>
        </w:tc>
      </w:tr>
      <w:tr w14:paraId="234C5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309" w:type="dxa"/>
            <w:tcBorders>
              <w:left w:val="single" w:color="000000" w:sz="8" w:space="0"/>
            </w:tcBorders>
            <w:shd w:val="clear" w:color="auto" w:fill="auto"/>
            <w:vAlign w:val="center"/>
          </w:tcPr>
          <w:p w14:paraId="79C82524">
            <w:pPr>
              <w:pStyle w:val="26"/>
              <w:spacing w:before="75" w:line="187" w:lineRule="auto"/>
              <w:jc w:val="center"/>
              <w:rPr>
                <w:rFonts w:ascii="仿宋" w:hAnsi="仿宋" w:eastAsia="仿宋" w:cs="仿宋"/>
                <w:snapToGrid w:val="0"/>
                <w:color w:val="000000"/>
                <w:kern w:val="0"/>
                <w:sz w:val="23"/>
                <w:szCs w:val="23"/>
                <w:highlight w:val="none"/>
                <w:lang w:val="en-US" w:eastAsia="en-US" w:bidi="ar-SA"/>
              </w:rPr>
            </w:pPr>
            <w:r>
              <w:rPr>
                <w:spacing w:val="-7"/>
                <w:highlight w:val="none"/>
              </w:rPr>
              <w:t>12.1</w:t>
            </w:r>
          </w:p>
        </w:tc>
        <w:tc>
          <w:tcPr>
            <w:tcW w:w="7005" w:type="dxa"/>
            <w:tcBorders>
              <w:right w:val="single" w:color="000000" w:sz="8" w:space="0"/>
            </w:tcBorders>
            <w:shd w:val="clear" w:color="auto" w:fill="auto"/>
            <w:vAlign w:val="top"/>
          </w:tcPr>
          <w:p w14:paraId="433E0882">
            <w:pPr>
              <w:pStyle w:val="26"/>
              <w:spacing w:before="71" w:line="222" w:lineRule="auto"/>
              <w:ind w:left="46"/>
              <w:rPr>
                <w:spacing w:val="-2"/>
                <w:sz w:val="22"/>
                <w:szCs w:val="22"/>
                <w:highlight w:val="none"/>
              </w:rPr>
            </w:pPr>
            <w:r>
              <w:rPr>
                <w:spacing w:val="-9"/>
                <w:sz w:val="22"/>
                <w:szCs w:val="22"/>
                <w:highlight w:val="none"/>
              </w:rPr>
              <w:t>投</w:t>
            </w:r>
            <w:r>
              <w:rPr>
                <w:spacing w:val="-2"/>
                <w:sz w:val="22"/>
                <w:szCs w:val="22"/>
                <w:highlight w:val="none"/>
              </w:rPr>
              <w:t>标保证金的形式：■保函■电汇■支票■银行转账（非现金形式由企业基本账户转出）</w:t>
            </w:r>
          </w:p>
          <w:p w14:paraId="57DEA6F3">
            <w:pPr>
              <w:pStyle w:val="26"/>
              <w:spacing w:before="71" w:line="222" w:lineRule="auto"/>
              <w:ind w:left="46"/>
              <w:rPr>
                <w:spacing w:val="-2"/>
                <w:sz w:val="22"/>
                <w:szCs w:val="22"/>
                <w:highlight w:val="none"/>
              </w:rPr>
            </w:pPr>
            <w:r>
              <w:rPr>
                <w:spacing w:val="-2"/>
                <w:sz w:val="22"/>
                <w:szCs w:val="22"/>
                <w:highlight w:val="none"/>
              </w:rPr>
              <w:t>投标保证金的金额：</w:t>
            </w:r>
          </w:p>
          <w:p w14:paraId="50CA4A83">
            <w:pPr>
              <w:pStyle w:val="26"/>
              <w:spacing w:before="71" w:line="222" w:lineRule="auto"/>
              <w:ind w:left="46"/>
              <w:rPr>
                <w:rFonts w:hint="eastAsia" w:ascii="仿宋" w:hAnsi="仿宋" w:eastAsia="仿宋" w:cs="仿宋"/>
                <w:spacing w:val="7"/>
                <w:sz w:val="23"/>
                <w:szCs w:val="23"/>
                <w:highlight w:val="none"/>
                <w:lang w:eastAsia="zh-CN"/>
              </w:rPr>
            </w:pPr>
            <w:r>
              <w:rPr>
                <w:rFonts w:hint="eastAsia" w:ascii="仿宋" w:hAnsi="仿宋" w:eastAsia="仿宋" w:cs="仿宋"/>
                <w:spacing w:val="7"/>
                <w:sz w:val="23"/>
                <w:szCs w:val="23"/>
                <w:highlight w:val="none"/>
                <w:lang w:eastAsia="zh-CN"/>
              </w:rPr>
              <w:t>英吉沙县2024年高素质农民培训项目（标项一）</w:t>
            </w:r>
            <w:r>
              <w:rPr>
                <w:rFonts w:hint="eastAsia" w:ascii="仿宋" w:hAnsi="仿宋" w:eastAsia="仿宋" w:cs="仿宋"/>
                <w:spacing w:val="7"/>
                <w:sz w:val="23"/>
                <w:szCs w:val="23"/>
                <w:highlight w:val="none"/>
                <w:lang w:val="en-US" w:eastAsia="zh-CN"/>
              </w:rPr>
              <w:t>：6000.00</w:t>
            </w:r>
            <w:r>
              <w:rPr>
                <w:rFonts w:hint="eastAsia" w:ascii="仿宋" w:hAnsi="仿宋" w:eastAsia="仿宋" w:cs="仿宋"/>
                <w:spacing w:val="7"/>
                <w:sz w:val="23"/>
                <w:szCs w:val="23"/>
                <w:highlight w:val="none"/>
                <w:lang w:eastAsia="zh-CN"/>
              </w:rPr>
              <w:t>元（大写：</w:t>
            </w:r>
            <w:r>
              <w:rPr>
                <w:rFonts w:hint="eastAsia" w:ascii="仿宋" w:hAnsi="仿宋" w:eastAsia="仿宋" w:cs="仿宋"/>
                <w:spacing w:val="7"/>
                <w:sz w:val="23"/>
                <w:szCs w:val="23"/>
                <w:highlight w:val="none"/>
                <w:lang w:val="en-US" w:eastAsia="zh-CN"/>
              </w:rPr>
              <w:t>陆仟元整</w:t>
            </w:r>
            <w:r>
              <w:rPr>
                <w:rFonts w:hint="eastAsia" w:ascii="仿宋" w:hAnsi="仿宋" w:eastAsia="仿宋" w:cs="仿宋"/>
                <w:spacing w:val="7"/>
                <w:sz w:val="23"/>
                <w:szCs w:val="23"/>
                <w:highlight w:val="none"/>
                <w:lang w:eastAsia="zh-CN"/>
              </w:rPr>
              <w:t>）</w:t>
            </w:r>
          </w:p>
          <w:p w14:paraId="2B5F3ED9">
            <w:pPr>
              <w:pStyle w:val="26"/>
              <w:spacing w:before="71" w:line="222" w:lineRule="auto"/>
              <w:ind w:left="46"/>
              <w:rPr>
                <w:rFonts w:hint="eastAsia" w:ascii="仿宋" w:hAnsi="仿宋" w:eastAsia="仿宋" w:cs="仿宋"/>
                <w:spacing w:val="7"/>
                <w:sz w:val="23"/>
                <w:szCs w:val="23"/>
                <w:highlight w:val="none"/>
                <w:lang w:val="en-US" w:eastAsia="zh-CN"/>
              </w:rPr>
            </w:pPr>
            <w:r>
              <w:rPr>
                <w:rFonts w:hint="eastAsia" w:ascii="仿宋" w:hAnsi="仿宋" w:eastAsia="仿宋" w:cs="仿宋"/>
                <w:spacing w:val="7"/>
                <w:sz w:val="23"/>
                <w:szCs w:val="23"/>
                <w:highlight w:val="none"/>
                <w:lang w:eastAsia="zh-CN"/>
              </w:rPr>
              <w:t>英吉沙县2024年农民实用技术培训项目（标项二）</w:t>
            </w:r>
            <w:r>
              <w:rPr>
                <w:rFonts w:hint="eastAsia" w:ascii="仿宋" w:hAnsi="仿宋" w:eastAsia="仿宋" w:cs="仿宋"/>
                <w:spacing w:val="7"/>
                <w:sz w:val="23"/>
                <w:szCs w:val="23"/>
                <w:highlight w:val="none"/>
                <w:lang w:val="en-US" w:eastAsia="zh-CN"/>
              </w:rPr>
              <w:t>：44000.00元</w:t>
            </w:r>
            <w:r>
              <w:rPr>
                <w:rFonts w:hint="eastAsia" w:ascii="仿宋" w:hAnsi="仿宋" w:eastAsia="仿宋" w:cs="仿宋"/>
                <w:spacing w:val="7"/>
                <w:sz w:val="23"/>
                <w:szCs w:val="23"/>
                <w:highlight w:val="none"/>
                <w:lang w:eastAsia="zh-CN"/>
              </w:rPr>
              <w:t>（大写：</w:t>
            </w:r>
            <w:r>
              <w:rPr>
                <w:rFonts w:hint="eastAsia" w:ascii="仿宋" w:hAnsi="仿宋" w:eastAsia="仿宋" w:cs="仿宋"/>
                <w:spacing w:val="7"/>
                <w:sz w:val="23"/>
                <w:szCs w:val="23"/>
                <w:highlight w:val="none"/>
                <w:lang w:val="en-US" w:eastAsia="zh-CN"/>
              </w:rPr>
              <w:t>肆万肆仟元整</w:t>
            </w:r>
            <w:r>
              <w:rPr>
                <w:rFonts w:hint="eastAsia" w:ascii="仿宋" w:hAnsi="仿宋" w:eastAsia="仿宋" w:cs="仿宋"/>
                <w:spacing w:val="7"/>
                <w:sz w:val="23"/>
                <w:szCs w:val="23"/>
                <w:highlight w:val="none"/>
                <w:lang w:eastAsia="zh-CN"/>
              </w:rPr>
              <w:t>）</w:t>
            </w:r>
          </w:p>
          <w:p w14:paraId="4F503C70">
            <w:pPr>
              <w:pStyle w:val="26"/>
              <w:spacing w:before="71" w:line="222" w:lineRule="auto"/>
              <w:ind w:left="46"/>
              <w:rPr>
                <w:spacing w:val="-2"/>
                <w:sz w:val="22"/>
                <w:szCs w:val="22"/>
                <w:highlight w:val="none"/>
              </w:rPr>
            </w:pPr>
            <w:r>
              <w:rPr>
                <w:spacing w:val="-2"/>
                <w:sz w:val="22"/>
                <w:szCs w:val="22"/>
                <w:highlight w:val="none"/>
              </w:rPr>
              <w:t>单位名称：</w:t>
            </w:r>
            <w:r>
              <w:rPr>
                <w:rFonts w:hint="eastAsia"/>
                <w:spacing w:val="-2"/>
                <w:sz w:val="22"/>
                <w:szCs w:val="22"/>
                <w:highlight w:val="none"/>
                <w:lang w:eastAsia="zh-CN"/>
              </w:rPr>
              <w:t>新疆中泰正信项目管理有限公司</w:t>
            </w:r>
          </w:p>
          <w:p w14:paraId="64245C06">
            <w:pPr>
              <w:pStyle w:val="26"/>
              <w:spacing w:before="71" w:line="222" w:lineRule="auto"/>
              <w:ind w:left="46"/>
              <w:rPr>
                <w:spacing w:val="-2"/>
                <w:sz w:val="22"/>
                <w:szCs w:val="22"/>
                <w:highlight w:val="none"/>
              </w:rPr>
            </w:pPr>
            <w:r>
              <w:rPr>
                <w:spacing w:val="-2"/>
                <w:sz w:val="22"/>
                <w:szCs w:val="22"/>
                <w:highlight w:val="none"/>
              </w:rPr>
              <w:t>银行账号：</w:t>
            </w:r>
            <w:r>
              <w:rPr>
                <w:rFonts w:hint="eastAsia"/>
                <w:spacing w:val="-2"/>
                <w:sz w:val="22"/>
                <w:szCs w:val="22"/>
                <w:highlight w:val="none"/>
                <w:lang w:eastAsia="zh-CN"/>
              </w:rPr>
              <w:t>863010012010118468618</w:t>
            </w:r>
          </w:p>
          <w:p w14:paraId="05309CE4">
            <w:pPr>
              <w:pStyle w:val="26"/>
              <w:spacing w:before="71" w:line="222" w:lineRule="auto"/>
              <w:ind w:left="46"/>
              <w:rPr>
                <w:rFonts w:ascii="Arial"/>
                <w:sz w:val="21"/>
                <w:highlight w:val="none"/>
              </w:rPr>
            </w:pPr>
            <w:r>
              <w:rPr>
                <w:spacing w:val="-2"/>
                <w:sz w:val="22"/>
                <w:szCs w:val="22"/>
                <w:highlight w:val="none"/>
              </w:rPr>
              <w:t>开户银行：</w:t>
            </w:r>
            <w:r>
              <w:rPr>
                <w:rFonts w:hint="eastAsia"/>
                <w:spacing w:val="-2"/>
                <w:sz w:val="22"/>
                <w:szCs w:val="22"/>
                <w:highlight w:val="none"/>
                <w:lang w:eastAsia="zh-CN"/>
              </w:rPr>
              <w:t>英吉沙县农村信用合作联社</w:t>
            </w:r>
          </w:p>
          <w:p w14:paraId="13815A84">
            <w:pPr>
              <w:pStyle w:val="26"/>
              <w:spacing w:before="72" w:line="352" w:lineRule="auto"/>
              <w:ind w:left="10" w:right="20"/>
              <w:rPr>
                <w:sz w:val="22"/>
                <w:szCs w:val="22"/>
                <w:highlight w:val="none"/>
              </w:rPr>
            </w:pPr>
            <w:r>
              <w:rPr>
                <w:spacing w:val="-1"/>
                <w:sz w:val="22"/>
                <w:szCs w:val="22"/>
                <w:highlight w:val="none"/>
              </w:rPr>
              <w:t>投标保证金应在递交投标文件截止时间前汇至招标</w:t>
            </w:r>
            <w:r>
              <w:rPr>
                <w:spacing w:val="-2"/>
                <w:sz w:val="22"/>
                <w:szCs w:val="22"/>
                <w:highlight w:val="none"/>
              </w:rPr>
              <w:t>人指定账户（以实际</w:t>
            </w:r>
            <w:r>
              <w:rPr>
                <w:spacing w:val="-3"/>
                <w:sz w:val="22"/>
                <w:szCs w:val="22"/>
                <w:highlight w:val="none"/>
              </w:rPr>
              <w:t>到账时间为准</w:t>
            </w:r>
            <w:r>
              <w:rPr>
                <w:spacing w:val="24"/>
                <w:sz w:val="22"/>
                <w:szCs w:val="22"/>
                <w:highlight w:val="none"/>
              </w:rPr>
              <w:t>），</w:t>
            </w:r>
            <w:r>
              <w:rPr>
                <w:rFonts w:hint="eastAsia"/>
                <w:spacing w:val="24"/>
                <w:sz w:val="22"/>
                <w:szCs w:val="22"/>
                <w:highlight w:val="none"/>
                <w:lang w:val="en-US" w:eastAsia="zh-CN"/>
              </w:rPr>
              <w:t>汇入账户时必须将项目标项号备注清楚，</w:t>
            </w:r>
            <w:r>
              <w:rPr>
                <w:spacing w:val="-3"/>
                <w:sz w:val="22"/>
                <w:szCs w:val="22"/>
                <w:highlight w:val="none"/>
              </w:rPr>
              <w:t>投标人须自行评估因异地、跨行、公休日等因素造成</w:t>
            </w:r>
            <w:r>
              <w:rPr>
                <w:spacing w:val="-5"/>
                <w:sz w:val="22"/>
                <w:szCs w:val="22"/>
                <w:highlight w:val="none"/>
              </w:rPr>
              <w:t>的投标保证金到账延迟风险，并承担相应责任。并以交款凭证及基本账</w:t>
            </w:r>
            <w:r>
              <w:rPr>
                <w:spacing w:val="-1"/>
                <w:sz w:val="22"/>
                <w:szCs w:val="22"/>
                <w:highlight w:val="none"/>
              </w:rPr>
              <w:t>户开户许可证或基本存款账户开户信息作为投标保</w:t>
            </w:r>
            <w:r>
              <w:rPr>
                <w:spacing w:val="-2"/>
                <w:sz w:val="22"/>
                <w:szCs w:val="22"/>
                <w:highlight w:val="none"/>
              </w:rPr>
              <w:t>证金交纳证明。未按</w:t>
            </w:r>
            <w:r>
              <w:rPr>
                <w:spacing w:val="-1"/>
                <w:sz w:val="22"/>
                <w:szCs w:val="22"/>
                <w:highlight w:val="none"/>
              </w:rPr>
              <w:t>规定时间交纳投标保证金将视为自动放弃投标。投</w:t>
            </w:r>
            <w:r>
              <w:rPr>
                <w:spacing w:val="-2"/>
                <w:sz w:val="22"/>
                <w:szCs w:val="22"/>
                <w:highlight w:val="none"/>
              </w:rPr>
              <w:t>标保证金交纳时需注</w:t>
            </w:r>
            <w:r>
              <w:rPr>
                <w:spacing w:val="-4"/>
                <w:sz w:val="22"/>
                <w:szCs w:val="22"/>
                <w:highlight w:val="none"/>
              </w:rPr>
              <w:t>明项目简称或项目编号及</w:t>
            </w:r>
            <w:r>
              <w:rPr>
                <w:rFonts w:hint="eastAsia"/>
                <w:spacing w:val="-4"/>
                <w:sz w:val="22"/>
                <w:szCs w:val="22"/>
                <w:highlight w:val="none"/>
                <w:lang w:eastAsia="zh-CN"/>
              </w:rPr>
              <w:t>标项号</w:t>
            </w:r>
            <w:r>
              <w:rPr>
                <w:spacing w:val="-4"/>
                <w:sz w:val="22"/>
                <w:szCs w:val="22"/>
                <w:highlight w:val="none"/>
              </w:rPr>
              <w:t>，否则按无效证明处理。投标保证金转账汇款凭证复印件应放入投</w:t>
            </w:r>
            <w:r>
              <w:rPr>
                <w:spacing w:val="-3"/>
                <w:sz w:val="22"/>
                <w:szCs w:val="22"/>
                <w:highlight w:val="none"/>
              </w:rPr>
              <w:t>标文件中，否则视为不响应招标文件。</w:t>
            </w:r>
          </w:p>
          <w:p w14:paraId="03F4F6EF">
            <w:pPr>
              <w:pStyle w:val="26"/>
              <w:spacing w:before="54" w:line="222" w:lineRule="auto"/>
              <w:ind w:left="53" w:leftChars="0"/>
              <w:rPr>
                <w:rFonts w:ascii="仿宋" w:hAnsi="仿宋" w:eastAsia="仿宋" w:cs="仿宋"/>
                <w:snapToGrid w:val="0"/>
                <w:color w:val="000000"/>
                <w:kern w:val="0"/>
                <w:sz w:val="22"/>
                <w:szCs w:val="22"/>
                <w:highlight w:val="none"/>
                <w:lang w:val="en-US" w:eastAsia="en-US" w:bidi="ar-SA"/>
              </w:rPr>
            </w:pPr>
            <w:r>
              <w:rPr>
                <w:spacing w:val="-4"/>
                <w:sz w:val="22"/>
                <w:szCs w:val="22"/>
                <w:highlight w:val="none"/>
              </w:rPr>
              <w:t>注:如提供非(银行、保险、政采云平台)电子保函，内容需有索赔</w:t>
            </w:r>
            <w:r>
              <w:rPr>
                <w:sz w:val="22"/>
                <w:szCs w:val="22"/>
                <w:highlight w:val="none"/>
              </w:rPr>
              <w:t>即付，赔付金额不得少于所投标项保证金金额，需将保函做到投标文</w:t>
            </w:r>
            <w:r>
              <w:rPr>
                <w:spacing w:val="1"/>
                <w:sz w:val="22"/>
                <w:szCs w:val="22"/>
                <w:highlight w:val="none"/>
              </w:rPr>
              <w:t>件中并同时提供该保函平台查询链接以证明其真实性，否则视为未按</w:t>
            </w:r>
            <w:r>
              <w:rPr>
                <w:spacing w:val="-4"/>
                <w:sz w:val="22"/>
                <w:szCs w:val="22"/>
                <w:highlight w:val="none"/>
              </w:rPr>
              <w:t>规定缴纳投标保证金，由此带来的不利后果均由投标人自行承担。</w:t>
            </w:r>
          </w:p>
        </w:tc>
      </w:tr>
      <w:tr w14:paraId="09B20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309" w:type="dxa"/>
            <w:tcBorders>
              <w:left w:val="single" w:color="000000" w:sz="8" w:space="0"/>
            </w:tcBorders>
            <w:shd w:val="clear" w:color="auto" w:fill="auto"/>
            <w:vAlign w:val="center"/>
          </w:tcPr>
          <w:p w14:paraId="3DBF0225">
            <w:pPr>
              <w:pStyle w:val="26"/>
              <w:spacing w:before="75" w:line="187" w:lineRule="auto"/>
              <w:jc w:val="center"/>
              <w:rPr>
                <w:rFonts w:hint="default" w:eastAsia="方正仿宋_GBK"/>
                <w:spacing w:val="-7"/>
                <w:highlight w:val="none"/>
                <w:lang w:val="en-US" w:eastAsia="zh-CN"/>
              </w:rPr>
            </w:pPr>
            <w:r>
              <w:rPr>
                <w:rFonts w:hint="eastAsia"/>
                <w:spacing w:val="-7"/>
                <w:highlight w:val="none"/>
                <w:lang w:val="en-US" w:eastAsia="zh-CN"/>
              </w:rPr>
              <w:t>13.1</w:t>
            </w:r>
          </w:p>
        </w:tc>
        <w:tc>
          <w:tcPr>
            <w:tcW w:w="7005" w:type="dxa"/>
            <w:tcBorders>
              <w:right w:val="single" w:color="000000" w:sz="8" w:space="0"/>
            </w:tcBorders>
            <w:shd w:val="clear" w:color="auto" w:fill="auto"/>
            <w:vAlign w:val="top"/>
          </w:tcPr>
          <w:p w14:paraId="197F248D">
            <w:pPr>
              <w:pStyle w:val="26"/>
              <w:spacing w:before="54" w:line="222" w:lineRule="auto"/>
              <w:rPr>
                <w:spacing w:val="-4"/>
                <w:sz w:val="22"/>
                <w:szCs w:val="22"/>
                <w:highlight w:val="none"/>
              </w:rPr>
            </w:pPr>
            <w:r>
              <w:rPr>
                <w:rFonts w:hint="eastAsia" w:ascii="仿宋" w:hAnsi="仿宋" w:eastAsia="仿宋" w:cs="仿宋"/>
                <w:b/>
                <w:bCs/>
                <w:color w:val="auto"/>
                <w:sz w:val="24"/>
                <w:szCs w:val="24"/>
                <w:highlight w:val="none"/>
              </w:rPr>
              <w:t>投标有效期：自投标截止之日起</w:t>
            </w:r>
            <w:r>
              <w:rPr>
                <w:rFonts w:hint="eastAsia" w:ascii="仿宋" w:hAnsi="仿宋" w:eastAsia="仿宋" w:cs="仿宋"/>
                <w:b/>
                <w:bCs/>
                <w:color w:val="auto"/>
                <w:sz w:val="24"/>
                <w:szCs w:val="24"/>
                <w:highlight w:val="none"/>
                <w:lang w:val="en-US" w:eastAsia="zh-CN"/>
              </w:rPr>
              <w:t>90</w:t>
            </w:r>
            <w:r>
              <w:rPr>
                <w:rFonts w:hint="eastAsia" w:ascii="仿宋" w:hAnsi="仿宋" w:eastAsia="仿宋" w:cs="仿宋"/>
                <w:b/>
                <w:bCs/>
                <w:color w:val="auto"/>
                <w:sz w:val="24"/>
                <w:szCs w:val="24"/>
                <w:highlight w:val="none"/>
              </w:rPr>
              <w:t>个日历日</w:t>
            </w:r>
          </w:p>
        </w:tc>
      </w:tr>
      <w:tr w14:paraId="04B76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6" w:hRule="atLeast"/>
        </w:trPr>
        <w:tc>
          <w:tcPr>
            <w:tcW w:w="1309" w:type="dxa"/>
            <w:tcBorders>
              <w:left w:val="single" w:color="000000" w:sz="8" w:space="0"/>
            </w:tcBorders>
            <w:shd w:val="clear" w:color="auto" w:fill="auto"/>
            <w:vAlign w:val="center"/>
          </w:tcPr>
          <w:p w14:paraId="6AEC4723">
            <w:pPr>
              <w:pStyle w:val="26"/>
              <w:spacing w:before="75" w:line="187" w:lineRule="auto"/>
              <w:jc w:val="center"/>
              <w:rPr>
                <w:rFonts w:ascii="仿宋" w:hAnsi="仿宋" w:eastAsia="仿宋" w:cs="仿宋"/>
                <w:snapToGrid w:val="0"/>
                <w:color w:val="000000"/>
                <w:kern w:val="0"/>
                <w:sz w:val="23"/>
                <w:szCs w:val="23"/>
                <w:highlight w:val="none"/>
                <w:lang w:val="en-US" w:eastAsia="en-US" w:bidi="ar-SA"/>
              </w:rPr>
            </w:pPr>
            <w:r>
              <w:rPr>
                <w:spacing w:val="-7"/>
                <w:highlight w:val="none"/>
              </w:rPr>
              <w:t>14.1</w:t>
            </w:r>
          </w:p>
        </w:tc>
        <w:tc>
          <w:tcPr>
            <w:tcW w:w="7005" w:type="dxa"/>
            <w:tcBorders>
              <w:right w:val="single" w:color="000000" w:sz="8" w:space="0"/>
            </w:tcBorders>
            <w:shd w:val="clear" w:color="auto" w:fill="auto"/>
            <w:vAlign w:val="top"/>
          </w:tcPr>
          <w:p w14:paraId="35151025">
            <w:pPr>
              <w:spacing w:line="360" w:lineRule="auto"/>
              <w:rPr>
                <w:rFonts w:hint="eastAsia"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356ADC80">
            <w:pPr>
              <w:spacing w:line="360" w:lineRule="auto"/>
              <w:rPr>
                <w:rFonts w:hint="eastAsia"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（2）本项目实行网上投标，采用电子投标文件(供应商须使用CA加密设备通过政采云电子投标客户端制作投标文件)。若供应商参与投标，自行承担投标一切费用。</w:t>
            </w:r>
          </w:p>
          <w:p w14:paraId="0F7AA0B9">
            <w:pPr>
              <w:spacing w:line="360" w:lineRule="auto"/>
              <w:rPr>
                <w:rFonts w:hint="eastAsia"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26BB328C">
            <w:pPr>
              <w:spacing w:line="360" w:lineRule="auto"/>
              <w:rPr>
                <w:rFonts w:hint="eastAsia"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1E6A6230">
            <w:pPr>
              <w:spacing w:line="360" w:lineRule="auto"/>
              <w:rPr>
                <w:rFonts w:hint="eastAsia"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（5）供应商在开标时须使用制作加密电子投标文件所使用的CA锁及电脑，电脑须提前配置好浏览器（建议使用谷歌浏览器），以便开标时解锁。</w:t>
            </w:r>
          </w:p>
          <w:p w14:paraId="73A5CF05">
            <w:pPr>
              <w:spacing w:line="360" w:lineRule="auto"/>
              <w:rPr>
                <w:rFonts w:hint="eastAsia"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（6）投标保证金缴纳及确认时间：凡拟参加本次招标项目的投标人，必须在开标前将投标保证金汇入指定账户。投标保证金汇款凭证上用途栏应注明:招标项目名称。否则，届时其投标将被拒绝。</w:t>
            </w:r>
          </w:p>
          <w:p w14:paraId="0ABB5123">
            <w:pPr>
              <w:spacing w:line="360" w:lineRule="auto"/>
              <w:rPr>
                <w:rFonts w:hint="eastAsia"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04BD98F8">
            <w:pPr>
              <w:spacing w:line="360" w:lineRule="auto"/>
              <w:rPr>
                <w:rFonts w:hint="eastAsia"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8）各投标人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14:paraId="79687BB4">
            <w:pPr>
              <w:spacing w:line="360" w:lineRule="auto"/>
              <w:rPr>
                <w:rFonts w:hint="eastAsia"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9）各投标人在投标截止时间前将“投标文件”上传至政采云平台。投标文件包括“开标一览表及资格证明文件”与“商务及技术文件”两部分合并成一册。投标文件应按照招标文件规定的格式填写、签署和盖章，并以.jmbs格式上传至政采云开评标平台（投标文件为正本扫描件）。</w:t>
            </w:r>
          </w:p>
          <w:p w14:paraId="5402A2D1">
            <w:pPr>
              <w:spacing w:line="360" w:lineRule="auto"/>
              <w:rPr>
                <w:rFonts w:hint="eastAsia" w:ascii="仿宋" w:hAnsi="仿宋" w:eastAsia="仿宋" w:cs="仿宋"/>
                <w:snapToGrid w:val="0"/>
                <w:color w:val="000000"/>
                <w:kern w:val="0"/>
                <w:sz w:val="23"/>
                <w:szCs w:val="23"/>
                <w:highlight w:val="none"/>
                <w:lang w:val="en-US" w:eastAsia="zh-CN" w:bidi="ar-SA"/>
              </w:rPr>
            </w:pPr>
            <w:r>
              <w:rPr>
                <w:rFonts w:hint="eastAsia" w:ascii="方正仿宋_GBK" w:hAnsi="方正仿宋_GBK" w:eastAsia="方正仿宋_GBK" w:cs="方正仿宋_GBK"/>
                <w:b/>
                <w:bCs/>
                <w:sz w:val="24"/>
                <w:highlight w:val="none"/>
              </w:rPr>
              <w:t>（1</w:t>
            </w:r>
            <w:r>
              <w:rPr>
                <w:rFonts w:hint="eastAsia" w:ascii="方正仿宋_GBK" w:hAnsi="方正仿宋_GBK" w:eastAsia="方正仿宋_GBK" w:cs="方正仿宋_GBK"/>
                <w:b/>
                <w:bCs/>
                <w:sz w:val="24"/>
                <w:highlight w:val="none"/>
                <w:lang w:val="en-US" w:eastAsia="zh-CN"/>
              </w:rPr>
              <w:t>0</w:t>
            </w:r>
            <w:r>
              <w:rPr>
                <w:rFonts w:hint="eastAsia" w:ascii="方正仿宋_GBK" w:hAnsi="方正仿宋_GBK" w:eastAsia="方正仿宋_GBK" w:cs="方正仿宋_GBK"/>
                <w:b/>
                <w:bCs/>
                <w:sz w:val="24"/>
                <w:highlight w:val="none"/>
              </w:rPr>
              <w:t>）解密时长为30分钟。</w:t>
            </w:r>
          </w:p>
        </w:tc>
      </w:tr>
      <w:tr w14:paraId="3CA59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309" w:type="dxa"/>
            <w:tcBorders>
              <w:left w:val="single" w:color="000000" w:sz="8" w:space="0"/>
            </w:tcBorders>
            <w:shd w:val="clear" w:color="auto" w:fill="auto"/>
            <w:vAlign w:val="center"/>
          </w:tcPr>
          <w:p w14:paraId="224FF325">
            <w:pPr>
              <w:pStyle w:val="26"/>
              <w:spacing w:before="103" w:line="187" w:lineRule="auto"/>
              <w:jc w:val="center"/>
              <w:rPr>
                <w:rFonts w:ascii="仿宋" w:hAnsi="仿宋" w:eastAsia="仿宋" w:cs="仿宋"/>
                <w:snapToGrid w:val="0"/>
                <w:color w:val="000000"/>
                <w:kern w:val="0"/>
                <w:sz w:val="23"/>
                <w:szCs w:val="23"/>
                <w:highlight w:val="none"/>
                <w:lang w:val="en-US" w:eastAsia="en-US" w:bidi="ar-SA"/>
              </w:rPr>
            </w:pPr>
            <w:r>
              <w:rPr>
                <w:spacing w:val="-7"/>
                <w:highlight w:val="none"/>
              </w:rPr>
              <w:t>16.1</w:t>
            </w:r>
          </w:p>
        </w:tc>
        <w:tc>
          <w:tcPr>
            <w:tcW w:w="7005" w:type="dxa"/>
            <w:tcBorders>
              <w:right w:val="single" w:color="000000" w:sz="8" w:space="0"/>
            </w:tcBorders>
            <w:shd w:val="clear" w:color="auto" w:fill="auto"/>
            <w:vAlign w:val="top"/>
          </w:tcPr>
          <w:p w14:paraId="63CFF9D9">
            <w:pPr>
              <w:pStyle w:val="26"/>
              <w:spacing w:before="70" w:line="229" w:lineRule="auto"/>
              <w:ind w:left="40" w:leftChars="0"/>
              <w:rPr>
                <w:rFonts w:ascii="仿宋" w:hAnsi="仿宋" w:eastAsia="仿宋" w:cs="仿宋"/>
                <w:snapToGrid w:val="0"/>
                <w:color w:val="000000"/>
                <w:kern w:val="0"/>
                <w:sz w:val="23"/>
                <w:szCs w:val="23"/>
                <w:highlight w:val="none"/>
                <w:lang w:val="en-US" w:eastAsia="en-US" w:bidi="ar-SA"/>
              </w:rPr>
            </w:pPr>
            <w:r>
              <w:rPr>
                <w:spacing w:val="4"/>
                <w:highlight w:val="none"/>
              </w:rPr>
              <w:t>投标截止时间：详见招标公告，以招标公告规定时间为准。</w:t>
            </w:r>
          </w:p>
        </w:tc>
      </w:tr>
      <w:tr w14:paraId="251B0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1309" w:type="dxa"/>
            <w:tcBorders>
              <w:left w:val="single" w:color="000000" w:sz="8" w:space="0"/>
            </w:tcBorders>
            <w:shd w:val="clear" w:color="auto" w:fill="auto"/>
            <w:vAlign w:val="center"/>
          </w:tcPr>
          <w:p w14:paraId="0BFD8700">
            <w:pPr>
              <w:pStyle w:val="26"/>
              <w:spacing w:before="75" w:line="187" w:lineRule="auto"/>
              <w:jc w:val="center"/>
              <w:rPr>
                <w:rFonts w:ascii="仿宋" w:hAnsi="仿宋" w:eastAsia="仿宋" w:cs="仿宋"/>
                <w:snapToGrid w:val="0"/>
                <w:color w:val="000000"/>
                <w:kern w:val="0"/>
                <w:sz w:val="23"/>
                <w:szCs w:val="23"/>
                <w:highlight w:val="none"/>
                <w:lang w:val="en-US" w:eastAsia="en-US" w:bidi="ar-SA"/>
              </w:rPr>
            </w:pPr>
            <w:r>
              <w:rPr>
                <w:spacing w:val="-7"/>
                <w:highlight w:val="none"/>
              </w:rPr>
              <w:t>18.1</w:t>
            </w:r>
          </w:p>
        </w:tc>
        <w:tc>
          <w:tcPr>
            <w:tcW w:w="7005" w:type="dxa"/>
            <w:tcBorders>
              <w:right w:val="single" w:color="000000" w:sz="8" w:space="0"/>
            </w:tcBorders>
            <w:shd w:val="clear" w:color="auto" w:fill="auto"/>
            <w:vAlign w:val="top"/>
          </w:tcPr>
          <w:p w14:paraId="14E1066A">
            <w:pPr>
              <w:pStyle w:val="26"/>
              <w:spacing w:before="73" w:line="229" w:lineRule="auto"/>
              <w:ind w:left="41"/>
              <w:rPr>
                <w:highlight w:val="none"/>
              </w:rPr>
            </w:pPr>
            <w:r>
              <w:rPr>
                <w:spacing w:val="8"/>
                <w:highlight w:val="none"/>
              </w:rPr>
              <w:t>开标时间：详见招标公告，以招标公告规定时间为准。</w:t>
            </w:r>
          </w:p>
          <w:p w14:paraId="216EF5E5">
            <w:pPr>
              <w:pStyle w:val="26"/>
              <w:spacing w:before="177" w:line="229" w:lineRule="auto"/>
              <w:ind w:left="41" w:leftChars="0"/>
              <w:rPr>
                <w:rFonts w:ascii="仿宋" w:hAnsi="仿宋" w:eastAsia="仿宋" w:cs="仿宋"/>
                <w:snapToGrid w:val="0"/>
                <w:color w:val="000000"/>
                <w:kern w:val="0"/>
                <w:sz w:val="23"/>
                <w:szCs w:val="23"/>
                <w:highlight w:val="none"/>
                <w:lang w:val="en-US" w:eastAsia="en-US" w:bidi="ar-SA"/>
              </w:rPr>
            </w:pPr>
            <w:r>
              <w:rPr>
                <w:spacing w:val="8"/>
                <w:highlight w:val="none"/>
              </w:rPr>
              <w:t>开标地点：详见招标公告，以招标公告规定地点为准。</w:t>
            </w:r>
          </w:p>
        </w:tc>
      </w:tr>
      <w:tr w14:paraId="16CA0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309" w:type="dxa"/>
            <w:tcBorders>
              <w:left w:val="single" w:color="000000" w:sz="8" w:space="0"/>
            </w:tcBorders>
            <w:shd w:val="clear" w:color="auto" w:fill="auto"/>
            <w:vAlign w:val="center"/>
          </w:tcPr>
          <w:p w14:paraId="1D4072B6">
            <w:pPr>
              <w:pStyle w:val="26"/>
              <w:spacing w:before="105" w:line="187" w:lineRule="auto"/>
              <w:jc w:val="center"/>
              <w:rPr>
                <w:rFonts w:ascii="仿宋" w:hAnsi="仿宋" w:eastAsia="仿宋" w:cs="仿宋"/>
                <w:snapToGrid w:val="0"/>
                <w:color w:val="000000"/>
                <w:kern w:val="0"/>
                <w:sz w:val="23"/>
                <w:szCs w:val="23"/>
                <w:highlight w:val="none"/>
                <w:lang w:val="en-US" w:eastAsia="en-US" w:bidi="ar-SA"/>
              </w:rPr>
            </w:pPr>
            <w:r>
              <w:rPr>
                <w:spacing w:val="-7"/>
                <w:highlight w:val="none"/>
              </w:rPr>
              <w:t>19.3</w:t>
            </w:r>
          </w:p>
        </w:tc>
        <w:tc>
          <w:tcPr>
            <w:tcW w:w="7005" w:type="dxa"/>
            <w:tcBorders>
              <w:right w:val="single" w:color="000000" w:sz="8" w:space="0"/>
            </w:tcBorders>
            <w:shd w:val="clear" w:color="auto" w:fill="auto"/>
            <w:vAlign w:val="top"/>
          </w:tcPr>
          <w:p w14:paraId="63EAC9C3">
            <w:pPr>
              <w:pStyle w:val="26"/>
              <w:spacing w:before="75" w:line="217" w:lineRule="auto"/>
              <w:ind w:left="44" w:leftChars="0" w:right="91" w:rightChars="0" w:hanging="2" w:firstLineChars="0"/>
              <w:rPr>
                <w:rFonts w:ascii="仿宋" w:hAnsi="仿宋" w:eastAsia="仿宋" w:cs="仿宋"/>
                <w:snapToGrid w:val="0"/>
                <w:color w:val="000000"/>
                <w:kern w:val="0"/>
                <w:sz w:val="23"/>
                <w:szCs w:val="23"/>
                <w:highlight w:val="none"/>
                <w:lang w:val="en-US" w:eastAsia="en-US" w:bidi="ar-SA"/>
              </w:rPr>
            </w:pPr>
            <w:r>
              <w:rPr>
                <w:spacing w:val="3"/>
                <w:highlight w:val="none"/>
              </w:rPr>
              <w:t>评标委员会构成：5人，其中采购人代表0人</w:t>
            </w:r>
            <w:r>
              <w:rPr>
                <w:spacing w:val="2"/>
                <w:highlight w:val="none"/>
              </w:rPr>
              <w:t>，专家5人</w:t>
            </w:r>
            <w:r>
              <w:rPr>
                <w:spacing w:val="-1"/>
                <w:highlight w:val="none"/>
              </w:rPr>
              <w:t>。</w:t>
            </w:r>
          </w:p>
        </w:tc>
      </w:tr>
      <w:tr w14:paraId="53A54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09" w:type="dxa"/>
            <w:tcBorders>
              <w:left w:val="single" w:color="000000" w:sz="8" w:space="0"/>
            </w:tcBorders>
            <w:shd w:val="clear" w:color="auto" w:fill="auto"/>
            <w:vAlign w:val="center"/>
          </w:tcPr>
          <w:p w14:paraId="6A06A636">
            <w:pPr>
              <w:pStyle w:val="26"/>
              <w:spacing w:before="112" w:line="186" w:lineRule="auto"/>
              <w:jc w:val="center"/>
              <w:rPr>
                <w:rFonts w:ascii="仿宋" w:hAnsi="仿宋" w:eastAsia="仿宋" w:cs="仿宋"/>
                <w:snapToGrid w:val="0"/>
                <w:color w:val="000000"/>
                <w:kern w:val="0"/>
                <w:sz w:val="23"/>
                <w:szCs w:val="23"/>
                <w:highlight w:val="none"/>
                <w:lang w:val="en-US" w:eastAsia="en-US" w:bidi="ar-SA"/>
              </w:rPr>
            </w:pPr>
            <w:r>
              <w:rPr>
                <w:spacing w:val="-3"/>
                <w:highlight w:val="none"/>
              </w:rPr>
              <w:t>23.2</w:t>
            </w:r>
          </w:p>
        </w:tc>
        <w:tc>
          <w:tcPr>
            <w:tcW w:w="7005" w:type="dxa"/>
            <w:tcBorders>
              <w:right w:val="single" w:color="000000" w:sz="8" w:space="0"/>
            </w:tcBorders>
            <w:shd w:val="clear" w:color="auto" w:fill="auto"/>
            <w:vAlign w:val="top"/>
          </w:tcPr>
          <w:p w14:paraId="2E700159">
            <w:pPr>
              <w:pStyle w:val="26"/>
              <w:spacing w:before="80" w:line="231" w:lineRule="auto"/>
              <w:ind w:left="42" w:leftChars="0"/>
              <w:rPr>
                <w:rFonts w:ascii="仿宋" w:hAnsi="仿宋" w:eastAsia="仿宋" w:cs="仿宋"/>
                <w:snapToGrid w:val="0"/>
                <w:color w:val="000000"/>
                <w:kern w:val="0"/>
                <w:sz w:val="23"/>
                <w:szCs w:val="23"/>
                <w:highlight w:val="none"/>
                <w:lang w:val="en-US" w:eastAsia="en-US" w:bidi="ar-SA"/>
              </w:rPr>
            </w:pPr>
            <w:r>
              <w:rPr>
                <w:spacing w:val="6"/>
                <w:highlight w:val="none"/>
              </w:rPr>
              <w:t>评标方法：适用综合评分法</w:t>
            </w:r>
          </w:p>
        </w:tc>
      </w:tr>
      <w:tr w14:paraId="52AE1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309" w:type="dxa"/>
            <w:tcBorders>
              <w:left w:val="single" w:color="000000" w:sz="8" w:space="0"/>
            </w:tcBorders>
            <w:shd w:val="clear" w:color="auto" w:fill="auto"/>
            <w:vAlign w:val="center"/>
          </w:tcPr>
          <w:p w14:paraId="73BEC2B9">
            <w:pPr>
              <w:pStyle w:val="26"/>
              <w:spacing w:before="112" w:line="186" w:lineRule="auto"/>
              <w:jc w:val="center"/>
              <w:rPr>
                <w:rFonts w:ascii="仿宋" w:hAnsi="仿宋" w:eastAsia="仿宋" w:cs="仿宋"/>
                <w:snapToGrid w:val="0"/>
                <w:color w:val="000000"/>
                <w:kern w:val="0"/>
                <w:sz w:val="23"/>
                <w:szCs w:val="23"/>
                <w:highlight w:val="none"/>
                <w:lang w:val="en-US" w:eastAsia="en-US" w:bidi="ar-SA"/>
              </w:rPr>
            </w:pPr>
            <w:r>
              <w:rPr>
                <w:spacing w:val="-4"/>
                <w:highlight w:val="none"/>
              </w:rPr>
              <w:t>27</w:t>
            </w:r>
          </w:p>
        </w:tc>
        <w:tc>
          <w:tcPr>
            <w:tcW w:w="7005" w:type="dxa"/>
            <w:tcBorders>
              <w:right w:val="single" w:color="000000" w:sz="8" w:space="0"/>
            </w:tcBorders>
            <w:shd w:val="clear" w:color="auto" w:fill="auto"/>
            <w:vAlign w:val="top"/>
          </w:tcPr>
          <w:p w14:paraId="4995C97A">
            <w:pPr>
              <w:pStyle w:val="26"/>
              <w:spacing w:before="80" w:line="230" w:lineRule="auto"/>
              <w:ind w:left="46" w:leftChars="0"/>
              <w:rPr>
                <w:rFonts w:ascii="仿宋" w:hAnsi="仿宋" w:eastAsia="仿宋" w:cs="仿宋"/>
                <w:snapToGrid w:val="0"/>
                <w:color w:val="000000"/>
                <w:kern w:val="0"/>
                <w:sz w:val="23"/>
                <w:szCs w:val="23"/>
                <w:highlight w:val="none"/>
                <w:lang w:val="en-US" w:eastAsia="en-US" w:bidi="ar-SA"/>
              </w:rPr>
            </w:pPr>
            <w:r>
              <w:rPr>
                <w:spacing w:val="4"/>
                <w:highlight w:val="none"/>
              </w:rPr>
              <w:t>推荐中标候选供应商的数量：3名</w:t>
            </w:r>
          </w:p>
        </w:tc>
      </w:tr>
      <w:tr w14:paraId="5D185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309" w:type="dxa"/>
            <w:tcBorders>
              <w:left w:val="single" w:color="000000" w:sz="8" w:space="0"/>
            </w:tcBorders>
            <w:shd w:val="clear" w:color="auto" w:fill="auto"/>
            <w:vAlign w:val="center"/>
          </w:tcPr>
          <w:p w14:paraId="44C4D797">
            <w:pPr>
              <w:pStyle w:val="26"/>
              <w:spacing w:before="115" w:line="186" w:lineRule="auto"/>
              <w:jc w:val="center"/>
              <w:rPr>
                <w:rFonts w:ascii="仿宋" w:hAnsi="仿宋" w:eastAsia="仿宋" w:cs="仿宋"/>
                <w:snapToGrid w:val="0"/>
                <w:color w:val="000000"/>
                <w:kern w:val="0"/>
                <w:sz w:val="23"/>
                <w:szCs w:val="23"/>
                <w:highlight w:val="none"/>
                <w:lang w:val="en-US" w:eastAsia="en-US" w:bidi="ar-SA"/>
              </w:rPr>
            </w:pPr>
            <w:r>
              <w:rPr>
                <w:spacing w:val="-4"/>
                <w:highlight w:val="none"/>
              </w:rPr>
              <w:t>27</w:t>
            </w:r>
          </w:p>
        </w:tc>
        <w:tc>
          <w:tcPr>
            <w:tcW w:w="7005" w:type="dxa"/>
            <w:tcBorders>
              <w:right w:val="single" w:color="000000" w:sz="8" w:space="0"/>
            </w:tcBorders>
            <w:shd w:val="clear" w:color="auto" w:fill="auto"/>
            <w:vAlign w:val="top"/>
          </w:tcPr>
          <w:p w14:paraId="413AE573">
            <w:pPr>
              <w:pStyle w:val="26"/>
              <w:spacing w:before="86" w:line="231" w:lineRule="auto"/>
              <w:ind w:left="40" w:leftChars="0"/>
              <w:rPr>
                <w:rFonts w:ascii="仿宋" w:hAnsi="仿宋" w:eastAsia="仿宋" w:cs="仿宋"/>
                <w:snapToGrid w:val="0"/>
                <w:color w:val="000000"/>
                <w:kern w:val="0"/>
                <w:sz w:val="23"/>
                <w:szCs w:val="23"/>
                <w:highlight w:val="none"/>
                <w:lang w:val="en-US" w:eastAsia="en-US" w:bidi="ar-SA"/>
              </w:rPr>
            </w:pPr>
            <w:r>
              <w:rPr>
                <w:spacing w:val="9"/>
                <w:highlight w:val="none"/>
              </w:rPr>
              <w:t>招标人是否委托评标委员会直接确定中标人：否</w:t>
            </w:r>
          </w:p>
        </w:tc>
      </w:tr>
      <w:tr w14:paraId="24215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1309" w:type="dxa"/>
            <w:tcBorders>
              <w:left w:val="single" w:color="000000" w:sz="8" w:space="0"/>
            </w:tcBorders>
            <w:shd w:val="clear" w:color="auto" w:fill="auto"/>
            <w:vAlign w:val="center"/>
          </w:tcPr>
          <w:p w14:paraId="6272BFD0">
            <w:pPr>
              <w:pStyle w:val="26"/>
              <w:spacing w:before="75" w:line="187" w:lineRule="auto"/>
              <w:jc w:val="center"/>
              <w:rPr>
                <w:rFonts w:ascii="仿宋" w:hAnsi="仿宋" w:eastAsia="仿宋" w:cs="仿宋"/>
                <w:snapToGrid w:val="0"/>
                <w:color w:val="000000"/>
                <w:kern w:val="0"/>
                <w:sz w:val="23"/>
                <w:szCs w:val="23"/>
                <w:highlight w:val="none"/>
                <w:lang w:val="en-US" w:eastAsia="en-US" w:bidi="ar-SA"/>
              </w:rPr>
            </w:pPr>
            <w:r>
              <w:rPr>
                <w:spacing w:val="-4"/>
                <w:highlight w:val="none"/>
              </w:rPr>
              <w:t>31.1</w:t>
            </w:r>
          </w:p>
        </w:tc>
        <w:tc>
          <w:tcPr>
            <w:tcW w:w="7005" w:type="dxa"/>
            <w:tcBorders>
              <w:right w:val="single" w:color="000000" w:sz="8" w:space="0"/>
            </w:tcBorders>
            <w:shd w:val="clear" w:color="auto" w:fill="auto"/>
            <w:vAlign w:val="top"/>
          </w:tcPr>
          <w:p w14:paraId="3A460B63">
            <w:pPr>
              <w:pStyle w:val="26"/>
              <w:spacing w:before="53" w:line="229" w:lineRule="auto"/>
              <w:ind w:left="17"/>
              <w:rPr>
                <w:highlight w:val="none"/>
              </w:rPr>
            </w:pPr>
            <w:r>
              <w:rPr>
                <w:spacing w:val="-1"/>
                <w:highlight w:val="none"/>
              </w:rPr>
              <w:t>履约保证金金额：中标价的</w:t>
            </w:r>
            <w:r>
              <w:rPr>
                <w:rFonts w:hint="eastAsia"/>
                <w:spacing w:val="-1"/>
                <w:highlight w:val="none"/>
                <w:lang w:val="en-US" w:eastAsia="zh-CN"/>
              </w:rPr>
              <w:t>3</w:t>
            </w:r>
            <w:r>
              <w:rPr>
                <w:spacing w:val="-1"/>
                <w:highlight w:val="none"/>
              </w:rPr>
              <w:t>%</w:t>
            </w:r>
          </w:p>
          <w:p w14:paraId="69643D51">
            <w:pPr>
              <w:pStyle w:val="26"/>
              <w:spacing w:before="24" w:line="227" w:lineRule="auto"/>
              <w:ind w:left="17"/>
              <w:rPr>
                <w:highlight w:val="none"/>
              </w:rPr>
            </w:pPr>
            <w:r>
              <w:rPr>
                <w:spacing w:val="8"/>
                <w:highlight w:val="none"/>
              </w:rPr>
              <w:t>履约保证金形式：基本户转账或保函</w:t>
            </w:r>
          </w:p>
          <w:p w14:paraId="77E4FC0D">
            <w:pPr>
              <w:pStyle w:val="26"/>
              <w:spacing w:before="29" w:line="229" w:lineRule="auto"/>
              <w:ind w:left="19" w:leftChars="0"/>
              <w:rPr>
                <w:rFonts w:ascii="仿宋" w:hAnsi="仿宋" w:eastAsia="仿宋" w:cs="仿宋"/>
                <w:snapToGrid w:val="0"/>
                <w:color w:val="000000"/>
                <w:kern w:val="0"/>
                <w:sz w:val="23"/>
                <w:szCs w:val="23"/>
                <w:highlight w:val="none"/>
                <w:lang w:val="en-US" w:eastAsia="en-US" w:bidi="ar-SA"/>
              </w:rPr>
            </w:pPr>
            <w:r>
              <w:rPr>
                <w:spacing w:val="7"/>
                <w:highlight w:val="none"/>
              </w:rPr>
              <w:t>关于履约保证金的其他事宜具体签合同时另行约定。</w:t>
            </w:r>
          </w:p>
        </w:tc>
      </w:tr>
      <w:tr w14:paraId="03088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1309" w:type="dxa"/>
            <w:tcBorders>
              <w:left w:val="single" w:color="000000" w:sz="8" w:space="0"/>
            </w:tcBorders>
            <w:shd w:val="clear" w:color="auto" w:fill="auto"/>
            <w:vAlign w:val="center"/>
          </w:tcPr>
          <w:p w14:paraId="1D97200F">
            <w:pPr>
              <w:spacing w:line="240" w:lineRule="auto"/>
              <w:ind w:left="0" w:right="0" w:firstLine="0"/>
              <w:jc w:val="center"/>
              <w:rPr>
                <w:rFonts w:ascii="Arial"/>
                <w:sz w:val="21"/>
                <w:highlight w:val="none"/>
              </w:rPr>
            </w:pPr>
          </w:p>
          <w:p w14:paraId="5705A992">
            <w:pPr>
              <w:pStyle w:val="26"/>
              <w:spacing w:line="240" w:lineRule="auto"/>
              <w:ind w:left="0" w:leftChars="0" w:right="0" w:rightChars="0" w:firstLine="0" w:firstLineChars="0"/>
              <w:jc w:val="center"/>
              <w:rPr>
                <w:rFonts w:ascii="仿宋" w:hAnsi="仿宋" w:eastAsia="仿宋" w:cs="仿宋"/>
                <w:snapToGrid w:val="0"/>
                <w:color w:val="000000"/>
                <w:kern w:val="0"/>
                <w:sz w:val="23"/>
                <w:szCs w:val="23"/>
                <w:highlight w:val="none"/>
                <w:lang w:val="en-US" w:eastAsia="en-US" w:bidi="ar-SA"/>
              </w:rPr>
            </w:pPr>
            <w:r>
              <w:rPr>
                <w:spacing w:val="-5"/>
                <w:highlight w:val="none"/>
              </w:rPr>
              <w:t>32</w:t>
            </w:r>
          </w:p>
        </w:tc>
        <w:tc>
          <w:tcPr>
            <w:tcW w:w="7005" w:type="dxa"/>
            <w:tcBorders>
              <w:right w:val="single" w:color="000000" w:sz="8" w:space="0"/>
            </w:tcBorders>
            <w:shd w:val="clear" w:color="auto" w:fill="auto"/>
            <w:vAlign w:val="top"/>
          </w:tcPr>
          <w:p w14:paraId="1F7E2BD8">
            <w:pPr>
              <w:pStyle w:val="26"/>
              <w:spacing w:line="240" w:lineRule="auto"/>
              <w:ind w:left="0" w:right="0" w:firstLine="0"/>
              <w:rPr>
                <w:rFonts w:hint="eastAsia" w:eastAsia="仿宋"/>
                <w:highlight w:val="none"/>
                <w:lang w:eastAsia="zh-CN"/>
              </w:rPr>
            </w:pPr>
            <w:r>
              <w:rPr>
                <w:spacing w:val="1"/>
                <w:highlight w:val="none"/>
              </w:rPr>
              <w:t>中标服务费：按照国家发改委发改办价格[20</w:t>
            </w:r>
            <w:r>
              <w:rPr>
                <w:highlight w:val="none"/>
              </w:rPr>
              <w:t>15]299号文要求</w:t>
            </w:r>
            <w:r>
              <w:rPr>
                <w:rFonts w:hint="eastAsia"/>
                <w:highlight w:val="none"/>
                <w:lang w:eastAsia="zh-CN"/>
              </w:rPr>
              <w:t>。</w:t>
            </w:r>
          </w:p>
          <w:p w14:paraId="4BE69D90">
            <w:pPr>
              <w:pStyle w:val="26"/>
              <w:spacing w:line="240" w:lineRule="auto"/>
              <w:ind w:left="0" w:right="0" w:firstLine="0"/>
              <w:rPr>
                <w:highlight w:val="none"/>
              </w:rPr>
            </w:pPr>
            <w:r>
              <w:rPr>
                <w:spacing w:val="3"/>
                <w:highlight w:val="none"/>
              </w:rPr>
              <w:t>支付形式：转账或电汇</w:t>
            </w:r>
          </w:p>
          <w:p w14:paraId="216EC19E">
            <w:pPr>
              <w:pStyle w:val="26"/>
              <w:spacing w:line="240" w:lineRule="auto"/>
              <w:ind w:left="0" w:leftChars="0" w:right="0" w:rightChars="0" w:firstLine="0" w:firstLineChars="0"/>
              <w:rPr>
                <w:rFonts w:ascii="仿宋" w:hAnsi="仿宋" w:eastAsia="仿宋" w:cs="仿宋"/>
                <w:snapToGrid w:val="0"/>
                <w:color w:val="000000"/>
                <w:kern w:val="0"/>
                <w:sz w:val="23"/>
                <w:szCs w:val="23"/>
                <w:highlight w:val="none"/>
                <w:lang w:val="en-US" w:eastAsia="en-US" w:bidi="ar-SA"/>
              </w:rPr>
            </w:pPr>
            <w:r>
              <w:rPr>
                <w:spacing w:val="4"/>
                <w:highlight w:val="none"/>
              </w:rPr>
              <w:t>支付时间：领取中标通知书时</w:t>
            </w:r>
          </w:p>
        </w:tc>
      </w:tr>
      <w:tr w14:paraId="7B759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309" w:type="dxa"/>
            <w:tcBorders>
              <w:left w:val="single" w:color="000000" w:sz="8" w:space="0"/>
            </w:tcBorders>
            <w:shd w:val="clear" w:color="auto" w:fill="auto"/>
            <w:vAlign w:val="center"/>
          </w:tcPr>
          <w:p w14:paraId="1F21DF8B">
            <w:pPr>
              <w:pStyle w:val="26"/>
              <w:spacing w:line="240" w:lineRule="auto"/>
              <w:ind w:left="0" w:leftChars="0" w:right="0" w:rightChars="0" w:firstLine="0" w:firstLineChars="0"/>
              <w:jc w:val="center"/>
              <w:rPr>
                <w:rFonts w:ascii="仿宋" w:hAnsi="仿宋" w:eastAsia="仿宋" w:cs="仿宋"/>
                <w:snapToGrid w:val="0"/>
                <w:color w:val="000000"/>
                <w:kern w:val="0"/>
                <w:sz w:val="23"/>
                <w:szCs w:val="23"/>
                <w:highlight w:val="none"/>
                <w:lang w:val="en-US" w:eastAsia="en-US" w:bidi="ar-SA"/>
              </w:rPr>
            </w:pPr>
            <w:r>
              <w:rPr>
                <w:spacing w:val="-4"/>
                <w:highlight w:val="none"/>
              </w:rPr>
              <w:t>33.1</w:t>
            </w:r>
          </w:p>
        </w:tc>
        <w:tc>
          <w:tcPr>
            <w:tcW w:w="7005" w:type="dxa"/>
            <w:tcBorders>
              <w:right w:val="single" w:color="000000" w:sz="8" w:space="0"/>
            </w:tcBorders>
            <w:shd w:val="clear" w:color="auto" w:fill="auto"/>
            <w:vAlign w:val="top"/>
          </w:tcPr>
          <w:p w14:paraId="435C12DC">
            <w:pPr>
              <w:pStyle w:val="26"/>
              <w:spacing w:line="240" w:lineRule="auto"/>
              <w:ind w:left="0" w:leftChars="0" w:right="0" w:rightChars="0" w:firstLine="0" w:firstLineChars="0"/>
              <w:rPr>
                <w:rFonts w:hint="eastAsia"/>
                <w:b/>
                <w:bCs/>
                <w:spacing w:val="9"/>
                <w:highlight w:val="none"/>
                <w:lang w:val="en-US" w:eastAsia="zh-CN"/>
              </w:rPr>
            </w:pPr>
            <w:r>
              <w:rPr>
                <w:b/>
                <w:bCs/>
                <w:spacing w:val="9"/>
                <w:highlight w:val="none"/>
              </w:rPr>
              <w:t>本项目是否属于信用担保试点范围：</w:t>
            </w:r>
            <w:r>
              <w:rPr>
                <w:rFonts w:hint="eastAsia"/>
                <w:b/>
                <w:bCs/>
                <w:spacing w:val="9"/>
                <w:highlight w:val="none"/>
                <w:lang w:val="en-US" w:eastAsia="zh-CN"/>
              </w:rPr>
              <w:t>是</w:t>
            </w:r>
          </w:p>
          <w:p w14:paraId="2990FB8F">
            <w:pPr>
              <w:pStyle w:val="26"/>
              <w:spacing w:line="240" w:lineRule="auto"/>
              <w:ind w:left="0" w:leftChars="0" w:right="0" w:rightChars="0" w:firstLine="0" w:firstLineChars="0"/>
              <w:rPr>
                <w:rFonts w:hint="eastAsia"/>
                <w:spacing w:val="9"/>
                <w:highlight w:val="none"/>
                <w:lang w:val="en-US" w:eastAsia="zh-CN"/>
              </w:rPr>
            </w:pPr>
            <w:r>
              <w:rPr>
                <w:rFonts w:hint="eastAsia"/>
                <w:spacing w:val="9"/>
                <w:highlight w:val="none"/>
                <w:lang w:val="en-US" w:eastAsia="zh-CN"/>
              </w:rPr>
              <w:t>根据《政府采购活动中进一步推动开展信用担保工作的通知》相关文件要求，本项目允许供应商以专业担保机构出具的保函形式提交政府采购投标（响应）保证金，鼓励使用电子保函。</w:t>
            </w:r>
          </w:p>
          <w:p w14:paraId="6542816C">
            <w:pPr>
              <w:pStyle w:val="26"/>
              <w:spacing w:line="240" w:lineRule="auto"/>
              <w:ind w:left="0" w:leftChars="0" w:right="0" w:rightChars="0" w:firstLine="0" w:firstLineChars="0"/>
              <w:rPr>
                <w:rFonts w:hint="eastAsia"/>
                <w:spacing w:val="9"/>
                <w:highlight w:val="none"/>
                <w:lang w:val="en-US" w:eastAsia="zh-CN"/>
              </w:rPr>
            </w:pPr>
            <w:r>
              <w:rPr>
                <w:rFonts w:hint="eastAsia"/>
                <w:spacing w:val="9"/>
                <w:highlight w:val="none"/>
                <w:lang w:val="en-US" w:eastAsia="zh-CN"/>
              </w:rPr>
              <w:t>英吉沙县天宇融资担保有限责任公司</w:t>
            </w:r>
          </w:p>
          <w:p w14:paraId="7104AFDC">
            <w:pPr>
              <w:pStyle w:val="26"/>
              <w:spacing w:line="240" w:lineRule="auto"/>
              <w:ind w:left="0" w:leftChars="0" w:right="0" w:rightChars="0" w:firstLine="0" w:firstLineChars="0"/>
              <w:rPr>
                <w:rFonts w:hint="eastAsia"/>
                <w:spacing w:val="9"/>
                <w:highlight w:val="none"/>
                <w:lang w:val="en-US" w:eastAsia="zh-CN"/>
              </w:rPr>
            </w:pPr>
            <w:r>
              <w:rPr>
                <w:rFonts w:hint="eastAsia"/>
                <w:spacing w:val="9"/>
                <w:highlight w:val="none"/>
                <w:lang w:val="en-US" w:eastAsia="zh-CN"/>
              </w:rPr>
              <w:t>联系人：谭经理联系电话：18299011986</w:t>
            </w:r>
          </w:p>
          <w:p w14:paraId="2610CA64">
            <w:pPr>
              <w:pStyle w:val="26"/>
              <w:spacing w:line="240" w:lineRule="auto"/>
              <w:ind w:left="0" w:leftChars="0" w:right="0" w:rightChars="0" w:firstLine="0" w:firstLineChars="0"/>
              <w:rPr>
                <w:rFonts w:hint="eastAsia"/>
                <w:spacing w:val="9"/>
                <w:highlight w:val="none"/>
                <w:lang w:val="en-US" w:eastAsia="zh-CN"/>
              </w:rPr>
            </w:pPr>
            <w:r>
              <w:rPr>
                <w:rFonts w:hint="eastAsia"/>
                <w:spacing w:val="9"/>
                <w:highlight w:val="none"/>
                <w:lang w:val="en-US" w:eastAsia="zh-CN"/>
              </w:rPr>
              <w:t>办理地点：英吉沙县财政局二楼</w:t>
            </w:r>
          </w:p>
          <w:p w14:paraId="73ECEB81">
            <w:pPr>
              <w:pStyle w:val="26"/>
              <w:spacing w:line="240" w:lineRule="auto"/>
              <w:ind w:left="0" w:leftChars="0" w:right="0" w:rightChars="0" w:firstLine="0" w:firstLineChars="0"/>
              <w:rPr>
                <w:rFonts w:hint="eastAsia"/>
                <w:spacing w:val="9"/>
                <w:highlight w:val="none"/>
                <w:lang w:val="en-US" w:eastAsia="zh-CN"/>
              </w:rPr>
            </w:pPr>
            <w:r>
              <w:rPr>
                <w:rFonts w:hint="eastAsia"/>
                <w:b/>
                <w:bCs/>
                <w:spacing w:val="9"/>
                <w:highlight w:val="none"/>
                <w:lang w:val="en-US" w:eastAsia="zh-CN"/>
              </w:rPr>
              <w:t>（以上担保机构只是给各投标单位多一项选择，最终选择哪个合法的担保机构，不影响正常项目投标）</w:t>
            </w:r>
          </w:p>
        </w:tc>
      </w:tr>
      <w:tr w14:paraId="215AB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09" w:type="dxa"/>
            <w:tcBorders>
              <w:left w:val="single" w:color="000000" w:sz="8" w:space="0"/>
            </w:tcBorders>
            <w:shd w:val="clear" w:color="auto" w:fill="auto"/>
            <w:vAlign w:val="center"/>
          </w:tcPr>
          <w:p w14:paraId="1AEB6485">
            <w:pPr>
              <w:pStyle w:val="26"/>
              <w:spacing w:line="240" w:lineRule="auto"/>
              <w:ind w:left="0" w:leftChars="0" w:right="0" w:rightChars="0" w:firstLine="0" w:firstLineChars="0"/>
              <w:jc w:val="center"/>
              <w:rPr>
                <w:rFonts w:ascii="仿宋" w:hAnsi="仿宋" w:eastAsia="仿宋" w:cs="仿宋"/>
                <w:snapToGrid w:val="0"/>
                <w:color w:val="000000"/>
                <w:kern w:val="0"/>
                <w:sz w:val="23"/>
                <w:szCs w:val="23"/>
                <w:highlight w:val="none"/>
                <w:lang w:val="en-US" w:eastAsia="en-US" w:bidi="ar-SA"/>
              </w:rPr>
            </w:pPr>
            <w:r>
              <w:rPr>
                <w:spacing w:val="-4"/>
                <w:highlight w:val="none"/>
              </w:rPr>
              <w:t>36.3</w:t>
            </w:r>
          </w:p>
        </w:tc>
        <w:tc>
          <w:tcPr>
            <w:tcW w:w="7005" w:type="dxa"/>
            <w:tcBorders>
              <w:right w:val="single" w:color="000000" w:sz="8" w:space="0"/>
            </w:tcBorders>
            <w:shd w:val="clear" w:color="auto" w:fill="auto"/>
            <w:vAlign w:val="top"/>
          </w:tcPr>
          <w:p w14:paraId="1BEC4A5F">
            <w:pPr>
              <w:pStyle w:val="26"/>
              <w:spacing w:line="240" w:lineRule="auto"/>
              <w:ind w:left="0" w:right="0" w:firstLine="0"/>
              <w:rPr>
                <w:highlight w:val="none"/>
              </w:rPr>
            </w:pPr>
            <w:r>
              <w:rPr>
                <w:spacing w:val="2"/>
                <w:highlight w:val="none"/>
              </w:rPr>
              <w:t>接收部门：招标部</w:t>
            </w:r>
          </w:p>
          <w:p w14:paraId="6C03C070">
            <w:pPr>
              <w:pStyle w:val="26"/>
              <w:spacing w:line="240" w:lineRule="auto"/>
              <w:ind w:left="0" w:right="0" w:firstLine="0"/>
              <w:rPr>
                <w:rFonts w:hint="eastAsia" w:eastAsia="仿宋"/>
                <w:highlight w:val="none"/>
                <w:lang w:eastAsia="zh-CN"/>
              </w:rPr>
            </w:pPr>
            <w:r>
              <w:rPr>
                <w:highlight w:val="none"/>
              </w:rPr>
              <w:t>联系电话：</w:t>
            </w:r>
            <w:r>
              <w:rPr>
                <w:rFonts w:hint="eastAsia"/>
                <w:highlight w:val="none"/>
                <w:lang w:eastAsia="zh-CN"/>
              </w:rPr>
              <w:t>15026328789</w:t>
            </w:r>
          </w:p>
          <w:p w14:paraId="18ADDE7A">
            <w:pPr>
              <w:pStyle w:val="26"/>
              <w:spacing w:line="240" w:lineRule="auto"/>
              <w:ind w:left="0" w:leftChars="0" w:right="0" w:rightChars="0" w:firstLine="0" w:firstLineChars="0"/>
              <w:rPr>
                <w:rFonts w:ascii="仿宋" w:hAnsi="仿宋" w:eastAsia="仿宋" w:cs="仿宋"/>
                <w:snapToGrid w:val="0"/>
                <w:color w:val="000000"/>
                <w:kern w:val="0"/>
                <w:sz w:val="23"/>
                <w:szCs w:val="23"/>
                <w:highlight w:val="none"/>
                <w:lang w:val="en-US" w:eastAsia="en-US" w:bidi="ar-SA"/>
              </w:rPr>
            </w:pPr>
            <w:r>
              <w:rPr>
                <w:spacing w:val="5"/>
                <w:highlight w:val="none"/>
              </w:rPr>
              <w:t>通讯地址：</w:t>
            </w:r>
            <w:r>
              <w:rPr>
                <w:rFonts w:hint="eastAsia"/>
                <w:spacing w:val="5"/>
                <w:sz w:val="23"/>
                <w:szCs w:val="23"/>
                <w:highlight w:val="none"/>
                <w:lang w:eastAsia="zh-CN"/>
              </w:rPr>
              <w:t>新疆喀什地区英吉沙县光明路新城商业街1号楼2-1号</w:t>
            </w:r>
          </w:p>
        </w:tc>
      </w:tr>
      <w:tr w14:paraId="10E92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309" w:type="dxa"/>
            <w:tcBorders>
              <w:left w:val="single" w:color="000000" w:sz="8" w:space="0"/>
            </w:tcBorders>
            <w:shd w:val="clear" w:color="auto" w:fill="auto"/>
            <w:vAlign w:val="center"/>
          </w:tcPr>
          <w:p w14:paraId="70BF58AD">
            <w:pPr>
              <w:pStyle w:val="26"/>
              <w:spacing w:line="240" w:lineRule="auto"/>
              <w:ind w:left="0" w:leftChars="0" w:right="0" w:rightChars="0" w:firstLine="0" w:firstLineChars="0"/>
              <w:jc w:val="center"/>
              <w:rPr>
                <w:rFonts w:ascii="仿宋" w:hAnsi="仿宋" w:eastAsia="仿宋" w:cs="仿宋"/>
                <w:snapToGrid w:val="0"/>
                <w:color w:val="000000"/>
                <w:kern w:val="0"/>
                <w:sz w:val="23"/>
                <w:szCs w:val="23"/>
                <w:highlight w:val="none"/>
                <w:lang w:val="en-US" w:eastAsia="en-US" w:bidi="ar-SA"/>
              </w:rPr>
            </w:pPr>
            <w:r>
              <w:rPr>
                <w:spacing w:val="-4"/>
                <w:highlight w:val="none"/>
              </w:rPr>
              <w:t>36.4</w:t>
            </w:r>
          </w:p>
        </w:tc>
        <w:tc>
          <w:tcPr>
            <w:tcW w:w="7005" w:type="dxa"/>
            <w:tcBorders>
              <w:right w:val="single" w:color="000000" w:sz="8" w:space="0"/>
            </w:tcBorders>
            <w:shd w:val="clear" w:color="auto" w:fill="auto"/>
            <w:vAlign w:val="top"/>
          </w:tcPr>
          <w:p w14:paraId="09B30489">
            <w:pPr>
              <w:pStyle w:val="26"/>
              <w:spacing w:line="240" w:lineRule="auto"/>
              <w:ind w:left="0" w:leftChars="0" w:right="0" w:rightChars="0" w:firstLine="0" w:firstLineChars="0"/>
              <w:rPr>
                <w:rFonts w:ascii="仿宋" w:hAnsi="仿宋" w:eastAsia="仿宋" w:cs="仿宋"/>
                <w:snapToGrid w:val="0"/>
                <w:color w:val="000000"/>
                <w:kern w:val="0"/>
                <w:sz w:val="23"/>
                <w:szCs w:val="23"/>
                <w:highlight w:val="none"/>
                <w:lang w:val="en-US" w:eastAsia="en-US" w:bidi="ar-SA"/>
              </w:rPr>
            </w:pPr>
            <w:r>
              <w:rPr>
                <w:spacing w:val="8"/>
                <w:highlight w:val="none"/>
              </w:rPr>
              <w:t>本项目的采购活动以及相关当事人应当接受财政监督部门依法实</w:t>
            </w:r>
            <w:r>
              <w:rPr>
                <w:spacing w:val="2"/>
                <w:highlight w:val="none"/>
              </w:rPr>
              <w:t>施的监督。</w:t>
            </w:r>
          </w:p>
        </w:tc>
      </w:tr>
      <w:tr w14:paraId="5815D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1309" w:type="dxa"/>
            <w:tcBorders>
              <w:left w:val="single" w:color="000000" w:sz="8" w:space="0"/>
            </w:tcBorders>
            <w:shd w:val="clear" w:color="auto" w:fill="auto"/>
            <w:vAlign w:val="center"/>
          </w:tcPr>
          <w:p w14:paraId="3FC72B62">
            <w:pPr>
              <w:pStyle w:val="26"/>
              <w:spacing w:before="74" w:line="343" w:lineRule="auto"/>
              <w:ind w:right="146" w:rightChars="0"/>
              <w:jc w:val="center"/>
              <w:rPr>
                <w:rFonts w:ascii="仿宋" w:hAnsi="仿宋" w:eastAsia="仿宋" w:cs="仿宋"/>
                <w:snapToGrid w:val="0"/>
                <w:color w:val="000000"/>
                <w:kern w:val="0"/>
                <w:sz w:val="23"/>
                <w:szCs w:val="23"/>
                <w:highlight w:val="none"/>
                <w:lang w:val="en-US" w:eastAsia="en-US" w:bidi="ar-SA"/>
              </w:rPr>
            </w:pPr>
            <w:r>
              <w:rPr>
                <w:spacing w:val="3"/>
                <w:highlight w:val="none"/>
              </w:rPr>
              <w:t>投标文件的上传和递交</w:t>
            </w:r>
          </w:p>
        </w:tc>
        <w:tc>
          <w:tcPr>
            <w:tcW w:w="7005" w:type="dxa"/>
            <w:tcBorders>
              <w:right w:val="single" w:color="000000" w:sz="8" w:space="0"/>
            </w:tcBorders>
            <w:shd w:val="clear" w:color="auto" w:fill="auto"/>
            <w:vAlign w:val="top"/>
          </w:tcPr>
          <w:p w14:paraId="277BB9F7">
            <w:pPr>
              <w:pStyle w:val="26"/>
              <w:spacing w:line="240" w:lineRule="auto"/>
              <w:ind w:left="0" w:leftChars="0" w:right="0" w:rightChars="0" w:firstLine="0" w:firstLineChars="0"/>
              <w:rPr>
                <w:rFonts w:hint="eastAsia"/>
                <w:spacing w:val="9"/>
                <w:highlight w:val="none"/>
                <w:lang w:val="en-US" w:eastAsia="zh-CN"/>
              </w:rPr>
            </w:pPr>
            <w:r>
              <w:rPr>
                <w:rFonts w:hint="eastAsia"/>
                <w:spacing w:val="9"/>
                <w:highlight w:val="none"/>
                <w:lang w:val="en-US" w:eastAsia="zh-CN"/>
              </w:rPr>
              <w:t>1.电子加密投标文件：投标文件制作完成并生成加密标书，在投标截止时间前，供应商需将加密的投标文件上传至政采云平台，</w:t>
            </w:r>
          </w:p>
          <w:p w14:paraId="2A5E8940">
            <w:pPr>
              <w:pStyle w:val="26"/>
              <w:spacing w:line="240" w:lineRule="auto"/>
              <w:ind w:left="0" w:leftChars="0" w:right="0" w:rightChars="0" w:firstLine="0" w:firstLineChars="0"/>
              <w:rPr>
                <w:rFonts w:hint="eastAsia"/>
                <w:b/>
                <w:bCs/>
                <w:spacing w:val="9"/>
                <w:highlight w:val="none"/>
                <w:lang w:val="en-US" w:eastAsia="zh-CN"/>
              </w:rPr>
            </w:pPr>
            <w:r>
              <w:rPr>
                <w:rFonts w:hint="eastAsia"/>
                <w:b/>
                <w:bCs/>
                <w:spacing w:val="9"/>
                <w:highlight w:val="none"/>
                <w:lang w:val="en-US" w:eastAsia="zh-CN"/>
              </w:rPr>
              <w:t>在开标时间开始后，待采购组织机构发出解密通知后30分钟内解密投标文件。</w:t>
            </w:r>
          </w:p>
          <w:p w14:paraId="50E7BCB7">
            <w:pPr>
              <w:pStyle w:val="26"/>
              <w:spacing w:line="240" w:lineRule="auto"/>
              <w:ind w:left="0" w:leftChars="0" w:right="0" w:rightChars="0" w:firstLine="0" w:firstLineChars="0"/>
              <w:rPr>
                <w:rFonts w:hint="eastAsia"/>
                <w:spacing w:val="9"/>
                <w:highlight w:val="none"/>
                <w:lang w:val="en-US" w:eastAsia="zh-CN"/>
              </w:rPr>
            </w:pPr>
            <w:r>
              <w:rPr>
                <w:rFonts w:hint="eastAsia"/>
                <w:spacing w:val="9"/>
                <w:highlight w:val="none"/>
                <w:lang w:val="en-US" w:eastAsia="zh-CN"/>
              </w:rPr>
              <w:t>a.供应商未能在投标截止时间前成功上传电子加密投标文件的投标无效。</w:t>
            </w:r>
          </w:p>
          <w:p w14:paraId="2B51E159">
            <w:pPr>
              <w:pStyle w:val="26"/>
              <w:spacing w:line="240" w:lineRule="auto"/>
              <w:ind w:left="0" w:leftChars="0" w:right="0" w:rightChars="0" w:firstLine="0" w:firstLineChars="0"/>
              <w:rPr>
                <w:rFonts w:ascii="仿宋" w:hAnsi="仿宋" w:eastAsia="仿宋" w:cs="仿宋"/>
                <w:snapToGrid w:val="0"/>
                <w:color w:val="000000"/>
                <w:spacing w:val="-3"/>
                <w:kern w:val="0"/>
                <w:sz w:val="23"/>
                <w:szCs w:val="23"/>
                <w:highlight w:val="none"/>
                <w:u w:val="single" w:color="auto"/>
                <w:lang w:val="en-US" w:eastAsia="en-US" w:bidi="ar-SA"/>
              </w:rPr>
            </w:pPr>
            <w:r>
              <w:rPr>
                <w:rFonts w:hint="eastAsia"/>
                <w:spacing w:val="9"/>
                <w:highlight w:val="none"/>
                <w:lang w:val="en-US" w:eastAsia="zh-CN"/>
              </w:rPr>
              <w:t>b.供应商成功上传电子加密投标文件后，可自行打印投标文件接收回执。</w:t>
            </w:r>
          </w:p>
        </w:tc>
      </w:tr>
      <w:tr w14:paraId="5D704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0" w:hRule="atLeast"/>
        </w:trPr>
        <w:tc>
          <w:tcPr>
            <w:tcW w:w="1309" w:type="dxa"/>
            <w:tcBorders>
              <w:left w:val="single" w:color="000000" w:sz="8" w:space="0"/>
            </w:tcBorders>
            <w:shd w:val="clear" w:color="auto" w:fill="auto"/>
            <w:vAlign w:val="center"/>
          </w:tcPr>
          <w:p w14:paraId="6F86A427">
            <w:pPr>
              <w:pStyle w:val="26"/>
              <w:spacing w:before="75"/>
              <w:ind w:right="139"/>
              <w:jc w:val="left"/>
              <w:rPr>
                <w:rFonts w:ascii="仿宋" w:hAnsi="仿宋" w:eastAsia="仿宋" w:cs="仿宋"/>
                <w:snapToGrid w:val="0"/>
                <w:color w:val="000000"/>
                <w:kern w:val="0"/>
                <w:sz w:val="23"/>
                <w:szCs w:val="23"/>
                <w:highlight w:val="none"/>
                <w:lang w:val="en-US" w:eastAsia="en-US" w:bidi="ar-SA"/>
              </w:rPr>
            </w:pPr>
            <w:r>
              <w:rPr>
                <w:spacing w:val="4"/>
                <w:highlight w:val="none"/>
              </w:rPr>
              <w:t>低于成本价</w:t>
            </w:r>
            <w:r>
              <w:rPr>
                <w:spacing w:val="3"/>
                <w:highlight w:val="none"/>
              </w:rPr>
              <w:t>不正当竞争</w:t>
            </w:r>
            <w:r>
              <w:rPr>
                <w:spacing w:val="25"/>
                <w:highlight w:val="none"/>
              </w:rPr>
              <w:t>预防措施</w:t>
            </w:r>
            <w:r>
              <w:rPr>
                <w:spacing w:val="-2"/>
                <w:highlight w:val="none"/>
              </w:rPr>
              <w:t>（实质性要</w:t>
            </w:r>
            <w:r>
              <w:rPr>
                <w:spacing w:val="-7"/>
                <w:highlight w:val="none"/>
              </w:rPr>
              <w:t>求）</w:t>
            </w:r>
          </w:p>
        </w:tc>
        <w:tc>
          <w:tcPr>
            <w:tcW w:w="7005" w:type="dxa"/>
            <w:tcBorders>
              <w:right w:val="single" w:color="000000" w:sz="8" w:space="0"/>
            </w:tcBorders>
            <w:shd w:val="clear" w:color="auto" w:fill="auto"/>
            <w:vAlign w:val="top"/>
          </w:tcPr>
          <w:p w14:paraId="3D1B1110">
            <w:pPr>
              <w:pStyle w:val="26"/>
              <w:spacing w:before="88" w:line="246" w:lineRule="auto"/>
              <w:ind w:left="37" w:right="20" w:hanging="1"/>
              <w:jc w:val="both"/>
              <w:rPr>
                <w:rFonts w:ascii="仿宋" w:hAnsi="仿宋" w:eastAsia="仿宋" w:cs="仿宋"/>
                <w:snapToGrid w:val="0"/>
                <w:color w:val="000000"/>
                <w:kern w:val="0"/>
                <w:sz w:val="23"/>
                <w:szCs w:val="23"/>
                <w:highlight w:val="none"/>
                <w:lang w:val="en-US" w:eastAsia="en-US" w:bidi="ar-SA"/>
              </w:rPr>
            </w:pPr>
            <w:r>
              <w:rPr>
                <w:spacing w:val="11"/>
                <w:highlight w:val="none"/>
                <w:u w:val="single" w:color="auto"/>
              </w:rPr>
              <w:t>有可能影响产品质量或者不能诚信履约的，评标委员会应当要求其在评标现场合理的时间内提供成本构成书面说明，并提交相关证明材料。供应商书面说明应当按照国家财务会计制度的规定要</w:t>
            </w:r>
            <w:r>
              <w:rPr>
                <w:spacing w:val="10"/>
                <w:highlight w:val="none"/>
                <w:u w:val="single" w:color="auto"/>
              </w:rPr>
              <w:t>求，逐项就供应商提供的货物、工程和服务的主营业务成本（应</w:t>
            </w:r>
            <w:r>
              <w:rPr>
                <w:spacing w:val="9"/>
                <w:highlight w:val="none"/>
                <w:u w:val="single" w:color="auto"/>
              </w:rPr>
              <w:t>根据供应商企业类型予以区别）、商品价格、运费、保险、人员</w:t>
            </w:r>
            <w:r>
              <w:rPr>
                <w:spacing w:val="11"/>
                <w:highlight w:val="none"/>
                <w:u w:val="single" w:color="auto"/>
              </w:rPr>
              <w:t>差旅、社保、税金及附加、销售费用、管理费用、财务费用等成本构成事项详细陈述。供应商书面说明应当签字确认或者加盖公</w:t>
            </w:r>
            <w:r>
              <w:rPr>
                <w:spacing w:val="3"/>
                <w:highlight w:val="none"/>
                <w:u w:val="single" w:color="auto"/>
              </w:rPr>
              <w:t>章，否则无效。书面说明的签字确认，供应商为法人的，由其法定代表人或者代理人签字确认；供应商为其他组织的，由其主要</w:t>
            </w:r>
            <w:r>
              <w:rPr>
                <w:spacing w:val="7"/>
                <w:highlight w:val="none"/>
                <w:u w:val="single" w:color="auto"/>
              </w:rPr>
              <w:t>负责人或者代理人签字确认。</w:t>
            </w:r>
          </w:p>
        </w:tc>
      </w:tr>
      <w:tr w14:paraId="6992B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309" w:type="dxa"/>
            <w:tcBorders>
              <w:left w:val="single" w:color="000000" w:sz="8" w:space="0"/>
              <w:right w:val="single" w:color="000000" w:sz="8" w:space="0"/>
            </w:tcBorders>
            <w:vAlign w:val="top"/>
          </w:tcPr>
          <w:p w14:paraId="2344F382">
            <w:pPr>
              <w:spacing w:line="240" w:lineRule="auto"/>
              <w:ind w:left="0" w:leftChars="0"/>
              <w:rPr>
                <w:rFonts w:hint="eastAsia" w:ascii="方正仿宋_GBK" w:hAnsi="方正仿宋_GBK" w:eastAsia="仿宋" w:cs="方正仿宋_GBK"/>
                <w:b/>
                <w:bCs/>
                <w:snapToGrid w:val="0"/>
                <w:color w:val="000000"/>
                <w:kern w:val="0"/>
                <w:sz w:val="23"/>
                <w:szCs w:val="23"/>
                <w:highlight w:val="none"/>
                <w:lang w:val="en-US" w:eastAsia="zh-CN" w:bidi="ar-SA"/>
              </w:rPr>
            </w:pPr>
            <w:r>
              <w:rPr>
                <w:rFonts w:hint="eastAsia" w:ascii="方正仿宋_GBK" w:hAnsi="方正仿宋_GBK" w:eastAsia="仿宋" w:cs="方正仿宋_GBK"/>
                <w:b/>
                <w:bCs/>
                <w:snapToGrid w:val="0"/>
                <w:color w:val="000000"/>
                <w:kern w:val="0"/>
                <w:sz w:val="23"/>
                <w:szCs w:val="23"/>
                <w:highlight w:val="none"/>
                <w:lang w:val="en-US" w:eastAsia="zh-CN" w:bidi="ar-SA"/>
              </w:rPr>
              <w:t>备注</w:t>
            </w:r>
          </w:p>
        </w:tc>
        <w:tc>
          <w:tcPr>
            <w:tcW w:w="7005" w:type="dxa"/>
            <w:tcBorders>
              <w:left w:val="single" w:color="000000" w:sz="8" w:space="0"/>
              <w:right w:val="single" w:color="000000" w:sz="8" w:space="0"/>
            </w:tcBorders>
            <w:vAlign w:val="top"/>
          </w:tcPr>
          <w:p w14:paraId="48BD77C6">
            <w:pPr>
              <w:pStyle w:val="26"/>
              <w:spacing w:before="88" w:line="246" w:lineRule="auto"/>
              <w:ind w:left="37" w:right="20" w:hanging="1"/>
              <w:jc w:val="both"/>
              <w:rPr>
                <w:rFonts w:hint="eastAsia"/>
                <w:b/>
                <w:bCs/>
                <w:spacing w:val="3"/>
                <w:highlight w:val="none"/>
                <w:u w:val="single" w:color="auto"/>
                <w:lang w:val="en-US" w:eastAsia="zh-CN"/>
              </w:rPr>
            </w:pPr>
            <w:r>
              <w:rPr>
                <w:rFonts w:hint="eastAsia"/>
                <w:b/>
                <w:bCs/>
                <w:spacing w:val="3"/>
                <w:highlight w:val="none"/>
                <w:u w:val="single" w:color="auto"/>
                <w:lang w:val="en-US" w:eastAsia="zh-CN"/>
              </w:rPr>
              <w:t>1.本招标文件所指近6个月为2024年9月-2025年2月（注：如招标文件中有不一致表述，以此处为准）</w:t>
            </w:r>
          </w:p>
          <w:p w14:paraId="56F6F1ED">
            <w:pPr>
              <w:pStyle w:val="26"/>
              <w:spacing w:before="88" w:line="246" w:lineRule="auto"/>
              <w:ind w:left="37" w:right="20" w:hanging="1"/>
              <w:jc w:val="both"/>
              <w:rPr>
                <w:rFonts w:hint="eastAsia"/>
                <w:b/>
                <w:bCs/>
                <w:spacing w:val="3"/>
                <w:highlight w:val="none"/>
                <w:u w:val="single" w:color="auto"/>
                <w:lang w:val="en-US" w:eastAsia="zh-CN"/>
              </w:rPr>
            </w:pPr>
            <w:r>
              <w:rPr>
                <w:rFonts w:hint="eastAsia"/>
                <w:b/>
                <w:bCs/>
                <w:spacing w:val="3"/>
                <w:highlight w:val="none"/>
                <w:u w:val="single" w:color="auto"/>
                <w:lang w:val="en-US" w:eastAsia="zh-CN"/>
              </w:rPr>
              <w:t>2.报价时报总价不变，同时不得高于预算总价，报价得分以可培训的最多人数计算（供应商依据自身情况填报最多人数）。</w:t>
            </w:r>
          </w:p>
          <w:p w14:paraId="2A2BABC9">
            <w:pPr>
              <w:pStyle w:val="2"/>
              <w:rPr>
                <w:rFonts w:hint="default"/>
                <w:highlight w:val="none"/>
                <w:lang w:val="en-US" w:eastAsia="zh-CN"/>
              </w:rPr>
            </w:pPr>
          </w:p>
        </w:tc>
      </w:tr>
      <w:tr w14:paraId="536C3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314" w:type="dxa"/>
            <w:gridSpan w:val="2"/>
            <w:tcBorders>
              <w:left w:val="single" w:color="000000" w:sz="8" w:space="0"/>
              <w:right w:val="single" w:color="000000" w:sz="8" w:space="0"/>
            </w:tcBorders>
            <w:vAlign w:val="top"/>
          </w:tcPr>
          <w:p w14:paraId="1215A71A">
            <w:pPr>
              <w:spacing w:line="240" w:lineRule="auto"/>
              <w:ind w:left="0" w:leftChars="0"/>
              <w:rPr>
                <w:rFonts w:ascii="仿宋" w:hAnsi="仿宋" w:eastAsia="仿宋" w:cs="仿宋"/>
                <w:b/>
                <w:bCs/>
                <w:spacing w:val="4"/>
                <w:sz w:val="23"/>
                <w:szCs w:val="23"/>
                <w:highlight w:val="none"/>
              </w:rPr>
            </w:pPr>
            <w:r>
              <w:rPr>
                <w:rFonts w:ascii="仿宋" w:hAnsi="仿宋" w:eastAsia="仿宋" w:cs="仿宋"/>
                <w:b/>
                <w:bCs/>
                <w:spacing w:val="4"/>
                <w:sz w:val="23"/>
                <w:szCs w:val="23"/>
                <w:highlight w:val="none"/>
              </w:rPr>
              <w:t>本</w:t>
            </w:r>
            <w:r>
              <w:rPr>
                <w:rFonts w:hint="eastAsia" w:ascii="仿宋" w:hAnsi="仿宋" w:eastAsia="仿宋" w:cs="仿宋"/>
                <w:b/>
                <w:bCs/>
                <w:spacing w:val="4"/>
                <w:sz w:val="23"/>
                <w:szCs w:val="23"/>
                <w:highlight w:val="none"/>
                <w:lang w:eastAsia="zh-CN"/>
              </w:rPr>
              <w:t>投标文件</w:t>
            </w:r>
            <w:r>
              <w:rPr>
                <w:rFonts w:ascii="仿宋" w:hAnsi="仿宋" w:eastAsia="仿宋" w:cs="仿宋"/>
                <w:b/>
                <w:bCs/>
                <w:spacing w:val="4"/>
                <w:sz w:val="23"/>
                <w:szCs w:val="23"/>
                <w:highlight w:val="none"/>
              </w:rPr>
              <w:t>的解释权属于采购人。</w:t>
            </w:r>
          </w:p>
        </w:tc>
      </w:tr>
    </w:tbl>
    <w:p w14:paraId="5EC48414">
      <w:pPr>
        <w:rPr>
          <w:rFonts w:hint="eastAsia" w:ascii="Arial" w:hAnsi="Arial" w:eastAsia="宋体" w:cs="Arial"/>
          <w:sz w:val="21"/>
          <w:szCs w:val="21"/>
          <w:highlight w:val="none"/>
          <w:lang w:val="en-US" w:eastAsia="zh-CN"/>
        </w:rPr>
        <w:sectPr>
          <w:footerReference r:id="rId29" w:type="default"/>
          <w:pgSz w:w="11906" w:h="16838"/>
          <w:pgMar w:top="400" w:right="1785" w:bottom="1387" w:left="1753" w:header="0" w:footer="1212" w:gutter="0"/>
          <w:pgNumType w:fmt="decimal"/>
          <w:cols w:space="720" w:num="1"/>
        </w:sectPr>
      </w:pPr>
    </w:p>
    <w:p w14:paraId="340664D8">
      <w:pPr>
        <w:widowControl/>
        <w:jc w:val="center"/>
        <w:rPr>
          <w:rFonts w:hint="eastAsia" w:ascii="宋体" w:hAnsi="宋体" w:eastAsia="宋体" w:cs="宋体"/>
          <w:b/>
          <w:i w:val="0"/>
          <w:iCs w:val="0"/>
          <w:color w:val="auto"/>
          <w:kern w:val="0"/>
          <w:sz w:val="32"/>
          <w:szCs w:val="32"/>
          <w:highlight w:val="none"/>
        </w:rPr>
      </w:pPr>
      <w:r>
        <w:rPr>
          <w:rFonts w:hint="eastAsia" w:ascii="宋体" w:hAnsi="宋体" w:eastAsia="宋体" w:cs="宋体"/>
          <w:b/>
          <w:i w:val="0"/>
          <w:iCs w:val="0"/>
          <w:color w:val="auto"/>
          <w:kern w:val="0"/>
          <w:sz w:val="32"/>
          <w:szCs w:val="32"/>
          <w:highlight w:val="none"/>
        </w:rPr>
        <w:t>资格审查表</w:t>
      </w:r>
    </w:p>
    <w:tbl>
      <w:tblPr>
        <w:tblStyle w:val="20"/>
        <w:tblW w:w="4990" w:type="pct"/>
        <w:tblInd w:w="0" w:type="dxa"/>
        <w:tblLayout w:type="fixed"/>
        <w:tblCellMar>
          <w:top w:w="0" w:type="dxa"/>
          <w:left w:w="108" w:type="dxa"/>
          <w:bottom w:w="0" w:type="dxa"/>
          <w:right w:w="108" w:type="dxa"/>
        </w:tblCellMar>
      </w:tblPr>
      <w:tblGrid>
        <w:gridCol w:w="466"/>
        <w:gridCol w:w="950"/>
        <w:gridCol w:w="1137"/>
        <w:gridCol w:w="1385"/>
        <w:gridCol w:w="1590"/>
        <w:gridCol w:w="1092"/>
        <w:gridCol w:w="1064"/>
        <w:gridCol w:w="1019"/>
        <w:gridCol w:w="3891"/>
        <w:gridCol w:w="992"/>
        <w:gridCol w:w="1035"/>
        <w:gridCol w:w="616"/>
      </w:tblGrid>
      <w:tr w14:paraId="5C8A58E6">
        <w:tblPrEx>
          <w:tblCellMar>
            <w:top w:w="0" w:type="dxa"/>
            <w:left w:w="108" w:type="dxa"/>
            <w:bottom w:w="0" w:type="dxa"/>
            <w:right w:w="108" w:type="dxa"/>
          </w:tblCellMar>
        </w:tblPrEx>
        <w:trPr>
          <w:trHeight w:val="629" w:hRule="atLeast"/>
        </w:trPr>
        <w:tc>
          <w:tcPr>
            <w:tcW w:w="152" w:type="pct"/>
            <w:vMerge w:val="restart"/>
            <w:tcBorders>
              <w:top w:val="single" w:color="auto" w:sz="4" w:space="0"/>
              <w:left w:val="single" w:color="auto" w:sz="4" w:space="0"/>
              <w:bottom w:val="single" w:color="auto" w:sz="4" w:space="0"/>
              <w:right w:val="single" w:color="auto" w:sz="4" w:space="0"/>
            </w:tcBorders>
            <w:noWrap w:val="0"/>
            <w:vAlign w:val="center"/>
          </w:tcPr>
          <w:p w14:paraId="76000D6E">
            <w:pPr>
              <w:widowControl/>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投标人名称</w:t>
            </w:r>
          </w:p>
        </w:tc>
        <w:tc>
          <w:tcPr>
            <w:tcW w:w="4644" w:type="pct"/>
            <w:gridSpan w:val="10"/>
            <w:tcBorders>
              <w:top w:val="single" w:color="auto" w:sz="4" w:space="0"/>
              <w:left w:val="nil"/>
              <w:bottom w:val="single" w:color="auto" w:sz="4" w:space="0"/>
              <w:right w:val="single" w:color="auto" w:sz="4" w:space="0"/>
            </w:tcBorders>
            <w:noWrap w:val="0"/>
            <w:vAlign w:val="center"/>
          </w:tcPr>
          <w:p w14:paraId="4FF6ED5D">
            <w:pPr>
              <w:widowControl/>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审查项目</w:t>
            </w:r>
          </w:p>
        </w:tc>
        <w:tc>
          <w:tcPr>
            <w:tcW w:w="202" w:type="pct"/>
            <w:tcBorders>
              <w:top w:val="single" w:color="auto" w:sz="4" w:space="0"/>
              <w:left w:val="nil"/>
              <w:bottom w:val="single" w:color="auto" w:sz="4" w:space="0"/>
              <w:right w:val="single" w:color="auto" w:sz="4" w:space="0"/>
            </w:tcBorders>
            <w:noWrap w:val="0"/>
            <w:vAlign w:val="center"/>
          </w:tcPr>
          <w:p w14:paraId="381A870A">
            <w:pPr>
              <w:widowControl/>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结论</w:t>
            </w:r>
          </w:p>
        </w:tc>
      </w:tr>
      <w:tr w14:paraId="23EBB6BD">
        <w:tblPrEx>
          <w:tblCellMar>
            <w:top w:w="0" w:type="dxa"/>
            <w:left w:w="108" w:type="dxa"/>
            <w:bottom w:w="0" w:type="dxa"/>
            <w:right w:w="108" w:type="dxa"/>
          </w:tblCellMar>
        </w:tblPrEx>
        <w:trPr>
          <w:trHeight w:val="6520" w:hRule="atLeast"/>
        </w:trPr>
        <w:tc>
          <w:tcPr>
            <w:tcW w:w="152" w:type="pct"/>
            <w:vMerge w:val="continue"/>
            <w:tcBorders>
              <w:top w:val="single" w:color="auto" w:sz="4" w:space="0"/>
              <w:left w:val="single" w:color="auto" w:sz="4" w:space="0"/>
              <w:bottom w:val="single" w:color="auto" w:sz="4" w:space="0"/>
              <w:right w:val="single" w:color="auto" w:sz="4" w:space="0"/>
            </w:tcBorders>
            <w:noWrap w:val="0"/>
            <w:vAlign w:val="center"/>
          </w:tcPr>
          <w:p w14:paraId="6B23B501">
            <w:pPr>
              <w:widowControl/>
              <w:jc w:val="left"/>
              <w:rPr>
                <w:rFonts w:hint="eastAsia" w:ascii="宋体" w:hAnsi="宋体" w:eastAsia="宋体" w:cs="宋体"/>
                <w:sz w:val="22"/>
                <w:szCs w:val="22"/>
                <w:highlight w:val="none"/>
              </w:rPr>
            </w:pPr>
          </w:p>
        </w:tc>
        <w:tc>
          <w:tcPr>
            <w:tcW w:w="311" w:type="pct"/>
            <w:tcBorders>
              <w:top w:val="nil"/>
              <w:left w:val="nil"/>
              <w:bottom w:val="single" w:color="auto" w:sz="4" w:space="0"/>
              <w:right w:val="single" w:color="auto" w:sz="4" w:space="0"/>
            </w:tcBorders>
            <w:noWrap w:val="0"/>
            <w:vAlign w:val="center"/>
          </w:tcPr>
          <w:p w14:paraId="600582FC">
            <w:pPr>
              <w:widowControl/>
              <w:jc w:val="center"/>
              <w:rPr>
                <w:rFonts w:hint="eastAsia" w:ascii="仿宋_GB2312" w:eastAsia="仿宋_GB2312"/>
                <w:b w:val="0"/>
                <w:bCs w:val="0"/>
                <w:sz w:val="22"/>
                <w:szCs w:val="22"/>
                <w:highlight w:val="none"/>
                <w:lang w:val="en-US" w:eastAsia="zh-CN"/>
              </w:rPr>
            </w:pPr>
            <w:r>
              <w:rPr>
                <w:rFonts w:hint="eastAsia" w:ascii="仿宋_GB2312" w:eastAsia="仿宋_GB2312"/>
                <w:b w:val="0"/>
                <w:bCs w:val="0"/>
                <w:sz w:val="22"/>
                <w:szCs w:val="22"/>
                <w:highlight w:val="none"/>
                <w:lang w:val="en-US" w:eastAsia="zh-CN"/>
              </w:rPr>
              <w:t>法人或者非法人组织的营业执照等证明文件复印件（须加盖本单位章）或自然人的身份证明复印件；</w:t>
            </w:r>
          </w:p>
        </w:tc>
        <w:tc>
          <w:tcPr>
            <w:tcW w:w="373" w:type="pct"/>
            <w:tcBorders>
              <w:top w:val="nil"/>
              <w:left w:val="nil"/>
              <w:bottom w:val="single" w:color="auto" w:sz="4" w:space="0"/>
              <w:right w:val="single" w:color="auto" w:sz="4" w:space="0"/>
            </w:tcBorders>
            <w:noWrap w:val="0"/>
            <w:vAlign w:val="center"/>
          </w:tcPr>
          <w:p w14:paraId="4277E064">
            <w:pPr>
              <w:widowControl/>
              <w:jc w:val="center"/>
              <w:rPr>
                <w:rFonts w:hint="eastAsia" w:ascii="仿宋_GB2312" w:eastAsia="仿宋_GB2312"/>
                <w:b w:val="0"/>
                <w:bCs w:val="0"/>
                <w:sz w:val="22"/>
                <w:szCs w:val="22"/>
                <w:highlight w:val="none"/>
                <w:lang w:val="en-US" w:eastAsia="zh-CN"/>
              </w:rPr>
            </w:pPr>
            <w:r>
              <w:rPr>
                <w:rFonts w:hint="eastAsia" w:ascii="仿宋_GB2312" w:eastAsia="仿宋_GB2312"/>
                <w:b w:val="0"/>
                <w:bCs w:val="0"/>
                <w:sz w:val="22"/>
                <w:szCs w:val="22"/>
                <w:highlight w:val="none"/>
                <w:lang w:val="en-US" w:eastAsia="zh-CN"/>
              </w:rPr>
              <w:t>法定代表人证明或法定代表人授权委托书签字并加盖公章（自然人投标的无需提供）；</w:t>
            </w:r>
          </w:p>
        </w:tc>
        <w:tc>
          <w:tcPr>
            <w:tcW w:w="454" w:type="pct"/>
            <w:tcBorders>
              <w:top w:val="nil"/>
              <w:left w:val="nil"/>
              <w:bottom w:val="single" w:color="auto" w:sz="4" w:space="0"/>
              <w:right w:val="single" w:color="auto" w:sz="4" w:space="0"/>
            </w:tcBorders>
            <w:noWrap w:val="0"/>
            <w:vAlign w:val="center"/>
          </w:tcPr>
          <w:p w14:paraId="1D3F14D1">
            <w:pPr>
              <w:widowControl/>
              <w:jc w:val="center"/>
              <w:rPr>
                <w:rFonts w:hint="eastAsia" w:ascii="仿宋_GB2312" w:eastAsia="仿宋_GB2312"/>
                <w:b w:val="0"/>
                <w:bCs w:val="0"/>
                <w:sz w:val="22"/>
                <w:szCs w:val="22"/>
                <w:highlight w:val="none"/>
                <w:lang w:val="en-US" w:eastAsia="zh-CN"/>
              </w:rPr>
            </w:pPr>
            <w:r>
              <w:rPr>
                <w:rFonts w:hint="eastAsia" w:ascii="仿宋_GB2312" w:eastAsia="仿宋_GB2312"/>
                <w:b w:val="0"/>
                <w:bCs w:val="0"/>
                <w:sz w:val="22"/>
                <w:szCs w:val="22"/>
                <w:highlight w:val="none"/>
                <w:lang w:val="en-US" w:eastAsia="zh-CN"/>
              </w:rPr>
              <w:t>提供依法缴纳近6个月任意连续3个月缴纳社会保障金的证明材料（投标人单位的社保缴费凭证及个人明细表，新成立不足三个月的企业提供成立至今的缴纳社会保障金的证明材料）；</w:t>
            </w:r>
          </w:p>
        </w:tc>
        <w:tc>
          <w:tcPr>
            <w:tcW w:w="521" w:type="pct"/>
            <w:tcBorders>
              <w:top w:val="nil"/>
              <w:left w:val="nil"/>
              <w:bottom w:val="single" w:color="auto" w:sz="4" w:space="0"/>
              <w:right w:val="single" w:color="auto" w:sz="4" w:space="0"/>
            </w:tcBorders>
            <w:noWrap w:val="0"/>
            <w:vAlign w:val="center"/>
          </w:tcPr>
          <w:p w14:paraId="0ED72925">
            <w:pPr>
              <w:widowControl/>
              <w:jc w:val="center"/>
              <w:rPr>
                <w:rFonts w:hint="default" w:ascii="仿宋_GB2312" w:eastAsia="仿宋_GB2312"/>
                <w:b w:val="0"/>
                <w:bCs w:val="0"/>
                <w:sz w:val="22"/>
                <w:szCs w:val="22"/>
                <w:highlight w:val="none"/>
                <w:lang w:val="en-US" w:eastAsia="zh-CN"/>
              </w:rPr>
            </w:pPr>
            <w:r>
              <w:rPr>
                <w:rFonts w:hint="default" w:ascii="仿宋_GB2312" w:eastAsia="仿宋_GB2312"/>
                <w:b w:val="0"/>
                <w:bCs w:val="0"/>
                <w:sz w:val="22"/>
                <w:szCs w:val="22"/>
                <w:highlight w:val="none"/>
                <w:lang w:val="en-US" w:eastAsia="zh-CN"/>
              </w:rPr>
              <w:t>提供依法缴纳近6个月任意3个月税收证明（税务部门出具的完税凭证或缴税证明或银行出具的“银行电子缴税付款凭证”）；注：①若为零申报企业，需提供无欠税证明或国家税务总局电子税务局“申报结果查询截图”。②“税种”非社会保险；</w:t>
            </w:r>
          </w:p>
        </w:tc>
        <w:tc>
          <w:tcPr>
            <w:tcW w:w="358" w:type="pct"/>
            <w:tcBorders>
              <w:top w:val="nil"/>
              <w:left w:val="nil"/>
              <w:bottom w:val="single" w:color="auto" w:sz="4" w:space="0"/>
              <w:right w:val="single" w:color="auto" w:sz="4" w:space="0"/>
            </w:tcBorders>
            <w:noWrap w:val="0"/>
            <w:vAlign w:val="center"/>
          </w:tcPr>
          <w:p w14:paraId="682B2690">
            <w:pPr>
              <w:widowControl/>
              <w:jc w:val="center"/>
              <w:rPr>
                <w:rFonts w:hint="eastAsia" w:ascii="仿宋_GB2312" w:eastAsia="仿宋_GB2312"/>
                <w:b w:val="0"/>
                <w:bCs w:val="0"/>
                <w:sz w:val="22"/>
                <w:szCs w:val="22"/>
                <w:highlight w:val="none"/>
                <w:lang w:val="en-US" w:eastAsia="zh-CN"/>
              </w:rPr>
            </w:pPr>
            <w:r>
              <w:rPr>
                <w:rFonts w:hint="eastAsia" w:ascii="仿宋_GB2312" w:eastAsia="仿宋_GB2312"/>
                <w:b w:val="0"/>
                <w:bCs w:val="0"/>
                <w:sz w:val="22"/>
                <w:szCs w:val="22"/>
                <w:highlight w:val="none"/>
                <w:lang w:val="en-US" w:eastAsia="zh-CN"/>
              </w:rPr>
              <w:t>具有良好的商业信誉和健全的财务会计制度的证明材料（2023年度财务审计报告或2024年度财务审计报告，新成立公司提供银行资信证明复印件加盖投标单位公章）；</w:t>
            </w:r>
          </w:p>
        </w:tc>
        <w:tc>
          <w:tcPr>
            <w:tcW w:w="349" w:type="pct"/>
            <w:tcBorders>
              <w:top w:val="nil"/>
              <w:left w:val="nil"/>
              <w:bottom w:val="single" w:color="auto" w:sz="4" w:space="0"/>
              <w:right w:val="single" w:color="auto" w:sz="4" w:space="0"/>
            </w:tcBorders>
            <w:noWrap w:val="0"/>
            <w:vAlign w:val="center"/>
          </w:tcPr>
          <w:p w14:paraId="75C23F72">
            <w:pPr>
              <w:widowControl/>
              <w:jc w:val="center"/>
              <w:rPr>
                <w:rFonts w:hint="eastAsia" w:ascii="仿宋_GB2312" w:eastAsia="仿宋_GB2312"/>
                <w:b w:val="0"/>
                <w:bCs w:val="0"/>
                <w:sz w:val="22"/>
                <w:szCs w:val="22"/>
                <w:highlight w:val="none"/>
                <w:lang w:val="en-US" w:eastAsia="zh-CN"/>
              </w:rPr>
            </w:pPr>
            <w:r>
              <w:rPr>
                <w:rFonts w:hint="eastAsia" w:ascii="仿宋_GB2312" w:eastAsia="仿宋_GB2312"/>
                <w:b w:val="0"/>
                <w:bCs w:val="0"/>
                <w:sz w:val="22"/>
                <w:szCs w:val="22"/>
                <w:highlight w:val="none"/>
                <w:lang w:val="en-US" w:eastAsia="zh-CN"/>
              </w:rPr>
              <w:t>参加政府采购活动前3年内，在经营活动中无重大违法声明；</w:t>
            </w:r>
          </w:p>
        </w:tc>
        <w:tc>
          <w:tcPr>
            <w:tcW w:w="334" w:type="pct"/>
            <w:tcBorders>
              <w:top w:val="nil"/>
              <w:left w:val="nil"/>
              <w:bottom w:val="single" w:color="auto" w:sz="4" w:space="0"/>
              <w:right w:val="single" w:color="auto" w:sz="4" w:space="0"/>
            </w:tcBorders>
            <w:noWrap w:val="0"/>
            <w:vAlign w:val="center"/>
          </w:tcPr>
          <w:p w14:paraId="1E342D58">
            <w:pPr>
              <w:widowControl/>
              <w:jc w:val="center"/>
              <w:rPr>
                <w:rFonts w:hint="eastAsia" w:ascii="仿宋_GB2312" w:eastAsia="仿宋_GB2312"/>
                <w:b w:val="0"/>
                <w:bCs w:val="0"/>
                <w:sz w:val="22"/>
                <w:szCs w:val="22"/>
                <w:highlight w:val="none"/>
                <w:lang w:val="en-US" w:eastAsia="zh-CN"/>
              </w:rPr>
            </w:pPr>
            <w:r>
              <w:rPr>
                <w:rFonts w:hint="eastAsia" w:ascii="仿宋_GB2312" w:eastAsia="仿宋_GB2312"/>
                <w:b w:val="0"/>
                <w:bCs w:val="0"/>
                <w:sz w:val="22"/>
                <w:szCs w:val="22"/>
                <w:highlight w:val="none"/>
                <w:lang w:val="en-US" w:eastAsia="zh-CN"/>
              </w:rPr>
              <w:t>投标人提供针对本项目的《反商业贿赂承诺书》；</w:t>
            </w:r>
          </w:p>
        </w:tc>
        <w:tc>
          <w:tcPr>
            <w:tcW w:w="1277" w:type="pct"/>
            <w:tcBorders>
              <w:top w:val="nil"/>
              <w:left w:val="nil"/>
              <w:bottom w:val="single" w:color="auto" w:sz="4" w:space="0"/>
              <w:right w:val="single" w:color="auto" w:sz="4" w:space="0"/>
            </w:tcBorders>
            <w:noWrap w:val="0"/>
            <w:vAlign w:val="center"/>
          </w:tcPr>
          <w:p w14:paraId="440A113C">
            <w:pPr>
              <w:widowControl/>
              <w:jc w:val="center"/>
              <w:rPr>
                <w:rFonts w:hint="eastAsia" w:ascii="仿宋_GB2312" w:eastAsia="仿宋_GB2312"/>
                <w:b w:val="0"/>
                <w:bCs w:val="0"/>
                <w:sz w:val="22"/>
                <w:szCs w:val="22"/>
                <w:highlight w:val="none"/>
                <w:lang w:val="en-US" w:eastAsia="zh-CN"/>
              </w:rPr>
            </w:pPr>
            <w:r>
              <w:rPr>
                <w:rFonts w:hint="eastAsia" w:ascii="仿宋_GB2312" w:eastAsia="仿宋_GB2312"/>
                <w:b w:val="0"/>
                <w:bCs w:val="0"/>
                <w:sz w:val="22"/>
                <w:szCs w:val="22"/>
                <w:highlight w:val="none"/>
                <w:lang w:val="en-US" w:eastAsia="zh-CN"/>
              </w:rPr>
              <w:t>根据《财政部关于在政府采购活动中查询及使用信用记录有关问题的通知》（财库﹝2016)125号）的要求，凡拟参加本次项目的投标人，在“信用中国”网站（http://www.creditchina.gov.cn）网站上被列入失信被执行人名单、重大税收违法案件当事人名单；中国政府采购网（http://www.ccgp.gov.cn）网站上被列入政府采购严重违法失信行为记录名单；国家企业信用信息公示系统(http://www.gsxt.gov.cn)查询被列入经营异常名录、严重违法失信名单的投标人将被认定为投标无效；需提供相关网站打印件（加盖响应单位公章、必须为完整版）提供截图日期需在本项目发布公告日期之后；</w:t>
            </w:r>
          </w:p>
        </w:tc>
        <w:tc>
          <w:tcPr>
            <w:tcW w:w="325" w:type="pct"/>
            <w:tcBorders>
              <w:top w:val="nil"/>
              <w:left w:val="nil"/>
              <w:bottom w:val="single" w:color="auto" w:sz="4" w:space="0"/>
              <w:right w:val="single" w:color="auto" w:sz="4" w:space="0"/>
            </w:tcBorders>
            <w:noWrap w:val="0"/>
            <w:vAlign w:val="center"/>
          </w:tcPr>
          <w:p w14:paraId="1958113F">
            <w:pPr>
              <w:widowControl/>
              <w:jc w:val="center"/>
              <w:rPr>
                <w:rFonts w:hint="eastAsia" w:ascii="仿宋_GB2312" w:eastAsia="仿宋_GB2312"/>
                <w:b w:val="0"/>
                <w:bCs w:val="0"/>
                <w:sz w:val="22"/>
                <w:szCs w:val="22"/>
                <w:highlight w:val="none"/>
                <w:lang w:val="en-US" w:eastAsia="zh-CN"/>
              </w:rPr>
            </w:pPr>
            <w:r>
              <w:rPr>
                <w:rFonts w:hint="eastAsia" w:ascii="仿宋_GB2312" w:eastAsia="仿宋_GB2312"/>
                <w:b w:val="0"/>
                <w:bCs w:val="0"/>
                <w:sz w:val="22"/>
                <w:szCs w:val="22"/>
                <w:highlight w:val="none"/>
                <w:lang w:val="en-US" w:eastAsia="zh-CN"/>
              </w:rPr>
              <w:t>缴纳投标保证金（电汇或转账）凭证或保函扫描件；</w:t>
            </w:r>
          </w:p>
        </w:tc>
        <w:tc>
          <w:tcPr>
            <w:tcW w:w="339" w:type="pct"/>
            <w:tcBorders>
              <w:top w:val="nil"/>
              <w:left w:val="nil"/>
              <w:bottom w:val="single" w:color="auto" w:sz="4" w:space="0"/>
              <w:right w:val="single" w:color="auto" w:sz="4" w:space="0"/>
            </w:tcBorders>
            <w:noWrap w:val="0"/>
            <w:vAlign w:val="center"/>
          </w:tcPr>
          <w:p w14:paraId="5312FF6B">
            <w:pPr>
              <w:widowControl/>
              <w:jc w:val="center"/>
              <w:rPr>
                <w:rFonts w:hint="eastAsia" w:ascii="仿宋_GB2312" w:eastAsia="仿宋_GB2312"/>
                <w:b w:val="0"/>
                <w:bCs w:val="0"/>
                <w:sz w:val="22"/>
                <w:szCs w:val="22"/>
                <w:highlight w:val="none"/>
                <w:lang w:val="en-US" w:eastAsia="zh-CN"/>
              </w:rPr>
            </w:pPr>
            <w:r>
              <w:rPr>
                <w:rFonts w:hint="eastAsia" w:ascii="仿宋_GB2312" w:eastAsia="仿宋_GB2312"/>
                <w:b w:val="0"/>
                <w:bCs w:val="0"/>
                <w:sz w:val="22"/>
                <w:szCs w:val="22"/>
                <w:highlight w:val="none"/>
                <w:lang w:val="en-US" w:eastAsia="zh-CN"/>
              </w:rPr>
              <w:t>具有省级部门认定的农民培训资格或者具有主管部门颁发的办学许可证。</w:t>
            </w:r>
          </w:p>
        </w:tc>
        <w:tc>
          <w:tcPr>
            <w:tcW w:w="202" w:type="pct"/>
            <w:tcBorders>
              <w:top w:val="nil"/>
              <w:left w:val="nil"/>
              <w:bottom w:val="single" w:color="auto" w:sz="4" w:space="0"/>
              <w:right w:val="single" w:color="auto" w:sz="4" w:space="0"/>
            </w:tcBorders>
            <w:noWrap w:val="0"/>
            <w:vAlign w:val="center"/>
          </w:tcPr>
          <w:p w14:paraId="28735D96">
            <w:pPr>
              <w:widowControl/>
              <w:jc w:val="center"/>
              <w:rPr>
                <w:rFonts w:hint="eastAsia" w:ascii="宋体" w:hAnsi="宋体" w:eastAsia="宋体" w:cs="宋体"/>
                <w:kern w:val="0"/>
                <w:sz w:val="21"/>
                <w:szCs w:val="21"/>
                <w:highlight w:val="none"/>
              </w:rPr>
            </w:pPr>
          </w:p>
        </w:tc>
      </w:tr>
    </w:tbl>
    <w:p w14:paraId="39619A0A">
      <w:pPr>
        <w:pStyle w:val="2"/>
        <w:ind w:left="0" w:leftChars="0" w:firstLine="0" w:firstLineChars="0"/>
        <w:rPr>
          <w:highlight w:val="none"/>
        </w:rPr>
        <w:sectPr>
          <w:pgSz w:w="16838" w:h="11906" w:orient="landscape"/>
          <w:pgMar w:top="1753" w:right="400" w:bottom="1785" w:left="1387" w:header="0" w:footer="1212" w:gutter="0"/>
          <w:pgNumType w:fmt="decimal"/>
          <w:cols w:space="720" w:num="1"/>
        </w:sectPr>
      </w:pPr>
    </w:p>
    <w:p w14:paraId="63B9CC80">
      <w:pPr>
        <w:spacing w:line="245" w:lineRule="auto"/>
        <w:rPr>
          <w:rFonts w:ascii="Arial"/>
          <w:sz w:val="21"/>
          <w:highlight w:val="none"/>
        </w:rPr>
      </w:pPr>
    </w:p>
    <w:p w14:paraId="49D9D7B3">
      <w:pPr>
        <w:spacing w:line="245" w:lineRule="auto"/>
        <w:rPr>
          <w:rFonts w:ascii="Arial"/>
          <w:sz w:val="21"/>
          <w:highlight w:val="none"/>
        </w:rPr>
      </w:pPr>
    </w:p>
    <w:p w14:paraId="2F97471F">
      <w:pPr>
        <w:tabs>
          <w:tab w:val="left" w:pos="1279"/>
        </w:tabs>
        <w:spacing w:before="44"/>
        <w:ind w:left="156"/>
        <w:jc w:val="center"/>
        <w:rPr>
          <w:rFonts w:hint="eastAsia" w:ascii="仿宋" w:hAnsi="仿宋" w:eastAsia="仿宋" w:cs="仿宋"/>
          <w:b/>
          <w:color w:val="000000"/>
          <w:sz w:val="32"/>
          <w:highlight w:val="none"/>
        </w:rPr>
      </w:pPr>
      <w:bookmarkStart w:id="144" w:name="_Toc17128"/>
      <w:bookmarkStart w:id="145" w:name="_Toc6847"/>
      <w:r>
        <w:rPr>
          <w:rFonts w:hint="eastAsia" w:ascii="仿宋" w:hAnsi="仿宋" w:eastAsia="仿宋" w:cs="仿宋"/>
          <w:b/>
          <w:color w:val="auto"/>
          <w:sz w:val="32"/>
          <w:highlight w:val="none"/>
        </w:rPr>
        <w:t>第5章</w:t>
      </w:r>
      <w:r>
        <w:rPr>
          <w:rFonts w:hint="eastAsia" w:ascii="仿宋" w:hAnsi="仿宋" w:eastAsia="仿宋" w:cs="仿宋"/>
          <w:b/>
          <w:color w:val="auto"/>
          <w:sz w:val="32"/>
          <w:highlight w:val="none"/>
        </w:rPr>
        <w:tab/>
      </w:r>
      <w:bookmarkStart w:id="146" w:name="第5章_项目服务需求"/>
      <w:bookmarkEnd w:id="146"/>
      <w:r>
        <w:rPr>
          <w:rFonts w:hint="eastAsia" w:ascii="仿宋" w:hAnsi="仿宋" w:eastAsia="仿宋" w:cs="仿宋"/>
          <w:b/>
          <w:color w:val="000000"/>
          <w:sz w:val="32"/>
          <w:highlight w:val="none"/>
        </w:rPr>
        <w:t>项目服务需求</w:t>
      </w:r>
    </w:p>
    <w:p w14:paraId="12DB9D6D">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313" w:beforeLines="100" w:line="360" w:lineRule="auto"/>
        <w:textAlignment w:val="auto"/>
        <w:rPr>
          <w:rFonts w:hint="eastAsia" w:ascii="仿宋" w:hAnsi="仿宋" w:eastAsia="仿宋" w:cs="仿宋"/>
          <w:b/>
          <w:bCs w:val="0"/>
          <w:color w:val="auto"/>
          <w:spacing w:val="1"/>
          <w:kern w:val="2"/>
          <w:sz w:val="28"/>
          <w:szCs w:val="28"/>
          <w:highlight w:val="none"/>
          <w:lang w:val="en-US" w:eastAsia="zh-CN" w:bidi="ar-SA"/>
        </w:rPr>
      </w:pPr>
      <w:r>
        <w:rPr>
          <w:rFonts w:hint="eastAsia" w:ascii="仿宋" w:hAnsi="仿宋" w:eastAsia="仿宋" w:cs="仿宋"/>
          <w:b/>
          <w:bCs w:val="0"/>
          <w:color w:val="auto"/>
          <w:spacing w:val="1"/>
          <w:kern w:val="2"/>
          <w:sz w:val="28"/>
          <w:szCs w:val="28"/>
          <w:highlight w:val="none"/>
          <w:lang w:val="en-US" w:eastAsia="zh-CN" w:bidi="ar-SA"/>
        </w:rPr>
        <w:t>一、英吉沙县2024年高素质农民培训项目（标项一）</w:t>
      </w:r>
    </w:p>
    <w:p w14:paraId="525CDBC2">
      <w:pPr>
        <w:spacing w:line="240" w:lineRule="atLeast"/>
        <w:jc w:val="center"/>
        <w:outlineLvl w:val="1"/>
        <w:rPr>
          <w:rFonts w:hint="default" w:ascii="仿宋" w:hAnsi="仿宋" w:eastAsia="仿宋" w:cs="仿宋"/>
          <w:spacing w:val="7"/>
          <w:sz w:val="23"/>
          <w:szCs w:val="23"/>
          <w:highlight w:val="none"/>
          <w:lang w:val="en-US" w:eastAsia="zh-CN"/>
        </w:rPr>
      </w:pPr>
      <w:bookmarkStart w:id="147" w:name="_Toc11016"/>
      <w:bookmarkStart w:id="148" w:name="_Toc512937853"/>
      <w:bookmarkStart w:id="149" w:name="_Toc216513803"/>
      <w:r>
        <w:rPr>
          <w:rFonts w:hint="eastAsia" w:ascii="仿宋" w:hAnsi="仿宋" w:eastAsia="仿宋" w:cs="仿宋"/>
          <w:b/>
          <w:bCs/>
          <w:spacing w:val="7"/>
          <w:sz w:val="23"/>
          <w:szCs w:val="23"/>
          <w:highlight w:val="none"/>
          <w:lang w:val="en-US" w:eastAsia="zh-CN"/>
        </w:rPr>
        <w:t>需求一览表</w:t>
      </w:r>
      <w:bookmarkEnd w:id="147"/>
      <w:bookmarkEnd w:id="148"/>
      <w:bookmarkEnd w:id="149"/>
    </w:p>
    <w:tbl>
      <w:tblPr>
        <w:tblStyle w:val="20"/>
        <w:tblW w:w="93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1"/>
        <w:gridCol w:w="1125"/>
        <w:gridCol w:w="654"/>
        <w:gridCol w:w="987"/>
        <w:gridCol w:w="4721"/>
        <w:gridCol w:w="1399"/>
      </w:tblGrid>
      <w:tr w14:paraId="19027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8"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514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B3F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采购项目名称</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A71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数量</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648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单价（元）</w:t>
            </w:r>
          </w:p>
        </w:tc>
        <w:tc>
          <w:tcPr>
            <w:tcW w:w="4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866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规格及要求</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423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合计金额（元）</w:t>
            </w:r>
          </w:p>
        </w:tc>
      </w:tr>
      <w:tr w14:paraId="3CD65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DD6C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969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英吉沙县2024年高素质农民培训项目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6DAE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1批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687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600000</w:t>
            </w:r>
          </w:p>
        </w:tc>
        <w:tc>
          <w:tcPr>
            <w:tcW w:w="4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965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b w:val="0"/>
                <w:bCs/>
                <w:color w:val="auto"/>
                <w:spacing w:val="1"/>
                <w:kern w:val="2"/>
                <w:sz w:val="24"/>
                <w:szCs w:val="24"/>
                <w:highlight w:val="none"/>
                <w:lang w:val="en-US" w:eastAsia="zh-CN" w:bidi="ar-SA"/>
              </w:rPr>
              <w:t>培训时间为15天，培训对象是新型农业经营主体和社会化服务组织带头人，专业生产人，技能服务型人，乡村振兴带头人，乡村治理带头人，返乡入乡创业创新人，不少于200人。参训学员满意度评价率和完成在线评价比例均达到90%以上，参训学员信息100%录入全国农业科教云平台（新农科教云平台），注册使用全国农业科教云平台（新农科教云平台）及“云上智农”APP使用率达到100%。费用包括：住宿费、伙食费、场地费、教师费、车辆费等，同时需满足学员所需的必需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DFF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600000</w:t>
            </w:r>
          </w:p>
        </w:tc>
      </w:tr>
    </w:tbl>
    <w:p w14:paraId="479A8B37">
      <w:pPr>
        <w:pStyle w:val="7"/>
        <w:numPr>
          <w:ilvl w:val="0"/>
          <w:numId w:val="0"/>
        </w:numPr>
        <w:tabs>
          <w:tab w:val="left" w:pos="567"/>
        </w:tabs>
        <w:rPr>
          <w:rFonts w:hint="default" w:ascii="仿宋" w:hAnsi="仿宋" w:eastAsia="仿宋" w:cs="仿宋"/>
          <w:b/>
          <w:bCs w:val="0"/>
          <w:color w:val="auto"/>
          <w:spacing w:val="1"/>
          <w:sz w:val="24"/>
          <w:szCs w:val="24"/>
          <w:highlight w:val="none"/>
          <w:rtl w:val="0"/>
          <w:cs w:val="0"/>
          <w:lang w:val="en-US" w:eastAsia="zh-CN"/>
        </w:rPr>
      </w:pPr>
      <w:r>
        <w:rPr>
          <w:rFonts w:hint="eastAsia" w:ascii="仿宋" w:hAnsi="仿宋" w:eastAsia="仿宋" w:cs="仿宋"/>
          <w:b/>
          <w:bCs w:val="0"/>
          <w:color w:val="auto"/>
          <w:spacing w:val="1"/>
          <w:sz w:val="24"/>
          <w:szCs w:val="24"/>
          <w:highlight w:val="none"/>
          <w:rtl w:val="0"/>
          <w:cs w:val="0"/>
          <w:lang w:val="en-US" w:eastAsia="zh-CN"/>
        </w:rPr>
        <w:t>合同履约期限及支付方式</w:t>
      </w:r>
    </w:p>
    <w:p w14:paraId="778BA509">
      <w:pPr>
        <w:numPr>
          <w:ilvl w:val="0"/>
          <w:numId w:val="0"/>
        </w:numPr>
        <w:shd w:val="clear" w:color="auto" w:fill="FFFFFF"/>
        <w:adjustRightInd w:val="0"/>
        <w:snapToGrid w:val="0"/>
        <w:spacing w:line="360" w:lineRule="auto"/>
        <w:ind w:firstLine="484" w:firstLineChars="200"/>
        <w:rPr>
          <w:rFonts w:hint="eastAsia" w:ascii="仿宋" w:hAnsi="仿宋" w:eastAsia="仿宋" w:cs="仿宋"/>
          <w:b w:val="0"/>
          <w:bCs/>
          <w:color w:val="auto"/>
          <w:spacing w:val="1"/>
          <w:kern w:val="2"/>
          <w:sz w:val="24"/>
          <w:szCs w:val="24"/>
          <w:highlight w:val="none"/>
          <w:lang w:val="en-US" w:eastAsia="zh-CN" w:bidi="ar-SA"/>
        </w:rPr>
      </w:pPr>
      <w:r>
        <w:rPr>
          <w:rFonts w:hint="eastAsia" w:ascii="仿宋" w:hAnsi="仿宋" w:eastAsia="仿宋" w:cs="仿宋"/>
          <w:b w:val="0"/>
          <w:bCs/>
          <w:color w:val="auto"/>
          <w:spacing w:val="1"/>
          <w:kern w:val="2"/>
          <w:sz w:val="24"/>
          <w:szCs w:val="24"/>
          <w:highlight w:val="none"/>
          <w:lang w:val="en-US" w:eastAsia="zh-CN" w:bidi="ar-SA"/>
        </w:rPr>
        <w:t>（一）履约期限：合同签订之日起一年以内，具体以签订合同为准。</w:t>
      </w:r>
    </w:p>
    <w:p w14:paraId="3C2811ED">
      <w:pPr>
        <w:pStyle w:val="22"/>
        <w:ind w:firstLine="484" w:firstLineChars="200"/>
        <w:rPr>
          <w:rFonts w:hint="default"/>
          <w:color w:val="auto"/>
          <w:highlight w:val="none"/>
          <w:rtl w:val="0"/>
          <w:cs w:val="0"/>
          <w:lang w:val="en-US" w:eastAsia="zh-CN"/>
        </w:rPr>
      </w:pPr>
      <w:r>
        <w:rPr>
          <w:rFonts w:hint="eastAsia" w:ascii="仿宋" w:hAnsi="仿宋" w:eastAsia="仿宋" w:cs="仿宋"/>
          <w:b w:val="0"/>
          <w:bCs/>
          <w:color w:val="auto"/>
          <w:spacing w:val="1"/>
          <w:kern w:val="2"/>
          <w:sz w:val="24"/>
          <w:szCs w:val="24"/>
          <w:highlight w:val="none"/>
          <w:lang w:val="en-US" w:eastAsia="zh-CN" w:bidi="ar-SA"/>
        </w:rPr>
        <w:t>（二）支付方式：按进度支付，具体以供应商与招标人合同签订为准。</w:t>
      </w:r>
    </w:p>
    <w:p w14:paraId="52DA9BA0">
      <w:pPr>
        <w:pStyle w:val="7"/>
        <w:numPr>
          <w:ilvl w:val="0"/>
          <w:numId w:val="0"/>
        </w:numPr>
        <w:tabs>
          <w:tab w:val="left" w:pos="567"/>
        </w:tabs>
        <w:rPr>
          <w:rFonts w:hint="eastAsia" w:ascii="仿宋" w:hAnsi="仿宋" w:eastAsia="仿宋" w:cs="仿宋"/>
          <w:b/>
          <w:bCs w:val="0"/>
          <w:color w:val="auto"/>
          <w:spacing w:val="1"/>
          <w:sz w:val="24"/>
          <w:szCs w:val="24"/>
          <w:highlight w:val="none"/>
          <w:rtl w:val="0"/>
          <w:cs w:val="0"/>
          <w:lang w:val="en-US" w:eastAsia="zh-CN"/>
        </w:rPr>
      </w:pPr>
      <w:r>
        <w:rPr>
          <w:rFonts w:hint="eastAsia" w:ascii="仿宋" w:hAnsi="仿宋" w:eastAsia="仿宋" w:cs="仿宋"/>
          <w:b/>
          <w:bCs w:val="0"/>
          <w:color w:val="auto"/>
          <w:spacing w:val="1"/>
          <w:sz w:val="24"/>
          <w:szCs w:val="24"/>
          <w:highlight w:val="none"/>
          <w:rtl w:val="0"/>
          <w:cs w:val="0"/>
          <w:lang w:val="en-US" w:eastAsia="zh-CN"/>
        </w:rPr>
        <w:t>服务指标</w:t>
      </w:r>
    </w:p>
    <w:p w14:paraId="72AAC0E4">
      <w:pPr>
        <w:pStyle w:val="7"/>
        <w:numPr>
          <w:ilvl w:val="0"/>
          <w:numId w:val="0"/>
        </w:numPr>
        <w:tabs>
          <w:tab w:val="left" w:pos="567"/>
        </w:tabs>
        <w:ind w:firstLine="480" w:firstLineChars="200"/>
        <w:rPr>
          <w:rFonts w:hint="eastAsia" w:ascii="仿宋" w:hAnsi="仿宋" w:eastAsia="仿宋" w:cs="仿宋"/>
          <w:snapToGrid w:val="0"/>
          <w:color w:val="000000"/>
          <w:kern w:val="0"/>
          <w:sz w:val="24"/>
          <w:szCs w:val="21"/>
          <w:highlight w:val="none"/>
          <w:rtl w:val="0"/>
          <w:cs w:val="0"/>
          <w:lang w:val="en-US" w:eastAsia="zh-CN" w:bidi="ar-SA"/>
        </w:rPr>
      </w:pPr>
      <w:r>
        <w:rPr>
          <w:rFonts w:hint="eastAsia" w:ascii="仿宋" w:hAnsi="仿宋" w:eastAsia="仿宋" w:cs="仿宋"/>
          <w:snapToGrid w:val="0"/>
          <w:color w:val="000000"/>
          <w:kern w:val="0"/>
          <w:sz w:val="24"/>
          <w:szCs w:val="21"/>
          <w:highlight w:val="none"/>
          <w:rtl w:val="0"/>
          <w:cs w:val="0"/>
          <w:lang w:val="en-US" w:eastAsia="zh-CN" w:bidi="ar-SA"/>
        </w:rPr>
        <w:t>（一）培训对象：高素质农民培训不少于200人。</w:t>
      </w:r>
    </w:p>
    <w:p w14:paraId="02FE73B2">
      <w:pPr>
        <w:numPr>
          <w:ilvl w:val="0"/>
          <w:numId w:val="0"/>
        </w:numPr>
        <w:shd w:val="clear" w:color="auto" w:fill="FFFFFF"/>
        <w:adjustRightInd w:val="0"/>
        <w:snapToGrid w:val="0"/>
        <w:spacing w:line="360" w:lineRule="auto"/>
        <w:ind w:firstLine="480" w:firstLineChars="200"/>
        <w:rPr>
          <w:rFonts w:hint="eastAsia" w:ascii="仿宋" w:hAnsi="仿宋" w:eastAsia="仿宋" w:cs="仿宋"/>
          <w:b/>
          <w:bCs w:val="0"/>
          <w:color w:val="auto"/>
          <w:spacing w:val="1"/>
          <w:sz w:val="24"/>
          <w:szCs w:val="24"/>
          <w:highlight w:val="none"/>
          <w:rtl w:val="0"/>
          <w:cs w:val="0"/>
          <w:lang w:val="en-US" w:eastAsia="zh-CN"/>
        </w:rPr>
      </w:pPr>
      <w:r>
        <w:rPr>
          <w:rFonts w:hint="eastAsia" w:ascii="仿宋" w:hAnsi="仿宋" w:eastAsia="仿宋" w:cs="仿宋"/>
          <w:snapToGrid w:val="0"/>
          <w:color w:val="000000"/>
          <w:kern w:val="0"/>
          <w:sz w:val="24"/>
          <w:szCs w:val="21"/>
          <w:highlight w:val="none"/>
          <w:rtl w:val="0"/>
          <w:cs w:val="0"/>
          <w:lang w:val="en-US" w:eastAsia="zh-CN" w:bidi="ar-SA"/>
        </w:rPr>
        <w:t>（二）培训地点：</w:t>
      </w:r>
      <w:r>
        <w:rPr>
          <w:rFonts w:hint="eastAsia" w:ascii="仿宋" w:hAnsi="仿宋" w:eastAsia="仿宋" w:cs="仿宋"/>
          <w:b w:val="0"/>
          <w:bCs/>
          <w:color w:val="auto"/>
          <w:spacing w:val="1"/>
          <w:kern w:val="2"/>
          <w:sz w:val="24"/>
          <w:szCs w:val="24"/>
          <w:highlight w:val="none"/>
          <w:rtl w:val="0"/>
          <w:cs w:val="0"/>
          <w:lang w:val="en-US" w:eastAsia="zh-CN" w:bidi="ar-SA"/>
        </w:rPr>
        <w:t>将根据当时的实际情况来确定培训地点</w:t>
      </w:r>
      <w:r>
        <w:rPr>
          <w:rFonts w:hint="eastAsia" w:ascii="仿宋" w:hAnsi="仿宋" w:eastAsia="仿宋" w:cs="仿宋"/>
          <w:snapToGrid w:val="0"/>
          <w:color w:val="000000"/>
          <w:kern w:val="0"/>
          <w:sz w:val="24"/>
          <w:szCs w:val="21"/>
          <w:highlight w:val="none"/>
          <w:rtl w:val="0"/>
          <w:cs w:val="0"/>
          <w:lang w:val="en-US" w:eastAsia="zh-CN" w:bidi="ar-SA"/>
        </w:rPr>
        <w:t>。</w:t>
      </w:r>
    </w:p>
    <w:p w14:paraId="75C5307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highlight w:val="none"/>
        </w:rPr>
      </w:pPr>
      <w:r>
        <w:rPr>
          <w:rFonts w:hint="eastAsia" w:ascii="仿宋" w:hAnsi="仿宋" w:eastAsia="仿宋" w:cs="仿宋"/>
          <w:snapToGrid w:val="0"/>
          <w:color w:val="000000"/>
          <w:kern w:val="0"/>
          <w:sz w:val="24"/>
          <w:szCs w:val="21"/>
          <w:highlight w:val="none"/>
          <w:rtl w:val="0"/>
          <w:cs w:val="0"/>
          <w:lang w:val="en-US" w:eastAsia="zh-CN" w:bidi="ar-SA"/>
        </w:rPr>
        <w:t>（三）培训方式：1.</w:t>
      </w:r>
      <w:r>
        <w:rPr>
          <w:rFonts w:hint="eastAsia" w:ascii="仿宋" w:hAnsi="仿宋" w:eastAsia="仿宋" w:cs="仿宋"/>
          <w:color w:val="000000"/>
          <w:sz w:val="24"/>
          <w:highlight w:val="none"/>
        </w:rPr>
        <w:t>线上学习加大新媒体、新手段推广应用，加强在线课程开发和规范化建设。充分利用全国农业科教云平台、“云上智农”在线学习平台等开展在线学习、在线服务和在线管理，通过视频录播、实时互动、课中答题、课后考核等形式，推进线上线下融合培训。</w:t>
      </w:r>
    </w:p>
    <w:p w14:paraId="7920A9E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班级管理高素质农民培育实行班级管理，做到“一班一案”。每班期培训开班前，都要将开班时间、地点、课程设置、授课教师、培训申请及教学计划、培训人数等情况上报县农业农村局，批复后方可开班；同时，每一期培训班配备一名专职班主任，负责培育教学、实训实践、日常管理及后续跟踪服务等工作；成立班委会，加强学员自我管理和交流学习；建立规范统一、填写完整、内容真实的培训全过程档案资料，按照一个班一套档案，将培训手册、学员须知、培训课表、培训计划、学员花名册、考勤册、教学文具发放表、教材发放签名表、培训小结、图片资料等内容及时收集整理并归档，建立准确、完备的参训人员档案，实行实名制管理。</w:t>
      </w:r>
    </w:p>
    <w:p w14:paraId="3CF37DC0">
      <w:pPr>
        <w:keepNext w:val="0"/>
        <w:keepLines w:val="0"/>
        <w:pageBreakBefore w:val="0"/>
        <w:widowControl/>
        <w:kinsoku/>
        <w:wordWrap/>
        <w:overflowPunct/>
        <w:topLinePunct w:val="0"/>
        <w:autoSpaceDE/>
        <w:autoSpaceDN/>
        <w:bidi w:val="0"/>
        <w:adjustRightInd/>
        <w:snapToGrid/>
        <w:spacing w:line="360" w:lineRule="auto"/>
        <w:ind w:firstLine="486" w:firstLineChars="200"/>
        <w:textAlignment w:val="auto"/>
        <w:rPr>
          <w:rFonts w:hint="eastAsia" w:ascii="仿宋" w:hAnsi="仿宋" w:eastAsia="仿宋" w:cs="仿宋"/>
          <w:color w:val="000000"/>
          <w:sz w:val="24"/>
          <w:highlight w:val="none"/>
        </w:rPr>
      </w:pPr>
      <w:r>
        <w:rPr>
          <w:rFonts w:hint="eastAsia" w:ascii="仿宋" w:hAnsi="仿宋" w:eastAsia="仿宋" w:cs="仿宋"/>
          <w:b/>
          <w:bCs w:val="0"/>
          <w:snapToGrid w:val="0"/>
          <w:color w:val="auto"/>
          <w:spacing w:val="1"/>
          <w:kern w:val="0"/>
          <w:sz w:val="24"/>
          <w:szCs w:val="24"/>
          <w:highlight w:val="none"/>
          <w:rtl w:val="0"/>
          <w:cs w:val="0"/>
          <w:lang w:val="en-US" w:eastAsia="zh-CN" w:bidi="ar-SA"/>
        </w:rPr>
        <w:t>（四）培训目标：</w:t>
      </w:r>
      <w:r>
        <w:rPr>
          <w:rFonts w:hint="default" w:ascii="仿宋" w:hAnsi="仿宋" w:eastAsia="仿宋" w:cs="仿宋"/>
          <w:color w:val="000000"/>
          <w:sz w:val="24"/>
          <w:highlight w:val="none"/>
          <w:rtl w:val="0"/>
          <w:cs w:val="0"/>
          <w:lang w:val="en-US" w:eastAsia="zh-CN"/>
        </w:rPr>
        <w:t>2024年</w:t>
      </w:r>
      <w:r>
        <w:rPr>
          <w:rFonts w:hint="eastAsia" w:ascii="仿宋" w:hAnsi="仿宋" w:eastAsia="仿宋" w:cs="仿宋"/>
          <w:color w:val="000000"/>
          <w:sz w:val="24"/>
          <w:highlight w:val="none"/>
          <w:rtl w:val="0"/>
          <w:cs w:val="0"/>
          <w:lang w:val="en-US" w:eastAsia="zh-CN"/>
        </w:rPr>
        <w:t>英吉沙县</w:t>
      </w:r>
      <w:r>
        <w:rPr>
          <w:rFonts w:hint="default" w:ascii="仿宋" w:hAnsi="仿宋" w:eastAsia="仿宋" w:cs="仿宋"/>
          <w:color w:val="000000"/>
          <w:sz w:val="24"/>
          <w:highlight w:val="none"/>
          <w:rtl w:val="0"/>
          <w:cs w:val="0"/>
          <w:lang w:val="en-US" w:eastAsia="zh-CN"/>
        </w:rPr>
        <w:t>完成高素质农民培训</w:t>
      </w:r>
      <w:r>
        <w:rPr>
          <w:rFonts w:hint="eastAsia" w:ascii="仿宋" w:hAnsi="仿宋" w:eastAsia="仿宋" w:cs="仿宋"/>
          <w:color w:val="000000"/>
          <w:sz w:val="24"/>
          <w:highlight w:val="none"/>
          <w:rtl w:val="0"/>
          <w:cs w:val="0"/>
          <w:lang w:val="en-US" w:eastAsia="zh-CN"/>
        </w:rPr>
        <w:t>不少于200</w:t>
      </w:r>
      <w:r>
        <w:rPr>
          <w:rFonts w:hint="default" w:ascii="仿宋" w:hAnsi="仿宋" w:eastAsia="仿宋" w:cs="仿宋"/>
          <w:color w:val="000000"/>
          <w:sz w:val="24"/>
          <w:highlight w:val="none"/>
          <w:rtl w:val="0"/>
          <w:cs w:val="0"/>
          <w:lang w:val="en-US" w:eastAsia="zh-CN"/>
        </w:rPr>
        <w:t>人。</w:t>
      </w:r>
      <w:r>
        <w:rPr>
          <w:rFonts w:hint="eastAsia" w:ascii="仿宋" w:hAnsi="仿宋" w:eastAsia="仿宋" w:cs="仿宋"/>
          <w:color w:val="000000"/>
          <w:sz w:val="24"/>
          <w:highlight w:val="none"/>
          <w:rtl w:val="0"/>
          <w:cs w:val="0"/>
          <w:lang w:val="en-US" w:eastAsia="zh-CN"/>
        </w:rPr>
        <w:t>培训时间为15天，培训对象是</w:t>
      </w:r>
      <w:r>
        <w:rPr>
          <w:rFonts w:hint="default" w:ascii="仿宋" w:hAnsi="仿宋" w:eastAsia="仿宋" w:cs="仿宋"/>
          <w:color w:val="000000"/>
          <w:sz w:val="24"/>
          <w:highlight w:val="none"/>
          <w:rtl w:val="0"/>
          <w:cs w:val="0"/>
          <w:lang w:val="en-US" w:eastAsia="zh-CN"/>
        </w:rPr>
        <w:t>新型农业经营主体和社会</w:t>
      </w:r>
      <w:r>
        <w:rPr>
          <w:rFonts w:hint="default" w:ascii="仿宋" w:hAnsi="仿宋" w:eastAsia="仿宋" w:cs="仿宋"/>
          <w:color w:val="000000"/>
          <w:sz w:val="24"/>
          <w:highlight w:val="none"/>
          <w:lang w:val="en-US" w:eastAsia="en-US"/>
        </w:rPr>
        <w:t>化服务组织带头人，专业生产人，技能服务型人，乡村振兴带头人，乡村治理带头人，返乡入乡创业创新人；参训学员满意度评价率达到90%以上，参训学员完成在线评价比例达到</w:t>
      </w:r>
      <w:r>
        <w:rPr>
          <w:rFonts w:hint="eastAsia" w:ascii="仿宋" w:hAnsi="仿宋" w:eastAsia="仿宋" w:cs="仿宋"/>
          <w:color w:val="000000"/>
          <w:sz w:val="24"/>
          <w:highlight w:val="none"/>
          <w:lang w:val="en-US" w:eastAsia="zh-CN"/>
        </w:rPr>
        <w:t>90</w:t>
      </w:r>
      <w:r>
        <w:rPr>
          <w:rFonts w:hint="default" w:ascii="仿宋" w:hAnsi="仿宋" w:eastAsia="仿宋" w:cs="仿宋"/>
          <w:color w:val="000000"/>
          <w:sz w:val="24"/>
          <w:highlight w:val="none"/>
          <w:lang w:val="en-US" w:eastAsia="en-US"/>
        </w:rPr>
        <w:t>%以上，参训学员基本信息全部录入全国农业科教云平台；注册使用全国农业科教云平台及“云上智农”APP使用率达到100%。</w:t>
      </w:r>
    </w:p>
    <w:p w14:paraId="7D9B196C">
      <w:pPr>
        <w:keepNext w:val="0"/>
        <w:keepLines w:val="0"/>
        <w:pageBreakBefore w:val="0"/>
        <w:widowControl/>
        <w:wordWrap/>
        <w:overflowPunct/>
        <w:topLinePunct w:val="0"/>
        <w:bidi w:val="0"/>
        <w:spacing w:line="360" w:lineRule="auto"/>
        <w:rPr>
          <w:rFonts w:hint="eastAsia" w:ascii="仿宋" w:hAnsi="仿宋" w:eastAsia="仿宋" w:cs="仿宋"/>
          <w:b/>
          <w:bCs w:val="0"/>
          <w:color w:val="auto"/>
          <w:spacing w:val="1"/>
          <w:sz w:val="24"/>
          <w:szCs w:val="24"/>
          <w:highlight w:val="none"/>
          <w:rtl w:val="0"/>
          <w:cs w:val="0"/>
          <w:lang w:val="en-US" w:eastAsia="zh-CN"/>
        </w:rPr>
      </w:pPr>
      <w:r>
        <w:rPr>
          <w:rFonts w:hint="eastAsia" w:ascii="仿宋" w:hAnsi="仿宋" w:eastAsia="仿宋" w:cs="仿宋"/>
          <w:b/>
          <w:bCs w:val="0"/>
          <w:color w:val="auto"/>
          <w:spacing w:val="1"/>
          <w:sz w:val="24"/>
          <w:szCs w:val="24"/>
          <w:highlight w:val="none"/>
          <w:rtl w:val="0"/>
          <w:cs w:val="0"/>
          <w:lang w:val="en-US" w:eastAsia="zh-CN"/>
        </w:rPr>
        <w:t>培训要求：</w:t>
      </w:r>
    </w:p>
    <w:p w14:paraId="751284FB">
      <w:pPr>
        <w:keepNext w:val="0"/>
        <w:keepLines w:val="0"/>
        <w:pageBreakBefore w:val="0"/>
        <w:widowControl/>
        <w:wordWrap/>
        <w:overflowPunct/>
        <w:topLinePunct w:val="0"/>
        <w:bidi w:val="0"/>
        <w:spacing w:line="360" w:lineRule="auto"/>
        <w:ind w:firstLine="480" w:firstLineChars="200"/>
        <w:rPr>
          <w:rFonts w:hint="eastAsia" w:ascii="仿宋" w:hAnsi="仿宋" w:eastAsia="仿宋" w:cs="仿宋"/>
          <w:kern w:val="0"/>
          <w:sz w:val="24"/>
          <w:szCs w:val="24"/>
          <w:highlight w:val="none"/>
          <w:lang w:bidi="ar"/>
        </w:rPr>
      </w:pP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一）</w:t>
      </w:r>
      <w:r>
        <w:rPr>
          <w:rFonts w:hint="eastAsia" w:ascii="仿宋" w:hAnsi="仿宋" w:eastAsia="仿宋" w:cs="仿宋"/>
          <w:b/>
          <w:sz w:val="24"/>
          <w:szCs w:val="24"/>
          <w:highlight w:val="none"/>
        </w:rPr>
        <w:t>提高生产技术技能。</w:t>
      </w:r>
      <w:r>
        <w:rPr>
          <w:rFonts w:hint="eastAsia" w:ascii="仿宋" w:hAnsi="仿宋" w:eastAsia="仿宋" w:cs="仿宋"/>
          <w:kern w:val="0"/>
          <w:sz w:val="24"/>
          <w:szCs w:val="24"/>
          <w:highlight w:val="none"/>
          <w:lang w:bidi="ar"/>
        </w:rPr>
        <w:t>按照突出“两稳两扩两提”要求，优先保障粮食、大豆和油料生产目标任务培育需求，分解培育任务。立足本区域主要粮油作物，联合种植管理部门遴选培训对象，围绕紧密衔接生产技术技能要求确定培训内容。紧扣农时，围绕作物生产全过程全周期开展培训，突出良种选购及制种、关键生产技术、病虫害防治、耕地保护建设等内容。强化田间地头实践实训，充分发挥农民合作社、家庭农场、农业社会化服务组织、农业企业和农村集体经济组织引领带动作用，切实提升农民实操水平。要因地制宜开展蔬菜等经济作物生产管理培训，提升种植水平和产业发展能力。加强牛羊养殖户培训，提高生产供给和动物疫病防控能力。</w:t>
      </w:r>
    </w:p>
    <w:p w14:paraId="37ADD53E">
      <w:pPr>
        <w:keepNext w:val="0"/>
        <w:keepLines w:val="0"/>
        <w:pageBreakBefore w:val="0"/>
        <w:widowControl/>
        <w:wordWrap/>
        <w:overflowPunct/>
        <w:topLinePunct w:val="0"/>
        <w:bidi w:val="0"/>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lang w:val="en-US" w:eastAsia="zh-CN"/>
        </w:rPr>
        <w:t>二）</w:t>
      </w:r>
      <w:r>
        <w:rPr>
          <w:rFonts w:hint="eastAsia" w:ascii="仿宋" w:hAnsi="仿宋" w:eastAsia="仿宋" w:cs="仿宋"/>
          <w:b/>
          <w:sz w:val="24"/>
          <w:szCs w:val="24"/>
          <w:highlight w:val="none"/>
        </w:rPr>
        <w:t xml:space="preserve"> 提升产业发展能力。</w:t>
      </w:r>
      <w:r>
        <w:rPr>
          <w:rFonts w:hint="eastAsia" w:ascii="仿宋" w:hAnsi="仿宋" w:eastAsia="仿宋" w:cs="仿宋"/>
          <w:sz w:val="24"/>
          <w:szCs w:val="24"/>
          <w:highlight w:val="none"/>
        </w:rPr>
        <w:t>坚持选育用一体化的育人导向，统筹农业农村现代化发展要求和农民学习需求，以推进农业产业高质量发展为目标，围绕主导特色产业组织培育。重点培育家庭农场主、农民合作社带头人、社会化服务专业人员、返乡创业创新人员、农村集体经济组织负责人等，分层分类实施培育。聚焦产业发展能力提升，重点围绕生产组织、主体管理、数字农业、市场冷链、信贷融资、风险防控、农业生产和农产品“三品一标”等，开展全产业链技能培训。</w:t>
      </w:r>
    </w:p>
    <w:p w14:paraId="51EE7759">
      <w:pPr>
        <w:keepNext w:val="0"/>
        <w:keepLines w:val="0"/>
        <w:pageBreakBefore w:val="0"/>
        <w:widowControl/>
        <w:wordWrap/>
        <w:overflowPunct/>
        <w:topLinePunct w:val="0"/>
        <w:bidi w:val="0"/>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lang w:val="en-US" w:eastAsia="zh-CN"/>
        </w:rPr>
        <w:t>三</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rPr>
        <w:t>提升农民素质素养。</w:t>
      </w:r>
      <w:r>
        <w:rPr>
          <w:rFonts w:hint="eastAsia" w:ascii="仿宋" w:hAnsi="仿宋" w:eastAsia="仿宋" w:cs="仿宋"/>
          <w:sz w:val="24"/>
          <w:szCs w:val="24"/>
          <w:highlight w:val="none"/>
        </w:rPr>
        <w:t>面向高素质农民培育对象全面开设综合素质素养课程。培训内容重点学习习近平新时代中国特色社会主义思想，同时重点学习社会主义核心价值观，涉农法律法规、农业农村政策，农业绿色发展、农产品质量安全、农业防灾减灾，金融信贷保险，乡村规划建设、乡风文明、农耕文化等领域基础知识。</w:t>
      </w:r>
    </w:p>
    <w:p w14:paraId="68C067D1">
      <w:pPr>
        <w:keepNext w:val="0"/>
        <w:keepLines w:val="0"/>
        <w:pageBreakBefore w:val="0"/>
        <w:widowControl/>
        <w:wordWrap/>
        <w:overflowPunct/>
        <w:topLinePunct w:val="0"/>
        <w:bidi w:val="0"/>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四）</w:t>
      </w:r>
      <w:r>
        <w:rPr>
          <w:rFonts w:hint="eastAsia" w:ascii="仿宋" w:hAnsi="仿宋" w:eastAsia="仿宋" w:cs="仿宋"/>
          <w:b/>
          <w:bCs/>
          <w:sz w:val="24"/>
          <w:szCs w:val="24"/>
          <w:highlight w:val="none"/>
        </w:rPr>
        <w:t>提升国家通用语言文字使用能力。</w:t>
      </w:r>
      <w:r>
        <w:rPr>
          <w:rFonts w:hint="eastAsia" w:ascii="仿宋" w:hAnsi="仿宋" w:eastAsia="仿宋" w:cs="仿宋"/>
          <w:sz w:val="24"/>
          <w:szCs w:val="24"/>
          <w:highlight w:val="none"/>
        </w:rPr>
        <w:t>强化指导服务，抓细抓实组织推动，坚持把</w:t>
      </w:r>
      <w:bookmarkStart w:id="150" w:name="_Hlk157618457"/>
      <w:r>
        <w:rPr>
          <w:rFonts w:hint="eastAsia" w:ascii="仿宋" w:hAnsi="仿宋" w:eastAsia="仿宋" w:cs="仿宋"/>
          <w:sz w:val="24"/>
          <w:szCs w:val="24"/>
          <w:highlight w:val="none"/>
        </w:rPr>
        <w:t>国家通用语言文字</w:t>
      </w:r>
      <w:bookmarkEnd w:id="150"/>
      <w:r>
        <w:rPr>
          <w:rFonts w:hint="eastAsia" w:ascii="仿宋" w:hAnsi="仿宋" w:eastAsia="仿宋" w:cs="仿宋"/>
          <w:sz w:val="24"/>
          <w:szCs w:val="24"/>
          <w:highlight w:val="none"/>
        </w:rPr>
        <w:t>学习使用作为开展高素质农民培育工作的一项重要内容，作为提升农牧民职业技能、增强就业能力、拓宽增收致富渠道的重要抓手，按照自治区选定的教材，科学设置学习培训内容课时，大力推广普及国家通用语言文字，健全完善各民族交往交流交融载体，持续引导农民群众“听党话、感党恩、跟党走”。</w:t>
      </w:r>
    </w:p>
    <w:p w14:paraId="3635560D">
      <w:pPr>
        <w:keepNext w:val="0"/>
        <w:keepLines w:val="0"/>
        <w:pageBreakBefore w:val="0"/>
        <w:widowControl/>
        <w:wordWrap/>
        <w:overflowPunct/>
        <w:topLinePunct w:val="0"/>
        <w:bidi w:val="0"/>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）专业农机手培训行动。</w:t>
      </w:r>
      <w:r>
        <w:rPr>
          <w:rFonts w:hint="eastAsia" w:ascii="仿宋" w:hAnsi="仿宋" w:eastAsia="仿宋" w:cs="仿宋"/>
          <w:sz w:val="24"/>
          <w:szCs w:val="24"/>
          <w:highlight w:val="none"/>
        </w:rPr>
        <w:t>各</w:t>
      </w:r>
      <w:r>
        <w:rPr>
          <w:rFonts w:hint="eastAsia" w:ascii="仿宋" w:hAnsi="仿宋" w:eastAsia="仿宋" w:cs="仿宋"/>
          <w:sz w:val="24"/>
          <w:szCs w:val="24"/>
          <w:highlight w:val="none"/>
          <w:lang w:val="en-US" w:eastAsia="zh-CN"/>
        </w:rPr>
        <w:t>乡镇</w:t>
      </w:r>
      <w:r>
        <w:rPr>
          <w:rFonts w:hint="eastAsia" w:ascii="仿宋" w:hAnsi="仿宋" w:eastAsia="仿宋" w:cs="仿宋"/>
          <w:sz w:val="24"/>
          <w:szCs w:val="24"/>
          <w:highlight w:val="none"/>
        </w:rPr>
        <w:t>要以专业农机手、农机大户和农机合作社带头人为培训对象，聚焦小麦、棉花、玉米、大豆等主要粮油作物耕种管收机械化作业环节，围绕高质量机播、高效飞防植保、机收减损等重要机械化技术开展实操实训和作业演练，提高机手技能水平和职业素质，促进农机作业标准化、规范化发展，助力粮油作物单产提升。加快培养一批“懂技术、会操作、保安全”的专业农机手。</w:t>
      </w:r>
    </w:p>
    <w:p w14:paraId="684AC3D5">
      <w:pPr>
        <w:keepNext w:val="0"/>
        <w:keepLines w:val="0"/>
        <w:pageBreakBefore w:val="0"/>
        <w:widowControl/>
        <w:wordWrap/>
        <w:overflowPunct/>
        <w:topLinePunct w:val="0"/>
        <w:bidi w:val="0"/>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六</w:t>
      </w:r>
      <w:r>
        <w:rPr>
          <w:rFonts w:hint="eastAsia" w:ascii="仿宋" w:hAnsi="仿宋" w:eastAsia="仿宋" w:cs="仿宋"/>
          <w:b/>
          <w:bCs/>
          <w:sz w:val="24"/>
          <w:szCs w:val="24"/>
          <w:highlight w:val="none"/>
        </w:rPr>
        <w:t>）重点区域产业带头人培训行动。</w:t>
      </w:r>
      <w:r>
        <w:rPr>
          <w:rFonts w:hint="eastAsia" w:ascii="仿宋" w:hAnsi="仿宋" w:eastAsia="仿宋" w:cs="仿宋"/>
          <w:sz w:val="24"/>
          <w:szCs w:val="24"/>
          <w:highlight w:val="none"/>
        </w:rPr>
        <w:t>开展特色林果、蔬菜、西甜瓜、甜菜、小茴香、万寿菊等特色产业农民教育培训，针对农牧民特点和从事产业量身定制培训课程，为乡村培养一批“懂技术、会种植、会管理”示范引领带动能力强的产业带头人。</w:t>
      </w:r>
    </w:p>
    <w:p w14:paraId="3C62932C">
      <w:pPr>
        <w:keepNext w:val="0"/>
        <w:keepLines w:val="0"/>
        <w:pageBreakBefore w:val="0"/>
        <w:widowControl/>
        <w:wordWrap/>
        <w:overflowPunct/>
        <w:topLinePunct w:val="0"/>
        <w:bidi w:val="0"/>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七）畜牧</w:t>
      </w:r>
      <w:r>
        <w:rPr>
          <w:rFonts w:hint="eastAsia" w:ascii="仿宋" w:hAnsi="仿宋" w:eastAsia="仿宋" w:cs="仿宋"/>
          <w:b/>
          <w:bCs/>
          <w:sz w:val="24"/>
          <w:szCs w:val="24"/>
          <w:highlight w:val="none"/>
        </w:rPr>
        <w:t>产业带头人培训行动</w:t>
      </w:r>
    </w:p>
    <w:p w14:paraId="79183EB3">
      <w:pPr>
        <w:keepNext w:val="0"/>
        <w:keepLines w:val="0"/>
        <w:pageBreakBefore w:val="0"/>
        <w:widowControl/>
        <w:wordWrap/>
        <w:overflowPunct/>
        <w:topLinePunct w:val="0"/>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培养出一批懂技术、善经营、会管理的畜牧产业专业人才，这些人才不仅能带动自身养殖事业发展，还可以发挥示范引领作用，向周边村民传播经验技术，吸引更多人参与到畜牧产业发展中来，为乡村振兴提供坚实的人才支撑。</w:t>
      </w:r>
    </w:p>
    <w:p w14:paraId="4E3EE7E8">
      <w:pPr>
        <w:keepNext w:val="0"/>
        <w:keepLines w:val="0"/>
        <w:pageBreakBefore w:val="0"/>
        <w:widowControl/>
        <w:wordWrap/>
        <w:overflowPunct/>
        <w:topLinePunct w:val="0"/>
        <w:bidi w:val="0"/>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八）林果</w:t>
      </w:r>
      <w:r>
        <w:rPr>
          <w:rFonts w:hint="eastAsia" w:ascii="仿宋" w:hAnsi="仿宋" w:eastAsia="仿宋" w:cs="仿宋"/>
          <w:b/>
          <w:bCs/>
          <w:sz w:val="24"/>
          <w:szCs w:val="24"/>
          <w:highlight w:val="none"/>
        </w:rPr>
        <w:t>产业带头人培训行动</w:t>
      </w:r>
    </w:p>
    <w:p w14:paraId="545B9F70">
      <w:pPr>
        <w:keepNext w:val="0"/>
        <w:keepLines w:val="0"/>
        <w:pageBreakBefore w:val="0"/>
        <w:widowControl/>
        <w:wordWrap/>
        <w:overflowPunct/>
        <w:topLinePunct w:val="0"/>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林果业作为乡村重要的产业类型，其高质量发展能够增加就业岗位、提高农民收入，还能带动诸如果品加工、包装、运输等上下游产业协同发展，繁荣乡村经济，促进乡村在产业、生态、人才等多方面实现振兴。</w:t>
      </w:r>
    </w:p>
    <w:p w14:paraId="113FF61D">
      <w:pPr>
        <w:pStyle w:val="7"/>
        <w:numPr>
          <w:ilvl w:val="0"/>
          <w:numId w:val="0"/>
        </w:numPr>
        <w:tabs>
          <w:tab w:val="left" w:pos="567"/>
        </w:tabs>
        <w:rPr>
          <w:rFonts w:hint="eastAsia" w:ascii="仿宋" w:hAnsi="仿宋" w:eastAsia="仿宋" w:cs="仿宋"/>
          <w:b/>
          <w:bCs w:val="0"/>
          <w:color w:val="auto"/>
          <w:spacing w:val="1"/>
          <w:sz w:val="24"/>
          <w:szCs w:val="24"/>
          <w:highlight w:val="none"/>
          <w:rtl w:val="0"/>
          <w:cs w:val="0"/>
          <w:lang w:val="en-US" w:eastAsia="zh-CN"/>
        </w:rPr>
      </w:pPr>
      <w:r>
        <w:rPr>
          <w:rFonts w:hint="eastAsia" w:ascii="仿宋" w:hAnsi="仿宋" w:eastAsia="仿宋" w:cs="仿宋"/>
          <w:b/>
          <w:bCs w:val="0"/>
          <w:color w:val="auto"/>
          <w:spacing w:val="1"/>
          <w:sz w:val="24"/>
          <w:szCs w:val="24"/>
          <w:highlight w:val="none"/>
          <w:rtl w:val="0"/>
          <w:cs w:val="0"/>
          <w:lang w:val="en-US" w:eastAsia="zh-CN"/>
        </w:rPr>
        <w:t>履约验收</w:t>
      </w:r>
    </w:p>
    <w:p w14:paraId="18032E9C">
      <w:pPr>
        <w:keepNext w:val="0"/>
        <w:keepLines w:val="0"/>
        <w:pageBreakBefore w:val="0"/>
        <w:widowControl/>
        <w:wordWrap/>
        <w:overflowPunct/>
        <w:topLinePunct w:val="0"/>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根据招标文件、中标人的投标文件以及合同中规定的技术、服务、安全标准组织对供应商履约情况进行验收，并出具验收书。验收书应当包括培训方案、课程、资金安排、实际师资情况</w:t>
      </w:r>
      <w:r>
        <w:rPr>
          <w:rFonts w:hint="eastAsia" w:ascii="仿宋" w:hAnsi="仿宋" w:eastAsia="仿宋" w:cs="仿宋"/>
          <w:sz w:val="24"/>
          <w:szCs w:val="24"/>
          <w:highlight w:val="none"/>
          <w:lang w:val="en-US" w:eastAsia="zh-CN"/>
        </w:rPr>
        <w:t>与</w:t>
      </w:r>
      <w:r>
        <w:rPr>
          <w:rFonts w:hint="eastAsia" w:ascii="仿宋" w:hAnsi="仿宋" w:eastAsia="仿宋" w:cs="仿宋"/>
          <w:sz w:val="24"/>
          <w:szCs w:val="24"/>
          <w:highlight w:val="none"/>
        </w:rPr>
        <w:t>中标文件是否一致等服务的履约情况。验收合格后在验收报告单上签字盖章。</w:t>
      </w:r>
    </w:p>
    <w:p w14:paraId="65C3CE89">
      <w:pPr>
        <w:pStyle w:val="34"/>
        <w:ind w:left="0" w:leftChars="0" w:firstLine="0" w:firstLineChars="0"/>
        <w:rPr>
          <w:rFonts w:hint="eastAsia" w:ascii="仿宋" w:hAnsi="仿宋" w:eastAsia="仿宋" w:cs="仿宋"/>
          <w:b/>
          <w:bCs w:val="0"/>
          <w:snapToGrid w:val="0"/>
          <w:color w:val="auto"/>
          <w:spacing w:val="1"/>
          <w:kern w:val="0"/>
          <w:sz w:val="24"/>
          <w:szCs w:val="24"/>
          <w:highlight w:val="none"/>
          <w:rtl w:val="0"/>
          <w:cs w:val="0"/>
          <w:lang w:val="en-US" w:eastAsia="zh-CN" w:bidi="ar-SA"/>
        </w:rPr>
      </w:pPr>
      <w:r>
        <w:rPr>
          <w:rFonts w:hint="eastAsia" w:ascii="仿宋" w:hAnsi="仿宋" w:eastAsia="仿宋" w:cs="仿宋"/>
          <w:b/>
          <w:bCs w:val="0"/>
          <w:snapToGrid w:val="0"/>
          <w:color w:val="auto"/>
          <w:spacing w:val="1"/>
          <w:kern w:val="0"/>
          <w:sz w:val="24"/>
          <w:szCs w:val="24"/>
          <w:highlight w:val="none"/>
          <w:rtl w:val="0"/>
          <w:cs w:val="0"/>
          <w:lang w:val="en-US" w:eastAsia="zh-CN" w:bidi="ar-SA"/>
        </w:rPr>
        <w:t>其他要求</w:t>
      </w:r>
    </w:p>
    <w:p w14:paraId="356F4B73">
      <w:pPr>
        <w:pStyle w:val="34"/>
        <w:ind w:left="0" w:leftChars="0" w:firstLine="486" w:firstLineChars="200"/>
        <w:rPr>
          <w:rFonts w:hint="eastAsia" w:ascii="仿宋" w:hAnsi="仿宋" w:eastAsia="仿宋" w:cs="仿宋"/>
          <w:sz w:val="24"/>
          <w:szCs w:val="24"/>
          <w:highlight w:val="none"/>
        </w:rPr>
      </w:pPr>
      <w:r>
        <w:rPr>
          <w:rFonts w:hint="eastAsia" w:ascii="仿宋" w:hAnsi="仿宋" w:eastAsia="仿宋" w:cs="仿宋"/>
          <w:b/>
          <w:bCs w:val="0"/>
          <w:snapToGrid w:val="0"/>
          <w:color w:val="auto"/>
          <w:spacing w:val="1"/>
          <w:kern w:val="0"/>
          <w:sz w:val="24"/>
          <w:szCs w:val="24"/>
          <w:highlight w:val="none"/>
          <w:rtl w:val="0"/>
          <w:cs w:val="0"/>
          <w:lang w:val="en-US" w:eastAsia="zh-CN" w:bidi="ar-SA"/>
        </w:rPr>
        <w:t>培训期间产生的住宿费、伙食费、场地费、教师费、车辆费以及学员所需的必需品等一切与本项目相关费用均由中标方承担。</w:t>
      </w:r>
    </w:p>
    <w:p w14:paraId="223BD731">
      <w:pPr>
        <w:keepNext w:val="0"/>
        <w:keepLines w:val="0"/>
        <w:pageBreakBefore w:val="0"/>
        <w:widowControl/>
        <w:wordWrap/>
        <w:overflowPunct/>
        <w:topLinePunct w:val="0"/>
        <w:bidi w:val="0"/>
        <w:spacing w:line="360" w:lineRule="auto"/>
        <w:ind w:firstLine="480" w:firstLineChars="200"/>
        <w:rPr>
          <w:rFonts w:hint="eastAsia" w:ascii="仿宋" w:hAnsi="仿宋" w:eastAsia="仿宋" w:cs="仿宋"/>
          <w:sz w:val="24"/>
          <w:szCs w:val="24"/>
          <w:highlight w:val="none"/>
        </w:rPr>
      </w:pPr>
    </w:p>
    <w:p w14:paraId="04B3DB02">
      <w:pPr>
        <w:keepNext w:val="0"/>
        <w:keepLines w:val="0"/>
        <w:pageBreakBefore w:val="0"/>
        <w:widowControl/>
        <w:wordWrap/>
        <w:overflowPunct/>
        <w:topLinePunct w:val="0"/>
        <w:bidi w:val="0"/>
        <w:spacing w:line="360" w:lineRule="auto"/>
        <w:ind w:firstLine="480" w:firstLineChars="200"/>
        <w:rPr>
          <w:rFonts w:hint="eastAsia" w:ascii="仿宋" w:hAnsi="仿宋" w:eastAsia="仿宋" w:cs="仿宋"/>
          <w:sz w:val="24"/>
          <w:szCs w:val="24"/>
          <w:highlight w:val="none"/>
        </w:rPr>
      </w:pPr>
    </w:p>
    <w:p w14:paraId="0CD26442">
      <w:pPr>
        <w:keepNext w:val="0"/>
        <w:keepLines w:val="0"/>
        <w:pageBreakBefore w:val="0"/>
        <w:widowControl/>
        <w:wordWrap/>
        <w:overflowPunct/>
        <w:topLinePunct w:val="0"/>
        <w:bidi w:val="0"/>
        <w:spacing w:line="360" w:lineRule="auto"/>
        <w:ind w:firstLine="480" w:firstLineChars="200"/>
        <w:rPr>
          <w:rFonts w:hint="eastAsia" w:ascii="仿宋" w:hAnsi="仿宋" w:eastAsia="仿宋" w:cs="仿宋"/>
          <w:sz w:val="24"/>
          <w:szCs w:val="24"/>
          <w:highlight w:val="none"/>
        </w:rPr>
      </w:pPr>
    </w:p>
    <w:p w14:paraId="0E269286">
      <w:pPr>
        <w:keepNext w:val="0"/>
        <w:keepLines w:val="0"/>
        <w:pageBreakBefore w:val="0"/>
        <w:widowControl/>
        <w:wordWrap/>
        <w:overflowPunct/>
        <w:topLinePunct w:val="0"/>
        <w:bidi w:val="0"/>
        <w:spacing w:line="360" w:lineRule="auto"/>
        <w:ind w:firstLine="480" w:firstLineChars="200"/>
        <w:rPr>
          <w:rFonts w:hint="eastAsia" w:ascii="仿宋" w:hAnsi="仿宋" w:eastAsia="仿宋" w:cs="仿宋"/>
          <w:sz w:val="24"/>
          <w:szCs w:val="24"/>
          <w:highlight w:val="none"/>
        </w:rPr>
      </w:pPr>
    </w:p>
    <w:p w14:paraId="346F8D17">
      <w:pPr>
        <w:keepNext w:val="0"/>
        <w:keepLines w:val="0"/>
        <w:pageBreakBefore w:val="0"/>
        <w:widowControl/>
        <w:wordWrap/>
        <w:overflowPunct/>
        <w:topLinePunct w:val="0"/>
        <w:bidi w:val="0"/>
        <w:spacing w:line="360" w:lineRule="auto"/>
        <w:ind w:firstLine="480" w:firstLineChars="200"/>
        <w:rPr>
          <w:rFonts w:hint="eastAsia" w:ascii="仿宋" w:hAnsi="仿宋" w:eastAsia="仿宋" w:cs="仿宋"/>
          <w:sz w:val="24"/>
          <w:szCs w:val="24"/>
          <w:highlight w:val="none"/>
        </w:rPr>
      </w:pPr>
    </w:p>
    <w:p w14:paraId="039C70AB">
      <w:pPr>
        <w:keepNext w:val="0"/>
        <w:keepLines w:val="0"/>
        <w:pageBreakBefore w:val="0"/>
        <w:widowControl/>
        <w:wordWrap/>
        <w:overflowPunct/>
        <w:topLinePunct w:val="0"/>
        <w:bidi w:val="0"/>
        <w:spacing w:line="360" w:lineRule="auto"/>
        <w:ind w:firstLine="480" w:firstLineChars="200"/>
        <w:rPr>
          <w:rFonts w:hint="eastAsia" w:ascii="仿宋" w:hAnsi="仿宋" w:eastAsia="仿宋" w:cs="仿宋"/>
          <w:sz w:val="24"/>
          <w:szCs w:val="24"/>
          <w:highlight w:val="none"/>
        </w:rPr>
      </w:pPr>
    </w:p>
    <w:p w14:paraId="4FFE1EAF">
      <w:pPr>
        <w:keepNext w:val="0"/>
        <w:keepLines w:val="0"/>
        <w:pageBreakBefore w:val="0"/>
        <w:widowControl/>
        <w:kinsoku w:val="0"/>
        <w:wordWrap/>
        <w:overflowPunct/>
        <w:topLinePunct w:val="0"/>
        <w:autoSpaceDE w:val="0"/>
        <w:autoSpaceDN w:val="0"/>
        <w:bidi w:val="0"/>
        <w:adjustRightInd w:val="0"/>
        <w:snapToGrid w:val="0"/>
        <w:spacing w:before="90" w:line="400" w:lineRule="exact"/>
        <w:ind w:left="358"/>
        <w:textAlignment w:val="baseline"/>
        <w:rPr>
          <w:rFonts w:hint="eastAsia" w:ascii="仿宋" w:hAnsi="仿宋" w:eastAsia="仿宋" w:cs="仿宋"/>
          <w:b/>
          <w:bCs/>
          <w:spacing w:val="7"/>
          <w:sz w:val="28"/>
          <w:szCs w:val="28"/>
          <w:highlight w:val="none"/>
          <w:lang w:val="en-US" w:eastAsia="zh-CN"/>
        </w:rPr>
      </w:pPr>
      <w:r>
        <w:rPr>
          <w:rFonts w:hint="eastAsia" w:ascii="仿宋" w:hAnsi="仿宋" w:eastAsia="仿宋" w:cs="仿宋"/>
          <w:b/>
          <w:bCs/>
          <w:spacing w:val="7"/>
          <w:sz w:val="23"/>
          <w:szCs w:val="23"/>
          <w:highlight w:val="none"/>
          <w:lang w:val="en-US" w:eastAsia="zh-CN"/>
        </w:rPr>
        <w:t>二、</w:t>
      </w:r>
      <w:r>
        <w:rPr>
          <w:rFonts w:hint="eastAsia" w:ascii="仿宋" w:hAnsi="仿宋" w:eastAsia="仿宋" w:cs="仿宋"/>
          <w:b/>
          <w:bCs/>
          <w:spacing w:val="7"/>
          <w:sz w:val="28"/>
          <w:szCs w:val="28"/>
          <w:highlight w:val="none"/>
          <w:lang w:eastAsia="zh-CN"/>
        </w:rPr>
        <w:t>英吉沙县2024年农民实用技术培训项目（标项二）</w:t>
      </w:r>
    </w:p>
    <w:p w14:paraId="7380CE74">
      <w:pPr>
        <w:spacing w:line="240" w:lineRule="atLeast"/>
        <w:jc w:val="center"/>
        <w:outlineLvl w:val="1"/>
        <w:rPr>
          <w:rFonts w:hint="eastAsia" w:ascii="仿宋" w:hAnsi="仿宋" w:eastAsia="仿宋" w:cs="仿宋"/>
          <w:b/>
          <w:bCs/>
          <w:spacing w:val="7"/>
          <w:sz w:val="23"/>
          <w:szCs w:val="23"/>
          <w:highlight w:val="none"/>
          <w:lang w:val="en-US" w:eastAsia="zh-CN"/>
        </w:rPr>
      </w:pPr>
      <w:r>
        <w:rPr>
          <w:rFonts w:hint="eastAsia" w:ascii="仿宋" w:hAnsi="仿宋" w:eastAsia="仿宋" w:cs="仿宋"/>
          <w:b/>
          <w:bCs/>
          <w:spacing w:val="7"/>
          <w:sz w:val="23"/>
          <w:szCs w:val="23"/>
          <w:highlight w:val="none"/>
          <w:lang w:val="en-US" w:eastAsia="zh-CN"/>
        </w:rPr>
        <w:t>需求一览表</w:t>
      </w:r>
    </w:p>
    <w:p w14:paraId="6ECDBF97">
      <w:pPr>
        <w:pStyle w:val="34"/>
        <w:rPr>
          <w:rFonts w:hint="eastAsia"/>
          <w:highlight w:val="none"/>
          <w:lang w:val="en-US" w:eastAsia="zh-CN"/>
        </w:rPr>
      </w:pPr>
    </w:p>
    <w:tbl>
      <w:tblPr>
        <w:tblStyle w:val="20"/>
        <w:tblW w:w="93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0"/>
        <w:gridCol w:w="1119"/>
        <w:gridCol w:w="651"/>
        <w:gridCol w:w="1056"/>
        <w:gridCol w:w="4666"/>
        <w:gridCol w:w="1395"/>
      </w:tblGrid>
      <w:tr w14:paraId="5C056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8"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E51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125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采购项目名称</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6CA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数量</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FAC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单价（元）</w:t>
            </w:r>
          </w:p>
        </w:tc>
        <w:tc>
          <w:tcPr>
            <w:tcW w:w="4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705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规格及要求</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B45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合计金额（元）</w:t>
            </w:r>
          </w:p>
        </w:tc>
      </w:tr>
      <w:tr w14:paraId="0FC61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8"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ABD8">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06B9">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英吉沙县2024年农民实用技术培训项目</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CC03">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1批</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D10C">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4400000</w:t>
            </w:r>
          </w:p>
        </w:tc>
        <w:tc>
          <w:tcPr>
            <w:tcW w:w="4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5F2F">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对全县农村劳动力进行农业实用技术培训（主要培训科学养殖，科学种植，林果业等技术），培训方式为集中培训、到户指导、实地培训等，培训天数15天（其中理论培训10天，观摩实践操作5天），培训人数不少于2700人，费用包括：住宿费、伙食费、场地费、教师费、车辆费等，同时需满足学员所需的必需品。</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A792">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4400000</w:t>
            </w:r>
          </w:p>
        </w:tc>
      </w:tr>
    </w:tbl>
    <w:p w14:paraId="7987103F">
      <w:pPr>
        <w:keepNext w:val="0"/>
        <w:keepLines w:val="0"/>
        <w:pageBreakBefore w:val="0"/>
        <w:widowControl/>
        <w:kinsoku w:val="0"/>
        <w:wordWrap/>
        <w:overflowPunct/>
        <w:topLinePunct w:val="0"/>
        <w:autoSpaceDE w:val="0"/>
        <w:autoSpaceDN w:val="0"/>
        <w:bidi w:val="0"/>
        <w:adjustRightInd w:val="0"/>
        <w:snapToGrid w:val="0"/>
        <w:spacing w:before="90" w:line="400" w:lineRule="exact"/>
        <w:ind w:left="358"/>
        <w:textAlignment w:val="baseline"/>
        <w:rPr>
          <w:rFonts w:hint="default" w:ascii="仿宋" w:hAnsi="仿宋" w:eastAsia="仿宋" w:cs="仿宋"/>
          <w:spacing w:val="7"/>
          <w:sz w:val="23"/>
          <w:szCs w:val="23"/>
          <w:highlight w:val="none"/>
          <w:lang w:val="en-US" w:eastAsia="zh-CN"/>
        </w:rPr>
      </w:pPr>
    </w:p>
    <w:p w14:paraId="19EA3DBD">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313" w:beforeLines="100" w:line="360" w:lineRule="auto"/>
        <w:textAlignment w:val="auto"/>
        <w:rPr>
          <w:rFonts w:hint="default" w:ascii="仿宋" w:hAnsi="仿宋" w:eastAsia="仿宋" w:cs="仿宋"/>
          <w:b/>
          <w:bCs w:val="0"/>
          <w:color w:val="auto"/>
          <w:spacing w:val="1"/>
          <w:kern w:val="2"/>
          <w:sz w:val="24"/>
          <w:szCs w:val="24"/>
          <w:highlight w:val="none"/>
          <w:lang w:val="en-US" w:eastAsia="zh-CN" w:bidi="ar-SA"/>
        </w:rPr>
      </w:pPr>
      <w:r>
        <w:rPr>
          <w:rFonts w:hint="eastAsia" w:ascii="仿宋" w:hAnsi="仿宋" w:eastAsia="仿宋" w:cs="仿宋"/>
          <w:b/>
          <w:bCs w:val="0"/>
          <w:color w:val="auto"/>
          <w:spacing w:val="1"/>
          <w:kern w:val="2"/>
          <w:sz w:val="24"/>
          <w:szCs w:val="24"/>
          <w:highlight w:val="none"/>
          <w:lang w:val="en-US" w:eastAsia="zh-CN" w:bidi="ar-SA"/>
        </w:rPr>
        <w:t>服务期限及支付方式</w:t>
      </w:r>
    </w:p>
    <w:p w14:paraId="56085EB5">
      <w:pPr>
        <w:numPr>
          <w:ilvl w:val="0"/>
          <w:numId w:val="0"/>
        </w:numPr>
        <w:shd w:val="clear" w:color="auto" w:fill="FFFFFF"/>
        <w:adjustRightInd w:val="0"/>
        <w:snapToGrid w:val="0"/>
        <w:spacing w:line="360" w:lineRule="auto"/>
        <w:ind w:firstLine="484" w:firstLineChars="200"/>
        <w:rPr>
          <w:rFonts w:hint="eastAsia" w:ascii="仿宋" w:hAnsi="仿宋" w:eastAsia="仿宋" w:cs="仿宋"/>
          <w:b w:val="0"/>
          <w:bCs/>
          <w:color w:val="auto"/>
          <w:spacing w:val="1"/>
          <w:kern w:val="2"/>
          <w:sz w:val="24"/>
          <w:szCs w:val="24"/>
          <w:highlight w:val="none"/>
          <w:lang w:val="en-US" w:eastAsia="zh-CN" w:bidi="ar-SA"/>
        </w:rPr>
      </w:pPr>
      <w:r>
        <w:rPr>
          <w:rFonts w:hint="eastAsia" w:ascii="仿宋" w:hAnsi="仿宋" w:eastAsia="仿宋" w:cs="仿宋"/>
          <w:b w:val="0"/>
          <w:bCs/>
          <w:color w:val="auto"/>
          <w:spacing w:val="1"/>
          <w:kern w:val="2"/>
          <w:sz w:val="24"/>
          <w:szCs w:val="24"/>
          <w:highlight w:val="none"/>
          <w:lang w:val="en-US" w:eastAsia="zh-CN" w:bidi="ar-SA"/>
        </w:rPr>
        <w:t>（一）服务期限：合同签订之日起一年之内，具体以签订合同为准。</w:t>
      </w:r>
    </w:p>
    <w:p w14:paraId="69FB32BA">
      <w:pPr>
        <w:pStyle w:val="22"/>
        <w:ind w:firstLine="484" w:firstLineChars="200"/>
        <w:rPr>
          <w:rFonts w:hint="default"/>
          <w:color w:val="auto"/>
          <w:highlight w:val="none"/>
          <w:rtl w:val="0"/>
          <w:cs w:val="0"/>
          <w:lang w:val="en-US" w:eastAsia="zh-CN"/>
        </w:rPr>
      </w:pPr>
      <w:r>
        <w:rPr>
          <w:rFonts w:hint="eastAsia" w:ascii="仿宋" w:hAnsi="仿宋" w:eastAsia="仿宋" w:cs="仿宋"/>
          <w:b w:val="0"/>
          <w:bCs/>
          <w:color w:val="auto"/>
          <w:spacing w:val="1"/>
          <w:kern w:val="2"/>
          <w:sz w:val="24"/>
          <w:szCs w:val="24"/>
          <w:highlight w:val="none"/>
          <w:lang w:val="en-US" w:eastAsia="zh-CN" w:bidi="ar-SA"/>
        </w:rPr>
        <w:t>（二）支付方式：按进度支付，具体以供应商与招标人合同签订为准。</w:t>
      </w:r>
    </w:p>
    <w:p w14:paraId="49F5B4E0">
      <w:pPr>
        <w:pStyle w:val="7"/>
        <w:numPr>
          <w:ilvl w:val="0"/>
          <w:numId w:val="0"/>
        </w:numPr>
        <w:tabs>
          <w:tab w:val="left" w:pos="567"/>
        </w:tabs>
        <w:rPr>
          <w:rFonts w:hint="eastAsia" w:ascii="仿宋" w:hAnsi="仿宋" w:eastAsia="仿宋" w:cs="仿宋"/>
          <w:b/>
          <w:bCs w:val="0"/>
          <w:color w:val="auto"/>
          <w:spacing w:val="1"/>
          <w:sz w:val="24"/>
          <w:szCs w:val="24"/>
          <w:highlight w:val="none"/>
          <w:rtl w:val="0"/>
          <w:cs w:val="0"/>
          <w:lang w:val="en-US" w:eastAsia="zh-CN"/>
        </w:rPr>
      </w:pPr>
      <w:r>
        <w:rPr>
          <w:rFonts w:hint="eastAsia" w:ascii="仿宋" w:hAnsi="仿宋" w:eastAsia="仿宋" w:cs="仿宋"/>
          <w:b/>
          <w:bCs w:val="0"/>
          <w:color w:val="auto"/>
          <w:spacing w:val="1"/>
          <w:sz w:val="24"/>
          <w:szCs w:val="24"/>
          <w:highlight w:val="none"/>
          <w:rtl w:val="0"/>
          <w:cs w:val="0"/>
          <w:lang w:val="en-US" w:eastAsia="zh-CN"/>
        </w:rPr>
        <w:t>服务指标</w:t>
      </w:r>
    </w:p>
    <w:p w14:paraId="0DF538BF">
      <w:pPr>
        <w:numPr>
          <w:ilvl w:val="0"/>
          <w:numId w:val="0"/>
        </w:numPr>
        <w:shd w:val="clear" w:color="auto" w:fill="FFFFFF"/>
        <w:adjustRightInd w:val="0"/>
        <w:snapToGrid w:val="0"/>
        <w:spacing w:line="360" w:lineRule="auto"/>
        <w:ind w:firstLine="484" w:firstLineChars="200"/>
        <w:rPr>
          <w:rFonts w:hint="eastAsia" w:ascii="仿宋" w:hAnsi="仿宋" w:eastAsia="仿宋" w:cs="仿宋"/>
          <w:b w:val="0"/>
          <w:bCs/>
          <w:color w:val="auto"/>
          <w:spacing w:val="1"/>
          <w:kern w:val="2"/>
          <w:sz w:val="24"/>
          <w:szCs w:val="24"/>
          <w:highlight w:val="none"/>
          <w:rtl w:val="0"/>
          <w:cs w:val="0"/>
          <w:lang w:val="en-US" w:eastAsia="zh-CN" w:bidi="ar-SA"/>
        </w:rPr>
      </w:pPr>
      <w:r>
        <w:rPr>
          <w:rFonts w:hint="eastAsia" w:ascii="仿宋" w:hAnsi="仿宋" w:eastAsia="仿宋" w:cs="仿宋"/>
          <w:b w:val="0"/>
          <w:bCs/>
          <w:color w:val="auto"/>
          <w:spacing w:val="1"/>
          <w:kern w:val="2"/>
          <w:sz w:val="24"/>
          <w:szCs w:val="24"/>
          <w:highlight w:val="none"/>
          <w:rtl w:val="0"/>
          <w:cs w:val="0"/>
          <w:lang w:val="en-US" w:eastAsia="zh-CN" w:bidi="ar-SA"/>
        </w:rPr>
        <w:t>（一）培训对象：高素质农民培训不少于2700人。</w:t>
      </w:r>
    </w:p>
    <w:p w14:paraId="78AD1F8C">
      <w:pPr>
        <w:numPr>
          <w:ilvl w:val="0"/>
          <w:numId w:val="0"/>
        </w:numPr>
        <w:shd w:val="clear" w:color="auto" w:fill="FFFFFF"/>
        <w:adjustRightInd w:val="0"/>
        <w:snapToGrid w:val="0"/>
        <w:spacing w:line="360" w:lineRule="auto"/>
        <w:ind w:firstLine="484" w:firstLineChars="200"/>
        <w:rPr>
          <w:rFonts w:hint="eastAsia" w:ascii="仿宋" w:hAnsi="仿宋" w:eastAsia="仿宋" w:cs="仿宋"/>
          <w:b w:val="0"/>
          <w:bCs/>
          <w:color w:val="auto"/>
          <w:spacing w:val="1"/>
          <w:kern w:val="2"/>
          <w:sz w:val="24"/>
          <w:szCs w:val="24"/>
          <w:highlight w:val="none"/>
          <w:rtl w:val="0"/>
          <w:cs w:val="0"/>
          <w:lang w:val="en-US" w:eastAsia="zh-CN" w:bidi="ar-SA"/>
        </w:rPr>
      </w:pPr>
      <w:r>
        <w:rPr>
          <w:rFonts w:hint="eastAsia" w:ascii="仿宋" w:hAnsi="仿宋" w:eastAsia="仿宋" w:cs="仿宋"/>
          <w:b w:val="0"/>
          <w:bCs/>
          <w:color w:val="auto"/>
          <w:spacing w:val="1"/>
          <w:kern w:val="2"/>
          <w:sz w:val="24"/>
          <w:szCs w:val="24"/>
          <w:highlight w:val="none"/>
          <w:rtl w:val="0"/>
          <w:cs w:val="0"/>
          <w:lang w:val="en-US" w:eastAsia="zh-CN" w:bidi="ar-SA"/>
        </w:rPr>
        <w:t>（二）培训地点：将根据当时的实际情况来确定培训地点。</w:t>
      </w:r>
    </w:p>
    <w:p w14:paraId="38CF7203">
      <w:pPr>
        <w:numPr>
          <w:ilvl w:val="0"/>
          <w:numId w:val="0"/>
        </w:numPr>
        <w:shd w:val="clear" w:color="auto" w:fill="FFFFFF"/>
        <w:adjustRightInd w:val="0"/>
        <w:snapToGrid w:val="0"/>
        <w:spacing w:line="360" w:lineRule="auto"/>
        <w:ind w:firstLine="484" w:firstLineChars="200"/>
        <w:rPr>
          <w:rFonts w:hint="eastAsia" w:ascii="仿宋" w:hAnsi="仿宋" w:eastAsia="仿宋" w:cs="仿宋"/>
          <w:b w:val="0"/>
          <w:bCs/>
          <w:color w:val="auto"/>
          <w:spacing w:val="1"/>
          <w:kern w:val="2"/>
          <w:sz w:val="24"/>
          <w:szCs w:val="24"/>
          <w:highlight w:val="none"/>
          <w:lang w:val="en-US" w:eastAsia="zh-CN" w:bidi="ar-SA"/>
        </w:rPr>
      </w:pPr>
      <w:r>
        <w:rPr>
          <w:rFonts w:hint="eastAsia" w:ascii="仿宋" w:hAnsi="仿宋" w:eastAsia="仿宋" w:cs="仿宋"/>
          <w:b w:val="0"/>
          <w:bCs/>
          <w:color w:val="auto"/>
          <w:spacing w:val="1"/>
          <w:kern w:val="2"/>
          <w:sz w:val="24"/>
          <w:szCs w:val="24"/>
          <w:highlight w:val="none"/>
          <w:rtl w:val="0"/>
          <w:cs w:val="0"/>
          <w:lang w:val="en-US" w:eastAsia="zh-CN" w:bidi="ar-SA"/>
        </w:rPr>
        <w:t>（三）培训方式：</w:t>
      </w:r>
      <w:r>
        <w:rPr>
          <w:rFonts w:hint="eastAsia" w:ascii="仿宋" w:hAnsi="仿宋" w:eastAsia="仿宋" w:cs="仿宋"/>
          <w:b w:val="0"/>
          <w:bCs/>
          <w:color w:val="auto"/>
          <w:spacing w:val="1"/>
          <w:kern w:val="2"/>
          <w:sz w:val="24"/>
          <w:szCs w:val="24"/>
          <w:highlight w:val="none"/>
          <w:lang w:val="en-US" w:eastAsia="zh-CN" w:bidi="ar-SA"/>
        </w:rPr>
        <w:t>采取现场培训和远程培训相结合的方式，即通过专家讲座、示范教学、小组讨论等方法进行培训。</w:t>
      </w:r>
    </w:p>
    <w:p w14:paraId="4DDF214E">
      <w:pPr>
        <w:keepNext w:val="0"/>
        <w:keepLines w:val="0"/>
        <w:pageBreakBefore w:val="0"/>
        <w:widowControl/>
        <w:kinsoku/>
        <w:wordWrap/>
        <w:overflowPunct/>
        <w:topLinePunct w:val="0"/>
        <w:autoSpaceDE/>
        <w:autoSpaceDN/>
        <w:bidi w:val="0"/>
        <w:adjustRightInd/>
        <w:snapToGrid/>
        <w:spacing w:line="360" w:lineRule="auto"/>
        <w:ind w:firstLine="486" w:firstLineChars="200"/>
        <w:textAlignment w:val="auto"/>
        <w:rPr>
          <w:rFonts w:hint="eastAsia" w:ascii="仿宋" w:hAnsi="仿宋" w:eastAsia="仿宋" w:cs="仿宋"/>
          <w:color w:val="000000"/>
          <w:sz w:val="24"/>
          <w:highlight w:val="none"/>
        </w:rPr>
      </w:pPr>
      <w:r>
        <w:rPr>
          <w:rFonts w:hint="eastAsia" w:ascii="仿宋" w:hAnsi="仿宋" w:eastAsia="仿宋" w:cs="仿宋"/>
          <w:b/>
          <w:bCs w:val="0"/>
          <w:snapToGrid w:val="0"/>
          <w:color w:val="auto"/>
          <w:spacing w:val="1"/>
          <w:kern w:val="0"/>
          <w:sz w:val="24"/>
          <w:szCs w:val="24"/>
          <w:highlight w:val="none"/>
          <w:rtl w:val="0"/>
          <w:cs w:val="0"/>
          <w:lang w:val="en-US" w:eastAsia="zh-CN" w:bidi="ar-SA"/>
        </w:rPr>
        <w:t>（四）培训目标：</w:t>
      </w:r>
      <w:r>
        <w:rPr>
          <w:rFonts w:hint="eastAsia" w:ascii="仿宋" w:hAnsi="仿宋" w:eastAsia="仿宋" w:cs="仿宋"/>
          <w:color w:val="000000"/>
          <w:sz w:val="24"/>
          <w:highlight w:val="none"/>
          <w:lang w:val="en-US" w:eastAsia="zh-CN"/>
        </w:rPr>
        <w:t>1.</w:t>
      </w:r>
      <w:r>
        <w:rPr>
          <w:rFonts w:hint="eastAsia" w:ascii="仿宋" w:hAnsi="仿宋" w:eastAsia="仿宋" w:cs="仿宋"/>
          <w:color w:val="000000"/>
          <w:sz w:val="24"/>
          <w:highlight w:val="none"/>
        </w:rPr>
        <w:t>提高农民的生产技术水平，增加农产品的产量和质量</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推广先进的农业生产技术，提高农业现代化水平</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培养农民的创新意识和经营能力，提升农业经济效益</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加强农民职业培训，提高农民的就业竞争力。</w:t>
      </w:r>
    </w:p>
    <w:p w14:paraId="7744668B">
      <w:pPr>
        <w:keepNext w:val="0"/>
        <w:keepLines w:val="0"/>
        <w:pageBreakBefore w:val="0"/>
        <w:widowControl/>
        <w:wordWrap/>
        <w:overflowPunct/>
        <w:topLinePunct w:val="0"/>
        <w:bidi w:val="0"/>
        <w:spacing w:line="360" w:lineRule="auto"/>
        <w:rPr>
          <w:rFonts w:hint="eastAsia" w:ascii="仿宋" w:hAnsi="仿宋" w:eastAsia="仿宋" w:cs="仿宋"/>
          <w:b/>
          <w:bCs w:val="0"/>
          <w:color w:val="auto"/>
          <w:spacing w:val="1"/>
          <w:sz w:val="24"/>
          <w:szCs w:val="24"/>
          <w:highlight w:val="none"/>
          <w:rtl w:val="0"/>
          <w:cs w:val="0"/>
          <w:lang w:val="en-US" w:eastAsia="zh-CN"/>
        </w:rPr>
      </w:pPr>
      <w:r>
        <w:rPr>
          <w:rFonts w:hint="eastAsia" w:ascii="仿宋" w:hAnsi="仿宋" w:eastAsia="仿宋" w:cs="仿宋"/>
          <w:b/>
          <w:bCs w:val="0"/>
          <w:color w:val="auto"/>
          <w:spacing w:val="1"/>
          <w:sz w:val="24"/>
          <w:szCs w:val="24"/>
          <w:highlight w:val="none"/>
          <w:rtl w:val="0"/>
          <w:cs w:val="0"/>
          <w:lang w:val="en-US" w:eastAsia="zh-CN"/>
        </w:rPr>
        <w:t>培训要求：</w:t>
      </w:r>
    </w:p>
    <w:p w14:paraId="02A4D671">
      <w:pPr>
        <w:keepNext w:val="0"/>
        <w:keepLines w:val="0"/>
        <w:pageBreakBefore w:val="0"/>
        <w:widowControl/>
        <w:wordWrap/>
        <w:overflowPunct/>
        <w:topLinePunct w:val="0"/>
        <w:bidi w:val="0"/>
        <w:spacing w:line="360" w:lineRule="auto"/>
        <w:ind w:firstLine="482" w:firstLineChars="200"/>
        <w:rPr>
          <w:rFonts w:hint="eastAsia" w:ascii="仿宋" w:hAnsi="仿宋" w:eastAsia="仿宋" w:cs="仿宋"/>
          <w:b w:val="0"/>
          <w:bCs w:val="0"/>
          <w:color w:val="000000"/>
          <w:sz w:val="24"/>
          <w:szCs w:val="24"/>
          <w:highlight w:val="none"/>
        </w:rPr>
      </w:pP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一）</w:t>
      </w:r>
      <w:r>
        <w:rPr>
          <w:rFonts w:hint="eastAsia" w:ascii="仿宋" w:hAnsi="仿宋" w:eastAsia="仿宋" w:cs="仿宋"/>
          <w:b/>
          <w:bCs/>
          <w:color w:val="000000"/>
          <w:sz w:val="24"/>
          <w:szCs w:val="24"/>
          <w:highlight w:val="none"/>
        </w:rPr>
        <w:t>专业技能培训：</w:t>
      </w:r>
      <w:r>
        <w:rPr>
          <w:rFonts w:hint="eastAsia" w:ascii="仿宋" w:hAnsi="仿宋" w:eastAsia="仿宋" w:cs="仿宋"/>
          <w:b w:val="0"/>
          <w:bCs w:val="0"/>
          <w:color w:val="000000"/>
          <w:sz w:val="24"/>
          <w:szCs w:val="24"/>
          <w:highlight w:val="none"/>
        </w:rPr>
        <w:t>组织农民参与种植技术、养殖技术、农机作业等方面的培训，教授先进的农业生产技术和管理经验，并结合实际案例进行讲解和示范。</w:t>
      </w:r>
    </w:p>
    <w:p w14:paraId="097EEC7C">
      <w:pPr>
        <w:keepNext w:val="0"/>
        <w:keepLines w:val="0"/>
        <w:pageBreakBefore w:val="0"/>
        <w:widowControl/>
        <w:wordWrap/>
        <w:overflowPunct/>
        <w:topLinePunct w:val="0"/>
        <w:bidi w:val="0"/>
        <w:spacing w:line="360" w:lineRule="auto"/>
        <w:ind w:firstLine="482" w:firstLineChars="200"/>
        <w:rPr>
          <w:rFonts w:hint="eastAsia" w:ascii="仿宋" w:hAnsi="仿宋" w:eastAsia="仿宋" w:cs="仿宋"/>
          <w:b w:val="0"/>
          <w:bCs w:val="0"/>
          <w:color w:val="000000"/>
          <w:sz w:val="24"/>
          <w:szCs w:val="24"/>
          <w:highlight w:val="none"/>
        </w:rPr>
      </w:pP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二）</w:t>
      </w:r>
      <w:r>
        <w:rPr>
          <w:rFonts w:hint="eastAsia" w:ascii="仿宋" w:hAnsi="仿宋" w:eastAsia="仿宋" w:cs="仿宋"/>
          <w:b/>
          <w:bCs/>
          <w:color w:val="000000"/>
          <w:sz w:val="24"/>
          <w:szCs w:val="24"/>
          <w:highlight w:val="none"/>
          <w:lang w:eastAsia="zh-CN"/>
        </w:rPr>
        <w:t>安全生产培训：</w:t>
      </w:r>
      <w:r>
        <w:rPr>
          <w:rFonts w:hint="eastAsia" w:ascii="仿宋" w:hAnsi="仿宋" w:eastAsia="仿宋" w:cs="仿宋"/>
          <w:b w:val="0"/>
          <w:bCs w:val="0"/>
          <w:color w:val="000000"/>
          <w:sz w:val="24"/>
          <w:szCs w:val="24"/>
          <w:highlight w:val="none"/>
        </w:rPr>
        <w:t>组织安全生产培训班，教育农民正确使用农机农具、防范农药和化肥的安全使用方法，加强农业生产的安全防范意识。</w:t>
      </w:r>
    </w:p>
    <w:p w14:paraId="22B19E90">
      <w:pPr>
        <w:keepNext w:val="0"/>
        <w:keepLines w:val="0"/>
        <w:pageBreakBefore w:val="0"/>
        <w:widowControl/>
        <w:wordWrap/>
        <w:overflowPunct/>
        <w:topLinePunct w:val="0"/>
        <w:bidi w:val="0"/>
        <w:spacing w:line="360" w:lineRule="auto"/>
        <w:ind w:firstLine="482" w:firstLineChars="200"/>
        <w:rPr>
          <w:rFonts w:hint="eastAsia" w:ascii="仿宋" w:hAnsi="仿宋" w:eastAsia="仿宋" w:cs="仿宋"/>
          <w:sz w:val="24"/>
          <w:szCs w:val="24"/>
          <w:highlight w:val="none"/>
        </w:rPr>
      </w:pP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三）</w:t>
      </w:r>
      <w:r>
        <w:rPr>
          <w:rFonts w:hint="eastAsia" w:ascii="仿宋" w:hAnsi="仿宋" w:eastAsia="仿宋" w:cs="仿宋"/>
          <w:b/>
          <w:bCs/>
          <w:sz w:val="24"/>
          <w:szCs w:val="24"/>
          <w:highlight w:val="none"/>
          <w:lang w:val="en-US" w:eastAsia="zh-CN"/>
        </w:rPr>
        <w:t>林果</w:t>
      </w:r>
      <w:r>
        <w:rPr>
          <w:rFonts w:hint="eastAsia" w:ascii="仿宋" w:hAnsi="仿宋" w:eastAsia="仿宋" w:cs="仿宋"/>
          <w:b/>
          <w:bCs/>
          <w:sz w:val="24"/>
          <w:szCs w:val="24"/>
          <w:highlight w:val="none"/>
        </w:rPr>
        <w:t>产业</w:t>
      </w:r>
      <w:r>
        <w:rPr>
          <w:rFonts w:hint="eastAsia" w:ascii="仿宋" w:hAnsi="仿宋" w:eastAsia="仿宋" w:cs="仿宋"/>
          <w:b/>
          <w:bCs/>
          <w:sz w:val="24"/>
          <w:szCs w:val="24"/>
          <w:highlight w:val="none"/>
          <w:lang w:val="en-US" w:eastAsia="zh-CN"/>
        </w:rPr>
        <w:t>提质增效：</w:t>
      </w:r>
      <w:r>
        <w:rPr>
          <w:rFonts w:hint="eastAsia" w:ascii="仿宋" w:hAnsi="仿宋" w:eastAsia="仿宋" w:cs="仿宋"/>
          <w:sz w:val="24"/>
          <w:szCs w:val="24"/>
          <w:highlight w:val="none"/>
        </w:rPr>
        <w:t>林果业作为乡村重要的产业类型，其高质量发展能够增加就业岗位、提高农民收入，还能带动诸如果品加工、包装、运输等上下游产业协同发展，繁荣乡村经济，促进乡村在产业、生态、人才等多方面实现振兴。</w:t>
      </w:r>
    </w:p>
    <w:p w14:paraId="0DB1C786">
      <w:pPr>
        <w:pStyle w:val="7"/>
        <w:numPr>
          <w:ilvl w:val="0"/>
          <w:numId w:val="0"/>
        </w:numPr>
        <w:tabs>
          <w:tab w:val="left" w:pos="567"/>
        </w:tabs>
        <w:ind w:firstLine="482" w:firstLineChars="200"/>
        <w:rPr>
          <w:rFonts w:hint="eastAsia" w:ascii="仿宋" w:hAnsi="仿宋" w:eastAsia="仿宋" w:cs="仿宋"/>
          <w:b w:val="0"/>
          <w:bCs w:val="0"/>
          <w:color w:val="000000"/>
          <w:sz w:val="24"/>
          <w:szCs w:val="24"/>
          <w:highlight w:val="none"/>
        </w:rPr>
      </w:pP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lang w:eastAsia="zh-CN"/>
        </w:rPr>
        <w:t>现代农业科技推广：</w:t>
      </w:r>
      <w:r>
        <w:rPr>
          <w:rFonts w:hint="eastAsia" w:ascii="仿宋" w:hAnsi="仿宋" w:eastAsia="仿宋" w:cs="仿宋"/>
          <w:b w:val="0"/>
          <w:bCs w:val="0"/>
          <w:color w:val="000000"/>
          <w:sz w:val="24"/>
          <w:szCs w:val="24"/>
          <w:highlight w:val="none"/>
        </w:rPr>
        <w:t>组织农民参观现代化农业示范园区和科技农场，学习和了解最新的农业科技成果，推广应用先进的农业技术。</w:t>
      </w:r>
    </w:p>
    <w:p w14:paraId="39F33B4E">
      <w:pPr>
        <w:pStyle w:val="7"/>
        <w:numPr>
          <w:ilvl w:val="0"/>
          <w:numId w:val="0"/>
        </w:numPr>
        <w:tabs>
          <w:tab w:val="left" w:pos="567"/>
        </w:tabs>
        <w:rPr>
          <w:rFonts w:hint="eastAsia" w:ascii="仿宋" w:hAnsi="仿宋" w:eastAsia="仿宋" w:cs="仿宋"/>
          <w:b/>
          <w:bCs w:val="0"/>
          <w:color w:val="auto"/>
          <w:spacing w:val="1"/>
          <w:sz w:val="24"/>
          <w:szCs w:val="24"/>
          <w:highlight w:val="none"/>
          <w:rtl w:val="0"/>
          <w:cs w:val="0"/>
          <w:lang w:val="en-US" w:eastAsia="zh-CN"/>
        </w:rPr>
      </w:pPr>
      <w:r>
        <w:rPr>
          <w:rFonts w:hint="eastAsia" w:ascii="仿宋" w:hAnsi="仿宋" w:eastAsia="仿宋" w:cs="仿宋"/>
          <w:b/>
          <w:bCs w:val="0"/>
          <w:color w:val="auto"/>
          <w:spacing w:val="1"/>
          <w:sz w:val="24"/>
          <w:szCs w:val="24"/>
          <w:highlight w:val="none"/>
          <w:rtl w:val="0"/>
          <w:cs w:val="0"/>
          <w:lang w:val="en-US" w:eastAsia="zh-CN"/>
        </w:rPr>
        <w:t>履约验收</w:t>
      </w:r>
    </w:p>
    <w:p w14:paraId="21B559B5">
      <w:pPr>
        <w:keepNext w:val="0"/>
        <w:keepLines w:val="0"/>
        <w:pageBreakBefore w:val="0"/>
        <w:widowControl/>
        <w:wordWrap/>
        <w:overflowPunct/>
        <w:topLinePunct w:val="0"/>
        <w:bidi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根据招标文件、中标人的投标文件以及合同中规定的技术、服务、安全标准组织对供应商履约情况进行验收，并出具验收书。验收书应当包括培训方案、课程、资金安排、实际师资情况</w:t>
      </w:r>
      <w:r>
        <w:rPr>
          <w:rFonts w:hint="eastAsia" w:ascii="仿宋" w:hAnsi="仿宋" w:eastAsia="仿宋" w:cs="仿宋"/>
          <w:sz w:val="24"/>
          <w:szCs w:val="24"/>
          <w:highlight w:val="none"/>
          <w:lang w:val="en-US" w:eastAsia="zh-CN"/>
        </w:rPr>
        <w:t>与</w:t>
      </w:r>
      <w:r>
        <w:rPr>
          <w:rFonts w:hint="eastAsia" w:ascii="仿宋" w:hAnsi="仿宋" w:eastAsia="仿宋" w:cs="仿宋"/>
          <w:sz w:val="24"/>
          <w:szCs w:val="24"/>
          <w:highlight w:val="none"/>
        </w:rPr>
        <w:t>中标文件是否一致等服务的履约情况。验收合格后在验收报告单上签字盖章。</w:t>
      </w:r>
    </w:p>
    <w:p w14:paraId="7961D1D2">
      <w:pPr>
        <w:pStyle w:val="34"/>
        <w:ind w:left="0" w:leftChars="0" w:firstLine="0" w:firstLineChars="0"/>
        <w:rPr>
          <w:rFonts w:hint="eastAsia" w:ascii="仿宋" w:hAnsi="仿宋" w:eastAsia="仿宋" w:cs="仿宋"/>
          <w:b/>
          <w:bCs w:val="0"/>
          <w:snapToGrid w:val="0"/>
          <w:color w:val="auto"/>
          <w:spacing w:val="1"/>
          <w:kern w:val="0"/>
          <w:sz w:val="24"/>
          <w:szCs w:val="24"/>
          <w:highlight w:val="none"/>
          <w:rtl w:val="0"/>
          <w:cs w:val="0"/>
          <w:lang w:val="en-US" w:eastAsia="zh-CN" w:bidi="ar-SA"/>
        </w:rPr>
      </w:pPr>
      <w:r>
        <w:rPr>
          <w:rFonts w:hint="eastAsia" w:ascii="仿宋" w:hAnsi="仿宋" w:eastAsia="仿宋" w:cs="仿宋"/>
          <w:b/>
          <w:bCs w:val="0"/>
          <w:snapToGrid w:val="0"/>
          <w:color w:val="auto"/>
          <w:spacing w:val="1"/>
          <w:kern w:val="0"/>
          <w:sz w:val="24"/>
          <w:szCs w:val="24"/>
          <w:highlight w:val="none"/>
          <w:rtl w:val="0"/>
          <w:cs w:val="0"/>
          <w:lang w:val="en-US" w:eastAsia="zh-CN" w:bidi="ar-SA"/>
        </w:rPr>
        <w:t>其他要求</w:t>
      </w:r>
    </w:p>
    <w:p w14:paraId="069438E0">
      <w:pPr>
        <w:pStyle w:val="34"/>
        <w:ind w:left="0" w:leftChars="0" w:firstLine="486" w:firstLineChars="200"/>
        <w:rPr>
          <w:rFonts w:hint="eastAsia" w:ascii="仿宋" w:hAnsi="仿宋" w:eastAsia="仿宋" w:cs="仿宋"/>
          <w:sz w:val="24"/>
          <w:szCs w:val="24"/>
          <w:highlight w:val="none"/>
        </w:rPr>
      </w:pPr>
      <w:r>
        <w:rPr>
          <w:rFonts w:hint="eastAsia" w:ascii="仿宋" w:hAnsi="仿宋" w:eastAsia="仿宋" w:cs="仿宋"/>
          <w:b/>
          <w:bCs w:val="0"/>
          <w:snapToGrid w:val="0"/>
          <w:color w:val="auto"/>
          <w:spacing w:val="1"/>
          <w:kern w:val="0"/>
          <w:sz w:val="24"/>
          <w:szCs w:val="24"/>
          <w:highlight w:val="none"/>
          <w:rtl w:val="0"/>
          <w:cs w:val="0"/>
          <w:lang w:val="en-US" w:eastAsia="zh-CN" w:bidi="ar-SA"/>
        </w:rPr>
        <w:t>培训期间产生的住宿费、伙食费、场地费、教师费、车辆费以及学员所需的必需品等一切与本项目相关费用均由中标方承担。</w:t>
      </w:r>
    </w:p>
    <w:p w14:paraId="072691DD">
      <w:pPr>
        <w:keepNext w:val="0"/>
        <w:keepLines w:val="0"/>
        <w:pageBreakBefore w:val="0"/>
        <w:widowControl/>
        <w:wordWrap/>
        <w:overflowPunct/>
        <w:topLinePunct w:val="0"/>
        <w:bidi w:val="0"/>
        <w:spacing w:line="360" w:lineRule="auto"/>
        <w:ind w:firstLine="480" w:firstLineChars="200"/>
        <w:rPr>
          <w:rFonts w:hint="eastAsia" w:ascii="仿宋" w:hAnsi="仿宋" w:eastAsia="仿宋" w:cs="仿宋"/>
          <w:sz w:val="24"/>
          <w:szCs w:val="24"/>
          <w:highlight w:val="none"/>
        </w:rPr>
      </w:pPr>
    </w:p>
    <w:p w14:paraId="05099374">
      <w:pPr>
        <w:keepNext w:val="0"/>
        <w:keepLines w:val="0"/>
        <w:pageBreakBefore w:val="0"/>
        <w:widowControl/>
        <w:wordWrap/>
        <w:overflowPunct/>
        <w:topLinePunct w:val="0"/>
        <w:bidi w:val="0"/>
        <w:spacing w:line="360" w:lineRule="auto"/>
        <w:ind w:firstLine="480" w:firstLineChars="200"/>
        <w:rPr>
          <w:rFonts w:hint="eastAsia" w:ascii="仿宋" w:hAnsi="仿宋" w:eastAsia="仿宋" w:cs="仿宋"/>
          <w:sz w:val="24"/>
          <w:szCs w:val="24"/>
          <w:highlight w:val="none"/>
        </w:rPr>
      </w:pPr>
    </w:p>
    <w:p w14:paraId="2C8070D3">
      <w:pPr>
        <w:keepNext w:val="0"/>
        <w:keepLines w:val="0"/>
        <w:pageBreakBefore w:val="0"/>
        <w:widowControl/>
        <w:wordWrap/>
        <w:overflowPunct/>
        <w:topLinePunct w:val="0"/>
        <w:bidi w:val="0"/>
        <w:spacing w:line="360" w:lineRule="auto"/>
        <w:ind w:firstLine="480" w:firstLineChars="200"/>
        <w:rPr>
          <w:rFonts w:hint="eastAsia" w:ascii="仿宋" w:hAnsi="仿宋" w:eastAsia="仿宋" w:cs="仿宋"/>
          <w:sz w:val="24"/>
          <w:szCs w:val="24"/>
          <w:highlight w:val="none"/>
        </w:rPr>
      </w:pPr>
    </w:p>
    <w:p w14:paraId="34C6466B">
      <w:pPr>
        <w:keepNext w:val="0"/>
        <w:keepLines w:val="0"/>
        <w:pageBreakBefore w:val="0"/>
        <w:widowControl/>
        <w:wordWrap/>
        <w:overflowPunct/>
        <w:topLinePunct w:val="0"/>
        <w:bidi w:val="0"/>
        <w:spacing w:line="360" w:lineRule="auto"/>
        <w:ind w:firstLine="480" w:firstLineChars="200"/>
        <w:rPr>
          <w:rFonts w:hint="eastAsia" w:ascii="仿宋" w:hAnsi="仿宋" w:eastAsia="仿宋" w:cs="仿宋"/>
          <w:sz w:val="24"/>
          <w:szCs w:val="24"/>
          <w:highlight w:val="none"/>
        </w:rPr>
      </w:pPr>
    </w:p>
    <w:p w14:paraId="45948766">
      <w:pPr>
        <w:keepNext w:val="0"/>
        <w:keepLines w:val="0"/>
        <w:pageBreakBefore w:val="0"/>
        <w:widowControl/>
        <w:wordWrap/>
        <w:overflowPunct/>
        <w:topLinePunct w:val="0"/>
        <w:bidi w:val="0"/>
        <w:spacing w:line="360" w:lineRule="auto"/>
        <w:ind w:firstLine="480" w:firstLineChars="200"/>
        <w:rPr>
          <w:rFonts w:hint="eastAsia" w:ascii="仿宋" w:hAnsi="仿宋" w:eastAsia="仿宋" w:cs="仿宋"/>
          <w:sz w:val="24"/>
          <w:szCs w:val="24"/>
          <w:highlight w:val="none"/>
        </w:rPr>
      </w:pPr>
    </w:p>
    <w:p w14:paraId="339A4D4F">
      <w:pPr>
        <w:keepNext w:val="0"/>
        <w:keepLines w:val="0"/>
        <w:pageBreakBefore w:val="0"/>
        <w:widowControl/>
        <w:wordWrap/>
        <w:overflowPunct/>
        <w:topLinePunct w:val="0"/>
        <w:bidi w:val="0"/>
        <w:spacing w:line="360" w:lineRule="auto"/>
        <w:ind w:firstLine="480" w:firstLineChars="200"/>
        <w:rPr>
          <w:rFonts w:hint="eastAsia" w:ascii="仿宋" w:hAnsi="仿宋" w:eastAsia="仿宋" w:cs="仿宋"/>
          <w:sz w:val="24"/>
          <w:szCs w:val="24"/>
          <w:highlight w:val="none"/>
        </w:rPr>
      </w:pPr>
    </w:p>
    <w:p w14:paraId="599B3488">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br w:type="page"/>
      </w:r>
    </w:p>
    <w:p w14:paraId="2596038B">
      <w:pPr>
        <w:pStyle w:val="3"/>
        <w:pageBreakBefore w:val="0"/>
        <w:widowControl w:val="0"/>
        <w:numPr>
          <w:ilvl w:val="0"/>
          <w:numId w:val="0"/>
        </w:numPr>
        <w:tabs>
          <w:tab w:val="left" w:pos="0"/>
        </w:tabs>
        <w:kinsoku/>
        <w:wordWrap/>
        <w:overflowPunct/>
        <w:topLinePunct w:val="0"/>
        <w:bidi w:val="0"/>
        <w:snapToGrid/>
        <w:spacing w:before="0" w:after="0" w:line="440" w:lineRule="exact"/>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第</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章</w:t>
      </w:r>
      <w:r>
        <w:rPr>
          <w:rFonts w:hint="eastAsia" w:ascii="仿宋" w:hAnsi="仿宋" w:eastAsia="仿宋" w:cs="仿宋"/>
          <w:color w:val="auto"/>
          <w:highlight w:val="none"/>
        </w:rPr>
        <w:t>评标方法和标准</w:t>
      </w:r>
      <w:bookmarkEnd w:id="144"/>
      <w:bookmarkEnd w:id="145"/>
    </w:p>
    <w:p w14:paraId="7F4A2FBB">
      <w:pPr>
        <w:numPr>
          <w:ilvl w:val="0"/>
          <w:numId w:val="0"/>
        </w:numPr>
        <w:rPr>
          <w:rFonts w:hint="eastAsia" w:ascii="仿宋" w:hAnsi="仿宋" w:eastAsia="仿宋" w:cs="仿宋"/>
          <w:color w:val="auto"/>
          <w:highlight w:val="none"/>
        </w:rPr>
      </w:pPr>
    </w:p>
    <w:p w14:paraId="1BC5832E">
      <w:pPr>
        <w:pStyle w:val="7"/>
        <w:keepNext w:val="0"/>
        <w:keepLines w:val="0"/>
        <w:pageBreakBefore w:val="0"/>
        <w:widowControl w:val="0"/>
        <w:kinsoku/>
        <w:wordWrap/>
        <w:overflowPunct/>
        <w:topLinePunct w:val="0"/>
        <w:autoSpaceDE/>
        <w:autoSpaceDN/>
        <w:bidi w:val="0"/>
        <w:adjustRightInd/>
        <w:snapToGrid/>
        <w:spacing w:before="0" w:line="440" w:lineRule="exact"/>
        <w:ind w:firstLine="482" w:firstLineChars="200"/>
        <w:textAlignment w:val="auto"/>
        <w:rPr>
          <w:rFonts w:hint="eastAsia" w:ascii="仿宋" w:hAnsi="仿宋" w:eastAsia="仿宋" w:cs="仿宋"/>
          <w:b/>
          <w:bCs/>
          <w:color w:val="auto"/>
          <w:sz w:val="22"/>
          <w:szCs w:val="22"/>
          <w:highlight w:val="none"/>
          <w:u w:val="single"/>
        </w:rPr>
      </w:pPr>
      <w:r>
        <w:rPr>
          <w:rFonts w:hint="eastAsia" w:ascii="仿宋" w:hAnsi="仿宋" w:eastAsia="仿宋" w:cs="仿宋"/>
          <w:b/>
          <w:bCs/>
          <w:color w:val="auto"/>
          <w:sz w:val="24"/>
          <w:szCs w:val="24"/>
          <w:highlight w:val="none"/>
          <w:u w:val="single"/>
        </w:rPr>
        <w:t>本次评标采用综合评分法，即评委会在符合有效投标范畴且最大限度地满足招标文件实质性要求前提下，对投标人的价格、技术、商务三部分进行综合评审和独立评分。</w:t>
      </w:r>
    </w:p>
    <w:p w14:paraId="165535DD">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val="0"/>
          <w:bCs/>
          <w:color w:val="auto"/>
          <w:sz w:val="24"/>
          <w:szCs w:val="24"/>
          <w:highlight w:val="none"/>
        </w:rPr>
        <w:t>注：</w:t>
      </w:r>
      <w:r>
        <w:rPr>
          <w:rFonts w:hint="eastAsia" w:ascii="仿宋" w:hAnsi="仿宋" w:eastAsia="仿宋" w:cs="仿宋"/>
          <w:b w:val="0"/>
          <w:bCs/>
          <w:color w:val="auto"/>
          <w:sz w:val="24"/>
          <w:szCs w:val="24"/>
          <w:highlight w:val="none"/>
          <w:lang w:val="en-US" w:eastAsia="zh-CN"/>
        </w:rPr>
        <w:t>1.根据《《三部门联合发布关于促进残疾人就业政府采购政策的通知》（财库〔2017〕141号）和《政府采购促进中小企业发展管理办法》（财库〔2020〕46号）的规定，对满足价格扣除条件且在投标文件中提交了《投标人企业类型声明函》的投标人实行</w:t>
      </w:r>
      <w:r>
        <w:rPr>
          <w:rFonts w:hint="eastAsia" w:ascii="仿宋" w:hAnsi="仿宋" w:eastAsia="仿宋" w:cs="仿宋"/>
          <w:b w:val="0"/>
          <w:bCs/>
          <w:color w:val="auto"/>
          <w:sz w:val="24"/>
          <w:szCs w:val="24"/>
          <w:highlight w:val="none"/>
          <w:u w:val="single"/>
          <w:lang w:val="en-US" w:eastAsia="zh-CN"/>
        </w:rPr>
        <w:t>10%</w:t>
      </w:r>
      <w:r>
        <w:rPr>
          <w:rFonts w:hint="eastAsia" w:ascii="仿宋" w:hAnsi="仿宋" w:eastAsia="仿宋" w:cs="仿宋"/>
          <w:b w:val="0"/>
          <w:bCs/>
          <w:color w:val="auto"/>
          <w:sz w:val="24"/>
          <w:szCs w:val="24"/>
          <w:highlight w:val="none"/>
          <w:lang w:val="en-US" w:eastAsia="zh-CN"/>
        </w:rPr>
        <w:t>价格扣除制度，用扣除后的价格参与价格因素评审。对</w:t>
      </w:r>
      <w:r>
        <w:rPr>
          <w:rFonts w:hint="eastAsia" w:ascii="仿宋" w:hAnsi="仿宋" w:eastAsia="仿宋" w:cs="仿宋"/>
          <w:b w:val="0"/>
          <w:bCs/>
          <w:color w:val="auto"/>
          <w:sz w:val="24"/>
          <w:szCs w:val="24"/>
          <w:highlight w:val="none"/>
        </w:rPr>
        <w:t>于同时属于小微企业或残疾人福利性单位的，不重复进行投标报价扣除。</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本项目不适用</w:t>
      </w:r>
      <w:r>
        <w:rPr>
          <w:rFonts w:hint="eastAsia" w:ascii="仿宋" w:hAnsi="仿宋" w:eastAsia="仿宋" w:cs="仿宋"/>
          <w:b/>
          <w:bCs/>
          <w:color w:val="auto"/>
          <w:sz w:val="24"/>
          <w:szCs w:val="24"/>
          <w:highlight w:val="none"/>
          <w:lang w:eastAsia="zh-CN"/>
        </w:rPr>
        <w:t>）</w:t>
      </w:r>
    </w:p>
    <w:p w14:paraId="09CED5BF">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2.如采购人所采购产品为政府强制采购的节能产品，投标人所投产品的品牌及型号必须为清单中有效期内产品并提供证明文件，否则其投标将被认定为</w:t>
      </w:r>
      <w:r>
        <w:rPr>
          <w:rFonts w:hint="eastAsia" w:ascii="仿宋" w:hAnsi="仿宋" w:eastAsia="仿宋" w:cs="仿宋"/>
          <w:b/>
          <w:bCs w:val="0"/>
          <w:color w:val="auto"/>
          <w:sz w:val="24"/>
          <w:szCs w:val="24"/>
          <w:highlight w:val="none"/>
        </w:rPr>
        <w:t>投标无效</w:t>
      </w:r>
      <w:r>
        <w:rPr>
          <w:rFonts w:hint="eastAsia" w:ascii="仿宋" w:hAnsi="仿宋" w:eastAsia="仿宋" w:cs="仿宋"/>
          <w:b w:val="0"/>
          <w:bCs/>
          <w:color w:val="auto"/>
          <w:sz w:val="24"/>
          <w:szCs w:val="24"/>
          <w:highlight w:val="none"/>
        </w:rPr>
        <w:t>。</w:t>
      </w:r>
    </w:p>
    <w:p w14:paraId="65B005AB">
      <w:pPr>
        <w:pStyle w:val="7"/>
        <w:keepNext w:val="0"/>
        <w:keepLines w:val="0"/>
        <w:pageBreakBefore w:val="0"/>
        <w:widowControl w:val="0"/>
        <w:tabs>
          <w:tab w:val="left" w:pos="567"/>
        </w:tabs>
        <w:kinsoku/>
        <w:wordWrap/>
        <w:overflowPunct/>
        <w:topLinePunct w:val="0"/>
        <w:autoSpaceDE/>
        <w:autoSpaceDN/>
        <w:bidi w:val="0"/>
        <w:adjustRightInd/>
        <w:spacing w:line="336"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rPr>
        <w:t>.对创新产品或创新性企业的优惠措施为：</w:t>
      </w:r>
      <w:r>
        <w:rPr>
          <w:rFonts w:hint="eastAsia" w:ascii="仿宋" w:hAnsi="仿宋" w:eastAsia="仿宋" w:cs="仿宋"/>
          <w:b w:val="0"/>
          <w:bCs/>
          <w:color w:val="auto"/>
          <w:sz w:val="24"/>
          <w:szCs w:val="24"/>
          <w:highlight w:val="none"/>
          <w:lang w:val="en-US" w:eastAsia="zh-CN"/>
        </w:rPr>
        <w:t>所投产品应优先选择《关于印发节能产品政府采购品目清单的通知》（财库〔2019〕19号）、《关于印发环境标志产品政府采购品目清单的通知》（财库〔2019〕18号）目录内的产品。</w:t>
      </w:r>
    </w:p>
    <w:p w14:paraId="0C8865AE">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2"/>
          <w:sz w:val="24"/>
          <w:szCs w:val="24"/>
          <w:highlight w:val="none"/>
          <w:lang w:val="en-US" w:eastAsia="zh-CN" w:bidi="ar-SA"/>
        </w:rPr>
        <w:t>4.如发现下列情况之</w:t>
      </w:r>
      <w:r>
        <w:rPr>
          <w:rFonts w:hint="eastAsia" w:ascii="仿宋" w:hAnsi="仿宋" w:eastAsia="仿宋" w:cs="仿宋"/>
          <w:b w:val="0"/>
          <w:bCs/>
          <w:color w:val="auto"/>
          <w:sz w:val="24"/>
          <w:szCs w:val="24"/>
          <w:highlight w:val="none"/>
        </w:rPr>
        <w:t>一的，其投标将被认定为</w:t>
      </w:r>
      <w:r>
        <w:rPr>
          <w:rFonts w:hint="eastAsia" w:ascii="仿宋" w:hAnsi="仿宋" w:eastAsia="仿宋" w:cs="仿宋"/>
          <w:b/>
          <w:bCs w:val="0"/>
          <w:color w:val="auto"/>
          <w:sz w:val="24"/>
          <w:szCs w:val="24"/>
          <w:highlight w:val="none"/>
        </w:rPr>
        <w:t>投标无效：</w:t>
      </w:r>
    </w:p>
    <w:p w14:paraId="09AFDEE9">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（1）单位负责人为同一人或者存在直接控股、管理关系的不同投标人，其相关投标将被认定为</w:t>
      </w:r>
      <w:r>
        <w:rPr>
          <w:rFonts w:hint="eastAsia" w:ascii="仿宋" w:hAnsi="仿宋" w:eastAsia="仿宋" w:cs="仿宋"/>
          <w:b/>
          <w:bCs w:val="0"/>
          <w:color w:val="auto"/>
          <w:sz w:val="24"/>
          <w:szCs w:val="24"/>
          <w:highlight w:val="none"/>
          <w:lang w:val="en-US" w:eastAsia="zh-CN"/>
        </w:rPr>
        <w:t>投标无效</w:t>
      </w:r>
      <w:r>
        <w:rPr>
          <w:rFonts w:hint="eastAsia" w:ascii="仿宋" w:hAnsi="仿宋" w:eastAsia="仿宋" w:cs="仿宋"/>
          <w:b w:val="0"/>
          <w:bCs/>
          <w:color w:val="auto"/>
          <w:sz w:val="24"/>
          <w:szCs w:val="24"/>
          <w:highlight w:val="none"/>
          <w:lang w:val="en-US" w:eastAsia="zh-CN"/>
        </w:rPr>
        <w:t>。</w:t>
      </w:r>
    </w:p>
    <w:p w14:paraId="168E8AD3">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（2）若投标人须知资料表中未写明允许采购进口产品，如投标人所投产品为进口产品，其投标将被认定为</w:t>
      </w:r>
      <w:r>
        <w:rPr>
          <w:rFonts w:hint="eastAsia" w:ascii="仿宋" w:hAnsi="仿宋" w:eastAsia="仿宋" w:cs="仿宋"/>
          <w:b/>
          <w:bCs w:val="0"/>
          <w:color w:val="auto"/>
          <w:sz w:val="24"/>
          <w:szCs w:val="24"/>
          <w:highlight w:val="none"/>
          <w:lang w:val="en-US" w:eastAsia="zh-CN"/>
        </w:rPr>
        <w:t>投标无效</w:t>
      </w:r>
      <w:r>
        <w:rPr>
          <w:rFonts w:hint="eastAsia" w:ascii="仿宋" w:hAnsi="仿宋" w:eastAsia="仿宋" w:cs="仿宋"/>
          <w:b w:val="0"/>
          <w:bCs/>
          <w:color w:val="auto"/>
          <w:sz w:val="24"/>
          <w:szCs w:val="24"/>
          <w:highlight w:val="none"/>
          <w:lang w:val="en-US" w:eastAsia="zh-CN"/>
        </w:rPr>
        <w:t>。</w:t>
      </w:r>
    </w:p>
    <w:p w14:paraId="463D43DE">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（3）为本项目提供过整体设计、规范编制或者项目管理、监理、检测等服务的投标人，不得再参加本项目上述服务以外的其他采购活动。否则其投标将被认定为</w:t>
      </w:r>
      <w:r>
        <w:rPr>
          <w:rFonts w:hint="eastAsia" w:ascii="仿宋" w:hAnsi="仿宋" w:eastAsia="仿宋" w:cs="仿宋"/>
          <w:b/>
          <w:bCs w:val="0"/>
          <w:color w:val="auto"/>
          <w:sz w:val="24"/>
          <w:szCs w:val="24"/>
          <w:highlight w:val="none"/>
          <w:lang w:val="en-US" w:eastAsia="zh-CN"/>
        </w:rPr>
        <w:t>投标无效</w:t>
      </w:r>
      <w:r>
        <w:rPr>
          <w:rFonts w:hint="eastAsia" w:ascii="仿宋" w:hAnsi="仿宋" w:eastAsia="仿宋" w:cs="仿宋"/>
          <w:b w:val="0"/>
          <w:bCs/>
          <w:color w:val="auto"/>
          <w:sz w:val="24"/>
          <w:szCs w:val="24"/>
          <w:highlight w:val="none"/>
          <w:lang w:val="en-US" w:eastAsia="zh-CN"/>
        </w:rPr>
        <w:t>。</w:t>
      </w:r>
    </w:p>
    <w:p w14:paraId="6A748169">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投标人在投标过程中不得向采购人提供、给予任何有价值的物品，影响其正常决策行为。一经发现，其将被认定为</w:t>
      </w:r>
      <w:r>
        <w:rPr>
          <w:rFonts w:hint="eastAsia" w:ascii="仿宋" w:hAnsi="仿宋" w:eastAsia="仿宋" w:cs="仿宋"/>
          <w:b/>
          <w:bCs w:val="0"/>
          <w:color w:val="auto"/>
          <w:sz w:val="24"/>
          <w:szCs w:val="24"/>
          <w:highlight w:val="none"/>
          <w:lang w:val="en-US" w:eastAsia="zh-CN"/>
        </w:rPr>
        <w:t>投标无效</w:t>
      </w:r>
      <w:r>
        <w:rPr>
          <w:rFonts w:hint="eastAsia" w:ascii="仿宋" w:hAnsi="仿宋" w:eastAsia="仿宋" w:cs="仿宋"/>
          <w:b w:val="0"/>
          <w:bCs/>
          <w:color w:val="auto"/>
          <w:sz w:val="24"/>
          <w:szCs w:val="24"/>
          <w:highlight w:val="none"/>
          <w:lang w:val="en-US" w:eastAsia="zh-CN"/>
        </w:rPr>
        <w:t>。</w:t>
      </w:r>
    </w:p>
    <w:p w14:paraId="2FA03EC9">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（4）投标人报价超过招标文件规定的预算金额或者分项、分包最高限价的，其投标将被认定为</w:t>
      </w:r>
      <w:r>
        <w:rPr>
          <w:rFonts w:hint="eastAsia" w:ascii="仿宋" w:hAnsi="仿宋" w:eastAsia="仿宋" w:cs="仿宋"/>
          <w:b/>
          <w:bCs w:val="0"/>
          <w:color w:val="auto"/>
          <w:sz w:val="24"/>
          <w:szCs w:val="24"/>
          <w:highlight w:val="none"/>
          <w:lang w:val="en-US" w:eastAsia="zh-CN"/>
        </w:rPr>
        <w:t>投标无效</w:t>
      </w:r>
      <w:r>
        <w:rPr>
          <w:rFonts w:hint="eastAsia" w:ascii="仿宋" w:hAnsi="仿宋" w:eastAsia="仿宋" w:cs="仿宋"/>
          <w:b w:val="0"/>
          <w:bCs/>
          <w:color w:val="auto"/>
          <w:sz w:val="24"/>
          <w:szCs w:val="24"/>
          <w:highlight w:val="none"/>
          <w:lang w:val="en-US" w:eastAsia="zh-CN"/>
        </w:rPr>
        <w:t>。</w:t>
      </w:r>
    </w:p>
    <w:p w14:paraId="06CDF132">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仿宋" w:hAnsi="仿宋" w:eastAsia="仿宋" w:cs="仿宋"/>
          <w:b/>
          <w:bCs w:val="0"/>
          <w:color w:val="auto"/>
          <w:sz w:val="24"/>
          <w:szCs w:val="24"/>
          <w:highlight w:val="none"/>
          <w:lang w:val="en-US" w:eastAsia="zh-CN"/>
        </w:rPr>
        <w:t>投标无效</w:t>
      </w:r>
      <w:r>
        <w:rPr>
          <w:rFonts w:hint="eastAsia" w:ascii="仿宋" w:hAnsi="仿宋" w:eastAsia="仿宋" w:cs="仿宋"/>
          <w:b w:val="0"/>
          <w:bCs/>
          <w:color w:val="auto"/>
          <w:sz w:val="24"/>
          <w:szCs w:val="24"/>
          <w:highlight w:val="none"/>
          <w:lang w:val="en-US" w:eastAsia="zh-CN"/>
        </w:rPr>
        <w:t>。</w:t>
      </w:r>
    </w:p>
    <w:p w14:paraId="374B55B1">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（6）投标人应当对所投分包招标文件中“服务需求”所列的所有内容进行投标，如仅响应某标项一中的部分内容，其该包投标将被认定为</w:t>
      </w:r>
      <w:r>
        <w:rPr>
          <w:rFonts w:hint="eastAsia" w:ascii="仿宋" w:hAnsi="仿宋" w:eastAsia="仿宋" w:cs="仿宋"/>
          <w:b/>
          <w:bCs w:val="0"/>
          <w:color w:val="auto"/>
          <w:sz w:val="24"/>
          <w:szCs w:val="24"/>
          <w:highlight w:val="none"/>
          <w:lang w:val="en-US" w:eastAsia="zh-CN"/>
        </w:rPr>
        <w:t>投标无效</w:t>
      </w:r>
      <w:r>
        <w:rPr>
          <w:rFonts w:hint="eastAsia" w:ascii="仿宋" w:hAnsi="仿宋" w:eastAsia="仿宋" w:cs="仿宋"/>
          <w:b w:val="0"/>
          <w:bCs/>
          <w:color w:val="auto"/>
          <w:sz w:val="24"/>
          <w:szCs w:val="24"/>
          <w:highlight w:val="none"/>
          <w:lang w:val="en-US" w:eastAsia="zh-CN"/>
        </w:rPr>
        <w:t>。</w:t>
      </w:r>
    </w:p>
    <w:p w14:paraId="4DE70B40">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（7）投标人未按本须知第12.1和12.3条规定提交投标保证金的，其投标将被认定为</w:t>
      </w:r>
      <w:r>
        <w:rPr>
          <w:rFonts w:hint="eastAsia" w:ascii="仿宋" w:hAnsi="仿宋" w:eastAsia="仿宋" w:cs="仿宋"/>
          <w:b/>
          <w:bCs w:val="0"/>
          <w:color w:val="auto"/>
          <w:sz w:val="24"/>
          <w:szCs w:val="24"/>
          <w:highlight w:val="none"/>
          <w:lang w:val="en-US" w:eastAsia="zh-CN"/>
        </w:rPr>
        <w:t>投标无效</w:t>
      </w:r>
      <w:r>
        <w:rPr>
          <w:rFonts w:hint="eastAsia" w:ascii="仿宋" w:hAnsi="仿宋" w:eastAsia="仿宋" w:cs="仿宋"/>
          <w:b w:val="0"/>
          <w:bCs/>
          <w:color w:val="auto"/>
          <w:sz w:val="24"/>
          <w:szCs w:val="24"/>
          <w:highlight w:val="none"/>
          <w:lang w:val="en-US" w:eastAsia="zh-CN"/>
        </w:rPr>
        <w:t>。</w:t>
      </w:r>
    </w:p>
    <w:p w14:paraId="68907B2B">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（8）投标应在投标人须知资料表中规定时间内保持有效。投标有效期不满足要求的投标，其投标将被认定为</w:t>
      </w:r>
      <w:r>
        <w:rPr>
          <w:rFonts w:hint="eastAsia" w:ascii="仿宋" w:hAnsi="仿宋" w:eastAsia="仿宋" w:cs="仿宋"/>
          <w:b/>
          <w:bCs w:val="0"/>
          <w:color w:val="auto"/>
          <w:sz w:val="24"/>
          <w:szCs w:val="24"/>
          <w:highlight w:val="none"/>
          <w:lang w:val="en-US" w:eastAsia="zh-CN"/>
        </w:rPr>
        <w:t>投标无效</w:t>
      </w:r>
      <w:r>
        <w:rPr>
          <w:rFonts w:hint="eastAsia" w:ascii="仿宋" w:hAnsi="仿宋" w:eastAsia="仿宋" w:cs="仿宋"/>
          <w:b w:val="0"/>
          <w:bCs/>
          <w:color w:val="auto"/>
          <w:sz w:val="24"/>
          <w:szCs w:val="24"/>
          <w:highlight w:val="none"/>
          <w:lang w:val="en-US" w:eastAsia="zh-CN"/>
        </w:rPr>
        <w:t>。</w:t>
      </w:r>
    </w:p>
    <w:p w14:paraId="5D41C4EC">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（9）采购人或采购代理机构将在开标前1个工作日至投标截止后1小时的期间内查询投标人的信用记录。投标人存在不良信用记录的，其投标将被认定为</w:t>
      </w:r>
      <w:r>
        <w:rPr>
          <w:rFonts w:hint="eastAsia" w:ascii="仿宋" w:hAnsi="仿宋" w:eastAsia="仿宋" w:cs="仿宋"/>
          <w:b/>
          <w:bCs w:val="0"/>
          <w:color w:val="auto"/>
          <w:sz w:val="24"/>
          <w:szCs w:val="24"/>
          <w:highlight w:val="none"/>
          <w:lang w:val="en-US" w:eastAsia="zh-CN"/>
        </w:rPr>
        <w:t>投标无效</w:t>
      </w:r>
      <w:r>
        <w:rPr>
          <w:rFonts w:hint="eastAsia" w:ascii="仿宋" w:hAnsi="仿宋" w:eastAsia="仿宋" w:cs="仿宋"/>
          <w:b w:val="0"/>
          <w:bCs/>
          <w:color w:val="auto"/>
          <w:sz w:val="24"/>
          <w:szCs w:val="24"/>
          <w:highlight w:val="none"/>
          <w:lang w:val="en-US" w:eastAsia="zh-CN"/>
        </w:rPr>
        <w:t>。</w:t>
      </w:r>
    </w:p>
    <w:p w14:paraId="353292CB">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10）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val="0"/>
          <w:color w:val="auto"/>
          <w:sz w:val="24"/>
          <w:szCs w:val="24"/>
          <w:highlight w:val="none"/>
          <w:lang w:val="en-US" w:eastAsia="zh-CN"/>
        </w:rPr>
        <w:t>投标无效</w:t>
      </w:r>
      <w:r>
        <w:rPr>
          <w:rFonts w:hint="eastAsia" w:ascii="仿宋" w:hAnsi="仿宋" w:eastAsia="仿宋" w:cs="仿宋"/>
          <w:b w:val="0"/>
          <w:bCs/>
          <w:color w:val="auto"/>
          <w:sz w:val="24"/>
          <w:szCs w:val="24"/>
          <w:highlight w:val="none"/>
          <w:lang w:val="en-US" w:eastAsia="zh-CN"/>
        </w:rPr>
        <w:t>。</w:t>
      </w:r>
    </w:p>
    <w:p w14:paraId="16B1A976">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（11）如发现下列情况之一的，其投标将被认定为</w:t>
      </w:r>
      <w:r>
        <w:rPr>
          <w:rFonts w:hint="eastAsia" w:ascii="仿宋" w:hAnsi="仿宋" w:eastAsia="仿宋" w:cs="仿宋"/>
          <w:b/>
          <w:bCs w:val="0"/>
          <w:color w:val="auto"/>
          <w:sz w:val="24"/>
          <w:szCs w:val="24"/>
          <w:highlight w:val="none"/>
          <w:lang w:val="en-US" w:eastAsia="zh-CN"/>
        </w:rPr>
        <w:t>投标无效</w:t>
      </w:r>
      <w:r>
        <w:rPr>
          <w:rFonts w:hint="eastAsia" w:ascii="仿宋" w:hAnsi="仿宋" w:eastAsia="仿宋" w:cs="仿宋"/>
          <w:b w:val="0"/>
          <w:bCs/>
          <w:color w:val="auto"/>
          <w:sz w:val="24"/>
          <w:szCs w:val="24"/>
          <w:highlight w:val="none"/>
          <w:lang w:val="en-US" w:eastAsia="zh-CN"/>
        </w:rPr>
        <w:t>：</w:t>
      </w:r>
    </w:p>
    <w:p w14:paraId="1A5A0A68">
      <w:pPr>
        <w:pStyle w:val="7"/>
        <w:keepNext w:val="0"/>
        <w:keepLines w:val="0"/>
        <w:pageBreakBefore w:val="0"/>
        <w:widowControl w:val="0"/>
        <w:kinsoku/>
        <w:wordWrap/>
        <w:overflowPunct/>
        <w:topLinePunct w:val="0"/>
        <w:autoSpaceDE/>
        <w:autoSpaceDN/>
        <w:bidi w:val="0"/>
        <w:adjustRightInd/>
        <w:snapToGrid/>
        <w:spacing w:before="0" w:line="360" w:lineRule="auto"/>
        <w:ind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未按招标文件规定的形式和金额提交投标保证金的；未按照招标文件规定要求签署、盖章的；未满足招标文件中技术条款的实质性要求；与其他投标人串通投标，或者与招标人串通投标；属于招标文件规定的其他投标无效情形；评标委员会认为投标人的报价明显低于其他通过符合性检查投标人的报价，有可能影响履约的，且投标人未按照规定证明其报价合理性的；投标文件含有采购人不能接受的附加条件的；不符合法规和招标文件中规定的其他实质性要求的。</w:t>
      </w:r>
    </w:p>
    <w:p w14:paraId="63FF7BE0">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5.开评标过程</w:t>
      </w:r>
    </w:p>
    <w:p w14:paraId="70952A5B">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（1）开标</w:t>
      </w:r>
    </w:p>
    <w:p w14:paraId="04C6769E">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按照招标文件要求，在投标截止时间之前，接收投标单位上传的投标文件，投标截止时间后不再接收投标单位上传的投标文件，投标人不足3家的，不得开标；开启监控设备，与会各位代表按指定的位置就座，并保持会场纪律，不得大声喧哗，不得随意走动，参会人员手机调至静音或关机状态，上交至指定手机收纳箱保管。</w:t>
      </w:r>
    </w:p>
    <w:p w14:paraId="7E7DC491">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第一项：请投标单位代表解密电子投标文件，解密时长30分钟。</w:t>
      </w:r>
    </w:p>
    <w:p w14:paraId="29BD231C">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第二项：由资格审查人员对各投标单位的资格要求进行审查。</w:t>
      </w:r>
    </w:p>
    <w:p w14:paraId="0D9DF1B6">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第三项：唱标，各投标单位对唱标人的报价有无疑异，如果没有疑异，请签字确认。</w:t>
      </w:r>
    </w:p>
    <w:p w14:paraId="0EEF20B7">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（2）评标</w:t>
      </w:r>
    </w:p>
    <w:p w14:paraId="59002D95">
      <w:pPr>
        <w:pStyle w:val="7"/>
        <w:keepNext w:val="0"/>
        <w:keepLines w:val="0"/>
        <w:pageBreakBefore w:val="0"/>
        <w:widowControl w:val="0"/>
        <w:kinsoku/>
        <w:wordWrap/>
        <w:overflowPunct/>
        <w:topLinePunct w:val="0"/>
        <w:autoSpaceDE/>
        <w:autoSpaceDN/>
        <w:bidi w:val="0"/>
        <w:adjustRightInd/>
        <w:snapToGrid/>
        <w:spacing w:before="0" w:line="360" w:lineRule="auto"/>
        <w:ind w:firstLine="392"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pacing w:val="-7"/>
          <w:highlight w:val="none"/>
        </w:rPr>
        <w:t>评标小组人数为</w:t>
      </w:r>
      <w:r>
        <w:rPr>
          <w:rFonts w:hint="eastAsia" w:ascii="仿宋" w:hAnsi="仿宋" w:eastAsia="仿宋" w:cs="仿宋"/>
          <w:color w:val="auto"/>
          <w:highlight w:val="none"/>
          <w:lang w:val="en-US" w:eastAsia="zh-CN"/>
        </w:rPr>
        <w:t>5</w:t>
      </w:r>
      <w:r>
        <w:rPr>
          <w:rFonts w:hint="eastAsia" w:ascii="仿宋" w:hAnsi="仿宋" w:eastAsia="仿宋" w:cs="仿宋"/>
          <w:color w:val="auto"/>
          <w:spacing w:val="-5"/>
          <w:highlight w:val="none"/>
        </w:rPr>
        <w:t>人组成，其中评审专家人数不得少于评标</w:t>
      </w:r>
      <w:r>
        <w:rPr>
          <w:rFonts w:hint="eastAsia" w:ascii="仿宋" w:hAnsi="仿宋" w:eastAsia="仿宋" w:cs="仿宋"/>
          <w:color w:val="auto"/>
          <w:spacing w:val="-12"/>
          <w:highlight w:val="none"/>
        </w:rPr>
        <w:t>小组成员总数的</w:t>
      </w:r>
      <w:r>
        <w:rPr>
          <w:rFonts w:hint="eastAsia" w:ascii="仿宋" w:hAnsi="仿宋" w:eastAsia="仿宋" w:cs="仿宋"/>
          <w:color w:val="auto"/>
          <w:highlight w:val="none"/>
        </w:rPr>
        <w:t>2/3</w:t>
      </w:r>
      <w:r>
        <w:rPr>
          <w:rFonts w:hint="eastAsia" w:ascii="仿宋" w:hAnsi="仿宋" w:eastAsia="仿宋" w:cs="仿宋"/>
          <w:color w:val="auto"/>
          <w:spacing w:val="-9"/>
          <w:highlight w:val="none"/>
        </w:rPr>
        <w:t>。</w:t>
      </w:r>
      <w:r>
        <w:rPr>
          <w:rFonts w:hint="eastAsia" w:ascii="仿宋" w:hAnsi="仿宋" w:eastAsia="仿宋" w:cs="仿宋"/>
          <w:b w:val="0"/>
          <w:bCs/>
          <w:color w:val="auto"/>
          <w:sz w:val="24"/>
          <w:szCs w:val="24"/>
          <w:highlight w:val="none"/>
          <w:lang w:val="en-US" w:eastAsia="zh-CN"/>
        </w:rPr>
        <w:t>按照招标文件要求，评审专家按时到达指定评标会议室，由专家评委推荐评标委员会组长，并宣读评标纪律、统一保管评委手机、签署《政府采购评审专家承诺书》，组织专家签到，开始评标，评审委员会依据投标文件内容及招标文件评审因素的量化指标对投标文件组织评审，评审期间评审专家需对评标内容严格保密，遵守评标保密纪律，遵守评审工作纪律，不得泄露评审文件、评审情况和评审中获悉的商业秘密，不许在评标过程中拿手机打电话等行为，若在评审过程中，评标委员会对投标文件有疑问时，需以询标函转至投标单位，投标单位须对评标委员会提出的疑问规定时间内做出澄清解答，而后专家针对评审的投标文件的商务技术部分进行打分并签字，最后出具本项目评审报告。</w:t>
      </w:r>
    </w:p>
    <w:p w14:paraId="6EE95F12">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（3）确定中标</w:t>
      </w:r>
    </w:p>
    <w:p w14:paraId="759BF793">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本项目采用的采购方式为公开招标，评分方法：综合评分法，（其中报价部分20分、商务技术部分80分），投标文件满足招标文件全部实质性要求，且按照评审因素的量化指标，评标委员会将根据评标标准进行评审，先进行初步评审-资格审查、符合性审查，然后对照招标文件技术部分商务部分评审标准进行打分，最终推荐综合得分最高的三名投标单位作为三名中标候选人，评审后得分最高的投标人获得中标人推荐资格；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6EE01CB">
      <w:pPr>
        <w:pStyle w:val="7"/>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定标方式：采购人依据评标委员会推荐的中标候选人确定中标人。采购人根据评标委员会的评标报告，以排名第一的中标候选人为中标人。排名第一的中标候选人放弃中标或因不可抗力提出不能履行合同，或者招标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14:paraId="7499DED2">
      <w:pPr>
        <w:pStyle w:val="7"/>
        <w:keepNext w:val="0"/>
        <w:keepLines w:val="0"/>
        <w:pageBreakBefore w:val="0"/>
        <w:widowControl w:val="0"/>
        <w:numPr>
          <w:ilvl w:val="0"/>
          <w:numId w:val="4"/>
        </w:numPr>
        <w:tabs>
          <w:tab w:val="clear" w:pos="312"/>
        </w:tabs>
        <w:kinsoku/>
        <w:wordWrap/>
        <w:overflowPunct/>
        <w:topLinePunct w:val="0"/>
        <w:autoSpaceDE/>
        <w:autoSpaceDN/>
        <w:bidi w:val="0"/>
        <w:adjustRightInd/>
        <w:snapToGrid/>
        <w:spacing w:before="0" w:line="360" w:lineRule="auto"/>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评分标准</w:t>
      </w:r>
    </w:p>
    <w:p w14:paraId="7412EE2D">
      <w:pPr>
        <w:pStyle w:val="29"/>
        <w:snapToGrid w:val="0"/>
        <w:spacing w:line="276"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一、投标报价部分</w:t>
      </w:r>
    </w:p>
    <w:p w14:paraId="5E22FCED">
      <w:pPr>
        <w:pStyle w:val="29"/>
        <w:snapToGrid w:val="0"/>
        <w:spacing w:line="276" w:lineRule="auto"/>
        <w:ind w:firstLine="480" w:firstLineChars="20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1、投标总报价；</w:t>
      </w:r>
    </w:p>
    <w:p w14:paraId="0022775F">
      <w:pPr>
        <w:spacing w:line="42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评审优惠内容及价格扣除：</w:t>
      </w:r>
    </w:p>
    <w:p w14:paraId="7FDE77C6">
      <w:pPr>
        <w:spacing w:line="420" w:lineRule="exact"/>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本项目将对小型和微型企业（残疾人福利性单位）产品的价格给予</w:t>
      </w: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color w:val="auto"/>
          <w:sz w:val="24"/>
          <w:szCs w:val="24"/>
          <w:highlight w:val="none"/>
        </w:rPr>
        <w:t>的扣除，用扣除后的价格参与评审打分。</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本项目不适用</w:t>
      </w:r>
      <w:r>
        <w:rPr>
          <w:rFonts w:hint="eastAsia" w:ascii="仿宋" w:hAnsi="仿宋" w:eastAsia="仿宋" w:cs="仿宋"/>
          <w:b/>
          <w:bCs/>
          <w:color w:val="auto"/>
          <w:sz w:val="24"/>
          <w:szCs w:val="24"/>
          <w:highlight w:val="none"/>
          <w:lang w:eastAsia="zh-CN"/>
        </w:rPr>
        <w:t>）</w:t>
      </w:r>
    </w:p>
    <w:p w14:paraId="6F766929">
      <w:pPr>
        <w:spacing w:line="420" w:lineRule="exact"/>
        <w:ind w:firstLine="480"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szCs w:val="24"/>
          <w:highlight w:val="none"/>
        </w:rPr>
        <w:t>若投标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和小微企业产品/服务制造商均符合小微企业条件，并且提供了《中小企业声明函》及加盖单位公章的声明函附件（</w:t>
      </w:r>
      <w:r>
        <w:rPr>
          <w:rFonts w:hint="eastAsia" w:ascii="仿宋" w:hAnsi="仿宋" w:eastAsia="仿宋" w:cs="仿宋"/>
          <w:color w:val="auto"/>
          <w:sz w:val="24"/>
          <w:szCs w:val="24"/>
          <w:highlight w:val="none"/>
          <w:lang w:eastAsia="zh-CN"/>
        </w:rPr>
        <w:t>中小微企业名录截图</w:t>
      </w:r>
      <w:r>
        <w:rPr>
          <w:rFonts w:hint="eastAsia" w:ascii="仿宋" w:hAnsi="仿宋" w:eastAsia="仿宋" w:cs="仿宋"/>
          <w:color w:val="auto"/>
          <w:sz w:val="24"/>
          <w:szCs w:val="24"/>
          <w:highlight w:val="none"/>
        </w:rPr>
        <w:t>）的，则其评标价格=投标商报价中属于小型和微型企业产品的价格部分×（100%-</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%）+投标商报价中不属于小型和微型企业产品的价格部分；否则，其评标价=投标报价。</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本项目不适用</w:t>
      </w:r>
      <w:r>
        <w:rPr>
          <w:rFonts w:hint="eastAsia" w:ascii="仿宋" w:hAnsi="仿宋" w:eastAsia="仿宋" w:cs="仿宋"/>
          <w:b/>
          <w:bCs/>
          <w:color w:val="auto"/>
          <w:sz w:val="24"/>
          <w:szCs w:val="24"/>
          <w:highlight w:val="none"/>
          <w:lang w:eastAsia="zh-CN"/>
        </w:rPr>
        <w:t>）</w:t>
      </w:r>
    </w:p>
    <w:p w14:paraId="573DF666">
      <w:pPr>
        <w:pStyle w:val="22"/>
        <w:rPr>
          <w:rFonts w:hint="eastAsia" w:ascii="仿宋" w:hAnsi="仿宋" w:eastAsia="仿宋" w:cs="仿宋"/>
          <w:color w:val="auto"/>
          <w:sz w:val="24"/>
          <w:szCs w:val="24"/>
          <w:highlight w:val="none"/>
          <w:lang w:eastAsia="zh-CN"/>
        </w:rPr>
      </w:pPr>
    </w:p>
    <w:p w14:paraId="57B4F7C3">
      <w:pPr>
        <w:spacing w:line="261" w:lineRule="auto"/>
        <w:rPr>
          <w:rFonts w:ascii="仿宋" w:hAnsi="仿宋" w:eastAsia="仿宋" w:cs="仿宋"/>
          <w:snapToGrid w:val="0"/>
          <w:color w:val="000000"/>
          <w:spacing w:val="5"/>
          <w:kern w:val="0"/>
          <w:sz w:val="23"/>
          <w:szCs w:val="23"/>
          <w:highlight w:val="none"/>
          <w:lang w:val="en-US" w:eastAsia="en-US" w:bidi="ar-SA"/>
        </w:rPr>
      </w:pPr>
      <w:r>
        <w:rPr>
          <w:rFonts w:hint="eastAsia" w:ascii="仿宋" w:hAnsi="仿宋" w:eastAsia="仿宋" w:cs="仿宋"/>
          <w:b/>
          <w:color w:val="auto"/>
          <w:sz w:val="32"/>
          <w:szCs w:val="32"/>
          <w:highlight w:val="none"/>
          <w:lang w:val="en-US"/>
        </w:rPr>
        <w:br w:type="page"/>
      </w:r>
    </w:p>
    <w:p w14:paraId="6092018C">
      <w:pPr>
        <w:spacing w:before="102" w:line="232" w:lineRule="auto"/>
        <w:ind w:left="3336"/>
        <w:rPr>
          <w:rFonts w:ascii="方正仿宋_GBK" w:hAnsi="方正仿宋_GBK" w:eastAsia="方正仿宋_GBK" w:cs="方正仿宋_GBK"/>
          <w:sz w:val="28"/>
          <w:szCs w:val="28"/>
          <w:highlight w:val="none"/>
        </w:rPr>
      </w:pPr>
      <w:r>
        <w:rPr>
          <w:rFonts w:ascii="方正仿宋_GBK" w:hAnsi="方正仿宋_GBK" w:eastAsia="方正仿宋_GBK" w:cs="方正仿宋_GBK"/>
          <w:b/>
          <w:bCs/>
          <w:spacing w:val="-4"/>
          <w:sz w:val="28"/>
          <w:szCs w:val="28"/>
          <w:highlight w:val="none"/>
        </w:rPr>
        <w:t>初步评审--资格性审查表</w:t>
      </w:r>
    </w:p>
    <w:p w14:paraId="4DF86257">
      <w:pPr>
        <w:spacing w:line="172" w:lineRule="exact"/>
        <w:rPr>
          <w:highlight w:val="none"/>
        </w:rPr>
      </w:pPr>
    </w:p>
    <w:tbl>
      <w:tblPr>
        <w:tblStyle w:val="25"/>
        <w:tblW w:w="979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7"/>
        <w:gridCol w:w="7699"/>
        <w:gridCol w:w="437"/>
        <w:gridCol w:w="349"/>
        <w:gridCol w:w="374"/>
        <w:gridCol w:w="394"/>
      </w:tblGrid>
      <w:tr w14:paraId="7E15C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8236" w:type="dxa"/>
            <w:gridSpan w:val="2"/>
            <w:vMerge w:val="restart"/>
            <w:tcBorders>
              <w:top w:val="single" w:color="000000" w:sz="10" w:space="0"/>
              <w:left w:val="single" w:color="000000" w:sz="10" w:space="0"/>
              <w:bottom w:val="nil"/>
              <w:right w:val="single" w:color="000000" w:sz="2" w:space="0"/>
            </w:tcBorders>
            <w:vAlign w:val="top"/>
          </w:tcPr>
          <w:p w14:paraId="5C8BAB01">
            <w:pPr>
              <w:pStyle w:val="26"/>
              <w:spacing w:before="300" w:line="237" w:lineRule="auto"/>
              <w:ind w:left="3644"/>
              <w:rPr>
                <w:highlight w:val="none"/>
              </w:rPr>
            </w:pPr>
            <w:r>
              <w:rPr>
                <w:b/>
                <w:bCs/>
                <w:spacing w:val="4"/>
                <w:highlight w:val="none"/>
              </w:rPr>
              <w:t>评审内容</w:t>
            </w:r>
          </w:p>
        </w:tc>
        <w:tc>
          <w:tcPr>
            <w:tcW w:w="1554" w:type="dxa"/>
            <w:gridSpan w:val="4"/>
            <w:tcBorders>
              <w:top w:val="single" w:color="000000" w:sz="10" w:space="0"/>
              <w:left w:val="single" w:color="000000" w:sz="2" w:space="0"/>
              <w:bottom w:val="single" w:color="000000" w:sz="2" w:space="0"/>
              <w:right w:val="single" w:color="000000" w:sz="10" w:space="0"/>
            </w:tcBorders>
            <w:vAlign w:val="top"/>
          </w:tcPr>
          <w:p w14:paraId="5AC11864">
            <w:pPr>
              <w:pStyle w:val="26"/>
              <w:spacing w:before="112" w:line="199" w:lineRule="auto"/>
              <w:ind w:left="130"/>
              <w:rPr>
                <w:sz w:val="22"/>
                <w:szCs w:val="22"/>
                <w:highlight w:val="none"/>
              </w:rPr>
            </w:pPr>
            <w:r>
              <w:rPr>
                <w:b/>
                <w:bCs/>
                <w:spacing w:val="-4"/>
                <w:sz w:val="22"/>
                <w:szCs w:val="22"/>
                <w:highlight w:val="none"/>
              </w:rPr>
              <w:t>投标企业名称</w:t>
            </w:r>
          </w:p>
        </w:tc>
      </w:tr>
      <w:tr w14:paraId="09F42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8236" w:type="dxa"/>
            <w:gridSpan w:val="2"/>
            <w:vMerge w:val="continue"/>
            <w:tcBorders>
              <w:top w:val="nil"/>
              <w:left w:val="single" w:color="000000" w:sz="10" w:space="0"/>
              <w:right w:val="single" w:color="000000" w:sz="2" w:space="0"/>
            </w:tcBorders>
            <w:vAlign w:val="top"/>
          </w:tcPr>
          <w:p w14:paraId="05826DEA">
            <w:pPr>
              <w:rPr>
                <w:rFonts w:ascii="Arial"/>
                <w:sz w:val="21"/>
                <w:highlight w:val="none"/>
              </w:rPr>
            </w:pPr>
          </w:p>
        </w:tc>
        <w:tc>
          <w:tcPr>
            <w:tcW w:w="437" w:type="dxa"/>
            <w:tcBorders>
              <w:top w:val="single" w:color="000000" w:sz="2" w:space="0"/>
              <w:left w:val="single" w:color="000000" w:sz="2" w:space="0"/>
              <w:right w:val="single" w:color="000000" w:sz="2" w:space="0"/>
            </w:tcBorders>
            <w:vAlign w:val="top"/>
          </w:tcPr>
          <w:p w14:paraId="6E72AC91">
            <w:pPr>
              <w:pStyle w:val="26"/>
              <w:spacing w:before="153" w:line="177" w:lineRule="auto"/>
              <w:ind w:left="188"/>
              <w:rPr>
                <w:sz w:val="22"/>
                <w:szCs w:val="22"/>
                <w:highlight w:val="none"/>
              </w:rPr>
            </w:pPr>
            <w:r>
              <w:rPr>
                <w:b/>
                <w:bCs/>
                <w:spacing w:val="-3"/>
                <w:sz w:val="22"/>
                <w:szCs w:val="22"/>
                <w:highlight w:val="none"/>
              </w:rPr>
              <w:t>1</w:t>
            </w:r>
          </w:p>
        </w:tc>
        <w:tc>
          <w:tcPr>
            <w:tcW w:w="349" w:type="dxa"/>
            <w:tcBorders>
              <w:top w:val="single" w:color="000000" w:sz="2" w:space="0"/>
              <w:left w:val="single" w:color="000000" w:sz="2" w:space="0"/>
            </w:tcBorders>
            <w:vAlign w:val="top"/>
          </w:tcPr>
          <w:p w14:paraId="551018AF">
            <w:pPr>
              <w:pStyle w:val="26"/>
              <w:spacing w:before="155" w:line="176" w:lineRule="auto"/>
              <w:ind w:left="141"/>
              <w:rPr>
                <w:sz w:val="22"/>
                <w:szCs w:val="22"/>
                <w:highlight w:val="none"/>
              </w:rPr>
            </w:pPr>
            <w:r>
              <w:rPr>
                <w:b/>
                <w:bCs/>
                <w:spacing w:val="-3"/>
                <w:sz w:val="22"/>
                <w:szCs w:val="22"/>
                <w:highlight w:val="none"/>
              </w:rPr>
              <w:t>2</w:t>
            </w:r>
          </w:p>
        </w:tc>
        <w:tc>
          <w:tcPr>
            <w:tcW w:w="374" w:type="dxa"/>
            <w:vAlign w:val="top"/>
          </w:tcPr>
          <w:p w14:paraId="6E191B49">
            <w:pPr>
              <w:pStyle w:val="26"/>
              <w:spacing w:before="155" w:line="176" w:lineRule="auto"/>
              <w:ind w:left="150"/>
              <w:rPr>
                <w:sz w:val="22"/>
                <w:szCs w:val="22"/>
                <w:highlight w:val="none"/>
              </w:rPr>
            </w:pPr>
            <w:r>
              <w:rPr>
                <w:b/>
                <w:bCs/>
                <w:spacing w:val="-3"/>
                <w:sz w:val="22"/>
                <w:szCs w:val="22"/>
                <w:highlight w:val="none"/>
              </w:rPr>
              <w:t>3</w:t>
            </w:r>
          </w:p>
        </w:tc>
        <w:tc>
          <w:tcPr>
            <w:tcW w:w="394" w:type="dxa"/>
            <w:tcBorders>
              <w:right w:val="single" w:color="000000" w:sz="10" w:space="0"/>
            </w:tcBorders>
            <w:vAlign w:val="top"/>
          </w:tcPr>
          <w:p w14:paraId="15FE1A14">
            <w:pPr>
              <w:pStyle w:val="26"/>
              <w:spacing w:before="228" w:line="162" w:lineRule="exact"/>
              <w:ind w:left="138"/>
              <w:rPr>
                <w:sz w:val="22"/>
                <w:szCs w:val="22"/>
                <w:highlight w:val="none"/>
              </w:rPr>
            </w:pPr>
            <w:r>
              <w:rPr>
                <w:b/>
                <w:bCs/>
                <w:spacing w:val="-3"/>
                <w:position w:val="-3"/>
                <w:sz w:val="22"/>
                <w:szCs w:val="22"/>
                <w:highlight w:val="none"/>
              </w:rPr>
              <w:t>…</w:t>
            </w:r>
          </w:p>
        </w:tc>
      </w:tr>
      <w:tr w14:paraId="5F979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537" w:type="dxa"/>
            <w:tcBorders>
              <w:left w:val="single" w:color="000000" w:sz="10" w:space="0"/>
            </w:tcBorders>
            <w:vAlign w:val="center"/>
          </w:tcPr>
          <w:p w14:paraId="1D1A1D50">
            <w:pPr>
              <w:pStyle w:val="26"/>
              <w:spacing w:before="241" w:line="191" w:lineRule="auto"/>
              <w:jc w:val="center"/>
              <w:rPr>
                <w:sz w:val="22"/>
                <w:szCs w:val="22"/>
                <w:highlight w:val="none"/>
              </w:rPr>
            </w:pPr>
            <w:r>
              <w:rPr>
                <w:sz w:val="22"/>
                <w:szCs w:val="22"/>
                <w:highlight w:val="none"/>
              </w:rPr>
              <w:t>1</w:t>
            </w:r>
          </w:p>
        </w:tc>
        <w:tc>
          <w:tcPr>
            <w:tcW w:w="7699" w:type="dxa"/>
            <w:tcBorders>
              <w:right w:val="single" w:color="000000" w:sz="2" w:space="0"/>
            </w:tcBorders>
            <w:vAlign w:val="center"/>
          </w:tcPr>
          <w:p w14:paraId="07EB41FA">
            <w:pPr>
              <w:pStyle w:val="26"/>
              <w:spacing w:before="41" w:line="239" w:lineRule="auto"/>
              <w:ind w:left="102" w:right="94" w:firstLine="2"/>
              <w:jc w:val="left"/>
              <w:rPr>
                <w:rFonts w:hint="eastAsia"/>
                <w:spacing w:val="9"/>
                <w:highlight w:val="none"/>
                <w:lang w:eastAsia="zh-CN"/>
              </w:rPr>
            </w:pPr>
            <w:r>
              <w:rPr>
                <w:rFonts w:hint="eastAsia"/>
                <w:spacing w:val="9"/>
                <w:highlight w:val="none"/>
                <w:lang w:eastAsia="zh-CN"/>
              </w:rPr>
              <w:t>法人或者非法人组织的营业执照等证明文件复印件（须加盖本单位章）或自然人的身份证明复印件；</w:t>
            </w:r>
          </w:p>
        </w:tc>
        <w:tc>
          <w:tcPr>
            <w:tcW w:w="437" w:type="dxa"/>
            <w:tcBorders>
              <w:left w:val="single" w:color="000000" w:sz="2" w:space="0"/>
              <w:right w:val="single" w:color="000000" w:sz="2" w:space="0"/>
            </w:tcBorders>
            <w:vAlign w:val="top"/>
          </w:tcPr>
          <w:p w14:paraId="2FBE0BFF">
            <w:pPr>
              <w:rPr>
                <w:rFonts w:ascii="Arial"/>
                <w:sz w:val="21"/>
                <w:highlight w:val="none"/>
              </w:rPr>
            </w:pPr>
          </w:p>
        </w:tc>
        <w:tc>
          <w:tcPr>
            <w:tcW w:w="349" w:type="dxa"/>
            <w:tcBorders>
              <w:left w:val="single" w:color="000000" w:sz="2" w:space="0"/>
            </w:tcBorders>
            <w:vAlign w:val="top"/>
          </w:tcPr>
          <w:p w14:paraId="3D6EC575">
            <w:pPr>
              <w:rPr>
                <w:rFonts w:ascii="Arial"/>
                <w:sz w:val="21"/>
                <w:highlight w:val="none"/>
              </w:rPr>
            </w:pPr>
          </w:p>
        </w:tc>
        <w:tc>
          <w:tcPr>
            <w:tcW w:w="374" w:type="dxa"/>
            <w:tcBorders>
              <w:right w:val="single" w:color="000000" w:sz="2" w:space="0"/>
            </w:tcBorders>
            <w:vAlign w:val="top"/>
          </w:tcPr>
          <w:p w14:paraId="38B10C8C">
            <w:pPr>
              <w:rPr>
                <w:rFonts w:ascii="Arial"/>
                <w:sz w:val="21"/>
                <w:highlight w:val="none"/>
              </w:rPr>
            </w:pPr>
          </w:p>
        </w:tc>
        <w:tc>
          <w:tcPr>
            <w:tcW w:w="394" w:type="dxa"/>
            <w:tcBorders>
              <w:left w:val="single" w:color="000000" w:sz="2" w:space="0"/>
              <w:right w:val="single" w:color="000000" w:sz="10" w:space="0"/>
            </w:tcBorders>
            <w:vAlign w:val="top"/>
          </w:tcPr>
          <w:p w14:paraId="1B0A73EB">
            <w:pPr>
              <w:rPr>
                <w:rFonts w:ascii="Arial"/>
                <w:sz w:val="21"/>
                <w:highlight w:val="none"/>
              </w:rPr>
            </w:pPr>
          </w:p>
        </w:tc>
      </w:tr>
      <w:tr w14:paraId="02A43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537" w:type="dxa"/>
            <w:tcBorders>
              <w:left w:val="single" w:color="000000" w:sz="10" w:space="0"/>
            </w:tcBorders>
            <w:vAlign w:val="center"/>
          </w:tcPr>
          <w:p w14:paraId="3C6B1132">
            <w:pPr>
              <w:pStyle w:val="26"/>
              <w:spacing w:before="244" w:line="190" w:lineRule="auto"/>
              <w:jc w:val="center"/>
              <w:rPr>
                <w:sz w:val="22"/>
                <w:szCs w:val="22"/>
                <w:highlight w:val="none"/>
              </w:rPr>
            </w:pPr>
            <w:r>
              <w:rPr>
                <w:sz w:val="22"/>
                <w:szCs w:val="22"/>
                <w:highlight w:val="none"/>
              </w:rPr>
              <w:t>2</w:t>
            </w:r>
          </w:p>
        </w:tc>
        <w:tc>
          <w:tcPr>
            <w:tcW w:w="7699" w:type="dxa"/>
            <w:tcBorders>
              <w:right w:val="single" w:color="000000" w:sz="2" w:space="0"/>
            </w:tcBorders>
            <w:vAlign w:val="center"/>
          </w:tcPr>
          <w:p w14:paraId="7571CC3D">
            <w:pPr>
              <w:pStyle w:val="26"/>
              <w:spacing w:before="41" w:line="239" w:lineRule="auto"/>
              <w:ind w:left="102" w:right="94" w:firstLine="2"/>
              <w:jc w:val="left"/>
              <w:rPr>
                <w:rFonts w:hint="eastAsia"/>
                <w:spacing w:val="9"/>
                <w:highlight w:val="none"/>
                <w:lang w:eastAsia="zh-CN"/>
              </w:rPr>
            </w:pPr>
            <w:r>
              <w:rPr>
                <w:rFonts w:hint="eastAsia"/>
                <w:spacing w:val="9"/>
                <w:highlight w:val="none"/>
                <w:lang w:eastAsia="zh-CN"/>
              </w:rPr>
              <w:t>法定代表人证明或法定代表人授权委托书签字并加盖公章（自然人投标的无需提供）；</w:t>
            </w:r>
          </w:p>
        </w:tc>
        <w:tc>
          <w:tcPr>
            <w:tcW w:w="437" w:type="dxa"/>
            <w:tcBorders>
              <w:left w:val="single" w:color="000000" w:sz="2" w:space="0"/>
              <w:right w:val="single" w:color="000000" w:sz="2" w:space="0"/>
            </w:tcBorders>
            <w:vAlign w:val="top"/>
          </w:tcPr>
          <w:p w14:paraId="7160E1E3">
            <w:pPr>
              <w:rPr>
                <w:rFonts w:ascii="Arial"/>
                <w:sz w:val="21"/>
                <w:highlight w:val="none"/>
              </w:rPr>
            </w:pPr>
          </w:p>
        </w:tc>
        <w:tc>
          <w:tcPr>
            <w:tcW w:w="349" w:type="dxa"/>
            <w:tcBorders>
              <w:left w:val="single" w:color="000000" w:sz="2" w:space="0"/>
            </w:tcBorders>
            <w:vAlign w:val="top"/>
          </w:tcPr>
          <w:p w14:paraId="0ECD8549">
            <w:pPr>
              <w:rPr>
                <w:rFonts w:ascii="Arial"/>
                <w:sz w:val="21"/>
                <w:highlight w:val="none"/>
              </w:rPr>
            </w:pPr>
          </w:p>
        </w:tc>
        <w:tc>
          <w:tcPr>
            <w:tcW w:w="374" w:type="dxa"/>
            <w:tcBorders>
              <w:right w:val="single" w:color="000000" w:sz="2" w:space="0"/>
            </w:tcBorders>
            <w:vAlign w:val="top"/>
          </w:tcPr>
          <w:p w14:paraId="624981D6">
            <w:pPr>
              <w:rPr>
                <w:rFonts w:ascii="Arial"/>
                <w:sz w:val="21"/>
                <w:highlight w:val="none"/>
              </w:rPr>
            </w:pPr>
          </w:p>
        </w:tc>
        <w:tc>
          <w:tcPr>
            <w:tcW w:w="394" w:type="dxa"/>
            <w:tcBorders>
              <w:left w:val="single" w:color="000000" w:sz="2" w:space="0"/>
              <w:right w:val="single" w:color="000000" w:sz="10" w:space="0"/>
            </w:tcBorders>
            <w:vAlign w:val="top"/>
          </w:tcPr>
          <w:p w14:paraId="654B3B55">
            <w:pPr>
              <w:rPr>
                <w:rFonts w:ascii="Arial"/>
                <w:sz w:val="21"/>
                <w:highlight w:val="none"/>
              </w:rPr>
            </w:pPr>
          </w:p>
        </w:tc>
      </w:tr>
      <w:tr w14:paraId="44C25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37" w:type="dxa"/>
            <w:tcBorders>
              <w:left w:val="single" w:color="000000" w:sz="10" w:space="0"/>
            </w:tcBorders>
            <w:vAlign w:val="center"/>
          </w:tcPr>
          <w:p w14:paraId="01C2AC69">
            <w:pPr>
              <w:pStyle w:val="26"/>
              <w:spacing w:before="127" w:line="190" w:lineRule="auto"/>
              <w:jc w:val="center"/>
              <w:rPr>
                <w:sz w:val="22"/>
                <w:szCs w:val="22"/>
                <w:highlight w:val="none"/>
              </w:rPr>
            </w:pPr>
            <w:r>
              <w:rPr>
                <w:sz w:val="22"/>
                <w:szCs w:val="22"/>
                <w:highlight w:val="none"/>
              </w:rPr>
              <w:t>3</w:t>
            </w:r>
          </w:p>
        </w:tc>
        <w:tc>
          <w:tcPr>
            <w:tcW w:w="7699" w:type="dxa"/>
            <w:tcBorders>
              <w:right w:val="single" w:color="000000" w:sz="2" w:space="0"/>
            </w:tcBorders>
            <w:vAlign w:val="center"/>
          </w:tcPr>
          <w:p w14:paraId="09BDAC6B">
            <w:pPr>
              <w:pStyle w:val="26"/>
              <w:spacing w:before="41" w:line="239" w:lineRule="auto"/>
              <w:ind w:left="102" w:right="94" w:firstLine="2"/>
              <w:jc w:val="left"/>
              <w:rPr>
                <w:rFonts w:hint="eastAsia"/>
                <w:spacing w:val="9"/>
                <w:highlight w:val="none"/>
                <w:lang w:eastAsia="zh-CN"/>
              </w:rPr>
            </w:pPr>
            <w:r>
              <w:rPr>
                <w:rFonts w:hint="eastAsia"/>
                <w:spacing w:val="9"/>
                <w:highlight w:val="none"/>
                <w:lang w:eastAsia="zh-CN"/>
              </w:rPr>
              <w:t>提供依法缴纳近6个月任意</w:t>
            </w:r>
            <w:r>
              <w:rPr>
                <w:rFonts w:hint="eastAsia"/>
                <w:spacing w:val="9"/>
                <w:highlight w:val="none"/>
                <w:lang w:val="en-US" w:eastAsia="zh-CN"/>
              </w:rPr>
              <w:t>连续3</w:t>
            </w:r>
            <w:r>
              <w:rPr>
                <w:rFonts w:hint="eastAsia"/>
                <w:spacing w:val="9"/>
                <w:highlight w:val="none"/>
                <w:lang w:eastAsia="zh-CN"/>
              </w:rPr>
              <w:t>个月缴纳社会保障金的证明材料（投标人单位的社保缴费凭证及个人明细表，新成立不足三个月的企业提供成立至今的缴纳社会保障金的证明材料）；</w:t>
            </w:r>
          </w:p>
        </w:tc>
        <w:tc>
          <w:tcPr>
            <w:tcW w:w="437" w:type="dxa"/>
            <w:tcBorders>
              <w:left w:val="single" w:color="000000" w:sz="2" w:space="0"/>
              <w:right w:val="single" w:color="000000" w:sz="2" w:space="0"/>
            </w:tcBorders>
            <w:vAlign w:val="top"/>
          </w:tcPr>
          <w:p w14:paraId="572982BB">
            <w:pPr>
              <w:rPr>
                <w:rFonts w:ascii="Arial"/>
                <w:sz w:val="21"/>
                <w:highlight w:val="none"/>
              </w:rPr>
            </w:pPr>
          </w:p>
        </w:tc>
        <w:tc>
          <w:tcPr>
            <w:tcW w:w="349" w:type="dxa"/>
            <w:tcBorders>
              <w:left w:val="single" w:color="000000" w:sz="2" w:space="0"/>
            </w:tcBorders>
            <w:vAlign w:val="top"/>
          </w:tcPr>
          <w:p w14:paraId="47CA0B56">
            <w:pPr>
              <w:rPr>
                <w:rFonts w:ascii="Arial"/>
                <w:sz w:val="21"/>
                <w:highlight w:val="none"/>
              </w:rPr>
            </w:pPr>
          </w:p>
        </w:tc>
        <w:tc>
          <w:tcPr>
            <w:tcW w:w="374" w:type="dxa"/>
            <w:tcBorders>
              <w:right w:val="single" w:color="000000" w:sz="2" w:space="0"/>
            </w:tcBorders>
            <w:vAlign w:val="top"/>
          </w:tcPr>
          <w:p w14:paraId="197FA2B5">
            <w:pPr>
              <w:rPr>
                <w:rFonts w:ascii="Arial"/>
                <w:sz w:val="21"/>
                <w:highlight w:val="none"/>
              </w:rPr>
            </w:pPr>
          </w:p>
        </w:tc>
        <w:tc>
          <w:tcPr>
            <w:tcW w:w="394" w:type="dxa"/>
            <w:tcBorders>
              <w:left w:val="single" w:color="000000" w:sz="2" w:space="0"/>
              <w:right w:val="single" w:color="000000" w:sz="10" w:space="0"/>
            </w:tcBorders>
            <w:vAlign w:val="top"/>
          </w:tcPr>
          <w:p w14:paraId="120D0AA5">
            <w:pPr>
              <w:rPr>
                <w:rFonts w:ascii="Arial"/>
                <w:sz w:val="21"/>
                <w:highlight w:val="none"/>
              </w:rPr>
            </w:pPr>
          </w:p>
        </w:tc>
      </w:tr>
      <w:tr w14:paraId="53CEB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537" w:type="dxa"/>
            <w:tcBorders>
              <w:left w:val="single" w:color="000000" w:sz="10" w:space="0"/>
            </w:tcBorders>
            <w:vAlign w:val="center"/>
          </w:tcPr>
          <w:p w14:paraId="1A5CA154">
            <w:pPr>
              <w:pStyle w:val="26"/>
              <w:spacing w:before="80" w:line="190" w:lineRule="auto"/>
              <w:jc w:val="center"/>
              <w:rPr>
                <w:sz w:val="22"/>
                <w:szCs w:val="22"/>
                <w:highlight w:val="none"/>
              </w:rPr>
            </w:pPr>
            <w:r>
              <w:rPr>
                <w:sz w:val="22"/>
                <w:szCs w:val="22"/>
                <w:highlight w:val="none"/>
              </w:rPr>
              <w:t>4</w:t>
            </w:r>
          </w:p>
        </w:tc>
        <w:tc>
          <w:tcPr>
            <w:tcW w:w="7699" w:type="dxa"/>
            <w:tcBorders>
              <w:right w:val="single" w:color="000000" w:sz="2" w:space="0"/>
            </w:tcBorders>
            <w:vAlign w:val="center"/>
          </w:tcPr>
          <w:p w14:paraId="09CE2FD5">
            <w:pPr>
              <w:pStyle w:val="26"/>
              <w:spacing w:before="41" w:line="239" w:lineRule="auto"/>
              <w:ind w:left="102" w:right="94" w:firstLine="2"/>
              <w:jc w:val="left"/>
              <w:rPr>
                <w:rFonts w:hint="eastAsia"/>
                <w:spacing w:val="9"/>
                <w:highlight w:val="none"/>
                <w:lang w:eastAsia="zh-CN"/>
              </w:rPr>
            </w:pPr>
            <w:r>
              <w:rPr>
                <w:rFonts w:hint="eastAsia"/>
                <w:spacing w:val="9"/>
                <w:highlight w:val="none"/>
                <w:lang w:eastAsia="zh-CN"/>
              </w:rPr>
              <w:t>提供依法缴纳近6个月任意</w:t>
            </w:r>
            <w:r>
              <w:rPr>
                <w:rFonts w:hint="eastAsia"/>
                <w:spacing w:val="9"/>
                <w:highlight w:val="none"/>
                <w:lang w:val="en-US" w:eastAsia="zh-CN"/>
              </w:rPr>
              <w:t>3</w:t>
            </w:r>
            <w:r>
              <w:rPr>
                <w:rFonts w:hint="eastAsia"/>
                <w:spacing w:val="9"/>
                <w:highlight w:val="none"/>
                <w:lang w:eastAsia="zh-CN"/>
              </w:rPr>
              <w:t>个月税收证明（税务部门出具的完税凭证或缴税证明或银行出具的“银行电子缴税付款凭证”）；注：①若为零申报企业，需提供无欠税证明或国家税务总局电子税务局“申报结果查询截图”。②“税种”非社会保险；</w:t>
            </w:r>
          </w:p>
        </w:tc>
        <w:tc>
          <w:tcPr>
            <w:tcW w:w="437" w:type="dxa"/>
            <w:tcBorders>
              <w:left w:val="single" w:color="000000" w:sz="2" w:space="0"/>
              <w:right w:val="single" w:color="000000" w:sz="2" w:space="0"/>
            </w:tcBorders>
            <w:vAlign w:val="top"/>
          </w:tcPr>
          <w:p w14:paraId="4FA26339">
            <w:pPr>
              <w:rPr>
                <w:rFonts w:ascii="Arial"/>
                <w:sz w:val="21"/>
                <w:highlight w:val="none"/>
              </w:rPr>
            </w:pPr>
          </w:p>
        </w:tc>
        <w:tc>
          <w:tcPr>
            <w:tcW w:w="349" w:type="dxa"/>
            <w:tcBorders>
              <w:left w:val="single" w:color="000000" w:sz="2" w:space="0"/>
            </w:tcBorders>
            <w:vAlign w:val="top"/>
          </w:tcPr>
          <w:p w14:paraId="2041D04F">
            <w:pPr>
              <w:rPr>
                <w:rFonts w:ascii="Arial"/>
                <w:sz w:val="21"/>
                <w:highlight w:val="none"/>
              </w:rPr>
            </w:pPr>
          </w:p>
        </w:tc>
        <w:tc>
          <w:tcPr>
            <w:tcW w:w="374" w:type="dxa"/>
            <w:tcBorders>
              <w:right w:val="single" w:color="000000" w:sz="2" w:space="0"/>
            </w:tcBorders>
            <w:vAlign w:val="top"/>
          </w:tcPr>
          <w:p w14:paraId="557E68AD">
            <w:pPr>
              <w:rPr>
                <w:rFonts w:ascii="Arial"/>
                <w:sz w:val="21"/>
                <w:highlight w:val="none"/>
              </w:rPr>
            </w:pPr>
          </w:p>
        </w:tc>
        <w:tc>
          <w:tcPr>
            <w:tcW w:w="394" w:type="dxa"/>
            <w:tcBorders>
              <w:left w:val="single" w:color="000000" w:sz="2" w:space="0"/>
              <w:right w:val="single" w:color="000000" w:sz="10" w:space="0"/>
            </w:tcBorders>
            <w:vAlign w:val="top"/>
          </w:tcPr>
          <w:p w14:paraId="41417CD5">
            <w:pPr>
              <w:rPr>
                <w:rFonts w:ascii="Arial"/>
                <w:sz w:val="21"/>
                <w:highlight w:val="none"/>
              </w:rPr>
            </w:pPr>
          </w:p>
        </w:tc>
      </w:tr>
      <w:tr w14:paraId="5F9BC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37" w:type="dxa"/>
            <w:tcBorders>
              <w:left w:val="single" w:color="000000" w:sz="10" w:space="0"/>
            </w:tcBorders>
            <w:vAlign w:val="center"/>
          </w:tcPr>
          <w:p w14:paraId="40500B5D">
            <w:pPr>
              <w:pStyle w:val="26"/>
              <w:spacing w:before="79" w:line="188" w:lineRule="auto"/>
              <w:jc w:val="center"/>
              <w:rPr>
                <w:sz w:val="22"/>
                <w:szCs w:val="22"/>
                <w:highlight w:val="none"/>
              </w:rPr>
            </w:pPr>
            <w:r>
              <w:rPr>
                <w:sz w:val="22"/>
                <w:szCs w:val="22"/>
                <w:highlight w:val="none"/>
              </w:rPr>
              <w:t>5</w:t>
            </w:r>
          </w:p>
        </w:tc>
        <w:tc>
          <w:tcPr>
            <w:tcW w:w="7699" w:type="dxa"/>
            <w:tcBorders>
              <w:right w:val="single" w:color="000000" w:sz="2" w:space="0"/>
            </w:tcBorders>
            <w:vAlign w:val="center"/>
          </w:tcPr>
          <w:p w14:paraId="6A151894">
            <w:pPr>
              <w:pStyle w:val="26"/>
              <w:spacing w:before="41" w:line="239" w:lineRule="auto"/>
              <w:ind w:left="102" w:right="94" w:firstLine="2"/>
              <w:jc w:val="left"/>
              <w:rPr>
                <w:rFonts w:hint="eastAsia"/>
                <w:spacing w:val="9"/>
                <w:highlight w:val="none"/>
                <w:lang w:eastAsia="zh-CN"/>
              </w:rPr>
            </w:pPr>
            <w:r>
              <w:rPr>
                <w:rFonts w:hint="eastAsia"/>
                <w:spacing w:val="9"/>
                <w:highlight w:val="none"/>
                <w:lang w:eastAsia="zh-CN"/>
              </w:rPr>
              <w:t>具有良好的商业信誉和健全的财务会计制度的证明材料（2023年度财务审计报告或2024年度财务审计报告，新成立公司提供银行资信证明复印件加盖投标单位公章）；</w:t>
            </w:r>
          </w:p>
        </w:tc>
        <w:tc>
          <w:tcPr>
            <w:tcW w:w="437" w:type="dxa"/>
            <w:tcBorders>
              <w:left w:val="single" w:color="000000" w:sz="2" w:space="0"/>
              <w:right w:val="single" w:color="000000" w:sz="2" w:space="0"/>
            </w:tcBorders>
            <w:vAlign w:val="top"/>
          </w:tcPr>
          <w:p w14:paraId="64F00293">
            <w:pPr>
              <w:rPr>
                <w:rFonts w:ascii="Arial"/>
                <w:sz w:val="21"/>
                <w:highlight w:val="none"/>
              </w:rPr>
            </w:pPr>
          </w:p>
        </w:tc>
        <w:tc>
          <w:tcPr>
            <w:tcW w:w="349" w:type="dxa"/>
            <w:tcBorders>
              <w:left w:val="single" w:color="000000" w:sz="2" w:space="0"/>
            </w:tcBorders>
            <w:vAlign w:val="top"/>
          </w:tcPr>
          <w:p w14:paraId="2B88504E">
            <w:pPr>
              <w:rPr>
                <w:rFonts w:ascii="Arial"/>
                <w:sz w:val="21"/>
                <w:highlight w:val="none"/>
              </w:rPr>
            </w:pPr>
          </w:p>
        </w:tc>
        <w:tc>
          <w:tcPr>
            <w:tcW w:w="374" w:type="dxa"/>
            <w:tcBorders>
              <w:right w:val="single" w:color="000000" w:sz="2" w:space="0"/>
            </w:tcBorders>
            <w:vAlign w:val="top"/>
          </w:tcPr>
          <w:p w14:paraId="5958124F">
            <w:pPr>
              <w:rPr>
                <w:rFonts w:ascii="Arial"/>
                <w:sz w:val="21"/>
                <w:highlight w:val="none"/>
              </w:rPr>
            </w:pPr>
          </w:p>
        </w:tc>
        <w:tc>
          <w:tcPr>
            <w:tcW w:w="394" w:type="dxa"/>
            <w:tcBorders>
              <w:left w:val="single" w:color="000000" w:sz="2" w:space="0"/>
              <w:right w:val="single" w:color="000000" w:sz="10" w:space="0"/>
            </w:tcBorders>
            <w:vAlign w:val="top"/>
          </w:tcPr>
          <w:p w14:paraId="33914B34">
            <w:pPr>
              <w:rPr>
                <w:rFonts w:ascii="Arial"/>
                <w:sz w:val="21"/>
                <w:highlight w:val="none"/>
              </w:rPr>
            </w:pPr>
          </w:p>
        </w:tc>
      </w:tr>
      <w:tr w14:paraId="2070A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37" w:type="dxa"/>
            <w:tcBorders>
              <w:left w:val="single" w:color="000000" w:sz="10" w:space="0"/>
            </w:tcBorders>
            <w:vAlign w:val="center"/>
          </w:tcPr>
          <w:p w14:paraId="7E50CA23">
            <w:pPr>
              <w:pStyle w:val="26"/>
              <w:spacing w:before="78" w:line="189" w:lineRule="auto"/>
              <w:jc w:val="center"/>
              <w:rPr>
                <w:sz w:val="22"/>
                <w:szCs w:val="22"/>
                <w:highlight w:val="none"/>
              </w:rPr>
            </w:pPr>
            <w:r>
              <w:rPr>
                <w:sz w:val="22"/>
                <w:szCs w:val="22"/>
                <w:highlight w:val="none"/>
              </w:rPr>
              <w:t>6</w:t>
            </w:r>
          </w:p>
        </w:tc>
        <w:tc>
          <w:tcPr>
            <w:tcW w:w="7699" w:type="dxa"/>
            <w:tcBorders>
              <w:right w:val="single" w:color="000000" w:sz="2" w:space="0"/>
            </w:tcBorders>
            <w:vAlign w:val="center"/>
          </w:tcPr>
          <w:p w14:paraId="38AF5964">
            <w:pPr>
              <w:pStyle w:val="26"/>
              <w:spacing w:before="41" w:line="239" w:lineRule="auto"/>
              <w:ind w:left="102" w:right="94" w:firstLine="2"/>
              <w:jc w:val="left"/>
              <w:rPr>
                <w:rFonts w:hint="eastAsia"/>
                <w:spacing w:val="9"/>
                <w:highlight w:val="none"/>
                <w:lang w:eastAsia="zh-CN"/>
              </w:rPr>
            </w:pPr>
            <w:r>
              <w:rPr>
                <w:rFonts w:hint="eastAsia"/>
                <w:spacing w:val="9"/>
                <w:highlight w:val="none"/>
                <w:lang w:eastAsia="zh-CN"/>
              </w:rPr>
              <w:t>参加政府采购活动前3年内，在经营活动中无重大违法声明；</w:t>
            </w:r>
          </w:p>
        </w:tc>
        <w:tc>
          <w:tcPr>
            <w:tcW w:w="437" w:type="dxa"/>
            <w:tcBorders>
              <w:left w:val="single" w:color="000000" w:sz="2" w:space="0"/>
              <w:right w:val="single" w:color="000000" w:sz="2" w:space="0"/>
            </w:tcBorders>
            <w:vAlign w:val="top"/>
          </w:tcPr>
          <w:p w14:paraId="2B8586ED">
            <w:pPr>
              <w:rPr>
                <w:rFonts w:ascii="Arial"/>
                <w:sz w:val="21"/>
                <w:highlight w:val="none"/>
              </w:rPr>
            </w:pPr>
          </w:p>
        </w:tc>
        <w:tc>
          <w:tcPr>
            <w:tcW w:w="349" w:type="dxa"/>
            <w:tcBorders>
              <w:left w:val="single" w:color="000000" w:sz="2" w:space="0"/>
            </w:tcBorders>
            <w:vAlign w:val="top"/>
          </w:tcPr>
          <w:p w14:paraId="31AECD4D">
            <w:pPr>
              <w:rPr>
                <w:rFonts w:ascii="Arial"/>
                <w:sz w:val="21"/>
                <w:highlight w:val="none"/>
              </w:rPr>
            </w:pPr>
          </w:p>
        </w:tc>
        <w:tc>
          <w:tcPr>
            <w:tcW w:w="374" w:type="dxa"/>
            <w:tcBorders>
              <w:right w:val="single" w:color="000000" w:sz="2" w:space="0"/>
            </w:tcBorders>
            <w:vAlign w:val="top"/>
          </w:tcPr>
          <w:p w14:paraId="6D2CFDD0">
            <w:pPr>
              <w:rPr>
                <w:rFonts w:ascii="Arial"/>
                <w:sz w:val="21"/>
                <w:highlight w:val="none"/>
              </w:rPr>
            </w:pPr>
          </w:p>
        </w:tc>
        <w:tc>
          <w:tcPr>
            <w:tcW w:w="394" w:type="dxa"/>
            <w:tcBorders>
              <w:left w:val="single" w:color="000000" w:sz="2" w:space="0"/>
              <w:right w:val="single" w:color="000000" w:sz="10" w:space="0"/>
            </w:tcBorders>
            <w:vAlign w:val="top"/>
          </w:tcPr>
          <w:p w14:paraId="5BF394D1">
            <w:pPr>
              <w:rPr>
                <w:rFonts w:ascii="Arial"/>
                <w:sz w:val="21"/>
                <w:highlight w:val="none"/>
              </w:rPr>
            </w:pPr>
          </w:p>
        </w:tc>
      </w:tr>
      <w:tr w14:paraId="15473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37" w:type="dxa"/>
            <w:tcBorders>
              <w:left w:val="single" w:color="000000" w:sz="10" w:space="0"/>
            </w:tcBorders>
            <w:vAlign w:val="center"/>
          </w:tcPr>
          <w:p w14:paraId="763410DF">
            <w:pPr>
              <w:pStyle w:val="26"/>
              <w:spacing w:before="81" w:line="188" w:lineRule="auto"/>
              <w:jc w:val="center"/>
              <w:rPr>
                <w:sz w:val="22"/>
                <w:szCs w:val="22"/>
                <w:highlight w:val="none"/>
              </w:rPr>
            </w:pPr>
            <w:r>
              <w:rPr>
                <w:sz w:val="22"/>
                <w:szCs w:val="22"/>
                <w:highlight w:val="none"/>
              </w:rPr>
              <w:t>7</w:t>
            </w:r>
          </w:p>
        </w:tc>
        <w:tc>
          <w:tcPr>
            <w:tcW w:w="7699" w:type="dxa"/>
            <w:tcBorders>
              <w:right w:val="single" w:color="000000" w:sz="2" w:space="0"/>
            </w:tcBorders>
            <w:vAlign w:val="center"/>
          </w:tcPr>
          <w:p w14:paraId="617B3336">
            <w:pPr>
              <w:pStyle w:val="26"/>
              <w:spacing w:before="41" w:line="239" w:lineRule="auto"/>
              <w:ind w:left="102" w:right="94" w:firstLine="2"/>
              <w:jc w:val="left"/>
              <w:rPr>
                <w:rFonts w:hint="eastAsia"/>
                <w:spacing w:val="9"/>
                <w:highlight w:val="none"/>
                <w:lang w:eastAsia="zh-CN"/>
              </w:rPr>
            </w:pPr>
            <w:r>
              <w:rPr>
                <w:rFonts w:hint="eastAsia"/>
                <w:spacing w:val="9"/>
                <w:highlight w:val="none"/>
                <w:lang w:eastAsia="zh-CN"/>
              </w:rPr>
              <w:t>投标人提供针对本项目的《反商业贿赂承诺书》；</w:t>
            </w:r>
          </w:p>
        </w:tc>
        <w:tc>
          <w:tcPr>
            <w:tcW w:w="437" w:type="dxa"/>
            <w:tcBorders>
              <w:left w:val="single" w:color="000000" w:sz="2" w:space="0"/>
              <w:right w:val="single" w:color="000000" w:sz="2" w:space="0"/>
            </w:tcBorders>
            <w:vAlign w:val="top"/>
          </w:tcPr>
          <w:p w14:paraId="277FD3B4">
            <w:pPr>
              <w:rPr>
                <w:rFonts w:ascii="Arial"/>
                <w:sz w:val="21"/>
                <w:highlight w:val="none"/>
              </w:rPr>
            </w:pPr>
          </w:p>
        </w:tc>
        <w:tc>
          <w:tcPr>
            <w:tcW w:w="349" w:type="dxa"/>
            <w:tcBorders>
              <w:left w:val="single" w:color="000000" w:sz="2" w:space="0"/>
            </w:tcBorders>
            <w:vAlign w:val="top"/>
          </w:tcPr>
          <w:p w14:paraId="1615F11F">
            <w:pPr>
              <w:rPr>
                <w:rFonts w:ascii="Arial"/>
                <w:sz w:val="21"/>
                <w:highlight w:val="none"/>
              </w:rPr>
            </w:pPr>
          </w:p>
        </w:tc>
        <w:tc>
          <w:tcPr>
            <w:tcW w:w="374" w:type="dxa"/>
            <w:tcBorders>
              <w:right w:val="single" w:color="000000" w:sz="2" w:space="0"/>
            </w:tcBorders>
            <w:vAlign w:val="top"/>
          </w:tcPr>
          <w:p w14:paraId="7D2ED095">
            <w:pPr>
              <w:rPr>
                <w:rFonts w:ascii="Arial"/>
                <w:sz w:val="21"/>
                <w:highlight w:val="none"/>
              </w:rPr>
            </w:pPr>
          </w:p>
        </w:tc>
        <w:tc>
          <w:tcPr>
            <w:tcW w:w="394" w:type="dxa"/>
            <w:tcBorders>
              <w:left w:val="single" w:color="000000" w:sz="2" w:space="0"/>
              <w:right w:val="single" w:color="000000" w:sz="10" w:space="0"/>
            </w:tcBorders>
            <w:vAlign w:val="top"/>
          </w:tcPr>
          <w:p w14:paraId="7771224F">
            <w:pPr>
              <w:rPr>
                <w:rFonts w:ascii="Arial"/>
                <w:sz w:val="21"/>
                <w:highlight w:val="none"/>
              </w:rPr>
            </w:pPr>
          </w:p>
        </w:tc>
      </w:tr>
      <w:tr w14:paraId="102A9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37" w:type="dxa"/>
            <w:tcBorders>
              <w:left w:val="single" w:color="000000" w:sz="10" w:space="0"/>
            </w:tcBorders>
            <w:vAlign w:val="center"/>
          </w:tcPr>
          <w:p w14:paraId="5D6B47CD">
            <w:pPr>
              <w:pStyle w:val="26"/>
              <w:spacing w:before="105" w:line="189" w:lineRule="auto"/>
              <w:jc w:val="center"/>
              <w:rPr>
                <w:sz w:val="22"/>
                <w:szCs w:val="22"/>
                <w:highlight w:val="none"/>
              </w:rPr>
            </w:pPr>
            <w:r>
              <w:rPr>
                <w:sz w:val="22"/>
                <w:szCs w:val="22"/>
                <w:highlight w:val="none"/>
              </w:rPr>
              <w:t>8</w:t>
            </w:r>
          </w:p>
        </w:tc>
        <w:tc>
          <w:tcPr>
            <w:tcW w:w="7699" w:type="dxa"/>
            <w:tcBorders>
              <w:right w:val="single" w:color="000000" w:sz="2" w:space="0"/>
            </w:tcBorders>
            <w:vAlign w:val="center"/>
          </w:tcPr>
          <w:p w14:paraId="7CBA5CF3">
            <w:pPr>
              <w:pStyle w:val="26"/>
              <w:spacing w:before="41" w:line="239" w:lineRule="auto"/>
              <w:ind w:left="102" w:right="94" w:firstLine="2"/>
              <w:jc w:val="left"/>
              <w:rPr>
                <w:rFonts w:hint="eastAsia"/>
                <w:spacing w:val="9"/>
                <w:highlight w:val="none"/>
                <w:lang w:eastAsia="zh-CN"/>
              </w:rPr>
            </w:pPr>
            <w:r>
              <w:rPr>
                <w:rFonts w:hint="eastAsia"/>
                <w:highlight w:val="none"/>
              </w:rPr>
              <w:t>根据《财政部关于在政府采购活动中查询及使用信用记录有关问题的通知》（财库﹝2016)125号）的要求，凡拟参加本次项目的投标人，在“信用中国”网站（http://www.creditchina.gov.cn）网站上被列入失信被执行人名单、重大税收违法案件当事人名单；中国政府采购网（http://www.ccgp.gov.cn）网站上被列入政府采购严重违法失信行为记录名单；国家企业信用信息公示系统(http://www.gsxt.gov.cn)查询被列入经营异常名录、严重违法失信名单的投标人将被认定为投标无效；需提供相关网站打印件（加盖响应单位公章、必须为完整版）提供截图日期需在本项目发布公告日期之后；</w:t>
            </w:r>
          </w:p>
        </w:tc>
        <w:tc>
          <w:tcPr>
            <w:tcW w:w="437" w:type="dxa"/>
            <w:tcBorders>
              <w:left w:val="single" w:color="000000" w:sz="2" w:space="0"/>
              <w:right w:val="single" w:color="000000" w:sz="2" w:space="0"/>
            </w:tcBorders>
            <w:vAlign w:val="top"/>
          </w:tcPr>
          <w:p w14:paraId="614BA59E">
            <w:pPr>
              <w:rPr>
                <w:rFonts w:ascii="Arial"/>
                <w:sz w:val="21"/>
                <w:highlight w:val="none"/>
              </w:rPr>
            </w:pPr>
          </w:p>
        </w:tc>
        <w:tc>
          <w:tcPr>
            <w:tcW w:w="349" w:type="dxa"/>
            <w:tcBorders>
              <w:left w:val="single" w:color="000000" w:sz="2" w:space="0"/>
            </w:tcBorders>
            <w:vAlign w:val="top"/>
          </w:tcPr>
          <w:p w14:paraId="144459F0">
            <w:pPr>
              <w:rPr>
                <w:rFonts w:ascii="Arial"/>
                <w:sz w:val="21"/>
                <w:highlight w:val="none"/>
              </w:rPr>
            </w:pPr>
          </w:p>
        </w:tc>
        <w:tc>
          <w:tcPr>
            <w:tcW w:w="374" w:type="dxa"/>
            <w:tcBorders>
              <w:right w:val="single" w:color="000000" w:sz="2" w:space="0"/>
            </w:tcBorders>
            <w:vAlign w:val="top"/>
          </w:tcPr>
          <w:p w14:paraId="22C74311">
            <w:pPr>
              <w:rPr>
                <w:rFonts w:ascii="Arial"/>
                <w:sz w:val="21"/>
                <w:highlight w:val="none"/>
              </w:rPr>
            </w:pPr>
          </w:p>
        </w:tc>
        <w:tc>
          <w:tcPr>
            <w:tcW w:w="394" w:type="dxa"/>
            <w:tcBorders>
              <w:left w:val="single" w:color="000000" w:sz="2" w:space="0"/>
              <w:right w:val="single" w:color="000000" w:sz="10" w:space="0"/>
            </w:tcBorders>
            <w:vAlign w:val="top"/>
          </w:tcPr>
          <w:p w14:paraId="1AD616C5">
            <w:pPr>
              <w:rPr>
                <w:rFonts w:ascii="Arial"/>
                <w:sz w:val="21"/>
                <w:highlight w:val="none"/>
              </w:rPr>
            </w:pPr>
          </w:p>
        </w:tc>
      </w:tr>
      <w:tr w14:paraId="67ABC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37" w:type="dxa"/>
            <w:tcBorders>
              <w:left w:val="single" w:color="000000" w:sz="10" w:space="0"/>
            </w:tcBorders>
            <w:vAlign w:val="center"/>
          </w:tcPr>
          <w:p w14:paraId="1D6A439F">
            <w:pPr>
              <w:pStyle w:val="26"/>
              <w:spacing w:before="105" w:line="189" w:lineRule="auto"/>
              <w:ind w:left="205"/>
              <w:jc w:val="center"/>
              <w:rPr>
                <w:rFonts w:hint="eastAsia" w:eastAsia="方正仿宋_GBK"/>
                <w:sz w:val="22"/>
                <w:szCs w:val="22"/>
                <w:highlight w:val="none"/>
                <w:lang w:val="en-US" w:eastAsia="zh-CN"/>
              </w:rPr>
            </w:pPr>
            <w:r>
              <w:rPr>
                <w:rFonts w:hint="eastAsia"/>
                <w:sz w:val="22"/>
                <w:szCs w:val="22"/>
                <w:highlight w:val="none"/>
                <w:lang w:val="en-US" w:eastAsia="zh-CN"/>
              </w:rPr>
              <w:t>9</w:t>
            </w:r>
          </w:p>
        </w:tc>
        <w:tc>
          <w:tcPr>
            <w:tcW w:w="7699" w:type="dxa"/>
            <w:tcBorders>
              <w:right w:val="single" w:color="000000" w:sz="2" w:space="0"/>
            </w:tcBorders>
            <w:vAlign w:val="center"/>
          </w:tcPr>
          <w:p w14:paraId="5783A380">
            <w:pPr>
              <w:pStyle w:val="26"/>
              <w:spacing w:before="41" w:line="239" w:lineRule="auto"/>
              <w:ind w:left="102" w:right="94" w:firstLine="2"/>
              <w:jc w:val="left"/>
              <w:rPr>
                <w:rFonts w:hint="eastAsia"/>
                <w:spacing w:val="9"/>
                <w:highlight w:val="none"/>
                <w:lang w:eastAsia="zh-CN"/>
              </w:rPr>
            </w:pPr>
            <w:r>
              <w:rPr>
                <w:rFonts w:hint="eastAsia"/>
                <w:spacing w:val="9"/>
                <w:highlight w:val="none"/>
                <w:lang w:eastAsia="zh-CN"/>
              </w:rPr>
              <w:t>缴纳投标保证金（电汇或转账）凭证或保函扫描件；</w:t>
            </w:r>
          </w:p>
        </w:tc>
        <w:tc>
          <w:tcPr>
            <w:tcW w:w="437" w:type="dxa"/>
            <w:tcBorders>
              <w:left w:val="single" w:color="000000" w:sz="2" w:space="0"/>
              <w:right w:val="single" w:color="000000" w:sz="2" w:space="0"/>
            </w:tcBorders>
            <w:vAlign w:val="top"/>
          </w:tcPr>
          <w:p w14:paraId="37F74938">
            <w:pPr>
              <w:rPr>
                <w:rFonts w:ascii="Arial"/>
                <w:sz w:val="21"/>
                <w:highlight w:val="none"/>
              </w:rPr>
            </w:pPr>
          </w:p>
        </w:tc>
        <w:tc>
          <w:tcPr>
            <w:tcW w:w="349" w:type="dxa"/>
            <w:tcBorders>
              <w:left w:val="single" w:color="000000" w:sz="2" w:space="0"/>
            </w:tcBorders>
            <w:vAlign w:val="top"/>
          </w:tcPr>
          <w:p w14:paraId="3D9B55C1">
            <w:pPr>
              <w:rPr>
                <w:rFonts w:ascii="Arial"/>
                <w:sz w:val="21"/>
                <w:highlight w:val="none"/>
              </w:rPr>
            </w:pPr>
          </w:p>
        </w:tc>
        <w:tc>
          <w:tcPr>
            <w:tcW w:w="374" w:type="dxa"/>
            <w:tcBorders>
              <w:right w:val="single" w:color="000000" w:sz="2" w:space="0"/>
            </w:tcBorders>
            <w:vAlign w:val="top"/>
          </w:tcPr>
          <w:p w14:paraId="1BAD7CF2">
            <w:pPr>
              <w:rPr>
                <w:rFonts w:ascii="Arial"/>
                <w:sz w:val="21"/>
                <w:highlight w:val="none"/>
              </w:rPr>
            </w:pPr>
          </w:p>
        </w:tc>
        <w:tc>
          <w:tcPr>
            <w:tcW w:w="394" w:type="dxa"/>
            <w:tcBorders>
              <w:left w:val="single" w:color="000000" w:sz="2" w:space="0"/>
              <w:right w:val="single" w:color="000000" w:sz="10" w:space="0"/>
            </w:tcBorders>
            <w:vAlign w:val="top"/>
          </w:tcPr>
          <w:p w14:paraId="10DBEB99">
            <w:pPr>
              <w:rPr>
                <w:rFonts w:ascii="Arial"/>
                <w:sz w:val="21"/>
                <w:highlight w:val="none"/>
              </w:rPr>
            </w:pPr>
          </w:p>
        </w:tc>
      </w:tr>
      <w:tr w14:paraId="21CA4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37" w:type="dxa"/>
            <w:tcBorders>
              <w:left w:val="single" w:color="000000" w:sz="10" w:space="0"/>
            </w:tcBorders>
            <w:vAlign w:val="center"/>
          </w:tcPr>
          <w:p w14:paraId="7449177A">
            <w:pPr>
              <w:pStyle w:val="26"/>
              <w:spacing w:before="105" w:line="189" w:lineRule="auto"/>
              <w:ind w:left="205"/>
              <w:jc w:val="center"/>
              <w:rPr>
                <w:rFonts w:hint="default"/>
                <w:sz w:val="22"/>
                <w:szCs w:val="22"/>
                <w:highlight w:val="none"/>
                <w:lang w:val="en-US" w:eastAsia="zh-CN"/>
              </w:rPr>
            </w:pPr>
            <w:r>
              <w:rPr>
                <w:rFonts w:hint="eastAsia"/>
                <w:sz w:val="22"/>
                <w:szCs w:val="22"/>
                <w:highlight w:val="none"/>
                <w:lang w:val="en-US" w:eastAsia="zh-CN"/>
              </w:rPr>
              <w:t>10</w:t>
            </w:r>
          </w:p>
        </w:tc>
        <w:tc>
          <w:tcPr>
            <w:tcW w:w="7699" w:type="dxa"/>
            <w:tcBorders>
              <w:right w:val="single" w:color="000000" w:sz="2" w:space="0"/>
            </w:tcBorders>
            <w:vAlign w:val="center"/>
          </w:tcPr>
          <w:p w14:paraId="67DC0B8D">
            <w:pPr>
              <w:pStyle w:val="26"/>
              <w:spacing w:before="41" w:line="239" w:lineRule="auto"/>
              <w:ind w:right="94"/>
              <w:jc w:val="left"/>
              <w:rPr>
                <w:rFonts w:hint="eastAsia"/>
                <w:spacing w:val="9"/>
                <w:highlight w:val="none"/>
                <w:lang w:eastAsia="zh-CN"/>
              </w:rPr>
            </w:pPr>
            <w:r>
              <w:rPr>
                <w:rFonts w:hint="eastAsia"/>
                <w:spacing w:val="9"/>
                <w:highlight w:val="none"/>
                <w:lang w:eastAsia="zh-CN"/>
              </w:rPr>
              <w:t>具有省级部门认定的农民培训资格或者具有主管部门颁发的办学许可证</w:t>
            </w:r>
          </w:p>
        </w:tc>
        <w:tc>
          <w:tcPr>
            <w:tcW w:w="437" w:type="dxa"/>
            <w:tcBorders>
              <w:left w:val="single" w:color="000000" w:sz="2" w:space="0"/>
              <w:right w:val="single" w:color="000000" w:sz="2" w:space="0"/>
            </w:tcBorders>
            <w:vAlign w:val="top"/>
          </w:tcPr>
          <w:p w14:paraId="0322FA08">
            <w:pPr>
              <w:pStyle w:val="26"/>
              <w:spacing w:before="41" w:line="239" w:lineRule="auto"/>
              <w:ind w:left="102" w:right="94" w:firstLine="2"/>
              <w:jc w:val="left"/>
              <w:rPr>
                <w:rFonts w:hint="eastAsia"/>
                <w:spacing w:val="9"/>
                <w:highlight w:val="none"/>
                <w:lang w:eastAsia="zh-CN"/>
              </w:rPr>
            </w:pPr>
          </w:p>
        </w:tc>
        <w:tc>
          <w:tcPr>
            <w:tcW w:w="349" w:type="dxa"/>
            <w:tcBorders>
              <w:left w:val="single" w:color="000000" w:sz="2" w:space="0"/>
            </w:tcBorders>
            <w:vAlign w:val="top"/>
          </w:tcPr>
          <w:p w14:paraId="2B823573">
            <w:pPr>
              <w:rPr>
                <w:rFonts w:ascii="Arial"/>
                <w:sz w:val="21"/>
                <w:highlight w:val="none"/>
              </w:rPr>
            </w:pPr>
          </w:p>
        </w:tc>
        <w:tc>
          <w:tcPr>
            <w:tcW w:w="374" w:type="dxa"/>
            <w:tcBorders>
              <w:right w:val="single" w:color="000000" w:sz="2" w:space="0"/>
            </w:tcBorders>
            <w:vAlign w:val="top"/>
          </w:tcPr>
          <w:p w14:paraId="4AF47EB7">
            <w:pPr>
              <w:rPr>
                <w:rFonts w:ascii="Arial"/>
                <w:sz w:val="21"/>
                <w:highlight w:val="none"/>
              </w:rPr>
            </w:pPr>
          </w:p>
        </w:tc>
        <w:tc>
          <w:tcPr>
            <w:tcW w:w="394" w:type="dxa"/>
            <w:tcBorders>
              <w:left w:val="single" w:color="000000" w:sz="2" w:space="0"/>
              <w:right w:val="single" w:color="000000" w:sz="10" w:space="0"/>
            </w:tcBorders>
            <w:vAlign w:val="top"/>
          </w:tcPr>
          <w:p w14:paraId="74C84C93">
            <w:pPr>
              <w:rPr>
                <w:rFonts w:ascii="Arial"/>
                <w:sz w:val="21"/>
                <w:highlight w:val="none"/>
              </w:rPr>
            </w:pPr>
          </w:p>
        </w:tc>
      </w:tr>
    </w:tbl>
    <w:p w14:paraId="4F5E121E">
      <w:pPr>
        <w:spacing w:before="80" w:line="230" w:lineRule="auto"/>
        <w:ind w:left="780"/>
        <w:rPr>
          <w:rFonts w:ascii="方正仿宋_GBK" w:hAnsi="方正仿宋_GBK" w:eastAsia="方正仿宋_GBK" w:cs="方正仿宋_GBK"/>
          <w:sz w:val="22"/>
          <w:szCs w:val="22"/>
          <w:highlight w:val="none"/>
        </w:rPr>
      </w:pPr>
      <w:r>
        <w:rPr>
          <w:rFonts w:ascii="方正仿宋_GBK" w:hAnsi="方正仿宋_GBK" w:eastAsia="方正仿宋_GBK" w:cs="方正仿宋_GBK"/>
          <w:sz w:val="22"/>
          <w:szCs w:val="22"/>
          <w:highlight w:val="none"/>
        </w:rPr>
        <w:t>说明</w:t>
      </w:r>
      <w:r>
        <w:rPr>
          <w:rFonts w:ascii="方正仿宋_GBK" w:hAnsi="方正仿宋_GBK" w:eastAsia="方正仿宋_GBK" w:cs="方正仿宋_GBK"/>
          <w:spacing w:val="-24"/>
          <w:sz w:val="22"/>
          <w:szCs w:val="22"/>
          <w:highlight w:val="none"/>
        </w:rPr>
        <w:t>：（</w:t>
      </w:r>
      <w:r>
        <w:rPr>
          <w:rFonts w:ascii="方正仿宋_GBK" w:hAnsi="方正仿宋_GBK" w:eastAsia="方正仿宋_GBK" w:cs="方正仿宋_GBK"/>
          <w:sz w:val="22"/>
          <w:szCs w:val="22"/>
          <w:highlight w:val="none"/>
        </w:rPr>
        <w:t>1）上述各项中用“√”表示通过，“×”表示不通过；</w:t>
      </w:r>
    </w:p>
    <w:p w14:paraId="56914777">
      <w:pPr>
        <w:spacing w:before="113" w:line="287" w:lineRule="auto"/>
        <w:ind w:left="1627" w:right="768" w:hanging="28"/>
        <w:rPr>
          <w:rFonts w:ascii="方正仿宋_GBK" w:hAnsi="方正仿宋_GBK" w:eastAsia="方正仿宋_GBK" w:cs="方正仿宋_GBK"/>
          <w:sz w:val="22"/>
          <w:szCs w:val="22"/>
          <w:highlight w:val="none"/>
        </w:rPr>
      </w:pPr>
      <w:r>
        <w:rPr>
          <w:rFonts w:ascii="方正仿宋_GBK" w:hAnsi="方正仿宋_GBK" w:eastAsia="方正仿宋_GBK" w:cs="方正仿宋_GBK"/>
          <w:sz w:val="22"/>
          <w:szCs w:val="22"/>
          <w:highlight w:val="none"/>
        </w:rPr>
        <w:t>（2）上述各项中如有一项为“×”，则结论为“不合格”，表示该投标文件</w:t>
      </w:r>
      <w:r>
        <w:rPr>
          <w:rFonts w:ascii="方正仿宋_GBK" w:hAnsi="方正仿宋_GBK" w:eastAsia="方正仿宋_GBK" w:cs="方正仿宋_GBK"/>
          <w:spacing w:val="-2"/>
          <w:sz w:val="22"/>
          <w:szCs w:val="22"/>
          <w:highlight w:val="none"/>
        </w:rPr>
        <w:t>中存在重大偏差，不能通过评审；评委对某一分项评审认为不合格时，必须要</w:t>
      </w:r>
      <w:r>
        <w:rPr>
          <w:rFonts w:ascii="方正仿宋_GBK" w:hAnsi="方正仿宋_GBK" w:eastAsia="方正仿宋_GBK" w:cs="方正仿宋_GBK"/>
          <w:spacing w:val="-7"/>
          <w:sz w:val="22"/>
          <w:szCs w:val="22"/>
          <w:highlight w:val="none"/>
        </w:rPr>
        <w:t>写明原因。</w:t>
      </w:r>
    </w:p>
    <w:p w14:paraId="1B06604E">
      <w:pPr>
        <w:spacing w:before="104" w:line="286" w:lineRule="auto"/>
        <w:ind w:left="1620" w:right="764" w:hanging="21"/>
        <w:rPr>
          <w:rFonts w:ascii="方正仿宋_GBK" w:hAnsi="方正仿宋_GBK" w:eastAsia="方正仿宋_GBK" w:cs="方正仿宋_GBK"/>
          <w:sz w:val="22"/>
          <w:szCs w:val="22"/>
          <w:highlight w:val="none"/>
        </w:rPr>
      </w:pPr>
      <w:r>
        <w:rPr>
          <w:rFonts w:ascii="方正仿宋_GBK" w:hAnsi="方正仿宋_GBK" w:eastAsia="方正仿宋_GBK" w:cs="方正仿宋_GBK"/>
          <w:sz w:val="22"/>
          <w:szCs w:val="22"/>
          <w:highlight w:val="none"/>
        </w:rPr>
        <w:t>（3）投标文件最终合格与否，以所有评委的评审意见中少数服从多数为原则</w:t>
      </w:r>
      <w:r>
        <w:rPr>
          <w:rFonts w:ascii="方正仿宋_GBK" w:hAnsi="方正仿宋_GBK" w:eastAsia="方正仿宋_GBK" w:cs="方正仿宋_GBK"/>
          <w:spacing w:val="-2"/>
          <w:sz w:val="22"/>
          <w:szCs w:val="22"/>
          <w:highlight w:val="none"/>
        </w:rPr>
        <w:t>定论。未通过资格审查的投标人不进入评标；通过资格审查的投标人不足三家</w:t>
      </w:r>
      <w:r>
        <w:rPr>
          <w:rFonts w:ascii="方正仿宋_GBK" w:hAnsi="方正仿宋_GBK" w:eastAsia="方正仿宋_GBK" w:cs="方正仿宋_GBK"/>
          <w:spacing w:val="-4"/>
          <w:sz w:val="22"/>
          <w:szCs w:val="22"/>
          <w:highlight w:val="none"/>
        </w:rPr>
        <w:t>的，不得评标。</w:t>
      </w:r>
    </w:p>
    <w:p w14:paraId="7F55F5A9">
      <w:pPr>
        <w:spacing w:line="286" w:lineRule="auto"/>
        <w:rPr>
          <w:rFonts w:ascii="方正仿宋_GBK" w:hAnsi="方正仿宋_GBK" w:eastAsia="方正仿宋_GBK" w:cs="方正仿宋_GBK"/>
          <w:sz w:val="22"/>
          <w:szCs w:val="22"/>
          <w:highlight w:val="none"/>
        </w:rPr>
        <w:sectPr>
          <w:footerReference r:id="rId30" w:type="default"/>
          <w:pgSz w:w="11906" w:h="16838"/>
          <w:pgMar w:top="1440" w:right="1080" w:bottom="1440" w:left="1080" w:header="0" w:footer="1190" w:gutter="0"/>
          <w:pgNumType w:fmt="decimal"/>
          <w:cols w:space="720" w:num="1"/>
        </w:sectPr>
      </w:pPr>
    </w:p>
    <w:p w14:paraId="36C18B60">
      <w:pPr>
        <w:spacing w:line="261" w:lineRule="auto"/>
        <w:rPr>
          <w:rFonts w:ascii="Arial"/>
          <w:sz w:val="21"/>
          <w:highlight w:val="none"/>
        </w:rPr>
      </w:pPr>
    </w:p>
    <w:p w14:paraId="3903DB6E">
      <w:pPr>
        <w:spacing w:line="261" w:lineRule="auto"/>
        <w:rPr>
          <w:rFonts w:ascii="Arial"/>
          <w:sz w:val="21"/>
          <w:highlight w:val="none"/>
        </w:rPr>
      </w:pPr>
    </w:p>
    <w:p w14:paraId="65077D70">
      <w:pPr>
        <w:spacing w:before="103" w:line="233" w:lineRule="auto"/>
        <w:ind w:left="3463"/>
        <w:outlineLvl w:val="0"/>
        <w:rPr>
          <w:rFonts w:ascii="方正仿宋_GBK" w:hAnsi="方正仿宋_GBK" w:eastAsia="方正仿宋_GBK" w:cs="方正仿宋_GBK"/>
          <w:sz w:val="28"/>
          <w:szCs w:val="28"/>
          <w:highlight w:val="none"/>
        </w:rPr>
      </w:pPr>
      <w:r>
        <w:rPr>
          <w:rFonts w:ascii="方正仿宋_GBK" w:hAnsi="方正仿宋_GBK" w:eastAsia="方正仿宋_GBK" w:cs="方正仿宋_GBK"/>
          <w:b/>
          <w:bCs/>
          <w:spacing w:val="-4"/>
          <w:sz w:val="28"/>
          <w:szCs w:val="28"/>
          <w:highlight w:val="none"/>
        </w:rPr>
        <w:t>初步评审--符合性审查表</w:t>
      </w:r>
    </w:p>
    <w:p w14:paraId="52090B6A">
      <w:pPr>
        <w:pStyle w:val="7"/>
        <w:spacing w:line="317" w:lineRule="auto"/>
        <w:rPr>
          <w:highlight w:val="none"/>
        </w:rPr>
      </w:pPr>
    </w:p>
    <w:p w14:paraId="2041F79B">
      <w:pPr>
        <w:spacing w:before="102" w:line="230" w:lineRule="auto"/>
        <w:ind w:left="915"/>
        <w:outlineLvl w:val="0"/>
        <w:rPr>
          <w:rFonts w:ascii="方正仿宋_GBK" w:hAnsi="方正仿宋_GBK" w:eastAsia="方正仿宋_GBK" w:cs="方正仿宋_GBK"/>
          <w:sz w:val="28"/>
          <w:szCs w:val="28"/>
          <w:highlight w:val="none"/>
        </w:rPr>
      </w:pPr>
      <w:r>
        <w:rPr>
          <w:rFonts w:ascii="方正仿宋_GBK" w:hAnsi="方正仿宋_GBK" w:eastAsia="方正仿宋_GBK" w:cs="方正仿宋_GBK"/>
          <w:spacing w:val="-2"/>
          <w:sz w:val="28"/>
          <w:szCs w:val="28"/>
          <w:highlight w:val="none"/>
        </w:rPr>
        <w:t>符合性检查包含下列内容</w:t>
      </w:r>
    </w:p>
    <w:p w14:paraId="425DA796">
      <w:pPr>
        <w:spacing w:line="50" w:lineRule="exact"/>
        <w:rPr>
          <w:highlight w:val="none"/>
        </w:rPr>
      </w:pPr>
    </w:p>
    <w:tbl>
      <w:tblPr>
        <w:tblStyle w:val="25"/>
        <w:tblW w:w="9866"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3"/>
        <w:gridCol w:w="700"/>
        <w:gridCol w:w="7088"/>
        <w:gridCol w:w="663"/>
        <w:gridCol w:w="642"/>
      </w:tblGrid>
      <w:tr w14:paraId="66EC9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73" w:type="dxa"/>
            <w:tcBorders>
              <w:top w:val="single" w:color="000000" w:sz="2" w:space="0"/>
              <w:left w:val="single" w:color="000000" w:sz="2" w:space="0"/>
            </w:tcBorders>
            <w:vAlign w:val="top"/>
          </w:tcPr>
          <w:p w14:paraId="0A9D4C6B">
            <w:pPr>
              <w:pStyle w:val="26"/>
              <w:spacing w:before="185" w:line="341" w:lineRule="exact"/>
              <w:ind w:left="122"/>
              <w:outlineLvl w:val="0"/>
              <w:rPr>
                <w:highlight w:val="none"/>
              </w:rPr>
            </w:pPr>
            <w:r>
              <w:rPr>
                <w:b/>
                <w:bCs/>
                <w:position w:val="3"/>
                <w:highlight w:val="none"/>
              </w:rPr>
              <w:t>项目</w:t>
            </w:r>
          </w:p>
        </w:tc>
        <w:tc>
          <w:tcPr>
            <w:tcW w:w="7788" w:type="dxa"/>
            <w:gridSpan w:val="2"/>
            <w:tcBorders>
              <w:top w:val="single" w:color="000000" w:sz="2" w:space="0"/>
            </w:tcBorders>
            <w:vAlign w:val="top"/>
          </w:tcPr>
          <w:p w14:paraId="2F9043AC">
            <w:pPr>
              <w:pStyle w:val="26"/>
              <w:spacing w:before="186" w:line="237" w:lineRule="auto"/>
              <w:ind w:left="3423"/>
              <w:outlineLvl w:val="0"/>
              <w:rPr>
                <w:highlight w:val="none"/>
              </w:rPr>
            </w:pPr>
            <w:r>
              <w:rPr>
                <w:b/>
                <w:bCs/>
                <w:spacing w:val="4"/>
                <w:highlight w:val="none"/>
              </w:rPr>
              <w:t>评审内容</w:t>
            </w:r>
          </w:p>
        </w:tc>
        <w:tc>
          <w:tcPr>
            <w:tcW w:w="1305" w:type="dxa"/>
            <w:gridSpan w:val="2"/>
            <w:tcBorders>
              <w:top w:val="single" w:color="000000" w:sz="2" w:space="0"/>
              <w:right w:val="single" w:color="000000" w:sz="2" w:space="0"/>
            </w:tcBorders>
            <w:vAlign w:val="top"/>
          </w:tcPr>
          <w:p w14:paraId="6873082A">
            <w:pPr>
              <w:pStyle w:val="26"/>
              <w:spacing w:before="185" w:line="241" w:lineRule="auto"/>
              <w:ind w:left="180"/>
              <w:outlineLvl w:val="0"/>
              <w:rPr>
                <w:highlight w:val="none"/>
              </w:rPr>
            </w:pPr>
            <w:r>
              <w:rPr>
                <w:b/>
                <w:bCs/>
                <w:spacing w:val="4"/>
                <w:highlight w:val="none"/>
              </w:rPr>
              <w:t>评审意见</w:t>
            </w:r>
          </w:p>
        </w:tc>
      </w:tr>
      <w:tr w14:paraId="281C0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73" w:type="dxa"/>
            <w:tcBorders>
              <w:left w:val="single" w:color="000000" w:sz="2" w:space="0"/>
              <w:bottom w:val="single" w:color="000000" w:sz="2" w:space="0"/>
            </w:tcBorders>
            <w:vAlign w:val="top"/>
          </w:tcPr>
          <w:p w14:paraId="0A7475DC">
            <w:pPr>
              <w:rPr>
                <w:rFonts w:ascii="Arial"/>
                <w:sz w:val="21"/>
                <w:highlight w:val="none"/>
              </w:rPr>
            </w:pPr>
          </w:p>
        </w:tc>
        <w:tc>
          <w:tcPr>
            <w:tcW w:w="7788" w:type="dxa"/>
            <w:gridSpan w:val="2"/>
            <w:tcBorders>
              <w:bottom w:val="single" w:color="000000" w:sz="2" w:space="0"/>
            </w:tcBorders>
            <w:vAlign w:val="top"/>
          </w:tcPr>
          <w:p w14:paraId="3DB6F4DE">
            <w:pPr>
              <w:rPr>
                <w:rFonts w:ascii="Arial"/>
                <w:sz w:val="21"/>
                <w:highlight w:val="none"/>
              </w:rPr>
            </w:pPr>
          </w:p>
        </w:tc>
        <w:tc>
          <w:tcPr>
            <w:tcW w:w="663" w:type="dxa"/>
            <w:vAlign w:val="top"/>
          </w:tcPr>
          <w:p w14:paraId="50541EAE">
            <w:pPr>
              <w:pStyle w:val="26"/>
              <w:spacing w:before="123" w:line="225" w:lineRule="auto"/>
              <w:ind w:left="222"/>
              <w:outlineLvl w:val="0"/>
              <w:rPr>
                <w:highlight w:val="none"/>
              </w:rPr>
            </w:pPr>
            <w:r>
              <w:rPr>
                <w:b/>
                <w:bCs/>
                <w:spacing w:val="-3"/>
                <w:highlight w:val="none"/>
              </w:rPr>
              <w:t>是</w:t>
            </w:r>
          </w:p>
        </w:tc>
        <w:tc>
          <w:tcPr>
            <w:tcW w:w="642" w:type="dxa"/>
            <w:tcBorders>
              <w:right w:val="single" w:color="000000" w:sz="2" w:space="0"/>
            </w:tcBorders>
            <w:vAlign w:val="top"/>
          </w:tcPr>
          <w:p w14:paraId="73CD3CF0">
            <w:pPr>
              <w:pStyle w:val="26"/>
              <w:spacing w:before="150" w:line="200" w:lineRule="auto"/>
              <w:ind w:left="218"/>
              <w:outlineLvl w:val="0"/>
              <w:rPr>
                <w:highlight w:val="none"/>
              </w:rPr>
            </w:pPr>
            <w:r>
              <w:rPr>
                <w:b/>
                <w:bCs/>
                <w:spacing w:val="-3"/>
                <w:highlight w:val="none"/>
              </w:rPr>
              <w:t>否</w:t>
            </w:r>
          </w:p>
        </w:tc>
      </w:tr>
      <w:tr w14:paraId="097B4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773" w:type="dxa"/>
            <w:vMerge w:val="restart"/>
            <w:tcBorders>
              <w:top w:val="single" w:color="000000" w:sz="2" w:space="0"/>
              <w:left w:val="single" w:color="000000" w:sz="2" w:space="0"/>
              <w:bottom w:val="nil"/>
              <w:right w:val="single" w:color="000000" w:sz="2" w:space="0"/>
            </w:tcBorders>
            <w:textDirection w:val="tbRlV"/>
            <w:vAlign w:val="top"/>
          </w:tcPr>
          <w:p w14:paraId="62AA3E0C">
            <w:pPr>
              <w:pStyle w:val="26"/>
              <w:spacing w:before="263" w:line="207" w:lineRule="auto"/>
              <w:ind w:left="3432"/>
              <w:rPr>
                <w:highlight w:val="none"/>
              </w:rPr>
            </w:pPr>
            <w:r>
              <w:rPr>
                <w:spacing w:val="23"/>
                <w:highlight w:val="none"/>
              </w:rPr>
              <w:t>审查标准</w:t>
            </w:r>
          </w:p>
        </w:tc>
        <w:tc>
          <w:tcPr>
            <w:tcW w:w="700" w:type="dxa"/>
            <w:tcBorders>
              <w:top w:val="single" w:color="000000" w:sz="2" w:space="0"/>
              <w:left w:val="single" w:color="000000" w:sz="2" w:space="0"/>
              <w:right w:val="single" w:color="000000" w:sz="2" w:space="0"/>
            </w:tcBorders>
            <w:vAlign w:val="top"/>
          </w:tcPr>
          <w:p w14:paraId="071C75AC">
            <w:pPr>
              <w:pStyle w:val="26"/>
              <w:spacing w:before="281" w:line="196" w:lineRule="auto"/>
              <w:ind w:left="311"/>
              <w:rPr>
                <w:sz w:val="20"/>
                <w:szCs w:val="20"/>
                <w:highlight w:val="none"/>
              </w:rPr>
            </w:pPr>
            <w:r>
              <w:rPr>
                <w:sz w:val="20"/>
                <w:szCs w:val="20"/>
                <w:highlight w:val="none"/>
              </w:rPr>
              <w:t>1</w:t>
            </w:r>
          </w:p>
        </w:tc>
        <w:tc>
          <w:tcPr>
            <w:tcW w:w="7088" w:type="dxa"/>
            <w:tcBorders>
              <w:top w:val="single" w:color="000000" w:sz="2" w:space="0"/>
              <w:left w:val="single" w:color="000000" w:sz="2" w:space="0"/>
              <w:right w:val="single" w:color="000000" w:sz="2" w:space="0"/>
            </w:tcBorders>
            <w:vAlign w:val="top"/>
          </w:tcPr>
          <w:p w14:paraId="596053F6">
            <w:pPr>
              <w:pStyle w:val="26"/>
              <w:spacing w:before="74" w:line="238" w:lineRule="auto"/>
              <w:ind w:left="125"/>
              <w:outlineLvl w:val="0"/>
              <w:rPr>
                <w:sz w:val="20"/>
                <w:szCs w:val="20"/>
                <w:highlight w:val="none"/>
              </w:rPr>
            </w:pPr>
            <w:r>
              <w:rPr>
                <w:spacing w:val="9"/>
                <w:sz w:val="20"/>
                <w:szCs w:val="20"/>
                <w:highlight w:val="none"/>
              </w:rPr>
              <w:t>法定代表人（或企业负责人）为同一个人的两个及两个以上法人，母公司、</w:t>
            </w:r>
          </w:p>
          <w:p w14:paraId="047E0632">
            <w:pPr>
              <w:pStyle w:val="26"/>
              <w:spacing w:before="30" w:line="197" w:lineRule="auto"/>
              <w:ind w:left="115"/>
              <w:rPr>
                <w:sz w:val="20"/>
                <w:szCs w:val="20"/>
                <w:highlight w:val="none"/>
              </w:rPr>
            </w:pPr>
            <w:r>
              <w:rPr>
                <w:spacing w:val="9"/>
                <w:sz w:val="20"/>
                <w:szCs w:val="20"/>
                <w:highlight w:val="none"/>
              </w:rPr>
              <w:t>全资子公司及其控股公司，在同一项目中同时投标；</w:t>
            </w:r>
          </w:p>
        </w:tc>
        <w:tc>
          <w:tcPr>
            <w:tcW w:w="663" w:type="dxa"/>
            <w:tcBorders>
              <w:left w:val="single" w:color="000000" w:sz="2" w:space="0"/>
              <w:right w:val="single" w:color="000000" w:sz="2" w:space="0"/>
            </w:tcBorders>
            <w:vAlign w:val="top"/>
          </w:tcPr>
          <w:p w14:paraId="6D9FE6CF">
            <w:pPr>
              <w:rPr>
                <w:rFonts w:ascii="Arial"/>
                <w:sz w:val="21"/>
                <w:highlight w:val="none"/>
              </w:rPr>
            </w:pPr>
          </w:p>
        </w:tc>
        <w:tc>
          <w:tcPr>
            <w:tcW w:w="642" w:type="dxa"/>
            <w:tcBorders>
              <w:left w:val="single" w:color="000000" w:sz="2" w:space="0"/>
              <w:right w:val="single" w:color="000000" w:sz="2" w:space="0"/>
            </w:tcBorders>
            <w:vAlign w:val="top"/>
          </w:tcPr>
          <w:p w14:paraId="706AF32C">
            <w:pPr>
              <w:rPr>
                <w:rFonts w:ascii="Arial"/>
                <w:sz w:val="21"/>
                <w:highlight w:val="none"/>
              </w:rPr>
            </w:pPr>
          </w:p>
        </w:tc>
      </w:tr>
      <w:tr w14:paraId="20C3B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73" w:type="dxa"/>
            <w:vMerge w:val="continue"/>
            <w:tcBorders>
              <w:top w:val="nil"/>
              <w:left w:val="single" w:color="000000" w:sz="2" w:space="0"/>
              <w:bottom w:val="nil"/>
              <w:right w:val="single" w:color="000000" w:sz="2" w:space="0"/>
            </w:tcBorders>
            <w:textDirection w:val="tbRlV"/>
            <w:vAlign w:val="top"/>
          </w:tcPr>
          <w:p w14:paraId="5E22A786">
            <w:pPr>
              <w:rPr>
                <w:rFonts w:ascii="Arial"/>
                <w:sz w:val="21"/>
                <w:highlight w:val="none"/>
              </w:rPr>
            </w:pPr>
          </w:p>
        </w:tc>
        <w:tc>
          <w:tcPr>
            <w:tcW w:w="700" w:type="dxa"/>
            <w:tcBorders>
              <w:left w:val="single" w:color="000000" w:sz="2" w:space="0"/>
              <w:right w:val="single" w:color="000000" w:sz="2" w:space="0"/>
            </w:tcBorders>
            <w:vAlign w:val="top"/>
          </w:tcPr>
          <w:p w14:paraId="69605D3D">
            <w:pPr>
              <w:pStyle w:val="26"/>
              <w:spacing w:before="184" w:line="195" w:lineRule="auto"/>
              <w:ind w:left="307"/>
              <w:rPr>
                <w:sz w:val="20"/>
                <w:szCs w:val="20"/>
                <w:highlight w:val="none"/>
              </w:rPr>
            </w:pPr>
            <w:r>
              <w:rPr>
                <w:sz w:val="20"/>
                <w:szCs w:val="20"/>
                <w:highlight w:val="none"/>
              </w:rPr>
              <w:t>2</w:t>
            </w:r>
          </w:p>
        </w:tc>
        <w:tc>
          <w:tcPr>
            <w:tcW w:w="7088" w:type="dxa"/>
            <w:tcBorders>
              <w:left w:val="single" w:color="000000" w:sz="2" w:space="0"/>
              <w:right w:val="single" w:color="000000" w:sz="2" w:space="0"/>
            </w:tcBorders>
            <w:vAlign w:val="top"/>
          </w:tcPr>
          <w:p w14:paraId="210D7722">
            <w:pPr>
              <w:pStyle w:val="26"/>
              <w:spacing w:before="121" w:line="237" w:lineRule="auto"/>
              <w:ind w:left="115"/>
              <w:outlineLvl w:val="0"/>
              <w:rPr>
                <w:sz w:val="20"/>
                <w:szCs w:val="20"/>
                <w:highlight w:val="none"/>
              </w:rPr>
            </w:pPr>
            <w:r>
              <w:rPr>
                <w:spacing w:val="9"/>
                <w:sz w:val="20"/>
                <w:szCs w:val="20"/>
                <w:highlight w:val="none"/>
              </w:rPr>
              <w:t>投标文件中投标有效期不满足招标文件要求的；</w:t>
            </w:r>
          </w:p>
        </w:tc>
        <w:tc>
          <w:tcPr>
            <w:tcW w:w="663" w:type="dxa"/>
            <w:tcBorders>
              <w:left w:val="single" w:color="000000" w:sz="2" w:space="0"/>
              <w:right w:val="single" w:color="000000" w:sz="2" w:space="0"/>
            </w:tcBorders>
            <w:vAlign w:val="top"/>
          </w:tcPr>
          <w:p w14:paraId="54001EAA">
            <w:pPr>
              <w:rPr>
                <w:rFonts w:ascii="Arial"/>
                <w:sz w:val="21"/>
                <w:highlight w:val="none"/>
              </w:rPr>
            </w:pPr>
          </w:p>
        </w:tc>
        <w:tc>
          <w:tcPr>
            <w:tcW w:w="642" w:type="dxa"/>
            <w:tcBorders>
              <w:left w:val="single" w:color="000000" w:sz="2" w:space="0"/>
              <w:right w:val="single" w:color="000000" w:sz="2" w:space="0"/>
            </w:tcBorders>
            <w:vAlign w:val="top"/>
          </w:tcPr>
          <w:p w14:paraId="695F87ED">
            <w:pPr>
              <w:rPr>
                <w:rFonts w:ascii="Arial"/>
                <w:sz w:val="21"/>
                <w:highlight w:val="none"/>
              </w:rPr>
            </w:pPr>
          </w:p>
        </w:tc>
      </w:tr>
      <w:tr w14:paraId="50C31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773" w:type="dxa"/>
            <w:vMerge w:val="continue"/>
            <w:tcBorders>
              <w:top w:val="nil"/>
              <w:left w:val="single" w:color="000000" w:sz="2" w:space="0"/>
              <w:bottom w:val="nil"/>
              <w:right w:val="single" w:color="000000" w:sz="2" w:space="0"/>
            </w:tcBorders>
            <w:textDirection w:val="tbRlV"/>
            <w:vAlign w:val="top"/>
          </w:tcPr>
          <w:p w14:paraId="70DAFCEF">
            <w:pPr>
              <w:rPr>
                <w:rFonts w:ascii="Arial"/>
                <w:sz w:val="21"/>
                <w:highlight w:val="none"/>
              </w:rPr>
            </w:pPr>
          </w:p>
        </w:tc>
        <w:tc>
          <w:tcPr>
            <w:tcW w:w="700" w:type="dxa"/>
            <w:tcBorders>
              <w:left w:val="single" w:color="000000" w:sz="2" w:space="0"/>
              <w:right w:val="single" w:color="000000" w:sz="2" w:space="0"/>
            </w:tcBorders>
            <w:vAlign w:val="top"/>
          </w:tcPr>
          <w:p w14:paraId="67B2E1F2">
            <w:pPr>
              <w:spacing w:line="268" w:lineRule="auto"/>
              <w:rPr>
                <w:rFonts w:ascii="Arial"/>
                <w:sz w:val="21"/>
                <w:highlight w:val="none"/>
              </w:rPr>
            </w:pPr>
          </w:p>
          <w:p w14:paraId="784A643C">
            <w:pPr>
              <w:pStyle w:val="26"/>
              <w:spacing w:before="73" w:line="195" w:lineRule="auto"/>
              <w:ind w:left="303"/>
              <w:rPr>
                <w:sz w:val="20"/>
                <w:szCs w:val="20"/>
                <w:highlight w:val="none"/>
              </w:rPr>
            </w:pPr>
            <w:r>
              <w:rPr>
                <w:sz w:val="20"/>
                <w:szCs w:val="20"/>
                <w:highlight w:val="none"/>
              </w:rPr>
              <w:t>3</w:t>
            </w:r>
          </w:p>
        </w:tc>
        <w:tc>
          <w:tcPr>
            <w:tcW w:w="7088" w:type="dxa"/>
            <w:tcBorders>
              <w:left w:val="single" w:color="000000" w:sz="2" w:space="0"/>
              <w:right w:val="single" w:color="000000" w:sz="2" w:space="0"/>
            </w:tcBorders>
            <w:vAlign w:val="top"/>
          </w:tcPr>
          <w:p w14:paraId="63243A37">
            <w:pPr>
              <w:pStyle w:val="26"/>
              <w:spacing w:before="123" w:line="238" w:lineRule="auto"/>
              <w:ind w:left="115"/>
              <w:outlineLvl w:val="0"/>
              <w:rPr>
                <w:sz w:val="20"/>
                <w:szCs w:val="20"/>
                <w:highlight w:val="none"/>
              </w:rPr>
            </w:pPr>
            <w:r>
              <w:rPr>
                <w:spacing w:val="8"/>
                <w:sz w:val="20"/>
                <w:szCs w:val="20"/>
                <w:highlight w:val="none"/>
              </w:rPr>
              <w:t>投标人未按招标文件要求的格式填写，内容不全或关键字迹模糊、无</w:t>
            </w:r>
            <w:r>
              <w:rPr>
                <w:spacing w:val="7"/>
                <w:sz w:val="20"/>
                <w:szCs w:val="20"/>
                <w:highlight w:val="none"/>
              </w:rPr>
              <w:t>法辨认</w:t>
            </w:r>
          </w:p>
          <w:p w14:paraId="70213858">
            <w:pPr>
              <w:pStyle w:val="26"/>
              <w:spacing w:before="89" w:line="205" w:lineRule="auto"/>
              <w:ind w:left="134"/>
              <w:rPr>
                <w:sz w:val="20"/>
                <w:szCs w:val="20"/>
                <w:highlight w:val="none"/>
              </w:rPr>
            </w:pPr>
            <w:r>
              <w:rPr>
                <w:spacing w:val="-6"/>
                <w:sz w:val="20"/>
                <w:szCs w:val="20"/>
                <w:highlight w:val="none"/>
              </w:rPr>
              <w:t>的情况；</w:t>
            </w:r>
          </w:p>
        </w:tc>
        <w:tc>
          <w:tcPr>
            <w:tcW w:w="663" w:type="dxa"/>
            <w:tcBorders>
              <w:left w:val="single" w:color="000000" w:sz="2" w:space="0"/>
              <w:right w:val="single" w:color="000000" w:sz="2" w:space="0"/>
            </w:tcBorders>
            <w:vAlign w:val="top"/>
          </w:tcPr>
          <w:p w14:paraId="7214FE29">
            <w:pPr>
              <w:rPr>
                <w:rFonts w:ascii="Arial"/>
                <w:sz w:val="21"/>
                <w:highlight w:val="none"/>
              </w:rPr>
            </w:pPr>
          </w:p>
        </w:tc>
        <w:tc>
          <w:tcPr>
            <w:tcW w:w="642" w:type="dxa"/>
            <w:tcBorders>
              <w:left w:val="single" w:color="000000" w:sz="2" w:space="0"/>
              <w:right w:val="single" w:color="000000" w:sz="2" w:space="0"/>
            </w:tcBorders>
            <w:vAlign w:val="top"/>
          </w:tcPr>
          <w:p w14:paraId="16C6A1B2">
            <w:pPr>
              <w:rPr>
                <w:rFonts w:ascii="Arial"/>
                <w:sz w:val="21"/>
                <w:highlight w:val="none"/>
              </w:rPr>
            </w:pPr>
          </w:p>
        </w:tc>
      </w:tr>
      <w:tr w14:paraId="3B700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73" w:type="dxa"/>
            <w:vMerge w:val="continue"/>
            <w:tcBorders>
              <w:top w:val="nil"/>
              <w:left w:val="single" w:color="000000" w:sz="2" w:space="0"/>
              <w:bottom w:val="nil"/>
              <w:right w:val="single" w:color="000000" w:sz="2" w:space="0"/>
            </w:tcBorders>
            <w:textDirection w:val="tbRlV"/>
            <w:vAlign w:val="top"/>
          </w:tcPr>
          <w:p w14:paraId="728ACF8D">
            <w:pPr>
              <w:rPr>
                <w:rFonts w:ascii="Arial"/>
                <w:sz w:val="21"/>
                <w:highlight w:val="none"/>
              </w:rPr>
            </w:pPr>
          </w:p>
        </w:tc>
        <w:tc>
          <w:tcPr>
            <w:tcW w:w="700" w:type="dxa"/>
            <w:tcBorders>
              <w:left w:val="single" w:color="000000" w:sz="2" w:space="0"/>
              <w:right w:val="single" w:color="000000" w:sz="2" w:space="0"/>
            </w:tcBorders>
            <w:vAlign w:val="top"/>
          </w:tcPr>
          <w:p w14:paraId="66CB2DD3">
            <w:pPr>
              <w:pStyle w:val="26"/>
              <w:spacing w:before="186" w:line="195" w:lineRule="auto"/>
              <w:ind w:left="299"/>
              <w:rPr>
                <w:sz w:val="20"/>
                <w:szCs w:val="20"/>
                <w:highlight w:val="none"/>
              </w:rPr>
            </w:pPr>
            <w:r>
              <w:rPr>
                <w:sz w:val="20"/>
                <w:szCs w:val="20"/>
                <w:highlight w:val="none"/>
              </w:rPr>
              <w:t>4</w:t>
            </w:r>
          </w:p>
        </w:tc>
        <w:tc>
          <w:tcPr>
            <w:tcW w:w="7088" w:type="dxa"/>
            <w:tcBorders>
              <w:left w:val="single" w:color="000000" w:sz="2" w:space="0"/>
              <w:right w:val="single" w:color="000000" w:sz="2" w:space="0"/>
            </w:tcBorders>
            <w:vAlign w:val="top"/>
          </w:tcPr>
          <w:p w14:paraId="6DBA7F4C">
            <w:pPr>
              <w:pStyle w:val="26"/>
              <w:spacing w:before="126" w:line="237" w:lineRule="auto"/>
              <w:ind w:left="115"/>
              <w:outlineLvl w:val="0"/>
              <w:rPr>
                <w:sz w:val="20"/>
                <w:szCs w:val="20"/>
                <w:highlight w:val="none"/>
              </w:rPr>
            </w:pPr>
            <w:r>
              <w:rPr>
                <w:spacing w:val="7"/>
                <w:sz w:val="20"/>
                <w:szCs w:val="20"/>
                <w:highlight w:val="none"/>
              </w:rPr>
              <w:t>投标</w:t>
            </w:r>
            <w:r>
              <w:rPr>
                <w:rFonts w:hint="eastAsia"/>
                <w:spacing w:val="7"/>
                <w:sz w:val="20"/>
                <w:szCs w:val="20"/>
                <w:highlight w:val="none"/>
                <w:lang w:val="en-US" w:eastAsia="zh-CN"/>
              </w:rPr>
              <w:t>文件中写明培训人数低于项目需求</w:t>
            </w:r>
            <w:r>
              <w:rPr>
                <w:spacing w:val="7"/>
                <w:sz w:val="20"/>
                <w:szCs w:val="20"/>
                <w:highlight w:val="none"/>
              </w:rPr>
              <w:t>的；</w:t>
            </w:r>
          </w:p>
        </w:tc>
        <w:tc>
          <w:tcPr>
            <w:tcW w:w="663" w:type="dxa"/>
            <w:tcBorders>
              <w:left w:val="single" w:color="000000" w:sz="2" w:space="0"/>
              <w:right w:val="single" w:color="000000" w:sz="2" w:space="0"/>
            </w:tcBorders>
            <w:vAlign w:val="top"/>
          </w:tcPr>
          <w:p w14:paraId="37840F31">
            <w:pPr>
              <w:rPr>
                <w:rFonts w:ascii="Arial"/>
                <w:sz w:val="21"/>
                <w:highlight w:val="none"/>
              </w:rPr>
            </w:pPr>
          </w:p>
        </w:tc>
        <w:tc>
          <w:tcPr>
            <w:tcW w:w="642" w:type="dxa"/>
            <w:tcBorders>
              <w:left w:val="single" w:color="000000" w:sz="2" w:space="0"/>
              <w:right w:val="single" w:color="000000" w:sz="2" w:space="0"/>
            </w:tcBorders>
            <w:vAlign w:val="top"/>
          </w:tcPr>
          <w:p w14:paraId="5060BCDB">
            <w:pPr>
              <w:rPr>
                <w:rFonts w:ascii="Arial"/>
                <w:sz w:val="21"/>
                <w:highlight w:val="none"/>
              </w:rPr>
            </w:pPr>
          </w:p>
        </w:tc>
      </w:tr>
      <w:tr w14:paraId="0EE12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73" w:type="dxa"/>
            <w:vMerge w:val="continue"/>
            <w:tcBorders>
              <w:top w:val="nil"/>
              <w:left w:val="single" w:color="000000" w:sz="2" w:space="0"/>
              <w:bottom w:val="nil"/>
              <w:right w:val="single" w:color="000000" w:sz="2" w:space="0"/>
            </w:tcBorders>
            <w:textDirection w:val="tbRlV"/>
            <w:vAlign w:val="top"/>
          </w:tcPr>
          <w:p w14:paraId="7CFECC0E">
            <w:pPr>
              <w:rPr>
                <w:rFonts w:ascii="Arial"/>
                <w:sz w:val="21"/>
                <w:highlight w:val="none"/>
              </w:rPr>
            </w:pPr>
          </w:p>
        </w:tc>
        <w:tc>
          <w:tcPr>
            <w:tcW w:w="700" w:type="dxa"/>
            <w:tcBorders>
              <w:left w:val="single" w:color="000000" w:sz="2" w:space="0"/>
              <w:bottom w:val="single" w:color="000000" w:sz="2" w:space="0"/>
              <w:right w:val="single" w:color="000000" w:sz="2" w:space="0"/>
            </w:tcBorders>
            <w:vAlign w:val="top"/>
          </w:tcPr>
          <w:p w14:paraId="1F15FAA3">
            <w:pPr>
              <w:pStyle w:val="26"/>
              <w:spacing w:before="191" w:line="192" w:lineRule="auto"/>
              <w:ind w:left="309"/>
              <w:rPr>
                <w:sz w:val="20"/>
                <w:szCs w:val="20"/>
                <w:highlight w:val="none"/>
              </w:rPr>
            </w:pPr>
            <w:r>
              <w:rPr>
                <w:sz w:val="20"/>
                <w:szCs w:val="20"/>
                <w:highlight w:val="none"/>
              </w:rPr>
              <w:t>5</w:t>
            </w:r>
          </w:p>
        </w:tc>
        <w:tc>
          <w:tcPr>
            <w:tcW w:w="7088" w:type="dxa"/>
            <w:tcBorders>
              <w:left w:val="single" w:color="000000" w:sz="2" w:space="0"/>
              <w:bottom w:val="single" w:color="000000" w:sz="2" w:space="0"/>
              <w:right w:val="single" w:color="000000" w:sz="2" w:space="0"/>
            </w:tcBorders>
            <w:vAlign w:val="top"/>
          </w:tcPr>
          <w:p w14:paraId="3164D413">
            <w:pPr>
              <w:pStyle w:val="26"/>
              <w:spacing w:before="126" w:line="237" w:lineRule="auto"/>
              <w:ind w:left="115"/>
              <w:outlineLvl w:val="0"/>
              <w:rPr>
                <w:sz w:val="20"/>
                <w:szCs w:val="20"/>
                <w:highlight w:val="none"/>
              </w:rPr>
            </w:pPr>
            <w:r>
              <w:rPr>
                <w:spacing w:val="9"/>
                <w:sz w:val="20"/>
                <w:szCs w:val="20"/>
                <w:highlight w:val="none"/>
              </w:rPr>
              <w:t>投标人对同一招标项目作出两个以上报价未明确效力的；</w:t>
            </w:r>
          </w:p>
        </w:tc>
        <w:tc>
          <w:tcPr>
            <w:tcW w:w="663" w:type="dxa"/>
            <w:tcBorders>
              <w:left w:val="single" w:color="000000" w:sz="2" w:space="0"/>
              <w:right w:val="single" w:color="000000" w:sz="2" w:space="0"/>
            </w:tcBorders>
            <w:vAlign w:val="top"/>
          </w:tcPr>
          <w:p w14:paraId="332CB022">
            <w:pPr>
              <w:rPr>
                <w:rFonts w:ascii="Arial"/>
                <w:sz w:val="21"/>
                <w:highlight w:val="none"/>
              </w:rPr>
            </w:pPr>
          </w:p>
        </w:tc>
        <w:tc>
          <w:tcPr>
            <w:tcW w:w="642" w:type="dxa"/>
            <w:tcBorders>
              <w:left w:val="single" w:color="000000" w:sz="2" w:space="0"/>
              <w:right w:val="single" w:color="000000" w:sz="2" w:space="0"/>
            </w:tcBorders>
            <w:vAlign w:val="top"/>
          </w:tcPr>
          <w:p w14:paraId="11BFA9CC">
            <w:pPr>
              <w:rPr>
                <w:rFonts w:ascii="Arial"/>
                <w:sz w:val="21"/>
                <w:highlight w:val="none"/>
              </w:rPr>
            </w:pPr>
          </w:p>
        </w:tc>
      </w:tr>
      <w:tr w14:paraId="1261A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773" w:type="dxa"/>
            <w:vMerge w:val="continue"/>
            <w:tcBorders>
              <w:top w:val="nil"/>
              <w:left w:val="single" w:color="000000" w:sz="2" w:space="0"/>
              <w:bottom w:val="nil"/>
              <w:right w:val="single" w:color="000000" w:sz="2" w:space="0"/>
            </w:tcBorders>
            <w:textDirection w:val="tbRlV"/>
            <w:vAlign w:val="top"/>
          </w:tcPr>
          <w:p w14:paraId="116F25BB">
            <w:pPr>
              <w:rPr>
                <w:rFonts w:ascii="Arial"/>
                <w:sz w:val="21"/>
                <w:highlight w:val="none"/>
              </w:rPr>
            </w:pPr>
          </w:p>
        </w:tc>
        <w:tc>
          <w:tcPr>
            <w:tcW w:w="700" w:type="dxa"/>
            <w:tcBorders>
              <w:top w:val="single" w:color="000000" w:sz="2" w:space="0"/>
              <w:left w:val="single" w:color="000000" w:sz="2" w:space="0"/>
              <w:bottom w:val="single" w:color="000000" w:sz="2" w:space="0"/>
              <w:right w:val="single" w:color="000000" w:sz="2" w:space="0"/>
            </w:tcBorders>
            <w:vAlign w:val="top"/>
          </w:tcPr>
          <w:p w14:paraId="7F4D11C8">
            <w:pPr>
              <w:spacing w:line="332" w:lineRule="auto"/>
              <w:rPr>
                <w:rFonts w:ascii="Arial"/>
                <w:sz w:val="21"/>
                <w:highlight w:val="none"/>
              </w:rPr>
            </w:pPr>
          </w:p>
          <w:p w14:paraId="1A4769EF">
            <w:pPr>
              <w:pStyle w:val="26"/>
              <w:spacing w:before="73" w:line="194" w:lineRule="auto"/>
              <w:ind w:left="306"/>
              <w:rPr>
                <w:sz w:val="20"/>
                <w:szCs w:val="20"/>
                <w:highlight w:val="none"/>
              </w:rPr>
            </w:pPr>
            <w:r>
              <w:rPr>
                <w:sz w:val="20"/>
                <w:szCs w:val="20"/>
                <w:highlight w:val="none"/>
              </w:rPr>
              <w:t>6</w:t>
            </w:r>
          </w:p>
        </w:tc>
        <w:tc>
          <w:tcPr>
            <w:tcW w:w="7088" w:type="dxa"/>
            <w:tcBorders>
              <w:top w:val="single" w:color="000000" w:sz="2" w:space="0"/>
              <w:left w:val="single" w:color="000000" w:sz="2" w:space="0"/>
              <w:bottom w:val="single" w:color="000000" w:sz="2" w:space="0"/>
              <w:right w:val="single" w:color="000000" w:sz="2" w:space="0"/>
            </w:tcBorders>
            <w:vAlign w:val="top"/>
          </w:tcPr>
          <w:p w14:paraId="212F1FB9">
            <w:pPr>
              <w:pStyle w:val="26"/>
              <w:spacing w:before="130" w:line="234" w:lineRule="auto"/>
              <w:ind w:left="115"/>
              <w:outlineLvl w:val="0"/>
              <w:rPr>
                <w:sz w:val="20"/>
                <w:szCs w:val="20"/>
                <w:highlight w:val="none"/>
              </w:rPr>
            </w:pPr>
            <w:r>
              <w:rPr>
                <w:spacing w:val="8"/>
                <w:sz w:val="20"/>
                <w:szCs w:val="20"/>
                <w:highlight w:val="none"/>
              </w:rPr>
              <w:t>投标文件报价出现前后不一致的，应按照招标文件规定的顺序修正。修正后</w:t>
            </w:r>
          </w:p>
          <w:p w14:paraId="62AE7E51">
            <w:pPr>
              <w:pStyle w:val="26"/>
              <w:spacing w:before="94"/>
              <w:ind w:left="134"/>
              <w:rPr>
                <w:sz w:val="20"/>
                <w:szCs w:val="20"/>
                <w:highlight w:val="none"/>
              </w:rPr>
            </w:pPr>
            <w:r>
              <w:rPr>
                <w:spacing w:val="6"/>
                <w:sz w:val="20"/>
                <w:szCs w:val="20"/>
                <w:highlight w:val="none"/>
              </w:rPr>
              <w:t>的报价经投标人确认后产生约束力。</w:t>
            </w:r>
          </w:p>
        </w:tc>
        <w:tc>
          <w:tcPr>
            <w:tcW w:w="663" w:type="dxa"/>
            <w:tcBorders>
              <w:left w:val="single" w:color="000000" w:sz="2" w:space="0"/>
            </w:tcBorders>
            <w:vAlign w:val="top"/>
          </w:tcPr>
          <w:p w14:paraId="3FC46653">
            <w:pPr>
              <w:rPr>
                <w:rFonts w:ascii="Arial"/>
                <w:sz w:val="21"/>
                <w:highlight w:val="none"/>
              </w:rPr>
            </w:pPr>
          </w:p>
        </w:tc>
        <w:tc>
          <w:tcPr>
            <w:tcW w:w="642" w:type="dxa"/>
            <w:tcBorders>
              <w:right w:val="single" w:color="000000" w:sz="2" w:space="0"/>
            </w:tcBorders>
            <w:vAlign w:val="top"/>
          </w:tcPr>
          <w:p w14:paraId="0B440982">
            <w:pPr>
              <w:rPr>
                <w:rFonts w:ascii="Arial"/>
                <w:sz w:val="21"/>
                <w:highlight w:val="none"/>
              </w:rPr>
            </w:pPr>
          </w:p>
        </w:tc>
      </w:tr>
      <w:tr w14:paraId="3F7EC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773" w:type="dxa"/>
            <w:vMerge w:val="continue"/>
            <w:tcBorders>
              <w:top w:val="nil"/>
              <w:left w:val="single" w:color="000000" w:sz="2" w:space="0"/>
              <w:bottom w:val="nil"/>
              <w:right w:val="single" w:color="000000" w:sz="2" w:space="0"/>
            </w:tcBorders>
            <w:textDirection w:val="tbRlV"/>
            <w:vAlign w:val="top"/>
          </w:tcPr>
          <w:p w14:paraId="06EDBBFE">
            <w:pPr>
              <w:rPr>
                <w:rFonts w:ascii="Arial"/>
                <w:sz w:val="21"/>
                <w:highlight w:val="none"/>
              </w:rPr>
            </w:pPr>
          </w:p>
        </w:tc>
        <w:tc>
          <w:tcPr>
            <w:tcW w:w="700" w:type="dxa"/>
            <w:tcBorders>
              <w:top w:val="single" w:color="000000" w:sz="2" w:space="0"/>
              <w:left w:val="single" w:color="000000" w:sz="2" w:space="0"/>
              <w:bottom w:val="single" w:color="000000" w:sz="2" w:space="0"/>
              <w:right w:val="single" w:color="000000" w:sz="2" w:space="0"/>
            </w:tcBorders>
            <w:vAlign w:val="top"/>
          </w:tcPr>
          <w:p w14:paraId="01A1BB35">
            <w:pPr>
              <w:spacing w:line="279" w:lineRule="auto"/>
              <w:rPr>
                <w:rFonts w:ascii="Arial"/>
                <w:sz w:val="21"/>
                <w:highlight w:val="none"/>
              </w:rPr>
            </w:pPr>
          </w:p>
          <w:p w14:paraId="0B41CA86">
            <w:pPr>
              <w:pStyle w:val="26"/>
              <w:spacing w:before="73" w:line="193" w:lineRule="auto"/>
              <w:ind w:left="307"/>
              <w:rPr>
                <w:sz w:val="20"/>
                <w:szCs w:val="20"/>
                <w:highlight w:val="none"/>
              </w:rPr>
            </w:pPr>
            <w:r>
              <w:rPr>
                <w:sz w:val="20"/>
                <w:szCs w:val="20"/>
                <w:highlight w:val="none"/>
              </w:rPr>
              <w:t>7</w:t>
            </w:r>
          </w:p>
        </w:tc>
        <w:tc>
          <w:tcPr>
            <w:tcW w:w="7088" w:type="dxa"/>
            <w:tcBorders>
              <w:top w:val="single" w:color="000000" w:sz="2" w:space="0"/>
              <w:left w:val="single" w:color="000000" w:sz="2" w:space="0"/>
              <w:bottom w:val="single" w:color="000000" w:sz="2" w:space="0"/>
              <w:right w:val="single" w:color="000000" w:sz="2" w:space="0"/>
            </w:tcBorders>
            <w:vAlign w:val="top"/>
          </w:tcPr>
          <w:p w14:paraId="2CD96F51">
            <w:pPr>
              <w:pStyle w:val="26"/>
              <w:spacing w:before="133" w:line="238" w:lineRule="auto"/>
              <w:ind w:left="115"/>
              <w:outlineLvl w:val="0"/>
              <w:rPr>
                <w:sz w:val="20"/>
                <w:szCs w:val="20"/>
                <w:highlight w:val="none"/>
              </w:rPr>
            </w:pPr>
            <w:r>
              <w:rPr>
                <w:spacing w:val="8"/>
                <w:sz w:val="20"/>
                <w:szCs w:val="20"/>
                <w:highlight w:val="none"/>
              </w:rPr>
              <w:t>投标人所报的各分项投标报价在合同履行过程中是固定不变的，不得以任何</w:t>
            </w:r>
          </w:p>
          <w:p w14:paraId="5DC2C847">
            <w:pPr>
              <w:pStyle w:val="26"/>
              <w:spacing w:before="88" w:line="198" w:lineRule="auto"/>
              <w:ind w:left="115"/>
              <w:rPr>
                <w:sz w:val="20"/>
                <w:szCs w:val="20"/>
                <w:highlight w:val="none"/>
              </w:rPr>
            </w:pPr>
            <w:r>
              <w:rPr>
                <w:spacing w:val="6"/>
                <w:sz w:val="20"/>
                <w:szCs w:val="20"/>
                <w:highlight w:val="none"/>
              </w:rPr>
              <w:t>理由予以变更；</w:t>
            </w:r>
          </w:p>
        </w:tc>
        <w:tc>
          <w:tcPr>
            <w:tcW w:w="663" w:type="dxa"/>
            <w:tcBorders>
              <w:left w:val="single" w:color="000000" w:sz="2" w:space="0"/>
            </w:tcBorders>
            <w:vAlign w:val="top"/>
          </w:tcPr>
          <w:p w14:paraId="17B4F7A8">
            <w:pPr>
              <w:rPr>
                <w:rFonts w:ascii="Arial"/>
                <w:sz w:val="21"/>
                <w:highlight w:val="none"/>
              </w:rPr>
            </w:pPr>
          </w:p>
        </w:tc>
        <w:tc>
          <w:tcPr>
            <w:tcW w:w="642" w:type="dxa"/>
            <w:tcBorders>
              <w:right w:val="single" w:color="000000" w:sz="2" w:space="0"/>
            </w:tcBorders>
            <w:vAlign w:val="top"/>
          </w:tcPr>
          <w:p w14:paraId="0842FB6B">
            <w:pPr>
              <w:rPr>
                <w:rFonts w:ascii="Arial"/>
                <w:sz w:val="21"/>
                <w:highlight w:val="none"/>
              </w:rPr>
            </w:pPr>
          </w:p>
        </w:tc>
      </w:tr>
      <w:tr w14:paraId="357EA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773" w:type="dxa"/>
            <w:vMerge w:val="continue"/>
            <w:tcBorders>
              <w:top w:val="nil"/>
              <w:left w:val="single" w:color="000000" w:sz="2" w:space="0"/>
              <w:bottom w:val="nil"/>
              <w:right w:val="single" w:color="000000" w:sz="2" w:space="0"/>
            </w:tcBorders>
            <w:textDirection w:val="tbRlV"/>
            <w:vAlign w:val="top"/>
          </w:tcPr>
          <w:p w14:paraId="32CC0E14">
            <w:pPr>
              <w:rPr>
                <w:rFonts w:ascii="Arial"/>
                <w:sz w:val="21"/>
                <w:highlight w:val="none"/>
              </w:rPr>
            </w:pPr>
          </w:p>
        </w:tc>
        <w:tc>
          <w:tcPr>
            <w:tcW w:w="700" w:type="dxa"/>
            <w:tcBorders>
              <w:top w:val="single" w:color="000000" w:sz="2" w:space="0"/>
              <w:left w:val="single" w:color="000000" w:sz="2" w:space="0"/>
              <w:right w:val="single" w:color="000000" w:sz="2" w:space="0"/>
            </w:tcBorders>
            <w:vAlign w:val="top"/>
          </w:tcPr>
          <w:p w14:paraId="332F5E08">
            <w:pPr>
              <w:pStyle w:val="26"/>
              <w:spacing w:before="277" w:line="194" w:lineRule="auto"/>
              <w:ind w:left="300"/>
              <w:rPr>
                <w:sz w:val="20"/>
                <w:szCs w:val="20"/>
                <w:highlight w:val="none"/>
              </w:rPr>
            </w:pPr>
            <w:r>
              <w:rPr>
                <w:sz w:val="20"/>
                <w:szCs w:val="20"/>
                <w:highlight w:val="none"/>
              </w:rPr>
              <w:t>8</w:t>
            </w:r>
          </w:p>
        </w:tc>
        <w:tc>
          <w:tcPr>
            <w:tcW w:w="7088" w:type="dxa"/>
            <w:tcBorders>
              <w:top w:val="single" w:color="000000" w:sz="2" w:space="0"/>
              <w:left w:val="single" w:color="000000" w:sz="2" w:space="0"/>
              <w:right w:val="single" w:color="000000" w:sz="2" w:space="0"/>
            </w:tcBorders>
            <w:vAlign w:val="top"/>
          </w:tcPr>
          <w:p w14:paraId="534B763B">
            <w:pPr>
              <w:pStyle w:val="26"/>
              <w:spacing w:before="135" w:line="237" w:lineRule="auto"/>
              <w:ind w:left="115"/>
              <w:outlineLvl w:val="0"/>
              <w:rPr>
                <w:sz w:val="20"/>
                <w:szCs w:val="20"/>
                <w:highlight w:val="none"/>
              </w:rPr>
            </w:pPr>
            <w:r>
              <w:rPr>
                <w:spacing w:val="9"/>
                <w:sz w:val="20"/>
                <w:szCs w:val="20"/>
                <w:highlight w:val="none"/>
              </w:rPr>
              <w:t>投标人名称、组织机构与资格预审时不符，涉</w:t>
            </w:r>
            <w:r>
              <w:rPr>
                <w:spacing w:val="8"/>
                <w:sz w:val="20"/>
                <w:szCs w:val="20"/>
                <w:highlight w:val="none"/>
              </w:rPr>
              <w:t>嫌以他人名义投标的；</w:t>
            </w:r>
          </w:p>
        </w:tc>
        <w:tc>
          <w:tcPr>
            <w:tcW w:w="663" w:type="dxa"/>
            <w:tcBorders>
              <w:left w:val="single" w:color="000000" w:sz="2" w:space="0"/>
            </w:tcBorders>
            <w:vAlign w:val="top"/>
          </w:tcPr>
          <w:p w14:paraId="7A8AC2E6">
            <w:pPr>
              <w:rPr>
                <w:rFonts w:ascii="Arial"/>
                <w:sz w:val="21"/>
                <w:highlight w:val="none"/>
              </w:rPr>
            </w:pPr>
          </w:p>
        </w:tc>
        <w:tc>
          <w:tcPr>
            <w:tcW w:w="642" w:type="dxa"/>
            <w:tcBorders>
              <w:right w:val="single" w:color="000000" w:sz="2" w:space="0"/>
            </w:tcBorders>
            <w:vAlign w:val="top"/>
          </w:tcPr>
          <w:p w14:paraId="2E852027">
            <w:pPr>
              <w:rPr>
                <w:rFonts w:ascii="Arial"/>
                <w:sz w:val="21"/>
                <w:highlight w:val="none"/>
              </w:rPr>
            </w:pPr>
          </w:p>
        </w:tc>
      </w:tr>
      <w:tr w14:paraId="2F3D4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73" w:type="dxa"/>
            <w:vMerge w:val="continue"/>
            <w:tcBorders>
              <w:top w:val="nil"/>
              <w:left w:val="single" w:color="000000" w:sz="2" w:space="0"/>
              <w:bottom w:val="nil"/>
              <w:right w:val="single" w:color="000000" w:sz="2" w:space="0"/>
            </w:tcBorders>
            <w:textDirection w:val="tbRlV"/>
            <w:vAlign w:val="top"/>
          </w:tcPr>
          <w:p w14:paraId="79679A3C">
            <w:pPr>
              <w:rPr>
                <w:rFonts w:ascii="Arial"/>
                <w:sz w:val="21"/>
                <w:highlight w:val="none"/>
              </w:rPr>
            </w:pPr>
          </w:p>
        </w:tc>
        <w:tc>
          <w:tcPr>
            <w:tcW w:w="700" w:type="dxa"/>
            <w:tcBorders>
              <w:left w:val="single" w:color="000000" w:sz="2" w:space="0"/>
            </w:tcBorders>
            <w:vAlign w:val="top"/>
          </w:tcPr>
          <w:p w14:paraId="56F1D7F7">
            <w:pPr>
              <w:pStyle w:val="26"/>
              <w:spacing w:before="197" w:line="194" w:lineRule="auto"/>
              <w:ind w:left="305"/>
              <w:rPr>
                <w:sz w:val="20"/>
                <w:szCs w:val="20"/>
                <w:highlight w:val="none"/>
              </w:rPr>
            </w:pPr>
            <w:r>
              <w:rPr>
                <w:sz w:val="20"/>
                <w:szCs w:val="20"/>
                <w:highlight w:val="none"/>
              </w:rPr>
              <w:t>9</w:t>
            </w:r>
          </w:p>
        </w:tc>
        <w:tc>
          <w:tcPr>
            <w:tcW w:w="7088" w:type="dxa"/>
            <w:tcBorders>
              <w:right w:val="single" w:color="000000" w:sz="2" w:space="0"/>
            </w:tcBorders>
            <w:vAlign w:val="top"/>
          </w:tcPr>
          <w:p w14:paraId="66C745A9">
            <w:pPr>
              <w:pStyle w:val="26"/>
              <w:spacing w:before="133" w:line="237" w:lineRule="auto"/>
              <w:ind w:left="112"/>
              <w:outlineLvl w:val="0"/>
              <w:rPr>
                <w:sz w:val="20"/>
                <w:szCs w:val="20"/>
                <w:highlight w:val="none"/>
              </w:rPr>
            </w:pPr>
            <w:r>
              <w:rPr>
                <w:spacing w:val="8"/>
                <w:sz w:val="20"/>
                <w:szCs w:val="20"/>
                <w:highlight w:val="none"/>
              </w:rPr>
              <w:t>评标委员会共同确定有实质上不响应招标文件要求的；</w:t>
            </w:r>
          </w:p>
        </w:tc>
        <w:tc>
          <w:tcPr>
            <w:tcW w:w="663" w:type="dxa"/>
            <w:tcBorders>
              <w:left w:val="single" w:color="000000" w:sz="2" w:space="0"/>
            </w:tcBorders>
            <w:vAlign w:val="top"/>
          </w:tcPr>
          <w:p w14:paraId="39E47C06">
            <w:pPr>
              <w:rPr>
                <w:rFonts w:ascii="Arial"/>
                <w:sz w:val="21"/>
                <w:highlight w:val="none"/>
              </w:rPr>
            </w:pPr>
          </w:p>
        </w:tc>
        <w:tc>
          <w:tcPr>
            <w:tcW w:w="642" w:type="dxa"/>
            <w:tcBorders>
              <w:right w:val="single" w:color="000000" w:sz="2" w:space="0"/>
            </w:tcBorders>
            <w:vAlign w:val="top"/>
          </w:tcPr>
          <w:p w14:paraId="12C91088">
            <w:pPr>
              <w:rPr>
                <w:rFonts w:ascii="Arial"/>
                <w:sz w:val="21"/>
                <w:highlight w:val="none"/>
              </w:rPr>
            </w:pPr>
          </w:p>
        </w:tc>
      </w:tr>
      <w:tr w14:paraId="6B0C9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773" w:type="dxa"/>
            <w:vMerge w:val="continue"/>
            <w:tcBorders>
              <w:top w:val="nil"/>
              <w:left w:val="single" w:color="000000" w:sz="2" w:space="0"/>
              <w:bottom w:val="nil"/>
              <w:right w:val="single" w:color="000000" w:sz="2" w:space="0"/>
            </w:tcBorders>
            <w:textDirection w:val="tbRlV"/>
            <w:vAlign w:val="top"/>
          </w:tcPr>
          <w:p w14:paraId="420EE1BC">
            <w:pPr>
              <w:rPr>
                <w:rFonts w:ascii="Arial"/>
                <w:sz w:val="21"/>
                <w:highlight w:val="none"/>
              </w:rPr>
            </w:pPr>
          </w:p>
        </w:tc>
        <w:tc>
          <w:tcPr>
            <w:tcW w:w="700" w:type="dxa"/>
            <w:tcBorders>
              <w:left w:val="single" w:color="000000" w:sz="2" w:space="0"/>
              <w:bottom w:val="single" w:color="000000" w:sz="2" w:space="0"/>
            </w:tcBorders>
            <w:vAlign w:val="top"/>
          </w:tcPr>
          <w:p w14:paraId="2377C940">
            <w:pPr>
              <w:spacing w:line="278" w:lineRule="auto"/>
              <w:rPr>
                <w:rFonts w:ascii="Arial"/>
                <w:sz w:val="21"/>
                <w:highlight w:val="none"/>
              </w:rPr>
            </w:pPr>
          </w:p>
          <w:p w14:paraId="24AECC00">
            <w:pPr>
              <w:pStyle w:val="26"/>
              <w:spacing w:before="73" w:line="196" w:lineRule="auto"/>
              <w:ind w:left="260"/>
              <w:rPr>
                <w:sz w:val="20"/>
                <w:szCs w:val="20"/>
                <w:highlight w:val="none"/>
              </w:rPr>
            </w:pPr>
            <w:r>
              <w:rPr>
                <w:spacing w:val="-20"/>
                <w:sz w:val="20"/>
                <w:szCs w:val="20"/>
                <w:highlight w:val="none"/>
              </w:rPr>
              <w:t>10</w:t>
            </w:r>
          </w:p>
        </w:tc>
        <w:tc>
          <w:tcPr>
            <w:tcW w:w="7088" w:type="dxa"/>
            <w:tcBorders>
              <w:bottom w:val="single" w:color="000000" w:sz="2" w:space="0"/>
              <w:right w:val="single" w:color="000000" w:sz="2" w:space="0"/>
            </w:tcBorders>
            <w:vAlign w:val="top"/>
          </w:tcPr>
          <w:p w14:paraId="5349F626">
            <w:pPr>
              <w:pStyle w:val="26"/>
              <w:spacing w:before="135"/>
              <w:ind w:left="112"/>
              <w:outlineLvl w:val="0"/>
              <w:rPr>
                <w:sz w:val="20"/>
                <w:szCs w:val="20"/>
                <w:highlight w:val="none"/>
              </w:rPr>
            </w:pPr>
            <w:r>
              <w:rPr>
                <w:spacing w:val="8"/>
                <w:sz w:val="20"/>
                <w:szCs w:val="20"/>
                <w:highlight w:val="none"/>
              </w:rPr>
              <w:t>投标文件没有投标单位法定代表人或其授权代表签字（章）和加盖投标单位</w:t>
            </w:r>
          </w:p>
          <w:p w14:paraId="45E96C4F">
            <w:pPr>
              <w:pStyle w:val="26"/>
              <w:spacing w:before="86" w:line="193" w:lineRule="auto"/>
              <w:ind w:left="113"/>
              <w:rPr>
                <w:sz w:val="20"/>
                <w:szCs w:val="20"/>
                <w:highlight w:val="none"/>
              </w:rPr>
            </w:pPr>
            <w:r>
              <w:rPr>
                <w:spacing w:val="-1"/>
                <w:sz w:val="20"/>
                <w:szCs w:val="20"/>
                <w:highlight w:val="none"/>
              </w:rPr>
              <w:t>公章的；</w:t>
            </w:r>
          </w:p>
        </w:tc>
        <w:tc>
          <w:tcPr>
            <w:tcW w:w="663" w:type="dxa"/>
            <w:tcBorders>
              <w:left w:val="single" w:color="000000" w:sz="2" w:space="0"/>
              <w:bottom w:val="single" w:color="000000" w:sz="2" w:space="0"/>
            </w:tcBorders>
            <w:vAlign w:val="top"/>
          </w:tcPr>
          <w:p w14:paraId="7C997281">
            <w:pPr>
              <w:rPr>
                <w:rFonts w:ascii="Arial"/>
                <w:sz w:val="21"/>
                <w:highlight w:val="none"/>
              </w:rPr>
            </w:pPr>
          </w:p>
        </w:tc>
        <w:tc>
          <w:tcPr>
            <w:tcW w:w="642" w:type="dxa"/>
            <w:tcBorders>
              <w:bottom w:val="single" w:color="000000" w:sz="2" w:space="0"/>
              <w:right w:val="single" w:color="000000" w:sz="2" w:space="0"/>
            </w:tcBorders>
            <w:vAlign w:val="top"/>
          </w:tcPr>
          <w:p w14:paraId="02413A47">
            <w:pPr>
              <w:rPr>
                <w:rFonts w:ascii="Arial"/>
                <w:sz w:val="21"/>
                <w:highlight w:val="none"/>
              </w:rPr>
            </w:pPr>
          </w:p>
        </w:tc>
      </w:tr>
      <w:tr w14:paraId="00200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73" w:type="dxa"/>
            <w:vMerge w:val="continue"/>
            <w:tcBorders>
              <w:top w:val="nil"/>
              <w:left w:val="single" w:color="000000" w:sz="2" w:space="0"/>
              <w:bottom w:val="nil"/>
              <w:right w:val="single" w:color="000000" w:sz="2" w:space="0"/>
            </w:tcBorders>
            <w:textDirection w:val="tbRlV"/>
            <w:vAlign w:val="top"/>
          </w:tcPr>
          <w:p w14:paraId="321C852B">
            <w:pPr>
              <w:rPr>
                <w:rFonts w:ascii="Arial"/>
                <w:sz w:val="21"/>
                <w:highlight w:val="none"/>
              </w:rPr>
            </w:pPr>
          </w:p>
        </w:tc>
        <w:tc>
          <w:tcPr>
            <w:tcW w:w="700" w:type="dxa"/>
            <w:tcBorders>
              <w:top w:val="single" w:color="000000" w:sz="2" w:space="0"/>
              <w:left w:val="single" w:color="000000" w:sz="2" w:space="0"/>
              <w:right w:val="single" w:color="000000" w:sz="2" w:space="0"/>
            </w:tcBorders>
            <w:vAlign w:val="top"/>
          </w:tcPr>
          <w:p w14:paraId="23C50872">
            <w:pPr>
              <w:pStyle w:val="26"/>
              <w:spacing w:before="216" w:line="196" w:lineRule="auto"/>
              <w:ind w:left="263"/>
              <w:rPr>
                <w:sz w:val="20"/>
                <w:szCs w:val="20"/>
                <w:highlight w:val="none"/>
              </w:rPr>
            </w:pPr>
            <w:r>
              <w:rPr>
                <w:spacing w:val="-23"/>
                <w:sz w:val="20"/>
                <w:szCs w:val="20"/>
                <w:highlight w:val="none"/>
              </w:rPr>
              <w:t>11</w:t>
            </w:r>
          </w:p>
        </w:tc>
        <w:tc>
          <w:tcPr>
            <w:tcW w:w="7088" w:type="dxa"/>
            <w:tcBorders>
              <w:top w:val="single" w:color="000000" w:sz="2" w:space="0"/>
              <w:left w:val="single" w:color="000000" w:sz="2" w:space="0"/>
              <w:right w:val="single" w:color="000000" w:sz="2" w:space="0"/>
            </w:tcBorders>
            <w:vAlign w:val="top"/>
          </w:tcPr>
          <w:p w14:paraId="1DCCD650">
            <w:pPr>
              <w:pStyle w:val="26"/>
              <w:spacing w:before="146" w:line="237" w:lineRule="auto"/>
              <w:ind w:left="115"/>
              <w:outlineLvl w:val="0"/>
              <w:rPr>
                <w:sz w:val="20"/>
                <w:szCs w:val="20"/>
                <w:highlight w:val="none"/>
              </w:rPr>
            </w:pPr>
            <w:r>
              <w:rPr>
                <w:spacing w:val="9"/>
                <w:sz w:val="20"/>
                <w:szCs w:val="20"/>
                <w:highlight w:val="none"/>
              </w:rPr>
              <w:t>投标的政府采购项目完成期限超过招标文件规定期限的；</w:t>
            </w:r>
          </w:p>
        </w:tc>
        <w:tc>
          <w:tcPr>
            <w:tcW w:w="663" w:type="dxa"/>
            <w:tcBorders>
              <w:top w:val="single" w:color="000000" w:sz="2" w:space="0"/>
              <w:left w:val="single" w:color="000000" w:sz="2" w:space="0"/>
              <w:right w:val="single" w:color="000000" w:sz="2" w:space="0"/>
            </w:tcBorders>
            <w:vAlign w:val="top"/>
          </w:tcPr>
          <w:p w14:paraId="05FE99FD">
            <w:pPr>
              <w:rPr>
                <w:rFonts w:ascii="Arial"/>
                <w:sz w:val="21"/>
                <w:highlight w:val="none"/>
              </w:rPr>
            </w:pPr>
          </w:p>
        </w:tc>
        <w:tc>
          <w:tcPr>
            <w:tcW w:w="642" w:type="dxa"/>
            <w:tcBorders>
              <w:top w:val="single" w:color="000000" w:sz="2" w:space="0"/>
              <w:left w:val="single" w:color="000000" w:sz="2" w:space="0"/>
              <w:right w:val="single" w:color="000000" w:sz="2" w:space="0"/>
            </w:tcBorders>
            <w:vAlign w:val="top"/>
          </w:tcPr>
          <w:p w14:paraId="297081BC">
            <w:pPr>
              <w:rPr>
                <w:rFonts w:ascii="Arial"/>
                <w:sz w:val="21"/>
                <w:highlight w:val="none"/>
              </w:rPr>
            </w:pPr>
          </w:p>
        </w:tc>
      </w:tr>
      <w:tr w14:paraId="04EF3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73" w:type="dxa"/>
            <w:vMerge w:val="continue"/>
            <w:tcBorders>
              <w:top w:val="nil"/>
              <w:left w:val="single" w:color="000000" w:sz="2" w:space="0"/>
              <w:bottom w:val="nil"/>
              <w:right w:val="single" w:color="000000" w:sz="2" w:space="0"/>
            </w:tcBorders>
            <w:textDirection w:val="tbRlV"/>
            <w:vAlign w:val="top"/>
          </w:tcPr>
          <w:p w14:paraId="18FE5BC8">
            <w:pPr>
              <w:rPr>
                <w:rFonts w:ascii="Arial"/>
                <w:sz w:val="21"/>
                <w:highlight w:val="none"/>
              </w:rPr>
            </w:pPr>
          </w:p>
        </w:tc>
        <w:tc>
          <w:tcPr>
            <w:tcW w:w="700" w:type="dxa"/>
            <w:tcBorders>
              <w:left w:val="single" w:color="000000" w:sz="2" w:space="0"/>
            </w:tcBorders>
            <w:vAlign w:val="top"/>
          </w:tcPr>
          <w:p w14:paraId="3D886B91">
            <w:pPr>
              <w:pStyle w:val="26"/>
              <w:spacing w:before="199" w:line="196" w:lineRule="auto"/>
              <w:ind w:left="260"/>
              <w:rPr>
                <w:sz w:val="20"/>
                <w:szCs w:val="20"/>
                <w:highlight w:val="none"/>
              </w:rPr>
            </w:pPr>
            <w:r>
              <w:rPr>
                <w:spacing w:val="-20"/>
                <w:sz w:val="20"/>
                <w:szCs w:val="20"/>
                <w:highlight w:val="none"/>
              </w:rPr>
              <w:t>12</w:t>
            </w:r>
          </w:p>
        </w:tc>
        <w:tc>
          <w:tcPr>
            <w:tcW w:w="7088" w:type="dxa"/>
            <w:tcBorders>
              <w:right w:val="single" w:color="000000" w:sz="2" w:space="0"/>
            </w:tcBorders>
            <w:vAlign w:val="top"/>
          </w:tcPr>
          <w:p w14:paraId="17A0C626">
            <w:pPr>
              <w:pStyle w:val="26"/>
              <w:spacing w:before="138" w:line="237" w:lineRule="auto"/>
              <w:ind w:left="115"/>
              <w:outlineLvl w:val="0"/>
              <w:rPr>
                <w:sz w:val="20"/>
                <w:szCs w:val="20"/>
                <w:highlight w:val="none"/>
              </w:rPr>
            </w:pPr>
            <w:r>
              <w:rPr>
                <w:spacing w:val="8"/>
                <w:sz w:val="20"/>
                <w:szCs w:val="20"/>
                <w:highlight w:val="none"/>
              </w:rPr>
              <w:t>所有产品类型与招标文件要求的产品类型相符；</w:t>
            </w:r>
          </w:p>
        </w:tc>
        <w:tc>
          <w:tcPr>
            <w:tcW w:w="663" w:type="dxa"/>
            <w:tcBorders>
              <w:left w:val="single" w:color="000000" w:sz="2" w:space="0"/>
            </w:tcBorders>
            <w:vAlign w:val="top"/>
          </w:tcPr>
          <w:p w14:paraId="3CE40957">
            <w:pPr>
              <w:rPr>
                <w:rFonts w:ascii="Arial"/>
                <w:sz w:val="21"/>
                <w:highlight w:val="none"/>
              </w:rPr>
            </w:pPr>
          </w:p>
        </w:tc>
        <w:tc>
          <w:tcPr>
            <w:tcW w:w="642" w:type="dxa"/>
            <w:tcBorders>
              <w:right w:val="single" w:color="000000" w:sz="2" w:space="0"/>
            </w:tcBorders>
            <w:vAlign w:val="top"/>
          </w:tcPr>
          <w:p w14:paraId="623A0A3C">
            <w:pPr>
              <w:rPr>
                <w:rFonts w:ascii="Arial"/>
                <w:sz w:val="21"/>
                <w:highlight w:val="none"/>
              </w:rPr>
            </w:pPr>
          </w:p>
        </w:tc>
      </w:tr>
      <w:tr w14:paraId="110DE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73" w:type="dxa"/>
            <w:vMerge w:val="continue"/>
            <w:tcBorders>
              <w:top w:val="nil"/>
              <w:left w:val="single" w:color="000000" w:sz="2" w:space="0"/>
              <w:bottom w:val="nil"/>
              <w:right w:val="single" w:color="000000" w:sz="2" w:space="0"/>
            </w:tcBorders>
            <w:textDirection w:val="tbRlV"/>
            <w:vAlign w:val="top"/>
          </w:tcPr>
          <w:p w14:paraId="0E2145E4">
            <w:pPr>
              <w:rPr>
                <w:rFonts w:ascii="Arial"/>
                <w:sz w:val="21"/>
                <w:highlight w:val="none"/>
              </w:rPr>
            </w:pPr>
          </w:p>
        </w:tc>
        <w:tc>
          <w:tcPr>
            <w:tcW w:w="700" w:type="dxa"/>
            <w:tcBorders>
              <w:left w:val="single" w:color="000000" w:sz="2" w:space="0"/>
            </w:tcBorders>
            <w:vAlign w:val="top"/>
          </w:tcPr>
          <w:p w14:paraId="243DDD8A">
            <w:pPr>
              <w:pStyle w:val="26"/>
              <w:spacing w:before="202" w:line="196" w:lineRule="auto"/>
              <w:ind w:left="258"/>
              <w:rPr>
                <w:sz w:val="20"/>
                <w:szCs w:val="20"/>
                <w:highlight w:val="none"/>
              </w:rPr>
            </w:pPr>
            <w:r>
              <w:rPr>
                <w:spacing w:val="-20"/>
                <w:sz w:val="20"/>
                <w:szCs w:val="20"/>
                <w:highlight w:val="none"/>
              </w:rPr>
              <w:t>13</w:t>
            </w:r>
          </w:p>
        </w:tc>
        <w:tc>
          <w:tcPr>
            <w:tcW w:w="7088" w:type="dxa"/>
            <w:tcBorders>
              <w:right w:val="single" w:color="000000" w:sz="2" w:space="0"/>
            </w:tcBorders>
            <w:vAlign w:val="top"/>
          </w:tcPr>
          <w:p w14:paraId="2E7BD605">
            <w:pPr>
              <w:pStyle w:val="26"/>
              <w:spacing w:before="140" w:line="237" w:lineRule="auto"/>
              <w:ind w:left="112"/>
              <w:outlineLvl w:val="0"/>
              <w:rPr>
                <w:sz w:val="20"/>
                <w:szCs w:val="20"/>
                <w:highlight w:val="none"/>
              </w:rPr>
            </w:pPr>
            <w:r>
              <w:rPr>
                <w:spacing w:val="8"/>
                <w:sz w:val="20"/>
                <w:szCs w:val="20"/>
                <w:highlight w:val="none"/>
              </w:rPr>
              <w:t>投标文件附有采购人不能接受条件的；</w:t>
            </w:r>
          </w:p>
        </w:tc>
        <w:tc>
          <w:tcPr>
            <w:tcW w:w="663" w:type="dxa"/>
            <w:tcBorders>
              <w:left w:val="single" w:color="000000" w:sz="2" w:space="0"/>
            </w:tcBorders>
            <w:vAlign w:val="top"/>
          </w:tcPr>
          <w:p w14:paraId="5ABF181E">
            <w:pPr>
              <w:rPr>
                <w:rFonts w:ascii="Arial"/>
                <w:sz w:val="21"/>
                <w:highlight w:val="none"/>
              </w:rPr>
            </w:pPr>
          </w:p>
        </w:tc>
        <w:tc>
          <w:tcPr>
            <w:tcW w:w="642" w:type="dxa"/>
            <w:tcBorders>
              <w:right w:val="single" w:color="000000" w:sz="2" w:space="0"/>
            </w:tcBorders>
            <w:vAlign w:val="top"/>
          </w:tcPr>
          <w:p w14:paraId="01242953">
            <w:pPr>
              <w:rPr>
                <w:rFonts w:ascii="Arial"/>
                <w:sz w:val="21"/>
                <w:highlight w:val="none"/>
              </w:rPr>
            </w:pPr>
          </w:p>
        </w:tc>
      </w:tr>
      <w:tr w14:paraId="44916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73" w:type="dxa"/>
            <w:vMerge w:val="continue"/>
            <w:tcBorders>
              <w:top w:val="nil"/>
              <w:left w:val="single" w:color="000000" w:sz="2" w:space="0"/>
              <w:bottom w:val="single" w:color="000000" w:sz="10" w:space="0"/>
              <w:right w:val="single" w:color="000000" w:sz="2" w:space="0"/>
            </w:tcBorders>
            <w:textDirection w:val="tbRlV"/>
            <w:vAlign w:val="top"/>
          </w:tcPr>
          <w:p w14:paraId="5A4579C9">
            <w:pPr>
              <w:rPr>
                <w:rFonts w:ascii="Arial"/>
                <w:sz w:val="21"/>
                <w:highlight w:val="none"/>
              </w:rPr>
            </w:pPr>
          </w:p>
        </w:tc>
        <w:tc>
          <w:tcPr>
            <w:tcW w:w="700" w:type="dxa"/>
            <w:tcBorders>
              <w:left w:val="single" w:color="000000" w:sz="2" w:space="0"/>
              <w:bottom w:val="single" w:color="000000" w:sz="10" w:space="0"/>
            </w:tcBorders>
            <w:vAlign w:val="top"/>
          </w:tcPr>
          <w:p w14:paraId="669D54A5">
            <w:pPr>
              <w:pStyle w:val="26"/>
              <w:spacing w:before="201" w:line="196" w:lineRule="auto"/>
              <w:ind w:left="255"/>
              <w:rPr>
                <w:sz w:val="20"/>
                <w:szCs w:val="20"/>
                <w:highlight w:val="none"/>
              </w:rPr>
            </w:pPr>
            <w:r>
              <w:rPr>
                <w:spacing w:val="-20"/>
                <w:sz w:val="20"/>
                <w:szCs w:val="20"/>
                <w:highlight w:val="none"/>
              </w:rPr>
              <w:t>14</w:t>
            </w:r>
          </w:p>
        </w:tc>
        <w:tc>
          <w:tcPr>
            <w:tcW w:w="7088" w:type="dxa"/>
            <w:tcBorders>
              <w:bottom w:val="single" w:color="000000" w:sz="10" w:space="0"/>
              <w:right w:val="single" w:color="000000" w:sz="2" w:space="0"/>
            </w:tcBorders>
            <w:vAlign w:val="top"/>
          </w:tcPr>
          <w:p w14:paraId="1D11A4B4">
            <w:pPr>
              <w:pStyle w:val="26"/>
              <w:spacing w:before="140"/>
              <w:ind w:left="119"/>
              <w:outlineLvl w:val="0"/>
              <w:rPr>
                <w:rFonts w:hint="eastAsia" w:eastAsia="方正仿宋_GBK"/>
                <w:sz w:val="20"/>
                <w:szCs w:val="20"/>
                <w:highlight w:val="none"/>
                <w:lang w:eastAsia="zh-CN"/>
              </w:rPr>
            </w:pPr>
            <w:r>
              <w:rPr>
                <w:spacing w:val="9"/>
                <w:sz w:val="20"/>
                <w:szCs w:val="20"/>
                <w:highlight w:val="none"/>
              </w:rPr>
              <w:t>不满足招标文件实质性要求的其他情形</w:t>
            </w:r>
          </w:p>
        </w:tc>
        <w:tc>
          <w:tcPr>
            <w:tcW w:w="663" w:type="dxa"/>
            <w:tcBorders>
              <w:left w:val="single" w:color="000000" w:sz="2" w:space="0"/>
              <w:bottom w:val="single" w:color="000000" w:sz="10" w:space="0"/>
            </w:tcBorders>
            <w:vAlign w:val="top"/>
          </w:tcPr>
          <w:p w14:paraId="11D56ED7">
            <w:pPr>
              <w:rPr>
                <w:rFonts w:ascii="Arial"/>
                <w:sz w:val="21"/>
                <w:highlight w:val="none"/>
              </w:rPr>
            </w:pPr>
          </w:p>
        </w:tc>
        <w:tc>
          <w:tcPr>
            <w:tcW w:w="642" w:type="dxa"/>
            <w:tcBorders>
              <w:bottom w:val="single" w:color="000000" w:sz="10" w:space="0"/>
              <w:right w:val="single" w:color="000000" w:sz="2" w:space="0"/>
            </w:tcBorders>
            <w:vAlign w:val="top"/>
          </w:tcPr>
          <w:p w14:paraId="27C55E74">
            <w:pPr>
              <w:rPr>
                <w:rFonts w:ascii="Arial"/>
                <w:sz w:val="21"/>
                <w:highlight w:val="none"/>
              </w:rPr>
            </w:pPr>
          </w:p>
        </w:tc>
      </w:tr>
    </w:tbl>
    <w:p w14:paraId="64879D54">
      <w:pPr>
        <w:pStyle w:val="7"/>
        <w:spacing w:line="457" w:lineRule="auto"/>
        <w:rPr>
          <w:highlight w:val="none"/>
        </w:rPr>
      </w:pPr>
    </w:p>
    <w:p w14:paraId="4AE4F040">
      <w:pPr>
        <w:spacing w:before="84" w:line="237" w:lineRule="auto"/>
        <w:ind w:left="911"/>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5"/>
          <w:sz w:val="23"/>
          <w:szCs w:val="23"/>
          <w:highlight w:val="none"/>
        </w:rPr>
        <w:t>注</w:t>
      </w:r>
      <w:r>
        <w:rPr>
          <w:rFonts w:ascii="方正仿宋_GBK" w:hAnsi="方正仿宋_GBK" w:eastAsia="方正仿宋_GBK" w:cs="方正仿宋_GBK"/>
          <w:spacing w:val="-24"/>
          <w:sz w:val="23"/>
          <w:szCs w:val="23"/>
          <w:highlight w:val="none"/>
        </w:rPr>
        <w:t>：（</w:t>
      </w:r>
      <w:r>
        <w:rPr>
          <w:rFonts w:ascii="方正仿宋_GBK" w:hAnsi="方正仿宋_GBK" w:eastAsia="方正仿宋_GBK" w:cs="方正仿宋_GBK"/>
          <w:spacing w:val="5"/>
          <w:sz w:val="23"/>
          <w:szCs w:val="23"/>
          <w:highlight w:val="none"/>
        </w:rPr>
        <w:t>1）上述各项中用“√”表示通过，“×”表示不通过；</w:t>
      </w:r>
    </w:p>
    <w:p w14:paraId="70D352A4">
      <w:pPr>
        <w:spacing w:before="86" w:line="281" w:lineRule="auto"/>
        <w:ind w:left="1338" w:right="683" w:firstLine="211"/>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5"/>
          <w:sz w:val="23"/>
          <w:szCs w:val="23"/>
          <w:highlight w:val="none"/>
        </w:rPr>
        <w:t>（2）上述各项中如有一项为“×”，则结</w:t>
      </w:r>
      <w:r>
        <w:rPr>
          <w:rFonts w:ascii="方正仿宋_GBK" w:hAnsi="方正仿宋_GBK" w:eastAsia="方正仿宋_GBK" w:cs="方正仿宋_GBK"/>
          <w:spacing w:val="4"/>
          <w:sz w:val="23"/>
          <w:szCs w:val="23"/>
          <w:highlight w:val="none"/>
        </w:rPr>
        <w:t>论为“不通过”，表示该投标</w:t>
      </w:r>
      <w:r>
        <w:rPr>
          <w:rFonts w:ascii="方正仿宋_GBK" w:hAnsi="方正仿宋_GBK" w:eastAsia="方正仿宋_GBK" w:cs="方正仿宋_GBK"/>
          <w:spacing w:val="8"/>
          <w:sz w:val="23"/>
          <w:szCs w:val="23"/>
          <w:highlight w:val="none"/>
        </w:rPr>
        <w:t>文件中存在重大偏差，不能通过评审；评委对某一分项评审认</w:t>
      </w:r>
      <w:r>
        <w:rPr>
          <w:rFonts w:ascii="方正仿宋_GBK" w:hAnsi="方正仿宋_GBK" w:eastAsia="方正仿宋_GBK" w:cs="方正仿宋_GBK"/>
          <w:spacing w:val="7"/>
          <w:sz w:val="23"/>
          <w:szCs w:val="23"/>
          <w:highlight w:val="none"/>
        </w:rPr>
        <w:t>为不合格时，</w:t>
      </w:r>
      <w:r>
        <w:rPr>
          <w:rFonts w:ascii="方正仿宋_GBK" w:hAnsi="方正仿宋_GBK" w:eastAsia="方正仿宋_GBK" w:cs="方正仿宋_GBK"/>
          <w:spacing w:val="3"/>
          <w:sz w:val="23"/>
          <w:szCs w:val="23"/>
          <w:highlight w:val="none"/>
        </w:rPr>
        <w:t>必须要写明原因。</w:t>
      </w:r>
    </w:p>
    <w:p w14:paraId="1AE74E4F">
      <w:pPr>
        <w:spacing w:before="80" w:line="269" w:lineRule="auto"/>
        <w:ind w:left="1292" w:right="835" w:firstLine="216"/>
        <w:rPr>
          <w:rFonts w:ascii="方正仿宋_GBK" w:hAnsi="方正仿宋_GBK" w:eastAsia="方正仿宋_GBK" w:cs="方正仿宋_GBK"/>
          <w:sz w:val="23"/>
          <w:szCs w:val="23"/>
          <w:highlight w:val="none"/>
        </w:rPr>
      </w:pPr>
      <w:r>
        <w:rPr>
          <w:rFonts w:ascii="方正仿宋_GBK" w:hAnsi="方正仿宋_GBK" w:eastAsia="方正仿宋_GBK" w:cs="方正仿宋_GBK"/>
          <w:spacing w:val="9"/>
          <w:sz w:val="23"/>
          <w:szCs w:val="23"/>
          <w:highlight w:val="none"/>
        </w:rPr>
        <w:t>（3）投标文件最终合格与否，以所有评委的评审意</w:t>
      </w:r>
      <w:r>
        <w:rPr>
          <w:rFonts w:ascii="方正仿宋_GBK" w:hAnsi="方正仿宋_GBK" w:eastAsia="方正仿宋_GBK" w:cs="方正仿宋_GBK"/>
          <w:spacing w:val="8"/>
          <w:sz w:val="23"/>
          <w:szCs w:val="23"/>
          <w:highlight w:val="none"/>
        </w:rPr>
        <w:t>见中少数服从多数为</w:t>
      </w:r>
      <w:r>
        <w:rPr>
          <w:rFonts w:ascii="方正仿宋_GBK" w:hAnsi="方正仿宋_GBK" w:eastAsia="方正仿宋_GBK" w:cs="方正仿宋_GBK"/>
          <w:sz w:val="23"/>
          <w:szCs w:val="23"/>
          <w:highlight w:val="none"/>
        </w:rPr>
        <w:t>原则定论。</w:t>
      </w:r>
    </w:p>
    <w:p w14:paraId="63245A77">
      <w:pPr>
        <w:pStyle w:val="7"/>
        <w:spacing w:line="252" w:lineRule="auto"/>
        <w:rPr>
          <w:highlight w:val="none"/>
        </w:rPr>
      </w:pPr>
    </w:p>
    <w:p w14:paraId="604BC612">
      <w:pPr>
        <w:rPr>
          <w:highlight w:val="none"/>
        </w:rPr>
      </w:pPr>
    </w:p>
    <w:p w14:paraId="6F96BB35">
      <w:pPr>
        <w:pStyle w:val="2"/>
        <w:rPr>
          <w:highlight w:val="none"/>
        </w:rPr>
      </w:pPr>
    </w:p>
    <w:p w14:paraId="330DB97E">
      <w:pPr>
        <w:rPr>
          <w:highlight w:val="none"/>
        </w:rPr>
      </w:pPr>
    </w:p>
    <w:p w14:paraId="11787DC4">
      <w:pPr>
        <w:pStyle w:val="2"/>
        <w:rPr>
          <w:highlight w:val="none"/>
        </w:rPr>
      </w:pPr>
    </w:p>
    <w:tbl>
      <w:tblPr>
        <w:tblStyle w:val="20"/>
        <w:tblW w:w="101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708"/>
        <w:gridCol w:w="6735"/>
        <w:gridCol w:w="660"/>
      </w:tblGrid>
      <w:tr w14:paraId="386DF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18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606BA">
            <w:pPr>
              <w:keepNext w:val="0"/>
              <w:keepLines w:val="0"/>
              <w:widowControl/>
              <w:suppressLineNumbers w:val="0"/>
              <w:jc w:val="center"/>
              <w:textAlignment w:val="center"/>
              <w:rPr>
                <w:rFonts w:ascii="仿宋" w:hAnsi="仿宋" w:eastAsia="仿宋" w:cs="仿宋"/>
                <w:b/>
                <w:bCs/>
                <w:i w:val="0"/>
                <w:iCs w:val="0"/>
                <w:color w:val="000000"/>
                <w:sz w:val="32"/>
                <w:szCs w:val="32"/>
                <w:highlight w:val="none"/>
                <w:u w:val="none"/>
              </w:rPr>
            </w:pPr>
            <w:r>
              <w:rPr>
                <w:rFonts w:hint="eastAsia" w:ascii="仿宋" w:hAnsi="仿宋" w:eastAsia="仿宋" w:cs="仿宋"/>
                <w:b/>
                <w:bCs/>
                <w:i w:val="0"/>
                <w:iCs w:val="0"/>
                <w:snapToGrid w:val="0"/>
                <w:color w:val="000000"/>
                <w:kern w:val="0"/>
                <w:sz w:val="32"/>
                <w:szCs w:val="32"/>
                <w:highlight w:val="none"/>
                <w:u w:val="none"/>
                <w:lang w:val="en-US" w:eastAsia="zh-CN" w:bidi="ar"/>
              </w:rPr>
              <w:t>评分办法（综合评分法）及评分标准</w:t>
            </w:r>
          </w:p>
        </w:tc>
      </w:tr>
      <w:tr w14:paraId="2D853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5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B72A00">
            <w:pPr>
              <w:keepNext w:val="0"/>
              <w:keepLines w:val="0"/>
              <w:widowControl/>
              <w:suppressLineNumbers w:val="0"/>
              <w:jc w:val="center"/>
              <w:textAlignment w:val="center"/>
              <w:rPr>
                <w:rFonts w:ascii="方正仿宋_GBK" w:hAnsi="方正仿宋_GBK" w:eastAsia="方正仿宋_GBK" w:cs="方正仿宋_GBK"/>
                <w:i w:val="0"/>
                <w:iCs w:val="0"/>
                <w:color w:val="000000"/>
                <w:sz w:val="23"/>
                <w:szCs w:val="23"/>
                <w:highlight w:val="none"/>
                <w:u w:val="none"/>
              </w:rPr>
            </w:pPr>
            <w:r>
              <w:rPr>
                <w:rFonts w:hint="eastAsia" w:ascii="方正仿宋_GBK" w:hAnsi="方正仿宋_GBK" w:eastAsia="方正仿宋_GBK" w:cs="方正仿宋_GBK"/>
                <w:i w:val="0"/>
                <w:iCs w:val="0"/>
                <w:snapToGrid w:val="0"/>
                <w:color w:val="000000"/>
                <w:kern w:val="0"/>
                <w:sz w:val="23"/>
                <w:szCs w:val="23"/>
                <w:highlight w:val="none"/>
                <w:u w:val="none"/>
                <w:lang w:val="en-US" w:eastAsia="zh-CN" w:bidi="ar"/>
              </w:rPr>
              <w:t>评分细则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BA4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3"/>
                <w:szCs w:val="23"/>
                <w:highlight w:val="none"/>
                <w:u w:val="none"/>
              </w:rPr>
            </w:pPr>
            <w:r>
              <w:rPr>
                <w:rFonts w:hint="eastAsia" w:ascii="方正仿宋_GBK" w:hAnsi="方正仿宋_GBK" w:eastAsia="方正仿宋_GBK" w:cs="方正仿宋_GBK"/>
                <w:i w:val="0"/>
                <w:iCs w:val="0"/>
                <w:snapToGrid w:val="0"/>
                <w:color w:val="000000"/>
                <w:kern w:val="0"/>
                <w:sz w:val="23"/>
                <w:szCs w:val="23"/>
                <w:highlight w:val="none"/>
                <w:u w:val="none"/>
                <w:lang w:val="en-US" w:eastAsia="zh-CN" w:bidi="ar"/>
              </w:rPr>
              <w:t>分值</w:t>
            </w:r>
          </w:p>
        </w:tc>
      </w:tr>
      <w:tr w14:paraId="17D47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0" w:hRule="atLeast"/>
        </w:trPr>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F63D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方正仿宋_GBK" w:hAnsi="方正仿宋_GBK" w:eastAsia="方正仿宋_GBK" w:cs="方正仿宋_GBK"/>
                <w:i w:val="0"/>
                <w:iCs w:val="0"/>
                <w:snapToGrid w:val="0"/>
                <w:color w:val="000000"/>
                <w:kern w:val="0"/>
                <w:sz w:val="23"/>
                <w:szCs w:val="23"/>
                <w:highlight w:val="none"/>
                <w:u w:val="none"/>
                <w:lang w:val="en-US" w:eastAsia="zh-CN" w:bidi="ar"/>
              </w:rPr>
              <w:t>报价部分20分</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FFAF">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3"/>
                <w:szCs w:val="23"/>
                <w:highlight w:val="none"/>
                <w:u w:val="none"/>
                <w:lang w:val="en-US"/>
              </w:rPr>
            </w:pPr>
            <w:r>
              <w:rPr>
                <w:rFonts w:hint="eastAsia" w:ascii="方正仿宋_GBK" w:hAnsi="方正仿宋_GBK" w:eastAsia="方正仿宋_GBK" w:cs="方正仿宋_GBK"/>
                <w:i w:val="0"/>
                <w:iCs w:val="0"/>
                <w:snapToGrid w:val="0"/>
                <w:color w:val="000000"/>
                <w:kern w:val="0"/>
                <w:sz w:val="23"/>
                <w:szCs w:val="23"/>
                <w:highlight w:val="none"/>
                <w:u w:val="none"/>
                <w:lang w:val="en-US" w:eastAsia="zh-CN" w:bidi="ar"/>
              </w:rPr>
              <w:t>价格分采用满足招标文件要求和招标人采购需求且培训人数最高的为评标基准价，其价格分为满分20分。其他供货商的价格分按照下列公式计算：投标报价得分＝（投标人数／评标基准价）×价格权值×100。</w:t>
            </w:r>
            <w:r>
              <w:rPr>
                <w:rFonts w:hint="eastAsia" w:ascii="方正仿宋_GBK" w:hAnsi="方正仿宋_GBK" w:eastAsia="方正仿宋_GBK" w:cs="方正仿宋_GBK"/>
                <w:i w:val="0"/>
                <w:iCs w:val="0"/>
                <w:snapToGrid w:val="0"/>
                <w:color w:val="000000"/>
                <w:kern w:val="0"/>
                <w:sz w:val="23"/>
                <w:szCs w:val="23"/>
                <w:highlight w:val="none"/>
                <w:u w:val="none"/>
                <w:lang w:val="en-US" w:eastAsia="zh-CN" w:bidi="ar"/>
              </w:rPr>
              <w:br w:type="textWrapping"/>
            </w:r>
            <w:r>
              <w:rPr>
                <w:rFonts w:hint="eastAsia" w:ascii="方正仿宋_GBK" w:hAnsi="方正仿宋_GBK" w:eastAsia="方正仿宋_GBK" w:cs="方正仿宋_GBK"/>
                <w:b/>
                <w:bCs/>
                <w:i w:val="0"/>
                <w:iCs w:val="0"/>
                <w:snapToGrid w:val="0"/>
                <w:color w:val="000000"/>
                <w:kern w:val="0"/>
                <w:sz w:val="23"/>
                <w:szCs w:val="23"/>
                <w:highlight w:val="none"/>
                <w:u w:val="none"/>
                <w:lang w:val="en-US" w:eastAsia="zh-CN" w:bidi="ar"/>
              </w:rPr>
              <w:t>注：未通过初步评审的投标不参与投标报价得分的计算。本项目专门面向中小企业采购，依据《政府采购促进中小企业发展管理办法》相关规定对小型和微型企业不进行价格扣除。</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7C60">
            <w:pPr>
              <w:keepNext w:val="0"/>
              <w:keepLines w:val="0"/>
              <w:widowControl/>
              <w:suppressLineNumbers w:val="0"/>
              <w:jc w:val="left"/>
              <w:textAlignment w:val="center"/>
              <w:rPr>
                <w:rFonts w:hint="default" w:ascii="Arial" w:hAnsi="Arial" w:eastAsia="宋体" w:cs="Arial"/>
                <w:i w:val="0"/>
                <w:iCs w:val="0"/>
                <w:color w:val="000000"/>
                <w:sz w:val="21"/>
                <w:szCs w:val="21"/>
                <w:highlight w:val="none"/>
                <w:u w:val="none"/>
              </w:rPr>
            </w:pPr>
            <w:r>
              <w:rPr>
                <w:rFonts w:hint="default" w:ascii="Arial" w:hAnsi="Arial" w:eastAsia="宋体" w:cs="Arial"/>
                <w:i w:val="0"/>
                <w:iCs w:val="0"/>
                <w:snapToGrid w:val="0"/>
                <w:color w:val="000000"/>
                <w:kern w:val="0"/>
                <w:sz w:val="21"/>
                <w:szCs w:val="21"/>
                <w:highlight w:val="none"/>
                <w:u w:val="none"/>
                <w:lang w:val="en-US" w:eastAsia="zh-CN" w:bidi="ar"/>
              </w:rPr>
              <w:t>20</w:t>
            </w:r>
            <w:r>
              <w:rPr>
                <w:rStyle w:val="32"/>
                <w:snapToGrid w:val="0"/>
                <w:color w:val="000000"/>
                <w:highlight w:val="none"/>
                <w:lang w:val="en-US" w:eastAsia="zh-CN" w:bidi="ar"/>
              </w:rPr>
              <w:t>分</w:t>
            </w:r>
          </w:p>
        </w:tc>
      </w:tr>
      <w:tr w14:paraId="483A9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1080" w:type="dxa"/>
            <w:vMerge w:val="restart"/>
            <w:tcBorders>
              <w:top w:val="single" w:color="000000" w:sz="4" w:space="0"/>
              <w:left w:val="single" w:color="000000" w:sz="4" w:space="0"/>
              <w:right w:val="single" w:color="000000" w:sz="4" w:space="0"/>
            </w:tcBorders>
            <w:shd w:val="clear" w:color="auto" w:fill="auto"/>
            <w:vAlign w:val="center"/>
          </w:tcPr>
          <w:p w14:paraId="7133D2F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技术及商务部</w:t>
            </w:r>
            <w:r>
              <w:rPr>
                <w:rStyle w:val="33"/>
                <w:rFonts w:hint="eastAsia" w:ascii="仿宋" w:hAnsi="仿宋" w:eastAsia="仿宋" w:cs="仿宋"/>
                <w:snapToGrid w:val="0"/>
                <w:color w:val="000000"/>
                <w:sz w:val="24"/>
                <w:szCs w:val="24"/>
                <w:highlight w:val="none"/>
                <w:lang w:val="en-US" w:eastAsia="zh-CN" w:bidi="ar"/>
              </w:rPr>
              <w:t>分（80分）</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9C5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企业综合实力</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B24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1、高校和科研院所具有师资共享合作关系，需提供合作协议，每提供一份得1分，最高得3分，不提供不得分。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C68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Style w:val="32"/>
                <w:rFonts w:hint="eastAsia" w:ascii="仿宋" w:hAnsi="仿宋" w:eastAsia="仿宋" w:cs="仿宋"/>
                <w:snapToGrid w:val="0"/>
                <w:color w:val="000000"/>
                <w:sz w:val="24"/>
                <w:szCs w:val="24"/>
                <w:highlight w:val="none"/>
                <w:lang w:val="en-US" w:eastAsia="zh-CN" w:bidi="ar"/>
              </w:rPr>
              <w:t>3分</w:t>
            </w:r>
          </w:p>
        </w:tc>
      </w:tr>
      <w:tr w14:paraId="4D55A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1080" w:type="dxa"/>
            <w:vMerge w:val="continue"/>
            <w:tcBorders>
              <w:left w:val="single" w:color="000000" w:sz="4" w:space="0"/>
              <w:right w:val="single" w:color="000000" w:sz="4" w:space="0"/>
            </w:tcBorders>
            <w:shd w:val="clear" w:color="auto" w:fill="auto"/>
            <w:vAlign w:val="center"/>
          </w:tcPr>
          <w:p w14:paraId="54140297">
            <w:pPr>
              <w:jc w:val="center"/>
              <w:rPr>
                <w:rFonts w:hint="eastAsia" w:ascii="仿宋" w:hAnsi="仿宋" w:eastAsia="仿宋" w:cs="仿宋"/>
                <w:i w:val="0"/>
                <w:iCs w:val="0"/>
                <w:color w:val="000000"/>
                <w:sz w:val="24"/>
                <w:szCs w:val="24"/>
                <w:highlight w:val="none"/>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057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snapToGrid w:val="0"/>
                <w:color w:val="000000"/>
                <w:kern w:val="0"/>
                <w:sz w:val="24"/>
                <w:szCs w:val="24"/>
                <w:highlight w:val="none"/>
                <w:u w:val="none"/>
                <w:lang w:val="en-US" w:eastAsia="zh-CN" w:bidi="ar"/>
              </w:rPr>
              <w:t>授课师资力量</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82E6">
            <w:pPr>
              <w:keepNext w:val="0"/>
              <w:keepLines w:val="0"/>
              <w:widowControl/>
              <w:suppressLineNumbers w:val="0"/>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snapToGrid w:val="0"/>
                <w:color w:val="auto"/>
                <w:kern w:val="0"/>
                <w:sz w:val="24"/>
                <w:szCs w:val="24"/>
                <w:highlight w:val="none"/>
                <w:u w:val="none"/>
                <w:lang w:val="en-US" w:eastAsia="zh-CN" w:bidi="ar"/>
              </w:rPr>
              <w:t>师资配备中所有讲师应具有副高级(副教授)及以上涉农高校讲师、科研院所专家、农业(农艺)专业技术职称，授课师资具有农业相关专业正高及以上职称的，每有一个得2分，具有农业相关专业副高职称的，每有一个得1分，无副高及以上职称，但具有高级资格证书的，每有一个得0.5分。本项最高得12分(需提供讲师职称证书及聘用合同、副高级以上岗位工作证明、身份证复印件等证明材料，提供不齐全或不提供的不得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282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12</w:t>
            </w:r>
            <w:r>
              <w:rPr>
                <w:rStyle w:val="32"/>
                <w:rFonts w:hint="eastAsia" w:ascii="仿宋" w:hAnsi="仿宋" w:eastAsia="仿宋" w:cs="仿宋"/>
                <w:snapToGrid w:val="0"/>
                <w:color w:val="000000"/>
                <w:sz w:val="24"/>
                <w:szCs w:val="24"/>
                <w:highlight w:val="none"/>
                <w:lang w:val="en-US" w:eastAsia="zh-CN" w:bidi="ar"/>
              </w:rPr>
              <w:t>分</w:t>
            </w:r>
          </w:p>
        </w:tc>
      </w:tr>
      <w:tr w14:paraId="67425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5" w:hRule="atLeast"/>
        </w:trPr>
        <w:tc>
          <w:tcPr>
            <w:tcW w:w="1080" w:type="dxa"/>
            <w:vMerge w:val="continue"/>
            <w:tcBorders>
              <w:left w:val="single" w:color="000000" w:sz="4" w:space="0"/>
              <w:right w:val="single" w:color="000000" w:sz="4" w:space="0"/>
            </w:tcBorders>
            <w:shd w:val="clear" w:color="auto" w:fill="auto"/>
            <w:vAlign w:val="center"/>
          </w:tcPr>
          <w:p w14:paraId="56FC45AE">
            <w:pPr>
              <w:jc w:val="center"/>
              <w:rPr>
                <w:rFonts w:hint="eastAsia" w:ascii="仿宋" w:hAnsi="仿宋" w:eastAsia="仿宋" w:cs="仿宋"/>
                <w:i w:val="0"/>
                <w:iCs w:val="0"/>
                <w:color w:val="auto"/>
                <w:sz w:val="24"/>
                <w:szCs w:val="24"/>
                <w:highlight w:val="none"/>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860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snapToGrid w:val="0"/>
                <w:color w:val="auto"/>
                <w:kern w:val="0"/>
                <w:sz w:val="24"/>
                <w:szCs w:val="24"/>
                <w:highlight w:val="none"/>
                <w:u w:val="none"/>
                <w:lang w:val="en-US" w:eastAsia="zh-CN" w:bidi="ar"/>
              </w:rPr>
              <w:t>拟投入本项目的执行团队情况</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FFC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1、</w:t>
            </w:r>
            <w:r>
              <w:rPr>
                <w:rFonts w:hint="eastAsia" w:ascii="仿宋" w:hAnsi="仿宋" w:eastAsia="仿宋" w:cs="仿宋"/>
                <w:i w:val="0"/>
                <w:iCs w:val="0"/>
                <w:color w:val="auto"/>
                <w:sz w:val="24"/>
                <w:szCs w:val="24"/>
                <w:highlight w:val="none"/>
                <w:u w:val="none"/>
              </w:rPr>
              <w:t>项目负责人:项目负责人应具有丰富的实践经验和组织管理能力、具有教师资格证及高级资格证;需提供</w:t>
            </w:r>
            <w:r>
              <w:rPr>
                <w:rFonts w:hint="eastAsia" w:ascii="仿宋" w:hAnsi="仿宋" w:eastAsia="仿宋" w:cs="仿宋"/>
                <w:i w:val="0"/>
                <w:iCs w:val="0"/>
                <w:color w:val="auto"/>
                <w:sz w:val="24"/>
                <w:szCs w:val="24"/>
                <w:highlight w:val="none"/>
                <w:u w:val="none"/>
                <w:lang w:val="en-US" w:eastAsia="zh-CN"/>
              </w:rPr>
              <w:t>①近6个月内连续3个月的</w:t>
            </w:r>
            <w:r>
              <w:rPr>
                <w:rFonts w:hint="eastAsia" w:ascii="仿宋" w:hAnsi="仿宋" w:eastAsia="仿宋" w:cs="仿宋"/>
                <w:i w:val="0"/>
                <w:iCs w:val="0"/>
                <w:color w:val="auto"/>
                <w:sz w:val="24"/>
                <w:szCs w:val="24"/>
                <w:highlight w:val="none"/>
                <w:u w:val="none"/>
              </w:rPr>
              <w:t>社保证明、</w:t>
            </w:r>
            <w:r>
              <w:rPr>
                <w:rFonts w:hint="eastAsia" w:ascii="仿宋" w:hAnsi="仿宋" w:eastAsia="仿宋" w:cs="仿宋"/>
                <w:i w:val="0"/>
                <w:iCs w:val="0"/>
                <w:color w:val="auto"/>
                <w:sz w:val="24"/>
                <w:szCs w:val="24"/>
                <w:highlight w:val="none"/>
                <w:u w:val="none"/>
                <w:lang w:val="en-US" w:eastAsia="zh-CN"/>
              </w:rPr>
              <w:t>②</w:t>
            </w:r>
            <w:r>
              <w:rPr>
                <w:rFonts w:hint="eastAsia" w:ascii="仿宋" w:hAnsi="仿宋" w:eastAsia="仿宋" w:cs="仿宋"/>
                <w:i w:val="0"/>
                <w:iCs w:val="0"/>
                <w:color w:val="auto"/>
                <w:sz w:val="24"/>
                <w:szCs w:val="24"/>
                <w:highlight w:val="none"/>
                <w:u w:val="none"/>
              </w:rPr>
              <w:t>劳动合同、</w:t>
            </w:r>
            <w:r>
              <w:rPr>
                <w:rFonts w:hint="eastAsia" w:ascii="仿宋" w:hAnsi="仿宋" w:eastAsia="仿宋" w:cs="仿宋"/>
                <w:i w:val="0"/>
                <w:iCs w:val="0"/>
                <w:color w:val="auto"/>
                <w:sz w:val="24"/>
                <w:szCs w:val="24"/>
                <w:highlight w:val="none"/>
                <w:u w:val="none"/>
                <w:lang w:val="en-US" w:eastAsia="zh-CN"/>
              </w:rPr>
              <w:t>③</w:t>
            </w:r>
            <w:r>
              <w:rPr>
                <w:rFonts w:hint="eastAsia" w:ascii="仿宋" w:hAnsi="仿宋" w:eastAsia="仿宋" w:cs="仿宋"/>
                <w:i w:val="0"/>
                <w:iCs w:val="0"/>
                <w:color w:val="auto"/>
                <w:sz w:val="24"/>
                <w:szCs w:val="24"/>
                <w:highlight w:val="none"/>
                <w:u w:val="none"/>
              </w:rPr>
              <w:t>教师资格证</w:t>
            </w:r>
            <w:r>
              <w:rPr>
                <w:rFonts w:hint="eastAsia" w:ascii="仿宋" w:hAnsi="仿宋" w:eastAsia="仿宋" w:cs="仿宋"/>
                <w:i w:val="0"/>
                <w:iCs w:val="0"/>
                <w:color w:val="auto"/>
                <w:sz w:val="24"/>
                <w:szCs w:val="24"/>
                <w:highlight w:val="none"/>
                <w:u w:val="none"/>
                <w:lang w:eastAsia="zh-CN"/>
              </w:rPr>
              <w:t>、</w:t>
            </w:r>
            <w:r>
              <w:rPr>
                <w:rFonts w:hint="eastAsia" w:ascii="仿宋" w:hAnsi="仿宋" w:eastAsia="仿宋" w:cs="仿宋"/>
                <w:i w:val="0"/>
                <w:iCs w:val="0"/>
                <w:color w:val="auto"/>
                <w:sz w:val="24"/>
                <w:szCs w:val="24"/>
                <w:highlight w:val="none"/>
                <w:u w:val="none"/>
                <w:lang w:val="en-US" w:eastAsia="zh-CN"/>
              </w:rPr>
              <w:t>④</w:t>
            </w:r>
            <w:r>
              <w:rPr>
                <w:rFonts w:hint="eastAsia" w:ascii="仿宋" w:hAnsi="仿宋" w:eastAsia="仿宋" w:cs="仿宋"/>
                <w:i w:val="0"/>
                <w:iCs w:val="0"/>
                <w:color w:val="auto"/>
                <w:sz w:val="24"/>
                <w:szCs w:val="24"/>
                <w:highlight w:val="none"/>
                <w:u w:val="none"/>
              </w:rPr>
              <w:t>高级资格证</w:t>
            </w:r>
            <w:r>
              <w:rPr>
                <w:rFonts w:hint="eastAsia" w:ascii="仿宋" w:hAnsi="仿宋" w:eastAsia="仿宋" w:cs="仿宋"/>
                <w:i w:val="0"/>
                <w:iCs w:val="0"/>
                <w:color w:val="auto"/>
                <w:sz w:val="24"/>
                <w:szCs w:val="24"/>
                <w:highlight w:val="none"/>
                <w:u w:val="none"/>
                <w:lang w:val="en-US" w:eastAsia="zh-CN"/>
              </w:rPr>
              <w:t>等</w:t>
            </w:r>
            <w:r>
              <w:rPr>
                <w:rFonts w:hint="eastAsia" w:ascii="仿宋" w:hAnsi="仿宋" w:eastAsia="仿宋" w:cs="仿宋"/>
                <w:i w:val="0"/>
                <w:iCs w:val="0"/>
                <w:color w:val="auto"/>
                <w:sz w:val="24"/>
                <w:szCs w:val="24"/>
                <w:highlight w:val="none"/>
                <w:u w:val="none"/>
              </w:rPr>
              <w:t>相关证件，得4分;若少提供一项扣1分，扣完为止。</w:t>
            </w:r>
          </w:p>
          <w:p w14:paraId="543F7C0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2、</w:t>
            </w:r>
            <w:r>
              <w:rPr>
                <w:rFonts w:hint="eastAsia" w:ascii="仿宋" w:hAnsi="仿宋" w:eastAsia="仿宋" w:cs="仿宋"/>
                <w:i w:val="0"/>
                <w:iCs w:val="0"/>
                <w:color w:val="auto"/>
                <w:sz w:val="24"/>
                <w:szCs w:val="24"/>
                <w:highlight w:val="none"/>
                <w:u w:val="none"/>
              </w:rPr>
              <w:t>项目负责人负责相关业绩里</w:t>
            </w:r>
            <w:r>
              <w:rPr>
                <w:rFonts w:hint="eastAsia" w:ascii="仿宋" w:hAnsi="仿宋" w:eastAsia="仿宋" w:cs="仿宋"/>
                <w:i w:val="0"/>
                <w:iCs w:val="0"/>
                <w:color w:val="auto"/>
                <w:sz w:val="24"/>
                <w:szCs w:val="24"/>
                <w:highlight w:val="none"/>
                <w:u w:val="none"/>
                <w:lang w:val="en-US" w:eastAsia="zh-CN"/>
              </w:rPr>
              <w:t>培训</w:t>
            </w:r>
            <w:r>
              <w:rPr>
                <w:rFonts w:hint="eastAsia" w:ascii="仿宋" w:hAnsi="仿宋" w:eastAsia="仿宋" w:cs="仿宋"/>
                <w:i w:val="0"/>
                <w:iCs w:val="0"/>
                <w:color w:val="auto"/>
                <w:sz w:val="24"/>
                <w:szCs w:val="24"/>
                <w:highlight w:val="none"/>
                <w:u w:val="none"/>
              </w:rPr>
              <w:t>超过</w:t>
            </w:r>
            <w:r>
              <w:rPr>
                <w:rFonts w:hint="eastAsia" w:ascii="仿宋" w:hAnsi="仿宋" w:eastAsia="仿宋" w:cs="仿宋"/>
                <w:i w:val="0"/>
                <w:iCs w:val="0"/>
                <w:color w:val="auto"/>
                <w:sz w:val="24"/>
                <w:szCs w:val="24"/>
                <w:highlight w:val="none"/>
                <w:u w:val="none"/>
                <w:lang w:val="en-US" w:eastAsia="zh-CN"/>
              </w:rPr>
              <w:t>2</w:t>
            </w:r>
            <w:r>
              <w:rPr>
                <w:rFonts w:hint="eastAsia" w:ascii="仿宋" w:hAnsi="仿宋" w:eastAsia="仿宋" w:cs="仿宋"/>
                <w:i w:val="0"/>
                <w:iCs w:val="0"/>
                <w:color w:val="auto"/>
                <w:sz w:val="24"/>
                <w:szCs w:val="24"/>
                <w:highlight w:val="none"/>
                <w:u w:val="none"/>
              </w:rPr>
              <w:t>00人以上项目，每提供一份业绩证明</w:t>
            </w:r>
            <w:r>
              <w:rPr>
                <w:rFonts w:hint="eastAsia" w:ascii="仿宋" w:hAnsi="仿宋" w:eastAsia="仿宋" w:cs="仿宋"/>
                <w:i w:val="0"/>
                <w:iCs w:val="0"/>
                <w:color w:val="auto"/>
                <w:sz w:val="24"/>
                <w:szCs w:val="24"/>
                <w:highlight w:val="none"/>
                <w:u w:val="none"/>
                <w:lang w:eastAsia="zh-CN"/>
              </w:rPr>
              <w:t>（</w:t>
            </w:r>
            <w:r>
              <w:rPr>
                <w:rFonts w:hint="eastAsia" w:ascii="仿宋" w:hAnsi="仿宋" w:eastAsia="仿宋" w:cs="仿宋"/>
                <w:i w:val="0"/>
                <w:iCs w:val="0"/>
                <w:color w:val="auto"/>
                <w:sz w:val="24"/>
                <w:szCs w:val="24"/>
                <w:highlight w:val="none"/>
                <w:u w:val="none"/>
                <w:lang w:val="en-US" w:eastAsia="zh-CN"/>
              </w:rPr>
              <w:t>需提供</w:t>
            </w:r>
            <w:r>
              <w:rPr>
                <w:rFonts w:hint="eastAsia" w:ascii="仿宋" w:hAnsi="仿宋" w:eastAsia="仿宋" w:cs="仿宋"/>
                <w:i w:val="0"/>
                <w:iCs w:val="0"/>
                <w:color w:val="auto"/>
                <w:sz w:val="24"/>
                <w:szCs w:val="24"/>
                <w:highlight w:val="none"/>
                <w:u w:val="none"/>
              </w:rPr>
              <w:t>负责人签署合同及验收单</w:t>
            </w:r>
            <w:r>
              <w:rPr>
                <w:rFonts w:hint="eastAsia" w:ascii="仿宋" w:hAnsi="仿宋" w:eastAsia="仿宋" w:cs="仿宋"/>
                <w:i w:val="0"/>
                <w:iCs w:val="0"/>
                <w:color w:val="auto"/>
                <w:sz w:val="24"/>
                <w:szCs w:val="24"/>
                <w:highlight w:val="none"/>
                <w:u w:val="none"/>
                <w:lang w:eastAsia="zh-CN"/>
              </w:rPr>
              <w:t>）</w:t>
            </w:r>
            <w:r>
              <w:rPr>
                <w:rFonts w:hint="eastAsia" w:ascii="仿宋" w:hAnsi="仿宋" w:eastAsia="仿宋" w:cs="仿宋"/>
                <w:i w:val="0"/>
                <w:iCs w:val="0"/>
                <w:color w:val="auto"/>
                <w:sz w:val="24"/>
                <w:szCs w:val="24"/>
                <w:highlight w:val="none"/>
                <w:u w:val="none"/>
              </w:rPr>
              <w:t>，每个得1分</w:t>
            </w:r>
            <w:r>
              <w:rPr>
                <w:rFonts w:hint="eastAsia" w:ascii="仿宋" w:hAnsi="仿宋" w:eastAsia="仿宋" w:cs="仿宋"/>
                <w:i w:val="0"/>
                <w:iCs w:val="0"/>
                <w:color w:val="auto"/>
                <w:sz w:val="24"/>
                <w:szCs w:val="24"/>
                <w:highlight w:val="none"/>
                <w:u w:val="none"/>
                <w:lang w:eastAsia="zh-CN"/>
              </w:rPr>
              <w:t>，</w:t>
            </w:r>
            <w:r>
              <w:rPr>
                <w:rFonts w:hint="eastAsia" w:ascii="仿宋" w:hAnsi="仿宋" w:eastAsia="仿宋" w:cs="仿宋"/>
                <w:i w:val="0"/>
                <w:iCs w:val="0"/>
                <w:color w:val="auto"/>
                <w:sz w:val="24"/>
                <w:szCs w:val="24"/>
                <w:highlight w:val="none"/>
                <w:u w:val="none"/>
              </w:rPr>
              <w:t>本项最高得3分，</w:t>
            </w:r>
            <w:r>
              <w:rPr>
                <w:rFonts w:hint="eastAsia" w:ascii="仿宋" w:hAnsi="仿宋" w:eastAsia="仿宋" w:cs="仿宋"/>
                <w:i w:val="0"/>
                <w:iCs w:val="0"/>
                <w:color w:val="auto"/>
                <w:sz w:val="24"/>
                <w:szCs w:val="24"/>
                <w:highlight w:val="none"/>
                <w:u w:val="none"/>
                <w:lang w:val="en-US" w:eastAsia="zh-CN"/>
              </w:rPr>
              <w:t>资料提供不齐全或</w:t>
            </w:r>
            <w:r>
              <w:rPr>
                <w:rFonts w:hint="eastAsia" w:ascii="仿宋" w:hAnsi="仿宋" w:eastAsia="仿宋" w:cs="仿宋"/>
                <w:i w:val="0"/>
                <w:iCs w:val="0"/>
                <w:color w:val="auto"/>
                <w:sz w:val="24"/>
                <w:szCs w:val="24"/>
                <w:highlight w:val="none"/>
                <w:u w:val="none"/>
              </w:rPr>
              <w:t>不提供</w:t>
            </w:r>
            <w:r>
              <w:rPr>
                <w:rFonts w:hint="eastAsia" w:ascii="仿宋" w:hAnsi="仿宋" w:eastAsia="仿宋" w:cs="仿宋"/>
                <w:i w:val="0"/>
                <w:iCs w:val="0"/>
                <w:color w:val="auto"/>
                <w:sz w:val="24"/>
                <w:szCs w:val="24"/>
                <w:highlight w:val="none"/>
                <w:u w:val="none"/>
                <w:lang w:val="en-US" w:eastAsia="zh-CN"/>
              </w:rPr>
              <w:t>的</w:t>
            </w:r>
            <w:r>
              <w:rPr>
                <w:rFonts w:hint="eastAsia" w:ascii="仿宋" w:hAnsi="仿宋" w:eastAsia="仿宋" w:cs="仿宋"/>
                <w:i w:val="0"/>
                <w:iCs w:val="0"/>
                <w:color w:val="auto"/>
                <w:sz w:val="24"/>
                <w:szCs w:val="24"/>
                <w:highlight w:val="none"/>
                <w:u w:val="none"/>
              </w:rPr>
              <w:t>不得分。</w:t>
            </w:r>
          </w:p>
          <w:p w14:paraId="172CB7E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lang w:val="en-US" w:eastAsia="zh-CN"/>
              </w:rPr>
              <w:t>3、</w:t>
            </w:r>
            <w:r>
              <w:rPr>
                <w:rFonts w:hint="eastAsia" w:ascii="仿宋" w:hAnsi="仿宋" w:eastAsia="仿宋" w:cs="仿宋"/>
                <w:i w:val="0"/>
                <w:iCs w:val="0"/>
                <w:color w:val="auto"/>
                <w:sz w:val="24"/>
                <w:szCs w:val="24"/>
                <w:highlight w:val="none"/>
                <w:u w:val="none"/>
              </w:rPr>
              <w:t>项目组组成人员:项目组的人员构成需科学合理，成员需具备丰富的项目经验，有利于项目的执行，是一支具有稳定性、专业性、科学性的执行团队。每位成员具有教师资格证件及普通话证书，并提供</w:t>
            </w:r>
            <w:r>
              <w:rPr>
                <w:rFonts w:hint="eastAsia" w:ascii="仿宋" w:hAnsi="仿宋" w:eastAsia="仿宋" w:cs="仿宋"/>
                <w:i w:val="0"/>
                <w:iCs w:val="0"/>
                <w:color w:val="auto"/>
                <w:sz w:val="24"/>
                <w:szCs w:val="24"/>
                <w:highlight w:val="none"/>
                <w:u w:val="none"/>
                <w:lang w:val="en-US" w:eastAsia="zh-CN"/>
              </w:rPr>
              <w:t>近6个月内连续三个月的</w:t>
            </w:r>
            <w:r>
              <w:rPr>
                <w:rFonts w:hint="eastAsia" w:ascii="仿宋" w:hAnsi="仿宋" w:eastAsia="仿宋" w:cs="仿宋"/>
                <w:i w:val="0"/>
                <w:iCs w:val="0"/>
                <w:color w:val="auto"/>
                <w:sz w:val="24"/>
                <w:szCs w:val="24"/>
                <w:highlight w:val="none"/>
                <w:u w:val="none"/>
              </w:rPr>
              <w:t>社保证明及劳动合同，每有一个得2分;每位成员具有教师资格证件或普通话证书，并提供</w:t>
            </w:r>
            <w:r>
              <w:rPr>
                <w:rFonts w:hint="eastAsia" w:ascii="仿宋" w:hAnsi="仿宋" w:eastAsia="仿宋" w:cs="仿宋"/>
                <w:i w:val="0"/>
                <w:iCs w:val="0"/>
                <w:color w:val="auto"/>
                <w:sz w:val="24"/>
                <w:szCs w:val="24"/>
                <w:highlight w:val="none"/>
                <w:u w:val="none"/>
                <w:lang w:val="en-US" w:eastAsia="zh-CN"/>
              </w:rPr>
              <w:t>近6个月内连续三个月的</w:t>
            </w:r>
            <w:r>
              <w:rPr>
                <w:rFonts w:hint="eastAsia" w:ascii="仿宋" w:hAnsi="仿宋" w:eastAsia="仿宋" w:cs="仿宋"/>
                <w:i w:val="0"/>
                <w:iCs w:val="0"/>
                <w:color w:val="auto"/>
                <w:sz w:val="24"/>
                <w:szCs w:val="24"/>
                <w:highlight w:val="none"/>
                <w:u w:val="none"/>
              </w:rPr>
              <w:t>社保证明及劳动合同，每有一个得</w:t>
            </w:r>
            <w:r>
              <w:rPr>
                <w:rFonts w:hint="eastAsia" w:ascii="仿宋" w:hAnsi="仿宋" w:eastAsia="仿宋" w:cs="仿宋"/>
                <w:i w:val="0"/>
                <w:iCs w:val="0"/>
                <w:color w:val="auto"/>
                <w:sz w:val="24"/>
                <w:szCs w:val="24"/>
                <w:highlight w:val="none"/>
                <w:u w:val="none"/>
                <w:lang w:val="en-US" w:eastAsia="zh-CN"/>
              </w:rPr>
              <w:t>1</w:t>
            </w:r>
            <w:r>
              <w:rPr>
                <w:rFonts w:hint="eastAsia" w:ascii="仿宋" w:hAnsi="仿宋" w:eastAsia="仿宋" w:cs="仿宋"/>
                <w:i w:val="0"/>
                <w:iCs w:val="0"/>
                <w:color w:val="auto"/>
                <w:sz w:val="24"/>
                <w:szCs w:val="24"/>
                <w:highlight w:val="none"/>
                <w:u w:val="none"/>
              </w:rPr>
              <w:t>分，本项最高得6分;若不提供相关资料(真实有效的社保证明及劳动合同)，则不得分。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52E0">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13分</w:t>
            </w:r>
          </w:p>
        </w:tc>
      </w:tr>
      <w:tr w14:paraId="53E03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5" w:hRule="atLeast"/>
        </w:trPr>
        <w:tc>
          <w:tcPr>
            <w:tcW w:w="1080" w:type="dxa"/>
            <w:vMerge w:val="continue"/>
            <w:tcBorders>
              <w:left w:val="single" w:color="000000" w:sz="4" w:space="0"/>
              <w:right w:val="single" w:color="000000" w:sz="4" w:space="0"/>
            </w:tcBorders>
            <w:shd w:val="clear" w:color="auto" w:fill="auto"/>
            <w:vAlign w:val="center"/>
          </w:tcPr>
          <w:p w14:paraId="6236FE8A">
            <w:pPr>
              <w:jc w:val="center"/>
              <w:rPr>
                <w:rFonts w:hint="eastAsia" w:ascii="仿宋" w:hAnsi="仿宋" w:eastAsia="仿宋" w:cs="仿宋"/>
                <w:i w:val="0"/>
                <w:iCs w:val="0"/>
                <w:color w:val="000000"/>
                <w:sz w:val="24"/>
                <w:szCs w:val="24"/>
                <w:highlight w:val="none"/>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A88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类似业绩</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D58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供应商提供2021年1月1日至今</w:t>
            </w:r>
            <w:r>
              <w:rPr>
                <w:rFonts w:hint="eastAsia" w:ascii="仿宋" w:hAnsi="仿宋" w:eastAsia="仿宋" w:cs="仿宋"/>
                <w:i w:val="0"/>
                <w:iCs w:val="0"/>
                <w:color w:val="auto"/>
                <w:sz w:val="24"/>
                <w:szCs w:val="24"/>
                <w:highlight w:val="none"/>
                <w:u w:val="none"/>
                <w:lang w:val="en-US" w:eastAsia="zh-CN"/>
              </w:rPr>
              <w:t>类似</w:t>
            </w:r>
            <w:r>
              <w:rPr>
                <w:rFonts w:hint="eastAsia" w:ascii="仿宋" w:hAnsi="仿宋" w:eastAsia="仿宋" w:cs="仿宋"/>
                <w:i w:val="0"/>
                <w:iCs w:val="0"/>
                <w:color w:val="auto"/>
                <w:sz w:val="24"/>
                <w:szCs w:val="24"/>
                <w:highlight w:val="none"/>
                <w:u w:val="none"/>
              </w:rPr>
              <w:t>项目业绩，每提供一个业绩得</w:t>
            </w:r>
            <w:r>
              <w:rPr>
                <w:rFonts w:hint="eastAsia" w:ascii="仿宋" w:hAnsi="仿宋" w:eastAsia="仿宋" w:cs="仿宋"/>
                <w:i w:val="0"/>
                <w:iCs w:val="0"/>
                <w:color w:val="auto"/>
                <w:sz w:val="24"/>
                <w:szCs w:val="24"/>
                <w:highlight w:val="none"/>
                <w:u w:val="none"/>
                <w:lang w:val="en-US" w:eastAsia="zh-CN"/>
              </w:rPr>
              <w:t>2</w:t>
            </w:r>
            <w:r>
              <w:rPr>
                <w:rFonts w:hint="eastAsia" w:ascii="仿宋" w:hAnsi="仿宋" w:eastAsia="仿宋" w:cs="仿宋"/>
                <w:i w:val="0"/>
                <w:iCs w:val="0"/>
                <w:color w:val="auto"/>
                <w:sz w:val="24"/>
                <w:szCs w:val="24"/>
                <w:highlight w:val="none"/>
                <w:u w:val="none"/>
              </w:rPr>
              <w:t>分，满分</w:t>
            </w:r>
            <w:r>
              <w:rPr>
                <w:rFonts w:hint="eastAsia" w:ascii="仿宋" w:hAnsi="仿宋" w:eastAsia="仿宋" w:cs="仿宋"/>
                <w:i w:val="0"/>
                <w:iCs w:val="0"/>
                <w:color w:val="auto"/>
                <w:sz w:val="24"/>
                <w:szCs w:val="24"/>
                <w:highlight w:val="none"/>
                <w:u w:val="none"/>
                <w:lang w:val="en-US" w:eastAsia="zh-CN"/>
              </w:rPr>
              <w:t>6</w:t>
            </w:r>
            <w:r>
              <w:rPr>
                <w:rFonts w:hint="eastAsia" w:ascii="仿宋" w:hAnsi="仿宋" w:eastAsia="仿宋" w:cs="仿宋"/>
                <w:i w:val="0"/>
                <w:iCs w:val="0"/>
                <w:color w:val="auto"/>
                <w:sz w:val="24"/>
                <w:szCs w:val="24"/>
                <w:highlight w:val="none"/>
                <w:u w:val="none"/>
              </w:rPr>
              <w:t>分。以供应商提供的中标通知书、合同、验收单、业主评价表为准，不提供</w:t>
            </w:r>
            <w:r>
              <w:rPr>
                <w:rFonts w:hint="eastAsia" w:ascii="仿宋" w:hAnsi="仿宋" w:eastAsia="仿宋" w:cs="仿宋"/>
                <w:i w:val="0"/>
                <w:iCs w:val="0"/>
                <w:color w:val="auto"/>
                <w:sz w:val="24"/>
                <w:szCs w:val="24"/>
                <w:highlight w:val="none"/>
                <w:u w:val="none"/>
                <w:lang w:val="en-US" w:eastAsia="zh-CN"/>
              </w:rPr>
              <w:t>或提供资料不全</w:t>
            </w:r>
            <w:r>
              <w:rPr>
                <w:rFonts w:hint="eastAsia" w:ascii="仿宋" w:hAnsi="仿宋" w:eastAsia="仿宋" w:cs="仿宋"/>
                <w:i w:val="0"/>
                <w:iCs w:val="0"/>
                <w:color w:val="auto"/>
                <w:sz w:val="24"/>
                <w:szCs w:val="24"/>
                <w:highlight w:val="none"/>
                <w:u w:val="none"/>
              </w:rPr>
              <w:t>不得分。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159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snapToGrid w:val="0"/>
                <w:color w:val="000000"/>
                <w:kern w:val="0"/>
                <w:sz w:val="24"/>
                <w:szCs w:val="24"/>
                <w:highlight w:val="none"/>
                <w:u w:val="none"/>
                <w:lang w:val="en-US" w:eastAsia="zh-CN" w:bidi="ar"/>
              </w:rPr>
              <w:t>6</w:t>
            </w:r>
            <w:r>
              <w:rPr>
                <w:rStyle w:val="32"/>
                <w:rFonts w:hint="eastAsia" w:ascii="仿宋" w:hAnsi="仿宋" w:eastAsia="仿宋" w:cs="仿宋"/>
                <w:snapToGrid w:val="0"/>
                <w:color w:val="000000"/>
                <w:sz w:val="24"/>
                <w:szCs w:val="24"/>
                <w:highlight w:val="none"/>
                <w:lang w:val="en-US" w:eastAsia="zh-CN" w:bidi="ar"/>
              </w:rPr>
              <w:t>分</w:t>
            </w:r>
          </w:p>
        </w:tc>
      </w:tr>
      <w:tr w14:paraId="21627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1080" w:type="dxa"/>
            <w:vMerge w:val="continue"/>
            <w:tcBorders>
              <w:left w:val="single" w:color="000000" w:sz="4" w:space="0"/>
              <w:right w:val="single" w:color="000000" w:sz="4" w:space="0"/>
            </w:tcBorders>
            <w:shd w:val="clear" w:color="auto" w:fill="auto"/>
            <w:vAlign w:val="center"/>
          </w:tcPr>
          <w:p w14:paraId="2912078A">
            <w:pPr>
              <w:jc w:val="center"/>
              <w:rPr>
                <w:rFonts w:hint="eastAsia" w:ascii="仿宋" w:hAnsi="仿宋" w:eastAsia="仿宋" w:cs="仿宋"/>
                <w:i w:val="0"/>
                <w:iCs w:val="0"/>
                <w:color w:val="000000"/>
                <w:sz w:val="24"/>
                <w:szCs w:val="24"/>
                <w:highlight w:val="none"/>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4A0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snapToGrid w:val="0"/>
                <w:color w:val="000000"/>
                <w:kern w:val="0"/>
                <w:sz w:val="24"/>
                <w:szCs w:val="24"/>
                <w:highlight w:val="none"/>
                <w:u w:val="none"/>
                <w:lang w:val="en-US" w:eastAsia="zh-CN" w:bidi="ar"/>
              </w:rPr>
              <w:t>项目实施方案</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BAA3">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根据</w:t>
            </w:r>
            <w:r>
              <w:rPr>
                <w:rFonts w:hint="eastAsia" w:ascii="仿宋" w:hAnsi="仿宋" w:eastAsia="仿宋" w:cs="仿宋"/>
                <w:i w:val="0"/>
                <w:iCs w:val="0"/>
                <w:color w:val="auto"/>
                <w:sz w:val="24"/>
                <w:szCs w:val="24"/>
                <w:highlight w:val="none"/>
                <w:u w:val="none"/>
                <w:lang w:val="en-US" w:eastAsia="zh-CN"/>
              </w:rPr>
              <w:t>本</w:t>
            </w:r>
            <w:r>
              <w:rPr>
                <w:rFonts w:hint="eastAsia" w:ascii="仿宋" w:hAnsi="仿宋" w:eastAsia="仿宋" w:cs="仿宋"/>
                <w:i w:val="0"/>
                <w:iCs w:val="0"/>
                <w:color w:val="auto"/>
                <w:sz w:val="24"/>
                <w:szCs w:val="24"/>
                <w:highlight w:val="none"/>
                <w:u w:val="none"/>
              </w:rPr>
              <w:t>项目服务</w:t>
            </w:r>
            <w:r>
              <w:rPr>
                <w:rFonts w:hint="eastAsia" w:ascii="仿宋" w:hAnsi="仿宋" w:eastAsia="仿宋" w:cs="仿宋"/>
                <w:i w:val="0"/>
                <w:iCs w:val="0"/>
                <w:color w:val="auto"/>
                <w:sz w:val="24"/>
                <w:szCs w:val="24"/>
                <w:highlight w:val="none"/>
                <w:u w:val="none"/>
                <w:lang w:val="en-US" w:eastAsia="zh-CN"/>
              </w:rPr>
              <w:t>要</w:t>
            </w:r>
            <w:r>
              <w:rPr>
                <w:rFonts w:hint="eastAsia" w:ascii="仿宋" w:hAnsi="仿宋" w:eastAsia="仿宋" w:cs="仿宋"/>
                <w:i w:val="0"/>
                <w:iCs w:val="0"/>
                <w:color w:val="auto"/>
                <w:sz w:val="24"/>
                <w:szCs w:val="24"/>
                <w:highlight w:val="none"/>
                <w:u w:val="none"/>
              </w:rPr>
              <w:t>求，制定相应项目实施方案，包括</w:t>
            </w:r>
            <w:r>
              <w:rPr>
                <w:rFonts w:hint="eastAsia" w:ascii="仿宋" w:hAnsi="仿宋" w:eastAsia="仿宋" w:cs="仿宋"/>
                <w:i w:val="0"/>
                <w:iCs w:val="0"/>
                <w:color w:val="auto"/>
                <w:sz w:val="24"/>
                <w:szCs w:val="24"/>
                <w:highlight w:val="none"/>
                <w:u w:val="none"/>
                <w:lang w:val="en-US" w:eastAsia="zh-CN"/>
              </w:rPr>
              <w:t>①</w:t>
            </w:r>
            <w:r>
              <w:rPr>
                <w:rFonts w:hint="eastAsia" w:ascii="仿宋" w:hAnsi="仿宋" w:eastAsia="仿宋" w:cs="仿宋"/>
                <w:i w:val="0"/>
                <w:iCs w:val="0"/>
                <w:color w:val="auto"/>
                <w:sz w:val="24"/>
                <w:szCs w:val="24"/>
                <w:highlight w:val="none"/>
                <w:u w:val="none"/>
              </w:rPr>
              <w:t>培训目标、</w:t>
            </w:r>
            <w:r>
              <w:rPr>
                <w:rFonts w:hint="eastAsia" w:ascii="仿宋" w:hAnsi="仿宋" w:eastAsia="仿宋" w:cs="仿宋"/>
                <w:i w:val="0"/>
                <w:iCs w:val="0"/>
                <w:color w:val="auto"/>
                <w:sz w:val="24"/>
                <w:szCs w:val="24"/>
                <w:highlight w:val="none"/>
                <w:u w:val="none"/>
                <w:lang w:val="en-US" w:eastAsia="zh-CN"/>
              </w:rPr>
              <w:t>②</w:t>
            </w:r>
            <w:r>
              <w:rPr>
                <w:rFonts w:hint="eastAsia" w:ascii="仿宋" w:hAnsi="仿宋" w:eastAsia="仿宋" w:cs="仿宋"/>
                <w:i w:val="0"/>
                <w:iCs w:val="0"/>
                <w:color w:val="auto"/>
                <w:sz w:val="24"/>
                <w:szCs w:val="24"/>
                <w:highlight w:val="none"/>
                <w:u w:val="none"/>
              </w:rPr>
              <w:t>培训计划、</w:t>
            </w:r>
            <w:r>
              <w:rPr>
                <w:rFonts w:hint="eastAsia" w:ascii="仿宋" w:hAnsi="仿宋" w:eastAsia="仿宋" w:cs="仿宋"/>
                <w:i w:val="0"/>
                <w:iCs w:val="0"/>
                <w:color w:val="auto"/>
                <w:sz w:val="24"/>
                <w:szCs w:val="24"/>
                <w:highlight w:val="none"/>
                <w:u w:val="none"/>
                <w:lang w:val="en-US" w:eastAsia="zh-CN"/>
              </w:rPr>
              <w:t>③</w:t>
            </w:r>
            <w:r>
              <w:rPr>
                <w:rFonts w:hint="eastAsia" w:ascii="仿宋" w:hAnsi="仿宋" w:eastAsia="仿宋" w:cs="仿宋"/>
                <w:i w:val="0"/>
                <w:iCs w:val="0"/>
                <w:color w:val="auto"/>
                <w:sz w:val="24"/>
                <w:szCs w:val="24"/>
                <w:highlight w:val="none"/>
                <w:u w:val="none"/>
              </w:rPr>
              <w:t>培训课程内容及课程课时安排、</w:t>
            </w:r>
            <w:r>
              <w:rPr>
                <w:rFonts w:hint="eastAsia" w:ascii="仿宋" w:hAnsi="仿宋" w:eastAsia="仿宋" w:cs="仿宋"/>
                <w:i w:val="0"/>
                <w:iCs w:val="0"/>
                <w:color w:val="auto"/>
                <w:sz w:val="24"/>
                <w:szCs w:val="24"/>
                <w:highlight w:val="none"/>
                <w:u w:val="none"/>
                <w:lang w:val="en-US" w:eastAsia="zh-CN"/>
              </w:rPr>
              <w:t>④</w:t>
            </w:r>
            <w:r>
              <w:rPr>
                <w:rFonts w:hint="eastAsia" w:ascii="仿宋" w:hAnsi="仿宋" w:eastAsia="仿宋" w:cs="仿宋"/>
                <w:i w:val="0"/>
                <w:iCs w:val="0"/>
                <w:color w:val="auto"/>
                <w:sz w:val="24"/>
                <w:szCs w:val="24"/>
                <w:highlight w:val="none"/>
                <w:u w:val="none"/>
              </w:rPr>
              <w:t>教学模式、</w:t>
            </w:r>
            <w:r>
              <w:rPr>
                <w:rFonts w:hint="eastAsia" w:ascii="仿宋" w:hAnsi="仿宋" w:eastAsia="仿宋" w:cs="仿宋"/>
                <w:i w:val="0"/>
                <w:iCs w:val="0"/>
                <w:color w:val="auto"/>
                <w:sz w:val="24"/>
                <w:szCs w:val="24"/>
                <w:highlight w:val="none"/>
                <w:u w:val="none"/>
                <w:lang w:val="en-US" w:eastAsia="zh-CN"/>
              </w:rPr>
              <w:t>⑤</w:t>
            </w:r>
            <w:r>
              <w:rPr>
                <w:rFonts w:hint="eastAsia" w:ascii="仿宋" w:hAnsi="仿宋" w:eastAsia="仿宋" w:cs="仿宋"/>
                <w:i w:val="0"/>
                <w:iCs w:val="0"/>
                <w:color w:val="auto"/>
                <w:sz w:val="24"/>
                <w:szCs w:val="24"/>
                <w:highlight w:val="none"/>
                <w:u w:val="none"/>
              </w:rPr>
              <w:t>考试专核标准、</w:t>
            </w:r>
            <w:r>
              <w:rPr>
                <w:rFonts w:hint="eastAsia" w:ascii="仿宋" w:hAnsi="仿宋" w:eastAsia="仿宋" w:cs="仿宋"/>
                <w:i w:val="0"/>
                <w:iCs w:val="0"/>
                <w:color w:val="auto"/>
                <w:sz w:val="24"/>
                <w:szCs w:val="24"/>
                <w:highlight w:val="none"/>
                <w:u w:val="none"/>
                <w:lang w:val="en-US" w:eastAsia="zh-CN"/>
              </w:rPr>
              <w:t>⑥</w:t>
            </w:r>
            <w:r>
              <w:rPr>
                <w:rFonts w:hint="eastAsia" w:ascii="仿宋" w:hAnsi="仿宋" w:eastAsia="仿宋" w:cs="仿宋"/>
                <w:i w:val="0"/>
                <w:iCs w:val="0"/>
                <w:color w:val="auto"/>
                <w:sz w:val="24"/>
                <w:szCs w:val="24"/>
                <w:highlight w:val="none"/>
                <w:u w:val="none"/>
              </w:rPr>
              <w:t>培训过程、</w:t>
            </w:r>
            <w:r>
              <w:rPr>
                <w:rFonts w:hint="eastAsia" w:ascii="仿宋" w:hAnsi="仿宋" w:eastAsia="仿宋" w:cs="仿宋"/>
                <w:i w:val="0"/>
                <w:iCs w:val="0"/>
                <w:color w:val="auto"/>
                <w:sz w:val="24"/>
                <w:szCs w:val="24"/>
                <w:highlight w:val="none"/>
                <w:u w:val="none"/>
                <w:lang w:val="en-US" w:eastAsia="zh-CN"/>
              </w:rPr>
              <w:t>⑦</w:t>
            </w:r>
            <w:r>
              <w:rPr>
                <w:rFonts w:hint="eastAsia" w:ascii="仿宋" w:hAnsi="仿宋" w:eastAsia="仿宋" w:cs="仿宋"/>
                <w:i w:val="0"/>
                <w:iCs w:val="0"/>
                <w:color w:val="auto"/>
                <w:sz w:val="24"/>
                <w:szCs w:val="24"/>
                <w:highlight w:val="none"/>
                <w:u w:val="none"/>
              </w:rPr>
              <w:t>师资力量</w:t>
            </w:r>
            <w:r>
              <w:rPr>
                <w:rFonts w:hint="eastAsia" w:ascii="仿宋" w:hAnsi="仿宋" w:eastAsia="仿宋" w:cs="仿宋"/>
                <w:i w:val="0"/>
                <w:iCs w:val="0"/>
                <w:color w:val="auto"/>
                <w:sz w:val="24"/>
                <w:szCs w:val="24"/>
                <w:highlight w:val="none"/>
                <w:u w:val="none"/>
                <w:lang w:eastAsia="zh-CN"/>
              </w:rPr>
              <w:t>；</w:t>
            </w:r>
            <w:r>
              <w:rPr>
                <w:rFonts w:hint="eastAsia" w:ascii="仿宋" w:hAnsi="仿宋" w:eastAsia="仿宋" w:cs="仿宋"/>
                <w:i w:val="0"/>
                <w:iCs w:val="0"/>
                <w:color w:val="auto"/>
                <w:sz w:val="24"/>
                <w:szCs w:val="24"/>
                <w:highlight w:val="none"/>
                <w:u w:val="none"/>
              </w:rPr>
              <w:t>方案合理、切实可行，对</w:t>
            </w:r>
            <w:r>
              <w:rPr>
                <w:rFonts w:hint="eastAsia" w:ascii="仿宋" w:hAnsi="仿宋" w:eastAsia="仿宋" w:cs="仿宋"/>
                <w:i w:val="0"/>
                <w:iCs w:val="0"/>
                <w:color w:val="auto"/>
                <w:sz w:val="24"/>
                <w:szCs w:val="24"/>
                <w:highlight w:val="none"/>
                <w:u w:val="none"/>
                <w:lang w:val="en-US" w:eastAsia="zh-CN"/>
              </w:rPr>
              <w:t>本</w:t>
            </w:r>
            <w:r>
              <w:rPr>
                <w:rFonts w:hint="eastAsia" w:ascii="仿宋" w:hAnsi="仿宋" w:eastAsia="仿宋" w:cs="仿宋"/>
                <w:i w:val="0"/>
                <w:iCs w:val="0"/>
                <w:color w:val="auto"/>
                <w:sz w:val="24"/>
                <w:szCs w:val="24"/>
                <w:highlight w:val="none"/>
                <w:u w:val="none"/>
              </w:rPr>
              <w:t>项目理解准确，要点阐述明确且恰当、可以很好满足采购需求，以上内容每缺一项扣2分，每有一项内容描述不详细或与采购需求不相</w:t>
            </w:r>
            <w:r>
              <w:rPr>
                <w:rFonts w:hint="eastAsia" w:ascii="仿宋" w:hAnsi="仿宋" w:eastAsia="仿宋" w:cs="仿宋"/>
                <w:i w:val="0"/>
                <w:iCs w:val="0"/>
                <w:color w:val="auto"/>
                <w:sz w:val="24"/>
                <w:szCs w:val="24"/>
                <w:highlight w:val="none"/>
                <w:u w:val="none"/>
                <w:lang w:val="en-US" w:eastAsia="zh-CN"/>
              </w:rPr>
              <w:t>符</w:t>
            </w:r>
            <w:r>
              <w:rPr>
                <w:rFonts w:hint="eastAsia" w:ascii="仿宋" w:hAnsi="仿宋" w:eastAsia="仿宋" w:cs="仿宋"/>
                <w:i w:val="0"/>
                <w:iCs w:val="0"/>
                <w:color w:val="auto"/>
                <w:sz w:val="24"/>
                <w:szCs w:val="24"/>
                <w:highlight w:val="none"/>
                <w:u w:val="none"/>
              </w:rPr>
              <w:t>扣</w:t>
            </w:r>
            <w:r>
              <w:rPr>
                <w:rFonts w:hint="eastAsia" w:ascii="仿宋" w:hAnsi="仿宋" w:eastAsia="仿宋" w:cs="仿宋"/>
                <w:i w:val="0"/>
                <w:iCs w:val="0"/>
                <w:color w:val="auto"/>
                <w:sz w:val="24"/>
                <w:szCs w:val="24"/>
                <w:highlight w:val="none"/>
                <w:u w:val="none"/>
                <w:lang w:val="en-US" w:eastAsia="zh-CN"/>
              </w:rPr>
              <w:t>1</w:t>
            </w:r>
            <w:r>
              <w:rPr>
                <w:rFonts w:hint="eastAsia" w:ascii="仿宋" w:hAnsi="仿宋" w:eastAsia="仿宋" w:cs="仿宋"/>
                <w:i w:val="0"/>
                <w:iCs w:val="0"/>
                <w:color w:val="auto"/>
                <w:sz w:val="24"/>
                <w:szCs w:val="24"/>
                <w:highlight w:val="none"/>
                <w:u w:val="none"/>
              </w:rPr>
              <w:t>分，满分</w:t>
            </w:r>
            <w:r>
              <w:rPr>
                <w:rFonts w:hint="eastAsia" w:ascii="仿宋" w:hAnsi="仿宋" w:eastAsia="仿宋" w:cs="仿宋"/>
                <w:i w:val="0"/>
                <w:iCs w:val="0"/>
                <w:color w:val="auto"/>
                <w:sz w:val="24"/>
                <w:szCs w:val="24"/>
                <w:highlight w:val="none"/>
                <w:u w:val="none"/>
                <w:lang w:val="en-US" w:eastAsia="zh-CN"/>
              </w:rPr>
              <w:t>14</w:t>
            </w:r>
            <w:r>
              <w:rPr>
                <w:rFonts w:hint="eastAsia" w:ascii="仿宋" w:hAnsi="仿宋" w:eastAsia="仿宋" w:cs="仿宋"/>
                <w:i w:val="0"/>
                <w:iCs w:val="0"/>
                <w:color w:val="auto"/>
                <w:sz w:val="24"/>
                <w:szCs w:val="24"/>
                <w:highlight w:val="none"/>
                <w:u w:val="none"/>
              </w:rPr>
              <w:t>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C6C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14分</w:t>
            </w:r>
          </w:p>
        </w:tc>
      </w:tr>
      <w:tr w14:paraId="503C4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5" w:hRule="atLeast"/>
        </w:trPr>
        <w:tc>
          <w:tcPr>
            <w:tcW w:w="1080" w:type="dxa"/>
            <w:vMerge w:val="continue"/>
            <w:tcBorders>
              <w:left w:val="single" w:color="000000" w:sz="4" w:space="0"/>
              <w:right w:val="single" w:color="000000" w:sz="4" w:space="0"/>
            </w:tcBorders>
            <w:shd w:val="clear" w:color="auto" w:fill="auto"/>
            <w:vAlign w:val="center"/>
          </w:tcPr>
          <w:p w14:paraId="0F45A7E3">
            <w:pPr>
              <w:jc w:val="center"/>
              <w:rPr>
                <w:rFonts w:hint="eastAsia" w:ascii="仿宋" w:hAnsi="仿宋" w:eastAsia="仿宋" w:cs="仿宋"/>
                <w:i w:val="0"/>
                <w:iCs w:val="0"/>
                <w:color w:val="000000"/>
                <w:sz w:val="24"/>
                <w:szCs w:val="24"/>
                <w:highlight w:val="none"/>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761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snapToGrid w:val="0"/>
                <w:color w:val="000000"/>
                <w:kern w:val="0"/>
                <w:sz w:val="24"/>
                <w:szCs w:val="24"/>
                <w:highlight w:val="none"/>
                <w:u w:val="none"/>
                <w:lang w:val="en-US" w:eastAsia="zh-CN" w:bidi="ar"/>
              </w:rPr>
              <w:t>餐饮食宿方案</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6002">
            <w:pPr>
              <w:numPr>
                <w:ilvl w:val="0"/>
                <w:numId w:val="0"/>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餐饮食宿安排计划周密、考虑全面、饮食及住宿安全保障措施完善，更有利于项目实施的得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分；餐饮食宿安排计划较周密、考虑较全面、饮食及住宿安全保证措施较完善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没有明显瑕疵的得</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分；餐饮食宿安排计划基本合理、饮食及住宿安全保证措施基本完善，方案内容简单，基本满足项目需求的得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分；方案有较大缺陷或不提供不得分。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BDD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Style w:val="32"/>
                <w:rFonts w:hint="eastAsia" w:ascii="仿宋" w:hAnsi="仿宋" w:eastAsia="仿宋" w:cs="仿宋"/>
                <w:snapToGrid w:val="0"/>
                <w:color w:val="000000"/>
                <w:sz w:val="24"/>
                <w:szCs w:val="24"/>
                <w:highlight w:val="none"/>
                <w:lang w:val="en-US" w:eastAsia="zh-CN" w:bidi="ar"/>
              </w:rPr>
              <w:t>10分</w:t>
            </w:r>
          </w:p>
        </w:tc>
      </w:tr>
      <w:tr w14:paraId="116FC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1080" w:type="dxa"/>
            <w:vMerge w:val="continue"/>
            <w:tcBorders>
              <w:left w:val="single" w:color="000000" w:sz="4" w:space="0"/>
              <w:right w:val="single" w:color="000000" w:sz="4" w:space="0"/>
            </w:tcBorders>
            <w:shd w:val="clear" w:color="auto" w:fill="auto"/>
            <w:vAlign w:val="center"/>
          </w:tcPr>
          <w:p w14:paraId="0FDD564A">
            <w:pPr>
              <w:jc w:val="center"/>
              <w:rPr>
                <w:rFonts w:hint="eastAsia" w:ascii="仿宋" w:hAnsi="仿宋" w:eastAsia="仿宋" w:cs="仿宋"/>
                <w:i w:val="0"/>
                <w:iCs w:val="0"/>
                <w:color w:val="000000"/>
                <w:sz w:val="24"/>
                <w:szCs w:val="24"/>
                <w:highlight w:val="none"/>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247A">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应急管理</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A1C0">
            <w:pPr>
              <w:numPr>
                <w:ilvl w:val="0"/>
                <w:numId w:val="0"/>
              </w:num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①</w:t>
            </w:r>
            <w:r>
              <w:rPr>
                <w:rFonts w:hint="eastAsia" w:ascii="仿宋" w:hAnsi="仿宋" w:eastAsia="仿宋" w:cs="仿宋"/>
                <w:color w:val="auto"/>
                <w:sz w:val="24"/>
                <w:szCs w:val="24"/>
                <w:highlight w:val="none"/>
              </w:rPr>
              <w:t>突发事件应急保障措施完善、科学、合理，</w:t>
            </w: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sz w:val="24"/>
                <w:szCs w:val="24"/>
                <w:highlight w:val="none"/>
              </w:rPr>
              <w:t>安全设施配备齐全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③</w:t>
            </w:r>
            <w:r>
              <w:rPr>
                <w:rFonts w:hint="eastAsia" w:ascii="仿宋" w:hAnsi="仿宋" w:eastAsia="仿宋" w:cs="仿宋"/>
                <w:color w:val="auto"/>
                <w:sz w:val="24"/>
                <w:szCs w:val="24"/>
                <w:highlight w:val="none"/>
              </w:rPr>
              <w:t>安全控制体系详细、全面，满足本项目需求，且能确保项目有效实施的，得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分。评标小组在此基础上发现一</w:t>
            </w:r>
            <w:r>
              <w:rPr>
                <w:rFonts w:hint="eastAsia" w:ascii="仿宋" w:hAnsi="仿宋" w:eastAsia="仿宋" w:cs="仿宋"/>
                <w:color w:val="auto"/>
                <w:sz w:val="24"/>
                <w:szCs w:val="24"/>
                <w:highlight w:val="none"/>
                <w:lang w:val="en-US" w:eastAsia="zh-CN"/>
              </w:rPr>
              <w:t>项</w:t>
            </w:r>
            <w:r>
              <w:rPr>
                <w:rFonts w:hint="eastAsia" w:ascii="仿宋" w:hAnsi="仿宋" w:eastAsia="仿宋" w:cs="仿宋"/>
                <w:color w:val="auto"/>
                <w:sz w:val="24"/>
                <w:szCs w:val="24"/>
                <w:highlight w:val="none"/>
              </w:rPr>
              <w:t>不合理、不完善的扣减</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缺少一项扣</w:t>
            </w:r>
            <w:r>
              <w:rPr>
                <w:rFonts w:hint="eastAsia" w:ascii="仿宋" w:hAnsi="仿宋" w:eastAsia="仿宋" w:cs="仿宋"/>
                <w:sz w:val="24"/>
                <w:szCs w:val="24"/>
                <w:highlight w:val="none"/>
                <w:lang w:val="en-US" w:eastAsia="zh-CN"/>
              </w:rPr>
              <w:t>减2</w:t>
            </w:r>
            <w:r>
              <w:rPr>
                <w:rFonts w:hint="eastAsia" w:ascii="仿宋" w:hAnsi="仿宋" w:eastAsia="仿宋" w:cs="仿宋"/>
                <w:sz w:val="24"/>
                <w:szCs w:val="24"/>
                <w:highlight w:val="none"/>
              </w:rPr>
              <w:t>分，</w:t>
            </w:r>
            <w:r>
              <w:rPr>
                <w:rFonts w:hint="eastAsia" w:ascii="仿宋" w:hAnsi="仿宋" w:eastAsia="仿宋" w:cs="仿宋"/>
                <w:color w:val="auto"/>
                <w:sz w:val="24"/>
                <w:szCs w:val="24"/>
                <w:highlight w:val="none"/>
                <w:lang w:val="en-US" w:eastAsia="zh-CN"/>
              </w:rPr>
              <w:t>本项最高得6分，扣完为止。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7001">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6分</w:t>
            </w:r>
          </w:p>
        </w:tc>
      </w:tr>
      <w:tr w14:paraId="0928C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80" w:type="dxa"/>
            <w:vMerge w:val="continue"/>
            <w:tcBorders>
              <w:left w:val="single" w:color="000000" w:sz="4" w:space="0"/>
              <w:right w:val="single" w:color="000000" w:sz="4" w:space="0"/>
            </w:tcBorders>
            <w:shd w:val="clear" w:color="auto" w:fill="auto"/>
            <w:vAlign w:val="center"/>
          </w:tcPr>
          <w:p w14:paraId="35FB79F6">
            <w:pPr>
              <w:jc w:val="center"/>
              <w:rPr>
                <w:rFonts w:hint="eastAsia" w:ascii="仿宋" w:hAnsi="仿宋" w:eastAsia="仿宋" w:cs="仿宋"/>
                <w:i w:val="0"/>
                <w:iCs w:val="0"/>
                <w:color w:val="000000"/>
                <w:sz w:val="24"/>
                <w:szCs w:val="24"/>
                <w:highlight w:val="none"/>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995F">
            <w:pPr>
              <w:keepNext w:val="0"/>
              <w:keepLines w:val="0"/>
              <w:widowControl/>
              <w:suppressLineNumbers w:val="0"/>
              <w:jc w:val="left"/>
              <w:textAlignment w:val="center"/>
              <w:rPr>
                <w:rFonts w:hint="default"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档案管理方案</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F417">
            <w:pPr>
              <w:numPr>
                <w:ilvl w:val="0"/>
                <w:numId w:val="0"/>
              </w:numPr>
              <w:rPr>
                <w:rFonts w:hint="eastAsia" w:ascii="仿宋" w:hAnsi="仿宋" w:eastAsia="仿宋" w:cs="仿宋"/>
                <w:sz w:val="24"/>
                <w:szCs w:val="24"/>
                <w:highlight w:val="none"/>
              </w:rPr>
            </w:pPr>
            <w:r>
              <w:rPr>
                <w:rFonts w:hint="eastAsia" w:ascii="仿宋" w:hAnsi="仿宋" w:eastAsia="仿宋" w:cs="仿宋"/>
                <w:sz w:val="24"/>
                <w:szCs w:val="24"/>
                <w:highlight w:val="none"/>
              </w:rPr>
              <w:t>投标人根据建立和完善项目档案做出方案:①培训手册及培训教材②授课教师和管理人员信息录入平台、③各班级学员花名册、考勤表、学员培训及火灾预防培训须知、讲课内容、图片资料、</w:t>
            </w:r>
            <w:r>
              <w:rPr>
                <w:rFonts w:hint="eastAsia" w:ascii="仿宋" w:hAnsi="仿宋" w:eastAsia="仿宋" w:cs="仿宋"/>
                <w:sz w:val="24"/>
                <w:szCs w:val="24"/>
                <w:highlight w:val="none"/>
                <w:lang w:val="en-US" w:eastAsia="zh-CN"/>
              </w:rPr>
              <w:t>优</w:t>
            </w:r>
            <w:r>
              <w:rPr>
                <w:rFonts w:hint="eastAsia" w:ascii="仿宋" w:hAnsi="仿宋" w:eastAsia="仿宋" w:cs="仿宋"/>
                <w:sz w:val="24"/>
                <w:szCs w:val="24"/>
                <w:highlight w:val="none"/>
              </w:rPr>
              <w:t>秀学员和优秀教师典型总结、</w:t>
            </w:r>
            <w:r>
              <w:rPr>
                <w:rFonts w:hint="eastAsia" w:ascii="仿宋" w:hAnsi="仿宋" w:eastAsia="仿宋" w:cs="仿宋"/>
                <w:sz w:val="24"/>
                <w:szCs w:val="24"/>
                <w:highlight w:val="none"/>
                <w:lang w:val="en-US" w:eastAsia="zh-CN"/>
              </w:rPr>
              <w:t>④</w:t>
            </w:r>
            <w:r>
              <w:rPr>
                <w:rFonts w:hint="eastAsia" w:ascii="仿宋" w:hAnsi="仿宋" w:eastAsia="仿宋" w:cs="仿宋"/>
                <w:sz w:val="24"/>
                <w:szCs w:val="24"/>
                <w:highlight w:val="none"/>
              </w:rPr>
              <w:t>精品课件评价与分</w:t>
            </w:r>
            <w:r>
              <w:rPr>
                <w:rFonts w:hint="eastAsia" w:ascii="仿宋" w:hAnsi="仿宋" w:eastAsia="仿宋" w:cs="仿宋"/>
                <w:sz w:val="24"/>
                <w:szCs w:val="24"/>
                <w:highlight w:val="none"/>
                <w:lang w:val="en-US" w:eastAsia="zh-CN"/>
              </w:rPr>
              <w:t>析</w:t>
            </w:r>
            <w:r>
              <w:rPr>
                <w:rFonts w:hint="eastAsia" w:ascii="仿宋" w:hAnsi="仿宋" w:eastAsia="仿宋" w:cs="仿宋"/>
                <w:sz w:val="24"/>
                <w:szCs w:val="24"/>
                <w:highlight w:val="none"/>
              </w:rPr>
              <w:t>、学员满意度测评表、结业照片、培训总结等;</w:t>
            </w:r>
            <w:r>
              <w:rPr>
                <w:rFonts w:hint="eastAsia" w:ascii="仿宋" w:hAnsi="仿宋" w:eastAsia="仿宋" w:cs="仿宋"/>
                <w:sz w:val="24"/>
                <w:szCs w:val="24"/>
                <w:highlight w:val="none"/>
                <w:lang w:val="en-US" w:eastAsia="zh-CN"/>
              </w:rPr>
              <w:t>每</w:t>
            </w:r>
            <w:r>
              <w:rPr>
                <w:rFonts w:hint="eastAsia" w:ascii="仿宋" w:hAnsi="仿宋" w:eastAsia="仿宋" w:cs="仿宋"/>
                <w:sz w:val="24"/>
                <w:szCs w:val="24"/>
                <w:highlight w:val="none"/>
              </w:rPr>
              <w:t>提供一项并且方案详细的得1分，最高</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分。如档案管理方案模糊或不符合项目实际管理要求不得分。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F054">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4分</w:t>
            </w:r>
          </w:p>
        </w:tc>
      </w:tr>
      <w:tr w14:paraId="15A98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80" w:type="dxa"/>
            <w:vMerge w:val="continue"/>
            <w:tcBorders>
              <w:left w:val="single" w:color="000000" w:sz="4" w:space="0"/>
              <w:right w:val="single" w:color="000000" w:sz="4" w:space="0"/>
            </w:tcBorders>
            <w:shd w:val="clear" w:color="auto" w:fill="auto"/>
            <w:vAlign w:val="center"/>
          </w:tcPr>
          <w:p w14:paraId="4936583C">
            <w:pPr>
              <w:jc w:val="center"/>
              <w:rPr>
                <w:rFonts w:hint="eastAsia" w:ascii="仿宋" w:hAnsi="仿宋" w:eastAsia="仿宋" w:cs="仿宋"/>
                <w:i w:val="0"/>
                <w:iCs w:val="0"/>
                <w:color w:val="000000"/>
                <w:sz w:val="24"/>
                <w:szCs w:val="24"/>
                <w:highlight w:val="none"/>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79D8">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验收方案</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E5A8">
            <w:pPr>
              <w:numPr>
                <w:ilvl w:val="0"/>
                <w:numId w:val="0"/>
              </w:numPr>
              <w:rPr>
                <w:rFonts w:hint="eastAsia" w:ascii="仿宋" w:hAnsi="仿宋" w:eastAsia="仿宋" w:cs="仿宋"/>
                <w:sz w:val="24"/>
                <w:szCs w:val="24"/>
                <w:highlight w:val="none"/>
              </w:rPr>
            </w:pPr>
            <w:r>
              <w:rPr>
                <w:rFonts w:hint="eastAsia" w:ascii="仿宋" w:hAnsi="仿宋" w:eastAsia="仿宋" w:cs="仿宋"/>
                <w:sz w:val="24"/>
                <w:szCs w:val="24"/>
                <w:highlight w:val="none"/>
              </w:rPr>
              <w:t>提供完整可行的的验收方案，包含</w:t>
            </w:r>
            <w:r>
              <w:rPr>
                <w:rFonts w:hint="eastAsia" w:ascii="仿宋" w:hAnsi="仿宋" w:eastAsia="仿宋" w:cs="仿宋"/>
                <w:sz w:val="24"/>
                <w:szCs w:val="24"/>
                <w:highlight w:val="none"/>
                <w:lang w:val="en-US" w:eastAsia="zh-CN"/>
              </w:rPr>
              <w:t>①</w:t>
            </w:r>
            <w:r>
              <w:rPr>
                <w:rFonts w:hint="eastAsia" w:ascii="仿宋" w:hAnsi="仿宋" w:eastAsia="仿宋" w:cs="仿宋"/>
                <w:sz w:val="24"/>
                <w:szCs w:val="24"/>
                <w:highlight w:val="none"/>
              </w:rPr>
              <w:t>验收依据、</w:t>
            </w:r>
            <w:r>
              <w:rPr>
                <w:rFonts w:hint="eastAsia" w:ascii="仿宋" w:hAnsi="仿宋" w:eastAsia="仿宋" w:cs="仿宋"/>
                <w:sz w:val="24"/>
                <w:szCs w:val="24"/>
                <w:highlight w:val="none"/>
                <w:lang w:val="en-US" w:eastAsia="zh-CN"/>
              </w:rPr>
              <w:t>②</w:t>
            </w:r>
            <w:r>
              <w:rPr>
                <w:rFonts w:hint="eastAsia" w:ascii="仿宋" w:hAnsi="仿宋" w:eastAsia="仿宋" w:cs="仿宋"/>
                <w:sz w:val="24"/>
                <w:szCs w:val="24"/>
                <w:highlight w:val="none"/>
              </w:rPr>
              <w:t>验收标准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③验</w:t>
            </w:r>
            <w:r>
              <w:rPr>
                <w:rFonts w:hint="eastAsia" w:ascii="仿宋" w:hAnsi="仿宋" w:eastAsia="仿宋" w:cs="仿宋"/>
                <w:sz w:val="24"/>
                <w:szCs w:val="24"/>
                <w:highlight w:val="none"/>
              </w:rPr>
              <w:t>收准备、</w:t>
            </w:r>
            <w:r>
              <w:rPr>
                <w:rFonts w:hint="eastAsia" w:ascii="仿宋" w:hAnsi="仿宋" w:eastAsia="仿宋" w:cs="仿宋"/>
                <w:sz w:val="24"/>
                <w:szCs w:val="24"/>
                <w:highlight w:val="none"/>
                <w:lang w:val="en-US" w:eastAsia="zh-CN"/>
              </w:rPr>
              <w:t>④</w:t>
            </w:r>
            <w:r>
              <w:rPr>
                <w:rFonts w:hint="eastAsia" w:ascii="仿宋" w:hAnsi="仿宋" w:eastAsia="仿宋" w:cs="仿宋"/>
                <w:sz w:val="24"/>
                <w:szCs w:val="24"/>
                <w:highlight w:val="none"/>
              </w:rPr>
              <w:t>验收办法、</w:t>
            </w:r>
            <w:r>
              <w:rPr>
                <w:rFonts w:hint="eastAsia" w:ascii="仿宋" w:hAnsi="仿宋" w:eastAsia="仿宋" w:cs="仿宋"/>
                <w:sz w:val="24"/>
                <w:szCs w:val="24"/>
                <w:highlight w:val="none"/>
                <w:lang w:val="en-US" w:eastAsia="zh-CN"/>
              </w:rPr>
              <w:t>⑤</w:t>
            </w:r>
            <w:r>
              <w:rPr>
                <w:rFonts w:hint="eastAsia" w:ascii="仿宋" w:hAnsi="仿宋" w:eastAsia="仿宋" w:cs="仿宋"/>
                <w:sz w:val="24"/>
                <w:szCs w:val="24"/>
                <w:highlight w:val="none"/>
              </w:rPr>
              <w:t>验收方式、</w:t>
            </w:r>
            <w:r>
              <w:rPr>
                <w:rFonts w:hint="eastAsia" w:ascii="仿宋" w:hAnsi="仿宋" w:eastAsia="仿宋" w:cs="仿宋"/>
                <w:sz w:val="24"/>
                <w:szCs w:val="24"/>
                <w:highlight w:val="none"/>
                <w:lang w:val="en-US" w:eastAsia="zh-CN"/>
              </w:rPr>
              <w:t>⑥</w:t>
            </w:r>
            <w:r>
              <w:rPr>
                <w:rFonts w:hint="eastAsia" w:ascii="仿宋" w:hAnsi="仿宋" w:eastAsia="仿宋" w:cs="仿宋"/>
                <w:sz w:val="24"/>
                <w:szCs w:val="24"/>
                <w:highlight w:val="none"/>
              </w:rPr>
              <w:t>验收流程等内容。本项分值</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w:t>
            </w:r>
            <w:r>
              <w:rPr>
                <w:rFonts w:hint="eastAsia" w:ascii="仿宋" w:hAnsi="仿宋" w:eastAsia="仿宋" w:cs="仿宋"/>
                <w:color w:val="auto"/>
                <w:sz w:val="24"/>
                <w:szCs w:val="24"/>
                <w:highlight w:val="none"/>
              </w:rPr>
              <w:t>发现一处不合理、不完善的扣减</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缺少一项扣</w:t>
            </w:r>
            <w:r>
              <w:rPr>
                <w:rFonts w:hint="eastAsia" w:ascii="仿宋" w:hAnsi="仿宋" w:eastAsia="仿宋" w:cs="仿宋"/>
                <w:sz w:val="24"/>
                <w:szCs w:val="24"/>
                <w:highlight w:val="none"/>
                <w:lang w:val="en-US" w:eastAsia="zh-CN"/>
              </w:rPr>
              <w:t>减</w:t>
            </w:r>
            <w:r>
              <w:rPr>
                <w:rFonts w:hint="eastAsia" w:ascii="仿宋" w:hAnsi="仿宋" w:eastAsia="仿宋" w:cs="仿宋"/>
                <w:sz w:val="24"/>
                <w:szCs w:val="24"/>
                <w:highlight w:val="none"/>
              </w:rPr>
              <w:t>1分，本项分值扣完为止。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A099">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6分</w:t>
            </w:r>
          </w:p>
        </w:tc>
      </w:tr>
      <w:tr w14:paraId="673DE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5" w:hRule="atLeast"/>
        </w:trPr>
        <w:tc>
          <w:tcPr>
            <w:tcW w:w="1080" w:type="dxa"/>
            <w:vMerge w:val="continue"/>
            <w:tcBorders>
              <w:left w:val="single" w:color="000000" w:sz="4" w:space="0"/>
              <w:right w:val="single" w:color="000000" w:sz="4" w:space="0"/>
            </w:tcBorders>
            <w:shd w:val="clear" w:color="auto" w:fill="auto"/>
            <w:vAlign w:val="center"/>
          </w:tcPr>
          <w:p w14:paraId="03CFBBC5">
            <w:pPr>
              <w:jc w:val="center"/>
              <w:rPr>
                <w:rFonts w:hint="eastAsia" w:ascii="仿宋" w:hAnsi="仿宋" w:eastAsia="仿宋" w:cs="仿宋"/>
                <w:i w:val="0"/>
                <w:iCs w:val="0"/>
                <w:color w:val="000000"/>
                <w:sz w:val="24"/>
                <w:szCs w:val="24"/>
                <w:highlight w:val="none"/>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D61E">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安全管理方案</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4BAE">
            <w:pPr>
              <w:numPr>
                <w:ilvl w:val="0"/>
                <w:numId w:val="0"/>
              </w:numPr>
              <w:rPr>
                <w:rFonts w:hint="eastAsia" w:ascii="仿宋" w:hAnsi="仿宋" w:eastAsia="仿宋" w:cs="仿宋"/>
                <w:sz w:val="24"/>
                <w:szCs w:val="24"/>
                <w:highlight w:val="none"/>
              </w:rPr>
            </w:pPr>
            <w:r>
              <w:rPr>
                <w:rFonts w:hint="eastAsia" w:ascii="仿宋" w:hAnsi="仿宋" w:eastAsia="仿宋" w:cs="仿宋"/>
                <w:sz w:val="24"/>
                <w:szCs w:val="24"/>
                <w:highlight w:val="none"/>
              </w:rPr>
              <w:t>投标人针对本项目提供①保证培训人员安全出行②饮食安全问题③人身安全突发意外等情况安全管理措施④针对出行人员能提供团体意外险，提供的方案具有详细的措施，并且具有可行性，能有效预防突发情况的</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评审过程中</w:t>
            </w:r>
            <w:r>
              <w:rPr>
                <w:rFonts w:hint="eastAsia" w:ascii="仿宋" w:hAnsi="仿宋" w:eastAsia="仿宋" w:cs="仿宋"/>
                <w:color w:val="auto"/>
                <w:sz w:val="24"/>
                <w:szCs w:val="24"/>
                <w:highlight w:val="none"/>
              </w:rPr>
              <w:t>发现一处不合理、不完善的扣减</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缺少一项扣</w:t>
            </w:r>
            <w:r>
              <w:rPr>
                <w:rFonts w:hint="eastAsia" w:ascii="仿宋" w:hAnsi="仿宋" w:eastAsia="仿宋" w:cs="仿宋"/>
                <w:sz w:val="24"/>
                <w:szCs w:val="24"/>
                <w:highlight w:val="none"/>
                <w:lang w:val="en-US" w:eastAsia="zh-CN"/>
              </w:rPr>
              <w:t>减</w:t>
            </w:r>
            <w:r>
              <w:rPr>
                <w:rFonts w:hint="eastAsia" w:ascii="仿宋" w:hAnsi="仿宋" w:eastAsia="仿宋" w:cs="仿宋"/>
                <w:sz w:val="24"/>
                <w:szCs w:val="24"/>
                <w:highlight w:val="none"/>
              </w:rPr>
              <w:t>1分，本项最高分4分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2D0B">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4分</w:t>
            </w:r>
          </w:p>
        </w:tc>
      </w:tr>
      <w:tr w14:paraId="1B26D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3" w:hRule="atLeast"/>
        </w:trPr>
        <w:tc>
          <w:tcPr>
            <w:tcW w:w="1080" w:type="dxa"/>
            <w:tcBorders>
              <w:left w:val="single" w:color="000000" w:sz="4" w:space="0"/>
              <w:bottom w:val="single" w:color="000000" w:sz="4" w:space="0"/>
              <w:right w:val="single" w:color="000000" w:sz="4" w:space="0"/>
            </w:tcBorders>
            <w:shd w:val="clear" w:color="auto" w:fill="auto"/>
            <w:vAlign w:val="center"/>
          </w:tcPr>
          <w:p w14:paraId="37464240">
            <w:pPr>
              <w:jc w:val="center"/>
              <w:rPr>
                <w:rFonts w:hint="eastAsia" w:ascii="仿宋" w:hAnsi="仿宋" w:eastAsia="仿宋" w:cs="仿宋"/>
                <w:i w:val="0"/>
                <w:iCs w:val="0"/>
                <w:color w:val="000000"/>
                <w:sz w:val="24"/>
                <w:szCs w:val="24"/>
                <w:highlight w:val="none"/>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CF85">
            <w:pPr>
              <w:keepNext w:val="0"/>
              <w:keepLines w:val="0"/>
              <w:widowControl/>
              <w:suppressLineNumbers w:val="0"/>
              <w:jc w:val="left"/>
              <w:textAlignment w:val="center"/>
              <w:rPr>
                <w:rFonts w:hint="default"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标函质量</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D803">
            <w:pPr>
              <w:numPr>
                <w:ilvl w:val="0"/>
                <w:numId w:val="0"/>
              </w:num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投标文件制作规范。制作规范的得2分；有一项细微偏差扣0.5分，直至该项分值扣完为止。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DFD4">
            <w:pPr>
              <w:keepNext w:val="0"/>
              <w:keepLines w:val="0"/>
              <w:widowControl/>
              <w:suppressLineNumbers w:val="0"/>
              <w:jc w:val="left"/>
              <w:textAlignment w:val="center"/>
              <w:rPr>
                <w:rFonts w:hint="default" w:ascii="仿宋" w:hAnsi="仿宋" w:eastAsia="仿宋" w:cs="仿宋"/>
                <w:i w:val="0"/>
                <w:iCs w:val="0"/>
                <w:snapToGrid w:val="0"/>
                <w:color w:val="000000"/>
                <w:kern w:val="0"/>
                <w:sz w:val="24"/>
                <w:szCs w:val="24"/>
                <w:highlight w:val="none"/>
                <w:u w:val="none"/>
                <w:lang w:val="en-US" w:eastAsia="zh-CN" w:bidi="ar"/>
              </w:rPr>
            </w:pPr>
            <w:r>
              <w:rPr>
                <w:rFonts w:hint="eastAsia" w:ascii="仿宋" w:hAnsi="仿宋" w:eastAsia="仿宋" w:cs="仿宋"/>
                <w:i w:val="0"/>
                <w:iCs w:val="0"/>
                <w:snapToGrid w:val="0"/>
                <w:color w:val="000000"/>
                <w:kern w:val="0"/>
                <w:sz w:val="24"/>
                <w:szCs w:val="24"/>
                <w:highlight w:val="none"/>
                <w:u w:val="none"/>
                <w:lang w:val="en-US" w:eastAsia="zh-CN" w:bidi="ar"/>
              </w:rPr>
              <w:t>2分</w:t>
            </w:r>
          </w:p>
        </w:tc>
      </w:tr>
    </w:tbl>
    <w:p w14:paraId="51CA1821">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0"/>
        <w:jc w:val="both"/>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lang w:val="en-US"/>
        </w:rPr>
        <w:t>1</w:t>
      </w:r>
      <w:r>
        <w:rPr>
          <w:rFonts w:hint="eastAsia" w:ascii="仿宋" w:hAnsi="仿宋" w:eastAsia="仿宋" w:cs="仿宋"/>
          <w:b/>
          <w:bCs/>
          <w:color w:val="auto"/>
          <w:sz w:val="24"/>
          <w:szCs w:val="24"/>
          <w:highlight w:val="none"/>
        </w:rPr>
        <w:t>）评分如出现小数点，则保留小数点后两位。</w:t>
      </w:r>
    </w:p>
    <w:p w14:paraId="383ABB79">
      <w:pPr>
        <w:keepNext w:val="0"/>
        <w:keepLines w:val="0"/>
        <w:pageBreakBefore w:val="0"/>
        <w:widowControl/>
        <w:numPr>
          <w:ilvl w:val="0"/>
          <w:numId w:val="0"/>
        </w:numPr>
        <w:kinsoku/>
        <w:wordWrap/>
        <w:overflowPunct/>
        <w:topLinePunct w:val="0"/>
        <w:autoSpaceDE w:val="0"/>
        <w:autoSpaceDN w:val="0"/>
        <w:bidi w:val="0"/>
        <w:adjustRightInd w:val="0"/>
        <w:snapToGrid w:val="0"/>
        <w:spacing w:line="400" w:lineRule="exact"/>
        <w:ind w:left="0" w:leftChars="0" w:right="0" w:rightChars="0" w:firstLine="0"/>
        <w:jc w:val="both"/>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应提交与评价指标体系相关的各类有效资料。</w:t>
      </w:r>
    </w:p>
    <w:p w14:paraId="44447633">
      <w:pPr>
        <w:keepNext w:val="0"/>
        <w:keepLines w:val="0"/>
        <w:pageBreakBefore w:val="0"/>
        <w:widowControl/>
        <w:numPr>
          <w:ilvl w:val="0"/>
          <w:numId w:val="0"/>
        </w:numPr>
        <w:kinsoku/>
        <w:wordWrap/>
        <w:overflowPunct/>
        <w:topLinePunct w:val="0"/>
        <w:autoSpaceDE w:val="0"/>
        <w:autoSpaceDN w:val="0"/>
        <w:bidi w:val="0"/>
        <w:adjustRightInd w:val="0"/>
        <w:snapToGrid w:val="0"/>
        <w:spacing w:line="400" w:lineRule="exact"/>
        <w:ind w:leftChars="0" w:right="0" w:rightChars="0"/>
        <w:jc w:val="both"/>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投标人最终得分等于技术商务部分、</w:t>
      </w:r>
      <w:r>
        <w:rPr>
          <w:rFonts w:hint="eastAsia" w:ascii="仿宋" w:hAnsi="仿宋" w:eastAsia="仿宋" w:cs="仿宋"/>
          <w:b/>
          <w:bCs/>
          <w:color w:val="auto"/>
          <w:sz w:val="24"/>
          <w:szCs w:val="24"/>
          <w:highlight w:val="none"/>
          <w:lang w:eastAsia="zh-CN"/>
        </w:rPr>
        <w:t>报价部分</w:t>
      </w:r>
      <w:r>
        <w:rPr>
          <w:rFonts w:hint="eastAsia" w:ascii="仿宋" w:hAnsi="仿宋" w:eastAsia="仿宋" w:cs="仿宋"/>
          <w:b/>
          <w:bCs/>
          <w:color w:val="auto"/>
          <w:sz w:val="24"/>
          <w:szCs w:val="24"/>
          <w:highlight w:val="none"/>
        </w:rPr>
        <w:t>二者得分之和。</w:t>
      </w:r>
    </w:p>
    <w:p w14:paraId="00259D7C">
      <w:pPr>
        <w:pStyle w:val="7"/>
        <w:spacing w:before="150" w:line="553" w:lineRule="auto"/>
        <w:ind w:right="45"/>
        <w:jc w:val="both"/>
        <w:rPr>
          <w:rFonts w:hint="eastAsia" w:ascii="宋体" w:hAnsi="宋体" w:eastAsia="宋体" w:cs="宋体"/>
          <w:b/>
          <w:bCs/>
          <w:spacing w:val="8"/>
          <w:sz w:val="46"/>
          <w:szCs w:val="46"/>
          <w:highlight w:val="none"/>
          <w:lang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87令号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BAD2F1">
      <w:pPr>
        <w:pStyle w:val="7"/>
        <w:spacing w:before="150" w:line="553" w:lineRule="auto"/>
        <w:ind w:right="45"/>
        <w:jc w:val="both"/>
        <w:rPr>
          <w:rFonts w:hint="eastAsia" w:ascii="宋体" w:hAnsi="宋体" w:eastAsia="宋体" w:cs="宋体"/>
          <w:b/>
          <w:bCs/>
          <w:spacing w:val="8"/>
          <w:sz w:val="46"/>
          <w:szCs w:val="46"/>
          <w:highlight w:val="none"/>
          <w:lang w:eastAsia="zh-CN"/>
        </w:rPr>
      </w:pPr>
    </w:p>
    <w:p w14:paraId="51DA0FFC">
      <w:pPr>
        <w:rPr>
          <w:rFonts w:hint="eastAsia"/>
          <w:highlight w:val="none"/>
          <w:lang w:eastAsia="zh-CN"/>
        </w:rPr>
      </w:pPr>
    </w:p>
    <w:p w14:paraId="70681AF6">
      <w:pPr>
        <w:pStyle w:val="7"/>
        <w:spacing w:before="150" w:line="553" w:lineRule="auto"/>
        <w:ind w:left="2850" w:right="45" w:hanging="2539"/>
        <w:jc w:val="center"/>
        <w:rPr>
          <w:rFonts w:hint="eastAsia" w:ascii="宋体" w:hAnsi="宋体" w:eastAsia="宋体" w:cs="宋体"/>
          <w:b/>
          <w:bCs/>
          <w:spacing w:val="8"/>
          <w:sz w:val="46"/>
          <w:szCs w:val="46"/>
          <w:highlight w:val="none"/>
          <w:lang w:eastAsia="zh-CN"/>
        </w:rPr>
      </w:pPr>
    </w:p>
    <w:p w14:paraId="15B00C57">
      <w:pPr>
        <w:pStyle w:val="7"/>
        <w:spacing w:before="150" w:line="553" w:lineRule="auto"/>
        <w:ind w:left="2850" w:right="45" w:hanging="2539"/>
        <w:jc w:val="center"/>
        <w:rPr>
          <w:rFonts w:hint="eastAsia" w:ascii="宋体" w:hAnsi="宋体" w:eastAsia="宋体" w:cs="宋体"/>
          <w:b/>
          <w:bCs/>
          <w:spacing w:val="8"/>
          <w:sz w:val="46"/>
          <w:szCs w:val="46"/>
          <w:highlight w:val="none"/>
          <w:lang w:eastAsia="zh-CN"/>
        </w:rPr>
      </w:pPr>
    </w:p>
    <w:p w14:paraId="418FCB17">
      <w:pPr>
        <w:pStyle w:val="7"/>
        <w:spacing w:before="150" w:line="553" w:lineRule="auto"/>
        <w:ind w:left="2850" w:right="45" w:hanging="2539"/>
        <w:jc w:val="center"/>
        <w:rPr>
          <w:rFonts w:ascii="宋体" w:hAnsi="宋体" w:eastAsia="宋体" w:cs="宋体"/>
          <w:spacing w:val="2"/>
          <w:sz w:val="46"/>
          <w:szCs w:val="46"/>
          <w:highlight w:val="none"/>
        </w:rPr>
      </w:pPr>
      <w:r>
        <w:rPr>
          <w:rFonts w:hint="eastAsia" w:ascii="宋体" w:hAnsi="宋体" w:eastAsia="宋体" w:cs="宋体"/>
          <w:b/>
          <w:bCs/>
          <w:spacing w:val="8"/>
          <w:sz w:val="46"/>
          <w:szCs w:val="46"/>
          <w:highlight w:val="none"/>
          <w:lang w:eastAsia="zh-CN"/>
        </w:rPr>
        <w:t>英吉沙县2024年农民培训项目（二次）</w:t>
      </w:r>
    </w:p>
    <w:p w14:paraId="2CF3AD13">
      <w:pPr>
        <w:pStyle w:val="7"/>
        <w:spacing w:before="150" w:line="553" w:lineRule="auto"/>
        <w:ind w:left="2850" w:right="45" w:hanging="2539"/>
        <w:jc w:val="center"/>
        <w:rPr>
          <w:sz w:val="52"/>
          <w:szCs w:val="52"/>
          <w:highlight w:val="none"/>
        </w:rPr>
      </w:pPr>
      <w:r>
        <w:rPr>
          <w:b/>
          <w:bCs/>
          <w:spacing w:val="-30"/>
          <w:sz w:val="52"/>
          <w:szCs w:val="52"/>
          <w:highlight w:val="none"/>
        </w:rPr>
        <w:t>招标文件</w:t>
      </w:r>
    </w:p>
    <w:p w14:paraId="03AC49A2">
      <w:pPr>
        <w:spacing w:line="419" w:lineRule="auto"/>
        <w:jc w:val="center"/>
        <w:rPr>
          <w:rFonts w:ascii="Arial"/>
          <w:sz w:val="21"/>
          <w:highlight w:val="none"/>
        </w:rPr>
      </w:pPr>
    </w:p>
    <w:p w14:paraId="29F29517">
      <w:pPr>
        <w:pStyle w:val="7"/>
        <w:spacing w:before="98" w:line="230" w:lineRule="auto"/>
        <w:ind w:left="1391"/>
        <w:jc w:val="center"/>
        <w:rPr>
          <w:highlight w:val="none"/>
        </w:rPr>
      </w:pPr>
      <w:r>
        <w:rPr>
          <w:b/>
          <w:bCs/>
          <w:spacing w:val="9"/>
          <w:highlight w:val="none"/>
        </w:rPr>
        <w:t>（</w:t>
      </w:r>
      <w:r>
        <w:rPr>
          <w:spacing w:val="9"/>
          <w:highlight w:val="none"/>
        </w:rPr>
        <w:t>项目编号：</w:t>
      </w:r>
      <w:r>
        <w:rPr>
          <w:rFonts w:hint="eastAsia"/>
          <w:highlight w:val="none"/>
          <w:lang w:eastAsia="zh-CN"/>
        </w:rPr>
        <w:t>ZTZXYJSX（GK）DL-2025-06【采购】</w:t>
      </w:r>
      <w:r>
        <w:rPr>
          <w:b/>
          <w:bCs/>
          <w:spacing w:val="9"/>
          <w:highlight w:val="none"/>
        </w:rPr>
        <w:t>）</w:t>
      </w:r>
    </w:p>
    <w:p w14:paraId="27E6B8F4">
      <w:pPr>
        <w:spacing w:line="283" w:lineRule="auto"/>
        <w:jc w:val="center"/>
        <w:rPr>
          <w:rFonts w:ascii="Arial"/>
          <w:sz w:val="21"/>
          <w:highlight w:val="none"/>
        </w:rPr>
      </w:pPr>
    </w:p>
    <w:p w14:paraId="2F862486">
      <w:pPr>
        <w:spacing w:line="283" w:lineRule="auto"/>
        <w:jc w:val="center"/>
        <w:rPr>
          <w:rFonts w:ascii="Arial"/>
          <w:sz w:val="21"/>
          <w:highlight w:val="none"/>
        </w:rPr>
      </w:pPr>
    </w:p>
    <w:p w14:paraId="0D2DB3C1">
      <w:pPr>
        <w:spacing w:line="283" w:lineRule="auto"/>
        <w:jc w:val="center"/>
        <w:rPr>
          <w:rFonts w:ascii="Arial"/>
          <w:sz w:val="21"/>
          <w:highlight w:val="none"/>
        </w:rPr>
      </w:pPr>
    </w:p>
    <w:p w14:paraId="67FE6EC5">
      <w:pPr>
        <w:spacing w:line="284" w:lineRule="auto"/>
        <w:jc w:val="center"/>
        <w:rPr>
          <w:rFonts w:ascii="Arial"/>
          <w:sz w:val="21"/>
          <w:highlight w:val="none"/>
        </w:rPr>
      </w:pPr>
    </w:p>
    <w:p w14:paraId="45C478E1">
      <w:pPr>
        <w:spacing w:line="284" w:lineRule="auto"/>
        <w:jc w:val="center"/>
        <w:rPr>
          <w:rFonts w:ascii="Arial"/>
          <w:sz w:val="21"/>
          <w:highlight w:val="none"/>
        </w:rPr>
      </w:pPr>
    </w:p>
    <w:p w14:paraId="74A01226">
      <w:pPr>
        <w:pStyle w:val="7"/>
        <w:spacing w:before="149" w:line="226" w:lineRule="auto"/>
        <w:ind w:left="3594" w:firstLine="856" w:firstLineChars="200"/>
        <w:jc w:val="both"/>
        <w:rPr>
          <w:sz w:val="46"/>
          <w:szCs w:val="46"/>
          <w:highlight w:val="none"/>
        </w:rPr>
      </w:pPr>
      <w:r>
        <w:rPr>
          <w:b/>
          <w:bCs/>
          <w:spacing w:val="-16"/>
          <w:sz w:val="46"/>
          <w:szCs w:val="46"/>
          <w:highlight w:val="none"/>
        </w:rPr>
        <w:t>第三册</w:t>
      </w:r>
    </w:p>
    <w:p w14:paraId="400075AE">
      <w:pPr>
        <w:spacing w:line="244" w:lineRule="auto"/>
        <w:jc w:val="center"/>
        <w:rPr>
          <w:rFonts w:ascii="Arial"/>
          <w:sz w:val="21"/>
          <w:highlight w:val="none"/>
        </w:rPr>
      </w:pPr>
    </w:p>
    <w:p w14:paraId="395F6355">
      <w:pPr>
        <w:spacing w:line="245" w:lineRule="auto"/>
        <w:jc w:val="center"/>
        <w:rPr>
          <w:rFonts w:ascii="Arial"/>
          <w:sz w:val="21"/>
          <w:highlight w:val="none"/>
        </w:rPr>
      </w:pPr>
    </w:p>
    <w:p w14:paraId="69C8D659">
      <w:pPr>
        <w:spacing w:line="245" w:lineRule="auto"/>
        <w:jc w:val="center"/>
        <w:rPr>
          <w:rFonts w:ascii="Arial"/>
          <w:sz w:val="21"/>
          <w:highlight w:val="none"/>
        </w:rPr>
      </w:pPr>
    </w:p>
    <w:p w14:paraId="7D0E6BAC">
      <w:pPr>
        <w:pStyle w:val="22"/>
        <w:jc w:val="center"/>
        <w:rPr>
          <w:highlight w:val="none"/>
        </w:rPr>
      </w:pPr>
    </w:p>
    <w:p w14:paraId="400478C9">
      <w:pPr>
        <w:spacing w:line="245" w:lineRule="auto"/>
        <w:jc w:val="left"/>
        <w:rPr>
          <w:rFonts w:ascii="Arial"/>
          <w:sz w:val="21"/>
          <w:highlight w:val="none"/>
        </w:rPr>
      </w:pPr>
    </w:p>
    <w:p w14:paraId="5D2111DC">
      <w:pPr>
        <w:pStyle w:val="7"/>
        <w:keepNext w:val="0"/>
        <w:keepLines w:val="0"/>
        <w:pageBreakBefore w:val="0"/>
        <w:widowControl/>
        <w:kinsoku w:val="0"/>
        <w:wordWrap/>
        <w:overflowPunct/>
        <w:topLinePunct w:val="0"/>
        <w:autoSpaceDE w:val="0"/>
        <w:autoSpaceDN w:val="0"/>
        <w:bidi w:val="0"/>
        <w:adjustRightInd w:val="0"/>
        <w:snapToGrid w:val="0"/>
        <w:spacing w:before="98" w:line="228" w:lineRule="auto"/>
        <w:ind w:left="1134"/>
        <w:jc w:val="left"/>
        <w:textAlignment w:val="baseline"/>
        <w:rPr>
          <w:rFonts w:hint="eastAsia" w:eastAsia="仿宋"/>
          <w:highlight w:val="none"/>
          <w:lang w:eastAsia="zh-CN"/>
        </w:rPr>
      </w:pPr>
      <w:r>
        <w:rPr>
          <w:spacing w:val="11"/>
          <w:highlight w:val="none"/>
        </w:rPr>
        <w:t>采购人：</w:t>
      </w:r>
      <w:r>
        <w:rPr>
          <w:rFonts w:hint="eastAsia"/>
          <w:spacing w:val="11"/>
          <w:highlight w:val="none"/>
          <w:lang w:eastAsia="zh-CN"/>
        </w:rPr>
        <w:t>英吉沙县农业农村局</w:t>
      </w:r>
    </w:p>
    <w:p w14:paraId="246CDFBD">
      <w:pPr>
        <w:pStyle w:val="7"/>
        <w:keepNext w:val="0"/>
        <w:keepLines w:val="0"/>
        <w:pageBreakBefore w:val="0"/>
        <w:widowControl/>
        <w:kinsoku w:val="0"/>
        <w:wordWrap/>
        <w:overflowPunct/>
        <w:topLinePunct w:val="0"/>
        <w:autoSpaceDE w:val="0"/>
        <w:autoSpaceDN w:val="0"/>
        <w:bidi w:val="0"/>
        <w:adjustRightInd w:val="0"/>
        <w:snapToGrid w:val="0"/>
        <w:spacing w:before="247" w:line="228" w:lineRule="auto"/>
        <w:ind w:left="1134"/>
        <w:jc w:val="left"/>
        <w:textAlignment w:val="baseline"/>
        <w:rPr>
          <w:rFonts w:hint="eastAsia"/>
          <w:spacing w:val="16"/>
          <w:highlight w:val="none"/>
          <w:lang w:eastAsia="zh-CN"/>
        </w:rPr>
      </w:pPr>
      <w:r>
        <w:rPr>
          <w:spacing w:val="16"/>
          <w:highlight w:val="none"/>
        </w:rPr>
        <w:t>采购代理机构：</w:t>
      </w:r>
      <w:r>
        <w:rPr>
          <w:rFonts w:hint="eastAsia"/>
          <w:spacing w:val="16"/>
          <w:highlight w:val="none"/>
          <w:lang w:eastAsia="zh-CN"/>
        </w:rPr>
        <w:t>新疆中泰正信项目管理有限公司</w:t>
      </w:r>
    </w:p>
    <w:p w14:paraId="372A99E0">
      <w:pPr>
        <w:pStyle w:val="7"/>
        <w:keepNext w:val="0"/>
        <w:keepLines w:val="0"/>
        <w:pageBreakBefore w:val="0"/>
        <w:widowControl/>
        <w:kinsoku w:val="0"/>
        <w:wordWrap/>
        <w:overflowPunct/>
        <w:topLinePunct w:val="0"/>
        <w:autoSpaceDE w:val="0"/>
        <w:autoSpaceDN w:val="0"/>
        <w:bidi w:val="0"/>
        <w:adjustRightInd w:val="0"/>
        <w:snapToGrid w:val="0"/>
        <w:spacing w:before="247" w:line="228" w:lineRule="auto"/>
        <w:ind w:left="1134"/>
        <w:jc w:val="left"/>
        <w:textAlignment w:val="baseline"/>
        <w:rPr>
          <w:rFonts w:hint="eastAsia" w:eastAsia="仿宋"/>
          <w:highlight w:val="none"/>
          <w:lang w:eastAsia="zh-CN"/>
        </w:rPr>
      </w:pPr>
      <w:r>
        <w:rPr>
          <w:spacing w:val="-5"/>
          <w:highlight w:val="none"/>
        </w:rPr>
        <w:t>联系人：</w:t>
      </w:r>
      <w:r>
        <w:rPr>
          <w:rFonts w:hint="eastAsia"/>
          <w:spacing w:val="-5"/>
          <w:highlight w:val="none"/>
          <w:lang w:eastAsia="zh-CN"/>
        </w:rPr>
        <w:t>苏贺</w:t>
      </w:r>
    </w:p>
    <w:p w14:paraId="658C8FB4">
      <w:pPr>
        <w:pStyle w:val="7"/>
        <w:keepNext w:val="0"/>
        <w:keepLines w:val="0"/>
        <w:pageBreakBefore w:val="0"/>
        <w:widowControl/>
        <w:kinsoku w:val="0"/>
        <w:wordWrap/>
        <w:overflowPunct/>
        <w:topLinePunct w:val="0"/>
        <w:autoSpaceDE w:val="0"/>
        <w:autoSpaceDN w:val="0"/>
        <w:bidi w:val="0"/>
        <w:adjustRightInd w:val="0"/>
        <w:snapToGrid w:val="0"/>
        <w:spacing w:before="251" w:line="228" w:lineRule="auto"/>
        <w:ind w:left="1134"/>
        <w:jc w:val="left"/>
        <w:textAlignment w:val="baseline"/>
        <w:rPr>
          <w:rFonts w:hint="eastAsia" w:eastAsia="仿宋"/>
          <w:highlight w:val="none"/>
          <w:lang w:eastAsia="zh-CN"/>
        </w:rPr>
      </w:pPr>
      <w:r>
        <w:rPr>
          <w:highlight w:val="none"/>
        </w:rPr>
        <w:t>联系电话：</w:t>
      </w:r>
      <w:r>
        <w:rPr>
          <w:rFonts w:hint="eastAsia"/>
          <w:highlight w:val="none"/>
          <w:lang w:eastAsia="zh-CN"/>
        </w:rPr>
        <w:t>15026328789</w:t>
      </w:r>
    </w:p>
    <w:p w14:paraId="210AA685">
      <w:pPr>
        <w:pStyle w:val="7"/>
        <w:keepNext w:val="0"/>
        <w:keepLines w:val="0"/>
        <w:pageBreakBefore w:val="0"/>
        <w:widowControl/>
        <w:kinsoku w:val="0"/>
        <w:wordWrap/>
        <w:overflowPunct/>
        <w:topLinePunct w:val="0"/>
        <w:autoSpaceDE w:val="0"/>
        <w:autoSpaceDN w:val="0"/>
        <w:bidi w:val="0"/>
        <w:adjustRightInd w:val="0"/>
        <w:snapToGrid w:val="0"/>
        <w:spacing w:before="246" w:line="228" w:lineRule="auto"/>
        <w:ind w:left="1134"/>
        <w:jc w:val="left"/>
        <w:textAlignment w:val="baseline"/>
        <w:rPr>
          <w:rFonts w:hint="eastAsia" w:eastAsia="仿宋"/>
          <w:highlight w:val="none"/>
          <w:lang w:eastAsia="zh-CN"/>
        </w:rPr>
      </w:pPr>
      <w:r>
        <w:rPr>
          <w:spacing w:val="-3"/>
          <w:highlight w:val="none"/>
        </w:rPr>
        <w:t>日期：</w:t>
      </w:r>
      <w:r>
        <w:rPr>
          <w:rFonts w:hint="eastAsia"/>
          <w:spacing w:val="-3"/>
          <w:highlight w:val="none"/>
          <w:lang w:eastAsia="zh-CN"/>
        </w:rPr>
        <w:t>2025年</w:t>
      </w:r>
      <w:r>
        <w:rPr>
          <w:rFonts w:hint="eastAsia"/>
          <w:spacing w:val="-3"/>
          <w:highlight w:val="none"/>
          <w:lang w:val="en-US" w:eastAsia="zh-CN"/>
        </w:rPr>
        <w:t>3</w:t>
      </w:r>
      <w:r>
        <w:rPr>
          <w:rFonts w:hint="eastAsia"/>
          <w:spacing w:val="-3"/>
          <w:highlight w:val="none"/>
          <w:lang w:eastAsia="zh-CN"/>
        </w:rPr>
        <w:t>月</w:t>
      </w:r>
    </w:p>
    <w:p w14:paraId="0D716ABE">
      <w:pPr>
        <w:spacing w:line="229" w:lineRule="auto"/>
        <w:jc w:val="left"/>
        <w:rPr>
          <w:highlight w:val="none"/>
        </w:rPr>
        <w:sectPr>
          <w:footerReference r:id="rId31" w:type="default"/>
          <w:pgSz w:w="11900" w:h="16838"/>
          <w:pgMar w:top="459" w:right="567" w:bottom="516" w:left="567" w:header="0" w:footer="0" w:gutter="0"/>
          <w:pgNumType w:fmt="decimal"/>
          <w:cols w:space="720" w:num="1"/>
        </w:sectPr>
      </w:pPr>
    </w:p>
    <w:p w14:paraId="1B9B3E81">
      <w:pPr>
        <w:spacing w:line="267" w:lineRule="auto"/>
        <w:rPr>
          <w:rFonts w:ascii="Arial"/>
          <w:sz w:val="21"/>
          <w:highlight w:val="none"/>
        </w:rPr>
      </w:pPr>
    </w:p>
    <w:p w14:paraId="218C0293">
      <w:pPr>
        <w:spacing w:line="268" w:lineRule="auto"/>
        <w:rPr>
          <w:rFonts w:ascii="Arial"/>
          <w:sz w:val="21"/>
          <w:highlight w:val="none"/>
        </w:rPr>
      </w:pPr>
    </w:p>
    <w:p w14:paraId="69373BDC">
      <w:pPr>
        <w:spacing w:line="268" w:lineRule="auto"/>
        <w:rPr>
          <w:rFonts w:ascii="Arial"/>
          <w:sz w:val="21"/>
          <w:highlight w:val="none"/>
        </w:rPr>
      </w:pPr>
    </w:p>
    <w:p w14:paraId="32286FC9">
      <w:pPr>
        <w:spacing w:line="268" w:lineRule="auto"/>
        <w:rPr>
          <w:rFonts w:ascii="Arial"/>
          <w:sz w:val="21"/>
          <w:highlight w:val="none"/>
        </w:rPr>
      </w:pPr>
    </w:p>
    <w:p w14:paraId="21C8C36B">
      <w:pPr>
        <w:spacing w:line="268" w:lineRule="auto"/>
        <w:rPr>
          <w:rFonts w:ascii="Arial"/>
          <w:sz w:val="21"/>
          <w:highlight w:val="none"/>
        </w:rPr>
      </w:pPr>
    </w:p>
    <w:p w14:paraId="62943679">
      <w:pPr>
        <w:pStyle w:val="7"/>
        <w:spacing w:before="98" w:line="229" w:lineRule="auto"/>
        <w:ind w:left="2896"/>
        <w:outlineLvl w:val="0"/>
        <w:rPr>
          <w:highlight w:val="none"/>
        </w:rPr>
      </w:pPr>
      <w:r>
        <w:rPr>
          <w:b/>
          <w:bCs/>
          <w:spacing w:val="1"/>
          <w:highlight w:val="none"/>
        </w:rPr>
        <w:t>第7章政府采购合同</w:t>
      </w:r>
    </w:p>
    <w:p w14:paraId="656F4C2D">
      <w:pPr>
        <w:spacing w:line="344" w:lineRule="auto"/>
        <w:rPr>
          <w:rFonts w:ascii="Arial"/>
          <w:sz w:val="21"/>
          <w:highlight w:val="none"/>
        </w:rPr>
      </w:pPr>
    </w:p>
    <w:p w14:paraId="376CF6E6">
      <w:pPr>
        <w:pStyle w:val="7"/>
        <w:spacing w:before="91" w:line="221" w:lineRule="auto"/>
        <w:ind w:left="1163"/>
        <w:rPr>
          <w:sz w:val="28"/>
          <w:szCs w:val="28"/>
          <w:highlight w:val="none"/>
        </w:rPr>
      </w:pPr>
      <w:r>
        <w:rPr>
          <w:spacing w:val="-2"/>
          <w:sz w:val="28"/>
          <w:szCs w:val="28"/>
          <w:highlight w:val="none"/>
        </w:rPr>
        <w:t>请参照货物类政府采购合同参考范本订立采购合同。</w:t>
      </w:r>
    </w:p>
    <w:p w14:paraId="63B979B7">
      <w:pPr>
        <w:spacing w:line="242" w:lineRule="auto"/>
        <w:rPr>
          <w:rFonts w:ascii="Arial"/>
          <w:sz w:val="21"/>
          <w:highlight w:val="none"/>
        </w:rPr>
      </w:pPr>
    </w:p>
    <w:p w14:paraId="03AD3961">
      <w:pPr>
        <w:spacing w:line="243" w:lineRule="auto"/>
        <w:rPr>
          <w:rFonts w:ascii="Arial"/>
          <w:sz w:val="21"/>
          <w:highlight w:val="none"/>
        </w:rPr>
      </w:pPr>
    </w:p>
    <w:p w14:paraId="1B8A83A8">
      <w:pPr>
        <w:pStyle w:val="7"/>
        <w:spacing w:before="91" w:line="223" w:lineRule="auto"/>
        <w:rPr>
          <w:sz w:val="28"/>
          <w:szCs w:val="28"/>
          <w:highlight w:val="none"/>
        </w:rPr>
      </w:pPr>
      <w:r>
        <w:rPr>
          <w:b/>
          <w:bCs/>
          <w:spacing w:val="-7"/>
          <w:sz w:val="28"/>
          <w:szCs w:val="28"/>
          <w:highlight w:val="none"/>
        </w:rPr>
        <w:t>注：具体合同内容以实际签订合同为准</w:t>
      </w:r>
    </w:p>
    <w:p w14:paraId="38FB4E19">
      <w:pPr>
        <w:pStyle w:val="7"/>
        <w:spacing w:before="207" w:line="224" w:lineRule="auto"/>
        <w:rPr>
          <w:rFonts w:hint="eastAsia" w:eastAsia="仿宋"/>
          <w:sz w:val="28"/>
          <w:szCs w:val="28"/>
          <w:highlight w:val="none"/>
          <w:lang w:eastAsia="zh-CN"/>
        </w:rPr>
      </w:pPr>
      <w:r>
        <w:rPr>
          <w:spacing w:val="-11"/>
          <w:sz w:val="28"/>
          <w:szCs w:val="28"/>
          <w:highlight w:val="none"/>
        </w:rPr>
        <w:t>合同编号：</w:t>
      </w:r>
    </w:p>
    <w:p w14:paraId="12643CB5">
      <w:pPr>
        <w:spacing w:line="298" w:lineRule="auto"/>
        <w:rPr>
          <w:rFonts w:ascii="Arial"/>
          <w:sz w:val="21"/>
          <w:highlight w:val="none"/>
        </w:rPr>
      </w:pPr>
    </w:p>
    <w:p w14:paraId="12359C58">
      <w:pPr>
        <w:spacing w:line="298" w:lineRule="auto"/>
        <w:rPr>
          <w:rFonts w:ascii="Arial"/>
          <w:sz w:val="21"/>
          <w:highlight w:val="none"/>
        </w:rPr>
      </w:pPr>
    </w:p>
    <w:p w14:paraId="3E744B6F">
      <w:pPr>
        <w:spacing w:line="298" w:lineRule="auto"/>
        <w:rPr>
          <w:rFonts w:ascii="Arial"/>
          <w:sz w:val="21"/>
          <w:highlight w:val="none"/>
        </w:rPr>
      </w:pPr>
    </w:p>
    <w:p w14:paraId="48E21D5F">
      <w:pPr>
        <w:spacing w:line="299" w:lineRule="auto"/>
        <w:rPr>
          <w:rFonts w:ascii="Arial"/>
          <w:sz w:val="21"/>
          <w:highlight w:val="none"/>
        </w:rPr>
      </w:pPr>
    </w:p>
    <w:p w14:paraId="767089DA">
      <w:pPr>
        <w:pStyle w:val="7"/>
        <w:spacing w:before="91" w:line="223" w:lineRule="auto"/>
        <w:ind w:left="3021"/>
        <w:outlineLvl w:val="0"/>
        <w:rPr>
          <w:sz w:val="28"/>
          <w:szCs w:val="28"/>
          <w:highlight w:val="none"/>
        </w:rPr>
      </w:pPr>
      <w:r>
        <w:rPr>
          <w:b/>
          <w:bCs/>
          <w:spacing w:val="-9"/>
          <w:sz w:val="28"/>
          <w:szCs w:val="28"/>
          <w:highlight w:val="none"/>
        </w:rPr>
        <w:t>喀什地区政府采购合同</w:t>
      </w:r>
    </w:p>
    <w:p w14:paraId="0C4AF0F7">
      <w:pPr>
        <w:spacing w:line="299" w:lineRule="auto"/>
        <w:rPr>
          <w:rFonts w:ascii="Arial"/>
          <w:sz w:val="21"/>
          <w:highlight w:val="none"/>
        </w:rPr>
      </w:pPr>
    </w:p>
    <w:p w14:paraId="2360D82E">
      <w:pPr>
        <w:spacing w:line="299" w:lineRule="auto"/>
        <w:rPr>
          <w:rFonts w:ascii="Arial"/>
          <w:sz w:val="21"/>
          <w:highlight w:val="none"/>
        </w:rPr>
      </w:pPr>
    </w:p>
    <w:p w14:paraId="64B8FB36">
      <w:pPr>
        <w:spacing w:line="299" w:lineRule="auto"/>
        <w:rPr>
          <w:rFonts w:ascii="Arial"/>
          <w:sz w:val="21"/>
          <w:highlight w:val="none"/>
        </w:rPr>
      </w:pPr>
    </w:p>
    <w:p w14:paraId="567490A8">
      <w:pPr>
        <w:spacing w:line="300" w:lineRule="auto"/>
        <w:rPr>
          <w:rFonts w:ascii="Arial"/>
          <w:sz w:val="21"/>
          <w:highlight w:val="none"/>
        </w:rPr>
      </w:pPr>
    </w:p>
    <w:p w14:paraId="3D911F7F">
      <w:pPr>
        <w:pStyle w:val="7"/>
        <w:spacing w:before="91" w:line="223" w:lineRule="auto"/>
        <w:ind w:left="3376"/>
        <w:outlineLvl w:val="0"/>
        <w:rPr>
          <w:sz w:val="28"/>
          <w:szCs w:val="28"/>
          <w:highlight w:val="none"/>
        </w:rPr>
      </w:pPr>
      <w:r>
        <w:rPr>
          <w:b/>
          <w:bCs/>
          <w:spacing w:val="-17"/>
          <w:sz w:val="28"/>
          <w:szCs w:val="28"/>
          <w:highlight w:val="none"/>
        </w:rPr>
        <w:t>第一部分合同书</w:t>
      </w:r>
    </w:p>
    <w:p w14:paraId="44E793D2">
      <w:pPr>
        <w:spacing w:line="264" w:lineRule="auto"/>
        <w:rPr>
          <w:rFonts w:ascii="Arial"/>
          <w:sz w:val="21"/>
          <w:highlight w:val="none"/>
        </w:rPr>
      </w:pPr>
    </w:p>
    <w:p w14:paraId="1ACEF096">
      <w:pPr>
        <w:spacing w:line="264" w:lineRule="auto"/>
        <w:rPr>
          <w:rFonts w:ascii="Arial"/>
          <w:sz w:val="21"/>
          <w:highlight w:val="none"/>
        </w:rPr>
      </w:pPr>
    </w:p>
    <w:p w14:paraId="636824CD">
      <w:pPr>
        <w:spacing w:line="265" w:lineRule="auto"/>
        <w:rPr>
          <w:rFonts w:ascii="Arial"/>
          <w:sz w:val="21"/>
          <w:highlight w:val="none"/>
        </w:rPr>
      </w:pPr>
    </w:p>
    <w:p w14:paraId="0B43EC54">
      <w:pPr>
        <w:spacing w:line="265" w:lineRule="auto"/>
        <w:rPr>
          <w:rFonts w:ascii="Arial"/>
          <w:sz w:val="21"/>
          <w:highlight w:val="none"/>
        </w:rPr>
      </w:pPr>
    </w:p>
    <w:p w14:paraId="549BEF56">
      <w:pPr>
        <w:spacing w:line="265" w:lineRule="auto"/>
        <w:rPr>
          <w:rFonts w:ascii="Arial"/>
          <w:sz w:val="21"/>
          <w:highlight w:val="none"/>
        </w:rPr>
      </w:pPr>
    </w:p>
    <w:p w14:paraId="3D3C9817">
      <w:pPr>
        <w:spacing w:line="265" w:lineRule="auto"/>
        <w:rPr>
          <w:rFonts w:ascii="Arial"/>
          <w:sz w:val="21"/>
          <w:highlight w:val="none"/>
        </w:rPr>
      </w:pPr>
    </w:p>
    <w:p w14:paraId="7254BC5D">
      <w:pPr>
        <w:spacing w:line="265" w:lineRule="auto"/>
        <w:rPr>
          <w:rFonts w:ascii="Arial"/>
          <w:sz w:val="21"/>
          <w:highlight w:val="none"/>
        </w:rPr>
      </w:pPr>
    </w:p>
    <w:p w14:paraId="6AA736D8">
      <w:pPr>
        <w:pStyle w:val="7"/>
        <w:keepNext w:val="0"/>
        <w:keepLines w:val="0"/>
        <w:pageBreakBefore w:val="0"/>
        <w:widowControl/>
        <w:kinsoku w:val="0"/>
        <w:wordWrap/>
        <w:overflowPunct/>
        <w:topLinePunct w:val="0"/>
        <w:autoSpaceDE w:val="0"/>
        <w:autoSpaceDN w:val="0"/>
        <w:bidi w:val="0"/>
        <w:adjustRightInd w:val="0"/>
        <w:snapToGrid w:val="0"/>
        <w:spacing w:before="91" w:line="224" w:lineRule="auto"/>
        <w:ind w:left="1134"/>
        <w:textAlignment w:val="baseline"/>
        <w:rPr>
          <w:rFonts w:hint="default" w:eastAsia="仿宋"/>
          <w:sz w:val="28"/>
          <w:szCs w:val="28"/>
          <w:highlight w:val="none"/>
          <w:u w:val="single"/>
          <w:lang w:val="en-US" w:eastAsia="zh-CN"/>
        </w:rPr>
      </w:pPr>
      <w:r>
        <w:rPr>
          <w:spacing w:val="-9"/>
          <w:sz w:val="28"/>
          <w:szCs w:val="28"/>
          <w:highlight w:val="none"/>
        </w:rPr>
        <w:t>项目名称：</w:t>
      </w:r>
    </w:p>
    <w:p w14:paraId="447CCD06">
      <w:pPr>
        <w:spacing w:line="265" w:lineRule="auto"/>
        <w:rPr>
          <w:rFonts w:ascii="Arial"/>
          <w:sz w:val="21"/>
          <w:highlight w:val="none"/>
        </w:rPr>
      </w:pPr>
    </w:p>
    <w:p w14:paraId="21257843">
      <w:pPr>
        <w:spacing w:line="265" w:lineRule="auto"/>
        <w:rPr>
          <w:rFonts w:ascii="Arial"/>
          <w:sz w:val="21"/>
          <w:highlight w:val="none"/>
        </w:rPr>
      </w:pPr>
    </w:p>
    <w:p w14:paraId="3A094C25">
      <w:pPr>
        <w:spacing w:line="265" w:lineRule="auto"/>
        <w:rPr>
          <w:rFonts w:ascii="Arial"/>
          <w:sz w:val="21"/>
          <w:highlight w:val="none"/>
        </w:rPr>
      </w:pPr>
    </w:p>
    <w:p w14:paraId="52F29511">
      <w:pPr>
        <w:spacing w:line="266" w:lineRule="auto"/>
        <w:rPr>
          <w:rFonts w:ascii="Arial"/>
          <w:sz w:val="21"/>
          <w:highlight w:val="none"/>
        </w:rPr>
      </w:pPr>
    </w:p>
    <w:p w14:paraId="44F1899C">
      <w:pPr>
        <w:spacing w:line="266" w:lineRule="auto"/>
        <w:rPr>
          <w:rFonts w:ascii="Arial"/>
          <w:sz w:val="21"/>
          <w:highlight w:val="none"/>
        </w:rPr>
      </w:pPr>
    </w:p>
    <w:p w14:paraId="33A0E0AE">
      <w:pPr>
        <w:spacing w:line="266" w:lineRule="auto"/>
        <w:rPr>
          <w:rFonts w:ascii="Arial"/>
          <w:sz w:val="21"/>
          <w:highlight w:val="none"/>
        </w:rPr>
      </w:pPr>
    </w:p>
    <w:p w14:paraId="66F9B9C1">
      <w:pPr>
        <w:spacing w:line="266" w:lineRule="auto"/>
        <w:rPr>
          <w:rFonts w:ascii="Arial"/>
          <w:sz w:val="21"/>
          <w:highlight w:val="none"/>
        </w:rPr>
      </w:pPr>
    </w:p>
    <w:p w14:paraId="257649A9">
      <w:pPr>
        <w:spacing w:line="266" w:lineRule="auto"/>
        <w:rPr>
          <w:rFonts w:ascii="Arial"/>
          <w:sz w:val="21"/>
          <w:highlight w:val="none"/>
        </w:rPr>
      </w:pPr>
    </w:p>
    <w:p w14:paraId="73863279">
      <w:pPr>
        <w:pStyle w:val="7"/>
        <w:keepNext w:val="0"/>
        <w:keepLines w:val="0"/>
        <w:pageBreakBefore w:val="0"/>
        <w:widowControl/>
        <w:tabs>
          <w:tab w:val="left" w:pos="7084"/>
        </w:tabs>
        <w:kinsoku w:val="0"/>
        <w:wordWrap/>
        <w:overflowPunct/>
        <w:topLinePunct w:val="0"/>
        <w:autoSpaceDE w:val="0"/>
        <w:autoSpaceDN w:val="0"/>
        <w:bidi w:val="0"/>
        <w:adjustRightInd w:val="0"/>
        <w:snapToGrid w:val="0"/>
        <w:spacing w:line="240" w:lineRule="auto"/>
        <w:ind w:left="1134" w:right="0" w:firstLine="0"/>
        <w:jc w:val="both"/>
        <w:textAlignment w:val="baseline"/>
        <w:rPr>
          <w:sz w:val="28"/>
          <w:szCs w:val="28"/>
          <w:highlight w:val="none"/>
          <w:u w:val="single" w:color="auto"/>
        </w:rPr>
      </w:pPr>
      <w:r>
        <w:rPr>
          <w:spacing w:val="-38"/>
          <w:sz w:val="28"/>
          <w:szCs w:val="28"/>
          <w:highlight w:val="none"/>
        </w:rPr>
        <w:t>甲方：</w:t>
      </w:r>
      <w:r>
        <w:rPr>
          <w:sz w:val="28"/>
          <w:szCs w:val="28"/>
          <w:highlight w:val="none"/>
          <w:u w:val="single" w:color="auto"/>
        </w:rPr>
        <w:tab/>
      </w:r>
    </w:p>
    <w:p w14:paraId="7DF7E2EA">
      <w:pPr>
        <w:pStyle w:val="7"/>
        <w:keepNext w:val="0"/>
        <w:keepLines w:val="0"/>
        <w:pageBreakBefore w:val="0"/>
        <w:widowControl/>
        <w:tabs>
          <w:tab w:val="left" w:pos="7084"/>
        </w:tabs>
        <w:kinsoku w:val="0"/>
        <w:wordWrap/>
        <w:overflowPunct/>
        <w:topLinePunct w:val="0"/>
        <w:autoSpaceDE w:val="0"/>
        <w:autoSpaceDN w:val="0"/>
        <w:bidi w:val="0"/>
        <w:adjustRightInd w:val="0"/>
        <w:snapToGrid w:val="0"/>
        <w:spacing w:line="240" w:lineRule="auto"/>
        <w:ind w:left="1134" w:right="0" w:firstLine="0"/>
        <w:jc w:val="both"/>
        <w:textAlignment w:val="baseline"/>
        <w:rPr>
          <w:sz w:val="28"/>
          <w:szCs w:val="28"/>
          <w:highlight w:val="none"/>
          <w:u w:val="single" w:color="auto"/>
        </w:rPr>
      </w:pPr>
      <w:r>
        <w:rPr>
          <w:spacing w:val="-18"/>
          <w:sz w:val="28"/>
          <w:szCs w:val="28"/>
          <w:highlight w:val="none"/>
        </w:rPr>
        <w:t>乙方：</w:t>
      </w:r>
      <w:r>
        <w:rPr>
          <w:sz w:val="28"/>
          <w:szCs w:val="28"/>
          <w:highlight w:val="none"/>
          <w:u w:val="single" w:color="auto"/>
        </w:rPr>
        <w:tab/>
      </w:r>
    </w:p>
    <w:p w14:paraId="4735F04A">
      <w:pPr>
        <w:pStyle w:val="7"/>
        <w:keepNext w:val="0"/>
        <w:keepLines w:val="0"/>
        <w:pageBreakBefore w:val="0"/>
        <w:widowControl/>
        <w:tabs>
          <w:tab w:val="left" w:pos="7084"/>
        </w:tabs>
        <w:kinsoku w:val="0"/>
        <w:wordWrap/>
        <w:overflowPunct/>
        <w:topLinePunct w:val="0"/>
        <w:autoSpaceDE w:val="0"/>
        <w:autoSpaceDN w:val="0"/>
        <w:bidi w:val="0"/>
        <w:adjustRightInd w:val="0"/>
        <w:snapToGrid w:val="0"/>
        <w:spacing w:line="240" w:lineRule="auto"/>
        <w:ind w:left="1134" w:right="0" w:firstLine="0"/>
        <w:jc w:val="both"/>
        <w:textAlignment w:val="baseline"/>
        <w:rPr>
          <w:sz w:val="28"/>
          <w:szCs w:val="28"/>
          <w:highlight w:val="none"/>
          <w:u w:val="single" w:color="auto"/>
        </w:rPr>
      </w:pPr>
      <w:r>
        <w:rPr>
          <w:spacing w:val="-14"/>
          <w:sz w:val="28"/>
          <w:szCs w:val="28"/>
          <w:highlight w:val="none"/>
        </w:rPr>
        <w:t>签订地：</w:t>
      </w:r>
      <w:r>
        <w:rPr>
          <w:sz w:val="28"/>
          <w:szCs w:val="28"/>
          <w:highlight w:val="none"/>
          <w:u w:val="single" w:color="auto"/>
        </w:rPr>
        <w:tab/>
      </w:r>
    </w:p>
    <w:p w14:paraId="213E1F3D">
      <w:pPr>
        <w:pStyle w:val="7"/>
        <w:keepNext w:val="0"/>
        <w:keepLines w:val="0"/>
        <w:pageBreakBefore w:val="0"/>
        <w:widowControl/>
        <w:tabs>
          <w:tab w:val="left" w:pos="7084"/>
        </w:tabs>
        <w:kinsoku w:val="0"/>
        <w:wordWrap/>
        <w:overflowPunct/>
        <w:topLinePunct w:val="0"/>
        <w:autoSpaceDE w:val="0"/>
        <w:autoSpaceDN w:val="0"/>
        <w:bidi w:val="0"/>
        <w:adjustRightInd w:val="0"/>
        <w:snapToGrid w:val="0"/>
        <w:spacing w:line="240" w:lineRule="auto"/>
        <w:ind w:left="1134" w:right="0" w:firstLine="0"/>
        <w:jc w:val="both"/>
        <w:textAlignment w:val="baseline"/>
        <w:rPr>
          <w:sz w:val="28"/>
          <w:szCs w:val="28"/>
          <w:highlight w:val="none"/>
        </w:rPr>
      </w:pPr>
      <w:r>
        <w:rPr>
          <w:spacing w:val="-18"/>
          <w:sz w:val="28"/>
          <w:szCs w:val="28"/>
          <w:highlight w:val="none"/>
        </w:rPr>
        <w:t>签订日期：年月日</w:t>
      </w:r>
    </w:p>
    <w:p w14:paraId="08BF9304">
      <w:pPr>
        <w:spacing w:line="422" w:lineRule="auto"/>
        <w:rPr>
          <w:sz w:val="28"/>
          <w:szCs w:val="28"/>
          <w:highlight w:val="none"/>
        </w:rPr>
        <w:sectPr>
          <w:pgSz w:w="11900" w:h="16838"/>
          <w:pgMar w:top="400" w:right="1784" w:bottom="400" w:left="1639" w:header="0" w:footer="0" w:gutter="0"/>
          <w:pgNumType w:fmt="decimal"/>
          <w:cols w:space="720" w:num="1"/>
        </w:sectPr>
      </w:pPr>
    </w:p>
    <w:p w14:paraId="7E50A3DC">
      <w:pPr>
        <w:spacing w:line="265" w:lineRule="auto"/>
        <w:rPr>
          <w:rFonts w:ascii="Arial"/>
          <w:sz w:val="21"/>
          <w:highlight w:val="none"/>
        </w:rPr>
      </w:pPr>
    </w:p>
    <w:p w14:paraId="1C482C32">
      <w:pPr>
        <w:spacing w:line="265" w:lineRule="auto"/>
        <w:rPr>
          <w:rFonts w:ascii="Arial"/>
          <w:sz w:val="21"/>
          <w:highlight w:val="none"/>
        </w:rPr>
      </w:pPr>
    </w:p>
    <w:p w14:paraId="66235EB2">
      <w:pPr>
        <w:spacing w:line="266" w:lineRule="auto"/>
        <w:rPr>
          <w:rFonts w:ascii="Arial"/>
          <w:sz w:val="21"/>
          <w:highlight w:val="none"/>
        </w:rPr>
      </w:pPr>
    </w:p>
    <w:p w14:paraId="30E0C2BC">
      <w:pPr>
        <w:spacing w:line="266" w:lineRule="auto"/>
        <w:rPr>
          <w:rFonts w:ascii="Arial"/>
          <w:sz w:val="21"/>
          <w:highlight w:val="none"/>
        </w:rPr>
      </w:pPr>
    </w:p>
    <w:p w14:paraId="4EE26D78">
      <w:pPr>
        <w:pStyle w:val="7"/>
        <w:tabs>
          <w:tab w:val="left" w:pos="985"/>
        </w:tabs>
        <w:spacing w:before="74" w:line="359" w:lineRule="auto"/>
        <w:ind w:left="58" w:right="115" w:hanging="32"/>
        <w:rPr>
          <w:sz w:val="23"/>
          <w:szCs w:val="23"/>
          <w:highlight w:val="none"/>
        </w:rPr>
      </w:pPr>
      <w:r>
        <w:rPr>
          <w:sz w:val="23"/>
          <w:szCs w:val="23"/>
          <w:highlight w:val="none"/>
          <w:u w:val="single" w:color="auto"/>
        </w:rPr>
        <w:tab/>
      </w:r>
      <w:r>
        <w:rPr>
          <w:sz w:val="23"/>
          <w:szCs w:val="23"/>
          <w:highlight w:val="none"/>
          <w:u w:val="single" w:color="auto"/>
        </w:rPr>
        <w:tab/>
      </w:r>
      <w:r>
        <w:rPr>
          <w:spacing w:val="-5"/>
          <w:sz w:val="23"/>
          <w:szCs w:val="23"/>
          <w:highlight w:val="none"/>
        </w:rPr>
        <w:t>年月日，以</w:t>
      </w:r>
      <w:r>
        <w:rPr>
          <w:spacing w:val="-5"/>
          <w:sz w:val="23"/>
          <w:szCs w:val="23"/>
          <w:highlight w:val="none"/>
          <w:u w:val="single" w:color="auto"/>
        </w:rPr>
        <w:t>公开招标方式</w:t>
      </w:r>
      <w:r>
        <w:rPr>
          <w:spacing w:val="-5"/>
          <w:sz w:val="23"/>
          <w:szCs w:val="23"/>
          <w:highlight w:val="none"/>
        </w:rPr>
        <w:t>对其</w:t>
      </w:r>
      <w:r>
        <w:rPr>
          <w:spacing w:val="-5"/>
          <w:sz w:val="23"/>
          <w:szCs w:val="23"/>
          <w:highlight w:val="none"/>
          <w:u w:val="single" w:color="auto"/>
        </w:rPr>
        <w:t>项目</w:t>
      </w:r>
      <w:r>
        <w:rPr>
          <w:spacing w:val="-5"/>
          <w:sz w:val="23"/>
          <w:szCs w:val="23"/>
          <w:highlight w:val="none"/>
        </w:rPr>
        <w:t>进行了采购。</w:t>
      </w:r>
      <w:r>
        <w:rPr>
          <w:spacing w:val="9"/>
          <w:sz w:val="23"/>
          <w:szCs w:val="23"/>
          <w:highlight w:val="none"/>
        </w:rPr>
        <w:t>经</w:t>
      </w:r>
      <w:r>
        <w:rPr>
          <w:spacing w:val="9"/>
          <w:sz w:val="23"/>
          <w:szCs w:val="23"/>
          <w:highlight w:val="none"/>
          <w:u w:val="single" w:color="auto"/>
        </w:rPr>
        <w:t>（相关评定主体名称）</w:t>
      </w:r>
      <w:r>
        <w:rPr>
          <w:spacing w:val="9"/>
          <w:sz w:val="23"/>
          <w:szCs w:val="23"/>
          <w:highlight w:val="none"/>
        </w:rPr>
        <w:t>评定</w:t>
      </w:r>
      <w:r>
        <w:rPr>
          <w:spacing w:val="-13"/>
          <w:sz w:val="23"/>
          <w:szCs w:val="23"/>
          <w:highlight w:val="none"/>
        </w:rPr>
        <w:t>，</w:t>
      </w:r>
      <w:r>
        <w:rPr>
          <w:spacing w:val="-13"/>
          <w:sz w:val="23"/>
          <w:szCs w:val="23"/>
          <w:highlight w:val="none"/>
          <w:u w:val="single" w:color="auto"/>
        </w:rPr>
        <w:t>（</w:t>
      </w:r>
      <w:r>
        <w:rPr>
          <w:spacing w:val="9"/>
          <w:sz w:val="23"/>
          <w:szCs w:val="23"/>
          <w:highlight w:val="none"/>
          <w:u w:val="single" w:color="auto"/>
        </w:rPr>
        <w:t>中标供应商名称）</w:t>
      </w:r>
      <w:r>
        <w:rPr>
          <w:spacing w:val="9"/>
          <w:sz w:val="23"/>
          <w:szCs w:val="23"/>
          <w:highlight w:val="none"/>
        </w:rPr>
        <w:t>为该项目中标</w:t>
      </w:r>
      <w:r>
        <w:rPr>
          <w:spacing w:val="6"/>
          <w:sz w:val="23"/>
          <w:szCs w:val="23"/>
          <w:highlight w:val="none"/>
        </w:rPr>
        <w:t>供应商。现于中标通知书发出之日起3日内，按照采购文件确定的事项签订本</w:t>
      </w:r>
      <w:r>
        <w:rPr>
          <w:spacing w:val="-2"/>
          <w:sz w:val="23"/>
          <w:szCs w:val="23"/>
          <w:highlight w:val="none"/>
        </w:rPr>
        <w:t>合同。</w:t>
      </w:r>
    </w:p>
    <w:p w14:paraId="4167EB59">
      <w:pPr>
        <w:pStyle w:val="7"/>
        <w:spacing w:before="69" w:line="358" w:lineRule="auto"/>
        <w:ind w:left="58" w:right="81" w:firstLine="480"/>
        <w:jc w:val="both"/>
        <w:rPr>
          <w:sz w:val="23"/>
          <w:szCs w:val="23"/>
          <w:highlight w:val="none"/>
        </w:rPr>
      </w:pPr>
      <w:r>
        <w:rPr>
          <w:spacing w:val="13"/>
          <w:sz w:val="23"/>
          <w:szCs w:val="23"/>
          <w:highlight w:val="none"/>
        </w:rPr>
        <w:t>根据《中华人民共和国民法典》、《中华人民共</w:t>
      </w:r>
      <w:r>
        <w:rPr>
          <w:spacing w:val="12"/>
          <w:sz w:val="23"/>
          <w:szCs w:val="23"/>
          <w:highlight w:val="none"/>
        </w:rPr>
        <w:t>和国政府采购法》等相关</w:t>
      </w:r>
      <w:r>
        <w:rPr>
          <w:spacing w:val="5"/>
          <w:sz w:val="23"/>
          <w:szCs w:val="23"/>
          <w:highlight w:val="none"/>
        </w:rPr>
        <w:t>法律法规之规定，按照平等、自愿、公平和诚实信用的原则，经</w:t>
      </w:r>
      <w:r>
        <w:rPr>
          <w:spacing w:val="5"/>
          <w:sz w:val="23"/>
          <w:szCs w:val="23"/>
          <w:highlight w:val="none"/>
          <w:u w:val="single" w:color="auto"/>
        </w:rPr>
        <w:t>（采购人名</w:t>
      </w:r>
      <w:r>
        <w:rPr>
          <w:spacing w:val="1"/>
          <w:sz w:val="23"/>
          <w:szCs w:val="23"/>
          <w:highlight w:val="none"/>
          <w:u w:val="single" w:color="auto"/>
        </w:rPr>
        <w:t>称）</w:t>
      </w:r>
      <w:r>
        <w:rPr>
          <w:spacing w:val="1"/>
          <w:sz w:val="23"/>
          <w:szCs w:val="23"/>
          <w:highlight w:val="none"/>
        </w:rPr>
        <w:t>(以下简称：甲方)和</w:t>
      </w:r>
      <w:r>
        <w:rPr>
          <w:spacing w:val="1"/>
          <w:sz w:val="23"/>
          <w:szCs w:val="23"/>
          <w:highlight w:val="none"/>
          <w:u w:val="single" w:color="auto"/>
        </w:rPr>
        <w:t>（中标供应商名称）</w:t>
      </w:r>
      <w:r>
        <w:rPr>
          <w:sz w:val="23"/>
          <w:szCs w:val="23"/>
          <w:highlight w:val="none"/>
        </w:rPr>
        <w:t>(以下简称：乙方)协商</w:t>
      </w:r>
      <w:r>
        <w:rPr>
          <w:spacing w:val="8"/>
          <w:sz w:val="23"/>
          <w:szCs w:val="23"/>
          <w:highlight w:val="none"/>
        </w:rPr>
        <w:t>一致，约定以下合同条款，以兹共同遵守、全面履行。</w:t>
      </w:r>
    </w:p>
    <w:p w14:paraId="4F4ECAEC">
      <w:pPr>
        <w:pStyle w:val="7"/>
        <w:spacing w:before="65" w:line="231" w:lineRule="auto"/>
        <w:ind w:left="561"/>
        <w:outlineLvl w:val="1"/>
        <w:rPr>
          <w:sz w:val="23"/>
          <w:szCs w:val="23"/>
          <w:highlight w:val="none"/>
        </w:rPr>
      </w:pPr>
      <w:r>
        <w:rPr>
          <w:b/>
          <w:bCs/>
          <w:spacing w:val="-6"/>
          <w:sz w:val="23"/>
          <w:szCs w:val="23"/>
          <w:highlight w:val="none"/>
        </w:rPr>
        <w:t>1.1合同组成部分</w:t>
      </w:r>
    </w:p>
    <w:p w14:paraId="06F7C20C">
      <w:pPr>
        <w:pStyle w:val="7"/>
        <w:spacing w:before="195" w:line="352" w:lineRule="auto"/>
        <w:ind w:left="63" w:firstLine="485"/>
        <w:rPr>
          <w:sz w:val="23"/>
          <w:szCs w:val="23"/>
          <w:highlight w:val="none"/>
        </w:rPr>
      </w:pPr>
      <w:r>
        <w:rPr>
          <w:spacing w:val="6"/>
          <w:sz w:val="23"/>
          <w:szCs w:val="23"/>
          <w:highlight w:val="none"/>
        </w:rPr>
        <w:t>下列文件为本合同的组成部分，并构成一个整体，需综合解释、相互补充。</w:t>
      </w:r>
      <w:r>
        <w:rPr>
          <w:spacing w:val="15"/>
          <w:sz w:val="23"/>
          <w:szCs w:val="23"/>
          <w:highlight w:val="none"/>
        </w:rPr>
        <w:t>如果下列文件内容出现不一致的情形，那么在保证按照采购文件确</w:t>
      </w:r>
      <w:r>
        <w:rPr>
          <w:spacing w:val="14"/>
          <w:sz w:val="23"/>
          <w:szCs w:val="23"/>
          <w:highlight w:val="none"/>
        </w:rPr>
        <w:t>定的事项的</w:t>
      </w:r>
      <w:r>
        <w:rPr>
          <w:spacing w:val="8"/>
          <w:sz w:val="23"/>
          <w:szCs w:val="23"/>
          <w:highlight w:val="none"/>
        </w:rPr>
        <w:t>前提下，组成本合同的多个文件的优先适用顺序</w:t>
      </w:r>
      <w:r>
        <w:rPr>
          <w:spacing w:val="7"/>
          <w:sz w:val="23"/>
          <w:szCs w:val="23"/>
          <w:highlight w:val="none"/>
        </w:rPr>
        <w:t>如下：</w:t>
      </w:r>
    </w:p>
    <w:p w14:paraId="5689BC64">
      <w:pPr>
        <w:pStyle w:val="7"/>
        <w:spacing w:before="63" w:line="358" w:lineRule="auto"/>
        <w:ind w:left="561" w:right="3633"/>
        <w:rPr>
          <w:sz w:val="23"/>
          <w:szCs w:val="23"/>
          <w:highlight w:val="none"/>
        </w:rPr>
      </w:pPr>
      <w:r>
        <w:rPr>
          <w:spacing w:val="2"/>
          <w:sz w:val="23"/>
          <w:szCs w:val="23"/>
          <w:highlight w:val="none"/>
        </w:rPr>
        <w:t>1.1.1本合同及其补充合同、变更协议；</w:t>
      </w:r>
      <w:r>
        <w:rPr>
          <w:spacing w:val="-6"/>
          <w:sz w:val="23"/>
          <w:szCs w:val="23"/>
          <w:highlight w:val="none"/>
        </w:rPr>
        <w:t>1.1.2中标通知书；</w:t>
      </w:r>
    </w:p>
    <w:p w14:paraId="6EAAB5A9">
      <w:pPr>
        <w:pStyle w:val="7"/>
        <w:spacing w:before="39" w:line="363" w:lineRule="auto"/>
        <w:ind w:left="561" w:right="3388"/>
        <w:jc w:val="both"/>
        <w:rPr>
          <w:sz w:val="23"/>
          <w:szCs w:val="23"/>
          <w:highlight w:val="none"/>
        </w:rPr>
      </w:pPr>
      <w:r>
        <w:rPr>
          <w:spacing w:val="5"/>
          <w:sz w:val="23"/>
          <w:szCs w:val="23"/>
          <w:highlight w:val="none"/>
        </w:rPr>
        <w:t>1.1.3投标文件（含澄清或者说明文件</w:t>
      </w:r>
      <w:r>
        <w:rPr>
          <w:spacing w:val="-16"/>
          <w:sz w:val="23"/>
          <w:szCs w:val="23"/>
          <w:highlight w:val="none"/>
        </w:rPr>
        <w:t>）；</w:t>
      </w:r>
      <w:r>
        <w:rPr>
          <w:spacing w:val="5"/>
          <w:sz w:val="23"/>
          <w:szCs w:val="23"/>
          <w:highlight w:val="none"/>
        </w:rPr>
        <w:t>1.1.4招标文件（含澄清或者修改文件</w:t>
      </w:r>
      <w:r>
        <w:rPr>
          <w:spacing w:val="-16"/>
          <w:sz w:val="23"/>
          <w:szCs w:val="23"/>
          <w:highlight w:val="none"/>
        </w:rPr>
        <w:t>）；</w:t>
      </w:r>
      <w:r>
        <w:rPr>
          <w:spacing w:val="3"/>
          <w:sz w:val="23"/>
          <w:szCs w:val="23"/>
          <w:highlight w:val="none"/>
        </w:rPr>
        <w:t>1.1.5其他相关采购文件。</w:t>
      </w:r>
    </w:p>
    <w:p w14:paraId="3EBCA923">
      <w:pPr>
        <w:pStyle w:val="7"/>
        <w:spacing w:before="40" w:line="231" w:lineRule="auto"/>
        <w:ind w:left="561"/>
        <w:outlineLvl w:val="1"/>
        <w:rPr>
          <w:sz w:val="23"/>
          <w:szCs w:val="23"/>
          <w:highlight w:val="none"/>
        </w:rPr>
      </w:pPr>
      <w:r>
        <w:rPr>
          <w:b/>
          <w:bCs/>
          <w:spacing w:val="-10"/>
          <w:sz w:val="23"/>
          <w:szCs w:val="23"/>
          <w:highlight w:val="none"/>
        </w:rPr>
        <w:t>1.2标的</w:t>
      </w:r>
    </w:p>
    <w:p w14:paraId="2419C4CB">
      <w:pPr>
        <w:pStyle w:val="7"/>
        <w:spacing w:before="181" w:line="355" w:lineRule="auto"/>
        <w:ind w:left="561" w:right="1403"/>
        <w:rPr>
          <w:spacing w:val="-1"/>
          <w:sz w:val="23"/>
          <w:szCs w:val="23"/>
          <w:highlight w:val="none"/>
          <w:u w:val="single" w:color="auto"/>
        </w:rPr>
      </w:pPr>
      <w:r>
        <w:rPr>
          <w:sz w:val="23"/>
          <w:szCs w:val="23"/>
          <w:highlight w:val="none"/>
        </w:rPr>
        <w:t>1.2.1标的名称：</w:t>
      </w:r>
      <w:r>
        <w:rPr>
          <w:spacing w:val="-1"/>
          <w:sz w:val="23"/>
          <w:szCs w:val="23"/>
          <w:highlight w:val="none"/>
          <w:u w:val="single" w:color="auto"/>
        </w:rPr>
        <w:t>目（详见清单）</w:t>
      </w:r>
    </w:p>
    <w:p w14:paraId="31982B13">
      <w:pPr>
        <w:pStyle w:val="7"/>
        <w:spacing w:before="181" w:line="355" w:lineRule="auto"/>
        <w:ind w:left="561" w:right="1403"/>
        <w:rPr>
          <w:sz w:val="23"/>
          <w:szCs w:val="23"/>
          <w:highlight w:val="none"/>
        </w:rPr>
      </w:pPr>
      <w:r>
        <w:rPr>
          <w:spacing w:val="6"/>
          <w:sz w:val="23"/>
          <w:szCs w:val="23"/>
          <w:highlight w:val="none"/>
        </w:rPr>
        <w:t>1.2.2标的数量：</w:t>
      </w:r>
      <w:r>
        <w:rPr>
          <w:spacing w:val="6"/>
          <w:sz w:val="23"/>
          <w:szCs w:val="23"/>
          <w:highlight w:val="none"/>
          <w:u w:val="single" w:color="auto"/>
        </w:rPr>
        <w:t>按招标文件要求（详见清单）</w:t>
      </w:r>
    </w:p>
    <w:p w14:paraId="1C4DEE1C">
      <w:pPr>
        <w:pStyle w:val="7"/>
        <w:spacing w:before="48" w:line="231" w:lineRule="auto"/>
        <w:ind w:left="561"/>
        <w:rPr>
          <w:rFonts w:hint="eastAsia" w:eastAsia="仿宋"/>
          <w:sz w:val="23"/>
          <w:szCs w:val="23"/>
          <w:highlight w:val="none"/>
          <w:lang w:eastAsia="zh-CN"/>
        </w:rPr>
      </w:pPr>
      <w:r>
        <w:rPr>
          <w:spacing w:val="1"/>
          <w:sz w:val="23"/>
          <w:szCs w:val="23"/>
          <w:highlight w:val="none"/>
        </w:rPr>
        <w:t>1.2.3标的质量：</w:t>
      </w:r>
      <w:r>
        <w:rPr>
          <w:spacing w:val="1"/>
          <w:sz w:val="23"/>
          <w:szCs w:val="23"/>
          <w:highlight w:val="none"/>
          <w:u w:val="single" w:color="auto"/>
        </w:rPr>
        <w:t>按招标文件要求和投标文件的实际填写。</w:t>
      </w:r>
    </w:p>
    <w:p w14:paraId="36056345">
      <w:pPr>
        <w:pStyle w:val="7"/>
        <w:spacing w:before="178" w:line="231" w:lineRule="auto"/>
        <w:ind w:left="561"/>
        <w:outlineLvl w:val="1"/>
        <w:rPr>
          <w:sz w:val="23"/>
          <w:szCs w:val="23"/>
          <w:highlight w:val="none"/>
        </w:rPr>
      </w:pPr>
      <w:r>
        <w:rPr>
          <w:b/>
          <w:bCs/>
          <w:spacing w:val="-11"/>
          <w:sz w:val="23"/>
          <w:szCs w:val="23"/>
          <w:highlight w:val="none"/>
        </w:rPr>
        <w:t>1.3价款</w:t>
      </w:r>
    </w:p>
    <w:p w14:paraId="3F3CB77C">
      <w:pPr>
        <w:pStyle w:val="7"/>
        <w:spacing w:before="198" w:line="342" w:lineRule="auto"/>
        <w:ind w:left="543" w:right="32" w:hanging="1"/>
        <w:rPr>
          <w:sz w:val="23"/>
          <w:szCs w:val="23"/>
          <w:highlight w:val="none"/>
        </w:rPr>
      </w:pPr>
      <w:r>
        <w:rPr>
          <w:spacing w:val="-4"/>
          <w:sz w:val="23"/>
          <w:szCs w:val="23"/>
          <w:highlight w:val="none"/>
        </w:rPr>
        <w:t>本合同总价为：￥元（大写：元人民</w:t>
      </w:r>
      <w:r>
        <w:rPr>
          <w:spacing w:val="-5"/>
          <w:sz w:val="23"/>
          <w:szCs w:val="23"/>
          <w:highlight w:val="none"/>
        </w:rPr>
        <w:t>币）。</w:t>
      </w:r>
      <w:r>
        <w:rPr>
          <w:spacing w:val="1"/>
          <w:sz w:val="23"/>
          <w:szCs w:val="23"/>
          <w:highlight w:val="none"/>
        </w:rPr>
        <w:t>分项价格：</w:t>
      </w:r>
    </w:p>
    <w:p w14:paraId="33D2A12E">
      <w:pPr>
        <w:spacing w:line="96" w:lineRule="auto"/>
        <w:rPr>
          <w:rFonts w:ascii="Arial"/>
          <w:sz w:val="2"/>
          <w:highlight w:val="none"/>
        </w:rPr>
      </w:pPr>
    </w:p>
    <w:tbl>
      <w:tblPr>
        <w:tblStyle w:val="25"/>
        <w:tblW w:w="7158" w:type="dxa"/>
        <w:tblInd w:w="5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3396"/>
        <w:gridCol w:w="2556"/>
      </w:tblGrid>
      <w:tr w14:paraId="08A2E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206" w:type="dxa"/>
            <w:vAlign w:val="top"/>
          </w:tcPr>
          <w:p w14:paraId="377CE952">
            <w:pPr>
              <w:pStyle w:val="26"/>
              <w:spacing w:before="57" w:line="231" w:lineRule="auto"/>
              <w:ind w:left="138"/>
              <w:rPr>
                <w:highlight w:val="none"/>
              </w:rPr>
            </w:pPr>
            <w:r>
              <w:rPr>
                <w:spacing w:val="-2"/>
                <w:highlight w:val="none"/>
              </w:rPr>
              <w:t>序号</w:t>
            </w:r>
          </w:p>
        </w:tc>
        <w:tc>
          <w:tcPr>
            <w:tcW w:w="3396" w:type="dxa"/>
            <w:vAlign w:val="top"/>
          </w:tcPr>
          <w:p w14:paraId="10AECFCB">
            <w:pPr>
              <w:pStyle w:val="26"/>
              <w:spacing w:before="55" w:line="229" w:lineRule="auto"/>
              <w:ind w:left="339"/>
              <w:rPr>
                <w:highlight w:val="none"/>
              </w:rPr>
            </w:pPr>
            <w:r>
              <w:rPr>
                <w:spacing w:val="1"/>
                <w:highlight w:val="none"/>
              </w:rPr>
              <w:t>分项名称</w:t>
            </w:r>
          </w:p>
        </w:tc>
        <w:tc>
          <w:tcPr>
            <w:tcW w:w="2556" w:type="dxa"/>
            <w:vAlign w:val="top"/>
          </w:tcPr>
          <w:p w14:paraId="479B3AFA">
            <w:pPr>
              <w:pStyle w:val="26"/>
              <w:spacing w:before="57" w:line="231" w:lineRule="auto"/>
              <w:ind w:left="145"/>
              <w:rPr>
                <w:highlight w:val="none"/>
              </w:rPr>
            </w:pPr>
            <w:r>
              <w:rPr>
                <w:spacing w:val="1"/>
                <w:highlight w:val="none"/>
              </w:rPr>
              <w:t>分项价格</w:t>
            </w:r>
          </w:p>
        </w:tc>
      </w:tr>
      <w:tr w14:paraId="71513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206" w:type="dxa"/>
            <w:vAlign w:val="top"/>
          </w:tcPr>
          <w:p w14:paraId="02143821">
            <w:pPr>
              <w:rPr>
                <w:rFonts w:ascii="Arial"/>
                <w:sz w:val="21"/>
                <w:highlight w:val="none"/>
              </w:rPr>
            </w:pPr>
          </w:p>
        </w:tc>
        <w:tc>
          <w:tcPr>
            <w:tcW w:w="3396" w:type="dxa"/>
            <w:vAlign w:val="top"/>
          </w:tcPr>
          <w:p w14:paraId="1DF0F939">
            <w:pPr>
              <w:rPr>
                <w:rFonts w:ascii="Arial"/>
                <w:sz w:val="21"/>
                <w:highlight w:val="none"/>
              </w:rPr>
            </w:pPr>
          </w:p>
        </w:tc>
        <w:tc>
          <w:tcPr>
            <w:tcW w:w="2556" w:type="dxa"/>
            <w:vAlign w:val="top"/>
          </w:tcPr>
          <w:p w14:paraId="555C388E">
            <w:pPr>
              <w:rPr>
                <w:rFonts w:ascii="Arial"/>
                <w:sz w:val="21"/>
                <w:highlight w:val="none"/>
              </w:rPr>
            </w:pPr>
          </w:p>
        </w:tc>
      </w:tr>
      <w:tr w14:paraId="2AAA9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206" w:type="dxa"/>
            <w:vAlign w:val="top"/>
          </w:tcPr>
          <w:p w14:paraId="23062DEA">
            <w:pPr>
              <w:rPr>
                <w:rFonts w:ascii="Arial"/>
                <w:sz w:val="21"/>
                <w:highlight w:val="none"/>
              </w:rPr>
            </w:pPr>
          </w:p>
        </w:tc>
        <w:tc>
          <w:tcPr>
            <w:tcW w:w="3396" w:type="dxa"/>
            <w:vAlign w:val="top"/>
          </w:tcPr>
          <w:p w14:paraId="1F05CDFF">
            <w:pPr>
              <w:rPr>
                <w:rFonts w:ascii="Arial"/>
                <w:sz w:val="21"/>
                <w:highlight w:val="none"/>
              </w:rPr>
            </w:pPr>
          </w:p>
        </w:tc>
        <w:tc>
          <w:tcPr>
            <w:tcW w:w="2556" w:type="dxa"/>
            <w:vAlign w:val="top"/>
          </w:tcPr>
          <w:p w14:paraId="556C2261">
            <w:pPr>
              <w:rPr>
                <w:rFonts w:ascii="Arial"/>
                <w:sz w:val="21"/>
                <w:highlight w:val="none"/>
              </w:rPr>
            </w:pPr>
          </w:p>
        </w:tc>
      </w:tr>
      <w:tr w14:paraId="7424B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206" w:type="dxa"/>
            <w:vAlign w:val="top"/>
          </w:tcPr>
          <w:p w14:paraId="5610198A">
            <w:pPr>
              <w:rPr>
                <w:rFonts w:ascii="Arial"/>
                <w:sz w:val="21"/>
                <w:highlight w:val="none"/>
              </w:rPr>
            </w:pPr>
          </w:p>
        </w:tc>
        <w:tc>
          <w:tcPr>
            <w:tcW w:w="3396" w:type="dxa"/>
            <w:vAlign w:val="top"/>
          </w:tcPr>
          <w:p w14:paraId="1DCCDE39">
            <w:pPr>
              <w:rPr>
                <w:rFonts w:ascii="Arial"/>
                <w:sz w:val="21"/>
                <w:highlight w:val="none"/>
              </w:rPr>
            </w:pPr>
          </w:p>
        </w:tc>
        <w:tc>
          <w:tcPr>
            <w:tcW w:w="2556" w:type="dxa"/>
            <w:vAlign w:val="top"/>
          </w:tcPr>
          <w:p w14:paraId="46017911">
            <w:pPr>
              <w:rPr>
                <w:rFonts w:ascii="Arial"/>
                <w:sz w:val="21"/>
                <w:highlight w:val="none"/>
              </w:rPr>
            </w:pPr>
          </w:p>
        </w:tc>
      </w:tr>
      <w:tr w14:paraId="4320B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206" w:type="dxa"/>
            <w:vAlign w:val="top"/>
          </w:tcPr>
          <w:p w14:paraId="6A0793CA">
            <w:pPr>
              <w:rPr>
                <w:rFonts w:ascii="Arial"/>
                <w:sz w:val="21"/>
                <w:highlight w:val="none"/>
              </w:rPr>
            </w:pPr>
          </w:p>
        </w:tc>
        <w:tc>
          <w:tcPr>
            <w:tcW w:w="3396" w:type="dxa"/>
            <w:vAlign w:val="top"/>
          </w:tcPr>
          <w:p w14:paraId="048C3357">
            <w:pPr>
              <w:rPr>
                <w:rFonts w:ascii="Arial"/>
                <w:sz w:val="21"/>
                <w:highlight w:val="none"/>
              </w:rPr>
            </w:pPr>
          </w:p>
        </w:tc>
        <w:tc>
          <w:tcPr>
            <w:tcW w:w="2556" w:type="dxa"/>
            <w:vAlign w:val="top"/>
          </w:tcPr>
          <w:p w14:paraId="3ACE1725">
            <w:pPr>
              <w:rPr>
                <w:rFonts w:ascii="Arial"/>
                <w:sz w:val="21"/>
                <w:highlight w:val="none"/>
              </w:rPr>
            </w:pPr>
          </w:p>
        </w:tc>
      </w:tr>
      <w:tr w14:paraId="45E69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206" w:type="dxa"/>
            <w:vAlign w:val="top"/>
          </w:tcPr>
          <w:p w14:paraId="6591954F">
            <w:pPr>
              <w:jc w:val="center"/>
              <w:rPr>
                <w:rFonts w:hint="eastAsia" w:eastAsia="宋体"/>
                <w:sz w:val="21"/>
                <w:highlight w:val="none"/>
                <w:lang w:val="en-US" w:eastAsia="zh-CN"/>
              </w:rPr>
            </w:pPr>
          </w:p>
          <w:p w14:paraId="47AAFAC6">
            <w:pPr>
              <w:jc w:val="center"/>
              <w:rPr>
                <w:rFonts w:hint="eastAsia" w:ascii="Arial" w:eastAsia="宋体"/>
                <w:sz w:val="21"/>
                <w:highlight w:val="none"/>
                <w:lang w:val="en-US" w:eastAsia="zh-CN"/>
              </w:rPr>
            </w:pPr>
            <w:r>
              <w:rPr>
                <w:rFonts w:hint="eastAsia" w:eastAsia="宋体"/>
                <w:sz w:val="21"/>
                <w:highlight w:val="none"/>
                <w:lang w:val="en-US" w:eastAsia="zh-CN"/>
              </w:rPr>
              <w:t>总价</w:t>
            </w:r>
          </w:p>
        </w:tc>
        <w:tc>
          <w:tcPr>
            <w:tcW w:w="3396" w:type="dxa"/>
            <w:vAlign w:val="top"/>
          </w:tcPr>
          <w:p w14:paraId="5E64BBEE">
            <w:pPr>
              <w:rPr>
                <w:rFonts w:ascii="Arial"/>
                <w:sz w:val="21"/>
                <w:highlight w:val="none"/>
              </w:rPr>
            </w:pPr>
          </w:p>
        </w:tc>
        <w:tc>
          <w:tcPr>
            <w:tcW w:w="2556" w:type="dxa"/>
            <w:vAlign w:val="top"/>
          </w:tcPr>
          <w:p w14:paraId="435C70A6">
            <w:pPr>
              <w:rPr>
                <w:rFonts w:ascii="Arial"/>
                <w:sz w:val="21"/>
                <w:highlight w:val="none"/>
              </w:rPr>
            </w:pPr>
          </w:p>
        </w:tc>
      </w:tr>
    </w:tbl>
    <w:p w14:paraId="15AF3FC3">
      <w:pPr>
        <w:rPr>
          <w:rFonts w:ascii="Arial" w:hAnsi="Arial" w:eastAsia="Arial" w:cs="Arial"/>
          <w:sz w:val="21"/>
          <w:szCs w:val="21"/>
          <w:highlight w:val="none"/>
        </w:rPr>
        <w:sectPr>
          <w:pgSz w:w="11906" w:h="16838"/>
          <w:pgMar w:top="400" w:right="1729" w:bottom="400" w:left="1785" w:header="0" w:footer="0" w:gutter="0"/>
          <w:pgNumType w:fmt="decimal"/>
          <w:cols w:space="720" w:num="1"/>
        </w:sectPr>
      </w:pPr>
    </w:p>
    <w:p w14:paraId="2846F1F5">
      <w:pPr>
        <w:spacing w:before="27"/>
        <w:rPr>
          <w:highlight w:val="none"/>
        </w:rPr>
      </w:pPr>
    </w:p>
    <w:p w14:paraId="3DEE73B6">
      <w:pPr>
        <w:spacing w:before="27"/>
        <w:rPr>
          <w:highlight w:val="none"/>
        </w:rPr>
      </w:pPr>
    </w:p>
    <w:p w14:paraId="0F8679A3">
      <w:pPr>
        <w:pStyle w:val="7"/>
        <w:spacing w:before="51" w:line="231" w:lineRule="auto"/>
        <w:ind w:left="561"/>
        <w:outlineLvl w:val="1"/>
        <w:rPr>
          <w:sz w:val="23"/>
          <w:szCs w:val="23"/>
          <w:highlight w:val="none"/>
        </w:rPr>
      </w:pPr>
      <w:r>
        <w:rPr>
          <w:b/>
          <w:bCs/>
          <w:spacing w:val="1"/>
          <w:sz w:val="23"/>
          <w:szCs w:val="23"/>
          <w:highlight w:val="none"/>
        </w:rPr>
        <w:t>1.4付款方式和发票开具方式</w:t>
      </w:r>
    </w:p>
    <w:p w14:paraId="6C899195">
      <w:pPr>
        <w:pStyle w:val="7"/>
        <w:spacing w:before="179" w:line="356" w:lineRule="auto"/>
        <w:ind w:left="561" w:right="2999"/>
        <w:rPr>
          <w:spacing w:val="-3"/>
          <w:sz w:val="23"/>
          <w:szCs w:val="23"/>
          <w:highlight w:val="none"/>
        </w:rPr>
      </w:pPr>
      <w:r>
        <w:rPr>
          <w:spacing w:val="-3"/>
          <w:sz w:val="23"/>
          <w:szCs w:val="23"/>
          <w:highlight w:val="none"/>
        </w:rPr>
        <w:t>1.4.1付款方式：。</w:t>
      </w:r>
    </w:p>
    <w:p w14:paraId="2378092E">
      <w:pPr>
        <w:pStyle w:val="7"/>
        <w:spacing w:before="179" w:line="356" w:lineRule="auto"/>
        <w:ind w:left="561" w:right="2999"/>
        <w:rPr>
          <w:sz w:val="23"/>
          <w:szCs w:val="23"/>
          <w:highlight w:val="none"/>
        </w:rPr>
      </w:pPr>
      <w:r>
        <w:rPr>
          <w:spacing w:val="5"/>
          <w:sz w:val="23"/>
          <w:szCs w:val="23"/>
          <w:highlight w:val="none"/>
        </w:rPr>
        <w:t>1.4.2发票开具方式：乙方提供发票</w:t>
      </w:r>
    </w:p>
    <w:p w14:paraId="628991F9">
      <w:pPr>
        <w:pStyle w:val="7"/>
        <w:spacing w:before="42" w:line="229" w:lineRule="auto"/>
        <w:ind w:left="561"/>
        <w:outlineLvl w:val="1"/>
        <w:rPr>
          <w:sz w:val="23"/>
          <w:szCs w:val="23"/>
          <w:highlight w:val="none"/>
        </w:rPr>
      </w:pPr>
      <w:r>
        <w:rPr>
          <w:b/>
          <w:bCs/>
          <w:spacing w:val="1"/>
          <w:sz w:val="23"/>
          <w:szCs w:val="23"/>
          <w:highlight w:val="none"/>
        </w:rPr>
        <w:t>1.5履行期限、地点和方式</w:t>
      </w:r>
    </w:p>
    <w:p w14:paraId="19F94BAE">
      <w:pPr>
        <w:pStyle w:val="7"/>
        <w:spacing w:before="180" w:line="229" w:lineRule="auto"/>
        <w:ind w:left="561"/>
        <w:rPr>
          <w:rFonts w:hint="eastAsia" w:eastAsia="仿宋"/>
          <w:sz w:val="23"/>
          <w:szCs w:val="23"/>
          <w:highlight w:val="none"/>
          <w:lang w:eastAsia="zh-CN"/>
        </w:rPr>
      </w:pPr>
      <w:r>
        <w:rPr>
          <w:spacing w:val="3"/>
          <w:sz w:val="23"/>
          <w:szCs w:val="23"/>
          <w:highlight w:val="none"/>
        </w:rPr>
        <w:t>1.5.1履行期限：</w:t>
      </w:r>
      <w:r>
        <w:rPr>
          <w:spacing w:val="3"/>
          <w:sz w:val="23"/>
          <w:szCs w:val="23"/>
          <w:highlight w:val="none"/>
          <w:u w:val="single" w:color="auto"/>
        </w:rPr>
        <w:t>按投标文件要求</w:t>
      </w:r>
    </w:p>
    <w:p w14:paraId="03C2E934">
      <w:pPr>
        <w:pStyle w:val="7"/>
        <w:spacing w:before="180" w:line="359" w:lineRule="auto"/>
        <w:ind w:left="561" w:right="4239"/>
        <w:rPr>
          <w:sz w:val="23"/>
          <w:szCs w:val="23"/>
          <w:highlight w:val="none"/>
        </w:rPr>
      </w:pPr>
      <w:r>
        <w:rPr>
          <w:spacing w:val="2"/>
          <w:sz w:val="23"/>
          <w:szCs w:val="23"/>
          <w:highlight w:val="none"/>
        </w:rPr>
        <w:t>1.5.2</w:t>
      </w:r>
      <w:r>
        <w:rPr>
          <w:b/>
          <w:bCs/>
          <w:spacing w:val="2"/>
          <w:sz w:val="23"/>
          <w:szCs w:val="23"/>
          <w:highlight w:val="none"/>
        </w:rPr>
        <w:t>履行地点：采购人指定地点</w:t>
      </w:r>
      <w:r>
        <w:rPr>
          <w:spacing w:val="4"/>
          <w:sz w:val="23"/>
          <w:szCs w:val="23"/>
          <w:highlight w:val="none"/>
        </w:rPr>
        <w:t>1.5.3履行方式：现场验收。</w:t>
      </w:r>
    </w:p>
    <w:p w14:paraId="7CD71238">
      <w:pPr>
        <w:pStyle w:val="7"/>
        <w:spacing w:before="39" w:line="231" w:lineRule="auto"/>
        <w:ind w:left="561"/>
        <w:outlineLvl w:val="1"/>
        <w:rPr>
          <w:sz w:val="23"/>
          <w:szCs w:val="23"/>
          <w:highlight w:val="none"/>
        </w:rPr>
      </w:pPr>
      <w:r>
        <w:rPr>
          <w:b/>
          <w:bCs/>
          <w:spacing w:val="-8"/>
          <w:sz w:val="23"/>
          <w:szCs w:val="23"/>
          <w:highlight w:val="none"/>
        </w:rPr>
        <w:t>1.6违约责任</w:t>
      </w:r>
    </w:p>
    <w:p w14:paraId="76EE6308">
      <w:pPr>
        <w:pStyle w:val="7"/>
        <w:spacing w:before="197" w:line="339" w:lineRule="auto"/>
        <w:ind w:left="63" w:right="64" w:firstLine="497"/>
        <w:jc w:val="both"/>
        <w:rPr>
          <w:sz w:val="23"/>
          <w:szCs w:val="23"/>
          <w:highlight w:val="none"/>
        </w:rPr>
      </w:pPr>
      <w:r>
        <w:rPr>
          <w:spacing w:val="7"/>
          <w:sz w:val="23"/>
          <w:szCs w:val="23"/>
          <w:highlight w:val="none"/>
        </w:rPr>
        <w:t>1.6.1除不可抗力外，如果乙方没有按照本合同约定的期限、地点和方式履行，那么甲方可要求乙方支付违约金，违</w:t>
      </w:r>
      <w:r>
        <w:rPr>
          <w:spacing w:val="6"/>
          <w:sz w:val="23"/>
          <w:szCs w:val="23"/>
          <w:highlight w:val="none"/>
        </w:rPr>
        <w:t>约金按每迟延履行一日的应提供而</w:t>
      </w:r>
      <w:r>
        <w:rPr>
          <w:spacing w:val="7"/>
          <w:sz w:val="23"/>
          <w:szCs w:val="23"/>
          <w:highlight w:val="none"/>
        </w:rPr>
        <w:t>未提供服务价格的%计算，最高限额为本合同总价的</w:t>
      </w:r>
      <w:r>
        <w:rPr>
          <w:spacing w:val="6"/>
          <w:sz w:val="23"/>
          <w:szCs w:val="23"/>
          <w:highlight w:val="none"/>
        </w:rPr>
        <w:t>%；迟延履行的违</w:t>
      </w:r>
      <w:r>
        <w:rPr>
          <w:spacing w:val="7"/>
          <w:sz w:val="23"/>
          <w:szCs w:val="23"/>
          <w:highlight w:val="none"/>
        </w:rPr>
        <w:t>约金计算数额达到前述最高限额之日起，甲方</w:t>
      </w:r>
      <w:r>
        <w:rPr>
          <w:spacing w:val="6"/>
          <w:sz w:val="23"/>
          <w:szCs w:val="23"/>
          <w:highlight w:val="none"/>
        </w:rPr>
        <w:t>有权在要求乙方支付违约金的同时，书面通知乙方解除本合同；</w:t>
      </w:r>
    </w:p>
    <w:p w14:paraId="6EF5C5AD">
      <w:pPr>
        <w:pStyle w:val="7"/>
        <w:spacing w:before="217" w:line="286" w:lineRule="auto"/>
        <w:ind w:left="90" w:right="155" w:firstLine="470"/>
        <w:rPr>
          <w:sz w:val="23"/>
          <w:szCs w:val="23"/>
          <w:highlight w:val="none"/>
        </w:rPr>
      </w:pPr>
      <w:r>
        <w:rPr>
          <w:spacing w:val="7"/>
          <w:sz w:val="23"/>
          <w:szCs w:val="23"/>
          <w:highlight w:val="none"/>
        </w:rPr>
        <w:t>1.6.2除不可抗力外，如果甲方没有按照本合同约定的付款方式付款，那</w:t>
      </w:r>
      <w:r>
        <w:rPr>
          <w:spacing w:val="8"/>
          <w:sz w:val="23"/>
          <w:szCs w:val="23"/>
          <w:highlight w:val="none"/>
        </w:rPr>
        <w:t>么乙方可要求甲方支付违约金，违约金按每迟延付款一日的应付而未付款</w:t>
      </w:r>
    </w:p>
    <w:p w14:paraId="68EBB060">
      <w:pPr>
        <w:pStyle w:val="7"/>
        <w:spacing w:before="222" w:line="352" w:lineRule="auto"/>
        <w:ind w:left="63" w:right="27" w:firstLine="24"/>
        <w:jc w:val="both"/>
        <w:rPr>
          <w:sz w:val="23"/>
          <w:szCs w:val="23"/>
          <w:highlight w:val="none"/>
        </w:rPr>
      </w:pPr>
      <w:r>
        <w:rPr>
          <w:spacing w:val="7"/>
          <w:sz w:val="23"/>
          <w:szCs w:val="23"/>
          <w:highlight w:val="none"/>
        </w:rPr>
        <w:t>的%计算，最高限额为本合同总价的%；迟延付款的违约金计算数额达到</w:t>
      </w:r>
      <w:r>
        <w:rPr>
          <w:spacing w:val="11"/>
          <w:sz w:val="23"/>
          <w:szCs w:val="23"/>
          <w:highlight w:val="none"/>
        </w:rPr>
        <w:t>前述最高限额之日起，乙方有权在要求甲方支付违约金的同时，书面通</w:t>
      </w:r>
      <w:r>
        <w:rPr>
          <w:spacing w:val="10"/>
          <w:sz w:val="23"/>
          <w:szCs w:val="23"/>
          <w:highlight w:val="none"/>
        </w:rPr>
        <w:t>知甲方</w:t>
      </w:r>
      <w:r>
        <w:rPr>
          <w:spacing w:val="3"/>
          <w:sz w:val="23"/>
          <w:szCs w:val="23"/>
          <w:highlight w:val="none"/>
        </w:rPr>
        <w:t>解除本合同；</w:t>
      </w:r>
    </w:p>
    <w:p w14:paraId="4C6078AB">
      <w:pPr>
        <w:pStyle w:val="7"/>
        <w:spacing w:before="77" w:line="349" w:lineRule="auto"/>
        <w:ind w:left="58" w:right="155" w:firstLine="502"/>
        <w:jc w:val="both"/>
        <w:rPr>
          <w:sz w:val="23"/>
          <w:szCs w:val="23"/>
          <w:highlight w:val="none"/>
        </w:rPr>
      </w:pPr>
      <w:r>
        <w:rPr>
          <w:spacing w:val="7"/>
          <w:sz w:val="23"/>
          <w:szCs w:val="23"/>
          <w:highlight w:val="none"/>
        </w:rPr>
        <w:t>1.6.3除不可抗力外，任何一方未能履行本合同约定的其他主要义务，经</w:t>
      </w:r>
      <w:r>
        <w:rPr>
          <w:spacing w:val="8"/>
          <w:sz w:val="23"/>
          <w:szCs w:val="23"/>
          <w:highlight w:val="none"/>
        </w:rPr>
        <w:t>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w:t>
      </w:r>
      <w:r>
        <w:rPr>
          <w:spacing w:val="2"/>
          <w:sz w:val="23"/>
          <w:szCs w:val="23"/>
          <w:highlight w:val="none"/>
        </w:rPr>
        <w:t>除本合同；</w:t>
      </w:r>
    </w:p>
    <w:p w14:paraId="2E69A925">
      <w:pPr>
        <w:pStyle w:val="7"/>
        <w:spacing w:before="216" w:line="330" w:lineRule="auto"/>
        <w:ind w:left="63" w:right="155" w:firstLine="497"/>
        <w:jc w:val="both"/>
        <w:rPr>
          <w:sz w:val="23"/>
          <w:szCs w:val="23"/>
          <w:highlight w:val="none"/>
        </w:rPr>
      </w:pPr>
      <w:r>
        <w:rPr>
          <w:spacing w:val="7"/>
          <w:sz w:val="23"/>
          <w:szCs w:val="23"/>
          <w:highlight w:val="none"/>
        </w:rPr>
        <w:t>1.6.4任何一方按照前述约定要求违约方支付违约金的同时，仍有权要求</w:t>
      </w:r>
      <w:r>
        <w:rPr>
          <w:spacing w:val="8"/>
          <w:sz w:val="23"/>
          <w:szCs w:val="23"/>
          <w:highlight w:val="none"/>
        </w:rPr>
        <w:t>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w:t>
      </w:r>
    </w:p>
    <w:p w14:paraId="0E433D2B">
      <w:pPr>
        <w:spacing w:line="330" w:lineRule="auto"/>
        <w:rPr>
          <w:sz w:val="23"/>
          <w:szCs w:val="23"/>
          <w:highlight w:val="none"/>
        </w:rPr>
        <w:sectPr>
          <w:pgSz w:w="11906" w:h="16838"/>
          <w:pgMar w:top="400" w:right="1785" w:bottom="400" w:left="1785" w:header="0" w:footer="0" w:gutter="0"/>
          <w:pgNumType w:fmt="decimal"/>
          <w:cols w:space="720" w:num="1"/>
        </w:sectPr>
      </w:pPr>
    </w:p>
    <w:p w14:paraId="46AA3BA3">
      <w:pPr>
        <w:spacing w:line="261" w:lineRule="auto"/>
        <w:rPr>
          <w:rFonts w:ascii="Arial"/>
          <w:sz w:val="21"/>
          <w:highlight w:val="none"/>
        </w:rPr>
      </w:pPr>
    </w:p>
    <w:p w14:paraId="3C2EAC03">
      <w:pPr>
        <w:spacing w:line="261" w:lineRule="auto"/>
        <w:rPr>
          <w:rFonts w:ascii="Arial"/>
          <w:sz w:val="21"/>
          <w:highlight w:val="none"/>
        </w:rPr>
      </w:pPr>
    </w:p>
    <w:p w14:paraId="33E40D7C">
      <w:pPr>
        <w:spacing w:line="261" w:lineRule="auto"/>
        <w:rPr>
          <w:rFonts w:ascii="Arial"/>
          <w:sz w:val="21"/>
          <w:highlight w:val="none"/>
        </w:rPr>
      </w:pPr>
    </w:p>
    <w:p w14:paraId="07055386">
      <w:pPr>
        <w:spacing w:line="262" w:lineRule="auto"/>
        <w:rPr>
          <w:rFonts w:ascii="Arial"/>
          <w:sz w:val="21"/>
          <w:highlight w:val="none"/>
        </w:rPr>
      </w:pPr>
    </w:p>
    <w:p w14:paraId="5D7C9648">
      <w:pPr>
        <w:pStyle w:val="7"/>
        <w:spacing w:before="75" w:line="229" w:lineRule="auto"/>
        <w:ind w:left="58"/>
        <w:rPr>
          <w:sz w:val="23"/>
          <w:szCs w:val="23"/>
          <w:highlight w:val="none"/>
        </w:rPr>
      </w:pPr>
      <w:r>
        <w:rPr>
          <w:spacing w:val="7"/>
          <w:sz w:val="23"/>
          <w:szCs w:val="23"/>
          <w:highlight w:val="none"/>
        </w:rPr>
        <w:t>任何权利救济方式均不视为其放弃了其他法定或者约定的权利救济方式；</w:t>
      </w:r>
    </w:p>
    <w:p w14:paraId="1A74D757">
      <w:pPr>
        <w:pStyle w:val="7"/>
        <w:spacing w:before="197" w:line="329" w:lineRule="auto"/>
        <w:ind w:left="63" w:right="155" w:firstLine="497"/>
        <w:jc w:val="both"/>
        <w:rPr>
          <w:sz w:val="23"/>
          <w:szCs w:val="23"/>
          <w:highlight w:val="none"/>
        </w:rPr>
      </w:pPr>
      <w:r>
        <w:rPr>
          <w:spacing w:val="7"/>
          <w:sz w:val="23"/>
          <w:szCs w:val="23"/>
          <w:highlight w:val="none"/>
        </w:rPr>
        <w:t>1.6.5除前述约定外，除不可抗力外，任何一方未能履行本合同约定的义</w:t>
      </w:r>
      <w:r>
        <w:rPr>
          <w:spacing w:val="8"/>
          <w:sz w:val="23"/>
          <w:szCs w:val="23"/>
          <w:highlight w:val="none"/>
        </w:rPr>
        <w:t>务，对方当事人均有权要求继续履行、采取补救措施或者赔偿损失等，且对方当事人行使的任何权利救济方式均不视为其放弃了其他法定或者约定的权利救</w:t>
      </w:r>
      <w:r>
        <w:rPr>
          <w:sz w:val="23"/>
          <w:szCs w:val="23"/>
          <w:highlight w:val="none"/>
        </w:rPr>
        <w:t>济方式；</w:t>
      </w:r>
    </w:p>
    <w:p w14:paraId="6423D761">
      <w:pPr>
        <w:pStyle w:val="7"/>
        <w:spacing w:before="223" w:line="314" w:lineRule="auto"/>
        <w:ind w:left="71" w:right="155" w:firstLine="486"/>
        <w:jc w:val="both"/>
        <w:rPr>
          <w:sz w:val="23"/>
          <w:szCs w:val="23"/>
          <w:highlight w:val="none"/>
        </w:rPr>
      </w:pPr>
      <w:r>
        <w:rPr>
          <w:spacing w:val="7"/>
          <w:sz w:val="23"/>
          <w:szCs w:val="23"/>
          <w:highlight w:val="none"/>
        </w:rPr>
        <w:t>1.6.6如果出现政府采购监督管理部门在处理投诉事项期间，书面通知甲</w:t>
      </w:r>
      <w:r>
        <w:rPr>
          <w:spacing w:val="8"/>
          <w:sz w:val="23"/>
          <w:szCs w:val="23"/>
          <w:highlight w:val="none"/>
        </w:rPr>
        <w:t>方暂停采购活动的情形，或者询问或质疑事项可能影响中标结果的，导致甲方</w:t>
      </w:r>
      <w:r>
        <w:rPr>
          <w:spacing w:val="6"/>
          <w:sz w:val="23"/>
          <w:szCs w:val="23"/>
          <w:highlight w:val="none"/>
        </w:rPr>
        <w:t>中止履行合同的情形，均不视为甲方违约。</w:t>
      </w:r>
    </w:p>
    <w:p w14:paraId="3A222FDA">
      <w:pPr>
        <w:pStyle w:val="7"/>
        <w:spacing w:before="206" w:line="231" w:lineRule="auto"/>
        <w:ind w:left="561"/>
        <w:outlineLvl w:val="1"/>
        <w:rPr>
          <w:sz w:val="23"/>
          <w:szCs w:val="23"/>
          <w:highlight w:val="none"/>
        </w:rPr>
      </w:pPr>
      <w:r>
        <w:rPr>
          <w:b/>
          <w:bCs/>
          <w:spacing w:val="-4"/>
          <w:sz w:val="23"/>
          <w:szCs w:val="23"/>
          <w:highlight w:val="none"/>
        </w:rPr>
        <w:t>1.7合同争议的解决</w:t>
      </w:r>
    </w:p>
    <w:p w14:paraId="44CA2622">
      <w:pPr>
        <w:pStyle w:val="7"/>
        <w:spacing w:before="196" w:line="341" w:lineRule="auto"/>
        <w:ind w:left="62" w:right="141" w:firstLine="479"/>
        <w:rPr>
          <w:sz w:val="23"/>
          <w:szCs w:val="23"/>
          <w:highlight w:val="none"/>
        </w:rPr>
      </w:pPr>
      <w:r>
        <w:rPr>
          <w:spacing w:val="8"/>
          <w:sz w:val="23"/>
          <w:szCs w:val="23"/>
          <w:highlight w:val="none"/>
        </w:rPr>
        <w:t>本合同履行过程中发生的任何争议，双方当事人均可通过和解或者调解解</w:t>
      </w:r>
      <w:r>
        <w:rPr>
          <w:spacing w:val="5"/>
          <w:sz w:val="23"/>
          <w:szCs w:val="23"/>
          <w:highlight w:val="none"/>
        </w:rPr>
        <w:t>决；不愿和解、调解或者和解、调解不成的，可以选择下列第</w:t>
      </w:r>
      <w:r>
        <w:rPr>
          <w:spacing w:val="5"/>
          <w:sz w:val="23"/>
          <w:szCs w:val="23"/>
          <w:highlight w:val="none"/>
          <w:u w:val="single" w:color="auto"/>
        </w:rPr>
        <w:t>2</w:t>
      </w:r>
      <w:r>
        <w:rPr>
          <w:spacing w:val="5"/>
          <w:sz w:val="23"/>
          <w:szCs w:val="23"/>
          <w:highlight w:val="none"/>
        </w:rPr>
        <w:t>种方式解决：</w:t>
      </w:r>
    </w:p>
    <w:p w14:paraId="614B7A55">
      <w:pPr>
        <w:pStyle w:val="7"/>
        <w:spacing w:before="82" w:line="286" w:lineRule="auto"/>
        <w:ind w:left="67" w:right="155" w:firstLine="493"/>
        <w:rPr>
          <w:sz w:val="23"/>
          <w:szCs w:val="23"/>
          <w:highlight w:val="none"/>
        </w:rPr>
      </w:pPr>
      <w:r>
        <w:rPr>
          <w:spacing w:val="7"/>
          <w:sz w:val="23"/>
          <w:szCs w:val="23"/>
          <w:highlight w:val="none"/>
        </w:rPr>
        <w:t>1.7.1将争议提交</w:t>
      </w:r>
      <w:r>
        <w:rPr>
          <w:spacing w:val="7"/>
          <w:sz w:val="23"/>
          <w:szCs w:val="23"/>
          <w:highlight w:val="none"/>
          <w:u w:val="single" w:color="auto"/>
        </w:rPr>
        <w:t>项目所在地</w:t>
      </w:r>
      <w:r>
        <w:rPr>
          <w:spacing w:val="7"/>
          <w:sz w:val="23"/>
          <w:szCs w:val="23"/>
          <w:highlight w:val="none"/>
        </w:rPr>
        <w:t>仲裁委员会依申请仲裁时其现行有效的仲</w:t>
      </w:r>
      <w:r>
        <w:rPr>
          <w:spacing w:val="2"/>
          <w:sz w:val="23"/>
          <w:szCs w:val="23"/>
          <w:highlight w:val="none"/>
        </w:rPr>
        <w:t>裁规则裁决；</w:t>
      </w:r>
    </w:p>
    <w:p w14:paraId="15F5C785">
      <w:pPr>
        <w:pStyle w:val="7"/>
        <w:spacing w:before="195" w:line="228" w:lineRule="auto"/>
        <w:ind w:left="561"/>
        <w:rPr>
          <w:sz w:val="23"/>
          <w:szCs w:val="23"/>
          <w:highlight w:val="none"/>
        </w:rPr>
      </w:pPr>
      <w:r>
        <w:rPr>
          <w:spacing w:val="-1"/>
          <w:sz w:val="23"/>
          <w:szCs w:val="23"/>
          <w:highlight w:val="none"/>
        </w:rPr>
        <w:t>1.7.2向</w:t>
      </w:r>
      <w:r>
        <w:rPr>
          <w:spacing w:val="-1"/>
          <w:sz w:val="23"/>
          <w:szCs w:val="23"/>
          <w:highlight w:val="none"/>
          <w:u w:val="single" w:color="auto"/>
        </w:rPr>
        <w:t>项目所在地</w:t>
      </w:r>
      <w:r>
        <w:rPr>
          <w:spacing w:val="-1"/>
          <w:sz w:val="23"/>
          <w:szCs w:val="23"/>
          <w:highlight w:val="none"/>
        </w:rPr>
        <w:t>人民法院起诉。</w:t>
      </w:r>
    </w:p>
    <w:p w14:paraId="359BD7AF">
      <w:pPr>
        <w:pStyle w:val="7"/>
        <w:spacing w:before="187" w:line="231" w:lineRule="auto"/>
        <w:ind w:left="561"/>
        <w:outlineLvl w:val="1"/>
        <w:rPr>
          <w:sz w:val="23"/>
          <w:szCs w:val="23"/>
          <w:highlight w:val="none"/>
        </w:rPr>
      </w:pPr>
      <w:r>
        <w:rPr>
          <w:b/>
          <w:bCs/>
          <w:spacing w:val="-8"/>
          <w:sz w:val="23"/>
          <w:szCs w:val="23"/>
          <w:highlight w:val="none"/>
        </w:rPr>
        <w:t>1.8合同生效</w:t>
      </w:r>
    </w:p>
    <w:p w14:paraId="6D30AD23">
      <w:pPr>
        <w:pStyle w:val="7"/>
        <w:spacing w:before="175" w:line="231" w:lineRule="auto"/>
        <w:ind w:left="542"/>
        <w:rPr>
          <w:sz w:val="23"/>
          <w:szCs w:val="23"/>
          <w:highlight w:val="none"/>
        </w:rPr>
      </w:pPr>
      <w:r>
        <w:rPr>
          <w:spacing w:val="7"/>
          <w:sz w:val="23"/>
          <w:szCs w:val="23"/>
          <w:highlight w:val="none"/>
        </w:rPr>
        <w:t>本合同自双方当事人盖章或者签字时生效。</w:t>
      </w:r>
    </w:p>
    <w:p w14:paraId="648B1272">
      <w:pPr>
        <w:pStyle w:val="7"/>
        <w:spacing w:before="180" w:line="231" w:lineRule="auto"/>
        <w:ind w:left="124"/>
        <w:outlineLvl w:val="1"/>
        <w:rPr>
          <w:sz w:val="23"/>
          <w:szCs w:val="23"/>
          <w:highlight w:val="none"/>
        </w:rPr>
      </w:pPr>
      <w:r>
        <w:rPr>
          <w:b/>
          <w:bCs/>
          <w:spacing w:val="-5"/>
          <w:sz w:val="23"/>
          <w:szCs w:val="23"/>
          <w:highlight w:val="none"/>
        </w:rPr>
        <w:t>甲方</w:t>
      </w:r>
      <w:r>
        <w:rPr>
          <w:spacing w:val="-5"/>
          <w:sz w:val="23"/>
          <w:szCs w:val="23"/>
          <w:highlight w:val="none"/>
        </w:rPr>
        <w:t>：</w:t>
      </w:r>
      <w:r>
        <w:rPr>
          <w:b/>
          <w:bCs/>
          <w:spacing w:val="-6"/>
          <w:sz w:val="23"/>
          <w:szCs w:val="23"/>
          <w:highlight w:val="none"/>
        </w:rPr>
        <w:t>乙方</w:t>
      </w:r>
      <w:r>
        <w:rPr>
          <w:spacing w:val="-6"/>
          <w:sz w:val="23"/>
          <w:szCs w:val="23"/>
          <w:highlight w:val="none"/>
        </w:rPr>
        <w:t>：</w:t>
      </w:r>
    </w:p>
    <w:p w14:paraId="4E3E1FFB">
      <w:pPr>
        <w:pStyle w:val="7"/>
        <w:spacing w:before="178" w:line="230" w:lineRule="auto"/>
        <w:jc w:val="both"/>
        <w:rPr>
          <w:sz w:val="23"/>
          <w:szCs w:val="23"/>
          <w:highlight w:val="none"/>
        </w:rPr>
      </w:pPr>
      <w:r>
        <w:rPr>
          <w:spacing w:val="4"/>
          <w:sz w:val="23"/>
          <w:szCs w:val="23"/>
          <w:highlight w:val="none"/>
        </w:rPr>
        <w:t>统一社会信用代码：统一社会信用代码或</w:t>
      </w:r>
      <w:r>
        <w:rPr>
          <w:spacing w:val="3"/>
          <w:sz w:val="23"/>
          <w:szCs w:val="23"/>
          <w:highlight w:val="none"/>
        </w:rPr>
        <w:t>身份证号码：</w:t>
      </w:r>
    </w:p>
    <w:p w14:paraId="71EB3C44">
      <w:pPr>
        <w:pStyle w:val="7"/>
        <w:spacing w:before="179" w:line="230" w:lineRule="auto"/>
        <w:ind w:left="58"/>
        <w:rPr>
          <w:sz w:val="23"/>
          <w:szCs w:val="23"/>
          <w:highlight w:val="none"/>
        </w:rPr>
      </w:pPr>
      <w:r>
        <w:rPr>
          <w:spacing w:val="-2"/>
          <w:sz w:val="23"/>
          <w:szCs w:val="23"/>
          <w:highlight w:val="none"/>
        </w:rPr>
        <w:t>住所：住所：</w:t>
      </w:r>
    </w:p>
    <w:p w14:paraId="0B8F645A">
      <w:pPr>
        <w:pStyle w:val="7"/>
        <w:spacing w:before="182" w:line="231" w:lineRule="auto"/>
        <w:ind w:left="73"/>
        <w:rPr>
          <w:sz w:val="23"/>
          <w:szCs w:val="23"/>
          <w:highlight w:val="none"/>
        </w:rPr>
      </w:pPr>
      <w:r>
        <w:rPr>
          <w:spacing w:val="2"/>
          <w:sz w:val="23"/>
          <w:szCs w:val="23"/>
          <w:highlight w:val="none"/>
        </w:rPr>
        <w:t>法定代表人或法定代表人或</w:t>
      </w:r>
    </w:p>
    <w:p w14:paraId="2F956E15">
      <w:pPr>
        <w:pStyle w:val="7"/>
        <w:spacing w:before="177" w:line="231" w:lineRule="auto"/>
        <w:ind w:left="58"/>
        <w:rPr>
          <w:sz w:val="23"/>
          <w:szCs w:val="23"/>
          <w:highlight w:val="none"/>
        </w:rPr>
      </w:pPr>
      <w:r>
        <w:rPr>
          <w:spacing w:val="2"/>
          <w:sz w:val="23"/>
          <w:szCs w:val="23"/>
          <w:highlight w:val="none"/>
        </w:rPr>
        <w:t>授权代表（签字</w:t>
      </w:r>
      <w:r>
        <w:rPr>
          <w:spacing w:val="-10"/>
          <w:sz w:val="23"/>
          <w:szCs w:val="23"/>
          <w:highlight w:val="none"/>
        </w:rPr>
        <w:t>）：</w:t>
      </w:r>
      <w:r>
        <w:rPr>
          <w:spacing w:val="2"/>
          <w:sz w:val="23"/>
          <w:szCs w:val="23"/>
          <w:highlight w:val="none"/>
        </w:rPr>
        <w:t>授权代表（签字）:</w:t>
      </w:r>
    </w:p>
    <w:p w14:paraId="5C7B2FC4">
      <w:pPr>
        <w:pStyle w:val="7"/>
        <w:spacing w:before="183" w:line="233" w:lineRule="auto"/>
        <w:ind w:left="53"/>
        <w:rPr>
          <w:sz w:val="23"/>
          <w:szCs w:val="23"/>
          <w:highlight w:val="none"/>
        </w:rPr>
      </w:pPr>
      <w:r>
        <w:rPr>
          <w:spacing w:val="2"/>
          <w:sz w:val="23"/>
          <w:szCs w:val="23"/>
          <w:highlight w:val="none"/>
        </w:rPr>
        <w:t>联系人：联系人：</w:t>
      </w:r>
    </w:p>
    <w:p w14:paraId="5AD18645">
      <w:pPr>
        <w:pStyle w:val="7"/>
        <w:spacing w:before="173" w:line="232" w:lineRule="auto"/>
        <w:ind w:left="63"/>
        <w:rPr>
          <w:sz w:val="23"/>
          <w:szCs w:val="23"/>
          <w:highlight w:val="none"/>
        </w:rPr>
      </w:pPr>
      <w:r>
        <w:rPr>
          <w:spacing w:val="3"/>
          <w:sz w:val="23"/>
          <w:szCs w:val="23"/>
          <w:highlight w:val="none"/>
        </w:rPr>
        <w:t>约定送达地址：</w:t>
      </w:r>
      <w:r>
        <w:rPr>
          <w:spacing w:val="2"/>
          <w:sz w:val="23"/>
          <w:szCs w:val="23"/>
          <w:highlight w:val="none"/>
        </w:rPr>
        <w:t>约定送达地址：</w:t>
      </w:r>
    </w:p>
    <w:p w14:paraId="1A1ACC0C">
      <w:pPr>
        <w:pStyle w:val="7"/>
        <w:spacing w:before="177" w:line="230" w:lineRule="auto"/>
        <w:ind w:left="95"/>
        <w:rPr>
          <w:sz w:val="23"/>
          <w:szCs w:val="23"/>
          <w:highlight w:val="none"/>
        </w:rPr>
      </w:pPr>
      <w:r>
        <w:rPr>
          <w:spacing w:val="-2"/>
          <w:sz w:val="23"/>
          <w:szCs w:val="23"/>
          <w:highlight w:val="none"/>
        </w:rPr>
        <w:t>邮政编码：邮政编码：</w:t>
      </w:r>
    </w:p>
    <w:p w14:paraId="0DF93FF8">
      <w:pPr>
        <w:pStyle w:val="7"/>
        <w:spacing w:before="179" w:line="231" w:lineRule="auto"/>
        <w:ind w:left="111"/>
        <w:rPr>
          <w:sz w:val="23"/>
          <w:szCs w:val="23"/>
          <w:highlight w:val="none"/>
        </w:rPr>
      </w:pPr>
      <w:r>
        <w:rPr>
          <w:spacing w:val="-4"/>
          <w:sz w:val="23"/>
          <w:szCs w:val="23"/>
          <w:highlight w:val="none"/>
        </w:rPr>
        <w:t>电话:电话:</w:t>
      </w:r>
    </w:p>
    <w:p w14:paraId="75A783BC">
      <w:pPr>
        <w:pStyle w:val="7"/>
        <w:spacing w:before="178" w:line="231" w:lineRule="auto"/>
        <w:ind w:left="66"/>
        <w:rPr>
          <w:sz w:val="23"/>
          <w:szCs w:val="23"/>
          <w:highlight w:val="none"/>
        </w:rPr>
      </w:pPr>
      <w:r>
        <w:rPr>
          <w:spacing w:val="4"/>
          <w:sz w:val="23"/>
          <w:szCs w:val="23"/>
          <w:highlight w:val="none"/>
        </w:rPr>
        <w:t>传真:传真:</w:t>
      </w:r>
    </w:p>
    <w:p w14:paraId="4413E5F7">
      <w:pPr>
        <w:pStyle w:val="7"/>
        <w:spacing w:before="178" w:line="229" w:lineRule="auto"/>
        <w:ind w:left="111"/>
        <w:rPr>
          <w:sz w:val="23"/>
          <w:szCs w:val="23"/>
          <w:highlight w:val="none"/>
        </w:rPr>
      </w:pPr>
      <w:r>
        <w:rPr>
          <w:spacing w:val="-7"/>
          <w:sz w:val="23"/>
          <w:szCs w:val="23"/>
          <w:highlight w:val="none"/>
        </w:rPr>
        <w:t>电子邮箱：电子邮箱：</w:t>
      </w:r>
    </w:p>
    <w:p w14:paraId="0468380A">
      <w:pPr>
        <w:pStyle w:val="7"/>
        <w:spacing w:before="182" w:line="229" w:lineRule="auto"/>
        <w:ind w:left="58"/>
        <w:rPr>
          <w:sz w:val="23"/>
          <w:szCs w:val="23"/>
          <w:highlight w:val="none"/>
        </w:rPr>
      </w:pPr>
      <w:r>
        <w:rPr>
          <w:spacing w:val="3"/>
          <w:sz w:val="23"/>
          <w:szCs w:val="23"/>
          <w:highlight w:val="none"/>
        </w:rPr>
        <w:t>开户银行：</w:t>
      </w:r>
      <w:r>
        <w:rPr>
          <w:spacing w:val="2"/>
          <w:sz w:val="23"/>
          <w:szCs w:val="23"/>
          <w:highlight w:val="none"/>
        </w:rPr>
        <w:t>开户银行：</w:t>
      </w:r>
    </w:p>
    <w:p w14:paraId="681B3655">
      <w:pPr>
        <w:pStyle w:val="7"/>
        <w:spacing w:before="178" w:line="229" w:lineRule="auto"/>
        <w:ind w:left="58"/>
        <w:rPr>
          <w:sz w:val="23"/>
          <w:szCs w:val="23"/>
          <w:highlight w:val="none"/>
        </w:rPr>
      </w:pPr>
      <w:r>
        <w:rPr>
          <w:spacing w:val="3"/>
          <w:sz w:val="23"/>
          <w:szCs w:val="23"/>
          <w:highlight w:val="none"/>
        </w:rPr>
        <w:t>开户名称：</w:t>
      </w:r>
      <w:r>
        <w:rPr>
          <w:spacing w:val="2"/>
          <w:sz w:val="23"/>
          <w:szCs w:val="23"/>
          <w:highlight w:val="none"/>
        </w:rPr>
        <w:t>开户名称：</w:t>
      </w:r>
    </w:p>
    <w:p w14:paraId="2A671BB7">
      <w:pPr>
        <w:pStyle w:val="7"/>
        <w:spacing w:before="182" w:line="231" w:lineRule="auto"/>
        <w:ind w:left="58"/>
        <w:rPr>
          <w:sz w:val="23"/>
          <w:szCs w:val="23"/>
          <w:highlight w:val="none"/>
        </w:rPr>
      </w:pPr>
      <w:r>
        <w:rPr>
          <w:spacing w:val="3"/>
          <w:sz w:val="23"/>
          <w:szCs w:val="23"/>
          <w:highlight w:val="none"/>
        </w:rPr>
        <w:t>开户账号：</w:t>
      </w:r>
      <w:r>
        <w:rPr>
          <w:spacing w:val="2"/>
          <w:sz w:val="23"/>
          <w:szCs w:val="23"/>
          <w:highlight w:val="none"/>
        </w:rPr>
        <w:t>开户账号：</w:t>
      </w:r>
    </w:p>
    <w:p w14:paraId="71A00559">
      <w:pPr>
        <w:spacing w:line="231" w:lineRule="auto"/>
        <w:rPr>
          <w:sz w:val="23"/>
          <w:szCs w:val="23"/>
          <w:highlight w:val="none"/>
        </w:rPr>
        <w:sectPr>
          <w:pgSz w:w="11906" w:h="16838"/>
          <w:pgMar w:top="400" w:right="1785" w:bottom="400" w:left="1785" w:header="0" w:footer="0" w:gutter="0"/>
          <w:pgNumType w:fmt="decimal"/>
          <w:cols w:space="720" w:num="1"/>
        </w:sectPr>
      </w:pPr>
    </w:p>
    <w:p w14:paraId="74470D18">
      <w:pPr>
        <w:spacing w:line="259" w:lineRule="auto"/>
        <w:rPr>
          <w:rFonts w:ascii="Arial"/>
          <w:sz w:val="21"/>
          <w:highlight w:val="none"/>
        </w:rPr>
      </w:pPr>
    </w:p>
    <w:p w14:paraId="09E0C1E4">
      <w:pPr>
        <w:spacing w:line="259" w:lineRule="auto"/>
        <w:rPr>
          <w:rFonts w:ascii="Arial"/>
          <w:sz w:val="21"/>
          <w:highlight w:val="none"/>
        </w:rPr>
      </w:pPr>
    </w:p>
    <w:p w14:paraId="7D667B7D">
      <w:pPr>
        <w:spacing w:line="259" w:lineRule="auto"/>
        <w:rPr>
          <w:rFonts w:ascii="Arial"/>
          <w:sz w:val="21"/>
          <w:highlight w:val="none"/>
        </w:rPr>
      </w:pPr>
    </w:p>
    <w:p w14:paraId="6B6CC1BC">
      <w:pPr>
        <w:spacing w:line="260" w:lineRule="auto"/>
        <w:rPr>
          <w:rFonts w:ascii="Arial"/>
          <w:sz w:val="21"/>
          <w:highlight w:val="none"/>
        </w:rPr>
      </w:pPr>
    </w:p>
    <w:p w14:paraId="0845092E">
      <w:pPr>
        <w:pStyle w:val="7"/>
        <w:spacing w:before="91" w:line="223" w:lineRule="auto"/>
        <w:ind w:left="2852"/>
        <w:outlineLvl w:val="0"/>
        <w:rPr>
          <w:sz w:val="28"/>
          <w:szCs w:val="28"/>
          <w:highlight w:val="none"/>
        </w:rPr>
      </w:pPr>
      <w:r>
        <w:rPr>
          <w:b/>
          <w:bCs/>
          <w:spacing w:val="-14"/>
          <w:sz w:val="28"/>
          <w:szCs w:val="28"/>
          <w:highlight w:val="none"/>
        </w:rPr>
        <w:t>第二部分合同一般条款</w:t>
      </w:r>
    </w:p>
    <w:p w14:paraId="020966B8">
      <w:pPr>
        <w:pStyle w:val="7"/>
        <w:spacing w:before="198" w:line="234" w:lineRule="auto"/>
        <w:ind w:left="529"/>
        <w:outlineLvl w:val="1"/>
        <w:rPr>
          <w:sz w:val="23"/>
          <w:szCs w:val="23"/>
          <w:highlight w:val="none"/>
        </w:rPr>
      </w:pPr>
      <w:r>
        <w:rPr>
          <w:b/>
          <w:bCs/>
          <w:spacing w:val="-7"/>
          <w:sz w:val="23"/>
          <w:szCs w:val="23"/>
          <w:highlight w:val="none"/>
        </w:rPr>
        <w:t>2.1定义</w:t>
      </w:r>
    </w:p>
    <w:p w14:paraId="56D7B289">
      <w:pPr>
        <w:pStyle w:val="7"/>
        <w:spacing w:before="171" w:line="229" w:lineRule="auto"/>
        <w:ind w:left="542"/>
        <w:rPr>
          <w:sz w:val="23"/>
          <w:szCs w:val="23"/>
          <w:highlight w:val="none"/>
        </w:rPr>
      </w:pPr>
      <w:r>
        <w:rPr>
          <w:spacing w:val="6"/>
          <w:sz w:val="23"/>
          <w:szCs w:val="23"/>
          <w:highlight w:val="none"/>
        </w:rPr>
        <w:t>本合同中的下列词语应按以下内容进行解释：</w:t>
      </w:r>
    </w:p>
    <w:p w14:paraId="7609B943">
      <w:pPr>
        <w:pStyle w:val="7"/>
        <w:spacing w:before="197" w:line="285" w:lineRule="auto"/>
        <w:ind w:left="62" w:right="147" w:firstLine="467"/>
        <w:rPr>
          <w:sz w:val="23"/>
          <w:szCs w:val="23"/>
          <w:highlight w:val="none"/>
        </w:rPr>
      </w:pPr>
      <w:r>
        <w:rPr>
          <w:spacing w:val="7"/>
          <w:sz w:val="23"/>
          <w:szCs w:val="23"/>
          <w:highlight w:val="none"/>
        </w:rPr>
        <w:t>2.1.1“合同”系指采购人和中标供应商签</w:t>
      </w:r>
      <w:r>
        <w:rPr>
          <w:spacing w:val="6"/>
          <w:sz w:val="23"/>
          <w:szCs w:val="23"/>
          <w:highlight w:val="none"/>
        </w:rPr>
        <w:t>订的载明双方当事人所达成的</w:t>
      </w:r>
      <w:r>
        <w:rPr>
          <w:spacing w:val="7"/>
          <w:sz w:val="23"/>
          <w:szCs w:val="23"/>
          <w:highlight w:val="none"/>
        </w:rPr>
        <w:t>协议，并包括所有的附件、附录和构成合同的其他文件。</w:t>
      </w:r>
    </w:p>
    <w:p w14:paraId="5FC054B7">
      <w:pPr>
        <w:pStyle w:val="7"/>
        <w:spacing w:before="224" w:line="286" w:lineRule="auto"/>
        <w:ind w:left="63" w:right="17" w:firstLine="466"/>
        <w:rPr>
          <w:sz w:val="23"/>
          <w:szCs w:val="23"/>
          <w:highlight w:val="none"/>
        </w:rPr>
      </w:pPr>
      <w:r>
        <w:rPr>
          <w:spacing w:val="2"/>
          <w:sz w:val="23"/>
          <w:szCs w:val="23"/>
          <w:highlight w:val="none"/>
        </w:rPr>
        <w:t>2.1.2“合同价”系指根据合同约定，中标供应商在完全履行合同义务后，</w:t>
      </w:r>
      <w:r>
        <w:rPr>
          <w:spacing w:val="6"/>
          <w:sz w:val="23"/>
          <w:szCs w:val="23"/>
          <w:highlight w:val="none"/>
        </w:rPr>
        <w:t>采购人应支付给中标供应商的价格。</w:t>
      </w:r>
    </w:p>
    <w:p w14:paraId="3FAAE631">
      <w:pPr>
        <w:pStyle w:val="7"/>
        <w:spacing w:before="217" w:line="315" w:lineRule="auto"/>
        <w:ind w:left="71" w:right="147" w:firstLine="457"/>
        <w:jc w:val="both"/>
        <w:rPr>
          <w:sz w:val="23"/>
          <w:szCs w:val="23"/>
          <w:highlight w:val="none"/>
        </w:rPr>
      </w:pPr>
      <w:r>
        <w:rPr>
          <w:spacing w:val="7"/>
          <w:sz w:val="23"/>
          <w:szCs w:val="23"/>
          <w:highlight w:val="none"/>
        </w:rPr>
        <w:t>2.1.3“服务”系指中标供应商根据合同约</w:t>
      </w:r>
      <w:r>
        <w:rPr>
          <w:spacing w:val="6"/>
          <w:sz w:val="23"/>
          <w:szCs w:val="23"/>
          <w:highlight w:val="none"/>
        </w:rPr>
        <w:t>定应向采购人履行的除货物和</w:t>
      </w:r>
      <w:r>
        <w:rPr>
          <w:spacing w:val="7"/>
          <w:sz w:val="23"/>
          <w:szCs w:val="23"/>
          <w:highlight w:val="none"/>
        </w:rPr>
        <w:t>工程以外的其他政府采购对象，包括采购人自身需要的服务和向社</w:t>
      </w:r>
      <w:r>
        <w:rPr>
          <w:spacing w:val="6"/>
          <w:sz w:val="23"/>
          <w:szCs w:val="23"/>
          <w:highlight w:val="none"/>
        </w:rPr>
        <w:t>会公众提供</w:t>
      </w:r>
      <w:r>
        <w:rPr>
          <w:spacing w:val="1"/>
          <w:sz w:val="23"/>
          <w:szCs w:val="23"/>
          <w:highlight w:val="none"/>
        </w:rPr>
        <w:t>的公共服务。</w:t>
      </w:r>
    </w:p>
    <w:p w14:paraId="08FB3F2E">
      <w:pPr>
        <w:pStyle w:val="7"/>
        <w:spacing w:before="220" w:line="285" w:lineRule="auto"/>
        <w:ind w:left="63" w:right="145" w:firstLine="466"/>
        <w:rPr>
          <w:sz w:val="23"/>
          <w:szCs w:val="23"/>
          <w:highlight w:val="none"/>
        </w:rPr>
      </w:pPr>
      <w:r>
        <w:rPr>
          <w:spacing w:val="3"/>
          <w:sz w:val="23"/>
          <w:szCs w:val="23"/>
          <w:highlight w:val="none"/>
        </w:rPr>
        <w:t>2.1.4“甲方”系指与中标供应商签署合同的采购人；采购人委托采购代</w:t>
      </w:r>
      <w:r>
        <w:rPr>
          <w:spacing w:val="8"/>
          <w:sz w:val="23"/>
          <w:szCs w:val="23"/>
          <w:highlight w:val="none"/>
        </w:rPr>
        <w:t>理机构代表其与乙方签订合同的，采购人的授权委托书作为合同附件。</w:t>
      </w:r>
    </w:p>
    <w:p w14:paraId="24753597">
      <w:pPr>
        <w:pStyle w:val="7"/>
        <w:spacing w:before="218" w:line="330" w:lineRule="auto"/>
        <w:ind w:left="63" w:right="145" w:firstLine="466"/>
        <w:jc w:val="both"/>
        <w:rPr>
          <w:sz w:val="23"/>
          <w:szCs w:val="23"/>
          <w:highlight w:val="none"/>
        </w:rPr>
      </w:pPr>
      <w:r>
        <w:rPr>
          <w:spacing w:val="5"/>
          <w:sz w:val="23"/>
          <w:szCs w:val="23"/>
          <w:highlight w:val="none"/>
        </w:rPr>
        <w:t>2.1.5“乙方”系指根据合同约定提供服务的中标供应商；两</w:t>
      </w:r>
      <w:r>
        <w:rPr>
          <w:spacing w:val="4"/>
          <w:sz w:val="23"/>
          <w:szCs w:val="23"/>
          <w:highlight w:val="none"/>
        </w:rPr>
        <w:t>个以上的自</w:t>
      </w:r>
      <w:r>
        <w:rPr>
          <w:spacing w:val="8"/>
          <w:sz w:val="23"/>
          <w:szCs w:val="23"/>
          <w:highlight w:val="none"/>
        </w:rPr>
        <w:t>然人、法人或者其他组织组成一个联合体，以一个供应商的身份共同参加政府采购的，联合体各方均应为乙方或者与乙方相同地位的合同当事人，并就合同</w:t>
      </w:r>
      <w:r>
        <w:rPr>
          <w:spacing w:val="6"/>
          <w:sz w:val="23"/>
          <w:szCs w:val="23"/>
          <w:highlight w:val="none"/>
        </w:rPr>
        <w:t>约定的事项对甲方承担连带责任。</w:t>
      </w:r>
    </w:p>
    <w:p w14:paraId="5CB18360">
      <w:pPr>
        <w:pStyle w:val="7"/>
        <w:spacing w:before="203" w:line="231" w:lineRule="auto"/>
        <w:ind w:left="529"/>
        <w:rPr>
          <w:sz w:val="23"/>
          <w:szCs w:val="23"/>
          <w:highlight w:val="none"/>
        </w:rPr>
      </w:pPr>
      <w:r>
        <w:rPr>
          <w:spacing w:val="5"/>
          <w:sz w:val="23"/>
          <w:szCs w:val="23"/>
          <w:highlight w:val="none"/>
        </w:rPr>
        <w:t>2.1.6“现场”系指合同约定提供服务的</w:t>
      </w:r>
      <w:r>
        <w:rPr>
          <w:spacing w:val="4"/>
          <w:sz w:val="23"/>
          <w:szCs w:val="23"/>
          <w:highlight w:val="none"/>
        </w:rPr>
        <w:t>地点。</w:t>
      </w:r>
    </w:p>
    <w:p w14:paraId="52251460">
      <w:pPr>
        <w:pStyle w:val="7"/>
        <w:spacing w:before="181" w:line="231" w:lineRule="auto"/>
        <w:ind w:left="529"/>
        <w:outlineLvl w:val="1"/>
        <w:rPr>
          <w:sz w:val="23"/>
          <w:szCs w:val="23"/>
          <w:highlight w:val="none"/>
        </w:rPr>
      </w:pPr>
      <w:r>
        <w:rPr>
          <w:b/>
          <w:bCs/>
          <w:spacing w:val="-3"/>
          <w:sz w:val="23"/>
          <w:szCs w:val="23"/>
          <w:highlight w:val="none"/>
        </w:rPr>
        <w:t>2.2技术规范</w:t>
      </w:r>
    </w:p>
    <w:p w14:paraId="15471DCD">
      <w:pPr>
        <w:pStyle w:val="7"/>
        <w:spacing w:before="175" w:line="231" w:lineRule="auto"/>
        <w:ind w:left="538"/>
        <w:rPr>
          <w:sz w:val="23"/>
          <w:szCs w:val="23"/>
          <w:highlight w:val="none"/>
        </w:rPr>
      </w:pPr>
      <w:r>
        <w:rPr>
          <w:spacing w:val="8"/>
          <w:sz w:val="23"/>
          <w:szCs w:val="23"/>
          <w:highlight w:val="none"/>
        </w:rPr>
        <w:t>服务所应遵守的技术规范应与采购文件规定的技术规范和技术规范附件</w:t>
      </w:r>
    </w:p>
    <w:p w14:paraId="3C7E81FB">
      <w:pPr>
        <w:pStyle w:val="7"/>
        <w:spacing w:before="201" w:line="352" w:lineRule="auto"/>
        <w:ind w:left="58" w:right="147" w:firstLine="71"/>
        <w:rPr>
          <w:sz w:val="23"/>
          <w:szCs w:val="23"/>
          <w:highlight w:val="none"/>
        </w:rPr>
      </w:pPr>
      <w:r>
        <w:rPr>
          <w:spacing w:val="7"/>
          <w:sz w:val="23"/>
          <w:szCs w:val="23"/>
          <w:highlight w:val="none"/>
        </w:rPr>
        <w:t>(如果有的话)及其技术规范偏差表(如果</w:t>
      </w:r>
      <w:r>
        <w:rPr>
          <w:spacing w:val="6"/>
          <w:sz w:val="23"/>
          <w:szCs w:val="23"/>
          <w:highlight w:val="none"/>
        </w:rPr>
        <w:t>被甲方接受的话)相一致；如果采购文</w:t>
      </w:r>
      <w:r>
        <w:rPr>
          <w:spacing w:val="8"/>
          <w:sz w:val="23"/>
          <w:szCs w:val="23"/>
          <w:highlight w:val="none"/>
        </w:rPr>
        <w:t>件中没有技术规范的相应说明，那么应以国家有关部门最新颁布的相应标准和</w:t>
      </w:r>
      <w:r>
        <w:rPr>
          <w:spacing w:val="2"/>
          <w:sz w:val="23"/>
          <w:szCs w:val="23"/>
          <w:highlight w:val="none"/>
        </w:rPr>
        <w:t>规范为准。</w:t>
      </w:r>
    </w:p>
    <w:p w14:paraId="6D18E101">
      <w:pPr>
        <w:pStyle w:val="7"/>
        <w:spacing w:before="63" w:line="231" w:lineRule="auto"/>
        <w:ind w:left="529"/>
        <w:outlineLvl w:val="1"/>
        <w:rPr>
          <w:sz w:val="23"/>
          <w:szCs w:val="23"/>
          <w:highlight w:val="none"/>
        </w:rPr>
      </w:pPr>
      <w:r>
        <w:rPr>
          <w:b/>
          <w:bCs/>
          <w:spacing w:val="-3"/>
          <w:sz w:val="23"/>
          <w:szCs w:val="23"/>
          <w:highlight w:val="none"/>
        </w:rPr>
        <w:t>2.3知识产权</w:t>
      </w:r>
    </w:p>
    <w:p w14:paraId="10AA4BD3">
      <w:pPr>
        <w:pStyle w:val="7"/>
        <w:spacing w:before="191" w:line="352" w:lineRule="auto"/>
        <w:ind w:left="58" w:right="143" w:firstLine="471"/>
        <w:jc w:val="both"/>
        <w:rPr>
          <w:sz w:val="23"/>
          <w:szCs w:val="23"/>
          <w:highlight w:val="none"/>
        </w:rPr>
      </w:pPr>
      <w:r>
        <w:rPr>
          <w:spacing w:val="7"/>
          <w:sz w:val="23"/>
          <w:szCs w:val="23"/>
          <w:highlight w:val="none"/>
        </w:rPr>
        <w:t>2.3.1乙方应保证其提供的服务不受任何第三方提</w:t>
      </w:r>
      <w:r>
        <w:rPr>
          <w:spacing w:val="6"/>
          <w:sz w:val="23"/>
          <w:szCs w:val="23"/>
          <w:highlight w:val="none"/>
        </w:rPr>
        <w:t>出的侵犯其著作权、商标权、专利权等知识产权方面的起诉；如果任何第三方提出侵权指</w:t>
      </w:r>
      <w:r>
        <w:rPr>
          <w:spacing w:val="5"/>
          <w:sz w:val="23"/>
          <w:szCs w:val="23"/>
          <w:highlight w:val="none"/>
        </w:rPr>
        <w:t>控，那么乙</w:t>
      </w:r>
      <w:r>
        <w:rPr>
          <w:spacing w:val="7"/>
          <w:sz w:val="23"/>
          <w:szCs w:val="23"/>
          <w:highlight w:val="none"/>
        </w:rPr>
        <w:t>方须与该第三方交涉并承担由此发生的一切责任、费用和赔偿；</w:t>
      </w:r>
    </w:p>
    <w:p w14:paraId="35499C24">
      <w:pPr>
        <w:pStyle w:val="7"/>
        <w:spacing w:before="66" w:line="228" w:lineRule="auto"/>
        <w:ind w:left="529"/>
        <w:outlineLvl w:val="1"/>
        <w:rPr>
          <w:sz w:val="23"/>
          <w:szCs w:val="23"/>
          <w:highlight w:val="none"/>
        </w:rPr>
      </w:pPr>
      <w:r>
        <w:rPr>
          <w:b/>
          <w:bCs/>
          <w:spacing w:val="3"/>
          <w:sz w:val="23"/>
          <w:szCs w:val="23"/>
          <w:highlight w:val="none"/>
        </w:rPr>
        <w:t>2.4履约检查和问题反馈</w:t>
      </w:r>
    </w:p>
    <w:p w14:paraId="1C461D48">
      <w:pPr>
        <w:pStyle w:val="7"/>
        <w:spacing w:before="201" w:line="341" w:lineRule="auto"/>
        <w:ind w:left="63" w:right="35" w:firstLine="466"/>
        <w:rPr>
          <w:sz w:val="23"/>
          <w:szCs w:val="23"/>
          <w:highlight w:val="none"/>
        </w:rPr>
      </w:pPr>
      <w:r>
        <w:rPr>
          <w:spacing w:val="4"/>
          <w:sz w:val="23"/>
          <w:szCs w:val="23"/>
          <w:highlight w:val="none"/>
        </w:rPr>
        <w:t>2.4.1甲方有权在其认为必要时，对乙方是否能够按照合</w:t>
      </w:r>
      <w:r>
        <w:rPr>
          <w:spacing w:val="3"/>
          <w:sz w:val="23"/>
          <w:szCs w:val="23"/>
          <w:highlight w:val="none"/>
        </w:rPr>
        <w:t>同约定提供服务进</w:t>
      </w:r>
      <w:r>
        <w:rPr>
          <w:spacing w:val="7"/>
          <w:sz w:val="23"/>
          <w:szCs w:val="23"/>
          <w:highlight w:val="none"/>
        </w:rPr>
        <w:t>行履约检查，以确保乙方所提供的服务能够依约满足甲方之项</w:t>
      </w:r>
      <w:r>
        <w:rPr>
          <w:spacing w:val="6"/>
          <w:sz w:val="23"/>
          <w:szCs w:val="23"/>
          <w:highlight w:val="none"/>
        </w:rPr>
        <w:t>目需求，但不得</w:t>
      </w:r>
    </w:p>
    <w:p w14:paraId="56EC9BAD">
      <w:pPr>
        <w:spacing w:line="341" w:lineRule="auto"/>
        <w:rPr>
          <w:sz w:val="23"/>
          <w:szCs w:val="23"/>
          <w:highlight w:val="none"/>
        </w:rPr>
        <w:sectPr>
          <w:pgSz w:w="11906" w:h="16838"/>
          <w:pgMar w:top="400" w:right="1785" w:bottom="400" w:left="1785" w:header="0" w:footer="0" w:gutter="0"/>
          <w:pgNumType w:fmt="decimal"/>
          <w:cols w:space="720" w:num="1"/>
        </w:sectPr>
      </w:pPr>
    </w:p>
    <w:p w14:paraId="5A354AF8">
      <w:pPr>
        <w:spacing w:line="260" w:lineRule="auto"/>
        <w:rPr>
          <w:rFonts w:ascii="Arial"/>
          <w:sz w:val="21"/>
          <w:highlight w:val="none"/>
        </w:rPr>
      </w:pPr>
    </w:p>
    <w:p w14:paraId="1E021FD4">
      <w:pPr>
        <w:spacing w:line="261" w:lineRule="auto"/>
        <w:rPr>
          <w:rFonts w:ascii="Arial"/>
          <w:sz w:val="21"/>
          <w:highlight w:val="none"/>
        </w:rPr>
      </w:pPr>
    </w:p>
    <w:p w14:paraId="662B2340">
      <w:pPr>
        <w:spacing w:line="261" w:lineRule="auto"/>
        <w:rPr>
          <w:rFonts w:ascii="Arial"/>
          <w:sz w:val="21"/>
          <w:highlight w:val="none"/>
        </w:rPr>
      </w:pPr>
    </w:p>
    <w:p w14:paraId="141FF329">
      <w:pPr>
        <w:spacing w:line="261" w:lineRule="auto"/>
        <w:rPr>
          <w:rFonts w:ascii="Arial"/>
          <w:sz w:val="21"/>
          <w:highlight w:val="none"/>
        </w:rPr>
      </w:pPr>
    </w:p>
    <w:p w14:paraId="6FCB7D8F">
      <w:pPr>
        <w:pStyle w:val="7"/>
        <w:spacing w:before="75" w:line="228" w:lineRule="auto"/>
        <w:ind w:left="107"/>
        <w:rPr>
          <w:sz w:val="23"/>
          <w:szCs w:val="23"/>
          <w:highlight w:val="none"/>
        </w:rPr>
      </w:pPr>
      <w:r>
        <w:rPr>
          <w:spacing w:val="6"/>
          <w:sz w:val="23"/>
          <w:szCs w:val="23"/>
          <w:highlight w:val="none"/>
        </w:rPr>
        <w:t>因履约检查妨碍乙方的正常工作，乙方应予积极配合；</w:t>
      </w:r>
    </w:p>
    <w:p w14:paraId="18198AA4">
      <w:pPr>
        <w:pStyle w:val="7"/>
        <w:spacing w:before="200" w:line="342" w:lineRule="auto"/>
        <w:ind w:left="71" w:right="163" w:firstLine="457"/>
        <w:rPr>
          <w:sz w:val="23"/>
          <w:szCs w:val="23"/>
          <w:highlight w:val="none"/>
        </w:rPr>
      </w:pPr>
      <w:r>
        <w:rPr>
          <w:spacing w:val="8"/>
          <w:sz w:val="23"/>
          <w:szCs w:val="23"/>
          <w:highlight w:val="none"/>
        </w:rPr>
        <w:t>2.4.2合同履行期间，甲方有权将履行过程中出现的问题反馈给乙方，双</w:t>
      </w:r>
      <w:r>
        <w:rPr>
          <w:spacing w:val="7"/>
          <w:sz w:val="23"/>
          <w:szCs w:val="23"/>
          <w:highlight w:val="none"/>
        </w:rPr>
        <w:t>方当事人应以书面形式约定需要完善和改进的</w:t>
      </w:r>
      <w:r>
        <w:rPr>
          <w:spacing w:val="6"/>
          <w:sz w:val="23"/>
          <w:szCs w:val="23"/>
          <w:highlight w:val="none"/>
        </w:rPr>
        <w:t>内容。</w:t>
      </w:r>
    </w:p>
    <w:p w14:paraId="3F8AD0E3">
      <w:pPr>
        <w:pStyle w:val="7"/>
        <w:spacing w:before="57" w:line="228" w:lineRule="auto"/>
        <w:ind w:left="529"/>
        <w:outlineLvl w:val="1"/>
        <w:rPr>
          <w:sz w:val="23"/>
          <w:szCs w:val="23"/>
          <w:highlight w:val="none"/>
        </w:rPr>
      </w:pPr>
      <w:r>
        <w:rPr>
          <w:b/>
          <w:bCs/>
          <w:spacing w:val="3"/>
          <w:sz w:val="23"/>
          <w:szCs w:val="23"/>
          <w:highlight w:val="none"/>
        </w:rPr>
        <w:t>2.5技术资料和保密义务</w:t>
      </w:r>
    </w:p>
    <w:p w14:paraId="42BB3326">
      <w:pPr>
        <w:pStyle w:val="7"/>
        <w:spacing w:before="200" w:line="285" w:lineRule="auto"/>
        <w:ind w:left="72" w:right="145" w:firstLine="456"/>
        <w:rPr>
          <w:sz w:val="23"/>
          <w:szCs w:val="23"/>
          <w:highlight w:val="none"/>
        </w:rPr>
      </w:pPr>
      <w:r>
        <w:rPr>
          <w:spacing w:val="5"/>
          <w:sz w:val="23"/>
          <w:szCs w:val="23"/>
          <w:highlight w:val="none"/>
        </w:rPr>
        <w:t>2.5.1乙方有权依据合同约定和项目需要，向甲方了解有关</w:t>
      </w:r>
      <w:r>
        <w:rPr>
          <w:spacing w:val="4"/>
          <w:sz w:val="23"/>
          <w:szCs w:val="23"/>
          <w:highlight w:val="none"/>
        </w:rPr>
        <w:t>情况，调阅有</w:t>
      </w:r>
      <w:r>
        <w:rPr>
          <w:spacing w:val="1"/>
          <w:sz w:val="23"/>
          <w:szCs w:val="23"/>
          <w:highlight w:val="none"/>
        </w:rPr>
        <w:t>关资料等，甲方应予积极配合；</w:t>
      </w:r>
    </w:p>
    <w:p w14:paraId="5175F8FA">
      <w:pPr>
        <w:pStyle w:val="7"/>
        <w:spacing w:before="204" w:line="228" w:lineRule="auto"/>
        <w:ind w:left="529"/>
        <w:rPr>
          <w:sz w:val="23"/>
          <w:szCs w:val="23"/>
          <w:highlight w:val="none"/>
        </w:rPr>
      </w:pPr>
      <w:r>
        <w:rPr>
          <w:spacing w:val="6"/>
          <w:sz w:val="23"/>
          <w:szCs w:val="23"/>
          <w:highlight w:val="none"/>
        </w:rPr>
        <w:t>2.5.2乙方有义务妥善保管和保护由甲</w:t>
      </w:r>
      <w:r>
        <w:rPr>
          <w:spacing w:val="5"/>
          <w:sz w:val="23"/>
          <w:szCs w:val="23"/>
          <w:highlight w:val="none"/>
        </w:rPr>
        <w:t>方提供的前款信息和资料等；</w:t>
      </w:r>
    </w:p>
    <w:p w14:paraId="3C33AB82">
      <w:pPr>
        <w:pStyle w:val="7"/>
        <w:spacing w:before="203" w:line="338" w:lineRule="auto"/>
        <w:ind w:left="58" w:right="147" w:firstLine="470"/>
        <w:rPr>
          <w:sz w:val="23"/>
          <w:szCs w:val="23"/>
          <w:highlight w:val="none"/>
        </w:rPr>
      </w:pPr>
      <w:r>
        <w:rPr>
          <w:spacing w:val="8"/>
          <w:sz w:val="23"/>
          <w:szCs w:val="23"/>
          <w:highlight w:val="none"/>
        </w:rPr>
        <w:t>2.5.3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w:t>
      </w:r>
      <w:r>
        <w:rPr>
          <w:spacing w:val="6"/>
          <w:sz w:val="23"/>
          <w:szCs w:val="23"/>
          <w:highlight w:val="none"/>
        </w:rPr>
        <w:t>人的上述保密信息和资料。</w:t>
      </w:r>
    </w:p>
    <w:p w14:paraId="1A501ECA">
      <w:pPr>
        <w:pStyle w:val="7"/>
        <w:spacing w:before="203" w:line="229" w:lineRule="auto"/>
        <w:ind w:left="529"/>
        <w:outlineLvl w:val="1"/>
        <w:rPr>
          <w:sz w:val="23"/>
          <w:szCs w:val="23"/>
          <w:highlight w:val="none"/>
        </w:rPr>
      </w:pPr>
      <w:r>
        <w:rPr>
          <w:b/>
          <w:bCs/>
          <w:spacing w:val="-5"/>
          <w:sz w:val="23"/>
          <w:szCs w:val="23"/>
          <w:highlight w:val="none"/>
        </w:rPr>
        <w:t>2.6质量保证</w:t>
      </w:r>
    </w:p>
    <w:p w14:paraId="556AF044">
      <w:pPr>
        <w:pStyle w:val="7"/>
        <w:spacing w:before="200" w:line="285" w:lineRule="auto"/>
        <w:ind w:left="58" w:right="145" w:firstLine="471"/>
        <w:rPr>
          <w:sz w:val="23"/>
          <w:szCs w:val="23"/>
          <w:highlight w:val="none"/>
        </w:rPr>
      </w:pPr>
      <w:r>
        <w:rPr>
          <w:spacing w:val="7"/>
          <w:sz w:val="23"/>
          <w:szCs w:val="23"/>
          <w:highlight w:val="none"/>
        </w:rPr>
        <w:t>2.6.1乙方应建立和完善履行合同的内部质量</w:t>
      </w:r>
      <w:r>
        <w:rPr>
          <w:spacing w:val="6"/>
          <w:sz w:val="23"/>
          <w:szCs w:val="23"/>
          <w:highlight w:val="none"/>
        </w:rPr>
        <w:t>保证体系，并提供相关内部</w:t>
      </w:r>
      <w:r>
        <w:rPr>
          <w:spacing w:val="7"/>
          <w:sz w:val="23"/>
          <w:szCs w:val="23"/>
          <w:highlight w:val="none"/>
        </w:rPr>
        <w:t>规章制度给甲方，以便甲方进行监督检查；</w:t>
      </w:r>
    </w:p>
    <w:p w14:paraId="13AE2BFC">
      <w:pPr>
        <w:pStyle w:val="7"/>
        <w:spacing w:before="221" w:line="285" w:lineRule="auto"/>
        <w:ind w:left="62" w:right="232" w:firstLine="467"/>
        <w:rPr>
          <w:sz w:val="23"/>
          <w:szCs w:val="23"/>
          <w:highlight w:val="none"/>
        </w:rPr>
      </w:pPr>
      <w:r>
        <w:rPr>
          <w:spacing w:val="4"/>
          <w:sz w:val="23"/>
          <w:szCs w:val="23"/>
          <w:highlight w:val="none"/>
        </w:rPr>
        <w:t>2.6.2乙方应保证履行合同的人员数量和素质、软件</w:t>
      </w:r>
      <w:r>
        <w:rPr>
          <w:spacing w:val="3"/>
          <w:sz w:val="23"/>
          <w:szCs w:val="23"/>
          <w:highlight w:val="none"/>
        </w:rPr>
        <w:t>和硬件设备的配置、</w:t>
      </w:r>
      <w:r>
        <w:rPr>
          <w:spacing w:val="7"/>
          <w:sz w:val="23"/>
          <w:szCs w:val="23"/>
          <w:highlight w:val="none"/>
        </w:rPr>
        <w:t>场地、环境和设施等满足全面履行合同的要求，并应接受甲方的监督检查。</w:t>
      </w:r>
    </w:p>
    <w:p w14:paraId="7EA0D1CE">
      <w:pPr>
        <w:pStyle w:val="7"/>
        <w:spacing w:before="202" w:line="229" w:lineRule="auto"/>
        <w:ind w:left="529"/>
        <w:outlineLvl w:val="1"/>
        <w:rPr>
          <w:sz w:val="23"/>
          <w:szCs w:val="23"/>
          <w:highlight w:val="none"/>
        </w:rPr>
      </w:pPr>
      <w:r>
        <w:rPr>
          <w:b/>
          <w:bCs/>
          <w:spacing w:val="-3"/>
          <w:sz w:val="23"/>
          <w:szCs w:val="23"/>
          <w:highlight w:val="none"/>
        </w:rPr>
        <w:t>2.7延迟履行</w:t>
      </w:r>
    </w:p>
    <w:p w14:paraId="248A220F">
      <w:pPr>
        <w:pStyle w:val="7"/>
        <w:spacing w:before="205" w:line="358" w:lineRule="auto"/>
        <w:ind w:left="63" w:right="145" w:firstLine="479"/>
        <w:jc w:val="both"/>
        <w:rPr>
          <w:sz w:val="23"/>
          <w:szCs w:val="23"/>
          <w:highlight w:val="none"/>
        </w:rPr>
      </w:pPr>
      <w:r>
        <w:rPr>
          <w:spacing w:val="9"/>
          <w:sz w:val="23"/>
          <w:szCs w:val="23"/>
          <w:highlight w:val="none"/>
        </w:rPr>
        <w:t>在合同履行过程中，如果乙方遇到不能按时提供服务的情况，应</w:t>
      </w:r>
      <w:r>
        <w:rPr>
          <w:spacing w:val="8"/>
          <w:sz w:val="23"/>
          <w:szCs w:val="23"/>
          <w:highlight w:val="none"/>
        </w:rPr>
        <w:t>及时以书</w:t>
      </w:r>
      <w:r>
        <w:rPr>
          <w:spacing w:val="9"/>
          <w:sz w:val="23"/>
          <w:szCs w:val="23"/>
          <w:highlight w:val="none"/>
        </w:rPr>
        <w:t>面形式将不能按时提供服务的理由、预期延误时间通知甲方；甲方收到乙</w:t>
      </w:r>
      <w:r>
        <w:rPr>
          <w:spacing w:val="8"/>
          <w:sz w:val="23"/>
          <w:szCs w:val="23"/>
          <w:highlight w:val="none"/>
        </w:rPr>
        <w:t>方通</w:t>
      </w:r>
      <w:r>
        <w:rPr>
          <w:spacing w:val="9"/>
          <w:sz w:val="23"/>
          <w:szCs w:val="23"/>
          <w:highlight w:val="none"/>
        </w:rPr>
        <w:t>知后，认为其理由正当的，可以书面形式酌情同意乙方可以延长履行的具</w:t>
      </w:r>
      <w:r>
        <w:rPr>
          <w:spacing w:val="8"/>
          <w:sz w:val="23"/>
          <w:szCs w:val="23"/>
          <w:highlight w:val="none"/>
        </w:rPr>
        <w:t>体时</w:t>
      </w:r>
      <w:r>
        <w:rPr>
          <w:spacing w:val="-4"/>
          <w:sz w:val="23"/>
          <w:szCs w:val="23"/>
          <w:highlight w:val="none"/>
        </w:rPr>
        <w:t>间。</w:t>
      </w:r>
    </w:p>
    <w:p w14:paraId="126ACBCB">
      <w:pPr>
        <w:pStyle w:val="7"/>
        <w:spacing w:before="58" w:line="232" w:lineRule="auto"/>
        <w:ind w:left="529"/>
        <w:outlineLvl w:val="1"/>
        <w:rPr>
          <w:sz w:val="23"/>
          <w:szCs w:val="23"/>
          <w:highlight w:val="none"/>
        </w:rPr>
      </w:pPr>
      <w:r>
        <w:rPr>
          <w:b/>
          <w:bCs/>
          <w:spacing w:val="-5"/>
          <w:sz w:val="23"/>
          <w:szCs w:val="23"/>
          <w:highlight w:val="none"/>
        </w:rPr>
        <w:t>2.8合同变更</w:t>
      </w:r>
    </w:p>
    <w:p w14:paraId="590940FE">
      <w:pPr>
        <w:pStyle w:val="7"/>
        <w:spacing w:before="192" w:line="316" w:lineRule="auto"/>
        <w:ind w:left="62" w:right="162" w:firstLine="467"/>
        <w:jc w:val="both"/>
        <w:rPr>
          <w:sz w:val="23"/>
          <w:szCs w:val="23"/>
          <w:highlight w:val="none"/>
        </w:rPr>
      </w:pPr>
      <w:r>
        <w:rPr>
          <w:spacing w:val="8"/>
          <w:sz w:val="23"/>
          <w:szCs w:val="23"/>
          <w:highlight w:val="none"/>
        </w:rPr>
        <w:t>2.8.1双方当事人协商一致，可以签订书面补充合同的形式变更合</w:t>
      </w:r>
      <w:r>
        <w:rPr>
          <w:spacing w:val="7"/>
          <w:sz w:val="23"/>
          <w:szCs w:val="23"/>
          <w:highlight w:val="none"/>
        </w:rPr>
        <w:t>同，但</w:t>
      </w:r>
      <w:r>
        <w:rPr>
          <w:spacing w:val="8"/>
          <w:sz w:val="23"/>
          <w:szCs w:val="23"/>
          <w:highlight w:val="none"/>
        </w:rPr>
        <w:t>不得违背采购文件确定的事项，且如果系追加与合同标的相同的服务的，那么</w:t>
      </w:r>
      <w:r>
        <w:rPr>
          <w:spacing w:val="5"/>
          <w:sz w:val="23"/>
          <w:szCs w:val="23"/>
          <w:highlight w:val="none"/>
        </w:rPr>
        <w:t>所有补充合同的采购金额不得超过原合同价的10%；</w:t>
      </w:r>
    </w:p>
    <w:p w14:paraId="363AA821">
      <w:pPr>
        <w:pStyle w:val="7"/>
        <w:spacing w:before="218" w:line="316" w:lineRule="auto"/>
        <w:ind w:left="87" w:right="147" w:firstLine="442"/>
        <w:jc w:val="both"/>
        <w:rPr>
          <w:sz w:val="23"/>
          <w:szCs w:val="23"/>
          <w:highlight w:val="none"/>
        </w:rPr>
      </w:pPr>
      <w:r>
        <w:rPr>
          <w:spacing w:val="8"/>
          <w:sz w:val="23"/>
          <w:szCs w:val="23"/>
          <w:highlight w:val="none"/>
        </w:rPr>
        <w:t>2.8.2合同继续履行将损害国家利益和社会公共利益的，双方当事人应当以书面形式变更合同。有过错的一方应当承担赔偿责任，双方当事人都有过错</w:t>
      </w:r>
      <w:r>
        <w:rPr>
          <w:spacing w:val="4"/>
          <w:sz w:val="23"/>
          <w:szCs w:val="23"/>
          <w:highlight w:val="none"/>
        </w:rPr>
        <w:t>的，各自承担相应的责任。</w:t>
      </w:r>
    </w:p>
    <w:p w14:paraId="100224E4">
      <w:pPr>
        <w:pStyle w:val="7"/>
        <w:spacing w:before="198" w:line="227" w:lineRule="auto"/>
        <w:ind w:left="529"/>
        <w:outlineLvl w:val="1"/>
        <w:rPr>
          <w:sz w:val="23"/>
          <w:szCs w:val="23"/>
          <w:highlight w:val="none"/>
        </w:rPr>
      </w:pPr>
      <w:r>
        <w:rPr>
          <w:b/>
          <w:bCs/>
          <w:spacing w:val="-2"/>
          <w:sz w:val="23"/>
          <w:szCs w:val="23"/>
          <w:highlight w:val="none"/>
        </w:rPr>
        <w:t>2.9合同转让和分包</w:t>
      </w:r>
    </w:p>
    <w:p w14:paraId="601F508C">
      <w:pPr>
        <w:spacing w:line="227" w:lineRule="auto"/>
        <w:rPr>
          <w:sz w:val="23"/>
          <w:szCs w:val="23"/>
          <w:highlight w:val="none"/>
        </w:rPr>
        <w:sectPr>
          <w:pgSz w:w="11906" w:h="16838"/>
          <w:pgMar w:top="400" w:right="1785" w:bottom="400" w:left="1785" w:header="0" w:footer="0" w:gutter="0"/>
          <w:pgNumType w:fmt="decimal"/>
          <w:cols w:space="720" w:num="1"/>
        </w:sectPr>
      </w:pPr>
    </w:p>
    <w:p w14:paraId="7941D8CC">
      <w:pPr>
        <w:spacing w:line="265" w:lineRule="auto"/>
        <w:rPr>
          <w:rFonts w:ascii="Arial"/>
          <w:sz w:val="21"/>
          <w:highlight w:val="none"/>
        </w:rPr>
      </w:pPr>
    </w:p>
    <w:p w14:paraId="38F6A6CC">
      <w:pPr>
        <w:spacing w:line="265" w:lineRule="auto"/>
        <w:rPr>
          <w:rFonts w:ascii="Arial"/>
          <w:sz w:val="21"/>
          <w:highlight w:val="none"/>
        </w:rPr>
      </w:pPr>
    </w:p>
    <w:p w14:paraId="5B08B513">
      <w:pPr>
        <w:spacing w:line="265" w:lineRule="auto"/>
        <w:rPr>
          <w:rFonts w:ascii="Arial"/>
          <w:sz w:val="21"/>
          <w:highlight w:val="none"/>
        </w:rPr>
      </w:pPr>
    </w:p>
    <w:p w14:paraId="5AD5347B">
      <w:pPr>
        <w:spacing w:line="266" w:lineRule="auto"/>
        <w:rPr>
          <w:rFonts w:ascii="Arial"/>
          <w:sz w:val="21"/>
          <w:highlight w:val="none"/>
        </w:rPr>
      </w:pPr>
    </w:p>
    <w:p w14:paraId="3C91FDE8">
      <w:pPr>
        <w:pStyle w:val="7"/>
        <w:spacing w:before="75" w:line="357" w:lineRule="auto"/>
        <w:ind w:left="58" w:right="143" w:firstLine="493"/>
        <w:jc w:val="both"/>
        <w:rPr>
          <w:sz w:val="23"/>
          <w:szCs w:val="23"/>
          <w:highlight w:val="none"/>
        </w:rPr>
      </w:pPr>
      <w:r>
        <w:rPr>
          <w:spacing w:val="7"/>
          <w:sz w:val="23"/>
          <w:szCs w:val="23"/>
          <w:highlight w:val="none"/>
        </w:rPr>
        <w:t>合同的权利义务依法不得转让，但经甲方同意，乙方可以依法采取分包方</w:t>
      </w:r>
      <w:r>
        <w:rPr>
          <w:spacing w:val="9"/>
          <w:sz w:val="23"/>
          <w:szCs w:val="23"/>
          <w:highlight w:val="none"/>
        </w:rPr>
        <w:t>式履行合同，即：依法可以将合同项下的部分非主体、非关键性工作分包给他</w:t>
      </w:r>
      <w:r>
        <w:rPr>
          <w:spacing w:val="7"/>
          <w:sz w:val="23"/>
          <w:szCs w:val="23"/>
          <w:highlight w:val="none"/>
        </w:rPr>
        <w:t>人完成，接受分包的人应当具备相应的资格条件，并不得再次分包，且乙方应就分包项目向甲方负责，并与分包供应商就分包项目向甲方承担连带责任。</w:t>
      </w:r>
    </w:p>
    <w:p w14:paraId="4F36F2B3">
      <w:pPr>
        <w:pStyle w:val="7"/>
        <w:spacing w:before="65" w:line="231" w:lineRule="auto"/>
        <w:ind w:left="529"/>
        <w:outlineLvl w:val="1"/>
        <w:rPr>
          <w:sz w:val="23"/>
          <w:szCs w:val="23"/>
          <w:highlight w:val="none"/>
        </w:rPr>
      </w:pPr>
      <w:r>
        <w:rPr>
          <w:b/>
          <w:bCs/>
          <w:spacing w:val="-3"/>
          <w:sz w:val="23"/>
          <w:szCs w:val="23"/>
          <w:highlight w:val="none"/>
        </w:rPr>
        <w:t>2.10不可抗力</w:t>
      </w:r>
    </w:p>
    <w:p w14:paraId="4F2CA67B">
      <w:pPr>
        <w:pStyle w:val="7"/>
        <w:spacing w:before="198" w:line="284" w:lineRule="auto"/>
        <w:ind w:left="63" w:right="87" w:firstLine="466"/>
        <w:rPr>
          <w:sz w:val="23"/>
          <w:szCs w:val="23"/>
          <w:highlight w:val="none"/>
        </w:rPr>
      </w:pPr>
      <w:r>
        <w:rPr>
          <w:spacing w:val="7"/>
          <w:sz w:val="23"/>
          <w:szCs w:val="23"/>
          <w:highlight w:val="none"/>
        </w:rPr>
        <w:t>2.10.1如果任何一方遭遇法律规定的不可抗力</w:t>
      </w:r>
      <w:r>
        <w:rPr>
          <w:spacing w:val="6"/>
          <w:sz w:val="23"/>
          <w:szCs w:val="23"/>
          <w:highlight w:val="none"/>
        </w:rPr>
        <w:t>，致使合同履行受阻时，履</w:t>
      </w:r>
      <w:r>
        <w:rPr>
          <w:spacing w:val="8"/>
          <w:sz w:val="23"/>
          <w:szCs w:val="23"/>
          <w:highlight w:val="none"/>
        </w:rPr>
        <w:t>行合同的期限应予延长，延长的期限应相当于不可抗力所影响的时间；</w:t>
      </w:r>
    </w:p>
    <w:p w14:paraId="6D548B2C">
      <w:pPr>
        <w:pStyle w:val="7"/>
        <w:spacing w:before="202" w:line="230" w:lineRule="auto"/>
        <w:ind w:left="529"/>
        <w:rPr>
          <w:sz w:val="23"/>
          <w:szCs w:val="23"/>
          <w:highlight w:val="none"/>
        </w:rPr>
      </w:pPr>
      <w:r>
        <w:rPr>
          <w:spacing w:val="4"/>
          <w:sz w:val="23"/>
          <w:szCs w:val="23"/>
          <w:highlight w:val="none"/>
        </w:rPr>
        <w:t>2.10.2因不可抗力致使不能实现合同</w:t>
      </w:r>
      <w:r>
        <w:rPr>
          <w:spacing w:val="3"/>
          <w:sz w:val="23"/>
          <w:szCs w:val="23"/>
          <w:highlight w:val="none"/>
        </w:rPr>
        <w:t>目的的，当事人可以解除合同；</w:t>
      </w:r>
    </w:p>
    <w:p w14:paraId="3E6E1023">
      <w:pPr>
        <w:pStyle w:val="7"/>
        <w:spacing w:before="201" w:line="274" w:lineRule="auto"/>
        <w:ind w:left="107" w:right="39" w:firstLine="422"/>
        <w:rPr>
          <w:sz w:val="23"/>
          <w:szCs w:val="23"/>
          <w:highlight w:val="none"/>
        </w:rPr>
      </w:pPr>
      <w:r>
        <w:rPr>
          <w:spacing w:val="6"/>
          <w:sz w:val="23"/>
          <w:szCs w:val="23"/>
          <w:highlight w:val="none"/>
        </w:rPr>
        <w:t>2.10.3因不可抗力致使合同有变更必要的，双方当事人应在</w:t>
      </w:r>
      <w:r>
        <w:rPr>
          <w:b/>
          <w:bCs/>
          <w:i/>
          <w:iCs/>
          <w:spacing w:val="5"/>
          <w:sz w:val="25"/>
          <w:szCs w:val="25"/>
          <w:highlight w:val="none"/>
          <w:u w:val="single" w:color="auto"/>
        </w:rPr>
        <w:t>5个工作日</w:t>
      </w:r>
      <w:r>
        <w:rPr>
          <w:spacing w:val="5"/>
          <w:sz w:val="23"/>
          <w:szCs w:val="23"/>
          <w:highlight w:val="none"/>
        </w:rPr>
        <w:t>内</w:t>
      </w:r>
      <w:r>
        <w:rPr>
          <w:sz w:val="23"/>
          <w:szCs w:val="23"/>
          <w:highlight w:val="none"/>
        </w:rPr>
        <w:t>以书面形式变更合同；</w:t>
      </w:r>
    </w:p>
    <w:p w14:paraId="387B78ED">
      <w:pPr>
        <w:pStyle w:val="7"/>
        <w:spacing w:before="221" w:line="298" w:lineRule="auto"/>
        <w:ind w:left="63" w:right="95" w:firstLine="466"/>
        <w:jc w:val="both"/>
        <w:rPr>
          <w:sz w:val="23"/>
          <w:szCs w:val="23"/>
          <w:highlight w:val="none"/>
        </w:rPr>
      </w:pPr>
      <w:r>
        <w:rPr>
          <w:spacing w:val="7"/>
          <w:sz w:val="23"/>
          <w:szCs w:val="23"/>
          <w:highlight w:val="none"/>
        </w:rPr>
        <w:t>2.10.4受不可抗力影响的一方在不可抗力发生后，应在</w:t>
      </w:r>
      <w:r>
        <w:rPr>
          <w:b/>
          <w:bCs/>
          <w:i/>
          <w:iCs/>
          <w:spacing w:val="7"/>
          <w:sz w:val="25"/>
          <w:szCs w:val="25"/>
          <w:highlight w:val="none"/>
          <w:u w:val="single" w:color="auto"/>
        </w:rPr>
        <w:t>3</w:t>
      </w:r>
      <w:r>
        <w:rPr>
          <w:b/>
          <w:bCs/>
          <w:i/>
          <w:iCs/>
          <w:spacing w:val="6"/>
          <w:sz w:val="25"/>
          <w:szCs w:val="25"/>
          <w:highlight w:val="none"/>
          <w:u w:val="single" w:color="auto"/>
        </w:rPr>
        <w:t>个工作日</w:t>
      </w:r>
      <w:r>
        <w:rPr>
          <w:spacing w:val="6"/>
          <w:sz w:val="23"/>
          <w:szCs w:val="23"/>
          <w:highlight w:val="none"/>
        </w:rPr>
        <w:t>内以书</w:t>
      </w:r>
      <w:r>
        <w:rPr>
          <w:spacing w:val="9"/>
          <w:sz w:val="23"/>
          <w:szCs w:val="23"/>
          <w:highlight w:val="none"/>
        </w:rPr>
        <w:t>面形式通知对方当事人，并在</w:t>
      </w:r>
      <w:r>
        <w:rPr>
          <w:b/>
          <w:bCs/>
          <w:i/>
          <w:iCs/>
          <w:spacing w:val="9"/>
          <w:sz w:val="25"/>
          <w:szCs w:val="25"/>
          <w:highlight w:val="none"/>
          <w:u w:val="single" w:color="auto"/>
        </w:rPr>
        <w:t>5个工作日</w:t>
      </w:r>
      <w:r>
        <w:rPr>
          <w:spacing w:val="9"/>
          <w:sz w:val="23"/>
          <w:szCs w:val="23"/>
          <w:highlight w:val="none"/>
        </w:rPr>
        <w:t>内，将有</w:t>
      </w:r>
      <w:r>
        <w:rPr>
          <w:spacing w:val="8"/>
          <w:sz w:val="23"/>
          <w:szCs w:val="23"/>
          <w:highlight w:val="none"/>
        </w:rPr>
        <w:t>关部门出具的证明文件送达</w:t>
      </w:r>
      <w:r>
        <w:rPr>
          <w:spacing w:val="3"/>
          <w:sz w:val="23"/>
          <w:szCs w:val="23"/>
          <w:highlight w:val="none"/>
        </w:rPr>
        <w:t>对方当事人。</w:t>
      </w:r>
    </w:p>
    <w:p w14:paraId="4F29971F">
      <w:pPr>
        <w:pStyle w:val="7"/>
        <w:spacing w:before="198" w:line="231" w:lineRule="auto"/>
        <w:ind w:left="529"/>
        <w:outlineLvl w:val="1"/>
        <w:rPr>
          <w:sz w:val="23"/>
          <w:szCs w:val="23"/>
          <w:highlight w:val="none"/>
        </w:rPr>
      </w:pPr>
      <w:r>
        <w:rPr>
          <w:b/>
          <w:bCs/>
          <w:spacing w:val="-5"/>
          <w:sz w:val="23"/>
          <w:szCs w:val="23"/>
          <w:highlight w:val="none"/>
        </w:rPr>
        <w:t>2.11税费</w:t>
      </w:r>
    </w:p>
    <w:p w14:paraId="4D1A43A8">
      <w:pPr>
        <w:pStyle w:val="7"/>
        <w:spacing w:before="175" w:line="230" w:lineRule="auto"/>
        <w:ind w:left="557"/>
        <w:rPr>
          <w:sz w:val="23"/>
          <w:szCs w:val="23"/>
          <w:highlight w:val="none"/>
        </w:rPr>
      </w:pPr>
      <w:r>
        <w:rPr>
          <w:spacing w:val="8"/>
          <w:sz w:val="23"/>
          <w:szCs w:val="23"/>
          <w:highlight w:val="none"/>
        </w:rPr>
        <w:t>与合同有关的一切税费，均按照中华人民共和国法律的相关规</w:t>
      </w:r>
      <w:r>
        <w:rPr>
          <w:spacing w:val="7"/>
          <w:sz w:val="23"/>
          <w:szCs w:val="23"/>
          <w:highlight w:val="none"/>
        </w:rPr>
        <w:t>定缴纳。</w:t>
      </w:r>
    </w:p>
    <w:p w14:paraId="53C992B5">
      <w:pPr>
        <w:pStyle w:val="7"/>
        <w:spacing w:before="182" w:line="232" w:lineRule="auto"/>
        <w:ind w:left="529"/>
        <w:outlineLvl w:val="1"/>
        <w:rPr>
          <w:sz w:val="23"/>
          <w:szCs w:val="23"/>
          <w:highlight w:val="none"/>
        </w:rPr>
      </w:pPr>
      <w:r>
        <w:rPr>
          <w:b/>
          <w:bCs/>
          <w:spacing w:val="-6"/>
          <w:sz w:val="23"/>
          <w:szCs w:val="23"/>
          <w:highlight w:val="none"/>
        </w:rPr>
        <w:t>2.12乙方破产</w:t>
      </w:r>
    </w:p>
    <w:p w14:paraId="710CBB89">
      <w:pPr>
        <w:pStyle w:val="7"/>
        <w:spacing w:before="193" w:line="352" w:lineRule="auto"/>
        <w:ind w:left="62" w:right="143" w:firstLine="480"/>
        <w:jc w:val="both"/>
        <w:rPr>
          <w:sz w:val="23"/>
          <w:szCs w:val="23"/>
          <w:highlight w:val="none"/>
        </w:rPr>
      </w:pPr>
      <w:r>
        <w:rPr>
          <w:spacing w:val="9"/>
          <w:sz w:val="23"/>
          <w:szCs w:val="23"/>
          <w:highlight w:val="none"/>
        </w:rPr>
        <w:t>如果乙方破产导致合同无法履行时，甲方可以书面形式通知乙方终止</w:t>
      </w:r>
      <w:r>
        <w:rPr>
          <w:spacing w:val="8"/>
          <w:sz w:val="23"/>
          <w:szCs w:val="23"/>
          <w:highlight w:val="none"/>
        </w:rPr>
        <w:t>合同</w:t>
      </w:r>
      <w:r>
        <w:rPr>
          <w:spacing w:val="9"/>
          <w:sz w:val="23"/>
          <w:szCs w:val="23"/>
          <w:highlight w:val="none"/>
        </w:rPr>
        <w:t>且不给予乙方任何补偿和赔偿，但合同的终止不损害或不影响甲方已经采取或</w:t>
      </w:r>
      <w:r>
        <w:rPr>
          <w:spacing w:val="8"/>
          <w:sz w:val="23"/>
          <w:szCs w:val="23"/>
          <w:highlight w:val="none"/>
        </w:rPr>
        <w:t>将要采取的任何要求乙方支付违约金、赔偿损失等的行动或补救措施的权利。</w:t>
      </w:r>
    </w:p>
    <w:p w14:paraId="5969A455">
      <w:pPr>
        <w:pStyle w:val="7"/>
        <w:spacing w:before="64" w:line="231" w:lineRule="auto"/>
        <w:ind w:left="529"/>
        <w:outlineLvl w:val="1"/>
        <w:rPr>
          <w:sz w:val="23"/>
          <w:szCs w:val="23"/>
          <w:highlight w:val="none"/>
        </w:rPr>
      </w:pPr>
      <w:r>
        <w:rPr>
          <w:b/>
          <w:bCs/>
          <w:spacing w:val="-1"/>
          <w:sz w:val="23"/>
          <w:szCs w:val="23"/>
          <w:highlight w:val="none"/>
        </w:rPr>
        <w:t>2.13合同中止、终止</w:t>
      </w:r>
    </w:p>
    <w:p w14:paraId="1672D93D">
      <w:pPr>
        <w:pStyle w:val="7"/>
        <w:spacing w:before="180" w:line="231" w:lineRule="auto"/>
        <w:ind w:left="529"/>
        <w:rPr>
          <w:sz w:val="23"/>
          <w:szCs w:val="23"/>
          <w:highlight w:val="none"/>
        </w:rPr>
      </w:pPr>
      <w:r>
        <w:rPr>
          <w:spacing w:val="5"/>
          <w:sz w:val="23"/>
          <w:szCs w:val="23"/>
          <w:highlight w:val="none"/>
        </w:rPr>
        <w:t>2.13.1双方当事人不得擅自中止或者终止合同；</w:t>
      </w:r>
    </w:p>
    <w:p w14:paraId="5CDD4C50">
      <w:pPr>
        <w:pStyle w:val="7"/>
        <w:spacing w:before="196" w:line="315" w:lineRule="auto"/>
        <w:ind w:left="62" w:right="15" w:firstLine="467"/>
        <w:jc w:val="both"/>
        <w:rPr>
          <w:sz w:val="23"/>
          <w:szCs w:val="23"/>
          <w:highlight w:val="none"/>
        </w:rPr>
      </w:pPr>
      <w:r>
        <w:rPr>
          <w:spacing w:val="7"/>
          <w:sz w:val="23"/>
          <w:szCs w:val="23"/>
          <w:highlight w:val="none"/>
        </w:rPr>
        <w:t>2.13.2合同继续履行将损害国家利益和社会公</w:t>
      </w:r>
      <w:r>
        <w:rPr>
          <w:spacing w:val="6"/>
          <w:sz w:val="23"/>
          <w:szCs w:val="23"/>
          <w:highlight w:val="none"/>
        </w:rPr>
        <w:t>共利益的，双方当事人应当中止或者终止合同。有过错的一方应当承担赔偿责任，双方当事人都</w:t>
      </w:r>
      <w:r>
        <w:rPr>
          <w:spacing w:val="5"/>
          <w:sz w:val="23"/>
          <w:szCs w:val="23"/>
          <w:highlight w:val="none"/>
        </w:rPr>
        <w:t>有过错的，各自承担相应的责任。</w:t>
      </w:r>
    </w:p>
    <w:p w14:paraId="2B1C9A2F">
      <w:pPr>
        <w:pStyle w:val="7"/>
        <w:spacing w:before="200" w:line="228" w:lineRule="auto"/>
        <w:ind w:left="529"/>
        <w:outlineLvl w:val="1"/>
        <w:rPr>
          <w:sz w:val="23"/>
          <w:szCs w:val="23"/>
          <w:highlight w:val="none"/>
        </w:rPr>
      </w:pPr>
      <w:r>
        <w:rPr>
          <w:b/>
          <w:bCs/>
          <w:spacing w:val="-2"/>
          <w:sz w:val="23"/>
          <w:szCs w:val="23"/>
          <w:highlight w:val="none"/>
        </w:rPr>
        <w:t>2.14检验和验收</w:t>
      </w:r>
    </w:p>
    <w:p w14:paraId="72E55360">
      <w:pPr>
        <w:pStyle w:val="7"/>
        <w:spacing w:before="197" w:line="330" w:lineRule="auto"/>
        <w:ind w:left="87" w:right="30" w:firstLine="442"/>
        <w:jc w:val="both"/>
        <w:rPr>
          <w:sz w:val="23"/>
          <w:szCs w:val="23"/>
          <w:highlight w:val="none"/>
        </w:rPr>
      </w:pPr>
      <w:r>
        <w:rPr>
          <w:spacing w:val="8"/>
          <w:sz w:val="23"/>
          <w:szCs w:val="23"/>
          <w:highlight w:val="none"/>
        </w:rPr>
        <w:t>2.14.1合同期满或者履行完毕后，甲方有权组织（包括依法邀请国家认可的质量检测机构参加）对乙方履约的验收，即：按照合同约定的标准，组织对乙方履约情况的验收，并出具验收书；向社会公众提供的公共服务项目，验收</w:t>
      </w:r>
      <w:r>
        <w:rPr>
          <w:spacing w:val="7"/>
          <w:sz w:val="23"/>
          <w:szCs w:val="23"/>
          <w:highlight w:val="none"/>
        </w:rPr>
        <w:t>时应当邀请服务对象参与并出具意见，验收结果应当向社会公告；</w:t>
      </w:r>
    </w:p>
    <w:p w14:paraId="1C162965">
      <w:pPr>
        <w:pStyle w:val="7"/>
        <w:spacing w:before="205" w:line="228" w:lineRule="auto"/>
        <w:ind w:right="30"/>
        <w:jc w:val="right"/>
        <w:rPr>
          <w:rFonts w:hint="eastAsia" w:eastAsia="仿宋"/>
          <w:sz w:val="23"/>
          <w:szCs w:val="23"/>
          <w:highlight w:val="none"/>
          <w:lang w:eastAsia="zh-CN"/>
        </w:rPr>
      </w:pPr>
      <w:r>
        <w:rPr>
          <w:spacing w:val="8"/>
          <w:sz w:val="23"/>
          <w:szCs w:val="23"/>
          <w:highlight w:val="none"/>
        </w:rPr>
        <w:t>2.14.2检验和验收标准、程序等具体内容以及前述验收书的效力详见</w:t>
      </w:r>
      <w:r>
        <w:rPr>
          <w:rFonts w:hint="eastAsia"/>
          <w:spacing w:val="8"/>
          <w:sz w:val="23"/>
          <w:szCs w:val="23"/>
          <w:highlight w:val="none"/>
          <w:lang w:val="en-US" w:eastAsia="zh-CN"/>
        </w:rPr>
        <w:t>招标</w:t>
      </w:r>
    </w:p>
    <w:p w14:paraId="09DB1727">
      <w:pPr>
        <w:spacing w:line="228" w:lineRule="auto"/>
        <w:rPr>
          <w:sz w:val="23"/>
          <w:szCs w:val="23"/>
          <w:highlight w:val="none"/>
        </w:rPr>
        <w:sectPr>
          <w:pgSz w:w="11906" w:h="16838"/>
          <w:pgMar w:top="400" w:right="1785" w:bottom="400" w:left="1785" w:header="0" w:footer="0" w:gutter="0"/>
          <w:pgNumType w:fmt="decimal"/>
          <w:cols w:space="720" w:num="1"/>
        </w:sectPr>
      </w:pPr>
    </w:p>
    <w:p w14:paraId="75ED42B9">
      <w:pPr>
        <w:spacing w:line="261" w:lineRule="auto"/>
        <w:rPr>
          <w:rFonts w:ascii="Arial"/>
          <w:sz w:val="21"/>
          <w:highlight w:val="none"/>
        </w:rPr>
      </w:pPr>
    </w:p>
    <w:p w14:paraId="61AE0F1E">
      <w:pPr>
        <w:spacing w:line="261" w:lineRule="auto"/>
        <w:rPr>
          <w:rFonts w:ascii="Arial"/>
          <w:sz w:val="21"/>
          <w:highlight w:val="none"/>
        </w:rPr>
      </w:pPr>
    </w:p>
    <w:p w14:paraId="59977EBB">
      <w:pPr>
        <w:spacing w:line="261" w:lineRule="auto"/>
        <w:rPr>
          <w:rFonts w:ascii="Arial"/>
          <w:sz w:val="21"/>
          <w:highlight w:val="none"/>
        </w:rPr>
      </w:pPr>
    </w:p>
    <w:p w14:paraId="6D8A0BAF">
      <w:pPr>
        <w:spacing w:line="262" w:lineRule="auto"/>
        <w:rPr>
          <w:rFonts w:ascii="Arial"/>
          <w:sz w:val="21"/>
          <w:highlight w:val="none"/>
        </w:rPr>
      </w:pPr>
    </w:p>
    <w:p w14:paraId="0465B7E5">
      <w:pPr>
        <w:pStyle w:val="7"/>
        <w:spacing w:before="74" w:line="231" w:lineRule="auto"/>
        <w:ind w:left="58"/>
        <w:rPr>
          <w:sz w:val="23"/>
          <w:szCs w:val="23"/>
          <w:highlight w:val="none"/>
        </w:rPr>
      </w:pPr>
      <w:r>
        <w:rPr>
          <w:spacing w:val="5"/>
          <w:sz w:val="23"/>
          <w:szCs w:val="23"/>
          <w:highlight w:val="none"/>
        </w:rPr>
        <w:t>文件及投标文件要求。</w:t>
      </w:r>
    </w:p>
    <w:p w14:paraId="0A614933">
      <w:pPr>
        <w:pStyle w:val="7"/>
        <w:spacing w:before="178" w:line="231" w:lineRule="auto"/>
        <w:ind w:left="529"/>
        <w:outlineLvl w:val="1"/>
        <w:rPr>
          <w:sz w:val="23"/>
          <w:szCs w:val="23"/>
          <w:highlight w:val="none"/>
        </w:rPr>
      </w:pPr>
      <w:r>
        <w:rPr>
          <w:b/>
          <w:bCs/>
          <w:spacing w:val="-3"/>
          <w:sz w:val="23"/>
          <w:szCs w:val="23"/>
          <w:highlight w:val="none"/>
        </w:rPr>
        <w:t>2.15通知和送达</w:t>
      </w:r>
    </w:p>
    <w:p w14:paraId="1702ECF3">
      <w:pPr>
        <w:pStyle w:val="7"/>
        <w:spacing w:before="192" w:line="330" w:lineRule="auto"/>
        <w:ind w:left="58" w:right="30" w:firstLine="470"/>
        <w:rPr>
          <w:sz w:val="23"/>
          <w:szCs w:val="23"/>
          <w:highlight w:val="none"/>
        </w:rPr>
      </w:pPr>
      <w:r>
        <w:rPr>
          <w:spacing w:val="8"/>
          <w:sz w:val="23"/>
          <w:szCs w:val="23"/>
          <w:highlight w:val="none"/>
        </w:rPr>
        <w:t>2.15.1任何一方因履行合同而以合同第一部分尾部所列明的所有通知、文件、材料，均视为已向对方当事人送达；任何一方变更上述送达方式或者地址的，应于</w:t>
      </w:r>
      <w:r>
        <w:rPr>
          <w:spacing w:val="8"/>
          <w:sz w:val="23"/>
          <w:szCs w:val="23"/>
          <w:highlight w:val="none"/>
          <w:u w:val="single" w:color="auto"/>
        </w:rPr>
        <w:t>3</w:t>
      </w:r>
      <w:r>
        <w:rPr>
          <w:spacing w:val="8"/>
          <w:sz w:val="23"/>
          <w:szCs w:val="23"/>
          <w:highlight w:val="none"/>
        </w:rPr>
        <w:t>个工作日内书面通知对方当事人，在对方当事人</w:t>
      </w:r>
      <w:r>
        <w:rPr>
          <w:spacing w:val="7"/>
          <w:sz w:val="23"/>
          <w:szCs w:val="23"/>
          <w:highlight w:val="none"/>
        </w:rPr>
        <w:t>收到有关变更通知之前，变更前的约定送达方式或者地址仍视为有效。</w:t>
      </w:r>
    </w:p>
    <w:p w14:paraId="6C9577D3">
      <w:pPr>
        <w:pStyle w:val="7"/>
        <w:spacing w:before="220" w:line="315" w:lineRule="auto"/>
        <w:ind w:left="87" w:right="37" w:firstLine="442"/>
        <w:jc w:val="both"/>
        <w:rPr>
          <w:sz w:val="23"/>
          <w:szCs w:val="23"/>
          <w:highlight w:val="none"/>
        </w:rPr>
      </w:pPr>
      <w:r>
        <w:rPr>
          <w:spacing w:val="6"/>
          <w:sz w:val="23"/>
          <w:szCs w:val="23"/>
          <w:highlight w:val="none"/>
        </w:rPr>
        <w:t>2.15.2以当面交付方式送达的，交付之时视为送达</w:t>
      </w:r>
      <w:r>
        <w:rPr>
          <w:spacing w:val="5"/>
          <w:sz w:val="23"/>
          <w:szCs w:val="23"/>
          <w:highlight w:val="none"/>
        </w:rPr>
        <w:t>；以电子邮件方式送达</w:t>
      </w:r>
      <w:r>
        <w:rPr>
          <w:spacing w:val="4"/>
          <w:sz w:val="23"/>
          <w:szCs w:val="23"/>
          <w:highlight w:val="none"/>
        </w:rPr>
        <w:t>的，发出电子邮件之时视为送达；以传真方式送达的，发出传真之时视为送达；</w:t>
      </w:r>
      <w:r>
        <w:rPr>
          <w:spacing w:val="5"/>
          <w:sz w:val="23"/>
          <w:szCs w:val="23"/>
          <w:highlight w:val="none"/>
        </w:rPr>
        <w:t>以邮寄方式送达的，邮件挂号寄出或者交邮之日之次日视为送达。</w:t>
      </w:r>
    </w:p>
    <w:p w14:paraId="2805A580">
      <w:pPr>
        <w:pStyle w:val="7"/>
        <w:spacing w:before="201" w:line="231" w:lineRule="auto"/>
        <w:ind w:left="529"/>
        <w:outlineLvl w:val="1"/>
        <w:rPr>
          <w:sz w:val="23"/>
          <w:szCs w:val="23"/>
          <w:highlight w:val="none"/>
        </w:rPr>
      </w:pPr>
      <w:r>
        <w:rPr>
          <w:b/>
          <w:bCs/>
          <w:spacing w:val="3"/>
          <w:sz w:val="23"/>
          <w:szCs w:val="23"/>
          <w:highlight w:val="none"/>
        </w:rPr>
        <w:t>2.16合同使用的文字和适用的法律</w:t>
      </w:r>
    </w:p>
    <w:p w14:paraId="7C6A7407">
      <w:pPr>
        <w:pStyle w:val="7"/>
        <w:spacing w:before="182" w:line="355" w:lineRule="auto"/>
        <w:ind w:left="529" w:right="3454"/>
        <w:rPr>
          <w:sz w:val="23"/>
          <w:szCs w:val="23"/>
          <w:highlight w:val="none"/>
        </w:rPr>
      </w:pPr>
      <w:r>
        <w:rPr>
          <w:spacing w:val="4"/>
          <w:sz w:val="23"/>
          <w:szCs w:val="23"/>
          <w:highlight w:val="none"/>
        </w:rPr>
        <w:t>2.16.1合同使用汉语书就、变更和解释；</w:t>
      </w:r>
      <w:r>
        <w:rPr>
          <w:spacing w:val="5"/>
          <w:sz w:val="23"/>
          <w:szCs w:val="23"/>
          <w:highlight w:val="none"/>
        </w:rPr>
        <w:t>2.16.2合同适用中华人民共和国法律。</w:t>
      </w:r>
    </w:p>
    <w:p w14:paraId="5516F479">
      <w:pPr>
        <w:pStyle w:val="7"/>
        <w:spacing w:before="43" w:line="229" w:lineRule="auto"/>
        <w:ind w:left="529"/>
        <w:outlineLvl w:val="1"/>
        <w:rPr>
          <w:sz w:val="23"/>
          <w:szCs w:val="23"/>
          <w:highlight w:val="none"/>
        </w:rPr>
      </w:pPr>
      <w:r>
        <w:rPr>
          <w:b/>
          <w:bCs/>
          <w:spacing w:val="-3"/>
          <w:sz w:val="23"/>
          <w:szCs w:val="23"/>
          <w:highlight w:val="none"/>
        </w:rPr>
        <w:t>2.17履约保证金</w:t>
      </w:r>
    </w:p>
    <w:p w14:paraId="6A7A4263">
      <w:pPr>
        <w:pStyle w:val="7"/>
        <w:spacing w:before="201" w:line="314" w:lineRule="auto"/>
        <w:ind w:left="63" w:right="49" w:firstLine="466"/>
        <w:jc w:val="both"/>
        <w:rPr>
          <w:sz w:val="23"/>
          <w:szCs w:val="23"/>
          <w:highlight w:val="none"/>
        </w:rPr>
      </w:pPr>
      <w:r>
        <w:rPr>
          <w:spacing w:val="7"/>
          <w:sz w:val="23"/>
          <w:szCs w:val="23"/>
          <w:highlight w:val="none"/>
        </w:rPr>
        <w:t>2.17.1采购文件要求乙方提交履约保证金的，乙方应按合同金额的</w:t>
      </w:r>
      <w:r>
        <w:rPr>
          <w:b/>
          <w:bCs/>
          <w:spacing w:val="7"/>
          <w:sz w:val="23"/>
          <w:szCs w:val="23"/>
          <w:highlight w:val="none"/>
          <w:u w:val="single" w:color="auto"/>
        </w:rPr>
        <w:t>5%</w:t>
      </w:r>
      <w:r>
        <w:rPr>
          <w:spacing w:val="7"/>
          <w:sz w:val="23"/>
          <w:szCs w:val="23"/>
          <w:highlight w:val="none"/>
        </w:rPr>
        <w:t>计算</w:t>
      </w:r>
      <w:r>
        <w:rPr>
          <w:spacing w:val="3"/>
          <w:sz w:val="23"/>
          <w:szCs w:val="23"/>
          <w:highlight w:val="none"/>
        </w:rPr>
        <w:t>向下取整至万元，以支票、汇票或者转账等非现金形式，在签订</w:t>
      </w:r>
      <w:r>
        <w:rPr>
          <w:spacing w:val="2"/>
          <w:sz w:val="23"/>
          <w:szCs w:val="23"/>
          <w:highlight w:val="none"/>
        </w:rPr>
        <w:t>合同前1个日</w:t>
      </w:r>
      <w:r>
        <w:rPr>
          <w:spacing w:val="-1"/>
          <w:sz w:val="23"/>
          <w:szCs w:val="23"/>
          <w:highlight w:val="none"/>
        </w:rPr>
        <w:t>历日内向采购人交纳履约保证金；</w:t>
      </w:r>
    </w:p>
    <w:p w14:paraId="0E2F3B64">
      <w:pPr>
        <w:pStyle w:val="7"/>
        <w:spacing w:before="224" w:line="284" w:lineRule="auto"/>
        <w:ind w:left="63" w:right="27" w:firstLine="466"/>
        <w:rPr>
          <w:sz w:val="23"/>
          <w:szCs w:val="23"/>
          <w:highlight w:val="none"/>
        </w:rPr>
      </w:pPr>
      <w:r>
        <w:rPr>
          <w:spacing w:val="7"/>
          <w:sz w:val="23"/>
          <w:szCs w:val="23"/>
          <w:highlight w:val="none"/>
        </w:rPr>
        <w:t>2.17.2履约保证金在投标人承诺货物</w:t>
      </w:r>
      <w:r>
        <w:rPr>
          <w:spacing w:val="6"/>
          <w:sz w:val="23"/>
          <w:szCs w:val="23"/>
          <w:highlight w:val="none"/>
        </w:rPr>
        <w:t>质保时间到期后5个工作日内，将履</w:t>
      </w:r>
      <w:r>
        <w:rPr>
          <w:spacing w:val="5"/>
          <w:sz w:val="23"/>
          <w:szCs w:val="23"/>
          <w:highlight w:val="none"/>
        </w:rPr>
        <w:t>约保证金退还乙方；</w:t>
      </w:r>
    </w:p>
    <w:p w14:paraId="2CE2A888">
      <w:pPr>
        <w:pStyle w:val="7"/>
        <w:spacing w:before="225" w:line="314" w:lineRule="auto"/>
        <w:ind w:left="63" w:right="30" w:firstLine="466"/>
        <w:rPr>
          <w:sz w:val="23"/>
          <w:szCs w:val="23"/>
          <w:highlight w:val="none"/>
        </w:rPr>
      </w:pPr>
      <w:r>
        <w:rPr>
          <w:spacing w:val="8"/>
          <w:sz w:val="23"/>
          <w:szCs w:val="23"/>
          <w:highlight w:val="none"/>
        </w:rPr>
        <w:t>2.17.3如果乙方不履行合同，履约保证金不予退还；如果乙方未能按合同</w:t>
      </w:r>
      <w:r>
        <w:rPr>
          <w:spacing w:val="7"/>
          <w:sz w:val="23"/>
          <w:szCs w:val="23"/>
          <w:highlight w:val="none"/>
        </w:rPr>
        <w:t>约定全面履行义务，那么甲方有权从履约保证金中取得</w:t>
      </w:r>
      <w:r>
        <w:rPr>
          <w:spacing w:val="6"/>
          <w:sz w:val="23"/>
          <w:szCs w:val="23"/>
          <w:highlight w:val="none"/>
        </w:rPr>
        <w:t>补偿或赔偿，同时不影</w:t>
      </w:r>
      <w:r>
        <w:rPr>
          <w:spacing w:val="7"/>
          <w:sz w:val="23"/>
          <w:szCs w:val="23"/>
          <w:highlight w:val="none"/>
        </w:rPr>
        <w:t>响甲方要求乙方承担合同约定的超过履约保证金的违约责任的权利。</w:t>
      </w:r>
    </w:p>
    <w:p w14:paraId="6FBF87CD">
      <w:pPr>
        <w:pStyle w:val="7"/>
        <w:spacing w:before="207" w:line="231" w:lineRule="auto"/>
        <w:ind w:left="529"/>
        <w:outlineLvl w:val="1"/>
        <w:rPr>
          <w:sz w:val="23"/>
          <w:szCs w:val="23"/>
          <w:highlight w:val="none"/>
        </w:rPr>
      </w:pPr>
      <w:r>
        <w:rPr>
          <w:b/>
          <w:bCs/>
          <w:spacing w:val="-4"/>
          <w:sz w:val="23"/>
          <w:szCs w:val="23"/>
          <w:highlight w:val="none"/>
        </w:rPr>
        <w:t>2.18合同份数</w:t>
      </w:r>
    </w:p>
    <w:p w14:paraId="5DE47798">
      <w:pPr>
        <w:pStyle w:val="7"/>
        <w:spacing w:before="176" w:line="231" w:lineRule="auto"/>
        <w:ind w:left="552"/>
        <w:rPr>
          <w:sz w:val="23"/>
          <w:szCs w:val="23"/>
          <w:highlight w:val="none"/>
        </w:rPr>
      </w:pPr>
      <w:r>
        <w:rPr>
          <w:spacing w:val="4"/>
          <w:sz w:val="23"/>
          <w:szCs w:val="23"/>
          <w:highlight w:val="none"/>
        </w:rPr>
        <w:t>合同一式四份，甲乙双方各持2份，每份均具有同等法律效力。</w:t>
      </w:r>
    </w:p>
    <w:p w14:paraId="67E24529">
      <w:pPr>
        <w:spacing w:line="231" w:lineRule="auto"/>
        <w:rPr>
          <w:sz w:val="23"/>
          <w:szCs w:val="23"/>
          <w:highlight w:val="none"/>
        </w:rPr>
        <w:sectPr>
          <w:pgSz w:w="11906" w:h="16838"/>
          <w:pgMar w:top="400" w:right="1785" w:bottom="400" w:left="1785" w:header="0" w:footer="0" w:gutter="0"/>
          <w:pgNumType w:fmt="decimal"/>
          <w:cols w:space="720" w:num="1"/>
        </w:sectPr>
      </w:pPr>
    </w:p>
    <w:p w14:paraId="63728E4B">
      <w:pPr>
        <w:spacing w:line="259" w:lineRule="auto"/>
        <w:rPr>
          <w:rFonts w:ascii="Arial"/>
          <w:sz w:val="21"/>
          <w:highlight w:val="none"/>
        </w:rPr>
      </w:pPr>
    </w:p>
    <w:p w14:paraId="2DFE978F">
      <w:pPr>
        <w:spacing w:line="259" w:lineRule="auto"/>
        <w:rPr>
          <w:rFonts w:ascii="Arial"/>
          <w:sz w:val="21"/>
          <w:highlight w:val="none"/>
        </w:rPr>
      </w:pPr>
    </w:p>
    <w:p w14:paraId="3526C145">
      <w:pPr>
        <w:spacing w:line="259" w:lineRule="auto"/>
        <w:rPr>
          <w:rFonts w:ascii="Arial"/>
          <w:sz w:val="21"/>
          <w:highlight w:val="none"/>
        </w:rPr>
      </w:pPr>
    </w:p>
    <w:p w14:paraId="5DD48AE9">
      <w:pPr>
        <w:spacing w:line="260" w:lineRule="auto"/>
        <w:rPr>
          <w:rFonts w:ascii="Arial"/>
          <w:sz w:val="21"/>
          <w:highlight w:val="none"/>
        </w:rPr>
      </w:pPr>
    </w:p>
    <w:p w14:paraId="03729B93">
      <w:pPr>
        <w:pStyle w:val="7"/>
        <w:spacing w:before="91" w:line="223" w:lineRule="auto"/>
        <w:ind w:left="2785"/>
        <w:outlineLvl w:val="0"/>
        <w:rPr>
          <w:sz w:val="28"/>
          <w:szCs w:val="28"/>
          <w:highlight w:val="none"/>
        </w:rPr>
      </w:pPr>
      <w:r>
        <w:rPr>
          <w:b/>
          <w:bCs/>
          <w:spacing w:val="-14"/>
          <w:sz w:val="28"/>
          <w:szCs w:val="28"/>
          <w:highlight w:val="none"/>
        </w:rPr>
        <w:t>第三部分合同专用条款</w:t>
      </w:r>
    </w:p>
    <w:p w14:paraId="3619C2E8">
      <w:pPr>
        <w:pStyle w:val="7"/>
        <w:spacing w:before="212" w:line="352" w:lineRule="auto"/>
        <w:ind w:left="64" w:right="66" w:firstLine="480"/>
        <w:rPr>
          <w:sz w:val="23"/>
          <w:szCs w:val="23"/>
          <w:highlight w:val="none"/>
        </w:rPr>
      </w:pPr>
      <w:r>
        <w:rPr>
          <w:spacing w:val="7"/>
          <w:sz w:val="23"/>
          <w:szCs w:val="23"/>
          <w:highlight w:val="none"/>
        </w:rPr>
        <w:t>本部分是对前两部分的补充和修改，如果前两部分和本部分的约定不一致，</w:t>
      </w:r>
      <w:r>
        <w:rPr>
          <w:spacing w:val="14"/>
          <w:sz w:val="23"/>
          <w:szCs w:val="23"/>
          <w:highlight w:val="none"/>
        </w:rPr>
        <w:t>应以本部分的约定为准。本部分的条款号应与前两部分的条款号保持对应；与</w:t>
      </w:r>
      <w:r>
        <w:rPr>
          <w:spacing w:val="6"/>
          <w:sz w:val="23"/>
          <w:szCs w:val="23"/>
          <w:highlight w:val="none"/>
        </w:rPr>
        <w:t>前两部分无对应关系的内容可另行编制条款号。</w:t>
      </w:r>
    </w:p>
    <w:p w14:paraId="51C9F50D">
      <w:pPr>
        <w:spacing w:line="134" w:lineRule="auto"/>
        <w:rPr>
          <w:rFonts w:ascii="Arial"/>
          <w:sz w:val="2"/>
          <w:highlight w:val="none"/>
        </w:rPr>
      </w:pPr>
    </w:p>
    <w:tbl>
      <w:tblPr>
        <w:tblStyle w:val="25"/>
        <w:tblW w:w="8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7633"/>
      </w:tblGrid>
      <w:tr w14:paraId="045D0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07" w:type="dxa"/>
            <w:vAlign w:val="top"/>
          </w:tcPr>
          <w:p w14:paraId="1451F48C">
            <w:pPr>
              <w:pStyle w:val="26"/>
              <w:spacing w:before="135" w:line="220" w:lineRule="auto"/>
              <w:ind w:left="73"/>
              <w:rPr>
                <w:highlight w:val="none"/>
              </w:rPr>
            </w:pPr>
            <w:r>
              <w:rPr>
                <w:b/>
                <w:bCs/>
                <w:spacing w:val="-4"/>
                <w:highlight w:val="none"/>
              </w:rPr>
              <w:t>条款号</w:t>
            </w:r>
          </w:p>
        </w:tc>
        <w:tc>
          <w:tcPr>
            <w:tcW w:w="7633" w:type="dxa"/>
            <w:vAlign w:val="top"/>
          </w:tcPr>
          <w:p w14:paraId="231021FD">
            <w:pPr>
              <w:pStyle w:val="26"/>
              <w:spacing w:before="135" w:line="220" w:lineRule="auto"/>
              <w:ind w:left="3362"/>
              <w:rPr>
                <w:highlight w:val="none"/>
              </w:rPr>
            </w:pPr>
            <w:r>
              <w:rPr>
                <w:b/>
                <w:bCs/>
                <w:spacing w:val="-2"/>
                <w:highlight w:val="none"/>
              </w:rPr>
              <w:t>约定内容</w:t>
            </w:r>
          </w:p>
        </w:tc>
      </w:tr>
      <w:tr w14:paraId="38D90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807" w:type="dxa"/>
            <w:vAlign w:val="top"/>
          </w:tcPr>
          <w:p w14:paraId="28059BC9">
            <w:pPr>
              <w:rPr>
                <w:rFonts w:ascii="Arial"/>
                <w:sz w:val="21"/>
                <w:highlight w:val="none"/>
              </w:rPr>
            </w:pPr>
          </w:p>
        </w:tc>
        <w:tc>
          <w:tcPr>
            <w:tcW w:w="7633" w:type="dxa"/>
            <w:vAlign w:val="top"/>
          </w:tcPr>
          <w:p w14:paraId="094F7452">
            <w:pPr>
              <w:rPr>
                <w:rFonts w:ascii="Arial"/>
                <w:sz w:val="21"/>
                <w:highlight w:val="none"/>
              </w:rPr>
            </w:pPr>
          </w:p>
        </w:tc>
      </w:tr>
      <w:tr w14:paraId="57163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807" w:type="dxa"/>
            <w:vAlign w:val="top"/>
          </w:tcPr>
          <w:p w14:paraId="0E936A90">
            <w:pPr>
              <w:rPr>
                <w:rFonts w:ascii="Arial"/>
                <w:sz w:val="21"/>
                <w:highlight w:val="none"/>
              </w:rPr>
            </w:pPr>
          </w:p>
        </w:tc>
        <w:tc>
          <w:tcPr>
            <w:tcW w:w="7633" w:type="dxa"/>
            <w:vAlign w:val="top"/>
          </w:tcPr>
          <w:p w14:paraId="09923E45">
            <w:pPr>
              <w:rPr>
                <w:rFonts w:ascii="Arial"/>
                <w:sz w:val="21"/>
                <w:highlight w:val="none"/>
              </w:rPr>
            </w:pPr>
          </w:p>
        </w:tc>
      </w:tr>
      <w:tr w14:paraId="748E3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807" w:type="dxa"/>
            <w:vAlign w:val="top"/>
          </w:tcPr>
          <w:p w14:paraId="70CD33D1">
            <w:pPr>
              <w:rPr>
                <w:rFonts w:ascii="Arial"/>
                <w:sz w:val="21"/>
                <w:highlight w:val="none"/>
              </w:rPr>
            </w:pPr>
          </w:p>
        </w:tc>
        <w:tc>
          <w:tcPr>
            <w:tcW w:w="7633" w:type="dxa"/>
            <w:vAlign w:val="top"/>
          </w:tcPr>
          <w:p w14:paraId="051859E5">
            <w:pPr>
              <w:rPr>
                <w:rFonts w:ascii="Arial"/>
                <w:sz w:val="21"/>
                <w:highlight w:val="none"/>
              </w:rPr>
            </w:pPr>
          </w:p>
        </w:tc>
      </w:tr>
      <w:tr w14:paraId="4AE21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807" w:type="dxa"/>
            <w:vAlign w:val="top"/>
          </w:tcPr>
          <w:p w14:paraId="0952D82D">
            <w:pPr>
              <w:rPr>
                <w:rFonts w:ascii="Arial"/>
                <w:sz w:val="21"/>
                <w:highlight w:val="none"/>
              </w:rPr>
            </w:pPr>
          </w:p>
        </w:tc>
        <w:tc>
          <w:tcPr>
            <w:tcW w:w="7633" w:type="dxa"/>
            <w:vAlign w:val="top"/>
          </w:tcPr>
          <w:p w14:paraId="48FE0DA4">
            <w:pPr>
              <w:rPr>
                <w:rFonts w:ascii="Arial"/>
                <w:sz w:val="21"/>
                <w:highlight w:val="none"/>
              </w:rPr>
            </w:pPr>
          </w:p>
        </w:tc>
      </w:tr>
      <w:tr w14:paraId="01C18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807" w:type="dxa"/>
            <w:vAlign w:val="top"/>
          </w:tcPr>
          <w:p w14:paraId="54963D45">
            <w:pPr>
              <w:rPr>
                <w:rFonts w:ascii="Arial"/>
                <w:sz w:val="21"/>
                <w:highlight w:val="none"/>
              </w:rPr>
            </w:pPr>
          </w:p>
        </w:tc>
        <w:tc>
          <w:tcPr>
            <w:tcW w:w="7633" w:type="dxa"/>
            <w:vAlign w:val="top"/>
          </w:tcPr>
          <w:p w14:paraId="6C27C478">
            <w:pPr>
              <w:rPr>
                <w:rFonts w:ascii="Arial"/>
                <w:sz w:val="21"/>
                <w:highlight w:val="none"/>
              </w:rPr>
            </w:pPr>
          </w:p>
        </w:tc>
      </w:tr>
      <w:tr w14:paraId="34C06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807" w:type="dxa"/>
            <w:vAlign w:val="top"/>
          </w:tcPr>
          <w:p w14:paraId="7ACC2E8F">
            <w:pPr>
              <w:rPr>
                <w:rFonts w:ascii="Arial"/>
                <w:sz w:val="21"/>
                <w:highlight w:val="none"/>
              </w:rPr>
            </w:pPr>
          </w:p>
        </w:tc>
        <w:tc>
          <w:tcPr>
            <w:tcW w:w="7633" w:type="dxa"/>
            <w:vAlign w:val="top"/>
          </w:tcPr>
          <w:p w14:paraId="3B273502">
            <w:pPr>
              <w:rPr>
                <w:rFonts w:ascii="Arial"/>
                <w:sz w:val="21"/>
                <w:highlight w:val="none"/>
              </w:rPr>
            </w:pPr>
          </w:p>
        </w:tc>
      </w:tr>
      <w:tr w14:paraId="502A6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trPr>
        <w:tc>
          <w:tcPr>
            <w:tcW w:w="807" w:type="dxa"/>
            <w:vAlign w:val="top"/>
          </w:tcPr>
          <w:p w14:paraId="691F9DCA">
            <w:pPr>
              <w:rPr>
                <w:rFonts w:ascii="Arial"/>
                <w:sz w:val="21"/>
                <w:highlight w:val="none"/>
              </w:rPr>
            </w:pPr>
          </w:p>
        </w:tc>
        <w:tc>
          <w:tcPr>
            <w:tcW w:w="7633" w:type="dxa"/>
            <w:vAlign w:val="top"/>
          </w:tcPr>
          <w:p w14:paraId="17D316A8">
            <w:pPr>
              <w:rPr>
                <w:rFonts w:ascii="Arial"/>
                <w:sz w:val="21"/>
                <w:highlight w:val="none"/>
              </w:rPr>
            </w:pPr>
          </w:p>
        </w:tc>
      </w:tr>
      <w:tr w14:paraId="479DD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807" w:type="dxa"/>
            <w:vAlign w:val="top"/>
          </w:tcPr>
          <w:p w14:paraId="3C978D8E">
            <w:pPr>
              <w:rPr>
                <w:rFonts w:ascii="Arial"/>
                <w:sz w:val="21"/>
                <w:highlight w:val="none"/>
              </w:rPr>
            </w:pPr>
          </w:p>
        </w:tc>
        <w:tc>
          <w:tcPr>
            <w:tcW w:w="7633" w:type="dxa"/>
            <w:vAlign w:val="top"/>
          </w:tcPr>
          <w:p w14:paraId="2850CA73">
            <w:pPr>
              <w:rPr>
                <w:rFonts w:ascii="Arial"/>
                <w:sz w:val="21"/>
                <w:highlight w:val="none"/>
              </w:rPr>
            </w:pPr>
          </w:p>
        </w:tc>
      </w:tr>
      <w:tr w14:paraId="5974C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07" w:type="dxa"/>
            <w:vAlign w:val="top"/>
          </w:tcPr>
          <w:p w14:paraId="68CABDA7">
            <w:pPr>
              <w:rPr>
                <w:rFonts w:ascii="Arial"/>
                <w:sz w:val="21"/>
                <w:highlight w:val="none"/>
              </w:rPr>
            </w:pPr>
          </w:p>
        </w:tc>
        <w:tc>
          <w:tcPr>
            <w:tcW w:w="7633" w:type="dxa"/>
            <w:vAlign w:val="top"/>
          </w:tcPr>
          <w:p w14:paraId="38AA5B73">
            <w:pPr>
              <w:rPr>
                <w:rFonts w:ascii="Arial"/>
                <w:sz w:val="21"/>
                <w:highlight w:val="none"/>
              </w:rPr>
            </w:pPr>
          </w:p>
        </w:tc>
      </w:tr>
    </w:tbl>
    <w:p w14:paraId="0B76C018">
      <w:pPr>
        <w:rPr>
          <w:rFonts w:ascii="Arial"/>
          <w:sz w:val="21"/>
          <w:highlight w:val="none"/>
        </w:rPr>
      </w:pPr>
    </w:p>
    <w:p w14:paraId="1193EEA3">
      <w:pPr>
        <w:spacing w:before="103" w:line="234" w:lineRule="auto"/>
        <w:ind w:left="9"/>
        <w:rPr>
          <w:rFonts w:ascii="方正仿宋_GBK" w:hAnsi="方正仿宋_GBK" w:eastAsia="方正仿宋_GBK" w:cs="方正仿宋_GBK"/>
          <w:sz w:val="28"/>
          <w:szCs w:val="28"/>
          <w:highlight w:val="none"/>
        </w:rPr>
      </w:pPr>
    </w:p>
    <w:sectPr>
      <w:footerReference r:id="rId32" w:type="default"/>
      <w:pgSz w:w="11906" w:h="16838"/>
      <w:pgMar w:top="400" w:right="1133" w:bottom="1260" w:left="1429" w:header="0" w:footer="108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6EDDF97-77C6-4286-8590-E6D005ED892A}"/>
  </w:font>
  <w:font w:name="黑体">
    <w:panose1 w:val="02010609060101010101"/>
    <w:charset w:val="86"/>
    <w:family w:val="auto"/>
    <w:pitch w:val="default"/>
    <w:sig w:usb0="800002BF" w:usb1="38CF7CFA" w:usb2="00000016" w:usb3="00000000" w:csb0="00040001" w:csb1="00000000"/>
    <w:embedRegular r:id="rId2" w:fontKey="{457B19A5-7806-462A-B556-C2C1416570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3" w:fontKey="{26446808-5E15-475F-A477-49EB896DFF1E}"/>
  </w:font>
  <w:font w:name="仿宋">
    <w:panose1 w:val="02010609060101010101"/>
    <w:charset w:val="86"/>
    <w:family w:val="auto"/>
    <w:pitch w:val="default"/>
    <w:sig w:usb0="800002BF" w:usb1="38CF7CFA" w:usb2="00000016" w:usb3="00000000" w:csb0="00040001" w:csb1="00000000"/>
    <w:embedRegular r:id="rId4" w:fontKey="{4B4F7377-F9C5-48E1-8AF1-BCDD7FAABA8F}"/>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auto"/>
    <w:pitch w:val="default"/>
    <w:sig w:usb0="00000001" w:usb1="080E0000" w:usb2="00000000" w:usb3="00000000" w:csb0="00040000" w:csb1="00000000"/>
    <w:embedRegular r:id="rId5" w:fontKey="{6C6D4A7C-E5E9-4CB7-A7FA-ECBABD723336}"/>
  </w:font>
  <w:font w:name="微软雅黑">
    <w:panose1 w:val="020B0503020204020204"/>
    <w:charset w:val="86"/>
    <w:family w:val="auto"/>
    <w:pitch w:val="default"/>
    <w:sig w:usb0="80000287" w:usb1="2ACF3C50" w:usb2="00000016" w:usb3="00000000" w:csb0="0004001F" w:csb1="00000000"/>
    <w:embedRegular r:id="rId6" w:fontKey="{5B80FB57-8181-41D8-8215-9C21F0EF92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FBCBE">
    <w:pPr>
      <w:spacing w:line="180" w:lineRule="auto"/>
      <w:ind w:left="9215"/>
      <w:rPr>
        <w:rFonts w:ascii="宋体" w:hAnsi="宋体" w:eastAsia="宋体" w:cs="宋体"/>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B2BA67">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B2BA67">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7F3C6">
    <w:pPr>
      <w:tabs>
        <w:tab w:val="left" w:pos="4303"/>
      </w:tabs>
      <w:spacing w:line="179" w:lineRule="auto"/>
      <w:ind w:left="4086"/>
      <w:rPr>
        <w:rFonts w:ascii="宋体" w:hAnsi="宋体" w:eastAsia="宋体" w:cs="宋体"/>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16AB54">
                          <w:pPr>
                            <w:pStyle w:val="1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C16AB54">
                    <w:pPr>
                      <w:pStyle w:val="13"/>
                    </w:pPr>
                    <w:r>
                      <w:fldChar w:fldCharType="begin"/>
                    </w:r>
                    <w:r>
                      <w:instrText xml:space="preserve"> PAGE  \* MERGEFORMAT </w:instrText>
                    </w:r>
                    <w:r>
                      <w:fldChar w:fldCharType="separate"/>
                    </w:r>
                    <w:r>
                      <w:t>26</w:t>
                    </w:r>
                    <w:r>
                      <w:fldChar w:fldCharType="end"/>
                    </w:r>
                  </w:p>
                </w:txbxContent>
              </v:textbox>
            </v:shape>
          </w:pict>
        </mc:Fallback>
      </mc:AlternateContent>
    </w: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150250">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fill on="f" focussize="0,0"/>
              <v:stroke on="f" weight="0.5pt"/>
              <v:imagedata o:title=""/>
              <o:lock v:ext="edit" aspectratio="f"/>
              <v:textbox inset="0mm,0mm,0mm,0mm" style="mso-fit-shape-to-text:t;">
                <w:txbxContent>
                  <w:p w14:paraId="15150250">
                    <w:pPr>
                      <w:pStyle w:val="13"/>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CF8F6">
    <w:pPr>
      <w:spacing w:line="179" w:lineRule="auto"/>
      <w:ind w:left="4086"/>
      <w:rPr>
        <w:rFonts w:ascii="宋体" w:hAnsi="宋体" w:eastAsia="宋体" w:cs="宋体"/>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F88241">
                          <w:pPr>
                            <w:pStyle w:val="1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2F88241">
                    <w:pPr>
                      <w:pStyle w:val="13"/>
                    </w:pPr>
                    <w:r>
                      <w:fldChar w:fldCharType="begin"/>
                    </w:r>
                    <w:r>
                      <w:instrText xml:space="preserve"> PAGE  \* MERGEFORMAT </w:instrText>
                    </w:r>
                    <w:r>
                      <w:fldChar w:fldCharType="separate"/>
                    </w:r>
                    <w:r>
                      <w:t>29</w:t>
                    </w:r>
                    <w:r>
                      <w:fldChar w:fldCharType="end"/>
                    </w:r>
                  </w:p>
                </w:txbxContent>
              </v:textbox>
            </v:shape>
          </w:pict>
        </mc:Fallback>
      </mc:AlternateContent>
    </w: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947E1F">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nzkI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585CNAIAAGUEAAAOAAAAAAAAAAEAIAAAAB8BAABkcnMvZTJvRG9jLnhtbFBL&#10;BQYAAAAABgAGAFkBAADFBQAAAAA=&#10;">
              <v:fill on="f" focussize="0,0"/>
              <v:stroke on="f" weight="0.5pt"/>
              <v:imagedata o:title=""/>
              <o:lock v:ext="edit" aspectratio="f"/>
              <v:textbox inset="0mm,0mm,0mm,0mm" style="mso-fit-shape-to-text:t;">
                <w:txbxContent>
                  <w:p w14:paraId="42947E1F">
                    <w:pPr>
                      <w:pStyle w:val="13"/>
                    </w:pPr>
                  </w:p>
                </w:txbxContent>
              </v:textbox>
            </v:shape>
          </w:pict>
        </mc:Fallback>
      </mc:AlternateContent>
    </w: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C4D787">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iun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Viun0zAgAAZQQAAA4AAAAAAAAAAQAgAAAAHwEAAGRycy9lMm9Eb2MueG1sUEsF&#10;BgAAAAAGAAYAWQEAAMQFAAAAAA==&#10;">
              <v:fill on="f" focussize="0,0"/>
              <v:stroke on="f" weight="0.5pt"/>
              <v:imagedata o:title=""/>
              <o:lock v:ext="edit" aspectratio="f"/>
              <v:textbox inset="0mm,0mm,0mm,0mm" style="mso-fit-shape-to-text:t;">
                <w:txbxContent>
                  <w:p w14:paraId="1FC4D787">
                    <w:pPr>
                      <w:pStyle w:val="13"/>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AC5DC">
    <w:pPr>
      <w:spacing w:line="179" w:lineRule="auto"/>
      <w:ind w:left="4776"/>
      <w:rPr>
        <w:rFonts w:ascii="宋体" w:hAnsi="宋体" w:eastAsia="宋体" w:cs="宋体"/>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1243A5">
                          <w:pPr>
                            <w:pStyle w:val="1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D1243A5">
                    <w:pPr>
                      <w:pStyle w:val="13"/>
                    </w:pPr>
                    <w:r>
                      <w:fldChar w:fldCharType="begin"/>
                    </w:r>
                    <w:r>
                      <w:instrText xml:space="preserve"> PAGE  \* MERGEFORMAT </w:instrText>
                    </w:r>
                    <w:r>
                      <w:fldChar w:fldCharType="separate"/>
                    </w:r>
                    <w:r>
                      <w:t>30</w:t>
                    </w:r>
                    <w:r>
                      <w:fldChar w:fldCharType="end"/>
                    </w:r>
                  </w:p>
                </w:txbxContent>
              </v:textbox>
            </v:shape>
          </w:pict>
        </mc:Fallback>
      </mc:AlternateContent>
    </w: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9" name="文本框 2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68A5C8">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7eJOE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pcQwjZKffnw/&#10;/Xw4/fpG0iEkalyYIfLeITa272yLxhnOAw4T87byOn3BicAPgY8XgUUbCU+XppPpNIeLwzdsgJ89&#10;Xnc+xPfCapKMgnpUsBOWHTYh9qFDSMpm7Foq1VVRGdIU9Or1m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3iThNAIAAGUEAAAOAAAAAAAAAAEAIAAAAB8BAABkcnMvZTJvRG9jLnhtbFBL&#10;BQYAAAAABgAGAFkBAADFBQAAAAA=&#10;">
              <v:fill on="f" focussize="0,0"/>
              <v:stroke on="f" weight="0.5pt"/>
              <v:imagedata o:title=""/>
              <o:lock v:ext="edit" aspectratio="f"/>
              <v:textbox inset="0mm,0mm,0mm,0mm" style="mso-fit-shape-to-text:t;">
                <w:txbxContent>
                  <w:p w14:paraId="4D68A5C8">
                    <w:pPr>
                      <w:pStyle w:val="13"/>
                    </w:pP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AECAF">
    <w:pPr>
      <w:pStyle w:val="13"/>
      <w:ind w:right="360"/>
      <w:jc w:val="both"/>
      <w:rPr>
        <w:rFonts w:hint="eastAsia"/>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FDE6D1">
                          <w:pPr>
                            <w:pStyle w:val="1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5FDE6D1">
                    <w:pPr>
                      <w:pStyle w:val="13"/>
                    </w:pPr>
                    <w:r>
                      <w:fldChar w:fldCharType="begin"/>
                    </w:r>
                    <w:r>
                      <w:instrText xml:space="preserve"> PAGE  \* MERGEFORMAT </w:instrText>
                    </w:r>
                    <w:r>
                      <w:fldChar w:fldCharType="separate"/>
                    </w:r>
                    <w:r>
                      <w:t>31</w:t>
                    </w:r>
                    <w:r>
                      <w:fldChar w:fldCharType="end"/>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4FA611">
                          <w:pPr>
                            <w:pStyle w:val="1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574FA611">
                    <w:pPr>
                      <w:pStyle w:val="13"/>
                    </w:pP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8A1E8">
    <w:pPr>
      <w:pStyle w:val="13"/>
      <w:ind w:right="360"/>
      <w:jc w:val="both"/>
      <w:rPr>
        <w:rFonts w:hint="eastAsia"/>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CCB020">
                          <w:pPr>
                            <w:pStyle w:val="1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CCCB020">
                    <w:pPr>
                      <w:pStyle w:val="1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A3525">
    <w:pPr>
      <w:pStyle w:val="13"/>
      <w:ind w:right="360"/>
      <w:jc w:val="both"/>
      <w:rPr>
        <w:rFonts w:hint="eastAsia"/>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1BF71">
                          <w:pPr>
                            <w:pStyle w:val="1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2DE1BF71">
                    <w:pPr>
                      <w:pStyle w:val="13"/>
                    </w:pPr>
                    <w:r>
                      <w:fldChar w:fldCharType="begin"/>
                    </w:r>
                    <w:r>
                      <w:instrText xml:space="preserve"> PAGE  \* MERGEFORMAT </w:instrText>
                    </w:r>
                    <w:r>
                      <w:fldChar w:fldCharType="separate"/>
                    </w:r>
                    <w:r>
                      <w:t>36</w:t>
                    </w:r>
                    <w:r>
                      <w:fldChar w:fldCharType="end"/>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22D5BC">
                          <w:pPr>
                            <w:pStyle w:val="13"/>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D22D5BC">
                    <w:pPr>
                      <w:pStyle w:val="13"/>
                    </w:pP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3757E">
    <w:pPr>
      <w:spacing w:line="180" w:lineRule="auto"/>
      <w:ind w:left="8917"/>
      <w:rPr>
        <w:rFonts w:ascii="宋体" w:hAnsi="宋体" w:eastAsia="宋体" w:cs="宋体"/>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790E75">
                          <w:pPr>
                            <w:pStyle w:val="1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1A790E75">
                    <w:pPr>
                      <w:pStyle w:val="13"/>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355A9">
    <w:pPr>
      <w:spacing w:line="179" w:lineRule="auto"/>
      <w:ind w:left="4098"/>
      <w:rPr>
        <w:rFonts w:ascii="宋体" w:hAnsi="宋体" w:eastAsia="宋体" w:cs="宋体"/>
        <w:sz w:val="17"/>
        <w:szCs w:val="17"/>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CBCA8">
                          <w:pPr>
                            <w:pStyle w:val="1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FBCBCA8">
                    <w:pPr>
                      <w:pStyle w:val="13"/>
                    </w:pPr>
                    <w:r>
                      <w:fldChar w:fldCharType="begin"/>
                    </w:r>
                    <w:r>
                      <w:instrText xml:space="preserve"> PAGE  \* MERGEFORMAT </w:instrText>
                    </w:r>
                    <w:r>
                      <w:fldChar w:fldCharType="separate"/>
                    </w:r>
                    <w:r>
                      <w:t>42</w:t>
                    </w:r>
                    <w:r>
                      <w:fldChar w:fldCharType="end"/>
                    </w:r>
                  </w:p>
                </w:txbxContent>
              </v:textbox>
            </v:shape>
          </w:pict>
        </mc:Fallback>
      </mc:AlternateContent>
    </w: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C25E93">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14:paraId="47C25E93">
                    <w:pPr>
                      <w:pStyle w:val="13"/>
                    </w:pP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E01AC">
    <w:pPr>
      <w:tabs>
        <w:tab w:val="left" w:pos="4333"/>
      </w:tabs>
      <w:spacing w:line="180" w:lineRule="auto"/>
      <w:ind w:left="4098"/>
      <w:rPr>
        <w:rFonts w:ascii="宋体" w:hAnsi="宋体" w:eastAsia="宋体" w:cs="宋体"/>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4A01FC">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214A01FC">
                    <w:pPr>
                      <w:pStyle w:val="13"/>
                    </w:pPr>
                    <w:r>
                      <w:fldChar w:fldCharType="begin"/>
                    </w:r>
                    <w:r>
                      <w:instrText xml:space="preserve"> PAGE  \* MERGEFORMAT </w:instrText>
                    </w:r>
                    <w:r>
                      <w:fldChar w:fldCharType="separate"/>
                    </w:r>
                    <w:r>
                      <w:t>43</w:t>
                    </w:r>
                    <w:r>
                      <w:fldChar w:fldCharType="end"/>
                    </w:r>
                  </w:p>
                </w:txbxContent>
              </v:textbox>
            </v:shape>
          </w:pict>
        </mc:Fallback>
      </mc:AlternateContent>
    </w: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FF710D">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14:paraId="66FF710D">
                    <w:pPr>
                      <w:pStyle w:val="13"/>
                    </w:pP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CC16B">
    <w:pPr>
      <w:spacing w:line="179" w:lineRule="auto"/>
      <w:ind w:left="4098"/>
      <w:rPr>
        <w:rFonts w:ascii="宋体" w:hAnsi="宋体" w:eastAsia="宋体" w:cs="宋体"/>
        <w:sz w:val="17"/>
        <w:szCs w:val="17"/>
      </w:rPr>
    </w:pPr>
    <w:r>
      <w:rPr>
        <w:sz w:val="17"/>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58597F">
                          <w:pPr>
                            <w:pStyle w:val="1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2B58597F">
                    <w:pPr>
                      <w:pStyle w:val="13"/>
                    </w:pPr>
                    <w:r>
                      <w:fldChar w:fldCharType="begin"/>
                    </w:r>
                    <w:r>
                      <w:instrText xml:space="preserve"> PAGE  \* MERGEFORMAT </w:instrText>
                    </w:r>
                    <w:r>
                      <w:fldChar w:fldCharType="separate"/>
                    </w:r>
                    <w:r>
                      <w:t>44</w:t>
                    </w:r>
                    <w:r>
                      <w:fldChar w:fldCharType="end"/>
                    </w:r>
                  </w:p>
                </w:txbxContent>
              </v:textbox>
            </v:shape>
          </w:pict>
        </mc:Fallback>
      </mc:AlternateContent>
    </w: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D83B59">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14:paraId="3CD83B59">
                    <w:pPr>
                      <w:pStyle w:val="1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914FC">
    <w:pPr>
      <w:spacing w:line="179" w:lineRule="auto"/>
      <w:ind w:left="9208"/>
      <w:rPr>
        <w:rFonts w:ascii="宋体" w:hAnsi="宋体" w:eastAsia="宋体" w:cs="宋体"/>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A2211D">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8A2211D">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FA032">
    <w:pPr>
      <w:tabs>
        <w:tab w:val="left" w:pos="4333"/>
      </w:tabs>
      <w:spacing w:line="178" w:lineRule="auto"/>
      <w:ind w:left="4098"/>
      <w:rPr>
        <w:rFonts w:ascii="宋体" w:hAnsi="宋体" w:eastAsia="宋体" w:cs="宋体"/>
        <w:sz w:val="17"/>
        <w:szCs w:val="17"/>
      </w:rPr>
    </w:pPr>
    <w:r>
      <w:rPr>
        <w:sz w:val="17"/>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DA31EA">
                          <w:pPr>
                            <w:pStyle w:val="1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0DA31EA">
                    <w:pPr>
                      <w:pStyle w:val="1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9E8BE">
    <w:pPr>
      <w:spacing w:line="179" w:lineRule="auto"/>
      <w:ind w:left="4124"/>
      <w:rPr>
        <w:rFonts w:ascii="宋体" w:hAnsi="宋体" w:eastAsia="宋体" w:cs="宋体"/>
        <w:sz w:val="17"/>
        <w:szCs w:val="17"/>
      </w:rPr>
    </w:pPr>
    <w:r>
      <w:rPr>
        <w:sz w:val="17"/>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DC9086">
                          <w:pPr>
                            <w:pStyle w:val="1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25DC9086">
                    <w:pPr>
                      <w:pStyle w:val="13"/>
                    </w:pPr>
                    <w:r>
                      <w:fldChar w:fldCharType="begin"/>
                    </w:r>
                    <w:r>
                      <w:instrText xml:space="preserve"> PAGE  \* MERGEFORMAT </w:instrText>
                    </w:r>
                    <w:r>
                      <w:fldChar w:fldCharType="separate"/>
                    </w:r>
                    <w:r>
                      <w:t>50</w:t>
                    </w:r>
                    <w:r>
                      <w:fldChar w:fldCharType="end"/>
                    </w:r>
                  </w:p>
                </w:txbxContent>
              </v:textbox>
            </v:shape>
          </w:pict>
        </mc:Fallback>
      </mc:AlternateContent>
    </w: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FAF88E">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LIzM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FSyMzNAIAAGUEAAAOAAAAAAAAAAEAIAAAAB8BAABkcnMvZTJvRG9jLnhtbFBL&#10;BQYAAAAABgAGAFkBAADFBQAAAAA=&#10;">
              <v:fill on="f" focussize="0,0"/>
              <v:stroke on="f" weight="0.5pt"/>
              <v:imagedata o:title=""/>
              <o:lock v:ext="edit" aspectratio="f"/>
              <v:textbox inset="0mm,0mm,0mm,0mm" style="mso-fit-shape-to-text:t;">
                <w:txbxContent>
                  <w:p w14:paraId="67FAF88E">
                    <w:pPr>
                      <w:pStyle w:val="13"/>
                    </w:pP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C510A">
    <w:pPr>
      <w:spacing w:line="179" w:lineRule="auto"/>
      <w:ind w:left="8848"/>
      <w:rPr>
        <w:rFonts w:ascii="宋体" w:hAnsi="宋体" w:eastAsia="宋体" w:cs="宋体"/>
        <w:sz w:val="17"/>
        <w:szCs w:val="17"/>
      </w:rPr>
    </w:pPr>
    <w:r>
      <w:rPr>
        <w:sz w:val="17"/>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EBB956">
                          <w:pPr>
                            <w:pStyle w:val="13"/>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78EBB956">
                    <w:pPr>
                      <w:pStyle w:val="1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E5877">
    <w:pPr>
      <w:pStyle w:val="13"/>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903FB8">
                          <w:pPr>
                            <w:pStyle w:val="13"/>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74903FB8">
                    <w:pPr>
                      <w:pStyle w:val="13"/>
                    </w:pPr>
                    <w:r>
                      <w:fldChar w:fldCharType="begin"/>
                    </w:r>
                    <w:r>
                      <w:instrText xml:space="preserve"> PAGE  \* MERGEFORMAT </w:instrText>
                    </w:r>
                    <w:r>
                      <w:fldChar w:fldCharType="separate"/>
                    </w:r>
                    <w:r>
                      <w:t>84</w:t>
                    </w:r>
                    <w:r>
                      <w:fldChar w:fldCharType="end"/>
                    </w:r>
                  </w:p>
                </w:txbxContent>
              </v:textbox>
            </v:shape>
          </w:pict>
        </mc:Fallback>
      </mc:AlternateContent>
    </w: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57DF5">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oehQzAgAAZ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bq3G6cPEAXGrkiCS6YqMV2l3bM9uZ&#10;4gRiznTT4S3f1Ei+ZT7cM4dxQMF4MOEOSykNkpjeoqQy7uu/zmM8ugQvJQ3GK6car4kS+UGjewAM&#10;g+EGYzcY+qBuDeYV/UAtycQFF+Rgls6oL3hFq5gDLqY5MuU0DOZt6EYcr5CL1SoFHayr91V3AbNn&#10;WdjqB8tjmiikt6tDgJhJ4yhQp0qvG6Yvdal/KXG8/9yn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oehQzAgAAZQQAAA4AAAAAAAAAAQAgAAAAHwEAAGRycy9lMm9Eb2MueG1sUEsF&#10;BgAAAAAGAAYAWQEAAMQFAAAAAA==&#10;">
              <v:fill on="f" focussize="0,0"/>
              <v:stroke on="f" weight="0.5pt"/>
              <v:imagedata o:title=""/>
              <o:lock v:ext="edit" aspectratio="f"/>
              <v:textbox inset="0mm,0mm,0mm,0mm" style="mso-fit-shape-to-text:t;">
                <w:txbxContent>
                  <w:p w14:paraId="5DE57DF5">
                    <w:pPr>
                      <w:pStyle w:val="13"/>
                    </w:pP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77EAE">
    <w:pPr>
      <w:spacing w:line="179" w:lineRule="auto"/>
      <w:jc w:val="right"/>
      <w:rPr>
        <w:rFonts w:ascii="宋体" w:hAnsi="宋体" w:eastAsia="宋体" w:cs="宋体"/>
        <w:sz w:val="17"/>
        <w:szCs w:val="17"/>
      </w:rPr>
    </w:pPr>
    <w:r>
      <w:rPr>
        <w:sz w:val="17"/>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32C7DA">
                          <w:pPr>
                            <w:pStyle w:val="13"/>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2232C7DA">
                    <w:pPr>
                      <w:pStyle w:val="13"/>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57667">
    <w:pPr>
      <w:spacing w:line="180" w:lineRule="auto"/>
      <w:jc w:val="right"/>
      <w:rPr>
        <w:rFonts w:ascii="宋体" w:hAnsi="宋体" w:eastAsia="宋体" w:cs="宋体"/>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576104">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0576104">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2FA2E">
    <w:pPr>
      <w:spacing w:line="179" w:lineRule="auto"/>
      <w:ind w:left="4097"/>
      <w:rPr>
        <w:rFonts w:ascii="宋体" w:hAnsi="宋体" w:eastAsia="宋体" w:cs="宋体"/>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EEA0B9">
                          <w:pPr>
                            <w:pStyle w:val="1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3EEA0B9">
                    <w:pPr>
                      <w:pStyle w:val="1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12E8F">
    <w:pPr>
      <w:spacing w:line="179" w:lineRule="auto"/>
      <w:ind w:left="4097"/>
      <w:rPr>
        <w:rFonts w:ascii="宋体" w:hAnsi="宋体" w:eastAsia="宋体" w:cs="宋体"/>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1A9E1">
                          <w:pPr>
                            <w:pStyle w:val="1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0C1A9E1">
                    <w:pPr>
                      <w:pStyle w:val="1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F68CA">
    <w:pPr>
      <w:spacing w:line="180" w:lineRule="auto"/>
      <w:jc w:val="right"/>
      <w:rPr>
        <w:rFonts w:ascii="宋体" w:hAnsi="宋体" w:eastAsia="宋体" w:cs="宋体"/>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2C654">
                          <w:pPr>
                            <w:pStyle w:val="1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EE2C654">
                    <w:pPr>
                      <w:pStyle w:val="1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2F143">
    <w:pPr>
      <w:spacing w:line="180" w:lineRule="auto"/>
      <w:ind w:left="9147"/>
      <w:rPr>
        <w:rFonts w:ascii="宋体" w:hAnsi="宋体" w:eastAsia="宋体" w:cs="宋体"/>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27A9F3">
                          <w:pPr>
                            <w:pStyle w:val="1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527A9F3">
                    <w:pPr>
                      <w:pStyle w:val="1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27E46">
    <w:pPr>
      <w:spacing w:line="179" w:lineRule="auto"/>
      <w:ind w:left="9118"/>
      <w:rPr>
        <w:rFonts w:ascii="宋体" w:hAnsi="宋体" w:eastAsia="宋体" w:cs="宋体"/>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AFC02">
                          <w:pPr>
                            <w:pStyle w:val="1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FFAFC02">
                    <w:pPr>
                      <w:pStyle w:val="1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8599B">
    <w:pPr>
      <w:tabs>
        <w:tab w:val="center" w:pos="4394"/>
      </w:tabs>
      <w:spacing w:line="179" w:lineRule="auto"/>
      <w:rPr>
        <w:rFonts w:ascii="宋体" w:hAnsi="宋体" w:eastAsia="宋体" w:cs="宋体"/>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51935">
                          <w:pPr>
                            <w:pStyle w:val="1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6C51935">
                    <w:pPr>
                      <w:pStyle w:val="13"/>
                    </w:pPr>
                    <w:r>
                      <w:fldChar w:fldCharType="begin"/>
                    </w:r>
                    <w:r>
                      <w:instrText xml:space="preserve"> PAGE  \* MERGEFORMAT </w:instrText>
                    </w:r>
                    <w:r>
                      <w:fldChar w:fldCharType="separate"/>
                    </w:r>
                    <w:r>
                      <w:t>25</w:t>
                    </w:r>
                    <w:r>
                      <w:fldChar w:fldCharType="end"/>
                    </w:r>
                  </w:p>
                </w:txbxContent>
              </v:textbox>
            </v:shape>
          </w:pict>
        </mc:Fallback>
      </mc:AlternateContent>
    </w: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92415C">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14:paraId="2692415C">
                    <w:pPr>
                      <w:pStyle w:val="13"/>
                    </w:pPr>
                  </w:p>
                </w:txbxContent>
              </v:textbox>
            </v:shape>
          </w:pict>
        </mc:Fallback>
      </mc:AlternateContent>
    </w: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2F822F">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RzL80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jEcy/NAIAAGUEAAAOAAAAAAAAAAEAIAAAAB8BAABkcnMvZTJvRG9jLnhtbFBL&#10;BQYAAAAABgAGAFkBAADFBQAAAAA=&#10;">
              <v:fill on="f" focussize="0,0"/>
              <v:stroke on="f" weight="0.5pt"/>
              <v:imagedata o:title=""/>
              <o:lock v:ext="edit" aspectratio="f"/>
              <v:textbox inset="0mm,0mm,0mm,0mm" style="mso-fit-shape-to-text:t;">
                <w:txbxContent>
                  <w:p w14:paraId="1E2F822F">
                    <w:pPr>
                      <w:pStyle w:val="13"/>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4122E">
    <w:pPr>
      <w:pStyle w:val="7"/>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6D2D5">
    <w:pPr>
      <w:pStyle w:val="7"/>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0431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D691C">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435D5"/>
    <w:multiLevelType w:val="singleLevel"/>
    <w:tmpl w:val="BFD435D5"/>
    <w:lvl w:ilvl="0" w:tentative="0">
      <w:start w:val="2"/>
      <w:numFmt w:val="chineseCounting"/>
      <w:suff w:val="space"/>
      <w:lvlText w:val="第%1部分"/>
      <w:lvlJc w:val="left"/>
      <w:rPr>
        <w:rFonts w:hint="eastAsia"/>
      </w:rPr>
    </w:lvl>
  </w:abstractNum>
  <w:abstractNum w:abstractNumId="1">
    <w:nsid w:val="C21A066C"/>
    <w:multiLevelType w:val="singleLevel"/>
    <w:tmpl w:val="C21A066C"/>
    <w:lvl w:ilvl="0" w:tentative="0">
      <w:start w:val="1"/>
      <w:numFmt w:val="decimal"/>
      <w:suff w:val="nothing"/>
      <w:lvlText w:val="%1、"/>
      <w:lvlJc w:val="left"/>
    </w:lvl>
  </w:abstractNum>
  <w:abstractNum w:abstractNumId="2">
    <w:nsid w:val="4B66D013"/>
    <w:multiLevelType w:val="singleLevel"/>
    <w:tmpl w:val="4B66D013"/>
    <w:lvl w:ilvl="0" w:tentative="0">
      <w:start w:val="6"/>
      <w:numFmt w:val="decimal"/>
      <w:lvlText w:val="%1."/>
      <w:lvlJc w:val="left"/>
      <w:pPr>
        <w:tabs>
          <w:tab w:val="left" w:pos="312"/>
        </w:tabs>
      </w:pPr>
    </w:lvl>
  </w:abstractNum>
  <w:abstractNum w:abstractNumId="3">
    <w:nsid w:val="7C73F65A"/>
    <w:multiLevelType w:val="singleLevel"/>
    <w:tmpl w:val="7C73F65A"/>
    <w:lvl w:ilvl="0" w:tentative="0">
      <w:start w:val="1"/>
      <w:numFmt w:val="decimal"/>
      <w:suff w:val="nothing"/>
      <w:lvlText w:val="（%1）"/>
      <w:lvlJc w:val="left"/>
      <w:pPr>
        <w:ind w:left="148"/>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GRhZWYyZjI0NmM0YTVlMzdmNWJmN2FhZjBhNDFlN2MifQ=="/>
  </w:docVars>
  <w:rsids>
    <w:rsidRoot w:val="00000000"/>
    <w:rsid w:val="00893649"/>
    <w:rsid w:val="00CF5500"/>
    <w:rsid w:val="026C4FD1"/>
    <w:rsid w:val="028213AB"/>
    <w:rsid w:val="04194CE4"/>
    <w:rsid w:val="05171447"/>
    <w:rsid w:val="055A7363"/>
    <w:rsid w:val="056F72B2"/>
    <w:rsid w:val="069D7E4F"/>
    <w:rsid w:val="06AD3E48"/>
    <w:rsid w:val="07080CC2"/>
    <w:rsid w:val="07B216D8"/>
    <w:rsid w:val="07E8334B"/>
    <w:rsid w:val="07F67816"/>
    <w:rsid w:val="082F0F7A"/>
    <w:rsid w:val="093F0D49"/>
    <w:rsid w:val="09A908B8"/>
    <w:rsid w:val="09C64402"/>
    <w:rsid w:val="09FE0C04"/>
    <w:rsid w:val="0A4566B4"/>
    <w:rsid w:val="0B46467E"/>
    <w:rsid w:val="0BFD18FA"/>
    <w:rsid w:val="0C4B2532"/>
    <w:rsid w:val="0CA73C02"/>
    <w:rsid w:val="0D6C2329"/>
    <w:rsid w:val="0D8B27AF"/>
    <w:rsid w:val="0E0E518E"/>
    <w:rsid w:val="0EC95C85"/>
    <w:rsid w:val="107C0AD5"/>
    <w:rsid w:val="10DE62E5"/>
    <w:rsid w:val="11124F95"/>
    <w:rsid w:val="12176DDC"/>
    <w:rsid w:val="13001549"/>
    <w:rsid w:val="148461AA"/>
    <w:rsid w:val="14B655EB"/>
    <w:rsid w:val="169B41DC"/>
    <w:rsid w:val="18075128"/>
    <w:rsid w:val="196071E6"/>
    <w:rsid w:val="19D52535"/>
    <w:rsid w:val="1A2024D1"/>
    <w:rsid w:val="1A9A2283"/>
    <w:rsid w:val="1B99253B"/>
    <w:rsid w:val="1BCD48DA"/>
    <w:rsid w:val="1CE85A13"/>
    <w:rsid w:val="1D2642A2"/>
    <w:rsid w:val="1E432C32"/>
    <w:rsid w:val="1E917E41"/>
    <w:rsid w:val="1ECB5101"/>
    <w:rsid w:val="211B33DF"/>
    <w:rsid w:val="229B645E"/>
    <w:rsid w:val="22BB36DF"/>
    <w:rsid w:val="22FC3AD4"/>
    <w:rsid w:val="23C412DC"/>
    <w:rsid w:val="246A716A"/>
    <w:rsid w:val="27BF1CC6"/>
    <w:rsid w:val="2853005B"/>
    <w:rsid w:val="285C6DCA"/>
    <w:rsid w:val="28D12D3A"/>
    <w:rsid w:val="28ED0731"/>
    <w:rsid w:val="29037B8D"/>
    <w:rsid w:val="290518B7"/>
    <w:rsid w:val="29412415"/>
    <w:rsid w:val="29F6324E"/>
    <w:rsid w:val="2A5D507B"/>
    <w:rsid w:val="2A611438"/>
    <w:rsid w:val="2B5E4E07"/>
    <w:rsid w:val="2BE4577C"/>
    <w:rsid w:val="2C453755"/>
    <w:rsid w:val="2CC74102"/>
    <w:rsid w:val="2D7730B1"/>
    <w:rsid w:val="2D7B34AF"/>
    <w:rsid w:val="2DB17BB8"/>
    <w:rsid w:val="2DF45CF7"/>
    <w:rsid w:val="2DFD46AF"/>
    <w:rsid w:val="2E440819"/>
    <w:rsid w:val="2E4C5B33"/>
    <w:rsid w:val="2F6D5D61"/>
    <w:rsid w:val="30224D9D"/>
    <w:rsid w:val="303A7283"/>
    <w:rsid w:val="30DB3550"/>
    <w:rsid w:val="30DF4175"/>
    <w:rsid w:val="321574BA"/>
    <w:rsid w:val="33743B62"/>
    <w:rsid w:val="33D75E9F"/>
    <w:rsid w:val="3421711A"/>
    <w:rsid w:val="34A246FE"/>
    <w:rsid w:val="34A83397"/>
    <w:rsid w:val="34E72111"/>
    <w:rsid w:val="35284C04"/>
    <w:rsid w:val="362816D5"/>
    <w:rsid w:val="362A0508"/>
    <w:rsid w:val="365357B6"/>
    <w:rsid w:val="371116C7"/>
    <w:rsid w:val="373F6235"/>
    <w:rsid w:val="38645D30"/>
    <w:rsid w:val="386D6B97"/>
    <w:rsid w:val="39515BF2"/>
    <w:rsid w:val="3AC9594E"/>
    <w:rsid w:val="3AD153F6"/>
    <w:rsid w:val="3C1C7B6B"/>
    <w:rsid w:val="3CD94A35"/>
    <w:rsid w:val="3D4E0F7F"/>
    <w:rsid w:val="3D625902"/>
    <w:rsid w:val="3EC36C40"/>
    <w:rsid w:val="40632F94"/>
    <w:rsid w:val="4193787C"/>
    <w:rsid w:val="41FB4017"/>
    <w:rsid w:val="42B933E8"/>
    <w:rsid w:val="4353569B"/>
    <w:rsid w:val="4431423B"/>
    <w:rsid w:val="484447FF"/>
    <w:rsid w:val="484C07B1"/>
    <w:rsid w:val="486D24D6"/>
    <w:rsid w:val="48B30830"/>
    <w:rsid w:val="48CC544E"/>
    <w:rsid w:val="491560CA"/>
    <w:rsid w:val="491F1A22"/>
    <w:rsid w:val="498D2E30"/>
    <w:rsid w:val="49FD5DF5"/>
    <w:rsid w:val="4B19557A"/>
    <w:rsid w:val="4C746529"/>
    <w:rsid w:val="4C8E75EA"/>
    <w:rsid w:val="4D272EC4"/>
    <w:rsid w:val="4E584F1E"/>
    <w:rsid w:val="4E8011B5"/>
    <w:rsid w:val="4E962786"/>
    <w:rsid w:val="502A1C79"/>
    <w:rsid w:val="50B2610E"/>
    <w:rsid w:val="50C3346B"/>
    <w:rsid w:val="51F15F26"/>
    <w:rsid w:val="526F57C8"/>
    <w:rsid w:val="52B4767F"/>
    <w:rsid w:val="52D01FDF"/>
    <w:rsid w:val="52FB3500"/>
    <w:rsid w:val="54364E0F"/>
    <w:rsid w:val="548B2661"/>
    <w:rsid w:val="548E5CAE"/>
    <w:rsid w:val="54E12281"/>
    <w:rsid w:val="54F05B80"/>
    <w:rsid w:val="55097B6F"/>
    <w:rsid w:val="557E3F74"/>
    <w:rsid w:val="562C577E"/>
    <w:rsid w:val="56B45E9F"/>
    <w:rsid w:val="570566FB"/>
    <w:rsid w:val="57091624"/>
    <w:rsid w:val="572E6AC6"/>
    <w:rsid w:val="57511940"/>
    <w:rsid w:val="5898544B"/>
    <w:rsid w:val="599B6A1B"/>
    <w:rsid w:val="5A421A14"/>
    <w:rsid w:val="5A8B33BB"/>
    <w:rsid w:val="5B4672E2"/>
    <w:rsid w:val="5B6065F6"/>
    <w:rsid w:val="5B951A97"/>
    <w:rsid w:val="5C2238AB"/>
    <w:rsid w:val="5CFD7E74"/>
    <w:rsid w:val="5DDB1F64"/>
    <w:rsid w:val="5F526A2D"/>
    <w:rsid w:val="60294DB2"/>
    <w:rsid w:val="60A80316"/>
    <w:rsid w:val="60EB4BB4"/>
    <w:rsid w:val="6134661E"/>
    <w:rsid w:val="618B3CA1"/>
    <w:rsid w:val="61F23D20"/>
    <w:rsid w:val="61FE0917"/>
    <w:rsid w:val="6243457B"/>
    <w:rsid w:val="62A56FE4"/>
    <w:rsid w:val="63554566"/>
    <w:rsid w:val="63DA4A6C"/>
    <w:rsid w:val="644F0FB6"/>
    <w:rsid w:val="645B4AC8"/>
    <w:rsid w:val="64B928D3"/>
    <w:rsid w:val="650C50F9"/>
    <w:rsid w:val="6558033E"/>
    <w:rsid w:val="65B25CA0"/>
    <w:rsid w:val="676476A1"/>
    <w:rsid w:val="677B6565"/>
    <w:rsid w:val="688A2F04"/>
    <w:rsid w:val="68F22E10"/>
    <w:rsid w:val="69076303"/>
    <w:rsid w:val="692D388F"/>
    <w:rsid w:val="694E2184"/>
    <w:rsid w:val="699B4743"/>
    <w:rsid w:val="6A333127"/>
    <w:rsid w:val="6AB33D2F"/>
    <w:rsid w:val="6AE10DD5"/>
    <w:rsid w:val="6BA3608B"/>
    <w:rsid w:val="6BAF402F"/>
    <w:rsid w:val="6CED5810"/>
    <w:rsid w:val="6D8858DA"/>
    <w:rsid w:val="6DB53B47"/>
    <w:rsid w:val="6E28161A"/>
    <w:rsid w:val="6EFA33B9"/>
    <w:rsid w:val="6F0D3EDF"/>
    <w:rsid w:val="6F8D6E36"/>
    <w:rsid w:val="6FEE1532"/>
    <w:rsid w:val="708E4B62"/>
    <w:rsid w:val="70FA499F"/>
    <w:rsid w:val="7102338D"/>
    <w:rsid w:val="764741E2"/>
    <w:rsid w:val="76E23F0B"/>
    <w:rsid w:val="788C05D2"/>
    <w:rsid w:val="79F226B7"/>
    <w:rsid w:val="7A617F4C"/>
    <w:rsid w:val="7A792E13"/>
    <w:rsid w:val="7A9C2623"/>
    <w:rsid w:val="7B58479C"/>
    <w:rsid w:val="7CB43C54"/>
    <w:rsid w:val="7D4A05E9"/>
    <w:rsid w:val="7D546497"/>
    <w:rsid w:val="7D763577"/>
    <w:rsid w:val="7D880AD4"/>
    <w:rsid w:val="7DE70059"/>
    <w:rsid w:val="7E8D29AE"/>
    <w:rsid w:val="7EDB7BBE"/>
    <w:rsid w:val="7F961D37"/>
    <w:rsid w:val="7FC74C1E"/>
    <w:rsid w:val="7FEE39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hAnsi="宋体" w:eastAsia="Arial"/>
      <w:sz w:val="24"/>
      <w:szCs w:val="20"/>
    </w:rPr>
  </w:style>
  <w:style w:type="paragraph" w:styleId="6">
    <w:name w:val="toa heading"/>
    <w:basedOn w:val="1"/>
    <w:next w:val="1"/>
    <w:qFormat/>
    <w:uiPriority w:val="0"/>
    <w:pPr>
      <w:widowControl/>
      <w:spacing w:before="120"/>
      <w:ind w:firstLine="3584"/>
    </w:pPr>
  </w:style>
  <w:style w:type="paragraph" w:styleId="7">
    <w:name w:val="Body Text"/>
    <w:basedOn w:val="1"/>
    <w:next w:val="1"/>
    <w:semiHidden/>
    <w:qFormat/>
    <w:uiPriority w:val="0"/>
    <w:rPr>
      <w:rFonts w:ascii="Arial" w:hAnsi="Arial" w:eastAsia="Arial" w:cs="Arial"/>
      <w:sz w:val="21"/>
      <w:szCs w:val="21"/>
      <w:lang w:val="en-US" w:eastAsia="en-US" w:bidi="ar-SA"/>
    </w:rPr>
  </w:style>
  <w:style w:type="paragraph" w:styleId="8">
    <w:name w:val="Body Text Indent"/>
    <w:basedOn w:val="1"/>
    <w:next w:val="9"/>
    <w:qFormat/>
    <w:uiPriority w:val="0"/>
    <w:pPr>
      <w:spacing w:line="360" w:lineRule="auto"/>
      <w:ind w:firstLine="570"/>
    </w:pPr>
    <w:rPr>
      <w:sz w:val="24"/>
    </w:rPr>
  </w:style>
  <w:style w:type="paragraph" w:styleId="9">
    <w:name w:val="envelope return"/>
    <w:basedOn w:val="1"/>
    <w:unhideWhenUsed/>
    <w:qFormat/>
    <w:uiPriority w:val="99"/>
    <w:pPr>
      <w:snapToGrid w:val="0"/>
    </w:pPr>
    <w:rPr>
      <w:rFonts w:ascii="Arial" w:hAnsi="Arial"/>
    </w:rPr>
  </w:style>
  <w:style w:type="paragraph" w:styleId="10">
    <w:name w:val="Plain Text"/>
    <w:basedOn w:val="1"/>
    <w:next w:val="11"/>
    <w:qFormat/>
    <w:uiPriority w:val="0"/>
    <w:rPr>
      <w:rFonts w:ascii="宋体" w:hAnsi="Courier New"/>
      <w:szCs w:val="20"/>
    </w:rPr>
  </w:style>
  <w:style w:type="paragraph" w:styleId="11">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12">
    <w:name w:val="Date"/>
    <w:basedOn w:val="1"/>
    <w:next w:val="1"/>
    <w:qFormat/>
    <w:uiPriority w:val="0"/>
    <w:pPr>
      <w:ind w:left="100" w:leftChars="2500"/>
    </w:pPr>
    <w:rPr>
      <w:rFonts w:ascii="仿宋_GB2312" w:hAnsi="宋体" w:eastAsia="仿宋_GB2312"/>
      <w:color w:val="000000"/>
      <w:sz w:val="24"/>
    </w:rPr>
  </w:style>
  <w:style w:type="paragraph" w:styleId="13">
    <w:name w:val="footer"/>
    <w:basedOn w:val="1"/>
    <w:next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footnote text"/>
    <w:basedOn w:val="1"/>
    <w:next w:val="7"/>
    <w:qFormat/>
    <w:uiPriority w:val="0"/>
    <w:pPr>
      <w:snapToGrid w:val="0"/>
      <w:jc w:val="left"/>
    </w:pPr>
    <w:rPr>
      <w:sz w:val="18"/>
    </w:rPr>
  </w:style>
  <w:style w:type="paragraph" w:styleId="16">
    <w:name w:val="Normal (Web)"/>
    <w:basedOn w:val="1"/>
    <w:next w:val="1"/>
    <w:qFormat/>
    <w:uiPriority w:val="0"/>
    <w:pPr>
      <w:widowControl/>
      <w:jc w:val="left"/>
    </w:pPr>
    <w:rPr>
      <w:rFonts w:ascii="宋体" w:cs="宋体"/>
      <w:kern w:val="0"/>
      <w:sz w:val="24"/>
      <w:lang w:bidi="ar-SA"/>
    </w:rPr>
  </w:style>
  <w:style w:type="paragraph" w:styleId="17">
    <w:name w:val="Title"/>
    <w:basedOn w:val="1"/>
    <w:next w:val="1"/>
    <w:qFormat/>
    <w:uiPriority w:val="0"/>
    <w:pPr>
      <w:spacing w:before="240" w:after="60"/>
      <w:jc w:val="center"/>
      <w:outlineLvl w:val="0"/>
    </w:pPr>
    <w:rPr>
      <w:rFonts w:ascii="Cambria" w:hAnsi="Cambria"/>
      <w:b/>
      <w:sz w:val="32"/>
    </w:rPr>
  </w:style>
  <w:style w:type="paragraph" w:styleId="18">
    <w:name w:val="Body Text First Indent"/>
    <w:basedOn w:val="7"/>
    <w:qFormat/>
    <w:uiPriority w:val="0"/>
    <w:pPr>
      <w:ind w:firstLine="420" w:firstLineChars="100"/>
    </w:pPr>
  </w:style>
  <w:style w:type="paragraph" w:styleId="19">
    <w:name w:val="Body Text First Indent 2"/>
    <w:basedOn w:val="8"/>
    <w:next w:val="1"/>
    <w:qFormat/>
    <w:uiPriority w:val="0"/>
    <w:pPr>
      <w:ind w:firstLine="420" w:firstLineChars="200"/>
    </w:pPr>
    <w:rPr>
      <w:rFonts w:ascii="Calibri" w:hAnsi="Calibri" w:eastAsia="宋体" w:cs="Times New Roman"/>
      <w:szCs w:val="24"/>
    </w:rPr>
  </w:style>
  <w:style w:type="paragraph" w:customStyle="1" w:styleId="22">
    <w:name w:val="BodyText"/>
    <w:basedOn w:val="1"/>
    <w:next w:val="1"/>
    <w:qFormat/>
    <w:uiPriority w:val="0"/>
    <w:pPr>
      <w:spacing w:after="120"/>
    </w:pPr>
  </w:style>
  <w:style w:type="paragraph" w:customStyle="1" w:styleId="23">
    <w:name w:val="Default"/>
    <w:next w:val="24"/>
    <w:qFormat/>
    <w:uiPriority w:val="0"/>
    <w:pPr>
      <w:widowControl w:val="0"/>
      <w:autoSpaceDE w:val="0"/>
      <w:autoSpaceDN w:val="0"/>
    </w:pPr>
    <w:rPr>
      <w:rFonts w:ascii="宋体" w:hAnsi="Arial" w:eastAsia="Arial" w:cs="宋体"/>
      <w:color w:val="000000"/>
      <w:sz w:val="24"/>
      <w:szCs w:val="24"/>
      <w:lang w:val="en-US" w:eastAsia="zh-CN" w:bidi="ar-SA"/>
    </w:rPr>
  </w:style>
  <w:style w:type="paragraph" w:customStyle="1" w:styleId="24">
    <w:name w:val="大标题"/>
    <w:basedOn w:val="1"/>
    <w:next w:val="19"/>
    <w:qFormat/>
    <w:uiPriority w:val="0"/>
    <w:pPr>
      <w:jc w:val="center"/>
    </w:pPr>
    <w:rPr>
      <w:rFonts w:ascii="Arial" w:hAnsi="Arial" w:eastAsia="宋体" w:cs="Times New Roman"/>
      <w:b/>
      <w:sz w:val="28"/>
      <w:szCs w:val="24"/>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Table Text"/>
    <w:basedOn w:val="1"/>
    <w:semiHidden/>
    <w:qFormat/>
    <w:uiPriority w:val="0"/>
    <w:rPr>
      <w:rFonts w:ascii="方正仿宋_GBK" w:hAnsi="方正仿宋_GBK" w:eastAsia="方正仿宋_GBK" w:cs="方正仿宋_GBK"/>
      <w:sz w:val="23"/>
      <w:szCs w:val="23"/>
      <w:lang w:val="en-US" w:eastAsia="en-US" w:bidi="ar-SA"/>
    </w:rPr>
  </w:style>
  <w:style w:type="paragraph" w:customStyle="1" w:styleId="27">
    <w:name w:val="Table Paragraph"/>
    <w:basedOn w:val="1"/>
    <w:qFormat/>
    <w:uiPriority w:val="1"/>
    <w:rPr>
      <w:rFonts w:ascii="微软雅黑" w:hAnsi="微软雅黑" w:eastAsia="微软雅黑" w:cs="微软雅黑"/>
      <w:lang w:val="zh-CN" w:eastAsia="zh-CN" w:bidi="zh-CN"/>
    </w:rPr>
  </w:style>
  <w:style w:type="paragraph" w:styleId="28">
    <w:name w:val="List Paragraph"/>
    <w:basedOn w:val="1"/>
    <w:qFormat/>
    <w:uiPriority w:val="34"/>
    <w:pPr>
      <w:widowControl/>
      <w:ind w:firstLine="420" w:firstLineChars="200"/>
      <w:jc w:val="left"/>
    </w:pPr>
    <w:rPr>
      <w:kern w:val="0"/>
      <w:sz w:val="24"/>
    </w:rPr>
  </w:style>
  <w:style w:type="paragraph" w:customStyle="1" w:styleId="29">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30">
    <w:name w:val="表"/>
    <w:basedOn w:val="1"/>
    <w:qFormat/>
    <w:uiPriority w:val="0"/>
    <w:pPr>
      <w:jc w:val="center"/>
    </w:pPr>
  </w:style>
  <w:style w:type="character" w:customStyle="1" w:styleId="31">
    <w:name w:val="font41"/>
    <w:basedOn w:val="21"/>
    <w:qFormat/>
    <w:uiPriority w:val="0"/>
    <w:rPr>
      <w:rFonts w:ascii="Arial" w:hAnsi="Arial" w:cs="Arial"/>
      <w:color w:val="000000"/>
      <w:sz w:val="21"/>
      <w:szCs w:val="21"/>
      <w:u w:val="none"/>
    </w:rPr>
  </w:style>
  <w:style w:type="character" w:customStyle="1" w:styleId="32">
    <w:name w:val="font31"/>
    <w:basedOn w:val="21"/>
    <w:qFormat/>
    <w:uiPriority w:val="0"/>
    <w:rPr>
      <w:rFonts w:hint="eastAsia" w:ascii="宋体" w:hAnsi="宋体" w:eastAsia="宋体" w:cs="宋体"/>
      <w:color w:val="000000"/>
      <w:sz w:val="21"/>
      <w:szCs w:val="21"/>
      <w:u w:val="none"/>
    </w:rPr>
  </w:style>
  <w:style w:type="character" w:customStyle="1" w:styleId="33">
    <w:name w:val="font21"/>
    <w:basedOn w:val="21"/>
    <w:qFormat/>
    <w:uiPriority w:val="0"/>
    <w:rPr>
      <w:rFonts w:hint="eastAsia" w:ascii="方正仿宋_GBK" w:hAnsi="方正仿宋_GBK" w:eastAsia="方正仿宋_GBK" w:cs="方正仿宋_GBK"/>
      <w:color w:val="000000"/>
      <w:sz w:val="23"/>
      <w:szCs w:val="23"/>
      <w:u w:val="none"/>
    </w:rPr>
  </w:style>
  <w:style w:type="paragraph" w:customStyle="1" w:styleId="34">
    <w:name w:val="正文格式"/>
    <w:basedOn w:val="7"/>
    <w:qFormat/>
    <w:uiPriority w:val="0"/>
    <w:pPr>
      <w:tabs>
        <w:tab w:val="left" w:pos="567"/>
      </w:tabs>
      <w:ind w:firstLine="480"/>
    </w:pPr>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6" Type="http://schemas.openxmlformats.org/officeDocument/2006/relationships/fontTable" Target="fontTable.xml"/><Relationship Id="rId55" Type="http://schemas.openxmlformats.org/officeDocument/2006/relationships/numbering" Target="numbering.xml"/><Relationship Id="rId54" Type="http://schemas.openxmlformats.org/officeDocument/2006/relationships/customXml" Target="../customXml/item1.xml"/><Relationship Id="rId53" Type="http://schemas.openxmlformats.org/officeDocument/2006/relationships/image" Target="media/image20.png"/><Relationship Id="rId52" Type="http://schemas.openxmlformats.org/officeDocument/2006/relationships/image" Target="media/image19.png"/><Relationship Id="rId51" Type="http://schemas.openxmlformats.org/officeDocument/2006/relationships/image" Target="media/image18.png"/><Relationship Id="rId50" Type="http://schemas.openxmlformats.org/officeDocument/2006/relationships/image" Target="media/image17.png"/><Relationship Id="rId5" Type="http://schemas.openxmlformats.org/officeDocument/2006/relationships/header" Target="header1.xml"/><Relationship Id="rId49" Type="http://schemas.openxmlformats.org/officeDocument/2006/relationships/image" Target="media/image16.png"/><Relationship Id="rId48" Type="http://schemas.openxmlformats.org/officeDocument/2006/relationships/image" Target="media/image15.png"/><Relationship Id="rId47" Type="http://schemas.openxmlformats.org/officeDocument/2006/relationships/image" Target="media/image14.png"/><Relationship Id="rId46" Type="http://schemas.openxmlformats.org/officeDocument/2006/relationships/image" Target="media/image13.png"/><Relationship Id="rId45" Type="http://schemas.openxmlformats.org/officeDocument/2006/relationships/image" Target="media/image12.png"/><Relationship Id="rId44" Type="http://schemas.openxmlformats.org/officeDocument/2006/relationships/image" Target="media/image11.png"/><Relationship Id="rId43" Type="http://schemas.openxmlformats.org/officeDocument/2006/relationships/image" Target="media/image10.png"/><Relationship Id="rId42" Type="http://schemas.openxmlformats.org/officeDocument/2006/relationships/image" Target="media/image9.png"/><Relationship Id="rId41" Type="http://schemas.openxmlformats.org/officeDocument/2006/relationships/image" Target="media/image8.png"/><Relationship Id="rId40" Type="http://schemas.openxmlformats.org/officeDocument/2006/relationships/image" Target="media/image7.png"/><Relationship Id="rId4" Type="http://schemas.openxmlformats.org/officeDocument/2006/relationships/endnotes" Target="endnotes.xml"/><Relationship Id="rId39" Type="http://schemas.openxmlformats.org/officeDocument/2006/relationships/image" Target="media/image6.png"/><Relationship Id="rId38" Type="http://schemas.openxmlformats.org/officeDocument/2006/relationships/image" Target="media/image5.png"/><Relationship Id="rId37" Type="http://schemas.openxmlformats.org/officeDocument/2006/relationships/image" Target="media/image4.png"/><Relationship Id="rId36" Type="http://schemas.openxmlformats.org/officeDocument/2006/relationships/image" Target="media/image3.png"/><Relationship Id="rId35" Type="http://schemas.openxmlformats.org/officeDocument/2006/relationships/image" Target="media/image2.png"/><Relationship Id="rId34" Type="http://schemas.openxmlformats.org/officeDocument/2006/relationships/image" Target="media/image1.png"/><Relationship Id="rId33" Type="http://schemas.openxmlformats.org/officeDocument/2006/relationships/theme" Target="theme/theme1.xml"/><Relationship Id="rId32" Type="http://schemas.openxmlformats.org/officeDocument/2006/relationships/footer" Target="footer24.xml"/><Relationship Id="rId31" Type="http://schemas.openxmlformats.org/officeDocument/2006/relationships/footer" Target="footer23.xml"/><Relationship Id="rId30" Type="http://schemas.openxmlformats.org/officeDocument/2006/relationships/footer" Target="footer22.xml"/><Relationship Id="rId3" Type="http://schemas.openxmlformats.org/officeDocument/2006/relationships/footnotes" Target="footnotes.xml"/><Relationship Id="rId29" Type="http://schemas.openxmlformats.org/officeDocument/2006/relationships/footer" Target="footer21.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header" Target="header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header" Target="header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78</Pages>
  <Words>13273</Words>
  <Characters>13884</Characters>
  <TotalTime>65</TotalTime>
  <ScaleCrop>false</ScaleCrop>
  <LinksUpToDate>false</LinksUpToDate>
  <CharactersWithSpaces>13901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2024-02-21T10:07:00Z</dcterms:created>
  <dc:creator>.</dc:creator>
  <cp:lastModifiedBy>苏贺15026328789</cp:lastModifiedBy>
  <cp:lastPrinted>2025-03-07T04:39:00Z</cp:lastPrinted>
  <dcterms:modified xsi:type="dcterms:W3CDTF">2025-03-07T05:21:38Z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2024-09-23T12:20:44Z</vt:filetime>
  </property>
  <property fmtid="{D5CDD505-2E9C-101B-9397-08002B2CF9AE}" pid="4" name="KSOProductBuildVer">
    <vt:lpwstr>2052-12.1.0.20305</vt:lpwstr>
  </property>
  <property fmtid="{D5CDD505-2E9C-101B-9397-08002B2CF9AE}" pid="5" name="ICV">
    <vt:lpwstr>66A2D02EB9194461A5F0EB6536FB1AC5_13</vt:lpwstr>
  </property>
  <property fmtid="{D5CDD505-2E9C-101B-9397-08002B2CF9AE}" pid="6" name="KSOTemplateDocerSaveRecord">
    <vt:lpwstr>eyJoZGlkIjoiMGRhZWYyZjI0NmM0YTVlMzdmNWJmN2FhZjBhNDFlN2MiLCJ1c2VySWQiOiI4NzIzNjk0NDEifQ==</vt:lpwstr>
  </property>
</Properties>
</file>