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2643">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lang w:val="en-US" w:eastAsia="zh-CN"/>
        </w:rPr>
      </w:pPr>
      <w:r>
        <w:rPr>
          <w:rFonts w:hint="eastAsia" w:asciiTheme="minorEastAsia" w:hAnsiTheme="minorEastAsia" w:eastAsiaTheme="minorEastAsia" w:cstheme="minorEastAsia"/>
          <w:color w:val="auto"/>
          <w:spacing w:val="0"/>
          <w:position w:val="0"/>
          <w:sz w:val="10"/>
          <w:szCs w:val="10"/>
          <w:highlight w:val="none"/>
          <w:lang w:val="en-US" w:eastAsia="zh-CN"/>
        </w:rPr>
        <w:t xml:space="preserve"> </w:t>
      </w:r>
    </w:p>
    <w:p w14:paraId="3E586074">
      <w:pPr>
        <w:pStyle w:val="75"/>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3A8467E7">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7E523BAA">
      <w:pPr>
        <w:pageBreakBefore w:val="0"/>
        <w:kinsoku/>
        <w:overflowPunct/>
        <w:topLinePunct w:val="0"/>
        <w:bidi w:val="0"/>
        <w:snapToGrid w:val="0"/>
        <w:spacing w:before="0" w:beforeAutospacing="0" w:after="0" w:afterAutospacing="0" w:line="440" w:lineRule="exact"/>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0C31AD15">
      <w:pPr>
        <w:pageBreakBefore w:val="0"/>
        <w:kinsoku/>
        <w:overflowPunct/>
        <w:topLinePunct w:val="0"/>
        <w:bidi w:val="0"/>
        <w:snapToGrid w:val="0"/>
        <w:spacing w:before="0" w:beforeAutospacing="0" w:after="0" w:afterAutospacing="0" w:line="240" w:lineRule="auto"/>
        <w:jc w:val="center"/>
        <w:textAlignment w:val="baseline"/>
        <w:rPr>
          <w:rStyle w:val="76"/>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60288"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9"/>
                    <a:stretch>
                      <a:fillRect/>
                    </a:stretch>
                  </pic:blipFill>
                  <pic:spPr>
                    <a:xfrm>
                      <a:off x="0" y="0"/>
                      <a:ext cx="2305050" cy="1809750"/>
                    </a:xfrm>
                    <a:prstGeom prst="rect">
                      <a:avLst/>
                    </a:prstGeom>
                    <a:noFill/>
                    <a:ln>
                      <a:noFill/>
                    </a:ln>
                  </pic:spPr>
                </pic:pic>
              </a:graphicData>
            </a:graphic>
          </wp:anchor>
        </w:drawing>
      </w:r>
    </w:p>
    <w:p w14:paraId="4122E425">
      <w:pPr>
        <w:pStyle w:val="75"/>
        <w:pageBreakBefore w:val="0"/>
        <w:kinsoku/>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5BF782C4">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47E1C19C">
      <w:pPr>
        <w:pageBreakBefore w:val="0"/>
        <w:widowControl/>
        <w:kinsoku/>
        <w:overflowPunct/>
        <w:topLinePunct w:val="0"/>
        <w:bidi w:val="0"/>
        <w:spacing w:line="480" w:lineRule="auto"/>
        <w:ind w:firstLine="960" w:firstLineChars="300"/>
        <w:jc w:val="left"/>
        <w:rPr>
          <w:rFonts w:hint="default" w:asciiTheme="minorEastAsia" w:hAnsiTheme="minorEastAsia" w:eastAsiaTheme="minorEastAsia" w:cstheme="minorEastAsia"/>
          <w:color w:val="auto"/>
          <w:spacing w:val="0"/>
          <w:position w:val="0"/>
          <w:sz w:val="32"/>
          <w:szCs w:val="28"/>
          <w:highlight w:val="none"/>
          <w:lang w:val="en-US" w:eastAsia="zh-CN"/>
        </w:rPr>
      </w:pPr>
      <w:r>
        <w:rPr>
          <w:rFonts w:hint="eastAsia" w:asciiTheme="minorEastAsia" w:hAnsiTheme="minorEastAsia" w:eastAsiaTheme="minorEastAsia" w:cstheme="minorEastAsia"/>
          <w:color w:val="auto"/>
          <w:spacing w:val="0"/>
          <w:position w:val="0"/>
          <w:sz w:val="32"/>
          <w:szCs w:val="28"/>
          <w:highlight w:val="none"/>
          <w:lang w:val="en-US" w:eastAsia="zh-CN"/>
        </w:rPr>
        <w:t xml:space="preserve">           </w:t>
      </w:r>
    </w:p>
    <w:p w14:paraId="5A96D3C0">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2A5A17B3">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0E26F806">
      <w:pPr>
        <w:jc w:val="left"/>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项目名称：新疆维吾尔自治区残疾人联合会宣传文化培训班项目</w:t>
      </w:r>
    </w:p>
    <w:p w14:paraId="5469F407">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3CE591BF">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招标编号：XJCC-ZB-2025-045</w:t>
      </w:r>
    </w:p>
    <w:p w14:paraId="1FCFB487">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rPr>
      </w:pPr>
    </w:p>
    <w:p w14:paraId="7DCF6ABE">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新疆维吾尔自治区残疾人联合会</w:t>
      </w:r>
    </w:p>
    <w:p w14:paraId="6B59DC22">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rPr>
      </w:pPr>
    </w:p>
    <w:p w14:paraId="658FF1CA">
      <w:pPr>
        <w:pStyle w:val="1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23D5A93A">
      <w:pPr>
        <w:pStyle w:val="16"/>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4F06E60C">
      <w:pPr>
        <w:pStyle w:val="16"/>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04</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5F08911A">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0DC5A24B">
      <w:pPr>
        <w:pageBreakBefore w:val="0"/>
        <w:kinsoku/>
        <w:overflowPunct/>
        <w:topLinePunct w:val="0"/>
        <w:bidi w:val="0"/>
        <w:spacing w:line="500" w:lineRule="exact"/>
        <w:ind w:left="849" w:hanging="853" w:hangingChars="193"/>
        <w:jc w:val="center"/>
        <w:rPr>
          <w:rFonts w:hint="eastAsia" w:asciiTheme="minorEastAsia" w:hAnsiTheme="minorEastAsia" w:eastAsiaTheme="minorEastAsia" w:cstheme="minorEastAsia"/>
          <w:b/>
          <w:color w:val="auto"/>
          <w:spacing w:val="0"/>
          <w:position w:val="0"/>
          <w:sz w:val="44"/>
          <w:highlight w:val="none"/>
          <w:lang w:val="zh-CN"/>
        </w:rPr>
      </w:pPr>
      <w:r>
        <w:rPr>
          <w:rFonts w:hint="eastAsia" w:asciiTheme="minorEastAsia" w:hAnsiTheme="minorEastAsia" w:eastAsiaTheme="minorEastAsia" w:cstheme="minorEastAsia"/>
          <w:b/>
          <w:color w:val="auto"/>
          <w:spacing w:val="0"/>
          <w:position w:val="0"/>
          <w:sz w:val="44"/>
          <w:highlight w:val="none"/>
          <w:lang w:val="zh-CN"/>
        </w:rPr>
        <w:t>目    录</w:t>
      </w:r>
    </w:p>
    <w:p w14:paraId="7B29387F">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\h \z \u \t "标题 1,1,标题 2,2"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spacing w:val="0"/>
          <w:position w:val="0"/>
          <w:highlight w:val="none"/>
        </w:rPr>
        <w:instrText xml:space="preserve"> HYPERLINK \l _Toc18837 </w:instrText>
      </w:r>
      <w:r>
        <w:rPr>
          <w:rFonts w:hint="eastAsia" w:asciiTheme="minorEastAsia" w:hAnsiTheme="minorEastAsia" w:eastAsiaTheme="minorEastAsia" w:cstheme="minorEastAsia"/>
          <w:spacing w:val="0"/>
          <w:position w:val="0"/>
          <w:highlight w:val="none"/>
        </w:rPr>
        <w:fldChar w:fldCharType="separate"/>
      </w:r>
      <w:r>
        <w:rPr>
          <w:rFonts w:hint="eastAsia" w:asciiTheme="minorEastAsia" w:hAnsiTheme="minorEastAsia" w:eastAsiaTheme="minorEastAsia" w:cstheme="minorEastAsia"/>
          <w:spacing w:val="0"/>
          <w:position w:val="0"/>
          <w:szCs w:val="32"/>
          <w:highlight w:val="none"/>
        </w:rPr>
        <w:t>第一章 竞争性磋商</w:t>
      </w:r>
      <w:r>
        <w:rPr>
          <w:rFonts w:hint="eastAsia" w:asciiTheme="minorEastAsia" w:hAnsiTheme="minorEastAsia" w:eastAsiaTheme="minorEastAsia" w:cstheme="minorEastAsia"/>
          <w:spacing w:val="0"/>
          <w:position w:val="0"/>
          <w:szCs w:val="32"/>
          <w:highlight w:val="none"/>
          <w:lang w:eastAsia="zh-CN"/>
        </w:rPr>
        <w:t>公告</w:t>
      </w:r>
      <w:r>
        <w:rPr>
          <w:highlight w:val="none"/>
        </w:rPr>
        <w:tab/>
      </w:r>
      <w:r>
        <w:rPr>
          <w:highlight w:val="none"/>
        </w:rPr>
        <w:fldChar w:fldCharType="begin"/>
      </w:r>
      <w:r>
        <w:rPr>
          <w:highlight w:val="none"/>
        </w:rPr>
        <w:instrText xml:space="preserve"> PAGEREF _Toc18837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color w:val="auto"/>
          <w:spacing w:val="0"/>
          <w:position w:val="0"/>
          <w:highlight w:val="none"/>
        </w:rPr>
        <w:fldChar w:fldCharType="end"/>
      </w:r>
    </w:p>
    <w:p w14:paraId="6CA49258">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_Toc30804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szCs w:val="32"/>
          <w:highlight w:val="none"/>
        </w:rPr>
        <w:t>第二章 供应商须知</w:t>
      </w:r>
      <w:r>
        <w:rPr>
          <w:highlight w:val="none"/>
        </w:rPr>
        <w:tab/>
      </w:r>
      <w:r>
        <w:rPr>
          <w:highlight w:val="none"/>
        </w:rPr>
        <w:fldChar w:fldCharType="begin"/>
      </w:r>
      <w:r>
        <w:rPr>
          <w:highlight w:val="none"/>
        </w:rPr>
        <w:instrText xml:space="preserve"> PAGEREF _Toc30804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017724DF">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_Toc12310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szCs w:val="32"/>
          <w:highlight w:val="none"/>
        </w:rPr>
        <w:t>供应商须知前附表</w:t>
      </w:r>
      <w:r>
        <w:rPr>
          <w:highlight w:val="none"/>
        </w:rPr>
        <w:tab/>
      </w:r>
      <w:r>
        <w:rPr>
          <w:highlight w:val="none"/>
        </w:rPr>
        <w:fldChar w:fldCharType="begin"/>
      </w:r>
      <w:r>
        <w:rPr>
          <w:highlight w:val="none"/>
        </w:rPr>
        <w:instrText xml:space="preserve"> PAGEREF _Toc12310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83652B3">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_Toc16896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一、 说明</w:t>
      </w:r>
      <w:r>
        <w:rPr>
          <w:highlight w:val="none"/>
        </w:rPr>
        <w:tab/>
      </w:r>
      <w:r>
        <w:rPr>
          <w:highlight w:val="none"/>
        </w:rPr>
        <w:fldChar w:fldCharType="begin"/>
      </w:r>
      <w:r>
        <w:rPr>
          <w:highlight w:val="none"/>
        </w:rPr>
        <w:instrText xml:space="preserve"> PAGEREF _Toc16896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42EB8D3E">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_Toc4383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二、磋商文件</w:t>
      </w:r>
      <w:r>
        <w:rPr>
          <w:highlight w:val="none"/>
        </w:rPr>
        <w:tab/>
      </w:r>
      <w:r>
        <w:rPr>
          <w:highlight w:val="none"/>
        </w:rPr>
        <w:fldChar w:fldCharType="begin"/>
      </w:r>
      <w:r>
        <w:rPr>
          <w:highlight w:val="none"/>
        </w:rPr>
        <w:instrText xml:space="preserve"> PAGEREF _Toc4383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30BFBCA">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_Toc17375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三、响应文件的编制和数量</w:t>
      </w:r>
      <w:r>
        <w:rPr>
          <w:highlight w:val="none"/>
        </w:rPr>
        <w:tab/>
      </w:r>
      <w:r>
        <w:rPr>
          <w:highlight w:val="none"/>
        </w:rPr>
        <w:fldChar w:fldCharType="begin"/>
      </w:r>
      <w:r>
        <w:rPr>
          <w:highlight w:val="none"/>
        </w:rPr>
        <w:instrText xml:space="preserve"> PAGEREF _Toc17375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968FAE4">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_Toc32568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kern w:val="2"/>
          <w:position w:val="0"/>
          <w:szCs w:val="28"/>
          <w:highlight w:val="none"/>
          <w:lang w:val="en-US" w:eastAsia="zh-CN" w:bidi="ar-SA"/>
        </w:rPr>
        <w:t>四、响应文件的递交</w:t>
      </w:r>
      <w:r>
        <w:rPr>
          <w:highlight w:val="none"/>
        </w:rPr>
        <w:tab/>
      </w:r>
      <w:r>
        <w:rPr>
          <w:highlight w:val="none"/>
        </w:rPr>
        <w:fldChar w:fldCharType="begin"/>
      </w:r>
      <w:r>
        <w:rPr>
          <w:highlight w:val="none"/>
        </w:rPr>
        <w:instrText xml:space="preserve"> PAGEREF _Toc32568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4BE66AC">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_Toc30347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五、竞争性磋商程序</w:t>
      </w:r>
      <w:r>
        <w:rPr>
          <w:highlight w:val="none"/>
        </w:rPr>
        <w:tab/>
      </w:r>
      <w:r>
        <w:rPr>
          <w:highlight w:val="none"/>
        </w:rPr>
        <w:fldChar w:fldCharType="begin"/>
      </w:r>
      <w:r>
        <w:rPr>
          <w:highlight w:val="none"/>
        </w:rPr>
        <w:instrText xml:space="preserve"> PAGEREF _Toc30347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9D440AF">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_Toc26601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六、 授予合同</w:t>
      </w:r>
      <w:r>
        <w:rPr>
          <w:highlight w:val="none"/>
        </w:rPr>
        <w:tab/>
      </w:r>
      <w:r>
        <w:rPr>
          <w:highlight w:val="none"/>
        </w:rPr>
        <w:fldChar w:fldCharType="begin"/>
      </w:r>
      <w:r>
        <w:rPr>
          <w:highlight w:val="none"/>
        </w:rPr>
        <w:instrText xml:space="preserve"> PAGEREF _Toc26601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475483E">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_Toc21374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七、质疑和投诉</w:t>
      </w:r>
      <w:r>
        <w:rPr>
          <w:highlight w:val="none"/>
        </w:rPr>
        <w:tab/>
      </w:r>
      <w:r>
        <w:rPr>
          <w:highlight w:val="none"/>
        </w:rPr>
        <w:fldChar w:fldCharType="begin"/>
      </w:r>
      <w:r>
        <w:rPr>
          <w:highlight w:val="none"/>
        </w:rPr>
        <w:instrText xml:space="preserve"> PAGEREF _Toc21374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4ADD79E">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_Toc16545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八、项目验收</w:t>
      </w:r>
      <w:r>
        <w:rPr>
          <w:highlight w:val="none"/>
        </w:rPr>
        <w:tab/>
      </w:r>
      <w:r>
        <w:rPr>
          <w:highlight w:val="none"/>
        </w:rPr>
        <w:fldChar w:fldCharType="begin"/>
      </w:r>
      <w:r>
        <w:rPr>
          <w:highlight w:val="none"/>
        </w:rPr>
        <w:instrText xml:space="preserve"> PAGEREF _Toc16545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EE3402C">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_Toc23745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九、适用法律</w:t>
      </w:r>
      <w:r>
        <w:rPr>
          <w:highlight w:val="none"/>
        </w:rPr>
        <w:tab/>
      </w:r>
      <w:r>
        <w:rPr>
          <w:highlight w:val="none"/>
        </w:rPr>
        <w:fldChar w:fldCharType="begin"/>
      </w:r>
      <w:r>
        <w:rPr>
          <w:highlight w:val="none"/>
        </w:rPr>
        <w:instrText xml:space="preserve"> PAGEREF _Toc23745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8BC3864">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_Toc17467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十、磋商文件的解释权</w:t>
      </w:r>
      <w:r>
        <w:rPr>
          <w:highlight w:val="none"/>
        </w:rPr>
        <w:tab/>
      </w:r>
      <w:r>
        <w:rPr>
          <w:highlight w:val="none"/>
        </w:rPr>
        <w:fldChar w:fldCharType="begin"/>
      </w:r>
      <w:r>
        <w:rPr>
          <w:highlight w:val="none"/>
        </w:rPr>
        <w:instrText xml:space="preserve"> PAGEREF _Toc17467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66F6D05">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_Toc26347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十一、其他注意事项</w:t>
      </w:r>
      <w:r>
        <w:rPr>
          <w:highlight w:val="none"/>
        </w:rPr>
        <w:tab/>
      </w:r>
      <w:r>
        <w:rPr>
          <w:highlight w:val="none"/>
        </w:rPr>
        <w:fldChar w:fldCharType="begin"/>
      </w:r>
      <w:r>
        <w:rPr>
          <w:highlight w:val="none"/>
        </w:rPr>
        <w:instrText xml:space="preserve"> PAGEREF _Toc26347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0AB7060">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_Toc3441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第三章 采购需求</w:t>
      </w:r>
      <w:r>
        <w:rPr>
          <w:highlight w:val="none"/>
        </w:rPr>
        <w:tab/>
      </w:r>
      <w:r>
        <w:rPr>
          <w:highlight w:val="none"/>
        </w:rPr>
        <w:fldChar w:fldCharType="begin"/>
      </w:r>
      <w:r>
        <w:rPr>
          <w:highlight w:val="none"/>
        </w:rPr>
        <w:instrText xml:space="preserve"> PAGEREF _Toc3441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005E828E">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_Toc24651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第四章 评审方法</w:t>
      </w:r>
      <w:r>
        <w:rPr>
          <w:highlight w:val="none"/>
        </w:rPr>
        <w:tab/>
      </w:r>
      <w:r>
        <w:rPr>
          <w:highlight w:val="none"/>
        </w:rPr>
        <w:fldChar w:fldCharType="begin"/>
      </w:r>
      <w:r>
        <w:rPr>
          <w:highlight w:val="none"/>
        </w:rPr>
        <w:instrText xml:space="preserve"> PAGEREF _Toc24651 \h </w:instrText>
      </w:r>
      <w:r>
        <w:rPr>
          <w:highlight w:val="none"/>
        </w:rPr>
        <w:fldChar w:fldCharType="separate"/>
      </w:r>
      <w:r>
        <w:rPr>
          <w:highlight w:val="none"/>
        </w:rPr>
        <w:t>40</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44F34CC">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_Toc32236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第五章 合同格式及合同条款</w:t>
      </w:r>
      <w:r>
        <w:rPr>
          <w:highlight w:val="none"/>
        </w:rPr>
        <w:tab/>
      </w:r>
      <w:r>
        <w:rPr>
          <w:highlight w:val="none"/>
        </w:rPr>
        <w:fldChar w:fldCharType="begin"/>
      </w:r>
      <w:r>
        <w:rPr>
          <w:highlight w:val="none"/>
        </w:rPr>
        <w:instrText xml:space="preserve"> PAGEREF _Toc32236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3A8513BD">
      <w:pPr>
        <w:pStyle w:val="24"/>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_Toc26162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第六章 竞争性磋商响应文件格式</w:t>
      </w:r>
      <w:r>
        <w:rPr>
          <w:highlight w:val="none"/>
        </w:rPr>
        <w:tab/>
      </w:r>
      <w:r>
        <w:rPr>
          <w:highlight w:val="none"/>
        </w:rPr>
        <w:fldChar w:fldCharType="begin"/>
      </w:r>
      <w:r>
        <w:rPr>
          <w:highlight w:val="none"/>
        </w:rPr>
        <w:instrText xml:space="preserve"> PAGEREF _Toc26162 \h </w:instrText>
      </w:r>
      <w:r>
        <w:rPr>
          <w:highlight w:val="none"/>
        </w:rPr>
        <w:fldChar w:fldCharType="separate"/>
      </w:r>
      <w:r>
        <w:rPr>
          <w:highlight w:val="none"/>
        </w:rPr>
        <w:t>53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1E66AE7">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_Toc7894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一、</w:t>
      </w:r>
      <w:r>
        <w:rPr>
          <w:rFonts w:hint="eastAsia" w:asciiTheme="minorEastAsia" w:hAnsiTheme="minorEastAsia" w:eastAsiaTheme="minorEastAsia" w:cstheme="minorEastAsia"/>
          <w:spacing w:val="0"/>
          <w:position w:val="0"/>
          <w:highlight w:val="none"/>
          <w:lang w:val="en-US" w:eastAsia="zh-CN"/>
        </w:rPr>
        <w:t>资格审查材料</w:t>
      </w:r>
      <w:r>
        <w:rPr>
          <w:highlight w:val="none"/>
        </w:rPr>
        <w:tab/>
      </w:r>
      <w:r>
        <w:rPr>
          <w:highlight w:val="none"/>
        </w:rPr>
        <w:fldChar w:fldCharType="begin"/>
      </w:r>
      <w:r>
        <w:rPr>
          <w:highlight w:val="none"/>
        </w:rPr>
        <w:instrText xml:space="preserve"> PAGEREF _Toc7894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86CBAF9">
      <w:pPr>
        <w:pStyle w:val="27"/>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_Toc16821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二</w:t>
      </w:r>
      <w:r>
        <w:rPr>
          <w:rFonts w:hint="eastAsia" w:asciiTheme="minorEastAsia" w:hAnsiTheme="minorEastAsia" w:eastAsiaTheme="minorEastAsia" w:cstheme="minorEastAsia"/>
          <w:spacing w:val="0"/>
          <w:position w:val="0"/>
          <w:highlight w:val="none"/>
        </w:rPr>
        <w:t>、商务文件组成</w:t>
      </w:r>
      <w:r>
        <w:rPr>
          <w:highlight w:val="none"/>
        </w:rPr>
        <w:tab/>
      </w:r>
      <w:r>
        <w:rPr>
          <w:highlight w:val="none"/>
        </w:rPr>
        <w:fldChar w:fldCharType="begin"/>
      </w:r>
      <w:r>
        <w:rPr>
          <w:highlight w:val="none"/>
        </w:rPr>
        <w:instrText xml:space="preserve"> PAGEREF _Toc16821 \h </w:instrText>
      </w:r>
      <w:r>
        <w:rPr>
          <w:highlight w:val="none"/>
        </w:rPr>
        <w:fldChar w:fldCharType="separate"/>
      </w:r>
      <w:r>
        <w:rPr>
          <w:highlight w:val="none"/>
        </w:rPr>
        <w:t>58</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58359BE">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_Toc20261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1、</w:t>
      </w:r>
      <w:r>
        <w:rPr>
          <w:rFonts w:hint="eastAsia" w:asciiTheme="minorEastAsia" w:hAnsiTheme="minorEastAsia" w:eastAsiaTheme="minorEastAsia" w:cstheme="minorEastAsia"/>
          <w:spacing w:val="0"/>
          <w:position w:val="0"/>
          <w:highlight w:val="none"/>
        </w:rPr>
        <w:t>竞争性磋商函</w:t>
      </w:r>
      <w:r>
        <w:rPr>
          <w:highlight w:val="none"/>
        </w:rPr>
        <w:tab/>
      </w:r>
      <w:r>
        <w:rPr>
          <w:highlight w:val="none"/>
        </w:rPr>
        <w:fldChar w:fldCharType="begin"/>
      </w:r>
      <w:r>
        <w:rPr>
          <w:highlight w:val="none"/>
        </w:rPr>
        <w:instrText xml:space="preserve"> PAGEREF _Toc20261 \h </w:instrText>
      </w:r>
      <w:r>
        <w:rPr>
          <w:highlight w:val="none"/>
        </w:rPr>
        <w:fldChar w:fldCharType="separate"/>
      </w:r>
      <w:r>
        <w:rPr>
          <w:highlight w:val="none"/>
        </w:rPr>
        <w:t>59</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22A69982">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_Toc28516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2、法定授权人委托书</w:t>
      </w:r>
      <w:r>
        <w:rPr>
          <w:highlight w:val="none"/>
        </w:rPr>
        <w:tab/>
      </w:r>
      <w:r>
        <w:rPr>
          <w:highlight w:val="none"/>
        </w:rPr>
        <w:fldChar w:fldCharType="begin"/>
      </w:r>
      <w:r>
        <w:rPr>
          <w:highlight w:val="none"/>
        </w:rPr>
        <w:instrText xml:space="preserve"> PAGEREF _Toc28516 \h </w:instrText>
      </w:r>
      <w:r>
        <w:rPr>
          <w:highlight w:val="none"/>
        </w:rPr>
        <w:fldChar w:fldCharType="separate"/>
      </w:r>
      <w:r>
        <w:rPr>
          <w:highlight w:val="none"/>
        </w:rPr>
        <w:t>60</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226D133F">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_Toc29928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3、开标一览</w:t>
      </w:r>
      <w:r>
        <w:rPr>
          <w:rFonts w:hint="eastAsia" w:asciiTheme="minorEastAsia" w:hAnsiTheme="minorEastAsia" w:eastAsiaTheme="minorEastAsia" w:cstheme="minorEastAsia"/>
          <w:spacing w:val="0"/>
          <w:position w:val="0"/>
          <w:highlight w:val="none"/>
        </w:rPr>
        <w:t>表</w:t>
      </w:r>
      <w:r>
        <w:rPr>
          <w:highlight w:val="none"/>
        </w:rPr>
        <w:tab/>
      </w:r>
      <w:r>
        <w:rPr>
          <w:highlight w:val="none"/>
        </w:rPr>
        <w:fldChar w:fldCharType="begin"/>
      </w:r>
      <w:r>
        <w:rPr>
          <w:highlight w:val="none"/>
        </w:rPr>
        <w:instrText xml:space="preserve"> PAGEREF _Toc29928 \h </w:instrText>
      </w:r>
      <w:r>
        <w:rPr>
          <w:highlight w:val="none"/>
        </w:rPr>
        <w:fldChar w:fldCharType="separate"/>
      </w:r>
      <w:r>
        <w:rPr>
          <w:highlight w:val="none"/>
        </w:rPr>
        <w:t>62</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101D0E7">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_Toc12739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4、</w:t>
      </w:r>
      <w:r>
        <w:rPr>
          <w:rFonts w:hint="eastAsia" w:asciiTheme="minorEastAsia" w:hAnsiTheme="minorEastAsia" w:eastAsiaTheme="minorEastAsia" w:cstheme="minorEastAsia"/>
          <w:spacing w:val="0"/>
          <w:position w:val="0"/>
          <w:highlight w:val="none"/>
        </w:rPr>
        <w:t>竞争性磋商报价明细表</w:t>
      </w:r>
      <w:r>
        <w:rPr>
          <w:highlight w:val="none"/>
        </w:rPr>
        <w:tab/>
      </w:r>
      <w:r>
        <w:rPr>
          <w:highlight w:val="none"/>
        </w:rPr>
        <w:fldChar w:fldCharType="begin"/>
      </w:r>
      <w:r>
        <w:rPr>
          <w:highlight w:val="none"/>
        </w:rPr>
        <w:instrText xml:space="preserve"> PAGEREF _Toc12739 \h </w:instrText>
      </w:r>
      <w:r>
        <w:rPr>
          <w:highlight w:val="none"/>
        </w:rPr>
        <w:fldChar w:fldCharType="separate"/>
      </w:r>
      <w:r>
        <w:rPr>
          <w:highlight w:val="none"/>
        </w:rPr>
        <w:t>63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33F96E6F">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_Toc21095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5、</w:t>
      </w:r>
      <w:r>
        <w:rPr>
          <w:rFonts w:hint="eastAsia" w:asciiTheme="minorEastAsia" w:hAnsiTheme="minorEastAsia" w:eastAsiaTheme="minorEastAsia" w:cstheme="minorEastAsia"/>
          <w:spacing w:val="0"/>
          <w:position w:val="0"/>
          <w:highlight w:val="none"/>
        </w:rPr>
        <w:t>商务响应、偏离说明表</w:t>
      </w:r>
      <w:r>
        <w:rPr>
          <w:highlight w:val="none"/>
        </w:rPr>
        <w:tab/>
      </w:r>
      <w:r>
        <w:rPr>
          <w:highlight w:val="none"/>
        </w:rPr>
        <w:fldChar w:fldCharType="begin"/>
      </w:r>
      <w:r>
        <w:rPr>
          <w:highlight w:val="none"/>
        </w:rPr>
        <w:instrText xml:space="preserve"> PAGEREF _Toc21095 \h </w:instrText>
      </w:r>
      <w:r>
        <w:rPr>
          <w:highlight w:val="none"/>
        </w:rPr>
        <w:fldChar w:fldCharType="separate"/>
      </w:r>
      <w:r>
        <w:rPr>
          <w:highlight w:val="none"/>
        </w:rPr>
        <w:t>64</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AD2C591">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_Toc27790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6、项目管理机构配备情况</w:t>
      </w:r>
      <w:r>
        <w:rPr>
          <w:highlight w:val="none"/>
        </w:rPr>
        <w:tab/>
      </w:r>
      <w:r>
        <w:rPr>
          <w:highlight w:val="none"/>
        </w:rPr>
        <w:fldChar w:fldCharType="begin"/>
      </w:r>
      <w:r>
        <w:rPr>
          <w:highlight w:val="none"/>
        </w:rPr>
        <w:instrText xml:space="preserve"> PAGEREF _Toc27790 \h </w:instrText>
      </w:r>
      <w:r>
        <w:rPr>
          <w:highlight w:val="none"/>
        </w:rPr>
        <w:fldChar w:fldCharType="separate"/>
      </w:r>
      <w:r>
        <w:rPr>
          <w:highlight w:val="none"/>
        </w:rPr>
        <w:t>65</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577D687">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_Toc25810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7、</w:t>
      </w:r>
      <w:r>
        <w:rPr>
          <w:rFonts w:hint="eastAsia" w:asciiTheme="minorEastAsia" w:hAnsiTheme="minorEastAsia" w:eastAsiaTheme="minorEastAsia" w:cstheme="minorEastAsia"/>
          <w:spacing w:val="0"/>
          <w:position w:val="0"/>
          <w:highlight w:val="none"/>
        </w:rPr>
        <w:t>供应商类似项目业绩表</w:t>
      </w:r>
      <w:r>
        <w:rPr>
          <w:highlight w:val="none"/>
        </w:rPr>
        <w:tab/>
      </w:r>
      <w:r>
        <w:rPr>
          <w:highlight w:val="none"/>
        </w:rPr>
        <w:fldChar w:fldCharType="begin"/>
      </w:r>
      <w:r>
        <w:rPr>
          <w:highlight w:val="none"/>
        </w:rPr>
        <w:instrText xml:space="preserve"> PAGEREF _Toc25810 \h </w:instrText>
      </w:r>
      <w:r>
        <w:rPr>
          <w:highlight w:val="none"/>
        </w:rPr>
        <w:fldChar w:fldCharType="separate"/>
      </w:r>
      <w:r>
        <w:rPr>
          <w:highlight w:val="none"/>
        </w:rPr>
        <w:t>66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26AA94B0">
      <w:pPr>
        <w:pStyle w:val="18"/>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_Toc14089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8、磋商文件要求提供或供应商认为需提供的其它资料；</w:t>
      </w:r>
      <w:r>
        <w:rPr>
          <w:highlight w:val="none"/>
        </w:rPr>
        <w:tab/>
      </w:r>
      <w:r>
        <w:rPr>
          <w:highlight w:val="none"/>
        </w:rPr>
        <w:fldChar w:fldCharType="begin"/>
      </w:r>
      <w:r>
        <w:rPr>
          <w:highlight w:val="none"/>
        </w:rPr>
        <w:instrText xml:space="preserve"> PAGEREF _Toc14089 \h </w:instrText>
      </w:r>
      <w:r>
        <w:rPr>
          <w:highlight w:val="none"/>
        </w:rPr>
        <w:fldChar w:fldCharType="separate"/>
      </w:r>
      <w:r>
        <w:rPr>
          <w:highlight w:val="none"/>
        </w:rPr>
        <w:t>67</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EB418F3">
      <w:pPr>
        <w:pStyle w:val="27"/>
        <w:tabs>
          <w:tab w:val="right" w:leader="dot" w:pos="8312"/>
          <w:tab w:val="clear" w:pos="8222"/>
        </w:tabs>
        <w:rPr>
          <w:rFonts w:hint="eastAsia" w:asciiTheme="minorEastAsia" w:hAnsiTheme="minorEastAsia" w:eastAsiaTheme="minorEastAsia" w:cstheme="minorEastAsia"/>
          <w:color w:val="auto"/>
          <w:spacing w:val="0"/>
          <w:position w:val="0"/>
          <w:szCs w:val="20"/>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_Toc8655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二、技术文件组成</w:t>
      </w:r>
      <w:r>
        <w:rPr>
          <w:highlight w:val="none"/>
        </w:rPr>
        <w:tab/>
      </w:r>
      <w:r>
        <w:rPr>
          <w:highlight w:val="none"/>
        </w:rPr>
        <w:fldChar w:fldCharType="begin"/>
      </w:r>
      <w:r>
        <w:rPr>
          <w:highlight w:val="none"/>
        </w:rPr>
        <w:instrText xml:space="preserve"> PAGEREF _Toc8655 \h </w:instrText>
      </w:r>
      <w:r>
        <w:rPr>
          <w:highlight w:val="none"/>
        </w:rPr>
        <w:fldChar w:fldCharType="separate"/>
      </w:r>
      <w:r>
        <w:rPr>
          <w:highlight w:val="none"/>
        </w:rPr>
        <w:t>68</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790ACE8">
      <w:pPr>
        <w:rPr>
          <w:rFonts w:hint="eastAsia" w:asciiTheme="minorEastAsia" w:hAnsiTheme="minorEastAsia" w:eastAsiaTheme="minorEastAsia" w:cstheme="minorEastAsia"/>
          <w:color w:val="auto"/>
          <w:spacing w:val="0"/>
          <w:position w:val="0"/>
          <w:szCs w:val="20"/>
          <w:highlight w:val="none"/>
        </w:rPr>
      </w:pPr>
      <w:r>
        <w:rPr>
          <w:rFonts w:hint="eastAsia" w:asciiTheme="minorEastAsia" w:hAnsiTheme="minorEastAsia" w:eastAsiaTheme="minorEastAsia" w:cstheme="minorEastAsia"/>
          <w:color w:val="auto"/>
          <w:spacing w:val="0"/>
          <w:position w:val="0"/>
          <w:szCs w:val="20"/>
          <w:highlight w:val="none"/>
        </w:rPr>
        <w:br w:type="page"/>
      </w:r>
    </w:p>
    <w:p w14:paraId="76805B24">
      <w:pPr>
        <w:rPr>
          <w:highlight w:val="none"/>
        </w:rPr>
      </w:pPr>
    </w:p>
    <w:p w14:paraId="128A8DAB">
      <w:pPr>
        <w:pStyle w:val="2"/>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Theme="minorEastAsia" w:hAnsiTheme="minorEastAsia" w:eastAsiaTheme="minorEastAsia" w:cstheme="minorEastAsia"/>
          <w:color w:val="auto"/>
          <w:spacing w:val="0"/>
          <w:position w:val="0"/>
          <w:szCs w:val="20"/>
          <w:highlight w:val="none"/>
        </w:rPr>
        <w:fldChar w:fldCharType="end"/>
      </w:r>
      <w:bookmarkStart w:id="1" w:name="_Toc1883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6B0811D">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1512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2F2BC66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53A90A1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新疆维吾尔自治区残疾人联合会宣传文化培训班项目</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 05月09日16：00</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E8DD88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3DB4FF65">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XJCC-ZB-2025-045</w:t>
      </w:r>
      <w:r>
        <w:rPr>
          <w:rFonts w:hint="eastAsia" w:asciiTheme="minorEastAsia" w:hAnsiTheme="minorEastAsia" w:eastAsiaTheme="minorEastAsia" w:cstheme="minorEastAsia"/>
          <w:color w:val="auto"/>
          <w:spacing w:val="0"/>
          <w:position w:val="0"/>
          <w:highlight w:val="none"/>
        </w:rPr>
        <w:t> </w:t>
      </w:r>
    </w:p>
    <w:p w14:paraId="3EED435C">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新疆维吾尔自治区残疾人联合会宣传文化培训班项目</w:t>
      </w:r>
      <w:r>
        <w:rPr>
          <w:rFonts w:hint="eastAsia" w:asciiTheme="minorEastAsia" w:hAnsiTheme="minorEastAsia" w:eastAsiaTheme="minorEastAsia" w:cstheme="minorEastAsia"/>
          <w:color w:val="auto"/>
          <w:spacing w:val="0"/>
          <w:position w:val="0"/>
          <w:highlight w:val="none"/>
        </w:rPr>
        <w:t> </w:t>
      </w:r>
    </w:p>
    <w:p w14:paraId="58984F58">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cs="宋体"/>
          <w:sz w:val="24"/>
          <w:szCs w:val="24"/>
          <w:highlight w:val="none"/>
          <w:lang w:val="en-US" w:eastAsia="zh-CN"/>
        </w:rPr>
        <w:t>120000.00</w:t>
      </w:r>
      <w:r>
        <w:rPr>
          <w:rFonts w:hint="eastAsia" w:ascii="宋体" w:hAnsi="宋体" w:eastAsia="宋体" w:cs="宋体"/>
          <w:sz w:val="24"/>
          <w:szCs w:val="24"/>
          <w:highlight w:val="none"/>
          <w:lang w:val="en-US" w:eastAsia="zh-CN"/>
        </w:rPr>
        <w:t>元</w:t>
      </w:r>
      <w:r>
        <w:rPr>
          <w:rFonts w:hint="eastAsia" w:asciiTheme="minorEastAsia" w:hAnsiTheme="minorEastAsia" w:eastAsiaTheme="minorEastAsia" w:cstheme="minorEastAsia"/>
          <w:color w:val="auto"/>
          <w:spacing w:val="0"/>
          <w:position w:val="0"/>
          <w:highlight w:val="none"/>
        </w:rPr>
        <w:t xml:space="preserve"> </w:t>
      </w:r>
    </w:p>
    <w:p w14:paraId="5B06C310">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1DBC29F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2C52FBE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63E55B4F">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：新疆维吾尔自治区残疾人联合会宣传文化培训班项目</w:t>
      </w:r>
      <w:r>
        <w:rPr>
          <w:rFonts w:hint="eastAsia" w:asciiTheme="minorEastAsia" w:hAnsiTheme="minorEastAsia" w:eastAsiaTheme="minorEastAsia" w:cstheme="minorEastAsia"/>
          <w:color w:val="auto"/>
          <w:spacing w:val="0"/>
          <w:position w:val="0"/>
          <w:highlight w:val="none"/>
        </w:rPr>
        <w:t> </w:t>
      </w:r>
    </w:p>
    <w:p w14:paraId="53954E1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1A0A890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cs="宋体"/>
          <w:sz w:val="24"/>
          <w:szCs w:val="24"/>
          <w:highlight w:val="none"/>
          <w:lang w:val="en-US" w:eastAsia="zh-CN"/>
        </w:rPr>
        <w:t>120000.00</w:t>
      </w:r>
      <w:r>
        <w:rPr>
          <w:rFonts w:hint="eastAsia" w:ascii="宋体" w:hAnsi="宋体" w:eastAsia="宋体" w:cs="宋体"/>
          <w:sz w:val="24"/>
          <w:szCs w:val="24"/>
          <w:highlight w:val="none"/>
          <w:lang w:val="en-US" w:eastAsia="zh-CN"/>
        </w:rPr>
        <w:t>元</w:t>
      </w:r>
    </w:p>
    <w:p w14:paraId="49095E8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简要规格描述或项目基本概况介绍、用途：具体参数要求详见</w:t>
      </w:r>
      <w:r>
        <w:rPr>
          <w:rFonts w:hint="eastAsia" w:asciiTheme="minorEastAsia" w:hAnsiTheme="minorEastAsia" w:eastAsiaTheme="minorEastAsia" w:cstheme="minorEastAsia"/>
          <w:color w:val="auto"/>
          <w:spacing w:val="0"/>
          <w:position w:val="0"/>
          <w:highlight w:val="none"/>
          <w:lang w:eastAsia="zh-CN"/>
        </w:rPr>
        <w:t>磋商文件。</w:t>
      </w:r>
    </w:p>
    <w:p w14:paraId="0E1BE8B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7D09473B">
      <w:pPr>
        <w:pStyle w:val="29"/>
        <w:rPr>
          <w:rFonts w:hint="eastAsia"/>
          <w:highlight w:val="none"/>
        </w:rPr>
      </w:pPr>
    </w:p>
    <w:p w14:paraId="02225155">
      <w:pPr>
        <w:pStyle w:val="102"/>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2E59E6EA">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val="en-US" w:eastAsia="zh-CN"/>
        </w:rPr>
        <w:t>以合同约定为准</w:t>
      </w:r>
    </w:p>
    <w:p w14:paraId="4CF972BC">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D2CE1E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81869CB">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278D8CA8">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r>
        <w:rPr>
          <w:rFonts w:hint="eastAsia" w:asciiTheme="minorEastAsia" w:hAnsiTheme="minorEastAsia" w:eastAsiaTheme="minorEastAsia" w:cstheme="minorEastAsia"/>
          <w:color w:val="auto"/>
          <w:spacing w:val="0"/>
          <w:position w:val="0"/>
          <w:sz w:val="24"/>
          <w:szCs w:val="24"/>
          <w:highlight w:val="none"/>
        </w:rPr>
        <w:t xml:space="preserve"> </w:t>
      </w:r>
    </w:p>
    <w:p w14:paraId="0D153F7D">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eastAsia="zh-CN"/>
        </w:rPr>
        <w:t>无</w:t>
      </w:r>
    </w:p>
    <w:p w14:paraId="5DEDF65C">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5F8C35A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时间：2025年04月24日至2025年04月30日，每天上午00:00至14:00，下午14:00至23:59（北京时间，法定节假日除外）</w:t>
      </w:r>
    </w:p>
    <w:p w14:paraId="167D2E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7BB00A0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00E44B5">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0E4FAD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提交投标文件截止时间：2025年05月09日16:00（北京时间）</w:t>
      </w:r>
    </w:p>
    <w:p w14:paraId="524D43C3">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3C37A9B6">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开标时间：2025年05月09日16:00（北京时间）</w:t>
      </w:r>
    </w:p>
    <w:p w14:paraId="46C23071">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25CD17E">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4CF8BB4">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F64F95F">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36CB85D8">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414C1F23">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515E50F0">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42BB34D2">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B0DA329">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3CE1B8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7BC77F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5DCD14D">
      <w:pPr>
        <w:pStyle w:val="101"/>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197FC0AA">
      <w:pPr>
        <w:pStyle w:val="10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30B3C0B4">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3E64EA20">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名称：新疆维吾尔自治区残疾人联合会</w:t>
      </w:r>
    </w:p>
    <w:p w14:paraId="7E95688D">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地址：</w:t>
      </w:r>
      <w:r>
        <w:rPr>
          <w:rFonts w:hint="eastAsia" w:asciiTheme="minorEastAsia" w:hAnsiTheme="minorEastAsia" w:eastAsiaTheme="minorEastAsia" w:cstheme="minorEastAsia"/>
          <w:color w:val="auto"/>
          <w:spacing w:val="0"/>
          <w:position w:val="0"/>
          <w:sz w:val="24"/>
          <w:szCs w:val="24"/>
          <w:highlight w:val="none"/>
          <w:u w:val="none"/>
          <w:lang w:val="en-US" w:eastAsia="zh-CN"/>
        </w:rPr>
        <w:t>乌鲁木齐市沙依巴克区克拉玛依西街135号</w:t>
      </w:r>
    </w:p>
    <w:p w14:paraId="5ADC8999">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联系方式：</w:t>
      </w:r>
      <w:r>
        <w:rPr>
          <w:rFonts w:hint="eastAsia" w:asciiTheme="minorEastAsia" w:hAnsiTheme="minorEastAsia" w:eastAsiaTheme="minorEastAsia" w:cstheme="minorEastAsia"/>
          <w:color w:val="auto"/>
          <w:spacing w:val="0"/>
          <w:position w:val="0"/>
          <w:sz w:val="24"/>
          <w:szCs w:val="24"/>
          <w:highlight w:val="none"/>
          <w:u w:val="none"/>
          <w:lang w:val="en-US" w:eastAsia="zh-CN"/>
        </w:rPr>
        <w:t>周老师 15299271010</w:t>
      </w:r>
    </w:p>
    <w:p w14:paraId="1909080F">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2EC243FA">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05FB65ED">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2D04436F">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1A84D991">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38E5269A">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38EF3D40">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218F6C2D">
      <w:pPr>
        <w:pStyle w:val="73"/>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4C8D8C2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37CCFE3">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6D222174">
      <w:pPr>
        <w:pStyle w:val="2"/>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10571"/>
      <w:bookmarkStart w:id="4" w:name="_Toc30804"/>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7360F6C8">
      <w:pPr>
        <w:pStyle w:val="3"/>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12310"/>
      <w:bookmarkStart w:id="6" w:name="_Toc21720"/>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04EE8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4D45B6E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76EE72B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2E385E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1A3A3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7B2C3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5712F6B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37751176">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新疆维吾尔自治区残疾人联合会宣传文化培训班项目</w:t>
            </w:r>
          </w:p>
        </w:tc>
      </w:tr>
      <w:tr w14:paraId="10087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CEF4AC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vAlign w:val="center"/>
          </w:tcPr>
          <w:p w14:paraId="006789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vAlign w:val="center"/>
          </w:tcPr>
          <w:p w14:paraId="322DBA1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新疆维吾尔自治区残疾人联合会</w:t>
            </w:r>
            <w:r>
              <w:rPr>
                <w:rFonts w:hint="eastAsia" w:asciiTheme="minorEastAsia" w:hAnsiTheme="minorEastAsia" w:eastAsiaTheme="minorEastAsia" w:cstheme="minorEastAsia"/>
                <w:color w:val="auto"/>
                <w:spacing w:val="0"/>
                <w:position w:val="0"/>
                <w:sz w:val="24"/>
                <w:szCs w:val="24"/>
                <w:highlight w:val="none"/>
                <w:u w:val="none"/>
              </w:rPr>
              <w:t>　　　　　　　　</w:t>
            </w:r>
          </w:p>
          <w:p w14:paraId="4EAB5B7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val="en-US" w:eastAsia="zh-CN"/>
              </w:rPr>
              <w:t>乌鲁木齐市沙依巴克区克拉玛依西街135号</w:t>
            </w:r>
          </w:p>
          <w:p w14:paraId="518771E1">
            <w:pPr>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周老师</w:t>
            </w:r>
          </w:p>
          <w:p w14:paraId="37D7AFF2">
            <w:pPr>
              <w:adjustRightInd w:val="0"/>
              <w:snapToGrid w:val="0"/>
              <w:spacing w:line="440" w:lineRule="exac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15299271010</w:t>
            </w:r>
          </w:p>
        </w:tc>
      </w:tr>
      <w:tr w14:paraId="4E449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B66C9E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vAlign w:val="center"/>
          </w:tcPr>
          <w:p w14:paraId="5E326E6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vAlign w:val="center"/>
          </w:tcPr>
          <w:p w14:paraId="6487C0D3">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1032FC85">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2AADE1A7">
            <w:pPr>
              <w:pStyle w:val="28"/>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5A0686DA">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4EF3A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4967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71DB952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594530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23C2A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5354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31ED4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639A386D">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本项目预算为</w:t>
            </w:r>
            <w:r>
              <w:rPr>
                <w:rFonts w:hint="eastAsia" w:asciiTheme="minorEastAsia" w:hAnsiTheme="minorEastAsia" w:eastAsiaTheme="minorEastAsia" w:cstheme="minorEastAsia"/>
                <w:color w:val="auto"/>
                <w:spacing w:val="0"/>
                <w:position w:val="0"/>
                <w:sz w:val="24"/>
                <w:szCs w:val="24"/>
                <w:highlight w:val="none"/>
                <w:lang w:val="en-US" w:eastAsia="zh-CN"/>
              </w:rPr>
              <w:t>120000</w:t>
            </w:r>
            <w:r>
              <w:rPr>
                <w:rFonts w:hint="eastAsia" w:asciiTheme="minorEastAsia" w:hAnsiTheme="minorEastAsia" w:eastAsiaTheme="minorEastAsia" w:cstheme="minorEastAsia"/>
                <w:color w:val="auto"/>
                <w:spacing w:val="0"/>
                <w:position w:val="0"/>
                <w:sz w:val="24"/>
                <w:szCs w:val="24"/>
                <w:highlight w:val="none"/>
              </w:rPr>
              <w:t>.00</w:t>
            </w:r>
            <w:r>
              <w:rPr>
                <w:rFonts w:hint="eastAsia" w:asciiTheme="minorEastAsia" w:hAnsiTheme="minorEastAsia" w:eastAsiaTheme="minorEastAsia" w:cstheme="minorEastAsia"/>
                <w:color w:val="auto"/>
                <w:spacing w:val="0"/>
                <w:position w:val="0"/>
                <w:sz w:val="24"/>
                <w:szCs w:val="24"/>
                <w:highlight w:val="none"/>
                <w:lang w:val="en-US" w:eastAsia="zh-CN"/>
              </w:rPr>
              <w:t>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124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402C2A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63AE97D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23888DC2">
            <w:pPr>
              <w:keepNext w:val="0"/>
              <w:keepLines w:val="0"/>
              <w:pageBreakBefore w:val="0"/>
              <w:widowControl/>
              <w:kinsoku/>
              <w:overflowPunct/>
              <w:topLinePunct w:val="0"/>
              <w:autoSpaceDE/>
              <w:autoSpaceDN/>
              <w:bidi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5EE94F02">
            <w:pPr>
              <w:keepNext w:val="0"/>
              <w:keepLines w:val="0"/>
              <w:pageBreakBefore w:val="0"/>
              <w:widowControl/>
              <w:kinsoku/>
              <w:overflowPunct/>
              <w:topLinePunct w:val="0"/>
              <w:autoSpaceDE/>
              <w:autoSpaceDN/>
              <w:bidi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小微</w:t>
            </w:r>
            <w:r>
              <w:rPr>
                <w:rFonts w:hint="eastAsia" w:asciiTheme="minorEastAsia" w:hAnsiTheme="minorEastAsia" w:eastAsiaTheme="minorEastAsia" w:cstheme="minorEastAsia"/>
                <w:color w:val="auto"/>
                <w:spacing w:val="0"/>
                <w:position w:val="0"/>
                <w:sz w:val="24"/>
                <w:szCs w:val="24"/>
                <w:highlight w:val="none"/>
                <w:lang w:eastAsia="zh-CN"/>
              </w:rPr>
              <w:t>企业</w:t>
            </w:r>
          </w:p>
          <w:p w14:paraId="2B9B403B">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eastAsia="zh-CN"/>
              </w:rPr>
              <w:t>无</w:t>
            </w:r>
          </w:p>
        </w:tc>
      </w:tr>
      <w:tr w14:paraId="277DF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88EB35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68359D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2B112B2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2DC9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7B7FE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33DAE78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980534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51DF0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EDAB3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2587C6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1AFEF890">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25AC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D2564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23B351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013905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2025年05</w:t>
            </w:r>
            <w:bookmarkStart w:id="366" w:name="_GoBack"/>
            <w:bookmarkEnd w:id="366"/>
            <w:r>
              <w:rPr>
                <w:rFonts w:hint="eastAsia" w:asciiTheme="minorEastAsia" w:hAnsiTheme="minorEastAsia" w:eastAsiaTheme="minorEastAsia" w:cstheme="minorEastAsia"/>
                <w:color w:val="auto"/>
                <w:spacing w:val="0"/>
                <w:position w:val="0"/>
                <w:sz w:val="24"/>
                <w:szCs w:val="24"/>
                <w:highlight w:val="none"/>
                <w:u w:val="none"/>
                <w:lang w:val="en-US" w:eastAsia="zh-CN"/>
              </w:rPr>
              <w:t>月09日16时00分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5165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A301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60BAB9F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1A246272">
            <w:pPr>
              <w:pStyle w:val="98"/>
              <w:keepNext w:val="0"/>
              <w:keepLines w:val="0"/>
              <w:pageBreakBefore w:val="0"/>
              <w:kinsoku/>
              <w:overflowPunct/>
              <w:topLinePunct w:val="0"/>
              <w:bidi w:val="0"/>
              <w:spacing w:line="440" w:lineRule="exact"/>
              <w:ind w:left="0" w:firstLine="0" w:firstLineChars="0"/>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2EAAB9A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Fonts w:hint="eastAsia" w:asciiTheme="minorEastAsia" w:hAnsiTheme="minorEastAsia" w:eastAsiaTheme="minorEastAsia" w:cstheme="minorEastAsia"/>
                <w:color w:val="auto"/>
                <w:spacing w:val="0"/>
                <w:position w:val="0"/>
                <w:sz w:val="24"/>
                <w:szCs w:val="24"/>
                <w:highlight w:val="none"/>
                <w:u w:val="none"/>
                <w:lang w:val="en-US" w:eastAsia="zh-CN"/>
              </w:rPr>
              <w:t>2025年05月09日16时00分</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6569FDA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08ACC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AA405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685A806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07B3A5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7A3805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6A14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F9C93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07033CC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4B8A39C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6"/>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磋商保证金额为：2400.00元</w:t>
            </w:r>
          </w:p>
          <w:p w14:paraId="2FB909B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E43FF2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Fonts w:hint="eastAsia" w:asciiTheme="minorEastAsia" w:hAnsiTheme="minorEastAsia" w:eastAsiaTheme="minorEastAsia" w:cstheme="minorEastAsia"/>
                <w:color w:val="auto"/>
                <w:spacing w:val="0"/>
                <w:position w:val="0"/>
                <w:sz w:val="24"/>
                <w:szCs w:val="24"/>
                <w:highlight w:val="none"/>
                <w:u w:val="none"/>
                <w:lang w:val="en-US" w:eastAsia="zh-CN"/>
              </w:rPr>
              <w:t>2025年05月09日16时00分</w:t>
            </w:r>
            <w:r>
              <w:rPr>
                <w:rStyle w:val="76"/>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1BBD075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E538BD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216FC9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5D8E8EA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52F257C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626C110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069A839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B01315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3D85E54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33C7C34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color w:val="auto"/>
                <w:spacing w:val="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3332E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5A561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0E8F40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703C191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B07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649187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0E8B8B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439CFA6E">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B005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107F9B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4429D1D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0C9DB55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7290316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26492C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707E5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142AC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1B91DFD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40CAE16E">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1586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93A32C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0BC81B7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50BE15EC">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自行踏勘</w:t>
            </w:r>
          </w:p>
        </w:tc>
      </w:tr>
      <w:tr w14:paraId="3C06D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AAFA07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F73C66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41771F2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计算后不足3000元按3000元收取，在领取中标通知书时一次性支付 。本项目最高限价已包含代理服务费，请供应商将该费用考虑在报价之中，招标人将不另行支付。</w:t>
            </w:r>
          </w:p>
        </w:tc>
      </w:tr>
      <w:tr w14:paraId="6E00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99750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085497CB">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5030EF70">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20</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.1本项目专门面向小微企业，各供应商须提供《中小企业申明函》，否则视为无效投标。</w:t>
            </w:r>
          </w:p>
          <w:p w14:paraId="188FB003">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20.2根据工信部等部委发布的《关于印发中小企业划型标准规定的通知》（工信部联企业〔2011〕300号）、财政部、工业和信息化部《政府采购促进中小企业发展管理办法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i w:val="0"/>
                <w:iCs w:val="0"/>
                <w:caps w:val="0"/>
                <w:color w:val="000000"/>
                <w:spacing w:val="0"/>
                <w:sz w:val="24"/>
                <w:szCs w:val="24"/>
                <w:highlight w:val="none"/>
                <w:u w:val="single"/>
                <w:shd w:val="clear" w:fill="FFFFFF"/>
              </w:rPr>
              <w:t>租赁和商务服务业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tc>
      </w:tr>
      <w:tr w14:paraId="6BC9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24EC45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046BF2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2513D094">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t>培训时间5天</w:t>
            </w:r>
          </w:p>
        </w:tc>
      </w:tr>
      <w:tr w14:paraId="3D30B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B23013">
            <w:pPr>
              <w:keepNext w:val="0"/>
              <w:keepLines w:val="0"/>
              <w:pageBreakBefore w:val="0"/>
              <w:widowControl w:val="0"/>
              <w:tabs>
                <w:tab w:val="left" w:pos="265"/>
              </w:tabs>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1616244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付款方式</w:t>
            </w:r>
          </w:p>
        </w:tc>
        <w:tc>
          <w:tcPr>
            <w:tcW w:w="7251" w:type="dxa"/>
            <w:vAlign w:val="center"/>
          </w:tcPr>
          <w:p w14:paraId="1462FE79">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实际</w:t>
            </w:r>
            <w:r>
              <w:rPr>
                <w:rFonts w:hint="eastAsia" w:asciiTheme="minorEastAsia" w:hAnsiTheme="minorEastAsia" w:eastAsiaTheme="minorEastAsia" w:cstheme="minorEastAsia"/>
                <w:color w:val="auto"/>
                <w:spacing w:val="0"/>
                <w:position w:val="0"/>
                <w:sz w:val="24"/>
                <w:szCs w:val="24"/>
                <w:highlight w:val="none"/>
                <w:u w:val="none"/>
                <w:lang w:val="en-US" w:eastAsia="zh-CN"/>
              </w:rPr>
              <w:t>以双方签订合同为准。</w:t>
            </w:r>
          </w:p>
        </w:tc>
      </w:tr>
      <w:tr w14:paraId="6FA26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87721B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5FABD1F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258FD446">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733E9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A575C7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153D4188">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u w:val="none"/>
                <w:lang w:val="en-US" w:eastAsia="zh-CN"/>
              </w:rPr>
              <w:t>磋商</w:t>
            </w:r>
            <w:r>
              <w:rPr>
                <w:rFonts w:hint="eastAsia" w:ascii="宋体" w:hAnsi="宋体" w:eastAsia="宋体" w:cs="宋体"/>
                <w:b/>
                <w:bCs/>
                <w:color w:val="auto"/>
                <w:spacing w:val="0"/>
                <w:position w:val="0"/>
                <w:sz w:val="24"/>
                <w:szCs w:val="24"/>
                <w:highlight w:val="none"/>
                <w:u w:val="none"/>
              </w:rPr>
              <w:t>轮数和最后报价的其他要求</w:t>
            </w:r>
          </w:p>
        </w:tc>
        <w:tc>
          <w:tcPr>
            <w:tcW w:w="7251" w:type="dxa"/>
            <w:vAlign w:val="center"/>
          </w:tcPr>
          <w:p w14:paraId="1B9F9CC1">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w:t>
            </w:r>
            <w:r>
              <w:rPr>
                <w:rFonts w:hint="eastAsia" w:ascii="宋体" w:hAnsi="宋体" w:eastAsia="宋体" w:cs="宋体"/>
                <w:color w:val="auto"/>
                <w:spacing w:val="0"/>
                <w:position w:val="0"/>
                <w:sz w:val="24"/>
                <w:szCs w:val="24"/>
                <w:highlight w:val="none"/>
                <w:u w:val="none"/>
                <w:lang w:val="en-US" w:eastAsia="zh-CN"/>
              </w:rPr>
              <w:t>磋商</w:t>
            </w:r>
            <w:r>
              <w:rPr>
                <w:rFonts w:hint="eastAsia" w:ascii="宋体" w:hAnsi="宋体" w:eastAsia="宋体" w:cs="宋体"/>
                <w:color w:val="auto"/>
                <w:spacing w:val="0"/>
                <w:position w:val="0"/>
                <w:sz w:val="24"/>
                <w:szCs w:val="24"/>
                <w:highlight w:val="none"/>
                <w:u w:val="none"/>
                <w:lang w:val="zh-CN"/>
              </w:rPr>
              <w:t>轮数：不少于两轮；</w:t>
            </w:r>
          </w:p>
          <w:p w14:paraId="7CD1A78E">
            <w:pPr>
              <w:keepLines w:val="0"/>
              <w:pageBreakBefore w:val="0"/>
              <w:kinsoku/>
              <w:wordWrap/>
              <w:overflowPunct/>
              <w:topLinePunct w:val="0"/>
              <w:bidi w:val="0"/>
              <w:snapToGrid/>
              <w:spacing w:line="440" w:lineRule="exact"/>
              <w:ind w:right="0" w:right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57A32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B98100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63F4A6DF">
            <w:pPr>
              <w:keepLines w:val="0"/>
              <w:pageBreakBefore w:val="0"/>
              <w:kinsoku/>
              <w:wordWrap/>
              <w:overflowPunct/>
              <w:topLinePunct w:val="0"/>
              <w:bidi w:val="0"/>
              <w:snapToGrid/>
              <w:spacing w:line="440" w:lineRule="exact"/>
              <w:ind w:right="0" w:rightChars="0"/>
              <w:jc w:val="center"/>
              <w:rPr>
                <w:rFonts w:hint="default" w:ascii="宋体" w:hAnsi="宋体" w:eastAsia="宋体" w:cs="宋体"/>
                <w:b/>
                <w:bCs/>
                <w:color w:val="auto"/>
                <w:spacing w:val="0"/>
                <w:position w:val="0"/>
                <w:sz w:val="24"/>
                <w:szCs w:val="24"/>
                <w:highlight w:val="none"/>
                <w:u w:val="none"/>
                <w:lang w:val="en-US" w:eastAsia="zh-CN"/>
              </w:rPr>
            </w:pPr>
            <w:r>
              <w:rPr>
                <w:rFonts w:hint="eastAsia" w:ascii="宋体" w:hAnsi="宋体" w:cs="宋体"/>
                <w:b/>
                <w:bCs/>
                <w:color w:val="auto"/>
                <w:spacing w:val="0"/>
                <w:position w:val="0"/>
                <w:sz w:val="24"/>
                <w:szCs w:val="24"/>
                <w:highlight w:val="none"/>
                <w:u w:val="none"/>
                <w:lang w:val="en-US" w:eastAsia="zh-CN"/>
              </w:rPr>
              <w:t>其它补充事宜</w:t>
            </w:r>
          </w:p>
        </w:tc>
        <w:tc>
          <w:tcPr>
            <w:tcW w:w="7251" w:type="dxa"/>
            <w:vAlign w:val="center"/>
          </w:tcPr>
          <w:p w14:paraId="03A62509">
            <w:pPr>
              <w:pStyle w:val="109"/>
              <w:spacing w:line="440" w:lineRule="exact"/>
              <w:ind w:left="0" w:leftChars="0" w:firstLine="0" w:firstLineChars="0"/>
              <w:rPr>
                <w:rFonts w:hint="default" w:ascii="宋体" w:hAnsi="宋体" w:eastAsia="宋体" w:cs="宋体"/>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w:t>
            </w:r>
          </w:p>
        </w:tc>
      </w:tr>
      <w:tr w14:paraId="5DF1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C9CF30">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3DB31CF1">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37281586">
            <w:pPr>
              <w:pStyle w:val="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17253450">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8"/>
          <w:szCs w:val="24"/>
          <w:highlight w:val="none"/>
        </w:rPr>
      </w:pPr>
      <w:r>
        <w:rPr>
          <w:rFonts w:hint="eastAsia" w:asciiTheme="minorEastAsia" w:hAnsiTheme="minorEastAsia" w:eastAsiaTheme="minorEastAsia" w:cstheme="minorEastAsia"/>
          <w:b/>
          <w:bCs/>
          <w:color w:val="auto"/>
          <w:spacing w:val="0"/>
          <w:kern w:val="0"/>
          <w:position w:val="0"/>
          <w:sz w:val="28"/>
          <w:szCs w:val="24"/>
          <w:highlight w:val="none"/>
        </w:rPr>
        <w:t>注：</w:t>
      </w:r>
      <w:r>
        <w:rPr>
          <w:rFonts w:hint="eastAsia" w:asciiTheme="minorEastAsia" w:hAnsiTheme="minorEastAsia" w:eastAsiaTheme="minorEastAsia" w:cstheme="minorEastAsia"/>
          <w:color w:val="auto"/>
          <w:spacing w:val="0"/>
          <w:position w:val="0"/>
          <w:sz w:val="28"/>
          <w:szCs w:val="24"/>
          <w:highlight w:val="none"/>
        </w:rPr>
        <w:t>本表内容与</w:t>
      </w:r>
      <w:r>
        <w:rPr>
          <w:rFonts w:hint="eastAsia" w:asciiTheme="minorEastAsia" w:hAnsiTheme="minorEastAsia" w:eastAsiaTheme="minorEastAsia" w:cstheme="minorEastAsia"/>
          <w:color w:val="auto"/>
          <w:spacing w:val="0"/>
          <w:position w:val="0"/>
          <w:sz w:val="28"/>
          <w:szCs w:val="24"/>
          <w:highlight w:val="none"/>
          <w:lang w:eastAsia="zh-CN"/>
        </w:rPr>
        <w:t>磋商文件</w:t>
      </w:r>
      <w:r>
        <w:rPr>
          <w:rFonts w:hint="eastAsia" w:asciiTheme="minorEastAsia" w:hAnsiTheme="minorEastAsia" w:eastAsiaTheme="minorEastAsia" w:cstheme="minorEastAsia"/>
          <w:color w:val="auto"/>
          <w:spacing w:val="0"/>
          <w:position w:val="0"/>
          <w:sz w:val="28"/>
          <w:szCs w:val="24"/>
          <w:highlight w:val="none"/>
        </w:rPr>
        <w:t>其它内容不一致的，应当以本表内容为准。</w:t>
      </w:r>
    </w:p>
    <w:bookmarkEnd w:id="2"/>
    <w:p w14:paraId="3B1B1CE0">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16938518"/>
      <w:bookmarkEnd w:id="7"/>
      <w:bookmarkStart w:id="8" w:name="_Toc20823274"/>
      <w:bookmarkEnd w:id="8"/>
      <w:bookmarkStart w:id="9" w:name="_Toc120614213"/>
      <w:bookmarkEnd w:id="9"/>
      <w:bookmarkStart w:id="10" w:name="_Toc455227390"/>
      <w:bookmarkEnd w:id="10"/>
      <w:bookmarkStart w:id="11" w:name="_Toc513029202"/>
      <w:bookmarkEnd w:id="11"/>
      <w:bookmarkStart w:id="12" w:name="_Toc16896"/>
      <w:bookmarkStart w:id="13" w:name="_Toc1621"/>
      <w:r>
        <w:rPr>
          <w:rFonts w:hint="eastAsia" w:asciiTheme="minorEastAsia" w:hAnsiTheme="minorEastAsia" w:eastAsiaTheme="minorEastAsia" w:cstheme="minorEastAsia"/>
          <w:color w:val="auto"/>
          <w:spacing w:val="0"/>
          <w:position w:val="0"/>
          <w:highlight w:val="none"/>
        </w:rPr>
        <w:t>一、 说明</w:t>
      </w:r>
      <w:bookmarkEnd w:id="12"/>
      <w:bookmarkEnd w:id="13"/>
    </w:p>
    <w:p w14:paraId="07D450D3">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75D5B21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103184C2">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00FE0463">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4B66AA9E">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4A8BBE2">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281F196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7AA79BF0">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2BFEA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593BD1F1">
      <w:pPr>
        <w:pStyle w:val="19"/>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2FAD7AF8">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59F847FF">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374339A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04BC1F75">
      <w:pPr>
        <w:pStyle w:val="19"/>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565ADD0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7B8F5605">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446599311"/>
      <w:bookmarkStart w:id="15" w:name="_Toc3092"/>
      <w:bookmarkStart w:id="16" w:name="_Toc4383"/>
      <w:bookmarkStart w:id="17" w:name="_Toc293736011"/>
      <w:bookmarkStart w:id="18" w:name="_Toc293736054"/>
      <w:bookmarkStart w:id="19" w:name="_Toc293738992"/>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5321CB31">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0F0C690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3011D66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62A076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2B40A0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1E155E3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78A2C6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536ECB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750D133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7445CF4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BAD2F7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61AA388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6A751479">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06347A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2BBD7E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3C0EB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5A4CD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47FB444E">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17375"/>
      <w:bookmarkStart w:id="21" w:name="_Toc293736012"/>
      <w:bookmarkStart w:id="22" w:name="_Toc446599312"/>
      <w:bookmarkStart w:id="23" w:name="_Toc293738993"/>
      <w:bookmarkStart w:id="24" w:name="_Toc293736055"/>
      <w:bookmarkStart w:id="25" w:name="_Toc13231"/>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24F8E767">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472785A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D54D98">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D15E2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1003F3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89518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69AB639B">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71BAD7C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248EE1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63C2E6E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51E98E5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5B165B5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1BB78F2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477EB38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57E1D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1DDBED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5CF847E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3D5CB0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61AD84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5578597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5F1D6B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5CFFC83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3F3048A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92C703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4B2455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7967D0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0532C72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44C194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4E095B4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13A2E8D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6AC1D5B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2DE35D3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EC8AA2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4A713CC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64C280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3CC287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4CC525B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0096531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59F91BA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3C040B0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70E40C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72D1ED8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51B25D8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02C523E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4431C3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0DB4EEB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670F35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0BCD29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1B2A783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699885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10ECC47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5DE80A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BB09D2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C6BBC3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4A597B6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19D5D28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7DBBF99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2EF76FC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33B47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423BDA5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205737D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2590EC4F">
      <w:pPr>
        <w:pStyle w:val="11"/>
        <w:keepNext w:val="0"/>
        <w:keepLines w:val="0"/>
        <w:pageBreakBefore w:val="0"/>
        <w:widowControl w:val="0"/>
        <w:kinsoku/>
        <w:wordWrap/>
        <w:overflowPunct/>
        <w:topLinePunct w:val="0"/>
        <w:autoSpaceDE/>
        <w:autoSpaceDN/>
        <w:bidi w:val="0"/>
        <w:adjustRightInd w:val="0"/>
        <w:snapToGrid w:val="0"/>
        <w:spacing w:line="360" w:lineRule="auto"/>
        <w:ind w:firstLine="646" w:firstLineChars="202"/>
        <w:jc w:val="center"/>
        <w:textAlignment w:val="auto"/>
        <w:outlineLvl w:val="1"/>
        <w:rPr>
          <w:rFonts w:hint="eastAsia" w:asciiTheme="minorEastAsia" w:hAnsiTheme="minorEastAsia" w:eastAsiaTheme="minorEastAsia" w:cstheme="minorEastAsia"/>
          <w:color w:val="auto"/>
          <w:spacing w:val="0"/>
          <w:kern w:val="2"/>
          <w:position w:val="0"/>
          <w:sz w:val="32"/>
          <w:szCs w:val="28"/>
          <w:highlight w:val="none"/>
          <w:lang w:val="en-US" w:eastAsia="zh-CN" w:bidi="ar-SA"/>
        </w:rPr>
      </w:pPr>
      <w:bookmarkStart w:id="26" w:name="_Toc32568"/>
      <w:bookmarkStart w:id="27" w:name="_Toc293736013"/>
      <w:bookmarkStart w:id="28" w:name="_Toc446599313"/>
      <w:bookmarkStart w:id="29" w:name="_Toc293738994"/>
      <w:bookmarkStart w:id="30" w:name="_Toc293736056"/>
      <w:r>
        <w:rPr>
          <w:rFonts w:hint="eastAsia" w:asciiTheme="minorEastAsia" w:hAnsiTheme="minorEastAsia" w:eastAsiaTheme="minorEastAsia" w:cstheme="minorEastAsia"/>
          <w:color w:val="auto"/>
          <w:spacing w:val="0"/>
          <w:kern w:val="2"/>
          <w:position w:val="0"/>
          <w:sz w:val="32"/>
          <w:szCs w:val="28"/>
          <w:highlight w:val="none"/>
          <w:lang w:val="en-US" w:eastAsia="zh-CN" w:bidi="ar-SA"/>
        </w:rPr>
        <w:t>四、响应文件的递交</w:t>
      </w:r>
      <w:bookmarkEnd w:id="26"/>
      <w:bookmarkEnd w:id="27"/>
      <w:bookmarkEnd w:id="28"/>
      <w:bookmarkEnd w:id="29"/>
      <w:bookmarkEnd w:id="30"/>
    </w:p>
    <w:p w14:paraId="6D4CE4D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08EC069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754EBF05">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4BFEC77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6935EB9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209AE9A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1FA21590">
      <w:pPr>
        <w:pStyle w:val="19"/>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39C5A9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93518DC">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1" w:name="_Toc293736014"/>
      <w:bookmarkStart w:id="32" w:name="_Toc293738995"/>
      <w:bookmarkStart w:id="33" w:name="_Toc446599314"/>
      <w:bookmarkStart w:id="34" w:name="_Toc293736057"/>
      <w:bookmarkStart w:id="35" w:name="_Toc30347"/>
      <w:bookmarkStart w:id="36" w:name="_Toc9220"/>
      <w:r>
        <w:rPr>
          <w:rFonts w:hint="eastAsia" w:asciiTheme="minorEastAsia" w:hAnsiTheme="minorEastAsia" w:eastAsiaTheme="minorEastAsia" w:cstheme="minorEastAsia"/>
          <w:color w:val="auto"/>
          <w:spacing w:val="0"/>
          <w:position w:val="0"/>
          <w:highlight w:val="none"/>
        </w:rPr>
        <w:t>五、</w:t>
      </w:r>
      <w:bookmarkEnd w:id="31"/>
      <w:bookmarkEnd w:id="32"/>
      <w:bookmarkEnd w:id="33"/>
      <w:bookmarkEnd w:id="34"/>
      <w:r>
        <w:rPr>
          <w:rFonts w:hint="eastAsia" w:asciiTheme="minorEastAsia" w:hAnsiTheme="minorEastAsia" w:eastAsiaTheme="minorEastAsia" w:cstheme="minorEastAsia"/>
          <w:color w:val="auto"/>
          <w:spacing w:val="0"/>
          <w:position w:val="0"/>
          <w:highlight w:val="none"/>
        </w:rPr>
        <w:t>竞争性磋商程序</w:t>
      </w:r>
      <w:bookmarkEnd w:id="35"/>
      <w:bookmarkEnd w:id="36"/>
    </w:p>
    <w:p w14:paraId="6FEFE5FE">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2A2E0F7D">
      <w:pPr>
        <w:pStyle w:val="11"/>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559A84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0FF4D2A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5ADE96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407A26D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1CD3C6E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3A487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5632E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由采购人</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755739A6">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397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48B495F">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4AF29D2">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BE439B">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141A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076C910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530E1EA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C1B3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1B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6075D7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0832D0B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BAC9E0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2F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05F67A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758FFE5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6E9362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70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69AE556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5D9C903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AD76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29A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B8BE2E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55FBF74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BBC33B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BCA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55F7CEB5">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76CF902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供应商为小微企业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1941BB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b w:val="0"/>
                <w:bCs/>
                <w:color w:val="auto"/>
                <w:spacing w:val="0"/>
                <w:position w:val="0"/>
                <w:sz w:val="24"/>
                <w:szCs w:val="24"/>
                <w:highlight w:val="none"/>
                <w:lang w:val="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请根据要求单独上传《中小企业声明函》。格式以采购文件要求为准。</w:t>
            </w:r>
          </w:p>
        </w:tc>
      </w:tr>
      <w:tr w14:paraId="4E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9" w:type="dxa"/>
            <w:vMerge w:val="continue"/>
            <w:tcBorders>
              <w:left w:val="single" w:color="auto" w:sz="4" w:space="0"/>
              <w:right w:val="single" w:color="auto" w:sz="4" w:space="0"/>
            </w:tcBorders>
            <w:noWrap w:val="0"/>
            <w:vAlign w:val="center"/>
          </w:tcPr>
          <w:p w14:paraId="6B0C12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5867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1D608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bl>
    <w:p w14:paraId="5D6C235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761E754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EF061F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26452F5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5D39F4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3C371D3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05DB5D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3AA2B1A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249D90D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039515D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19FE74E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4B24424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141421A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135EA641">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4AB521E">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1EA6A01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5DDD3DD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8164273">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18F032B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45662D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61AFF41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B20577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8DD8C4">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176CCE4C">
      <w:pPr>
        <w:pStyle w:val="19"/>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E0A811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3F97C36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0E39FA4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0F03959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5B67A9C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7A9712F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F0FBA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275F916A">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8E747B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5B87E5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45A31A9D">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3B6FED41">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1AB46DE3">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FD545E4">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0BC42C98">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61D411B7">
      <w:pPr>
        <w:pStyle w:val="3"/>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7" w:name="_Toc293738996"/>
      <w:bookmarkStart w:id="38" w:name="_Toc293736058"/>
      <w:bookmarkStart w:id="39" w:name="_Toc10373"/>
      <w:bookmarkStart w:id="40" w:name="_Toc26601"/>
      <w:bookmarkStart w:id="41" w:name="_Toc446599315"/>
      <w:bookmarkStart w:id="42" w:name="_Toc293736015"/>
      <w:r>
        <w:rPr>
          <w:rFonts w:hint="eastAsia" w:asciiTheme="minorEastAsia" w:hAnsiTheme="minorEastAsia" w:eastAsiaTheme="minorEastAsia" w:cstheme="minorEastAsia"/>
          <w:color w:val="auto"/>
          <w:spacing w:val="0"/>
          <w:position w:val="0"/>
          <w:highlight w:val="none"/>
        </w:rPr>
        <w:t>六、 授予合同</w:t>
      </w:r>
      <w:bookmarkEnd w:id="37"/>
      <w:bookmarkEnd w:id="38"/>
      <w:bookmarkEnd w:id="39"/>
      <w:bookmarkEnd w:id="40"/>
      <w:bookmarkEnd w:id="41"/>
      <w:bookmarkEnd w:id="42"/>
    </w:p>
    <w:p w14:paraId="013D5BE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223A53E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5AC9BF5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0BED2BF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17E3932C">
      <w:pPr>
        <w:pStyle w:val="3"/>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3" w:name="_Toc446599316"/>
      <w:bookmarkStart w:id="44" w:name="_Toc293736016"/>
      <w:bookmarkStart w:id="45" w:name="_Toc293738997"/>
      <w:bookmarkStart w:id="46" w:name="_Toc293736059"/>
      <w:bookmarkStart w:id="47" w:name="_Toc14775"/>
      <w:bookmarkStart w:id="48" w:name="_Toc21374"/>
      <w:r>
        <w:rPr>
          <w:rFonts w:hint="eastAsia" w:asciiTheme="minorEastAsia" w:hAnsiTheme="minorEastAsia" w:eastAsiaTheme="minorEastAsia" w:cstheme="minorEastAsia"/>
          <w:color w:val="auto"/>
          <w:spacing w:val="0"/>
          <w:position w:val="0"/>
          <w:highlight w:val="none"/>
        </w:rPr>
        <w:t>七、质疑</w:t>
      </w:r>
      <w:bookmarkEnd w:id="43"/>
      <w:bookmarkEnd w:id="44"/>
      <w:bookmarkEnd w:id="45"/>
      <w:bookmarkEnd w:id="46"/>
      <w:r>
        <w:rPr>
          <w:rFonts w:hint="eastAsia" w:asciiTheme="minorEastAsia" w:hAnsiTheme="minorEastAsia" w:eastAsiaTheme="minorEastAsia" w:cstheme="minorEastAsia"/>
          <w:color w:val="auto"/>
          <w:spacing w:val="0"/>
          <w:position w:val="0"/>
          <w:highlight w:val="none"/>
        </w:rPr>
        <w:t>和投诉</w:t>
      </w:r>
      <w:bookmarkEnd w:id="47"/>
      <w:bookmarkEnd w:id="48"/>
    </w:p>
    <w:p w14:paraId="1088CD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9" w:name="_Toc294515577"/>
      <w:bookmarkStart w:id="50" w:name="_Toc293736060"/>
      <w:bookmarkStart w:id="51" w:name="_Toc446599317"/>
      <w:bookmarkStart w:id="52" w:name="_Toc293738998"/>
      <w:bookmarkStart w:id="53" w:name="_Toc293736017"/>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1DE9BC8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7A5450B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415186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1087767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44DEE87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2C41D3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75B5EBD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1DE7E4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22DCEE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C8A9E6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3C30BE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17ED23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73ED0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4" w:name="_Toc450546725"/>
      <w:bookmarkStart w:id="55" w:name="_Toc9365"/>
      <w:bookmarkStart w:id="56" w:name="_Toc483174929"/>
      <w:bookmarkStart w:id="57" w:name="_Toc456336161"/>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4"/>
      <w:bookmarkEnd w:id="55"/>
      <w:bookmarkEnd w:id="56"/>
      <w:bookmarkEnd w:id="57"/>
    </w:p>
    <w:p w14:paraId="5957A5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4F0BFD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5DD715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4FAC191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905E3A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2A6FD9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27F4C06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0EC9489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4ED07F1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170F5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6424B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7B0A1D0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416C3E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17C483A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14EDC8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4629226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177459B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01586C15">
      <w:pPr>
        <w:pStyle w:val="3"/>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8" w:name="_Toc3182"/>
      <w:bookmarkStart w:id="59" w:name="_Toc16545"/>
      <w:r>
        <w:rPr>
          <w:rFonts w:hint="eastAsia" w:asciiTheme="minorEastAsia" w:hAnsiTheme="minorEastAsia" w:eastAsiaTheme="minorEastAsia" w:cstheme="minorEastAsia"/>
          <w:color w:val="auto"/>
          <w:spacing w:val="0"/>
          <w:position w:val="0"/>
          <w:highlight w:val="none"/>
        </w:rPr>
        <w:t>八、项目验收</w:t>
      </w:r>
      <w:bookmarkEnd w:id="49"/>
      <w:bookmarkEnd w:id="50"/>
      <w:bookmarkEnd w:id="51"/>
      <w:bookmarkEnd w:id="52"/>
      <w:bookmarkEnd w:id="53"/>
      <w:bookmarkEnd w:id="58"/>
      <w:bookmarkEnd w:id="59"/>
    </w:p>
    <w:p w14:paraId="775F588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73B8CC7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26987744">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0" w:name="_Toc6671"/>
      <w:bookmarkStart w:id="61" w:name="_Toc23745"/>
      <w:bookmarkStart w:id="62" w:name="_Toc293736018"/>
      <w:bookmarkStart w:id="63" w:name="_Toc293738999"/>
      <w:bookmarkStart w:id="64" w:name="_Toc446599318"/>
      <w:bookmarkStart w:id="65" w:name="_Toc293736061"/>
      <w:r>
        <w:rPr>
          <w:rFonts w:hint="eastAsia" w:asciiTheme="minorEastAsia" w:hAnsiTheme="minorEastAsia" w:eastAsiaTheme="minorEastAsia" w:cstheme="minorEastAsia"/>
          <w:color w:val="auto"/>
          <w:spacing w:val="0"/>
          <w:position w:val="0"/>
          <w:highlight w:val="none"/>
        </w:rPr>
        <w:t>九、适用法律</w:t>
      </w:r>
      <w:bookmarkEnd w:id="60"/>
      <w:bookmarkEnd w:id="61"/>
      <w:bookmarkEnd w:id="62"/>
      <w:bookmarkEnd w:id="63"/>
      <w:bookmarkEnd w:id="64"/>
      <w:bookmarkEnd w:id="65"/>
    </w:p>
    <w:p w14:paraId="36761B7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6B2988C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6" w:name="_Toc278891599"/>
      <w:bookmarkStart w:id="67" w:name="_Toc446599319"/>
      <w:bookmarkStart w:id="68" w:name="_Toc272247702"/>
      <w:bookmarkStart w:id="69" w:name="_Toc437611460"/>
      <w:bookmarkStart w:id="70" w:name="_Toc17467"/>
      <w:bookmarkStart w:id="71" w:name="_Toc21968"/>
      <w:r>
        <w:rPr>
          <w:rFonts w:hint="eastAsia" w:asciiTheme="minorEastAsia" w:hAnsiTheme="minorEastAsia" w:eastAsiaTheme="minorEastAsia" w:cstheme="minorEastAsia"/>
          <w:color w:val="auto"/>
          <w:spacing w:val="0"/>
          <w:position w:val="0"/>
          <w:highlight w:val="none"/>
        </w:rPr>
        <w:t>十、磋商文件的解释权</w:t>
      </w:r>
      <w:bookmarkEnd w:id="66"/>
      <w:bookmarkEnd w:id="67"/>
      <w:bookmarkEnd w:id="68"/>
      <w:bookmarkEnd w:id="69"/>
      <w:bookmarkEnd w:id="70"/>
      <w:bookmarkEnd w:id="71"/>
    </w:p>
    <w:p w14:paraId="6B3A02F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6CB26E0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2" w:name="_Toc446599320"/>
      <w:bookmarkStart w:id="73" w:name="_Toc21207"/>
      <w:bookmarkStart w:id="74" w:name="_Toc26347"/>
      <w:bookmarkStart w:id="75" w:name="_Toc437611461"/>
      <w:r>
        <w:rPr>
          <w:rFonts w:hint="eastAsia" w:asciiTheme="minorEastAsia" w:hAnsiTheme="minorEastAsia" w:eastAsiaTheme="minorEastAsia" w:cstheme="minorEastAsia"/>
          <w:color w:val="auto"/>
          <w:spacing w:val="0"/>
          <w:position w:val="0"/>
          <w:highlight w:val="none"/>
        </w:rPr>
        <w:t>十一、其他注意事项</w:t>
      </w:r>
      <w:bookmarkEnd w:id="72"/>
      <w:bookmarkEnd w:id="73"/>
      <w:bookmarkEnd w:id="74"/>
      <w:bookmarkEnd w:id="75"/>
    </w:p>
    <w:p w14:paraId="6D501B6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ABC19F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7543FA8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1EB591E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BEB26E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2B6D7F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5BB5DED1">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textAlignment w:val="auto"/>
        <w:rPr>
          <w:rFonts w:hint="eastAsia" w:asciiTheme="minorEastAsia" w:hAnsiTheme="minorEastAsia" w:eastAsiaTheme="minorEastAsia" w:cstheme="minorEastAsia"/>
          <w:color w:val="auto"/>
          <w:spacing w:val="0"/>
          <w:position w:val="0"/>
          <w:highlight w:val="none"/>
        </w:rPr>
      </w:pPr>
      <w:bookmarkStart w:id="76" w:name="_Toc293736019"/>
      <w:bookmarkStart w:id="77" w:name="_Toc293739000"/>
      <w:bookmarkStart w:id="78" w:name="_Toc293736062"/>
      <w:bookmarkStart w:id="79" w:name="_Toc446599321"/>
      <w:bookmarkStart w:id="80" w:name="_Toc28752"/>
      <w:bookmarkStart w:id="81" w:name="_Toc3441"/>
      <w:bookmarkStart w:id="82" w:name="_Toc293736063"/>
      <w:bookmarkStart w:id="83" w:name="_Toc446599322"/>
      <w:bookmarkStart w:id="84" w:name="_Toc293736020"/>
      <w:bookmarkStart w:id="85" w:name="_Toc293739001"/>
      <w:r>
        <w:rPr>
          <w:rFonts w:hint="eastAsia" w:asciiTheme="minorEastAsia" w:hAnsiTheme="minorEastAsia" w:eastAsiaTheme="minorEastAsia" w:cstheme="minorEastAsia"/>
          <w:color w:val="auto"/>
          <w:spacing w:val="0"/>
          <w:position w:val="0"/>
          <w:highlight w:val="none"/>
        </w:rPr>
        <w:t>采购</w:t>
      </w:r>
      <w:bookmarkEnd w:id="76"/>
      <w:bookmarkEnd w:id="77"/>
      <w:bookmarkEnd w:id="78"/>
      <w:bookmarkStart w:id="86" w:name="_Toc294515580"/>
      <w:r>
        <w:rPr>
          <w:rFonts w:hint="eastAsia" w:asciiTheme="minorEastAsia" w:hAnsiTheme="minorEastAsia" w:eastAsiaTheme="minorEastAsia" w:cstheme="minorEastAsia"/>
          <w:color w:val="auto"/>
          <w:spacing w:val="0"/>
          <w:position w:val="0"/>
          <w:highlight w:val="none"/>
        </w:rPr>
        <w:t>需求</w:t>
      </w:r>
      <w:bookmarkEnd w:id="79"/>
      <w:bookmarkEnd w:id="80"/>
      <w:bookmarkEnd w:id="81"/>
    </w:p>
    <w:bookmarkEnd w:id="86"/>
    <w:p w14:paraId="00CEC77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一、项目依据</w:t>
      </w:r>
    </w:p>
    <w:p w14:paraId="176AC5B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关于印发新疆维吾尔自治区残疾人联合会机关主要职责、内设机构和人员编制方案的通知》中宣文部职责“组织制定并实施残疾人事业的宣传和文体工作计划，宣传国家、自治区发展残疾人事业的方针、政策”。</w:t>
      </w:r>
    </w:p>
    <w:p w14:paraId="7119C5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二、工作任务描述</w:t>
      </w:r>
    </w:p>
    <w:p w14:paraId="64AAB0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根据宣文部工作职责及宣传二十大会议相关精神贯彻落实涉疆对外斗争等国家、自治区发展残疾人事业方针、政策，引导残联系统宣传文化干部不断提高政治判断力、政治领悟力、政治执行力，不折不扣把习近平文化思想和党中央关于宣传思想文化工作的重要决策部署贯彻落实到位，拟对全区残联系统宣传文化干部（预计120人）开展教育培训和业务指导，举办全区残联系统宣传文化干部专题培训班。</w:t>
      </w:r>
    </w:p>
    <w:p w14:paraId="66D95F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cs="宋体"/>
          <w:sz w:val="28"/>
          <w:szCs w:val="36"/>
          <w:lang w:val="en-US" w:eastAsia="zh-CN"/>
        </w:rPr>
        <w:t>三</w:t>
      </w:r>
      <w:r>
        <w:rPr>
          <w:rFonts w:hint="eastAsia" w:ascii="宋体" w:hAnsi="宋体" w:eastAsia="宋体" w:cs="宋体"/>
          <w:sz w:val="28"/>
          <w:szCs w:val="36"/>
        </w:rPr>
        <w:t>、采购内容及服务要求</w:t>
      </w:r>
    </w:p>
    <w:p w14:paraId="759D8A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（一）培训对象</w:t>
      </w:r>
    </w:p>
    <w:p w14:paraId="70FD15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全区残联系统宣传文化干部约120人（含不同类别残疾人工作者，需确保无障碍环境支持）。</w:t>
      </w:r>
    </w:p>
    <w:p w14:paraId="35E6CF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（二）培训内容及要求</w:t>
      </w:r>
    </w:p>
    <w:p w14:paraId="238375AB">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 xml:space="preserve">  1. 政治理论学习模块</w:t>
      </w:r>
    </w:p>
    <w:p w14:paraId="20E6EE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内容：系统学习习近平文化思想、宣传思想文化工作重要论述，结合残联工作解读政策导向。</w:t>
      </w:r>
    </w:p>
    <w:p w14:paraId="09C3A0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形式：专家讲座+案例研讨，提供学习资料汇编。</w:t>
      </w:r>
    </w:p>
    <w:p w14:paraId="00E560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要求：授课专家需具备相关领域高级职称或官方认证资质。</w:t>
      </w:r>
    </w:p>
    <w:p w14:paraId="36B3A512">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 xml:space="preserve">  2. 业务技能培训模块</w:t>
      </w:r>
    </w:p>
    <w:p w14:paraId="0F2EC568">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（1）短视频制作与宣传</w:t>
      </w:r>
    </w:p>
    <w:p w14:paraId="3BFAE457">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 xml:space="preserve"> 内容：短视频策划、拍摄、剪辑技巧，结合残疾人主题创作实战。</w:t>
      </w:r>
    </w:p>
    <w:p w14:paraId="6A1B9DC1">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 xml:space="preserve"> 形式：理论授课+分组实操</w:t>
      </w:r>
    </w:p>
    <w:p w14:paraId="1C115274">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要求：学员完成1条主题短视频作品。</w:t>
      </w:r>
    </w:p>
    <w:p w14:paraId="1EC04B82">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 xml:space="preserve"> （2）公文写作与宣传文案</w:t>
      </w:r>
    </w:p>
    <w:p w14:paraId="053105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内容：公文规范、新媒体文案写作技巧，残疾人事业典型案例撰写。</w:t>
      </w:r>
    </w:p>
    <w:p w14:paraId="51A06B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形式：模板解析+模拟写作，配备范文库。</w:t>
      </w:r>
    </w:p>
    <w:p w14:paraId="0550F0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cs="宋体"/>
          <w:sz w:val="28"/>
          <w:szCs w:val="36"/>
          <w:lang w:eastAsia="zh-CN"/>
        </w:rPr>
        <w:t>（</w:t>
      </w:r>
      <w:r>
        <w:rPr>
          <w:rFonts w:hint="eastAsia" w:ascii="宋体" w:hAnsi="宋体" w:cs="宋体"/>
          <w:sz w:val="28"/>
          <w:szCs w:val="36"/>
          <w:lang w:val="en-US" w:eastAsia="zh-CN"/>
        </w:rPr>
        <w:t>3</w:t>
      </w:r>
      <w:r>
        <w:rPr>
          <w:rFonts w:hint="eastAsia" w:ascii="宋体" w:hAnsi="宋体" w:cs="宋体"/>
          <w:sz w:val="28"/>
          <w:szCs w:val="36"/>
          <w:lang w:eastAsia="zh-CN"/>
        </w:rPr>
        <w:t>）</w:t>
      </w:r>
      <w:r>
        <w:rPr>
          <w:rFonts w:hint="eastAsia" w:ascii="宋体" w:hAnsi="宋体" w:eastAsia="宋体" w:cs="宋体"/>
          <w:sz w:val="28"/>
          <w:szCs w:val="36"/>
        </w:rPr>
        <w:t>素材采集与选题策划</w:t>
      </w:r>
    </w:p>
    <w:p w14:paraId="3C3C7C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cs="宋体"/>
          <w:sz w:val="28"/>
          <w:szCs w:val="36"/>
          <w:lang w:val="en-US" w:eastAsia="zh-CN"/>
        </w:rPr>
        <w:t xml:space="preserve"> </w:t>
      </w:r>
      <w:r>
        <w:rPr>
          <w:rFonts w:hint="eastAsia" w:ascii="宋体" w:hAnsi="宋体" w:eastAsia="宋体" w:cs="宋体"/>
          <w:sz w:val="28"/>
          <w:szCs w:val="36"/>
        </w:rPr>
        <w:t>内容：摄影摄像基础、残疾人题材选题挖掘、版权合规。</w:t>
      </w:r>
    </w:p>
    <w:p w14:paraId="27AA65C7">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形式：现场教学+外景采风。</w:t>
      </w:r>
    </w:p>
    <w:p w14:paraId="3C455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3. 新媒体与意识形态模块</w:t>
      </w:r>
    </w:p>
    <w:p w14:paraId="71CA4B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cs="宋体"/>
          <w:sz w:val="28"/>
          <w:szCs w:val="36"/>
          <w:lang w:val="en-US" w:eastAsia="zh-CN"/>
        </w:rPr>
        <w:t xml:space="preserve"> </w:t>
      </w:r>
      <w:r>
        <w:rPr>
          <w:rFonts w:hint="eastAsia" w:ascii="宋体" w:hAnsi="宋体" w:eastAsia="宋体" w:cs="宋体"/>
          <w:sz w:val="28"/>
          <w:szCs w:val="36"/>
        </w:rPr>
        <w:t>内容：网络意识形态安全、新媒体传播规律、舆情监测与应对。</w:t>
      </w:r>
    </w:p>
    <w:p w14:paraId="49EAB9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cs="宋体"/>
          <w:sz w:val="28"/>
          <w:szCs w:val="36"/>
          <w:lang w:val="en-US" w:eastAsia="zh-CN"/>
        </w:rPr>
        <w:t xml:space="preserve"> </w:t>
      </w:r>
      <w:r>
        <w:rPr>
          <w:rFonts w:hint="eastAsia" w:ascii="宋体" w:hAnsi="宋体" w:eastAsia="宋体" w:cs="宋体"/>
          <w:sz w:val="28"/>
          <w:szCs w:val="36"/>
        </w:rPr>
        <w:t>形式：情景模拟+舆情引导案例分析。</w:t>
      </w:r>
    </w:p>
    <w:p w14:paraId="0DF6A94F">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要求：提供舆情应急预案模板。</w:t>
      </w:r>
    </w:p>
    <w:p w14:paraId="28385C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4. 全媒体技术实操模块</w:t>
      </w:r>
    </w:p>
    <w:p w14:paraId="18430F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cs="宋体"/>
          <w:sz w:val="28"/>
          <w:szCs w:val="36"/>
          <w:lang w:val="en-US" w:eastAsia="zh-CN"/>
        </w:rPr>
        <w:t xml:space="preserve"> </w:t>
      </w:r>
      <w:r>
        <w:rPr>
          <w:rFonts w:hint="eastAsia" w:ascii="宋体" w:hAnsi="宋体" w:eastAsia="宋体" w:cs="宋体"/>
          <w:sz w:val="28"/>
          <w:szCs w:val="36"/>
        </w:rPr>
        <w:t>内容：政务会议拍摄布光、多平台视频剪辑技巧（含字幕、特效）。</w:t>
      </w:r>
    </w:p>
    <w:p w14:paraId="21F733AD">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形式：设备操作演示+学员动手实践。</w:t>
      </w:r>
    </w:p>
    <w:p w14:paraId="21C41EB3">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要求：提供软件安装包及操作手册。</w:t>
      </w:r>
    </w:p>
    <w:p w14:paraId="32BA17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5. 全民阅读与文化服务</w:t>
      </w:r>
    </w:p>
    <w:p w14:paraId="61CD1C16">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内容：阅读活动设计、残疾人文化服务资源整合、心理关怀沟通技巧。</w:t>
      </w:r>
    </w:p>
    <w:p w14:paraId="097313E9">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形式：工作坊+角色扮演。</w:t>
      </w:r>
    </w:p>
    <w:p w14:paraId="543060B5">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6.人工智能应用培训</w:t>
      </w:r>
    </w:p>
    <w:p w14:paraId="2C7EF7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cs="宋体"/>
          <w:sz w:val="28"/>
          <w:szCs w:val="36"/>
          <w:lang w:eastAsia="zh-CN"/>
        </w:rPr>
        <w:t>形式：</w:t>
      </w:r>
      <w:r>
        <w:rPr>
          <w:rFonts w:hint="eastAsia" w:ascii="宋体" w:hAnsi="宋体" w:eastAsia="宋体" w:cs="宋体"/>
          <w:sz w:val="28"/>
          <w:szCs w:val="36"/>
        </w:rPr>
        <w:t>理论授课+实操</w:t>
      </w:r>
    </w:p>
    <w:p w14:paraId="268395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（三）培训形式</w:t>
      </w:r>
    </w:p>
    <w:p w14:paraId="41414B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线下</w:t>
      </w:r>
      <w:r>
        <w:rPr>
          <w:rFonts w:hint="eastAsia" w:ascii="宋体" w:hAnsi="宋体" w:cs="宋体"/>
          <w:sz w:val="28"/>
          <w:szCs w:val="36"/>
          <w:lang w:val="en-US" w:eastAsia="zh-CN"/>
        </w:rPr>
        <w:t>集</w:t>
      </w:r>
      <w:r>
        <w:rPr>
          <w:rFonts w:hint="eastAsia" w:ascii="宋体" w:hAnsi="宋体" w:eastAsia="宋体" w:cs="宋体"/>
          <w:sz w:val="28"/>
          <w:szCs w:val="36"/>
        </w:rPr>
        <w:t>中培训</w:t>
      </w:r>
    </w:p>
    <w:p w14:paraId="51FA0EB6">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36"/>
        </w:rPr>
      </w:pPr>
      <w:r>
        <w:rPr>
          <w:rFonts w:hint="eastAsia" w:ascii="宋体" w:hAnsi="宋体" w:eastAsia="宋体" w:cs="宋体"/>
          <w:sz w:val="28"/>
          <w:szCs w:val="36"/>
        </w:rPr>
        <w:t>考核评估：学员满意度调查。</w:t>
      </w:r>
    </w:p>
    <w:p w14:paraId="49E26E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（四）服务团队要求</w:t>
      </w:r>
    </w:p>
    <w:p w14:paraId="229629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rPr>
      </w:pPr>
      <w:r>
        <w:rPr>
          <w:rFonts w:hint="eastAsia" w:ascii="宋体" w:hAnsi="宋体" w:eastAsia="宋体" w:cs="宋体"/>
          <w:sz w:val="28"/>
          <w:szCs w:val="36"/>
        </w:rPr>
        <w:t xml:space="preserve"> 服务团队：配备后勤保障人员。</w:t>
      </w:r>
    </w:p>
    <w:p w14:paraId="3FDC95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36"/>
          <w:lang w:val="en-US" w:eastAsia="zh-CN"/>
        </w:rPr>
      </w:pPr>
      <w:r>
        <w:rPr>
          <w:rFonts w:hint="eastAsia" w:ascii="宋体" w:hAnsi="宋体" w:cs="宋体"/>
          <w:sz w:val="28"/>
          <w:szCs w:val="36"/>
          <w:lang w:val="en-US" w:eastAsia="zh-CN"/>
        </w:rPr>
        <w:t>（五）其他</w:t>
      </w:r>
      <w:r>
        <w:rPr>
          <w:rFonts w:hint="eastAsia" w:ascii="宋体" w:hAnsi="宋体" w:eastAsia="宋体" w:cs="宋体"/>
          <w:sz w:val="28"/>
          <w:szCs w:val="36"/>
          <w:lang w:val="en-US" w:eastAsia="zh-CN"/>
        </w:rPr>
        <w:t>要求</w:t>
      </w:r>
    </w:p>
    <w:p w14:paraId="3DDF72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36"/>
          <w:lang w:val="en-US" w:eastAsia="zh-CN"/>
        </w:rPr>
      </w:pPr>
      <w:r>
        <w:rPr>
          <w:rFonts w:hint="eastAsia" w:ascii="宋体" w:hAnsi="宋体" w:eastAsia="宋体" w:cs="宋体"/>
          <w:sz w:val="28"/>
          <w:szCs w:val="36"/>
          <w:lang w:val="en-US" w:eastAsia="zh-CN"/>
        </w:rPr>
        <w:t>1、</w:t>
      </w:r>
      <w:r>
        <w:rPr>
          <w:rFonts w:hint="eastAsia" w:ascii="宋体" w:hAnsi="宋体" w:cs="宋体"/>
          <w:sz w:val="28"/>
          <w:szCs w:val="36"/>
          <w:lang w:val="en-US" w:eastAsia="zh-CN"/>
        </w:rPr>
        <w:t>本项目培训班中标单位需做好对残疾人的生活保障，按需配备无障碍设施，保障残疾人平等、充分、便捷地参与和融入本次活动。</w:t>
      </w:r>
    </w:p>
    <w:p w14:paraId="4FE94A6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36"/>
          <w:lang w:val="en-US" w:eastAsia="zh-CN"/>
        </w:rPr>
      </w:pPr>
      <w:r>
        <w:rPr>
          <w:rFonts w:hint="eastAsia" w:ascii="宋体" w:hAnsi="宋体" w:cs="宋体"/>
          <w:sz w:val="28"/>
          <w:szCs w:val="36"/>
          <w:lang w:val="en-US" w:eastAsia="zh-CN"/>
        </w:rPr>
        <w:br w:type="page"/>
      </w:r>
    </w:p>
    <w:p w14:paraId="2B136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36"/>
          <w:lang w:val="en-US" w:eastAsia="zh-CN"/>
        </w:rPr>
      </w:pPr>
    </w:p>
    <w:p w14:paraId="6F81E967">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87" w:name="_Toc24651"/>
      <w:bookmarkStart w:id="88" w:name="_Toc10724"/>
      <w:r>
        <w:rPr>
          <w:rFonts w:hint="eastAsia" w:asciiTheme="minorEastAsia" w:hAnsiTheme="minorEastAsia" w:eastAsiaTheme="minorEastAsia" w:cstheme="minorEastAsia"/>
          <w:color w:val="auto"/>
          <w:spacing w:val="0"/>
          <w:position w:val="0"/>
          <w:highlight w:val="none"/>
        </w:rPr>
        <w:t>评审方法</w:t>
      </w:r>
      <w:bookmarkEnd w:id="82"/>
      <w:bookmarkEnd w:id="83"/>
      <w:bookmarkEnd w:id="84"/>
      <w:bookmarkEnd w:id="85"/>
      <w:bookmarkEnd w:id="87"/>
      <w:bookmarkEnd w:id="88"/>
    </w:p>
    <w:p w14:paraId="73F69ED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89" w:name="_Toc293736067"/>
      <w:bookmarkStart w:id="90" w:name="_Toc446599330"/>
      <w:bookmarkStart w:id="91" w:name="_Toc293736024"/>
      <w:bookmarkStart w:id="92" w:name="_Toc293739005"/>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47BC0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47615A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354DE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06934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0C60B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4"/>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833"/>
        <w:gridCol w:w="689"/>
      </w:tblGrid>
      <w:tr w14:paraId="7FC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790" w:type="dxa"/>
            <w:gridSpan w:val="2"/>
            <w:vMerge w:val="restart"/>
            <w:vAlign w:val="center"/>
          </w:tcPr>
          <w:p w14:paraId="54C7206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Merge w:val="restart"/>
            <w:vAlign w:val="center"/>
          </w:tcPr>
          <w:p w14:paraId="5CB5211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Merge w:val="restart"/>
            <w:vAlign w:val="center"/>
          </w:tcPr>
          <w:p w14:paraId="04E4F1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7A16C71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评审意见</w:t>
            </w:r>
          </w:p>
        </w:tc>
      </w:tr>
      <w:tr w14:paraId="16E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1790" w:type="dxa"/>
            <w:gridSpan w:val="2"/>
            <w:vMerge w:val="continue"/>
            <w:vAlign w:val="top"/>
          </w:tcPr>
          <w:p w14:paraId="319F18F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1400" w:type="dxa"/>
            <w:vMerge w:val="continue"/>
            <w:vAlign w:val="center"/>
          </w:tcPr>
          <w:p w14:paraId="543627F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5429" w:type="dxa"/>
            <w:vMerge w:val="continue"/>
            <w:vAlign w:val="center"/>
          </w:tcPr>
          <w:p w14:paraId="08F0D1A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833" w:type="dxa"/>
            <w:vAlign w:val="top"/>
          </w:tcPr>
          <w:p w14:paraId="0F0595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是</w:t>
            </w:r>
          </w:p>
        </w:tc>
        <w:tc>
          <w:tcPr>
            <w:tcW w:w="689" w:type="dxa"/>
            <w:vAlign w:val="top"/>
          </w:tcPr>
          <w:p w14:paraId="0FAF74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否</w:t>
            </w:r>
          </w:p>
        </w:tc>
      </w:tr>
      <w:tr w14:paraId="63F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center"/>
          </w:tcPr>
          <w:p w14:paraId="1F6A22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初步评审</w:t>
            </w:r>
          </w:p>
        </w:tc>
        <w:tc>
          <w:tcPr>
            <w:tcW w:w="898" w:type="dxa"/>
            <w:vMerge w:val="restart"/>
            <w:vAlign w:val="center"/>
          </w:tcPr>
          <w:p w14:paraId="081EFF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符合性检查</w:t>
            </w:r>
          </w:p>
        </w:tc>
        <w:tc>
          <w:tcPr>
            <w:tcW w:w="1400" w:type="dxa"/>
            <w:vAlign w:val="center"/>
          </w:tcPr>
          <w:p w14:paraId="44FCE6A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29" w:type="dxa"/>
            <w:vAlign w:val="center"/>
          </w:tcPr>
          <w:p w14:paraId="35ECABD1">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是否与营业执照一致</w:t>
            </w:r>
          </w:p>
        </w:tc>
        <w:tc>
          <w:tcPr>
            <w:tcW w:w="833" w:type="dxa"/>
            <w:vAlign w:val="top"/>
          </w:tcPr>
          <w:p w14:paraId="1615A96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34A92C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3481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254089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250556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67C943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文件签章</w:t>
            </w:r>
          </w:p>
        </w:tc>
        <w:tc>
          <w:tcPr>
            <w:tcW w:w="5429" w:type="dxa"/>
            <w:vAlign w:val="center"/>
          </w:tcPr>
          <w:p w14:paraId="29E32BC3">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833" w:type="dxa"/>
            <w:vAlign w:val="top"/>
          </w:tcPr>
          <w:p w14:paraId="774CDD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591F8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7A8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305C174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030CA7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3EDAE1A3">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29" w:type="dxa"/>
            <w:vAlign w:val="center"/>
          </w:tcPr>
          <w:p w14:paraId="1F649C2B">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针对同一种货物</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33" w:type="dxa"/>
            <w:vAlign w:val="top"/>
          </w:tcPr>
          <w:p w14:paraId="42F4C8A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06A4D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298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1382D0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621E53A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5963CEE3">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p>
        </w:tc>
        <w:tc>
          <w:tcPr>
            <w:tcW w:w="5429" w:type="dxa"/>
            <w:vAlign w:val="center"/>
          </w:tcPr>
          <w:p w14:paraId="168BE7F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按照</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规定的内容填写</w:t>
            </w:r>
          </w:p>
        </w:tc>
        <w:tc>
          <w:tcPr>
            <w:tcW w:w="833" w:type="dxa"/>
            <w:vAlign w:val="top"/>
          </w:tcPr>
          <w:p w14:paraId="5D03E6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A30929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5EA9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42287AE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B9404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6F28279">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29" w:type="dxa"/>
            <w:vAlign w:val="center"/>
          </w:tcPr>
          <w:p w14:paraId="138BCFB6">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76775D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EAA592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C78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continue"/>
            <w:vAlign w:val="top"/>
          </w:tcPr>
          <w:p w14:paraId="734C622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BC4FC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6D979A9">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29" w:type="dxa"/>
            <w:vAlign w:val="center"/>
          </w:tcPr>
          <w:p w14:paraId="7CC53C0F">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483DC2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5A21C5F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F3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1707938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D27B86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D423469">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29" w:type="dxa"/>
            <w:vAlign w:val="center"/>
          </w:tcPr>
          <w:p w14:paraId="03633450">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规定的其他无效情形</w:t>
            </w:r>
          </w:p>
        </w:tc>
        <w:tc>
          <w:tcPr>
            <w:tcW w:w="833" w:type="dxa"/>
            <w:vAlign w:val="top"/>
          </w:tcPr>
          <w:p w14:paraId="03451C3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3803109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444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790" w:type="dxa"/>
            <w:gridSpan w:val="2"/>
            <w:vAlign w:val="top"/>
          </w:tcPr>
          <w:p w14:paraId="3DD4DAA8">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Align w:val="center"/>
          </w:tcPr>
          <w:p w14:paraId="007C4ED4">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Align w:val="center"/>
          </w:tcPr>
          <w:p w14:paraId="40D7DD4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1FF1B11C">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color w:val="auto"/>
                <w:spacing w:val="0"/>
                <w:position w:val="0"/>
                <w:sz w:val="24"/>
                <w:szCs w:val="24"/>
                <w:highlight w:val="none"/>
                <w:lang w:eastAsia="zh-CN"/>
              </w:rPr>
              <w:t>分值</w:t>
            </w:r>
          </w:p>
        </w:tc>
      </w:tr>
      <w:tr w14:paraId="2A7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1" w:hRule="atLeast"/>
          <w:jc w:val="center"/>
        </w:trPr>
        <w:tc>
          <w:tcPr>
            <w:tcW w:w="892" w:type="dxa"/>
            <w:vMerge w:val="restart"/>
            <w:vAlign w:val="top"/>
          </w:tcPr>
          <w:p w14:paraId="788256C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08E3AF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2D58A7E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ACFA4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44AE4A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9DD12F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34A3BF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详细评审</w:t>
            </w:r>
          </w:p>
        </w:tc>
        <w:tc>
          <w:tcPr>
            <w:tcW w:w="898" w:type="dxa"/>
            <w:vAlign w:val="center"/>
          </w:tcPr>
          <w:p w14:paraId="359D48C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价格评审</w:t>
            </w:r>
          </w:p>
        </w:tc>
        <w:tc>
          <w:tcPr>
            <w:tcW w:w="1400" w:type="dxa"/>
            <w:vAlign w:val="center"/>
          </w:tcPr>
          <w:p w14:paraId="4075775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投标报价</w:t>
            </w:r>
          </w:p>
        </w:tc>
        <w:tc>
          <w:tcPr>
            <w:tcW w:w="6262" w:type="dxa"/>
            <w:gridSpan w:val="2"/>
            <w:vAlign w:val="center"/>
          </w:tcPr>
          <w:p w14:paraId="69DE98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w:t>
            </w:r>
            <w:r>
              <w:rPr>
                <w:rFonts w:hint="eastAsia" w:asciiTheme="minorEastAsia" w:hAnsiTheme="minorEastAsia" w:eastAsiaTheme="minorEastAsia" w:cstheme="minorEastAsia"/>
                <w:bCs/>
                <w:color w:val="auto"/>
                <w:spacing w:val="0"/>
                <w:position w:val="0"/>
                <w:sz w:val="24"/>
                <w:szCs w:val="24"/>
                <w:highlight w:val="none"/>
                <w:lang w:val="en-US" w:eastAsia="zh-CN"/>
              </w:rPr>
              <w:t>磋商</w:t>
            </w:r>
            <w:r>
              <w:rPr>
                <w:rFonts w:hint="eastAsia" w:asciiTheme="minorEastAsia" w:hAnsiTheme="minorEastAsia" w:eastAsiaTheme="minorEastAsia" w:cstheme="minorEastAsia"/>
                <w:bCs/>
                <w:color w:val="auto"/>
                <w:spacing w:val="0"/>
                <w:position w:val="0"/>
                <w:sz w:val="24"/>
                <w:szCs w:val="24"/>
                <w:highlight w:val="none"/>
              </w:rPr>
              <w:t>基准价／</w:t>
            </w:r>
            <w:r>
              <w:rPr>
                <w:rFonts w:hint="eastAsia" w:asciiTheme="minorEastAsia" w:hAnsiTheme="minorEastAsia" w:eastAsiaTheme="minorEastAsia" w:cstheme="minorEastAsia"/>
                <w:bCs/>
                <w:color w:val="auto"/>
                <w:spacing w:val="0"/>
                <w:position w:val="0"/>
                <w:sz w:val="24"/>
                <w:szCs w:val="24"/>
                <w:highlight w:val="none"/>
                <w:lang w:val="en-US" w:eastAsia="zh-CN"/>
              </w:rPr>
              <w:t>最后磋商</w:t>
            </w:r>
            <w:r>
              <w:rPr>
                <w:rFonts w:hint="eastAsia" w:asciiTheme="minorEastAsia" w:hAnsiTheme="minorEastAsia" w:eastAsiaTheme="minorEastAsia" w:cstheme="minorEastAsia"/>
                <w:bCs/>
                <w:color w:val="auto"/>
                <w:spacing w:val="0"/>
                <w:position w:val="0"/>
                <w:sz w:val="24"/>
                <w:szCs w:val="24"/>
                <w:highlight w:val="none"/>
              </w:rPr>
              <w:t>报价)×</w:t>
            </w:r>
            <w:r>
              <w:rPr>
                <w:rFonts w:hint="eastAsia" w:asciiTheme="minorEastAsia" w:hAnsiTheme="minorEastAsia" w:eastAsiaTheme="minorEastAsia" w:cstheme="minorEastAsia"/>
                <w:bCs/>
                <w:color w:val="auto"/>
                <w:spacing w:val="0"/>
                <w:position w:val="0"/>
                <w:sz w:val="24"/>
                <w:szCs w:val="24"/>
                <w:highlight w:val="none"/>
                <w:lang w:val="en-US" w:eastAsia="zh-CN"/>
              </w:rPr>
              <w:t>10</w:t>
            </w:r>
            <w:r>
              <w:rPr>
                <w:rFonts w:hint="eastAsia" w:asciiTheme="minorEastAsia" w:hAnsiTheme="minorEastAsia" w:eastAsiaTheme="minorEastAsia" w:cstheme="minorEastAsia"/>
                <w:bCs/>
                <w:color w:val="auto"/>
                <w:spacing w:val="0"/>
                <w:position w:val="0"/>
                <w:sz w:val="24"/>
                <w:szCs w:val="24"/>
                <w:highlight w:val="none"/>
              </w:rPr>
              <w:t>。</w:t>
            </w:r>
          </w:p>
        </w:tc>
        <w:tc>
          <w:tcPr>
            <w:tcW w:w="689" w:type="dxa"/>
            <w:vAlign w:val="center"/>
          </w:tcPr>
          <w:p w14:paraId="2E77EB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4401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7" w:hRule="atLeast"/>
          <w:jc w:val="center"/>
        </w:trPr>
        <w:tc>
          <w:tcPr>
            <w:tcW w:w="892" w:type="dxa"/>
            <w:vMerge w:val="continue"/>
            <w:vAlign w:val="top"/>
          </w:tcPr>
          <w:p w14:paraId="15F3B6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0AFA10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商务标评审</w:t>
            </w:r>
          </w:p>
        </w:tc>
        <w:tc>
          <w:tcPr>
            <w:tcW w:w="1400" w:type="dxa"/>
            <w:vAlign w:val="center"/>
          </w:tcPr>
          <w:p w14:paraId="364CBF4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业绩情况</w:t>
            </w:r>
          </w:p>
        </w:tc>
        <w:tc>
          <w:tcPr>
            <w:tcW w:w="6262" w:type="dxa"/>
            <w:gridSpan w:val="2"/>
            <w:vAlign w:val="center"/>
          </w:tcPr>
          <w:p w14:paraId="564951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lang w:val="en-US" w:eastAsia="zh-CN"/>
              </w:rPr>
              <w:t>投标人提供近三年来完成的类似项目业绩（须提供成交通知书或合同或业主证明材料，每提供 1 项得 2 分，最多得 10 分。注：</w:t>
            </w:r>
            <w:r>
              <w:rPr>
                <w:rFonts w:hint="eastAsia" w:asciiTheme="minorEastAsia" w:hAnsiTheme="minorEastAsia" w:eastAsiaTheme="minorEastAsia" w:cstheme="minorEastAsia"/>
                <w:bCs/>
                <w:color w:val="auto"/>
                <w:spacing w:val="0"/>
                <w:position w:val="0"/>
                <w:sz w:val="24"/>
                <w:szCs w:val="24"/>
                <w:highlight w:val="none"/>
              </w:rPr>
              <w:t>在标书中附清晰且完整的复印件，否则不得分。</w:t>
            </w:r>
          </w:p>
        </w:tc>
        <w:tc>
          <w:tcPr>
            <w:tcW w:w="689" w:type="dxa"/>
            <w:vAlign w:val="center"/>
          </w:tcPr>
          <w:p w14:paraId="5B3BD6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18C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0" w:hRule="atLeast"/>
          <w:jc w:val="center"/>
        </w:trPr>
        <w:tc>
          <w:tcPr>
            <w:tcW w:w="892" w:type="dxa"/>
            <w:vMerge w:val="continue"/>
            <w:vAlign w:val="top"/>
          </w:tcPr>
          <w:p w14:paraId="0A48B1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28C052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FCA41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项目负责人</w:t>
            </w:r>
          </w:p>
        </w:tc>
        <w:tc>
          <w:tcPr>
            <w:tcW w:w="6262" w:type="dxa"/>
            <w:gridSpan w:val="2"/>
            <w:vAlign w:val="top"/>
          </w:tcPr>
          <w:p w14:paraId="6A0AD5E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拟投入本项目的项目负责人（跟班辅助教师），负责配合协助培训讲师完成课堂教学及考核任务，需具备相关工作经验，</w:t>
            </w:r>
          </w:p>
          <w:p w14:paraId="09D4B88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提供近三年来完成的类似项目业绩，每提供 1 项得 2分，最多得4分。</w:t>
            </w:r>
          </w:p>
          <w:p w14:paraId="50C0192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注：需提供近劳动合同、近三个月的社保缴纳证明材料、相应证书复印件、业绩证明文件（业绩证明文件需体现负责人姓名）等证明材料加盖公章。</w:t>
            </w:r>
          </w:p>
        </w:tc>
        <w:tc>
          <w:tcPr>
            <w:tcW w:w="689" w:type="dxa"/>
            <w:vAlign w:val="center"/>
          </w:tcPr>
          <w:p w14:paraId="0B0F83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7E2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7" w:hRule="atLeast"/>
          <w:jc w:val="center"/>
        </w:trPr>
        <w:tc>
          <w:tcPr>
            <w:tcW w:w="892" w:type="dxa"/>
            <w:vMerge w:val="continue"/>
            <w:vAlign w:val="top"/>
          </w:tcPr>
          <w:p w14:paraId="10B8D90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AB07D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A461E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师资团队</w:t>
            </w:r>
          </w:p>
        </w:tc>
        <w:tc>
          <w:tcPr>
            <w:tcW w:w="6262" w:type="dxa"/>
            <w:gridSpan w:val="2"/>
            <w:vAlign w:val="top"/>
          </w:tcPr>
          <w:p w14:paraId="283B0F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拟投入本项目相关专业的教师团队人员，每提供1名副高级职称的得2分，每提供1名正高级职称的得3分，满分15分。未提供不得分。</w:t>
            </w:r>
          </w:p>
          <w:p w14:paraId="5E82AF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注：需提供近劳动合同、近三个月的社保缴纳证明材料、相应证书复印件等证明材料加盖公章。</w:t>
            </w:r>
          </w:p>
        </w:tc>
        <w:tc>
          <w:tcPr>
            <w:tcW w:w="689" w:type="dxa"/>
            <w:vAlign w:val="center"/>
          </w:tcPr>
          <w:p w14:paraId="5F4BF1F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15分</w:t>
            </w:r>
          </w:p>
        </w:tc>
      </w:tr>
      <w:tr w14:paraId="026A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9" w:hRule="atLeast"/>
          <w:jc w:val="center"/>
        </w:trPr>
        <w:tc>
          <w:tcPr>
            <w:tcW w:w="892" w:type="dxa"/>
            <w:vMerge w:val="continue"/>
            <w:vAlign w:val="top"/>
          </w:tcPr>
          <w:p w14:paraId="41C636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345BE2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061FBE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服务团队</w:t>
            </w:r>
          </w:p>
        </w:tc>
        <w:tc>
          <w:tcPr>
            <w:tcW w:w="6262" w:type="dxa"/>
            <w:gridSpan w:val="2"/>
            <w:vAlign w:val="top"/>
          </w:tcPr>
          <w:p w14:paraId="2DFA85A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拟投入本项目的服务团队人员，每提供1名后勤保障人员，得1分，满分5分。未提供不得分。</w:t>
            </w:r>
          </w:p>
          <w:p w14:paraId="409E8F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注：需提供近劳动合同、近三个月的社保缴纳证明材料、相应证书复印件等证明材料加盖公章。</w:t>
            </w:r>
          </w:p>
        </w:tc>
        <w:tc>
          <w:tcPr>
            <w:tcW w:w="689" w:type="dxa"/>
            <w:vAlign w:val="center"/>
          </w:tcPr>
          <w:p w14:paraId="2F32CAB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5分</w:t>
            </w:r>
          </w:p>
        </w:tc>
      </w:tr>
      <w:tr w14:paraId="75D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17AEC0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6BCBA11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技术标评审</w:t>
            </w:r>
          </w:p>
        </w:tc>
        <w:tc>
          <w:tcPr>
            <w:tcW w:w="1400" w:type="dxa"/>
            <w:vAlign w:val="center"/>
          </w:tcPr>
          <w:p w14:paraId="7F075D61">
            <w:pPr>
              <w:keepNext w:val="0"/>
              <w:keepLines w:val="0"/>
              <w:pageBreakBefore w:val="0"/>
              <w:widowControl/>
              <w:suppressLineNumbers w:val="0"/>
              <w:kinsoku/>
              <w:wordWrap/>
              <w:overflowPunct/>
              <w:topLinePunct w:val="0"/>
              <w:bidi w:val="0"/>
              <w:spacing w:line="288" w:lineRule="auto"/>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宋体" w:hAnsi="宋体" w:cs="宋体"/>
                <w:color w:val="000000"/>
                <w:kern w:val="0"/>
                <w:sz w:val="24"/>
                <w:szCs w:val="24"/>
                <w:highlight w:val="none"/>
                <w:lang w:val="en-US" w:eastAsia="zh-CN"/>
              </w:rPr>
              <w:t>培训</w:t>
            </w:r>
            <w:r>
              <w:rPr>
                <w:rFonts w:hint="eastAsia" w:ascii="宋体" w:hAnsi="宋体" w:cs="宋体"/>
                <w:color w:val="000000"/>
                <w:kern w:val="0"/>
                <w:sz w:val="24"/>
                <w:szCs w:val="24"/>
                <w:highlight w:val="none"/>
              </w:rPr>
              <w:t>方案</w:t>
            </w:r>
          </w:p>
        </w:tc>
        <w:tc>
          <w:tcPr>
            <w:tcW w:w="6262" w:type="dxa"/>
            <w:gridSpan w:val="2"/>
            <w:vAlign w:val="center"/>
          </w:tcPr>
          <w:p w14:paraId="7176C2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2E79555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①教学大纲； </w:t>
            </w:r>
          </w:p>
          <w:p w14:paraId="03DF90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②教学设备情况； </w:t>
            </w:r>
          </w:p>
          <w:p w14:paraId="5BB4B6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③培训程序安排； </w:t>
            </w:r>
          </w:p>
          <w:p w14:paraId="4CDA0D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④教学计划要求； </w:t>
            </w:r>
          </w:p>
          <w:p w14:paraId="2EDE93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⑤培训教材； </w:t>
            </w:r>
          </w:p>
          <w:p w14:paraId="6A8CE9B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⑥培训目标； </w:t>
            </w:r>
          </w:p>
          <w:p w14:paraId="4E3A67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⑦培训对象的技能达标要求； </w:t>
            </w:r>
          </w:p>
          <w:p w14:paraId="7940792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⑧考核情况。</w:t>
            </w:r>
          </w:p>
          <w:p w14:paraId="778E0C1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每提供一项得3分，满分24分。每项中每有一处具有缺陷(缺陷是指：存在不适用项目实际情况的情形、凭空编造、内容前后不一致、前后逻辑错误、涉及的规范及标准错误、地点区域错误、内容缺失、不符合采购需求等) 的扣1.5分，扣完为止。</w:t>
            </w:r>
          </w:p>
        </w:tc>
        <w:tc>
          <w:tcPr>
            <w:tcW w:w="689" w:type="dxa"/>
            <w:vAlign w:val="center"/>
          </w:tcPr>
          <w:p w14:paraId="5CF32A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24分</w:t>
            </w:r>
          </w:p>
        </w:tc>
      </w:tr>
      <w:tr w14:paraId="6AB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50EFA9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0F0964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B001283">
            <w:pPr>
              <w:keepNext w:val="0"/>
              <w:keepLines w:val="0"/>
              <w:pageBreakBefore w:val="0"/>
              <w:widowControl/>
              <w:suppressLineNumbers w:val="0"/>
              <w:kinsoku/>
              <w:wordWrap/>
              <w:overflowPunct/>
              <w:topLinePunct w:val="0"/>
              <w:bidi w:val="0"/>
              <w:spacing w:line="288" w:lineRule="auto"/>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bidi="ar-SA"/>
              </w:rPr>
              <w:t>教学制度</w:t>
            </w:r>
          </w:p>
        </w:tc>
        <w:tc>
          <w:tcPr>
            <w:tcW w:w="6262" w:type="dxa"/>
            <w:gridSpan w:val="2"/>
            <w:vAlign w:val="center"/>
          </w:tcPr>
          <w:p w14:paraId="7AE8AFED">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highlight w:val="none"/>
                <w:lang w:val="en-US" w:eastAsia="zh-CN"/>
              </w:rPr>
            </w:pPr>
            <w:r>
              <w:rPr>
                <w:rFonts w:hint="eastAsia" w:ascii="宋体" w:hAnsi="宋体" w:cs="宋体"/>
                <w:color w:val="000000"/>
                <w:kern w:val="0"/>
                <w:sz w:val="24"/>
                <w:szCs w:val="24"/>
                <w:highlight w:val="none"/>
                <w:lang w:val="en-US" w:eastAsia="zh-CN" w:bidi="ar-SA"/>
              </w:rPr>
              <w:t>供应商提供的</w:t>
            </w:r>
            <w:r>
              <w:rPr>
                <w:rFonts w:hint="eastAsia" w:ascii="宋体" w:hAnsi="宋体" w:eastAsia="宋体" w:cs="宋体"/>
                <w:color w:val="000000"/>
                <w:kern w:val="0"/>
                <w:sz w:val="24"/>
                <w:szCs w:val="24"/>
                <w:highlight w:val="none"/>
                <w:lang w:val="en-US" w:eastAsia="zh-CN" w:bidi="ar-SA"/>
              </w:rPr>
              <w:t>方案</w:t>
            </w:r>
            <w:r>
              <w:rPr>
                <w:rFonts w:hint="eastAsia" w:ascii="宋体" w:hAnsi="宋体" w:cs="宋体"/>
                <w:color w:val="000000"/>
                <w:kern w:val="0"/>
                <w:sz w:val="24"/>
                <w:szCs w:val="24"/>
                <w:highlight w:val="none"/>
                <w:lang w:val="en-US" w:eastAsia="zh-CN" w:bidi="ar-SA"/>
              </w:rPr>
              <w:t>，包括但不限于以下内容：</w:t>
            </w:r>
          </w:p>
          <w:p w14:paraId="1F6E0015">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①教学章程； </w:t>
            </w:r>
          </w:p>
          <w:p w14:paraId="5F6296D7">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②教学管理制度； </w:t>
            </w:r>
          </w:p>
          <w:p w14:paraId="09800996">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③教师管理制度； </w:t>
            </w:r>
          </w:p>
          <w:p w14:paraId="6DCF2CD4">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④学生管理制度； </w:t>
            </w:r>
          </w:p>
          <w:p w14:paraId="6D4C7806">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⑤设备管理制度； </w:t>
            </w:r>
          </w:p>
          <w:p w14:paraId="7353BA4B">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⑥培训经费管理制度。</w:t>
            </w:r>
          </w:p>
          <w:p w14:paraId="61EAE8F4">
            <w:pPr>
              <w:pStyle w:val="41"/>
              <w:keepNext w:val="0"/>
              <w:keepLines w:val="0"/>
              <w:pageBreakBefore w:val="0"/>
              <w:kinsoku/>
              <w:wordWrap/>
              <w:overflowPunct/>
              <w:topLinePunct w:val="0"/>
              <w:bidi w:val="0"/>
              <w:spacing w:line="288" w:lineRule="auto"/>
              <w:textAlignment w:val="auto"/>
              <w:rPr>
                <w:rFonts w:hint="eastAsia"/>
                <w:highlight w:val="none"/>
                <w:lang w:val="en-US" w:eastAsia="zh-CN"/>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分，满分</w:t>
            </w:r>
            <w:r>
              <w:rPr>
                <w:rFonts w:hint="eastAsia"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val="en-US" w:eastAsia="zh-CN" w:bidi="ar"/>
              </w:rPr>
              <w:t>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7ED8DC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12分</w:t>
            </w:r>
          </w:p>
        </w:tc>
      </w:tr>
      <w:tr w14:paraId="6AA5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27DB0D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DCA52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BCC926B">
            <w:pPr>
              <w:keepNext w:val="0"/>
              <w:keepLines w:val="0"/>
              <w:pageBreakBefore w:val="0"/>
              <w:widowControl/>
              <w:suppressLineNumbers w:val="0"/>
              <w:kinsoku/>
              <w:wordWrap/>
              <w:overflowPunct/>
              <w:topLinePunct w:val="0"/>
              <w:bidi w:val="0"/>
              <w:adjustRightInd w:val="0"/>
              <w:snapToGrid w:val="0"/>
              <w:spacing w:line="288" w:lineRule="auto"/>
              <w:jc w:val="center"/>
              <w:textAlignment w:val="auto"/>
              <w:rPr>
                <w:highlight w:val="none"/>
              </w:rPr>
            </w:pPr>
            <w:r>
              <w:rPr>
                <w:rFonts w:hint="eastAsia" w:ascii="宋体" w:hAnsi="宋体" w:eastAsia="宋体" w:cs="宋体"/>
                <w:color w:val="000000"/>
                <w:kern w:val="0"/>
                <w:sz w:val="24"/>
                <w:szCs w:val="24"/>
                <w:highlight w:val="none"/>
                <w:lang w:val="en-US" w:eastAsia="zh-CN" w:bidi="ar"/>
              </w:rPr>
              <w:t>应急方案</w:t>
            </w:r>
          </w:p>
          <w:p w14:paraId="55E8A4DE">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p>
        </w:tc>
        <w:tc>
          <w:tcPr>
            <w:tcW w:w="6262" w:type="dxa"/>
            <w:gridSpan w:val="2"/>
            <w:vAlign w:val="center"/>
          </w:tcPr>
          <w:p w14:paraId="165F90C9">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供应商提供的方案，包括但不限于以下内容：</w:t>
            </w:r>
          </w:p>
          <w:p w14:paraId="7D9F374D">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①公共安全保障措施； </w:t>
            </w:r>
          </w:p>
          <w:p w14:paraId="24C191E4">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②消防安全与疏散方案； </w:t>
            </w:r>
          </w:p>
          <w:p w14:paraId="2A76F880">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③应急保障措施及医疗保障措施； </w:t>
            </w:r>
          </w:p>
          <w:p w14:paraId="56948499">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④食品安全与场地消杀等卫生处理措施； </w:t>
            </w:r>
          </w:p>
          <w:p w14:paraId="5B0FE9FF">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分，满分8分。每项中每有一处具有缺陷(缺陷是指：存在不适用项目实际情况的情形、凭空编造、内容前后不一致、前后逻辑错误、涉及的规范及标准错误、地点区域错误、内容缺失、不符合采购需求等)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25CFF220">
            <w:pPr>
              <w:keepNext w:val="0"/>
              <w:keepLines w:val="0"/>
              <w:pageBreakBefore w:val="0"/>
              <w:widowControl w:val="0"/>
              <w:kinsoku/>
              <w:wordWrap/>
              <w:overflowPunct/>
              <w:topLinePunct w:val="0"/>
              <w:bidi w:val="0"/>
              <w:adjustRightInd w:val="0"/>
              <w:snapToGrid w:val="0"/>
              <w:spacing w:line="312"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宋体" w:hAnsi="宋体" w:cs="宋体"/>
                <w:b w:val="0"/>
                <w:bCs/>
                <w:smallCaps w:val="0"/>
                <w:color w:val="auto"/>
                <w:spacing w:val="0"/>
                <w:position w:val="0"/>
                <w:sz w:val="24"/>
                <w:szCs w:val="24"/>
                <w:highlight w:val="none"/>
                <w:lang w:val="en-US" w:eastAsia="zh-CN"/>
              </w:rPr>
              <w:t>8分</w:t>
            </w:r>
          </w:p>
        </w:tc>
      </w:tr>
      <w:tr w14:paraId="5A2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5F4AD1C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92F696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FCBA638">
            <w:pPr>
              <w:keepNext w:val="0"/>
              <w:keepLines w:val="0"/>
              <w:pageBreakBefore w:val="0"/>
              <w:widowControl w:val="0"/>
              <w:kinsoku/>
              <w:wordWrap/>
              <w:overflowPunct/>
              <w:topLinePunct w:val="0"/>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教学推广</w:t>
            </w:r>
          </w:p>
        </w:tc>
        <w:tc>
          <w:tcPr>
            <w:tcW w:w="6262" w:type="dxa"/>
            <w:gridSpan w:val="2"/>
            <w:vAlign w:val="center"/>
          </w:tcPr>
          <w:p w14:paraId="5B90D9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760024B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①课程直播方案；</w:t>
            </w:r>
          </w:p>
          <w:p w14:paraId="0B482B2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②课程录制并上传云端，平台须覆盖腾讯视频、优酷视频、爱奇艺、微信公众号。</w:t>
            </w:r>
          </w:p>
          <w:p w14:paraId="21ACA6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分，满分8分。每项中每有一处具有缺陷(缺陷是指：存在不适用项目实际情况的情形、凭空编造、内容前后不一致、前后逻辑错误、涉及的规范及标准错误、地点区域错误、内容缺失、不符合采购需求等)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16C2A562">
            <w:pPr>
              <w:keepNext w:val="0"/>
              <w:keepLines w:val="0"/>
              <w:pageBreakBefore w:val="0"/>
              <w:widowControl w:val="0"/>
              <w:kinsoku/>
              <w:wordWrap/>
              <w:overflowPunct/>
              <w:topLinePunct w:val="0"/>
              <w:bidi w:val="0"/>
              <w:adjustRightInd w:val="0"/>
              <w:snapToGrid w:val="0"/>
              <w:spacing w:line="312" w:lineRule="auto"/>
              <w:jc w:val="center"/>
              <w:textAlignment w:val="auto"/>
              <w:rPr>
                <w:rFonts w:hint="default" w:ascii="宋体" w:hAnsi="宋体" w:cs="宋体"/>
                <w:b w:val="0"/>
                <w:bCs/>
                <w:smallCaps w:val="0"/>
                <w:color w:val="auto"/>
                <w:spacing w:val="0"/>
                <w:position w:val="0"/>
                <w:sz w:val="24"/>
                <w:szCs w:val="24"/>
                <w:highlight w:val="none"/>
                <w:lang w:val="en-US" w:eastAsia="zh-CN"/>
              </w:rPr>
            </w:pPr>
            <w:r>
              <w:rPr>
                <w:rFonts w:hint="eastAsia" w:ascii="宋体" w:hAnsi="宋体" w:cs="宋体"/>
                <w:b w:val="0"/>
                <w:bCs/>
                <w:smallCaps w:val="0"/>
                <w:color w:val="auto"/>
                <w:spacing w:val="0"/>
                <w:position w:val="0"/>
                <w:sz w:val="24"/>
                <w:szCs w:val="24"/>
                <w:highlight w:val="none"/>
                <w:lang w:val="en-US" w:eastAsia="zh-CN"/>
              </w:rPr>
              <w:t>8分</w:t>
            </w:r>
          </w:p>
        </w:tc>
      </w:tr>
      <w:tr w14:paraId="2F47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147DC2B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483EFE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9EE3E88">
            <w:pPr>
              <w:keepNext w:val="0"/>
              <w:keepLines w:val="0"/>
              <w:pageBreakBefore w:val="0"/>
              <w:widowControl/>
              <w:suppressLineNumbers w:val="0"/>
              <w:kinsoku/>
              <w:wordWrap/>
              <w:overflowPunct/>
              <w:topLinePunct w:val="0"/>
              <w:bidi w:val="0"/>
              <w:adjustRightInd w:val="0"/>
              <w:snapToGrid w:val="0"/>
              <w:spacing w:line="288"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后续服务</w:t>
            </w:r>
          </w:p>
          <w:p w14:paraId="1C36A206">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p>
        </w:tc>
        <w:tc>
          <w:tcPr>
            <w:tcW w:w="6262" w:type="dxa"/>
            <w:gridSpan w:val="2"/>
            <w:vAlign w:val="center"/>
          </w:tcPr>
          <w:p w14:paraId="23B8795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12D2AE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①后续人员配备；</w:t>
            </w:r>
          </w:p>
          <w:p w14:paraId="72086C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②后续服务电话及后续服务人员回访； </w:t>
            </w:r>
          </w:p>
          <w:p w14:paraId="3BC754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③响应时间及响应次数； </w:t>
            </w:r>
          </w:p>
          <w:p w14:paraId="576A2E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④后续技术支持； </w:t>
            </w:r>
          </w:p>
          <w:p w14:paraId="695362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每提供一项得1分，满分4分。每项中每有一处具有缺陷(缺陷是指：存在不适用项目实际情况的情形、凭空编造、内容前后不一致、前后逻辑错误、涉及的规范及标准错误、地点区域错误、内容缺失、不符合采购需求等) 的扣1分，扣完为止。</w:t>
            </w:r>
          </w:p>
        </w:tc>
        <w:tc>
          <w:tcPr>
            <w:tcW w:w="689" w:type="dxa"/>
            <w:vAlign w:val="center"/>
          </w:tcPr>
          <w:p w14:paraId="2F10EE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4分</w:t>
            </w:r>
          </w:p>
        </w:tc>
      </w:tr>
      <w:tr w14:paraId="080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top"/>
          </w:tcPr>
          <w:p w14:paraId="559F5E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Align w:val="center"/>
          </w:tcPr>
          <w:p w14:paraId="74C194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合计</w:t>
            </w:r>
          </w:p>
        </w:tc>
        <w:tc>
          <w:tcPr>
            <w:tcW w:w="8351" w:type="dxa"/>
            <w:gridSpan w:val="4"/>
            <w:vAlign w:val="center"/>
          </w:tcPr>
          <w:p w14:paraId="6A28C1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100</w:t>
            </w:r>
            <w:r>
              <w:rPr>
                <w:rFonts w:hint="eastAsia" w:asciiTheme="minorEastAsia" w:hAnsiTheme="minorEastAsia" w:eastAsiaTheme="minorEastAsia" w:cstheme="minorEastAsia"/>
                <w:color w:val="auto"/>
                <w:spacing w:val="0"/>
                <w:position w:val="0"/>
                <w:sz w:val="24"/>
                <w:szCs w:val="24"/>
                <w:highlight w:val="none"/>
                <w:lang w:eastAsia="zh-CN"/>
              </w:rPr>
              <w:t>分</w:t>
            </w:r>
          </w:p>
        </w:tc>
      </w:tr>
      <w:tr w14:paraId="73DF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4047914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9249" w:type="dxa"/>
            <w:gridSpan w:val="5"/>
            <w:vAlign w:val="top"/>
          </w:tcPr>
          <w:p w14:paraId="597CB5C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14:paraId="4278585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2、供应商的最终得分为：所有评委对其评分的算术平均值。</w:t>
            </w:r>
          </w:p>
        </w:tc>
      </w:tr>
    </w:tbl>
    <w:p w14:paraId="3C8114B3"/>
    <w:p w14:paraId="0A0D7E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6E238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57A6D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24F47B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3B6BFF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0C538D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1328DF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5B5784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EF3B56">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E8B45C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3" w:name="_Toc6170"/>
      <w:bookmarkStart w:id="94" w:name="_Toc32236"/>
      <w:r>
        <w:rPr>
          <w:rFonts w:hint="eastAsia" w:asciiTheme="minorEastAsia" w:hAnsiTheme="minorEastAsia" w:eastAsiaTheme="minorEastAsia" w:cstheme="minorEastAsia"/>
          <w:color w:val="auto"/>
          <w:spacing w:val="0"/>
          <w:position w:val="0"/>
          <w:highlight w:val="none"/>
        </w:rPr>
        <w:t>合同格式及合同条款</w:t>
      </w:r>
      <w:bookmarkEnd w:id="89"/>
      <w:bookmarkEnd w:id="90"/>
      <w:bookmarkEnd w:id="91"/>
      <w:bookmarkEnd w:id="92"/>
      <w:bookmarkEnd w:id="93"/>
      <w:bookmarkEnd w:id="94"/>
    </w:p>
    <w:p w14:paraId="04F49709">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shd w:val="clear" w:color="auto" w:fill="00B050"/>
        </w:rPr>
      </w:pPr>
    </w:p>
    <w:p w14:paraId="7C64516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57113C77">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3B9640BA">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48453124">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75C7B6DB">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3419B328">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79EB5EF7">
      <w:pPr>
        <w:pStyle w:val="105"/>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476FFEE2">
      <w:pPr>
        <w:pStyle w:val="105"/>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5A085C83">
      <w:pPr>
        <w:pStyle w:val="105"/>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2D58610E">
      <w:pPr>
        <w:pStyle w:val="105"/>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57BCD08F">
      <w:pPr>
        <w:pStyle w:val="105"/>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06C98CD2">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55727B3C">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5EC6D12F">
      <w:pPr>
        <w:pStyle w:val="106"/>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2C748910">
      <w:pPr>
        <w:pStyle w:val="106"/>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7BD242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79F9992">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5289F7BA">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2532490B">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6E461F54">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594C8F03">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2ADD78AF">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3CEDFD15">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1138AB25">
      <w:pPr>
        <w:pageBreakBefore w:val="0"/>
        <w:kinsoku/>
        <w:overflowPunct/>
        <w:topLinePunct w:val="0"/>
        <w:autoSpaceDE w:val="0"/>
        <w:autoSpaceDN w:val="0"/>
        <w:bidi w:val="0"/>
        <w:adjustRightInd w:val="0"/>
        <w:spacing w:line="600" w:lineRule="exact"/>
        <w:ind w:firstLine="640"/>
        <w:jc w:val="center"/>
        <w:rPr>
          <w:rFonts w:hint="eastAsia" w:asciiTheme="minorEastAsia" w:hAnsiTheme="minorEastAsia" w:eastAsiaTheme="minorEastAsia" w:cstheme="minorEastAsia"/>
          <w:color w:val="auto"/>
          <w:spacing w:val="0"/>
          <w:position w:val="0"/>
          <w:sz w:val="24"/>
          <w:highlight w:val="none"/>
        </w:rPr>
        <w:sectPr>
          <w:footerReference r:id="rId4" w:type="default"/>
          <w:pgSz w:w="11907" w:h="16840"/>
          <w:pgMar w:top="1474" w:right="1814" w:bottom="1474" w:left="1814" w:header="851" w:footer="851" w:gutter="0"/>
          <w:pgNumType w:start="1"/>
          <w:cols w:space="720" w:num="1"/>
          <w:docGrid w:linePitch="462" w:charSpace="0"/>
        </w:sectPr>
      </w:pPr>
    </w:p>
    <w:p w14:paraId="72E1D9C8">
      <w:pPr>
        <w:pStyle w:val="105"/>
        <w:pageBreakBefore w:val="0"/>
        <w:kinsoku/>
        <w:overflowPunct/>
        <w:topLinePunct w:val="0"/>
        <w:bidi w:val="0"/>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14:paraId="34A4BC0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年</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月</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日</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rPr>
        <w:t>以</w:t>
      </w:r>
      <w:r>
        <w:rPr>
          <w:rFonts w:hint="eastAsia" w:asciiTheme="minorEastAsia" w:hAnsiTheme="minorEastAsia" w:eastAsiaTheme="minorEastAsia" w:cstheme="minorEastAsia"/>
          <w:color w:val="auto"/>
          <w:spacing w:val="0"/>
          <w:position w:val="0"/>
          <w:sz w:val="24"/>
          <w:szCs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szCs w:val="24"/>
          <w:highlight w:val="none"/>
        </w:rPr>
        <w:t>对</w:t>
      </w:r>
      <w:r>
        <w:rPr>
          <w:rFonts w:hint="eastAsia" w:asciiTheme="minorEastAsia" w:hAnsiTheme="minorEastAsia" w:eastAsiaTheme="minorEastAsia" w:cstheme="minorEastAsia"/>
          <w:color w:val="auto"/>
          <w:spacing w:val="0"/>
          <w:position w:val="0"/>
          <w:sz w:val="24"/>
          <w:szCs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szCs w:val="24"/>
          <w:highlight w:val="none"/>
        </w:rPr>
        <w:t>项目进行了采购。经</w:t>
      </w:r>
      <w:r>
        <w:rPr>
          <w:rFonts w:hint="eastAsia" w:asciiTheme="minorEastAsia" w:hAnsiTheme="minorEastAsia" w:eastAsiaTheme="minorEastAsia" w:cstheme="minorEastAsia"/>
          <w:color w:val="auto"/>
          <w:spacing w:val="0"/>
          <w:position w:val="0"/>
          <w:sz w:val="24"/>
          <w:szCs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szCs w:val="24"/>
          <w:highlight w:val="none"/>
        </w:rPr>
        <w:t>评定，</w:t>
      </w:r>
      <w:r>
        <w:rPr>
          <w:rFonts w:hint="eastAsia" w:asciiTheme="minorEastAsia" w:hAnsiTheme="minorEastAsia" w:eastAsiaTheme="minorEastAsia" w:cstheme="minorEastAsia"/>
          <w:color w:val="auto"/>
          <w:spacing w:val="0"/>
          <w:position w:val="0"/>
          <w:sz w:val="24"/>
          <w:szCs w:val="24"/>
          <w:highlight w:val="none"/>
          <w:u w:val="single"/>
        </w:rPr>
        <w:t xml:space="preserve">   （中标</w:t>
      </w:r>
      <w:r>
        <w:rPr>
          <w:rFonts w:hint="eastAsia" w:asciiTheme="minorEastAsia" w:hAnsiTheme="minorEastAsia" w:eastAsiaTheme="minorEastAsia" w:cstheme="minorEastAsia"/>
          <w:color w:val="auto"/>
          <w:spacing w:val="0"/>
          <w:position w:val="0"/>
          <w:sz w:val="24"/>
          <w:szCs w:val="24"/>
          <w:highlight w:val="none"/>
          <w:u w:val="single"/>
          <w:lang w:eastAsia="zh-CN"/>
        </w:rPr>
        <w:t>投标人</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rPr>
        <w:t>为该项目中标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。现于中标通知书发出之日起三十日内，按照采购文件确定的事项签订本合同。</w:t>
      </w:r>
    </w:p>
    <w:p w14:paraId="2240A02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lang w:val="zh-CN"/>
        </w:rPr>
        <w:t>(以下简称：甲方)和</w:t>
      </w:r>
      <w:r>
        <w:rPr>
          <w:rFonts w:hint="eastAsia" w:asciiTheme="minorEastAsia" w:hAnsiTheme="minorEastAsia" w:eastAsiaTheme="minorEastAsia" w:cstheme="minorEastAsia"/>
          <w:color w:val="auto"/>
          <w:spacing w:val="0"/>
          <w:position w:val="0"/>
          <w:sz w:val="24"/>
          <w:szCs w:val="24"/>
          <w:highlight w:val="none"/>
          <w:u w:val="single"/>
        </w:rPr>
        <w:t xml:space="preserve">   （中标</w:t>
      </w:r>
      <w:r>
        <w:rPr>
          <w:rFonts w:hint="eastAsia" w:asciiTheme="minorEastAsia" w:hAnsiTheme="minorEastAsia" w:eastAsiaTheme="minorEastAsia" w:cstheme="minorEastAsia"/>
          <w:color w:val="auto"/>
          <w:spacing w:val="0"/>
          <w:position w:val="0"/>
          <w:sz w:val="24"/>
          <w:szCs w:val="24"/>
          <w:highlight w:val="none"/>
          <w:u w:val="single"/>
          <w:lang w:eastAsia="zh-CN"/>
        </w:rPr>
        <w:t>投标人</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szCs w:val="24"/>
          <w:highlight w:val="none"/>
        </w:rPr>
        <w:t>条款，以兹共同遵守、全面履行。</w:t>
      </w:r>
    </w:p>
    <w:p w14:paraId="592B5F07">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rPr>
      </w:pPr>
      <w:bookmarkStart w:id="95" w:name="_Toc31100"/>
      <w:bookmarkStart w:id="96" w:name="_Toc15367"/>
      <w:bookmarkStart w:id="97" w:name="_Toc20421"/>
      <w:bookmarkStart w:id="98" w:name="_Toc19273"/>
      <w:bookmarkStart w:id="99" w:name="_Toc22967"/>
      <w:bookmarkStart w:id="100" w:name="_Toc19670"/>
      <w:bookmarkStart w:id="101" w:name="_Toc28855"/>
      <w:r>
        <w:rPr>
          <w:rFonts w:hint="eastAsia" w:asciiTheme="minorEastAsia" w:hAnsiTheme="minorEastAsia" w:eastAsiaTheme="minorEastAsia" w:cstheme="minorEastAsia"/>
          <w:b/>
          <w:color w:val="auto"/>
          <w:spacing w:val="0"/>
          <w:position w:val="0"/>
          <w:sz w:val="24"/>
          <w:szCs w:val="24"/>
          <w:highlight w:val="none"/>
        </w:rPr>
        <w:t>1.1 合同组成部分</w:t>
      </w:r>
      <w:bookmarkEnd w:id="95"/>
      <w:bookmarkEnd w:id="96"/>
      <w:bookmarkEnd w:id="97"/>
      <w:bookmarkEnd w:id="98"/>
      <w:bookmarkEnd w:id="99"/>
      <w:bookmarkEnd w:id="100"/>
      <w:bookmarkEnd w:id="101"/>
    </w:p>
    <w:p w14:paraId="2C83237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C0C4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1.1.1 本合同及其补充合同、变更协议；</w:t>
      </w:r>
    </w:p>
    <w:p w14:paraId="6425A17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1.1.2 中标通知书；</w:t>
      </w:r>
    </w:p>
    <w:p w14:paraId="1FF108C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1.1.3 投标文件（含澄清或者说明文件）；</w:t>
      </w:r>
    </w:p>
    <w:p w14:paraId="1AE810E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1.1.4 </w:t>
      </w:r>
      <w:r>
        <w:rPr>
          <w:rFonts w:hint="eastAsia" w:asciiTheme="minorEastAsia" w:hAnsiTheme="minorEastAsia" w:eastAsiaTheme="minorEastAsia" w:cstheme="minorEastAsia"/>
          <w:color w:val="auto"/>
          <w:spacing w:val="0"/>
          <w:position w:val="0"/>
          <w:sz w:val="24"/>
          <w:szCs w:val="24"/>
          <w:highlight w:val="none"/>
          <w:lang w:eastAsia="zh-CN"/>
        </w:rPr>
        <w:t>磋商文件</w:t>
      </w:r>
      <w:r>
        <w:rPr>
          <w:rFonts w:hint="eastAsia" w:asciiTheme="minorEastAsia" w:hAnsiTheme="minorEastAsia" w:eastAsiaTheme="minorEastAsia" w:cstheme="minorEastAsia"/>
          <w:color w:val="auto"/>
          <w:spacing w:val="0"/>
          <w:position w:val="0"/>
          <w:sz w:val="24"/>
          <w:szCs w:val="24"/>
          <w:highlight w:val="none"/>
        </w:rPr>
        <w:t>（含澄清或者修改文件）；</w:t>
      </w:r>
    </w:p>
    <w:p w14:paraId="22E2F1D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1.1.5 其他相关采购文件。</w:t>
      </w:r>
    </w:p>
    <w:p w14:paraId="0B0F685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02" w:name="_Toc5421"/>
      <w:bookmarkStart w:id="103" w:name="_Toc18585"/>
      <w:bookmarkStart w:id="104" w:name="_Toc26280"/>
      <w:bookmarkStart w:id="105" w:name="_Toc6311"/>
      <w:bookmarkStart w:id="106" w:name="_Toc22185"/>
      <w:bookmarkStart w:id="107" w:name="_Toc6773"/>
      <w:bookmarkStart w:id="108" w:name="_Toc2918"/>
      <w:r>
        <w:rPr>
          <w:rFonts w:hint="eastAsia" w:asciiTheme="minorEastAsia" w:hAnsiTheme="minorEastAsia" w:eastAsiaTheme="minorEastAsia" w:cstheme="minorEastAsia"/>
          <w:b/>
          <w:color w:val="auto"/>
          <w:spacing w:val="0"/>
          <w:position w:val="0"/>
          <w:sz w:val="24"/>
          <w:szCs w:val="24"/>
          <w:highlight w:val="none"/>
        </w:rPr>
        <w:t>1.2 标的</w:t>
      </w:r>
      <w:bookmarkEnd w:id="102"/>
      <w:bookmarkEnd w:id="103"/>
      <w:bookmarkEnd w:id="104"/>
      <w:bookmarkEnd w:id="105"/>
      <w:bookmarkEnd w:id="106"/>
      <w:bookmarkEnd w:id="107"/>
      <w:bookmarkEnd w:id="108"/>
    </w:p>
    <w:p w14:paraId="4A6F6F6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1.2.1 标的名称：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138E40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1.2.2 标的数量：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28F42ED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 标的质量：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1C8FB35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09" w:name="_Toc1386"/>
      <w:bookmarkStart w:id="110" w:name="_Toc4929"/>
      <w:bookmarkStart w:id="111" w:name="_Toc21943"/>
      <w:bookmarkStart w:id="112" w:name="_Toc13918"/>
      <w:bookmarkStart w:id="113" w:name="_Toc21124"/>
      <w:bookmarkStart w:id="114" w:name="_Toc16905"/>
      <w:bookmarkStart w:id="115" w:name="_Toc5635"/>
      <w:r>
        <w:rPr>
          <w:rFonts w:hint="eastAsia" w:asciiTheme="minorEastAsia" w:hAnsiTheme="minorEastAsia" w:eastAsiaTheme="minorEastAsia" w:cstheme="minorEastAsia"/>
          <w:b/>
          <w:color w:val="auto"/>
          <w:spacing w:val="0"/>
          <w:position w:val="0"/>
          <w:sz w:val="24"/>
          <w:szCs w:val="24"/>
          <w:highlight w:val="none"/>
        </w:rPr>
        <w:t>1.3 价款</w:t>
      </w:r>
      <w:bookmarkEnd w:id="109"/>
      <w:bookmarkEnd w:id="110"/>
      <w:bookmarkEnd w:id="111"/>
      <w:bookmarkEnd w:id="112"/>
      <w:bookmarkEnd w:id="113"/>
      <w:bookmarkEnd w:id="114"/>
      <w:bookmarkEnd w:id="115"/>
    </w:p>
    <w:p w14:paraId="0890BFC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本合同总价为：￥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元（大写：</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元人民币）。</w:t>
      </w:r>
    </w:p>
    <w:p w14:paraId="42425DE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14:paraId="3DAB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35D809EB">
            <w:pPr>
              <w:pStyle w:val="107"/>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899" w:type="dxa"/>
            <w:noWrap w:val="0"/>
            <w:vAlign w:val="center"/>
          </w:tcPr>
          <w:p w14:paraId="0C9EBE7F">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924" w:type="dxa"/>
            <w:noWrap w:val="0"/>
            <w:vAlign w:val="center"/>
          </w:tcPr>
          <w:p w14:paraId="22CE9529">
            <w:pPr>
              <w:pStyle w:val="107"/>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1A91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8347D6F">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72DF7557">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10834B79">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AEA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1A079072">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410860D3">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7B9191AA">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246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76056DB">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7A017272">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73364FBF">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C7E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5EAEF5B7">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354821FA">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10EB83F5">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54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14:paraId="7B685B7B">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924" w:type="dxa"/>
            <w:noWrap w:val="0"/>
            <w:vAlign w:val="center"/>
          </w:tcPr>
          <w:p w14:paraId="56823FA0">
            <w:pPr>
              <w:pStyle w:val="107"/>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75B1AFBD">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16" w:name="_Toc3226"/>
      <w:bookmarkStart w:id="117" w:name="_Toc12326"/>
      <w:bookmarkStart w:id="118" w:name="_Toc14993"/>
      <w:bookmarkStart w:id="119" w:name="_Toc30158"/>
      <w:bookmarkStart w:id="120" w:name="_Toc3654"/>
      <w:bookmarkStart w:id="121" w:name="_Toc30506"/>
      <w:bookmarkStart w:id="122" w:name="_Toc26916"/>
      <w:r>
        <w:rPr>
          <w:rFonts w:hint="eastAsia" w:asciiTheme="minorEastAsia" w:hAnsiTheme="minorEastAsia" w:eastAsiaTheme="minorEastAsia" w:cstheme="minorEastAsia"/>
          <w:b/>
          <w:color w:val="auto"/>
          <w:spacing w:val="0"/>
          <w:position w:val="0"/>
          <w:sz w:val="24"/>
          <w:szCs w:val="24"/>
          <w:highlight w:val="none"/>
        </w:rPr>
        <w:t>1.4 付款方式和发票开具方式</w:t>
      </w:r>
      <w:bookmarkEnd w:id="116"/>
      <w:bookmarkEnd w:id="117"/>
      <w:bookmarkEnd w:id="118"/>
      <w:bookmarkEnd w:id="119"/>
      <w:bookmarkEnd w:id="120"/>
      <w:bookmarkEnd w:id="121"/>
      <w:bookmarkEnd w:id="122"/>
    </w:p>
    <w:p w14:paraId="2BA10F9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1.4.1付款方式：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7EDCB65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1.4.2 发票开具方式：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DC1699F">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23" w:name="_Toc31421"/>
      <w:bookmarkStart w:id="124" w:name="_Toc4760"/>
      <w:bookmarkStart w:id="125" w:name="_Toc27202"/>
      <w:bookmarkStart w:id="126" w:name="_Toc3625"/>
      <w:bookmarkStart w:id="127" w:name="_Toc11108"/>
      <w:bookmarkStart w:id="128" w:name="_Toc28381"/>
      <w:bookmarkStart w:id="129" w:name="_Toc8772"/>
      <w:r>
        <w:rPr>
          <w:rFonts w:hint="eastAsia" w:asciiTheme="minorEastAsia" w:hAnsiTheme="minorEastAsia" w:eastAsiaTheme="minorEastAsia" w:cstheme="minorEastAsia"/>
          <w:b/>
          <w:color w:val="auto"/>
          <w:spacing w:val="0"/>
          <w:position w:val="0"/>
          <w:sz w:val="24"/>
          <w:szCs w:val="24"/>
          <w:highlight w:val="none"/>
        </w:rPr>
        <w:t>1.5 履行期限、地点和方式</w:t>
      </w:r>
      <w:bookmarkEnd w:id="123"/>
      <w:bookmarkEnd w:id="124"/>
      <w:bookmarkEnd w:id="125"/>
      <w:bookmarkEnd w:id="126"/>
      <w:bookmarkEnd w:id="127"/>
      <w:bookmarkEnd w:id="128"/>
      <w:bookmarkEnd w:id="129"/>
    </w:p>
    <w:p w14:paraId="201C706E">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1.5.1 履行期限：</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37AB9F4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1.5.2 履行地点：</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F5B330C">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1.5.3 履行方式：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6FBF816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u w:val="single"/>
        </w:rPr>
      </w:pPr>
      <w:bookmarkStart w:id="130" w:name="_Toc8586"/>
      <w:bookmarkStart w:id="131" w:name="_Toc2375"/>
      <w:bookmarkStart w:id="132" w:name="_Toc5698"/>
      <w:bookmarkStart w:id="133" w:name="_Toc24329"/>
      <w:bookmarkStart w:id="134" w:name="_Toc8705"/>
      <w:bookmarkStart w:id="135" w:name="_Toc3079"/>
      <w:bookmarkStart w:id="136" w:name="_Toc24662"/>
      <w:r>
        <w:rPr>
          <w:rFonts w:hint="eastAsia" w:asciiTheme="minorEastAsia" w:hAnsiTheme="minorEastAsia" w:eastAsiaTheme="minorEastAsia" w:cstheme="minorEastAsia"/>
          <w:b/>
          <w:color w:val="auto"/>
          <w:spacing w:val="0"/>
          <w:position w:val="0"/>
          <w:sz w:val="24"/>
          <w:szCs w:val="24"/>
          <w:highlight w:val="none"/>
        </w:rPr>
        <w:t>1.6 违约责任</w:t>
      </w:r>
      <w:bookmarkEnd w:id="130"/>
      <w:bookmarkEnd w:id="131"/>
      <w:bookmarkEnd w:id="132"/>
      <w:bookmarkEnd w:id="133"/>
      <w:bookmarkEnd w:id="134"/>
      <w:bookmarkEnd w:id="135"/>
      <w:bookmarkEnd w:id="136"/>
    </w:p>
    <w:p w14:paraId="14A4C5C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%；迟延履行的违约金计算数额达到前述最高限额之日起，甲方有权在要求乙方支付违约金的同时，书面通知乙方解除本合同；</w:t>
      </w:r>
    </w:p>
    <w:p w14:paraId="0B96125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%；迟延付款的违约金计算数额达到前述最高限额之日起，乙方有权在要求甲方支付违约金的同时，书面通知甲方解除本合同；</w:t>
      </w:r>
    </w:p>
    <w:p w14:paraId="51F37C3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31644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34E32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CFDDD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EE73E73">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37" w:name="_Toc28352"/>
      <w:bookmarkStart w:id="138" w:name="_Toc9497"/>
      <w:bookmarkStart w:id="139" w:name="_Toc18683"/>
      <w:bookmarkStart w:id="140" w:name="_Toc26807"/>
      <w:bookmarkStart w:id="141" w:name="_Toc32454"/>
      <w:bookmarkStart w:id="142" w:name="_Toc17937"/>
      <w:bookmarkStart w:id="143" w:name="_Toc30329"/>
      <w:r>
        <w:rPr>
          <w:rFonts w:hint="eastAsia" w:asciiTheme="minorEastAsia" w:hAnsiTheme="minorEastAsia" w:eastAsiaTheme="minorEastAsia" w:cstheme="minorEastAsia"/>
          <w:b/>
          <w:color w:val="auto"/>
          <w:spacing w:val="0"/>
          <w:position w:val="0"/>
          <w:sz w:val="24"/>
          <w:szCs w:val="24"/>
          <w:highlight w:val="none"/>
        </w:rPr>
        <w:t>1.7 合同争议的解决</w:t>
      </w:r>
      <w:bookmarkEnd w:id="137"/>
      <w:bookmarkEnd w:id="138"/>
      <w:bookmarkEnd w:id="139"/>
      <w:bookmarkEnd w:id="140"/>
      <w:bookmarkEnd w:id="141"/>
      <w:bookmarkEnd w:id="142"/>
      <w:bookmarkEnd w:id="143"/>
    </w:p>
    <w:p w14:paraId="5585DB9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种方式解决：</w:t>
      </w:r>
    </w:p>
    <w:p w14:paraId="6FA6A4B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1.7.1 将争议提交</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仲裁委员会依申请仲裁时其现行有效的仲裁规则裁决；</w:t>
      </w:r>
    </w:p>
    <w:p w14:paraId="715E40A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1.7.2 向</w:t>
      </w:r>
      <w:r>
        <w:rPr>
          <w:rFonts w:hint="eastAsia" w:asciiTheme="minorEastAsia" w:hAnsiTheme="minorEastAsia" w:eastAsiaTheme="minorEastAsia" w:cstheme="minorEastAsia"/>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szCs w:val="24"/>
          <w:highlight w:val="none"/>
        </w:rPr>
        <w:t>人民法院起诉。</w:t>
      </w:r>
    </w:p>
    <w:p w14:paraId="2CCDAE4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44" w:name="_Toc23784"/>
      <w:bookmarkStart w:id="145" w:name="_Toc16417"/>
      <w:bookmarkStart w:id="146" w:name="_Toc12273"/>
      <w:bookmarkStart w:id="147" w:name="_Toc14897"/>
      <w:bookmarkStart w:id="148" w:name="_Toc26227"/>
      <w:bookmarkStart w:id="149" w:name="_Toc15827"/>
      <w:bookmarkStart w:id="150" w:name="_Toc29909"/>
      <w:r>
        <w:rPr>
          <w:rFonts w:hint="eastAsia" w:asciiTheme="minorEastAsia" w:hAnsiTheme="minorEastAsia" w:eastAsiaTheme="minorEastAsia" w:cstheme="minorEastAsia"/>
          <w:b/>
          <w:color w:val="auto"/>
          <w:spacing w:val="0"/>
          <w:position w:val="0"/>
          <w:sz w:val="24"/>
          <w:szCs w:val="24"/>
          <w:highlight w:val="none"/>
        </w:rPr>
        <w:t>1.8 合同生效</w:t>
      </w:r>
      <w:bookmarkEnd w:id="144"/>
      <w:bookmarkEnd w:id="145"/>
      <w:bookmarkEnd w:id="146"/>
      <w:bookmarkEnd w:id="147"/>
      <w:bookmarkEnd w:id="148"/>
      <w:bookmarkEnd w:id="149"/>
      <w:bookmarkEnd w:id="150"/>
    </w:p>
    <w:p w14:paraId="46ED75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本合同自双方当事人盖章或者签字时生效。</w:t>
      </w:r>
    </w:p>
    <w:p w14:paraId="5B244682">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0DF6439B">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b/>
          <w:color w:val="auto"/>
          <w:spacing w:val="0"/>
          <w:position w:val="0"/>
          <w:sz w:val="24"/>
          <w:szCs w:val="24"/>
          <w:highlight w:val="none"/>
          <w:lang w:val="zh-CN"/>
        </w:rPr>
        <w:t>甲方</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b/>
          <w:color w:val="auto"/>
          <w:spacing w:val="0"/>
          <w:position w:val="0"/>
          <w:sz w:val="24"/>
          <w:szCs w:val="24"/>
          <w:highlight w:val="none"/>
          <w:lang w:val="zh-CN"/>
        </w:rPr>
        <w:t xml:space="preserve">      乙方</w:t>
      </w:r>
      <w:r>
        <w:rPr>
          <w:rFonts w:hint="eastAsia" w:asciiTheme="minorEastAsia" w:hAnsiTheme="minorEastAsia" w:eastAsiaTheme="minorEastAsia" w:cstheme="minorEastAsia"/>
          <w:color w:val="auto"/>
          <w:spacing w:val="0"/>
          <w:position w:val="0"/>
          <w:sz w:val="24"/>
          <w:szCs w:val="24"/>
          <w:highlight w:val="none"/>
          <w:lang w:val="zh-CN"/>
        </w:rPr>
        <w:t>：</w:t>
      </w:r>
    </w:p>
    <w:p w14:paraId="7A988EAD">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统一社会信用代码：                        统一社会信用代码或身份证号码：</w:t>
      </w:r>
    </w:p>
    <w:p w14:paraId="33371939">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5C5190CD">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住所：                                   住所：</w:t>
      </w:r>
    </w:p>
    <w:p w14:paraId="2FFB1CBB">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法定代表人或                             法定代表人</w:t>
      </w:r>
    </w:p>
    <w:p w14:paraId="4B6E24C8">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授权代表（签字）：                        或授权代表（签字）: </w:t>
      </w:r>
    </w:p>
    <w:p w14:paraId="4945A8B2">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联系人：                                 联系人：</w:t>
      </w:r>
    </w:p>
    <w:p w14:paraId="704DDF64">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约定送达地址：                           约定送达地址：</w:t>
      </w:r>
    </w:p>
    <w:p w14:paraId="41EC3201">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邮政编码：                               邮政编码：</w:t>
      </w:r>
    </w:p>
    <w:p w14:paraId="6CC147DA">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电话:                                    电话: </w:t>
      </w:r>
    </w:p>
    <w:p w14:paraId="3B8B8105">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传真:                                    传真:</w:t>
      </w:r>
    </w:p>
    <w:p w14:paraId="046E8283">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电子邮箱：                               电子邮箱：</w:t>
      </w:r>
    </w:p>
    <w:p w14:paraId="61FE182A">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开户银行：                               开户银行： </w:t>
      </w:r>
    </w:p>
    <w:p w14:paraId="70D9878E">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开户名称：                               开户名称： </w:t>
      </w:r>
    </w:p>
    <w:p w14:paraId="10451B8C">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开户账号：</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color w:val="auto"/>
          <w:spacing w:val="0"/>
          <w:position w:val="0"/>
          <w:sz w:val="24"/>
          <w:szCs w:val="24"/>
          <w:highlight w:val="none"/>
        </w:rPr>
        <w:t>开户账号：</w:t>
      </w:r>
    </w:p>
    <w:p w14:paraId="41D9A30D">
      <w:pPr>
        <w:pStyle w:val="105"/>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bookmarkStart w:id="151" w:name="_Toc331685783"/>
    </w:p>
    <w:p w14:paraId="377F6274">
      <w:pPr>
        <w:pStyle w:val="105"/>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p>
    <w:p w14:paraId="2B72E45B">
      <w:pPr>
        <w:pStyle w:val="105"/>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第二部分 合同一般条款</w:t>
      </w:r>
      <w:bookmarkEnd w:id="151"/>
    </w:p>
    <w:p w14:paraId="65D26409">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52" w:name="_Ref467379094"/>
      <w:bookmarkStart w:id="153" w:name="_Ref467378463"/>
      <w:bookmarkStart w:id="154" w:name="_Toc24871"/>
      <w:bookmarkStart w:id="155" w:name="_Ref467379101"/>
      <w:bookmarkStart w:id="156" w:name="_Ref467379214"/>
      <w:bookmarkStart w:id="157" w:name="_Toc25079"/>
      <w:bookmarkStart w:id="158" w:name="_Ref467378404"/>
      <w:bookmarkStart w:id="159" w:name="_Toc259093669"/>
      <w:bookmarkStart w:id="160" w:name="_Toc487900349"/>
      <w:bookmarkStart w:id="161" w:name="_Ref467379225"/>
      <w:bookmarkStart w:id="162" w:name="_Toc14021"/>
      <w:bookmarkStart w:id="163" w:name="_Ref467378499"/>
      <w:bookmarkStart w:id="164" w:name="_Toc19680"/>
      <w:bookmarkStart w:id="165" w:name="_Toc5228"/>
      <w:bookmarkStart w:id="166" w:name="_Toc31297"/>
      <w:bookmarkStart w:id="167" w:name="_Ref467379109"/>
      <w:bookmarkStart w:id="168" w:name="_Ref467379205"/>
      <w:bookmarkStart w:id="169" w:name="_Ref467379195"/>
      <w:bookmarkStart w:id="170" w:name="_Toc22083"/>
      <w:bookmarkStart w:id="171" w:name="_Toc279701240"/>
      <w:r>
        <w:rPr>
          <w:rFonts w:hint="eastAsia" w:asciiTheme="minorEastAsia" w:hAnsiTheme="minorEastAsia" w:eastAsiaTheme="minorEastAsia" w:cstheme="minorEastAsia"/>
          <w:b/>
          <w:color w:val="auto"/>
          <w:spacing w:val="0"/>
          <w:position w:val="0"/>
          <w:sz w:val="24"/>
          <w:szCs w:val="24"/>
          <w:highlight w:val="none"/>
        </w:rPr>
        <w:t>2.1 定义</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0F4635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本合同中的下列词语应按以下内容进行解释：</w:t>
      </w:r>
    </w:p>
    <w:p w14:paraId="4248B21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 “合同”系指采购人和中标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签订的载明双方当事人所达成的协议，并包括所有的附件、附录和构成合同的其他文件。</w:t>
      </w:r>
    </w:p>
    <w:p w14:paraId="3FA3C8E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 “合同价”系指根据合同约定，中标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在完全履行合同义务后，采购人应支付给中标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的价格。</w:t>
      </w:r>
    </w:p>
    <w:p w14:paraId="382CBCB1">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2.1.3 “服务”系指中标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根据合同约定应向采购人履行的除货物和工程以外的其他政府采购对象，包括采购人自身需要的服务和向社会公众提供的公共服务。</w:t>
      </w:r>
    </w:p>
    <w:p w14:paraId="7C7CCC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72" w:name="_Ref467378840"/>
      <w:r>
        <w:rPr>
          <w:rFonts w:hint="eastAsia" w:asciiTheme="minorEastAsia" w:hAnsiTheme="minorEastAsia" w:eastAsiaTheme="minorEastAsia" w:cstheme="minorEastAsia"/>
          <w:color w:val="auto"/>
          <w:spacing w:val="0"/>
          <w:position w:val="0"/>
          <w:sz w:val="24"/>
          <w:szCs w:val="24"/>
          <w:highlight w:val="none"/>
        </w:rPr>
        <w:t>2.1.4 “甲方”系指与中标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签署合同的采购人</w:t>
      </w:r>
      <w:bookmarkEnd w:id="172"/>
      <w:r>
        <w:rPr>
          <w:rFonts w:hint="eastAsia" w:asciiTheme="minorEastAsia" w:hAnsiTheme="minorEastAsia" w:eastAsiaTheme="minorEastAsia" w:cstheme="minorEastAsia"/>
          <w:color w:val="auto"/>
          <w:spacing w:val="0"/>
          <w:position w:val="0"/>
          <w:sz w:val="24"/>
          <w:szCs w:val="24"/>
          <w:highlight w:val="none"/>
        </w:rPr>
        <w:t>；采购人委托采购代理机构代表其与乙方签订合同的，采购人的授权委托书作为合同附件。</w:t>
      </w:r>
    </w:p>
    <w:p w14:paraId="2DE9B0D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73" w:name="_Ref467379400"/>
      <w:r>
        <w:rPr>
          <w:rFonts w:hint="eastAsia" w:asciiTheme="minorEastAsia" w:hAnsiTheme="minorEastAsia" w:eastAsiaTheme="minorEastAsia" w:cstheme="minorEastAsia"/>
          <w:color w:val="auto"/>
          <w:spacing w:val="0"/>
          <w:position w:val="0"/>
          <w:sz w:val="24"/>
          <w:szCs w:val="24"/>
          <w:highlight w:val="none"/>
        </w:rPr>
        <w:t>2.1.5 “乙方”系指根据合同约定提供服务的中标</w:t>
      </w:r>
      <w:bookmarkEnd w:id="173"/>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；两个以上的自然人、法人或者其他组织组成一个联合体，以一个</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的身份共同参加政府采购的，联合体各方均应为乙方或者与乙方相同地位的合同当事人，并就合同约定的事项对甲方承担连带责任。</w:t>
      </w:r>
    </w:p>
    <w:p w14:paraId="1901F77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74" w:name="_Ref467379436"/>
      <w:r>
        <w:rPr>
          <w:rFonts w:hint="eastAsia" w:asciiTheme="minorEastAsia" w:hAnsiTheme="minorEastAsia" w:eastAsiaTheme="minorEastAsia" w:cstheme="minorEastAsia"/>
          <w:color w:val="auto"/>
          <w:spacing w:val="0"/>
          <w:position w:val="0"/>
          <w:sz w:val="24"/>
          <w:szCs w:val="24"/>
          <w:highlight w:val="none"/>
        </w:rPr>
        <w:t>2.1.6 “现场”系指合同约定提供服务的地点。</w:t>
      </w:r>
      <w:bookmarkEnd w:id="174"/>
    </w:p>
    <w:p w14:paraId="13D2CD4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75" w:name="_Toc3769"/>
      <w:bookmarkStart w:id="176" w:name="_Toc19539"/>
      <w:bookmarkStart w:id="177" w:name="_Toc3211"/>
      <w:bookmarkStart w:id="178" w:name="_Toc487900350"/>
      <w:bookmarkStart w:id="179" w:name="_Toc16752"/>
      <w:bookmarkStart w:id="180" w:name="_Toc259093670"/>
      <w:bookmarkStart w:id="181" w:name="_Toc279701241"/>
      <w:bookmarkStart w:id="182" w:name="_Toc23289"/>
      <w:bookmarkStart w:id="183" w:name="_Toc1478"/>
      <w:bookmarkStart w:id="184" w:name="_Toc31402"/>
      <w:r>
        <w:rPr>
          <w:rFonts w:hint="eastAsia" w:asciiTheme="minorEastAsia" w:hAnsiTheme="minorEastAsia" w:eastAsiaTheme="minorEastAsia" w:cstheme="minorEastAsia"/>
          <w:b/>
          <w:color w:val="auto"/>
          <w:spacing w:val="0"/>
          <w:position w:val="0"/>
          <w:sz w:val="24"/>
          <w:szCs w:val="24"/>
          <w:highlight w:val="none"/>
        </w:rPr>
        <w:t>2.2 技术规范</w:t>
      </w:r>
      <w:bookmarkEnd w:id="175"/>
      <w:bookmarkEnd w:id="176"/>
      <w:bookmarkEnd w:id="177"/>
      <w:bookmarkEnd w:id="178"/>
      <w:bookmarkEnd w:id="179"/>
      <w:bookmarkEnd w:id="180"/>
      <w:bookmarkEnd w:id="181"/>
      <w:bookmarkEnd w:id="182"/>
      <w:bookmarkEnd w:id="183"/>
      <w:bookmarkEnd w:id="184"/>
    </w:p>
    <w:p w14:paraId="4C78B8C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1A505F">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5" w:name="_Toc27945"/>
      <w:bookmarkStart w:id="186" w:name="_Toc13673"/>
      <w:bookmarkStart w:id="187" w:name="_Toc279701242"/>
      <w:bookmarkStart w:id="188" w:name="_Toc259093671"/>
      <w:bookmarkStart w:id="189" w:name="_Toc4133"/>
      <w:bookmarkStart w:id="190" w:name="_Toc487900351"/>
      <w:bookmarkStart w:id="191" w:name="_Toc9161"/>
      <w:bookmarkStart w:id="192" w:name="_Toc31014"/>
      <w:bookmarkStart w:id="193" w:name="_Toc8408"/>
      <w:bookmarkStart w:id="194" w:name="_Toc12412"/>
      <w:r>
        <w:rPr>
          <w:rFonts w:hint="eastAsia" w:asciiTheme="minorEastAsia" w:hAnsiTheme="minorEastAsia" w:eastAsiaTheme="minorEastAsia" w:cstheme="minorEastAsia"/>
          <w:b/>
          <w:color w:val="auto"/>
          <w:spacing w:val="0"/>
          <w:position w:val="0"/>
          <w:sz w:val="24"/>
          <w:szCs w:val="24"/>
          <w:highlight w:val="none"/>
        </w:rPr>
        <w:t>2.3 知识产权</w:t>
      </w:r>
      <w:bookmarkEnd w:id="185"/>
      <w:bookmarkEnd w:id="186"/>
      <w:bookmarkEnd w:id="187"/>
      <w:bookmarkEnd w:id="188"/>
      <w:bookmarkEnd w:id="189"/>
      <w:bookmarkEnd w:id="190"/>
      <w:bookmarkEnd w:id="191"/>
      <w:bookmarkEnd w:id="192"/>
      <w:bookmarkEnd w:id="193"/>
      <w:bookmarkEnd w:id="194"/>
    </w:p>
    <w:p w14:paraId="481218D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3740F7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5BBF0908">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2.4 履约检查和问题反馈</w:t>
      </w:r>
    </w:p>
    <w:p w14:paraId="6D2E8FA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95" w:name="_Ref467379657"/>
      <w:r>
        <w:rPr>
          <w:rFonts w:hint="eastAsia" w:asciiTheme="minorEastAsia" w:hAnsiTheme="minorEastAsia" w:eastAsiaTheme="minorEastAsia" w:cstheme="minorEastAsia"/>
          <w:color w:val="auto"/>
          <w:spacing w:val="0"/>
          <w:position w:val="0"/>
          <w:sz w:val="24"/>
          <w:szCs w:val="24"/>
          <w:highlight w:val="none"/>
        </w:rPr>
        <w:t>2.4.1</w:t>
      </w:r>
      <w:bookmarkEnd w:id="195"/>
      <w:bookmarkStart w:id="196" w:name="_Toc186431854"/>
      <w:bookmarkStart w:id="197" w:name="_Toc487900357"/>
      <w:bookmarkStart w:id="198" w:name="_Ref467379793"/>
      <w:bookmarkStart w:id="199" w:name="_Ref467379807"/>
      <w:bookmarkStart w:id="200" w:name="_Toc259093676"/>
      <w:bookmarkStart w:id="201" w:name="_Toc279701247"/>
      <w:r>
        <w:rPr>
          <w:rFonts w:hint="eastAsia" w:asciiTheme="minorEastAsia" w:hAnsiTheme="minorEastAsia" w:eastAsiaTheme="minorEastAsia" w:cstheme="minorEastAsia"/>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9A31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2.4.2 合同履行期间，甲方有权将履行过程中出现的问题反馈给乙方，双方当事人应以书面形式约定需要完善和改进的内容</w:t>
      </w:r>
      <w:bookmarkEnd w:id="196"/>
      <w:bookmarkStart w:id="202" w:name="_Toc186431855"/>
      <w:r>
        <w:rPr>
          <w:rFonts w:hint="eastAsia" w:asciiTheme="minorEastAsia" w:hAnsiTheme="minorEastAsia" w:eastAsiaTheme="minorEastAsia" w:cstheme="minorEastAsia"/>
          <w:color w:val="auto"/>
          <w:spacing w:val="0"/>
          <w:position w:val="0"/>
          <w:sz w:val="24"/>
          <w:szCs w:val="24"/>
          <w:highlight w:val="none"/>
        </w:rPr>
        <w:t>。</w:t>
      </w:r>
    </w:p>
    <w:bookmarkEnd w:id="202"/>
    <w:p w14:paraId="399CE45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03" w:name="_Toc26555"/>
      <w:bookmarkStart w:id="204" w:name="_Toc14382"/>
      <w:bookmarkStart w:id="205" w:name="_Toc15447"/>
      <w:bookmarkStart w:id="206" w:name="_Toc22011"/>
      <w:bookmarkStart w:id="207" w:name="_Toc32670"/>
      <w:bookmarkStart w:id="208" w:name="_Toc31233"/>
      <w:bookmarkStart w:id="209" w:name="_Toc9157"/>
      <w:r>
        <w:rPr>
          <w:rFonts w:hint="eastAsia" w:asciiTheme="minorEastAsia" w:hAnsiTheme="minorEastAsia" w:eastAsiaTheme="minorEastAsia" w:cstheme="minorEastAsia"/>
          <w:b/>
          <w:color w:val="auto"/>
          <w:spacing w:val="0"/>
          <w:position w:val="0"/>
          <w:sz w:val="24"/>
          <w:szCs w:val="24"/>
          <w:highlight w:val="none"/>
        </w:rPr>
        <w:t>2.5 结算方式和付款条件</w:t>
      </w:r>
      <w:bookmarkEnd w:id="197"/>
      <w:bookmarkEnd w:id="198"/>
      <w:bookmarkEnd w:id="199"/>
      <w:bookmarkEnd w:id="200"/>
      <w:bookmarkEnd w:id="201"/>
      <w:bookmarkEnd w:id="203"/>
      <w:bookmarkEnd w:id="204"/>
      <w:bookmarkEnd w:id="205"/>
      <w:bookmarkEnd w:id="206"/>
      <w:bookmarkEnd w:id="207"/>
      <w:bookmarkEnd w:id="208"/>
      <w:bookmarkEnd w:id="209"/>
    </w:p>
    <w:p w14:paraId="09A7422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0593C4F4">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0" w:name="_Ref467379923"/>
      <w:bookmarkStart w:id="211" w:name="_Ref467379852"/>
      <w:bookmarkStart w:id="212" w:name="_Toc279701248"/>
      <w:bookmarkStart w:id="213" w:name="_Ref467379863"/>
      <w:bookmarkStart w:id="214" w:name="_Toc487900358"/>
      <w:bookmarkStart w:id="215" w:name="_Toc259093677"/>
      <w:bookmarkStart w:id="216" w:name="_Toc4547"/>
      <w:bookmarkStart w:id="217" w:name="_Toc30507"/>
      <w:bookmarkStart w:id="218" w:name="_Toc13467"/>
      <w:bookmarkStart w:id="219" w:name="_Toc13154"/>
      <w:bookmarkStart w:id="220" w:name="_Toc18990"/>
      <w:bookmarkStart w:id="221" w:name="_Toc16163"/>
      <w:bookmarkStart w:id="222" w:name="_Toc4864"/>
      <w:r>
        <w:rPr>
          <w:rFonts w:hint="eastAsia" w:asciiTheme="minorEastAsia" w:hAnsiTheme="minorEastAsia" w:eastAsiaTheme="minorEastAsia" w:cstheme="minorEastAsia"/>
          <w:b/>
          <w:color w:val="auto"/>
          <w:spacing w:val="0"/>
          <w:position w:val="0"/>
          <w:sz w:val="24"/>
          <w:szCs w:val="24"/>
          <w:highlight w:val="none"/>
        </w:rPr>
        <w:t>2.6 技术资料</w:t>
      </w:r>
      <w:bookmarkEnd w:id="210"/>
      <w:bookmarkEnd w:id="211"/>
      <w:bookmarkEnd w:id="212"/>
      <w:bookmarkEnd w:id="213"/>
      <w:bookmarkEnd w:id="214"/>
      <w:bookmarkEnd w:id="215"/>
      <w:r>
        <w:rPr>
          <w:rFonts w:hint="eastAsia" w:asciiTheme="minorEastAsia" w:hAnsiTheme="minorEastAsia" w:eastAsiaTheme="minorEastAsia" w:cstheme="minorEastAsia"/>
          <w:b/>
          <w:color w:val="auto"/>
          <w:spacing w:val="0"/>
          <w:position w:val="0"/>
          <w:sz w:val="24"/>
          <w:szCs w:val="24"/>
          <w:highlight w:val="none"/>
        </w:rPr>
        <w:t>和保密义务</w:t>
      </w:r>
      <w:bookmarkEnd w:id="216"/>
      <w:bookmarkEnd w:id="217"/>
      <w:bookmarkEnd w:id="218"/>
      <w:bookmarkEnd w:id="219"/>
      <w:bookmarkEnd w:id="220"/>
      <w:bookmarkEnd w:id="221"/>
      <w:bookmarkEnd w:id="222"/>
    </w:p>
    <w:p w14:paraId="1EC1DD7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2.6.1 乙方有权依据合同约定和项目需要，向甲方了解有关情况，调阅有关资料等，甲方应予积极配合；</w:t>
      </w:r>
    </w:p>
    <w:p w14:paraId="3F25D92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2.6.2 乙方有义务妥善保管和保护由甲方提供的前款信息和资料等；</w:t>
      </w:r>
    </w:p>
    <w:p w14:paraId="7E00566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A4465E">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23" w:name="_Toc18919"/>
      <w:bookmarkStart w:id="224" w:name="_Toc19069"/>
      <w:bookmarkStart w:id="225" w:name="_Toc1911"/>
      <w:bookmarkStart w:id="226" w:name="_Toc279701252"/>
      <w:bookmarkStart w:id="227" w:name="_Toc259093681"/>
      <w:bookmarkStart w:id="228" w:name="_Toc487900362"/>
      <w:r>
        <w:rPr>
          <w:rFonts w:hint="eastAsia" w:asciiTheme="minorEastAsia" w:hAnsiTheme="minorEastAsia" w:eastAsiaTheme="minorEastAsia" w:cstheme="minorEastAsia"/>
          <w:b/>
          <w:color w:val="auto"/>
          <w:spacing w:val="0"/>
          <w:position w:val="0"/>
          <w:sz w:val="24"/>
          <w:szCs w:val="24"/>
          <w:highlight w:val="none"/>
        </w:rPr>
        <w:t>2.7 质量保证</w:t>
      </w:r>
      <w:bookmarkEnd w:id="223"/>
      <w:bookmarkEnd w:id="224"/>
      <w:bookmarkEnd w:id="225"/>
    </w:p>
    <w:p w14:paraId="1AF3CC0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2.7.1 乙方应建立和完善履行合同的内部质量保证体系，并提供相关内部规章制度给甲方，以便甲方进行监督检查；</w:t>
      </w:r>
    </w:p>
    <w:p w14:paraId="516074C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3667BB6A">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29" w:name="_Toc10200"/>
      <w:bookmarkStart w:id="230" w:name="_Toc22267"/>
      <w:bookmarkStart w:id="231" w:name="_Toc30011"/>
      <w:r>
        <w:rPr>
          <w:rFonts w:hint="eastAsia" w:asciiTheme="minorEastAsia" w:hAnsiTheme="minorEastAsia" w:eastAsiaTheme="minorEastAsia" w:cstheme="minorEastAsia"/>
          <w:b/>
          <w:color w:val="auto"/>
          <w:spacing w:val="0"/>
          <w:position w:val="0"/>
          <w:sz w:val="24"/>
          <w:szCs w:val="24"/>
          <w:highlight w:val="none"/>
        </w:rPr>
        <w:t>2.8 延迟</w:t>
      </w:r>
      <w:bookmarkEnd w:id="226"/>
      <w:bookmarkEnd w:id="227"/>
      <w:bookmarkEnd w:id="228"/>
      <w:r>
        <w:rPr>
          <w:rFonts w:hint="eastAsia" w:asciiTheme="minorEastAsia" w:hAnsiTheme="minorEastAsia" w:eastAsiaTheme="minorEastAsia" w:cstheme="minorEastAsia"/>
          <w:b/>
          <w:color w:val="auto"/>
          <w:spacing w:val="0"/>
          <w:position w:val="0"/>
          <w:sz w:val="24"/>
          <w:szCs w:val="24"/>
          <w:highlight w:val="none"/>
        </w:rPr>
        <w:t>履行</w:t>
      </w:r>
      <w:bookmarkEnd w:id="229"/>
      <w:bookmarkEnd w:id="230"/>
      <w:bookmarkEnd w:id="231"/>
    </w:p>
    <w:p w14:paraId="31E5818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8E6C14">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32" w:name="_Toc10611"/>
      <w:bookmarkStart w:id="233" w:name="_Toc31913"/>
      <w:bookmarkStart w:id="234" w:name="_Toc5339"/>
      <w:bookmarkStart w:id="235" w:name="_Ref467378121"/>
      <w:bookmarkStart w:id="236" w:name="_Toc259093683"/>
      <w:bookmarkStart w:id="237" w:name="_Toc279701254"/>
      <w:bookmarkStart w:id="238" w:name="_Toc487900364"/>
      <w:r>
        <w:rPr>
          <w:rFonts w:hint="eastAsia" w:asciiTheme="minorEastAsia" w:hAnsiTheme="minorEastAsia" w:eastAsiaTheme="minorEastAsia" w:cstheme="minorEastAsia"/>
          <w:b/>
          <w:color w:val="auto"/>
          <w:spacing w:val="0"/>
          <w:position w:val="0"/>
          <w:sz w:val="24"/>
          <w:szCs w:val="24"/>
          <w:highlight w:val="none"/>
        </w:rPr>
        <w:t>2.9 合同变更</w:t>
      </w:r>
      <w:bookmarkEnd w:id="232"/>
      <w:bookmarkEnd w:id="233"/>
      <w:bookmarkEnd w:id="234"/>
    </w:p>
    <w:p w14:paraId="76D0D5A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FBA132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239" w:name="_Toc279701259"/>
      <w:bookmarkStart w:id="240" w:name="_Toc487900369"/>
      <w:bookmarkStart w:id="241" w:name="_Toc259093688"/>
    </w:p>
    <w:p w14:paraId="123908EC">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42" w:name="_Toc23368"/>
      <w:bookmarkStart w:id="243" w:name="_Toc42"/>
      <w:bookmarkStart w:id="244" w:name="_Toc26689"/>
      <w:bookmarkStart w:id="245" w:name="_Toc10663"/>
      <w:bookmarkStart w:id="246" w:name="_Toc21830"/>
      <w:bookmarkStart w:id="247" w:name="_Toc7579"/>
      <w:bookmarkStart w:id="248" w:name="_Toc11134"/>
      <w:r>
        <w:rPr>
          <w:rFonts w:hint="eastAsia" w:asciiTheme="minorEastAsia" w:hAnsiTheme="minorEastAsia" w:eastAsiaTheme="minorEastAsia" w:cstheme="minorEastAsia"/>
          <w:b/>
          <w:color w:val="auto"/>
          <w:spacing w:val="0"/>
          <w:position w:val="0"/>
          <w:sz w:val="24"/>
          <w:szCs w:val="24"/>
          <w:highlight w:val="none"/>
        </w:rPr>
        <w:t>2.10 合同转让</w:t>
      </w:r>
      <w:bookmarkEnd w:id="239"/>
      <w:bookmarkEnd w:id="240"/>
      <w:bookmarkEnd w:id="241"/>
      <w:r>
        <w:rPr>
          <w:rFonts w:hint="eastAsia" w:asciiTheme="minorEastAsia" w:hAnsiTheme="minorEastAsia" w:eastAsiaTheme="minorEastAsia" w:cstheme="minorEastAsia"/>
          <w:b/>
          <w:color w:val="auto"/>
          <w:spacing w:val="0"/>
          <w:position w:val="0"/>
          <w:sz w:val="24"/>
          <w:szCs w:val="24"/>
          <w:highlight w:val="none"/>
        </w:rPr>
        <w:t>和分包</w:t>
      </w:r>
      <w:bookmarkEnd w:id="242"/>
      <w:bookmarkEnd w:id="243"/>
      <w:bookmarkEnd w:id="244"/>
      <w:bookmarkEnd w:id="245"/>
      <w:bookmarkEnd w:id="246"/>
      <w:bookmarkEnd w:id="247"/>
      <w:bookmarkEnd w:id="248"/>
    </w:p>
    <w:p w14:paraId="0FB6F1AE">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就分包项目向甲方承担连带责任。</w:t>
      </w:r>
    </w:p>
    <w:p w14:paraId="03BE3599">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49" w:name="_Toc14371"/>
      <w:bookmarkStart w:id="250" w:name="_Toc14338"/>
      <w:bookmarkStart w:id="251" w:name="_Toc4720"/>
      <w:bookmarkStart w:id="252" w:name="_Toc25571"/>
      <w:bookmarkStart w:id="253" w:name="_Toc22718"/>
      <w:bookmarkStart w:id="254" w:name="_Toc26633"/>
      <w:bookmarkStart w:id="255" w:name="_Toc32494"/>
      <w:r>
        <w:rPr>
          <w:rFonts w:hint="eastAsia" w:asciiTheme="minorEastAsia" w:hAnsiTheme="minorEastAsia" w:eastAsiaTheme="minorEastAsia" w:cstheme="minorEastAsia"/>
          <w:b/>
          <w:color w:val="auto"/>
          <w:spacing w:val="0"/>
          <w:position w:val="0"/>
          <w:sz w:val="24"/>
          <w:szCs w:val="24"/>
          <w:highlight w:val="none"/>
        </w:rPr>
        <w:t>2.11 不可抗力</w:t>
      </w:r>
      <w:bookmarkEnd w:id="249"/>
      <w:bookmarkEnd w:id="250"/>
      <w:bookmarkEnd w:id="251"/>
      <w:bookmarkEnd w:id="252"/>
      <w:bookmarkEnd w:id="253"/>
      <w:bookmarkEnd w:id="254"/>
      <w:bookmarkEnd w:id="255"/>
    </w:p>
    <w:p w14:paraId="08DDF73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14:paraId="2A8347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2.11.2 因不可抗力致使不能实现合同目的的，当事人可以解除合同；</w:t>
      </w:r>
    </w:p>
    <w:p w14:paraId="4C216EA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约定时间内以书面形式变更合同；</w:t>
      </w:r>
    </w:p>
    <w:p w14:paraId="2A8EFAB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约定时间内，将有关部门出具的证明文件送达对方当事人。</w:t>
      </w:r>
    </w:p>
    <w:p w14:paraId="532233A1">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56" w:name="_Toc279701255"/>
      <w:bookmarkStart w:id="257" w:name="_Toc23854"/>
      <w:bookmarkStart w:id="258" w:name="_Toc14115"/>
      <w:bookmarkStart w:id="259" w:name="_Toc3638"/>
      <w:bookmarkStart w:id="260" w:name="_Toc16988"/>
      <w:bookmarkStart w:id="261" w:name="_Toc259093684"/>
      <w:bookmarkStart w:id="262" w:name="_Toc24465"/>
      <w:bookmarkStart w:id="263" w:name="_Toc487900365"/>
      <w:bookmarkStart w:id="264" w:name="_Toc9438"/>
      <w:bookmarkStart w:id="265" w:name="_Toc25783"/>
      <w:r>
        <w:rPr>
          <w:rFonts w:hint="eastAsia" w:asciiTheme="minorEastAsia" w:hAnsiTheme="minorEastAsia" w:eastAsiaTheme="minorEastAsia" w:cstheme="minorEastAsia"/>
          <w:b/>
          <w:color w:val="auto"/>
          <w:spacing w:val="0"/>
          <w:position w:val="0"/>
          <w:sz w:val="24"/>
          <w:szCs w:val="24"/>
          <w:highlight w:val="none"/>
        </w:rPr>
        <w:t>2.12 税费</w:t>
      </w:r>
      <w:bookmarkEnd w:id="256"/>
      <w:bookmarkEnd w:id="257"/>
      <w:bookmarkEnd w:id="258"/>
      <w:bookmarkEnd w:id="259"/>
      <w:bookmarkEnd w:id="260"/>
      <w:bookmarkEnd w:id="261"/>
      <w:bookmarkEnd w:id="262"/>
      <w:bookmarkEnd w:id="263"/>
      <w:bookmarkEnd w:id="264"/>
      <w:bookmarkEnd w:id="265"/>
    </w:p>
    <w:p w14:paraId="309E175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与合同有关的一切税费，均按照中华人民共和国法律的相关规定缴纳。</w:t>
      </w:r>
    </w:p>
    <w:p w14:paraId="1F2A46AB">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66" w:name="_Toc23553"/>
      <w:bookmarkStart w:id="267" w:name="_Toc487900368"/>
      <w:bookmarkStart w:id="268" w:name="_Toc5536"/>
      <w:bookmarkStart w:id="269" w:name="_Toc279701258"/>
      <w:bookmarkStart w:id="270" w:name="_Toc26883"/>
      <w:bookmarkStart w:id="271" w:name="_Toc25525"/>
      <w:bookmarkStart w:id="272" w:name="_Toc14814"/>
      <w:bookmarkStart w:id="273" w:name="_Toc30105"/>
      <w:bookmarkStart w:id="274" w:name="_Toc7315"/>
      <w:bookmarkStart w:id="275" w:name="_Toc259093687"/>
      <w:r>
        <w:rPr>
          <w:rFonts w:hint="eastAsia" w:asciiTheme="minorEastAsia" w:hAnsiTheme="minorEastAsia" w:eastAsiaTheme="minorEastAsia" w:cstheme="minorEastAsia"/>
          <w:b/>
          <w:color w:val="auto"/>
          <w:spacing w:val="0"/>
          <w:position w:val="0"/>
          <w:sz w:val="24"/>
          <w:szCs w:val="24"/>
          <w:highlight w:val="none"/>
        </w:rPr>
        <w:t>2.13 乙方破产</w:t>
      </w:r>
      <w:bookmarkEnd w:id="266"/>
      <w:bookmarkEnd w:id="267"/>
      <w:bookmarkEnd w:id="268"/>
      <w:bookmarkEnd w:id="269"/>
      <w:bookmarkEnd w:id="270"/>
      <w:bookmarkEnd w:id="271"/>
      <w:bookmarkEnd w:id="272"/>
      <w:bookmarkEnd w:id="273"/>
      <w:bookmarkEnd w:id="274"/>
      <w:bookmarkEnd w:id="275"/>
    </w:p>
    <w:p w14:paraId="42F564E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E30DE2">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76" w:name="_Toc2016"/>
      <w:bookmarkStart w:id="277" w:name="_Toc2029"/>
      <w:bookmarkStart w:id="278" w:name="_Toc23323"/>
      <w:bookmarkStart w:id="279" w:name="_Toc1123"/>
      <w:bookmarkStart w:id="280" w:name="_Toc24229"/>
      <w:r>
        <w:rPr>
          <w:rFonts w:hint="eastAsia" w:asciiTheme="minorEastAsia" w:hAnsiTheme="minorEastAsia" w:eastAsiaTheme="minorEastAsia" w:cstheme="minorEastAsia"/>
          <w:b/>
          <w:color w:val="auto"/>
          <w:spacing w:val="0"/>
          <w:position w:val="0"/>
          <w:sz w:val="24"/>
          <w:szCs w:val="24"/>
          <w:highlight w:val="none"/>
        </w:rPr>
        <w:t>2.14 合同中止、终止</w:t>
      </w:r>
      <w:bookmarkEnd w:id="276"/>
      <w:bookmarkEnd w:id="277"/>
      <w:bookmarkEnd w:id="278"/>
      <w:bookmarkEnd w:id="279"/>
      <w:bookmarkEnd w:id="280"/>
    </w:p>
    <w:p w14:paraId="581B500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2.14.1 双方当事人不得擅自中止或者终止合同；</w:t>
      </w:r>
    </w:p>
    <w:p w14:paraId="1105583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4E8126E">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81" w:name="_Toc14525"/>
      <w:bookmarkStart w:id="282" w:name="_Toc22373"/>
      <w:bookmarkStart w:id="283" w:name="_Toc15106"/>
      <w:bookmarkStart w:id="284" w:name="_Toc1969"/>
      <w:bookmarkStart w:id="285" w:name="_Toc17363"/>
      <w:r>
        <w:rPr>
          <w:rFonts w:hint="eastAsia" w:asciiTheme="minorEastAsia" w:hAnsiTheme="minorEastAsia" w:eastAsiaTheme="minorEastAsia" w:cstheme="minorEastAsia"/>
          <w:b/>
          <w:color w:val="auto"/>
          <w:spacing w:val="0"/>
          <w:position w:val="0"/>
          <w:sz w:val="24"/>
          <w:szCs w:val="24"/>
          <w:highlight w:val="none"/>
        </w:rPr>
        <w:t>2.15 检验和验收</w:t>
      </w:r>
      <w:bookmarkEnd w:id="281"/>
      <w:bookmarkEnd w:id="282"/>
      <w:bookmarkEnd w:id="283"/>
      <w:bookmarkEnd w:id="284"/>
      <w:bookmarkEnd w:id="285"/>
    </w:p>
    <w:p w14:paraId="57420157">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2.15.1 乙方按照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rPr>
        <w:t>约定进行定期验收；</w:t>
      </w:r>
    </w:p>
    <w:p w14:paraId="2D5BCDBB">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B1988A">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i w:val="0"/>
          <w:i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bookmarkEnd w:id="235"/>
    <w:bookmarkEnd w:id="236"/>
    <w:bookmarkEnd w:id="237"/>
    <w:bookmarkEnd w:id="238"/>
    <w:p w14:paraId="729FD447">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86" w:name="_Toc487900371"/>
      <w:bookmarkStart w:id="287" w:name="_Toc279701261"/>
      <w:bookmarkStart w:id="288" w:name="_Toc259093690"/>
      <w:bookmarkStart w:id="289" w:name="_Toc2308"/>
      <w:bookmarkStart w:id="290" w:name="_Toc12666"/>
      <w:bookmarkStart w:id="291" w:name="_Toc30161"/>
      <w:bookmarkStart w:id="292" w:name="_Toc9148"/>
      <w:bookmarkStart w:id="293" w:name="_Toc9808"/>
      <w:bookmarkStart w:id="294" w:name="_Toc31892"/>
      <w:bookmarkStart w:id="295" w:name="_Toc25198"/>
      <w:r>
        <w:rPr>
          <w:rFonts w:hint="eastAsia" w:asciiTheme="minorEastAsia" w:hAnsiTheme="minorEastAsia" w:eastAsiaTheme="minorEastAsia" w:cstheme="minorEastAsia"/>
          <w:b/>
          <w:color w:val="auto"/>
          <w:spacing w:val="0"/>
          <w:position w:val="0"/>
          <w:sz w:val="24"/>
          <w:szCs w:val="24"/>
          <w:highlight w:val="none"/>
        </w:rPr>
        <w:t>2.16 通知</w:t>
      </w:r>
      <w:bookmarkEnd w:id="286"/>
      <w:bookmarkEnd w:id="287"/>
      <w:bookmarkEnd w:id="288"/>
      <w:r>
        <w:rPr>
          <w:rFonts w:hint="eastAsia" w:asciiTheme="minorEastAsia" w:hAnsiTheme="minorEastAsia" w:eastAsiaTheme="minorEastAsia" w:cstheme="minorEastAsia"/>
          <w:b/>
          <w:color w:val="auto"/>
          <w:spacing w:val="0"/>
          <w:position w:val="0"/>
          <w:sz w:val="24"/>
          <w:szCs w:val="24"/>
          <w:highlight w:val="none"/>
        </w:rPr>
        <w:t>和送达</w:t>
      </w:r>
      <w:bookmarkEnd w:id="289"/>
      <w:bookmarkEnd w:id="290"/>
      <w:bookmarkEnd w:id="291"/>
      <w:bookmarkEnd w:id="292"/>
      <w:bookmarkEnd w:id="293"/>
      <w:bookmarkEnd w:id="294"/>
      <w:bookmarkEnd w:id="295"/>
    </w:p>
    <w:p w14:paraId="2C17ED6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96" w:name="_Toc29220"/>
      <w:bookmarkStart w:id="297" w:name="_Toc7073"/>
      <w:bookmarkStart w:id="298" w:name="_Toc259093691"/>
      <w:bookmarkStart w:id="299" w:name="_Toc279701262"/>
      <w:bookmarkStart w:id="300" w:name="_Toc487900372"/>
      <w:r>
        <w:rPr>
          <w:rFonts w:hint="eastAsia" w:asciiTheme="minorEastAsia" w:hAnsiTheme="minorEastAsia" w:eastAsiaTheme="minorEastAsia" w:cstheme="minorEastAsia"/>
          <w:color w:val="auto"/>
          <w:spacing w:val="0"/>
          <w:position w:val="0"/>
          <w:sz w:val="24"/>
          <w:szCs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个工作日内书面通知对方当事人，在对方当事人收到有关变更通知之前，变更前的约定送达方式或者地址仍视为有效。</w:t>
      </w:r>
      <w:bookmarkEnd w:id="296"/>
      <w:bookmarkEnd w:id="297"/>
    </w:p>
    <w:p w14:paraId="60D1596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301" w:name="_Toc27674"/>
      <w:bookmarkStart w:id="302" w:name="_Toc18401"/>
      <w:r>
        <w:rPr>
          <w:rFonts w:hint="eastAsia" w:asciiTheme="minorEastAsia" w:hAnsiTheme="minorEastAsia" w:eastAsiaTheme="minorEastAsia" w:cstheme="minorEastAsia"/>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1"/>
      <w:bookmarkEnd w:id="302"/>
    </w:p>
    <w:bookmarkEnd w:id="298"/>
    <w:bookmarkEnd w:id="299"/>
    <w:bookmarkEnd w:id="300"/>
    <w:p w14:paraId="42E5C1C6">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303" w:name="_Toc259093692"/>
      <w:bookmarkStart w:id="304" w:name="_Toc5063"/>
      <w:bookmarkStart w:id="305" w:name="_Toc11048"/>
      <w:bookmarkStart w:id="306" w:name="_Toc20808"/>
      <w:bookmarkStart w:id="307" w:name="_Toc12304"/>
      <w:bookmarkStart w:id="308" w:name="_Toc27644"/>
      <w:bookmarkStart w:id="309" w:name="_Toc12254"/>
      <w:bookmarkStart w:id="310" w:name="_Toc279701263"/>
      <w:bookmarkStart w:id="311" w:name="_Toc28906"/>
      <w:bookmarkStart w:id="312" w:name="_Toc487900373"/>
      <w:r>
        <w:rPr>
          <w:rFonts w:hint="eastAsia" w:asciiTheme="minorEastAsia" w:hAnsiTheme="minorEastAsia" w:eastAsiaTheme="minorEastAsia" w:cstheme="minorEastAsia"/>
          <w:b/>
          <w:color w:val="auto"/>
          <w:spacing w:val="0"/>
          <w:position w:val="0"/>
          <w:sz w:val="24"/>
          <w:szCs w:val="24"/>
          <w:highlight w:val="none"/>
        </w:rPr>
        <w:t>2.17 合同使用的文字和适用的法律</w:t>
      </w:r>
      <w:bookmarkEnd w:id="303"/>
      <w:bookmarkEnd w:id="304"/>
      <w:bookmarkEnd w:id="305"/>
      <w:bookmarkEnd w:id="306"/>
      <w:bookmarkEnd w:id="307"/>
      <w:bookmarkEnd w:id="308"/>
      <w:bookmarkEnd w:id="309"/>
      <w:bookmarkEnd w:id="310"/>
      <w:bookmarkEnd w:id="311"/>
      <w:bookmarkEnd w:id="312"/>
    </w:p>
    <w:p w14:paraId="19C50D0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2.17.1 合同使用汉语书就、变更和解释；</w:t>
      </w:r>
    </w:p>
    <w:p w14:paraId="11C9048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2.17.2 合同适用中华人民共和国法律。</w:t>
      </w:r>
    </w:p>
    <w:p w14:paraId="185A563A">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313" w:name="_Toc1492"/>
      <w:bookmarkStart w:id="314" w:name="_Toc29031"/>
      <w:bookmarkStart w:id="315" w:name="_Toc27403"/>
      <w:bookmarkStart w:id="316" w:name="_Toc22266"/>
      <w:bookmarkStart w:id="317" w:name="_Toc27127"/>
      <w:bookmarkStart w:id="318" w:name="_Toc14270"/>
      <w:bookmarkStart w:id="319" w:name="_Toc30096"/>
      <w:bookmarkStart w:id="320" w:name="_Toc279701264"/>
      <w:bookmarkStart w:id="321" w:name="_Toc259093693"/>
      <w:bookmarkStart w:id="322" w:name="_Toc487900374"/>
      <w:r>
        <w:rPr>
          <w:rFonts w:hint="eastAsia" w:asciiTheme="minorEastAsia" w:hAnsiTheme="minorEastAsia" w:eastAsiaTheme="minorEastAsia" w:cstheme="minorEastAsia"/>
          <w:b/>
          <w:color w:val="auto"/>
          <w:spacing w:val="0"/>
          <w:position w:val="0"/>
          <w:sz w:val="24"/>
          <w:szCs w:val="24"/>
          <w:highlight w:val="none"/>
        </w:rPr>
        <w:t>2.18 履约保证金</w:t>
      </w:r>
      <w:bookmarkEnd w:id="313"/>
      <w:bookmarkEnd w:id="314"/>
      <w:bookmarkEnd w:id="315"/>
      <w:bookmarkEnd w:id="316"/>
      <w:bookmarkEnd w:id="317"/>
      <w:bookmarkEnd w:id="318"/>
      <w:bookmarkEnd w:id="319"/>
      <w:bookmarkEnd w:id="320"/>
      <w:bookmarkEnd w:id="321"/>
    </w:p>
    <w:p w14:paraId="4807EC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定的方式，以支票、汇票、本票或者金融机构、担保机构出具的保函等非现金形式，提交不超过合同价10%的履约保证金；</w:t>
      </w:r>
    </w:p>
    <w:p w14:paraId="20B8AA0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2.18.2 履约保证金在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个工作日内，甲方应将履约保证金退还乙方；</w:t>
      </w:r>
    </w:p>
    <w:p w14:paraId="2EE0A3B1">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22"/>
    <w:p w14:paraId="32D27718">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2.19 合同份数</w:t>
      </w:r>
    </w:p>
    <w:p w14:paraId="69B23D3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合同份数按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规定，每份均具有同等法律效力。</w:t>
      </w:r>
    </w:p>
    <w:p w14:paraId="19533EFE">
      <w:pPr>
        <w:pStyle w:val="105"/>
        <w:keepNext w:val="0"/>
        <w:keepLines w:val="0"/>
        <w:pageBreakBefore w:val="0"/>
        <w:kinsoku/>
        <w:wordWrap/>
        <w:overflowPunct/>
        <w:topLinePunct w:val="0"/>
        <w:bidi w:val="0"/>
        <w:snapToGrid/>
        <w:spacing w:line="440" w:lineRule="exact"/>
        <w:ind w:firstLine="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br w:type="page"/>
      </w:r>
      <w:bookmarkStart w:id="323" w:name="_Toc331685784"/>
      <w:r>
        <w:rPr>
          <w:rFonts w:hint="eastAsia" w:asciiTheme="minorEastAsia" w:hAnsiTheme="minorEastAsia" w:eastAsiaTheme="minorEastAsia" w:cstheme="minorEastAsia"/>
          <w:b/>
          <w:color w:val="auto"/>
          <w:spacing w:val="0"/>
          <w:position w:val="0"/>
          <w:sz w:val="24"/>
          <w:szCs w:val="24"/>
          <w:highlight w:val="none"/>
        </w:rPr>
        <w:t>第三部分  合同专用条款</w:t>
      </w:r>
      <w:bookmarkEnd w:id="323"/>
    </w:p>
    <w:p w14:paraId="12B4614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FEB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EDDE770">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7633" w:type="dxa"/>
            <w:noWrap w:val="0"/>
            <w:vAlign w:val="center"/>
          </w:tcPr>
          <w:p w14:paraId="3B25901B">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约定内容</w:t>
            </w:r>
          </w:p>
        </w:tc>
      </w:tr>
      <w:tr w14:paraId="18F5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3B573B5">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616AC8C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4283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629A84F">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05C51F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16A0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FAC4B">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8B6DCC5">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0839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F042B0F">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27DA38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0DC3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F092DF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09CF19F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6481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1EEABC0">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73E0D5E2">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E6C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F9AFB1">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C50643C">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16CC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2A1778">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0AEEE92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510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1D0BB4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482FE7A8">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A59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C324B2C">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4060DE6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2C4E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9B97573">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2A3FB4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7D59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F736E07">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7AC903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bl>
    <w:p w14:paraId="310D9810">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rPr>
      </w:pPr>
    </w:p>
    <w:p w14:paraId="76B25FAD">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br w:type="page"/>
      </w:r>
    </w:p>
    <w:p w14:paraId="21FDD57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24" w:name="_Toc18901"/>
      <w:bookmarkStart w:id="325" w:name="_Toc26162"/>
      <w:bookmarkStart w:id="326" w:name="_Toc257633148"/>
      <w:r>
        <w:rPr>
          <w:rFonts w:hint="eastAsia" w:asciiTheme="minorEastAsia" w:hAnsiTheme="minorEastAsia" w:eastAsiaTheme="minorEastAsia" w:cstheme="minorEastAsia"/>
          <w:color w:val="auto"/>
          <w:spacing w:val="0"/>
          <w:position w:val="0"/>
          <w:highlight w:val="none"/>
        </w:rPr>
        <w:t>竞争性磋商响应文件格式</w:t>
      </w:r>
      <w:bookmarkEnd w:id="324"/>
      <w:bookmarkEnd w:id="325"/>
    </w:p>
    <w:p w14:paraId="2EEDCFC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6311C8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1F018ED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01CEF9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2777F9AB">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0B14EC5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29C538D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2F67F98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6BAAE24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947219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8CD7B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31522817">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62989C2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6AF5F34C">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502EE0C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537233F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2619E9A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2D6FEE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63140E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1E66454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3E49D049">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7" w:name="_Toc7894"/>
      <w:bookmarkStart w:id="328" w:name="_Toc6145"/>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27"/>
      <w:bookmarkEnd w:id="328"/>
    </w:p>
    <w:p w14:paraId="4B0801E5">
      <w:pPr>
        <w:pStyle w:val="89"/>
        <w:pageBreakBefore w:val="0"/>
        <w:widowControl/>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6"/>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39D7FB09">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9A38B1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67C6C032">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7433C800">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567B8FDB">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1C14F46">
      <w:pPr>
        <w:pStyle w:val="90"/>
        <w:pageBreakBefore w:val="0"/>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3EF757CA">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768A247F">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781CCEB">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E9D3C04">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2B30EE6">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3BE7829">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2CB12CED">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35956C2">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D850D9E">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8BBB89F">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5AB238C">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62FE170">
      <w:pPr>
        <w:pStyle w:val="93"/>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8BEE1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C6743D2">
      <w:pPr>
        <w:pStyle w:val="94"/>
        <w:pageBreakBefore w:val="0"/>
        <w:widowControl/>
        <w:kinsoku/>
        <w:wordWrap/>
        <w:overflowPunct/>
        <w:topLinePunct w:val="0"/>
        <w:bidi w:val="0"/>
        <w:snapToGrid w:val="0"/>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8DA2CF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8FE3143">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1717D701">
      <w:pPr>
        <w:pStyle w:val="95"/>
        <w:pageBreakBefore w:val="0"/>
        <w:kinsoku/>
        <w:wordWrap/>
        <w:overflowPunct/>
        <w:topLinePunct w:val="0"/>
        <w:bidi w:val="0"/>
        <w:snapToGrid/>
        <w:spacing w:before="0" w:beforeAutospacing="0" w:after="0" w:afterAutospacing="0" w:line="24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2052FC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23F5F3EC">
      <w:pPr>
        <w:pStyle w:val="9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4CB8BB1">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71873F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5D8F4CF8">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5841CA3C">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5B3D137">
      <w:pPr>
        <w:pStyle w:val="94"/>
        <w:pageBreakBefore w:val="0"/>
        <w:widowControl/>
        <w:kinsoku/>
        <w:wordWrap/>
        <w:overflowPunct/>
        <w:topLinePunct w:val="0"/>
        <w:bidi w:val="0"/>
        <w:snapToGrid w:val="0"/>
        <w:spacing w:before="0" w:beforeAutospacing="0" w:after="0" w:afterAutospacing="0" w:line="440" w:lineRule="exact"/>
        <w:jc w:val="left"/>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6"/>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5088BD4">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50566C6">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345F0FE">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7595BCB">
      <w:pPr>
        <w:pStyle w:val="92"/>
        <w:pageBreakBefore w:val="0"/>
        <w:widowControl/>
        <w:kinsoku/>
        <w:wordWrap/>
        <w:overflowPunct/>
        <w:topLinePunct w:val="0"/>
        <w:bidi w:val="0"/>
        <w:snapToGrid/>
        <w:spacing w:before="0" w:beforeAutospacing="0" w:after="0" w:afterAutospacing="0" w:line="240" w:lineRule="auto"/>
        <w:jc w:val="left"/>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34351521">
      <w:pPr>
        <w:pStyle w:val="93"/>
        <w:pageBreakBefore w:val="0"/>
        <w:widowControl/>
        <w:kinsoku/>
        <w:wordWrap/>
        <w:overflowPunct/>
        <w:topLinePunct w:val="0"/>
        <w:bidi w:val="0"/>
        <w:snapToGrid/>
        <w:spacing w:before="0" w:beforeAutospacing="0" w:after="0" w:afterAutospacing="0" w:line="360" w:lineRule="auto"/>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DF63B8E">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4AC6775">
      <w:pPr>
        <w:pStyle w:val="9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1B5CE17">
      <w:pPr>
        <w:pStyle w:val="9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0978A3">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7589717">
      <w:pPr>
        <w:pStyle w:val="93"/>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6"/>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76D56DB">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BAE8D83">
      <w:pPr>
        <w:pStyle w:val="96"/>
        <w:pageBreakBefore w:val="0"/>
        <w:widowControl/>
        <w:kinsoku/>
        <w:wordWrap/>
        <w:overflowPunct/>
        <w:topLinePunct w:val="0"/>
        <w:bidi w:val="0"/>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411DD225">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baseline"/>
        <w:rPr>
          <w:rStyle w:val="76"/>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73D4564B">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EA098AF">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EF5DBA9">
      <w:pPr>
        <w:pStyle w:val="74"/>
        <w:pageBreakBefore w:val="0"/>
        <w:kinsoku/>
        <w:overflowPunct/>
        <w:topLinePunct w:val="0"/>
        <w:bidi w:val="0"/>
        <w:ind w:firstLine="482"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6"/>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00EC8807">
      <w:pPr>
        <w:pStyle w:val="74"/>
        <w:pageBreakBefore w:val="0"/>
        <w:kinsoku/>
        <w:overflowPunct/>
        <w:topLinePunct w:val="0"/>
        <w:bidi w:val="0"/>
        <w:ind w:firstLine="480" w:firstLineChars="200"/>
        <w:rPr>
          <w:rStyle w:val="76"/>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CB9FCEC">
      <w:pPr>
        <w:pStyle w:val="14"/>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7DCCA958">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2.磋商保证金</w:t>
      </w:r>
    </w:p>
    <w:p w14:paraId="01C7838E">
      <w:pPr>
        <w:pStyle w:val="14"/>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说明：此处上传</w:t>
      </w:r>
      <w:r>
        <w:rPr>
          <w:rFonts w:hint="eastAsia" w:asciiTheme="minorEastAsia" w:hAnsiTheme="minorEastAsia" w:eastAsiaTheme="minorEastAsia" w:cstheme="minorEastAsia"/>
          <w:color w:val="auto"/>
          <w:spacing w:val="0"/>
          <w:position w:val="0"/>
          <w:sz w:val="24"/>
          <w:highlight w:val="none"/>
          <w:lang w:eastAsia="zh-CN"/>
        </w:rPr>
        <w:t>磋商保证金</w:t>
      </w:r>
      <w:r>
        <w:rPr>
          <w:rFonts w:hint="eastAsia" w:asciiTheme="minorEastAsia" w:hAnsiTheme="minorEastAsia" w:eastAsiaTheme="minorEastAsia" w:cstheme="minorEastAsia"/>
          <w:color w:val="auto"/>
          <w:spacing w:val="0"/>
          <w:position w:val="0"/>
          <w:sz w:val="24"/>
          <w:highlight w:val="none"/>
        </w:rPr>
        <w:t>缴纳证明文件；</w:t>
      </w:r>
    </w:p>
    <w:p w14:paraId="3F1528BF">
      <w:pPr>
        <w:pStyle w:val="20"/>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BAFBC0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1F76998">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B087611">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E6642BC">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CA9FF8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A1DABA5">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3619E0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0F64B2A">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C978A1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88DF90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02C213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207A03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A7E2387">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D49523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A371DE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234294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B737D5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F155C65">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D2B7B9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E96E9B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4E5F4B4">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F8CC89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20EE4D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0C39D0">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F94CC3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12FF3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04DBB6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68C955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756E2D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C9C48E7">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92F05D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59F1883">
      <w:pPr>
        <w:pStyle w:val="32"/>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CAF91F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FC85AF4">
      <w:pPr>
        <w:pStyle w:val="1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299B6E">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65A19A29">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7F35F687">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C566445">
      <w:pPr>
        <w:pStyle w:val="85"/>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3DEE07D">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21D77EB">
      <w:pPr>
        <w:pStyle w:val="81"/>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9C9EC00">
      <w:pPr>
        <w:pStyle w:val="81"/>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7ACAB343">
      <w:pPr>
        <w:pStyle w:val="87"/>
        <w:pageBreakBefore w:val="0"/>
        <w:tabs>
          <w:tab w:val="left" w:pos="8786"/>
        </w:tabs>
        <w:kinsoku/>
        <w:overflowPunct/>
        <w:topLinePunct w:val="0"/>
        <w:bidi w:val="0"/>
        <w:spacing w:after="0" w:line="440" w:lineRule="exact"/>
        <w:rPr>
          <w:rStyle w:val="76"/>
          <w:rFonts w:hint="eastAsia" w:asciiTheme="minorEastAsia" w:hAnsiTheme="minorEastAsia" w:eastAsiaTheme="minorEastAsia" w:cstheme="minorEastAsia"/>
          <w:b/>
          <w:color w:val="auto"/>
          <w:spacing w:val="0"/>
          <w:position w:val="0"/>
          <w:sz w:val="21"/>
          <w:szCs w:val="21"/>
          <w:highlight w:val="none"/>
        </w:rPr>
      </w:pPr>
    </w:p>
    <w:p w14:paraId="1AFB6B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050C53A0">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9" w:name="_Toc446599332"/>
      <w:bookmarkStart w:id="330" w:name="_Toc293736071"/>
      <w:bookmarkStart w:id="331" w:name="_Toc485895990"/>
      <w:bookmarkStart w:id="332" w:name="_Toc29905"/>
      <w:bookmarkStart w:id="333" w:name="_Toc293736028"/>
      <w:bookmarkStart w:id="334" w:name="_Toc16821"/>
      <w:bookmarkStart w:id="335" w:name="_Toc293739009"/>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326"/>
      <w:bookmarkEnd w:id="329"/>
      <w:bookmarkEnd w:id="330"/>
      <w:bookmarkEnd w:id="331"/>
      <w:bookmarkEnd w:id="332"/>
      <w:bookmarkEnd w:id="333"/>
      <w:bookmarkEnd w:id="334"/>
      <w:bookmarkEnd w:id="335"/>
    </w:p>
    <w:p w14:paraId="6E103302">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2EAB009E">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93CABD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47441148">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56BAF14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4548A3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5、投标服务清单</w:t>
      </w:r>
    </w:p>
    <w:p w14:paraId="29D77AA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6、商务响应、偏离说明表</w:t>
      </w:r>
    </w:p>
    <w:p w14:paraId="57574414">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1FB04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8</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77C68CF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10、商务条款响应、偏离说明表；</w:t>
      </w:r>
    </w:p>
    <w:p w14:paraId="56C714F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11、磋商文件要求提供或供应商认为需提供的其它资料；</w:t>
      </w:r>
    </w:p>
    <w:p w14:paraId="377267D0">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4E1AD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36" w:name="_Toc13369"/>
      <w:bookmarkStart w:id="337" w:name="_Toc485895991"/>
      <w:bookmarkStart w:id="338" w:name="_Toc20261"/>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36"/>
      <w:bookmarkEnd w:id="337"/>
      <w:bookmarkEnd w:id="338"/>
    </w:p>
    <w:p w14:paraId="6A1A7981">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5A501A37">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74ACB39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1F653E8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04B2C488">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54EFCC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4CF9453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6932AA7">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9DFFB86">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0A48F19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DDBA1F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41869CD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6D88474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33302EB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407CFD7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556C15D9">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p>
    <w:p w14:paraId="502E1745">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4B4A6CE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3CA50FE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35D72287">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3AD1435D">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2D373D8D">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26A36BB0">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w:t>
      </w:r>
    </w:p>
    <w:p w14:paraId="593140CF">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AC4F64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39" w:name="_Toc28516"/>
      <w:bookmarkStart w:id="340" w:name="_Toc485895992"/>
      <w:bookmarkStart w:id="341" w:name="_Toc13846"/>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39"/>
    </w:p>
    <w:p w14:paraId="66C39973">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698ACB00">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48275F47">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5F2689FF">
      <w:pPr>
        <w:pStyle w:val="19"/>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3FC2F915">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6146ECB">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2CA2567">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6002BB8">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71B16E6C">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0AB5EFB7">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FAB0D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3AE28E6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2AAD69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5A3D33A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79760414">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40AA95D5">
      <w:pPr>
        <w:pStyle w:val="19"/>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2033ABB5">
      <w:pPr>
        <w:pStyle w:val="20"/>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19E7FBE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3F84B0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CBACEB9">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51410D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E4B78A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1237DA8">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486319D">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76B3A07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A1887F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655900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C2ABC9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25D565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A822178">
      <w:pPr>
        <w:pStyle w:val="19"/>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161F7D02">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634CE78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576F3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D0B4F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585AA57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324D77C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69F628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5" w:type="default"/>
          <w:footerReference r:id="rId6"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7143E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23CE78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42" w:name="_Toc29928"/>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40"/>
      <w:bookmarkEnd w:id="341"/>
      <w:bookmarkEnd w:id="342"/>
    </w:p>
    <w:p w14:paraId="2BE617B8">
      <w:pPr>
        <w:pStyle w:val="16"/>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43"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05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4DD489CD">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526CFEA1">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559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4CFC3AB0">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1F907966">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7DDA67FE">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1B6EF717">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0AEC874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14A3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10" w:type="dxa"/>
            <w:vAlign w:val="center"/>
          </w:tcPr>
          <w:p w14:paraId="146C1E4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086F828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8C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39E7D2B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65BDB85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6DFEEDE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3498BAF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85A9DF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163F8F4B">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775C4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35F2B1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5E92F6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DE9B8A6">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44" w:name="_Toc12739"/>
      <w:bookmarkStart w:id="345" w:name="_Toc1112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43"/>
      <w:bookmarkEnd w:id="344"/>
      <w:bookmarkEnd w:id="345"/>
    </w:p>
    <w:p w14:paraId="08A22AF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E9149B7">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10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587"/>
        <w:gridCol w:w="2723"/>
        <w:gridCol w:w="1898"/>
        <w:gridCol w:w="1066"/>
        <w:gridCol w:w="1069"/>
        <w:gridCol w:w="1069"/>
      </w:tblGrid>
      <w:tr w14:paraId="17DC4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733" w:type="dxa"/>
            <w:tcBorders>
              <w:top w:val="single" w:color="auto" w:sz="4" w:space="0"/>
              <w:left w:val="single" w:color="auto" w:sz="4" w:space="0"/>
              <w:bottom w:val="single" w:color="auto" w:sz="6" w:space="0"/>
              <w:right w:val="single" w:color="auto" w:sz="6" w:space="0"/>
            </w:tcBorders>
            <w:vAlign w:val="center"/>
          </w:tcPr>
          <w:p w14:paraId="6B7382E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87" w:type="dxa"/>
            <w:tcBorders>
              <w:top w:val="single" w:color="auto" w:sz="4" w:space="0"/>
              <w:left w:val="single" w:color="auto" w:sz="6" w:space="0"/>
              <w:bottom w:val="single" w:color="auto" w:sz="6" w:space="0"/>
              <w:right w:val="single" w:color="auto" w:sz="6" w:space="0"/>
            </w:tcBorders>
            <w:vAlign w:val="center"/>
          </w:tcPr>
          <w:p w14:paraId="0D59235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723" w:type="dxa"/>
            <w:tcBorders>
              <w:top w:val="single" w:color="auto" w:sz="4" w:space="0"/>
              <w:left w:val="single" w:color="auto" w:sz="6" w:space="0"/>
              <w:bottom w:val="single" w:color="auto" w:sz="6" w:space="0"/>
              <w:right w:val="single" w:color="auto" w:sz="4" w:space="0"/>
            </w:tcBorders>
            <w:vAlign w:val="center"/>
          </w:tcPr>
          <w:p w14:paraId="3047D64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98" w:type="dxa"/>
            <w:tcBorders>
              <w:top w:val="single" w:color="auto" w:sz="4" w:space="0"/>
              <w:left w:val="single" w:color="auto" w:sz="4" w:space="0"/>
              <w:bottom w:val="single" w:color="auto" w:sz="6" w:space="0"/>
              <w:right w:val="single" w:color="auto" w:sz="4" w:space="0"/>
            </w:tcBorders>
            <w:vAlign w:val="center"/>
          </w:tcPr>
          <w:p w14:paraId="284D892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66" w:type="dxa"/>
            <w:tcBorders>
              <w:top w:val="single" w:color="auto" w:sz="4" w:space="0"/>
              <w:left w:val="single" w:color="auto" w:sz="4" w:space="0"/>
              <w:bottom w:val="single" w:color="auto" w:sz="6" w:space="0"/>
              <w:right w:val="single" w:color="auto" w:sz="4" w:space="0"/>
            </w:tcBorders>
            <w:vAlign w:val="center"/>
          </w:tcPr>
          <w:p w14:paraId="792BA6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9" w:type="dxa"/>
            <w:tcBorders>
              <w:top w:val="single" w:color="auto" w:sz="4" w:space="0"/>
              <w:left w:val="single" w:color="auto" w:sz="4" w:space="0"/>
              <w:bottom w:val="single" w:color="auto" w:sz="6" w:space="0"/>
              <w:right w:val="single" w:color="auto" w:sz="4" w:space="0"/>
            </w:tcBorders>
            <w:vAlign w:val="center"/>
          </w:tcPr>
          <w:p w14:paraId="4FAB485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c>
          <w:tcPr>
            <w:tcW w:w="1069" w:type="dxa"/>
            <w:tcBorders>
              <w:top w:val="single" w:color="auto" w:sz="4" w:space="0"/>
              <w:left w:val="single" w:color="auto" w:sz="4" w:space="0"/>
              <w:bottom w:val="single" w:color="auto" w:sz="6" w:space="0"/>
              <w:right w:val="single" w:color="auto" w:sz="4" w:space="0"/>
            </w:tcBorders>
            <w:vAlign w:val="center"/>
          </w:tcPr>
          <w:p w14:paraId="37B3712E">
            <w:pPr>
              <w:pageBreakBefore w:val="0"/>
              <w:kinsoku/>
              <w:overflowPunct/>
              <w:topLinePunct w:val="0"/>
              <w:bidi w:val="0"/>
              <w:adjustRightInd w:val="0"/>
              <w:snapToGrid w:val="0"/>
              <w:spacing w:line="240" w:lineRule="auto"/>
              <w:jc w:val="center"/>
              <w:rPr>
                <w:rFonts w:hint="default"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其他</w:t>
            </w:r>
          </w:p>
        </w:tc>
      </w:tr>
      <w:tr w14:paraId="0BE744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4B24AC9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87" w:type="dxa"/>
            <w:tcBorders>
              <w:top w:val="single" w:color="auto" w:sz="6" w:space="0"/>
              <w:left w:val="single" w:color="auto" w:sz="6" w:space="0"/>
              <w:bottom w:val="single" w:color="auto" w:sz="6" w:space="0"/>
              <w:right w:val="single" w:color="auto" w:sz="6" w:space="0"/>
            </w:tcBorders>
            <w:vAlign w:val="center"/>
          </w:tcPr>
          <w:p w14:paraId="553E93B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700693B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2599C01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19277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3DD4A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54DE8D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3C9B4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7BF13185">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87" w:type="dxa"/>
            <w:tcBorders>
              <w:top w:val="single" w:color="auto" w:sz="6" w:space="0"/>
              <w:left w:val="single" w:color="auto" w:sz="6" w:space="0"/>
              <w:bottom w:val="single" w:color="auto" w:sz="6" w:space="0"/>
              <w:right w:val="single" w:color="auto" w:sz="6" w:space="0"/>
            </w:tcBorders>
            <w:vAlign w:val="center"/>
          </w:tcPr>
          <w:p w14:paraId="6F491C9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5193DDA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41718F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19486C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1913B0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428EA0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1236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A40214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87" w:type="dxa"/>
            <w:tcBorders>
              <w:top w:val="single" w:color="auto" w:sz="6" w:space="0"/>
              <w:left w:val="single" w:color="auto" w:sz="6" w:space="0"/>
              <w:bottom w:val="single" w:color="auto" w:sz="6" w:space="0"/>
              <w:right w:val="single" w:color="auto" w:sz="6" w:space="0"/>
            </w:tcBorders>
            <w:vAlign w:val="center"/>
          </w:tcPr>
          <w:p w14:paraId="5DE49EA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C54A8C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AF6AD5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64C2503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5A0273C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4E36B1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044B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2ECF0DC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87" w:type="dxa"/>
            <w:tcBorders>
              <w:top w:val="single" w:color="auto" w:sz="6" w:space="0"/>
              <w:left w:val="single" w:color="auto" w:sz="6" w:space="0"/>
              <w:bottom w:val="single" w:color="auto" w:sz="6" w:space="0"/>
              <w:right w:val="single" w:color="auto" w:sz="6" w:space="0"/>
            </w:tcBorders>
            <w:vAlign w:val="center"/>
          </w:tcPr>
          <w:p w14:paraId="7B62C2F0">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2F4B65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503D4F8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6846408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8C341C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5EBCBF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027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61690C73">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87" w:type="dxa"/>
            <w:tcBorders>
              <w:top w:val="single" w:color="auto" w:sz="6" w:space="0"/>
              <w:left w:val="single" w:color="auto" w:sz="6" w:space="0"/>
              <w:bottom w:val="single" w:color="auto" w:sz="6" w:space="0"/>
              <w:right w:val="single" w:color="auto" w:sz="6" w:space="0"/>
            </w:tcBorders>
            <w:vAlign w:val="center"/>
          </w:tcPr>
          <w:p w14:paraId="15BEF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5DEB8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622ECC1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B375E5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4A17C8A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665FC48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E46B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152DF5A6">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87" w:type="dxa"/>
            <w:tcBorders>
              <w:top w:val="single" w:color="auto" w:sz="6" w:space="0"/>
              <w:left w:val="single" w:color="auto" w:sz="6" w:space="0"/>
              <w:bottom w:val="single" w:color="auto" w:sz="6" w:space="0"/>
              <w:right w:val="single" w:color="auto" w:sz="6" w:space="0"/>
            </w:tcBorders>
            <w:vAlign w:val="center"/>
          </w:tcPr>
          <w:p w14:paraId="0E554FC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B1EBC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05E04E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2382965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25C364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BBFE78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E12F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13F8171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87" w:type="dxa"/>
            <w:tcBorders>
              <w:top w:val="single" w:color="auto" w:sz="6" w:space="0"/>
              <w:left w:val="single" w:color="auto" w:sz="6" w:space="0"/>
              <w:bottom w:val="single" w:color="auto" w:sz="6" w:space="0"/>
              <w:right w:val="single" w:color="auto" w:sz="6" w:space="0"/>
            </w:tcBorders>
            <w:vAlign w:val="center"/>
          </w:tcPr>
          <w:p w14:paraId="5E8DD8D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097E3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739D103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23BF982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0C89E31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2DBB2E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059CD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5FA73628">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87" w:type="dxa"/>
            <w:tcBorders>
              <w:top w:val="single" w:color="auto" w:sz="6" w:space="0"/>
              <w:left w:val="single" w:color="auto" w:sz="6" w:space="0"/>
              <w:bottom w:val="single" w:color="auto" w:sz="6" w:space="0"/>
              <w:right w:val="single" w:color="auto" w:sz="6" w:space="0"/>
            </w:tcBorders>
            <w:vAlign w:val="center"/>
          </w:tcPr>
          <w:p w14:paraId="55664F7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56CB3F0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17D9890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4BC8E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A78DD4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2C1B045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E37D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AF1259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87" w:type="dxa"/>
            <w:tcBorders>
              <w:top w:val="single" w:color="auto" w:sz="6" w:space="0"/>
              <w:left w:val="single" w:color="auto" w:sz="6" w:space="0"/>
              <w:bottom w:val="single" w:color="auto" w:sz="6" w:space="0"/>
              <w:right w:val="single" w:color="auto" w:sz="6" w:space="0"/>
            </w:tcBorders>
            <w:vAlign w:val="center"/>
          </w:tcPr>
          <w:p w14:paraId="5DA1339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723" w:type="dxa"/>
            <w:tcBorders>
              <w:top w:val="single" w:color="auto" w:sz="6" w:space="0"/>
              <w:left w:val="single" w:color="auto" w:sz="6" w:space="0"/>
              <w:bottom w:val="single" w:color="auto" w:sz="6" w:space="0"/>
              <w:right w:val="single" w:color="auto" w:sz="4" w:space="0"/>
            </w:tcBorders>
            <w:vAlign w:val="center"/>
          </w:tcPr>
          <w:p w14:paraId="71D04B9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15EA88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75963C8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3CBD8AF6">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8C7726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D3F5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3" w:type="dxa"/>
            <w:tcBorders>
              <w:top w:val="single" w:color="auto" w:sz="6" w:space="0"/>
              <w:left w:val="single" w:color="auto" w:sz="4" w:space="0"/>
              <w:bottom w:val="single" w:color="auto" w:sz="6" w:space="0"/>
              <w:right w:val="single" w:color="auto" w:sz="6" w:space="0"/>
            </w:tcBorders>
            <w:vAlign w:val="center"/>
          </w:tcPr>
          <w:p w14:paraId="0493C24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87" w:type="dxa"/>
            <w:tcBorders>
              <w:top w:val="single" w:color="auto" w:sz="6" w:space="0"/>
              <w:left w:val="single" w:color="auto" w:sz="6" w:space="0"/>
              <w:bottom w:val="single" w:color="auto" w:sz="6" w:space="0"/>
              <w:right w:val="single" w:color="auto" w:sz="6" w:space="0"/>
            </w:tcBorders>
            <w:vAlign w:val="center"/>
          </w:tcPr>
          <w:p w14:paraId="1412AA39">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723" w:type="dxa"/>
            <w:tcBorders>
              <w:top w:val="single" w:color="auto" w:sz="6" w:space="0"/>
              <w:left w:val="single" w:color="auto" w:sz="6" w:space="0"/>
              <w:bottom w:val="single" w:color="auto" w:sz="6" w:space="0"/>
              <w:right w:val="single" w:color="auto" w:sz="4" w:space="0"/>
            </w:tcBorders>
            <w:vAlign w:val="center"/>
          </w:tcPr>
          <w:p w14:paraId="1E124B1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98" w:type="dxa"/>
            <w:tcBorders>
              <w:top w:val="single" w:color="auto" w:sz="6" w:space="0"/>
              <w:left w:val="single" w:color="auto" w:sz="4" w:space="0"/>
              <w:bottom w:val="single" w:color="auto" w:sz="6" w:space="0"/>
              <w:right w:val="single" w:color="auto" w:sz="4" w:space="0"/>
            </w:tcBorders>
            <w:vAlign w:val="center"/>
          </w:tcPr>
          <w:p w14:paraId="626EB6E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6" w:type="dxa"/>
            <w:tcBorders>
              <w:top w:val="single" w:color="auto" w:sz="6" w:space="0"/>
              <w:left w:val="single" w:color="auto" w:sz="4" w:space="0"/>
              <w:bottom w:val="single" w:color="auto" w:sz="6" w:space="0"/>
              <w:right w:val="single" w:color="auto" w:sz="4" w:space="0"/>
            </w:tcBorders>
            <w:vAlign w:val="center"/>
          </w:tcPr>
          <w:p w14:paraId="3622293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5044A244">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9" w:type="dxa"/>
            <w:tcBorders>
              <w:top w:val="single" w:color="auto" w:sz="6" w:space="0"/>
              <w:left w:val="single" w:color="auto" w:sz="4" w:space="0"/>
              <w:bottom w:val="single" w:color="auto" w:sz="6" w:space="0"/>
              <w:right w:val="single" w:color="auto" w:sz="4" w:space="0"/>
            </w:tcBorders>
            <w:vAlign w:val="center"/>
          </w:tcPr>
          <w:p w14:paraId="7E48593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C167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941" w:type="dxa"/>
            <w:gridSpan w:val="4"/>
            <w:tcBorders>
              <w:top w:val="single" w:color="auto" w:sz="6" w:space="0"/>
              <w:left w:val="single" w:color="auto" w:sz="4" w:space="0"/>
              <w:bottom w:val="single" w:color="auto" w:sz="4" w:space="0"/>
              <w:right w:val="single" w:color="auto" w:sz="6" w:space="0"/>
            </w:tcBorders>
            <w:vAlign w:val="center"/>
          </w:tcPr>
          <w:p w14:paraId="19F7B83B">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35" w:type="dxa"/>
            <w:gridSpan w:val="2"/>
            <w:tcBorders>
              <w:top w:val="single" w:color="auto" w:sz="6" w:space="0"/>
              <w:left w:val="single" w:color="auto" w:sz="6" w:space="0"/>
              <w:bottom w:val="single" w:color="auto" w:sz="4" w:space="0"/>
              <w:right w:val="single" w:color="auto" w:sz="4" w:space="0"/>
            </w:tcBorders>
            <w:vAlign w:val="center"/>
          </w:tcPr>
          <w:p w14:paraId="45CD38EA">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c>
          <w:tcPr>
            <w:tcW w:w="1069" w:type="dxa"/>
            <w:tcBorders>
              <w:top w:val="single" w:color="auto" w:sz="6" w:space="0"/>
              <w:left w:val="single" w:color="auto" w:sz="6" w:space="0"/>
              <w:bottom w:val="single" w:color="auto" w:sz="4" w:space="0"/>
              <w:right w:val="single" w:color="auto" w:sz="4" w:space="0"/>
            </w:tcBorders>
            <w:vAlign w:val="center"/>
          </w:tcPr>
          <w:p w14:paraId="197FE57E">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p>
        </w:tc>
      </w:tr>
    </w:tbl>
    <w:p w14:paraId="68E57533">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0EF7D55">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004F5DF6">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4463E13F">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6F7EB9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7458CF9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30FC2F6">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1E5B96E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4C065DA9">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6D5A65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034EF7F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46" w:name="_Toc485895995"/>
      <w:bookmarkStart w:id="347" w:name="_Toc21095"/>
      <w:bookmarkStart w:id="348" w:name="_Toc27689"/>
      <w:r>
        <w:rPr>
          <w:rFonts w:hint="eastAsia" w:asciiTheme="minorEastAsia" w:hAnsiTheme="minorEastAsia" w:eastAsia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rPr>
        <w:t>商务响应、偏离说明表</w:t>
      </w:r>
      <w:bookmarkEnd w:id="346"/>
      <w:bookmarkEnd w:id="347"/>
      <w:bookmarkEnd w:id="348"/>
    </w:p>
    <w:p w14:paraId="4E8AD09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6F78C40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5165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5ED78FA4">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D452FE7">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0B9BFA42">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投标服务</w:t>
            </w:r>
          </w:p>
          <w:p w14:paraId="268D4640">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1B424B6B">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偏离说明</w:t>
            </w:r>
          </w:p>
        </w:tc>
      </w:tr>
      <w:tr w14:paraId="65E6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F522B0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CCAC79A">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D418049">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032777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1F51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223F07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2454C662">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D39447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223665E">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11E3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C47241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7EE2880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D2690E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A1390F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6B84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71922A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14:paraId="0DD62562">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876C0D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155FAE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591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9FA947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14:paraId="381D3D8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2BFE20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08EF84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4E8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98B6EF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14:paraId="2C795F0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36A415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0D5C3259">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0201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C819F6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14:paraId="26457D6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20A41B3">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2173164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2BA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0C6614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14:paraId="50CD7E5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B317F7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B1BD37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1910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6F82B9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14:paraId="735E1DD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78E4D57">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1D9FA0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491E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DA2253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39E3761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ADD50A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0721C68A">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bl>
    <w:p w14:paraId="10A3B087">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供应商名称（加盖公章）：</w:t>
      </w:r>
    </w:p>
    <w:p w14:paraId="12FA27F0">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供应商法定代表人（或法定代表人授权代表）签字或盖章：</w:t>
      </w:r>
    </w:p>
    <w:p w14:paraId="5825122A">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日期：   年   月   日</w:t>
      </w:r>
    </w:p>
    <w:p w14:paraId="3E67A02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191799D7">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FD8EB7F">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49" w:name="_Toc27790"/>
      <w:r>
        <w:rPr>
          <w:rFonts w:hint="eastAsia" w:asciiTheme="minorEastAsia" w:hAnsiTheme="minorEastAsia" w:eastAsiaTheme="minorEastAsia" w:cstheme="minorEastAsia"/>
          <w:color w:val="auto"/>
          <w:spacing w:val="0"/>
          <w:position w:val="0"/>
          <w:highlight w:val="none"/>
          <w:lang w:val="en-US" w:eastAsia="zh-CN"/>
        </w:rPr>
        <w:t>6、项目管理机构配备情况</w:t>
      </w:r>
      <w:bookmarkEnd w:id="349"/>
    </w:p>
    <w:p w14:paraId="3D37AEE6">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7773FC7F">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D18FB7B">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D2DD89B">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8D6A9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DD478BC">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3996C3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AF2D67F">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4F6F4C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579159D0">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D3ECD5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4F6C4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11F8635">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1F17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6249405">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5BDC61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6F18BED">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819272">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B97C9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CC7D1C">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0E4B27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B46B3A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0F91C2DA">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136C9590">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5976F0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42A74DF">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6217F23">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95E6CB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56A3B785">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7BBFA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D164C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169FD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163FF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FCF21A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73C9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F2DF1A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8A0BF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AA6A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06857549">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04B2FE3">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68071892">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33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442D9E6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4BF787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336DDF3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6E6188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34062B9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2943A92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682397B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5B5681F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20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31A2B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D15F5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CFC28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873C9B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1AE58C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EC060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3F640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322C0EA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F3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5BE2F8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FCB3A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6C3983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C2CA90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D00FB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4CB23A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3DF7A8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83303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E3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044D6C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04CC3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4C35C4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6FDB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775E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2BE24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1DC58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5A77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1F4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4A52FD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9316D3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2C55C42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79955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FF5EF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60A4B32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3E7104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AD75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85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26F072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423CF9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1B1C5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EAACC9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2C53D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AFAE56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C5D54A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7B0CA0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D3D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B835F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1670C6C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02DCB2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72D695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BA1DB4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5760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6B0C45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1E0D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09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79BBBD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96956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645C0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A0034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9ADD0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69F12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F5353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2D79CB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5F192CEA">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1236843">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2E2B6E6E">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04E7CF0A">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3344E08">
      <w:pPr>
        <w:pStyle w:val="19"/>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0BE2251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FE4E4E1">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FF6F93B">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50" w:name="_Toc236473312"/>
      <w:bookmarkStart w:id="351" w:name="_Toc12618"/>
      <w:bookmarkStart w:id="352" w:name="_Toc25810"/>
      <w:bookmarkStart w:id="353" w:name="_Toc485896002"/>
      <w:bookmarkStart w:id="354" w:name="_Toc238276256"/>
      <w:bookmarkStart w:id="355" w:name="_Toc437611485"/>
      <w:r>
        <w:rPr>
          <w:rFonts w:hint="eastAsia" w:asciiTheme="minorEastAsia" w:hAnsiTheme="minorEastAsia" w:eastAsia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rPr>
        <w:t>供应商类似项目业绩表</w:t>
      </w:r>
      <w:bookmarkEnd w:id="350"/>
      <w:bookmarkEnd w:id="351"/>
      <w:bookmarkEnd w:id="352"/>
      <w:bookmarkEnd w:id="353"/>
      <w:bookmarkEnd w:id="354"/>
      <w:bookmarkEnd w:id="355"/>
    </w:p>
    <w:p w14:paraId="66D5E98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D6BBB2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6570E75E">
      <w:pPr>
        <w:pStyle w:val="11"/>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49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B3EE93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438D705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C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4829A3F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6B88457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E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55E0E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1528DE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21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0F09785">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4FBF27C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E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4395A5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4231D91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78AD5E8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D9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3F7EC21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4501A1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83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4AF6F6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343935B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68A242F4">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3817EA5A">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147298D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56" w:name="_Toc437611486"/>
    </w:p>
    <w:p w14:paraId="39CDB52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57" w:name="_Toc14089"/>
      <w:r>
        <w:rPr>
          <w:rFonts w:hint="eastAsia" w:asciiTheme="minorEastAsia" w:hAnsiTheme="minorEastAsia" w:eastAsiaTheme="minorEastAsia" w:cstheme="minorEastAsia"/>
          <w:color w:val="auto"/>
          <w:spacing w:val="0"/>
          <w:position w:val="0"/>
          <w:highlight w:val="none"/>
          <w:lang w:val="en-US" w:eastAsia="zh-CN"/>
        </w:rPr>
        <w:t>8、磋商文件要求提供或供应商认为需提供的其它资料；</w:t>
      </w:r>
      <w:bookmarkEnd w:id="357"/>
    </w:p>
    <w:p w14:paraId="22FFA61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1ECD8A30">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2C75F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069F2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8EA25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EEA5F0C">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F26EE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C8427A5">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1FD4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23FB3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8FF9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4C66D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601025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AF765A">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7921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62CEB1">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34AFF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A1833F5">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65A8B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535444">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99F7E3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CA6D7E0">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218681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AC4595">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26A04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41E0144">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E2A7F0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9FDFCFA">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56"/>
    <w:p w14:paraId="0C007EEB">
      <w:pPr>
        <w:pStyle w:val="3"/>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58" w:name="_Toc293736072"/>
      <w:bookmarkStart w:id="359" w:name="_Toc446599333"/>
      <w:bookmarkStart w:id="360" w:name="_Toc485896007"/>
      <w:bookmarkStart w:id="361" w:name="_Toc293736029"/>
      <w:bookmarkStart w:id="362" w:name="_Toc8655"/>
      <w:bookmarkStart w:id="363" w:name="_Toc20323"/>
      <w:bookmarkStart w:id="364" w:name="_Toc293739010"/>
      <w:r>
        <w:rPr>
          <w:rFonts w:hint="eastAsia" w:asciiTheme="minorEastAsia" w:hAnsiTheme="minorEastAsia" w:eastAsiaTheme="minorEastAsia" w:cstheme="minorEastAsia"/>
          <w:color w:val="auto"/>
          <w:spacing w:val="0"/>
          <w:position w:val="0"/>
          <w:highlight w:val="none"/>
        </w:rPr>
        <w:t>二、</w:t>
      </w:r>
      <w:bookmarkStart w:id="365" w:name="_Toc257633149"/>
      <w:r>
        <w:rPr>
          <w:rFonts w:hint="eastAsia" w:asciiTheme="minorEastAsia" w:hAnsiTheme="minorEastAsia" w:eastAsiaTheme="minorEastAsia" w:cstheme="minorEastAsia"/>
          <w:color w:val="auto"/>
          <w:spacing w:val="0"/>
          <w:position w:val="0"/>
          <w:highlight w:val="none"/>
        </w:rPr>
        <w:t>技术文件组成</w:t>
      </w:r>
      <w:bookmarkEnd w:id="358"/>
      <w:bookmarkEnd w:id="359"/>
      <w:bookmarkEnd w:id="360"/>
      <w:bookmarkEnd w:id="361"/>
      <w:bookmarkEnd w:id="362"/>
      <w:bookmarkEnd w:id="363"/>
      <w:bookmarkEnd w:id="364"/>
      <w:bookmarkEnd w:id="365"/>
    </w:p>
    <w:p w14:paraId="503DF0F1">
      <w:pPr>
        <w:pStyle w:val="112"/>
        <w:keepNext w:val="0"/>
        <w:keepLines w:val="0"/>
        <w:pageBreakBefore w:val="0"/>
        <w:tabs>
          <w:tab w:val="left" w:pos="5580"/>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i w:val="0"/>
          <w:caps w:val="0"/>
          <w:color w:val="auto"/>
          <w:spacing w:val="0"/>
          <w:w w:val="100"/>
          <w:kern w:val="2"/>
          <w:position w:val="0"/>
          <w:sz w:val="32"/>
          <w:szCs w:val="32"/>
          <w:highlight w:val="none"/>
          <w:lang w:val="en-US" w:eastAsia="zh-CN" w:bidi="ar-SA"/>
        </w:rPr>
      </w:pPr>
      <w:r>
        <w:rPr>
          <w:rStyle w:val="76"/>
          <w:rFonts w:hint="eastAsia" w:ascii="宋体" w:hAnsi="宋体" w:eastAsia="宋体" w:cs="宋体"/>
          <w:b/>
          <w:i w:val="0"/>
          <w:caps w:val="0"/>
          <w:color w:val="auto"/>
          <w:spacing w:val="0"/>
          <w:w w:val="100"/>
          <w:kern w:val="2"/>
          <w:position w:val="0"/>
          <w:sz w:val="32"/>
          <w:szCs w:val="32"/>
          <w:highlight w:val="none"/>
          <w:lang w:val="en-US" w:eastAsia="zh-CN" w:bidi="ar-SA"/>
        </w:rPr>
        <w:t>技术响应、偏离说明表</w:t>
      </w:r>
    </w:p>
    <w:p w14:paraId="2E06FED1">
      <w:pPr>
        <w:keepNext w:val="0"/>
        <w:keepLines w:val="0"/>
        <w:pageBreakBefore w:val="0"/>
        <w:kinsoku/>
        <w:wordWrap/>
        <w:overflowPunct/>
        <w:topLinePunct w:val="0"/>
        <w:bidi w:val="0"/>
        <w:snapToGrid w:val="0"/>
        <w:spacing w:before="0" w:beforeAutospacing="0" w:after="0" w:afterAutospacing="0" w:line="440" w:lineRule="exact"/>
        <w:ind w:left="0" w:right="0"/>
        <w:jc w:val="both"/>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6"/>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14:paraId="63735173">
      <w:pPr>
        <w:keepNext w:val="0"/>
        <w:keepLines w:val="0"/>
        <w:pageBreakBefore w:val="0"/>
        <w:kinsoku/>
        <w:wordWrap/>
        <w:overflowPunct/>
        <w:topLinePunct w:val="0"/>
        <w:bidi w:val="0"/>
        <w:snapToGrid w:val="0"/>
        <w:spacing w:before="0" w:beforeAutospacing="0" w:after="0" w:afterAutospacing="0" w:line="440" w:lineRule="exact"/>
        <w:ind w:left="0" w:right="0"/>
        <w:jc w:val="both"/>
        <w:textAlignment w:val="baseline"/>
        <w:rPr>
          <w:rStyle w:val="76"/>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76"/>
          <w:rFonts w:hint="eastAsia" w:ascii="宋体" w:hAnsi="宋体" w:eastAsia="宋体" w:cs="宋体"/>
          <w:b w:val="0"/>
          <w:i w:val="0"/>
          <w:caps w:val="0"/>
          <w:color w:val="auto"/>
          <w:spacing w:val="0"/>
          <w:w w:val="100"/>
          <w:kern w:val="2"/>
          <w:position w:val="0"/>
          <w:sz w:val="24"/>
          <w:szCs w:val="24"/>
          <w:highlight w:val="none"/>
          <w:lang w:val="en-US" w:eastAsia="zh-CN"/>
        </w:rPr>
        <w:t>项目名称：</w:t>
      </w:r>
    </w:p>
    <w:p w14:paraId="54C5C47A">
      <w:pPr>
        <w:pStyle w:val="113"/>
        <w:keepNext w:val="0"/>
        <w:keepLines w:val="0"/>
        <w:pageBreakBefore w:val="0"/>
        <w:widowControl/>
        <w:kinsoku/>
        <w:wordWrap/>
        <w:overflowPunct/>
        <w:topLinePunct w:val="0"/>
        <w:bidi w:val="0"/>
        <w:snapToGrid/>
        <w:spacing w:before="0" w:beforeAutospacing="0" w:after="0" w:afterAutospacing="0" w:line="440" w:lineRule="exact"/>
        <w:ind w:left="0" w:leftChars="0" w:firstLine="433" w:firstLineChars="0"/>
        <w:jc w:val="both"/>
        <w:textAlignment w:val="baseline"/>
        <w:rPr>
          <w:rStyle w:val="76"/>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6"/>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p>
    <w:tbl>
      <w:tblPr>
        <w:tblStyle w:val="34"/>
        <w:tblW w:w="8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8"/>
        <w:gridCol w:w="2570"/>
        <w:gridCol w:w="2209"/>
        <w:gridCol w:w="1132"/>
        <w:gridCol w:w="1063"/>
      </w:tblGrid>
      <w:tr w14:paraId="08B6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1168" w:type="dxa"/>
            <w:tcBorders>
              <w:top w:val="single" w:color="000000" w:sz="12" w:space="0"/>
              <w:left w:val="single" w:color="000000" w:sz="12" w:space="0"/>
              <w:bottom w:val="single" w:color="000000" w:sz="4" w:space="0"/>
              <w:right w:val="single" w:color="000000" w:sz="4" w:space="0"/>
            </w:tcBorders>
            <w:vAlign w:val="center"/>
          </w:tcPr>
          <w:p w14:paraId="1BDB8AEE">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t>序号</w:t>
            </w:r>
          </w:p>
        </w:tc>
        <w:tc>
          <w:tcPr>
            <w:tcW w:w="2570" w:type="dxa"/>
            <w:tcBorders>
              <w:top w:val="single" w:color="000000" w:sz="12" w:space="0"/>
              <w:left w:val="single" w:color="000000" w:sz="4" w:space="0"/>
              <w:bottom w:val="single" w:color="000000" w:sz="4" w:space="0"/>
              <w:right w:val="single" w:color="000000" w:sz="4" w:space="0"/>
            </w:tcBorders>
            <w:vAlign w:val="center"/>
          </w:tcPr>
          <w:p w14:paraId="17C47343">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磋商</w:t>
            </w:r>
            <w:r>
              <w:rPr>
                <w:rFonts w:hint="eastAsia" w:ascii="宋体" w:hAnsi="宋体" w:eastAsia="宋体" w:cs="宋体"/>
                <w:color w:val="auto"/>
                <w:spacing w:val="0"/>
                <w:position w:val="0"/>
                <w:sz w:val="24"/>
                <w:szCs w:val="24"/>
                <w:highlight w:val="none"/>
              </w:rPr>
              <w:t>文件技术规范、要求</w:t>
            </w:r>
          </w:p>
        </w:tc>
        <w:tc>
          <w:tcPr>
            <w:tcW w:w="2209" w:type="dxa"/>
            <w:tcBorders>
              <w:top w:val="single" w:color="000000" w:sz="12" w:space="0"/>
              <w:left w:val="single" w:color="000000" w:sz="4" w:space="0"/>
              <w:bottom w:val="single" w:color="000000" w:sz="4" w:space="0"/>
              <w:right w:val="single" w:color="000000" w:sz="4" w:space="0"/>
            </w:tcBorders>
            <w:vAlign w:val="center"/>
          </w:tcPr>
          <w:p w14:paraId="1289E485">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响应</w:t>
            </w:r>
            <w:r>
              <w:rPr>
                <w:rFonts w:hint="eastAsia" w:ascii="宋体" w:hAnsi="宋体" w:eastAsia="宋体" w:cs="宋体"/>
                <w:color w:val="auto"/>
                <w:spacing w:val="0"/>
                <w:position w:val="0"/>
                <w:sz w:val="24"/>
                <w:szCs w:val="24"/>
                <w:highlight w:val="none"/>
              </w:rPr>
              <w:t>文件对应规范</w:t>
            </w:r>
          </w:p>
        </w:tc>
        <w:tc>
          <w:tcPr>
            <w:tcW w:w="1132" w:type="dxa"/>
            <w:tcBorders>
              <w:top w:val="single" w:color="000000" w:sz="12" w:space="0"/>
              <w:left w:val="single" w:color="000000" w:sz="4" w:space="0"/>
              <w:bottom w:val="single" w:color="000000" w:sz="4" w:space="0"/>
              <w:right w:val="single" w:color="000000" w:sz="4" w:space="0"/>
            </w:tcBorders>
            <w:vAlign w:val="center"/>
          </w:tcPr>
          <w:p w14:paraId="09CA27BF">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t>偏差</w:t>
            </w:r>
          </w:p>
        </w:tc>
        <w:tc>
          <w:tcPr>
            <w:tcW w:w="1063" w:type="dxa"/>
            <w:tcBorders>
              <w:top w:val="single" w:color="000000" w:sz="12" w:space="0"/>
              <w:left w:val="single" w:color="000000" w:sz="4" w:space="0"/>
              <w:bottom w:val="single" w:color="000000" w:sz="4" w:space="0"/>
              <w:right w:val="single" w:color="000000" w:sz="12" w:space="0"/>
            </w:tcBorders>
            <w:vAlign w:val="center"/>
          </w:tcPr>
          <w:p w14:paraId="210C00A7">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76"/>
                <w:rFonts w:hint="eastAsia" w:ascii="宋体" w:hAnsi="宋体" w:eastAsia="宋体" w:cs="宋体"/>
                <w:b w:val="0"/>
                <w:bCs/>
                <w:i w:val="0"/>
                <w:caps w:val="0"/>
                <w:color w:val="auto"/>
                <w:spacing w:val="0"/>
                <w:w w:val="100"/>
                <w:kern w:val="2"/>
                <w:position w:val="0"/>
                <w:sz w:val="24"/>
                <w:szCs w:val="24"/>
                <w:highlight w:val="none"/>
                <w:lang w:val="en-US" w:eastAsia="zh-CN" w:bidi="ar-SA"/>
              </w:rPr>
              <w:t>备注</w:t>
            </w:r>
          </w:p>
        </w:tc>
      </w:tr>
      <w:tr w14:paraId="5E44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14:paraId="3956C2A9">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14:paraId="12EE5CE4">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4310CEA1">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86631BD">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12" w:space="0"/>
            </w:tcBorders>
            <w:vAlign w:val="center"/>
          </w:tcPr>
          <w:p w14:paraId="370443AA">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19A6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14:paraId="6E953896">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14:paraId="4BEC6F1D">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45148349">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D5C4F8E">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12" w:space="0"/>
            </w:tcBorders>
            <w:vAlign w:val="center"/>
          </w:tcPr>
          <w:p w14:paraId="018CB2D6">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273C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14:paraId="321D9F64">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14:paraId="106508AF">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209" w:type="dxa"/>
            <w:tcBorders>
              <w:top w:val="single" w:color="000000" w:sz="4" w:space="0"/>
              <w:left w:val="single" w:color="000000" w:sz="4" w:space="0"/>
              <w:bottom w:val="single" w:color="000000" w:sz="4" w:space="0"/>
              <w:right w:val="single" w:color="000000" w:sz="4" w:space="0"/>
            </w:tcBorders>
            <w:vAlign w:val="center"/>
          </w:tcPr>
          <w:p w14:paraId="3D014156">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176FD29">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12" w:space="0"/>
            </w:tcBorders>
            <w:vAlign w:val="center"/>
          </w:tcPr>
          <w:p w14:paraId="1510C5ED">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14:paraId="43C6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168" w:type="dxa"/>
            <w:tcBorders>
              <w:top w:val="single" w:color="000000" w:sz="4" w:space="0"/>
              <w:left w:val="single" w:color="000000" w:sz="12" w:space="0"/>
              <w:bottom w:val="single" w:color="000000" w:sz="12" w:space="0"/>
              <w:right w:val="single" w:color="000000" w:sz="4" w:space="0"/>
            </w:tcBorders>
            <w:vAlign w:val="center"/>
          </w:tcPr>
          <w:p w14:paraId="50979F09">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12" w:space="0"/>
              <w:right w:val="single" w:color="000000" w:sz="4" w:space="0"/>
            </w:tcBorders>
            <w:vAlign w:val="center"/>
          </w:tcPr>
          <w:p w14:paraId="0A454231">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209" w:type="dxa"/>
            <w:tcBorders>
              <w:top w:val="single" w:color="000000" w:sz="4" w:space="0"/>
              <w:left w:val="single" w:color="000000" w:sz="4" w:space="0"/>
              <w:bottom w:val="single" w:color="000000" w:sz="12" w:space="0"/>
              <w:right w:val="single" w:color="000000" w:sz="4" w:space="0"/>
            </w:tcBorders>
            <w:vAlign w:val="center"/>
          </w:tcPr>
          <w:p w14:paraId="73677A3B">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32" w:type="dxa"/>
            <w:tcBorders>
              <w:top w:val="single" w:color="000000" w:sz="4" w:space="0"/>
              <w:left w:val="single" w:color="000000" w:sz="4" w:space="0"/>
              <w:bottom w:val="single" w:color="000000" w:sz="12" w:space="0"/>
              <w:right w:val="single" w:color="000000" w:sz="4" w:space="0"/>
            </w:tcBorders>
            <w:vAlign w:val="center"/>
          </w:tcPr>
          <w:p w14:paraId="48760B28">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063" w:type="dxa"/>
            <w:tcBorders>
              <w:top w:val="single" w:color="000000" w:sz="4" w:space="0"/>
              <w:left w:val="single" w:color="000000" w:sz="4" w:space="0"/>
              <w:bottom w:val="single" w:color="000000" w:sz="12" w:space="0"/>
              <w:right w:val="single" w:color="000000" w:sz="12" w:space="0"/>
            </w:tcBorders>
            <w:vAlign w:val="center"/>
          </w:tcPr>
          <w:p w14:paraId="003F8ECE">
            <w:pPr>
              <w:pStyle w:val="112"/>
              <w:keepNext w:val="0"/>
              <w:keepLines w:val="0"/>
              <w:pageBreakBefore w:val="0"/>
              <w:tabs>
                <w:tab w:val="left" w:pos="1337"/>
              </w:tabs>
              <w:kinsoku/>
              <w:wordWrap/>
              <w:overflowPunct/>
              <w:topLinePunct w:val="0"/>
              <w:bidi w:val="0"/>
              <w:snapToGrid/>
              <w:spacing w:before="0" w:beforeAutospacing="0" w:after="0" w:afterAutospacing="0" w:line="440" w:lineRule="exact"/>
              <w:jc w:val="center"/>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14:paraId="19ECDD8E">
      <w:pPr>
        <w:pStyle w:val="112"/>
        <w:keepNext w:val="0"/>
        <w:keepLines w:val="0"/>
        <w:pageBreakBefore w:val="0"/>
        <w:kinsoku/>
        <w:wordWrap/>
        <w:overflowPunct/>
        <w:topLinePunct w:val="0"/>
        <w:bidi w:val="0"/>
        <w:snapToGrid/>
        <w:spacing w:before="0" w:beforeAutospacing="0" w:after="0" w:afterAutospacing="0" w:line="440" w:lineRule="exact"/>
        <w:ind w:left="2"/>
        <w:jc w:val="both"/>
        <w:textAlignment w:val="baseline"/>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6"/>
          <w:rFonts w:hint="eastAsia" w:ascii="宋体" w:hAnsi="宋体" w:eastAsia="宋体" w:cs="宋体"/>
          <w:b w:val="0"/>
          <w:i w:val="0"/>
          <w:caps w:val="0"/>
          <w:color w:val="auto"/>
          <w:spacing w:val="0"/>
          <w:w w:val="100"/>
          <w:kern w:val="2"/>
          <w:position w:val="0"/>
          <w:sz w:val="24"/>
          <w:szCs w:val="24"/>
          <w:highlight w:val="none"/>
          <w:lang w:val="en-US" w:eastAsia="zh-CN" w:bidi="ar-SA"/>
        </w:rPr>
        <w:t>说明：如供应商提交的技术规范与招标文件的要求存在偏离，需逐项填写《技术规范偏离表》。</w:t>
      </w:r>
    </w:p>
    <w:p w14:paraId="4DB3A2FE">
      <w:pPr>
        <w:pStyle w:val="114"/>
        <w:keepNext w:val="0"/>
        <w:keepLines w:val="0"/>
        <w:pageBreakBefore w:val="0"/>
        <w:widowControl/>
        <w:kinsoku/>
        <w:wordWrap/>
        <w:overflowPunct/>
        <w:topLinePunct w:val="0"/>
        <w:bidi w:val="0"/>
        <w:snapToGrid/>
        <w:spacing w:before="0" w:beforeAutospacing="0" w:after="0" w:afterAutospacing="0" w:line="440" w:lineRule="exact"/>
        <w:ind w:right="960"/>
        <w:jc w:val="both"/>
        <w:textAlignment w:val="baseline"/>
        <w:rPr>
          <w:rStyle w:val="76"/>
          <w:rFonts w:hint="eastAsia" w:ascii="宋体" w:hAnsi="宋体" w:eastAsia="宋体" w:cs="宋体"/>
          <w:b w:val="0"/>
          <w:i w:val="0"/>
          <w:caps w:val="0"/>
          <w:color w:val="auto"/>
          <w:spacing w:val="0"/>
          <w:w w:val="100"/>
          <w:kern w:val="2"/>
          <w:position w:val="0"/>
          <w:sz w:val="24"/>
          <w:szCs w:val="24"/>
          <w:highlight w:val="none"/>
        </w:rPr>
      </w:pPr>
    </w:p>
    <w:p w14:paraId="7C346278">
      <w:pPr>
        <w:pStyle w:val="114"/>
        <w:keepNext w:val="0"/>
        <w:keepLines w:val="0"/>
        <w:pageBreakBefore w:val="0"/>
        <w:widowControl/>
        <w:kinsoku/>
        <w:wordWrap/>
        <w:overflowPunct/>
        <w:topLinePunct w:val="0"/>
        <w:bidi w:val="0"/>
        <w:snapToGrid/>
        <w:spacing w:before="0" w:beforeAutospacing="0" w:after="0" w:afterAutospacing="0" w:line="440" w:lineRule="exact"/>
        <w:ind w:right="17"/>
        <w:jc w:val="right"/>
        <w:textAlignment w:val="baseline"/>
        <w:rPr>
          <w:rStyle w:val="76"/>
          <w:rFonts w:hint="eastAsia" w:ascii="宋体" w:hAnsi="宋体" w:eastAsia="宋体" w:cs="宋体"/>
          <w:b w:val="0"/>
          <w:i w:val="0"/>
          <w:caps w:val="0"/>
          <w:color w:val="auto"/>
          <w:spacing w:val="0"/>
          <w:w w:val="100"/>
          <w:kern w:val="2"/>
          <w:position w:val="0"/>
          <w:sz w:val="24"/>
          <w:szCs w:val="24"/>
          <w:highlight w:val="none"/>
        </w:rPr>
      </w:pPr>
      <w:r>
        <w:rPr>
          <w:rStyle w:val="76"/>
          <w:rFonts w:hint="eastAsia" w:ascii="宋体" w:hAnsi="宋体" w:eastAsia="宋体" w:cs="宋体"/>
          <w:b w:val="0"/>
          <w:i w:val="0"/>
          <w:caps w:val="0"/>
          <w:color w:val="auto"/>
          <w:spacing w:val="0"/>
          <w:w w:val="100"/>
          <w:kern w:val="2"/>
          <w:position w:val="0"/>
          <w:sz w:val="24"/>
          <w:szCs w:val="24"/>
          <w:highlight w:val="none"/>
        </w:rPr>
        <w:t>年  月  日</w:t>
      </w:r>
    </w:p>
    <w:p w14:paraId="423E410A">
      <w:pP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492A50C0">
      <w:pPr>
        <w:pageBreakBefore w:val="0"/>
        <w:tabs>
          <w:tab w:val="left" w:pos="1365"/>
        </w:tabs>
        <w:kinsoku/>
        <w:overflowPunct/>
        <w:topLinePunct w:val="0"/>
        <w:bidi w:val="0"/>
        <w:spacing w:line="360" w:lineRule="auto"/>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由各供应商根据参考格式要求自行编写。目录清晰、内容详尽、易于理解和评审并富有建设性的技术方案将在评审时具有优势。具体内容应包括但不限于：</w:t>
      </w:r>
    </w:p>
    <w:p w14:paraId="4F5DF0D9">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1</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项目实施</w:t>
      </w:r>
      <w:r>
        <w:rPr>
          <w:rFonts w:hint="eastAsia" w:asciiTheme="minorEastAsia" w:hAnsiTheme="minorEastAsia" w:eastAsiaTheme="minorEastAsia" w:cstheme="minorEastAsia"/>
          <w:color w:val="auto"/>
          <w:spacing w:val="0"/>
          <w:position w:val="0"/>
          <w:sz w:val="28"/>
          <w:szCs w:val="28"/>
          <w:highlight w:val="none"/>
        </w:rPr>
        <w:t>方案；</w:t>
      </w:r>
    </w:p>
    <w:p w14:paraId="0DC689EC">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2、服务承诺；</w:t>
      </w:r>
    </w:p>
    <w:p w14:paraId="231006C0">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3、</w:t>
      </w:r>
      <w:r>
        <w:rPr>
          <w:rFonts w:hint="eastAsia" w:asciiTheme="minorEastAsia" w:hAnsiTheme="minorEastAsia" w:eastAsiaTheme="minorEastAsia" w:cstheme="minorEastAsia"/>
          <w:color w:val="auto"/>
          <w:spacing w:val="0"/>
          <w:position w:val="0"/>
          <w:sz w:val="28"/>
          <w:szCs w:val="28"/>
          <w:highlight w:val="none"/>
        </w:rPr>
        <w:t>磋商文件要求提供或供应商认为需提供的其它资料。</w:t>
      </w:r>
    </w:p>
    <w:p w14:paraId="45C696D2">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参照以上内容制作响应文件。</w:t>
      </w:r>
    </w:p>
    <w:p w14:paraId="6780A126">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0D4303B">
      <w:pPr>
        <w:pageBreakBefore w:val="0"/>
        <w:kinsoku/>
        <w:overflowPunct/>
        <w:topLinePunct w:val="0"/>
        <w:bidi w:val="0"/>
        <w:jc w:val="cente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6"/>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A525A52">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08946A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7"/>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2088A0A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56C591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075178D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01D85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20A6D2A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187AF4E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0D2C9A4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0F39648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5CC9087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6A858EB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04365E7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8740EB">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1EE0B738">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0F5F51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89EB7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358880">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E62A0">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81D8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3398B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84046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A6100">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832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92F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45DF1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6652D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41E0E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C8953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5C2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154217C">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2AC7248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380F7D4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3EC611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48D33A0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24704296">
      <w:pPr>
        <w:pStyle w:val="3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7"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5874">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4AAE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8E4AAE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96FE">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13DD50">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C13DD50">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06C768F">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18B">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A0C7C">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7FA0C7C">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384780D0">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99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1D4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35C49"/>
    <w:rsid w:val="01EA0536"/>
    <w:rsid w:val="020B5EE9"/>
    <w:rsid w:val="03064AB8"/>
    <w:rsid w:val="0328539C"/>
    <w:rsid w:val="033E4BBF"/>
    <w:rsid w:val="03F93A73"/>
    <w:rsid w:val="042046F5"/>
    <w:rsid w:val="04787C5D"/>
    <w:rsid w:val="04C16888"/>
    <w:rsid w:val="04D330E5"/>
    <w:rsid w:val="04E11CA6"/>
    <w:rsid w:val="05900FD6"/>
    <w:rsid w:val="06087B94"/>
    <w:rsid w:val="0689662B"/>
    <w:rsid w:val="0698114A"/>
    <w:rsid w:val="06FE6B3F"/>
    <w:rsid w:val="07832BA1"/>
    <w:rsid w:val="07E147B8"/>
    <w:rsid w:val="08066F25"/>
    <w:rsid w:val="08712537"/>
    <w:rsid w:val="08DA29A0"/>
    <w:rsid w:val="09D00DB5"/>
    <w:rsid w:val="09D25006"/>
    <w:rsid w:val="09F340E8"/>
    <w:rsid w:val="0A5C592B"/>
    <w:rsid w:val="0A732D15"/>
    <w:rsid w:val="0A757553"/>
    <w:rsid w:val="0AA7304A"/>
    <w:rsid w:val="0AAB0D8C"/>
    <w:rsid w:val="0AAD0049"/>
    <w:rsid w:val="0B9E6FCA"/>
    <w:rsid w:val="0BD13BA5"/>
    <w:rsid w:val="0C060244"/>
    <w:rsid w:val="0CA23AC9"/>
    <w:rsid w:val="0D1C451A"/>
    <w:rsid w:val="0D817CDD"/>
    <w:rsid w:val="0D86163D"/>
    <w:rsid w:val="0D9B07AF"/>
    <w:rsid w:val="0DAE46EF"/>
    <w:rsid w:val="0DCB2EC9"/>
    <w:rsid w:val="0DDB5519"/>
    <w:rsid w:val="0E134337"/>
    <w:rsid w:val="0E2F5830"/>
    <w:rsid w:val="0E670F34"/>
    <w:rsid w:val="0EF90537"/>
    <w:rsid w:val="0FC87CEA"/>
    <w:rsid w:val="0FF65C06"/>
    <w:rsid w:val="103A670E"/>
    <w:rsid w:val="104A18C6"/>
    <w:rsid w:val="10945E1E"/>
    <w:rsid w:val="10B85FB1"/>
    <w:rsid w:val="10CD3604"/>
    <w:rsid w:val="110342FF"/>
    <w:rsid w:val="110E3E23"/>
    <w:rsid w:val="121D6EB6"/>
    <w:rsid w:val="127D2F5A"/>
    <w:rsid w:val="12843C37"/>
    <w:rsid w:val="12E666D9"/>
    <w:rsid w:val="1319260B"/>
    <w:rsid w:val="13336E3E"/>
    <w:rsid w:val="137D0DEC"/>
    <w:rsid w:val="137E6B3F"/>
    <w:rsid w:val="13BA3963"/>
    <w:rsid w:val="13E75FD4"/>
    <w:rsid w:val="145C7FB0"/>
    <w:rsid w:val="14FC3F92"/>
    <w:rsid w:val="15155054"/>
    <w:rsid w:val="15202377"/>
    <w:rsid w:val="156D6C3E"/>
    <w:rsid w:val="15785BB6"/>
    <w:rsid w:val="15FA5D0A"/>
    <w:rsid w:val="165C6DCA"/>
    <w:rsid w:val="168E50BE"/>
    <w:rsid w:val="16921052"/>
    <w:rsid w:val="177E44BC"/>
    <w:rsid w:val="17920BDE"/>
    <w:rsid w:val="190A0BD8"/>
    <w:rsid w:val="19622F5E"/>
    <w:rsid w:val="199B1FCC"/>
    <w:rsid w:val="19D41982"/>
    <w:rsid w:val="19DC4392"/>
    <w:rsid w:val="1A085187"/>
    <w:rsid w:val="1A8B0292"/>
    <w:rsid w:val="1AF916A0"/>
    <w:rsid w:val="1B2B711A"/>
    <w:rsid w:val="1B352404"/>
    <w:rsid w:val="1B583A4F"/>
    <w:rsid w:val="1C5A2E43"/>
    <w:rsid w:val="1C5E26D8"/>
    <w:rsid w:val="1C6C5EA1"/>
    <w:rsid w:val="1CBF7BEB"/>
    <w:rsid w:val="1CC730D8"/>
    <w:rsid w:val="1D0D3CA0"/>
    <w:rsid w:val="1D3C38E1"/>
    <w:rsid w:val="1D4A5240"/>
    <w:rsid w:val="1D8F1E47"/>
    <w:rsid w:val="1D94745E"/>
    <w:rsid w:val="1DFE1EE3"/>
    <w:rsid w:val="1E624DD4"/>
    <w:rsid w:val="1E7B23CC"/>
    <w:rsid w:val="1EB941F1"/>
    <w:rsid w:val="1F2962CC"/>
    <w:rsid w:val="203931EC"/>
    <w:rsid w:val="20D65FDF"/>
    <w:rsid w:val="210F67FD"/>
    <w:rsid w:val="21ED75AA"/>
    <w:rsid w:val="21F901D7"/>
    <w:rsid w:val="21FA7BC8"/>
    <w:rsid w:val="224F4AB9"/>
    <w:rsid w:val="22B76683"/>
    <w:rsid w:val="22E12559"/>
    <w:rsid w:val="231F1167"/>
    <w:rsid w:val="235C2BD4"/>
    <w:rsid w:val="23FA3D93"/>
    <w:rsid w:val="23FF4341"/>
    <w:rsid w:val="24DB1E16"/>
    <w:rsid w:val="2581038F"/>
    <w:rsid w:val="259A3A7F"/>
    <w:rsid w:val="25B11518"/>
    <w:rsid w:val="25B86563"/>
    <w:rsid w:val="25EC2F6E"/>
    <w:rsid w:val="26C8461C"/>
    <w:rsid w:val="26D05957"/>
    <w:rsid w:val="26DD122F"/>
    <w:rsid w:val="26FE1DEC"/>
    <w:rsid w:val="2739031A"/>
    <w:rsid w:val="283D41B0"/>
    <w:rsid w:val="288051AE"/>
    <w:rsid w:val="28C1544E"/>
    <w:rsid w:val="28EF5E90"/>
    <w:rsid w:val="28F03549"/>
    <w:rsid w:val="2938027B"/>
    <w:rsid w:val="2943165A"/>
    <w:rsid w:val="29451F54"/>
    <w:rsid w:val="296E3259"/>
    <w:rsid w:val="299407E6"/>
    <w:rsid w:val="29F10FDB"/>
    <w:rsid w:val="2A321930"/>
    <w:rsid w:val="2A495030"/>
    <w:rsid w:val="2A676E5E"/>
    <w:rsid w:val="2A946CEF"/>
    <w:rsid w:val="2ACC4185"/>
    <w:rsid w:val="2B3109E2"/>
    <w:rsid w:val="2B997798"/>
    <w:rsid w:val="2BB4516F"/>
    <w:rsid w:val="2C250A37"/>
    <w:rsid w:val="2CA31F00"/>
    <w:rsid w:val="2CF47464"/>
    <w:rsid w:val="2D23435A"/>
    <w:rsid w:val="2D875A5C"/>
    <w:rsid w:val="2DB15E0A"/>
    <w:rsid w:val="2DCA2DA2"/>
    <w:rsid w:val="2DD12008"/>
    <w:rsid w:val="2E8B665B"/>
    <w:rsid w:val="2EDE49DD"/>
    <w:rsid w:val="2F805A94"/>
    <w:rsid w:val="2F996B56"/>
    <w:rsid w:val="2FBB4416"/>
    <w:rsid w:val="2FDB37C9"/>
    <w:rsid w:val="30347DA4"/>
    <w:rsid w:val="30564A47"/>
    <w:rsid w:val="30582787"/>
    <w:rsid w:val="30640F12"/>
    <w:rsid w:val="30BE3DCE"/>
    <w:rsid w:val="30C44045"/>
    <w:rsid w:val="30F027A5"/>
    <w:rsid w:val="30FD19EB"/>
    <w:rsid w:val="310C4583"/>
    <w:rsid w:val="31321010"/>
    <w:rsid w:val="313258E8"/>
    <w:rsid w:val="31822DF7"/>
    <w:rsid w:val="31A072B4"/>
    <w:rsid w:val="31CF685F"/>
    <w:rsid w:val="31E83DC4"/>
    <w:rsid w:val="3251196A"/>
    <w:rsid w:val="32D87995"/>
    <w:rsid w:val="32FA3DAF"/>
    <w:rsid w:val="32FB322A"/>
    <w:rsid w:val="3304078A"/>
    <w:rsid w:val="33491B5A"/>
    <w:rsid w:val="34076784"/>
    <w:rsid w:val="34354B9C"/>
    <w:rsid w:val="34656A1F"/>
    <w:rsid w:val="34F856A3"/>
    <w:rsid w:val="35315E89"/>
    <w:rsid w:val="353A77E0"/>
    <w:rsid w:val="354457B6"/>
    <w:rsid w:val="36345EE6"/>
    <w:rsid w:val="364D41F6"/>
    <w:rsid w:val="369B1D40"/>
    <w:rsid w:val="36F24934"/>
    <w:rsid w:val="37B409D1"/>
    <w:rsid w:val="37BC2078"/>
    <w:rsid w:val="38521F98"/>
    <w:rsid w:val="386C58FB"/>
    <w:rsid w:val="386D15ED"/>
    <w:rsid w:val="389F7463"/>
    <w:rsid w:val="38FF1191"/>
    <w:rsid w:val="39355B41"/>
    <w:rsid w:val="3A804B32"/>
    <w:rsid w:val="3AA64F72"/>
    <w:rsid w:val="3AAA1C17"/>
    <w:rsid w:val="3B182918"/>
    <w:rsid w:val="3B6650C4"/>
    <w:rsid w:val="3BD66CA2"/>
    <w:rsid w:val="3C247E8C"/>
    <w:rsid w:val="3C2C5BB9"/>
    <w:rsid w:val="3CB45CFB"/>
    <w:rsid w:val="3CCB40C7"/>
    <w:rsid w:val="3D956BAE"/>
    <w:rsid w:val="3DF275D1"/>
    <w:rsid w:val="3EB968CD"/>
    <w:rsid w:val="3EC875D4"/>
    <w:rsid w:val="3EE071AB"/>
    <w:rsid w:val="3EFF2568"/>
    <w:rsid w:val="3F3643C1"/>
    <w:rsid w:val="3FCC5A47"/>
    <w:rsid w:val="40624D42"/>
    <w:rsid w:val="40694E7B"/>
    <w:rsid w:val="40C304AF"/>
    <w:rsid w:val="418A09F4"/>
    <w:rsid w:val="42605CE0"/>
    <w:rsid w:val="43081BD1"/>
    <w:rsid w:val="43544E16"/>
    <w:rsid w:val="438020AF"/>
    <w:rsid w:val="44290050"/>
    <w:rsid w:val="444A7FC7"/>
    <w:rsid w:val="451505D5"/>
    <w:rsid w:val="453E2BF0"/>
    <w:rsid w:val="45C41F63"/>
    <w:rsid w:val="467F70E2"/>
    <w:rsid w:val="468D2996"/>
    <w:rsid w:val="46945A20"/>
    <w:rsid w:val="469F284C"/>
    <w:rsid w:val="47B71E17"/>
    <w:rsid w:val="47E0136E"/>
    <w:rsid w:val="48284861"/>
    <w:rsid w:val="48623B31"/>
    <w:rsid w:val="48897310"/>
    <w:rsid w:val="49247038"/>
    <w:rsid w:val="49B04D70"/>
    <w:rsid w:val="49F84FFA"/>
    <w:rsid w:val="4A012E2B"/>
    <w:rsid w:val="4A340100"/>
    <w:rsid w:val="4A437992"/>
    <w:rsid w:val="4A600544"/>
    <w:rsid w:val="4A8E6E5F"/>
    <w:rsid w:val="4A915202"/>
    <w:rsid w:val="4B412124"/>
    <w:rsid w:val="4B460B4B"/>
    <w:rsid w:val="4B9319B6"/>
    <w:rsid w:val="4BB3139E"/>
    <w:rsid w:val="4CA25171"/>
    <w:rsid w:val="4D963478"/>
    <w:rsid w:val="4DBA440F"/>
    <w:rsid w:val="4DEC6CD7"/>
    <w:rsid w:val="4E233D83"/>
    <w:rsid w:val="4FDD44A2"/>
    <w:rsid w:val="509A0C0E"/>
    <w:rsid w:val="50A32F39"/>
    <w:rsid w:val="51082263"/>
    <w:rsid w:val="515661FD"/>
    <w:rsid w:val="5198572E"/>
    <w:rsid w:val="51ED3AFC"/>
    <w:rsid w:val="52350508"/>
    <w:rsid w:val="52374280"/>
    <w:rsid w:val="5302663C"/>
    <w:rsid w:val="53574187"/>
    <w:rsid w:val="536410A5"/>
    <w:rsid w:val="54651927"/>
    <w:rsid w:val="54AF3253"/>
    <w:rsid w:val="551326FC"/>
    <w:rsid w:val="55307659"/>
    <w:rsid w:val="55383F64"/>
    <w:rsid w:val="55BC6160"/>
    <w:rsid w:val="55E0339D"/>
    <w:rsid w:val="5612303A"/>
    <w:rsid w:val="561843C9"/>
    <w:rsid w:val="561F3061"/>
    <w:rsid w:val="56261518"/>
    <w:rsid w:val="56694C24"/>
    <w:rsid w:val="56941C15"/>
    <w:rsid w:val="579655A5"/>
    <w:rsid w:val="57AD28EF"/>
    <w:rsid w:val="57C06AC6"/>
    <w:rsid w:val="57DD31D4"/>
    <w:rsid w:val="58424AB5"/>
    <w:rsid w:val="58A15FD0"/>
    <w:rsid w:val="58D05A14"/>
    <w:rsid w:val="59060509"/>
    <w:rsid w:val="594A6647"/>
    <w:rsid w:val="595455B5"/>
    <w:rsid w:val="598B7205"/>
    <w:rsid w:val="59BE5287"/>
    <w:rsid w:val="59F22154"/>
    <w:rsid w:val="59F42A57"/>
    <w:rsid w:val="59F6057D"/>
    <w:rsid w:val="5A074490"/>
    <w:rsid w:val="5A2302F0"/>
    <w:rsid w:val="5A364E1D"/>
    <w:rsid w:val="5AB50333"/>
    <w:rsid w:val="5AC01473"/>
    <w:rsid w:val="5B0E4FB1"/>
    <w:rsid w:val="5B5E7E0F"/>
    <w:rsid w:val="5BC02519"/>
    <w:rsid w:val="5C2238AB"/>
    <w:rsid w:val="5C381321"/>
    <w:rsid w:val="5C981DBF"/>
    <w:rsid w:val="5CC0147B"/>
    <w:rsid w:val="5CD56B70"/>
    <w:rsid w:val="5D504448"/>
    <w:rsid w:val="5DE15411"/>
    <w:rsid w:val="5DF14806"/>
    <w:rsid w:val="5E0F7E5F"/>
    <w:rsid w:val="5E834211"/>
    <w:rsid w:val="5E9071F2"/>
    <w:rsid w:val="5F2A7A3E"/>
    <w:rsid w:val="5F3E0E69"/>
    <w:rsid w:val="5F9F32CB"/>
    <w:rsid w:val="60911000"/>
    <w:rsid w:val="6137073F"/>
    <w:rsid w:val="61556E8F"/>
    <w:rsid w:val="618F19E3"/>
    <w:rsid w:val="623B56C7"/>
    <w:rsid w:val="62500A46"/>
    <w:rsid w:val="635D3BCB"/>
    <w:rsid w:val="63A43996"/>
    <w:rsid w:val="63FF3B09"/>
    <w:rsid w:val="64261175"/>
    <w:rsid w:val="64CA4AE0"/>
    <w:rsid w:val="64CE04C8"/>
    <w:rsid w:val="653E0CAA"/>
    <w:rsid w:val="65710418"/>
    <w:rsid w:val="663A71E2"/>
    <w:rsid w:val="66AB0941"/>
    <w:rsid w:val="670855E5"/>
    <w:rsid w:val="674C3ED2"/>
    <w:rsid w:val="67896ED4"/>
    <w:rsid w:val="688A2F04"/>
    <w:rsid w:val="68B27D65"/>
    <w:rsid w:val="68C721BC"/>
    <w:rsid w:val="694F1A58"/>
    <w:rsid w:val="69605A13"/>
    <w:rsid w:val="696A62C2"/>
    <w:rsid w:val="6974326C"/>
    <w:rsid w:val="69C67F6C"/>
    <w:rsid w:val="6A5C18FD"/>
    <w:rsid w:val="6A6B167A"/>
    <w:rsid w:val="6A800F11"/>
    <w:rsid w:val="6AE61F48"/>
    <w:rsid w:val="6C57134F"/>
    <w:rsid w:val="6C895281"/>
    <w:rsid w:val="6CAD71C1"/>
    <w:rsid w:val="6CC60283"/>
    <w:rsid w:val="6D5B6C1D"/>
    <w:rsid w:val="6D745F31"/>
    <w:rsid w:val="6D882473"/>
    <w:rsid w:val="6D8E7684"/>
    <w:rsid w:val="6E302E16"/>
    <w:rsid w:val="6EA225C7"/>
    <w:rsid w:val="6EB0701A"/>
    <w:rsid w:val="6F2B0871"/>
    <w:rsid w:val="6F3829E8"/>
    <w:rsid w:val="6FA523D2"/>
    <w:rsid w:val="6FC22F83"/>
    <w:rsid w:val="701C5D86"/>
    <w:rsid w:val="702A28D7"/>
    <w:rsid w:val="70560679"/>
    <w:rsid w:val="708F3534"/>
    <w:rsid w:val="70BF3967"/>
    <w:rsid w:val="70C50229"/>
    <w:rsid w:val="70CC1BE0"/>
    <w:rsid w:val="715C7408"/>
    <w:rsid w:val="72D75763"/>
    <w:rsid w:val="72FA2A34"/>
    <w:rsid w:val="735C324C"/>
    <w:rsid w:val="741E6BF6"/>
    <w:rsid w:val="74277859"/>
    <w:rsid w:val="742B1FE0"/>
    <w:rsid w:val="750744E5"/>
    <w:rsid w:val="753161AE"/>
    <w:rsid w:val="75680129"/>
    <w:rsid w:val="757545F4"/>
    <w:rsid w:val="75A35255"/>
    <w:rsid w:val="76217F91"/>
    <w:rsid w:val="763C5D0A"/>
    <w:rsid w:val="7662726E"/>
    <w:rsid w:val="76893A19"/>
    <w:rsid w:val="769B26DC"/>
    <w:rsid w:val="76D80CE3"/>
    <w:rsid w:val="773D0465"/>
    <w:rsid w:val="774B1AB0"/>
    <w:rsid w:val="786B2585"/>
    <w:rsid w:val="78B90C9C"/>
    <w:rsid w:val="78F2573D"/>
    <w:rsid w:val="795F53B0"/>
    <w:rsid w:val="79617E9F"/>
    <w:rsid w:val="79671759"/>
    <w:rsid w:val="797075DA"/>
    <w:rsid w:val="79FD2E0A"/>
    <w:rsid w:val="7A0D5743"/>
    <w:rsid w:val="7A1B3C8B"/>
    <w:rsid w:val="7A7632E8"/>
    <w:rsid w:val="7AA8721A"/>
    <w:rsid w:val="7B183B96"/>
    <w:rsid w:val="7B220D7A"/>
    <w:rsid w:val="7BB41C3D"/>
    <w:rsid w:val="7BBF44BB"/>
    <w:rsid w:val="7BD863FC"/>
    <w:rsid w:val="7BDC50A2"/>
    <w:rsid w:val="7C7C270C"/>
    <w:rsid w:val="7D0B0461"/>
    <w:rsid w:val="7D282903"/>
    <w:rsid w:val="7D401A7F"/>
    <w:rsid w:val="7DA22646"/>
    <w:rsid w:val="7DC0487A"/>
    <w:rsid w:val="7DCF4ABD"/>
    <w:rsid w:val="7DFF35F5"/>
    <w:rsid w:val="7E015867"/>
    <w:rsid w:val="7E2E5C88"/>
    <w:rsid w:val="7E753116"/>
    <w:rsid w:val="7EB97C47"/>
    <w:rsid w:val="7F1E5CFC"/>
    <w:rsid w:val="7F376DBE"/>
    <w:rsid w:val="7F5E6DA6"/>
    <w:rsid w:val="7F7101C2"/>
    <w:rsid w:val="7F8E48CA"/>
    <w:rsid w:val="7FAB18EF"/>
    <w:rsid w:val="7FF8479F"/>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5"/>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8"/>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46"/>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4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6"/>
    <w:next w:val="1"/>
    <w:link w:val="5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1"/>
    <w:qFormat/>
    <w:uiPriority w:val="0"/>
    <w:pPr>
      <w:tabs>
        <w:tab w:val="left" w:pos="1800"/>
        <w:tab w:val="clear" w:pos="1440"/>
      </w:tabs>
      <w:ind w:left="1276" w:hanging="1276"/>
      <w:outlineLvl w:val="6"/>
    </w:pPr>
  </w:style>
  <w:style w:type="paragraph" w:styleId="9">
    <w:name w:val="heading 8"/>
    <w:basedOn w:val="8"/>
    <w:next w:val="1"/>
    <w:link w:val="52"/>
    <w:qFormat/>
    <w:uiPriority w:val="0"/>
    <w:pPr>
      <w:ind w:left="1418" w:hanging="1418"/>
      <w:outlineLvl w:val="7"/>
    </w:pPr>
  </w:style>
  <w:style w:type="paragraph" w:styleId="10">
    <w:name w:val="heading 9"/>
    <w:basedOn w:val="9"/>
    <w:next w:val="1"/>
    <w:link w:val="53"/>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0"/>
    <w:autoRedefine/>
    <w:unhideWhenUsed/>
    <w:qFormat/>
    <w:uiPriority w:val="0"/>
    <w:pPr>
      <w:ind w:firstLine="420" w:firstLineChars="200"/>
    </w:pPr>
  </w:style>
  <w:style w:type="paragraph" w:styleId="12">
    <w:name w:val="Document Map"/>
    <w:basedOn w:val="1"/>
    <w:link w:val="65"/>
    <w:autoRedefine/>
    <w:qFormat/>
    <w:uiPriority w:val="0"/>
    <w:rPr>
      <w:rFonts w:ascii="宋体"/>
      <w:sz w:val="18"/>
      <w:szCs w:val="18"/>
    </w:rPr>
  </w:style>
  <w:style w:type="paragraph" w:styleId="13">
    <w:name w:val="annotation text"/>
    <w:basedOn w:val="1"/>
    <w:link w:val="63"/>
    <w:autoRedefine/>
    <w:qFormat/>
    <w:uiPriority w:val="0"/>
    <w:pPr>
      <w:jc w:val="left"/>
    </w:pPr>
  </w:style>
  <w:style w:type="paragraph" w:styleId="14">
    <w:name w:val="Body Text"/>
    <w:basedOn w:val="1"/>
    <w:next w:val="15"/>
    <w:autoRedefine/>
    <w:unhideWhenUsed/>
    <w:qFormat/>
    <w:uiPriority w:val="0"/>
    <w:pPr>
      <w:spacing w:after="120"/>
    </w:pPr>
  </w:style>
  <w:style w:type="paragraph" w:customStyle="1" w:styleId="15">
    <w:name w:val="正文首行缩进1"/>
    <w:basedOn w:val="14"/>
    <w:qFormat/>
    <w:uiPriority w:val="2457"/>
    <w:pPr>
      <w:spacing w:line="360" w:lineRule="auto"/>
      <w:ind w:left="0" w:right="0" w:firstLine="200"/>
    </w:pPr>
    <w:rPr>
      <w:rFonts w:ascii="仿宋_GB2312" w:hAnsi="仿宋_GB2312" w:eastAsia="仿宋_GB2312" w:cs="仿宋_GB2312"/>
      <w:sz w:val="30"/>
      <w:szCs w:val="30"/>
    </w:rPr>
  </w:style>
  <w:style w:type="paragraph" w:styleId="16">
    <w:name w:val="Body Text Indent"/>
    <w:basedOn w:val="1"/>
    <w:autoRedefine/>
    <w:qFormat/>
    <w:uiPriority w:val="0"/>
    <w:pPr>
      <w:ind w:firstLine="830" w:firstLineChars="352"/>
    </w:pPr>
    <w:rPr>
      <w:rFonts w:ascii="仿宋_GB2312" w:eastAsia="仿宋_GB2312"/>
      <w:sz w:val="32"/>
      <w:szCs w:val="20"/>
    </w:rPr>
  </w:style>
  <w:style w:type="paragraph" w:styleId="17">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8">
    <w:name w:val="toc 3"/>
    <w:basedOn w:val="1"/>
    <w:next w:val="1"/>
    <w:autoRedefine/>
    <w:unhideWhenUsed/>
    <w:qFormat/>
    <w:uiPriority w:val="39"/>
    <w:pPr>
      <w:ind w:left="840" w:leftChars="400"/>
    </w:pPr>
  </w:style>
  <w:style w:type="paragraph" w:styleId="19">
    <w:name w:val="Plain Text"/>
    <w:basedOn w:val="1"/>
    <w:link w:val="57"/>
    <w:autoRedefine/>
    <w:qFormat/>
    <w:uiPriority w:val="0"/>
    <w:rPr>
      <w:rFonts w:ascii="宋体" w:hAnsi="Courier New"/>
      <w:szCs w:val="21"/>
    </w:rPr>
  </w:style>
  <w:style w:type="paragraph" w:styleId="20">
    <w:name w:val="Date"/>
    <w:basedOn w:val="1"/>
    <w:next w:val="1"/>
    <w:autoRedefine/>
    <w:qFormat/>
    <w:uiPriority w:val="0"/>
    <w:pPr>
      <w:ind w:left="100" w:leftChars="2500"/>
    </w:pPr>
    <w:rPr>
      <w:rFonts w:ascii="宋体" w:hAnsi="Courier New" w:cs="Courier New"/>
      <w:szCs w:val="21"/>
    </w:r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8222"/>
      </w:tabs>
      <w:spacing w:line="440" w:lineRule="exact"/>
      <w:ind w:right="231" w:rightChars="110"/>
    </w:pPr>
    <w:rPr>
      <w:sz w:val="28"/>
    </w:rPr>
  </w:style>
  <w:style w:type="paragraph" w:styleId="25">
    <w:name w:val="toc 4"/>
    <w:basedOn w:val="1"/>
    <w:next w:val="1"/>
    <w:semiHidden/>
    <w:unhideWhenUsed/>
    <w:qFormat/>
    <w:uiPriority w:val="0"/>
    <w:pPr>
      <w:ind w:left="1260" w:leftChars="600"/>
    </w:pPr>
  </w:style>
  <w:style w:type="paragraph" w:styleId="26">
    <w:name w:val="Body Text Indent 3"/>
    <w:basedOn w:val="1"/>
    <w:link w:val="72"/>
    <w:autoRedefine/>
    <w:semiHidden/>
    <w:unhideWhenUsed/>
    <w:qFormat/>
    <w:uiPriority w:val="0"/>
    <w:pPr>
      <w:spacing w:after="120"/>
      <w:ind w:left="420" w:leftChars="200"/>
    </w:pPr>
    <w:rPr>
      <w:sz w:val="16"/>
      <w:szCs w:val="16"/>
    </w:rPr>
  </w:style>
  <w:style w:type="paragraph" w:styleId="27">
    <w:name w:val="toc 2"/>
    <w:basedOn w:val="1"/>
    <w:next w:val="1"/>
    <w:autoRedefine/>
    <w:qFormat/>
    <w:uiPriority w:val="39"/>
    <w:pPr>
      <w:tabs>
        <w:tab w:val="right" w:leader="dot" w:pos="8222"/>
      </w:tabs>
      <w:ind w:left="420" w:leftChars="200"/>
      <w:jc w:val="left"/>
    </w:pPr>
    <w:rPr>
      <w:sz w:val="28"/>
    </w:rPr>
  </w:style>
  <w:style w:type="paragraph" w:styleId="28">
    <w:name w:val="Normal (Web)"/>
    <w:basedOn w:val="1"/>
    <w:next w:val="29"/>
    <w:autoRedefine/>
    <w:qFormat/>
    <w:uiPriority w:val="0"/>
    <w:pPr>
      <w:widowControl/>
      <w:spacing w:before="100" w:beforeAutospacing="1" w:after="100" w:afterAutospacing="1"/>
      <w:jc w:val="left"/>
    </w:pPr>
    <w:rPr>
      <w:rFonts w:ascii="宋体" w:hAnsi="宋体"/>
      <w:kern w:val="0"/>
      <w:sz w:val="24"/>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0">
    <w:name w:val="Title"/>
    <w:basedOn w:val="1"/>
    <w:next w:val="1"/>
    <w:link w:val="44"/>
    <w:autoRedefine/>
    <w:qFormat/>
    <w:uiPriority w:val="0"/>
    <w:pPr>
      <w:jc w:val="both"/>
    </w:pPr>
    <w:rPr>
      <w:rFonts w:ascii="宋体"/>
      <w:sz w:val="44"/>
    </w:rPr>
  </w:style>
  <w:style w:type="paragraph" w:styleId="31">
    <w:name w:val="annotation subject"/>
    <w:basedOn w:val="13"/>
    <w:next w:val="13"/>
    <w:link w:val="62"/>
    <w:autoRedefine/>
    <w:qFormat/>
    <w:uiPriority w:val="99"/>
    <w:rPr>
      <w:rFonts w:ascii="Times New Roman" w:hAnsi="Times New Roman"/>
      <w:b/>
      <w:sz w:val="28"/>
      <w:szCs w:val="20"/>
    </w:rPr>
  </w:style>
  <w:style w:type="paragraph" w:styleId="32">
    <w:name w:val="Body Text First Indent"/>
    <w:basedOn w:val="14"/>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3">
    <w:name w:val="Body Text First Indent 2"/>
    <w:basedOn w:val="16"/>
    <w:autoRedefine/>
    <w:qFormat/>
    <w:uiPriority w:val="0"/>
    <w:pPr>
      <w:spacing w:after="0"/>
      <w:ind w:firstLine="420" w:firstLineChars="200"/>
    </w:pPr>
    <w:rPr>
      <w:rFonts w:ascii="Calibri" w:hAnsi="Calibri" w:eastAsia="宋体"/>
      <w:szCs w:val="21"/>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basedOn w:val="36"/>
    <w:autoRedefine/>
    <w:unhideWhenUsed/>
    <w:qFormat/>
    <w:uiPriority w:val="0"/>
    <w:rPr>
      <w:sz w:val="21"/>
      <w:szCs w:val="21"/>
    </w:rPr>
  </w:style>
  <w:style w:type="paragraph" w:customStyle="1" w:styleId="41">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3">
    <w:name w:val="case31"/>
    <w:autoRedefine/>
    <w:qFormat/>
    <w:uiPriority w:val="0"/>
    <w:rPr>
      <w:rFonts w:hint="default"/>
      <w:spacing w:val="390"/>
      <w:sz w:val="21"/>
      <w:szCs w:val="21"/>
    </w:rPr>
  </w:style>
  <w:style w:type="character" w:customStyle="1" w:styleId="44">
    <w:name w:val="标题 Char"/>
    <w:link w:val="30"/>
    <w:autoRedefine/>
    <w:qFormat/>
    <w:uiPriority w:val="0"/>
    <w:rPr>
      <w:rFonts w:ascii="宋体" w:hAnsiTheme="majorEastAsia" w:eastAsiaTheme="majorEastAsia"/>
      <w:b/>
      <w:kern w:val="2"/>
      <w:sz w:val="44"/>
      <w:szCs w:val="28"/>
    </w:rPr>
  </w:style>
  <w:style w:type="character" w:customStyle="1" w:styleId="45">
    <w:name w:val="标题 1 Char"/>
    <w:link w:val="2"/>
    <w:autoRedefine/>
    <w:qFormat/>
    <w:uiPriority w:val="9"/>
    <w:rPr>
      <w:rFonts w:ascii="Calibri" w:hAnsi="Calibri"/>
      <w:b/>
      <w:bCs/>
      <w:kern w:val="44"/>
      <w:sz w:val="44"/>
      <w:szCs w:val="44"/>
    </w:rPr>
  </w:style>
  <w:style w:type="character" w:customStyle="1" w:styleId="46">
    <w:name w:val="标题 3 Char"/>
    <w:link w:val="4"/>
    <w:autoRedefine/>
    <w:qFormat/>
    <w:uiPriority w:val="0"/>
    <w:rPr>
      <w:rFonts w:ascii="仿宋_GB2312" w:hAnsi="宋体" w:eastAsiaTheme="minorEastAsia"/>
      <w:b/>
      <w:kern w:val="2"/>
      <w:sz w:val="32"/>
      <w:szCs w:val="32"/>
    </w:rPr>
  </w:style>
  <w:style w:type="character" w:customStyle="1" w:styleId="47">
    <w:name w:val="标题 5 Char"/>
    <w:link w:val="6"/>
    <w:autoRedefine/>
    <w:qFormat/>
    <w:uiPriority w:val="0"/>
    <w:rPr>
      <w:rFonts w:ascii="Calibri" w:hAnsi="Calibri"/>
      <w:b/>
      <w:bCs/>
      <w:kern w:val="2"/>
      <w:sz w:val="28"/>
      <w:szCs w:val="28"/>
    </w:rPr>
  </w:style>
  <w:style w:type="character" w:customStyle="1" w:styleId="48">
    <w:name w:val="标题 2 Char"/>
    <w:link w:val="3"/>
    <w:autoRedefine/>
    <w:qFormat/>
    <w:uiPriority w:val="0"/>
    <w:rPr>
      <w:rFonts w:asciiTheme="majorEastAsia" w:hAnsiTheme="majorEastAsia" w:eastAsiaTheme="majorEastAsia"/>
      <w:b/>
      <w:kern w:val="2"/>
      <w:sz w:val="32"/>
      <w:szCs w:val="28"/>
    </w:rPr>
  </w:style>
  <w:style w:type="character" w:customStyle="1" w:styleId="49">
    <w:name w:val="标题 4 Char"/>
    <w:link w:val="5"/>
    <w:autoRedefine/>
    <w:qFormat/>
    <w:uiPriority w:val="0"/>
    <w:rPr>
      <w:rFonts w:ascii="Arial" w:hAnsi="Arial" w:eastAsia="黑体"/>
      <w:b/>
      <w:bCs/>
      <w:kern w:val="2"/>
      <w:sz w:val="28"/>
      <w:szCs w:val="28"/>
    </w:rPr>
  </w:style>
  <w:style w:type="character" w:customStyle="1" w:styleId="50">
    <w:name w:val="标题 6 Char"/>
    <w:link w:val="7"/>
    <w:autoRedefine/>
    <w:qFormat/>
    <w:uiPriority w:val="0"/>
    <w:rPr>
      <w:b/>
      <w:bCs/>
      <w:kern w:val="2"/>
      <w:sz w:val="30"/>
      <w:szCs w:val="18"/>
    </w:rPr>
  </w:style>
  <w:style w:type="character" w:customStyle="1" w:styleId="51">
    <w:name w:val="标题 7 Char"/>
    <w:link w:val="8"/>
    <w:autoRedefine/>
    <w:qFormat/>
    <w:uiPriority w:val="0"/>
    <w:rPr>
      <w:b/>
      <w:bCs/>
      <w:kern w:val="2"/>
      <w:sz w:val="30"/>
      <w:szCs w:val="18"/>
    </w:rPr>
  </w:style>
  <w:style w:type="character" w:customStyle="1" w:styleId="52">
    <w:name w:val="标题 8 Char"/>
    <w:link w:val="9"/>
    <w:autoRedefine/>
    <w:qFormat/>
    <w:uiPriority w:val="0"/>
    <w:rPr>
      <w:b/>
      <w:bCs/>
      <w:kern w:val="2"/>
      <w:sz w:val="30"/>
      <w:szCs w:val="18"/>
    </w:rPr>
  </w:style>
  <w:style w:type="character" w:customStyle="1" w:styleId="53">
    <w:name w:val="标题 9 Char"/>
    <w:link w:val="10"/>
    <w:autoRedefine/>
    <w:qFormat/>
    <w:uiPriority w:val="0"/>
    <w:rPr>
      <w:b/>
      <w:bCs/>
      <w:kern w:val="2"/>
      <w:sz w:val="30"/>
      <w:szCs w:val="18"/>
    </w:rPr>
  </w:style>
  <w:style w:type="paragraph" w:customStyle="1" w:styleId="54">
    <w:name w:val="列出段落1"/>
    <w:basedOn w:val="1"/>
    <w:autoRedefine/>
    <w:qFormat/>
    <w:uiPriority w:val="34"/>
    <w:pPr>
      <w:ind w:firstLine="420" w:firstLineChars="200"/>
    </w:pPr>
  </w:style>
  <w:style w:type="paragraph" w:customStyle="1" w:styleId="55">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6">
    <w:name w:val="页眉 Char"/>
    <w:link w:val="23"/>
    <w:autoRedefine/>
    <w:qFormat/>
    <w:uiPriority w:val="99"/>
    <w:rPr>
      <w:rFonts w:ascii="Calibri" w:hAnsi="Calibri" w:eastAsia="宋体" w:cs="Times New Roman"/>
      <w:kern w:val="2"/>
      <w:sz w:val="18"/>
      <w:szCs w:val="18"/>
    </w:rPr>
  </w:style>
  <w:style w:type="character" w:customStyle="1" w:styleId="57">
    <w:name w:val="纯文本 Char"/>
    <w:link w:val="19"/>
    <w:autoRedefine/>
    <w:qFormat/>
    <w:locked/>
    <w:uiPriority w:val="0"/>
    <w:rPr>
      <w:rFonts w:ascii="宋体" w:hAnsi="Courier New" w:eastAsia="宋体" w:cs="Courier New"/>
      <w:kern w:val="2"/>
      <w:sz w:val="21"/>
      <w:szCs w:val="21"/>
    </w:rPr>
  </w:style>
  <w:style w:type="paragraph" w:customStyle="1" w:styleId="58">
    <w:name w:val="需求样式"/>
    <w:basedOn w:val="2"/>
    <w:link w:val="59"/>
    <w:autoRedefine/>
    <w:qFormat/>
    <w:uiPriority w:val="0"/>
    <w:pPr>
      <w:spacing w:before="120" w:after="120" w:line="360" w:lineRule="auto"/>
      <w:ind w:left="425" w:hanging="425"/>
    </w:pPr>
    <w:rPr>
      <w:rFonts w:ascii="Times New Roman" w:hAnsi="Times New Roman"/>
      <w:sz w:val="32"/>
      <w:szCs w:val="28"/>
    </w:rPr>
  </w:style>
  <w:style w:type="character" w:customStyle="1" w:styleId="59">
    <w:name w:val="需求样式 Char"/>
    <w:link w:val="58"/>
    <w:autoRedefine/>
    <w:qFormat/>
    <w:uiPriority w:val="0"/>
    <w:rPr>
      <w:b/>
      <w:bCs/>
      <w:kern w:val="44"/>
      <w:sz w:val="32"/>
      <w:szCs w:val="28"/>
    </w:rPr>
  </w:style>
  <w:style w:type="character" w:customStyle="1" w:styleId="60">
    <w:name w:val="正文缩进 Char"/>
    <w:link w:val="11"/>
    <w:autoRedefine/>
    <w:qFormat/>
    <w:uiPriority w:val="0"/>
    <w:rPr>
      <w:rFonts w:ascii="Calibri" w:hAnsi="Calibri" w:eastAsia="宋体"/>
      <w:kern w:val="2"/>
      <w:sz w:val="21"/>
      <w:szCs w:val="22"/>
      <w:lang w:val="en-US" w:eastAsia="zh-CN" w:bidi="ar-SA"/>
    </w:rPr>
  </w:style>
  <w:style w:type="character" w:customStyle="1" w:styleId="61">
    <w:name w:val="普通文字 Char Char2"/>
    <w:autoRedefine/>
    <w:qFormat/>
    <w:uiPriority w:val="0"/>
    <w:rPr>
      <w:rFonts w:ascii="宋体" w:hAnsi="Courier New" w:cs="Courier New"/>
      <w:kern w:val="2"/>
      <w:sz w:val="21"/>
      <w:szCs w:val="21"/>
    </w:rPr>
  </w:style>
  <w:style w:type="character" w:customStyle="1" w:styleId="62">
    <w:name w:val="批注主题 Char"/>
    <w:link w:val="31"/>
    <w:autoRedefine/>
    <w:qFormat/>
    <w:uiPriority w:val="99"/>
    <w:rPr>
      <w:b/>
      <w:kern w:val="2"/>
      <w:sz w:val="28"/>
    </w:rPr>
  </w:style>
  <w:style w:type="character" w:customStyle="1" w:styleId="63">
    <w:name w:val="批注文字 Char"/>
    <w:basedOn w:val="36"/>
    <w:link w:val="13"/>
    <w:autoRedefine/>
    <w:qFormat/>
    <w:uiPriority w:val="0"/>
    <w:rPr>
      <w:rFonts w:ascii="Calibri" w:hAnsi="Calibri"/>
      <w:kern w:val="2"/>
      <w:sz w:val="21"/>
      <w:szCs w:val="22"/>
    </w:rPr>
  </w:style>
  <w:style w:type="character" w:customStyle="1" w:styleId="64">
    <w:name w:val="批注主题 Char1"/>
    <w:basedOn w:val="63"/>
    <w:autoRedefine/>
    <w:qFormat/>
    <w:uiPriority w:val="0"/>
    <w:rPr>
      <w:rFonts w:ascii="Calibri" w:hAnsi="Calibri"/>
      <w:b/>
      <w:bCs/>
      <w:kern w:val="2"/>
      <w:sz w:val="21"/>
      <w:szCs w:val="22"/>
    </w:rPr>
  </w:style>
  <w:style w:type="character" w:customStyle="1" w:styleId="65">
    <w:name w:val="文档结构图 Char"/>
    <w:basedOn w:val="36"/>
    <w:link w:val="12"/>
    <w:autoRedefine/>
    <w:qFormat/>
    <w:uiPriority w:val="0"/>
    <w:rPr>
      <w:rFonts w:ascii="宋体" w:hAnsi="Calibri"/>
      <w:kern w:val="2"/>
      <w:sz w:val="18"/>
      <w:szCs w:val="18"/>
    </w:rPr>
  </w:style>
  <w:style w:type="paragraph" w:customStyle="1" w:styleId="66">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7">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8">
    <w:name w:val="2册标题2 Char"/>
    <w:link w:val="69"/>
    <w:autoRedefine/>
    <w:qFormat/>
    <w:uiPriority w:val="0"/>
    <w:rPr>
      <w:rFonts w:ascii="Arial" w:hAnsi="Arial" w:eastAsia="黑体"/>
      <w:kern w:val="2"/>
      <w:sz w:val="30"/>
    </w:rPr>
  </w:style>
  <w:style w:type="paragraph" w:customStyle="1" w:styleId="69">
    <w:name w:val="2册标题2"/>
    <w:basedOn w:val="1"/>
    <w:next w:val="1"/>
    <w:link w:val="68"/>
    <w:autoRedefine/>
    <w:qFormat/>
    <w:uiPriority w:val="0"/>
    <w:pPr>
      <w:spacing w:beforeLines="50" w:afterLines="50" w:line="300" w:lineRule="auto"/>
      <w:outlineLvl w:val="1"/>
    </w:pPr>
    <w:rPr>
      <w:rFonts w:ascii="Arial" w:hAnsi="Arial" w:eastAsia="黑体"/>
      <w:sz w:val="30"/>
      <w:szCs w:val="20"/>
    </w:rPr>
  </w:style>
  <w:style w:type="paragraph" w:styleId="70">
    <w:name w:val="List Paragraph"/>
    <w:basedOn w:val="1"/>
    <w:autoRedefine/>
    <w:unhideWhenUsed/>
    <w:qFormat/>
    <w:uiPriority w:val="99"/>
    <w:pPr>
      <w:ind w:firstLine="420" w:firstLineChars="200"/>
    </w:pPr>
  </w:style>
  <w:style w:type="paragraph" w:customStyle="1" w:styleId="7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6"/>
    <w:link w:val="26"/>
    <w:autoRedefine/>
    <w:semiHidden/>
    <w:qFormat/>
    <w:uiPriority w:val="0"/>
    <w:rPr>
      <w:rFonts w:ascii="Calibri" w:hAnsi="Calibri"/>
      <w:kern w:val="2"/>
      <w:sz w:val="16"/>
      <w:szCs w:val="16"/>
    </w:rPr>
  </w:style>
  <w:style w:type="paragraph" w:customStyle="1" w:styleId="7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6">
    <w:name w:val="NormalCharacter"/>
    <w:link w:val="77"/>
    <w:autoRedefine/>
    <w:semiHidden/>
    <w:qFormat/>
    <w:uiPriority w:val="0"/>
    <w:rPr>
      <w:rFonts w:ascii="仿宋_GB2312" w:hAnsi="Calibri" w:eastAsia="仿宋_GB2312" w:cs="Times New Roman"/>
      <w:b/>
      <w:sz w:val="32"/>
      <w:szCs w:val="32"/>
    </w:rPr>
  </w:style>
  <w:style w:type="paragraph" w:customStyle="1" w:styleId="77">
    <w:name w:val="UserStyle_5"/>
    <w:basedOn w:val="1"/>
    <w:link w:val="76"/>
    <w:autoRedefine/>
    <w:qFormat/>
    <w:uiPriority w:val="0"/>
    <w:pPr>
      <w:widowControl/>
      <w:spacing w:after="160" w:line="240" w:lineRule="exact"/>
      <w:jc w:val="left"/>
      <w:textAlignment w:val="baseline"/>
    </w:pPr>
  </w:style>
  <w:style w:type="paragraph" w:customStyle="1" w:styleId="78">
    <w:name w:val="UserStyle_461"/>
    <w:basedOn w:val="1"/>
    <w:link w:val="76"/>
    <w:autoRedefine/>
    <w:qFormat/>
    <w:uiPriority w:val="0"/>
    <w:pPr>
      <w:widowControl/>
      <w:textAlignment w:val="baseline"/>
    </w:pPr>
    <w:rPr>
      <w:rFonts w:ascii="仿宋_GB2312" w:hAnsi="Calibri" w:eastAsia="仿宋_GB2312" w:cs="Times New Roman"/>
      <w:b/>
      <w:sz w:val="32"/>
      <w:szCs w:val="32"/>
    </w:rPr>
  </w:style>
  <w:style w:type="paragraph" w:customStyle="1" w:styleId="79">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0">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1">
    <w:name w:val="正"/>
    <w:basedOn w:val="82"/>
    <w:autoRedefine/>
    <w:qFormat/>
    <w:uiPriority w:val="0"/>
    <w:pPr>
      <w:ind w:firstLine="525"/>
    </w:pPr>
    <w:rPr>
      <w:spacing w:val="20"/>
      <w:szCs w:val="20"/>
    </w:rPr>
  </w:style>
  <w:style w:type="paragraph" w:customStyle="1" w:styleId="82">
    <w:name w:val="正文_1"/>
    <w:basedOn w:val="83"/>
    <w:next w:val="81"/>
    <w:autoRedefine/>
    <w:qFormat/>
    <w:uiPriority w:val="0"/>
    <w:rPr>
      <w:rFonts w:ascii="Calibri" w:hAnsi="Calibri" w:cs="Calibri"/>
      <w:szCs w:val="21"/>
    </w:rPr>
  </w:style>
  <w:style w:type="paragraph" w:customStyle="1" w:styleId="83">
    <w:name w:val="正文_2"/>
    <w:basedOn w:val="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13_0"/>
    <w:next w:val="8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文本_2_0"/>
    <w:basedOn w:val="85"/>
    <w:autoRedefine/>
    <w:qFormat/>
    <w:uiPriority w:val="0"/>
    <w:pPr>
      <w:spacing w:after="120"/>
    </w:pPr>
  </w:style>
  <w:style w:type="paragraph" w:customStyle="1" w:styleId="87">
    <w:name w:val="UserStyle_56"/>
    <w:basedOn w:val="88"/>
    <w:autoRedefine/>
    <w:qFormat/>
    <w:uiPriority w:val="0"/>
    <w:pPr>
      <w:spacing w:after="120"/>
    </w:pPr>
    <w:rPr>
      <w:kern w:val="0"/>
      <w:sz w:val="20"/>
    </w:rPr>
  </w:style>
  <w:style w:type="paragraph" w:customStyle="1" w:styleId="88">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90">
    <w:name w:val="UserStyle_66"/>
    <w:basedOn w:val="9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9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2">
    <w:name w:val="UserStyle_122"/>
    <w:basedOn w:val="9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3">
    <w:name w:val="UserStyle_123"/>
    <w:basedOn w:val="91"/>
    <w:next w:val="9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4">
    <w:name w:val="UserStyle_124"/>
    <w:basedOn w:val="9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5">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6">
    <w:name w:val="UserStyle_125"/>
    <w:basedOn w:val="9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7">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9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00">
    <w:name w:val="null3"/>
    <w:autoRedefine/>
    <w:hidden/>
    <w:qFormat/>
    <w:uiPriority w:val="0"/>
    <w:rPr>
      <w:rFonts w:hint="eastAsia" w:asciiTheme="minorHAnsi" w:hAnsiTheme="minorHAnsi" w:eastAsiaTheme="minorEastAsia" w:cstheme="minorBidi"/>
      <w:lang w:val="en-US" w:eastAsia="zh-Hans"/>
    </w:rPr>
  </w:style>
  <w:style w:type="paragraph" w:customStyle="1" w:styleId="101">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2">
    <w:name w:val="_Style 2"/>
    <w:basedOn w:val="1"/>
    <w:autoRedefine/>
    <w:qFormat/>
    <w:uiPriority w:val="99"/>
    <w:pPr>
      <w:ind w:firstLine="420" w:firstLineChars="200"/>
    </w:pPr>
    <w:rPr>
      <w:rFonts w:ascii="Calibri" w:hAnsi="Calibri" w:eastAsia="宋体" w:cs="Times New Roman"/>
    </w:rPr>
  </w:style>
  <w:style w:type="character" w:customStyle="1" w:styleId="103">
    <w:name w:val="font31"/>
    <w:basedOn w:val="36"/>
    <w:autoRedefine/>
    <w:qFormat/>
    <w:uiPriority w:val="0"/>
    <w:rPr>
      <w:rFonts w:hint="eastAsia" w:ascii="仿宋" w:hAnsi="仿宋" w:eastAsia="仿宋" w:cs="仿宋"/>
      <w:color w:val="000000"/>
      <w:sz w:val="22"/>
      <w:szCs w:val="22"/>
      <w:u w:val="none"/>
    </w:rPr>
  </w:style>
  <w:style w:type="character" w:customStyle="1" w:styleId="104">
    <w:name w:val="font61"/>
    <w:basedOn w:val="36"/>
    <w:autoRedefine/>
    <w:qFormat/>
    <w:uiPriority w:val="0"/>
    <w:rPr>
      <w:rFonts w:hint="eastAsia" w:ascii="微软雅黑" w:hAnsi="微软雅黑" w:eastAsia="微软雅黑" w:cs="微软雅黑"/>
      <w:color w:val="000000"/>
      <w:sz w:val="20"/>
      <w:szCs w:val="20"/>
      <w:u w:val="none"/>
    </w:rPr>
  </w:style>
  <w:style w:type="paragraph" w:customStyle="1" w:styleId="10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autoRedefine/>
    <w:qFormat/>
    <w:uiPriority w:val="0"/>
    <w:pPr>
      <w:spacing w:line="360" w:lineRule="auto"/>
    </w:pPr>
    <w:rPr>
      <w:rFonts w:ascii="仿宋_GB2312" w:eastAsia="仿宋_GB2312"/>
      <w:sz w:val="24"/>
      <w:szCs w:val="20"/>
    </w:rPr>
  </w:style>
  <w:style w:type="paragraph" w:customStyle="1" w:styleId="107">
    <w:name w:val="纯文本1"/>
    <w:basedOn w:val="1"/>
    <w:autoRedefine/>
    <w:qFormat/>
    <w:uiPriority w:val="0"/>
    <w:rPr>
      <w:rFonts w:ascii="宋体" w:hAnsi="Courier New"/>
      <w:kern w:val="0"/>
      <w:sz w:val="20"/>
      <w:szCs w:val="20"/>
    </w:rPr>
  </w:style>
  <w:style w:type="paragraph" w:customStyle="1" w:styleId="108">
    <w:name w:val="正文2"/>
    <w:basedOn w:val="1"/>
    <w:next w:val="1"/>
    <w:qFormat/>
    <w:uiPriority w:val="0"/>
    <w:pPr>
      <w:spacing w:line="520" w:lineRule="exact"/>
      <w:ind w:firstLine="640" w:firstLineChars="200"/>
    </w:pPr>
    <w:rPr>
      <w:rFonts w:eastAsia="仿宋"/>
      <w:sz w:val="32"/>
      <w:szCs w:val="32"/>
    </w:rPr>
  </w:style>
  <w:style w:type="paragraph" w:customStyle="1" w:styleId="109">
    <w:name w:val="正文2b"/>
    <w:basedOn w:val="1"/>
    <w:next w:val="1"/>
    <w:autoRedefine/>
    <w:qFormat/>
    <w:uiPriority w:val="0"/>
    <w:pPr>
      <w:spacing w:line="360" w:lineRule="auto"/>
      <w:ind w:firstLine="200" w:firstLineChars="200"/>
    </w:pPr>
    <w:rPr>
      <w:rFonts w:ascii="仿宋_GB2312" w:eastAsia="仿宋_GB2312"/>
      <w:sz w:val="24"/>
    </w:rPr>
  </w:style>
  <w:style w:type="paragraph" w:customStyle="1" w:styleId="110">
    <w:name w:val="正文2a"/>
    <w:basedOn w:val="109"/>
    <w:next w:val="109"/>
    <w:qFormat/>
    <w:uiPriority w:val="0"/>
    <w:pPr>
      <w:ind w:firstLine="482"/>
    </w:pPr>
    <w:rPr>
      <w:rFonts w:cs="宋体"/>
      <w:b/>
      <w:bCs/>
    </w:rPr>
  </w:style>
  <w:style w:type="paragraph" w:customStyle="1" w:styleId="111">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112">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3">
    <w:name w:val="UserStyle_104"/>
    <w:basedOn w:val="112"/>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14">
    <w:name w:val="UserStyle_106"/>
    <w:basedOn w:val="112"/>
    <w:next w:val="112"/>
    <w:qFormat/>
    <w:uiPriority w:val="0"/>
    <w:pPr>
      <w:spacing w:before="152" w:after="160"/>
      <w:jc w:val="both"/>
      <w:textAlignment w:val="baseline"/>
    </w:pPr>
    <w:rPr>
      <w:rFonts w:ascii="Arial" w:hAnsi="Arial" w:eastAsia="黑体"/>
      <w:kern w:val="2"/>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9281</Words>
  <Characters>10309</Characters>
  <Lines>189</Lines>
  <Paragraphs>53</Paragraphs>
  <TotalTime>4</TotalTime>
  <ScaleCrop>false</ScaleCrop>
  <LinksUpToDate>false</LinksUpToDate>
  <CharactersWithSpaces>10460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2024-08-05T03:20:00Z</cp:lastPrinted>
  <dcterms:modified xsi:type="dcterms:W3CDTF">2025-04-23T08:36:55Z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1F1422B47135464E8D574A6511621E61_13</vt:lpwstr>
  </property>
  <property fmtid="{D5CDD505-2E9C-101B-9397-08002B2CF9AE}" pid="4" name="KSOTemplateDocerSaveRecord">
    <vt:lpwstr>eyJoZGlkIjoiOGY3MjZhOTBlMThhODA4YWFhZjJjMjdhOTJmZTUwYzciLCJ1c2VySWQiOiIyNjMzMDkwNTYifQ==</vt:lpwstr>
  </property>
</Properties>
</file>