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25973E">
      <w:pPr>
        <w:wordWrap w:val="0"/>
        <w:jc w:val="right"/>
        <w:rPr>
          <w:rFonts w:ascii="宋体" w:hAnsi="宋体"/>
        </w:rPr>
      </w:pPr>
      <w:r>
        <w:rPr>
          <w:rFonts w:hint="eastAsia" w:ascii="宋体" w:hAnsi="宋体"/>
        </w:rPr>
        <w:drawing>
          <wp:anchor distT="0" distB="0" distL="114300" distR="114300" simplePos="0" relativeHeight="251659264" behindDoc="0" locked="0" layoutInCell="1" allowOverlap="1">
            <wp:simplePos x="0" y="0"/>
            <wp:positionH relativeFrom="column">
              <wp:posOffset>255905</wp:posOffset>
            </wp:positionH>
            <wp:positionV relativeFrom="paragraph">
              <wp:posOffset>77470</wp:posOffset>
            </wp:positionV>
            <wp:extent cx="746760" cy="786765"/>
            <wp:effectExtent l="19050" t="0" r="0" b="0"/>
            <wp:wrapNone/>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noChangeArrowheads="1"/>
                    </pic:cNvPicPr>
                  </pic:nvPicPr>
                  <pic:blipFill>
                    <a:blip r:embed="rId15"/>
                    <a:stretch>
                      <a:fillRect/>
                    </a:stretch>
                  </pic:blipFill>
                  <pic:spPr>
                    <a:xfrm>
                      <a:off x="0" y="0"/>
                      <a:ext cx="746494" cy="786810"/>
                    </a:xfrm>
                    <a:prstGeom prst="rect">
                      <a:avLst/>
                    </a:prstGeom>
                    <a:noFill/>
                    <a:ln>
                      <a:noFill/>
                    </a:ln>
                  </pic:spPr>
                </pic:pic>
              </a:graphicData>
            </a:graphic>
          </wp:anchor>
        </w:drawing>
      </w:r>
      <w:r>
        <w:rPr>
          <w:rFonts w:hint="eastAsia" w:ascii="宋体" w:hAnsi="宋体"/>
        </w:rPr>
        <w:t>采购项目编号：2025-0319-193022</w:t>
      </w:r>
    </w:p>
    <w:p w14:paraId="31D6926C">
      <w:pPr>
        <w:adjustRightInd w:val="0"/>
        <w:snapToGrid w:val="0"/>
        <w:jc w:val="right"/>
        <w:rPr>
          <w:rFonts w:ascii="宋体" w:hAnsi="宋体"/>
        </w:rPr>
      </w:pPr>
    </w:p>
    <w:p w14:paraId="5CD1217C">
      <w:pPr>
        <w:adjustRightInd w:val="0"/>
        <w:snapToGrid w:val="0"/>
        <w:jc w:val="right"/>
        <w:rPr>
          <w:rFonts w:ascii="宋体" w:hAnsi="宋体"/>
        </w:rPr>
      </w:pPr>
    </w:p>
    <w:p w14:paraId="3DB28719">
      <w:pPr>
        <w:adjustRightInd w:val="0"/>
        <w:snapToGrid w:val="0"/>
        <w:jc w:val="right"/>
        <w:rPr>
          <w:rFonts w:ascii="宋体" w:hAnsi="宋体"/>
        </w:rPr>
      </w:pPr>
    </w:p>
    <w:p w14:paraId="2CDA0A98">
      <w:pPr>
        <w:adjustRightInd w:val="0"/>
        <w:snapToGrid w:val="0"/>
        <w:spacing w:line="480" w:lineRule="exact"/>
        <w:jc w:val="center"/>
        <w:rPr>
          <w:rFonts w:ascii="宋体" w:hAnsi="宋体"/>
          <w:b/>
          <w:bCs w:val="0"/>
        </w:rPr>
      </w:pPr>
      <w:r>
        <w:rPr>
          <w:rFonts w:hint="eastAsia" w:asciiTheme="minorEastAsia" w:hAnsiTheme="minorEastAsia"/>
          <w:b/>
          <w:bCs w:val="0"/>
          <w:sz w:val="48"/>
          <w:szCs w:val="48"/>
        </w:rPr>
        <w:t>竞争性磋商文件</w:t>
      </w:r>
    </w:p>
    <w:p w14:paraId="4ECEC8B9">
      <w:pPr>
        <w:adjustRightInd w:val="0"/>
        <w:snapToGrid w:val="0"/>
        <w:spacing w:line="480" w:lineRule="exact"/>
        <w:jc w:val="center"/>
        <w:rPr>
          <w:rFonts w:ascii="宋体" w:hAnsi="宋体"/>
          <w:bCs/>
          <w:sz w:val="36"/>
          <w:szCs w:val="36"/>
        </w:rPr>
      </w:pPr>
      <w:r>
        <w:rPr>
          <w:rFonts w:hint="eastAsia" w:ascii="宋体" w:hAnsi="宋体"/>
          <w:bCs/>
          <w:sz w:val="36"/>
          <w:szCs w:val="36"/>
        </w:rPr>
        <w:t>（</w:t>
      </w:r>
      <w:r>
        <w:rPr>
          <w:rFonts w:hint="eastAsia" w:asciiTheme="minorEastAsia" w:hAnsiTheme="minorEastAsia"/>
          <w:bCs/>
          <w:sz w:val="36"/>
          <w:szCs w:val="36"/>
        </w:rPr>
        <w:t>政府采购工程</w:t>
      </w:r>
      <w:r>
        <w:rPr>
          <w:rFonts w:ascii="宋体" w:hAnsi="宋体"/>
          <w:bCs/>
          <w:sz w:val="36"/>
          <w:szCs w:val="36"/>
        </w:rPr>
        <w:t>）</w:t>
      </w:r>
    </w:p>
    <w:p w14:paraId="25135BBB">
      <w:pPr>
        <w:adjustRightInd w:val="0"/>
        <w:snapToGrid w:val="0"/>
        <w:spacing w:line="480" w:lineRule="exact"/>
        <w:jc w:val="center"/>
        <w:rPr>
          <w:rFonts w:asciiTheme="minorEastAsia" w:hAnsiTheme="minorEastAsia"/>
          <w:bCs/>
          <w:sz w:val="32"/>
          <w:szCs w:val="32"/>
        </w:rPr>
      </w:pPr>
    </w:p>
    <w:p w14:paraId="375AC0FC">
      <w:pPr>
        <w:adjustRightInd w:val="0"/>
        <w:snapToGrid w:val="0"/>
        <w:spacing w:line="480" w:lineRule="exact"/>
        <w:rPr>
          <w:rFonts w:hint="eastAsia" w:eastAsia="宋体" w:asciiTheme="minorEastAsia" w:hAnsiTheme="minorEastAsia"/>
          <w:bCs/>
          <w:sz w:val="32"/>
          <w:szCs w:val="32"/>
          <w:lang w:eastAsia="zh-CN"/>
        </w:rPr>
      </w:pPr>
      <w:r>
        <w:rPr>
          <w:rFonts w:hint="eastAsia" w:asciiTheme="minorEastAsia" w:hAnsiTheme="minorEastAsia"/>
          <w:bCs/>
          <w:sz w:val="32"/>
          <w:szCs w:val="32"/>
        </w:rPr>
        <w:t>项目名称：</w:t>
      </w:r>
      <w:r>
        <w:rPr>
          <w:rFonts w:hint="eastAsia" w:asciiTheme="minorEastAsia" w:hAnsiTheme="minorEastAsia"/>
          <w:bCs/>
          <w:sz w:val="32"/>
          <w:szCs w:val="32"/>
          <w:lang w:eastAsia="zh-CN"/>
        </w:rPr>
        <w:t>乌鲁木齐市天山区教育局碱泉街幼儿园工程-10KV配电工程</w:t>
      </w:r>
    </w:p>
    <w:p w14:paraId="616A36CB">
      <w:pPr>
        <w:adjustRightInd w:val="0"/>
        <w:snapToGrid w:val="0"/>
        <w:spacing w:line="480" w:lineRule="exact"/>
        <w:rPr>
          <w:rFonts w:asciiTheme="minorEastAsia" w:hAnsiTheme="minorEastAsia"/>
          <w:bCs/>
          <w:sz w:val="32"/>
          <w:szCs w:val="32"/>
        </w:rPr>
      </w:pPr>
    </w:p>
    <w:p w14:paraId="52881D64">
      <w:pPr>
        <w:adjustRightInd w:val="0"/>
        <w:snapToGrid w:val="0"/>
        <w:spacing w:line="480" w:lineRule="exact"/>
        <w:rPr>
          <w:rFonts w:hint="eastAsia" w:eastAsia="宋体" w:asciiTheme="minorEastAsia" w:hAnsiTheme="minorEastAsia"/>
          <w:bCs/>
          <w:sz w:val="32"/>
          <w:szCs w:val="32"/>
          <w:lang w:eastAsia="zh-CN"/>
        </w:rPr>
      </w:pPr>
      <w:r>
        <w:rPr>
          <w:rFonts w:hint="eastAsia" w:asciiTheme="minorEastAsia" w:hAnsiTheme="minorEastAsia"/>
          <w:bCs/>
          <w:sz w:val="32"/>
          <w:szCs w:val="32"/>
        </w:rPr>
        <w:t>采购人</w:t>
      </w:r>
      <w:r>
        <w:rPr>
          <w:rFonts w:asciiTheme="minorEastAsia" w:hAnsiTheme="minorEastAsia"/>
          <w:bCs/>
          <w:sz w:val="32"/>
          <w:szCs w:val="32"/>
        </w:rPr>
        <w:t>(</w:t>
      </w:r>
      <w:r>
        <w:rPr>
          <w:rFonts w:hint="eastAsia" w:asciiTheme="minorEastAsia" w:hAnsiTheme="minorEastAsia"/>
          <w:bCs/>
          <w:sz w:val="32"/>
          <w:szCs w:val="32"/>
        </w:rPr>
        <w:t>盖章</w:t>
      </w:r>
      <w:r>
        <w:rPr>
          <w:rFonts w:asciiTheme="minorEastAsia" w:hAnsiTheme="minorEastAsia"/>
          <w:bCs/>
          <w:sz w:val="32"/>
          <w:szCs w:val="32"/>
        </w:rPr>
        <w:t>)</w:t>
      </w:r>
      <w:r>
        <w:rPr>
          <w:rFonts w:hint="eastAsia" w:asciiTheme="minorEastAsia" w:hAnsiTheme="minorEastAsia"/>
          <w:bCs/>
          <w:sz w:val="32"/>
          <w:szCs w:val="32"/>
        </w:rPr>
        <w:t>：</w:t>
      </w:r>
      <w:r>
        <w:rPr>
          <w:rFonts w:hint="eastAsia" w:asciiTheme="minorEastAsia" w:hAnsiTheme="minorEastAsia"/>
          <w:bCs/>
          <w:sz w:val="32"/>
          <w:szCs w:val="32"/>
          <w:lang w:eastAsia="zh-CN"/>
        </w:rPr>
        <w:t>乌鲁木齐市天山区教育局</w:t>
      </w:r>
    </w:p>
    <w:p w14:paraId="547239F9">
      <w:pPr>
        <w:adjustRightInd w:val="0"/>
        <w:snapToGrid w:val="0"/>
        <w:spacing w:line="480" w:lineRule="exact"/>
        <w:rPr>
          <w:rFonts w:asciiTheme="minorEastAsia" w:hAnsiTheme="minorEastAsia"/>
          <w:bCs/>
          <w:sz w:val="32"/>
          <w:szCs w:val="32"/>
        </w:rPr>
      </w:pPr>
    </w:p>
    <w:p w14:paraId="6386BEF9">
      <w:pPr>
        <w:adjustRightInd w:val="0"/>
        <w:snapToGrid w:val="0"/>
        <w:spacing w:line="480" w:lineRule="exact"/>
        <w:rPr>
          <w:rFonts w:asciiTheme="minorEastAsia" w:hAnsiTheme="minorEastAsia"/>
          <w:bCs/>
          <w:sz w:val="32"/>
          <w:szCs w:val="32"/>
        </w:rPr>
      </w:pPr>
      <w:r>
        <w:rPr>
          <w:rFonts w:hint="eastAsia" w:asciiTheme="minorEastAsia" w:hAnsiTheme="minorEastAsia"/>
          <w:bCs/>
          <w:sz w:val="32"/>
          <w:szCs w:val="32"/>
        </w:rPr>
        <w:t>法定代表人</w:t>
      </w:r>
      <w:r>
        <w:rPr>
          <w:rFonts w:asciiTheme="minorEastAsia" w:hAnsiTheme="minorEastAsia"/>
          <w:bCs/>
          <w:sz w:val="32"/>
          <w:szCs w:val="32"/>
        </w:rPr>
        <w:t>(</w:t>
      </w:r>
      <w:r>
        <w:rPr>
          <w:rFonts w:hint="eastAsia" w:asciiTheme="minorEastAsia" w:hAnsiTheme="minorEastAsia"/>
          <w:bCs/>
          <w:sz w:val="32"/>
          <w:szCs w:val="32"/>
        </w:rPr>
        <w:t>盖章</w:t>
      </w:r>
      <w:r>
        <w:rPr>
          <w:rFonts w:asciiTheme="minorEastAsia" w:hAnsiTheme="minorEastAsia"/>
          <w:bCs/>
          <w:sz w:val="32"/>
          <w:szCs w:val="32"/>
        </w:rPr>
        <w:t>)</w:t>
      </w:r>
      <w:r>
        <w:rPr>
          <w:rFonts w:hint="eastAsia" w:asciiTheme="minorEastAsia" w:hAnsiTheme="minorEastAsia"/>
          <w:bCs/>
          <w:sz w:val="32"/>
          <w:szCs w:val="32"/>
        </w:rPr>
        <w:t>：</w:t>
      </w:r>
    </w:p>
    <w:p w14:paraId="0028E617">
      <w:pPr>
        <w:adjustRightInd w:val="0"/>
        <w:snapToGrid w:val="0"/>
        <w:spacing w:line="480" w:lineRule="exact"/>
        <w:rPr>
          <w:rFonts w:asciiTheme="minorEastAsia" w:hAnsiTheme="minorEastAsia"/>
          <w:bCs/>
          <w:sz w:val="32"/>
          <w:szCs w:val="32"/>
        </w:rPr>
      </w:pPr>
    </w:p>
    <w:p w14:paraId="05CA177B">
      <w:pPr>
        <w:adjustRightInd w:val="0"/>
        <w:snapToGrid w:val="0"/>
        <w:spacing w:line="480" w:lineRule="exact"/>
        <w:rPr>
          <w:rFonts w:asciiTheme="minorEastAsia" w:hAnsiTheme="minorEastAsia"/>
          <w:bCs/>
          <w:sz w:val="32"/>
          <w:szCs w:val="32"/>
        </w:rPr>
      </w:pPr>
      <w:r>
        <w:rPr>
          <w:rFonts w:hint="eastAsia" w:asciiTheme="minorEastAsia" w:hAnsiTheme="minorEastAsia"/>
          <w:bCs/>
          <w:sz w:val="32"/>
          <w:szCs w:val="32"/>
        </w:rPr>
        <w:t>联系人：蔺杨</w:t>
      </w:r>
    </w:p>
    <w:p w14:paraId="647F015C">
      <w:pPr>
        <w:adjustRightInd w:val="0"/>
        <w:snapToGrid w:val="0"/>
        <w:spacing w:line="480" w:lineRule="exact"/>
        <w:rPr>
          <w:rFonts w:asciiTheme="minorEastAsia" w:hAnsiTheme="minorEastAsia"/>
          <w:bCs/>
          <w:sz w:val="32"/>
          <w:szCs w:val="32"/>
        </w:rPr>
      </w:pPr>
    </w:p>
    <w:p w14:paraId="400FB21B">
      <w:pPr>
        <w:adjustRightInd w:val="0"/>
        <w:snapToGrid w:val="0"/>
        <w:spacing w:line="480" w:lineRule="exact"/>
        <w:rPr>
          <w:rFonts w:asciiTheme="minorEastAsia" w:hAnsiTheme="minorEastAsia"/>
          <w:bCs/>
          <w:sz w:val="32"/>
          <w:szCs w:val="32"/>
        </w:rPr>
      </w:pPr>
      <w:r>
        <w:rPr>
          <w:rFonts w:hint="eastAsia" w:asciiTheme="minorEastAsia" w:hAnsiTheme="minorEastAsia"/>
          <w:bCs/>
          <w:sz w:val="32"/>
          <w:szCs w:val="32"/>
        </w:rPr>
        <w:t>电话：0991-8861486</w:t>
      </w:r>
    </w:p>
    <w:p w14:paraId="4E8704C4">
      <w:pPr>
        <w:adjustRightInd w:val="0"/>
        <w:snapToGrid w:val="0"/>
        <w:spacing w:line="480" w:lineRule="exact"/>
        <w:rPr>
          <w:rFonts w:asciiTheme="minorEastAsia" w:hAnsiTheme="minorEastAsia"/>
          <w:bCs/>
          <w:sz w:val="32"/>
          <w:szCs w:val="32"/>
        </w:rPr>
      </w:pPr>
    </w:p>
    <w:p w14:paraId="30ADA838">
      <w:pPr>
        <w:adjustRightInd w:val="0"/>
        <w:snapToGrid w:val="0"/>
        <w:spacing w:line="480" w:lineRule="exact"/>
        <w:rPr>
          <w:rFonts w:asciiTheme="minorEastAsia" w:hAnsiTheme="minorEastAsia"/>
          <w:bCs/>
          <w:kern w:val="0"/>
          <w:sz w:val="32"/>
          <w:szCs w:val="32"/>
        </w:rPr>
      </w:pPr>
      <w:r>
        <w:rPr>
          <w:rFonts w:asciiTheme="minorEastAsia" w:hAnsiTheme="minorEastAsia"/>
          <w:bCs/>
          <w:kern w:val="0"/>
          <w:sz w:val="32"/>
          <w:szCs w:val="32"/>
        </w:rPr>
        <w:t>—————————————————————————————</w:t>
      </w:r>
    </w:p>
    <w:p w14:paraId="2C2F38FF">
      <w:pPr>
        <w:adjustRightInd w:val="0"/>
        <w:snapToGrid w:val="0"/>
        <w:spacing w:line="480" w:lineRule="exact"/>
        <w:rPr>
          <w:rFonts w:asciiTheme="minorEastAsia" w:hAnsiTheme="minorEastAsia"/>
          <w:bCs/>
          <w:sz w:val="32"/>
          <w:szCs w:val="32"/>
        </w:rPr>
      </w:pPr>
      <w:r>
        <w:rPr>
          <w:rFonts w:hint="eastAsia" w:asciiTheme="minorEastAsia" w:hAnsiTheme="minorEastAsia"/>
          <w:bCs/>
          <w:sz w:val="32"/>
          <w:szCs w:val="32"/>
        </w:rPr>
        <w:t>采购代理机构</w:t>
      </w:r>
      <w:r>
        <w:rPr>
          <w:rFonts w:asciiTheme="minorEastAsia" w:hAnsiTheme="minorEastAsia"/>
          <w:sz w:val="32"/>
          <w:szCs w:val="32"/>
        </w:rPr>
        <w:t>(</w:t>
      </w:r>
      <w:r>
        <w:rPr>
          <w:rFonts w:hint="eastAsia" w:asciiTheme="minorEastAsia" w:hAnsiTheme="minorEastAsia"/>
          <w:sz w:val="32"/>
          <w:szCs w:val="32"/>
        </w:rPr>
        <w:t>盖章</w:t>
      </w:r>
      <w:r>
        <w:rPr>
          <w:rFonts w:asciiTheme="minorEastAsia" w:hAnsiTheme="minorEastAsia"/>
          <w:sz w:val="32"/>
          <w:szCs w:val="32"/>
        </w:rPr>
        <w:t>)</w:t>
      </w:r>
      <w:r>
        <w:rPr>
          <w:rFonts w:hint="eastAsia" w:asciiTheme="minorEastAsia" w:hAnsiTheme="minorEastAsia"/>
          <w:bCs/>
          <w:sz w:val="32"/>
          <w:szCs w:val="32"/>
        </w:rPr>
        <w:t>：新疆锐智时代建设工程项目管理有限公司</w:t>
      </w:r>
    </w:p>
    <w:p w14:paraId="4189B21D">
      <w:pPr>
        <w:adjustRightInd w:val="0"/>
        <w:snapToGrid w:val="0"/>
        <w:spacing w:line="480" w:lineRule="exact"/>
        <w:jc w:val="center"/>
        <w:rPr>
          <w:rFonts w:asciiTheme="minorEastAsia" w:hAnsiTheme="minorEastAsia"/>
          <w:bCs/>
          <w:sz w:val="32"/>
          <w:szCs w:val="32"/>
        </w:rPr>
      </w:pPr>
    </w:p>
    <w:p w14:paraId="2370E510">
      <w:pPr>
        <w:adjustRightInd w:val="0"/>
        <w:snapToGrid w:val="0"/>
        <w:spacing w:line="480" w:lineRule="exact"/>
        <w:rPr>
          <w:rFonts w:asciiTheme="minorEastAsia" w:hAnsiTheme="minorEastAsia"/>
          <w:bCs/>
          <w:sz w:val="32"/>
          <w:szCs w:val="32"/>
        </w:rPr>
      </w:pPr>
      <w:r>
        <w:rPr>
          <w:rFonts w:hint="eastAsia" w:asciiTheme="minorEastAsia" w:hAnsiTheme="minorEastAsia"/>
          <w:bCs/>
          <w:sz w:val="32"/>
          <w:szCs w:val="32"/>
        </w:rPr>
        <w:t>法定代表人</w:t>
      </w:r>
      <w:r>
        <w:rPr>
          <w:rFonts w:asciiTheme="minorEastAsia" w:hAnsiTheme="minorEastAsia"/>
          <w:bCs/>
          <w:sz w:val="32"/>
          <w:szCs w:val="32"/>
        </w:rPr>
        <w:t>(</w:t>
      </w:r>
      <w:r>
        <w:rPr>
          <w:rFonts w:hint="eastAsia" w:asciiTheme="minorEastAsia" w:hAnsiTheme="minorEastAsia"/>
          <w:bCs/>
          <w:sz w:val="32"/>
          <w:szCs w:val="32"/>
        </w:rPr>
        <w:t>盖章</w:t>
      </w:r>
      <w:r>
        <w:rPr>
          <w:rFonts w:asciiTheme="minorEastAsia" w:hAnsiTheme="minorEastAsia"/>
          <w:bCs/>
          <w:sz w:val="32"/>
          <w:szCs w:val="32"/>
        </w:rPr>
        <w:t>)</w:t>
      </w:r>
      <w:r>
        <w:rPr>
          <w:rFonts w:hint="eastAsia" w:asciiTheme="minorEastAsia" w:hAnsiTheme="minorEastAsia"/>
          <w:bCs/>
          <w:sz w:val="32"/>
          <w:szCs w:val="32"/>
        </w:rPr>
        <w:t xml:space="preserve">： </w:t>
      </w:r>
    </w:p>
    <w:p w14:paraId="1BA9825F">
      <w:pPr>
        <w:adjustRightInd w:val="0"/>
        <w:snapToGrid w:val="0"/>
        <w:spacing w:line="480" w:lineRule="exact"/>
        <w:jc w:val="center"/>
        <w:rPr>
          <w:rFonts w:asciiTheme="minorEastAsia" w:hAnsiTheme="minorEastAsia"/>
          <w:bCs/>
          <w:sz w:val="32"/>
          <w:szCs w:val="32"/>
        </w:rPr>
      </w:pPr>
    </w:p>
    <w:p w14:paraId="34B8256C">
      <w:pPr>
        <w:adjustRightInd w:val="0"/>
        <w:snapToGrid w:val="0"/>
        <w:spacing w:line="480" w:lineRule="exact"/>
        <w:rPr>
          <w:rFonts w:hint="eastAsia" w:eastAsia="宋体" w:asciiTheme="minorEastAsia" w:hAnsiTheme="minorEastAsia"/>
          <w:bCs/>
          <w:sz w:val="32"/>
          <w:szCs w:val="32"/>
          <w:lang w:eastAsia="zh-CN"/>
        </w:rPr>
      </w:pPr>
      <w:r>
        <w:rPr>
          <w:rFonts w:hint="eastAsia" w:asciiTheme="minorEastAsia" w:hAnsiTheme="minorEastAsia"/>
          <w:bCs/>
          <w:sz w:val="32"/>
          <w:szCs w:val="32"/>
        </w:rPr>
        <w:t>联系人：</w:t>
      </w:r>
      <w:r>
        <w:rPr>
          <w:rFonts w:hint="eastAsia" w:asciiTheme="minorEastAsia" w:hAnsiTheme="minorEastAsia"/>
          <w:bCs/>
          <w:sz w:val="32"/>
          <w:szCs w:val="32"/>
          <w:lang w:eastAsia="zh-CN"/>
        </w:rPr>
        <w:t>王芳</w:t>
      </w:r>
    </w:p>
    <w:p w14:paraId="2BCFE686">
      <w:pPr>
        <w:adjustRightInd w:val="0"/>
        <w:snapToGrid w:val="0"/>
        <w:spacing w:line="480" w:lineRule="exact"/>
        <w:rPr>
          <w:rFonts w:asciiTheme="minorEastAsia" w:hAnsiTheme="minorEastAsia"/>
          <w:bCs/>
          <w:sz w:val="32"/>
          <w:szCs w:val="32"/>
        </w:rPr>
      </w:pPr>
    </w:p>
    <w:p w14:paraId="3208D9FD">
      <w:pPr>
        <w:adjustRightInd w:val="0"/>
        <w:snapToGrid w:val="0"/>
        <w:spacing w:line="480" w:lineRule="exact"/>
        <w:rPr>
          <w:rFonts w:hint="eastAsia" w:eastAsia="宋体" w:asciiTheme="minorEastAsia" w:hAnsiTheme="minorEastAsia"/>
          <w:bCs/>
          <w:sz w:val="32"/>
          <w:szCs w:val="32"/>
          <w:lang w:eastAsia="zh-CN"/>
        </w:rPr>
      </w:pPr>
      <w:r>
        <w:rPr>
          <w:rFonts w:hint="eastAsia" w:asciiTheme="minorEastAsia" w:hAnsiTheme="minorEastAsia"/>
          <w:bCs/>
          <w:sz w:val="32"/>
          <w:szCs w:val="32"/>
        </w:rPr>
        <w:t>电话：</w:t>
      </w:r>
      <w:r>
        <w:rPr>
          <w:rFonts w:hint="eastAsia" w:asciiTheme="minorEastAsia" w:hAnsiTheme="minorEastAsia"/>
          <w:bCs/>
          <w:sz w:val="32"/>
          <w:szCs w:val="32"/>
          <w:lang w:eastAsia="zh-CN"/>
        </w:rPr>
        <w:t>17690920122</w:t>
      </w:r>
    </w:p>
    <w:p w14:paraId="6680DA61">
      <w:pPr>
        <w:adjustRightInd w:val="0"/>
        <w:snapToGrid w:val="0"/>
        <w:spacing w:line="480" w:lineRule="exact"/>
        <w:jc w:val="center"/>
        <w:rPr>
          <w:rFonts w:asciiTheme="minorEastAsia" w:hAnsiTheme="minorEastAsia"/>
          <w:bCs/>
          <w:sz w:val="32"/>
          <w:szCs w:val="32"/>
        </w:rPr>
      </w:pPr>
    </w:p>
    <w:p w14:paraId="1875BAC8">
      <w:pPr>
        <w:adjustRightInd w:val="0"/>
        <w:snapToGrid w:val="0"/>
        <w:spacing w:line="480" w:lineRule="exact"/>
        <w:rPr>
          <w:rFonts w:asciiTheme="minorEastAsia" w:hAnsiTheme="minorEastAsia"/>
          <w:bCs/>
          <w:sz w:val="32"/>
          <w:szCs w:val="32"/>
        </w:rPr>
      </w:pPr>
      <w:r>
        <w:rPr>
          <w:rFonts w:hint="eastAsia" w:asciiTheme="minorEastAsia" w:hAnsiTheme="minorEastAsia"/>
          <w:bCs/>
          <w:sz w:val="32"/>
          <w:szCs w:val="32"/>
        </w:rPr>
        <w:t>详细地址：乌鲁木齐市水磨沟区立井街丽景名都10号楼21楼2115室</w:t>
      </w:r>
    </w:p>
    <w:p w14:paraId="547352A5">
      <w:pPr>
        <w:adjustRightInd w:val="0"/>
        <w:snapToGrid w:val="0"/>
        <w:spacing w:line="480" w:lineRule="exact"/>
        <w:rPr>
          <w:rFonts w:asciiTheme="minorEastAsia" w:hAnsiTheme="minorEastAsia"/>
          <w:bCs/>
          <w:sz w:val="32"/>
          <w:szCs w:val="32"/>
        </w:rPr>
      </w:pPr>
    </w:p>
    <w:p w14:paraId="711A4DA8">
      <w:pPr>
        <w:jc w:val="center"/>
        <w:rPr>
          <w:rFonts w:hint="eastAsia"/>
        </w:rPr>
        <w:sectPr>
          <w:headerReference r:id="rId4" w:type="first"/>
          <w:headerReference r:id="rId3" w:type="default"/>
          <w:footerReference r:id="rId5" w:type="default"/>
          <w:footerReference r:id="rId6" w:type="even"/>
          <w:pgSz w:w="11907" w:h="16840"/>
          <w:pgMar w:top="1418" w:right="1134" w:bottom="1418" w:left="1134" w:header="851" w:footer="992" w:gutter="0"/>
          <w:pgNumType w:start="1"/>
          <w:cols w:space="720" w:num="1"/>
          <w:docGrid w:type="lines" w:linePitch="312" w:charSpace="0"/>
        </w:sectPr>
      </w:pPr>
    </w:p>
    <w:p w14:paraId="0C6F06BF">
      <w:pPr>
        <w:jc w:val="center"/>
      </w:pPr>
      <w:r>
        <w:rPr>
          <w:rFonts w:hint="eastAsia"/>
        </w:rPr>
        <w:t>目录</w:t>
      </w:r>
    </w:p>
    <w:p w14:paraId="7EDD9BE7">
      <w:pPr>
        <w:pStyle w:val="31"/>
        <w:tabs>
          <w:tab w:val="right" w:leader="dot" w:pos="9639"/>
        </w:tabs>
      </w:pPr>
      <w:r>
        <w:rPr>
          <w:rFonts w:hint="eastAsia" w:ascii="宋体" w:hAnsi="宋体" w:cs="宋体"/>
          <w:caps/>
          <w:sz w:val="24"/>
          <w:szCs w:val="20"/>
        </w:rPr>
        <w:fldChar w:fldCharType="begin"/>
      </w:r>
      <w:r>
        <w:rPr>
          <w:rFonts w:hint="eastAsia" w:ascii="宋体" w:hAnsi="宋体" w:cs="宋体"/>
          <w:sz w:val="24"/>
        </w:rPr>
        <w:instrText xml:space="preserve">TOC \o "1-3" \h \u </w:instrText>
      </w:r>
      <w:r>
        <w:rPr>
          <w:rFonts w:hint="eastAsia" w:ascii="宋体" w:hAnsi="宋体" w:cs="宋体"/>
          <w:caps/>
          <w:sz w:val="24"/>
          <w:szCs w:val="20"/>
        </w:rPr>
        <w:fldChar w:fldCharType="separate"/>
      </w:r>
      <w:r>
        <w:rPr>
          <w:rFonts w:hint="eastAsia" w:ascii="宋体" w:hAnsi="宋体" w:cs="宋体"/>
          <w:caps/>
          <w:szCs w:val="20"/>
        </w:rPr>
        <w:fldChar w:fldCharType="begin"/>
      </w:r>
      <w:r>
        <w:rPr>
          <w:rFonts w:hint="eastAsia" w:ascii="宋体" w:hAnsi="宋体" w:cs="宋体"/>
          <w:caps/>
          <w:szCs w:val="20"/>
        </w:rPr>
        <w:instrText xml:space="preserve"> HYPERLINK \l _Toc23811 </w:instrText>
      </w:r>
      <w:r>
        <w:rPr>
          <w:rFonts w:hint="eastAsia" w:ascii="宋体" w:hAnsi="宋体" w:cs="宋体"/>
          <w:caps/>
          <w:szCs w:val="20"/>
        </w:rPr>
        <w:fldChar w:fldCharType="separate"/>
      </w:r>
      <w:r>
        <w:rPr>
          <w:rFonts w:ascii="宋体" w:hAnsi="宋体" w:cs="宋体"/>
          <w:szCs w:val="24"/>
        </w:rPr>
        <w:t>供应商须知前附表</w:t>
      </w:r>
      <w:r>
        <w:tab/>
      </w:r>
      <w:r>
        <w:fldChar w:fldCharType="begin"/>
      </w:r>
      <w:r>
        <w:instrText xml:space="preserve"> PAGEREF _Toc23811 \h </w:instrText>
      </w:r>
      <w:r>
        <w:fldChar w:fldCharType="separate"/>
      </w:r>
      <w:r>
        <w:t>5</w:t>
      </w:r>
      <w:r>
        <w:fldChar w:fldCharType="end"/>
      </w:r>
      <w:r>
        <w:rPr>
          <w:rFonts w:hint="eastAsia" w:ascii="宋体" w:hAnsi="宋体" w:cs="宋体"/>
          <w:caps/>
          <w:szCs w:val="20"/>
        </w:rPr>
        <w:fldChar w:fldCharType="end"/>
      </w:r>
    </w:p>
    <w:p w14:paraId="513E7A12">
      <w:pPr>
        <w:pStyle w:val="31"/>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_Toc8069 </w:instrText>
      </w:r>
      <w:r>
        <w:rPr>
          <w:rFonts w:hint="eastAsia" w:ascii="宋体" w:hAnsi="宋体" w:cs="宋体"/>
          <w:bCs/>
          <w:szCs w:val="24"/>
        </w:rPr>
        <w:fldChar w:fldCharType="separate"/>
      </w:r>
      <w:r>
        <w:rPr>
          <w:rFonts w:hint="eastAsia" w:ascii="宋体" w:hAnsi="宋体" w:cs="宋体"/>
          <w:szCs w:val="21"/>
        </w:rPr>
        <w:t>第一章  供应商须知</w:t>
      </w:r>
      <w:r>
        <w:tab/>
      </w:r>
      <w:r>
        <w:fldChar w:fldCharType="begin"/>
      </w:r>
      <w:r>
        <w:instrText xml:space="preserve"> PAGEREF _Toc8069 \h </w:instrText>
      </w:r>
      <w:r>
        <w:fldChar w:fldCharType="separate"/>
      </w:r>
      <w:r>
        <w:t>9</w:t>
      </w:r>
      <w:r>
        <w:fldChar w:fldCharType="end"/>
      </w:r>
      <w:r>
        <w:rPr>
          <w:rFonts w:hint="eastAsia" w:ascii="宋体" w:hAnsi="宋体" w:cs="宋体"/>
          <w:bCs/>
          <w:szCs w:val="24"/>
        </w:rPr>
        <w:fldChar w:fldCharType="end"/>
      </w:r>
    </w:p>
    <w:p w14:paraId="05C14C1B">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_Toc2235 </w:instrText>
      </w:r>
      <w:r>
        <w:rPr>
          <w:rFonts w:hint="eastAsia" w:ascii="宋体" w:hAnsi="宋体" w:cs="宋体"/>
          <w:bCs/>
          <w:szCs w:val="24"/>
        </w:rPr>
        <w:fldChar w:fldCharType="separate"/>
      </w:r>
      <w:r>
        <w:rPr>
          <w:rFonts w:ascii="宋体" w:hAnsi="宋体" w:cs="宋体"/>
          <w:szCs w:val="21"/>
        </w:rPr>
        <w:t>1．总则</w:t>
      </w:r>
      <w:r>
        <w:tab/>
      </w:r>
      <w:r>
        <w:fldChar w:fldCharType="begin"/>
      </w:r>
      <w:r>
        <w:instrText xml:space="preserve"> PAGEREF _Toc2235 \h </w:instrText>
      </w:r>
      <w:r>
        <w:fldChar w:fldCharType="separate"/>
      </w:r>
      <w:r>
        <w:t>9</w:t>
      </w:r>
      <w:r>
        <w:fldChar w:fldCharType="end"/>
      </w:r>
      <w:r>
        <w:rPr>
          <w:rFonts w:hint="eastAsia" w:ascii="宋体" w:hAnsi="宋体" w:cs="宋体"/>
          <w:bCs/>
          <w:szCs w:val="24"/>
        </w:rPr>
        <w:fldChar w:fldCharType="end"/>
      </w:r>
    </w:p>
    <w:p w14:paraId="03D5A407">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_Toc13653 </w:instrText>
      </w:r>
      <w:r>
        <w:rPr>
          <w:rFonts w:hint="eastAsia" w:ascii="宋体" w:hAnsi="宋体" w:cs="宋体"/>
          <w:bCs/>
          <w:szCs w:val="24"/>
        </w:rPr>
        <w:fldChar w:fldCharType="separate"/>
      </w:r>
      <w:r>
        <w:rPr>
          <w:rFonts w:ascii="宋体" w:hAnsi="宋体" w:cs="宋体"/>
          <w:szCs w:val="21"/>
        </w:rPr>
        <w:t>2．竞争性磋商文件</w:t>
      </w:r>
      <w:r>
        <w:tab/>
      </w:r>
      <w:r>
        <w:fldChar w:fldCharType="begin"/>
      </w:r>
      <w:r>
        <w:instrText xml:space="preserve"> PAGEREF _Toc13653 \h </w:instrText>
      </w:r>
      <w:r>
        <w:fldChar w:fldCharType="separate"/>
      </w:r>
      <w:r>
        <w:t>10</w:t>
      </w:r>
      <w:r>
        <w:fldChar w:fldCharType="end"/>
      </w:r>
      <w:r>
        <w:rPr>
          <w:rFonts w:hint="eastAsia" w:ascii="宋体" w:hAnsi="宋体" w:cs="宋体"/>
          <w:bCs/>
          <w:szCs w:val="24"/>
        </w:rPr>
        <w:fldChar w:fldCharType="end"/>
      </w:r>
    </w:p>
    <w:p w14:paraId="46F84FF5">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_Toc18306 </w:instrText>
      </w:r>
      <w:r>
        <w:rPr>
          <w:rFonts w:hint="eastAsia" w:ascii="宋体" w:hAnsi="宋体" w:cs="宋体"/>
          <w:bCs/>
          <w:szCs w:val="24"/>
        </w:rPr>
        <w:fldChar w:fldCharType="separate"/>
      </w:r>
      <w:r>
        <w:rPr>
          <w:rFonts w:ascii="宋体" w:hAnsi="宋体" w:cs="宋体"/>
          <w:szCs w:val="21"/>
        </w:rPr>
        <w:t>3．</w:t>
      </w:r>
      <w:r>
        <w:rPr>
          <w:rFonts w:hint="eastAsia" w:ascii="宋体" w:hAnsi="宋体" w:cs="宋体"/>
          <w:szCs w:val="21"/>
        </w:rPr>
        <w:t>竞争性磋商</w:t>
      </w:r>
      <w:r>
        <w:rPr>
          <w:rFonts w:ascii="宋体" w:hAnsi="宋体" w:cs="宋体"/>
          <w:szCs w:val="21"/>
        </w:rPr>
        <w:t>响应文件</w:t>
      </w:r>
      <w:r>
        <w:tab/>
      </w:r>
      <w:r>
        <w:fldChar w:fldCharType="begin"/>
      </w:r>
      <w:r>
        <w:instrText xml:space="preserve"> PAGEREF _Toc18306 \h </w:instrText>
      </w:r>
      <w:r>
        <w:fldChar w:fldCharType="separate"/>
      </w:r>
      <w:r>
        <w:t>11</w:t>
      </w:r>
      <w:r>
        <w:fldChar w:fldCharType="end"/>
      </w:r>
      <w:r>
        <w:rPr>
          <w:rFonts w:hint="eastAsia" w:ascii="宋体" w:hAnsi="宋体" w:cs="宋体"/>
          <w:bCs/>
          <w:szCs w:val="24"/>
        </w:rPr>
        <w:fldChar w:fldCharType="end"/>
      </w:r>
    </w:p>
    <w:p w14:paraId="68623ADE">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_Toc5883 </w:instrText>
      </w:r>
      <w:r>
        <w:rPr>
          <w:rFonts w:hint="eastAsia" w:ascii="宋体" w:hAnsi="宋体" w:cs="宋体"/>
          <w:bCs/>
          <w:szCs w:val="24"/>
        </w:rPr>
        <w:fldChar w:fldCharType="separate"/>
      </w:r>
      <w:r>
        <w:rPr>
          <w:rFonts w:ascii="宋体" w:hAnsi="宋体" w:cs="宋体"/>
          <w:szCs w:val="21"/>
        </w:rPr>
        <w:t>4．投标</w:t>
      </w:r>
      <w:r>
        <w:tab/>
      </w:r>
      <w:r>
        <w:fldChar w:fldCharType="begin"/>
      </w:r>
      <w:r>
        <w:instrText xml:space="preserve"> PAGEREF _Toc5883 \h </w:instrText>
      </w:r>
      <w:r>
        <w:fldChar w:fldCharType="separate"/>
      </w:r>
      <w:r>
        <w:t>13</w:t>
      </w:r>
      <w:r>
        <w:fldChar w:fldCharType="end"/>
      </w:r>
      <w:r>
        <w:rPr>
          <w:rFonts w:hint="eastAsia" w:ascii="宋体" w:hAnsi="宋体" w:cs="宋体"/>
          <w:bCs/>
          <w:szCs w:val="24"/>
        </w:rPr>
        <w:fldChar w:fldCharType="end"/>
      </w:r>
    </w:p>
    <w:p w14:paraId="654227DE">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_Toc27841 </w:instrText>
      </w:r>
      <w:r>
        <w:rPr>
          <w:rFonts w:hint="eastAsia" w:ascii="宋体" w:hAnsi="宋体" w:cs="宋体"/>
          <w:bCs/>
          <w:szCs w:val="24"/>
        </w:rPr>
        <w:fldChar w:fldCharType="separate"/>
      </w:r>
      <w:r>
        <w:rPr>
          <w:rFonts w:ascii="宋体" w:hAnsi="宋体"/>
        </w:rPr>
        <w:t>5．开标</w:t>
      </w:r>
      <w:r>
        <w:tab/>
      </w:r>
      <w:r>
        <w:fldChar w:fldCharType="begin"/>
      </w:r>
      <w:r>
        <w:instrText xml:space="preserve"> PAGEREF _Toc27841 \h </w:instrText>
      </w:r>
      <w:r>
        <w:fldChar w:fldCharType="separate"/>
      </w:r>
      <w:r>
        <w:t>14</w:t>
      </w:r>
      <w:r>
        <w:fldChar w:fldCharType="end"/>
      </w:r>
      <w:r>
        <w:rPr>
          <w:rFonts w:hint="eastAsia" w:ascii="宋体" w:hAnsi="宋体" w:cs="宋体"/>
          <w:bCs/>
          <w:szCs w:val="24"/>
        </w:rPr>
        <w:fldChar w:fldCharType="end"/>
      </w:r>
    </w:p>
    <w:p w14:paraId="6B4774E5">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_Toc23628 </w:instrText>
      </w:r>
      <w:r>
        <w:rPr>
          <w:rFonts w:hint="eastAsia" w:ascii="宋体" w:hAnsi="宋体" w:cs="宋体"/>
          <w:bCs/>
          <w:szCs w:val="24"/>
        </w:rPr>
        <w:fldChar w:fldCharType="separate"/>
      </w:r>
      <w:r>
        <w:rPr>
          <w:rFonts w:ascii="宋体" w:hAnsi="宋体" w:cs="宋体"/>
          <w:szCs w:val="21"/>
        </w:rPr>
        <w:t>6．评标</w:t>
      </w:r>
      <w:r>
        <w:tab/>
      </w:r>
      <w:r>
        <w:fldChar w:fldCharType="begin"/>
      </w:r>
      <w:r>
        <w:instrText xml:space="preserve"> PAGEREF _Toc23628 \h </w:instrText>
      </w:r>
      <w:r>
        <w:fldChar w:fldCharType="separate"/>
      </w:r>
      <w:r>
        <w:t>14</w:t>
      </w:r>
      <w:r>
        <w:fldChar w:fldCharType="end"/>
      </w:r>
      <w:r>
        <w:rPr>
          <w:rFonts w:hint="eastAsia" w:ascii="宋体" w:hAnsi="宋体" w:cs="宋体"/>
          <w:bCs/>
          <w:szCs w:val="24"/>
        </w:rPr>
        <w:fldChar w:fldCharType="end"/>
      </w:r>
    </w:p>
    <w:p w14:paraId="65A7222E">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_Toc17089 </w:instrText>
      </w:r>
      <w:r>
        <w:rPr>
          <w:rFonts w:hint="eastAsia" w:ascii="宋体" w:hAnsi="宋体" w:cs="宋体"/>
          <w:bCs/>
          <w:szCs w:val="24"/>
        </w:rPr>
        <w:fldChar w:fldCharType="separate"/>
      </w:r>
      <w:r>
        <w:rPr>
          <w:rFonts w:ascii="宋体" w:hAnsi="宋体" w:cs="宋体"/>
          <w:szCs w:val="21"/>
        </w:rPr>
        <w:t>7．定标及合同授予</w:t>
      </w:r>
      <w:r>
        <w:tab/>
      </w:r>
      <w:r>
        <w:fldChar w:fldCharType="begin"/>
      </w:r>
      <w:r>
        <w:instrText xml:space="preserve"> PAGEREF _Toc17089 \h </w:instrText>
      </w:r>
      <w:r>
        <w:fldChar w:fldCharType="separate"/>
      </w:r>
      <w:r>
        <w:t>14</w:t>
      </w:r>
      <w:r>
        <w:fldChar w:fldCharType="end"/>
      </w:r>
      <w:r>
        <w:rPr>
          <w:rFonts w:hint="eastAsia" w:ascii="宋体" w:hAnsi="宋体" w:cs="宋体"/>
          <w:bCs/>
          <w:szCs w:val="24"/>
        </w:rPr>
        <w:fldChar w:fldCharType="end"/>
      </w:r>
    </w:p>
    <w:p w14:paraId="759E492B">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_Toc6418 </w:instrText>
      </w:r>
      <w:r>
        <w:rPr>
          <w:rFonts w:hint="eastAsia" w:ascii="宋体" w:hAnsi="宋体" w:cs="宋体"/>
          <w:bCs/>
          <w:szCs w:val="24"/>
        </w:rPr>
        <w:fldChar w:fldCharType="separate"/>
      </w:r>
      <w:r>
        <w:rPr>
          <w:rFonts w:ascii="宋体" w:hAnsi="宋体" w:cs="宋体"/>
          <w:szCs w:val="21"/>
        </w:rPr>
        <w:t>8．纪律和监督</w:t>
      </w:r>
      <w:r>
        <w:tab/>
      </w:r>
      <w:r>
        <w:fldChar w:fldCharType="begin"/>
      </w:r>
      <w:r>
        <w:instrText xml:space="preserve"> PAGEREF _Toc6418 \h </w:instrText>
      </w:r>
      <w:r>
        <w:fldChar w:fldCharType="separate"/>
      </w:r>
      <w:r>
        <w:t>15</w:t>
      </w:r>
      <w:r>
        <w:fldChar w:fldCharType="end"/>
      </w:r>
      <w:r>
        <w:rPr>
          <w:rFonts w:hint="eastAsia" w:ascii="宋体" w:hAnsi="宋体" w:cs="宋体"/>
          <w:bCs/>
          <w:szCs w:val="24"/>
        </w:rPr>
        <w:fldChar w:fldCharType="end"/>
      </w:r>
    </w:p>
    <w:p w14:paraId="563C6DF1">
      <w:pPr>
        <w:pStyle w:val="31"/>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_Toc15935 </w:instrText>
      </w:r>
      <w:r>
        <w:rPr>
          <w:rFonts w:hint="eastAsia" w:ascii="宋体" w:hAnsi="宋体" w:cs="宋体"/>
          <w:bCs/>
          <w:szCs w:val="24"/>
        </w:rPr>
        <w:fldChar w:fldCharType="separate"/>
      </w:r>
      <w:r>
        <w:rPr>
          <w:rFonts w:ascii="宋体" w:hAnsi="宋体" w:cs="宋体"/>
          <w:szCs w:val="21"/>
        </w:rPr>
        <w:t>第二章 评标办法（综合评估法</w:t>
      </w:r>
      <w:r>
        <w:rPr>
          <w:rFonts w:hint="eastAsia" w:ascii="宋体" w:hAnsi="宋体" w:cs="宋体"/>
          <w:szCs w:val="21"/>
        </w:rPr>
        <w:t>）</w:t>
      </w:r>
      <w:r>
        <w:tab/>
      </w:r>
      <w:r>
        <w:fldChar w:fldCharType="begin"/>
      </w:r>
      <w:r>
        <w:instrText xml:space="preserve"> PAGEREF _Toc15935 \h </w:instrText>
      </w:r>
      <w:r>
        <w:fldChar w:fldCharType="separate"/>
      </w:r>
      <w:r>
        <w:t>16</w:t>
      </w:r>
      <w:r>
        <w:fldChar w:fldCharType="end"/>
      </w:r>
      <w:r>
        <w:rPr>
          <w:rFonts w:hint="eastAsia" w:ascii="宋体" w:hAnsi="宋体" w:cs="宋体"/>
          <w:bCs/>
          <w:szCs w:val="24"/>
        </w:rPr>
        <w:fldChar w:fldCharType="end"/>
      </w:r>
    </w:p>
    <w:p w14:paraId="1E3E5EDC">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_Toc18117 </w:instrText>
      </w:r>
      <w:r>
        <w:rPr>
          <w:rFonts w:hint="eastAsia" w:ascii="宋体" w:hAnsi="宋体" w:cs="宋体"/>
          <w:bCs/>
          <w:szCs w:val="24"/>
        </w:rPr>
        <w:fldChar w:fldCharType="separate"/>
      </w:r>
      <w:r>
        <w:rPr>
          <w:rFonts w:ascii="宋体" w:hAnsi="宋体" w:cs="宋体"/>
          <w:szCs w:val="21"/>
        </w:rPr>
        <w:t>评标办法前附表</w:t>
      </w:r>
      <w:r>
        <w:tab/>
      </w:r>
      <w:r>
        <w:fldChar w:fldCharType="begin"/>
      </w:r>
      <w:r>
        <w:instrText xml:space="preserve"> PAGEREF _Toc18117 \h </w:instrText>
      </w:r>
      <w:r>
        <w:fldChar w:fldCharType="separate"/>
      </w:r>
      <w:r>
        <w:t>16</w:t>
      </w:r>
      <w:r>
        <w:fldChar w:fldCharType="end"/>
      </w:r>
      <w:r>
        <w:rPr>
          <w:rFonts w:hint="eastAsia" w:ascii="宋体" w:hAnsi="宋体" w:cs="宋体"/>
          <w:bCs/>
          <w:szCs w:val="24"/>
        </w:rPr>
        <w:fldChar w:fldCharType="end"/>
      </w:r>
    </w:p>
    <w:p w14:paraId="733484A2">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_Toc13249 </w:instrText>
      </w:r>
      <w:r>
        <w:rPr>
          <w:rFonts w:hint="eastAsia" w:ascii="宋体" w:hAnsi="宋体" w:cs="宋体"/>
          <w:bCs/>
          <w:szCs w:val="24"/>
        </w:rPr>
        <w:fldChar w:fldCharType="separate"/>
      </w:r>
      <w:r>
        <w:rPr>
          <w:rFonts w:hint="eastAsia" w:ascii="宋体" w:hAnsi="宋体" w:cs="宋体"/>
          <w:kern w:val="0"/>
          <w:szCs w:val="32"/>
        </w:rPr>
        <w:t>大中小微型企业划分标准</w:t>
      </w:r>
      <w:r>
        <w:tab/>
      </w:r>
      <w:r>
        <w:fldChar w:fldCharType="begin"/>
      </w:r>
      <w:r>
        <w:instrText xml:space="preserve"> PAGEREF _Toc13249 \h </w:instrText>
      </w:r>
      <w:r>
        <w:fldChar w:fldCharType="separate"/>
      </w:r>
      <w:r>
        <w:t>16</w:t>
      </w:r>
      <w:r>
        <w:fldChar w:fldCharType="end"/>
      </w:r>
      <w:r>
        <w:rPr>
          <w:rFonts w:hint="eastAsia" w:ascii="宋体" w:hAnsi="宋体" w:cs="宋体"/>
          <w:bCs/>
          <w:szCs w:val="24"/>
        </w:rPr>
        <w:fldChar w:fldCharType="end"/>
      </w:r>
    </w:p>
    <w:p w14:paraId="54C8B9BA">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_Toc19736 </w:instrText>
      </w:r>
      <w:r>
        <w:rPr>
          <w:rFonts w:hint="eastAsia" w:ascii="宋体" w:hAnsi="宋体" w:cs="宋体"/>
          <w:bCs/>
          <w:szCs w:val="24"/>
        </w:rPr>
        <w:fldChar w:fldCharType="separate"/>
      </w:r>
      <w:r>
        <w:rPr>
          <w:rFonts w:hint="eastAsia" w:ascii="宋体" w:hAnsi="宋体" w:cs="宋体"/>
          <w:szCs w:val="21"/>
        </w:rPr>
        <w:t>资格审查标准</w:t>
      </w:r>
      <w:r>
        <w:tab/>
      </w:r>
      <w:r>
        <w:fldChar w:fldCharType="begin"/>
      </w:r>
      <w:r>
        <w:instrText xml:space="preserve"> PAGEREF _Toc19736 \h </w:instrText>
      </w:r>
      <w:r>
        <w:fldChar w:fldCharType="separate"/>
      </w:r>
      <w:r>
        <w:t>17</w:t>
      </w:r>
      <w:r>
        <w:fldChar w:fldCharType="end"/>
      </w:r>
      <w:r>
        <w:rPr>
          <w:rFonts w:hint="eastAsia" w:ascii="宋体" w:hAnsi="宋体" w:cs="宋体"/>
          <w:bCs/>
          <w:szCs w:val="24"/>
        </w:rPr>
        <w:fldChar w:fldCharType="end"/>
      </w:r>
    </w:p>
    <w:p w14:paraId="1AD0D169">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_Toc17505 </w:instrText>
      </w:r>
      <w:r>
        <w:rPr>
          <w:rFonts w:hint="eastAsia" w:ascii="宋体" w:hAnsi="宋体" w:cs="宋体"/>
          <w:bCs/>
          <w:szCs w:val="24"/>
        </w:rPr>
        <w:fldChar w:fldCharType="separate"/>
      </w:r>
      <w:r>
        <w:rPr>
          <w:rFonts w:hint="eastAsia" w:ascii="宋体" w:hAnsi="宋体" w:cs="宋体"/>
          <w:szCs w:val="21"/>
        </w:rPr>
        <w:t>响应文件完备性及符合性审查标准</w:t>
      </w:r>
      <w:r>
        <w:tab/>
      </w:r>
      <w:r>
        <w:fldChar w:fldCharType="begin"/>
      </w:r>
      <w:r>
        <w:instrText xml:space="preserve"> PAGEREF _Toc17505 \h </w:instrText>
      </w:r>
      <w:r>
        <w:fldChar w:fldCharType="separate"/>
      </w:r>
      <w:r>
        <w:t>18</w:t>
      </w:r>
      <w:r>
        <w:fldChar w:fldCharType="end"/>
      </w:r>
      <w:r>
        <w:rPr>
          <w:rFonts w:hint="eastAsia" w:ascii="宋体" w:hAnsi="宋体" w:cs="宋体"/>
          <w:bCs/>
          <w:szCs w:val="24"/>
        </w:rPr>
        <w:fldChar w:fldCharType="end"/>
      </w:r>
    </w:p>
    <w:p w14:paraId="09B626D1">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_Toc10251 </w:instrText>
      </w:r>
      <w:r>
        <w:rPr>
          <w:rFonts w:hint="eastAsia" w:ascii="宋体" w:hAnsi="宋体" w:cs="宋体"/>
          <w:bCs/>
          <w:szCs w:val="24"/>
        </w:rPr>
        <w:fldChar w:fldCharType="separate"/>
      </w:r>
      <w:r>
        <w:rPr>
          <w:rFonts w:hint="eastAsia" w:ascii="宋体" w:hAnsi="宋体" w:cs="宋体"/>
          <w:szCs w:val="21"/>
        </w:rPr>
        <w:t>响应文件详细评审标准</w:t>
      </w:r>
      <w:r>
        <w:tab/>
      </w:r>
      <w:r>
        <w:fldChar w:fldCharType="begin"/>
      </w:r>
      <w:r>
        <w:instrText xml:space="preserve"> PAGEREF _Toc10251 \h </w:instrText>
      </w:r>
      <w:r>
        <w:fldChar w:fldCharType="separate"/>
      </w:r>
      <w:r>
        <w:t>19</w:t>
      </w:r>
      <w:r>
        <w:fldChar w:fldCharType="end"/>
      </w:r>
      <w:r>
        <w:rPr>
          <w:rFonts w:hint="eastAsia" w:ascii="宋体" w:hAnsi="宋体" w:cs="宋体"/>
          <w:bCs/>
          <w:szCs w:val="24"/>
        </w:rPr>
        <w:fldChar w:fldCharType="end"/>
      </w:r>
    </w:p>
    <w:p w14:paraId="09A1F9E9">
      <w:pPr>
        <w:pStyle w:val="31"/>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_Toc9773 </w:instrText>
      </w:r>
      <w:r>
        <w:rPr>
          <w:rFonts w:hint="eastAsia" w:ascii="宋体" w:hAnsi="宋体" w:cs="宋体"/>
          <w:bCs/>
          <w:szCs w:val="24"/>
        </w:rPr>
        <w:fldChar w:fldCharType="separate"/>
      </w:r>
      <w:r>
        <w:rPr>
          <w:rFonts w:hint="eastAsia" w:ascii="宋体" w:hAnsi="宋体" w:cs="宋体"/>
          <w:szCs w:val="21"/>
        </w:rPr>
        <w:t>第三章  合同条款及格式</w:t>
      </w:r>
      <w:r>
        <w:tab/>
      </w:r>
      <w:r>
        <w:fldChar w:fldCharType="begin"/>
      </w:r>
      <w:r>
        <w:instrText xml:space="preserve"> PAGEREF _Toc9773 \h </w:instrText>
      </w:r>
      <w:r>
        <w:fldChar w:fldCharType="separate"/>
      </w:r>
      <w:r>
        <w:t>26</w:t>
      </w:r>
      <w:r>
        <w:fldChar w:fldCharType="end"/>
      </w:r>
      <w:r>
        <w:rPr>
          <w:rFonts w:hint="eastAsia" w:ascii="宋体" w:hAnsi="宋体" w:cs="宋体"/>
          <w:bCs/>
          <w:szCs w:val="24"/>
        </w:rPr>
        <w:fldChar w:fldCharType="end"/>
      </w:r>
    </w:p>
    <w:p w14:paraId="0555F105">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_Toc24408 </w:instrText>
      </w:r>
      <w:r>
        <w:rPr>
          <w:rFonts w:hint="eastAsia" w:ascii="宋体" w:hAnsi="宋体" w:cs="宋体"/>
          <w:bCs/>
          <w:szCs w:val="24"/>
        </w:rPr>
        <w:fldChar w:fldCharType="separate"/>
      </w:r>
      <w:r>
        <w:rPr>
          <w:rFonts w:hint="eastAsia" w:ascii="宋体" w:hAnsi="宋体" w:cs="宋体"/>
          <w:szCs w:val="21"/>
        </w:rPr>
        <w:t>第一部分 合同协议书</w:t>
      </w:r>
      <w:r>
        <w:tab/>
      </w:r>
      <w:r>
        <w:fldChar w:fldCharType="begin"/>
      </w:r>
      <w:r>
        <w:instrText xml:space="preserve"> PAGEREF _Toc24408 \h </w:instrText>
      </w:r>
      <w:r>
        <w:fldChar w:fldCharType="separate"/>
      </w:r>
      <w:r>
        <w:t>26</w:t>
      </w:r>
      <w:r>
        <w:fldChar w:fldCharType="end"/>
      </w:r>
      <w:r>
        <w:rPr>
          <w:rFonts w:hint="eastAsia" w:ascii="宋体" w:hAnsi="宋体" w:cs="宋体"/>
          <w:bCs/>
          <w:szCs w:val="24"/>
        </w:rPr>
        <w:fldChar w:fldCharType="end"/>
      </w:r>
    </w:p>
    <w:p w14:paraId="797AD67E">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_Toc19535 </w:instrText>
      </w:r>
      <w:r>
        <w:rPr>
          <w:rFonts w:hint="eastAsia" w:ascii="宋体" w:hAnsi="宋体" w:cs="宋体"/>
          <w:bCs/>
          <w:szCs w:val="24"/>
        </w:rPr>
        <w:fldChar w:fldCharType="separate"/>
      </w:r>
      <w:r>
        <w:rPr>
          <w:rFonts w:ascii="宋体" w:hAnsi="宋体" w:cs="宋体"/>
          <w:szCs w:val="21"/>
        </w:rPr>
        <w:t>第二部分 通用合同条款</w:t>
      </w:r>
      <w:r>
        <w:tab/>
      </w:r>
      <w:r>
        <w:fldChar w:fldCharType="begin"/>
      </w:r>
      <w:r>
        <w:instrText xml:space="preserve"> PAGEREF _Toc19535 \h </w:instrText>
      </w:r>
      <w:r>
        <w:fldChar w:fldCharType="separate"/>
      </w:r>
      <w:r>
        <w:t>28</w:t>
      </w:r>
      <w:r>
        <w:fldChar w:fldCharType="end"/>
      </w:r>
      <w:r>
        <w:rPr>
          <w:rFonts w:hint="eastAsia" w:ascii="宋体" w:hAnsi="宋体" w:cs="宋体"/>
          <w:bCs/>
          <w:szCs w:val="24"/>
        </w:rPr>
        <w:fldChar w:fldCharType="end"/>
      </w:r>
    </w:p>
    <w:p w14:paraId="1BB8325E">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_Toc25205 </w:instrText>
      </w:r>
      <w:r>
        <w:rPr>
          <w:rFonts w:hint="eastAsia" w:ascii="宋体" w:hAnsi="宋体" w:cs="宋体"/>
          <w:bCs/>
          <w:szCs w:val="24"/>
        </w:rPr>
        <w:fldChar w:fldCharType="separate"/>
      </w:r>
      <w:r>
        <w:rPr>
          <w:rFonts w:hint="eastAsia" w:ascii="宋体" w:hAnsi="宋体" w:cs="宋体"/>
          <w:szCs w:val="21"/>
        </w:rPr>
        <w:t>第三部分 专用合同条款</w:t>
      </w:r>
      <w:r>
        <w:tab/>
      </w:r>
      <w:r>
        <w:fldChar w:fldCharType="begin"/>
      </w:r>
      <w:r>
        <w:instrText xml:space="preserve"> PAGEREF _Toc25205 \h </w:instrText>
      </w:r>
      <w:r>
        <w:fldChar w:fldCharType="separate"/>
      </w:r>
      <w:r>
        <w:t>62</w:t>
      </w:r>
      <w:r>
        <w:fldChar w:fldCharType="end"/>
      </w:r>
      <w:r>
        <w:rPr>
          <w:rFonts w:hint="eastAsia" w:ascii="宋体" w:hAnsi="宋体" w:cs="宋体"/>
          <w:bCs/>
          <w:szCs w:val="24"/>
        </w:rPr>
        <w:fldChar w:fldCharType="end"/>
      </w:r>
    </w:p>
    <w:p w14:paraId="51576275">
      <w:pPr>
        <w:pStyle w:val="31"/>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_Toc21904 </w:instrText>
      </w:r>
      <w:r>
        <w:rPr>
          <w:rFonts w:hint="eastAsia" w:ascii="宋体" w:hAnsi="宋体" w:cs="宋体"/>
          <w:bCs/>
          <w:szCs w:val="24"/>
        </w:rPr>
        <w:fldChar w:fldCharType="separate"/>
      </w:r>
      <w:r>
        <w:rPr>
          <w:rFonts w:hint="eastAsia" w:ascii="宋体" w:hAnsi="宋体" w:cs="宋体"/>
          <w:szCs w:val="24"/>
        </w:rPr>
        <w:t>第四章  技术规范及采购需求</w:t>
      </w:r>
      <w:r>
        <w:tab/>
      </w:r>
      <w:r>
        <w:fldChar w:fldCharType="begin"/>
      </w:r>
      <w:r>
        <w:instrText xml:space="preserve"> PAGEREF _Toc21904 \h </w:instrText>
      </w:r>
      <w:r>
        <w:fldChar w:fldCharType="separate"/>
      </w:r>
      <w:r>
        <w:t>90</w:t>
      </w:r>
      <w:r>
        <w:fldChar w:fldCharType="end"/>
      </w:r>
      <w:r>
        <w:rPr>
          <w:rFonts w:hint="eastAsia" w:ascii="宋体" w:hAnsi="宋体" w:cs="宋体"/>
          <w:bCs/>
          <w:szCs w:val="24"/>
        </w:rPr>
        <w:fldChar w:fldCharType="end"/>
      </w:r>
    </w:p>
    <w:p w14:paraId="23C7FB37">
      <w:pPr>
        <w:pStyle w:val="31"/>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_Toc13702 </w:instrText>
      </w:r>
      <w:r>
        <w:rPr>
          <w:rFonts w:hint="eastAsia" w:ascii="宋体" w:hAnsi="宋体" w:cs="宋体"/>
          <w:bCs/>
          <w:szCs w:val="24"/>
        </w:rPr>
        <w:fldChar w:fldCharType="separate"/>
      </w:r>
      <w:r>
        <w:rPr>
          <w:rFonts w:hint="eastAsia" w:ascii="宋体" w:hAnsi="宋体" w:cs="宋体"/>
          <w:szCs w:val="24"/>
        </w:rPr>
        <w:t>第五章  图纸和技术资料</w:t>
      </w:r>
      <w:r>
        <w:tab/>
      </w:r>
      <w:r>
        <w:fldChar w:fldCharType="begin"/>
      </w:r>
      <w:r>
        <w:instrText xml:space="preserve"> PAGEREF _Toc13702 \h </w:instrText>
      </w:r>
      <w:r>
        <w:fldChar w:fldCharType="separate"/>
      </w:r>
      <w:r>
        <w:t>90</w:t>
      </w:r>
      <w:r>
        <w:fldChar w:fldCharType="end"/>
      </w:r>
      <w:r>
        <w:rPr>
          <w:rFonts w:hint="eastAsia" w:ascii="宋体" w:hAnsi="宋体" w:cs="宋体"/>
          <w:bCs/>
          <w:szCs w:val="24"/>
        </w:rPr>
        <w:fldChar w:fldCharType="end"/>
      </w:r>
    </w:p>
    <w:p w14:paraId="4694E354">
      <w:pPr>
        <w:pStyle w:val="31"/>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_Toc7169 </w:instrText>
      </w:r>
      <w:r>
        <w:rPr>
          <w:rFonts w:hint="eastAsia" w:ascii="宋体" w:hAnsi="宋体" w:cs="宋体"/>
          <w:bCs/>
          <w:szCs w:val="24"/>
        </w:rPr>
        <w:fldChar w:fldCharType="separate"/>
      </w:r>
      <w:r>
        <w:rPr>
          <w:rFonts w:hint="eastAsia" w:ascii="宋体" w:hAnsi="宋体" w:cs="宋体"/>
          <w:szCs w:val="24"/>
        </w:rPr>
        <w:t>第六章  工程量清单</w:t>
      </w:r>
      <w:r>
        <w:tab/>
      </w:r>
      <w:r>
        <w:fldChar w:fldCharType="begin"/>
      </w:r>
      <w:r>
        <w:instrText xml:space="preserve"> PAGEREF _Toc7169 \h </w:instrText>
      </w:r>
      <w:r>
        <w:fldChar w:fldCharType="separate"/>
      </w:r>
      <w:r>
        <w:t>90</w:t>
      </w:r>
      <w:r>
        <w:fldChar w:fldCharType="end"/>
      </w:r>
      <w:r>
        <w:rPr>
          <w:rFonts w:hint="eastAsia" w:ascii="宋体" w:hAnsi="宋体" w:cs="宋体"/>
          <w:bCs/>
          <w:szCs w:val="24"/>
        </w:rPr>
        <w:fldChar w:fldCharType="end"/>
      </w:r>
    </w:p>
    <w:p w14:paraId="6AFED7E4">
      <w:pPr>
        <w:pStyle w:val="31"/>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_Toc32491 </w:instrText>
      </w:r>
      <w:r>
        <w:rPr>
          <w:rFonts w:hint="eastAsia" w:ascii="宋体" w:hAnsi="宋体" w:cs="宋体"/>
          <w:bCs/>
          <w:szCs w:val="24"/>
        </w:rPr>
        <w:fldChar w:fldCharType="separate"/>
      </w:r>
      <w:r>
        <w:rPr>
          <w:rFonts w:hint="eastAsia" w:ascii="宋体" w:hAnsi="宋体" w:cs="宋体"/>
          <w:szCs w:val="24"/>
        </w:rPr>
        <w:t>第七章  响应文件格式</w:t>
      </w:r>
      <w:r>
        <w:tab/>
      </w:r>
      <w:r>
        <w:fldChar w:fldCharType="begin"/>
      </w:r>
      <w:r>
        <w:instrText xml:space="preserve"> PAGEREF _Toc32491 \h </w:instrText>
      </w:r>
      <w:r>
        <w:fldChar w:fldCharType="separate"/>
      </w:r>
      <w:r>
        <w:t>90</w:t>
      </w:r>
      <w:r>
        <w:fldChar w:fldCharType="end"/>
      </w:r>
      <w:r>
        <w:rPr>
          <w:rFonts w:hint="eastAsia" w:ascii="宋体" w:hAnsi="宋体" w:cs="宋体"/>
          <w:bCs/>
          <w:szCs w:val="24"/>
        </w:rPr>
        <w:fldChar w:fldCharType="end"/>
      </w:r>
    </w:p>
    <w:p w14:paraId="534903A0">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_Toc22214 </w:instrText>
      </w:r>
      <w:r>
        <w:rPr>
          <w:rFonts w:hint="eastAsia" w:ascii="宋体" w:hAnsi="宋体" w:cs="宋体"/>
          <w:bCs/>
          <w:szCs w:val="24"/>
        </w:rPr>
        <w:fldChar w:fldCharType="separate"/>
      </w:r>
      <w:r>
        <w:rPr>
          <w:rFonts w:hint="eastAsia" w:cs="仿宋" w:asciiTheme="minorEastAsia" w:hAnsiTheme="minorEastAsia"/>
          <w:szCs w:val="24"/>
        </w:rPr>
        <w:t>（第一部分）资格证明文件</w:t>
      </w:r>
      <w:r>
        <w:tab/>
      </w:r>
      <w:r>
        <w:fldChar w:fldCharType="begin"/>
      </w:r>
      <w:r>
        <w:instrText xml:space="preserve"> PAGEREF _Toc22214 \h </w:instrText>
      </w:r>
      <w:r>
        <w:fldChar w:fldCharType="separate"/>
      </w:r>
      <w:r>
        <w:t>92</w:t>
      </w:r>
      <w:r>
        <w:fldChar w:fldCharType="end"/>
      </w:r>
      <w:r>
        <w:rPr>
          <w:rFonts w:hint="eastAsia" w:ascii="宋体" w:hAnsi="宋体" w:cs="宋体"/>
          <w:bCs/>
          <w:szCs w:val="24"/>
        </w:rPr>
        <w:fldChar w:fldCharType="end"/>
      </w:r>
    </w:p>
    <w:p w14:paraId="540A393E">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_Toc16989 </w:instrText>
      </w:r>
      <w:r>
        <w:rPr>
          <w:rFonts w:hint="eastAsia" w:ascii="宋体" w:hAnsi="宋体" w:cs="宋体"/>
          <w:bCs/>
          <w:szCs w:val="24"/>
        </w:rPr>
        <w:fldChar w:fldCharType="separate"/>
      </w:r>
      <w:r>
        <w:rPr>
          <w:rFonts w:hint="eastAsia" w:cs="仿宋" w:asciiTheme="minorEastAsia" w:hAnsiTheme="minorEastAsia" w:eastAsiaTheme="minorEastAsia"/>
          <w:szCs w:val="24"/>
        </w:rPr>
        <w:t>（第二部分）</w:t>
      </w:r>
      <w:r>
        <w:rPr>
          <w:rFonts w:cs="仿宋" w:asciiTheme="minorEastAsia" w:hAnsiTheme="minorEastAsia" w:eastAsiaTheme="minorEastAsia"/>
          <w:szCs w:val="24"/>
        </w:rPr>
        <w:t>报价文件</w:t>
      </w:r>
      <w:r>
        <w:tab/>
      </w:r>
      <w:r>
        <w:fldChar w:fldCharType="begin"/>
      </w:r>
      <w:r>
        <w:instrText xml:space="preserve"> PAGEREF _Toc16989 \h </w:instrText>
      </w:r>
      <w:r>
        <w:fldChar w:fldCharType="separate"/>
      </w:r>
      <w:r>
        <w:t>101</w:t>
      </w:r>
      <w:r>
        <w:fldChar w:fldCharType="end"/>
      </w:r>
      <w:r>
        <w:rPr>
          <w:rFonts w:hint="eastAsia" w:ascii="宋体" w:hAnsi="宋体" w:cs="宋体"/>
          <w:bCs/>
          <w:szCs w:val="24"/>
        </w:rPr>
        <w:fldChar w:fldCharType="end"/>
      </w:r>
    </w:p>
    <w:p w14:paraId="20EAD705">
      <w:pPr>
        <w:pStyle w:val="37"/>
        <w:tabs>
          <w:tab w:val="right" w:leader="dot" w:pos="9639"/>
        </w:tabs>
      </w:pPr>
      <w:r>
        <w:rPr>
          <w:rFonts w:hint="eastAsia" w:ascii="宋体" w:hAnsi="宋体" w:cs="宋体"/>
          <w:bCs/>
          <w:szCs w:val="24"/>
        </w:rPr>
        <w:fldChar w:fldCharType="begin"/>
      </w:r>
      <w:r>
        <w:rPr>
          <w:rFonts w:hint="eastAsia" w:ascii="宋体" w:hAnsi="宋体" w:cs="宋体"/>
          <w:bCs/>
          <w:szCs w:val="24"/>
        </w:rPr>
        <w:instrText xml:space="preserve"> HYPERLINK \l _Toc1877 </w:instrText>
      </w:r>
      <w:r>
        <w:rPr>
          <w:rFonts w:hint="eastAsia" w:ascii="宋体" w:hAnsi="宋体" w:cs="宋体"/>
          <w:bCs/>
          <w:szCs w:val="24"/>
        </w:rPr>
        <w:fldChar w:fldCharType="separate"/>
      </w:r>
      <w:r>
        <w:rPr>
          <w:rFonts w:hint="eastAsia" w:cs="仿宋" w:asciiTheme="minorEastAsia" w:hAnsiTheme="minorEastAsia" w:eastAsiaTheme="minorEastAsia"/>
          <w:szCs w:val="24"/>
        </w:rPr>
        <w:t>（第三部分）</w:t>
      </w:r>
      <w:r>
        <w:rPr>
          <w:rFonts w:cs="仿宋" w:asciiTheme="minorEastAsia" w:hAnsiTheme="minorEastAsia" w:eastAsiaTheme="minorEastAsia"/>
          <w:szCs w:val="24"/>
        </w:rPr>
        <w:t>商务技术部分</w:t>
      </w:r>
      <w:r>
        <w:tab/>
      </w:r>
      <w:r>
        <w:fldChar w:fldCharType="begin"/>
      </w:r>
      <w:r>
        <w:instrText xml:space="preserve"> PAGEREF _Toc1877 \h </w:instrText>
      </w:r>
      <w:r>
        <w:fldChar w:fldCharType="separate"/>
      </w:r>
      <w:r>
        <w:t>103</w:t>
      </w:r>
      <w:r>
        <w:fldChar w:fldCharType="end"/>
      </w:r>
      <w:r>
        <w:rPr>
          <w:rFonts w:hint="eastAsia" w:ascii="宋体" w:hAnsi="宋体" w:cs="宋体"/>
          <w:bCs/>
          <w:szCs w:val="24"/>
        </w:rPr>
        <w:fldChar w:fldCharType="end"/>
      </w:r>
    </w:p>
    <w:p w14:paraId="2C90AD70">
      <w:pPr>
        <w:spacing w:line="440" w:lineRule="exact"/>
        <w:jc w:val="center"/>
        <w:outlineLvl w:val="0"/>
        <w:rPr>
          <w:rFonts w:ascii="宋体" w:hAnsi="宋体" w:cs="宋体"/>
          <w:bCs/>
          <w:sz w:val="24"/>
          <w:szCs w:val="24"/>
        </w:rPr>
        <w:sectPr>
          <w:footerReference r:id="rId7" w:type="default"/>
          <w:pgSz w:w="11907" w:h="16840"/>
          <w:pgMar w:top="1418" w:right="1134" w:bottom="1418" w:left="1134" w:header="851" w:footer="992" w:gutter="0"/>
          <w:pgNumType w:start="1"/>
          <w:cols w:space="720" w:num="1"/>
          <w:docGrid w:type="lines" w:linePitch="312" w:charSpace="0"/>
        </w:sectPr>
      </w:pPr>
      <w:r>
        <w:rPr>
          <w:rFonts w:hint="eastAsia" w:ascii="宋体" w:hAnsi="宋体" w:cs="宋体"/>
          <w:bCs/>
          <w:szCs w:val="24"/>
        </w:rPr>
        <w:fldChar w:fldCharType="end"/>
      </w:r>
      <w:bookmarkStart w:id="0" w:name="_Toc486587968"/>
      <w:bookmarkStart w:id="1" w:name="_Toc486588514"/>
      <w:bookmarkStart w:id="2" w:name="_Toc486588853"/>
      <w:bookmarkStart w:id="3" w:name="_Toc486588752"/>
      <w:bookmarkStart w:id="4" w:name="_Toc486588359"/>
    </w:p>
    <w:p w14:paraId="7C8ADE9C">
      <w:pPr>
        <w:spacing w:line="420" w:lineRule="exact"/>
        <w:ind w:left="1383" w:right="-191" w:rightChars="-91" w:hanging="1383" w:hangingChars="492"/>
        <w:jc w:val="center"/>
        <w:rPr>
          <w:rFonts w:asciiTheme="minorEastAsia" w:hAnsiTheme="minorEastAsia"/>
          <w:bCs/>
          <w:sz w:val="32"/>
          <w:szCs w:val="32"/>
        </w:rPr>
      </w:pPr>
      <w:r>
        <w:rPr>
          <w:rFonts w:hint="eastAsia" w:asciiTheme="minorEastAsia" w:hAnsiTheme="minorEastAsia"/>
          <w:b/>
          <w:sz w:val="28"/>
          <w:u w:val="single"/>
          <w:lang w:eastAsia="zh-CN"/>
        </w:rPr>
        <w:t>乌鲁木齐市天山区教育局碱泉街幼儿园工程-10KV配电工程</w:t>
      </w:r>
      <w:r>
        <w:rPr>
          <w:rFonts w:hint="eastAsia" w:asciiTheme="minorEastAsia" w:hAnsiTheme="minorEastAsia"/>
          <w:b/>
          <w:sz w:val="28"/>
          <w:u w:val="single"/>
        </w:rPr>
        <w:t>竞争性磋商</w:t>
      </w:r>
      <w:r>
        <w:rPr>
          <w:rFonts w:asciiTheme="minorEastAsia" w:hAnsiTheme="minorEastAsia"/>
          <w:b/>
          <w:sz w:val="28"/>
          <w:u w:val="single"/>
        </w:rPr>
        <w:t>公告</w:t>
      </w:r>
    </w:p>
    <w:p w14:paraId="2935CF6F">
      <w:pPr>
        <w:spacing w:line="42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rPr>
        <w:t xml:space="preserve">  </w:t>
      </w:r>
      <w:r>
        <w:rPr>
          <w:rFonts w:hint="eastAsia" w:asciiTheme="minorEastAsia" w:hAnsiTheme="minorEastAsia"/>
          <w:sz w:val="24"/>
          <w:szCs w:val="24"/>
        </w:rPr>
        <w:t xml:space="preserve">  </w:t>
      </w:r>
      <w:r>
        <w:rPr>
          <w:rFonts w:hint="eastAsia" w:asciiTheme="minorEastAsia" w:hAnsiTheme="minorEastAsia"/>
          <w:sz w:val="24"/>
          <w:szCs w:val="24"/>
          <w:u w:val="single"/>
          <w:lang w:eastAsia="zh-CN"/>
        </w:rPr>
        <w:t>乌鲁木齐市天山区教育局碱泉街幼儿园工程-10KV配电工程</w:t>
      </w:r>
      <w:r>
        <w:rPr>
          <w:rFonts w:hint="eastAsia" w:asciiTheme="minorEastAsia" w:hAnsiTheme="minorEastAsia"/>
          <w:sz w:val="24"/>
          <w:szCs w:val="24"/>
          <w:u w:val="single"/>
        </w:rPr>
        <w:t xml:space="preserve"> </w:t>
      </w:r>
      <w:r>
        <w:rPr>
          <w:rFonts w:asciiTheme="minorEastAsia" w:hAnsiTheme="minorEastAsia"/>
          <w:sz w:val="24"/>
          <w:szCs w:val="24"/>
        </w:rPr>
        <w:t>项目的潜在供应商应在供应商登录政采云平台https://www.zcygov.cn/在线申请获取采购文件（进入“项目采购”应用，在获取采购文件菜单中选择项目，申请获取采购文件）获取采购文</w:t>
      </w:r>
      <w:r>
        <w:rPr>
          <w:rFonts w:asciiTheme="minorEastAsia" w:hAnsiTheme="minorEastAsia"/>
          <w:color w:val="000000" w:themeColor="text1"/>
          <w:sz w:val="24"/>
          <w:szCs w:val="24"/>
          <w14:textFill>
            <w14:solidFill>
              <w14:schemeClr w14:val="tx1"/>
            </w14:solidFill>
          </w14:textFill>
        </w:rPr>
        <w:t>件，并于</w:t>
      </w:r>
      <w:r>
        <w:rPr>
          <w:rFonts w:hint="eastAsia" w:asciiTheme="minorEastAsia" w:hAnsiTheme="minorEastAsia"/>
          <w:color w:val="000000" w:themeColor="text1"/>
          <w:sz w:val="24"/>
          <w:szCs w:val="24"/>
          <w:u w:val="single"/>
          <w14:textFill>
            <w14:solidFill>
              <w14:schemeClr w14:val="tx1"/>
            </w14:solidFill>
          </w14:textFill>
        </w:rPr>
        <w:t xml:space="preserve"> 202</w:t>
      </w:r>
      <w:r>
        <w:rPr>
          <w:rFonts w:hint="eastAsia" w:asciiTheme="minorEastAsia" w:hAnsiTheme="minorEastAsia"/>
          <w:color w:val="000000" w:themeColor="text1"/>
          <w:sz w:val="24"/>
          <w:szCs w:val="24"/>
          <w:u w:val="single"/>
          <w:lang w:val="en-US" w:eastAsia="zh-CN"/>
          <w14:textFill>
            <w14:solidFill>
              <w14:schemeClr w14:val="tx1"/>
            </w14:solidFill>
          </w14:textFill>
        </w:rPr>
        <w:t>5</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asciiTheme="minorEastAsia" w:hAnsiTheme="minorEastAsia"/>
          <w:color w:val="000000" w:themeColor="text1"/>
          <w:sz w:val="24"/>
          <w:szCs w:val="24"/>
          <w14:textFill>
            <w14:solidFill>
              <w14:schemeClr w14:val="tx1"/>
            </w14:solidFill>
          </w14:textFill>
        </w:rPr>
        <w:t>年</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 xml:space="preserve">04 </w:t>
      </w:r>
      <w:r>
        <w:rPr>
          <w:rFonts w:asciiTheme="minorEastAsia" w:hAnsiTheme="minorEastAsia"/>
          <w:color w:val="000000" w:themeColor="text1"/>
          <w:sz w:val="24"/>
          <w:szCs w:val="24"/>
          <w14:textFill>
            <w14:solidFill>
              <w14:schemeClr w14:val="tx1"/>
            </w14:solidFill>
          </w14:textFill>
        </w:rPr>
        <w:t>月</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 xml:space="preserve">  </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07</w:t>
      </w:r>
      <w:r>
        <w:rPr>
          <w:rFonts w:asciiTheme="minorEastAsia" w:hAnsiTheme="minorEastAsia"/>
          <w:color w:val="000000" w:themeColor="text1"/>
          <w:sz w:val="24"/>
          <w:szCs w:val="24"/>
          <w14:textFill>
            <w14:solidFill>
              <w14:schemeClr w14:val="tx1"/>
            </w14:solidFill>
          </w14:textFill>
        </w:rPr>
        <w:t>日</w:t>
      </w:r>
      <w:r>
        <w:rPr>
          <w:rFonts w:hint="eastAsia" w:asciiTheme="minorEastAsia" w:hAnsiTheme="minorEastAsia"/>
          <w:color w:val="000000" w:themeColor="text1"/>
          <w:sz w:val="24"/>
          <w:szCs w:val="24"/>
          <w:u w:val="single"/>
          <w14:textFill>
            <w14:solidFill>
              <w14:schemeClr w14:val="tx1"/>
            </w14:solidFill>
          </w14:textFill>
        </w:rPr>
        <w:t>1</w:t>
      </w:r>
      <w:r>
        <w:rPr>
          <w:rFonts w:hint="eastAsia" w:asciiTheme="minorEastAsia" w:hAnsiTheme="minorEastAsia"/>
          <w:color w:val="000000" w:themeColor="text1"/>
          <w:sz w:val="24"/>
          <w:szCs w:val="24"/>
          <w:u w:val="single"/>
          <w:lang w:val="en-US" w:eastAsia="zh-CN"/>
          <w14:textFill>
            <w14:solidFill>
              <w14:schemeClr w14:val="tx1"/>
            </w14:solidFill>
          </w14:textFill>
        </w:rPr>
        <w:t>1</w:t>
      </w:r>
      <w:r>
        <w:rPr>
          <w:rFonts w:hint="eastAsia" w:asciiTheme="minorEastAsia" w:hAnsiTheme="minorEastAsia"/>
          <w:color w:val="000000" w:themeColor="text1"/>
          <w:sz w:val="24"/>
          <w:szCs w:val="24"/>
          <w:u w:val="single"/>
          <w14:textFill>
            <w14:solidFill>
              <w14:schemeClr w14:val="tx1"/>
            </w14:solidFill>
          </w14:textFill>
        </w:rPr>
        <w:t>:00</w:t>
      </w:r>
      <w:r>
        <w:rPr>
          <w:rFonts w:asciiTheme="minorEastAsia" w:hAnsiTheme="minorEastAsia"/>
          <w:color w:val="000000" w:themeColor="text1"/>
          <w:sz w:val="24"/>
          <w:szCs w:val="24"/>
          <w14:textFill>
            <w14:solidFill>
              <w14:schemeClr w14:val="tx1"/>
            </w14:solidFill>
          </w14:textFill>
        </w:rPr>
        <w:t>（北京时间）前递交</w:t>
      </w:r>
      <w:r>
        <w:rPr>
          <w:rFonts w:hint="eastAsia" w:asciiTheme="minorEastAsia" w:hAnsiTheme="minorEastAsia"/>
          <w:color w:val="000000" w:themeColor="text1"/>
          <w:sz w:val="24"/>
          <w:szCs w:val="24"/>
          <w14:textFill>
            <w14:solidFill>
              <w14:schemeClr w14:val="tx1"/>
            </w14:solidFill>
          </w14:textFill>
        </w:rPr>
        <w:t>响应</w:t>
      </w:r>
      <w:r>
        <w:rPr>
          <w:rFonts w:asciiTheme="minorEastAsia" w:hAnsiTheme="minorEastAsia"/>
          <w:color w:val="000000" w:themeColor="text1"/>
          <w:sz w:val="24"/>
          <w:szCs w:val="24"/>
          <w14:textFill>
            <w14:solidFill>
              <w14:schemeClr w14:val="tx1"/>
            </w14:solidFill>
          </w14:textFill>
        </w:rPr>
        <w:t>文件。</w:t>
      </w:r>
    </w:p>
    <w:p w14:paraId="53107AF7">
      <w:pPr>
        <w:spacing w:line="42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一、项目基本情况</w:t>
      </w:r>
    </w:p>
    <w:p w14:paraId="75CC0C98">
      <w:pPr>
        <w:spacing w:line="360" w:lineRule="auto"/>
        <w:rPr>
          <w:rFonts w:asciiTheme="minorEastAsia" w:hAnsiTheme="minorEastAsia"/>
          <w:sz w:val="24"/>
          <w:szCs w:val="24"/>
          <w:u w:val="single"/>
        </w:rPr>
      </w:pPr>
      <w:r>
        <w:rPr>
          <w:rFonts w:asciiTheme="minorEastAsia" w:hAnsiTheme="minorEastAsia"/>
          <w:sz w:val="24"/>
          <w:szCs w:val="24"/>
        </w:rPr>
        <w:t>项目编号：</w:t>
      </w:r>
      <w:r>
        <w:rPr>
          <w:rFonts w:hint="eastAsia" w:asciiTheme="minorEastAsia" w:hAnsiTheme="minorEastAsia"/>
          <w:sz w:val="24"/>
          <w:szCs w:val="24"/>
          <w:u w:val="single"/>
        </w:rPr>
        <w:t xml:space="preserve"> 2025-0319-193022</w:t>
      </w:r>
    </w:p>
    <w:p w14:paraId="5C7AE882">
      <w:pPr>
        <w:spacing w:line="360" w:lineRule="auto"/>
        <w:rPr>
          <w:rFonts w:hint="eastAsia" w:eastAsia="宋体" w:asciiTheme="minorEastAsia" w:hAnsiTheme="minorEastAsia"/>
          <w:sz w:val="24"/>
          <w:szCs w:val="24"/>
          <w:lang w:eastAsia="zh-CN"/>
        </w:rPr>
      </w:pPr>
      <w:r>
        <w:rPr>
          <w:rFonts w:asciiTheme="minorEastAsia" w:hAnsiTheme="minorEastAsia"/>
          <w:sz w:val="24"/>
          <w:szCs w:val="24"/>
        </w:rPr>
        <w:t>项目名称：</w:t>
      </w:r>
      <w:r>
        <w:rPr>
          <w:rFonts w:hint="eastAsia" w:asciiTheme="minorEastAsia" w:hAnsiTheme="minorEastAsia"/>
          <w:sz w:val="24"/>
          <w:szCs w:val="24"/>
          <w:u w:val="single"/>
          <w:lang w:eastAsia="zh-CN"/>
        </w:rPr>
        <w:t>乌鲁木齐市天山区教育局碱泉街幼儿园工程-10KV配电工程</w:t>
      </w:r>
    </w:p>
    <w:p w14:paraId="67450D62">
      <w:pPr>
        <w:spacing w:line="360" w:lineRule="auto"/>
        <w:rPr>
          <w:rFonts w:asciiTheme="minorEastAsia" w:hAnsiTheme="minorEastAsia"/>
          <w:sz w:val="24"/>
          <w:szCs w:val="24"/>
        </w:rPr>
      </w:pPr>
      <w:r>
        <w:rPr>
          <w:rFonts w:asciiTheme="minorEastAsia" w:hAnsiTheme="minorEastAsia"/>
          <w:sz w:val="24"/>
          <w:szCs w:val="24"/>
        </w:rPr>
        <w:t>采购方式：</w:t>
      </w:r>
      <w:r>
        <w:rPr>
          <w:rFonts w:hint="eastAsia" w:asciiTheme="minorEastAsia" w:hAnsiTheme="minorEastAsia"/>
          <w:sz w:val="24"/>
          <w:szCs w:val="24"/>
          <w:u w:val="single"/>
        </w:rPr>
        <w:t>竞争性磋商</w:t>
      </w:r>
    </w:p>
    <w:p w14:paraId="4716A38C">
      <w:pPr>
        <w:spacing w:line="360" w:lineRule="auto"/>
      </w:pPr>
      <w:r>
        <w:rPr>
          <w:rFonts w:asciiTheme="minorEastAsia" w:hAnsiTheme="minorEastAsia"/>
          <w:sz w:val="24"/>
          <w:szCs w:val="24"/>
        </w:rPr>
        <w:t>预算金额（元）：</w:t>
      </w:r>
      <w:r>
        <w:rPr>
          <w:rFonts w:asciiTheme="minorEastAsia" w:hAnsiTheme="minorEastAsia"/>
          <w:sz w:val="24"/>
          <w:szCs w:val="24"/>
          <w:u w:val="single"/>
        </w:rPr>
        <w:t>1308000.00</w:t>
      </w:r>
    </w:p>
    <w:p w14:paraId="62FDAA34">
      <w:pPr>
        <w:spacing w:line="360" w:lineRule="auto"/>
        <w:rPr>
          <w:rFonts w:asciiTheme="minorEastAsia" w:hAnsiTheme="minorEastAsia"/>
          <w:sz w:val="24"/>
          <w:szCs w:val="24"/>
        </w:rPr>
      </w:pPr>
      <w:r>
        <w:rPr>
          <w:rFonts w:asciiTheme="minorEastAsia" w:hAnsiTheme="minorEastAsia"/>
          <w:sz w:val="24"/>
          <w:szCs w:val="24"/>
        </w:rPr>
        <w:t>最高限价（元）：</w:t>
      </w:r>
      <w:r>
        <w:rPr>
          <w:rFonts w:asciiTheme="minorEastAsia" w:hAnsiTheme="minorEastAsia"/>
          <w:sz w:val="24"/>
          <w:szCs w:val="24"/>
          <w:u w:val="single"/>
        </w:rPr>
        <w:t>1308000.00</w:t>
      </w:r>
    </w:p>
    <w:p w14:paraId="37B03586">
      <w:pPr>
        <w:spacing w:line="360" w:lineRule="auto"/>
        <w:rPr>
          <w:rFonts w:asciiTheme="minorEastAsia" w:hAnsiTheme="minorEastAsia"/>
          <w:sz w:val="24"/>
          <w:szCs w:val="24"/>
        </w:rPr>
      </w:pPr>
      <w:r>
        <w:rPr>
          <w:rFonts w:asciiTheme="minorEastAsia" w:hAnsiTheme="minorEastAsia"/>
          <w:sz w:val="24"/>
          <w:szCs w:val="24"/>
        </w:rPr>
        <w:t>采购需求：</w:t>
      </w:r>
    </w:p>
    <w:p w14:paraId="4E40361E">
      <w:pPr>
        <w:spacing w:line="360" w:lineRule="auto"/>
        <w:rPr>
          <w:rFonts w:asciiTheme="minorEastAsia" w:hAnsiTheme="minorEastAsia"/>
          <w:sz w:val="24"/>
          <w:szCs w:val="24"/>
        </w:rPr>
      </w:pPr>
      <w:r>
        <w:rPr>
          <w:rFonts w:hint="eastAsia" w:asciiTheme="minorEastAsia" w:hAnsiTheme="minorEastAsia"/>
          <w:sz w:val="24"/>
          <w:szCs w:val="24"/>
        </w:rPr>
        <w:t>标项一</w:t>
      </w:r>
    </w:p>
    <w:p w14:paraId="18524A3B">
      <w:pPr>
        <w:spacing w:line="420" w:lineRule="exact"/>
        <w:jc w:val="left"/>
        <w:rPr>
          <w:rFonts w:asciiTheme="minorEastAsia" w:hAnsiTheme="minorEastAsia"/>
          <w:sz w:val="24"/>
          <w:szCs w:val="24"/>
        </w:rPr>
      </w:pPr>
      <w:r>
        <w:rPr>
          <w:rFonts w:asciiTheme="minorEastAsia" w:hAnsiTheme="minorEastAsia"/>
          <w:sz w:val="24"/>
          <w:szCs w:val="24"/>
        </w:rPr>
        <w:t>数量:</w:t>
      </w:r>
      <w:r>
        <w:rPr>
          <w:rFonts w:hint="eastAsia"/>
          <w:u w:val="single"/>
        </w:rPr>
        <w:t xml:space="preserve"> </w:t>
      </w:r>
      <w:r>
        <w:rPr>
          <w:rFonts w:hint="eastAsia" w:asciiTheme="minorEastAsia" w:hAnsiTheme="minorEastAsia"/>
          <w:sz w:val="24"/>
          <w:szCs w:val="24"/>
          <w:u w:val="single"/>
        </w:rPr>
        <w:t xml:space="preserve">不限 </w:t>
      </w:r>
    </w:p>
    <w:p w14:paraId="4B6C3C1E">
      <w:pPr>
        <w:spacing w:line="420" w:lineRule="exact"/>
        <w:jc w:val="left"/>
        <w:rPr>
          <w:rFonts w:asciiTheme="minorEastAsia" w:hAnsiTheme="minorEastAsia"/>
          <w:sz w:val="24"/>
          <w:szCs w:val="24"/>
          <w:u w:val="single"/>
        </w:rPr>
      </w:pPr>
      <w:r>
        <w:rPr>
          <w:rFonts w:asciiTheme="minorEastAsia" w:hAnsiTheme="minorEastAsia"/>
          <w:sz w:val="24"/>
          <w:szCs w:val="24"/>
        </w:rPr>
        <w:t>预算金额（元）:</w:t>
      </w:r>
      <w:r>
        <w:rPr>
          <w:rFonts w:hint="eastAsia" w:asciiTheme="minorEastAsia" w:hAnsiTheme="minorEastAsia"/>
          <w:sz w:val="24"/>
          <w:szCs w:val="24"/>
          <w:u w:val="none"/>
        </w:rPr>
        <w:t xml:space="preserve"> </w:t>
      </w:r>
      <w:r>
        <w:rPr>
          <w:rFonts w:hint="eastAsia" w:asciiTheme="minorEastAsia" w:hAnsiTheme="minorEastAsia"/>
          <w:sz w:val="24"/>
          <w:szCs w:val="24"/>
          <w:u w:val="single"/>
          <w:lang w:eastAsia="zh-CN"/>
        </w:rPr>
        <w:t>1308000.00</w:t>
      </w:r>
    </w:p>
    <w:p w14:paraId="76D4F4CC">
      <w:pPr>
        <w:spacing w:line="420" w:lineRule="exact"/>
        <w:rPr>
          <w:rFonts w:asciiTheme="minorEastAsia" w:hAnsiTheme="minorEastAsia"/>
          <w:sz w:val="24"/>
          <w:szCs w:val="24"/>
          <w:u w:val="single"/>
        </w:rPr>
      </w:pPr>
      <w:r>
        <w:rPr>
          <w:rFonts w:asciiTheme="minorEastAsia" w:hAnsiTheme="minorEastAsia"/>
          <w:sz w:val="24"/>
          <w:szCs w:val="24"/>
        </w:rPr>
        <w:t>最高限价（元）：</w:t>
      </w:r>
      <w:r>
        <w:rPr>
          <w:rFonts w:asciiTheme="minorEastAsia" w:hAnsiTheme="minorEastAsia"/>
          <w:sz w:val="24"/>
          <w:szCs w:val="24"/>
          <w:u w:val="single"/>
        </w:rPr>
        <w:t>1308000.00</w:t>
      </w:r>
    </w:p>
    <w:p w14:paraId="5AA5EEA6">
      <w:pPr>
        <w:spacing w:line="360" w:lineRule="auto"/>
        <w:rPr>
          <w:rFonts w:asciiTheme="minorEastAsia" w:hAnsiTheme="minorEastAsia"/>
          <w:sz w:val="24"/>
          <w:szCs w:val="24"/>
          <w:u w:val="single"/>
        </w:rPr>
      </w:pPr>
      <w:r>
        <w:rPr>
          <w:rFonts w:asciiTheme="minorEastAsia" w:hAnsiTheme="minorEastAsia"/>
          <w:sz w:val="24"/>
          <w:szCs w:val="24"/>
        </w:rPr>
        <w:t>简要规格描述或项目基本概况介绍、用途：</w:t>
      </w:r>
      <w:r>
        <w:rPr>
          <w:rFonts w:hint="eastAsia" w:asciiTheme="minorEastAsia" w:hAnsiTheme="minorEastAsia"/>
          <w:sz w:val="24"/>
          <w:szCs w:val="24"/>
          <w:u w:val="single"/>
          <w:lang w:eastAsia="zh-CN"/>
        </w:rPr>
        <w:t>乌鲁木齐市天山区教育局碱泉街幼儿园工程-10KV配电工程</w:t>
      </w:r>
      <w:r>
        <w:rPr>
          <w:rFonts w:hint="eastAsia" w:asciiTheme="minorEastAsia" w:hAnsiTheme="minorEastAsia"/>
          <w:sz w:val="24"/>
          <w:szCs w:val="24"/>
          <w:u w:val="single"/>
        </w:rPr>
        <w:t>，具体内容详见磋商文件。</w:t>
      </w:r>
    </w:p>
    <w:p w14:paraId="42B2D3B1">
      <w:pPr>
        <w:spacing w:line="420" w:lineRule="exact"/>
        <w:rPr>
          <w:rFonts w:asciiTheme="minorEastAsia" w:hAnsiTheme="minorEastAsia"/>
          <w:sz w:val="24"/>
          <w:szCs w:val="24"/>
        </w:rPr>
      </w:pPr>
      <w:r>
        <w:rPr>
          <w:rFonts w:asciiTheme="minorEastAsia" w:hAnsiTheme="minorEastAsia"/>
          <w:sz w:val="24"/>
          <w:szCs w:val="24"/>
        </w:rPr>
        <w:t>合同履约期限：</w:t>
      </w:r>
      <w:r>
        <w:rPr>
          <w:rFonts w:hint="eastAsia" w:asciiTheme="minorEastAsia" w:hAnsiTheme="minorEastAsia"/>
          <w:color w:val="000000" w:themeColor="text1"/>
          <w:sz w:val="24"/>
          <w:szCs w:val="24"/>
          <w:u w:val="single"/>
          <w14:textFill>
            <w14:solidFill>
              <w14:schemeClr w14:val="tx1"/>
            </w14:solidFill>
          </w14:textFill>
        </w:rPr>
        <w:t>自合同签订，分别满足进场条件后，180个日历日内完成（其中临时用电90个日历日内完成；正式用电90个日历日内完成）。</w:t>
      </w:r>
    </w:p>
    <w:p w14:paraId="348B4739">
      <w:pPr>
        <w:spacing w:line="360" w:lineRule="auto"/>
        <w:rPr>
          <w:rFonts w:asciiTheme="minorEastAsia" w:hAnsiTheme="minorEastAsia"/>
          <w:sz w:val="24"/>
          <w:szCs w:val="24"/>
        </w:rPr>
      </w:pPr>
      <w:r>
        <w:rPr>
          <w:rFonts w:asciiTheme="minorEastAsia" w:hAnsiTheme="minorEastAsia"/>
          <w:sz w:val="24"/>
          <w:szCs w:val="24"/>
        </w:rPr>
        <w:t>本项目（否）接受联合体投标。</w:t>
      </w:r>
    </w:p>
    <w:p w14:paraId="2FF68278">
      <w:pPr>
        <w:spacing w:line="360" w:lineRule="auto"/>
        <w:rPr>
          <w:rFonts w:asciiTheme="minorEastAsia" w:hAnsiTheme="minorEastAsia"/>
          <w:sz w:val="24"/>
          <w:szCs w:val="24"/>
        </w:rPr>
      </w:pPr>
      <w:r>
        <w:rPr>
          <w:rFonts w:hint="eastAsia" w:asciiTheme="minorEastAsia" w:hAnsiTheme="minorEastAsia"/>
          <w:sz w:val="24"/>
          <w:szCs w:val="24"/>
        </w:rPr>
        <w:t>二、申请人的资格要求：</w:t>
      </w:r>
    </w:p>
    <w:p w14:paraId="5D12CEE1">
      <w:pPr>
        <w:spacing w:line="360" w:lineRule="auto"/>
        <w:rPr>
          <w:rFonts w:asciiTheme="minorEastAsia" w:hAnsiTheme="minorEastAsia"/>
          <w:sz w:val="24"/>
          <w:szCs w:val="24"/>
        </w:rPr>
      </w:pPr>
      <w:r>
        <w:rPr>
          <w:rFonts w:asciiTheme="minorEastAsia" w:hAnsiTheme="minorEastAsia"/>
          <w:sz w:val="24"/>
          <w:szCs w:val="24"/>
        </w:rPr>
        <w:t>1.满足《中华人民共和国政府采购法》第二十二条规定；</w:t>
      </w:r>
    </w:p>
    <w:p w14:paraId="3DB35739">
      <w:pPr>
        <w:spacing w:line="360" w:lineRule="auto"/>
        <w:rPr>
          <w:rFonts w:asciiTheme="minorEastAsia" w:hAnsiTheme="minorEastAsia"/>
          <w:sz w:val="24"/>
          <w:szCs w:val="24"/>
        </w:rPr>
      </w:pPr>
      <w:r>
        <w:rPr>
          <w:rFonts w:asciiTheme="minorEastAsia" w:hAnsiTheme="minorEastAsia"/>
          <w:sz w:val="24"/>
          <w:szCs w:val="24"/>
        </w:rPr>
        <w:t>2.落实政府采购政策需满足的资格要求：</w:t>
      </w:r>
      <w:r>
        <w:rPr>
          <w:rFonts w:hint="eastAsia" w:asciiTheme="minorEastAsia" w:hAnsiTheme="minorEastAsia" w:eastAsiaTheme="minorEastAsia"/>
          <w:sz w:val="24"/>
          <w:szCs w:val="24"/>
        </w:rPr>
        <w:t>本项目为专门面向小微企业（含小型、微型企业）。</w:t>
      </w:r>
    </w:p>
    <w:p w14:paraId="60825B97">
      <w:pPr>
        <w:spacing w:line="360" w:lineRule="auto"/>
        <w:rPr>
          <w:rFonts w:asciiTheme="minorEastAsia" w:hAnsiTheme="minorEastAsia"/>
          <w:sz w:val="24"/>
          <w:szCs w:val="24"/>
        </w:rPr>
      </w:pPr>
      <w:r>
        <w:rPr>
          <w:rFonts w:asciiTheme="minorEastAsia" w:hAnsiTheme="minorEastAsia"/>
          <w:sz w:val="24"/>
          <w:szCs w:val="24"/>
        </w:rPr>
        <w:t>3.本项目的特定资格要求：</w:t>
      </w:r>
    </w:p>
    <w:p w14:paraId="5454D568">
      <w:pPr>
        <w:pStyle w:val="63"/>
        <w:spacing w:line="360" w:lineRule="auto"/>
        <w:ind w:firstLine="0"/>
        <w:jc w:val="left"/>
        <w:rPr>
          <w:rFonts w:asciiTheme="minorEastAsia" w:hAnsiTheme="minorEastAsia"/>
          <w:sz w:val="24"/>
          <w:szCs w:val="24"/>
        </w:rPr>
      </w:pPr>
      <w:r>
        <w:rPr>
          <w:rFonts w:asciiTheme="minorEastAsia" w:hAnsiTheme="minorEastAsia"/>
          <w:sz w:val="24"/>
          <w:szCs w:val="24"/>
        </w:rPr>
        <w:t>【标项1】</w:t>
      </w:r>
    </w:p>
    <w:p w14:paraId="156D72F6">
      <w:pPr>
        <w:spacing w:line="360" w:lineRule="auto"/>
        <w:rPr>
          <w:rFonts w:asciiTheme="minorEastAsia" w:hAnsiTheme="minorEastAsia"/>
          <w:sz w:val="24"/>
          <w:szCs w:val="24"/>
        </w:rPr>
      </w:pPr>
      <w:r>
        <w:rPr>
          <w:rFonts w:hint="eastAsia" w:asciiTheme="minorEastAsia" w:hAnsiTheme="minorEastAsia"/>
          <w:sz w:val="24"/>
          <w:szCs w:val="24"/>
        </w:rPr>
        <w:t>1）、供应商须</w:t>
      </w:r>
      <w:r>
        <w:rPr>
          <w:rFonts w:asciiTheme="minorEastAsia" w:hAnsiTheme="minorEastAsia"/>
          <w:sz w:val="24"/>
          <w:szCs w:val="24"/>
        </w:rPr>
        <w:t>具有有效的营业</w:t>
      </w:r>
      <w:r>
        <w:rPr>
          <w:rFonts w:hint="eastAsia" w:asciiTheme="minorEastAsia" w:hAnsiTheme="minorEastAsia"/>
          <w:sz w:val="24"/>
          <w:szCs w:val="24"/>
        </w:rPr>
        <w:t>执照；具有独立订立合同的权利，能独立承担民事责任的能力；</w:t>
      </w:r>
    </w:p>
    <w:p w14:paraId="6122412D">
      <w:pPr>
        <w:spacing w:line="420" w:lineRule="exact"/>
        <w:rPr>
          <w:rFonts w:asciiTheme="minorEastAsia" w:hAnsiTheme="minorEastAsia"/>
          <w:sz w:val="24"/>
          <w:szCs w:val="24"/>
        </w:rPr>
      </w:pPr>
      <w:r>
        <w:rPr>
          <w:rFonts w:hint="eastAsia" w:asciiTheme="minorEastAsia" w:hAnsiTheme="minorEastAsia"/>
          <w:sz w:val="24"/>
          <w:szCs w:val="24"/>
        </w:rPr>
        <w:t>2）、供应商须具备有效的资质证书，且具备：</w:t>
      </w:r>
      <w:r>
        <w:rPr>
          <w:rFonts w:hint="eastAsia" w:asciiTheme="minorEastAsia" w:hAnsiTheme="minorEastAsia"/>
          <w:sz w:val="24"/>
          <w:szCs w:val="24"/>
          <w:lang w:eastAsia="zh-CN"/>
        </w:rPr>
        <w:t>[施工]施工总承包企业资质(电力工程)三级及以上或[施工]专业承包企业资质(输变电工程)三级及以上</w:t>
      </w:r>
      <w:r>
        <w:rPr>
          <w:rFonts w:hint="eastAsia" w:asciiTheme="minorEastAsia" w:hAnsiTheme="minorEastAsia"/>
          <w:sz w:val="24"/>
          <w:szCs w:val="24"/>
        </w:rPr>
        <w:t>；</w:t>
      </w:r>
    </w:p>
    <w:p w14:paraId="144E143B">
      <w:pPr>
        <w:spacing w:line="420" w:lineRule="exact"/>
        <w:rPr>
          <w:rFonts w:asciiTheme="minorEastAsia" w:hAnsiTheme="minorEastAsia"/>
          <w:sz w:val="24"/>
          <w:szCs w:val="24"/>
        </w:rPr>
      </w:pPr>
      <w:r>
        <w:rPr>
          <w:rFonts w:hint="eastAsia" w:asciiTheme="minorEastAsia" w:hAnsiTheme="minorEastAsia"/>
          <w:sz w:val="24"/>
          <w:szCs w:val="24"/>
        </w:rPr>
        <w:t>3）、供应商须具备有效的安全生产许可证；</w:t>
      </w:r>
    </w:p>
    <w:p w14:paraId="6ACA273C">
      <w:pPr>
        <w:spacing w:line="420" w:lineRule="exact"/>
        <w:rPr>
          <w:rFonts w:asciiTheme="minorEastAsia" w:hAnsiTheme="minorEastAsia"/>
          <w:sz w:val="24"/>
          <w:szCs w:val="24"/>
        </w:rPr>
      </w:pPr>
      <w:r>
        <w:rPr>
          <w:rFonts w:hint="eastAsia" w:asciiTheme="minorEastAsia" w:hAnsiTheme="minorEastAsia"/>
          <w:sz w:val="24"/>
          <w:szCs w:val="24"/>
        </w:rPr>
        <w:t>4）、供应商名称必须与营业执照、资质证书、安全生产许可证中的企业名称保持一致；</w:t>
      </w:r>
    </w:p>
    <w:p w14:paraId="1D93BC26">
      <w:pPr>
        <w:spacing w:line="420" w:lineRule="exact"/>
        <w:rPr>
          <w:rFonts w:asciiTheme="minorEastAsia" w:hAnsiTheme="minorEastAsia"/>
          <w:sz w:val="24"/>
          <w:szCs w:val="24"/>
        </w:rPr>
      </w:pPr>
      <w:r>
        <w:rPr>
          <w:rFonts w:hint="eastAsia" w:asciiTheme="minorEastAsia" w:hAnsiTheme="minorEastAsia"/>
          <w:sz w:val="24"/>
          <w:szCs w:val="24"/>
        </w:rPr>
        <w:t>5）、供应商所报项目负责人须具备二级及以上</w:t>
      </w:r>
      <w:r>
        <w:rPr>
          <w:rFonts w:hint="eastAsia" w:asciiTheme="minorEastAsia" w:hAnsiTheme="minorEastAsia"/>
          <w:sz w:val="24"/>
          <w:szCs w:val="24"/>
          <w:lang w:eastAsia="zh-CN"/>
        </w:rPr>
        <w:t>注册建造师（机电工程专业）</w:t>
      </w:r>
      <w:r>
        <w:rPr>
          <w:rFonts w:hint="eastAsia" w:asciiTheme="minorEastAsia" w:hAnsiTheme="minorEastAsia"/>
          <w:sz w:val="24"/>
          <w:szCs w:val="24"/>
        </w:rPr>
        <w:t>、</w:t>
      </w:r>
      <w:r>
        <w:rPr>
          <w:rFonts w:hint="eastAsia" w:asciiTheme="minorEastAsia" w:hAnsiTheme="minorEastAsia"/>
          <w:sz w:val="24"/>
          <w:szCs w:val="24"/>
          <w:highlight w:val="none"/>
        </w:rPr>
        <w:t>安全生产考核证B类（须合格有效），</w:t>
      </w:r>
      <w:r>
        <w:rPr>
          <w:rFonts w:hint="eastAsia" w:asciiTheme="minorEastAsia" w:hAnsiTheme="minorEastAsia"/>
          <w:sz w:val="24"/>
          <w:szCs w:val="24"/>
        </w:rPr>
        <w:t>未担任其他在建项目的项目负责人，本单位注册，且在有效期内,不接受临时注册建造师；</w:t>
      </w:r>
    </w:p>
    <w:p w14:paraId="3031A70D">
      <w:pPr>
        <w:spacing w:line="420" w:lineRule="exact"/>
        <w:rPr>
          <w:rFonts w:asciiTheme="minorEastAsia" w:hAnsiTheme="minorEastAsia"/>
          <w:sz w:val="24"/>
          <w:szCs w:val="24"/>
        </w:rPr>
      </w:pPr>
      <w:r>
        <w:rPr>
          <w:rFonts w:hint="eastAsia" w:asciiTheme="minorEastAsia" w:hAnsiTheme="minorEastAsia"/>
          <w:sz w:val="24"/>
          <w:szCs w:val="24"/>
        </w:rPr>
        <w:t>6）、供应商须是在“信用中国”（</w:t>
      </w:r>
      <w:r>
        <w:rPr>
          <w:rFonts w:asciiTheme="minorEastAsia" w:hAnsiTheme="minorEastAsia"/>
          <w:sz w:val="24"/>
          <w:szCs w:val="24"/>
        </w:rPr>
        <w:t>www.creditchina.gov.cn</w:t>
      </w:r>
      <w:r>
        <w:rPr>
          <w:rFonts w:hint="eastAsia" w:asciiTheme="minorEastAsia" w:hAnsiTheme="minorEastAsia"/>
          <w:sz w:val="24"/>
          <w:szCs w:val="24"/>
        </w:rPr>
        <w:t>）和中国政府采购网（</w:t>
      </w:r>
      <w:r>
        <w:rPr>
          <w:rFonts w:asciiTheme="minorEastAsia" w:hAnsiTheme="minorEastAsia"/>
          <w:sz w:val="24"/>
          <w:szCs w:val="24"/>
        </w:rPr>
        <w:t>www.ccgp.gov.cn</w:t>
      </w:r>
      <w:r>
        <w:rPr>
          <w:rFonts w:hint="eastAsia" w:asciiTheme="minorEastAsia" w:hAnsiTheme="minorEastAsia"/>
          <w:sz w:val="24"/>
          <w:szCs w:val="24"/>
        </w:rPr>
        <w:t>）网站上未被列入失信被执行人、重大税收违法案件当事人名单以及政府采购严重违法失信行为记录名单；</w:t>
      </w:r>
      <w:r>
        <w:rPr>
          <w:rFonts w:asciiTheme="minorEastAsia" w:hAnsiTheme="minorEastAsia"/>
          <w:sz w:val="24"/>
          <w:szCs w:val="24"/>
        </w:rPr>
        <w:t xml:space="preserve"> </w:t>
      </w:r>
    </w:p>
    <w:p w14:paraId="5FA8C33E">
      <w:pPr>
        <w:spacing w:line="420" w:lineRule="exact"/>
        <w:rPr>
          <w:rFonts w:asciiTheme="minorEastAsia" w:hAnsiTheme="minorEastAsia"/>
          <w:sz w:val="24"/>
          <w:szCs w:val="24"/>
        </w:rPr>
      </w:pPr>
      <w:r>
        <w:rPr>
          <w:rFonts w:hint="eastAsia" w:asciiTheme="minorEastAsia" w:hAnsiTheme="minorEastAsia"/>
          <w:sz w:val="24"/>
          <w:szCs w:val="24"/>
        </w:rPr>
        <w:t>7）、供应商如在中国裁判文书网（http://wenshu.court.gov.cn）有行贿犯罪记录的（尚在处罚期内的），将被拒绝参加本次采购活动；</w:t>
      </w:r>
    </w:p>
    <w:p w14:paraId="4907EE04">
      <w:pPr>
        <w:spacing w:line="420" w:lineRule="exact"/>
        <w:rPr>
          <w:rFonts w:asciiTheme="minorEastAsia" w:hAnsiTheme="minorEastAsia"/>
          <w:sz w:val="24"/>
          <w:szCs w:val="24"/>
        </w:rPr>
      </w:pPr>
      <w:r>
        <w:rPr>
          <w:rFonts w:hint="eastAsia" w:asciiTheme="minorEastAsia" w:hAnsiTheme="minorEastAsia"/>
          <w:sz w:val="24"/>
          <w:szCs w:val="24"/>
        </w:rPr>
        <w:t>8）</w:t>
      </w:r>
      <w:r>
        <w:rPr>
          <w:rFonts w:asciiTheme="minorEastAsia" w:hAnsiTheme="minorEastAsia"/>
          <w:sz w:val="24"/>
          <w:szCs w:val="24"/>
        </w:rPr>
        <w:t>、本采购项目</w:t>
      </w:r>
      <w:r>
        <w:rPr>
          <w:rFonts w:hint="eastAsia" w:asciiTheme="minorEastAsia" w:hAnsiTheme="minorEastAsia"/>
          <w:sz w:val="24"/>
          <w:szCs w:val="24"/>
        </w:rPr>
        <w:t>不允许</w:t>
      </w:r>
      <w:r>
        <w:rPr>
          <w:rFonts w:asciiTheme="minorEastAsia" w:hAnsiTheme="minorEastAsia"/>
          <w:sz w:val="24"/>
          <w:szCs w:val="24"/>
        </w:rPr>
        <w:t>联合体投标。</w:t>
      </w:r>
    </w:p>
    <w:p w14:paraId="36BFCDC7">
      <w:pPr>
        <w:spacing w:line="420" w:lineRule="exact"/>
        <w:rPr>
          <w:rFonts w:asciiTheme="minorEastAsia" w:hAnsiTheme="minorEastAsia"/>
          <w:sz w:val="24"/>
          <w:szCs w:val="24"/>
        </w:rPr>
      </w:pPr>
      <w:r>
        <w:rPr>
          <w:rFonts w:hint="eastAsia" w:asciiTheme="minorEastAsia" w:hAnsiTheme="minorEastAsia"/>
          <w:sz w:val="24"/>
          <w:szCs w:val="24"/>
        </w:rPr>
        <w:t>9）</w:t>
      </w:r>
      <w:r>
        <w:rPr>
          <w:rFonts w:asciiTheme="minorEastAsia" w:hAnsiTheme="minorEastAsia"/>
          <w:sz w:val="24"/>
          <w:szCs w:val="24"/>
        </w:rPr>
        <w:t>、</w:t>
      </w:r>
      <w:r>
        <w:rPr>
          <w:rFonts w:hint="eastAsia" w:asciiTheme="minorEastAsia" w:hAnsiTheme="minorEastAsia"/>
          <w:sz w:val="24"/>
          <w:szCs w:val="24"/>
        </w:rPr>
        <w:t>供应商须提供《中小企业声明函》。</w:t>
      </w:r>
    </w:p>
    <w:p w14:paraId="0D48C591">
      <w:pPr>
        <w:spacing w:line="420" w:lineRule="exact"/>
        <w:rPr>
          <w:rFonts w:asciiTheme="minorEastAsia" w:hAnsiTheme="minorEastAsia"/>
          <w:sz w:val="24"/>
          <w:szCs w:val="24"/>
        </w:rPr>
      </w:pPr>
      <w:r>
        <w:rPr>
          <w:rFonts w:hint="eastAsia" w:asciiTheme="minorEastAsia" w:hAnsiTheme="minorEastAsia"/>
          <w:sz w:val="24"/>
          <w:szCs w:val="24"/>
        </w:rPr>
        <w:t>10）</w:t>
      </w:r>
      <w:r>
        <w:rPr>
          <w:rFonts w:asciiTheme="minorEastAsia" w:hAnsiTheme="minorEastAsia"/>
          <w:sz w:val="24"/>
          <w:szCs w:val="24"/>
        </w:rPr>
        <w:t>、其他说明：①与采购人存在利害关系可能影响招标公正性的法人、其他组织或者个人，不得参加投标。②</w:t>
      </w:r>
      <w:r>
        <w:rPr>
          <w:rFonts w:hint="eastAsia" w:asciiTheme="minorEastAsia" w:hAnsiTheme="minorEastAsia"/>
          <w:sz w:val="24"/>
          <w:szCs w:val="24"/>
        </w:rPr>
        <w:t>单位负责人为同一人或者存在控股、管理关系的不同供应商，不得参加同一合同项下的政府采购活动。</w:t>
      </w:r>
      <w:r>
        <w:rPr>
          <w:rFonts w:asciiTheme="minorEastAsia" w:hAnsiTheme="minorEastAsia"/>
          <w:sz w:val="24"/>
          <w:szCs w:val="24"/>
        </w:rPr>
        <w:t>违反前两款规定的，相关投标均无效。</w:t>
      </w:r>
    </w:p>
    <w:p w14:paraId="01F32D95">
      <w:pPr>
        <w:spacing w:line="420" w:lineRule="exact"/>
        <w:rPr>
          <w:rFonts w:asciiTheme="minorEastAsia" w:hAnsiTheme="minorEastAsia"/>
          <w:sz w:val="24"/>
          <w:szCs w:val="24"/>
        </w:rPr>
      </w:pPr>
      <w:r>
        <w:rPr>
          <w:rFonts w:hint="eastAsia" w:asciiTheme="minorEastAsia" w:hAnsiTheme="minorEastAsia"/>
          <w:sz w:val="24"/>
          <w:szCs w:val="24"/>
        </w:rPr>
        <w:t>三、获取竞争性磋商文件</w:t>
      </w:r>
    </w:p>
    <w:p w14:paraId="4B580460">
      <w:pPr>
        <w:spacing w:line="420" w:lineRule="exact"/>
        <w:rPr>
          <w:rFonts w:asciiTheme="minorEastAsia" w:hAnsiTheme="minorEastAsia"/>
          <w:sz w:val="24"/>
          <w:szCs w:val="24"/>
        </w:rPr>
      </w:pPr>
      <w:r>
        <w:rPr>
          <w:rFonts w:hint="eastAsia" w:asciiTheme="minorEastAsia" w:hAnsiTheme="minorEastAsia"/>
          <w:sz w:val="24"/>
          <w:szCs w:val="24"/>
        </w:rPr>
        <w:t xml:space="preserve">    </w:t>
      </w:r>
      <w:r>
        <w:rPr>
          <w:rFonts w:asciiTheme="minorEastAsia" w:hAnsiTheme="minorEastAsia"/>
          <w:sz w:val="24"/>
          <w:szCs w:val="24"/>
        </w:rPr>
        <w:t>时</w:t>
      </w:r>
      <w:r>
        <w:rPr>
          <w:rFonts w:asciiTheme="minorEastAsia" w:hAnsiTheme="minorEastAsia"/>
          <w:color w:val="000000" w:themeColor="text1"/>
          <w:sz w:val="24"/>
          <w:szCs w:val="24"/>
          <w14:textFill>
            <w14:solidFill>
              <w14:schemeClr w14:val="tx1"/>
            </w14:solidFill>
          </w14:textFill>
        </w:rPr>
        <w:t>间</w:t>
      </w:r>
      <w:r>
        <w:rPr>
          <w:rFonts w:hint="eastAsia" w:asciiTheme="minorEastAsia" w:hAnsiTheme="minorEastAsia"/>
          <w:color w:val="000000" w:themeColor="text1"/>
          <w:sz w:val="24"/>
          <w:szCs w:val="24"/>
          <w14:textFill>
            <w14:solidFill>
              <w14:schemeClr w14:val="tx1"/>
            </w14:solidFill>
          </w14:textFill>
        </w:rPr>
        <w:t>：</w:t>
      </w:r>
      <w:r>
        <w:rPr>
          <w:rFonts w:hint="eastAsia" w:asciiTheme="minorEastAsia" w:hAnsiTheme="minorEastAsia"/>
          <w:color w:val="000000" w:themeColor="text1"/>
          <w:sz w:val="24"/>
          <w:szCs w:val="24"/>
          <w:u w:val="single"/>
          <w14:textFill>
            <w14:solidFill>
              <w14:schemeClr w14:val="tx1"/>
            </w14:solidFill>
          </w14:textFill>
        </w:rPr>
        <w:t>202</w:t>
      </w:r>
      <w:r>
        <w:rPr>
          <w:rFonts w:hint="eastAsia" w:asciiTheme="minorEastAsia" w:hAnsiTheme="minorEastAsia"/>
          <w:color w:val="000000" w:themeColor="text1"/>
          <w:sz w:val="24"/>
          <w:szCs w:val="24"/>
          <w:u w:val="single"/>
          <w:lang w:val="en-US" w:eastAsia="zh-CN"/>
          <w14:textFill>
            <w14:solidFill>
              <w14:schemeClr w14:val="tx1"/>
            </w14:solidFill>
          </w14:textFill>
        </w:rPr>
        <w:t xml:space="preserve">5 </w:t>
      </w:r>
      <w:r>
        <w:rPr>
          <w:rFonts w:hint="eastAsia" w:asciiTheme="minorEastAsia" w:hAnsiTheme="minorEastAsia"/>
          <w:color w:val="000000" w:themeColor="text1"/>
          <w:sz w:val="24"/>
          <w:szCs w:val="24"/>
          <w14:textFill>
            <w14:solidFill>
              <w14:schemeClr w14:val="tx1"/>
            </w14:solidFill>
          </w14:textFill>
        </w:rPr>
        <w:t>年</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03</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14:textFill>
            <w14:solidFill>
              <w14:schemeClr w14:val="tx1"/>
            </w14:solidFill>
          </w14:textFill>
        </w:rPr>
        <w:t>月</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24</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14:textFill>
            <w14:solidFill>
              <w14:schemeClr w14:val="tx1"/>
            </w14:solidFill>
          </w14:textFill>
        </w:rPr>
        <w:t>日至</w:t>
      </w:r>
      <w:r>
        <w:rPr>
          <w:rFonts w:hint="eastAsia" w:asciiTheme="minorEastAsia" w:hAnsiTheme="minorEastAsia"/>
          <w:color w:val="000000" w:themeColor="text1"/>
          <w:sz w:val="24"/>
          <w:szCs w:val="24"/>
          <w:u w:val="single"/>
          <w14:textFill>
            <w14:solidFill>
              <w14:schemeClr w14:val="tx1"/>
            </w14:solidFill>
          </w14:textFill>
        </w:rPr>
        <w:t>202</w:t>
      </w:r>
      <w:r>
        <w:rPr>
          <w:rFonts w:hint="eastAsia" w:asciiTheme="minorEastAsia" w:hAnsiTheme="minorEastAsia"/>
          <w:color w:val="000000" w:themeColor="text1"/>
          <w:sz w:val="24"/>
          <w:szCs w:val="24"/>
          <w:u w:val="single"/>
          <w:lang w:val="en-US" w:eastAsia="zh-CN"/>
          <w14:textFill>
            <w14:solidFill>
              <w14:schemeClr w14:val="tx1"/>
            </w14:solidFill>
          </w14:textFill>
        </w:rPr>
        <w:t>5</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14:textFill>
            <w14:solidFill>
              <w14:schemeClr w14:val="tx1"/>
            </w14:solidFill>
          </w14:textFill>
        </w:rPr>
        <w:t>年</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04</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14:textFill>
            <w14:solidFill>
              <w14:schemeClr w14:val="tx1"/>
            </w14:solidFill>
          </w14:textFill>
        </w:rPr>
        <w:t>月</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01</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14:textFill>
            <w14:solidFill>
              <w14:schemeClr w14:val="tx1"/>
            </w14:solidFill>
          </w14:textFill>
        </w:rPr>
        <w:t>日</w:t>
      </w:r>
      <w:r>
        <w:rPr>
          <w:rFonts w:asciiTheme="minorEastAsia" w:hAnsiTheme="minorEastAsia"/>
          <w:color w:val="000000" w:themeColor="text1"/>
          <w:sz w:val="24"/>
          <w:szCs w:val="24"/>
          <w14:textFill>
            <w14:solidFill>
              <w14:schemeClr w14:val="tx1"/>
            </w14:solidFill>
          </w14:textFill>
        </w:rPr>
        <w:t>，每</w:t>
      </w:r>
      <w:r>
        <w:rPr>
          <w:rFonts w:asciiTheme="minorEastAsia" w:hAnsiTheme="minorEastAsia"/>
          <w:sz w:val="24"/>
          <w:szCs w:val="24"/>
        </w:rPr>
        <w:t>天上午10:</w:t>
      </w:r>
      <w:r>
        <w:rPr>
          <w:rFonts w:hint="eastAsia" w:asciiTheme="minorEastAsia" w:hAnsiTheme="minorEastAsia"/>
          <w:sz w:val="24"/>
          <w:szCs w:val="24"/>
        </w:rPr>
        <w:t>00</w:t>
      </w:r>
      <w:r>
        <w:rPr>
          <w:rFonts w:asciiTheme="minorEastAsia" w:hAnsiTheme="minorEastAsia"/>
          <w:sz w:val="24"/>
          <w:szCs w:val="24"/>
        </w:rPr>
        <w:t>至13:30，下午15:30至18:</w:t>
      </w:r>
      <w:r>
        <w:rPr>
          <w:rFonts w:hint="eastAsia" w:asciiTheme="minorEastAsia" w:hAnsiTheme="minorEastAsia"/>
          <w:sz w:val="24"/>
          <w:szCs w:val="24"/>
        </w:rPr>
        <w:t>0</w:t>
      </w:r>
      <w:r>
        <w:rPr>
          <w:rFonts w:asciiTheme="minorEastAsia" w:hAnsiTheme="minorEastAsia"/>
          <w:sz w:val="24"/>
          <w:szCs w:val="24"/>
        </w:rPr>
        <w:t>0（北京时间，法定节假日除外）</w:t>
      </w:r>
    </w:p>
    <w:p w14:paraId="48D414BF">
      <w:pPr>
        <w:spacing w:line="420" w:lineRule="exact"/>
        <w:rPr>
          <w:rFonts w:asciiTheme="minorEastAsia" w:hAnsiTheme="minorEastAsia"/>
          <w:sz w:val="24"/>
          <w:szCs w:val="24"/>
        </w:rPr>
      </w:pPr>
      <w:r>
        <w:rPr>
          <w:rFonts w:hint="eastAsia" w:asciiTheme="minorEastAsia" w:hAnsiTheme="minorEastAsia"/>
          <w:sz w:val="24"/>
          <w:szCs w:val="24"/>
        </w:rPr>
        <w:t xml:space="preserve">    </w:t>
      </w:r>
      <w:r>
        <w:rPr>
          <w:rFonts w:asciiTheme="minorEastAsia" w:hAnsiTheme="minorEastAsia"/>
          <w:sz w:val="24"/>
          <w:szCs w:val="24"/>
        </w:rPr>
        <w:t>地点：</w:t>
      </w:r>
      <w:r>
        <w:rPr>
          <w:rFonts w:hint="eastAsia" w:asciiTheme="minorEastAsia" w:hAnsiTheme="minorEastAsia"/>
          <w:sz w:val="24"/>
          <w:szCs w:val="24"/>
        </w:rPr>
        <w:t>登陆政采云https://www.zcygov.cn/平台后进入“项目采购“应用，在获取文件菜单中选择项目，申请获取采购文件。</w:t>
      </w:r>
    </w:p>
    <w:p w14:paraId="20273857">
      <w:pPr>
        <w:spacing w:line="420" w:lineRule="exact"/>
        <w:ind w:firstLine="360" w:firstLineChars="150"/>
        <w:rPr>
          <w:rFonts w:asciiTheme="minorEastAsia" w:hAnsiTheme="minorEastAsia"/>
          <w:sz w:val="24"/>
          <w:szCs w:val="24"/>
        </w:rPr>
      </w:pPr>
      <w:r>
        <w:rPr>
          <w:rFonts w:asciiTheme="minorEastAsia" w:hAnsiTheme="minorEastAsia"/>
          <w:sz w:val="24"/>
          <w:szCs w:val="24"/>
        </w:rPr>
        <w:t>方式：</w:t>
      </w:r>
      <w:r>
        <w:rPr>
          <w:rFonts w:hint="eastAsia" w:asciiTheme="minorEastAsia" w:hAnsiTheme="minorEastAsia"/>
          <w:sz w:val="24"/>
          <w:szCs w:val="24"/>
        </w:rPr>
        <w:t>供应商须办理CA数字证书，通过CA数字证书登陆政采云平台https://www.zcygov.cn/，进行下载采购文件。</w:t>
      </w:r>
    </w:p>
    <w:p w14:paraId="47273E79">
      <w:pPr>
        <w:spacing w:line="420" w:lineRule="exact"/>
        <w:ind w:firstLine="360" w:firstLineChars="150"/>
        <w:rPr>
          <w:rFonts w:asciiTheme="minorEastAsia" w:hAnsiTheme="minorEastAsia"/>
          <w:sz w:val="24"/>
          <w:szCs w:val="24"/>
        </w:rPr>
      </w:pPr>
      <w:r>
        <w:rPr>
          <w:rFonts w:asciiTheme="minorEastAsia" w:hAnsiTheme="minorEastAsia"/>
          <w:sz w:val="24"/>
          <w:szCs w:val="24"/>
        </w:rPr>
        <w:t>售价（元）：</w:t>
      </w:r>
      <w:r>
        <w:rPr>
          <w:rFonts w:hint="eastAsia" w:asciiTheme="minorEastAsia" w:hAnsiTheme="minorEastAsia"/>
          <w:sz w:val="24"/>
          <w:szCs w:val="24"/>
          <w:u w:val="single"/>
        </w:rPr>
        <w:t>0</w:t>
      </w:r>
    </w:p>
    <w:p w14:paraId="1E17BA2A">
      <w:pPr>
        <w:spacing w:line="42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sz w:val="24"/>
          <w:szCs w:val="24"/>
        </w:rPr>
        <w:t>四、提交响应文件截止时间</w:t>
      </w:r>
      <w:r>
        <w:rPr>
          <w:rFonts w:hint="eastAsia" w:asciiTheme="minorEastAsia" w:hAnsiTheme="minorEastAsia"/>
          <w:color w:val="000000" w:themeColor="text1"/>
          <w:sz w:val="24"/>
          <w:szCs w:val="24"/>
          <w14:textFill>
            <w14:solidFill>
              <w14:schemeClr w14:val="tx1"/>
            </w14:solidFill>
          </w14:textFill>
        </w:rPr>
        <w:t>、开标时间和地点</w:t>
      </w:r>
    </w:p>
    <w:p w14:paraId="2361CF69">
      <w:pPr>
        <w:spacing w:line="420" w:lineRule="exact"/>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 xml:space="preserve">    </w:t>
      </w:r>
      <w:r>
        <w:rPr>
          <w:rFonts w:asciiTheme="minorEastAsia" w:hAnsiTheme="minorEastAsia"/>
          <w:color w:val="000000" w:themeColor="text1"/>
          <w:sz w:val="24"/>
          <w:szCs w:val="24"/>
          <w14:textFill>
            <w14:solidFill>
              <w14:schemeClr w14:val="tx1"/>
            </w14:solidFill>
          </w14:textFill>
        </w:rPr>
        <w:t>提交响应文件截止时间：</w:t>
      </w:r>
      <w:r>
        <w:rPr>
          <w:rFonts w:hint="eastAsia" w:asciiTheme="minorEastAsia" w:hAnsiTheme="minorEastAsia"/>
          <w:color w:val="000000" w:themeColor="text1"/>
          <w:sz w:val="24"/>
          <w:szCs w:val="24"/>
          <w:u w:val="single"/>
          <w14:textFill>
            <w14:solidFill>
              <w14:schemeClr w14:val="tx1"/>
            </w14:solidFill>
          </w14:textFill>
        </w:rPr>
        <w:t>202</w:t>
      </w:r>
      <w:r>
        <w:rPr>
          <w:rFonts w:hint="eastAsia" w:asciiTheme="minorEastAsia" w:hAnsiTheme="minorEastAsia"/>
          <w:color w:val="000000" w:themeColor="text1"/>
          <w:sz w:val="24"/>
          <w:szCs w:val="24"/>
          <w:u w:val="single"/>
          <w:lang w:val="en-US" w:eastAsia="zh-CN"/>
          <w14:textFill>
            <w14:solidFill>
              <w14:schemeClr w14:val="tx1"/>
            </w14:solidFill>
          </w14:textFill>
        </w:rPr>
        <w:t>5</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asciiTheme="minorEastAsia" w:hAnsiTheme="minorEastAsia"/>
          <w:color w:val="000000" w:themeColor="text1"/>
          <w:sz w:val="24"/>
          <w:szCs w:val="24"/>
          <w14:textFill>
            <w14:solidFill>
              <w14:schemeClr w14:val="tx1"/>
            </w14:solidFill>
          </w14:textFill>
        </w:rPr>
        <w:t>年</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04</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asciiTheme="minorEastAsia" w:hAnsiTheme="minorEastAsia"/>
          <w:color w:val="000000" w:themeColor="text1"/>
          <w:sz w:val="24"/>
          <w:szCs w:val="24"/>
          <w14:textFill>
            <w14:solidFill>
              <w14:schemeClr w14:val="tx1"/>
            </w14:solidFill>
          </w14:textFill>
        </w:rPr>
        <w:t>月</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07</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asciiTheme="minorEastAsia" w:hAnsiTheme="minorEastAsia"/>
          <w:color w:val="000000" w:themeColor="text1"/>
          <w:sz w:val="24"/>
          <w:szCs w:val="24"/>
          <w14:textFill>
            <w14:solidFill>
              <w14:schemeClr w14:val="tx1"/>
            </w14:solidFill>
          </w14:textFill>
        </w:rPr>
        <w:t>日</w:t>
      </w:r>
      <w:r>
        <w:rPr>
          <w:rFonts w:hint="eastAsia" w:asciiTheme="minorEastAsia" w:hAnsiTheme="minorEastAsia"/>
          <w:color w:val="000000" w:themeColor="text1"/>
          <w:sz w:val="24"/>
          <w:szCs w:val="24"/>
          <w:u w:val="single"/>
          <w14:textFill>
            <w14:solidFill>
              <w14:schemeClr w14:val="tx1"/>
            </w14:solidFill>
          </w14:textFill>
        </w:rPr>
        <w:t>1</w:t>
      </w:r>
      <w:r>
        <w:rPr>
          <w:rFonts w:hint="eastAsia" w:asciiTheme="minorEastAsia" w:hAnsiTheme="minorEastAsia"/>
          <w:color w:val="000000" w:themeColor="text1"/>
          <w:sz w:val="24"/>
          <w:szCs w:val="24"/>
          <w:u w:val="single"/>
          <w:lang w:val="en-US" w:eastAsia="zh-CN"/>
          <w14:textFill>
            <w14:solidFill>
              <w14:schemeClr w14:val="tx1"/>
            </w14:solidFill>
          </w14:textFill>
        </w:rPr>
        <w:t>1</w:t>
      </w:r>
      <w:r>
        <w:rPr>
          <w:rFonts w:hint="eastAsia" w:asciiTheme="minorEastAsia" w:hAnsiTheme="minorEastAsia"/>
          <w:color w:val="000000" w:themeColor="text1"/>
          <w:sz w:val="24"/>
          <w:szCs w:val="24"/>
          <w:u w:val="single"/>
          <w14:textFill>
            <w14:solidFill>
              <w14:schemeClr w14:val="tx1"/>
            </w14:solidFill>
          </w14:textFill>
        </w:rPr>
        <w:t>:00</w:t>
      </w:r>
      <w:r>
        <w:rPr>
          <w:rFonts w:asciiTheme="minorEastAsia" w:hAnsiTheme="minorEastAsia"/>
          <w:color w:val="000000" w:themeColor="text1"/>
          <w:sz w:val="24"/>
          <w:szCs w:val="24"/>
          <w14:textFill>
            <w14:solidFill>
              <w14:schemeClr w14:val="tx1"/>
            </w14:solidFill>
          </w14:textFill>
        </w:rPr>
        <w:t>（北京时间）</w:t>
      </w:r>
    </w:p>
    <w:p w14:paraId="55EE397C">
      <w:pPr>
        <w:spacing w:line="360" w:lineRule="auto"/>
        <w:ind w:firstLine="480"/>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提交</w:t>
      </w:r>
      <w:r>
        <w:rPr>
          <w:rFonts w:asciiTheme="minorEastAsia" w:hAnsiTheme="minorEastAsia"/>
          <w:color w:val="000000" w:themeColor="text1"/>
          <w:sz w:val="24"/>
          <w:szCs w:val="24"/>
          <w14:textFill>
            <w14:solidFill>
              <w14:schemeClr w14:val="tx1"/>
            </w14:solidFill>
          </w14:textFill>
        </w:rPr>
        <w:t>地点：将响应文件上传至政采云平台https://www.zcygov.cn/对应位置（逾期未上传的或不符合规定的响应文件将被拒绝接收）。</w:t>
      </w:r>
    </w:p>
    <w:p w14:paraId="162D8CD3">
      <w:pPr>
        <w:pStyle w:val="18"/>
        <w:spacing w:line="360" w:lineRule="auto"/>
        <w:rPr>
          <w:rFonts w:asciiTheme="minorEastAsia" w:hAnsiTheme="minorEastAsia" w:eastAsiaTheme="minorEastAsia" w:cstheme="minorBidi"/>
          <w:color w:val="000000" w:themeColor="text1"/>
          <w:kern w:val="2"/>
          <w:szCs w:val="24"/>
          <w14:textFill>
            <w14:solidFill>
              <w14:schemeClr w14:val="tx1"/>
            </w14:solidFill>
          </w14:textFill>
        </w:rPr>
      </w:pPr>
      <w:r>
        <w:rPr>
          <w:rFonts w:hint="eastAsia" w:asciiTheme="minorEastAsia" w:hAnsiTheme="minorEastAsia" w:eastAsiaTheme="minorEastAsia" w:cstheme="minorBidi"/>
          <w:color w:val="000000" w:themeColor="text1"/>
          <w:kern w:val="2"/>
          <w:szCs w:val="24"/>
          <w14:textFill>
            <w14:solidFill>
              <w14:schemeClr w14:val="tx1"/>
            </w14:solidFill>
          </w14:textFill>
        </w:rPr>
        <w:t>五、</w:t>
      </w:r>
      <w:r>
        <w:rPr>
          <w:rFonts w:asciiTheme="minorEastAsia" w:hAnsiTheme="minorEastAsia" w:eastAsiaTheme="minorEastAsia" w:cstheme="minorBidi"/>
          <w:color w:val="000000" w:themeColor="text1"/>
          <w:kern w:val="2"/>
          <w:szCs w:val="24"/>
          <w14:textFill>
            <w14:solidFill>
              <w14:schemeClr w14:val="tx1"/>
            </w14:solidFill>
          </w14:textFill>
        </w:rPr>
        <w:t>响应文件开启</w:t>
      </w:r>
    </w:p>
    <w:p w14:paraId="3B527BC6">
      <w:pPr>
        <w:spacing w:line="360" w:lineRule="auto"/>
        <w:rPr>
          <w:rFonts w:asciiTheme="minorEastAsia" w:hAnsiTheme="minorEastAsia"/>
          <w:color w:val="000000" w:themeColor="text1"/>
          <w:sz w:val="24"/>
          <w:szCs w:val="24"/>
          <w14:textFill>
            <w14:solidFill>
              <w14:schemeClr w14:val="tx1"/>
            </w14:solidFill>
          </w14:textFill>
        </w:rPr>
      </w:pPr>
      <w:r>
        <w:rPr>
          <w:rFonts w:hint="eastAsia" w:asciiTheme="minorEastAsia" w:hAnsiTheme="minorEastAsia"/>
          <w:color w:val="000000" w:themeColor="text1"/>
          <w:sz w:val="24"/>
          <w:szCs w:val="24"/>
          <w14:textFill>
            <w14:solidFill>
              <w14:schemeClr w14:val="tx1"/>
            </w14:solidFill>
          </w14:textFill>
        </w:rPr>
        <w:t xml:space="preserve">    </w:t>
      </w:r>
      <w:r>
        <w:rPr>
          <w:rFonts w:asciiTheme="minorEastAsia" w:hAnsiTheme="minorEastAsia"/>
          <w:color w:val="000000" w:themeColor="text1"/>
          <w:sz w:val="24"/>
          <w:szCs w:val="24"/>
          <w14:textFill>
            <w14:solidFill>
              <w14:schemeClr w14:val="tx1"/>
            </w14:solidFill>
          </w14:textFill>
        </w:rPr>
        <w:t>开启时间：</w:t>
      </w:r>
      <w:r>
        <w:rPr>
          <w:rFonts w:hint="eastAsia" w:asciiTheme="minorEastAsia" w:hAnsiTheme="minorEastAsia"/>
          <w:color w:val="000000" w:themeColor="text1"/>
          <w:sz w:val="24"/>
          <w:szCs w:val="24"/>
          <w:u w:val="single"/>
          <w14:textFill>
            <w14:solidFill>
              <w14:schemeClr w14:val="tx1"/>
            </w14:solidFill>
          </w14:textFill>
        </w:rPr>
        <w:t>202</w:t>
      </w:r>
      <w:r>
        <w:rPr>
          <w:rFonts w:hint="eastAsia" w:asciiTheme="minorEastAsia" w:hAnsiTheme="minorEastAsia"/>
          <w:color w:val="000000" w:themeColor="text1"/>
          <w:sz w:val="24"/>
          <w:szCs w:val="24"/>
          <w:u w:val="single"/>
          <w:lang w:val="en-US" w:eastAsia="zh-CN"/>
          <w14:textFill>
            <w14:solidFill>
              <w14:schemeClr w14:val="tx1"/>
            </w14:solidFill>
          </w14:textFill>
        </w:rPr>
        <w:t>5</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asciiTheme="minorEastAsia" w:hAnsiTheme="minorEastAsia"/>
          <w:color w:val="000000" w:themeColor="text1"/>
          <w:sz w:val="24"/>
          <w:szCs w:val="24"/>
          <w14:textFill>
            <w14:solidFill>
              <w14:schemeClr w14:val="tx1"/>
            </w14:solidFill>
          </w14:textFill>
        </w:rPr>
        <w:t>年</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04</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asciiTheme="minorEastAsia" w:hAnsiTheme="minorEastAsia"/>
          <w:color w:val="000000" w:themeColor="text1"/>
          <w:sz w:val="24"/>
          <w:szCs w:val="24"/>
          <w14:textFill>
            <w14:solidFill>
              <w14:schemeClr w14:val="tx1"/>
            </w14:solidFill>
          </w14:textFill>
        </w:rPr>
        <w:t>月</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hint="eastAsia" w:asciiTheme="minorEastAsia" w:hAnsiTheme="minorEastAsia"/>
          <w:color w:val="000000" w:themeColor="text1"/>
          <w:sz w:val="24"/>
          <w:szCs w:val="24"/>
          <w:u w:val="single"/>
          <w:lang w:val="en-US" w:eastAsia="zh-CN"/>
          <w14:textFill>
            <w14:solidFill>
              <w14:schemeClr w14:val="tx1"/>
            </w14:solidFill>
          </w14:textFill>
        </w:rPr>
        <w:t>07</w:t>
      </w:r>
      <w:r>
        <w:rPr>
          <w:rFonts w:hint="eastAsia" w:asciiTheme="minorEastAsia" w:hAnsiTheme="minorEastAsia"/>
          <w:color w:val="000000" w:themeColor="text1"/>
          <w:sz w:val="24"/>
          <w:szCs w:val="24"/>
          <w:u w:val="single"/>
          <w14:textFill>
            <w14:solidFill>
              <w14:schemeClr w14:val="tx1"/>
            </w14:solidFill>
          </w14:textFill>
        </w:rPr>
        <w:t xml:space="preserve"> </w:t>
      </w:r>
      <w:r>
        <w:rPr>
          <w:rFonts w:asciiTheme="minorEastAsia" w:hAnsiTheme="minorEastAsia"/>
          <w:color w:val="000000" w:themeColor="text1"/>
          <w:sz w:val="24"/>
          <w:szCs w:val="24"/>
          <w14:textFill>
            <w14:solidFill>
              <w14:schemeClr w14:val="tx1"/>
            </w14:solidFill>
          </w14:textFill>
        </w:rPr>
        <w:t>日</w:t>
      </w:r>
      <w:r>
        <w:rPr>
          <w:rFonts w:hint="eastAsia" w:asciiTheme="minorEastAsia" w:hAnsiTheme="minorEastAsia"/>
          <w:color w:val="000000" w:themeColor="text1"/>
          <w:sz w:val="24"/>
          <w:szCs w:val="24"/>
          <w:u w:val="single"/>
          <w14:textFill>
            <w14:solidFill>
              <w14:schemeClr w14:val="tx1"/>
            </w14:solidFill>
          </w14:textFill>
        </w:rPr>
        <w:t>1</w:t>
      </w:r>
      <w:r>
        <w:rPr>
          <w:rFonts w:hint="eastAsia" w:asciiTheme="minorEastAsia" w:hAnsiTheme="minorEastAsia"/>
          <w:color w:val="000000" w:themeColor="text1"/>
          <w:sz w:val="24"/>
          <w:szCs w:val="24"/>
          <w:u w:val="single"/>
          <w:lang w:val="en-US" w:eastAsia="zh-CN"/>
          <w14:textFill>
            <w14:solidFill>
              <w14:schemeClr w14:val="tx1"/>
            </w14:solidFill>
          </w14:textFill>
        </w:rPr>
        <w:t>1</w:t>
      </w:r>
      <w:r>
        <w:rPr>
          <w:rFonts w:hint="eastAsia" w:asciiTheme="minorEastAsia" w:hAnsiTheme="minorEastAsia"/>
          <w:color w:val="000000" w:themeColor="text1"/>
          <w:sz w:val="24"/>
          <w:szCs w:val="24"/>
          <w:u w:val="single"/>
          <w14:textFill>
            <w14:solidFill>
              <w14:schemeClr w14:val="tx1"/>
            </w14:solidFill>
          </w14:textFill>
        </w:rPr>
        <w:t>:00</w:t>
      </w:r>
      <w:r>
        <w:rPr>
          <w:rFonts w:asciiTheme="minorEastAsia" w:hAnsiTheme="minorEastAsia"/>
          <w:color w:val="000000" w:themeColor="text1"/>
          <w:sz w:val="24"/>
          <w:szCs w:val="24"/>
          <w14:textFill>
            <w14:solidFill>
              <w14:schemeClr w14:val="tx1"/>
            </w14:solidFill>
          </w14:textFill>
        </w:rPr>
        <w:t>（北京时间）</w:t>
      </w:r>
    </w:p>
    <w:p w14:paraId="09C71088">
      <w:pPr>
        <w:spacing w:line="360" w:lineRule="auto"/>
        <w:rPr>
          <w:rFonts w:asciiTheme="minorEastAsia" w:hAnsiTheme="minorEastAsia"/>
          <w:sz w:val="24"/>
          <w:szCs w:val="24"/>
        </w:rPr>
      </w:pPr>
      <w:r>
        <w:rPr>
          <w:rFonts w:hint="eastAsia" w:asciiTheme="minorEastAsia" w:hAnsiTheme="minorEastAsia"/>
          <w:sz w:val="24"/>
          <w:szCs w:val="24"/>
        </w:rPr>
        <w:t xml:space="preserve">    </w:t>
      </w:r>
      <w:r>
        <w:rPr>
          <w:rFonts w:asciiTheme="minorEastAsia" w:hAnsiTheme="minorEastAsia"/>
          <w:sz w:val="24"/>
          <w:szCs w:val="24"/>
        </w:rPr>
        <w:t>开启地点：</w:t>
      </w:r>
      <w:r>
        <w:rPr>
          <w:rFonts w:hint="eastAsia" w:asciiTheme="minorEastAsia" w:hAnsiTheme="minorEastAsia"/>
          <w:sz w:val="24"/>
          <w:szCs w:val="24"/>
        </w:rPr>
        <w:t>政采云平台 https://www.zcygov.cn/不见面开标大厅，供应商登录政采云平台，进入“项目采购-开标评标-右边选择对应项目点击“进入项目”进入开标大厅。</w:t>
      </w:r>
    </w:p>
    <w:p w14:paraId="68F8D7BB">
      <w:pPr>
        <w:spacing w:line="360" w:lineRule="auto"/>
        <w:rPr>
          <w:rFonts w:asciiTheme="minorEastAsia" w:hAnsiTheme="minorEastAsia"/>
          <w:sz w:val="24"/>
          <w:szCs w:val="24"/>
        </w:rPr>
      </w:pPr>
      <w:r>
        <w:rPr>
          <w:rFonts w:hint="eastAsia" w:asciiTheme="minorEastAsia" w:hAnsiTheme="minorEastAsia"/>
          <w:sz w:val="24"/>
          <w:szCs w:val="24"/>
        </w:rPr>
        <w:t>六、公告期限</w:t>
      </w:r>
    </w:p>
    <w:p w14:paraId="410458BC">
      <w:pPr>
        <w:spacing w:line="420" w:lineRule="exact"/>
        <w:rPr>
          <w:rFonts w:asciiTheme="minorEastAsia" w:hAnsiTheme="minorEastAsia"/>
          <w:sz w:val="24"/>
          <w:szCs w:val="24"/>
        </w:rPr>
      </w:pPr>
      <w:r>
        <w:rPr>
          <w:rFonts w:asciiTheme="minorEastAsia" w:hAnsiTheme="minorEastAsia"/>
          <w:sz w:val="24"/>
          <w:szCs w:val="24"/>
        </w:rPr>
        <w:t>自本公告发布之日起</w:t>
      </w:r>
      <w:r>
        <w:rPr>
          <w:rFonts w:hint="eastAsia" w:asciiTheme="minorEastAsia" w:hAnsiTheme="minorEastAsia"/>
          <w:sz w:val="24"/>
          <w:szCs w:val="24"/>
        </w:rPr>
        <w:t>5</w:t>
      </w:r>
      <w:r>
        <w:rPr>
          <w:rFonts w:asciiTheme="minorEastAsia" w:hAnsiTheme="minorEastAsia"/>
          <w:sz w:val="24"/>
          <w:szCs w:val="24"/>
        </w:rPr>
        <w:t>个工作日。</w:t>
      </w:r>
    </w:p>
    <w:p w14:paraId="0E8B7F26">
      <w:pPr>
        <w:spacing w:line="360" w:lineRule="auto"/>
        <w:rPr>
          <w:rFonts w:asciiTheme="minorEastAsia" w:hAnsiTheme="minorEastAsia"/>
          <w:sz w:val="24"/>
          <w:szCs w:val="24"/>
        </w:rPr>
      </w:pPr>
      <w:r>
        <w:rPr>
          <w:rFonts w:hint="eastAsia" w:asciiTheme="minorEastAsia" w:hAnsiTheme="minorEastAsia"/>
          <w:sz w:val="24"/>
          <w:szCs w:val="24"/>
        </w:rPr>
        <w:t>七、其他补充事宜</w:t>
      </w:r>
    </w:p>
    <w:p w14:paraId="58043FA6">
      <w:pPr>
        <w:pStyle w:val="42"/>
        <w:spacing w:before="20" w:beforeAutospacing="0" w:after="20" w:afterAutospacing="0" w:line="360" w:lineRule="auto"/>
        <w:rPr>
          <w:rFonts w:asciiTheme="minorEastAsia" w:hAnsiTheme="minorEastAsia" w:eastAsiaTheme="minorEastAsia" w:cstheme="minorBidi"/>
          <w:kern w:val="2"/>
        </w:rPr>
      </w:pPr>
      <w:r>
        <w:rPr>
          <w:rFonts w:hint="eastAsia" w:asciiTheme="minorEastAsia" w:hAnsiTheme="minorEastAsia" w:eastAsiaTheme="minorEastAsia" w:cstheme="minorBidi"/>
          <w:kern w:val="2"/>
        </w:rPr>
        <w:t>（1）本项目采用全流程不见面电子开评标，供应商需要使用CA加密设备，供应商可通过新疆数字证书认证中心官网（https://www.xjca.com.cn/）或下载“新疆政务通”APP自行进行申领。</w:t>
      </w:r>
    </w:p>
    <w:p w14:paraId="467FFDCD">
      <w:pPr>
        <w:pStyle w:val="42"/>
        <w:spacing w:before="20" w:beforeAutospacing="0" w:after="20" w:afterAutospacing="0" w:line="360" w:lineRule="auto"/>
        <w:rPr>
          <w:rFonts w:asciiTheme="minorEastAsia" w:hAnsiTheme="minorEastAsia" w:eastAsiaTheme="minorEastAsia" w:cstheme="minorBidi"/>
          <w:kern w:val="2"/>
        </w:rPr>
      </w:pPr>
      <w:r>
        <w:rPr>
          <w:rFonts w:hint="eastAsia" w:asciiTheme="minorEastAsia" w:hAnsiTheme="minorEastAsia" w:eastAsiaTheme="minorEastAsia" w:cstheme="minorBidi"/>
          <w:kern w:val="2"/>
        </w:rPr>
        <w:t>（2）本项目实行网上投标，采用加密电子投标响应文件(供应商须使用CA加密设备通过政采云电子投标客户端制作投标响应文件)。若供应商参与投标，自行承担投标一切费用。</w:t>
      </w:r>
    </w:p>
    <w:p w14:paraId="6A083180">
      <w:pPr>
        <w:pStyle w:val="42"/>
        <w:spacing w:before="20" w:beforeAutospacing="0" w:after="20" w:afterAutospacing="0" w:line="360" w:lineRule="auto"/>
        <w:rPr>
          <w:rFonts w:asciiTheme="minorEastAsia" w:hAnsiTheme="minorEastAsia" w:eastAsiaTheme="minorEastAsia" w:cstheme="minorBidi"/>
          <w:kern w:val="2"/>
        </w:rPr>
      </w:pPr>
      <w:r>
        <w:rPr>
          <w:rFonts w:hint="eastAsia" w:asciiTheme="minorEastAsia" w:hAnsiTheme="minorEastAsia" w:eastAsiaTheme="minorEastAsia" w:cstheme="minorBidi"/>
          <w:kern w:val="2"/>
        </w:rPr>
        <w:t>（3）各供应商在开标前应确保成为新疆政府采购网正式注册入库供应商，并完成CA数字证书申领。因未注册入库、未办理CA数字证书等原因造成无法投标或投标失败等后果由供应商自行承担。</w:t>
      </w:r>
    </w:p>
    <w:p w14:paraId="1533E6CD">
      <w:pPr>
        <w:pStyle w:val="42"/>
        <w:spacing w:before="20" w:beforeAutospacing="0" w:after="20" w:afterAutospacing="0" w:line="360" w:lineRule="auto"/>
        <w:rPr>
          <w:rFonts w:asciiTheme="minorEastAsia" w:hAnsiTheme="minorEastAsia" w:eastAsiaTheme="minorEastAsia" w:cstheme="minorBidi"/>
          <w:kern w:val="2"/>
        </w:rPr>
      </w:pPr>
      <w:r>
        <w:rPr>
          <w:rFonts w:hint="eastAsia" w:asciiTheme="minorEastAsia" w:hAnsiTheme="minorEastAsia" w:eastAsiaTheme="minorEastAsia" w:cstheme="minorBidi"/>
          <w:kern w:val="2"/>
        </w:rPr>
        <w:t>（4）供应商将政采云电子交易客户端下载、安装完成后，可通过账号密码或CA登录客户端进行投标响应文件制作。在使用政采云投标客户端时，建议使用WIN7及以上操作系统。客户端请至政采云平台（https://login.zcygov.cn/user-login/#/login）下载专区查看，如有问题可拨打政采云客户服务热线95763进行咨询。</w:t>
      </w:r>
    </w:p>
    <w:p w14:paraId="2DB1F7F3">
      <w:pPr>
        <w:pStyle w:val="42"/>
        <w:spacing w:before="20" w:beforeAutospacing="0" w:after="20" w:afterAutospacing="0" w:line="360" w:lineRule="auto"/>
        <w:rPr>
          <w:rFonts w:asciiTheme="minorEastAsia" w:hAnsiTheme="minorEastAsia" w:eastAsiaTheme="minorEastAsia" w:cstheme="minorBidi"/>
          <w:kern w:val="2"/>
        </w:rPr>
      </w:pPr>
      <w:r>
        <w:rPr>
          <w:rFonts w:hint="eastAsia" w:asciiTheme="minorEastAsia" w:hAnsiTheme="minorEastAsia" w:eastAsiaTheme="minorEastAsia" w:cstheme="minorBidi"/>
          <w:kern w:val="2"/>
        </w:rPr>
        <w:t>（5）供应商在开标时须使用制作加密电子投标响应文件所使用的CA锁及电脑，电脑须提前配置好浏览器，以便开标时解锁。如因供应商自身原因导致在规定时间内无法正常解密的（如：浏览器故障、未安装相关驱动、网络故障、加密CA与解密CA不一致等），采购代理机构不予异常处理，视为供应商自动弃标。</w:t>
      </w:r>
    </w:p>
    <w:p w14:paraId="4A57AD93">
      <w:pPr>
        <w:spacing w:line="360" w:lineRule="auto"/>
        <w:rPr>
          <w:rFonts w:asciiTheme="minorEastAsia" w:hAnsiTheme="minorEastAsia"/>
          <w:sz w:val="24"/>
          <w:szCs w:val="24"/>
        </w:rPr>
      </w:pPr>
      <w:r>
        <w:rPr>
          <w:rFonts w:hint="eastAsia" w:asciiTheme="minorEastAsia" w:hAnsiTheme="minorEastAsia"/>
          <w:sz w:val="24"/>
          <w:szCs w:val="24"/>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政采云在线客服获取服务支持。</w:t>
      </w:r>
    </w:p>
    <w:p w14:paraId="1CE10A14">
      <w:pPr>
        <w:widowControl/>
        <w:spacing w:line="360" w:lineRule="auto"/>
        <w:jc w:val="left"/>
        <w:rPr>
          <w:rFonts w:cs="宋体" w:asciiTheme="minorEastAsia" w:hAnsiTheme="minorEastAsia"/>
          <w:b/>
          <w:kern w:val="0"/>
          <w:szCs w:val="24"/>
        </w:rPr>
      </w:pPr>
      <w:r>
        <w:rPr>
          <w:rFonts w:hint="eastAsia" w:cs="宋体" w:asciiTheme="minorEastAsia" w:hAnsiTheme="minorEastAsia"/>
          <w:b/>
          <w:kern w:val="0"/>
          <w:szCs w:val="24"/>
        </w:rPr>
        <w:t xml:space="preserve">特别提示： </w:t>
      </w:r>
    </w:p>
    <w:p w14:paraId="341C15E3">
      <w:pPr>
        <w:widowControl/>
        <w:spacing w:line="420" w:lineRule="exact"/>
        <w:jc w:val="left"/>
        <w:rPr>
          <w:rFonts w:cs="宋体" w:asciiTheme="minorEastAsia" w:hAnsiTheme="minorEastAsia"/>
          <w:b/>
          <w:kern w:val="0"/>
          <w:szCs w:val="24"/>
        </w:rPr>
      </w:pPr>
      <w:r>
        <w:rPr>
          <w:rFonts w:hint="eastAsia" w:cs="宋体" w:asciiTheme="minorEastAsia" w:hAnsiTheme="minorEastAsia"/>
          <w:b/>
          <w:kern w:val="0"/>
          <w:szCs w:val="24"/>
        </w:rPr>
        <w:t xml:space="preserve">1、超过200万元的货物和服务采购项目、超过400万元的工程采购项目中适宜由中小企业提供的，预留该部分采购项目预算总额的40%以上专门面向中小企业采购，其中预留给小微企业的比例不低于60%。 </w:t>
      </w:r>
    </w:p>
    <w:p w14:paraId="641DAD23">
      <w:pPr>
        <w:widowControl/>
        <w:spacing w:line="420" w:lineRule="exact"/>
        <w:jc w:val="left"/>
        <w:rPr>
          <w:rFonts w:cs="宋体" w:asciiTheme="minorEastAsia" w:hAnsiTheme="minorEastAsia"/>
          <w:b/>
          <w:kern w:val="0"/>
          <w:szCs w:val="24"/>
        </w:rPr>
      </w:pPr>
      <w:r>
        <w:rPr>
          <w:rFonts w:hint="eastAsia" w:cs="宋体" w:asciiTheme="minorEastAsia" w:hAnsiTheme="minorEastAsia"/>
          <w:b/>
          <w:kern w:val="0"/>
          <w:szCs w:val="24"/>
        </w:rPr>
        <w:t xml:space="preserve">2、对于未预留份额专门面向中小企业的采购项目，以及预留份额项目中的非预留部分采购包，采购 </w:t>
      </w:r>
    </w:p>
    <w:p w14:paraId="4ADD1D11">
      <w:pPr>
        <w:widowControl/>
        <w:spacing w:line="420" w:lineRule="exact"/>
        <w:jc w:val="left"/>
        <w:rPr>
          <w:rFonts w:cs="宋体" w:asciiTheme="minorEastAsia" w:hAnsiTheme="minorEastAsia"/>
          <w:b/>
          <w:kern w:val="0"/>
          <w:szCs w:val="24"/>
        </w:rPr>
      </w:pPr>
      <w:r>
        <w:rPr>
          <w:rFonts w:hint="eastAsia" w:cs="宋体" w:asciiTheme="minorEastAsia" w:hAnsiTheme="minorEastAsia"/>
          <w:b/>
          <w:kern w:val="0"/>
          <w:szCs w:val="24"/>
        </w:rPr>
        <w:t xml:space="preserve">人、采购代理机构应当对符合规定的小微企业报价给予10%~20%（工程项目为6%~10%）的扣除，用扣除后的价格参加评审。适用招标投标法的政府采购工程建设项目，采用综合评估法但未采用低价优先法计算价格分的，评标时应当在采用原报价进行评分的基础上增加其价格得分的6%~10%作为其价格分。 </w:t>
      </w:r>
    </w:p>
    <w:p w14:paraId="6409D3A6">
      <w:pPr>
        <w:widowControl/>
        <w:spacing w:line="420" w:lineRule="exact"/>
        <w:jc w:val="left"/>
        <w:rPr>
          <w:rFonts w:cs="宋体" w:asciiTheme="minorEastAsia" w:hAnsiTheme="minorEastAsia"/>
          <w:b/>
          <w:kern w:val="0"/>
          <w:szCs w:val="24"/>
        </w:rPr>
      </w:pPr>
      <w:r>
        <w:rPr>
          <w:rFonts w:hint="eastAsia" w:cs="宋体" w:asciiTheme="minorEastAsia" w:hAnsiTheme="minorEastAsia"/>
          <w:b/>
          <w:kern w:val="0"/>
          <w:szCs w:val="24"/>
        </w:rPr>
        <w:t>3、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4%~6%（工程项目为2%~4%）的扣除，用扣除后的价格参加评审。适用招标投标法的政府采购工程建设项目，采用综合评估法但未采用低价优先法计算价格分的，评标时应当在采用原报价进行评分的基础上增加其价格得分的2%~4%作为其价格分。</w:t>
      </w:r>
    </w:p>
    <w:p w14:paraId="392DA76C">
      <w:pPr>
        <w:widowControl/>
        <w:spacing w:line="420" w:lineRule="exact"/>
        <w:jc w:val="left"/>
        <w:rPr>
          <w:rFonts w:asciiTheme="minorEastAsia" w:hAnsiTheme="minorEastAsia"/>
          <w:sz w:val="24"/>
          <w:szCs w:val="24"/>
        </w:rPr>
      </w:pPr>
      <w:r>
        <w:rPr>
          <w:rFonts w:hint="eastAsia" w:asciiTheme="minorEastAsia" w:hAnsiTheme="minorEastAsia"/>
          <w:sz w:val="24"/>
          <w:szCs w:val="24"/>
        </w:rPr>
        <w:t>七、对本次采购提出询问，请按以下方式联系</w:t>
      </w:r>
    </w:p>
    <w:p w14:paraId="22A00DBF">
      <w:pPr>
        <w:spacing w:line="420" w:lineRule="exact"/>
        <w:rPr>
          <w:rFonts w:asciiTheme="minorEastAsia" w:hAnsiTheme="minorEastAsia"/>
          <w:sz w:val="24"/>
          <w:szCs w:val="24"/>
        </w:rPr>
      </w:pPr>
      <w:r>
        <w:rPr>
          <w:rFonts w:asciiTheme="minorEastAsia" w:hAnsiTheme="minorEastAsia"/>
          <w:sz w:val="24"/>
          <w:szCs w:val="24"/>
        </w:rPr>
        <w:t>1.采购人信息</w:t>
      </w:r>
    </w:p>
    <w:p w14:paraId="3CEB7089">
      <w:pPr>
        <w:spacing w:line="420" w:lineRule="exact"/>
        <w:rPr>
          <w:rFonts w:hint="eastAsia" w:eastAsia="宋体" w:asciiTheme="minorEastAsia" w:hAnsiTheme="minorEastAsia"/>
          <w:sz w:val="24"/>
          <w:szCs w:val="24"/>
          <w:lang w:eastAsia="zh-CN"/>
        </w:rPr>
      </w:pPr>
      <w:r>
        <w:rPr>
          <w:rFonts w:asciiTheme="minorEastAsia" w:hAnsiTheme="minorEastAsia"/>
          <w:sz w:val="24"/>
          <w:szCs w:val="24"/>
        </w:rPr>
        <w:t>名 称：</w:t>
      </w:r>
      <w:r>
        <w:rPr>
          <w:rFonts w:hint="eastAsia" w:asciiTheme="minorEastAsia" w:hAnsiTheme="minorEastAsia"/>
          <w:sz w:val="24"/>
          <w:szCs w:val="24"/>
          <w:lang w:eastAsia="zh-CN"/>
        </w:rPr>
        <w:t>乌鲁木齐市天山区教育局</w:t>
      </w:r>
    </w:p>
    <w:p w14:paraId="0E81ED26">
      <w:pPr>
        <w:spacing w:line="420" w:lineRule="exact"/>
        <w:rPr>
          <w:rFonts w:hint="eastAsia" w:eastAsia="宋体" w:asciiTheme="minorEastAsia" w:hAnsiTheme="minorEastAsia"/>
          <w:sz w:val="24"/>
          <w:szCs w:val="24"/>
          <w:lang w:eastAsia="zh-CN"/>
        </w:rPr>
      </w:pPr>
      <w:r>
        <w:rPr>
          <w:rFonts w:asciiTheme="minorEastAsia" w:hAnsiTheme="minorEastAsia"/>
          <w:sz w:val="24"/>
          <w:szCs w:val="24"/>
        </w:rPr>
        <w:t>地 址：</w:t>
      </w:r>
      <w:r>
        <w:rPr>
          <w:rFonts w:hint="eastAsia" w:asciiTheme="minorEastAsia" w:hAnsiTheme="minorEastAsia"/>
          <w:sz w:val="24"/>
          <w:szCs w:val="24"/>
          <w:lang w:eastAsia="zh-CN"/>
        </w:rPr>
        <w:t>乌鲁木齐市天山区</w:t>
      </w:r>
    </w:p>
    <w:p w14:paraId="02E86D19">
      <w:pPr>
        <w:spacing w:line="420" w:lineRule="exact"/>
        <w:rPr>
          <w:rFonts w:asciiTheme="minorEastAsia" w:hAnsiTheme="minorEastAsia"/>
          <w:sz w:val="24"/>
          <w:szCs w:val="24"/>
        </w:rPr>
      </w:pPr>
      <w:r>
        <w:rPr>
          <w:rFonts w:hint="eastAsia" w:ascii="宋体" w:hAnsi="宋体"/>
          <w:sz w:val="24"/>
          <w:szCs w:val="24"/>
        </w:rPr>
        <w:t xml:space="preserve">联系人：蔺杨  </w:t>
      </w:r>
      <w:r>
        <w:rPr>
          <w:rFonts w:ascii="宋体" w:hAnsi="宋体"/>
          <w:sz w:val="24"/>
          <w:szCs w:val="24"/>
        </w:rPr>
        <w:t>联系方式：0991-8861486</w:t>
      </w:r>
    </w:p>
    <w:p w14:paraId="5C3D5122">
      <w:pPr>
        <w:spacing w:line="420" w:lineRule="exact"/>
        <w:rPr>
          <w:rFonts w:asciiTheme="minorEastAsia" w:hAnsiTheme="minorEastAsia"/>
          <w:sz w:val="24"/>
          <w:szCs w:val="24"/>
        </w:rPr>
      </w:pPr>
      <w:r>
        <w:rPr>
          <w:rFonts w:asciiTheme="minorEastAsia" w:hAnsiTheme="minorEastAsia"/>
          <w:sz w:val="24"/>
          <w:szCs w:val="24"/>
        </w:rPr>
        <w:t>2.采购代理机构信息</w:t>
      </w:r>
    </w:p>
    <w:p w14:paraId="740E4C58">
      <w:pPr>
        <w:spacing w:line="420" w:lineRule="exact"/>
        <w:rPr>
          <w:rFonts w:asciiTheme="minorEastAsia" w:hAnsiTheme="minorEastAsia"/>
          <w:sz w:val="24"/>
          <w:szCs w:val="24"/>
        </w:rPr>
      </w:pPr>
      <w:r>
        <w:rPr>
          <w:rFonts w:asciiTheme="minorEastAsia" w:hAnsiTheme="minorEastAsia"/>
          <w:sz w:val="24"/>
          <w:szCs w:val="24"/>
        </w:rPr>
        <w:t>名 称：新疆锐智时代建设工程项目管理有限公司</w:t>
      </w:r>
    </w:p>
    <w:p w14:paraId="173CD087">
      <w:pPr>
        <w:spacing w:line="420" w:lineRule="exact"/>
        <w:rPr>
          <w:rFonts w:asciiTheme="minorEastAsia" w:hAnsiTheme="minorEastAsia"/>
          <w:sz w:val="24"/>
          <w:szCs w:val="24"/>
        </w:rPr>
      </w:pPr>
      <w:r>
        <w:rPr>
          <w:rFonts w:asciiTheme="minorEastAsia" w:hAnsiTheme="minorEastAsia"/>
          <w:sz w:val="24"/>
          <w:szCs w:val="24"/>
        </w:rPr>
        <w:t>地 址：乌鲁木齐市水磨沟区立井街198号丽景名都商住10号楼21楼211</w:t>
      </w:r>
      <w:r>
        <w:rPr>
          <w:rFonts w:hint="eastAsia" w:asciiTheme="minorEastAsia" w:hAnsiTheme="minorEastAsia"/>
          <w:sz w:val="24"/>
          <w:szCs w:val="24"/>
        </w:rPr>
        <w:t>5</w:t>
      </w:r>
      <w:r>
        <w:rPr>
          <w:rFonts w:asciiTheme="minorEastAsia" w:hAnsiTheme="minorEastAsia"/>
          <w:sz w:val="24"/>
          <w:szCs w:val="24"/>
        </w:rPr>
        <w:t>室</w:t>
      </w:r>
    </w:p>
    <w:p w14:paraId="5B07CC2D">
      <w:pPr>
        <w:spacing w:line="420" w:lineRule="exact"/>
        <w:rPr>
          <w:rFonts w:asciiTheme="minorEastAsia" w:hAnsiTheme="minorEastAsia"/>
          <w:sz w:val="24"/>
          <w:szCs w:val="24"/>
        </w:rPr>
      </w:pPr>
      <w:r>
        <w:rPr>
          <w:rFonts w:asciiTheme="minorEastAsia" w:hAnsiTheme="minorEastAsia"/>
          <w:sz w:val="24"/>
          <w:szCs w:val="24"/>
        </w:rPr>
        <w:t>项目联系人：</w:t>
      </w:r>
      <w:r>
        <w:rPr>
          <w:rFonts w:hint="eastAsia" w:asciiTheme="minorEastAsia" w:hAnsiTheme="minorEastAsia"/>
          <w:sz w:val="24"/>
          <w:szCs w:val="24"/>
          <w:lang w:eastAsia="zh-CN"/>
        </w:rPr>
        <w:t>王芳</w:t>
      </w:r>
      <w:r>
        <w:rPr>
          <w:rFonts w:hint="eastAsia" w:asciiTheme="minorEastAsia" w:hAnsiTheme="minorEastAsia"/>
          <w:sz w:val="24"/>
          <w:szCs w:val="24"/>
        </w:rPr>
        <w:t xml:space="preserve">    </w:t>
      </w:r>
      <w:r>
        <w:rPr>
          <w:rFonts w:asciiTheme="minorEastAsia" w:hAnsiTheme="minorEastAsia"/>
          <w:sz w:val="24"/>
          <w:szCs w:val="24"/>
        </w:rPr>
        <w:t>联系方式：</w:t>
      </w:r>
      <w:r>
        <w:rPr>
          <w:rFonts w:hint="eastAsia" w:asciiTheme="minorEastAsia" w:hAnsiTheme="minorEastAsia"/>
          <w:sz w:val="24"/>
          <w:szCs w:val="24"/>
          <w:lang w:eastAsia="zh-CN"/>
        </w:rPr>
        <w:t>17690920122</w:t>
      </w:r>
      <w:r>
        <w:rPr>
          <w:rFonts w:hint="eastAsia" w:asciiTheme="minorEastAsia" w:hAnsiTheme="minorEastAsia"/>
          <w:sz w:val="24"/>
          <w:szCs w:val="24"/>
        </w:rPr>
        <w:t xml:space="preserve"> </w:t>
      </w:r>
    </w:p>
    <w:p w14:paraId="15531644">
      <w:pPr>
        <w:pStyle w:val="63"/>
      </w:pPr>
    </w:p>
    <w:p w14:paraId="04B719EA">
      <w:pPr>
        <w:pStyle w:val="63"/>
      </w:pPr>
    </w:p>
    <w:p w14:paraId="2314D7CB">
      <w:pPr>
        <w:pStyle w:val="63"/>
      </w:pPr>
    </w:p>
    <w:p w14:paraId="7E4B7617">
      <w:pPr>
        <w:pStyle w:val="63"/>
      </w:pPr>
    </w:p>
    <w:p w14:paraId="6F69EA59">
      <w:pPr>
        <w:pStyle w:val="63"/>
      </w:pPr>
    </w:p>
    <w:p w14:paraId="273BF695">
      <w:pPr>
        <w:pStyle w:val="63"/>
      </w:pPr>
    </w:p>
    <w:p w14:paraId="1E0BD5B7">
      <w:pPr>
        <w:pStyle w:val="63"/>
      </w:pPr>
    </w:p>
    <w:p w14:paraId="4CF10C68">
      <w:pPr>
        <w:pStyle w:val="63"/>
      </w:pPr>
    </w:p>
    <w:p w14:paraId="7F17E665">
      <w:pPr>
        <w:pStyle w:val="63"/>
      </w:pPr>
    </w:p>
    <w:p w14:paraId="6FF5D721">
      <w:pPr>
        <w:pStyle w:val="63"/>
      </w:pPr>
    </w:p>
    <w:p w14:paraId="18C48472">
      <w:pPr>
        <w:pStyle w:val="63"/>
      </w:pPr>
    </w:p>
    <w:p w14:paraId="62B88F88">
      <w:pPr>
        <w:pStyle w:val="63"/>
      </w:pPr>
    </w:p>
    <w:p w14:paraId="2C42AF19">
      <w:pPr>
        <w:pStyle w:val="63"/>
      </w:pPr>
    </w:p>
    <w:p w14:paraId="2B2C58E3">
      <w:pPr>
        <w:pStyle w:val="63"/>
      </w:pPr>
    </w:p>
    <w:p w14:paraId="586C048F">
      <w:pPr>
        <w:pStyle w:val="63"/>
      </w:pPr>
    </w:p>
    <w:p w14:paraId="442B00BC">
      <w:pPr>
        <w:pStyle w:val="63"/>
      </w:pPr>
    </w:p>
    <w:p w14:paraId="1980A7C9">
      <w:pPr>
        <w:pStyle w:val="63"/>
      </w:pPr>
    </w:p>
    <w:p w14:paraId="7B663A8A">
      <w:pPr>
        <w:pStyle w:val="63"/>
      </w:pPr>
    </w:p>
    <w:p w14:paraId="330576CE">
      <w:pPr>
        <w:pStyle w:val="63"/>
      </w:pPr>
    </w:p>
    <w:p w14:paraId="14896531">
      <w:pPr>
        <w:pStyle w:val="63"/>
      </w:pPr>
    </w:p>
    <w:p w14:paraId="508F0CDF">
      <w:pPr>
        <w:pStyle w:val="63"/>
      </w:pPr>
    </w:p>
    <w:p w14:paraId="5052B6FC">
      <w:pPr>
        <w:pStyle w:val="63"/>
      </w:pPr>
    </w:p>
    <w:p w14:paraId="25440C31">
      <w:pPr>
        <w:pStyle w:val="63"/>
      </w:pPr>
    </w:p>
    <w:p w14:paraId="40BE7B3A">
      <w:pPr>
        <w:pStyle w:val="63"/>
      </w:pPr>
    </w:p>
    <w:p w14:paraId="57A55B57">
      <w:pPr>
        <w:widowControl/>
        <w:jc w:val="left"/>
        <w:rPr>
          <w:szCs w:val="21"/>
        </w:rPr>
      </w:pPr>
      <w:r>
        <w:br w:type="page"/>
      </w:r>
    </w:p>
    <w:p w14:paraId="5B995E3A">
      <w:pPr>
        <w:pStyle w:val="63"/>
      </w:pPr>
    </w:p>
    <w:p w14:paraId="51854EDB">
      <w:pPr>
        <w:spacing w:line="440" w:lineRule="exact"/>
        <w:jc w:val="center"/>
        <w:outlineLvl w:val="0"/>
        <w:rPr>
          <w:rFonts w:ascii="宋体" w:hAnsi="宋体" w:cs="宋体"/>
          <w:b/>
          <w:szCs w:val="24"/>
        </w:rPr>
      </w:pPr>
      <w:bookmarkStart w:id="5" w:name="_Toc23811"/>
      <w:r>
        <w:rPr>
          <w:rFonts w:ascii="宋体" w:hAnsi="宋体" w:cs="宋体"/>
          <w:b/>
          <w:szCs w:val="24"/>
        </w:rPr>
        <w:t>供应商须知前附表</w:t>
      </w:r>
      <w:bookmarkEnd w:id="0"/>
      <w:bookmarkEnd w:id="1"/>
      <w:bookmarkEnd w:id="2"/>
      <w:bookmarkEnd w:id="3"/>
      <w:bookmarkEnd w:id="4"/>
      <w:bookmarkEnd w:id="5"/>
    </w:p>
    <w:tbl>
      <w:tblPr>
        <w:tblStyle w:val="47"/>
        <w:tblW w:w="100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847"/>
        <w:gridCol w:w="7493"/>
      </w:tblGrid>
      <w:tr w14:paraId="67095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tblHeader/>
          <w:jc w:val="center"/>
        </w:trPr>
        <w:tc>
          <w:tcPr>
            <w:tcW w:w="671" w:type="dxa"/>
            <w:vAlign w:val="center"/>
          </w:tcPr>
          <w:p w14:paraId="1EACE48B">
            <w:pPr>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项号</w:t>
            </w:r>
          </w:p>
        </w:tc>
        <w:tc>
          <w:tcPr>
            <w:tcW w:w="9340" w:type="dxa"/>
            <w:gridSpan w:val="2"/>
            <w:vAlign w:val="center"/>
          </w:tcPr>
          <w:p w14:paraId="549B5AC2">
            <w:pPr>
              <w:jc w:val="center"/>
              <w:rPr>
                <w:rFonts w:cs="宋体" w:asciiTheme="minorEastAsia" w:hAnsiTheme="minorEastAsia" w:eastAsiaTheme="minorEastAsia"/>
                <w:b/>
                <w:szCs w:val="21"/>
              </w:rPr>
            </w:pPr>
            <w:r>
              <w:rPr>
                <w:rFonts w:hint="eastAsia" w:cs="宋体" w:asciiTheme="minorEastAsia" w:hAnsiTheme="minorEastAsia" w:eastAsiaTheme="minorEastAsia"/>
                <w:b/>
                <w:szCs w:val="21"/>
              </w:rPr>
              <w:t>编列内容</w:t>
            </w:r>
          </w:p>
        </w:tc>
      </w:tr>
      <w:tr w14:paraId="03BCE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restart"/>
            <w:vAlign w:val="center"/>
          </w:tcPr>
          <w:p w14:paraId="12B21768">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1</w:t>
            </w:r>
          </w:p>
        </w:tc>
        <w:tc>
          <w:tcPr>
            <w:tcW w:w="1847" w:type="dxa"/>
            <w:tcBorders>
              <w:top w:val="nil"/>
            </w:tcBorders>
            <w:vAlign w:val="center"/>
          </w:tcPr>
          <w:p w14:paraId="660BB094">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项目名称</w:t>
            </w:r>
          </w:p>
        </w:tc>
        <w:tc>
          <w:tcPr>
            <w:tcW w:w="7493" w:type="dxa"/>
            <w:tcBorders>
              <w:top w:val="nil"/>
            </w:tcBorders>
            <w:vAlign w:val="center"/>
          </w:tcPr>
          <w:p w14:paraId="30E6409B">
            <w:pPr>
              <w:rPr>
                <w:rFonts w:hint="eastAsia" w:asciiTheme="minorEastAsia" w:hAnsiTheme="minorEastAsia" w:eastAsiaTheme="minorEastAsia"/>
                <w:szCs w:val="21"/>
                <w:lang w:eastAsia="zh-CN"/>
              </w:rPr>
            </w:pPr>
            <w:r>
              <w:rPr>
                <w:rFonts w:hint="eastAsia" w:asciiTheme="minorEastAsia" w:hAnsiTheme="minorEastAsia" w:eastAsiaTheme="minorEastAsia"/>
                <w:szCs w:val="21"/>
                <w:lang w:eastAsia="zh-CN"/>
              </w:rPr>
              <w:t>乌鲁木齐市天山区教育局碱泉街幼儿园工程-10KV配电工程</w:t>
            </w:r>
          </w:p>
        </w:tc>
      </w:tr>
      <w:tr w14:paraId="2F5CC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continue"/>
            <w:vAlign w:val="center"/>
          </w:tcPr>
          <w:p w14:paraId="6C593B94">
            <w:pPr>
              <w:jc w:val="center"/>
              <w:rPr>
                <w:rFonts w:cs="宋体" w:asciiTheme="minorEastAsia" w:hAnsiTheme="minorEastAsia" w:eastAsiaTheme="minorEastAsia"/>
                <w:szCs w:val="21"/>
              </w:rPr>
            </w:pPr>
          </w:p>
        </w:tc>
        <w:tc>
          <w:tcPr>
            <w:tcW w:w="1847" w:type="dxa"/>
            <w:tcBorders>
              <w:top w:val="nil"/>
            </w:tcBorders>
            <w:vAlign w:val="center"/>
          </w:tcPr>
          <w:p w14:paraId="28015DCA">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采购人</w:t>
            </w:r>
          </w:p>
        </w:tc>
        <w:tc>
          <w:tcPr>
            <w:tcW w:w="7493" w:type="dxa"/>
            <w:tcBorders>
              <w:top w:val="nil"/>
            </w:tcBorders>
            <w:vAlign w:val="center"/>
          </w:tcPr>
          <w:p w14:paraId="6EBD6652">
            <w:pPr>
              <w:rPr>
                <w:rFonts w:hint="eastAsia" w:asciiTheme="minorEastAsia" w:hAnsiTheme="minorEastAsia" w:eastAsiaTheme="minorEastAsia"/>
                <w:szCs w:val="21"/>
                <w:lang w:eastAsia="zh-CN"/>
              </w:rPr>
            </w:pPr>
            <w:r>
              <w:rPr>
                <w:rFonts w:hint="eastAsia" w:asciiTheme="minorEastAsia" w:hAnsiTheme="minorEastAsia" w:eastAsiaTheme="minorEastAsia"/>
                <w:szCs w:val="21"/>
                <w:lang w:eastAsia="zh-CN"/>
              </w:rPr>
              <w:t>乌鲁木齐市天山区教育局</w:t>
            </w:r>
          </w:p>
        </w:tc>
      </w:tr>
      <w:tr w14:paraId="17460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continue"/>
            <w:vAlign w:val="center"/>
          </w:tcPr>
          <w:p w14:paraId="0430D3A4">
            <w:pPr>
              <w:jc w:val="center"/>
              <w:rPr>
                <w:rFonts w:cs="宋体" w:asciiTheme="minorEastAsia" w:hAnsiTheme="minorEastAsia" w:eastAsiaTheme="minorEastAsia"/>
                <w:szCs w:val="21"/>
              </w:rPr>
            </w:pPr>
          </w:p>
        </w:tc>
        <w:tc>
          <w:tcPr>
            <w:tcW w:w="1847" w:type="dxa"/>
            <w:tcBorders>
              <w:top w:val="nil"/>
            </w:tcBorders>
            <w:vAlign w:val="center"/>
          </w:tcPr>
          <w:p w14:paraId="70C8FAAB">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采购代理机构</w:t>
            </w:r>
          </w:p>
        </w:tc>
        <w:tc>
          <w:tcPr>
            <w:tcW w:w="7493" w:type="dxa"/>
            <w:tcBorders>
              <w:top w:val="nil"/>
            </w:tcBorders>
            <w:vAlign w:val="center"/>
          </w:tcPr>
          <w:p w14:paraId="2EDB7756">
            <w:pPr>
              <w:rPr>
                <w:rFonts w:asciiTheme="minorEastAsia" w:hAnsiTheme="minorEastAsia" w:eastAsiaTheme="minorEastAsia"/>
                <w:szCs w:val="21"/>
              </w:rPr>
            </w:pPr>
            <w:r>
              <w:rPr>
                <w:rFonts w:hint="eastAsia" w:asciiTheme="minorEastAsia" w:hAnsiTheme="minorEastAsia" w:eastAsiaTheme="minorEastAsia"/>
                <w:szCs w:val="21"/>
              </w:rPr>
              <w:t>新疆锐智时代建设工程项目管理有限公司</w:t>
            </w:r>
          </w:p>
        </w:tc>
      </w:tr>
      <w:tr w14:paraId="67E04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continue"/>
            <w:vAlign w:val="center"/>
          </w:tcPr>
          <w:p w14:paraId="1AB878EC">
            <w:pPr>
              <w:jc w:val="center"/>
              <w:rPr>
                <w:rFonts w:cs="宋体" w:asciiTheme="minorEastAsia" w:hAnsiTheme="minorEastAsia" w:eastAsiaTheme="minorEastAsia"/>
                <w:szCs w:val="21"/>
              </w:rPr>
            </w:pPr>
          </w:p>
        </w:tc>
        <w:tc>
          <w:tcPr>
            <w:tcW w:w="1847" w:type="dxa"/>
            <w:vAlign w:val="center"/>
          </w:tcPr>
          <w:p w14:paraId="5B17AF08">
            <w:pPr>
              <w:rPr>
                <w:rFonts w:asciiTheme="minorEastAsia" w:hAnsiTheme="minorEastAsia" w:eastAsiaTheme="minorEastAsia"/>
                <w:szCs w:val="21"/>
              </w:rPr>
            </w:pPr>
            <w:r>
              <w:rPr>
                <w:rFonts w:hint="eastAsia" w:asciiTheme="minorEastAsia" w:hAnsiTheme="minorEastAsia" w:eastAsiaTheme="minorEastAsia"/>
                <w:spacing w:val="140"/>
                <w:kern w:val="0"/>
                <w:szCs w:val="21"/>
                <w:fitText w:val="1680" w:id="-974959103"/>
              </w:rPr>
              <w:t>建设地</w:t>
            </w:r>
            <w:r>
              <w:rPr>
                <w:rFonts w:hint="eastAsia" w:asciiTheme="minorEastAsia" w:hAnsiTheme="minorEastAsia" w:eastAsiaTheme="minorEastAsia"/>
                <w:spacing w:val="0"/>
                <w:kern w:val="0"/>
                <w:szCs w:val="21"/>
                <w:fitText w:val="1680" w:id="-974959103"/>
              </w:rPr>
              <w:t>点</w:t>
            </w:r>
          </w:p>
        </w:tc>
        <w:tc>
          <w:tcPr>
            <w:tcW w:w="7493" w:type="dxa"/>
            <w:vAlign w:val="center"/>
          </w:tcPr>
          <w:p w14:paraId="46521971">
            <w:pPr>
              <w:rPr>
                <w:rFonts w:asciiTheme="minorEastAsia" w:hAnsiTheme="minorEastAsia" w:eastAsiaTheme="minorEastAsia"/>
                <w:szCs w:val="21"/>
              </w:rPr>
            </w:pPr>
            <w:r>
              <w:rPr>
                <w:rFonts w:hint="eastAsia" w:asciiTheme="minorEastAsia" w:hAnsiTheme="minorEastAsia" w:eastAsiaTheme="minorEastAsia"/>
                <w:szCs w:val="21"/>
                <w:lang w:eastAsia="zh-CN"/>
              </w:rPr>
              <w:t>天山区碱泉街</w:t>
            </w:r>
          </w:p>
        </w:tc>
      </w:tr>
      <w:tr w14:paraId="5B5FD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continue"/>
            <w:vAlign w:val="center"/>
          </w:tcPr>
          <w:p w14:paraId="0E96EE04">
            <w:pPr>
              <w:jc w:val="center"/>
              <w:rPr>
                <w:rFonts w:cs="宋体" w:asciiTheme="minorEastAsia" w:hAnsiTheme="minorEastAsia" w:eastAsiaTheme="minorEastAsia"/>
                <w:szCs w:val="21"/>
              </w:rPr>
            </w:pPr>
          </w:p>
        </w:tc>
        <w:tc>
          <w:tcPr>
            <w:tcW w:w="1847" w:type="dxa"/>
            <w:vAlign w:val="center"/>
          </w:tcPr>
          <w:p w14:paraId="1FF0E2F8">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项目概况</w:t>
            </w:r>
          </w:p>
        </w:tc>
        <w:tc>
          <w:tcPr>
            <w:tcW w:w="7493" w:type="dxa"/>
            <w:vAlign w:val="center"/>
          </w:tcPr>
          <w:p w14:paraId="3C68C8A8">
            <w:pPr>
              <w:pStyle w:val="280"/>
              <w:rPr>
                <w:rFonts w:asciiTheme="minorEastAsia" w:hAnsiTheme="minorEastAsia"/>
              </w:rPr>
            </w:pPr>
            <w:r>
              <w:rPr>
                <w:rFonts w:hint="eastAsia" w:ascii="宋体" w:hAnsi="宋体" w:eastAsia="宋体" w:cs="宋体"/>
                <w:b w:val="0"/>
                <w:bCs/>
                <w:kern w:val="2"/>
                <w:sz w:val="21"/>
                <w:szCs w:val="21"/>
                <w:lang w:val="en-US" w:eastAsia="zh-CN" w:bidi="ar-SA"/>
              </w:rPr>
              <w:t>乌鲁木齐市天山区教育局碱泉街幼儿园工程-10KV配电工程</w:t>
            </w:r>
          </w:p>
        </w:tc>
      </w:tr>
      <w:tr w14:paraId="4BC45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continue"/>
            <w:vAlign w:val="center"/>
          </w:tcPr>
          <w:p w14:paraId="11462C8A">
            <w:pPr>
              <w:jc w:val="center"/>
              <w:rPr>
                <w:rFonts w:cs="宋体" w:asciiTheme="minorEastAsia" w:hAnsiTheme="minorEastAsia" w:eastAsiaTheme="minorEastAsia"/>
                <w:szCs w:val="21"/>
              </w:rPr>
            </w:pPr>
          </w:p>
        </w:tc>
        <w:tc>
          <w:tcPr>
            <w:tcW w:w="1847" w:type="dxa"/>
            <w:vAlign w:val="center"/>
          </w:tcPr>
          <w:p w14:paraId="7552D99E">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资金来源</w:t>
            </w:r>
          </w:p>
        </w:tc>
        <w:tc>
          <w:tcPr>
            <w:tcW w:w="7493" w:type="dxa"/>
            <w:vAlign w:val="center"/>
          </w:tcPr>
          <w:p w14:paraId="75358294">
            <w:pPr>
              <w:rPr>
                <w:rFonts w:asciiTheme="minorEastAsia" w:hAnsiTheme="minorEastAsia" w:eastAsiaTheme="minorEastAsia"/>
                <w:szCs w:val="21"/>
                <w:u w:val="single"/>
              </w:rPr>
            </w:pPr>
            <w:r>
              <w:rPr>
                <w:rFonts w:hint="eastAsia" w:asciiTheme="minorEastAsia" w:hAnsiTheme="minorEastAsia" w:eastAsiaTheme="minorEastAsia"/>
                <w:szCs w:val="21"/>
              </w:rPr>
              <w:t>财政资金</w:t>
            </w:r>
          </w:p>
        </w:tc>
      </w:tr>
      <w:tr w14:paraId="6807E1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continue"/>
            <w:vAlign w:val="center"/>
          </w:tcPr>
          <w:p w14:paraId="0C7B11DB">
            <w:pPr>
              <w:jc w:val="center"/>
              <w:rPr>
                <w:rFonts w:cs="宋体" w:asciiTheme="minorEastAsia" w:hAnsiTheme="minorEastAsia" w:eastAsiaTheme="minorEastAsia"/>
                <w:szCs w:val="21"/>
              </w:rPr>
            </w:pPr>
          </w:p>
        </w:tc>
        <w:tc>
          <w:tcPr>
            <w:tcW w:w="1847" w:type="dxa"/>
            <w:vAlign w:val="center"/>
          </w:tcPr>
          <w:p w14:paraId="0D08B0FF">
            <w:pPr>
              <w:jc w:val="distribute"/>
              <w:rPr>
                <w:rFonts w:cs="宋体" w:asciiTheme="minorEastAsia" w:hAnsiTheme="minorEastAsia" w:eastAsiaTheme="minorEastAsia"/>
                <w:szCs w:val="21"/>
              </w:rPr>
            </w:pPr>
            <w:r>
              <w:rPr>
                <w:rFonts w:hint="eastAsia" w:cs="Arial" w:asciiTheme="minorEastAsia" w:hAnsiTheme="minorEastAsia"/>
                <w:kern w:val="0"/>
                <w:sz w:val="24"/>
                <w:szCs w:val="24"/>
              </w:rPr>
              <w:t>★</w:t>
            </w:r>
            <w:r>
              <w:rPr>
                <w:rFonts w:hint="eastAsia" w:cs="宋体" w:asciiTheme="minorEastAsia" w:hAnsiTheme="minorEastAsia" w:eastAsiaTheme="minorEastAsia"/>
                <w:szCs w:val="21"/>
              </w:rPr>
              <w:t>采购预算金额</w:t>
            </w:r>
          </w:p>
        </w:tc>
        <w:tc>
          <w:tcPr>
            <w:tcW w:w="7493" w:type="dxa"/>
            <w:vAlign w:val="center"/>
          </w:tcPr>
          <w:p w14:paraId="5A787418">
            <w:pPr>
              <w:rPr>
                <w:rFonts w:asciiTheme="minorEastAsia" w:hAnsiTheme="minorEastAsia" w:eastAsiaTheme="minorEastAsia"/>
                <w:szCs w:val="21"/>
              </w:rPr>
            </w:pP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u w:val="single"/>
                <w:lang w:eastAsia="zh-CN"/>
              </w:rPr>
              <w:t>1308000.00</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元</w:t>
            </w:r>
            <w:r>
              <w:rPr>
                <w:rFonts w:hint="eastAsia" w:asciiTheme="minorEastAsia" w:hAnsiTheme="minorEastAsia" w:eastAsiaTheme="minorEastAsia"/>
                <w:szCs w:val="21"/>
                <w:lang w:eastAsia="zh-CN"/>
              </w:rPr>
              <w:t>；</w:t>
            </w:r>
            <w:r>
              <w:rPr>
                <w:rFonts w:hint="eastAsia" w:asciiTheme="minorEastAsia" w:hAnsiTheme="minorEastAsia" w:eastAsiaTheme="minorEastAsia"/>
                <w:szCs w:val="21"/>
              </w:rPr>
              <w:t>供应商投标报价不得超此采购</w:t>
            </w:r>
            <w:r>
              <w:rPr>
                <w:rFonts w:hint="eastAsia" w:asciiTheme="minorEastAsia" w:hAnsiTheme="minorEastAsia" w:eastAsiaTheme="minorEastAsia"/>
                <w:szCs w:val="21"/>
                <w:lang w:eastAsia="zh-CN"/>
              </w:rPr>
              <w:t>预算金额</w:t>
            </w:r>
            <w:r>
              <w:rPr>
                <w:rFonts w:hint="eastAsia" w:asciiTheme="minorEastAsia" w:hAnsiTheme="minorEastAsia" w:eastAsiaTheme="minorEastAsia"/>
                <w:szCs w:val="21"/>
              </w:rPr>
              <w:t>，否则，按废标处理。</w:t>
            </w:r>
          </w:p>
        </w:tc>
      </w:tr>
      <w:tr w14:paraId="2A92A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continue"/>
            <w:vAlign w:val="center"/>
          </w:tcPr>
          <w:p w14:paraId="49A8B05B">
            <w:pPr>
              <w:jc w:val="center"/>
              <w:rPr>
                <w:rFonts w:cs="宋体" w:asciiTheme="minorEastAsia" w:hAnsiTheme="minorEastAsia" w:eastAsiaTheme="minorEastAsia"/>
                <w:szCs w:val="21"/>
              </w:rPr>
            </w:pPr>
          </w:p>
        </w:tc>
        <w:tc>
          <w:tcPr>
            <w:tcW w:w="1847" w:type="dxa"/>
            <w:vAlign w:val="center"/>
          </w:tcPr>
          <w:p w14:paraId="4666A1B7">
            <w:pPr>
              <w:widowControl/>
              <w:jc w:val="distribute"/>
              <w:rPr>
                <w:rFonts w:asciiTheme="minorEastAsia" w:hAnsiTheme="minorEastAsia" w:eastAsiaTheme="minorEastAsia"/>
                <w:szCs w:val="21"/>
              </w:rPr>
            </w:pPr>
            <w:r>
              <w:rPr>
                <w:rFonts w:hint="eastAsia" w:cs="Arial" w:asciiTheme="minorEastAsia" w:hAnsiTheme="minorEastAsia"/>
                <w:kern w:val="0"/>
                <w:sz w:val="24"/>
                <w:szCs w:val="24"/>
              </w:rPr>
              <w:t>★</w:t>
            </w:r>
            <w:r>
              <w:rPr>
                <w:rFonts w:hint="eastAsia" w:asciiTheme="minorEastAsia" w:hAnsiTheme="minorEastAsia" w:eastAsiaTheme="minorEastAsia"/>
                <w:szCs w:val="21"/>
              </w:rPr>
              <w:t>承包方式</w:t>
            </w:r>
          </w:p>
        </w:tc>
        <w:tc>
          <w:tcPr>
            <w:tcW w:w="7493" w:type="dxa"/>
            <w:vAlign w:val="center"/>
          </w:tcPr>
          <w:p w14:paraId="37D80FEE">
            <w:pPr>
              <w:rPr>
                <w:rFonts w:asciiTheme="minorEastAsia" w:hAnsiTheme="minorEastAsia" w:eastAsiaTheme="minorEastAsia"/>
                <w:szCs w:val="21"/>
              </w:rPr>
            </w:pPr>
            <w:r>
              <w:rPr>
                <w:rFonts w:hint="eastAsia" w:asciiTheme="minorEastAsia" w:hAnsiTheme="minorEastAsia" w:eastAsiaTheme="minorEastAsia"/>
                <w:szCs w:val="21"/>
              </w:rPr>
              <w:t>包工包料</w:t>
            </w:r>
          </w:p>
        </w:tc>
      </w:tr>
      <w:tr w14:paraId="72C76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continue"/>
            <w:vAlign w:val="center"/>
          </w:tcPr>
          <w:p w14:paraId="54294A3A">
            <w:pPr>
              <w:jc w:val="center"/>
              <w:rPr>
                <w:rFonts w:cs="宋体" w:asciiTheme="minorEastAsia" w:hAnsiTheme="minorEastAsia" w:eastAsiaTheme="minorEastAsia"/>
                <w:szCs w:val="21"/>
              </w:rPr>
            </w:pPr>
          </w:p>
        </w:tc>
        <w:tc>
          <w:tcPr>
            <w:tcW w:w="1847" w:type="dxa"/>
            <w:vAlign w:val="center"/>
          </w:tcPr>
          <w:p w14:paraId="65F35282">
            <w:pPr>
              <w:jc w:val="distribute"/>
              <w:rPr>
                <w:rFonts w:cs="宋体" w:asciiTheme="minorEastAsia" w:hAnsiTheme="minorEastAsia" w:eastAsiaTheme="minorEastAsia"/>
                <w:szCs w:val="21"/>
              </w:rPr>
            </w:pPr>
            <w:r>
              <w:rPr>
                <w:rFonts w:hint="eastAsia" w:cs="Arial" w:asciiTheme="minorEastAsia" w:hAnsiTheme="minorEastAsia"/>
                <w:kern w:val="0"/>
                <w:sz w:val="24"/>
                <w:szCs w:val="24"/>
              </w:rPr>
              <w:t>★</w:t>
            </w:r>
            <w:r>
              <w:rPr>
                <w:rFonts w:hint="eastAsia" w:cs="宋体" w:asciiTheme="minorEastAsia" w:hAnsiTheme="minorEastAsia" w:eastAsiaTheme="minorEastAsia"/>
                <w:szCs w:val="21"/>
              </w:rPr>
              <w:t>质量要求</w:t>
            </w:r>
          </w:p>
        </w:tc>
        <w:tc>
          <w:tcPr>
            <w:tcW w:w="7493" w:type="dxa"/>
            <w:vAlign w:val="center"/>
          </w:tcPr>
          <w:p w14:paraId="01675E0C">
            <w:pPr>
              <w:rPr>
                <w:rFonts w:asciiTheme="minorEastAsia" w:hAnsiTheme="minorEastAsia" w:eastAsiaTheme="minorEastAsia"/>
                <w:szCs w:val="21"/>
              </w:rPr>
            </w:pPr>
            <w:r>
              <w:rPr>
                <w:rFonts w:hint="eastAsia" w:asciiTheme="minorEastAsia" w:hAnsiTheme="minorEastAsia" w:eastAsiaTheme="minorEastAsia"/>
                <w:szCs w:val="21"/>
              </w:rPr>
              <w:t>合格</w:t>
            </w:r>
          </w:p>
        </w:tc>
      </w:tr>
      <w:tr w14:paraId="1651D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71" w:type="dxa"/>
            <w:vMerge w:val="continue"/>
            <w:vAlign w:val="center"/>
          </w:tcPr>
          <w:p w14:paraId="6BF79087">
            <w:pPr>
              <w:jc w:val="center"/>
              <w:rPr>
                <w:rFonts w:cs="宋体" w:asciiTheme="minorEastAsia" w:hAnsiTheme="minorEastAsia" w:eastAsiaTheme="minorEastAsia"/>
                <w:szCs w:val="21"/>
              </w:rPr>
            </w:pPr>
          </w:p>
        </w:tc>
        <w:tc>
          <w:tcPr>
            <w:tcW w:w="1847" w:type="dxa"/>
            <w:vAlign w:val="center"/>
          </w:tcPr>
          <w:p w14:paraId="07EE40D2">
            <w:pPr>
              <w:jc w:val="distribute"/>
              <w:rPr>
                <w:rFonts w:cs="宋体" w:asciiTheme="minorEastAsia" w:hAnsiTheme="minorEastAsia" w:eastAsiaTheme="minorEastAsia"/>
                <w:color w:val="000000" w:themeColor="text1"/>
                <w:szCs w:val="21"/>
                <w14:textFill>
                  <w14:solidFill>
                    <w14:schemeClr w14:val="tx1"/>
                  </w14:solidFill>
                </w14:textFill>
              </w:rPr>
            </w:pPr>
            <w:r>
              <w:rPr>
                <w:rFonts w:hint="eastAsia" w:cs="Arial" w:asciiTheme="minorEastAsia" w:hAnsiTheme="minorEastAsia"/>
                <w:color w:val="000000" w:themeColor="text1"/>
                <w:kern w:val="0"/>
                <w:sz w:val="24"/>
                <w:szCs w:val="24"/>
                <w14:textFill>
                  <w14:solidFill>
                    <w14:schemeClr w14:val="tx1"/>
                  </w14:solidFill>
                </w14:textFill>
              </w:rPr>
              <w:t>★</w:t>
            </w:r>
            <w:r>
              <w:rPr>
                <w:rFonts w:hint="eastAsia" w:cs="宋体" w:asciiTheme="minorEastAsia" w:hAnsiTheme="minorEastAsia" w:eastAsiaTheme="minorEastAsia"/>
                <w:color w:val="000000" w:themeColor="text1"/>
                <w:szCs w:val="21"/>
                <w14:textFill>
                  <w14:solidFill>
                    <w14:schemeClr w14:val="tx1"/>
                  </w14:solidFill>
                </w14:textFill>
              </w:rPr>
              <w:t>工期</w:t>
            </w:r>
          </w:p>
        </w:tc>
        <w:tc>
          <w:tcPr>
            <w:tcW w:w="7493" w:type="dxa"/>
            <w:vAlign w:val="center"/>
          </w:tcPr>
          <w:p w14:paraId="1B1D8790">
            <w:pPr>
              <w:rPr>
                <w:rFonts w:asciiTheme="minorEastAsia" w:hAnsiTheme="minorEastAsia" w:eastAsiaTheme="minorEastAsia"/>
                <w:b/>
                <w:color w:val="000000" w:themeColor="text1"/>
                <w:szCs w:val="21"/>
                <w14:textFill>
                  <w14:solidFill>
                    <w14:schemeClr w14:val="tx1"/>
                  </w14:solidFill>
                </w14:textFill>
              </w:rPr>
            </w:pPr>
            <w:r>
              <w:rPr>
                <w:rFonts w:hint="eastAsia" w:asciiTheme="minorEastAsia" w:hAnsiTheme="minorEastAsia" w:eastAsiaTheme="minorEastAsia"/>
                <w:b w:val="0"/>
                <w:bCs/>
                <w:color w:val="000000" w:themeColor="text1"/>
                <w:szCs w:val="21"/>
                <w14:textFill>
                  <w14:solidFill>
                    <w14:schemeClr w14:val="tx1"/>
                  </w14:solidFill>
                </w14:textFill>
              </w:rPr>
              <w:t>自合同签订，分别满足进场条件后，180个日历日内完成（其中临时用电90个日历日内完成；正式用电90个日历日内完成）。</w:t>
            </w:r>
          </w:p>
        </w:tc>
      </w:tr>
      <w:tr w14:paraId="4A5530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671" w:type="dxa"/>
            <w:vAlign w:val="center"/>
          </w:tcPr>
          <w:p w14:paraId="35BC306E">
            <w:pPr>
              <w:jc w:val="center"/>
              <w:rPr>
                <w:rFonts w:cs="宋体" w:asciiTheme="minorEastAsia" w:hAnsiTheme="minorEastAsia" w:eastAsiaTheme="minorEastAsia"/>
                <w:szCs w:val="21"/>
              </w:rPr>
            </w:pPr>
            <w:bookmarkStart w:id="6" w:name="_Hlk23589675"/>
            <w:bookmarkStart w:id="7" w:name="_Hlk23589674"/>
            <w:bookmarkStart w:id="8" w:name="_Hlk23589676"/>
            <w:r>
              <w:rPr>
                <w:rFonts w:hint="eastAsia" w:cs="宋体" w:asciiTheme="minorEastAsia" w:hAnsiTheme="minorEastAsia" w:eastAsiaTheme="minorEastAsia"/>
                <w:szCs w:val="21"/>
              </w:rPr>
              <w:t>2</w:t>
            </w:r>
            <w:bookmarkEnd w:id="6"/>
            <w:bookmarkEnd w:id="7"/>
            <w:bookmarkEnd w:id="8"/>
          </w:p>
        </w:tc>
        <w:tc>
          <w:tcPr>
            <w:tcW w:w="1847" w:type="dxa"/>
            <w:vAlign w:val="center"/>
          </w:tcPr>
          <w:p w14:paraId="51D31A0A">
            <w:pPr>
              <w:jc w:val="distribute"/>
              <w:rPr>
                <w:rFonts w:cs="宋体" w:asciiTheme="minorEastAsia" w:hAnsiTheme="minorEastAsia" w:eastAsiaTheme="minorEastAsia"/>
                <w:szCs w:val="21"/>
              </w:rPr>
            </w:pPr>
            <w:r>
              <w:rPr>
                <w:rFonts w:hint="eastAsia" w:cs="Arial" w:asciiTheme="minorEastAsia" w:hAnsiTheme="minorEastAsia"/>
                <w:kern w:val="0"/>
                <w:sz w:val="24"/>
                <w:szCs w:val="24"/>
              </w:rPr>
              <w:t>★</w:t>
            </w:r>
            <w:r>
              <w:rPr>
                <w:rFonts w:hint="eastAsia" w:cs="宋体" w:asciiTheme="minorEastAsia" w:hAnsiTheme="minorEastAsia" w:eastAsiaTheme="minorEastAsia"/>
                <w:szCs w:val="21"/>
              </w:rPr>
              <w:t>采购范围</w:t>
            </w:r>
          </w:p>
        </w:tc>
        <w:tc>
          <w:tcPr>
            <w:tcW w:w="7493" w:type="dxa"/>
            <w:vAlign w:val="center"/>
          </w:tcPr>
          <w:p w14:paraId="3A1DA9FA">
            <w:pPr>
              <w:rPr>
                <w:rFonts w:asciiTheme="minorEastAsia" w:hAnsiTheme="minorEastAsia" w:eastAsiaTheme="minorEastAsia"/>
                <w:szCs w:val="21"/>
              </w:rPr>
            </w:pPr>
            <w:r>
              <w:rPr>
                <w:rFonts w:hint="eastAsia" w:asciiTheme="minorEastAsia" w:hAnsiTheme="minorEastAsia" w:eastAsiaTheme="minorEastAsia"/>
                <w:szCs w:val="21"/>
              </w:rPr>
              <w:t>本工程图纸及</w:t>
            </w:r>
            <w:r>
              <w:rPr>
                <w:rFonts w:asciiTheme="minorEastAsia" w:hAnsiTheme="minorEastAsia" w:eastAsiaTheme="minorEastAsia"/>
                <w:szCs w:val="21"/>
              </w:rPr>
              <w:t>工程量清单范围内的全部</w:t>
            </w:r>
            <w:r>
              <w:rPr>
                <w:rFonts w:hint="eastAsia" w:asciiTheme="minorEastAsia" w:hAnsiTheme="minorEastAsia" w:eastAsiaTheme="minorEastAsia"/>
                <w:szCs w:val="21"/>
              </w:rPr>
              <w:t>工作内容（包括竞争性磋商文件及补充及答疑等工作内容）。</w:t>
            </w:r>
          </w:p>
        </w:tc>
      </w:tr>
      <w:tr w14:paraId="60623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671" w:type="dxa"/>
            <w:vMerge w:val="restart"/>
            <w:vAlign w:val="center"/>
          </w:tcPr>
          <w:p w14:paraId="057FC1BD">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3</w:t>
            </w:r>
          </w:p>
        </w:tc>
        <w:tc>
          <w:tcPr>
            <w:tcW w:w="1847" w:type="dxa"/>
            <w:vAlign w:val="center"/>
          </w:tcPr>
          <w:p w14:paraId="5772276A">
            <w:pPr>
              <w:tabs>
                <w:tab w:val="left" w:pos="5190"/>
              </w:tabs>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采购方式</w:t>
            </w:r>
          </w:p>
        </w:tc>
        <w:tc>
          <w:tcPr>
            <w:tcW w:w="7493" w:type="dxa"/>
            <w:vAlign w:val="center"/>
          </w:tcPr>
          <w:p w14:paraId="79F5731B">
            <w:pPr>
              <w:rPr>
                <w:rFonts w:cs="宋体" w:asciiTheme="minorEastAsia" w:hAnsiTheme="minorEastAsia" w:eastAsiaTheme="minorEastAsia"/>
                <w:szCs w:val="21"/>
              </w:rPr>
            </w:pPr>
            <w:r>
              <w:rPr>
                <w:rFonts w:hint="eastAsia" w:cs="Arial" w:asciiTheme="minorEastAsia" w:hAnsiTheme="minorEastAsia" w:eastAsiaTheme="minorEastAsia"/>
                <w:kern w:val="0"/>
                <w:szCs w:val="21"/>
              </w:rPr>
              <w:t>竞争性磋商</w:t>
            </w:r>
          </w:p>
        </w:tc>
      </w:tr>
      <w:tr w14:paraId="61503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671" w:type="dxa"/>
            <w:vMerge w:val="continue"/>
            <w:vAlign w:val="center"/>
          </w:tcPr>
          <w:p w14:paraId="4DAAE7F8">
            <w:pPr>
              <w:jc w:val="center"/>
              <w:rPr>
                <w:rFonts w:cs="宋体" w:asciiTheme="minorEastAsia" w:hAnsiTheme="minorEastAsia" w:eastAsiaTheme="minorEastAsia"/>
                <w:szCs w:val="21"/>
              </w:rPr>
            </w:pPr>
          </w:p>
        </w:tc>
        <w:tc>
          <w:tcPr>
            <w:tcW w:w="1847" w:type="dxa"/>
            <w:vAlign w:val="center"/>
          </w:tcPr>
          <w:p w14:paraId="3B08661E">
            <w:pPr>
              <w:jc w:val="distribute"/>
              <w:rPr>
                <w:rFonts w:cs="宋体" w:asciiTheme="minorEastAsia" w:hAnsiTheme="minorEastAsia" w:eastAsiaTheme="minorEastAsia"/>
                <w:szCs w:val="21"/>
              </w:rPr>
            </w:pPr>
            <w:r>
              <w:rPr>
                <w:rFonts w:hint="eastAsia" w:cs="宋体" w:asciiTheme="minorEastAsia" w:hAnsiTheme="minorEastAsia" w:eastAsiaTheme="minorEastAsia"/>
                <w:kern w:val="0"/>
                <w:szCs w:val="21"/>
              </w:rPr>
              <w:t>资格审查方式</w:t>
            </w:r>
          </w:p>
        </w:tc>
        <w:tc>
          <w:tcPr>
            <w:tcW w:w="7493" w:type="dxa"/>
            <w:vAlign w:val="center"/>
          </w:tcPr>
          <w:p w14:paraId="14A73EFB">
            <w:pPr>
              <w:widowControl/>
              <w:rPr>
                <w:rFonts w:cs="宋体" w:asciiTheme="minorEastAsia" w:hAnsiTheme="minorEastAsia" w:eastAsiaTheme="minorEastAsia"/>
                <w:szCs w:val="21"/>
              </w:rPr>
            </w:pPr>
            <w:r>
              <w:rPr>
                <w:rFonts w:hint="eastAsia" w:cs="宋体" w:asciiTheme="minorEastAsia" w:hAnsiTheme="minorEastAsia" w:eastAsiaTheme="minorEastAsia"/>
                <w:kern w:val="0"/>
                <w:szCs w:val="21"/>
              </w:rPr>
              <w:t>资格后审</w:t>
            </w:r>
          </w:p>
        </w:tc>
      </w:tr>
      <w:tr w14:paraId="00BB6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671" w:type="dxa"/>
            <w:vMerge w:val="restart"/>
            <w:vAlign w:val="center"/>
          </w:tcPr>
          <w:p w14:paraId="3271A9EB">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4</w:t>
            </w:r>
          </w:p>
        </w:tc>
        <w:tc>
          <w:tcPr>
            <w:tcW w:w="1847" w:type="dxa"/>
            <w:vAlign w:val="center"/>
          </w:tcPr>
          <w:p w14:paraId="72A778F9">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评标办法</w:t>
            </w:r>
          </w:p>
        </w:tc>
        <w:tc>
          <w:tcPr>
            <w:tcW w:w="7493" w:type="dxa"/>
            <w:vAlign w:val="center"/>
          </w:tcPr>
          <w:p w14:paraId="4342B7E8">
            <w:pPr>
              <w:rPr>
                <w:rFonts w:cs="宋体" w:asciiTheme="minorEastAsia" w:hAnsiTheme="minorEastAsia" w:eastAsiaTheme="minorEastAsia"/>
                <w:szCs w:val="21"/>
              </w:rPr>
            </w:pPr>
            <w:r>
              <w:rPr>
                <w:rFonts w:hint="eastAsia" w:asciiTheme="minorEastAsia" w:hAnsiTheme="minorEastAsia" w:eastAsiaTheme="minorEastAsia"/>
                <w:szCs w:val="21"/>
              </w:rPr>
              <w:t>综合评估法</w:t>
            </w:r>
          </w:p>
        </w:tc>
      </w:tr>
      <w:tr w14:paraId="08F32B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671" w:type="dxa"/>
            <w:vMerge w:val="continue"/>
            <w:vAlign w:val="center"/>
          </w:tcPr>
          <w:p w14:paraId="7CA3EBB6">
            <w:pPr>
              <w:jc w:val="center"/>
              <w:rPr>
                <w:rFonts w:cs="宋体" w:asciiTheme="minorEastAsia" w:hAnsiTheme="minorEastAsia" w:eastAsiaTheme="minorEastAsia"/>
                <w:szCs w:val="21"/>
              </w:rPr>
            </w:pPr>
          </w:p>
        </w:tc>
        <w:tc>
          <w:tcPr>
            <w:tcW w:w="1847" w:type="dxa"/>
            <w:vAlign w:val="center"/>
          </w:tcPr>
          <w:p w14:paraId="55A119CC">
            <w:pPr>
              <w:jc w:val="distribute"/>
              <w:rPr>
                <w:rFonts w:cs="宋体" w:asciiTheme="minorEastAsia" w:hAnsiTheme="minorEastAsia" w:eastAsiaTheme="minorEastAsia"/>
                <w:szCs w:val="21"/>
              </w:rPr>
            </w:pPr>
            <w:r>
              <w:rPr>
                <w:rFonts w:hint="eastAsia" w:asciiTheme="minorEastAsia" w:hAnsiTheme="minorEastAsia" w:eastAsiaTheme="minorEastAsia"/>
                <w:szCs w:val="21"/>
              </w:rPr>
              <w:t>投标计价方式</w:t>
            </w:r>
          </w:p>
        </w:tc>
        <w:tc>
          <w:tcPr>
            <w:tcW w:w="7493" w:type="dxa"/>
            <w:vAlign w:val="center"/>
          </w:tcPr>
          <w:p w14:paraId="1A12941F">
            <w:pPr>
              <w:rPr>
                <w:rFonts w:asciiTheme="minorEastAsia" w:hAnsiTheme="minorEastAsia" w:eastAsiaTheme="minorEastAsia"/>
                <w:szCs w:val="21"/>
              </w:rPr>
            </w:pPr>
            <w:r>
              <w:rPr>
                <w:rFonts w:hint="eastAsia" w:asciiTheme="minorEastAsia" w:hAnsiTheme="minorEastAsia" w:eastAsiaTheme="minorEastAsia"/>
                <w:szCs w:val="21"/>
              </w:rPr>
              <w:t>工程量清单计价</w:t>
            </w:r>
          </w:p>
        </w:tc>
      </w:tr>
      <w:tr w14:paraId="0A4A3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671" w:type="dxa"/>
            <w:vMerge w:val="continue"/>
            <w:vAlign w:val="center"/>
          </w:tcPr>
          <w:p w14:paraId="1623F340">
            <w:pPr>
              <w:jc w:val="center"/>
              <w:rPr>
                <w:rFonts w:cs="宋体" w:asciiTheme="minorEastAsia" w:hAnsiTheme="minorEastAsia" w:eastAsiaTheme="minorEastAsia"/>
                <w:szCs w:val="21"/>
              </w:rPr>
            </w:pPr>
          </w:p>
        </w:tc>
        <w:tc>
          <w:tcPr>
            <w:tcW w:w="1847" w:type="dxa"/>
            <w:vAlign w:val="center"/>
          </w:tcPr>
          <w:p w14:paraId="42189868">
            <w:pPr>
              <w:keepNext/>
              <w:widowControl/>
              <w:jc w:val="distribute"/>
              <w:rPr>
                <w:rFonts w:cs="Arial" w:asciiTheme="minorEastAsia" w:hAnsiTheme="minorEastAsia" w:eastAsiaTheme="minorEastAsia"/>
                <w:kern w:val="0"/>
                <w:szCs w:val="21"/>
              </w:rPr>
            </w:pPr>
            <w:r>
              <w:rPr>
                <w:rFonts w:hint="eastAsia" w:cs="Arial" w:asciiTheme="minorEastAsia" w:hAnsiTheme="minorEastAsia" w:eastAsiaTheme="minorEastAsia"/>
                <w:kern w:val="0"/>
                <w:szCs w:val="21"/>
              </w:rPr>
              <w:t>定标方法</w:t>
            </w:r>
          </w:p>
        </w:tc>
        <w:tc>
          <w:tcPr>
            <w:tcW w:w="7493" w:type="dxa"/>
            <w:vAlign w:val="center"/>
          </w:tcPr>
          <w:p w14:paraId="5BDBA071">
            <w:pPr>
              <w:keepNext/>
              <w:widowControl/>
              <w:jc w:val="left"/>
              <w:rPr>
                <w:rFonts w:cs="Arial" w:asciiTheme="minorEastAsia" w:hAnsiTheme="minorEastAsia" w:eastAsiaTheme="minorEastAsia"/>
                <w:kern w:val="0"/>
                <w:szCs w:val="21"/>
              </w:rPr>
            </w:pPr>
            <w:r>
              <w:rPr>
                <w:rFonts w:hint="eastAsia" w:cs="Arial" w:asciiTheme="minorEastAsia" w:hAnsiTheme="minorEastAsia" w:eastAsiaTheme="minorEastAsia"/>
                <w:kern w:val="0"/>
                <w:szCs w:val="21"/>
              </w:rPr>
              <w:t>推荐三名成交候选人</w:t>
            </w:r>
          </w:p>
        </w:tc>
      </w:tr>
      <w:tr w14:paraId="28315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8" w:hRule="atLeast"/>
          <w:jc w:val="center"/>
        </w:trPr>
        <w:tc>
          <w:tcPr>
            <w:tcW w:w="671" w:type="dxa"/>
            <w:vAlign w:val="center"/>
          </w:tcPr>
          <w:p w14:paraId="6A44E555">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5</w:t>
            </w:r>
          </w:p>
        </w:tc>
        <w:tc>
          <w:tcPr>
            <w:tcW w:w="1847" w:type="dxa"/>
            <w:vAlign w:val="center"/>
          </w:tcPr>
          <w:p w14:paraId="7AA04B7A">
            <w:pPr>
              <w:jc w:val="distribute"/>
              <w:rPr>
                <w:rFonts w:cs="宋体" w:asciiTheme="minorEastAsia" w:hAnsiTheme="minorEastAsia" w:eastAsiaTheme="minorEastAsia"/>
                <w:szCs w:val="21"/>
              </w:rPr>
            </w:pPr>
            <w:r>
              <w:rPr>
                <w:rFonts w:hint="eastAsia" w:cs="Arial" w:asciiTheme="minorEastAsia" w:hAnsiTheme="minorEastAsia"/>
                <w:kern w:val="0"/>
                <w:sz w:val="24"/>
                <w:szCs w:val="24"/>
              </w:rPr>
              <w:t>★</w:t>
            </w:r>
            <w:r>
              <w:rPr>
                <w:rFonts w:hint="eastAsia" w:cs="宋体" w:asciiTheme="minorEastAsia" w:hAnsiTheme="minorEastAsia" w:eastAsiaTheme="minorEastAsia"/>
                <w:szCs w:val="21"/>
              </w:rPr>
              <w:t>供应商资格条件和能力</w:t>
            </w:r>
          </w:p>
        </w:tc>
        <w:tc>
          <w:tcPr>
            <w:tcW w:w="7493" w:type="dxa"/>
            <w:vAlign w:val="center"/>
          </w:tcPr>
          <w:p w14:paraId="61AC0AC9">
            <w:pPr>
              <w:rPr>
                <w:rFonts w:asciiTheme="minorEastAsia" w:hAnsiTheme="minorEastAsia" w:eastAsiaTheme="minorEastAsia"/>
                <w:szCs w:val="21"/>
              </w:rPr>
            </w:pPr>
            <w:r>
              <w:rPr>
                <w:rFonts w:asciiTheme="minorEastAsia" w:hAnsiTheme="minorEastAsia" w:eastAsiaTheme="minorEastAsia"/>
                <w:szCs w:val="21"/>
              </w:rPr>
              <w:t>1.满足《中华人民共和国政府采购法》第二十二条规定；</w:t>
            </w:r>
          </w:p>
          <w:p w14:paraId="6AC924BD">
            <w:pPr>
              <w:rPr>
                <w:rFonts w:asciiTheme="minorEastAsia" w:hAnsiTheme="minorEastAsia" w:eastAsiaTheme="minorEastAsia"/>
                <w:szCs w:val="21"/>
              </w:rPr>
            </w:pPr>
            <w:r>
              <w:rPr>
                <w:rFonts w:asciiTheme="minorEastAsia" w:hAnsiTheme="minorEastAsia" w:eastAsiaTheme="minorEastAsia"/>
                <w:szCs w:val="21"/>
              </w:rPr>
              <w:t>2.落实政府采购政策需满足的资格要求：</w:t>
            </w:r>
            <w:r>
              <w:rPr>
                <w:rFonts w:hint="eastAsia" w:asciiTheme="minorEastAsia" w:hAnsiTheme="minorEastAsia" w:eastAsiaTheme="minorEastAsia"/>
                <w:szCs w:val="21"/>
              </w:rPr>
              <w:t>本项目为专门面向小微企业（含小型、微型企业）。</w:t>
            </w:r>
          </w:p>
          <w:p w14:paraId="1B4FEA19">
            <w:pPr>
              <w:rPr>
                <w:rFonts w:asciiTheme="minorEastAsia" w:hAnsiTheme="minorEastAsia" w:eastAsiaTheme="minorEastAsia"/>
                <w:szCs w:val="21"/>
              </w:rPr>
            </w:pPr>
            <w:r>
              <w:rPr>
                <w:rFonts w:asciiTheme="minorEastAsia" w:hAnsiTheme="minorEastAsia" w:eastAsiaTheme="minorEastAsia"/>
                <w:szCs w:val="21"/>
              </w:rPr>
              <w:t>3.本项目的特定资格要求：</w:t>
            </w:r>
          </w:p>
          <w:p w14:paraId="38A7A9E3">
            <w:pPr>
              <w:rPr>
                <w:rFonts w:asciiTheme="minorEastAsia" w:hAnsiTheme="minorEastAsia" w:eastAsiaTheme="minorEastAsia"/>
                <w:szCs w:val="21"/>
              </w:rPr>
            </w:pPr>
            <w:r>
              <w:rPr>
                <w:rFonts w:hint="eastAsia" w:asciiTheme="minorEastAsia" w:hAnsiTheme="minorEastAsia" w:eastAsiaTheme="minorEastAsia"/>
                <w:szCs w:val="21"/>
              </w:rPr>
              <w:t>1）、供应商须</w:t>
            </w:r>
            <w:r>
              <w:rPr>
                <w:rFonts w:asciiTheme="minorEastAsia" w:hAnsiTheme="minorEastAsia" w:eastAsiaTheme="minorEastAsia"/>
                <w:szCs w:val="21"/>
              </w:rPr>
              <w:t>具有有效的营业</w:t>
            </w:r>
            <w:r>
              <w:rPr>
                <w:rFonts w:hint="eastAsia" w:asciiTheme="minorEastAsia" w:hAnsiTheme="minorEastAsia" w:eastAsiaTheme="minorEastAsia"/>
                <w:szCs w:val="21"/>
              </w:rPr>
              <w:t>执照；具有独立订立合同的权利，能独立承担民事责任的能力；</w:t>
            </w:r>
          </w:p>
          <w:p w14:paraId="589A82AA">
            <w:pPr>
              <w:rPr>
                <w:rFonts w:asciiTheme="minorEastAsia" w:hAnsiTheme="minorEastAsia" w:eastAsiaTheme="minorEastAsia"/>
                <w:szCs w:val="21"/>
              </w:rPr>
            </w:pPr>
            <w:r>
              <w:rPr>
                <w:rFonts w:hint="eastAsia" w:asciiTheme="minorEastAsia" w:hAnsiTheme="minorEastAsia" w:eastAsiaTheme="minorEastAsia"/>
                <w:szCs w:val="21"/>
              </w:rPr>
              <w:t>2）、供应商须具备有效的资质证书，且具备：</w:t>
            </w:r>
            <w:r>
              <w:rPr>
                <w:rFonts w:hint="eastAsia" w:asciiTheme="minorEastAsia" w:hAnsiTheme="minorEastAsia" w:eastAsiaTheme="minorEastAsia"/>
                <w:szCs w:val="21"/>
                <w:lang w:eastAsia="zh-CN"/>
              </w:rPr>
              <w:t>[施工]施工总承包企业资质(电力工程)三级及以上或[施工]专业承包企业资质(输变电工程)三级及以上</w:t>
            </w:r>
            <w:r>
              <w:rPr>
                <w:rFonts w:hint="eastAsia" w:asciiTheme="minorEastAsia" w:hAnsiTheme="minorEastAsia" w:eastAsiaTheme="minorEastAsia"/>
                <w:szCs w:val="21"/>
              </w:rPr>
              <w:t>；</w:t>
            </w:r>
          </w:p>
          <w:p w14:paraId="45F969AC">
            <w:pPr>
              <w:rPr>
                <w:rFonts w:asciiTheme="minorEastAsia" w:hAnsiTheme="minorEastAsia" w:eastAsiaTheme="minorEastAsia"/>
                <w:szCs w:val="21"/>
              </w:rPr>
            </w:pPr>
            <w:r>
              <w:rPr>
                <w:rFonts w:hint="eastAsia" w:asciiTheme="minorEastAsia" w:hAnsiTheme="minorEastAsia" w:eastAsiaTheme="minorEastAsia"/>
                <w:szCs w:val="21"/>
              </w:rPr>
              <w:t>3）、供应商须具备有效的安全生产许可证；</w:t>
            </w:r>
          </w:p>
          <w:p w14:paraId="3DF20E17">
            <w:pPr>
              <w:rPr>
                <w:rFonts w:asciiTheme="minorEastAsia" w:hAnsiTheme="minorEastAsia" w:eastAsiaTheme="minorEastAsia"/>
                <w:szCs w:val="21"/>
              </w:rPr>
            </w:pPr>
            <w:r>
              <w:rPr>
                <w:rFonts w:hint="eastAsia" w:asciiTheme="minorEastAsia" w:hAnsiTheme="minorEastAsia" w:eastAsiaTheme="minorEastAsia"/>
                <w:szCs w:val="21"/>
              </w:rPr>
              <w:t>4）、供应商名称必须与营业执照、资质证书、安全生产许可证中的企业名称保持一致；</w:t>
            </w:r>
          </w:p>
          <w:p w14:paraId="3658C1B6">
            <w:pPr>
              <w:rPr>
                <w:rFonts w:asciiTheme="minorEastAsia" w:hAnsiTheme="minorEastAsia" w:eastAsiaTheme="minorEastAsia"/>
                <w:szCs w:val="21"/>
              </w:rPr>
            </w:pPr>
            <w:r>
              <w:rPr>
                <w:rFonts w:hint="eastAsia" w:asciiTheme="minorEastAsia" w:hAnsiTheme="minorEastAsia" w:eastAsiaTheme="minorEastAsia"/>
                <w:szCs w:val="21"/>
              </w:rPr>
              <w:t>5）、供应商所报项目负责人须具备二级及以上</w:t>
            </w:r>
            <w:r>
              <w:rPr>
                <w:rFonts w:hint="eastAsia" w:asciiTheme="minorEastAsia" w:hAnsiTheme="minorEastAsia" w:eastAsiaTheme="minorEastAsia"/>
                <w:szCs w:val="21"/>
                <w:lang w:eastAsia="zh-CN"/>
              </w:rPr>
              <w:t>注册建造师（机电工程专业）</w:t>
            </w:r>
            <w:r>
              <w:rPr>
                <w:rFonts w:hint="eastAsia" w:asciiTheme="minorEastAsia" w:hAnsiTheme="minorEastAsia" w:eastAsiaTheme="minorEastAsia"/>
                <w:szCs w:val="21"/>
              </w:rPr>
              <w:t>、安全生产考核证B类（须合格有效），未担任其他在建项目的项目负责人，本单位注册，且在有效期内,不接受临时注册建造师；</w:t>
            </w:r>
          </w:p>
          <w:p w14:paraId="539F9AF8">
            <w:pPr>
              <w:rPr>
                <w:rFonts w:asciiTheme="minorEastAsia" w:hAnsiTheme="minorEastAsia" w:eastAsiaTheme="minorEastAsia"/>
                <w:szCs w:val="21"/>
              </w:rPr>
            </w:pPr>
            <w:r>
              <w:rPr>
                <w:rFonts w:hint="eastAsia" w:asciiTheme="minorEastAsia" w:hAnsiTheme="minorEastAsia" w:eastAsiaTheme="minorEastAsia"/>
                <w:szCs w:val="21"/>
              </w:rPr>
              <w:t>6）、供应商须是在“信用中国”（</w:t>
            </w:r>
            <w:r>
              <w:rPr>
                <w:rFonts w:asciiTheme="minorEastAsia" w:hAnsiTheme="minorEastAsia" w:eastAsiaTheme="minorEastAsia"/>
                <w:szCs w:val="21"/>
              </w:rPr>
              <w:t>www.creditchina.gov.cn</w:t>
            </w:r>
            <w:r>
              <w:rPr>
                <w:rFonts w:hint="eastAsia" w:asciiTheme="minorEastAsia" w:hAnsiTheme="minorEastAsia" w:eastAsiaTheme="minorEastAsia"/>
                <w:szCs w:val="21"/>
              </w:rPr>
              <w:t>）和中国政府采购网（</w:t>
            </w:r>
            <w:r>
              <w:rPr>
                <w:rFonts w:asciiTheme="minorEastAsia" w:hAnsiTheme="minorEastAsia" w:eastAsiaTheme="minorEastAsia"/>
                <w:szCs w:val="21"/>
              </w:rPr>
              <w:t>www.ccgp.gov.cn</w:t>
            </w:r>
            <w:r>
              <w:rPr>
                <w:rFonts w:hint="eastAsia" w:asciiTheme="minorEastAsia" w:hAnsiTheme="minorEastAsia" w:eastAsiaTheme="minorEastAsia"/>
                <w:szCs w:val="21"/>
              </w:rPr>
              <w:t>）网站上未被列入失信被执行人、重大税收违法案件当事人名单以及政府采购严重违法失信行为记录名单；</w:t>
            </w:r>
            <w:r>
              <w:rPr>
                <w:rFonts w:asciiTheme="minorEastAsia" w:hAnsiTheme="minorEastAsia" w:eastAsiaTheme="minorEastAsia"/>
                <w:szCs w:val="21"/>
              </w:rPr>
              <w:t xml:space="preserve"> </w:t>
            </w:r>
          </w:p>
          <w:p w14:paraId="50FC8788">
            <w:pPr>
              <w:rPr>
                <w:rFonts w:asciiTheme="minorEastAsia" w:hAnsiTheme="minorEastAsia" w:eastAsiaTheme="minorEastAsia"/>
                <w:szCs w:val="21"/>
              </w:rPr>
            </w:pPr>
            <w:r>
              <w:rPr>
                <w:rFonts w:hint="eastAsia" w:asciiTheme="minorEastAsia" w:hAnsiTheme="minorEastAsia" w:eastAsiaTheme="minorEastAsia"/>
                <w:szCs w:val="21"/>
              </w:rPr>
              <w:t>7）、供应商如在中国裁判文书网（http://wenshu.court.gov.cn）有行贿犯罪记录的（尚在处罚期内的），将被拒绝参加本次采购活动；</w:t>
            </w:r>
          </w:p>
          <w:p w14:paraId="1FC4FB3A">
            <w:pPr>
              <w:rPr>
                <w:rFonts w:asciiTheme="minorEastAsia" w:hAnsiTheme="minorEastAsia" w:eastAsiaTheme="minorEastAsia"/>
                <w:szCs w:val="21"/>
              </w:rPr>
            </w:pPr>
            <w:r>
              <w:rPr>
                <w:rFonts w:hint="eastAsia" w:asciiTheme="minorEastAsia" w:hAnsiTheme="minorEastAsia" w:eastAsiaTheme="minorEastAsia"/>
                <w:szCs w:val="21"/>
              </w:rPr>
              <w:t>8）</w:t>
            </w:r>
            <w:r>
              <w:rPr>
                <w:rFonts w:asciiTheme="minorEastAsia" w:hAnsiTheme="minorEastAsia" w:eastAsiaTheme="minorEastAsia"/>
                <w:szCs w:val="21"/>
              </w:rPr>
              <w:t>、本采购项目</w:t>
            </w:r>
            <w:r>
              <w:rPr>
                <w:rFonts w:hint="eastAsia" w:asciiTheme="minorEastAsia" w:hAnsiTheme="minorEastAsia" w:eastAsiaTheme="minorEastAsia"/>
                <w:szCs w:val="21"/>
              </w:rPr>
              <w:t>不允许</w:t>
            </w:r>
            <w:r>
              <w:rPr>
                <w:rFonts w:asciiTheme="minorEastAsia" w:hAnsiTheme="minorEastAsia" w:eastAsiaTheme="minorEastAsia"/>
                <w:szCs w:val="21"/>
              </w:rPr>
              <w:t>联合体投标。</w:t>
            </w:r>
          </w:p>
          <w:p w14:paraId="4C857721">
            <w:pPr>
              <w:rPr>
                <w:rFonts w:asciiTheme="minorEastAsia" w:hAnsiTheme="minorEastAsia" w:eastAsiaTheme="minorEastAsia"/>
                <w:szCs w:val="21"/>
              </w:rPr>
            </w:pPr>
            <w:r>
              <w:rPr>
                <w:rFonts w:hint="eastAsia" w:asciiTheme="minorEastAsia" w:hAnsiTheme="minorEastAsia" w:eastAsiaTheme="minorEastAsia"/>
                <w:szCs w:val="21"/>
              </w:rPr>
              <w:t>9）</w:t>
            </w:r>
            <w:r>
              <w:rPr>
                <w:rFonts w:asciiTheme="minorEastAsia" w:hAnsiTheme="minorEastAsia" w:eastAsiaTheme="minorEastAsia"/>
                <w:szCs w:val="21"/>
              </w:rPr>
              <w:t>、</w:t>
            </w:r>
            <w:r>
              <w:rPr>
                <w:rFonts w:hint="eastAsia" w:asciiTheme="minorEastAsia" w:hAnsiTheme="minorEastAsia" w:eastAsiaTheme="minorEastAsia"/>
                <w:szCs w:val="21"/>
              </w:rPr>
              <w:t>供应商须提供《中小企业声明函》。</w:t>
            </w:r>
          </w:p>
          <w:p w14:paraId="64F2F432">
            <w:pPr>
              <w:rPr>
                <w:rFonts w:asciiTheme="minorEastAsia" w:hAnsiTheme="minorEastAsia" w:eastAsiaTheme="minorEastAsia"/>
                <w:szCs w:val="21"/>
              </w:rPr>
            </w:pPr>
            <w:r>
              <w:rPr>
                <w:rFonts w:hint="eastAsia" w:asciiTheme="minorEastAsia" w:hAnsiTheme="minorEastAsia" w:eastAsiaTheme="minorEastAsia"/>
                <w:szCs w:val="21"/>
              </w:rPr>
              <w:t>10）</w:t>
            </w:r>
            <w:r>
              <w:rPr>
                <w:rFonts w:asciiTheme="minorEastAsia" w:hAnsiTheme="minorEastAsia" w:eastAsiaTheme="minorEastAsia"/>
                <w:szCs w:val="21"/>
              </w:rPr>
              <w:t>、其他说明：①与采购人存在利害关系可能影响招标公正性的法人、其他组织或者个人，不得参加投标。②</w:t>
            </w:r>
            <w:r>
              <w:rPr>
                <w:rFonts w:hint="eastAsia" w:asciiTheme="minorEastAsia" w:hAnsiTheme="minorEastAsia" w:eastAsiaTheme="minorEastAsia"/>
                <w:szCs w:val="21"/>
              </w:rPr>
              <w:t>单位负责人为同一人或者存在控股、管理关系的不同供应商，不得参加同一合同项下的政府采购活动。</w:t>
            </w:r>
            <w:r>
              <w:rPr>
                <w:rFonts w:asciiTheme="minorEastAsia" w:hAnsiTheme="minorEastAsia" w:eastAsiaTheme="minorEastAsia"/>
                <w:szCs w:val="21"/>
              </w:rPr>
              <w:t>违反前两款规定的，相关投标均无效。</w:t>
            </w:r>
          </w:p>
        </w:tc>
      </w:tr>
      <w:tr w14:paraId="3FF86F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671" w:type="dxa"/>
            <w:vAlign w:val="center"/>
          </w:tcPr>
          <w:p w14:paraId="3B475B85">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6</w:t>
            </w:r>
          </w:p>
        </w:tc>
        <w:tc>
          <w:tcPr>
            <w:tcW w:w="1847" w:type="dxa"/>
            <w:vAlign w:val="center"/>
          </w:tcPr>
          <w:p w14:paraId="739AA33B">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竞争性磋商文件费</w:t>
            </w:r>
          </w:p>
        </w:tc>
        <w:tc>
          <w:tcPr>
            <w:tcW w:w="7493" w:type="dxa"/>
            <w:vAlign w:val="center"/>
          </w:tcPr>
          <w:p w14:paraId="1794AE4E">
            <w:pPr>
              <w:widowControl/>
              <w:rPr>
                <w:rFonts w:cs="宋体" w:asciiTheme="minorEastAsia" w:hAnsiTheme="minorEastAsia" w:eastAsiaTheme="minorEastAsia"/>
                <w:szCs w:val="21"/>
              </w:rPr>
            </w:pPr>
            <w:r>
              <w:rPr>
                <w:rFonts w:hint="eastAsia" w:cs="宋体" w:asciiTheme="minorEastAsia" w:hAnsiTheme="minorEastAsia" w:eastAsiaTheme="minorEastAsia"/>
                <w:szCs w:val="21"/>
              </w:rPr>
              <w:t>/元</w:t>
            </w:r>
          </w:p>
        </w:tc>
      </w:tr>
      <w:tr w14:paraId="4DEDB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671" w:type="dxa"/>
            <w:vAlign w:val="center"/>
          </w:tcPr>
          <w:p w14:paraId="637FA98F">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7</w:t>
            </w:r>
          </w:p>
        </w:tc>
        <w:tc>
          <w:tcPr>
            <w:tcW w:w="1847" w:type="dxa"/>
            <w:vAlign w:val="center"/>
          </w:tcPr>
          <w:p w14:paraId="45500AFE">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磋商保证金</w:t>
            </w:r>
          </w:p>
        </w:tc>
        <w:tc>
          <w:tcPr>
            <w:tcW w:w="7493" w:type="dxa"/>
            <w:vAlign w:val="center"/>
          </w:tcPr>
          <w:p w14:paraId="795E4EA1">
            <w:pPr>
              <w:pStyle w:val="24"/>
              <w:jc w:val="left"/>
              <w:rPr>
                <w:rFonts w:asciiTheme="minorEastAsia" w:hAnsiTheme="minorEastAsia" w:eastAsiaTheme="minorEastAsia"/>
                <w:szCs w:val="21"/>
              </w:rPr>
            </w:pPr>
            <w:r>
              <w:rPr>
                <w:rFonts w:hint="eastAsia" w:asciiTheme="minorEastAsia" w:hAnsiTheme="minorEastAsia" w:eastAsiaTheme="minorEastAsia"/>
                <w:szCs w:val="21"/>
              </w:rPr>
              <w:t>要求提供。本项目的磋商保证金金额：</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u w:val="single"/>
                <w:lang w:val="en-US" w:eastAsia="zh-CN"/>
              </w:rPr>
              <w:t>13000</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元（</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u w:val="single"/>
                <w:lang w:eastAsia="zh-CN"/>
              </w:rPr>
              <w:t>壹万叁仟元整</w:t>
            </w:r>
            <w:r>
              <w:rPr>
                <w:rFonts w:hint="eastAsia" w:asciiTheme="minorEastAsia" w:hAnsiTheme="minorEastAsia" w:eastAsiaTheme="minorEastAsia"/>
                <w:szCs w:val="21"/>
                <w:u w:val="single"/>
              </w:rPr>
              <w:t xml:space="preserve"> </w:t>
            </w:r>
            <w:r>
              <w:rPr>
                <w:rFonts w:hint="eastAsia" w:asciiTheme="minorEastAsia" w:hAnsiTheme="minorEastAsia" w:eastAsiaTheme="minorEastAsia"/>
                <w:szCs w:val="21"/>
              </w:rPr>
              <w:t>元整）</w:t>
            </w:r>
          </w:p>
          <w:p w14:paraId="610A1FA5">
            <w:pPr>
              <w:pStyle w:val="24"/>
              <w:jc w:val="left"/>
              <w:rPr>
                <w:rFonts w:asciiTheme="minorEastAsia" w:hAnsiTheme="minorEastAsia" w:eastAsiaTheme="minorEastAsia"/>
                <w:szCs w:val="21"/>
              </w:rPr>
            </w:pPr>
            <w:r>
              <w:rPr>
                <w:rFonts w:hint="eastAsia" w:asciiTheme="minorEastAsia" w:hAnsiTheme="minorEastAsia" w:eastAsiaTheme="minorEastAsia"/>
                <w:szCs w:val="21"/>
              </w:rPr>
              <w:t>账户名：新疆锐智时代建设工程项目管理有限公司</w:t>
            </w:r>
          </w:p>
          <w:p w14:paraId="4820DD03">
            <w:pPr>
              <w:pStyle w:val="24"/>
              <w:jc w:val="left"/>
              <w:rPr>
                <w:rFonts w:asciiTheme="minorEastAsia" w:hAnsiTheme="minorEastAsia" w:eastAsiaTheme="minorEastAsia"/>
                <w:szCs w:val="21"/>
              </w:rPr>
            </w:pPr>
            <w:r>
              <w:rPr>
                <w:rFonts w:hint="eastAsia" w:asciiTheme="minorEastAsia" w:hAnsiTheme="minorEastAsia" w:eastAsiaTheme="minorEastAsia"/>
                <w:szCs w:val="21"/>
              </w:rPr>
              <w:t>开户行：建行五星路支行</w:t>
            </w:r>
          </w:p>
          <w:p w14:paraId="699826CE">
            <w:pPr>
              <w:pStyle w:val="24"/>
              <w:jc w:val="left"/>
              <w:rPr>
                <w:rFonts w:asciiTheme="minorEastAsia" w:hAnsiTheme="minorEastAsia" w:eastAsiaTheme="minorEastAsia"/>
                <w:szCs w:val="21"/>
              </w:rPr>
            </w:pPr>
            <w:r>
              <w:rPr>
                <w:rFonts w:hint="eastAsia" w:asciiTheme="minorEastAsia" w:hAnsiTheme="minorEastAsia" w:eastAsiaTheme="minorEastAsia"/>
                <w:szCs w:val="21"/>
              </w:rPr>
              <w:t>行  号：</w:t>
            </w:r>
            <w:r>
              <w:rPr>
                <w:rFonts w:asciiTheme="minorEastAsia" w:hAnsiTheme="minorEastAsia" w:eastAsiaTheme="minorEastAsia"/>
                <w:szCs w:val="21"/>
              </w:rPr>
              <w:t>105881000500</w:t>
            </w:r>
          </w:p>
          <w:p w14:paraId="110D7D95">
            <w:pPr>
              <w:pStyle w:val="24"/>
              <w:jc w:val="left"/>
              <w:rPr>
                <w:rFonts w:asciiTheme="minorEastAsia" w:hAnsiTheme="minorEastAsia" w:eastAsiaTheme="minorEastAsia"/>
                <w:szCs w:val="21"/>
              </w:rPr>
            </w:pPr>
            <w:r>
              <w:rPr>
                <w:rFonts w:hint="eastAsia" w:asciiTheme="minorEastAsia" w:hAnsiTheme="minorEastAsia" w:eastAsiaTheme="minorEastAsia"/>
                <w:szCs w:val="21"/>
              </w:rPr>
              <w:t>帐  号：</w:t>
            </w:r>
            <w:r>
              <w:rPr>
                <w:rFonts w:asciiTheme="minorEastAsia" w:hAnsiTheme="minorEastAsia" w:eastAsiaTheme="minorEastAsia"/>
                <w:szCs w:val="21"/>
              </w:rPr>
              <w:t>65050161603800000351</w:t>
            </w:r>
          </w:p>
          <w:p w14:paraId="2ED2E7E1">
            <w:pPr>
              <w:pStyle w:val="24"/>
              <w:jc w:val="left"/>
              <w:rPr>
                <w:rFonts w:asciiTheme="minorEastAsia" w:hAnsiTheme="minorEastAsia" w:eastAsiaTheme="minorEastAsia"/>
                <w:szCs w:val="21"/>
              </w:rPr>
            </w:pPr>
            <w:r>
              <w:rPr>
                <w:rFonts w:hint="eastAsia" w:asciiTheme="minorEastAsia" w:hAnsiTheme="minorEastAsia" w:eastAsiaTheme="minorEastAsia"/>
                <w:szCs w:val="21"/>
              </w:rPr>
              <w:t>磋商保证金缴纳形式：以非现金形式的电子保函缴纳或以电汇、网银等支付方式缴纳至采购代理机构指定账户。</w:t>
            </w:r>
          </w:p>
          <w:p w14:paraId="1D378078">
            <w:pPr>
              <w:pStyle w:val="24"/>
              <w:jc w:val="left"/>
              <w:rPr>
                <w:rFonts w:asciiTheme="minorEastAsia" w:hAnsiTheme="minorEastAsia" w:eastAsiaTheme="minorEastAsia"/>
                <w:b/>
                <w:szCs w:val="21"/>
              </w:rPr>
            </w:pPr>
            <w:r>
              <w:rPr>
                <w:rFonts w:hint="eastAsia" w:asciiTheme="minorEastAsia" w:hAnsiTheme="minorEastAsia" w:eastAsiaTheme="minorEastAsia"/>
                <w:b/>
                <w:szCs w:val="21"/>
              </w:rPr>
              <w:t>1、电汇、网银转账须知：缴纳时需在附加信息及用途栏内注明磋商保证金、项目名称（简称）；磋商</w:t>
            </w:r>
            <w:r>
              <w:rPr>
                <w:rFonts w:asciiTheme="minorEastAsia" w:hAnsiTheme="minorEastAsia" w:eastAsiaTheme="minorEastAsia"/>
                <w:b/>
                <w:szCs w:val="21"/>
              </w:rPr>
              <w:t>保证金于</w:t>
            </w:r>
            <w:r>
              <w:rPr>
                <w:rFonts w:hint="eastAsia" w:asciiTheme="minorEastAsia" w:hAnsiTheme="minorEastAsia" w:eastAsiaTheme="minorEastAsia"/>
                <w:b/>
                <w:szCs w:val="21"/>
              </w:rPr>
              <w:t>响应文件递交</w:t>
            </w:r>
            <w:r>
              <w:rPr>
                <w:rFonts w:asciiTheme="minorEastAsia" w:hAnsiTheme="minorEastAsia" w:eastAsiaTheme="minorEastAsia"/>
                <w:b/>
                <w:szCs w:val="21"/>
              </w:rPr>
              <w:t>截止时间前确认到账</w:t>
            </w:r>
            <w:r>
              <w:rPr>
                <w:rFonts w:hint="eastAsia" w:asciiTheme="minorEastAsia" w:hAnsiTheme="minorEastAsia" w:eastAsiaTheme="minorEastAsia"/>
                <w:b/>
                <w:szCs w:val="21"/>
              </w:rPr>
              <w:t>（供应商</w:t>
            </w:r>
            <w:r>
              <w:rPr>
                <w:rFonts w:asciiTheme="minorEastAsia" w:hAnsiTheme="minorEastAsia" w:eastAsiaTheme="minorEastAsia"/>
                <w:b/>
                <w:szCs w:val="21"/>
              </w:rPr>
              <w:t>需自行评估因异地、跨行、公休日等因素造成的</w:t>
            </w:r>
            <w:r>
              <w:rPr>
                <w:rFonts w:hint="eastAsia" w:asciiTheme="minorEastAsia" w:hAnsiTheme="minorEastAsia" w:eastAsiaTheme="minorEastAsia"/>
                <w:b/>
                <w:szCs w:val="21"/>
              </w:rPr>
              <w:t>磋商</w:t>
            </w:r>
            <w:r>
              <w:rPr>
                <w:rFonts w:asciiTheme="minorEastAsia" w:hAnsiTheme="minorEastAsia" w:eastAsiaTheme="minorEastAsia"/>
                <w:b/>
                <w:szCs w:val="21"/>
              </w:rPr>
              <w:t>保证金到账延迟风险，并承担相应责任。</w:t>
            </w:r>
            <w:r>
              <w:rPr>
                <w:rFonts w:hint="eastAsia" w:asciiTheme="minorEastAsia" w:hAnsiTheme="minorEastAsia" w:eastAsiaTheme="minorEastAsia"/>
                <w:b/>
                <w:szCs w:val="21"/>
              </w:rPr>
              <w:t>）</w:t>
            </w:r>
          </w:p>
          <w:p w14:paraId="1D551144">
            <w:pPr>
              <w:pStyle w:val="24"/>
              <w:jc w:val="left"/>
              <w:rPr>
                <w:rFonts w:asciiTheme="minorEastAsia" w:hAnsiTheme="minorEastAsia" w:eastAsiaTheme="minorEastAsia"/>
                <w:b/>
                <w:szCs w:val="21"/>
              </w:rPr>
            </w:pPr>
            <w:r>
              <w:rPr>
                <w:rFonts w:hint="eastAsia" w:asciiTheme="minorEastAsia" w:hAnsiTheme="minorEastAsia" w:eastAsiaTheme="minorEastAsia"/>
                <w:b/>
                <w:szCs w:val="21"/>
              </w:rPr>
              <w:t>2</w:t>
            </w:r>
            <w:r>
              <w:rPr>
                <w:rFonts w:asciiTheme="minorEastAsia" w:hAnsiTheme="minorEastAsia" w:eastAsiaTheme="minorEastAsia"/>
                <w:b/>
                <w:szCs w:val="21"/>
              </w:rPr>
              <w:t>、政采云电子保函须知</w:t>
            </w:r>
            <w:r>
              <w:rPr>
                <w:rFonts w:hint="eastAsia" w:asciiTheme="minorEastAsia" w:hAnsiTheme="minorEastAsia" w:eastAsiaTheme="minorEastAsia"/>
                <w:b/>
                <w:szCs w:val="21"/>
              </w:rPr>
              <w:t>：</w:t>
            </w:r>
          </w:p>
          <w:p w14:paraId="1F696409">
            <w:pPr>
              <w:pStyle w:val="24"/>
              <w:jc w:val="left"/>
              <w:rPr>
                <w:rFonts w:asciiTheme="minorEastAsia" w:hAnsiTheme="minorEastAsia" w:eastAsiaTheme="minorEastAsia"/>
                <w:b/>
                <w:szCs w:val="21"/>
              </w:rPr>
            </w:pPr>
            <w:r>
              <w:rPr>
                <w:rFonts w:hint="eastAsia" w:asciiTheme="minorEastAsia" w:hAnsiTheme="minorEastAsia" w:eastAsiaTheme="minorEastAsia"/>
                <w:b/>
                <w:szCs w:val="21"/>
              </w:rPr>
              <w:t>(1)本项目推荐使用政采云电子保函形式缴纳磋商保证金，在线完成保函的申请、审核、开票、出函等环节；</w:t>
            </w:r>
          </w:p>
          <w:p w14:paraId="4A8395B9">
            <w:pPr>
              <w:pStyle w:val="24"/>
              <w:jc w:val="left"/>
              <w:rPr>
                <w:rFonts w:asciiTheme="minorEastAsia" w:hAnsiTheme="minorEastAsia" w:eastAsiaTheme="minorEastAsia"/>
                <w:b/>
                <w:szCs w:val="21"/>
              </w:rPr>
            </w:pPr>
            <w:r>
              <w:rPr>
                <w:rFonts w:hint="eastAsia" w:asciiTheme="minorEastAsia" w:hAnsiTheme="minorEastAsia" w:eastAsiaTheme="minorEastAsia"/>
                <w:b/>
                <w:szCs w:val="21"/>
              </w:rPr>
              <w:t>(2)如采用政采云电子保函形式，可按照以下形式进行在线申请，电子保函申请链接</w:t>
            </w:r>
            <w:r>
              <w:rPr>
                <w:rFonts w:asciiTheme="minorEastAsia" w:hAnsiTheme="minorEastAsia" w:eastAsiaTheme="minorEastAsia"/>
                <w:b/>
                <w:szCs w:val="21"/>
              </w:rPr>
              <w:t>（</w:t>
            </w:r>
            <w:r>
              <w:rPr>
                <w:rFonts w:hint="eastAsia" w:asciiTheme="minorEastAsia" w:hAnsiTheme="minorEastAsia" w:eastAsiaTheme="minorEastAsia"/>
                <w:b/>
                <w:szCs w:val="21"/>
              </w:rPr>
              <w:t>https://jinrong.zcygov.cn/finance/letter/produc</w:t>
            </w:r>
          </w:p>
          <w:p w14:paraId="0604291C">
            <w:pPr>
              <w:pStyle w:val="24"/>
              <w:jc w:val="left"/>
              <w:rPr>
                <w:rFonts w:asciiTheme="minorEastAsia" w:hAnsiTheme="minorEastAsia" w:eastAsiaTheme="minorEastAsia"/>
                <w:b/>
                <w:szCs w:val="21"/>
              </w:rPr>
            </w:pPr>
            <w:r>
              <w:rPr>
                <w:rFonts w:hint="eastAsia" w:asciiTheme="minorEastAsia" w:hAnsiTheme="minorEastAsia" w:eastAsiaTheme="minorEastAsia"/>
                <w:b/>
                <w:szCs w:val="21"/>
              </w:rPr>
              <w:t>t/detail?id=30&amp;source=41</w:t>
            </w:r>
            <w:r>
              <w:rPr>
                <w:rFonts w:asciiTheme="minorEastAsia" w:hAnsiTheme="minorEastAsia" w:eastAsiaTheme="minorEastAsia"/>
                <w:b/>
                <w:szCs w:val="21"/>
              </w:rPr>
              <w:t>）</w:t>
            </w:r>
            <w:r>
              <w:rPr>
                <w:rFonts w:hint="eastAsia" w:asciiTheme="minorEastAsia" w:hAnsiTheme="minorEastAsia" w:eastAsiaTheme="minorEastAsia"/>
                <w:b/>
                <w:szCs w:val="21"/>
              </w:rPr>
              <w:t>，如遇问题可拨打客服电话：95763</w:t>
            </w:r>
          </w:p>
          <w:p w14:paraId="6EEAA8AF">
            <w:pPr>
              <w:pStyle w:val="24"/>
              <w:jc w:val="left"/>
              <w:rPr>
                <w:rFonts w:cs="宋体" w:asciiTheme="minorEastAsia" w:hAnsiTheme="minorEastAsia" w:eastAsiaTheme="minorEastAsia"/>
                <w:bCs/>
                <w:szCs w:val="21"/>
              </w:rPr>
            </w:pPr>
            <w:r>
              <w:rPr>
                <w:rFonts w:asciiTheme="minorEastAsia" w:hAnsiTheme="minorEastAsia" w:eastAsiaTheme="minorEastAsia"/>
                <w:b/>
                <w:szCs w:val="21"/>
              </w:rPr>
              <w:t>若</w:t>
            </w:r>
            <w:r>
              <w:rPr>
                <w:rFonts w:hint="eastAsia" w:asciiTheme="minorEastAsia" w:hAnsiTheme="minorEastAsia" w:eastAsiaTheme="minorEastAsia"/>
                <w:b/>
                <w:szCs w:val="21"/>
              </w:rPr>
              <w:t>供应商</w:t>
            </w:r>
            <w:r>
              <w:rPr>
                <w:rFonts w:asciiTheme="minorEastAsia" w:hAnsiTheme="minorEastAsia" w:eastAsiaTheme="minorEastAsia"/>
                <w:b/>
                <w:szCs w:val="21"/>
              </w:rPr>
              <w:t>未按照上述缴纳</w:t>
            </w:r>
            <w:r>
              <w:rPr>
                <w:rFonts w:hint="eastAsia" w:asciiTheme="minorEastAsia" w:hAnsiTheme="minorEastAsia" w:eastAsiaTheme="minorEastAsia"/>
                <w:b/>
                <w:szCs w:val="21"/>
              </w:rPr>
              <w:t>磋商</w:t>
            </w:r>
            <w:r>
              <w:rPr>
                <w:rFonts w:asciiTheme="minorEastAsia" w:hAnsiTheme="minorEastAsia" w:eastAsiaTheme="minorEastAsia"/>
                <w:b/>
                <w:szCs w:val="21"/>
              </w:rPr>
              <w:t>保证金,</w:t>
            </w:r>
            <w:r>
              <w:rPr>
                <w:rFonts w:hint="eastAsia" w:asciiTheme="minorEastAsia" w:hAnsiTheme="minorEastAsia" w:eastAsiaTheme="minorEastAsia"/>
                <w:b/>
                <w:szCs w:val="21"/>
              </w:rPr>
              <w:t>响应</w:t>
            </w:r>
            <w:r>
              <w:rPr>
                <w:rFonts w:asciiTheme="minorEastAsia" w:hAnsiTheme="minorEastAsia" w:eastAsiaTheme="minorEastAsia"/>
                <w:b/>
                <w:szCs w:val="21"/>
              </w:rPr>
              <w:t>文件将被拒绝评审。</w:t>
            </w:r>
          </w:p>
        </w:tc>
      </w:tr>
      <w:tr w14:paraId="2DA126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jc w:val="center"/>
        </w:trPr>
        <w:tc>
          <w:tcPr>
            <w:tcW w:w="671" w:type="dxa"/>
            <w:vAlign w:val="center"/>
          </w:tcPr>
          <w:p w14:paraId="67DF4D6E">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8</w:t>
            </w:r>
          </w:p>
        </w:tc>
        <w:tc>
          <w:tcPr>
            <w:tcW w:w="1847" w:type="dxa"/>
            <w:vAlign w:val="center"/>
          </w:tcPr>
          <w:p w14:paraId="24FDEF63">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现场踏勘</w:t>
            </w:r>
          </w:p>
        </w:tc>
        <w:tc>
          <w:tcPr>
            <w:tcW w:w="7493" w:type="dxa"/>
            <w:vAlign w:val="center"/>
          </w:tcPr>
          <w:p w14:paraId="4C17B694">
            <w:pPr>
              <w:rPr>
                <w:rFonts w:cs="宋体" w:asciiTheme="minorEastAsia" w:hAnsiTheme="minorEastAsia" w:eastAsiaTheme="minorEastAsia"/>
                <w:szCs w:val="21"/>
              </w:rPr>
            </w:pPr>
            <w:r>
              <w:rPr>
                <w:rFonts w:hint="eastAsia" w:cs="宋体" w:asciiTheme="minorEastAsia" w:hAnsiTheme="minorEastAsia" w:eastAsiaTheme="minorEastAsia"/>
                <w:szCs w:val="21"/>
              </w:rPr>
              <w:t>不组织</w:t>
            </w:r>
          </w:p>
        </w:tc>
      </w:tr>
      <w:tr w14:paraId="70A9C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1" w:type="dxa"/>
            <w:vAlign w:val="center"/>
          </w:tcPr>
          <w:p w14:paraId="6EAC148D">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9</w:t>
            </w:r>
          </w:p>
        </w:tc>
        <w:tc>
          <w:tcPr>
            <w:tcW w:w="1847" w:type="dxa"/>
            <w:vAlign w:val="center"/>
          </w:tcPr>
          <w:p w14:paraId="048DFE8D">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采购答疑</w:t>
            </w:r>
          </w:p>
        </w:tc>
        <w:tc>
          <w:tcPr>
            <w:tcW w:w="7493" w:type="dxa"/>
            <w:vAlign w:val="center"/>
          </w:tcPr>
          <w:p w14:paraId="39609FCC">
            <w:pPr>
              <w:ind w:firstLine="315" w:firstLineChars="150"/>
              <w:jc w:val="left"/>
              <w:rPr>
                <w:rFonts w:cs="宋体" w:asciiTheme="minorEastAsia" w:hAnsiTheme="minorEastAsia" w:eastAsiaTheme="minorEastAsia"/>
                <w:bCs/>
                <w:szCs w:val="21"/>
                <w:lang w:val="zh-CN"/>
              </w:rPr>
            </w:pPr>
            <w:r>
              <w:rPr>
                <w:rFonts w:hint="eastAsia" w:cs="宋体" w:asciiTheme="minorEastAsia" w:hAnsiTheme="minorEastAsia" w:eastAsiaTheme="minorEastAsia"/>
                <w:bCs/>
                <w:szCs w:val="21"/>
                <w:lang w:val="zh-CN"/>
              </w:rPr>
              <w:t>对竞争性磋商文件提出质疑的，应当在获取竞争性磋商文件或者竞争性磋商文件公告期限届满之日后一次性提出。</w:t>
            </w:r>
          </w:p>
          <w:p w14:paraId="1B661D9D">
            <w:pPr>
              <w:rPr>
                <w:rFonts w:cs="宋体" w:asciiTheme="minorEastAsia" w:hAnsiTheme="minorEastAsia" w:eastAsiaTheme="minorEastAsia"/>
                <w:bCs/>
                <w:kern w:val="0"/>
                <w:szCs w:val="21"/>
                <w:u w:val="single"/>
              </w:rPr>
            </w:pPr>
            <w:r>
              <w:rPr>
                <w:rFonts w:hint="eastAsia" w:cs="宋体" w:asciiTheme="minorEastAsia" w:hAnsiTheme="minorEastAsia" w:eastAsiaTheme="minorEastAsia"/>
                <w:bCs/>
                <w:szCs w:val="21"/>
                <w:lang w:val="zh-CN"/>
              </w:rPr>
              <w:t xml:space="preserve">   澄清修改内容可能影响竞争性磋商响应文件编制的，应当在响应文件递交截止时间至少5日前，以书面形式通知所有获取竞争性磋商文件的潜在供应商。</w:t>
            </w:r>
          </w:p>
        </w:tc>
      </w:tr>
      <w:tr w14:paraId="0A20F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671" w:type="dxa"/>
            <w:vAlign w:val="center"/>
          </w:tcPr>
          <w:p w14:paraId="459132CC">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10</w:t>
            </w:r>
          </w:p>
        </w:tc>
        <w:tc>
          <w:tcPr>
            <w:tcW w:w="1847" w:type="dxa"/>
            <w:vAlign w:val="center"/>
          </w:tcPr>
          <w:p w14:paraId="7B5D2699">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响应文件份数</w:t>
            </w:r>
          </w:p>
        </w:tc>
        <w:tc>
          <w:tcPr>
            <w:tcW w:w="7493" w:type="dxa"/>
            <w:vAlign w:val="center"/>
          </w:tcPr>
          <w:p w14:paraId="1FC0352B">
            <w:pPr>
              <w:jc w:val="left"/>
              <w:rPr>
                <w:rFonts w:cs="宋体" w:asciiTheme="minorEastAsia" w:hAnsiTheme="minorEastAsia" w:eastAsiaTheme="minorEastAsia"/>
                <w:bCs/>
                <w:szCs w:val="21"/>
                <w:lang w:val="zh-CN"/>
              </w:rPr>
            </w:pPr>
            <w:r>
              <w:rPr>
                <w:rFonts w:hint="eastAsia" w:cs="宋体" w:asciiTheme="minorEastAsia" w:hAnsiTheme="minorEastAsia" w:eastAsiaTheme="minorEastAsia"/>
                <w:bCs/>
                <w:szCs w:val="21"/>
                <w:lang w:val="zh-CN"/>
              </w:rPr>
              <w:t>加密的电子响应文件在响应文件递交截止时间前通过CA在政采云平台上传，加密的电子响应文件为使用政采云电子投标客户端制作生成的加密版响应文件。供应商未按上述要求提供加密的电子响应文件的，将导致投标无效。</w:t>
            </w:r>
          </w:p>
        </w:tc>
      </w:tr>
      <w:tr w14:paraId="2F27E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671" w:type="dxa"/>
            <w:vAlign w:val="center"/>
          </w:tcPr>
          <w:p w14:paraId="2FF89E1A">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11</w:t>
            </w:r>
          </w:p>
        </w:tc>
        <w:tc>
          <w:tcPr>
            <w:tcW w:w="1847" w:type="dxa"/>
            <w:vAlign w:val="center"/>
          </w:tcPr>
          <w:p w14:paraId="7F3920FA">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响应文件递交</w:t>
            </w:r>
          </w:p>
        </w:tc>
        <w:tc>
          <w:tcPr>
            <w:tcW w:w="7493" w:type="dxa"/>
            <w:vAlign w:val="center"/>
          </w:tcPr>
          <w:p w14:paraId="3FB86250">
            <w:pPr>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截止时间：</w:t>
            </w:r>
            <w:r>
              <w:rPr>
                <w:rFonts w:hint="eastAsia" w:cs="宋体" w:asciiTheme="minorEastAsia" w:hAnsiTheme="minorEastAsia" w:eastAsiaTheme="minorEastAsia"/>
                <w:color w:val="000000" w:themeColor="text1"/>
                <w:szCs w:val="21"/>
                <w:u w:val="single"/>
                <w14:textFill>
                  <w14:solidFill>
                    <w14:schemeClr w14:val="tx1"/>
                  </w14:solidFill>
                </w14:textFill>
              </w:rPr>
              <w:t>202</w:t>
            </w:r>
            <w:r>
              <w:rPr>
                <w:rFonts w:hint="eastAsia" w:cs="宋体" w:asciiTheme="minorEastAsia" w:hAnsiTheme="minorEastAsia" w:eastAsiaTheme="minorEastAsia"/>
                <w:color w:val="000000" w:themeColor="text1"/>
                <w:szCs w:val="21"/>
                <w:u w:val="single"/>
                <w:lang w:val="en-US" w:eastAsia="zh-CN"/>
                <w14:textFill>
                  <w14:solidFill>
                    <w14:schemeClr w14:val="tx1"/>
                  </w14:solidFill>
                </w14:textFill>
              </w:rPr>
              <w:t>5</w:t>
            </w:r>
            <w:r>
              <w:rPr>
                <w:rFonts w:hint="eastAsia" w:cs="宋体" w:asciiTheme="minorEastAsia" w:hAnsiTheme="minorEastAsia" w:eastAsiaTheme="minorEastAsia"/>
                <w:color w:val="000000" w:themeColor="text1"/>
                <w:szCs w:val="21"/>
                <w:u w:val="single"/>
                <w14:textFill>
                  <w14:solidFill>
                    <w14:schemeClr w14:val="tx1"/>
                  </w14:solidFill>
                </w14:textFill>
              </w:rPr>
              <w:t xml:space="preserve"> 年 </w:t>
            </w:r>
            <w:r>
              <w:rPr>
                <w:rFonts w:hint="eastAsia" w:cs="宋体" w:asciiTheme="minorEastAsia" w:hAnsiTheme="minorEastAsia" w:eastAsiaTheme="minorEastAsia"/>
                <w:color w:val="000000" w:themeColor="text1"/>
                <w:szCs w:val="21"/>
                <w:u w:val="single"/>
                <w:lang w:val="en-US" w:eastAsia="zh-CN"/>
                <w14:textFill>
                  <w14:solidFill>
                    <w14:schemeClr w14:val="tx1"/>
                  </w14:solidFill>
                </w14:textFill>
              </w:rPr>
              <w:t>04</w:t>
            </w:r>
            <w:r>
              <w:rPr>
                <w:rFonts w:hint="eastAsia" w:cs="宋体" w:asciiTheme="minorEastAsia" w:hAnsiTheme="minorEastAsia" w:eastAsiaTheme="minorEastAsia"/>
                <w:color w:val="000000" w:themeColor="text1"/>
                <w:szCs w:val="21"/>
                <w:u w:val="single"/>
                <w14:textFill>
                  <w14:solidFill>
                    <w14:schemeClr w14:val="tx1"/>
                  </w14:solidFill>
                </w14:textFill>
              </w:rPr>
              <w:t xml:space="preserve"> 月 </w:t>
            </w:r>
            <w:r>
              <w:rPr>
                <w:rFonts w:hint="eastAsia" w:cs="宋体" w:asciiTheme="minorEastAsia" w:hAnsiTheme="minorEastAsia" w:eastAsiaTheme="minorEastAsia"/>
                <w:color w:val="000000" w:themeColor="text1"/>
                <w:szCs w:val="21"/>
                <w:u w:val="single"/>
                <w:lang w:val="en-US" w:eastAsia="zh-CN"/>
                <w14:textFill>
                  <w14:solidFill>
                    <w14:schemeClr w14:val="tx1"/>
                  </w14:solidFill>
                </w14:textFill>
              </w:rPr>
              <w:t>07</w:t>
            </w:r>
            <w:r>
              <w:rPr>
                <w:rFonts w:hint="eastAsia" w:cs="宋体" w:asciiTheme="minorEastAsia" w:hAnsiTheme="minorEastAsia" w:eastAsiaTheme="minorEastAsia"/>
                <w:color w:val="000000" w:themeColor="text1"/>
                <w:szCs w:val="21"/>
                <w:u w:val="single"/>
                <w14:textFill>
                  <w14:solidFill>
                    <w14:schemeClr w14:val="tx1"/>
                  </w14:solidFill>
                </w14:textFill>
              </w:rPr>
              <w:t xml:space="preserve"> 日1</w:t>
            </w:r>
            <w:r>
              <w:rPr>
                <w:rFonts w:hint="eastAsia" w:cs="宋体" w:asciiTheme="minorEastAsia" w:hAnsiTheme="minorEastAsia" w:eastAsiaTheme="minorEastAsia"/>
                <w:color w:val="000000" w:themeColor="text1"/>
                <w:szCs w:val="21"/>
                <w:u w:val="single"/>
                <w:lang w:val="en-US" w:eastAsia="zh-CN"/>
                <w14:textFill>
                  <w14:solidFill>
                    <w14:schemeClr w14:val="tx1"/>
                  </w14:solidFill>
                </w14:textFill>
              </w:rPr>
              <w:t>1</w:t>
            </w:r>
            <w:r>
              <w:rPr>
                <w:rFonts w:hint="eastAsia" w:cs="宋体" w:asciiTheme="minorEastAsia" w:hAnsiTheme="minorEastAsia" w:eastAsiaTheme="minorEastAsia"/>
                <w:color w:val="000000" w:themeColor="text1"/>
                <w:szCs w:val="21"/>
                <w:u w:val="single"/>
                <w14:textFill>
                  <w14:solidFill>
                    <w14:schemeClr w14:val="tx1"/>
                  </w14:solidFill>
                </w14:textFill>
              </w:rPr>
              <w:t>:00（北京时间）</w:t>
            </w:r>
          </w:p>
          <w:p w14:paraId="6CCAFCC0">
            <w:pPr>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递交地点：</w:t>
            </w:r>
            <w:r>
              <w:rPr>
                <w:rFonts w:cs="宋体" w:asciiTheme="minorEastAsia" w:hAnsiTheme="minorEastAsia" w:eastAsiaTheme="minorEastAsia"/>
                <w:b/>
                <w:bCs/>
                <w:color w:val="000000" w:themeColor="text1"/>
                <w:szCs w:val="21"/>
                <w:lang w:val="zh-CN"/>
                <w14:textFill>
                  <w14:solidFill>
                    <w14:schemeClr w14:val="tx1"/>
                  </w14:solidFill>
                </w14:textFill>
              </w:rPr>
              <w:t>将响应文件上传至政采云平台</w:t>
            </w:r>
            <w:r>
              <w:rPr>
                <w:rFonts w:cs="宋体" w:asciiTheme="minorEastAsia" w:hAnsiTheme="minorEastAsia" w:eastAsiaTheme="minorEastAsia"/>
                <w:b/>
                <w:bCs/>
                <w:color w:val="000000" w:themeColor="text1"/>
                <w:szCs w:val="21"/>
                <w14:textFill>
                  <w14:solidFill>
                    <w14:schemeClr w14:val="tx1"/>
                  </w14:solidFill>
                </w14:textFill>
              </w:rPr>
              <w:t>https://www.zcygov.cn/</w:t>
            </w:r>
            <w:r>
              <w:rPr>
                <w:rFonts w:cs="宋体" w:asciiTheme="minorEastAsia" w:hAnsiTheme="minorEastAsia" w:eastAsiaTheme="minorEastAsia"/>
                <w:b/>
                <w:bCs/>
                <w:color w:val="000000" w:themeColor="text1"/>
                <w:szCs w:val="21"/>
                <w:lang w:val="zh-CN"/>
                <w14:textFill>
                  <w14:solidFill>
                    <w14:schemeClr w14:val="tx1"/>
                  </w14:solidFill>
                </w14:textFill>
              </w:rPr>
              <w:t>对应位置</w:t>
            </w:r>
            <w:r>
              <w:rPr>
                <w:rFonts w:cs="宋体" w:asciiTheme="minorEastAsia" w:hAnsiTheme="minorEastAsia" w:eastAsiaTheme="minorEastAsia"/>
                <w:b/>
                <w:bCs/>
                <w:color w:val="000000" w:themeColor="text1"/>
                <w:szCs w:val="21"/>
                <w14:textFill>
                  <w14:solidFill>
                    <w14:schemeClr w14:val="tx1"/>
                  </w14:solidFill>
                </w14:textFill>
              </w:rPr>
              <w:t>（</w:t>
            </w:r>
            <w:r>
              <w:rPr>
                <w:rFonts w:cs="宋体" w:asciiTheme="minorEastAsia" w:hAnsiTheme="minorEastAsia" w:eastAsiaTheme="minorEastAsia"/>
                <w:b/>
                <w:bCs/>
                <w:color w:val="000000" w:themeColor="text1"/>
                <w:szCs w:val="21"/>
                <w:lang w:val="zh-CN"/>
                <w14:textFill>
                  <w14:solidFill>
                    <w14:schemeClr w14:val="tx1"/>
                  </w14:solidFill>
                </w14:textFill>
              </w:rPr>
              <w:t>逾期未上传的或不符合规定的响应文件将被拒绝接收</w:t>
            </w:r>
            <w:r>
              <w:rPr>
                <w:rFonts w:cs="宋体" w:asciiTheme="minorEastAsia" w:hAnsiTheme="minorEastAsia" w:eastAsiaTheme="minorEastAsia"/>
                <w:b/>
                <w:bCs/>
                <w:color w:val="000000" w:themeColor="text1"/>
                <w:szCs w:val="21"/>
                <w14:textFill>
                  <w14:solidFill>
                    <w14:schemeClr w14:val="tx1"/>
                  </w14:solidFill>
                </w14:textFill>
              </w:rPr>
              <w:t>）</w:t>
            </w:r>
            <w:r>
              <w:rPr>
                <w:rFonts w:cs="宋体" w:asciiTheme="minorEastAsia" w:hAnsiTheme="minorEastAsia" w:eastAsiaTheme="minorEastAsia"/>
                <w:b/>
                <w:bCs/>
                <w:color w:val="000000" w:themeColor="text1"/>
                <w:szCs w:val="21"/>
                <w:lang w:val="zh-CN"/>
                <w14:textFill>
                  <w14:solidFill>
                    <w14:schemeClr w14:val="tx1"/>
                  </w14:solidFill>
                </w14:textFill>
              </w:rPr>
              <w:t>。</w:t>
            </w:r>
          </w:p>
        </w:tc>
      </w:tr>
      <w:tr w14:paraId="12E9B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671" w:type="dxa"/>
            <w:vAlign w:val="center"/>
          </w:tcPr>
          <w:p w14:paraId="0DC6E28B">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12</w:t>
            </w:r>
          </w:p>
        </w:tc>
        <w:tc>
          <w:tcPr>
            <w:tcW w:w="1847" w:type="dxa"/>
            <w:vAlign w:val="center"/>
          </w:tcPr>
          <w:p w14:paraId="19DE0674">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开标</w:t>
            </w:r>
          </w:p>
        </w:tc>
        <w:tc>
          <w:tcPr>
            <w:tcW w:w="7493" w:type="dxa"/>
            <w:vAlign w:val="center"/>
          </w:tcPr>
          <w:p w14:paraId="76CAAD1B">
            <w:pPr>
              <w:rPr>
                <w:rFonts w:cs="宋体" w:asciiTheme="minorEastAsia" w:hAnsiTheme="minorEastAsia" w:eastAsiaTheme="minorEastAsia"/>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时间：</w:t>
            </w:r>
            <w:bookmarkStart w:id="745" w:name="_GoBack"/>
            <w:r>
              <w:rPr>
                <w:rFonts w:hint="eastAsia" w:cs="宋体" w:asciiTheme="minorEastAsia" w:hAnsiTheme="minorEastAsia" w:eastAsiaTheme="minorEastAsia"/>
                <w:color w:val="000000" w:themeColor="text1"/>
                <w:szCs w:val="21"/>
                <w:u w:val="single"/>
                <w14:textFill>
                  <w14:solidFill>
                    <w14:schemeClr w14:val="tx1"/>
                  </w14:solidFill>
                </w14:textFill>
              </w:rPr>
              <w:t>202</w:t>
            </w:r>
            <w:r>
              <w:rPr>
                <w:rFonts w:hint="eastAsia" w:cs="宋体" w:asciiTheme="minorEastAsia" w:hAnsiTheme="minorEastAsia" w:eastAsiaTheme="minorEastAsia"/>
                <w:color w:val="000000" w:themeColor="text1"/>
                <w:szCs w:val="21"/>
                <w:u w:val="single"/>
                <w:lang w:val="en-US" w:eastAsia="zh-CN"/>
                <w14:textFill>
                  <w14:solidFill>
                    <w14:schemeClr w14:val="tx1"/>
                  </w14:solidFill>
                </w14:textFill>
              </w:rPr>
              <w:t>5</w:t>
            </w:r>
            <w:r>
              <w:rPr>
                <w:rFonts w:hint="eastAsia" w:cs="宋体" w:asciiTheme="minorEastAsia" w:hAnsiTheme="minorEastAsia" w:eastAsiaTheme="minorEastAsia"/>
                <w:color w:val="000000" w:themeColor="text1"/>
                <w:szCs w:val="21"/>
                <w:u w:val="single"/>
                <w14:textFill>
                  <w14:solidFill>
                    <w14:schemeClr w14:val="tx1"/>
                  </w14:solidFill>
                </w14:textFill>
              </w:rPr>
              <w:t xml:space="preserve"> 年 </w:t>
            </w:r>
            <w:r>
              <w:rPr>
                <w:rFonts w:hint="eastAsia" w:cs="宋体" w:asciiTheme="minorEastAsia" w:hAnsiTheme="minorEastAsia" w:eastAsiaTheme="minorEastAsia"/>
                <w:color w:val="000000" w:themeColor="text1"/>
                <w:szCs w:val="21"/>
                <w:u w:val="single"/>
                <w:lang w:val="en-US" w:eastAsia="zh-CN"/>
                <w14:textFill>
                  <w14:solidFill>
                    <w14:schemeClr w14:val="tx1"/>
                  </w14:solidFill>
                </w14:textFill>
              </w:rPr>
              <w:t>04</w:t>
            </w:r>
            <w:r>
              <w:rPr>
                <w:rFonts w:hint="eastAsia" w:cs="宋体" w:asciiTheme="minorEastAsia" w:hAnsiTheme="minorEastAsia" w:eastAsiaTheme="minorEastAsia"/>
                <w:color w:val="000000" w:themeColor="text1"/>
                <w:szCs w:val="21"/>
                <w:u w:val="single"/>
                <w14:textFill>
                  <w14:solidFill>
                    <w14:schemeClr w14:val="tx1"/>
                  </w14:solidFill>
                </w14:textFill>
              </w:rPr>
              <w:t xml:space="preserve"> 月 </w:t>
            </w:r>
            <w:r>
              <w:rPr>
                <w:rFonts w:hint="eastAsia" w:cs="宋体" w:asciiTheme="minorEastAsia" w:hAnsiTheme="minorEastAsia" w:eastAsiaTheme="minorEastAsia"/>
                <w:color w:val="000000" w:themeColor="text1"/>
                <w:szCs w:val="21"/>
                <w:u w:val="single"/>
                <w:lang w:val="en-US" w:eastAsia="zh-CN"/>
                <w14:textFill>
                  <w14:solidFill>
                    <w14:schemeClr w14:val="tx1"/>
                  </w14:solidFill>
                </w14:textFill>
              </w:rPr>
              <w:t>07</w:t>
            </w:r>
            <w:r>
              <w:rPr>
                <w:rFonts w:hint="eastAsia" w:cs="宋体" w:asciiTheme="minorEastAsia" w:hAnsiTheme="minorEastAsia" w:eastAsiaTheme="minorEastAsia"/>
                <w:color w:val="000000" w:themeColor="text1"/>
                <w:szCs w:val="21"/>
                <w:u w:val="single"/>
                <w14:textFill>
                  <w14:solidFill>
                    <w14:schemeClr w14:val="tx1"/>
                  </w14:solidFill>
                </w14:textFill>
              </w:rPr>
              <w:t xml:space="preserve"> 日1</w:t>
            </w:r>
            <w:r>
              <w:rPr>
                <w:rFonts w:hint="eastAsia" w:cs="宋体" w:asciiTheme="minorEastAsia" w:hAnsiTheme="minorEastAsia" w:eastAsiaTheme="minorEastAsia"/>
                <w:color w:val="000000" w:themeColor="text1"/>
                <w:szCs w:val="21"/>
                <w:u w:val="single"/>
                <w:lang w:val="en-US" w:eastAsia="zh-CN"/>
                <w14:textFill>
                  <w14:solidFill>
                    <w14:schemeClr w14:val="tx1"/>
                  </w14:solidFill>
                </w14:textFill>
              </w:rPr>
              <w:t>1</w:t>
            </w:r>
            <w:r>
              <w:rPr>
                <w:rFonts w:hint="eastAsia" w:cs="宋体" w:asciiTheme="minorEastAsia" w:hAnsiTheme="minorEastAsia" w:eastAsiaTheme="minorEastAsia"/>
                <w:color w:val="000000" w:themeColor="text1"/>
                <w:szCs w:val="21"/>
                <w:u w:val="single"/>
                <w14:textFill>
                  <w14:solidFill>
                    <w14:schemeClr w14:val="tx1"/>
                  </w14:solidFill>
                </w14:textFill>
              </w:rPr>
              <w:t>:00（北京时间）</w:t>
            </w:r>
            <w:bookmarkEnd w:id="745"/>
          </w:p>
          <w:p w14:paraId="2E074A25">
            <w:pPr>
              <w:rPr>
                <w:rFonts w:cs="宋体" w:asciiTheme="minorEastAsia" w:hAnsiTheme="minorEastAsia" w:eastAsiaTheme="minorEastAsia"/>
                <w:b/>
                <w:color w:val="000000" w:themeColor="text1"/>
                <w:szCs w:val="21"/>
                <w14:textFill>
                  <w14:solidFill>
                    <w14:schemeClr w14:val="tx1"/>
                  </w14:solidFill>
                </w14:textFill>
              </w:rPr>
            </w:pPr>
            <w:r>
              <w:rPr>
                <w:rFonts w:hint="eastAsia" w:cs="宋体" w:asciiTheme="minorEastAsia" w:hAnsiTheme="minorEastAsia" w:eastAsiaTheme="minorEastAsia"/>
                <w:color w:val="000000" w:themeColor="text1"/>
                <w:szCs w:val="21"/>
                <w14:textFill>
                  <w14:solidFill>
                    <w14:schemeClr w14:val="tx1"/>
                  </w14:solidFill>
                </w14:textFill>
              </w:rPr>
              <w:t>地点：</w:t>
            </w:r>
            <w:r>
              <w:rPr>
                <w:rFonts w:hint="eastAsia" w:cs="宋体" w:asciiTheme="minorEastAsia" w:hAnsiTheme="minorEastAsia" w:eastAsiaTheme="minorEastAsia"/>
                <w:b/>
                <w:bCs/>
                <w:color w:val="000000" w:themeColor="text1"/>
                <w:szCs w:val="21"/>
                <w:lang w:val="zh-CN"/>
                <w14:textFill>
                  <w14:solidFill>
                    <w14:schemeClr w14:val="tx1"/>
                  </w14:solidFill>
                </w14:textFill>
              </w:rPr>
              <w:t>政采云平台 https://www.zcygov.cn/不见面开标大厅，供应商登录政采云平台，进入“项目采购-开标评标-右边选择对应项目点击“进入项目”进入开标大厅。</w:t>
            </w:r>
          </w:p>
          <w:p w14:paraId="7C405FA1">
            <w:pPr>
              <w:pStyle w:val="274"/>
              <w:rPr>
                <w:rFonts w:cs="Arial" w:asciiTheme="minorEastAsia" w:hAnsiTheme="minorEastAsia" w:eastAsiaTheme="minorEastAsia"/>
                <w:color w:val="000000" w:themeColor="text1"/>
                <w:sz w:val="21"/>
                <w:szCs w:val="21"/>
                <w:lang w:eastAsia="zh-CN"/>
                <w14:textFill>
                  <w14:solidFill>
                    <w14:schemeClr w14:val="tx1"/>
                  </w14:solidFill>
                </w14:textFill>
              </w:rPr>
            </w:pPr>
            <w:r>
              <w:rPr>
                <w:rFonts w:hint="eastAsia" w:cs="Arial" w:asciiTheme="minorEastAsia" w:hAnsiTheme="minorEastAsia" w:eastAsiaTheme="minorEastAsia"/>
                <w:color w:val="000000" w:themeColor="text1"/>
                <w:sz w:val="21"/>
                <w:szCs w:val="21"/>
                <w:lang w:eastAsia="zh-CN"/>
                <w14:textFill>
                  <w14:solidFill>
                    <w14:schemeClr w14:val="tx1"/>
                  </w14:solidFill>
                </w14:textFill>
              </w:rPr>
              <w:t>说明：</w:t>
            </w:r>
          </w:p>
          <w:p w14:paraId="3F0A69E4">
            <w:pPr>
              <w:pStyle w:val="274"/>
              <w:rPr>
                <w:rFonts w:cs="Arial" w:asciiTheme="minorEastAsia" w:hAnsiTheme="minorEastAsia" w:eastAsiaTheme="minorEastAsia"/>
                <w:color w:val="000000" w:themeColor="text1"/>
                <w:sz w:val="21"/>
                <w:szCs w:val="21"/>
                <w:lang w:eastAsia="zh-CN"/>
                <w14:textFill>
                  <w14:solidFill>
                    <w14:schemeClr w14:val="tx1"/>
                  </w14:solidFill>
                </w14:textFill>
              </w:rPr>
            </w:pPr>
            <w:r>
              <w:rPr>
                <w:rFonts w:hint="eastAsia" w:cs="Arial" w:asciiTheme="minorEastAsia" w:hAnsiTheme="minorEastAsia" w:eastAsiaTheme="minorEastAsia"/>
                <w:color w:val="000000" w:themeColor="text1"/>
                <w:sz w:val="21"/>
                <w:szCs w:val="21"/>
                <w:lang w:eastAsia="zh-CN"/>
                <w14:textFill>
                  <w14:solidFill>
                    <w14:schemeClr w14:val="tx1"/>
                  </w14:solidFill>
                </w14:textFill>
              </w:rPr>
              <w:t>1、本次采购采用电子交易方式，电子交易平台为“政府采购云平台（www.zcygov.cn）”。供应商参与本项目电子交易活动前，应注册成为政府采购云平台供应商。编制电子响应文件前还需申领CA证书并绑定帐号。供应商应充分考虑完成平台注册、申领CA证书等所需的时间。因未注册入库、未办理CA数字证书等原因造成无法响应或响应失败等后果由供应商自行承担。</w:t>
            </w:r>
          </w:p>
          <w:p w14:paraId="6A2AE7C9">
            <w:pPr>
              <w:pStyle w:val="274"/>
              <w:rPr>
                <w:rFonts w:cs="Arial" w:asciiTheme="minorEastAsia" w:hAnsiTheme="minorEastAsia" w:eastAsiaTheme="minorEastAsia"/>
                <w:color w:val="000000" w:themeColor="text1"/>
                <w:sz w:val="21"/>
                <w:szCs w:val="21"/>
                <w:lang w:eastAsia="zh-CN"/>
                <w14:textFill>
                  <w14:solidFill>
                    <w14:schemeClr w14:val="tx1"/>
                  </w14:solidFill>
                </w14:textFill>
              </w:rPr>
            </w:pPr>
            <w:r>
              <w:rPr>
                <w:rFonts w:hint="eastAsia" w:cs="Arial" w:asciiTheme="minorEastAsia" w:hAnsiTheme="minorEastAsia" w:eastAsiaTheme="minorEastAsia"/>
                <w:color w:val="000000" w:themeColor="text1"/>
                <w:sz w:val="21"/>
                <w:szCs w:val="21"/>
                <w:lang w:eastAsia="zh-CN"/>
                <w14:textFill>
                  <w14:solidFill>
                    <w14:schemeClr w14:val="tx1"/>
                  </w14:solidFill>
                </w14:textFill>
              </w:rPr>
              <w:t>2、供应商须在在提交响应文件截止时间前通过CA在政采云平台上传加密的电子响应文件。供应商在开标时须使用制作加密电子响应文件所使用的CA锁解密，供应商须提前配置好浏览器（建议使用360浏览器或谷歌浏览器），并确保开标期间电脑网络环境畅通，以便开标时解密。本项目解密时间定为30分钟，如因供应商自身原因导致无法正常解密，后果由供应商自行承担。</w:t>
            </w:r>
          </w:p>
          <w:p w14:paraId="3B8ECE5B">
            <w:pPr>
              <w:pStyle w:val="274"/>
              <w:rPr>
                <w:rFonts w:cs="Arial" w:asciiTheme="minorEastAsia" w:hAnsiTheme="minorEastAsia" w:eastAsiaTheme="minorEastAsia"/>
                <w:color w:val="000000" w:themeColor="text1"/>
                <w:sz w:val="21"/>
                <w:szCs w:val="21"/>
                <w:lang w:eastAsia="zh-CN"/>
                <w14:textFill>
                  <w14:solidFill>
                    <w14:schemeClr w14:val="tx1"/>
                  </w14:solidFill>
                </w14:textFill>
              </w:rPr>
            </w:pPr>
            <w:r>
              <w:rPr>
                <w:rFonts w:hint="eastAsia" w:cs="Arial" w:asciiTheme="minorEastAsia" w:hAnsiTheme="minorEastAsia" w:eastAsiaTheme="minorEastAsia"/>
                <w:color w:val="000000" w:themeColor="text1"/>
                <w:sz w:val="21"/>
                <w:szCs w:val="21"/>
                <w:lang w:eastAsia="zh-CN"/>
                <w14:textFill>
                  <w14:solidFill>
                    <w14:schemeClr w14:val="tx1"/>
                  </w14:solidFill>
                </w14:textFill>
              </w:rPr>
              <w:t>3、参与电子投标供应商，“不见面开标”大厅操作提示：①开标前一小时在系统进行在线签到②30分钟内完成在线解密③开标结束后30分钟内完成“开标一览表”在线签章。注意：如未在规定时间进行以上操作，将导致投标（响应）无效。</w:t>
            </w:r>
          </w:p>
          <w:p w14:paraId="64DEE6B8">
            <w:pPr>
              <w:pStyle w:val="274"/>
              <w:rPr>
                <w:rFonts w:cs="Arial" w:asciiTheme="minorEastAsia" w:hAnsiTheme="minorEastAsia" w:eastAsiaTheme="minorEastAsia"/>
                <w:color w:val="000000" w:themeColor="text1"/>
                <w:sz w:val="21"/>
                <w:szCs w:val="21"/>
                <w:lang w:eastAsia="zh-CN"/>
                <w14:textFill>
                  <w14:solidFill>
                    <w14:schemeClr w14:val="tx1"/>
                  </w14:solidFill>
                </w14:textFill>
              </w:rPr>
            </w:pPr>
            <w:r>
              <w:rPr>
                <w:rFonts w:hint="eastAsia" w:cs="Arial" w:asciiTheme="minorEastAsia" w:hAnsiTheme="minorEastAsia" w:eastAsiaTheme="minorEastAsia"/>
                <w:color w:val="000000" w:themeColor="text1"/>
                <w:sz w:val="21"/>
                <w:szCs w:val="21"/>
                <w:lang w:eastAsia="zh-CN"/>
                <w14:textFill>
                  <w14:solidFill>
                    <w14:schemeClr w14:val="tx1"/>
                  </w14:solidFill>
                </w14:textFill>
              </w:rPr>
              <w:t>4、参与竞争性磋商项目供应商，开标结束后，请及时进入“网上报价”页面（详见操作手册），等待最终报价通知。如未在系统提示的报价时限内报价，则视为上一轮报价为最终报价。</w:t>
            </w:r>
          </w:p>
          <w:p w14:paraId="22A40D6F">
            <w:pPr>
              <w:pStyle w:val="274"/>
              <w:rPr>
                <w:color w:val="000000" w:themeColor="text1"/>
                <w:sz w:val="21"/>
                <w:szCs w:val="21"/>
                <w14:textFill>
                  <w14:solidFill>
                    <w14:schemeClr w14:val="tx1"/>
                  </w14:solidFill>
                </w14:textFill>
              </w:rPr>
            </w:pPr>
            <w:r>
              <w:rPr>
                <w:rFonts w:hint="eastAsia" w:cs="Arial" w:asciiTheme="minorEastAsia" w:hAnsiTheme="minorEastAsia" w:eastAsiaTheme="minorEastAsia"/>
                <w:color w:val="000000" w:themeColor="text1"/>
                <w:sz w:val="21"/>
                <w:szCs w:val="21"/>
                <w:lang w:eastAsia="zh-CN"/>
                <w14:textFill>
                  <w14:solidFill>
                    <w14:schemeClr w14:val="tx1"/>
                  </w14:solidFill>
                </w14:textFill>
              </w:rPr>
              <w:t>5、各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tc>
      </w:tr>
      <w:tr w14:paraId="1F764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671" w:type="dxa"/>
            <w:vAlign w:val="center"/>
          </w:tcPr>
          <w:p w14:paraId="295921F9">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13</w:t>
            </w:r>
          </w:p>
        </w:tc>
        <w:tc>
          <w:tcPr>
            <w:tcW w:w="1847" w:type="dxa"/>
            <w:vAlign w:val="center"/>
          </w:tcPr>
          <w:p w14:paraId="3B10AFC8">
            <w:pPr>
              <w:jc w:val="distribute"/>
              <w:rPr>
                <w:rFonts w:cs="宋体" w:asciiTheme="minorEastAsia" w:hAnsiTheme="minorEastAsia" w:eastAsiaTheme="minorEastAsia"/>
                <w:szCs w:val="21"/>
              </w:rPr>
            </w:pPr>
            <w:r>
              <w:rPr>
                <w:rFonts w:hint="eastAsia" w:cs="Arial" w:asciiTheme="minorEastAsia" w:hAnsiTheme="minorEastAsia"/>
                <w:kern w:val="0"/>
                <w:sz w:val="24"/>
                <w:szCs w:val="24"/>
              </w:rPr>
              <w:t>★</w:t>
            </w:r>
            <w:r>
              <w:rPr>
                <w:rFonts w:hint="eastAsia" w:cs="宋体" w:asciiTheme="minorEastAsia" w:hAnsiTheme="minorEastAsia" w:eastAsiaTheme="minorEastAsia"/>
                <w:szCs w:val="21"/>
              </w:rPr>
              <w:t>投标有效期</w:t>
            </w:r>
          </w:p>
        </w:tc>
        <w:tc>
          <w:tcPr>
            <w:tcW w:w="7493" w:type="dxa"/>
            <w:vAlign w:val="center"/>
          </w:tcPr>
          <w:p w14:paraId="1D70D52C">
            <w:pPr>
              <w:rPr>
                <w:rFonts w:asciiTheme="minorEastAsia" w:hAnsiTheme="minorEastAsia" w:eastAsiaTheme="minorEastAsia"/>
                <w:kern w:val="0"/>
                <w:szCs w:val="21"/>
              </w:rPr>
            </w:pPr>
            <w:r>
              <w:rPr>
                <w:rFonts w:hint="eastAsia" w:asciiTheme="minorEastAsia" w:hAnsiTheme="minorEastAsia" w:eastAsiaTheme="minorEastAsia"/>
                <w:kern w:val="0"/>
                <w:szCs w:val="21"/>
              </w:rPr>
              <w:t>投标截止时间后90天</w:t>
            </w:r>
          </w:p>
        </w:tc>
      </w:tr>
      <w:tr w14:paraId="2C4F8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671" w:type="dxa"/>
            <w:vAlign w:val="center"/>
          </w:tcPr>
          <w:p w14:paraId="45E6E713">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14</w:t>
            </w:r>
          </w:p>
        </w:tc>
        <w:tc>
          <w:tcPr>
            <w:tcW w:w="1847" w:type="dxa"/>
            <w:vAlign w:val="center"/>
          </w:tcPr>
          <w:p w14:paraId="14328F59">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招标公告发布媒介</w:t>
            </w:r>
          </w:p>
        </w:tc>
        <w:tc>
          <w:tcPr>
            <w:tcW w:w="7493" w:type="dxa"/>
            <w:vAlign w:val="center"/>
          </w:tcPr>
          <w:p w14:paraId="2671380C">
            <w:pPr>
              <w:rPr>
                <w:rFonts w:asciiTheme="minorEastAsia" w:hAnsiTheme="minorEastAsia" w:eastAsiaTheme="minorEastAsia"/>
                <w:kern w:val="0"/>
                <w:szCs w:val="21"/>
              </w:rPr>
            </w:pPr>
            <w:r>
              <w:rPr>
                <w:rFonts w:hint="eastAsia" w:asciiTheme="minorEastAsia" w:hAnsiTheme="minorEastAsia" w:eastAsiaTheme="minorEastAsia"/>
                <w:kern w:val="0"/>
                <w:szCs w:val="21"/>
              </w:rPr>
              <w:t>新疆政府采购网（</w:t>
            </w:r>
            <w:r>
              <w:rPr>
                <w:rFonts w:asciiTheme="minorEastAsia" w:hAnsiTheme="minorEastAsia" w:eastAsiaTheme="minorEastAsia"/>
                <w:kern w:val="0"/>
                <w:szCs w:val="21"/>
              </w:rPr>
              <w:t>http://www.ccgp-xinjiang.gov.cn/</w:t>
            </w:r>
            <w:r>
              <w:rPr>
                <w:rFonts w:hint="eastAsia" w:asciiTheme="minorEastAsia" w:hAnsiTheme="minorEastAsia" w:eastAsiaTheme="minorEastAsia"/>
                <w:kern w:val="0"/>
                <w:szCs w:val="21"/>
              </w:rPr>
              <w:t>）</w:t>
            </w:r>
          </w:p>
        </w:tc>
      </w:tr>
      <w:tr w14:paraId="3EB915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671" w:type="dxa"/>
            <w:vAlign w:val="center"/>
          </w:tcPr>
          <w:p w14:paraId="599D1835">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15</w:t>
            </w:r>
          </w:p>
        </w:tc>
        <w:tc>
          <w:tcPr>
            <w:tcW w:w="1847" w:type="dxa"/>
            <w:vAlign w:val="center"/>
          </w:tcPr>
          <w:p w14:paraId="4FE73C58">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履约保证金</w:t>
            </w:r>
          </w:p>
        </w:tc>
        <w:tc>
          <w:tcPr>
            <w:tcW w:w="7493" w:type="dxa"/>
            <w:vAlign w:val="center"/>
          </w:tcPr>
          <w:p w14:paraId="0087DD9B">
            <w:pPr>
              <w:rPr>
                <w:rFonts w:asciiTheme="minorEastAsia" w:hAnsiTheme="minorEastAsia" w:eastAsiaTheme="minorEastAsia"/>
                <w:kern w:val="0"/>
                <w:szCs w:val="21"/>
              </w:rPr>
            </w:pPr>
            <w:r>
              <w:rPr>
                <w:rFonts w:hint="eastAsia" w:asciiTheme="minorEastAsia" w:hAnsiTheme="minorEastAsia" w:eastAsiaTheme="minorEastAsia"/>
                <w:kern w:val="0"/>
                <w:szCs w:val="21"/>
              </w:rPr>
              <w:t>签订合同价的10%或遵循采购人规定。</w:t>
            </w:r>
          </w:p>
        </w:tc>
      </w:tr>
      <w:tr w14:paraId="244FA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671" w:type="dxa"/>
            <w:vAlign w:val="center"/>
          </w:tcPr>
          <w:p w14:paraId="44C62690">
            <w:pPr>
              <w:jc w:val="center"/>
              <w:rPr>
                <w:rFonts w:asciiTheme="minorEastAsia" w:hAnsiTheme="minorEastAsia"/>
                <w:kern w:val="0"/>
                <w:szCs w:val="21"/>
              </w:rPr>
            </w:pPr>
            <w:r>
              <w:rPr>
                <w:rFonts w:hint="eastAsia" w:asciiTheme="minorEastAsia" w:hAnsiTheme="minorEastAsia"/>
                <w:kern w:val="0"/>
                <w:szCs w:val="21"/>
              </w:rPr>
              <w:t>16</w:t>
            </w:r>
          </w:p>
        </w:tc>
        <w:tc>
          <w:tcPr>
            <w:tcW w:w="1847" w:type="dxa"/>
            <w:vAlign w:val="center"/>
          </w:tcPr>
          <w:p w14:paraId="6B6ED176">
            <w:pPr>
              <w:keepNext/>
              <w:widowControl/>
              <w:jc w:val="distribute"/>
              <w:rPr>
                <w:rFonts w:cs="Arial" w:asciiTheme="minorEastAsia" w:hAnsiTheme="minorEastAsia"/>
                <w:kern w:val="0"/>
                <w:szCs w:val="21"/>
              </w:rPr>
            </w:pPr>
            <w:r>
              <w:rPr>
                <w:rFonts w:hint="eastAsia" w:cs="Arial" w:asciiTheme="minorEastAsia" w:hAnsiTheme="minorEastAsia"/>
                <w:kern w:val="0"/>
                <w:szCs w:val="21"/>
              </w:rPr>
              <w:t>所属行业</w:t>
            </w:r>
          </w:p>
        </w:tc>
        <w:tc>
          <w:tcPr>
            <w:tcW w:w="7493" w:type="dxa"/>
            <w:vAlign w:val="center"/>
          </w:tcPr>
          <w:p w14:paraId="66DC4686">
            <w:pPr>
              <w:keepNext/>
              <w:widowControl/>
              <w:jc w:val="left"/>
              <w:rPr>
                <w:rFonts w:cs="Arial" w:asciiTheme="minorEastAsia" w:hAnsiTheme="minorEastAsia"/>
                <w:kern w:val="0"/>
                <w:szCs w:val="21"/>
              </w:rPr>
            </w:pPr>
            <w:r>
              <w:rPr>
                <w:rFonts w:hint="eastAsia" w:cs="宋体" w:asciiTheme="minorEastAsia" w:hAnsiTheme="minorEastAsia"/>
                <w:kern w:val="0"/>
                <w:szCs w:val="21"/>
              </w:rPr>
              <w:t>根据《关于印发中小企业划型标准规定的通知》工信部联企业〔2011〕300号，</w:t>
            </w:r>
            <w:r>
              <w:rPr>
                <w:rFonts w:hint="eastAsia" w:cs="宋体" w:asciiTheme="minorEastAsia" w:hAnsiTheme="minorEastAsia"/>
                <w:b/>
                <w:kern w:val="0"/>
                <w:szCs w:val="21"/>
              </w:rPr>
              <w:t>本项目属行业为：建筑业</w:t>
            </w:r>
          </w:p>
        </w:tc>
      </w:tr>
      <w:tr w14:paraId="056B6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671" w:type="dxa"/>
            <w:vAlign w:val="center"/>
          </w:tcPr>
          <w:p w14:paraId="708578C7">
            <w:pPr>
              <w:jc w:val="center"/>
              <w:rPr>
                <w:rFonts w:cs="宋体" w:asciiTheme="minorEastAsia" w:hAnsiTheme="minorEastAsia" w:eastAsiaTheme="minorEastAsia"/>
                <w:szCs w:val="21"/>
              </w:rPr>
            </w:pPr>
            <w:r>
              <w:rPr>
                <w:rFonts w:hint="eastAsia" w:cs="宋体" w:asciiTheme="minorEastAsia" w:hAnsiTheme="minorEastAsia" w:eastAsiaTheme="minorEastAsia"/>
                <w:szCs w:val="21"/>
              </w:rPr>
              <w:t>17</w:t>
            </w:r>
          </w:p>
        </w:tc>
        <w:tc>
          <w:tcPr>
            <w:tcW w:w="1847" w:type="dxa"/>
            <w:vAlign w:val="center"/>
          </w:tcPr>
          <w:p w14:paraId="7D8E6B13">
            <w:pPr>
              <w:jc w:val="distribute"/>
              <w:rPr>
                <w:rFonts w:cs="宋体" w:asciiTheme="minorEastAsia" w:hAnsiTheme="minorEastAsia" w:eastAsiaTheme="minorEastAsia"/>
                <w:szCs w:val="21"/>
              </w:rPr>
            </w:pPr>
            <w:r>
              <w:rPr>
                <w:rFonts w:hint="eastAsia" w:cs="宋体" w:asciiTheme="minorEastAsia" w:hAnsiTheme="minorEastAsia" w:eastAsiaTheme="minorEastAsia"/>
                <w:szCs w:val="21"/>
              </w:rPr>
              <w:t>备注</w:t>
            </w:r>
          </w:p>
        </w:tc>
        <w:tc>
          <w:tcPr>
            <w:tcW w:w="7493" w:type="dxa"/>
            <w:vAlign w:val="center"/>
          </w:tcPr>
          <w:p w14:paraId="36DC6B6A">
            <w:pPr>
              <w:rPr>
                <w:rFonts w:asciiTheme="minorEastAsia" w:hAnsiTheme="minorEastAsia" w:eastAsiaTheme="minorEastAsia"/>
                <w:kern w:val="0"/>
                <w:szCs w:val="21"/>
              </w:rPr>
            </w:pPr>
            <w:r>
              <w:rPr>
                <w:rFonts w:hint="eastAsia" w:cs="Arial" w:asciiTheme="minorEastAsia" w:hAnsiTheme="minorEastAsia" w:eastAsiaTheme="minorEastAsia"/>
                <w:kern w:val="0"/>
                <w:szCs w:val="21"/>
              </w:rPr>
              <w:t>招标代理服务费的计算执行“《国家发展改革委关于进一步放开建设项目专业服务价格的通知》</w:t>
            </w:r>
            <w:r>
              <w:rPr>
                <w:rFonts w:cs="Arial" w:asciiTheme="minorEastAsia" w:hAnsiTheme="minorEastAsia" w:eastAsiaTheme="minorEastAsia"/>
                <w:kern w:val="0"/>
                <w:szCs w:val="21"/>
              </w:rPr>
              <w:t xml:space="preserve">[2015] 299 </w:t>
            </w:r>
            <w:r>
              <w:rPr>
                <w:rFonts w:hint="eastAsia" w:cs="Arial" w:asciiTheme="minorEastAsia" w:hAnsiTheme="minorEastAsia" w:eastAsiaTheme="minorEastAsia"/>
                <w:kern w:val="0"/>
                <w:szCs w:val="21"/>
              </w:rPr>
              <w:t>号文件”、“国家发展改革委办公厅关于招标代理服务收费有关问题的通知（发改价格</w:t>
            </w:r>
            <w:r>
              <w:rPr>
                <w:rFonts w:cs="Arial" w:asciiTheme="minorEastAsia" w:hAnsiTheme="minorEastAsia" w:eastAsiaTheme="minorEastAsia"/>
                <w:kern w:val="0"/>
                <w:szCs w:val="21"/>
              </w:rPr>
              <w:t xml:space="preserve">[2011]534 </w:t>
            </w:r>
            <w:r>
              <w:rPr>
                <w:rFonts w:hint="eastAsia" w:cs="Arial" w:asciiTheme="minorEastAsia" w:hAnsiTheme="minorEastAsia" w:eastAsiaTheme="minorEastAsia"/>
                <w:kern w:val="0"/>
                <w:szCs w:val="21"/>
              </w:rPr>
              <w:t>号）文件”及参照计价格</w:t>
            </w:r>
            <w:r>
              <w:rPr>
                <w:rFonts w:cs="Arial" w:asciiTheme="minorEastAsia" w:hAnsiTheme="minorEastAsia" w:eastAsiaTheme="minorEastAsia"/>
                <w:kern w:val="0"/>
                <w:szCs w:val="21"/>
              </w:rPr>
              <w:t>[2002]1980</w:t>
            </w:r>
            <w:r>
              <w:rPr>
                <w:rFonts w:hint="eastAsia" w:cs="Arial" w:asciiTheme="minorEastAsia" w:hAnsiTheme="minorEastAsia" w:eastAsiaTheme="minorEastAsia"/>
                <w:kern w:val="0"/>
                <w:szCs w:val="21"/>
              </w:rPr>
              <w:t>号的规定：根据上述文件的规定，本次招标代理服务费由成交单位支付。招标代理费参照</w:t>
            </w:r>
            <w:r>
              <w:rPr>
                <w:rFonts w:cs="Arial" w:asciiTheme="minorEastAsia" w:hAnsiTheme="minorEastAsia" w:eastAsiaTheme="minorEastAsia"/>
                <w:kern w:val="0"/>
                <w:szCs w:val="21"/>
              </w:rPr>
              <w:t>[2002]1980</w:t>
            </w:r>
            <w:r>
              <w:rPr>
                <w:rFonts w:hint="eastAsia" w:cs="Arial" w:asciiTheme="minorEastAsia" w:hAnsiTheme="minorEastAsia" w:eastAsiaTheme="minorEastAsia"/>
                <w:kern w:val="0"/>
                <w:szCs w:val="21"/>
              </w:rPr>
              <w:t>号工程类收费标准计取。</w:t>
            </w:r>
          </w:p>
        </w:tc>
      </w:tr>
    </w:tbl>
    <w:p w14:paraId="44564035">
      <w:pPr>
        <w:spacing w:line="440" w:lineRule="exact"/>
        <w:jc w:val="center"/>
        <w:outlineLvl w:val="0"/>
        <w:rPr>
          <w:rFonts w:ascii="宋体" w:hAnsi="宋体" w:cs="宋体"/>
          <w:b/>
          <w:szCs w:val="21"/>
        </w:rPr>
      </w:pPr>
      <w:r>
        <w:br w:type="page"/>
      </w:r>
      <w:bookmarkStart w:id="9" w:name="_Toc481666975"/>
      <w:bookmarkStart w:id="10" w:name="_Toc481666734"/>
      <w:bookmarkStart w:id="11" w:name="_Toc486588515"/>
      <w:bookmarkStart w:id="12" w:name="_Toc8069"/>
      <w:bookmarkStart w:id="13" w:name="_Toc486588854"/>
      <w:bookmarkStart w:id="14" w:name="_Toc481666260"/>
      <w:bookmarkStart w:id="15" w:name="_Toc486588360"/>
      <w:bookmarkStart w:id="16" w:name="_Toc486587969"/>
      <w:bookmarkStart w:id="17" w:name="_Toc486588753"/>
      <w:r>
        <w:rPr>
          <w:rFonts w:hint="eastAsia" w:ascii="宋体" w:hAnsi="宋体" w:cs="宋体"/>
          <w:b/>
          <w:szCs w:val="21"/>
        </w:rPr>
        <w:t>第一章  供应商须知</w:t>
      </w:r>
      <w:bookmarkEnd w:id="9"/>
      <w:bookmarkEnd w:id="10"/>
      <w:bookmarkEnd w:id="11"/>
      <w:bookmarkEnd w:id="12"/>
      <w:bookmarkEnd w:id="13"/>
      <w:bookmarkEnd w:id="14"/>
      <w:bookmarkEnd w:id="15"/>
      <w:bookmarkEnd w:id="16"/>
      <w:bookmarkEnd w:id="17"/>
    </w:p>
    <w:p w14:paraId="7E887EEE">
      <w:pPr>
        <w:tabs>
          <w:tab w:val="center" w:pos="4832"/>
          <w:tab w:val="left" w:pos="7140"/>
        </w:tabs>
        <w:adjustRightInd w:val="0"/>
        <w:ind w:firstLine="413" w:firstLineChars="196"/>
        <w:jc w:val="left"/>
        <w:outlineLvl w:val="1"/>
        <w:rPr>
          <w:rFonts w:ascii="宋体" w:hAnsi="宋体" w:cs="宋体"/>
          <w:b/>
          <w:szCs w:val="21"/>
        </w:rPr>
      </w:pPr>
      <w:bookmarkStart w:id="18" w:name="_Toc486588516"/>
      <w:bookmarkStart w:id="19" w:name="_Toc486588754"/>
      <w:bookmarkStart w:id="20" w:name="_Toc486588361"/>
      <w:bookmarkStart w:id="21" w:name="_Toc486588855"/>
      <w:bookmarkStart w:id="22" w:name="_Toc486587970"/>
      <w:bookmarkStart w:id="23" w:name="_Toc2235"/>
      <w:bookmarkStart w:id="24" w:name="_Toc481666736"/>
      <w:bookmarkStart w:id="25" w:name="_Toc481666262"/>
      <w:r>
        <w:rPr>
          <w:rFonts w:ascii="宋体" w:hAnsi="宋体" w:cs="宋体"/>
          <w:b/>
          <w:szCs w:val="21"/>
        </w:rPr>
        <w:t>1．总则</w:t>
      </w:r>
      <w:bookmarkEnd w:id="18"/>
      <w:bookmarkEnd w:id="19"/>
      <w:bookmarkEnd w:id="20"/>
      <w:bookmarkEnd w:id="21"/>
      <w:bookmarkEnd w:id="22"/>
      <w:bookmarkEnd w:id="23"/>
    </w:p>
    <w:p w14:paraId="5472D464">
      <w:pPr>
        <w:adjustRightInd w:val="0"/>
        <w:ind w:firstLine="420" w:firstLineChars="200"/>
        <w:rPr>
          <w:rFonts w:ascii="宋体" w:hAnsi="宋体"/>
          <w:szCs w:val="21"/>
        </w:rPr>
      </w:pPr>
      <w:r>
        <w:rPr>
          <w:rFonts w:hint="eastAsia" w:ascii="宋体" w:hAnsi="宋体"/>
          <w:szCs w:val="21"/>
        </w:rPr>
        <w:t>1.1 项目概况</w:t>
      </w:r>
    </w:p>
    <w:p w14:paraId="0981E21B">
      <w:pPr>
        <w:adjustRightInd w:val="0"/>
        <w:ind w:firstLine="420" w:firstLineChars="200"/>
        <w:rPr>
          <w:rFonts w:ascii="宋体" w:hAnsi="宋体"/>
          <w:szCs w:val="21"/>
        </w:rPr>
      </w:pPr>
      <w:r>
        <w:rPr>
          <w:rFonts w:hint="eastAsia" w:ascii="宋体" w:hAnsi="宋体"/>
          <w:szCs w:val="21"/>
        </w:rPr>
        <w:t>1.1.1项目名称：见供应商须知前附表。</w:t>
      </w:r>
    </w:p>
    <w:p w14:paraId="0AAAE78D">
      <w:pPr>
        <w:adjustRightInd w:val="0"/>
        <w:ind w:firstLine="420" w:firstLineChars="200"/>
        <w:rPr>
          <w:rFonts w:ascii="宋体" w:hAnsi="宋体"/>
          <w:szCs w:val="21"/>
        </w:rPr>
      </w:pPr>
      <w:r>
        <w:rPr>
          <w:rFonts w:hint="eastAsia" w:ascii="宋体" w:hAnsi="宋体"/>
          <w:szCs w:val="21"/>
        </w:rPr>
        <w:t>1.1.2采购人：见供应商须知前附表。</w:t>
      </w:r>
    </w:p>
    <w:p w14:paraId="45B00F2A">
      <w:pPr>
        <w:adjustRightInd w:val="0"/>
        <w:ind w:firstLine="420" w:firstLineChars="200"/>
        <w:rPr>
          <w:rFonts w:ascii="宋体" w:hAnsi="宋体"/>
          <w:szCs w:val="21"/>
        </w:rPr>
      </w:pPr>
      <w:r>
        <w:rPr>
          <w:rFonts w:hint="eastAsia" w:ascii="宋体" w:hAnsi="宋体"/>
          <w:szCs w:val="21"/>
        </w:rPr>
        <w:t>1.1.3采购代理机构：见供应商须知前附表。</w:t>
      </w:r>
    </w:p>
    <w:p w14:paraId="41ED82D0">
      <w:pPr>
        <w:adjustRightInd w:val="0"/>
        <w:ind w:firstLine="420" w:firstLineChars="200"/>
        <w:rPr>
          <w:rFonts w:ascii="宋体" w:hAnsi="宋体"/>
          <w:szCs w:val="21"/>
        </w:rPr>
      </w:pPr>
      <w:r>
        <w:rPr>
          <w:rFonts w:hint="eastAsia" w:ascii="宋体" w:hAnsi="宋体"/>
          <w:szCs w:val="21"/>
        </w:rPr>
        <w:t>1.1.4建设地点：见供应商须知前附表。</w:t>
      </w:r>
    </w:p>
    <w:p w14:paraId="1831892B">
      <w:pPr>
        <w:adjustRightInd w:val="0"/>
        <w:ind w:firstLine="420" w:firstLineChars="200"/>
        <w:rPr>
          <w:rFonts w:ascii="宋体" w:hAnsi="宋体"/>
          <w:szCs w:val="21"/>
        </w:rPr>
      </w:pPr>
      <w:r>
        <w:rPr>
          <w:rFonts w:hint="eastAsia" w:ascii="宋体" w:hAnsi="宋体"/>
          <w:szCs w:val="21"/>
        </w:rPr>
        <w:t>1.1.5</w:t>
      </w:r>
      <w:r>
        <w:rPr>
          <w:rFonts w:hint="eastAsia" w:ascii="宋体" w:hAnsi="宋体" w:cs="宋体"/>
          <w:szCs w:val="21"/>
        </w:rPr>
        <w:t>项目</w:t>
      </w:r>
      <w:r>
        <w:rPr>
          <w:rFonts w:hint="eastAsia" w:ascii="宋体" w:hAnsi="宋体"/>
          <w:szCs w:val="21"/>
        </w:rPr>
        <w:t>概况：见供应商须知前附表。</w:t>
      </w:r>
    </w:p>
    <w:p w14:paraId="419F0E31">
      <w:pPr>
        <w:adjustRightInd w:val="0"/>
        <w:ind w:firstLine="420" w:firstLineChars="200"/>
        <w:rPr>
          <w:rFonts w:ascii="宋体" w:hAnsi="宋体"/>
          <w:szCs w:val="21"/>
        </w:rPr>
      </w:pPr>
      <w:r>
        <w:rPr>
          <w:rFonts w:hint="eastAsia" w:ascii="宋体" w:hAnsi="宋体"/>
          <w:szCs w:val="21"/>
        </w:rPr>
        <w:t>1.1.6资金来源：见供应商须知前附表。</w:t>
      </w:r>
    </w:p>
    <w:p w14:paraId="6A488B63">
      <w:pPr>
        <w:adjustRightInd w:val="0"/>
        <w:ind w:firstLine="420" w:firstLineChars="200"/>
        <w:rPr>
          <w:rFonts w:ascii="宋体" w:hAnsi="宋体"/>
          <w:szCs w:val="21"/>
        </w:rPr>
      </w:pPr>
      <w:r>
        <w:rPr>
          <w:rFonts w:hint="eastAsia" w:ascii="宋体" w:hAnsi="宋体"/>
          <w:szCs w:val="21"/>
        </w:rPr>
        <w:t>1.1.7采购预算：见供应商须知前附表。</w:t>
      </w:r>
    </w:p>
    <w:p w14:paraId="2CAC9451">
      <w:pPr>
        <w:adjustRightInd w:val="0"/>
        <w:ind w:firstLine="420" w:firstLineChars="200"/>
        <w:rPr>
          <w:rFonts w:ascii="宋体" w:hAnsi="宋体"/>
          <w:szCs w:val="21"/>
        </w:rPr>
      </w:pPr>
      <w:r>
        <w:rPr>
          <w:rFonts w:hint="eastAsia" w:ascii="宋体" w:hAnsi="宋体"/>
          <w:szCs w:val="21"/>
        </w:rPr>
        <w:t>1.1.</w:t>
      </w:r>
      <w:r>
        <w:rPr>
          <w:rFonts w:hint="eastAsia" w:ascii="宋体" w:hAnsi="宋体"/>
          <w:szCs w:val="21"/>
          <w:lang w:val="en-US" w:eastAsia="zh-CN"/>
        </w:rPr>
        <w:t>8</w:t>
      </w:r>
      <w:r>
        <w:rPr>
          <w:rFonts w:hint="eastAsia" w:ascii="宋体" w:hAnsi="宋体"/>
          <w:szCs w:val="21"/>
        </w:rPr>
        <w:t>承包方式：见供应商须知前附表。</w:t>
      </w:r>
    </w:p>
    <w:p w14:paraId="7D06B6BD">
      <w:pPr>
        <w:adjustRightInd w:val="0"/>
        <w:ind w:firstLine="420" w:firstLineChars="200"/>
        <w:rPr>
          <w:rFonts w:ascii="宋体" w:hAnsi="宋体"/>
          <w:szCs w:val="21"/>
        </w:rPr>
      </w:pPr>
      <w:r>
        <w:rPr>
          <w:rFonts w:hint="eastAsia" w:ascii="宋体" w:hAnsi="宋体"/>
          <w:szCs w:val="21"/>
        </w:rPr>
        <w:t>1.1.</w:t>
      </w:r>
      <w:r>
        <w:rPr>
          <w:rFonts w:hint="eastAsia" w:ascii="宋体" w:hAnsi="宋体"/>
          <w:szCs w:val="21"/>
          <w:lang w:val="en-US" w:eastAsia="zh-CN"/>
        </w:rPr>
        <w:t>9</w:t>
      </w:r>
      <w:r>
        <w:rPr>
          <w:rFonts w:hint="eastAsia" w:ascii="宋体" w:hAnsi="宋体"/>
          <w:szCs w:val="21"/>
        </w:rPr>
        <w:t xml:space="preserve"> 质量要求：见供应商须知前附表。</w:t>
      </w:r>
    </w:p>
    <w:p w14:paraId="501D986B">
      <w:pPr>
        <w:adjustRightInd w:val="0"/>
        <w:ind w:firstLine="420" w:firstLineChars="200"/>
        <w:rPr>
          <w:rFonts w:ascii="宋体" w:hAnsi="宋体"/>
          <w:szCs w:val="21"/>
        </w:rPr>
      </w:pPr>
      <w:r>
        <w:rPr>
          <w:rFonts w:hint="eastAsia" w:ascii="宋体" w:hAnsi="宋体"/>
          <w:szCs w:val="21"/>
        </w:rPr>
        <w:t>1.1.1</w:t>
      </w:r>
      <w:r>
        <w:rPr>
          <w:rFonts w:hint="eastAsia" w:ascii="宋体" w:hAnsi="宋体"/>
          <w:szCs w:val="21"/>
          <w:lang w:val="en-US" w:eastAsia="zh-CN"/>
        </w:rPr>
        <w:t>0</w:t>
      </w:r>
      <w:r>
        <w:rPr>
          <w:rFonts w:hint="eastAsia" w:ascii="宋体" w:hAnsi="宋体"/>
          <w:szCs w:val="21"/>
        </w:rPr>
        <w:t xml:space="preserve"> 工期：见供应商须知前附表。</w:t>
      </w:r>
    </w:p>
    <w:p w14:paraId="67D4897D">
      <w:pPr>
        <w:adjustRightInd w:val="0"/>
        <w:ind w:firstLine="420" w:firstLineChars="200"/>
        <w:rPr>
          <w:rFonts w:ascii="宋体" w:hAnsi="宋体"/>
          <w:szCs w:val="21"/>
        </w:rPr>
      </w:pPr>
      <w:r>
        <w:rPr>
          <w:rFonts w:hint="eastAsia" w:ascii="宋体" w:hAnsi="宋体"/>
          <w:szCs w:val="21"/>
        </w:rPr>
        <w:t>1.2 采购范围</w:t>
      </w:r>
    </w:p>
    <w:p w14:paraId="605DD4F6">
      <w:pPr>
        <w:adjustRightInd w:val="0"/>
        <w:ind w:firstLine="420" w:firstLineChars="200"/>
        <w:rPr>
          <w:rFonts w:ascii="宋体" w:hAnsi="宋体"/>
          <w:szCs w:val="21"/>
        </w:rPr>
      </w:pPr>
      <w:r>
        <w:rPr>
          <w:rFonts w:hint="eastAsia" w:ascii="宋体" w:hAnsi="宋体"/>
          <w:szCs w:val="21"/>
        </w:rPr>
        <w:t>1.2.1 采购范围：见供应商须知前附表。</w:t>
      </w:r>
    </w:p>
    <w:p w14:paraId="067E8CD5">
      <w:pPr>
        <w:adjustRightInd w:val="0"/>
        <w:ind w:firstLine="420" w:firstLineChars="200"/>
        <w:rPr>
          <w:rFonts w:ascii="宋体" w:hAnsi="宋体"/>
          <w:szCs w:val="21"/>
        </w:rPr>
      </w:pPr>
      <w:r>
        <w:rPr>
          <w:rFonts w:hint="eastAsia" w:ascii="宋体" w:hAnsi="宋体"/>
          <w:szCs w:val="21"/>
        </w:rPr>
        <w:t>1.3 采购方式和资格审查方式</w:t>
      </w:r>
    </w:p>
    <w:p w14:paraId="17215B88">
      <w:pPr>
        <w:adjustRightInd w:val="0"/>
        <w:ind w:firstLine="420" w:firstLineChars="200"/>
        <w:rPr>
          <w:rFonts w:ascii="宋体" w:hAnsi="宋体"/>
          <w:szCs w:val="21"/>
        </w:rPr>
      </w:pPr>
      <w:r>
        <w:rPr>
          <w:rFonts w:hint="eastAsia" w:ascii="宋体" w:hAnsi="宋体"/>
          <w:szCs w:val="21"/>
        </w:rPr>
        <w:t>1.3.1 采购方式：见供应商须知前附表。</w:t>
      </w:r>
    </w:p>
    <w:p w14:paraId="71635D04">
      <w:pPr>
        <w:adjustRightInd w:val="0"/>
        <w:ind w:firstLine="420" w:firstLineChars="200"/>
        <w:rPr>
          <w:rFonts w:ascii="宋体" w:hAnsi="宋体"/>
          <w:szCs w:val="21"/>
        </w:rPr>
      </w:pPr>
      <w:r>
        <w:rPr>
          <w:rFonts w:hint="eastAsia" w:ascii="宋体" w:hAnsi="宋体"/>
          <w:szCs w:val="21"/>
        </w:rPr>
        <w:t>1.3.2 资格审查方式：见供应商须知前附表。</w:t>
      </w:r>
    </w:p>
    <w:p w14:paraId="705B5497">
      <w:pPr>
        <w:adjustRightInd w:val="0"/>
        <w:ind w:firstLine="420" w:firstLineChars="200"/>
        <w:rPr>
          <w:rFonts w:ascii="宋体" w:hAnsi="宋体"/>
          <w:szCs w:val="21"/>
        </w:rPr>
      </w:pPr>
      <w:r>
        <w:rPr>
          <w:rFonts w:hint="eastAsia" w:ascii="宋体" w:hAnsi="宋体"/>
          <w:szCs w:val="21"/>
        </w:rPr>
        <w:t>1.4 评标办法、投标计价方式及定标方法</w:t>
      </w:r>
    </w:p>
    <w:p w14:paraId="4607E1FE">
      <w:pPr>
        <w:adjustRightInd w:val="0"/>
        <w:ind w:firstLine="420" w:firstLineChars="200"/>
        <w:rPr>
          <w:rFonts w:ascii="宋体" w:hAnsi="宋体"/>
          <w:szCs w:val="21"/>
        </w:rPr>
      </w:pPr>
      <w:r>
        <w:rPr>
          <w:rFonts w:hint="eastAsia" w:ascii="宋体" w:hAnsi="宋体"/>
          <w:szCs w:val="21"/>
        </w:rPr>
        <w:t>1.4.1 评标办法：见供应商须知前附表。</w:t>
      </w:r>
    </w:p>
    <w:p w14:paraId="071939EE">
      <w:pPr>
        <w:adjustRightInd w:val="0"/>
        <w:ind w:firstLine="420" w:firstLineChars="200"/>
        <w:rPr>
          <w:rFonts w:ascii="宋体" w:hAnsi="宋体"/>
          <w:szCs w:val="21"/>
        </w:rPr>
      </w:pPr>
      <w:r>
        <w:rPr>
          <w:rFonts w:hint="eastAsia" w:ascii="宋体" w:hAnsi="宋体"/>
          <w:szCs w:val="21"/>
        </w:rPr>
        <w:t>1.4.2投标计价方式：见供应商须知前附表。</w:t>
      </w:r>
    </w:p>
    <w:p w14:paraId="44E892D9">
      <w:pPr>
        <w:adjustRightInd w:val="0"/>
        <w:ind w:firstLine="420" w:firstLineChars="200"/>
        <w:rPr>
          <w:rFonts w:ascii="宋体" w:hAnsi="宋体"/>
          <w:szCs w:val="21"/>
        </w:rPr>
      </w:pPr>
      <w:r>
        <w:rPr>
          <w:rFonts w:hint="eastAsia" w:ascii="宋体" w:hAnsi="宋体"/>
          <w:szCs w:val="21"/>
        </w:rPr>
        <w:t>1.4.3定标方法：见供应商须知前附表。</w:t>
      </w:r>
    </w:p>
    <w:p w14:paraId="353CDFB2">
      <w:pPr>
        <w:adjustRightInd w:val="0"/>
        <w:ind w:firstLine="420" w:firstLineChars="200"/>
        <w:rPr>
          <w:rFonts w:ascii="宋体" w:hAnsi="宋体"/>
          <w:szCs w:val="21"/>
        </w:rPr>
      </w:pPr>
      <w:r>
        <w:rPr>
          <w:rFonts w:hint="eastAsia" w:ascii="宋体" w:hAnsi="宋体"/>
          <w:szCs w:val="21"/>
        </w:rPr>
        <w:t>1.5 供应商资格条件和能力要求</w:t>
      </w:r>
    </w:p>
    <w:p w14:paraId="6BEBBFFD">
      <w:pPr>
        <w:adjustRightInd w:val="0"/>
        <w:ind w:firstLine="420" w:firstLineChars="200"/>
        <w:rPr>
          <w:rFonts w:ascii="宋体" w:hAnsi="宋体"/>
          <w:szCs w:val="21"/>
        </w:rPr>
      </w:pPr>
      <w:r>
        <w:rPr>
          <w:rFonts w:hint="eastAsia" w:ascii="宋体" w:hAnsi="宋体"/>
          <w:szCs w:val="21"/>
        </w:rPr>
        <w:t>1.5.1 供应商应具备承担本招标项目的资格条件和能力，具体要求见供应商须知前附表。</w:t>
      </w:r>
    </w:p>
    <w:p w14:paraId="75DB4FEA">
      <w:pPr>
        <w:adjustRightInd w:val="0"/>
        <w:ind w:firstLine="420" w:firstLineChars="200"/>
        <w:rPr>
          <w:rFonts w:ascii="宋体" w:hAnsi="宋体"/>
          <w:szCs w:val="21"/>
        </w:rPr>
      </w:pPr>
      <w:r>
        <w:rPr>
          <w:rFonts w:hint="eastAsia" w:ascii="宋体" w:hAnsi="宋体"/>
          <w:szCs w:val="21"/>
        </w:rPr>
        <w:t>1.5.2 供应商须知前附表规定接受联合体投标的，除应符合本章第1.4.1项和供应商须知前附表的要求外，还应遵守以下规定：（1）联合体各方应按竞争性磋商文件提供的格式签订联合体协议书，明确联合体牵头人和各方权利义务；（2）联合体各方不得再以自己名义单独或参加其他联合体在本采购项目中投标。</w:t>
      </w:r>
    </w:p>
    <w:p w14:paraId="7229B4A0">
      <w:pPr>
        <w:adjustRightInd w:val="0"/>
        <w:ind w:firstLine="420" w:firstLineChars="200"/>
        <w:rPr>
          <w:rFonts w:ascii="宋体" w:hAnsi="宋体"/>
          <w:szCs w:val="21"/>
        </w:rPr>
      </w:pPr>
      <w:r>
        <w:rPr>
          <w:rFonts w:hint="eastAsia" w:ascii="宋体" w:hAnsi="宋体"/>
          <w:szCs w:val="21"/>
        </w:rPr>
        <w:t>1.5.3 供应商不得存在下列情形之一，否则相关投标均应被否决：</w:t>
      </w:r>
    </w:p>
    <w:p w14:paraId="713DA15B">
      <w:pPr>
        <w:adjustRightInd w:val="0"/>
        <w:ind w:firstLine="420" w:firstLineChars="200"/>
        <w:rPr>
          <w:rFonts w:ascii="宋体" w:hAnsi="宋体"/>
          <w:szCs w:val="21"/>
        </w:rPr>
      </w:pPr>
      <w:r>
        <w:rPr>
          <w:rFonts w:hint="eastAsia" w:ascii="宋体" w:hAnsi="宋体"/>
          <w:szCs w:val="21"/>
        </w:rPr>
        <w:t>（1）与采购人存在利害关系可能影响招标公正性的法人、其他组织或者个人的；</w:t>
      </w:r>
    </w:p>
    <w:p w14:paraId="25F68E2B">
      <w:pPr>
        <w:adjustRightInd w:val="0"/>
        <w:ind w:firstLine="420" w:firstLineChars="200"/>
        <w:rPr>
          <w:rFonts w:ascii="宋体" w:hAnsi="宋体"/>
          <w:szCs w:val="21"/>
        </w:rPr>
      </w:pPr>
      <w:r>
        <w:rPr>
          <w:rFonts w:hint="eastAsia" w:ascii="宋体" w:hAnsi="宋体"/>
          <w:szCs w:val="21"/>
        </w:rPr>
        <w:t>（2）单位负责人为同一人或者存在控股、管理关系的不同单位，参加同一标段投标或者未划分标段的同一采购项目投标的；</w:t>
      </w:r>
    </w:p>
    <w:p w14:paraId="723A5821">
      <w:pPr>
        <w:adjustRightInd w:val="0"/>
        <w:ind w:firstLine="420" w:firstLineChars="200"/>
        <w:rPr>
          <w:rFonts w:ascii="宋体" w:hAnsi="宋体"/>
          <w:szCs w:val="21"/>
        </w:rPr>
      </w:pPr>
      <w:r>
        <w:rPr>
          <w:rFonts w:hint="eastAsia" w:ascii="宋体" w:hAnsi="宋体"/>
          <w:szCs w:val="21"/>
        </w:rPr>
        <w:t>（3）法定代表人为同一个人的两个及两个以上法人，母公司、全资子公司及其控股公司，参加同一标段投标或者未划分标段的同一采购项目投标的；</w:t>
      </w:r>
    </w:p>
    <w:p w14:paraId="418DE091">
      <w:pPr>
        <w:adjustRightInd w:val="0"/>
        <w:ind w:firstLine="420" w:firstLineChars="200"/>
        <w:rPr>
          <w:rFonts w:ascii="宋体" w:hAnsi="宋体"/>
          <w:szCs w:val="21"/>
        </w:rPr>
      </w:pPr>
      <w:r>
        <w:rPr>
          <w:rFonts w:hint="eastAsia" w:ascii="宋体" w:hAnsi="宋体"/>
          <w:szCs w:val="21"/>
        </w:rPr>
        <w:t xml:space="preserve">（4）被责令停业的； </w:t>
      </w:r>
    </w:p>
    <w:p w14:paraId="1574A4B8">
      <w:pPr>
        <w:adjustRightInd w:val="0"/>
        <w:ind w:firstLine="420" w:firstLineChars="200"/>
        <w:rPr>
          <w:rFonts w:ascii="宋体" w:hAnsi="宋体"/>
          <w:szCs w:val="21"/>
        </w:rPr>
      </w:pPr>
      <w:r>
        <w:rPr>
          <w:rFonts w:hint="eastAsia" w:ascii="宋体" w:hAnsi="宋体"/>
          <w:szCs w:val="21"/>
        </w:rPr>
        <w:t xml:space="preserve">（5）被暂停或取消投标资格的； </w:t>
      </w:r>
    </w:p>
    <w:p w14:paraId="0A13A1E0">
      <w:pPr>
        <w:adjustRightInd w:val="0"/>
        <w:ind w:firstLine="420" w:firstLineChars="200"/>
        <w:rPr>
          <w:rFonts w:ascii="宋体" w:hAnsi="宋体"/>
          <w:szCs w:val="21"/>
        </w:rPr>
      </w:pPr>
      <w:r>
        <w:rPr>
          <w:rFonts w:hint="eastAsia" w:ascii="宋体" w:hAnsi="宋体"/>
          <w:szCs w:val="21"/>
        </w:rPr>
        <w:t>（6）财产被接管或冻结的；</w:t>
      </w:r>
    </w:p>
    <w:p w14:paraId="66C9F1DF">
      <w:pPr>
        <w:adjustRightInd w:val="0"/>
        <w:ind w:firstLine="420" w:firstLineChars="200"/>
        <w:rPr>
          <w:rFonts w:ascii="宋体" w:hAnsi="宋体"/>
          <w:szCs w:val="21"/>
        </w:rPr>
      </w:pPr>
      <w:r>
        <w:rPr>
          <w:rFonts w:hint="eastAsia" w:ascii="宋体" w:hAnsi="宋体"/>
          <w:szCs w:val="21"/>
        </w:rPr>
        <w:t>（7）在最近三年内有骗取中标或严重违约或重大质量问题的；</w:t>
      </w:r>
    </w:p>
    <w:p w14:paraId="0D2B10E4">
      <w:pPr>
        <w:adjustRightInd w:val="0"/>
        <w:ind w:firstLine="420" w:firstLineChars="200"/>
        <w:rPr>
          <w:rFonts w:ascii="宋体" w:hAnsi="宋体"/>
          <w:szCs w:val="21"/>
        </w:rPr>
      </w:pPr>
      <w:r>
        <w:rPr>
          <w:rFonts w:hint="eastAsia" w:ascii="宋体" w:hAnsi="宋体"/>
          <w:szCs w:val="21"/>
        </w:rPr>
        <w:t>（8）法律规定的其他情形。</w:t>
      </w:r>
    </w:p>
    <w:p w14:paraId="5B390462">
      <w:pPr>
        <w:adjustRightInd w:val="0"/>
        <w:ind w:firstLine="420" w:firstLineChars="200"/>
        <w:rPr>
          <w:rFonts w:ascii="宋体" w:hAnsi="宋体"/>
          <w:szCs w:val="21"/>
        </w:rPr>
      </w:pPr>
      <w:r>
        <w:rPr>
          <w:rFonts w:hint="eastAsia" w:ascii="宋体" w:hAnsi="宋体"/>
          <w:szCs w:val="21"/>
        </w:rPr>
        <w:t>1.6 费用承担</w:t>
      </w:r>
    </w:p>
    <w:p w14:paraId="21716EED">
      <w:pPr>
        <w:adjustRightInd w:val="0"/>
        <w:ind w:firstLine="420" w:firstLineChars="200"/>
        <w:rPr>
          <w:rFonts w:ascii="宋体" w:hAnsi="宋体"/>
          <w:szCs w:val="21"/>
        </w:rPr>
      </w:pPr>
      <w:r>
        <w:rPr>
          <w:rFonts w:hint="eastAsia" w:ascii="宋体" w:hAnsi="宋体"/>
          <w:szCs w:val="21"/>
        </w:rPr>
        <w:t>1.6.1竞争性磋商文件费：见供应商须知前附表。</w:t>
      </w:r>
    </w:p>
    <w:p w14:paraId="49E855BF">
      <w:pPr>
        <w:adjustRightInd w:val="0"/>
        <w:ind w:firstLine="420" w:firstLineChars="200"/>
        <w:rPr>
          <w:rFonts w:ascii="宋体" w:hAnsi="宋体"/>
          <w:szCs w:val="21"/>
        </w:rPr>
      </w:pPr>
      <w:r>
        <w:rPr>
          <w:rFonts w:hint="eastAsia" w:ascii="宋体" w:hAnsi="宋体"/>
          <w:szCs w:val="21"/>
        </w:rPr>
        <w:t>1.6.2供应商应承担其编制响应文件与递交响应文件所涉及的一切费用，无论采购结果如何，采购人及采购代理机构对上述费用不作任何补偿。</w:t>
      </w:r>
    </w:p>
    <w:p w14:paraId="2DA92184">
      <w:pPr>
        <w:adjustRightInd w:val="0"/>
        <w:ind w:firstLine="420" w:firstLineChars="200"/>
        <w:rPr>
          <w:rFonts w:ascii="宋体" w:hAnsi="宋体"/>
          <w:szCs w:val="21"/>
        </w:rPr>
      </w:pPr>
      <w:r>
        <w:rPr>
          <w:rFonts w:hint="eastAsia" w:ascii="宋体" w:hAnsi="宋体"/>
          <w:szCs w:val="21"/>
        </w:rPr>
        <w:t>1.7磋商保证金：见供应商须知前附表。</w:t>
      </w:r>
    </w:p>
    <w:p w14:paraId="23B6D5D1">
      <w:pPr>
        <w:adjustRightInd w:val="0"/>
        <w:ind w:firstLine="420" w:firstLineChars="200"/>
        <w:rPr>
          <w:rFonts w:ascii="宋体" w:hAnsi="宋体"/>
          <w:szCs w:val="21"/>
        </w:rPr>
      </w:pPr>
      <w:r>
        <w:rPr>
          <w:rFonts w:hint="eastAsia" w:ascii="宋体" w:hAnsi="宋体"/>
          <w:szCs w:val="21"/>
        </w:rPr>
        <w:t>1.8 踏勘现场</w:t>
      </w:r>
    </w:p>
    <w:p w14:paraId="13E2A4D6">
      <w:pPr>
        <w:adjustRightInd w:val="0"/>
        <w:ind w:firstLine="420" w:firstLineChars="200"/>
        <w:rPr>
          <w:rFonts w:ascii="宋体" w:hAnsi="宋体"/>
          <w:szCs w:val="21"/>
        </w:rPr>
      </w:pPr>
      <w:r>
        <w:rPr>
          <w:rFonts w:hint="eastAsia" w:ascii="宋体" w:hAnsi="宋体"/>
          <w:szCs w:val="21"/>
        </w:rPr>
        <w:t xml:space="preserve">1.8.1 供应商须知前附表规定组织踏勘现场的，采购人或采购代理机构按供应商须知前附表规定的时间、地点组织供应商踏勘项目现场。 </w:t>
      </w:r>
    </w:p>
    <w:p w14:paraId="4903DB98">
      <w:pPr>
        <w:adjustRightInd w:val="0"/>
        <w:ind w:firstLine="420" w:firstLineChars="200"/>
        <w:rPr>
          <w:rFonts w:ascii="宋体" w:hAnsi="宋体"/>
          <w:szCs w:val="21"/>
        </w:rPr>
      </w:pPr>
      <w:r>
        <w:rPr>
          <w:rFonts w:hint="eastAsia" w:ascii="宋体" w:hAnsi="宋体"/>
          <w:szCs w:val="21"/>
        </w:rPr>
        <w:t>1.8.2 供应商踏勘现场发生的费用自理。</w:t>
      </w:r>
    </w:p>
    <w:p w14:paraId="2DE463D1">
      <w:pPr>
        <w:adjustRightInd w:val="0"/>
        <w:ind w:firstLine="420" w:firstLineChars="200"/>
        <w:rPr>
          <w:rFonts w:ascii="宋体" w:hAnsi="宋体"/>
          <w:szCs w:val="21"/>
        </w:rPr>
      </w:pPr>
      <w:r>
        <w:rPr>
          <w:rFonts w:hint="eastAsia" w:ascii="宋体" w:hAnsi="宋体"/>
          <w:szCs w:val="21"/>
        </w:rPr>
        <w:t>1.8.3 除采购人或采购代理机构的原因外，供应商自行负责在踏勘现场中所发生的人员伤亡和财产损失。</w:t>
      </w:r>
    </w:p>
    <w:p w14:paraId="3B0DA87E">
      <w:pPr>
        <w:adjustRightInd w:val="0"/>
        <w:ind w:firstLine="420" w:firstLineChars="200"/>
        <w:rPr>
          <w:rFonts w:ascii="宋体" w:hAnsi="宋体"/>
          <w:szCs w:val="21"/>
        </w:rPr>
      </w:pPr>
      <w:r>
        <w:rPr>
          <w:rFonts w:hint="eastAsia" w:ascii="宋体" w:hAnsi="宋体"/>
          <w:szCs w:val="21"/>
        </w:rPr>
        <w:t>1.8.4 采购人或采购代理机构在踏勘现场中介绍的工程场地和相关的周边环境情况，供应商在编制响应文件时参考，采购人或采购代理机构不对供应商据此作出的判断和决策负责。</w:t>
      </w:r>
    </w:p>
    <w:p w14:paraId="00F8C5BF">
      <w:pPr>
        <w:adjustRightInd w:val="0"/>
        <w:ind w:firstLine="420" w:firstLineChars="200"/>
        <w:rPr>
          <w:rFonts w:ascii="宋体" w:hAnsi="宋体"/>
          <w:szCs w:val="21"/>
        </w:rPr>
      </w:pPr>
      <w:r>
        <w:rPr>
          <w:rFonts w:hint="eastAsia" w:ascii="宋体" w:hAnsi="宋体"/>
          <w:szCs w:val="21"/>
        </w:rPr>
        <w:t>1.9 采购答疑会和采购澄清答疑要求</w:t>
      </w:r>
    </w:p>
    <w:p w14:paraId="17A904D9">
      <w:pPr>
        <w:adjustRightInd w:val="0"/>
        <w:ind w:firstLine="420" w:firstLineChars="200"/>
        <w:rPr>
          <w:rFonts w:ascii="宋体" w:hAnsi="宋体"/>
          <w:szCs w:val="21"/>
        </w:rPr>
      </w:pPr>
      <w:r>
        <w:rPr>
          <w:rFonts w:hint="eastAsia" w:ascii="宋体" w:hAnsi="宋体"/>
          <w:szCs w:val="21"/>
        </w:rPr>
        <w:t>1.9.1 供应商须知前附表规定召开采购答疑会的，采购人或采购代理机构按照供应商须知前附表规定的时间和地点召开采购答疑会，澄清供应商提出的问题。</w:t>
      </w:r>
    </w:p>
    <w:p w14:paraId="346ADE01">
      <w:pPr>
        <w:adjustRightInd w:val="0"/>
        <w:ind w:firstLine="420" w:firstLineChars="200"/>
        <w:rPr>
          <w:rFonts w:ascii="宋体" w:hAnsi="宋体"/>
          <w:szCs w:val="21"/>
        </w:rPr>
      </w:pPr>
      <w:r>
        <w:rPr>
          <w:rFonts w:hint="eastAsia" w:ascii="宋体" w:hAnsi="宋体"/>
          <w:szCs w:val="21"/>
        </w:rPr>
        <w:t>1.9.2 供应商若有疑问，应按供应商须知前附表规定的时间、方式向采购人或采购代理机构一次性提出，要求采购人对竞争性磋商文件予以澄清。</w:t>
      </w:r>
    </w:p>
    <w:p w14:paraId="2813FB30">
      <w:pPr>
        <w:adjustRightInd w:val="0"/>
        <w:ind w:firstLine="420" w:firstLineChars="200"/>
        <w:rPr>
          <w:rFonts w:ascii="宋体" w:hAnsi="宋体"/>
          <w:szCs w:val="21"/>
        </w:rPr>
      </w:pPr>
      <w:r>
        <w:rPr>
          <w:rFonts w:hint="eastAsia" w:ascii="宋体" w:hAnsi="宋体"/>
          <w:szCs w:val="21"/>
        </w:rPr>
        <w:t>1.9.3采购人或采购代理机构将按照供应商须知前附表规定的时间方式对供应商的疑问作出统一的解答。</w:t>
      </w:r>
    </w:p>
    <w:p w14:paraId="64BCFD15">
      <w:pPr>
        <w:adjustRightInd w:val="0"/>
        <w:ind w:firstLine="420"/>
        <w:rPr>
          <w:rFonts w:ascii="宋体" w:hAnsi="宋体" w:cs="宋体"/>
          <w:szCs w:val="21"/>
        </w:rPr>
      </w:pPr>
      <w:r>
        <w:rPr>
          <w:rFonts w:hint="eastAsia" w:ascii="宋体" w:hAnsi="宋体"/>
          <w:szCs w:val="21"/>
        </w:rPr>
        <w:t>1.10</w:t>
      </w:r>
      <w:r>
        <w:rPr>
          <w:rFonts w:hint="eastAsia" w:ascii="宋体" w:hAnsi="宋体" w:cs="宋体"/>
          <w:szCs w:val="21"/>
        </w:rPr>
        <w:t>响应文件份数</w:t>
      </w:r>
      <w:r>
        <w:rPr>
          <w:rFonts w:hint="eastAsia" w:ascii="宋体" w:hAnsi="宋体"/>
          <w:szCs w:val="21"/>
        </w:rPr>
        <w:t>：见供应商须知前附表。</w:t>
      </w:r>
    </w:p>
    <w:p w14:paraId="44388ED0">
      <w:pPr>
        <w:adjustRightInd w:val="0"/>
        <w:ind w:firstLine="420"/>
        <w:rPr>
          <w:rFonts w:ascii="宋体" w:hAnsi="宋体" w:cs="宋体"/>
          <w:szCs w:val="21"/>
        </w:rPr>
      </w:pPr>
      <w:r>
        <w:rPr>
          <w:rFonts w:hint="eastAsia" w:ascii="宋体" w:hAnsi="宋体" w:cs="宋体"/>
          <w:szCs w:val="21"/>
        </w:rPr>
        <w:t>1.11响应文件递交</w:t>
      </w:r>
      <w:r>
        <w:rPr>
          <w:rFonts w:hint="eastAsia" w:ascii="宋体" w:hAnsi="宋体"/>
          <w:szCs w:val="21"/>
        </w:rPr>
        <w:t>：见供应商须知前附表。</w:t>
      </w:r>
    </w:p>
    <w:p w14:paraId="080A0B8E">
      <w:pPr>
        <w:adjustRightInd w:val="0"/>
        <w:ind w:firstLine="420"/>
        <w:rPr>
          <w:rFonts w:ascii="宋体" w:hAnsi="宋体" w:cs="宋体"/>
          <w:szCs w:val="21"/>
        </w:rPr>
      </w:pPr>
      <w:r>
        <w:rPr>
          <w:rFonts w:hint="eastAsia" w:ascii="宋体" w:hAnsi="宋体" w:cs="宋体"/>
          <w:szCs w:val="21"/>
        </w:rPr>
        <w:t>1.12开标</w:t>
      </w:r>
      <w:r>
        <w:rPr>
          <w:rFonts w:hint="eastAsia" w:ascii="宋体" w:hAnsi="宋体"/>
          <w:szCs w:val="21"/>
        </w:rPr>
        <w:t>：见供应商须知前附表。</w:t>
      </w:r>
    </w:p>
    <w:p w14:paraId="017EF922">
      <w:pPr>
        <w:adjustRightInd w:val="0"/>
        <w:ind w:firstLine="420"/>
        <w:rPr>
          <w:rFonts w:ascii="宋体" w:hAnsi="宋体" w:cs="宋体"/>
          <w:szCs w:val="21"/>
        </w:rPr>
      </w:pPr>
      <w:r>
        <w:rPr>
          <w:rFonts w:hint="eastAsia" w:ascii="宋体" w:hAnsi="宋体" w:cs="宋体"/>
          <w:szCs w:val="21"/>
        </w:rPr>
        <w:t>1.13投标有效期</w:t>
      </w:r>
      <w:r>
        <w:rPr>
          <w:rFonts w:hint="eastAsia" w:ascii="宋体" w:hAnsi="宋体"/>
          <w:szCs w:val="21"/>
        </w:rPr>
        <w:t>：见供应商须知前附表。</w:t>
      </w:r>
    </w:p>
    <w:p w14:paraId="60D8338A">
      <w:pPr>
        <w:adjustRightInd w:val="0"/>
        <w:ind w:firstLine="420"/>
        <w:rPr>
          <w:rFonts w:ascii="宋体" w:hAnsi="宋体" w:cs="宋体"/>
          <w:szCs w:val="21"/>
        </w:rPr>
      </w:pPr>
      <w:r>
        <w:rPr>
          <w:rFonts w:hint="eastAsia" w:ascii="宋体" w:hAnsi="宋体" w:cs="宋体"/>
          <w:szCs w:val="21"/>
        </w:rPr>
        <w:t>1.14磋商公告发布媒介</w:t>
      </w:r>
      <w:r>
        <w:rPr>
          <w:rFonts w:hint="eastAsia" w:ascii="宋体" w:hAnsi="宋体"/>
          <w:szCs w:val="21"/>
        </w:rPr>
        <w:t>：见供应商须知前附表。</w:t>
      </w:r>
    </w:p>
    <w:p w14:paraId="25A347E0">
      <w:pPr>
        <w:adjustRightInd w:val="0"/>
        <w:ind w:firstLine="420"/>
        <w:rPr>
          <w:rFonts w:ascii="宋体" w:hAnsi="宋体" w:cs="宋体"/>
          <w:szCs w:val="21"/>
        </w:rPr>
      </w:pPr>
      <w:r>
        <w:rPr>
          <w:rFonts w:hint="eastAsia" w:ascii="宋体" w:hAnsi="宋体" w:cs="宋体"/>
          <w:szCs w:val="21"/>
        </w:rPr>
        <w:t>1.15履约保证金</w:t>
      </w:r>
      <w:r>
        <w:rPr>
          <w:rFonts w:hint="eastAsia" w:ascii="宋体" w:hAnsi="宋体"/>
          <w:szCs w:val="21"/>
        </w:rPr>
        <w:t>：见供应商须知前附表。</w:t>
      </w:r>
    </w:p>
    <w:p w14:paraId="71046DA8">
      <w:pPr>
        <w:adjustRightInd w:val="0"/>
        <w:ind w:firstLine="420" w:firstLineChars="200"/>
        <w:rPr>
          <w:rFonts w:ascii="宋体" w:hAnsi="宋体"/>
          <w:szCs w:val="21"/>
        </w:rPr>
      </w:pPr>
      <w:r>
        <w:rPr>
          <w:rFonts w:hint="eastAsia" w:ascii="宋体" w:hAnsi="宋体"/>
          <w:szCs w:val="21"/>
        </w:rPr>
        <w:t>1.16保密</w:t>
      </w:r>
    </w:p>
    <w:p w14:paraId="06900503">
      <w:pPr>
        <w:adjustRightInd w:val="0"/>
        <w:ind w:firstLine="420" w:firstLineChars="200"/>
        <w:rPr>
          <w:rFonts w:ascii="宋体" w:hAnsi="宋体"/>
          <w:szCs w:val="21"/>
        </w:rPr>
      </w:pPr>
      <w:r>
        <w:rPr>
          <w:rFonts w:hint="eastAsia" w:ascii="宋体" w:hAnsi="宋体"/>
          <w:szCs w:val="21"/>
        </w:rPr>
        <w:t>参与采购活动的各方应当对竞争性磋商文件和响应文件中的商业和技术等秘密保密，否则应当承担相应的法律责任。</w:t>
      </w:r>
    </w:p>
    <w:p w14:paraId="4E43E000">
      <w:pPr>
        <w:adjustRightInd w:val="0"/>
        <w:ind w:firstLine="420" w:firstLineChars="200"/>
        <w:rPr>
          <w:rFonts w:ascii="宋体" w:hAnsi="宋体"/>
          <w:szCs w:val="21"/>
        </w:rPr>
      </w:pPr>
      <w:r>
        <w:rPr>
          <w:rFonts w:hint="eastAsia" w:ascii="宋体" w:hAnsi="宋体"/>
          <w:szCs w:val="21"/>
        </w:rPr>
        <w:t>1.17语言文字</w:t>
      </w:r>
    </w:p>
    <w:p w14:paraId="2473B9B7">
      <w:pPr>
        <w:adjustRightInd w:val="0"/>
        <w:ind w:firstLine="420" w:firstLineChars="200"/>
        <w:rPr>
          <w:rFonts w:ascii="宋体" w:hAnsi="宋体"/>
          <w:szCs w:val="21"/>
        </w:rPr>
      </w:pPr>
      <w:r>
        <w:rPr>
          <w:rFonts w:hint="eastAsia" w:ascii="宋体" w:hAnsi="宋体"/>
          <w:szCs w:val="21"/>
        </w:rPr>
        <w:t>除专用术语外，与采购活动有关的语言均应当使用中文。必要时专用术语应附有中文注释。</w:t>
      </w:r>
    </w:p>
    <w:p w14:paraId="1DD6CFAC">
      <w:pPr>
        <w:adjustRightInd w:val="0"/>
        <w:ind w:firstLine="420" w:firstLineChars="200"/>
        <w:rPr>
          <w:rFonts w:ascii="宋体" w:hAnsi="宋体"/>
          <w:szCs w:val="21"/>
        </w:rPr>
      </w:pPr>
      <w:r>
        <w:rPr>
          <w:rFonts w:hint="eastAsia" w:ascii="宋体" w:hAnsi="宋体"/>
          <w:szCs w:val="21"/>
        </w:rPr>
        <w:t>1.18 计量单位</w:t>
      </w:r>
    </w:p>
    <w:p w14:paraId="4BA1CB74">
      <w:pPr>
        <w:adjustRightInd w:val="0"/>
        <w:ind w:firstLine="420" w:firstLineChars="200"/>
        <w:rPr>
          <w:rFonts w:ascii="宋体" w:hAnsi="宋体"/>
          <w:szCs w:val="21"/>
        </w:rPr>
      </w:pPr>
      <w:r>
        <w:rPr>
          <w:rFonts w:hint="eastAsia" w:ascii="宋体" w:hAnsi="宋体"/>
          <w:szCs w:val="21"/>
        </w:rPr>
        <w:t>所有计量均采用中华人民共和国法定计量单位。</w:t>
      </w:r>
    </w:p>
    <w:p w14:paraId="25789315">
      <w:pPr>
        <w:adjustRightInd w:val="0"/>
        <w:ind w:firstLine="420" w:firstLineChars="200"/>
        <w:rPr>
          <w:rFonts w:ascii="宋体" w:hAnsi="宋体"/>
          <w:szCs w:val="21"/>
        </w:rPr>
      </w:pPr>
      <w:r>
        <w:rPr>
          <w:rFonts w:hint="eastAsia" w:ascii="宋体" w:hAnsi="宋体"/>
          <w:szCs w:val="21"/>
        </w:rPr>
        <w:t>1.19偏离</w:t>
      </w:r>
    </w:p>
    <w:p w14:paraId="7FEF71C4">
      <w:pPr>
        <w:adjustRightInd w:val="0"/>
        <w:ind w:firstLine="420" w:firstLineChars="200"/>
        <w:rPr>
          <w:rFonts w:ascii="宋体" w:hAnsi="宋体"/>
          <w:szCs w:val="21"/>
        </w:rPr>
      </w:pPr>
      <w:bookmarkStart w:id="26" w:name="_Toc486588517"/>
      <w:bookmarkStart w:id="27" w:name="_Toc486588755"/>
      <w:bookmarkStart w:id="28" w:name="_Toc486588362"/>
      <w:bookmarkStart w:id="29" w:name="_Toc486587971"/>
      <w:bookmarkStart w:id="30" w:name="_Toc486588856"/>
      <w:r>
        <w:rPr>
          <w:rFonts w:ascii="宋体" w:hAnsi="宋体"/>
          <w:szCs w:val="21"/>
        </w:rPr>
        <w:t>1.</w:t>
      </w:r>
      <w:r>
        <w:rPr>
          <w:rFonts w:hint="eastAsia" w:ascii="宋体" w:hAnsi="宋体"/>
          <w:szCs w:val="21"/>
        </w:rPr>
        <w:t>19.1本条所称偏离为响应文件对竞争性磋商文件的偏离，即不满足、或不响应竞争性磋商文件的要求。偏离分为对竞争性磋商文件的实质性要求条款偏离和对竞争性磋商文件的一般商务和技术条款偏离。</w:t>
      </w:r>
    </w:p>
    <w:p w14:paraId="2ABD79A9">
      <w:pPr>
        <w:adjustRightInd w:val="0"/>
        <w:ind w:firstLine="420" w:firstLineChars="200"/>
        <w:rPr>
          <w:rFonts w:ascii="宋体" w:hAnsi="宋体"/>
          <w:szCs w:val="21"/>
        </w:rPr>
      </w:pPr>
      <w:r>
        <w:rPr>
          <w:rFonts w:ascii="宋体" w:hAnsi="宋体"/>
          <w:szCs w:val="21"/>
        </w:rPr>
        <w:t>1.</w:t>
      </w:r>
      <w:r>
        <w:rPr>
          <w:rFonts w:hint="eastAsia" w:ascii="宋体" w:hAnsi="宋体"/>
          <w:szCs w:val="21"/>
        </w:rPr>
        <w:t>19.2除法律、法规和规章规定外。竞争性磋商文件中加下划线、“拒绝”“不接受”“无效”“不得”“投标被否决”等文字规定或标注“★”符号的条款为实质性要求条款（即重要条款），对其中任一条的偏离，在评审时将其视为无效响应。未用上述文字规定或符号标注的条款为非实质性要求条款（即一般条款）。着重提醒各供应商注意，并认真查看竞争性磋商文件中的每一个条款及要求，因误读竞争性磋商文件而造成的后果，采购人概不负责。</w:t>
      </w:r>
    </w:p>
    <w:p w14:paraId="61EA2688">
      <w:pPr>
        <w:adjustRightInd w:val="0"/>
        <w:ind w:firstLine="420"/>
        <w:rPr>
          <w:rFonts w:ascii="宋体" w:hAnsi="宋体"/>
          <w:szCs w:val="21"/>
        </w:rPr>
      </w:pPr>
      <w:r>
        <w:rPr>
          <w:rFonts w:hint="eastAsia" w:ascii="宋体" w:hAnsi="宋体"/>
          <w:szCs w:val="21"/>
        </w:rPr>
        <w:t>1.20政府采购政策的支持</w:t>
      </w:r>
    </w:p>
    <w:p w14:paraId="2036B6DF">
      <w:pPr>
        <w:adjustRightInd w:val="0"/>
        <w:ind w:firstLine="420"/>
        <w:rPr>
          <w:rFonts w:ascii="宋体" w:hAnsi="宋体"/>
          <w:szCs w:val="21"/>
        </w:rPr>
      </w:pPr>
      <w:r>
        <w:rPr>
          <w:rFonts w:hint="eastAsia" w:ascii="宋体" w:hAnsi="宋体"/>
          <w:szCs w:val="21"/>
        </w:rPr>
        <w:t>1)政府采购有关的货物采购执行环境标志产品政府优先采购政策。在采购过程中执行最新一期的环境标志产品政府采购清单。优先采购政策规定可在：中国政府采购网（http://www.ccgp.gov.cn/）查询。</w:t>
      </w:r>
    </w:p>
    <w:p w14:paraId="2E53A433">
      <w:pPr>
        <w:adjustRightInd w:val="0"/>
        <w:ind w:firstLine="420"/>
        <w:rPr>
          <w:rFonts w:ascii="宋体" w:hAnsi="宋体"/>
          <w:szCs w:val="21"/>
        </w:rPr>
      </w:pPr>
      <w:r>
        <w:rPr>
          <w:rFonts w:hint="eastAsia" w:ascii="宋体" w:hAnsi="宋体"/>
          <w:szCs w:val="21"/>
        </w:rPr>
        <w:t>2)政府采购有关的货物采购应当执行节能产品政府强制采购和优先采购政策。在采购过程中执行最新一期的节能产品政府采购清单。优先采购政策规定可在：中国政府采购网（http://www.ccgp.gov.cn/）查询。</w:t>
      </w:r>
    </w:p>
    <w:p w14:paraId="61772258">
      <w:pPr>
        <w:adjustRightInd w:val="0"/>
        <w:ind w:firstLine="420"/>
        <w:rPr>
          <w:rFonts w:ascii="宋体" w:hAnsi="宋体"/>
          <w:szCs w:val="21"/>
        </w:rPr>
      </w:pPr>
      <w:r>
        <w:rPr>
          <w:rFonts w:hint="eastAsia" w:ascii="宋体" w:hAnsi="宋体"/>
          <w:szCs w:val="21"/>
        </w:rPr>
        <w:t>3)供应商在签署相关承诺、提供相关信息前，应当认真阅读财政部门的相关政策规定。符合本章第1)-3)款规定的，应当提供相关的证明材料。</w:t>
      </w:r>
    </w:p>
    <w:p w14:paraId="58A761EA">
      <w:pPr>
        <w:tabs>
          <w:tab w:val="center" w:pos="4832"/>
          <w:tab w:val="left" w:pos="7140"/>
        </w:tabs>
        <w:adjustRightInd w:val="0"/>
        <w:ind w:firstLine="413" w:firstLineChars="196"/>
        <w:jc w:val="left"/>
        <w:outlineLvl w:val="1"/>
        <w:rPr>
          <w:rFonts w:ascii="宋体" w:hAnsi="宋体" w:cs="宋体"/>
          <w:b/>
          <w:szCs w:val="21"/>
        </w:rPr>
      </w:pPr>
      <w:bookmarkStart w:id="31" w:name="_Toc13653"/>
      <w:r>
        <w:rPr>
          <w:rFonts w:ascii="宋体" w:hAnsi="宋体" w:cs="宋体"/>
          <w:b/>
          <w:szCs w:val="21"/>
        </w:rPr>
        <w:t>2．竞争性磋商文件</w:t>
      </w:r>
      <w:bookmarkEnd w:id="26"/>
      <w:bookmarkEnd w:id="27"/>
      <w:bookmarkEnd w:id="28"/>
      <w:bookmarkEnd w:id="29"/>
      <w:bookmarkEnd w:id="30"/>
      <w:bookmarkEnd w:id="31"/>
    </w:p>
    <w:p w14:paraId="13FF4043">
      <w:pPr>
        <w:adjustRightInd w:val="0"/>
        <w:ind w:firstLine="420" w:firstLineChars="200"/>
        <w:rPr>
          <w:rFonts w:ascii="宋体" w:hAnsi="宋体"/>
          <w:szCs w:val="21"/>
        </w:rPr>
      </w:pPr>
      <w:bookmarkStart w:id="32" w:name="_BookMark_6"/>
      <w:bookmarkEnd w:id="32"/>
      <w:r>
        <w:rPr>
          <w:rFonts w:hint="eastAsia" w:ascii="宋体" w:hAnsi="宋体"/>
          <w:szCs w:val="21"/>
        </w:rPr>
        <w:t>2.1 竞争性磋商文件的组成</w:t>
      </w:r>
    </w:p>
    <w:p w14:paraId="050BA400">
      <w:pPr>
        <w:adjustRightInd w:val="0"/>
        <w:ind w:firstLine="420" w:firstLineChars="200"/>
        <w:rPr>
          <w:rFonts w:ascii="宋体" w:hAnsi="宋体"/>
          <w:szCs w:val="21"/>
        </w:rPr>
      </w:pPr>
      <w:r>
        <w:rPr>
          <w:rFonts w:hint="eastAsia" w:ascii="宋体" w:hAnsi="宋体"/>
          <w:szCs w:val="21"/>
        </w:rPr>
        <w:t>（1）竞争性磋商公告</w:t>
      </w:r>
    </w:p>
    <w:p w14:paraId="10CE1975">
      <w:pPr>
        <w:adjustRightInd w:val="0"/>
        <w:ind w:firstLine="420" w:firstLineChars="200"/>
        <w:rPr>
          <w:rFonts w:ascii="宋体" w:hAnsi="宋体"/>
          <w:szCs w:val="21"/>
        </w:rPr>
      </w:pPr>
      <w:r>
        <w:rPr>
          <w:rFonts w:hint="eastAsia" w:ascii="宋体" w:hAnsi="宋体"/>
          <w:szCs w:val="21"/>
        </w:rPr>
        <w:t>（2）供应商须知；</w:t>
      </w:r>
    </w:p>
    <w:p w14:paraId="3467DEE0">
      <w:pPr>
        <w:adjustRightInd w:val="0"/>
        <w:ind w:firstLine="420" w:firstLineChars="200"/>
        <w:rPr>
          <w:rFonts w:ascii="宋体" w:hAnsi="宋体"/>
          <w:szCs w:val="21"/>
        </w:rPr>
      </w:pPr>
      <w:r>
        <w:rPr>
          <w:rFonts w:hint="eastAsia" w:ascii="宋体" w:hAnsi="宋体"/>
          <w:szCs w:val="21"/>
        </w:rPr>
        <w:t>（3）评标方法；</w:t>
      </w:r>
    </w:p>
    <w:p w14:paraId="6AE5CFDB">
      <w:pPr>
        <w:adjustRightInd w:val="0"/>
        <w:ind w:firstLine="420" w:firstLineChars="200"/>
        <w:rPr>
          <w:rFonts w:ascii="宋体" w:hAnsi="宋体"/>
          <w:szCs w:val="21"/>
        </w:rPr>
      </w:pPr>
      <w:r>
        <w:rPr>
          <w:rFonts w:hint="eastAsia" w:ascii="宋体" w:hAnsi="宋体"/>
          <w:szCs w:val="21"/>
        </w:rPr>
        <w:t>（4）合同条款及格式；</w:t>
      </w:r>
    </w:p>
    <w:p w14:paraId="6E0E7D39">
      <w:pPr>
        <w:adjustRightInd w:val="0"/>
        <w:ind w:firstLine="420" w:firstLineChars="200"/>
        <w:rPr>
          <w:rFonts w:ascii="宋体" w:hAnsi="宋体"/>
          <w:szCs w:val="21"/>
        </w:rPr>
      </w:pPr>
      <w:r>
        <w:rPr>
          <w:rFonts w:hint="eastAsia" w:ascii="宋体" w:hAnsi="宋体"/>
          <w:szCs w:val="21"/>
        </w:rPr>
        <w:t>（5）技术规范及采购需求；</w:t>
      </w:r>
    </w:p>
    <w:p w14:paraId="6ADB1967">
      <w:pPr>
        <w:adjustRightInd w:val="0"/>
        <w:ind w:firstLine="420" w:firstLineChars="200"/>
        <w:rPr>
          <w:rFonts w:ascii="宋体" w:hAnsi="宋体"/>
          <w:szCs w:val="21"/>
        </w:rPr>
      </w:pPr>
      <w:r>
        <w:rPr>
          <w:rFonts w:hint="eastAsia" w:ascii="宋体" w:hAnsi="宋体"/>
          <w:szCs w:val="21"/>
        </w:rPr>
        <w:t>（6）图纸和技术资料；</w:t>
      </w:r>
    </w:p>
    <w:p w14:paraId="61953899">
      <w:pPr>
        <w:adjustRightInd w:val="0"/>
        <w:ind w:firstLine="420" w:firstLineChars="200"/>
        <w:rPr>
          <w:rFonts w:ascii="宋体" w:hAnsi="宋体"/>
          <w:szCs w:val="21"/>
        </w:rPr>
      </w:pPr>
      <w:r>
        <w:rPr>
          <w:rFonts w:hint="eastAsia" w:ascii="宋体" w:hAnsi="宋体"/>
          <w:szCs w:val="21"/>
        </w:rPr>
        <w:t>（7）工程量清单；</w:t>
      </w:r>
    </w:p>
    <w:p w14:paraId="11D78509">
      <w:pPr>
        <w:adjustRightInd w:val="0"/>
        <w:ind w:firstLine="420" w:firstLineChars="200"/>
        <w:rPr>
          <w:rFonts w:ascii="宋体" w:hAnsi="宋体"/>
          <w:szCs w:val="21"/>
        </w:rPr>
      </w:pPr>
      <w:r>
        <w:rPr>
          <w:rFonts w:hint="eastAsia" w:ascii="宋体" w:hAnsi="宋体"/>
          <w:szCs w:val="21"/>
        </w:rPr>
        <w:t>（8）响应文件格式；</w:t>
      </w:r>
    </w:p>
    <w:p w14:paraId="6CA462A4">
      <w:pPr>
        <w:adjustRightInd w:val="0"/>
        <w:ind w:firstLine="420" w:firstLineChars="200"/>
        <w:rPr>
          <w:rFonts w:ascii="宋体" w:hAnsi="宋体"/>
          <w:szCs w:val="21"/>
        </w:rPr>
      </w:pPr>
      <w:r>
        <w:rPr>
          <w:rFonts w:hint="eastAsia" w:ascii="宋体" w:hAnsi="宋体"/>
          <w:szCs w:val="21"/>
        </w:rPr>
        <w:t>（9）补充条款。</w:t>
      </w:r>
    </w:p>
    <w:p w14:paraId="53BC3359">
      <w:pPr>
        <w:adjustRightInd w:val="0"/>
        <w:ind w:firstLine="420" w:firstLineChars="200"/>
        <w:rPr>
          <w:rFonts w:ascii="宋体" w:hAnsi="宋体"/>
          <w:szCs w:val="21"/>
        </w:rPr>
      </w:pPr>
      <w:r>
        <w:rPr>
          <w:rFonts w:hint="eastAsia" w:ascii="宋体" w:hAnsi="宋体"/>
          <w:szCs w:val="21"/>
        </w:rPr>
        <w:t>根据本章第2.4款和第2.5款对竞争性磋商文件所作的澄清、修改，构成竞争性磋商文件的组成部分。</w:t>
      </w:r>
    </w:p>
    <w:p w14:paraId="5696B6D5">
      <w:pPr>
        <w:adjustRightInd w:val="0"/>
        <w:ind w:firstLine="420" w:firstLineChars="200"/>
        <w:rPr>
          <w:rFonts w:ascii="宋体" w:hAnsi="宋体"/>
          <w:szCs w:val="21"/>
        </w:rPr>
      </w:pPr>
      <w:r>
        <w:rPr>
          <w:rFonts w:hint="eastAsia" w:ascii="宋体" w:hAnsi="宋体"/>
          <w:szCs w:val="21"/>
        </w:rPr>
        <w:t>2.2竞争性磋商文件的获取</w:t>
      </w:r>
    </w:p>
    <w:p w14:paraId="345DE14E">
      <w:pPr>
        <w:adjustRightInd w:val="0"/>
        <w:ind w:firstLine="420" w:firstLineChars="200"/>
        <w:rPr>
          <w:rFonts w:ascii="宋体" w:hAnsi="宋体"/>
          <w:szCs w:val="21"/>
        </w:rPr>
      </w:pPr>
      <w:r>
        <w:rPr>
          <w:rFonts w:hint="eastAsia" w:ascii="宋体" w:hAnsi="宋体"/>
          <w:szCs w:val="21"/>
        </w:rPr>
        <w:t>凡有意参加并符合供应商须知前附表“供应商资格条件和能力”的供应商，均可登陆政采云https://www.zcygov.cn/平台后进入“项目采购“应用，在获取文件菜单中选择项目，申请获取采购文件。</w:t>
      </w:r>
    </w:p>
    <w:p w14:paraId="4A62E2B8">
      <w:pPr>
        <w:adjustRightInd w:val="0"/>
        <w:ind w:firstLine="420" w:firstLineChars="200"/>
        <w:rPr>
          <w:rFonts w:ascii="宋体" w:hAnsi="宋体"/>
          <w:szCs w:val="21"/>
        </w:rPr>
      </w:pPr>
      <w:r>
        <w:rPr>
          <w:rFonts w:hint="eastAsia" w:ascii="宋体" w:hAnsi="宋体"/>
          <w:szCs w:val="21"/>
        </w:rPr>
        <w:t>2.3竞争性磋商文件的澄清</w:t>
      </w:r>
    </w:p>
    <w:p w14:paraId="032A530E">
      <w:pPr>
        <w:adjustRightInd w:val="0"/>
        <w:ind w:firstLine="420" w:firstLineChars="200"/>
        <w:rPr>
          <w:rFonts w:ascii="宋体" w:hAnsi="宋体"/>
          <w:szCs w:val="21"/>
        </w:rPr>
      </w:pPr>
      <w:r>
        <w:rPr>
          <w:rFonts w:hint="eastAsia" w:ascii="宋体" w:hAnsi="宋体"/>
          <w:szCs w:val="21"/>
        </w:rPr>
        <w:t>2.3.1供应商应当仔细阅读和检查竞争性磋商文件的全部内容。如发现内容不全，应当及时向采购人提出，以便补齐。如有疑问，应当在供应商须知前附表规定的时间、方式向采购人提出，要求采购人对竞争性磋商文件予以澄清。</w:t>
      </w:r>
    </w:p>
    <w:p w14:paraId="07FE22EC">
      <w:pPr>
        <w:adjustRightInd w:val="0"/>
        <w:ind w:firstLine="420" w:firstLineChars="200"/>
        <w:rPr>
          <w:rFonts w:ascii="宋体" w:hAnsi="宋体"/>
          <w:szCs w:val="21"/>
        </w:rPr>
      </w:pPr>
      <w:r>
        <w:rPr>
          <w:rFonts w:hint="eastAsia" w:ascii="宋体" w:hAnsi="宋体"/>
          <w:szCs w:val="21"/>
        </w:rPr>
        <w:t>2.3.2竞争性磋商文件的澄清将按照供应商须知前附表规定的时间、方式发布，但不指明澄清问题的来源。</w:t>
      </w:r>
    </w:p>
    <w:p w14:paraId="089E3AA3">
      <w:pPr>
        <w:adjustRightInd w:val="0"/>
        <w:ind w:firstLine="420" w:firstLineChars="200"/>
        <w:rPr>
          <w:rFonts w:ascii="宋体" w:hAnsi="宋体"/>
          <w:szCs w:val="21"/>
        </w:rPr>
      </w:pPr>
      <w:r>
        <w:rPr>
          <w:rFonts w:hint="eastAsia" w:ascii="宋体" w:hAnsi="宋体"/>
          <w:szCs w:val="21"/>
        </w:rPr>
        <w:t>2.4竞争性磋商文件的修改</w:t>
      </w:r>
    </w:p>
    <w:p w14:paraId="2FEA5B52">
      <w:pPr>
        <w:adjustRightInd w:val="0"/>
        <w:ind w:firstLine="420" w:firstLineChars="200"/>
        <w:rPr>
          <w:rFonts w:ascii="宋体" w:hAnsi="宋体"/>
          <w:szCs w:val="21"/>
        </w:rPr>
      </w:pPr>
      <w:r>
        <w:rPr>
          <w:rFonts w:hint="eastAsia" w:ascii="宋体" w:hAnsi="宋体"/>
          <w:szCs w:val="21"/>
        </w:rPr>
        <w:t>2.4.1竞争性磋商文件的修改将按照供应商须知前附表规定的时间、方式发布，但不指明澄清问题的来源。</w:t>
      </w:r>
    </w:p>
    <w:p w14:paraId="2C9892FB">
      <w:pPr>
        <w:adjustRightInd w:val="0"/>
        <w:ind w:firstLine="420" w:firstLineChars="200"/>
        <w:rPr>
          <w:rFonts w:ascii="宋体" w:hAnsi="宋体"/>
          <w:szCs w:val="21"/>
        </w:rPr>
      </w:pPr>
      <w:r>
        <w:rPr>
          <w:rFonts w:hint="eastAsia" w:ascii="宋体" w:hAnsi="宋体"/>
          <w:szCs w:val="21"/>
        </w:rPr>
        <w:t>2.4.2在供应商须知前附表规定的截止时间前，无论出于何种原因，采购代理机构和采购人可主动地或在解答潜在供应商提出的澄清问题时对竞争性磋商文件进行修改。</w:t>
      </w:r>
    </w:p>
    <w:p w14:paraId="09C1EB7B">
      <w:pPr>
        <w:adjustRightInd w:val="0"/>
        <w:ind w:firstLine="420" w:firstLineChars="200"/>
        <w:rPr>
          <w:rFonts w:ascii="宋体" w:hAnsi="宋体"/>
          <w:szCs w:val="21"/>
        </w:rPr>
      </w:pPr>
      <w:r>
        <w:rPr>
          <w:rFonts w:hint="eastAsia" w:ascii="宋体" w:hAnsi="宋体"/>
          <w:szCs w:val="21"/>
        </w:rPr>
        <w:t>2.4.3竞争性磋商文件的修改部分是竞争性磋商文件的组成部分对供应商具有约束力。</w:t>
      </w:r>
    </w:p>
    <w:p w14:paraId="19C9A5DF">
      <w:pPr>
        <w:adjustRightInd w:val="0"/>
        <w:ind w:firstLine="420" w:firstLineChars="200"/>
        <w:rPr>
          <w:rFonts w:ascii="宋体" w:hAnsi="宋体"/>
          <w:szCs w:val="21"/>
        </w:rPr>
      </w:pPr>
      <w:r>
        <w:rPr>
          <w:rFonts w:hint="eastAsia" w:ascii="宋体" w:hAnsi="宋体"/>
          <w:szCs w:val="21"/>
        </w:rPr>
        <w:t>2.4.4为使供应商准备投标时有充分时间对竞争性磋商文件的修改部分进行研究，采购人可适当推迟投标截止期。</w:t>
      </w:r>
    </w:p>
    <w:p w14:paraId="374D0E08">
      <w:pPr>
        <w:adjustRightInd w:val="0"/>
        <w:ind w:firstLine="420" w:firstLineChars="200"/>
        <w:rPr>
          <w:rFonts w:ascii="宋体" w:hAnsi="宋体"/>
          <w:szCs w:val="21"/>
        </w:rPr>
      </w:pPr>
      <w:r>
        <w:rPr>
          <w:rFonts w:hint="eastAsia" w:ascii="宋体" w:hAnsi="宋体"/>
          <w:szCs w:val="21"/>
        </w:rPr>
        <w:t>2.4.5采购人发放的竞争性磋商文件及竞争性磋商文件的答疑文件、修改文件、补充文件前后不一致，发生矛盾情况时，以最后发出的为准。</w:t>
      </w:r>
    </w:p>
    <w:p w14:paraId="51650EAA">
      <w:pPr>
        <w:adjustRightInd w:val="0"/>
        <w:ind w:firstLine="420" w:firstLineChars="200"/>
        <w:rPr>
          <w:rFonts w:ascii="宋体" w:hAnsi="宋体"/>
          <w:szCs w:val="21"/>
        </w:rPr>
      </w:pPr>
      <w:r>
        <w:rPr>
          <w:rFonts w:hint="eastAsia" w:ascii="宋体" w:hAnsi="宋体"/>
          <w:szCs w:val="21"/>
        </w:rPr>
        <w:t>2.4.6竞争性磋商文件各个组成部分之间出现歧义或相互矛盾，或任何文件中呈现明显的或不符合逻辑等的错误，或在文件编写过程中经常出现的打印错误等，供应商应将需要澄清的内容在供应商须知前附表规定的时间之前提出。根据合同条款中的相关约定，如果供应商在投标过程中未能发现并对有关歧义、矛盾或错误提出澄清请求，而在成交后发现并提出，成交人将必须接受由采购人依据合同有关条款而做出的书面澄清。</w:t>
      </w:r>
    </w:p>
    <w:bookmarkEnd w:id="24"/>
    <w:bookmarkEnd w:id="25"/>
    <w:p w14:paraId="5FE5E36B">
      <w:pPr>
        <w:tabs>
          <w:tab w:val="center" w:pos="4832"/>
          <w:tab w:val="left" w:pos="7140"/>
        </w:tabs>
        <w:adjustRightInd w:val="0"/>
        <w:ind w:firstLine="413" w:firstLineChars="196"/>
        <w:jc w:val="left"/>
        <w:outlineLvl w:val="1"/>
        <w:rPr>
          <w:rFonts w:ascii="宋体" w:hAnsi="宋体" w:cs="宋体"/>
          <w:b/>
          <w:szCs w:val="21"/>
        </w:rPr>
      </w:pPr>
      <w:bookmarkStart w:id="33" w:name="_Toc486588857"/>
      <w:bookmarkStart w:id="34" w:name="_Toc486588518"/>
      <w:bookmarkStart w:id="35" w:name="_Toc486588363"/>
      <w:bookmarkStart w:id="36" w:name="_Toc486587972"/>
      <w:bookmarkStart w:id="37" w:name="_Toc486588756"/>
      <w:bookmarkStart w:id="38" w:name="_Toc18306"/>
      <w:bookmarkStart w:id="39" w:name="_Toc481666263"/>
      <w:bookmarkStart w:id="40" w:name="_Toc481666737"/>
      <w:r>
        <w:rPr>
          <w:rFonts w:ascii="宋体" w:hAnsi="宋体" w:cs="宋体"/>
          <w:b/>
          <w:szCs w:val="21"/>
        </w:rPr>
        <w:t>3．</w:t>
      </w:r>
      <w:r>
        <w:rPr>
          <w:rFonts w:hint="eastAsia" w:ascii="宋体" w:hAnsi="宋体" w:cs="宋体"/>
          <w:b/>
          <w:szCs w:val="21"/>
        </w:rPr>
        <w:t>竞争性磋商</w:t>
      </w:r>
      <w:r>
        <w:rPr>
          <w:rFonts w:ascii="宋体" w:hAnsi="宋体" w:cs="宋体"/>
          <w:b/>
          <w:szCs w:val="21"/>
        </w:rPr>
        <w:t>响应文件</w:t>
      </w:r>
      <w:bookmarkEnd w:id="33"/>
      <w:bookmarkEnd w:id="34"/>
      <w:bookmarkEnd w:id="35"/>
      <w:bookmarkEnd w:id="36"/>
      <w:bookmarkEnd w:id="37"/>
      <w:bookmarkEnd w:id="38"/>
    </w:p>
    <w:p w14:paraId="766BFEA5">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3.1.要求</w:t>
      </w:r>
    </w:p>
    <w:p w14:paraId="40525403">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3.1.1供应商应详细阅读竞争性磋商文件中的条款、格式、表示、条件和规范等所有内容，按竞争性磋商文件的要求提供电子响应文件，并保证所提供的全部材料的真实性，以使其投标对竞争性磋商文件做出实质性响应。否则，其投标可能被拒绝。</w:t>
      </w:r>
    </w:p>
    <w:p w14:paraId="2AFCB686">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3.1.2响应文件语言和度量单位</w:t>
      </w:r>
    </w:p>
    <w:p w14:paraId="1A33B744">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1）响应文件及供应商和采购人就采购、投标响应交换的文件和往来信件，须以中文书写。供应商可提交其他语言的资料，但应附中文注释，在有差异时，以中文为主。</w:t>
      </w:r>
    </w:p>
    <w:p w14:paraId="017157EE">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2）除在竞争性磋商文件的技术规格中另有规定外，计量单位应使用中华人民共和国法定计量单位（国际单位制和国家选定的其它计量单位）。</w:t>
      </w:r>
    </w:p>
    <w:p w14:paraId="5A133B49">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3.2.响应文件的组成</w:t>
      </w:r>
    </w:p>
    <w:p w14:paraId="2B91463F">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1）响应文件组成内容详见响应文件格式</w:t>
      </w:r>
    </w:p>
    <w:p w14:paraId="05570973">
      <w:pPr>
        <w:widowControl/>
        <w:shd w:val="clear" w:color="auto" w:fill="FFFFFF"/>
        <w:snapToGrid w:val="0"/>
        <w:ind w:firstLine="422" w:firstLineChars="200"/>
        <w:rPr>
          <w:rFonts w:cs="Arial" w:asciiTheme="minorEastAsia" w:hAnsiTheme="minorEastAsia"/>
          <w:b/>
          <w:kern w:val="0"/>
          <w:szCs w:val="24"/>
        </w:rPr>
      </w:pPr>
      <w:r>
        <w:rPr>
          <w:rFonts w:hint="eastAsia" w:cs="Arial" w:asciiTheme="minorEastAsia" w:hAnsiTheme="minorEastAsia"/>
          <w:b/>
          <w:kern w:val="0"/>
          <w:szCs w:val="24"/>
        </w:rPr>
        <w:t>2）</w:t>
      </w:r>
      <w:r>
        <w:rPr>
          <w:rFonts w:hint="eastAsia" w:cs="Arial" w:asciiTheme="minorEastAsia" w:hAnsiTheme="minorEastAsia"/>
          <w:b w:val="0"/>
          <w:bCs/>
          <w:kern w:val="0"/>
          <w:szCs w:val="24"/>
        </w:rPr>
        <w:t>所有资格证明文件，均须为加盖供应商公章的复印件或扫描件，以备评标时审查。</w:t>
      </w:r>
    </w:p>
    <w:p w14:paraId="353A4BFD">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3）评审前，采购人或采购代理机构将根据供应商提供的资格证明文件对其进行资格审查。所有资格证明文件必须满足竞争性磋商文件的要求，否则将导致投标被否决。</w:t>
      </w:r>
    </w:p>
    <w:p w14:paraId="30DDFC59">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4）供应商可按竞争性磋商文件的范本格式中提供的响应文件格式填写响应文件；如提供的范本格式有不完善之处，请自行补充完善。</w:t>
      </w:r>
    </w:p>
    <w:p w14:paraId="1EFC3F3B">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3.3.符合竞争性磋商文件规定的证明文件</w:t>
      </w:r>
    </w:p>
    <w:p w14:paraId="7A2D05E9">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1）供应商提供的资格证明材料，须满足供应商须知前附表的要求。</w:t>
      </w:r>
    </w:p>
    <w:p w14:paraId="212C8E82">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2）供应商为联合体形式的，则应提交联合体各方的资格文件，否则将视为未实质性响应条款而被拒绝。</w:t>
      </w:r>
    </w:p>
    <w:p w14:paraId="6D62C5F4">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3）对照采购人的采购内容及技术要求，逐条确定，指出所提供的货物（或服务）是否实质性响应竞争性磋商文件的要求，如有偏离，须填报偏离表。</w:t>
      </w:r>
    </w:p>
    <w:p w14:paraId="699284C9">
      <w:pPr>
        <w:widowControl/>
        <w:shd w:val="clear" w:color="auto" w:fill="FFFFFF"/>
        <w:snapToGrid w:val="0"/>
        <w:ind w:firstLine="420" w:firstLineChars="200"/>
        <w:rPr>
          <w:rFonts w:cs="Arial" w:asciiTheme="minorEastAsia" w:hAnsiTheme="minorEastAsia"/>
          <w:kern w:val="0"/>
          <w:szCs w:val="24"/>
        </w:rPr>
      </w:pPr>
      <w:r>
        <w:rPr>
          <w:rFonts w:cs="Arial" w:asciiTheme="minorEastAsia" w:hAnsiTheme="minorEastAsia"/>
          <w:kern w:val="0"/>
          <w:szCs w:val="24"/>
        </w:rPr>
        <w:t>3.</w:t>
      </w:r>
      <w:r>
        <w:rPr>
          <w:rFonts w:hint="eastAsia" w:cs="Arial" w:asciiTheme="minorEastAsia" w:hAnsiTheme="minorEastAsia"/>
          <w:kern w:val="0"/>
          <w:szCs w:val="24"/>
        </w:rPr>
        <w:t>4</w:t>
      </w:r>
      <w:r>
        <w:rPr>
          <w:rFonts w:cs="Arial" w:asciiTheme="minorEastAsia" w:hAnsiTheme="minorEastAsia"/>
          <w:kern w:val="0"/>
          <w:szCs w:val="24"/>
        </w:rPr>
        <w:t xml:space="preserve"> </w:t>
      </w:r>
      <w:r>
        <w:rPr>
          <w:rFonts w:hint="eastAsia" w:cs="Arial" w:asciiTheme="minorEastAsia" w:hAnsiTheme="minorEastAsia"/>
          <w:kern w:val="0"/>
          <w:szCs w:val="24"/>
        </w:rPr>
        <w:t>投标价格</w:t>
      </w:r>
    </w:p>
    <w:p w14:paraId="50E152E2">
      <w:pPr>
        <w:widowControl/>
        <w:shd w:val="clear" w:color="auto" w:fill="FFFFFF"/>
        <w:snapToGrid w:val="0"/>
        <w:ind w:firstLine="420" w:firstLineChars="200"/>
        <w:rPr>
          <w:rFonts w:cs="Arial" w:asciiTheme="minorEastAsia" w:hAnsiTheme="minorEastAsia"/>
          <w:kern w:val="0"/>
          <w:szCs w:val="24"/>
        </w:rPr>
      </w:pPr>
      <w:r>
        <w:rPr>
          <w:rFonts w:cs="Arial" w:asciiTheme="minorEastAsia" w:hAnsiTheme="minorEastAsia"/>
          <w:kern w:val="0"/>
          <w:szCs w:val="24"/>
        </w:rPr>
        <w:t>3.</w:t>
      </w:r>
      <w:r>
        <w:rPr>
          <w:rFonts w:hint="eastAsia" w:cs="Arial" w:asciiTheme="minorEastAsia" w:hAnsiTheme="minorEastAsia"/>
          <w:kern w:val="0"/>
          <w:szCs w:val="24"/>
        </w:rPr>
        <w:t>4.1供应商应在投标报价表中标明其提供的所有货物（或服务）及其完成本项目相关工作范围内所有费用的总价，采购人不接受有任何选择性报价。供应商漏报的单价或单价中漏报、少报的费用，均视为此项费用已隐含在其他报价中，成交后不予调整。</w:t>
      </w:r>
    </w:p>
    <w:p w14:paraId="3B890AE5">
      <w:pPr>
        <w:widowControl/>
        <w:shd w:val="clear" w:color="auto" w:fill="FFFFFF"/>
        <w:snapToGrid w:val="0"/>
        <w:ind w:firstLine="420" w:firstLineChars="200"/>
        <w:rPr>
          <w:rFonts w:cs="Arial" w:asciiTheme="minorEastAsia" w:hAnsiTheme="minorEastAsia"/>
          <w:kern w:val="0"/>
          <w:szCs w:val="24"/>
        </w:rPr>
      </w:pPr>
      <w:r>
        <w:rPr>
          <w:rFonts w:cs="Arial" w:asciiTheme="minorEastAsia" w:hAnsiTheme="minorEastAsia"/>
          <w:kern w:val="0"/>
          <w:szCs w:val="24"/>
        </w:rPr>
        <w:t>3.</w:t>
      </w:r>
      <w:r>
        <w:rPr>
          <w:rFonts w:hint="eastAsia" w:cs="Arial" w:asciiTheme="minorEastAsia" w:hAnsiTheme="minorEastAsia"/>
          <w:kern w:val="0"/>
          <w:szCs w:val="24"/>
        </w:rPr>
        <w:t>4.2其报价须保证在投标有效期及交付期内固定不变。采购人不接受有任何选择性报价。</w:t>
      </w:r>
    </w:p>
    <w:p w14:paraId="4EC0E278">
      <w:pPr>
        <w:widowControl/>
        <w:shd w:val="clear" w:color="auto" w:fill="FFFFFF"/>
        <w:snapToGrid w:val="0"/>
        <w:ind w:firstLine="420" w:firstLineChars="200"/>
        <w:rPr>
          <w:rFonts w:cs="Arial" w:asciiTheme="minorEastAsia" w:hAnsiTheme="minorEastAsia"/>
          <w:kern w:val="0"/>
          <w:szCs w:val="24"/>
        </w:rPr>
      </w:pPr>
      <w:r>
        <w:rPr>
          <w:rFonts w:cs="Arial" w:asciiTheme="minorEastAsia" w:hAnsiTheme="minorEastAsia"/>
          <w:kern w:val="0"/>
          <w:szCs w:val="24"/>
        </w:rPr>
        <w:t>3.</w:t>
      </w:r>
      <w:r>
        <w:rPr>
          <w:rFonts w:hint="eastAsia" w:cs="Arial" w:asciiTheme="minorEastAsia" w:hAnsiTheme="minorEastAsia"/>
          <w:kern w:val="0"/>
          <w:szCs w:val="24"/>
        </w:rPr>
        <w:t>4.3为了防止本次采购的响应报价过高，超出采购人为本次采购项目的资金支付能力，采购人依据主管部门的批复为本次采购项目的设定了采购最高限价，如果供应商的响应报价高于本项目的采购最高限价，其响应文件将被拒绝；如果所有供应商的投标报价均超出采购最高限价，采购人有权重新组织采购。</w:t>
      </w:r>
    </w:p>
    <w:p w14:paraId="412FDE1F">
      <w:pPr>
        <w:adjustRightInd w:val="0"/>
        <w:ind w:firstLine="422" w:firstLineChars="200"/>
        <w:rPr>
          <w:rFonts w:ascii="宋体" w:hAnsi="宋体"/>
          <w:b/>
          <w:szCs w:val="21"/>
        </w:rPr>
      </w:pPr>
      <w:r>
        <w:rPr>
          <w:rFonts w:ascii="宋体" w:hAnsi="宋体"/>
          <w:b/>
          <w:szCs w:val="21"/>
        </w:rPr>
        <w:t>3.</w:t>
      </w:r>
      <w:r>
        <w:rPr>
          <w:rFonts w:hint="eastAsia" w:ascii="宋体" w:hAnsi="宋体"/>
          <w:b/>
          <w:szCs w:val="21"/>
        </w:rPr>
        <w:t>4</w:t>
      </w:r>
      <w:r>
        <w:rPr>
          <w:rFonts w:ascii="宋体" w:hAnsi="宋体"/>
          <w:b/>
          <w:szCs w:val="21"/>
        </w:rPr>
        <w:t>.</w:t>
      </w:r>
      <w:r>
        <w:rPr>
          <w:rFonts w:hint="eastAsia" w:ascii="宋体" w:hAnsi="宋体"/>
          <w:b/>
          <w:szCs w:val="21"/>
        </w:rPr>
        <w:t>4</w:t>
      </w:r>
      <w:r>
        <w:rPr>
          <w:rFonts w:ascii="宋体" w:hAnsi="宋体"/>
          <w:b/>
          <w:szCs w:val="21"/>
        </w:rPr>
        <w:t xml:space="preserve"> </w:t>
      </w:r>
      <w:r>
        <w:rPr>
          <w:rFonts w:hint="eastAsia" w:ascii="宋体" w:hAnsi="宋体"/>
          <w:b/>
          <w:szCs w:val="21"/>
        </w:rPr>
        <w:t>供应商在投标截止时间前修改投标函中的投标总价的，此修改须符合本章第</w:t>
      </w:r>
      <w:r>
        <w:rPr>
          <w:rFonts w:ascii="宋体" w:hAnsi="宋体"/>
          <w:b/>
          <w:szCs w:val="21"/>
        </w:rPr>
        <w:t>4.3</w:t>
      </w:r>
      <w:r>
        <w:rPr>
          <w:rFonts w:hint="eastAsia" w:ascii="宋体" w:hAnsi="宋体"/>
          <w:b/>
          <w:szCs w:val="21"/>
        </w:rPr>
        <w:t>款的有关要求。</w:t>
      </w:r>
    </w:p>
    <w:p w14:paraId="39CEF54E">
      <w:pPr>
        <w:adjustRightInd w:val="0"/>
        <w:ind w:firstLine="422" w:firstLineChars="200"/>
        <w:rPr>
          <w:rFonts w:ascii="宋体" w:hAnsi="宋体"/>
          <w:b/>
          <w:szCs w:val="21"/>
        </w:rPr>
      </w:pPr>
      <w:r>
        <w:rPr>
          <w:rFonts w:ascii="宋体" w:hAnsi="宋体"/>
          <w:b/>
          <w:szCs w:val="21"/>
        </w:rPr>
        <w:t>3.</w:t>
      </w:r>
      <w:r>
        <w:rPr>
          <w:rFonts w:hint="eastAsia" w:ascii="宋体" w:hAnsi="宋体"/>
          <w:b/>
          <w:szCs w:val="21"/>
        </w:rPr>
        <w:t>4</w:t>
      </w:r>
      <w:r>
        <w:rPr>
          <w:rFonts w:ascii="宋体" w:hAnsi="宋体"/>
          <w:b/>
          <w:szCs w:val="21"/>
        </w:rPr>
        <w:t>.</w:t>
      </w:r>
      <w:r>
        <w:rPr>
          <w:rFonts w:hint="eastAsia" w:ascii="宋体" w:hAnsi="宋体"/>
          <w:b/>
          <w:szCs w:val="21"/>
        </w:rPr>
        <w:t>5供应商提供的服务一律用人民币报价。</w:t>
      </w:r>
    </w:p>
    <w:p w14:paraId="6D6A93CE">
      <w:pPr>
        <w:adjustRightInd w:val="0"/>
        <w:ind w:firstLine="422" w:firstLineChars="200"/>
        <w:rPr>
          <w:rFonts w:ascii="宋体" w:hAnsi="宋体" w:cs="宋体"/>
          <w:b/>
          <w:lang w:val="zh-CN"/>
        </w:rPr>
      </w:pPr>
      <w:r>
        <w:rPr>
          <w:rFonts w:hint="eastAsia" w:ascii="宋体" w:hAnsi="宋体"/>
          <w:b/>
          <w:szCs w:val="21"/>
        </w:rPr>
        <w:t>3.4.6 工程量清单计价中的综合单价是指完成一个规定计量单位的分部分项工程量清单项目或措施清单项目所需的人工费、材料费、施工机械使用费和企业管理费与利润，以及一定范围内的风</w:t>
      </w:r>
      <w:r>
        <w:rPr>
          <w:rFonts w:hint="eastAsia" w:ascii="宋体" w:hAnsi="宋体" w:cs="宋体"/>
          <w:b/>
          <w:lang w:val="zh-CN"/>
        </w:rPr>
        <w:t>险费用。</w:t>
      </w:r>
    </w:p>
    <w:p w14:paraId="3145B5FC">
      <w:pPr>
        <w:ind w:firstLine="422" w:firstLineChars="200"/>
        <w:rPr>
          <w:rFonts w:ascii="宋体" w:hAnsi="宋体"/>
          <w:b/>
          <w:szCs w:val="21"/>
        </w:rPr>
      </w:pPr>
      <w:r>
        <w:rPr>
          <w:rFonts w:hint="eastAsia" w:ascii="宋体" w:hAnsi="宋体" w:cs="宋体"/>
          <w:b/>
          <w:lang w:val="zh-CN"/>
        </w:rPr>
        <w:t>3.4.7 供应商应当根据《建设工程工程量清单计价规范》GB50500-20</w:t>
      </w:r>
      <w:r>
        <w:rPr>
          <w:rFonts w:hint="eastAsia" w:ascii="宋体" w:hAnsi="宋体"/>
          <w:b/>
          <w:szCs w:val="21"/>
        </w:rPr>
        <w:t>13、《通用安装工程工程量计算规范》GB50856-2013</w:t>
      </w:r>
      <w:r>
        <w:rPr>
          <w:rFonts w:hint="eastAsia" w:ascii="宋体" w:hAnsi="宋体" w:cs="宋体"/>
          <w:b/>
          <w:lang w:val="zh-CN"/>
        </w:rPr>
        <w:t>、企业定额及当地市场因素及工程特点等报出综合单价,详见工程量清单总说明。</w:t>
      </w:r>
    </w:p>
    <w:p w14:paraId="19B0E179">
      <w:pPr>
        <w:autoSpaceDE w:val="0"/>
        <w:autoSpaceDN w:val="0"/>
        <w:adjustRightInd w:val="0"/>
        <w:ind w:firstLine="420"/>
        <w:rPr>
          <w:rFonts w:ascii="宋体" w:hAnsi="宋体" w:cs="宋体"/>
          <w:b/>
          <w:lang w:val="zh-CN"/>
        </w:rPr>
      </w:pPr>
      <w:r>
        <w:rPr>
          <w:rFonts w:hint="eastAsia" w:ascii="宋体" w:hAnsi="宋体" w:cs="宋体"/>
          <w:b/>
          <w:lang w:val="zh-CN"/>
        </w:rPr>
        <w:t>3.4.8 除非采购人对竞争性磋商文件予以修改，供应商应按采购人提供的工程量清单中列出的工程项目和工程量填报单价和合价。</w:t>
      </w:r>
    </w:p>
    <w:p w14:paraId="6A51DC8F">
      <w:pPr>
        <w:adjustRightInd w:val="0"/>
        <w:ind w:firstLine="422" w:firstLineChars="200"/>
        <w:rPr>
          <w:rFonts w:ascii="宋体" w:hAnsi="宋体" w:cs="宋体"/>
          <w:b/>
          <w:lang w:val="zh-CN"/>
        </w:rPr>
      </w:pPr>
      <w:r>
        <w:rPr>
          <w:rFonts w:hint="eastAsia" w:ascii="宋体" w:hAnsi="宋体" w:cs="宋体"/>
          <w:b/>
          <w:lang w:val="zh-CN"/>
        </w:rPr>
        <w:t>3.4.9 每一项目只允许有一个报价，任何有选择的报价将不予接受，视为废标。</w:t>
      </w:r>
    </w:p>
    <w:p w14:paraId="206BBD5A">
      <w:pPr>
        <w:adjustRightInd w:val="0"/>
        <w:ind w:firstLine="422" w:firstLineChars="200"/>
        <w:rPr>
          <w:rFonts w:ascii="宋体" w:hAnsi="宋体"/>
          <w:b/>
        </w:rPr>
      </w:pPr>
      <w:r>
        <w:rPr>
          <w:rFonts w:hint="eastAsia" w:ascii="宋体" w:hAnsi="宋体" w:cs="宋体"/>
          <w:b/>
          <w:lang w:val="zh-CN"/>
        </w:rPr>
        <w:t xml:space="preserve">3.4.10 </w:t>
      </w:r>
      <w:r>
        <w:rPr>
          <w:rFonts w:hint="eastAsia" w:ascii="宋体" w:hAnsi="宋体"/>
          <w:b/>
        </w:rPr>
        <w:t>供应商没有填入单价或价格的细目在实施时业主将不予支付，并认为此细目的费用已包括在工程量清单的其它单价和价格之中。</w:t>
      </w:r>
    </w:p>
    <w:p w14:paraId="0A505C5B">
      <w:pPr>
        <w:autoSpaceDE w:val="0"/>
        <w:autoSpaceDN w:val="0"/>
        <w:adjustRightInd w:val="0"/>
        <w:ind w:firstLine="420"/>
        <w:rPr>
          <w:rFonts w:ascii="宋体" w:hAnsi="宋体"/>
          <w:b/>
        </w:rPr>
      </w:pPr>
      <w:r>
        <w:rPr>
          <w:rFonts w:hint="eastAsia" w:ascii="宋体" w:hAnsi="宋体" w:cs="宋体"/>
          <w:b/>
          <w:lang w:val="zh-CN"/>
        </w:rPr>
        <w:t>3.4.11 投标价由供应商自主确定，但不得低于成本；投标价应由供应商或受其委托具有相应资质的工程造价咨询人编制。</w:t>
      </w:r>
    </w:p>
    <w:p w14:paraId="6DFA1356">
      <w:pPr>
        <w:autoSpaceDE w:val="0"/>
        <w:autoSpaceDN w:val="0"/>
        <w:adjustRightInd w:val="0"/>
        <w:ind w:firstLine="420"/>
        <w:rPr>
          <w:rFonts w:ascii="宋体" w:hAnsi="宋体"/>
          <w:b/>
          <w:bCs/>
        </w:rPr>
      </w:pPr>
      <w:r>
        <w:rPr>
          <w:rFonts w:hint="eastAsia" w:ascii="宋体" w:hAnsi="宋体" w:cs="宋体"/>
          <w:b/>
          <w:lang w:val="zh-CN"/>
        </w:rPr>
        <w:t xml:space="preserve">3.4.12 </w:t>
      </w:r>
      <w:r>
        <w:rPr>
          <w:rFonts w:hint="eastAsia" w:ascii="宋体" w:hAnsi="宋体" w:cs="宋体"/>
          <w:b/>
          <w:bCs/>
          <w:lang w:val="zh-CN"/>
        </w:rPr>
        <w:t>供应商应按采购人提供的工程量清单填报价格。填写的项目编码、项目名称、项目特征、计量单位、工程量必须与采购人提供的一致。</w:t>
      </w:r>
    </w:p>
    <w:p w14:paraId="20C37EAB">
      <w:pPr>
        <w:autoSpaceDE w:val="0"/>
        <w:autoSpaceDN w:val="0"/>
        <w:adjustRightInd w:val="0"/>
        <w:ind w:firstLine="420"/>
        <w:rPr>
          <w:rFonts w:ascii="宋体" w:hAnsi="宋体"/>
          <w:b/>
        </w:rPr>
      </w:pPr>
      <w:r>
        <w:rPr>
          <w:rFonts w:hint="eastAsia" w:ascii="宋体" w:hAnsi="宋体" w:cs="宋体"/>
          <w:b/>
          <w:lang w:val="zh-CN"/>
        </w:rPr>
        <w:t>3.4.13 分部分项工程费应依据综合单价的组成内容，按竞争性磋商文件中分部分项工程量清单项目的特征描述确定综合单价计算；综合单价中应考虑竞争性磋商文件中要求供应商承担的风险费用；竞争性磋商文件中提供了暂估单价的材料，按暂估的单价计入综合单价。</w:t>
      </w:r>
    </w:p>
    <w:p w14:paraId="68586F47">
      <w:pPr>
        <w:adjustRightInd w:val="0"/>
        <w:ind w:firstLine="422" w:firstLineChars="200"/>
        <w:rPr>
          <w:rFonts w:ascii="宋体" w:hAnsi="宋体" w:cs="宋体"/>
          <w:b/>
          <w:lang w:val="zh-CN"/>
        </w:rPr>
      </w:pPr>
      <w:r>
        <w:rPr>
          <w:rFonts w:hint="eastAsia" w:ascii="宋体" w:hAnsi="宋体" w:cs="宋体"/>
          <w:b/>
          <w:lang w:val="zh-CN"/>
        </w:rPr>
        <w:t>3.4.14 措施项目费的内容应依据竞争性磋商文件中的措施项目清单及投标时拟定的施工组织设计或施工方案；其计价方式应根据竞争性磋商文件的规定，可以计算工程量的措施项目，应按分部分项工程量清单的方式采用综合单价计价；其余的措施项目采用以</w:t>
      </w:r>
      <w:r>
        <w:rPr>
          <w:rFonts w:ascii="宋体" w:hAnsi="宋体"/>
          <w:b/>
          <w:lang w:val="zh-CN"/>
        </w:rPr>
        <w:t>“</w:t>
      </w:r>
      <w:r>
        <w:rPr>
          <w:rFonts w:hint="eastAsia" w:ascii="宋体" w:hAnsi="宋体" w:cs="宋体"/>
          <w:b/>
          <w:lang w:val="zh-CN"/>
        </w:rPr>
        <w:t>项</w:t>
      </w:r>
      <w:r>
        <w:rPr>
          <w:rFonts w:ascii="宋体" w:hAnsi="宋体"/>
          <w:b/>
          <w:lang w:val="zh-CN"/>
        </w:rPr>
        <w:t>”</w:t>
      </w:r>
      <w:r>
        <w:rPr>
          <w:rFonts w:hint="eastAsia" w:ascii="宋体" w:hAnsi="宋体" w:cs="宋体"/>
          <w:b/>
          <w:lang w:val="zh-CN"/>
        </w:rPr>
        <w:t>为单位的方式报价；措施项目费由供应商自主报价，但其中</w:t>
      </w:r>
      <w:r>
        <w:rPr>
          <w:rFonts w:hint="eastAsia" w:ascii="宋体" w:hAnsi="宋体" w:cs="宋体"/>
          <w:b/>
          <w:bCs/>
          <w:lang w:val="zh-CN"/>
        </w:rPr>
        <w:t>安全文明施工费应按照国家或省级、行业建设主管部门的规定计价，不得作为竞争性费用。</w:t>
      </w:r>
    </w:p>
    <w:p w14:paraId="5EF70D6B">
      <w:pPr>
        <w:adjustRightInd w:val="0"/>
        <w:ind w:firstLine="422" w:firstLineChars="200"/>
        <w:rPr>
          <w:rFonts w:ascii="宋体" w:hAnsi="宋体" w:cs="宋体"/>
          <w:b/>
          <w:lang w:val="zh-CN"/>
        </w:rPr>
      </w:pPr>
      <w:r>
        <w:rPr>
          <w:rFonts w:hint="eastAsia" w:ascii="宋体" w:hAnsi="宋体" w:cs="宋体"/>
          <w:b/>
          <w:lang w:val="zh-CN"/>
        </w:rPr>
        <w:t>3.4.15 其它项目费应按下列规定报价</w:t>
      </w:r>
    </w:p>
    <w:p w14:paraId="48C08012">
      <w:pPr>
        <w:autoSpaceDE w:val="0"/>
        <w:autoSpaceDN w:val="0"/>
        <w:adjustRightInd w:val="0"/>
        <w:ind w:firstLine="422" w:firstLineChars="200"/>
        <w:rPr>
          <w:rFonts w:ascii="宋体" w:hAnsi="宋体"/>
          <w:b/>
        </w:rPr>
      </w:pPr>
      <w:r>
        <w:rPr>
          <w:rFonts w:hint="eastAsia" w:ascii="宋体" w:hAnsi="宋体"/>
          <w:b/>
        </w:rPr>
        <w:t>3.4.15</w:t>
      </w:r>
      <w:r>
        <w:rPr>
          <w:rFonts w:ascii="宋体" w:hAnsi="宋体"/>
          <w:b/>
        </w:rPr>
        <w:t>.1</w:t>
      </w:r>
      <w:r>
        <w:rPr>
          <w:rFonts w:hint="eastAsia" w:ascii="宋体" w:hAnsi="宋体" w:cs="宋体"/>
          <w:b/>
          <w:lang w:val="zh-CN"/>
        </w:rPr>
        <w:t xml:space="preserve"> 暂列金额应按采购人在其他项目清单中列出的金额填写，不得变动。</w:t>
      </w:r>
    </w:p>
    <w:p w14:paraId="270EC5EF">
      <w:pPr>
        <w:autoSpaceDE w:val="0"/>
        <w:autoSpaceDN w:val="0"/>
        <w:adjustRightInd w:val="0"/>
        <w:ind w:firstLine="422" w:firstLineChars="200"/>
        <w:rPr>
          <w:rFonts w:ascii="宋体" w:hAnsi="宋体"/>
          <w:b/>
        </w:rPr>
      </w:pPr>
      <w:r>
        <w:rPr>
          <w:rFonts w:hint="eastAsia" w:ascii="宋体" w:hAnsi="宋体" w:cs="宋体"/>
          <w:b/>
          <w:lang w:val="zh-CN"/>
        </w:rPr>
        <w:t>3.4.15</w:t>
      </w:r>
      <w:r>
        <w:rPr>
          <w:rFonts w:ascii="宋体" w:hAnsi="宋体"/>
          <w:b/>
        </w:rPr>
        <w:t>.2</w:t>
      </w:r>
      <w:r>
        <w:rPr>
          <w:rFonts w:hint="eastAsia" w:ascii="宋体" w:hAnsi="宋体" w:cs="宋体"/>
          <w:b/>
          <w:lang w:val="zh-CN"/>
        </w:rPr>
        <w:t xml:space="preserve"> 材料暂估价应按采购人在其他项目清单中列出的单价计入综合单价；专业工程暂估价应按采购人在其他项目清单中列出的金额填写，不得变动和更改。</w:t>
      </w:r>
    </w:p>
    <w:p w14:paraId="4D8A498C">
      <w:pPr>
        <w:autoSpaceDE w:val="0"/>
        <w:autoSpaceDN w:val="0"/>
        <w:adjustRightInd w:val="0"/>
        <w:ind w:firstLine="422" w:firstLineChars="200"/>
        <w:rPr>
          <w:rFonts w:ascii="宋体" w:hAnsi="宋体"/>
          <w:b/>
        </w:rPr>
      </w:pPr>
      <w:r>
        <w:rPr>
          <w:rFonts w:hint="eastAsia" w:ascii="宋体" w:hAnsi="宋体" w:cs="宋体"/>
          <w:b/>
          <w:lang w:val="zh-CN"/>
        </w:rPr>
        <w:t>3.4.15</w:t>
      </w:r>
      <w:r>
        <w:rPr>
          <w:rFonts w:ascii="宋体" w:hAnsi="宋体"/>
          <w:b/>
        </w:rPr>
        <w:t>.3</w:t>
      </w:r>
      <w:r>
        <w:rPr>
          <w:rFonts w:hint="eastAsia" w:ascii="宋体" w:hAnsi="宋体" w:cs="宋体"/>
          <w:b/>
          <w:lang w:val="zh-CN"/>
        </w:rPr>
        <w:t xml:space="preserve"> 计日工按采购人在其他项目清单中列出的项目和数量，自主确定综合单价并计算计日工费用。</w:t>
      </w:r>
    </w:p>
    <w:p w14:paraId="6F744539">
      <w:pPr>
        <w:autoSpaceDE w:val="0"/>
        <w:autoSpaceDN w:val="0"/>
        <w:adjustRightInd w:val="0"/>
        <w:ind w:firstLine="422" w:firstLineChars="200"/>
        <w:rPr>
          <w:rFonts w:ascii="宋体" w:hAnsi="宋体"/>
          <w:b/>
        </w:rPr>
      </w:pPr>
      <w:r>
        <w:rPr>
          <w:rFonts w:hint="eastAsia" w:ascii="宋体" w:hAnsi="宋体" w:cs="宋体"/>
          <w:b/>
          <w:lang w:val="zh-CN"/>
        </w:rPr>
        <w:t>3.4.15</w:t>
      </w:r>
      <w:r>
        <w:rPr>
          <w:rFonts w:ascii="宋体" w:hAnsi="宋体"/>
          <w:b/>
        </w:rPr>
        <w:t>.4</w:t>
      </w:r>
      <w:r>
        <w:rPr>
          <w:rFonts w:hint="eastAsia" w:ascii="宋体" w:hAnsi="宋体" w:cs="宋体"/>
          <w:b/>
          <w:lang w:val="zh-CN"/>
        </w:rPr>
        <w:t xml:space="preserve"> 总承包服务费根据竞争性磋商文件中列出的内容和提出的要求自主确定。</w:t>
      </w:r>
    </w:p>
    <w:p w14:paraId="7FA38B6B">
      <w:pPr>
        <w:autoSpaceDE w:val="0"/>
        <w:autoSpaceDN w:val="0"/>
        <w:adjustRightInd w:val="0"/>
        <w:ind w:firstLine="422" w:firstLineChars="200"/>
        <w:rPr>
          <w:rFonts w:ascii="宋体" w:hAnsi="宋体"/>
          <w:b/>
        </w:rPr>
      </w:pPr>
      <w:r>
        <w:rPr>
          <w:rFonts w:hint="eastAsia" w:ascii="宋体" w:hAnsi="宋体" w:cs="宋体"/>
          <w:b/>
          <w:lang w:val="zh-CN"/>
        </w:rPr>
        <w:t xml:space="preserve">3.4.16 </w:t>
      </w:r>
      <w:r>
        <w:rPr>
          <w:rFonts w:hint="eastAsia" w:ascii="宋体" w:hAnsi="宋体" w:cs="宋体"/>
          <w:b/>
          <w:bCs/>
          <w:lang w:val="zh-CN"/>
        </w:rPr>
        <w:t>规费和税金应按国家或省级、行业建设主管部门的规定计算，不得作为竞争性费用。</w:t>
      </w:r>
    </w:p>
    <w:p w14:paraId="1E15A7D2">
      <w:pPr>
        <w:autoSpaceDE w:val="0"/>
        <w:autoSpaceDN w:val="0"/>
        <w:adjustRightInd w:val="0"/>
        <w:ind w:firstLine="422" w:firstLineChars="200"/>
        <w:rPr>
          <w:rFonts w:ascii="宋体" w:hAnsi="宋体"/>
          <w:b/>
        </w:rPr>
      </w:pPr>
      <w:r>
        <w:rPr>
          <w:rFonts w:hint="eastAsia" w:ascii="宋体" w:hAnsi="宋体" w:cs="宋体"/>
          <w:b/>
          <w:lang w:val="zh-CN"/>
        </w:rPr>
        <w:t>3.4.17 投标总价应当与分部分项工程费、措施项目费、其他项目费和规费、税金的合计金额一致。</w:t>
      </w:r>
    </w:p>
    <w:p w14:paraId="719EF415">
      <w:pPr>
        <w:widowControl/>
        <w:shd w:val="clear" w:color="auto" w:fill="FFFFFF"/>
        <w:snapToGrid w:val="0"/>
        <w:ind w:firstLine="422" w:firstLineChars="200"/>
        <w:rPr>
          <w:rFonts w:cs="Arial" w:asciiTheme="minorEastAsia" w:hAnsiTheme="minorEastAsia"/>
          <w:b/>
          <w:bCs/>
          <w:kern w:val="0"/>
          <w:szCs w:val="24"/>
        </w:rPr>
      </w:pPr>
      <w:r>
        <w:rPr>
          <w:rFonts w:cs="Arial" w:asciiTheme="minorEastAsia" w:hAnsiTheme="minorEastAsia"/>
          <w:b/>
          <w:bCs/>
          <w:kern w:val="0"/>
          <w:szCs w:val="24"/>
        </w:rPr>
        <w:t>3.</w:t>
      </w:r>
      <w:r>
        <w:rPr>
          <w:rFonts w:hint="eastAsia" w:cs="Arial" w:asciiTheme="minorEastAsia" w:hAnsiTheme="minorEastAsia"/>
          <w:b/>
          <w:bCs/>
          <w:kern w:val="0"/>
          <w:szCs w:val="24"/>
        </w:rPr>
        <w:t>4.18 磋商结束后，磋商小组根据磋商情况，要求供应商进行第二次报价或多轮报价，并确定最终报价。最终报价是响应文件的有效组成部分。</w:t>
      </w:r>
    </w:p>
    <w:p w14:paraId="47A97CC0">
      <w:pPr>
        <w:widowControl/>
        <w:shd w:val="clear" w:color="auto" w:fill="FFFFFF"/>
        <w:snapToGrid w:val="0"/>
        <w:ind w:firstLine="422" w:firstLineChars="200"/>
        <w:rPr>
          <w:rFonts w:cs="Arial" w:asciiTheme="minorEastAsia" w:hAnsiTheme="minorEastAsia"/>
          <w:kern w:val="0"/>
          <w:szCs w:val="24"/>
        </w:rPr>
      </w:pPr>
      <w:r>
        <w:rPr>
          <w:rFonts w:cs="Arial" w:asciiTheme="minorEastAsia" w:hAnsiTheme="minorEastAsia"/>
          <w:b/>
          <w:bCs/>
          <w:kern w:val="0"/>
          <w:szCs w:val="24"/>
        </w:rPr>
        <w:t>3.</w:t>
      </w:r>
      <w:r>
        <w:rPr>
          <w:rFonts w:hint="eastAsia" w:cs="Arial" w:asciiTheme="minorEastAsia" w:hAnsiTheme="minorEastAsia"/>
          <w:b/>
          <w:bCs/>
          <w:kern w:val="0"/>
          <w:szCs w:val="24"/>
        </w:rPr>
        <w:t>4.19 参与竞争性磋商项目供应商，开标结束后，请及时进入“网上报价”页面（详见操作手册），等待最终报价通知。如未在系统提示的报价时限内报价，则视为上一轮报价为最终报价。</w:t>
      </w:r>
    </w:p>
    <w:p w14:paraId="74AEC726">
      <w:pPr>
        <w:widowControl/>
        <w:shd w:val="clear" w:color="auto" w:fill="FFFFFF"/>
        <w:snapToGrid w:val="0"/>
        <w:ind w:firstLine="420" w:firstLineChars="200"/>
        <w:rPr>
          <w:rFonts w:cs="Arial" w:asciiTheme="minorEastAsia" w:hAnsiTheme="minorEastAsia"/>
          <w:kern w:val="0"/>
          <w:szCs w:val="24"/>
        </w:rPr>
      </w:pPr>
      <w:r>
        <w:rPr>
          <w:rFonts w:cs="Arial" w:asciiTheme="minorEastAsia" w:hAnsiTheme="minorEastAsia"/>
          <w:kern w:val="0"/>
          <w:szCs w:val="24"/>
        </w:rPr>
        <w:t>3.</w:t>
      </w:r>
      <w:r>
        <w:rPr>
          <w:rFonts w:hint="eastAsia" w:cs="Arial" w:asciiTheme="minorEastAsia" w:hAnsiTheme="minorEastAsia"/>
          <w:kern w:val="0"/>
          <w:szCs w:val="24"/>
        </w:rPr>
        <w:t>4.20投标报价货币单位：人民币。</w:t>
      </w:r>
    </w:p>
    <w:p w14:paraId="4372E54C">
      <w:pPr>
        <w:widowControl/>
        <w:shd w:val="clear" w:color="auto" w:fill="FFFFFF"/>
        <w:snapToGrid w:val="0"/>
        <w:ind w:firstLine="420" w:firstLineChars="200"/>
        <w:rPr>
          <w:rFonts w:cs="Arial" w:asciiTheme="minorEastAsia" w:hAnsiTheme="minorEastAsia"/>
          <w:kern w:val="0"/>
          <w:szCs w:val="24"/>
        </w:rPr>
      </w:pPr>
      <w:r>
        <w:rPr>
          <w:rFonts w:cs="Arial" w:asciiTheme="minorEastAsia" w:hAnsiTheme="minorEastAsia"/>
          <w:kern w:val="0"/>
          <w:szCs w:val="24"/>
        </w:rPr>
        <w:t>3.</w:t>
      </w:r>
      <w:r>
        <w:rPr>
          <w:rFonts w:hint="eastAsia" w:cs="Arial" w:asciiTheme="minorEastAsia" w:hAnsiTheme="minorEastAsia"/>
          <w:kern w:val="0"/>
          <w:szCs w:val="24"/>
        </w:rPr>
        <w:t>4</w:t>
      </w:r>
      <w:r>
        <w:rPr>
          <w:rFonts w:cs="Arial" w:asciiTheme="minorEastAsia" w:hAnsiTheme="minorEastAsia"/>
          <w:kern w:val="0"/>
          <w:szCs w:val="24"/>
        </w:rPr>
        <w:t>.</w:t>
      </w:r>
      <w:r>
        <w:rPr>
          <w:rFonts w:hint="eastAsia" w:cs="Arial" w:asciiTheme="minorEastAsia" w:hAnsiTheme="minorEastAsia"/>
          <w:kern w:val="0"/>
          <w:szCs w:val="24"/>
        </w:rPr>
        <w:t>21</w:t>
      </w:r>
      <w:r>
        <w:rPr>
          <w:rFonts w:cs="Arial" w:asciiTheme="minorEastAsia" w:hAnsiTheme="minorEastAsia"/>
          <w:kern w:val="0"/>
          <w:szCs w:val="24"/>
        </w:rPr>
        <w:t xml:space="preserve"> </w:t>
      </w:r>
      <w:r>
        <w:rPr>
          <w:rFonts w:hint="eastAsia" w:cs="Arial" w:asciiTheme="minorEastAsia" w:hAnsiTheme="minorEastAsia"/>
          <w:kern w:val="0"/>
          <w:szCs w:val="24"/>
        </w:rPr>
        <w:t>供应商的投标价格不能超出本项目采购预算金额及采购最高限价。</w:t>
      </w:r>
    </w:p>
    <w:p w14:paraId="78075E2F">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3.5.响应文件的签署及规定</w:t>
      </w:r>
    </w:p>
    <w:p w14:paraId="70655893">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3.5.1电子响应文件使用政采云平台响应文件制作工具以及磋商文件要求进行制作编制。响应文件制作时，按照磋商文件中明确的响应文件目录和格式进行编制，保证目录清晰、内容完整。</w:t>
      </w:r>
    </w:p>
    <w:p w14:paraId="0AA070FB">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3.5.2电子响应文件须使用供应商电子公章及法定代表人的电子签名。若无电子签章和签名，则视为无效响应。</w:t>
      </w:r>
    </w:p>
    <w:p w14:paraId="081A4034">
      <w:pPr>
        <w:widowControl/>
        <w:shd w:val="clear" w:color="auto" w:fill="FFFFFF"/>
        <w:snapToGrid w:val="0"/>
        <w:ind w:firstLine="420" w:firstLineChars="200"/>
        <w:rPr>
          <w:rFonts w:cs="Arial" w:asciiTheme="minorEastAsia" w:hAnsiTheme="minorEastAsia"/>
          <w:kern w:val="0"/>
          <w:szCs w:val="24"/>
        </w:rPr>
      </w:pPr>
      <w:r>
        <w:rPr>
          <w:rFonts w:hint="eastAsia" w:cs="Arial" w:asciiTheme="minorEastAsia" w:hAnsiTheme="minorEastAsia"/>
          <w:kern w:val="0"/>
          <w:szCs w:val="24"/>
        </w:rPr>
        <w:t>3.5.3电子招投标文件具有法律效力，与其他形式的招投标文件在内容和格式上等同，若响应文件与磋商文件要求不一致，其内容影响成交结果时，责任由供应商自行承担。供应商递交的电子响应文件因供应商自身原因而导致无法导入电子辅助评标系统，该响应文件视为无效响应文件，将导致其响应被拒绝。</w:t>
      </w:r>
    </w:p>
    <w:p w14:paraId="2C60742D">
      <w:pPr>
        <w:autoSpaceDE w:val="0"/>
        <w:autoSpaceDN w:val="0"/>
        <w:adjustRightInd w:val="0"/>
        <w:ind w:firstLine="420" w:firstLineChars="200"/>
        <w:rPr>
          <w:rFonts w:ascii="宋体" w:hAnsi="宋体"/>
        </w:rPr>
      </w:pPr>
      <w:r>
        <w:rPr>
          <w:rFonts w:hint="eastAsia" w:ascii="宋体" w:hAnsi="宋体"/>
        </w:rPr>
        <w:t>3.6 投标有效期</w:t>
      </w:r>
    </w:p>
    <w:p w14:paraId="7DC52731">
      <w:pPr>
        <w:autoSpaceDE w:val="0"/>
        <w:autoSpaceDN w:val="0"/>
        <w:adjustRightInd w:val="0"/>
        <w:ind w:firstLine="420" w:firstLineChars="200"/>
        <w:rPr>
          <w:rFonts w:ascii="宋体" w:hAnsi="宋体"/>
        </w:rPr>
      </w:pPr>
      <w:r>
        <w:rPr>
          <w:rFonts w:hint="eastAsia" w:ascii="宋体" w:hAnsi="宋体"/>
        </w:rPr>
        <w:t>3.6.1 在供应商须知前附表规定的投标有效期内，供应商不得要求撤销或修改其响应文件。</w:t>
      </w:r>
    </w:p>
    <w:p w14:paraId="348FC69A">
      <w:pPr>
        <w:autoSpaceDE w:val="0"/>
        <w:autoSpaceDN w:val="0"/>
        <w:adjustRightInd w:val="0"/>
        <w:ind w:firstLine="420" w:firstLineChars="200"/>
        <w:rPr>
          <w:rFonts w:ascii="宋体" w:hAnsi="宋体"/>
        </w:rPr>
      </w:pPr>
      <w:r>
        <w:rPr>
          <w:rFonts w:hint="eastAsia" w:ascii="宋体" w:hAnsi="宋体"/>
        </w:rPr>
        <w:t>3.6.2 出现特殊情况需要延长投标有效期的，采购人将通知所有供应商延长投标有效期。供应商同意延长的，应当相应延长其磋商保证金的有效期，但不得要求或被允许修改或撤销其响应文件；供应商拒绝延长的，其投标失效，但供应商有权收回其磋商保证金。</w:t>
      </w:r>
    </w:p>
    <w:p w14:paraId="13B4669D">
      <w:pPr>
        <w:autoSpaceDE w:val="0"/>
        <w:autoSpaceDN w:val="0"/>
        <w:adjustRightInd w:val="0"/>
        <w:ind w:firstLine="420" w:firstLineChars="200"/>
        <w:rPr>
          <w:rFonts w:ascii="宋体" w:hAnsi="宋体"/>
        </w:rPr>
      </w:pPr>
      <w:r>
        <w:rPr>
          <w:rFonts w:hint="eastAsia" w:ascii="宋体" w:hAnsi="宋体"/>
        </w:rPr>
        <w:t>3.6.3 磋商保证金的有效期与投标有效期一致。</w:t>
      </w:r>
    </w:p>
    <w:p w14:paraId="129DA2FA">
      <w:pPr>
        <w:autoSpaceDE w:val="0"/>
        <w:autoSpaceDN w:val="0"/>
        <w:adjustRightInd w:val="0"/>
        <w:ind w:firstLine="420" w:firstLineChars="200"/>
        <w:rPr>
          <w:rFonts w:ascii="宋体" w:hAnsi="宋体"/>
        </w:rPr>
      </w:pPr>
      <w:r>
        <w:rPr>
          <w:rFonts w:ascii="宋体" w:hAnsi="宋体"/>
        </w:rPr>
        <w:t>3.</w:t>
      </w:r>
      <w:r>
        <w:rPr>
          <w:rFonts w:hint="eastAsia" w:ascii="宋体" w:hAnsi="宋体"/>
        </w:rPr>
        <w:t>7</w:t>
      </w:r>
      <w:r>
        <w:rPr>
          <w:rFonts w:ascii="宋体" w:hAnsi="宋体"/>
        </w:rPr>
        <w:t xml:space="preserve"> </w:t>
      </w:r>
      <w:r>
        <w:rPr>
          <w:rFonts w:hint="eastAsia" w:ascii="宋体" w:hAnsi="宋体"/>
        </w:rPr>
        <w:t>磋商保证金</w:t>
      </w:r>
    </w:p>
    <w:p w14:paraId="35EF8A31">
      <w:pPr>
        <w:autoSpaceDE w:val="0"/>
        <w:autoSpaceDN w:val="0"/>
        <w:adjustRightInd w:val="0"/>
        <w:ind w:firstLine="420" w:firstLineChars="200"/>
        <w:rPr>
          <w:rFonts w:ascii="宋体" w:hAnsi="宋体"/>
        </w:rPr>
      </w:pPr>
      <w:r>
        <w:rPr>
          <w:rFonts w:ascii="宋体" w:hAnsi="宋体"/>
        </w:rPr>
        <w:t>3.</w:t>
      </w:r>
      <w:r>
        <w:rPr>
          <w:rFonts w:hint="eastAsia" w:ascii="宋体" w:hAnsi="宋体"/>
        </w:rPr>
        <w:t>7</w:t>
      </w:r>
      <w:r>
        <w:rPr>
          <w:rFonts w:ascii="宋体" w:hAnsi="宋体"/>
        </w:rPr>
        <w:t xml:space="preserve">.1 </w:t>
      </w:r>
      <w:r>
        <w:rPr>
          <w:rFonts w:hint="eastAsia" w:ascii="宋体" w:hAnsi="宋体"/>
        </w:rPr>
        <w:t>供应商应于投标截止时间前按供应商须知前附表规定数额提交磋商保证金。未提交磋商保证金的，将被视为非响应性投标而予以拒绝。</w:t>
      </w:r>
    </w:p>
    <w:p w14:paraId="36D825C7">
      <w:pPr>
        <w:autoSpaceDE w:val="0"/>
        <w:autoSpaceDN w:val="0"/>
        <w:adjustRightInd w:val="0"/>
        <w:ind w:firstLine="420" w:firstLineChars="200"/>
        <w:rPr>
          <w:rFonts w:ascii="宋体" w:hAnsi="宋体"/>
        </w:rPr>
      </w:pPr>
      <w:r>
        <w:rPr>
          <w:rFonts w:ascii="宋体" w:hAnsi="宋体"/>
        </w:rPr>
        <w:t>3.</w:t>
      </w:r>
      <w:r>
        <w:rPr>
          <w:rFonts w:hint="eastAsia" w:ascii="宋体" w:hAnsi="宋体"/>
        </w:rPr>
        <w:t>7</w:t>
      </w:r>
      <w:r>
        <w:rPr>
          <w:rFonts w:ascii="宋体" w:hAnsi="宋体"/>
        </w:rPr>
        <w:t>.</w:t>
      </w:r>
      <w:r>
        <w:rPr>
          <w:rFonts w:hint="eastAsia" w:ascii="宋体" w:hAnsi="宋体"/>
        </w:rPr>
        <w:t>2磋商保证金是为了保护采购人免遭因供应商的行为而蒙受损失。采购人在因供应商的行为受到损害时可根据相关法律规定没收供应商的磋商保证金。</w:t>
      </w:r>
    </w:p>
    <w:p w14:paraId="632D9603">
      <w:pPr>
        <w:autoSpaceDE w:val="0"/>
        <w:autoSpaceDN w:val="0"/>
        <w:adjustRightInd w:val="0"/>
        <w:ind w:firstLine="420" w:firstLineChars="200"/>
        <w:rPr>
          <w:rFonts w:ascii="宋体" w:hAnsi="宋体"/>
        </w:rPr>
      </w:pPr>
      <w:r>
        <w:rPr>
          <w:rFonts w:ascii="宋体" w:hAnsi="宋体"/>
        </w:rPr>
        <w:t>3.</w:t>
      </w:r>
      <w:r>
        <w:rPr>
          <w:rFonts w:hint="eastAsia" w:ascii="宋体" w:hAnsi="宋体"/>
        </w:rPr>
        <w:t>7</w:t>
      </w:r>
      <w:r>
        <w:rPr>
          <w:rFonts w:ascii="宋体" w:hAnsi="宋体"/>
        </w:rPr>
        <w:t>.</w:t>
      </w:r>
      <w:r>
        <w:rPr>
          <w:rFonts w:hint="eastAsia" w:ascii="宋体" w:hAnsi="宋体"/>
        </w:rPr>
        <w:t>3供应商在投标截止时间前撤回已提交的响应文件的，采购人或者采购代理机构应当自收到供应商书面撤回通知之日起</w:t>
      </w:r>
      <w:r>
        <w:rPr>
          <w:rFonts w:ascii="宋体" w:hAnsi="宋体"/>
        </w:rPr>
        <w:t>5</w:t>
      </w:r>
      <w:r>
        <w:rPr>
          <w:rFonts w:hint="eastAsia" w:ascii="宋体" w:hAnsi="宋体"/>
        </w:rPr>
        <w:t>个工作日内，退还已收取的磋商保证金，但因供应商自身原因导致无法及时退还的除外。采购人或者采购代理机构应当自成交通知书发出之日起</w:t>
      </w:r>
      <w:r>
        <w:rPr>
          <w:rFonts w:ascii="宋体" w:hAnsi="宋体"/>
        </w:rPr>
        <w:t>5</w:t>
      </w:r>
      <w:r>
        <w:rPr>
          <w:rFonts w:hint="eastAsia" w:ascii="宋体" w:hAnsi="宋体"/>
        </w:rPr>
        <w:t>个工作日内退还未成交人的磋商保证金，自采购合同签订之日起</w:t>
      </w:r>
      <w:r>
        <w:rPr>
          <w:rFonts w:ascii="宋体" w:hAnsi="宋体"/>
        </w:rPr>
        <w:t>5</w:t>
      </w:r>
      <w:r>
        <w:rPr>
          <w:rFonts w:hint="eastAsia" w:ascii="宋体" w:hAnsi="宋体"/>
        </w:rPr>
        <w:t>个工作日内退还成交人的磋商保证金。</w:t>
      </w:r>
    </w:p>
    <w:p w14:paraId="0F132A02">
      <w:pPr>
        <w:autoSpaceDE w:val="0"/>
        <w:autoSpaceDN w:val="0"/>
        <w:adjustRightInd w:val="0"/>
        <w:ind w:firstLine="420" w:firstLineChars="200"/>
        <w:rPr>
          <w:rFonts w:ascii="宋体" w:hAnsi="宋体"/>
        </w:rPr>
      </w:pPr>
      <w:r>
        <w:rPr>
          <w:rFonts w:ascii="宋体" w:hAnsi="宋体"/>
        </w:rPr>
        <w:t>3.</w:t>
      </w:r>
      <w:r>
        <w:rPr>
          <w:rFonts w:hint="eastAsia" w:ascii="宋体" w:hAnsi="宋体"/>
        </w:rPr>
        <w:t>7</w:t>
      </w:r>
      <w:r>
        <w:rPr>
          <w:rFonts w:ascii="宋体" w:hAnsi="宋体"/>
        </w:rPr>
        <w:t>.</w:t>
      </w:r>
      <w:r>
        <w:rPr>
          <w:rFonts w:hint="eastAsia" w:ascii="宋体" w:hAnsi="宋体"/>
        </w:rPr>
        <w:t>4磋商保证金有效期与投标有效期一致。</w:t>
      </w:r>
    </w:p>
    <w:p w14:paraId="3C109F80">
      <w:pPr>
        <w:autoSpaceDE w:val="0"/>
        <w:autoSpaceDN w:val="0"/>
        <w:adjustRightInd w:val="0"/>
        <w:ind w:firstLine="420" w:firstLineChars="200"/>
        <w:rPr>
          <w:rFonts w:ascii="宋体" w:hAnsi="宋体"/>
        </w:rPr>
      </w:pPr>
      <w:r>
        <w:rPr>
          <w:rFonts w:ascii="宋体" w:hAnsi="宋体"/>
        </w:rPr>
        <w:t>3.</w:t>
      </w:r>
      <w:r>
        <w:rPr>
          <w:rFonts w:hint="eastAsia" w:ascii="宋体" w:hAnsi="宋体"/>
        </w:rPr>
        <w:t>7</w:t>
      </w:r>
      <w:r>
        <w:rPr>
          <w:rFonts w:ascii="宋体" w:hAnsi="宋体"/>
        </w:rPr>
        <w:t>.</w:t>
      </w:r>
      <w:r>
        <w:rPr>
          <w:rFonts w:hint="eastAsia" w:ascii="宋体" w:hAnsi="宋体"/>
        </w:rPr>
        <w:t>5有下列情形之一的，磋商保证金不予退还：</w:t>
      </w:r>
    </w:p>
    <w:p w14:paraId="6C5931A4">
      <w:pPr>
        <w:autoSpaceDE w:val="0"/>
        <w:autoSpaceDN w:val="0"/>
        <w:adjustRightInd w:val="0"/>
        <w:ind w:firstLine="420" w:firstLineChars="200"/>
        <w:rPr>
          <w:rFonts w:ascii="宋体" w:hAnsi="宋体"/>
        </w:rPr>
      </w:pPr>
      <w:r>
        <w:rPr>
          <w:rFonts w:hint="eastAsia" w:ascii="宋体" w:hAnsi="宋体"/>
        </w:rPr>
        <w:t>（</w:t>
      </w:r>
      <w:r>
        <w:rPr>
          <w:rFonts w:ascii="宋体" w:hAnsi="宋体"/>
        </w:rPr>
        <w:t>1</w:t>
      </w:r>
      <w:r>
        <w:rPr>
          <w:rFonts w:hint="eastAsia" w:ascii="宋体" w:hAnsi="宋体"/>
        </w:rPr>
        <w:t>）供应商在规定的投标有效期内撤销或修改其响应文件的；</w:t>
      </w:r>
    </w:p>
    <w:p w14:paraId="2E260949">
      <w:pPr>
        <w:autoSpaceDE w:val="0"/>
        <w:autoSpaceDN w:val="0"/>
        <w:adjustRightInd w:val="0"/>
        <w:ind w:firstLine="420" w:firstLineChars="200"/>
        <w:rPr>
          <w:rFonts w:ascii="宋体" w:hAnsi="宋体"/>
        </w:rPr>
      </w:pPr>
      <w:r>
        <w:rPr>
          <w:rFonts w:hint="eastAsia" w:ascii="宋体" w:hAnsi="宋体"/>
        </w:rPr>
        <w:t>（</w:t>
      </w:r>
      <w:r>
        <w:rPr>
          <w:rFonts w:ascii="宋体" w:hAnsi="宋体"/>
        </w:rPr>
        <w:t>2</w:t>
      </w:r>
      <w:r>
        <w:rPr>
          <w:rFonts w:hint="eastAsia" w:ascii="宋体" w:hAnsi="宋体"/>
        </w:rPr>
        <w:t>）成交人在收到成交通知书后，无正当理由拒签合同协议书或在签订合同时提出附加条件或者更改合同实质性内容的；</w:t>
      </w:r>
    </w:p>
    <w:p w14:paraId="185B3135">
      <w:pPr>
        <w:autoSpaceDE w:val="0"/>
        <w:autoSpaceDN w:val="0"/>
        <w:adjustRightInd w:val="0"/>
        <w:ind w:firstLine="420" w:firstLineChars="200"/>
        <w:rPr>
          <w:rFonts w:ascii="宋体" w:hAnsi="宋体"/>
        </w:rPr>
      </w:pPr>
      <w:r>
        <w:rPr>
          <w:rFonts w:hint="eastAsia" w:ascii="宋体" w:hAnsi="宋体"/>
        </w:rPr>
        <w:t>（</w:t>
      </w:r>
      <w:r>
        <w:rPr>
          <w:rFonts w:ascii="宋体" w:hAnsi="宋体"/>
        </w:rPr>
        <w:t>3</w:t>
      </w:r>
      <w:r>
        <w:rPr>
          <w:rFonts w:hint="eastAsia" w:ascii="宋体" w:hAnsi="宋体"/>
        </w:rPr>
        <w:t>）未按竞争性磋商文件规定提交履约保证金的。</w:t>
      </w:r>
    </w:p>
    <w:p w14:paraId="5E9AAEAC">
      <w:pPr>
        <w:tabs>
          <w:tab w:val="center" w:pos="4832"/>
          <w:tab w:val="left" w:pos="7140"/>
        </w:tabs>
        <w:adjustRightInd w:val="0"/>
        <w:ind w:firstLine="413" w:firstLineChars="196"/>
        <w:jc w:val="left"/>
        <w:outlineLvl w:val="1"/>
        <w:rPr>
          <w:rFonts w:ascii="宋体" w:hAnsi="宋体" w:cs="宋体"/>
          <w:b/>
          <w:szCs w:val="21"/>
        </w:rPr>
      </w:pPr>
      <w:bookmarkStart w:id="41" w:name="_BookMark_7"/>
      <w:bookmarkEnd w:id="41"/>
      <w:bookmarkStart w:id="42" w:name="_Toc486588757"/>
      <w:bookmarkStart w:id="43" w:name="_Toc486588858"/>
      <w:bookmarkStart w:id="44" w:name="_Toc486588364"/>
      <w:bookmarkStart w:id="45" w:name="_Toc486588519"/>
      <w:bookmarkStart w:id="46" w:name="_Toc5883"/>
      <w:bookmarkStart w:id="47" w:name="_Toc486587973"/>
      <w:r>
        <w:rPr>
          <w:rFonts w:ascii="宋体" w:hAnsi="宋体" w:cs="宋体"/>
          <w:b/>
          <w:szCs w:val="21"/>
        </w:rPr>
        <w:t>4．投标</w:t>
      </w:r>
      <w:bookmarkEnd w:id="42"/>
      <w:bookmarkEnd w:id="43"/>
      <w:bookmarkEnd w:id="44"/>
      <w:bookmarkEnd w:id="45"/>
      <w:bookmarkEnd w:id="46"/>
      <w:bookmarkEnd w:id="47"/>
    </w:p>
    <w:p w14:paraId="08B04E62">
      <w:pPr>
        <w:autoSpaceDE w:val="0"/>
        <w:autoSpaceDN w:val="0"/>
        <w:adjustRightInd w:val="0"/>
        <w:ind w:firstLine="420" w:firstLineChars="200"/>
        <w:rPr>
          <w:rFonts w:ascii="宋体" w:hAnsi="宋体"/>
        </w:rPr>
      </w:pPr>
      <w:r>
        <w:rPr>
          <w:rFonts w:ascii="宋体" w:hAnsi="宋体"/>
        </w:rPr>
        <w:t xml:space="preserve">4.1 </w:t>
      </w:r>
      <w:r>
        <w:rPr>
          <w:rFonts w:hint="eastAsia" w:ascii="宋体" w:hAnsi="宋体"/>
        </w:rPr>
        <w:t>竞争性磋商响应文件的密封</w:t>
      </w:r>
    </w:p>
    <w:p w14:paraId="4A068700">
      <w:pPr>
        <w:autoSpaceDE w:val="0"/>
        <w:autoSpaceDN w:val="0"/>
        <w:adjustRightInd w:val="0"/>
        <w:ind w:firstLine="420" w:firstLineChars="200"/>
        <w:rPr>
          <w:rFonts w:ascii="宋体" w:hAnsi="宋体"/>
        </w:rPr>
      </w:pPr>
      <w:r>
        <w:rPr>
          <w:rFonts w:hint="eastAsia" w:ascii="宋体" w:hAnsi="宋体"/>
        </w:rPr>
        <w:t>4.1.1响应文件的密封：加密的电子响应文件（.jmbs格式）加密的电子响应文件（.jmbs格式）应在响应文件递交截止时间前通过政采云平台上传完成。</w:t>
      </w:r>
    </w:p>
    <w:p w14:paraId="19F39680">
      <w:pPr>
        <w:autoSpaceDE w:val="0"/>
        <w:autoSpaceDN w:val="0"/>
        <w:adjustRightInd w:val="0"/>
        <w:ind w:firstLine="420" w:firstLineChars="200"/>
        <w:rPr>
          <w:rFonts w:ascii="宋体" w:hAnsi="宋体"/>
        </w:rPr>
      </w:pPr>
      <w:r>
        <w:rPr>
          <w:rFonts w:hint="eastAsia" w:ascii="宋体" w:hAnsi="宋体"/>
        </w:rPr>
        <w:t>4.2 响应文件递交截止时间</w:t>
      </w:r>
    </w:p>
    <w:p w14:paraId="21BB6163">
      <w:pPr>
        <w:autoSpaceDE w:val="0"/>
        <w:autoSpaceDN w:val="0"/>
        <w:adjustRightInd w:val="0"/>
        <w:ind w:firstLine="420" w:firstLineChars="200"/>
        <w:rPr>
          <w:rFonts w:ascii="宋体" w:hAnsi="宋体"/>
        </w:rPr>
      </w:pPr>
      <w:r>
        <w:rPr>
          <w:rFonts w:hint="eastAsia" w:ascii="宋体" w:hAnsi="宋体"/>
        </w:rPr>
        <w:t>4.2</w:t>
      </w:r>
      <w:r>
        <w:rPr>
          <w:rFonts w:ascii="宋体" w:hAnsi="宋体"/>
        </w:rPr>
        <w:t xml:space="preserve">.1 </w:t>
      </w:r>
      <w:r>
        <w:rPr>
          <w:rFonts w:hint="eastAsia" w:ascii="宋体" w:hAnsi="宋体"/>
        </w:rPr>
        <w:t>“电子加密响应文件”的递交截止时间及地点为竞争性磋商公告所规定的时间、地点，供应商将“电子加密响应文件”成功上传递交后，供应商可自行打印响应文件接收回执。</w:t>
      </w:r>
    </w:p>
    <w:p w14:paraId="31E4FEA2">
      <w:pPr>
        <w:autoSpaceDE w:val="0"/>
        <w:autoSpaceDN w:val="0"/>
        <w:adjustRightInd w:val="0"/>
        <w:ind w:firstLine="420" w:firstLineChars="200"/>
        <w:rPr>
          <w:rFonts w:ascii="宋体" w:hAnsi="宋体"/>
        </w:rPr>
      </w:pPr>
      <w:r>
        <w:rPr>
          <w:rFonts w:hint="eastAsia" w:ascii="宋体" w:hAnsi="宋体"/>
        </w:rPr>
        <w:t>4.2</w:t>
      </w:r>
      <w:r>
        <w:rPr>
          <w:rFonts w:ascii="宋体" w:hAnsi="宋体"/>
        </w:rPr>
        <w:t xml:space="preserve">.2 </w:t>
      </w:r>
      <w:r>
        <w:rPr>
          <w:rFonts w:hint="eastAsia" w:ascii="宋体" w:hAnsi="宋体"/>
        </w:rPr>
        <w:t>出现因竞争性磋商文件的修改推迟投标截止时间时，则按采购人或者采购代理机构规定的顺延时间递交。</w:t>
      </w:r>
    </w:p>
    <w:p w14:paraId="3664190F">
      <w:pPr>
        <w:autoSpaceDE w:val="0"/>
        <w:autoSpaceDN w:val="0"/>
        <w:adjustRightInd w:val="0"/>
        <w:ind w:firstLine="420" w:firstLineChars="200"/>
        <w:rPr>
          <w:rFonts w:ascii="宋体" w:hAnsi="宋体"/>
        </w:rPr>
      </w:pPr>
      <w:r>
        <w:rPr>
          <w:rFonts w:hint="eastAsia" w:ascii="宋体" w:hAnsi="宋体"/>
        </w:rPr>
        <w:t>4.3 响应文件的修改和撤回</w:t>
      </w:r>
    </w:p>
    <w:p w14:paraId="5B7B34C1">
      <w:pPr>
        <w:autoSpaceDE w:val="0"/>
        <w:autoSpaceDN w:val="0"/>
        <w:adjustRightInd w:val="0"/>
        <w:ind w:firstLine="420" w:firstLineChars="200"/>
        <w:rPr>
          <w:rFonts w:ascii="宋体" w:hAnsi="宋体"/>
        </w:rPr>
      </w:pPr>
      <w:r>
        <w:rPr>
          <w:rFonts w:hint="eastAsia" w:ascii="宋体" w:hAnsi="宋体"/>
        </w:rPr>
        <w:t>4.3.1供应商在供应商须知前附表规定的提交响应文件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75D0D927">
      <w:pPr>
        <w:autoSpaceDE w:val="0"/>
        <w:autoSpaceDN w:val="0"/>
        <w:adjustRightInd w:val="0"/>
        <w:ind w:firstLine="420" w:firstLineChars="200"/>
        <w:rPr>
          <w:rFonts w:ascii="宋体" w:hAnsi="宋体"/>
        </w:rPr>
      </w:pPr>
      <w:r>
        <w:rPr>
          <w:rFonts w:hint="eastAsia" w:ascii="宋体" w:hAnsi="宋体"/>
        </w:rPr>
        <w:t>4.3.2供应商不得在响应文件递交截止时间起至投标有效期期满前撤回响应文件。</w:t>
      </w:r>
    </w:p>
    <w:p w14:paraId="3B4A6B18">
      <w:pPr>
        <w:tabs>
          <w:tab w:val="center" w:pos="4832"/>
          <w:tab w:val="left" w:pos="7140"/>
        </w:tabs>
        <w:adjustRightInd w:val="0"/>
        <w:ind w:firstLine="413" w:firstLineChars="196"/>
        <w:jc w:val="left"/>
        <w:outlineLvl w:val="1"/>
        <w:rPr>
          <w:rFonts w:ascii="宋体" w:hAnsi="宋体"/>
          <w:b/>
        </w:rPr>
      </w:pPr>
      <w:bookmarkStart w:id="48" w:name="_BookMark_8"/>
      <w:bookmarkEnd w:id="48"/>
      <w:bookmarkStart w:id="49" w:name="_Toc486588365"/>
      <w:bookmarkStart w:id="50" w:name="_Toc486587974"/>
      <w:bookmarkStart w:id="51" w:name="_Toc486588758"/>
      <w:bookmarkStart w:id="52" w:name="_Toc486588520"/>
      <w:bookmarkStart w:id="53" w:name="_Toc27841"/>
      <w:bookmarkStart w:id="54" w:name="_Toc486588859"/>
      <w:r>
        <w:rPr>
          <w:rFonts w:ascii="宋体" w:hAnsi="宋体"/>
          <w:b/>
        </w:rPr>
        <w:t>5．开标</w:t>
      </w:r>
      <w:bookmarkEnd w:id="49"/>
      <w:bookmarkEnd w:id="50"/>
      <w:bookmarkEnd w:id="51"/>
      <w:bookmarkEnd w:id="52"/>
      <w:bookmarkEnd w:id="53"/>
      <w:bookmarkEnd w:id="54"/>
    </w:p>
    <w:p w14:paraId="73E3D338">
      <w:pPr>
        <w:ind w:firstLine="422" w:firstLineChars="200"/>
        <w:rPr>
          <w:rFonts w:ascii="宋体" w:hAnsi="宋体"/>
          <w:b/>
        </w:rPr>
      </w:pPr>
      <w:r>
        <w:rPr>
          <w:rFonts w:hint="eastAsia" w:ascii="宋体" w:hAnsi="宋体"/>
          <w:b/>
        </w:rPr>
        <w:t>5.1供应商须在在提交响应文件截止时间前通过CA在政采云平台上传加密的电子响应文件。供应商在开标时须使用制作加密电子响应文件所使用的CA锁解密，供应商须提前配置好浏览器（建议使用360浏览器或谷歌浏览器），并确保开标期间电脑网络环境畅通，以便开标时解密。本项目解密时间定为30分钟，如因供应商自身原因导致无法正常解密，后果由供应商自行承担。</w:t>
      </w:r>
    </w:p>
    <w:p w14:paraId="413D9C75">
      <w:pPr>
        <w:ind w:firstLine="422" w:firstLineChars="200"/>
        <w:rPr>
          <w:rFonts w:ascii="宋体" w:hAnsi="宋体"/>
          <w:b/>
        </w:rPr>
      </w:pPr>
      <w:r>
        <w:rPr>
          <w:rFonts w:hint="eastAsia" w:ascii="宋体" w:hAnsi="宋体"/>
          <w:b/>
        </w:rPr>
        <w:t>5.2参与电子投标供应商，“不见面开标”大厅操作提示：①开标前一小时在系统进行在线签到②30分钟内完成在线解密③开标结束后30分钟内完成“开标一览表”在线签章。注意：如未在规定时间进行以上操作，将导致投标（响应）无效。</w:t>
      </w:r>
    </w:p>
    <w:p w14:paraId="04AF61A4">
      <w:pPr>
        <w:ind w:firstLine="422" w:firstLineChars="200"/>
        <w:rPr>
          <w:rFonts w:ascii="宋体" w:hAnsi="宋体"/>
          <w:b/>
        </w:rPr>
      </w:pPr>
      <w:r>
        <w:rPr>
          <w:rFonts w:hint="eastAsia" w:ascii="宋体" w:hAnsi="宋体"/>
          <w:b/>
        </w:rPr>
        <w:t>5.3参与竞争性磋商项目供应商，开标结束后，请及时进入“网上报价”页面（详见操作手册），等待最终报价通知。如未在系统提示的报价时限内报价，则视为上一轮报价为最终报价。</w:t>
      </w:r>
    </w:p>
    <w:p w14:paraId="777719A4">
      <w:pPr>
        <w:widowControl/>
        <w:shd w:val="clear" w:color="auto" w:fill="FFFFFF"/>
        <w:snapToGrid w:val="0"/>
        <w:ind w:firstLine="422" w:firstLineChars="200"/>
        <w:rPr>
          <w:rFonts w:ascii="宋体" w:hAnsi="宋体"/>
          <w:b/>
        </w:rPr>
      </w:pPr>
      <w:r>
        <w:rPr>
          <w:rFonts w:hint="eastAsia" w:ascii="宋体" w:hAnsi="宋体"/>
          <w:b/>
        </w:rPr>
        <w:t>5</w:t>
      </w:r>
      <w:r>
        <w:rPr>
          <w:rFonts w:ascii="宋体" w:hAnsi="宋体"/>
          <w:b/>
        </w:rPr>
        <w:t>.</w:t>
      </w:r>
      <w:r>
        <w:rPr>
          <w:rFonts w:hint="eastAsia" w:ascii="宋体" w:hAnsi="宋体"/>
          <w:b/>
        </w:rPr>
        <w:t>4 开标结束后由采购人对供应商已解密的电子响应文件进行资格审查（详见资格审查标准）。</w:t>
      </w:r>
    </w:p>
    <w:p w14:paraId="31E9066D">
      <w:pPr>
        <w:tabs>
          <w:tab w:val="center" w:pos="4832"/>
          <w:tab w:val="left" w:pos="7140"/>
        </w:tabs>
        <w:adjustRightInd w:val="0"/>
        <w:ind w:firstLine="413" w:firstLineChars="196"/>
        <w:jc w:val="left"/>
        <w:outlineLvl w:val="1"/>
        <w:rPr>
          <w:rFonts w:ascii="宋体" w:hAnsi="宋体" w:cs="宋体"/>
          <w:b/>
          <w:szCs w:val="21"/>
        </w:rPr>
      </w:pPr>
      <w:bookmarkStart w:id="55" w:name="_BookMark_9"/>
      <w:bookmarkEnd w:id="55"/>
      <w:bookmarkStart w:id="56" w:name="_Toc486588521"/>
      <w:bookmarkStart w:id="57" w:name="_Toc486587975"/>
      <w:bookmarkStart w:id="58" w:name="_Toc486588860"/>
      <w:bookmarkStart w:id="59" w:name="_Toc23628"/>
      <w:bookmarkStart w:id="60" w:name="_Toc486588759"/>
      <w:bookmarkStart w:id="61" w:name="_Toc486588366"/>
      <w:r>
        <w:rPr>
          <w:rFonts w:ascii="宋体" w:hAnsi="宋体" w:cs="宋体"/>
          <w:b/>
          <w:szCs w:val="21"/>
        </w:rPr>
        <w:t>6．评标</w:t>
      </w:r>
      <w:bookmarkEnd w:id="56"/>
      <w:bookmarkEnd w:id="57"/>
      <w:bookmarkEnd w:id="58"/>
      <w:bookmarkEnd w:id="59"/>
      <w:bookmarkEnd w:id="60"/>
      <w:bookmarkEnd w:id="61"/>
    </w:p>
    <w:p w14:paraId="4D8343D0">
      <w:pPr>
        <w:autoSpaceDE w:val="0"/>
        <w:autoSpaceDN w:val="0"/>
        <w:adjustRightInd w:val="0"/>
        <w:ind w:firstLine="420" w:firstLineChars="200"/>
        <w:rPr>
          <w:rFonts w:ascii="宋体" w:hAnsi="宋体"/>
        </w:rPr>
      </w:pPr>
      <w:bookmarkStart w:id="62" w:name="_BookMark_10"/>
      <w:bookmarkEnd w:id="62"/>
      <w:bookmarkStart w:id="63" w:name="_Toc486588367"/>
      <w:bookmarkStart w:id="64" w:name="_Toc486587976"/>
      <w:bookmarkStart w:id="65" w:name="_Toc486588522"/>
      <w:bookmarkStart w:id="66" w:name="_Toc486588861"/>
      <w:bookmarkStart w:id="67" w:name="_Toc486588760"/>
      <w:r>
        <w:rPr>
          <w:rFonts w:ascii="宋体" w:hAnsi="宋体"/>
        </w:rPr>
        <w:t xml:space="preserve">6.1 </w:t>
      </w:r>
      <w:r>
        <w:rPr>
          <w:rFonts w:hint="eastAsia" w:ascii="宋体" w:hAnsi="宋体"/>
        </w:rPr>
        <w:t>磋商小组</w:t>
      </w:r>
    </w:p>
    <w:p w14:paraId="36F84A92">
      <w:pPr>
        <w:autoSpaceDE w:val="0"/>
        <w:autoSpaceDN w:val="0"/>
        <w:adjustRightInd w:val="0"/>
        <w:ind w:firstLine="420" w:firstLineChars="200"/>
        <w:rPr>
          <w:rFonts w:ascii="宋体" w:hAnsi="宋体"/>
        </w:rPr>
      </w:pPr>
      <w:r>
        <w:rPr>
          <w:rFonts w:ascii="宋体" w:hAnsi="宋体"/>
        </w:rPr>
        <w:t xml:space="preserve">6.1.1 </w:t>
      </w:r>
      <w:r>
        <w:rPr>
          <w:rFonts w:hint="eastAsia" w:ascii="宋体" w:hAnsi="宋体"/>
        </w:rPr>
        <w:t>评标由采购人按照《政府采购评审专家管理办法》财库〔2016〕198号，依法组建的磋商小组负责。磋商小组负责评标工作，并向采购人提交书面评审报告。</w:t>
      </w:r>
    </w:p>
    <w:p w14:paraId="55C753CD">
      <w:pPr>
        <w:autoSpaceDE w:val="0"/>
        <w:autoSpaceDN w:val="0"/>
        <w:adjustRightInd w:val="0"/>
        <w:ind w:firstLine="420" w:firstLineChars="200"/>
        <w:rPr>
          <w:rFonts w:ascii="宋体" w:hAnsi="宋体"/>
        </w:rPr>
      </w:pPr>
      <w:r>
        <w:rPr>
          <w:rFonts w:ascii="宋体" w:hAnsi="宋体"/>
        </w:rPr>
        <w:t xml:space="preserve">6.1.2 </w:t>
      </w:r>
      <w:r>
        <w:rPr>
          <w:rFonts w:hint="eastAsia" w:ascii="宋体" w:hAnsi="宋体"/>
        </w:rPr>
        <w:t>磋商小组成员有下列情形之一的，应当回避：</w:t>
      </w:r>
    </w:p>
    <w:p w14:paraId="68642E8A">
      <w:pPr>
        <w:autoSpaceDE w:val="0"/>
        <w:autoSpaceDN w:val="0"/>
        <w:adjustRightInd w:val="0"/>
        <w:ind w:firstLine="420" w:firstLineChars="200"/>
        <w:rPr>
          <w:rFonts w:ascii="宋体" w:hAnsi="宋体"/>
        </w:rPr>
      </w:pPr>
      <w:r>
        <w:rPr>
          <w:rFonts w:hint="eastAsia" w:ascii="宋体" w:hAnsi="宋体"/>
        </w:rPr>
        <w:t>（</w:t>
      </w:r>
      <w:r>
        <w:rPr>
          <w:rFonts w:ascii="宋体" w:hAnsi="宋体"/>
        </w:rPr>
        <w:t>1</w:t>
      </w:r>
      <w:r>
        <w:rPr>
          <w:rFonts w:hint="eastAsia" w:ascii="宋体" w:hAnsi="宋体"/>
        </w:rPr>
        <w:t>）参加采购活动前三年内,与供应商存在劳动关系,或者担任过供应商的董事、监事,或者是供应商的控股股东或实际控制人。</w:t>
      </w:r>
    </w:p>
    <w:p w14:paraId="6E0A5D7B">
      <w:pPr>
        <w:autoSpaceDE w:val="0"/>
        <w:autoSpaceDN w:val="0"/>
        <w:adjustRightInd w:val="0"/>
        <w:ind w:firstLine="420" w:firstLineChars="200"/>
        <w:rPr>
          <w:rFonts w:ascii="宋体" w:hAnsi="宋体"/>
        </w:rPr>
      </w:pPr>
      <w:r>
        <w:rPr>
          <w:rFonts w:hint="eastAsia" w:ascii="宋体" w:hAnsi="宋体"/>
        </w:rPr>
        <w:t>（</w:t>
      </w:r>
      <w:r>
        <w:rPr>
          <w:rFonts w:ascii="宋体" w:hAnsi="宋体"/>
        </w:rPr>
        <w:t>2</w:t>
      </w:r>
      <w:r>
        <w:rPr>
          <w:rFonts w:hint="eastAsia" w:ascii="宋体" w:hAnsi="宋体"/>
        </w:rPr>
        <w:t>）与供应商的法定代表人或者负责人有夫妻、直系血亲、三代以内旁系血亲或者近姻亲关系。</w:t>
      </w:r>
    </w:p>
    <w:p w14:paraId="1F69F1E5">
      <w:pPr>
        <w:autoSpaceDE w:val="0"/>
        <w:autoSpaceDN w:val="0"/>
        <w:adjustRightInd w:val="0"/>
        <w:ind w:firstLine="420" w:firstLineChars="200"/>
        <w:rPr>
          <w:rFonts w:ascii="宋体" w:hAnsi="宋体"/>
        </w:rPr>
      </w:pPr>
      <w:r>
        <w:rPr>
          <w:rFonts w:hint="eastAsia" w:ascii="宋体" w:hAnsi="宋体"/>
        </w:rPr>
        <w:t>（</w:t>
      </w:r>
      <w:r>
        <w:rPr>
          <w:rFonts w:ascii="宋体" w:hAnsi="宋体"/>
        </w:rPr>
        <w:t>3</w:t>
      </w:r>
      <w:r>
        <w:rPr>
          <w:rFonts w:hint="eastAsia" w:ascii="宋体" w:hAnsi="宋体"/>
        </w:rPr>
        <w:t>）与供应商有其他可能影响政府采购活动公平、公正进行的关系。</w:t>
      </w:r>
    </w:p>
    <w:p w14:paraId="7F5230D4">
      <w:pPr>
        <w:autoSpaceDE w:val="0"/>
        <w:autoSpaceDN w:val="0"/>
        <w:adjustRightInd w:val="0"/>
        <w:ind w:firstLine="420" w:firstLineChars="200"/>
        <w:rPr>
          <w:rFonts w:ascii="宋体" w:hAnsi="宋体"/>
        </w:rPr>
      </w:pPr>
      <w:r>
        <w:rPr>
          <w:rFonts w:ascii="宋体" w:hAnsi="宋体"/>
        </w:rPr>
        <w:t xml:space="preserve">6.2 </w:t>
      </w:r>
      <w:r>
        <w:rPr>
          <w:rFonts w:hint="eastAsia" w:ascii="宋体" w:hAnsi="宋体"/>
        </w:rPr>
        <w:t>评标原则</w:t>
      </w:r>
    </w:p>
    <w:p w14:paraId="029C16B2">
      <w:pPr>
        <w:autoSpaceDE w:val="0"/>
        <w:autoSpaceDN w:val="0"/>
        <w:adjustRightInd w:val="0"/>
        <w:ind w:firstLine="420" w:firstLineChars="200"/>
        <w:rPr>
          <w:rFonts w:ascii="宋体" w:hAnsi="宋体"/>
        </w:rPr>
      </w:pPr>
      <w:r>
        <w:rPr>
          <w:rFonts w:hint="eastAsia" w:ascii="宋体" w:hAnsi="宋体"/>
        </w:rPr>
        <w:t>评标活动遵循公平、公正、科学和择优的原则。</w:t>
      </w:r>
    </w:p>
    <w:p w14:paraId="0450071C">
      <w:pPr>
        <w:autoSpaceDE w:val="0"/>
        <w:autoSpaceDN w:val="0"/>
        <w:adjustRightInd w:val="0"/>
        <w:ind w:firstLine="420" w:firstLineChars="200"/>
        <w:rPr>
          <w:rFonts w:ascii="宋体" w:hAnsi="宋体"/>
        </w:rPr>
      </w:pPr>
      <w:r>
        <w:rPr>
          <w:rFonts w:ascii="宋体" w:hAnsi="宋体"/>
        </w:rPr>
        <w:t xml:space="preserve">6.3 </w:t>
      </w:r>
      <w:r>
        <w:rPr>
          <w:rFonts w:hint="eastAsia" w:ascii="宋体" w:hAnsi="宋体"/>
        </w:rPr>
        <w:t>评标</w:t>
      </w:r>
    </w:p>
    <w:p w14:paraId="204D240D">
      <w:pPr>
        <w:autoSpaceDE w:val="0"/>
        <w:autoSpaceDN w:val="0"/>
        <w:adjustRightInd w:val="0"/>
        <w:ind w:firstLine="420" w:firstLineChars="200"/>
        <w:rPr>
          <w:rFonts w:ascii="宋体" w:hAnsi="宋体"/>
        </w:rPr>
      </w:pPr>
      <w:r>
        <w:rPr>
          <w:rFonts w:hint="eastAsia" w:ascii="宋体" w:hAnsi="宋体"/>
        </w:rPr>
        <w:t>磋商小组按照竞争性磋商文件中规定的方法、评审因素、标准和程序对竞争性磋商响应文件进行评审。</w:t>
      </w:r>
    </w:p>
    <w:p w14:paraId="782D8BEE">
      <w:pPr>
        <w:tabs>
          <w:tab w:val="center" w:pos="4832"/>
          <w:tab w:val="left" w:pos="7140"/>
        </w:tabs>
        <w:adjustRightInd w:val="0"/>
        <w:ind w:firstLine="413" w:firstLineChars="196"/>
        <w:jc w:val="left"/>
        <w:outlineLvl w:val="1"/>
        <w:rPr>
          <w:rFonts w:ascii="宋体" w:hAnsi="宋体" w:cs="宋体"/>
          <w:b/>
          <w:szCs w:val="21"/>
        </w:rPr>
      </w:pPr>
      <w:bookmarkStart w:id="68" w:name="_Toc17089"/>
      <w:r>
        <w:rPr>
          <w:rFonts w:ascii="宋体" w:hAnsi="宋体" w:cs="宋体"/>
          <w:b/>
          <w:szCs w:val="21"/>
        </w:rPr>
        <w:t>7．定标及合同授予</w:t>
      </w:r>
      <w:bookmarkEnd w:id="63"/>
      <w:bookmarkEnd w:id="64"/>
      <w:bookmarkEnd w:id="65"/>
      <w:bookmarkEnd w:id="66"/>
      <w:bookmarkEnd w:id="67"/>
      <w:bookmarkEnd w:id="68"/>
    </w:p>
    <w:p w14:paraId="14964045">
      <w:pPr>
        <w:autoSpaceDE w:val="0"/>
        <w:autoSpaceDN w:val="0"/>
        <w:adjustRightInd w:val="0"/>
        <w:ind w:firstLine="420" w:firstLineChars="200"/>
        <w:rPr>
          <w:rFonts w:ascii="宋体" w:hAnsi="宋体"/>
        </w:rPr>
      </w:pPr>
      <w:r>
        <w:rPr>
          <w:rFonts w:ascii="宋体" w:hAnsi="宋体"/>
        </w:rPr>
        <w:t xml:space="preserve">7.1 </w:t>
      </w:r>
      <w:r>
        <w:rPr>
          <w:rFonts w:hint="eastAsia" w:ascii="宋体" w:hAnsi="宋体"/>
        </w:rPr>
        <w:t>定标方法</w:t>
      </w:r>
    </w:p>
    <w:p w14:paraId="1A857AE0">
      <w:pPr>
        <w:autoSpaceDE w:val="0"/>
        <w:autoSpaceDN w:val="0"/>
        <w:adjustRightInd w:val="0"/>
        <w:ind w:firstLine="420" w:firstLineChars="200"/>
        <w:rPr>
          <w:rFonts w:ascii="宋体" w:hAnsi="宋体"/>
        </w:rPr>
      </w:pPr>
      <w:r>
        <w:rPr>
          <w:rFonts w:ascii="宋体" w:hAnsi="宋体"/>
        </w:rPr>
        <w:t xml:space="preserve">7.1.1 </w:t>
      </w:r>
      <w:r>
        <w:rPr>
          <w:rFonts w:hint="eastAsia" w:ascii="宋体" w:hAnsi="宋体"/>
        </w:rPr>
        <w:t>评标活动遵循公平、公正、科学和择优的原则。磋商小组按照竞争性磋商文件中规定的方法、评审因素、标准和程序对竞争性磋商响应文件进行评审，并按供应商须知前附表的规定向采购人推荐成交候选人。采购人依据磋商小组推荐的成交候选人确定成交人。</w:t>
      </w:r>
    </w:p>
    <w:p w14:paraId="0BD52839">
      <w:pPr>
        <w:autoSpaceDE w:val="0"/>
        <w:autoSpaceDN w:val="0"/>
        <w:adjustRightInd w:val="0"/>
        <w:ind w:firstLine="420" w:firstLineChars="200"/>
        <w:rPr>
          <w:rFonts w:ascii="宋体" w:hAnsi="宋体"/>
        </w:rPr>
      </w:pPr>
      <w:r>
        <w:rPr>
          <w:rFonts w:ascii="宋体" w:hAnsi="宋体"/>
        </w:rPr>
        <w:t>7.1.</w:t>
      </w:r>
      <w:r>
        <w:rPr>
          <w:rFonts w:hint="eastAsia" w:ascii="宋体" w:hAnsi="宋体"/>
        </w:rPr>
        <w:t>2 采购人从成交候选人中确定出成交人的原则：采购人应当确定综合得分排名第一的成交候选人为成交人。排名第一的成交候选人放弃成交、因不可抗力不能履行合同，不按照竞争性磋商文件要求提交履约保证金、或者被查实存在影响成交结果的违法行为等情形，不符合成交条件的，采购人可以按照磋商小组提出的成交候选人名单排名依次确定其他成交候选人为成交人。</w:t>
      </w:r>
    </w:p>
    <w:p w14:paraId="502D33BC">
      <w:pPr>
        <w:autoSpaceDE w:val="0"/>
        <w:autoSpaceDN w:val="0"/>
        <w:adjustRightInd w:val="0"/>
        <w:ind w:firstLine="420" w:firstLineChars="200"/>
        <w:rPr>
          <w:rFonts w:ascii="宋体" w:hAnsi="宋体"/>
        </w:rPr>
      </w:pPr>
      <w:r>
        <w:rPr>
          <w:rFonts w:ascii="宋体" w:hAnsi="宋体"/>
        </w:rPr>
        <w:t xml:space="preserve">7.2 </w:t>
      </w:r>
      <w:r>
        <w:rPr>
          <w:rFonts w:hint="eastAsia" w:ascii="宋体" w:hAnsi="宋体"/>
        </w:rPr>
        <w:t>成交结果公示</w:t>
      </w:r>
    </w:p>
    <w:p w14:paraId="2E1C98BF">
      <w:pPr>
        <w:autoSpaceDE w:val="0"/>
        <w:autoSpaceDN w:val="0"/>
        <w:adjustRightInd w:val="0"/>
        <w:ind w:firstLine="420" w:firstLineChars="200"/>
        <w:rPr>
          <w:rFonts w:ascii="宋体" w:hAnsi="宋体"/>
        </w:rPr>
      </w:pPr>
      <w:r>
        <w:rPr>
          <w:rFonts w:hint="eastAsia" w:ascii="宋体" w:hAnsi="宋体"/>
        </w:rPr>
        <w:t>成交结果的情况将在竞争性磋商公告发布的媒体上公示，公示期为1个工作日。</w:t>
      </w:r>
    </w:p>
    <w:p w14:paraId="135C2F66">
      <w:pPr>
        <w:autoSpaceDE w:val="0"/>
        <w:autoSpaceDN w:val="0"/>
        <w:adjustRightInd w:val="0"/>
        <w:ind w:firstLine="420" w:firstLineChars="200"/>
        <w:rPr>
          <w:rFonts w:ascii="宋体" w:hAnsi="宋体"/>
        </w:rPr>
      </w:pPr>
      <w:r>
        <w:rPr>
          <w:rFonts w:ascii="宋体" w:hAnsi="宋体"/>
        </w:rPr>
        <w:t xml:space="preserve">7.3 </w:t>
      </w:r>
      <w:r>
        <w:rPr>
          <w:rFonts w:hint="eastAsia" w:ascii="宋体" w:hAnsi="宋体"/>
        </w:rPr>
        <w:t>成交通知</w:t>
      </w:r>
    </w:p>
    <w:p w14:paraId="7A36B4E5">
      <w:pPr>
        <w:autoSpaceDE w:val="0"/>
        <w:autoSpaceDN w:val="0"/>
        <w:adjustRightInd w:val="0"/>
        <w:ind w:firstLine="420" w:firstLineChars="200"/>
        <w:rPr>
          <w:rFonts w:ascii="宋体" w:hAnsi="宋体"/>
        </w:rPr>
      </w:pPr>
      <w:r>
        <w:rPr>
          <w:rFonts w:hint="eastAsia" w:ascii="宋体" w:hAnsi="宋体"/>
        </w:rPr>
        <w:t>成交结果发布同时，采购人向成交人发出成交通知书，并通知其它供应商成交结果。</w:t>
      </w:r>
    </w:p>
    <w:p w14:paraId="067A34AB">
      <w:pPr>
        <w:autoSpaceDE w:val="0"/>
        <w:autoSpaceDN w:val="0"/>
        <w:adjustRightInd w:val="0"/>
        <w:ind w:firstLine="420" w:firstLineChars="200"/>
        <w:rPr>
          <w:rFonts w:ascii="宋体" w:hAnsi="宋体"/>
        </w:rPr>
      </w:pPr>
      <w:r>
        <w:rPr>
          <w:rFonts w:hint="eastAsia" w:ascii="宋体" w:hAnsi="宋体"/>
        </w:rPr>
        <w:t>7.4 履约保证金</w:t>
      </w:r>
    </w:p>
    <w:p w14:paraId="5C79A9ED">
      <w:pPr>
        <w:autoSpaceDE w:val="0"/>
        <w:autoSpaceDN w:val="0"/>
        <w:adjustRightInd w:val="0"/>
        <w:ind w:firstLine="420" w:firstLineChars="200"/>
        <w:rPr>
          <w:rFonts w:ascii="宋体" w:hAnsi="宋体"/>
        </w:rPr>
      </w:pPr>
      <w:r>
        <w:rPr>
          <w:rFonts w:hint="eastAsia" w:ascii="宋体" w:hAnsi="宋体"/>
        </w:rPr>
        <w:t>7.4.1 在签订合同前，成交人应按供应商须知前附表规定的金额、形式向采购人提交履约保证金。联合体成交的，其履约保证金由牵头人提交，并应符合供应商须知前附表的规定。</w:t>
      </w:r>
    </w:p>
    <w:p w14:paraId="53B26341">
      <w:pPr>
        <w:autoSpaceDE w:val="0"/>
        <w:autoSpaceDN w:val="0"/>
        <w:adjustRightInd w:val="0"/>
        <w:ind w:firstLine="420" w:firstLineChars="200"/>
        <w:rPr>
          <w:rFonts w:ascii="宋体" w:hAnsi="宋体"/>
        </w:rPr>
      </w:pPr>
      <w:r>
        <w:rPr>
          <w:rFonts w:hint="eastAsia" w:ascii="宋体" w:hAnsi="宋体"/>
        </w:rPr>
        <w:t>7.4.2 成交人不能按本章第7.4.1项要求提交履约保证金的，视为放弃成交，其磋商保证金不予退还；给采购人造成的损失超过磋商保证金数额的，成交人还应当对超过部分予以赔偿。</w:t>
      </w:r>
    </w:p>
    <w:p w14:paraId="2346A059">
      <w:pPr>
        <w:autoSpaceDE w:val="0"/>
        <w:autoSpaceDN w:val="0"/>
        <w:adjustRightInd w:val="0"/>
        <w:ind w:firstLine="420" w:firstLineChars="200"/>
        <w:rPr>
          <w:rFonts w:ascii="宋体" w:hAnsi="宋体"/>
        </w:rPr>
      </w:pPr>
      <w:r>
        <w:rPr>
          <w:rFonts w:hint="eastAsia" w:ascii="宋体" w:hAnsi="宋体"/>
        </w:rPr>
        <w:t>7.5 签订合同</w:t>
      </w:r>
    </w:p>
    <w:p w14:paraId="365DF40C">
      <w:pPr>
        <w:autoSpaceDE w:val="0"/>
        <w:autoSpaceDN w:val="0"/>
        <w:adjustRightInd w:val="0"/>
        <w:ind w:firstLine="420" w:firstLineChars="200"/>
        <w:rPr>
          <w:rFonts w:ascii="宋体" w:hAnsi="宋体"/>
        </w:rPr>
      </w:pPr>
      <w:r>
        <w:rPr>
          <w:rFonts w:hint="eastAsia" w:ascii="宋体" w:hAnsi="宋体"/>
        </w:rPr>
        <w:t>7.5.1采购人和成交人应当自成交通知书发出之日起30天内，根据竞争性磋商文件和成交人的响应文件订立书面合同。采购人和成交人不得再行订立背离合同实质性内容的其他协议。成交人无正当理由拒签合同的，采购人取消其成交资格，其磋商保证金不予退还；给采购人造成的损失超过磋商保证金数额的，成交人还应当对超过部分予以赔偿。</w:t>
      </w:r>
    </w:p>
    <w:p w14:paraId="77A64BFE">
      <w:pPr>
        <w:autoSpaceDE w:val="0"/>
        <w:autoSpaceDN w:val="0"/>
        <w:adjustRightInd w:val="0"/>
        <w:ind w:firstLine="420" w:firstLineChars="200"/>
        <w:rPr>
          <w:rFonts w:ascii="宋体" w:hAnsi="宋体"/>
        </w:rPr>
      </w:pPr>
      <w:r>
        <w:rPr>
          <w:rFonts w:hint="eastAsia" w:ascii="宋体" w:hAnsi="宋体"/>
        </w:rPr>
        <w:t>7.5.2 发出成交通知书后，采购人无正当理由拒签合同的，给成交人造成损失的，还应当赔偿成交人损失。</w:t>
      </w:r>
    </w:p>
    <w:p w14:paraId="257C5037">
      <w:pPr>
        <w:tabs>
          <w:tab w:val="center" w:pos="4832"/>
          <w:tab w:val="left" w:pos="7140"/>
        </w:tabs>
        <w:adjustRightInd w:val="0"/>
        <w:ind w:firstLine="413" w:firstLineChars="196"/>
        <w:jc w:val="left"/>
        <w:outlineLvl w:val="1"/>
        <w:rPr>
          <w:rFonts w:ascii="宋体" w:hAnsi="宋体" w:cs="宋体"/>
          <w:b/>
          <w:szCs w:val="21"/>
        </w:rPr>
      </w:pPr>
      <w:bookmarkStart w:id="69" w:name="_BookMark_11"/>
      <w:bookmarkEnd w:id="69"/>
      <w:bookmarkStart w:id="70" w:name="_Toc486588761"/>
      <w:bookmarkStart w:id="71" w:name="_Toc486587977"/>
      <w:bookmarkStart w:id="72" w:name="_Toc486588862"/>
      <w:bookmarkStart w:id="73" w:name="_Toc486588523"/>
      <w:bookmarkStart w:id="74" w:name="_Toc486588368"/>
      <w:bookmarkStart w:id="75" w:name="_Toc6418"/>
      <w:r>
        <w:rPr>
          <w:rFonts w:ascii="宋体" w:hAnsi="宋体" w:cs="宋体"/>
          <w:b/>
          <w:szCs w:val="21"/>
        </w:rPr>
        <w:t>8．纪律和监督</w:t>
      </w:r>
      <w:bookmarkEnd w:id="70"/>
      <w:bookmarkEnd w:id="71"/>
      <w:bookmarkEnd w:id="72"/>
      <w:bookmarkEnd w:id="73"/>
      <w:bookmarkEnd w:id="74"/>
      <w:bookmarkEnd w:id="75"/>
    </w:p>
    <w:p w14:paraId="0B3135F7">
      <w:pPr>
        <w:autoSpaceDE w:val="0"/>
        <w:autoSpaceDN w:val="0"/>
        <w:adjustRightInd w:val="0"/>
        <w:ind w:firstLine="420" w:firstLineChars="200"/>
        <w:rPr>
          <w:rFonts w:ascii="宋体" w:hAnsi="宋体"/>
        </w:rPr>
      </w:pPr>
      <w:r>
        <w:rPr>
          <w:rFonts w:hint="eastAsia" w:ascii="宋体" w:hAnsi="宋体"/>
        </w:rPr>
        <w:t>8.1 对采购人的纪律要求</w:t>
      </w:r>
    </w:p>
    <w:p w14:paraId="1A66527F">
      <w:pPr>
        <w:autoSpaceDE w:val="0"/>
        <w:autoSpaceDN w:val="0"/>
        <w:adjustRightInd w:val="0"/>
        <w:ind w:firstLine="420" w:firstLineChars="200"/>
        <w:rPr>
          <w:rFonts w:ascii="宋体" w:hAnsi="宋体"/>
        </w:rPr>
      </w:pPr>
      <w:r>
        <w:rPr>
          <w:rFonts w:hint="eastAsia" w:ascii="宋体" w:hAnsi="宋体"/>
        </w:rPr>
        <w:t>采购人不得泄漏采购活动中应当保密的情况和资料，不得与供应商串通损害国家利益、社会公共利益或者他人合法权益。</w:t>
      </w:r>
    </w:p>
    <w:p w14:paraId="6E15B539">
      <w:pPr>
        <w:autoSpaceDE w:val="0"/>
        <w:autoSpaceDN w:val="0"/>
        <w:adjustRightInd w:val="0"/>
        <w:ind w:firstLine="420" w:firstLineChars="200"/>
        <w:rPr>
          <w:rFonts w:ascii="宋体" w:hAnsi="宋体"/>
        </w:rPr>
      </w:pPr>
      <w:r>
        <w:rPr>
          <w:rFonts w:hint="eastAsia" w:ascii="宋体" w:hAnsi="宋体"/>
        </w:rPr>
        <w:t>8.2 对供应商的纪律要求</w:t>
      </w:r>
    </w:p>
    <w:p w14:paraId="55977B46">
      <w:pPr>
        <w:autoSpaceDE w:val="0"/>
        <w:autoSpaceDN w:val="0"/>
        <w:adjustRightInd w:val="0"/>
        <w:ind w:firstLine="420" w:firstLineChars="200"/>
        <w:rPr>
          <w:rFonts w:ascii="宋体" w:hAnsi="宋体"/>
        </w:rPr>
      </w:pPr>
      <w:r>
        <w:rPr>
          <w:rFonts w:hint="eastAsia" w:ascii="宋体" w:hAnsi="宋体"/>
        </w:rPr>
        <w:t>供应商不得相互串通投标或者与采购人串通投标，不得向采购人或者磋商小组成员行贿谋取成交，不得以他人名义投标或者以其他方式弄虚作假骗取成交；供应商不得以任何方式干扰、影响评标工作。</w:t>
      </w:r>
    </w:p>
    <w:p w14:paraId="53A53F6B">
      <w:pPr>
        <w:autoSpaceDE w:val="0"/>
        <w:autoSpaceDN w:val="0"/>
        <w:adjustRightInd w:val="0"/>
        <w:ind w:firstLine="420" w:firstLineChars="200"/>
        <w:rPr>
          <w:rFonts w:ascii="宋体" w:hAnsi="宋体"/>
        </w:rPr>
      </w:pPr>
      <w:r>
        <w:rPr>
          <w:rFonts w:hint="eastAsia" w:ascii="宋体" w:hAnsi="宋体"/>
        </w:rPr>
        <w:t>8.3 对评审磋商小组的纪律要求</w:t>
      </w:r>
    </w:p>
    <w:p w14:paraId="725E056E">
      <w:pPr>
        <w:autoSpaceDE w:val="0"/>
        <w:autoSpaceDN w:val="0"/>
        <w:adjustRightInd w:val="0"/>
        <w:ind w:firstLine="420" w:firstLineChars="200"/>
        <w:rPr>
          <w:rFonts w:ascii="宋体" w:hAnsi="宋体"/>
        </w:rPr>
      </w:pPr>
      <w:r>
        <w:rPr>
          <w:rFonts w:hint="eastAsia" w:ascii="宋体" w:hAnsi="宋体"/>
        </w:rPr>
        <w:t>评审磋商小组成员不得收受他人的财物或者其他好处，不得向他人透漏对响应文件的评审和比较、成交候选人的推荐情况以及评标有关的其他情况。在评标活动中，评审磋商小组成员不得擅离职守，影响评标程序正常进行，不得使用第二章“评标办法”没有规定的评审因素和标准进行评标。</w:t>
      </w:r>
    </w:p>
    <w:p w14:paraId="6E48E91E">
      <w:pPr>
        <w:autoSpaceDE w:val="0"/>
        <w:autoSpaceDN w:val="0"/>
        <w:adjustRightInd w:val="0"/>
        <w:ind w:firstLine="420" w:firstLineChars="200"/>
        <w:rPr>
          <w:rFonts w:ascii="宋体" w:hAnsi="宋体"/>
        </w:rPr>
      </w:pPr>
      <w:r>
        <w:rPr>
          <w:rFonts w:hint="eastAsia" w:ascii="宋体" w:hAnsi="宋体"/>
        </w:rPr>
        <w:t>8.4 对与评标活动有关的工作人员的纪律要求</w:t>
      </w:r>
    </w:p>
    <w:p w14:paraId="040EF03F">
      <w:pPr>
        <w:autoSpaceDE w:val="0"/>
        <w:autoSpaceDN w:val="0"/>
        <w:adjustRightInd w:val="0"/>
        <w:ind w:firstLine="420" w:firstLineChars="200"/>
        <w:rPr>
          <w:rFonts w:ascii="宋体" w:hAnsi="宋体"/>
        </w:rPr>
      </w:pPr>
      <w:r>
        <w:rPr>
          <w:rFonts w:hint="eastAsia" w:ascii="宋体" w:hAnsi="宋体"/>
        </w:rPr>
        <w:t>与评标活动有关的工作人员不得收受他人的财物或者其他好处，不得向他人透漏对响应文件的评审和比较、成交候选人的推荐情况以及评标有关的其他情况。在评标活动中，与评标活动有关的工作人员不得擅离职守，影响评标程序正常进行。</w:t>
      </w:r>
    </w:p>
    <w:p w14:paraId="402FDFD8">
      <w:pPr>
        <w:autoSpaceDE w:val="0"/>
        <w:autoSpaceDN w:val="0"/>
        <w:adjustRightInd w:val="0"/>
        <w:ind w:firstLine="420" w:firstLineChars="200"/>
        <w:rPr>
          <w:rFonts w:ascii="宋体" w:hAnsi="宋体"/>
        </w:rPr>
      </w:pPr>
      <w:r>
        <w:rPr>
          <w:rFonts w:hint="eastAsia" w:ascii="宋体" w:hAnsi="宋体"/>
        </w:rPr>
        <w:t>8.5 监督</w:t>
      </w:r>
    </w:p>
    <w:p w14:paraId="2BDB1488">
      <w:pPr>
        <w:autoSpaceDE w:val="0"/>
        <w:autoSpaceDN w:val="0"/>
        <w:adjustRightInd w:val="0"/>
        <w:ind w:firstLine="420" w:firstLineChars="200"/>
        <w:rPr>
          <w:rFonts w:ascii="宋体" w:hAnsi="宋体"/>
        </w:rPr>
      </w:pPr>
      <w:r>
        <w:rPr>
          <w:rFonts w:hint="eastAsia" w:ascii="宋体" w:hAnsi="宋体"/>
        </w:rPr>
        <w:t>本项目的采购活动及其相关当事人应当接受有管辖权的监督部门依法实施的监督。</w:t>
      </w:r>
    </w:p>
    <w:p w14:paraId="4B303F01">
      <w:pPr>
        <w:autoSpaceDE w:val="0"/>
        <w:autoSpaceDN w:val="0"/>
        <w:adjustRightInd w:val="0"/>
        <w:ind w:firstLine="420" w:firstLineChars="200"/>
        <w:rPr>
          <w:rFonts w:ascii="宋体" w:hAnsi="宋体"/>
        </w:rPr>
      </w:pPr>
      <w:bookmarkStart w:id="76" w:name="_BookMark_12"/>
      <w:bookmarkEnd w:id="76"/>
    </w:p>
    <w:p w14:paraId="2B47C59E">
      <w:pPr>
        <w:spacing w:line="440" w:lineRule="exact"/>
        <w:jc w:val="center"/>
        <w:outlineLvl w:val="0"/>
        <w:rPr>
          <w:rFonts w:ascii="宋体" w:hAnsi="宋体" w:cs="宋体"/>
          <w:b/>
          <w:szCs w:val="21"/>
        </w:rPr>
      </w:pPr>
      <w:r>
        <w:rPr>
          <w:rFonts w:ascii="宋体" w:hAnsi="宋体" w:cs="Arial"/>
          <w:bCs/>
          <w:kern w:val="0"/>
          <w:sz w:val="24"/>
          <w:szCs w:val="24"/>
        </w:rPr>
        <w:br w:type="page"/>
      </w:r>
      <w:bookmarkEnd w:id="39"/>
      <w:bookmarkEnd w:id="40"/>
      <w:bookmarkStart w:id="77" w:name="_Toc486588762"/>
      <w:bookmarkStart w:id="78" w:name="_Toc486588369"/>
      <w:bookmarkStart w:id="79" w:name="_Toc486587978"/>
      <w:bookmarkStart w:id="80" w:name="_Toc486588524"/>
      <w:bookmarkStart w:id="81" w:name="_Toc486588863"/>
      <w:bookmarkStart w:id="82" w:name="_Toc15935"/>
      <w:r>
        <w:rPr>
          <w:rFonts w:ascii="宋体" w:hAnsi="宋体" w:cs="宋体"/>
          <w:b/>
          <w:szCs w:val="21"/>
        </w:rPr>
        <w:t>第二章 评标办法（综合评估法</w:t>
      </w:r>
      <w:r>
        <w:rPr>
          <w:rFonts w:hint="eastAsia" w:ascii="宋体" w:hAnsi="宋体" w:cs="宋体"/>
          <w:b/>
          <w:szCs w:val="21"/>
        </w:rPr>
        <w:t>）</w:t>
      </w:r>
      <w:bookmarkEnd w:id="77"/>
      <w:bookmarkEnd w:id="78"/>
      <w:bookmarkEnd w:id="79"/>
      <w:bookmarkEnd w:id="80"/>
      <w:bookmarkEnd w:id="81"/>
      <w:bookmarkEnd w:id="82"/>
    </w:p>
    <w:p w14:paraId="558C19A2">
      <w:pPr>
        <w:tabs>
          <w:tab w:val="center" w:pos="4832"/>
          <w:tab w:val="left" w:pos="7140"/>
        </w:tabs>
        <w:spacing w:line="360" w:lineRule="auto"/>
        <w:jc w:val="center"/>
        <w:outlineLvl w:val="1"/>
        <w:rPr>
          <w:rFonts w:ascii="宋体" w:hAnsi="宋体" w:cs="宋体"/>
          <w:b/>
          <w:szCs w:val="21"/>
        </w:rPr>
      </w:pPr>
      <w:bookmarkStart w:id="83" w:name="_BookMark_1"/>
      <w:bookmarkEnd w:id="83"/>
      <w:bookmarkStart w:id="84" w:name="_Toc486588370"/>
      <w:bookmarkStart w:id="85" w:name="_Toc486587979"/>
      <w:bookmarkStart w:id="86" w:name="_Toc486588525"/>
      <w:bookmarkStart w:id="87" w:name="_Toc486588763"/>
      <w:bookmarkStart w:id="88" w:name="_Toc486588864"/>
      <w:bookmarkStart w:id="89" w:name="_Toc18117"/>
      <w:r>
        <w:rPr>
          <w:rFonts w:ascii="宋体" w:hAnsi="宋体" w:cs="宋体"/>
          <w:b/>
          <w:szCs w:val="21"/>
        </w:rPr>
        <w:t>评标办法前附表</w:t>
      </w:r>
      <w:bookmarkEnd w:id="84"/>
      <w:bookmarkEnd w:id="85"/>
      <w:bookmarkEnd w:id="86"/>
      <w:bookmarkEnd w:id="87"/>
      <w:bookmarkEnd w:id="88"/>
      <w:bookmarkEnd w:id="89"/>
    </w:p>
    <w:tbl>
      <w:tblPr>
        <w:tblStyle w:val="47"/>
        <w:tblW w:w="4999" w:type="pct"/>
        <w:jc w:val="center"/>
        <w:tblLayout w:type="autofit"/>
        <w:tblCellMar>
          <w:top w:w="0" w:type="dxa"/>
          <w:left w:w="0" w:type="dxa"/>
          <w:bottom w:w="0" w:type="dxa"/>
          <w:right w:w="0" w:type="dxa"/>
        </w:tblCellMar>
      </w:tblPr>
      <w:tblGrid>
        <w:gridCol w:w="620"/>
        <w:gridCol w:w="2107"/>
        <w:gridCol w:w="7024"/>
      </w:tblGrid>
      <w:tr w14:paraId="4232B7B5">
        <w:tblPrEx>
          <w:tblCellMar>
            <w:top w:w="0" w:type="dxa"/>
            <w:left w:w="0" w:type="dxa"/>
            <w:bottom w:w="0" w:type="dxa"/>
            <w:right w:w="0" w:type="dxa"/>
          </w:tblCellMar>
        </w:tblPrEx>
        <w:trPr>
          <w:trHeight w:val="330" w:hRule="atLeast"/>
          <w:jc w:val="center"/>
        </w:trPr>
        <w:tc>
          <w:tcPr>
            <w:tcW w:w="318"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2F591563">
            <w:pPr>
              <w:jc w:val="center"/>
              <w:rPr>
                <w:rFonts w:ascii="宋体" w:hAnsi="宋体"/>
                <w:szCs w:val="21"/>
              </w:rPr>
            </w:pPr>
            <w:r>
              <w:rPr>
                <w:rFonts w:hint="eastAsia" w:ascii="宋体" w:hAnsi="宋体"/>
                <w:szCs w:val="21"/>
              </w:rPr>
              <w:t>序号</w:t>
            </w:r>
          </w:p>
        </w:tc>
        <w:tc>
          <w:tcPr>
            <w:tcW w:w="1080"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20EDDADC">
            <w:pPr>
              <w:jc w:val="center"/>
              <w:rPr>
                <w:rFonts w:ascii="宋体" w:hAnsi="宋体"/>
                <w:szCs w:val="21"/>
              </w:rPr>
            </w:pPr>
            <w:r>
              <w:rPr>
                <w:rFonts w:hint="eastAsia" w:ascii="宋体" w:hAnsi="宋体"/>
                <w:szCs w:val="21"/>
              </w:rPr>
              <w:t>条款内容</w:t>
            </w:r>
          </w:p>
        </w:tc>
        <w:tc>
          <w:tcPr>
            <w:tcW w:w="3601"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469BE300">
            <w:pPr>
              <w:jc w:val="center"/>
              <w:rPr>
                <w:rFonts w:ascii="宋体" w:hAnsi="宋体"/>
                <w:szCs w:val="21"/>
              </w:rPr>
            </w:pPr>
            <w:r>
              <w:rPr>
                <w:rFonts w:hint="eastAsia" w:ascii="宋体" w:hAnsi="宋体"/>
                <w:szCs w:val="21"/>
              </w:rPr>
              <w:t>编列内容</w:t>
            </w:r>
          </w:p>
        </w:tc>
      </w:tr>
      <w:tr w14:paraId="4FD7E5D5">
        <w:tblPrEx>
          <w:tblCellMar>
            <w:top w:w="0" w:type="dxa"/>
            <w:left w:w="0" w:type="dxa"/>
            <w:bottom w:w="0" w:type="dxa"/>
            <w:right w:w="0" w:type="dxa"/>
          </w:tblCellMar>
        </w:tblPrEx>
        <w:trPr>
          <w:trHeight w:val="639" w:hRule="atLeast"/>
          <w:jc w:val="center"/>
        </w:trPr>
        <w:tc>
          <w:tcPr>
            <w:tcW w:w="318"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5C20854F">
            <w:pPr>
              <w:jc w:val="center"/>
              <w:rPr>
                <w:rFonts w:ascii="宋体" w:hAnsi="宋体"/>
                <w:szCs w:val="21"/>
              </w:rPr>
            </w:pPr>
            <w:r>
              <w:rPr>
                <w:rFonts w:hint="eastAsia" w:ascii="宋体" w:hAnsi="宋体"/>
                <w:szCs w:val="21"/>
              </w:rPr>
              <w:t>1</w:t>
            </w:r>
          </w:p>
        </w:tc>
        <w:tc>
          <w:tcPr>
            <w:tcW w:w="1080"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04E2D5D9">
            <w:pPr>
              <w:rPr>
                <w:rFonts w:ascii="宋体" w:hAnsi="宋体"/>
                <w:szCs w:val="21"/>
              </w:rPr>
            </w:pPr>
            <w:r>
              <w:rPr>
                <w:rFonts w:hint="eastAsia" w:ascii="宋体" w:hAnsi="宋体"/>
                <w:szCs w:val="21"/>
              </w:rPr>
              <w:t>分值构成</w:t>
            </w:r>
          </w:p>
          <w:p w14:paraId="5092A03E">
            <w:pPr>
              <w:rPr>
                <w:rFonts w:ascii="宋体" w:hAnsi="宋体"/>
                <w:szCs w:val="21"/>
              </w:rPr>
            </w:pPr>
            <w:r>
              <w:rPr>
                <w:rFonts w:hint="eastAsia" w:ascii="宋体" w:hAnsi="宋体"/>
                <w:szCs w:val="21"/>
              </w:rPr>
              <w:t>(总分100分)</w:t>
            </w:r>
          </w:p>
        </w:tc>
        <w:tc>
          <w:tcPr>
            <w:tcW w:w="3601"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4D267DFC">
            <w:pPr>
              <w:rPr>
                <w:rFonts w:ascii="宋体" w:hAnsi="宋体"/>
                <w:szCs w:val="21"/>
              </w:rPr>
            </w:pPr>
            <w:r>
              <w:rPr>
                <w:rFonts w:ascii="宋体" w:hAnsi="宋体"/>
                <w:szCs w:val="21"/>
              </w:rPr>
              <w:t>1.</w:t>
            </w:r>
            <w:r>
              <w:rPr>
                <w:rFonts w:hint="eastAsia" w:ascii="宋体" w:hAnsi="宋体"/>
                <w:szCs w:val="21"/>
              </w:rPr>
              <w:t>详细评审7</w:t>
            </w:r>
            <w:r>
              <w:rPr>
                <w:rFonts w:ascii="宋体" w:hAnsi="宋体"/>
                <w:szCs w:val="21"/>
              </w:rPr>
              <w:t>0</w:t>
            </w:r>
            <w:r>
              <w:rPr>
                <w:rFonts w:hint="eastAsia" w:ascii="宋体" w:hAnsi="宋体"/>
                <w:szCs w:val="21"/>
              </w:rPr>
              <w:t>分</w:t>
            </w:r>
          </w:p>
          <w:p w14:paraId="02895ECB">
            <w:pPr>
              <w:rPr>
                <w:rFonts w:ascii="宋体" w:hAnsi="宋体"/>
                <w:szCs w:val="21"/>
              </w:rPr>
            </w:pPr>
            <w:r>
              <w:rPr>
                <w:rFonts w:ascii="宋体" w:hAnsi="宋体"/>
                <w:szCs w:val="21"/>
              </w:rPr>
              <w:t>2.</w:t>
            </w:r>
            <w:r>
              <w:rPr>
                <w:rFonts w:hint="eastAsia" w:ascii="宋体" w:hAnsi="宋体"/>
                <w:szCs w:val="21"/>
              </w:rPr>
              <w:t>投标报价30分</w:t>
            </w:r>
          </w:p>
        </w:tc>
      </w:tr>
      <w:tr w14:paraId="38CC16EF">
        <w:tblPrEx>
          <w:tblCellMar>
            <w:top w:w="0" w:type="dxa"/>
            <w:left w:w="0" w:type="dxa"/>
            <w:bottom w:w="0" w:type="dxa"/>
            <w:right w:w="0" w:type="dxa"/>
          </w:tblCellMar>
        </w:tblPrEx>
        <w:trPr>
          <w:trHeight w:val="149" w:hRule="atLeast"/>
          <w:jc w:val="center"/>
        </w:trPr>
        <w:tc>
          <w:tcPr>
            <w:tcW w:w="318"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27DE5DE0">
            <w:pPr>
              <w:jc w:val="center"/>
              <w:rPr>
                <w:rFonts w:ascii="宋体" w:hAnsi="宋体"/>
                <w:szCs w:val="21"/>
              </w:rPr>
            </w:pPr>
            <w:r>
              <w:rPr>
                <w:rFonts w:hint="eastAsia" w:ascii="宋体" w:hAnsi="宋体"/>
                <w:szCs w:val="21"/>
              </w:rPr>
              <w:t>2</w:t>
            </w:r>
          </w:p>
        </w:tc>
        <w:tc>
          <w:tcPr>
            <w:tcW w:w="1080"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28DCC0BB">
            <w:pPr>
              <w:rPr>
                <w:rFonts w:ascii="宋体" w:hAnsi="宋体"/>
                <w:szCs w:val="21"/>
              </w:rPr>
            </w:pPr>
            <w:r>
              <w:rPr>
                <w:rFonts w:hint="eastAsia" w:ascii="宋体" w:hAnsi="宋体"/>
                <w:szCs w:val="21"/>
              </w:rPr>
              <w:t>资格审查</w:t>
            </w:r>
          </w:p>
        </w:tc>
        <w:tc>
          <w:tcPr>
            <w:tcW w:w="3601"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6C298FF6">
            <w:pPr>
              <w:rPr>
                <w:rFonts w:ascii="宋体" w:hAnsi="宋体"/>
                <w:szCs w:val="21"/>
              </w:rPr>
            </w:pPr>
            <w:r>
              <w:rPr>
                <w:rFonts w:hint="eastAsia" w:ascii="宋体" w:hAnsi="宋体"/>
                <w:szCs w:val="21"/>
              </w:rPr>
              <w:t>详见资格审查评审标准</w:t>
            </w:r>
          </w:p>
        </w:tc>
      </w:tr>
      <w:tr w14:paraId="72891C50">
        <w:tblPrEx>
          <w:tblCellMar>
            <w:top w:w="0" w:type="dxa"/>
            <w:left w:w="0" w:type="dxa"/>
            <w:bottom w:w="0" w:type="dxa"/>
            <w:right w:w="0" w:type="dxa"/>
          </w:tblCellMar>
        </w:tblPrEx>
        <w:trPr>
          <w:trHeight w:val="149" w:hRule="atLeast"/>
          <w:jc w:val="center"/>
        </w:trPr>
        <w:tc>
          <w:tcPr>
            <w:tcW w:w="318"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44F2A8E9">
            <w:pPr>
              <w:jc w:val="center"/>
              <w:rPr>
                <w:rFonts w:ascii="宋体" w:hAnsi="宋体"/>
                <w:szCs w:val="21"/>
              </w:rPr>
            </w:pPr>
            <w:r>
              <w:rPr>
                <w:rFonts w:hint="eastAsia" w:ascii="宋体" w:hAnsi="宋体"/>
                <w:szCs w:val="21"/>
              </w:rPr>
              <w:t>3</w:t>
            </w:r>
          </w:p>
        </w:tc>
        <w:tc>
          <w:tcPr>
            <w:tcW w:w="1080"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6E1C4DFF">
            <w:pPr>
              <w:rPr>
                <w:rFonts w:ascii="宋体" w:hAnsi="宋体"/>
                <w:szCs w:val="21"/>
              </w:rPr>
            </w:pPr>
            <w:r>
              <w:rPr>
                <w:rFonts w:hint="eastAsia" w:ascii="宋体" w:hAnsi="宋体"/>
                <w:szCs w:val="21"/>
              </w:rPr>
              <w:t>完备性及符合性审查</w:t>
            </w:r>
          </w:p>
        </w:tc>
        <w:tc>
          <w:tcPr>
            <w:tcW w:w="3601"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478A27D7">
            <w:pPr>
              <w:rPr>
                <w:rFonts w:ascii="宋体" w:hAnsi="宋体"/>
                <w:szCs w:val="21"/>
              </w:rPr>
            </w:pPr>
            <w:r>
              <w:rPr>
                <w:rFonts w:hint="eastAsia" w:ascii="宋体" w:hAnsi="宋体"/>
                <w:szCs w:val="21"/>
              </w:rPr>
              <w:t>详见</w:t>
            </w:r>
            <w:r>
              <w:rPr>
                <w:rFonts w:hint="eastAsia" w:ascii="宋体" w:hAnsi="宋体" w:cs="宋体"/>
                <w:szCs w:val="21"/>
              </w:rPr>
              <w:t>完备性及符合性审查标准</w:t>
            </w:r>
          </w:p>
        </w:tc>
      </w:tr>
      <w:tr w14:paraId="69310BC6">
        <w:tblPrEx>
          <w:tblCellMar>
            <w:top w:w="0" w:type="dxa"/>
            <w:left w:w="0" w:type="dxa"/>
            <w:bottom w:w="0" w:type="dxa"/>
            <w:right w:w="0" w:type="dxa"/>
          </w:tblCellMar>
        </w:tblPrEx>
        <w:trPr>
          <w:trHeight w:val="330" w:hRule="atLeast"/>
          <w:jc w:val="center"/>
        </w:trPr>
        <w:tc>
          <w:tcPr>
            <w:tcW w:w="318"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4F95A84F">
            <w:pPr>
              <w:jc w:val="center"/>
              <w:rPr>
                <w:rFonts w:ascii="宋体" w:hAnsi="宋体"/>
                <w:szCs w:val="21"/>
              </w:rPr>
            </w:pPr>
            <w:r>
              <w:rPr>
                <w:rFonts w:hint="eastAsia" w:ascii="宋体" w:hAnsi="宋体"/>
                <w:szCs w:val="21"/>
              </w:rPr>
              <w:t>4</w:t>
            </w:r>
          </w:p>
        </w:tc>
        <w:tc>
          <w:tcPr>
            <w:tcW w:w="1080"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39B0CA2A">
            <w:pPr>
              <w:rPr>
                <w:rFonts w:ascii="宋体" w:hAnsi="宋体"/>
                <w:szCs w:val="21"/>
              </w:rPr>
            </w:pPr>
            <w:r>
              <w:rPr>
                <w:rFonts w:hint="eastAsia" w:ascii="宋体" w:hAnsi="宋体"/>
                <w:szCs w:val="21"/>
              </w:rPr>
              <w:t>详细评审</w:t>
            </w:r>
          </w:p>
        </w:tc>
        <w:tc>
          <w:tcPr>
            <w:tcW w:w="3601"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5FE509A0">
            <w:pPr>
              <w:rPr>
                <w:rFonts w:ascii="宋体" w:hAnsi="宋体"/>
                <w:szCs w:val="21"/>
              </w:rPr>
            </w:pPr>
            <w:r>
              <w:rPr>
                <w:rFonts w:hint="eastAsia" w:ascii="宋体" w:hAnsi="宋体"/>
                <w:szCs w:val="21"/>
              </w:rPr>
              <w:t>详见详细评审标准</w:t>
            </w:r>
          </w:p>
        </w:tc>
      </w:tr>
      <w:tr w14:paraId="40E6F6A8">
        <w:tblPrEx>
          <w:tblCellMar>
            <w:top w:w="0" w:type="dxa"/>
            <w:left w:w="0" w:type="dxa"/>
            <w:bottom w:w="0" w:type="dxa"/>
            <w:right w:w="0" w:type="dxa"/>
          </w:tblCellMar>
        </w:tblPrEx>
        <w:trPr>
          <w:trHeight w:val="406" w:hRule="atLeast"/>
          <w:jc w:val="center"/>
        </w:trPr>
        <w:tc>
          <w:tcPr>
            <w:tcW w:w="318"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60AB0FA1">
            <w:pPr>
              <w:jc w:val="center"/>
              <w:rPr>
                <w:rFonts w:ascii="宋体" w:hAnsi="宋体"/>
                <w:szCs w:val="21"/>
              </w:rPr>
            </w:pPr>
            <w:r>
              <w:rPr>
                <w:rFonts w:hint="eastAsia" w:ascii="宋体" w:hAnsi="宋体"/>
                <w:szCs w:val="21"/>
              </w:rPr>
              <w:t>5</w:t>
            </w:r>
          </w:p>
        </w:tc>
        <w:tc>
          <w:tcPr>
            <w:tcW w:w="1080"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32CC9A27">
            <w:pPr>
              <w:rPr>
                <w:rFonts w:ascii="宋体" w:hAnsi="宋体"/>
                <w:szCs w:val="21"/>
              </w:rPr>
            </w:pPr>
            <w:r>
              <w:rPr>
                <w:rFonts w:hint="eastAsia" w:ascii="宋体" w:hAnsi="宋体"/>
                <w:szCs w:val="21"/>
              </w:rPr>
              <w:t>投标报价得分计算方法</w:t>
            </w:r>
          </w:p>
        </w:tc>
        <w:tc>
          <w:tcPr>
            <w:tcW w:w="3601" w:type="pct"/>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638C2A9B">
            <w:pPr>
              <w:rPr>
                <w:rFonts w:asciiTheme="minorEastAsia" w:hAnsiTheme="minorEastAsia"/>
                <w:szCs w:val="21"/>
              </w:rPr>
            </w:pPr>
            <w:r>
              <w:rPr>
                <w:rFonts w:hint="eastAsia" w:asciiTheme="minorEastAsia" w:hAnsiTheme="minorEastAsia"/>
                <w:szCs w:val="21"/>
              </w:rPr>
              <w:t>投标报价得分计算方法：</w:t>
            </w:r>
          </w:p>
          <w:p w14:paraId="40CB20D7">
            <w:pPr>
              <w:rPr>
                <w:rFonts w:asciiTheme="minorEastAsia" w:hAnsiTheme="minorEastAsia"/>
                <w:szCs w:val="21"/>
              </w:rPr>
            </w:pPr>
            <w:r>
              <w:rPr>
                <w:rFonts w:hint="eastAsia" w:asciiTheme="minorEastAsia" w:hAnsiTheme="minorEastAsia"/>
                <w:szCs w:val="21"/>
              </w:rPr>
              <w:t>1.投标报价的确定</w:t>
            </w:r>
          </w:p>
          <w:p w14:paraId="793BD7F7">
            <w:pPr>
              <w:rPr>
                <w:rFonts w:asciiTheme="minorEastAsia" w:hAnsiTheme="minorEastAsia"/>
                <w:szCs w:val="21"/>
              </w:rPr>
            </w:pPr>
            <w:r>
              <w:rPr>
                <w:rFonts w:hint="eastAsia" w:asciiTheme="minorEastAsia" w:hAnsiTheme="minorEastAsia"/>
                <w:szCs w:val="21"/>
              </w:rPr>
              <w:t>投标报价是指经评审的且不超过采购最高限价的投标价格</w:t>
            </w:r>
          </w:p>
          <w:p w14:paraId="24943360">
            <w:pPr>
              <w:rPr>
                <w:rFonts w:asciiTheme="minorEastAsia" w:hAnsiTheme="minorEastAsia"/>
                <w:szCs w:val="21"/>
              </w:rPr>
            </w:pPr>
            <w:r>
              <w:rPr>
                <w:rFonts w:hint="eastAsia" w:asciiTheme="minorEastAsia" w:hAnsiTheme="minorEastAsia"/>
                <w:szCs w:val="21"/>
              </w:rPr>
              <w:t>2.评标基准价的确定</w:t>
            </w:r>
          </w:p>
          <w:p w14:paraId="418EB128">
            <w:pPr>
              <w:rPr>
                <w:rFonts w:asciiTheme="minorEastAsia" w:hAnsiTheme="minorEastAsia"/>
                <w:szCs w:val="21"/>
              </w:rPr>
            </w:pPr>
            <w:r>
              <w:rPr>
                <w:rFonts w:asciiTheme="minorEastAsia" w:hAnsiTheme="minorEastAsia"/>
                <w:szCs w:val="21"/>
              </w:rPr>
              <w:t>满足竞争性磋商文件要求且</w:t>
            </w:r>
            <w:r>
              <w:rPr>
                <w:rFonts w:hint="eastAsia" w:asciiTheme="minorEastAsia" w:hAnsiTheme="minorEastAsia"/>
                <w:szCs w:val="21"/>
              </w:rPr>
              <w:t>投标报价</w:t>
            </w:r>
            <w:r>
              <w:rPr>
                <w:rFonts w:asciiTheme="minorEastAsia" w:hAnsiTheme="minorEastAsia"/>
                <w:szCs w:val="21"/>
              </w:rPr>
              <w:t>最低的为评标基准价</w:t>
            </w:r>
          </w:p>
          <w:p w14:paraId="025EF42E">
            <w:pPr>
              <w:rPr>
                <w:rFonts w:asciiTheme="minorEastAsia" w:hAnsiTheme="minorEastAsia"/>
                <w:szCs w:val="21"/>
              </w:rPr>
            </w:pPr>
            <w:r>
              <w:rPr>
                <w:rFonts w:hint="eastAsia" w:asciiTheme="minorEastAsia" w:hAnsiTheme="minorEastAsia"/>
                <w:szCs w:val="21"/>
              </w:rPr>
              <w:t>3.</w:t>
            </w:r>
            <w:r>
              <w:rPr>
                <w:rFonts w:asciiTheme="minorEastAsia" w:hAnsiTheme="minorEastAsia"/>
                <w:szCs w:val="21"/>
              </w:rPr>
              <w:t>投标报价得分=(评标基准价／投标报价)×100×</w:t>
            </w:r>
            <w:r>
              <w:rPr>
                <w:rFonts w:hint="eastAsia" w:asciiTheme="minorEastAsia" w:hAnsiTheme="minorEastAsia"/>
                <w:szCs w:val="21"/>
              </w:rPr>
              <w:t>30%</w:t>
            </w:r>
          </w:p>
          <w:p w14:paraId="413BA643">
            <w:pPr>
              <w:rPr>
                <w:rFonts w:asciiTheme="minorEastAsia" w:hAnsiTheme="minorEastAsia"/>
                <w:szCs w:val="21"/>
              </w:rPr>
            </w:pPr>
            <w:r>
              <w:rPr>
                <w:rFonts w:hint="eastAsia" w:asciiTheme="minorEastAsia" w:hAnsiTheme="minorEastAsia"/>
                <w:szCs w:val="21"/>
              </w:rPr>
              <w:t>4.评分分值计算保留小数点后两位，小数点后三位“四舍五入”。</w:t>
            </w:r>
          </w:p>
          <w:p w14:paraId="14B1D90C">
            <w:pPr>
              <w:ind w:firstLine="420" w:firstLineChars="200"/>
              <w:rPr>
                <w:rFonts w:asciiTheme="minorEastAsia" w:hAnsiTheme="minorEastAsia"/>
                <w:szCs w:val="21"/>
              </w:rPr>
            </w:pPr>
            <w:r>
              <w:rPr>
                <w:rFonts w:hint="eastAsia" w:asciiTheme="minorEastAsia" w:hAnsiTheme="minorEastAsia"/>
                <w:szCs w:val="21"/>
              </w:rPr>
              <w:t>评分分值计算保留小数点后两位，小数点后三位“四舍五入”。</w:t>
            </w:r>
          </w:p>
          <w:p w14:paraId="1DBD219E">
            <w:pPr>
              <w:rPr>
                <w:rFonts w:ascii="宋体" w:hAnsi="宋体"/>
                <w:szCs w:val="21"/>
              </w:rPr>
            </w:pPr>
            <w:r>
              <w:rPr>
                <w:rFonts w:hint="eastAsia" w:asciiTheme="minorEastAsia" w:hAnsiTheme="minorEastAsia"/>
                <w:b/>
                <w:szCs w:val="21"/>
              </w:rPr>
              <w:t>注：本项目专门面对小微企业，不再执行价格评审优惠的扶持政策。</w:t>
            </w:r>
          </w:p>
        </w:tc>
      </w:tr>
    </w:tbl>
    <w:p w14:paraId="4B0269A9">
      <w:pPr>
        <w:jc w:val="center"/>
        <w:outlineLvl w:val="1"/>
        <w:rPr>
          <w:rFonts w:hint="eastAsia" w:ascii="宋体" w:hAnsi="宋体" w:cs="宋体"/>
          <w:b/>
          <w:kern w:val="0"/>
          <w:sz w:val="32"/>
          <w:szCs w:val="32"/>
        </w:rPr>
      </w:pPr>
      <w:bookmarkStart w:id="90" w:name="_Toc13249"/>
      <w:bookmarkStart w:id="91" w:name="_Toc486588526"/>
      <w:bookmarkStart w:id="92" w:name="_Toc486587980"/>
      <w:bookmarkStart w:id="93" w:name="_Toc486588764"/>
      <w:bookmarkStart w:id="94" w:name="_Toc486588865"/>
      <w:bookmarkStart w:id="95" w:name="_Toc486588371"/>
      <w:r>
        <w:rPr>
          <w:rFonts w:hint="eastAsia" w:ascii="宋体" w:hAnsi="宋体" w:cs="宋体"/>
          <w:b/>
          <w:kern w:val="0"/>
          <w:sz w:val="32"/>
          <w:szCs w:val="32"/>
        </w:rPr>
        <w:t>大中小微型企业划分标准</w:t>
      </w:r>
      <w:bookmarkEnd w:id="90"/>
    </w:p>
    <w:tbl>
      <w:tblPr>
        <w:tblStyle w:val="282"/>
        <w:tblW w:w="970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07"/>
        <w:gridCol w:w="1368"/>
        <w:gridCol w:w="709"/>
        <w:gridCol w:w="1124"/>
        <w:gridCol w:w="1700"/>
        <w:gridCol w:w="1425"/>
        <w:gridCol w:w="1473"/>
      </w:tblGrid>
      <w:tr w14:paraId="607C20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1907" w:type="dxa"/>
            <w:vAlign w:val="top"/>
          </w:tcPr>
          <w:p w14:paraId="555980BB">
            <w:pPr>
              <w:pStyle w:val="281"/>
              <w:spacing w:before="213" w:line="229" w:lineRule="auto"/>
              <w:ind w:left="55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7"/>
                <w:sz w:val="21"/>
                <w:szCs w:val="21"/>
                <w14:textOutline w14:w="3614" w14:cap="sq" w14:cmpd="sng">
                  <w14:solidFill>
                    <w14:srgbClr w14:val="000000"/>
                  </w14:solidFill>
                  <w14:prstDash w14:val="solid"/>
                  <w14:bevel/>
                </w14:textOutline>
              </w:rPr>
              <w:t>行业名称</w:t>
            </w:r>
          </w:p>
        </w:tc>
        <w:tc>
          <w:tcPr>
            <w:tcW w:w="1368" w:type="dxa"/>
            <w:vAlign w:val="top"/>
          </w:tcPr>
          <w:p w14:paraId="78A9F0D5">
            <w:pPr>
              <w:pStyle w:val="281"/>
              <w:spacing w:before="211" w:line="229" w:lineRule="auto"/>
              <w:ind w:left="28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7"/>
                <w:sz w:val="21"/>
                <w:szCs w:val="21"/>
                <w14:textOutline w14:w="3614" w14:cap="sq" w14:cmpd="sng">
                  <w14:solidFill>
                    <w14:srgbClr w14:val="000000"/>
                  </w14:solidFill>
                  <w14:prstDash w14:val="solid"/>
                  <w14:bevel/>
                </w14:textOutline>
              </w:rPr>
              <w:t>指标名称</w:t>
            </w:r>
          </w:p>
        </w:tc>
        <w:tc>
          <w:tcPr>
            <w:tcW w:w="709" w:type="dxa"/>
            <w:vAlign w:val="top"/>
          </w:tcPr>
          <w:p w14:paraId="25335490">
            <w:pPr>
              <w:pStyle w:val="281"/>
              <w:spacing w:before="62" w:line="312" w:lineRule="exact"/>
              <w:ind w:left="156"/>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position w:val="8"/>
                <w:sz w:val="21"/>
                <w:szCs w:val="21"/>
                <w14:textOutline w14:w="3614" w14:cap="sq" w14:cmpd="sng">
                  <w14:solidFill>
                    <w14:srgbClr w14:val="000000"/>
                  </w14:solidFill>
                  <w14:prstDash w14:val="solid"/>
                  <w14:bevel/>
                </w14:textOutline>
              </w:rPr>
              <w:t>计量</w:t>
            </w:r>
          </w:p>
          <w:p w14:paraId="3AFCF625">
            <w:pPr>
              <w:pStyle w:val="281"/>
              <w:spacing w:line="228" w:lineRule="auto"/>
              <w:ind w:left="1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14:textOutline w14:w="3614" w14:cap="sq" w14:cmpd="sng">
                  <w14:solidFill>
                    <w14:srgbClr w14:val="000000"/>
                  </w14:solidFill>
                  <w14:prstDash w14:val="solid"/>
                  <w14:bevel/>
                </w14:textOutline>
              </w:rPr>
              <w:t>单位</w:t>
            </w:r>
          </w:p>
        </w:tc>
        <w:tc>
          <w:tcPr>
            <w:tcW w:w="1124" w:type="dxa"/>
            <w:vAlign w:val="top"/>
          </w:tcPr>
          <w:p w14:paraId="3428AAB1">
            <w:pPr>
              <w:pStyle w:val="281"/>
              <w:spacing w:before="211" w:line="229" w:lineRule="auto"/>
              <w:ind w:left="366"/>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14:textOutline w14:w="3614" w14:cap="sq" w14:cmpd="sng">
                  <w14:solidFill>
                    <w14:srgbClr w14:val="000000"/>
                  </w14:solidFill>
                  <w14:prstDash w14:val="solid"/>
                  <w14:bevel/>
                </w14:textOutline>
              </w:rPr>
              <w:t>大型</w:t>
            </w:r>
          </w:p>
        </w:tc>
        <w:tc>
          <w:tcPr>
            <w:tcW w:w="1700" w:type="dxa"/>
            <w:vAlign w:val="top"/>
          </w:tcPr>
          <w:p w14:paraId="2C7EBCD2">
            <w:pPr>
              <w:pStyle w:val="281"/>
              <w:spacing w:before="211" w:line="229" w:lineRule="auto"/>
              <w:ind w:left="672"/>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sz w:val="21"/>
                <w:szCs w:val="21"/>
                <w14:textOutline w14:w="3614" w14:cap="sq" w14:cmpd="sng">
                  <w14:solidFill>
                    <w14:srgbClr w14:val="000000"/>
                  </w14:solidFill>
                  <w14:prstDash w14:val="solid"/>
                  <w14:bevel/>
                </w14:textOutline>
              </w:rPr>
              <w:t>中型</w:t>
            </w:r>
          </w:p>
        </w:tc>
        <w:tc>
          <w:tcPr>
            <w:tcW w:w="1425" w:type="dxa"/>
            <w:vAlign w:val="top"/>
          </w:tcPr>
          <w:p w14:paraId="198CC0B9">
            <w:pPr>
              <w:pStyle w:val="281"/>
              <w:spacing w:before="211" w:line="230" w:lineRule="auto"/>
              <w:ind w:left="52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sz w:val="21"/>
                <w:szCs w:val="21"/>
                <w14:textOutline w14:w="3614" w14:cap="sq" w14:cmpd="sng">
                  <w14:solidFill>
                    <w14:srgbClr w14:val="000000"/>
                  </w14:solidFill>
                  <w14:prstDash w14:val="solid"/>
                  <w14:bevel/>
                </w14:textOutline>
              </w:rPr>
              <w:t>小型</w:t>
            </w:r>
          </w:p>
        </w:tc>
        <w:tc>
          <w:tcPr>
            <w:tcW w:w="1473" w:type="dxa"/>
            <w:vAlign w:val="top"/>
          </w:tcPr>
          <w:p w14:paraId="385CD78E">
            <w:pPr>
              <w:pStyle w:val="281"/>
              <w:spacing w:before="211" w:line="228" w:lineRule="auto"/>
              <w:ind w:left="30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14:textOutline w14:w="3614" w14:cap="sq" w14:cmpd="sng">
                  <w14:solidFill>
                    <w14:srgbClr w14:val="000000"/>
                  </w14:solidFill>
                  <w14:prstDash w14:val="solid"/>
                  <w14:bevel/>
                </w14:textOutline>
              </w:rPr>
              <w:t>微型</w:t>
            </w:r>
          </w:p>
        </w:tc>
      </w:tr>
      <w:tr w14:paraId="1A5FA9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1907" w:type="dxa"/>
            <w:vAlign w:val="top"/>
          </w:tcPr>
          <w:p w14:paraId="7AE526D8">
            <w:pPr>
              <w:pStyle w:val="281"/>
              <w:spacing w:before="96" w:line="228" w:lineRule="auto"/>
              <w:ind w:left="11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8"/>
                <w:sz w:val="21"/>
                <w:szCs w:val="21"/>
              </w:rPr>
              <w:t>农、林、牧、渔业</w:t>
            </w:r>
          </w:p>
        </w:tc>
        <w:tc>
          <w:tcPr>
            <w:tcW w:w="1368" w:type="dxa"/>
            <w:vAlign w:val="top"/>
          </w:tcPr>
          <w:p w14:paraId="134F66E0">
            <w:pPr>
              <w:pStyle w:val="281"/>
              <w:spacing w:before="94"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1090F35C">
            <w:pPr>
              <w:pStyle w:val="281"/>
              <w:spacing w:before="94"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54AA5779">
            <w:pPr>
              <w:pStyle w:val="281"/>
              <w:spacing w:before="94" w:line="253"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Y≥20000</w:t>
            </w:r>
          </w:p>
        </w:tc>
        <w:tc>
          <w:tcPr>
            <w:tcW w:w="1700" w:type="dxa"/>
            <w:vAlign w:val="top"/>
          </w:tcPr>
          <w:p w14:paraId="0BCCD9B8">
            <w:pPr>
              <w:pStyle w:val="281"/>
              <w:spacing w:before="94" w:line="252" w:lineRule="exact"/>
              <w:ind w:left="25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500≤Y＜20000</w:t>
            </w:r>
          </w:p>
        </w:tc>
        <w:tc>
          <w:tcPr>
            <w:tcW w:w="1425" w:type="dxa"/>
            <w:vAlign w:val="top"/>
          </w:tcPr>
          <w:p w14:paraId="716A8269">
            <w:pPr>
              <w:pStyle w:val="281"/>
              <w:spacing w:before="94" w:line="252" w:lineRule="exact"/>
              <w:ind w:left="27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50≤Y＜500</w:t>
            </w:r>
          </w:p>
        </w:tc>
        <w:tc>
          <w:tcPr>
            <w:tcW w:w="1473" w:type="dxa"/>
            <w:vAlign w:val="top"/>
          </w:tcPr>
          <w:p w14:paraId="4AC2CA69">
            <w:pPr>
              <w:pStyle w:val="281"/>
              <w:spacing w:before="94" w:line="255" w:lineRule="exact"/>
              <w:ind w:left="24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Y＜50</w:t>
            </w:r>
          </w:p>
        </w:tc>
      </w:tr>
      <w:tr w14:paraId="2223D5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1907" w:type="dxa"/>
            <w:vMerge w:val="restart"/>
            <w:tcBorders>
              <w:bottom w:val="nil"/>
            </w:tcBorders>
            <w:vAlign w:val="top"/>
          </w:tcPr>
          <w:p w14:paraId="45B9965A">
            <w:pPr>
              <w:pStyle w:val="281"/>
              <w:spacing w:before="296"/>
              <w:ind w:left="11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工业</w:t>
            </w:r>
            <w:r>
              <w:rPr>
                <w:rFonts w:hint="eastAsia" w:asciiTheme="minorEastAsia" w:hAnsiTheme="minorEastAsia" w:eastAsiaTheme="minorEastAsia" w:cstheme="minorEastAsia"/>
                <w:spacing w:val="16"/>
                <w:sz w:val="21"/>
                <w:szCs w:val="21"/>
              </w:rPr>
              <w:t xml:space="preserve"> </w:t>
            </w:r>
            <w:r>
              <w:rPr>
                <w:rFonts w:hint="eastAsia" w:asciiTheme="minorEastAsia" w:hAnsiTheme="minorEastAsia" w:eastAsiaTheme="minorEastAsia" w:cstheme="minorEastAsia"/>
                <w:spacing w:val="2"/>
                <w:sz w:val="21"/>
                <w:szCs w:val="21"/>
              </w:rPr>
              <w:t>*</w:t>
            </w:r>
          </w:p>
        </w:tc>
        <w:tc>
          <w:tcPr>
            <w:tcW w:w="1368" w:type="dxa"/>
            <w:vAlign w:val="top"/>
          </w:tcPr>
          <w:p w14:paraId="5B7AF632">
            <w:pPr>
              <w:pStyle w:val="281"/>
              <w:spacing w:before="96"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08C56BB3">
            <w:pPr>
              <w:pStyle w:val="281"/>
              <w:spacing w:before="96"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717E9B69">
            <w:pPr>
              <w:pStyle w:val="281"/>
              <w:spacing w:before="96" w:line="253" w:lineRule="exact"/>
              <w:ind w:left="21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X≥1000</w:t>
            </w:r>
          </w:p>
        </w:tc>
        <w:tc>
          <w:tcPr>
            <w:tcW w:w="1700" w:type="dxa"/>
            <w:vAlign w:val="top"/>
          </w:tcPr>
          <w:p w14:paraId="035B9718">
            <w:pPr>
              <w:pStyle w:val="281"/>
              <w:spacing w:before="96" w:line="252" w:lineRule="exact"/>
              <w:ind w:left="25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300≤X＜1000</w:t>
            </w:r>
          </w:p>
        </w:tc>
        <w:tc>
          <w:tcPr>
            <w:tcW w:w="1425" w:type="dxa"/>
            <w:vAlign w:val="top"/>
          </w:tcPr>
          <w:p w14:paraId="5AB42344">
            <w:pPr>
              <w:pStyle w:val="281"/>
              <w:spacing w:before="96" w:line="252" w:lineRule="exact"/>
              <w:ind w:left="27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20≤X＜300</w:t>
            </w:r>
          </w:p>
        </w:tc>
        <w:tc>
          <w:tcPr>
            <w:tcW w:w="1473" w:type="dxa"/>
            <w:vAlign w:val="top"/>
          </w:tcPr>
          <w:p w14:paraId="5750892D">
            <w:pPr>
              <w:pStyle w:val="281"/>
              <w:spacing w:before="96" w:line="256"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X＜20</w:t>
            </w:r>
          </w:p>
        </w:tc>
      </w:tr>
      <w:tr w14:paraId="50EA28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1907" w:type="dxa"/>
            <w:vMerge w:val="continue"/>
            <w:tcBorders>
              <w:top w:val="nil"/>
            </w:tcBorders>
            <w:vAlign w:val="top"/>
          </w:tcPr>
          <w:p w14:paraId="123E67A4">
            <w:pPr>
              <w:rPr>
                <w:rFonts w:hint="eastAsia" w:asciiTheme="minorEastAsia" w:hAnsiTheme="minorEastAsia" w:eastAsiaTheme="minorEastAsia" w:cstheme="minorEastAsia"/>
                <w:sz w:val="21"/>
                <w:szCs w:val="21"/>
              </w:rPr>
            </w:pPr>
          </w:p>
        </w:tc>
        <w:tc>
          <w:tcPr>
            <w:tcW w:w="1368" w:type="dxa"/>
            <w:vAlign w:val="top"/>
          </w:tcPr>
          <w:p w14:paraId="78A55D97">
            <w:pPr>
              <w:pStyle w:val="281"/>
              <w:spacing w:before="99"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7407AE9A">
            <w:pPr>
              <w:pStyle w:val="281"/>
              <w:spacing w:before="96"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6C9CBD00">
            <w:pPr>
              <w:pStyle w:val="281"/>
              <w:spacing w:before="96" w:line="253"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Y≥40000</w:t>
            </w:r>
          </w:p>
        </w:tc>
        <w:tc>
          <w:tcPr>
            <w:tcW w:w="1700" w:type="dxa"/>
            <w:vAlign w:val="top"/>
          </w:tcPr>
          <w:p w14:paraId="35FBD36C">
            <w:pPr>
              <w:pStyle w:val="281"/>
              <w:spacing w:before="96" w:line="252" w:lineRule="exact"/>
              <w:ind w:left="15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2000≤Y＜40000</w:t>
            </w:r>
          </w:p>
        </w:tc>
        <w:tc>
          <w:tcPr>
            <w:tcW w:w="1425" w:type="dxa"/>
            <w:vAlign w:val="top"/>
          </w:tcPr>
          <w:p w14:paraId="5F197B8E">
            <w:pPr>
              <w:pStyle w:val="281"/>
              <w:spacing w:before="60" w:line="252" w:lineRule="exact"/>
              <w:ind w:left="37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6"/>
                <w:position w:val="1"/>
                <w:sz w:val="21"/>
                <w:szCs w:val="21"/>
              </w:rPr>
              <w:t>300≤Y&lt;</w:t>
            </w:r>
          </w:p>
        </w:tc>
        <w:tc>
          <w:tcPr>
            <w:tcW w:w="1473" w:type="dxa"/>
            <w:vAlign w:val="top"/>
          </w:tcPr>
          <w:p w14:paraId="7F7D515B">
            <w:pPr>
              <w:pStyle w:val="281"/>
              <w:spacing w:before="96" w:line="256"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Y＜300</w:t>
            </w:r>
          </w:p>
        </w:tc>
      </w:tr>
      <w:tr w14:paraId="0CCEFE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1907" w:type="dxa"/>
            <w:vMerge w:val="restart"/>
            <w:tcBorders>
              <w:bottom w:val="nil"/>
            </w:tcBorders>
            <w:vAlign w:val="top"/>
          </w:tcPr>
          <w:p w14:paraId="44C68D95">
            <w:pPr>
              <w:pStyle w:val="281"/>
              <w:spacing w:before="298" w:line="229" w:lineRule="auto"/>
              <w:ind w:left="11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建筑业</w:t>
            </w:r>
          </w:p>
        </w:tc>
        <w:tc>
          <w:tcPr>
            <w:tcW w:w="1368" w:type="dxa"/>
            <w:vAlign w:val="top"/>
          </w:tcPr>
          <w:p w14:paraId="38A15188">
            <w:pPr>
              <w:pStyle w:val="281"/>
              <w:spacing w:before="99"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151D9842">
            <w:pPr>
              <w:pStyle w:val="281"/>
              <w:spacing w:before="98"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32EE7EE9">
            <w:pPr>
              <w:pStyle w:val="281"/>
              <w:spacing w:before="99" w:line="253"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Y≥80000</w:t>
            </w:r>
          </w:p>
        </w:tc>
        <w:tc>
          <w:tcPr>
            <w:tcW w:w="1700" w:type="dxa"/>
            <w:vAlign w:val="top"/>
          </w:tcPr>
          <w:p w14:paraId="6BB3EAAC">
            <w:pPr>
              <w:pStyle w:val="281"/>
              <w:spacing w:before="99" w:line="251" w:lineRule="exact"/>
              <w:ind w:left="156"/>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6000≤Y＜80000</w:t>
            </w:r>
          </w:p>
        </w:tc>
        <w:tc>
          <w:tcPr>
            <w:tcW w:w="1425" w:type="dxa"/>
            <w:vAlign w:val="top"/>
          </w:tcPr>
          <w:p w14:paraId="2124F5D9">
            <w:pPr>
              <w:pStyle w:val="281"/>
              <w:spacing w:before="60" w:line="252" w:lineRule="exact"/>
              <w:ind w:left="37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6"/>
                <w:position w:val="1"/>
                <w:sz w:val="21"/>
                <w:szCs w:val="21"/>
              </w:rPr>
              <w:t>300≤Y&lt;</w:t>
            </w:r>
          </w:p>
        </w:tc>
        <w:tc>
          <w:tcPr>
            <w:tcW w:w="1473" w:type="dxa"/>
            <w:vAlign w:val="top"/>
          </w:tcPr>
          <w:p w14:paraId="69DFF44E">
            <w:pPr>
              <w:pStyle w:val="281"/>
              <w:spacing w:before="99" w:line="255"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Y＜300</w:t>
            </w:r>
          </w:p>
        </w:tc>
      </w:tr>
      <w:tr w14:paraId="68FDAB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continue"/>
            <w:tcBorders>
              <w:top w:val="nil"/>
            </w:tcBorders>
            <w:vAlign w:val="top"/>
          </w:tcPr>
          <w:p w14:paraId="2A397D1C">
            <w:pPr>
              <w:rPr>
                <w:rFonts w:hint="eastAsia" w:asciiTheme="minorEastAsia" w:hAnsiTheme="minorEastAsia" w:eastAsiaTheme="minorEastAsia" w:cstheme="minorEastAsia"/>
                <w:sz w:val="21"/>
                <w:szCs w:val="21"/>
              </w:rPr>
            </w:pPr>
          </w:p>
        </w:tc>
        <w:tc>
          <w:tcPr>
            <w:tcW w:w="1368" w:type="dxa"/>
            <w:vAlign w:val="top"/>
          </w:tcPr>
          <w:p w14:paraId="0FCDCF5B">
            <w:pPr>
              <w:pStyle w:val="281"/>
              <w:spacing w:before="99" w:line="228" w:lineRule="auto"/>
              <w:ind w:left="145"/>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资产总额(Z)</w:t>
            </w:r>
          </w:p>
        </w:tc>
        <w:tc>
          <w:tcPr>
            <w:tcW w:w="709" w:type="dxa"/>
            <w:vAlign w:val="top"/>
          </w:tcPr>
          <w:p w14:paraId="0A6D8DED">
            <w:pPr>
              <w:pStyle w:val="281"/>
              <w:spacing w:before="98"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60322CA9">
            <w:pPr>
              <w:pStyle w:val="281"/>
              <w:spacing w:before="99" w:line="253" w:lineRule="exact"/>
              <w:ind w:left="166"/>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Z≥80000</w:t>
            </w:r>
          </w:p>
        </w:tc>
        <w:tc>
          <w:tcPr>
            <w:tcW w:w="1700" w:type="dxa"/>
            <w:vAlign w:val="top"/>
          </w:tcPr>
          <w:p w14:paraId="10DE2133">
            <w:pPr>
              <w:pStyle w:val="281"/>
              <w:spacing w:before="99" w:line="251" w:lineRule="exact"/>
              <w:ind w:left="1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5000≤Z＜80000</w:t>
            </w:r>
          </w:p>
        </w:tc>
        <w:tc>
          <w:tcPr>
            <w:tcW w:w="1425" w:type="dxa"/>
            <w:vAlign w:val="top"/>
          </w:tcPr>
          <w:p w14:paraId="6FD6D265">
            <w:pPr>
              <w:pStyle w:val="281"/>
              <w:spacing w:before="63" w:line="251" w:lineRule="exact"/>
              <w:ind w:left="37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6"/>
                <w:position w:val="1"/>
                <w:sz w:val="21"/>
                <w:szCs w:val="21"/>
              </w:rPr>
              <w:t>300≤Z&lt;</w:t>
            </w:r>
          </w:p>
        </w:tc>
        <w:tc>
          <w:tcPr>
            <w:tcW w:w="1473" w:type="dxa"/>
            <w:vAlign w:val="top"/>
          </w:tcPr>
          <w:p w14:paraId="1E5F8EC4">
            <w:pPr>
              <w:pStyle w:val="281"/>
              <w:spacing w:before="99" w:line="255" w:lineRule="exact"/>
              <w:ind w:left="20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Z＜300</w:t>
            </w:r>
          </w:p>
        </w:tc>
      </w:tr>
      <w:tr w14:paraId="4D5854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restart"/>
            <w:tcBorders>
              <w:bottom w:val="nil"/>
            </w:tcBorders>
            <w:vAlign w:val="top"/>
          </w:tcPr>
          <w:p w14:paraId="5B3F9D43">
            <w:pPr>
              <w:pStyle w:val="281"/>
              <w:spacing w:before="299" w:line="229" w:lineRule="auto"/>
              <w:ind w:left="11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7"/>
                <w:sz w:val="21"/>
                <w:szCs w:val="21"/>
              </w:rPr>
              <w:t>批发业</w:t>
            </w:r>
          </w:p>
        </w:tc>
        <w:tc>
          <w:tcPr>
            <w:tcW w:w="1368" w:type="dxa"/>
            <w:vAlign w:val="top"/>
          </w:tcPr>
          <w:p w14:paraId="51FDEB1A">
            <w:pPr>
              <w:pStyle w:val="281"/>
              <w:spacing w:before="97"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3F8B0A00">
            <w:pPr>
              <w:pStyle w:val="281"/>
              <w:spacing w:before="98"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67A9B605">
            <w:pPr>
              <w:pStyle w:val="281"/>
              <w:spacing w:before="98" w:line="253" w:lineRule="exact"/>
              <w:ind w:left="2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X≥200</w:t>
            </w:r>
          </w:p>
        </w:tc>
        <w:tc>
          <w:tcPr>
            <w:tcW w:w="1700" w:type="dxa"/>
            <w:vAlign w:val="top"/>
          </w:tcPr>
          <w:p w14:paraId="373036FF">
            <w:pPr>
              <w:pStyle w:val="281"/>
              <w:spacing w:before="98" w:line="251" w:lineRule="exact"/>
              <w:ind w:left="3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20≤X＜200</w:t>
            </w:r>
          </w:p>
        </w:tc>
        <w:tc>
          <w:tcPr>
            <w:tcW w:w="1425" w:type="dxa"/>
            <w:vAlign w:val="top"/>
          </w:tcPr>
          <w:p w14:paraId="2310916F">
            <w:pPr>
              <w:pStyle w:val="281"/>
              <w:spacing w:before="98" w:line="251" w:lineRule="exact"/>
              <w:ind w:left="37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5≤X＜20</w:t>
            </w:r>
          </w:p>
        </w:tc>
        <w:tc>
          <w:tcPr>
            <w:tcW w:w="1473" w:type="dxa"/>
            <w:vAlign w:val="top"/>
          </w:tcPr>
          <w:p w14:paraId="583EBE32">
            <w:pPr>
              <w:pStyle w:val="281"/>
              <w:spacing w:before="98" w:line="255" w:lineRule="exact"/>
              <w:ind w:left="3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X＜5</w:t>
            </w:r>
          </w:p>
        </w:tc>
      </w:tr>
      <w:tr w14:paraId="26B162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continue"/>
            <w:tcBorders>
              <w:top w:val="nil"/>
            </w:tcBorders>
            <w:vAlign w:val="top"/>
          </w:tcPr>
          <w:p w14:paraId="75226EB8">
            <w:pPr>
              <w:rPr>
                <w:rFonts w:hint="eastAsia" w:asciiTheme="minorEastAsia" w:hAnsiTheme="minorEastAsia" w:eastAsiaTheme="minorEastAsia" w:cstheme="minorEastAsia"/>
                <w:sz w:val="21"/>
                <w:szCs w:val="21"/>
              </w:rPr>
            </w:pPr>
          </w:p>
        </w:tc>
        <w:tc>
          <w:tcPr>
            <w:tcW w:w="1368" w:type="dxa"/>
            <w:vAlign w:val="top"/>
          </w:tcPr>
          <w:p w14:paraId="0ACD0F9D">
            <w:pPr>
              <w:pStyle w:val="281"/>
              <w:spacing w:before="99"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19F8EA6A">
            <w:pPr>
              <w:pStyle w:val="281"/>
              <w:spacing w:before="99"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091E3F4D">
            <w:pPr>
              <w:pStyle w:val="281"/>
              <w:spacing w:before="99" w:line="253"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Y≥40000</w:t>
            </w:r>
          </w:p>
        </w:tc>
        <w:tc>
          <w:tcPr>
            <w:tcW w:w="1700" w:type="dxa"/>
            <w:vAlign w:val="top"/>
          </w:tcPr>
          <w:p w14:paraId="4E9AA939">
            <w:pPr>
              <w:pStyle w:val="281"/>
              <w:spacing w:before="99" w:line="252" w:lineRule="exact"/>
              <w:ind w:left="1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5000≤Y＜40000</w:t>
            </w:r>
          </w:p>
        </w:tc>
        <w:tc>
          <w:tcPr>
            <w:tcW w:w="1425" w:type="dxa"/>
            <w:vAlign w:val="top"/>
          </w:tcPr>
          <w:p w14:paraId="08B953C3">
            <w:pPr>
              <w:pStyle w:val="281"/>
              <w:spacing w:before="61" w:line="251" w:lineRule="exact"/>
              <w:ind w:left="28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2"/>
                <w:position w:val="1"/>
                <w:sz w:val="21"/>
                <w:szCs w:val="21"/>
              </w:rPr>
              <w:t>1000≤Y&lt;</w:t>
            </w:r>
          </w:p>
        </w:tc>
        <w:tc>
          <w:tcPr>
            <w:tcW w:w="1473" w:type="dxa"/>
            <w:vAlign w:val="top"/>
          </w:tcPr>
          <w:p w14:paraId="7F50906B">
            <w:pPr>
              <w:pStyle w:val="281"/>
              <w:spacing w:before="99" w:line="255" w:lineRule="exact"/>
              <w:ind w:left="15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Y＜1000</w:t>
            </w:r>
          </w:p>
        </w:tc>
      </w:tr>
      <w:tr w14:paraId="5A819A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restart"/>
            <w:tcBorders>
              <w:bottom w:val="nil"/>
            </w:tcBorders>
            <w:vAlign w:val="top"/>
          </w:tcPr>
          <w:p w14:paraId="5CE9BA51">
            <w:pPr>
              <w:pStyle w:val="281"/>
              <w:spacing w:before="300" w:line="228" w:lineRule="auto"/>
              <w:ind w:left="115"/>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7"/>
                <w:sz w:val="21"/>
                <w:szCs w:val="21"/>
              </w:rPr>
              <w:t>零售业</w:t>
            </w:r>
          </w:p>
        </w:tc>
        <w:tc>
          <w:tcPr>
            <w:tcW w:w="1368" w:type="dxa"/>
            <w:vAlign w:val="top"/>
          </w:tcPr>
          <w:p w14:paraId="0BA4CD84">
            <w:pPr>
              <w:pStyle w:val="281"/>
              <w:spacing w:before="98"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6002496E">
            <w:pPr>
              <w:pStyle w:val="281"/>
              <w:spacing w:before="98"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5FEBA4FA">
            <w:pPr>
              <w:pStyle w:val="281"/>
              <w:spacing w:before="98" w:line="253" w:lineRule="exact"/>
              <w:ind w:left="2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X≥300</w:t>
            </w:r>
          </w:p>
        </w:tc>
        <w:tc>
          <w:tcPr>
            <w:tcW w:w="1700" w:type="dxa"/>
            <w:vAlign w:val="top"/>
          </w:tcPr>
          <w:p w14:paraId="05C56C84">
            <w:pPr>
              <w:pStyle w:val="281"/>
              <w:spacing w:before="98" w:line="252" w:lineRule="exact"/>
              <w:ind w:left="36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50≤X＜300</w:t>
            </w:r>
          </w:p>
        </w:tc>
        <w:tc>
          <w:tcPr>
            <w:tcW w:w="1425" w:type="dxa"/>
            <w:vAlign w:val="top"/>
          </w:tcPr>
          <w:p w14:paraId="6530498D">
            <w:pPr>
              <w:pStyle w:val="281"/>
              <w:spacing w:before="98" w:line="252" w:lineRule="exact"/>
              <w:ind w:left="28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10≤X＜50</w:t>
            </w:r>
          </w:p>
        </w:tc>
        <w:tc>
          <w:tcPr>
            <w:tcW w:w="1473" w:type="dxa"/>
            <w:vAlign w:val="top"/>
          </w:tcPr>
          <w:p w14:paraId="66610A22">
            <w:pPr>
              <w:pStyle w:val="281"/>
              <w:spacing w:before="98" w:line="255"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w:t>
            </w:r>
          </w:p>
        </w:tc>
      </w:tr>
      <w:tr w14:paraId="71F849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continue"/>
            <w:tcBorders>
              <w:top w:val="nil"/>
            </w:tcBorders>
            <w:vAlign w:val="top"/>
          </w:tcPr>
          <w:p w14:paraId="72D5B50E">
            <w:pPr>
              <w:rPr>
                <w:rFonts w:hint="eastAsia" w:asciiTheme="minorEastAsia" w:hAnsiTheme="minorEastAsia" w:eastAsiaTheme="minorEastAsia" w:cstheme="minorEastAsia"/>
                <w:sz w:val="21"/>
                <w:szCs w:val="21"/>
              </w:rPr>
            </w:pPr>
          </w:p>
        </w:tc>
        <w:tc>
          <w:tcPr>
            <w:tcW w:w="1368" w:type="dxa"/>
            <w:vAlign w:val="top"/>
          </w:tcPr>
          <w:p w14:paraId="08F61EF9">
            <w:pPr>
              <w:pStyle w:val="281"/>
              <w:spacing w:before="99"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05A8132C">
            <w:pPr>
              <w:pStyle w:val="281"/>
              <w:spacing w:before="99"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1F7A5FC1">
            <w:pPr>
              <w:pStyle w:val="281"/>
              <w:spacing w:before="99" w:line="254"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Y≥20000</w:t>
            </w:r>
          </w:p>
        </w:tc>
        <w:tc>
          <w:tcPr>
            <w:tcW w:w="1700" w:type="dxa"/>
            <w:vAlign w:val="top"/>
          </w:tcPr>
          <w:p w14:paraId="301442DD">
            <w:pPr>
              <w:pStyle w:val="281"/>
              <w:spacing w:before="99" w:line="252" w:lineRule="exact"/>
              <w:ind w:left="25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500≤Y＜20000</w:t>
            </w:r>
          </w:p>
        </w:tc>
        <w:tc>
          <w:tcPr>
            <w:tcW w:w="1425" w:type="dxa"/>
            <w:vAlign w:val="top"/>
          </w:tcPr>
          <w:p w14:paraId="0E888705">
            <w:pPr>
              <w:pStyle w:val="281"/>
              <w:spacing w:before="99" w:line="252" w:lineRule="exact"/>
              <w:ind w:left="18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100≤Y＜500</w:t>
            </w:r>
          </w:p>
        </w:tc>
        <w:tc>
          <w:tcPr>
            <w:tcW w:w="1473" w:type="dxa"/>
            <w:vAlign w:val="top"/>
          </w:tcPr>
          <w:p w14:paraId="0D4FC066">
            <w:pPr>
              <w:pStyle w:val="281"/>
              <w:spacing w:before="99" w:line="256"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w:t>
            </w:r>
          </w:p>
        </w:tc>
      </w:tr>
      <w:tr w14:paraId="4E1A6E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restart"/>
            <w:tcBorders>
              <w:bottom w:val="nil"/>
            </w:tcBorders>
            <w:vAlign w:val="top"/>
          </w:tcPr>
          <w:p w14:paraId="1ABD59A8">
            <w:pPr>
              <w:pStyle w:val="281"/>
              <w:spacing w:before="298" w:line="228" w:lineRule="auto"/>
              <w:ind w:left="11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交通运输业</w:t>
            </w:r>
            <w:r>
              <w:rPr>
                <w:rFonts w:hint="eastAsia" w:asciiTheme="minorEastAsia" w:hAnsiTheme="minorEastAsia" w:eastAsiaTheme="minorEastAsia" w:cstheme="minorEastAsia"/>
                <w:spacing w:val="15"/>
                <w:sz w:val="21"/>
                <w:szCs w:val="21"/>
              </w:rPr>
              <w:t xml:space="preserve"> </w:t>
            </w:r>
            <w:r>
              <w:rPr>
                <w:rFonts w:hint="eastAsia" w:asciiTheme="minorEastAsia" w:hAnsiTheme="minorEastAsia" w:eastAsiaTheme="minorEastAsia" w:cstheme="minorEastAsia"/>
                <w:spacing w:val="6"/>
                <w:sz w:val="21"/>
                <w:szCs w:val="21"/>
              </w:rPr>
              <w:t>*</w:t>
            </w:r>
          </w:p>
        </w:tc>
        <w:tc>
          <w:tcPr>
            <w:tcW w:w="1368" w:type="dxa"/>
            <w:vAlign w:val="top"/>
          </w:tcPr>
          <w:p w14:paraId="14AA533F">
            <w:pPr>
              <w:pStyle w:val="281"/>
              <w:spacing w:before="98"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0B256829">
            <w:pPr>
              <w:pStyle w:val="281"/>
              <w:spacing w:before="98"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11AE2D27">
            <w:pPr>
              <w:pStyle w:val="281"/>
              <w:spacing w:before="98" w:line="254" w:lineRule="exact"/>
              <w:ind w:left="21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X≥1000</w:t>
            </w:r>
          </w:p>
        </w:tc>
        <w:tc>
          <w:tcPr>
            <w:tcW w:w="1700" w:type="dxa"/>
            <w:vAlign w:val="top"/>
          </w:tcPr>
          <w:p w14:paraId="69AFC658">
            <w:pPr>
              <w:pStyle w:val="281"/>
              <w:spacing w:before="98" w:line="252" w:lineRule="exact"/>
              <w:ind w:left="25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300≤X＜1000</w:t>
            </w:r>
          </w:p>
        </w:tc>
        <w:tc>
          <w:tcPr>
            <w:tcW w:w="1425" w:type="dxa"/>
            <w:vAlign w:val="top"/>
          </w:tcPr>
          <w:p w14:paraId="58C0C41B">
            <w:pPr>
              <w:pStyle w:val="281"/>
              <w:spacing w:before="98" w:line="252" w:lineRule="exact"/>
              <w:ind w:left="27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20≤X＜300</w:t>
            </w:r>
          </w:p>
        </w:tc>
        <w:tc>
          <w:tcPr>
            <w:tcW w:w="1473" w:type="dxa"/>
            <w:vAlign w:val="top"/>
          </w:tcPr>
          <w:p w14:paraId="20A16696">
            <w:pPr>
              <w:pStyle w:val="281"/>
              <w:spacing w:before="98" w:line="256"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X＜20</w:t>
            </w:r>
          </w:p>
        </w:tc>
      </w:tr>
      <w:tr w14:paraId="48A9C1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continue"/>
            <w:tcBorders>
              <w:top w:val="nil"/>
            </w:tcBorders>
            <w:vAlign w:val="top"/>
          </w:tcPr>
          <w:p w14:paraId="55EAE95F">
            <w:pPr>
              <w:rPr>
                <w:rFonts w:hint="eastAsia" w:asciiTheme="minorEastAsia" w:hAnsiTheme="minorEastAsia" w:eastAsiaTheme="minorEastAsia" w:cstheme="minorEastAsia"/>
                <w:sz w:val="21"/>
                <w:szCs w:val="21"/>
              </w:rPr>
            </w:pPr>
          </w:p>
        </w:tc>
        <w:tc>
          <w:tcPr>
            <w:tcW w:w="1368" w:type="dxa"/>
            <w:vAlign w:val="top"/>
          </w:tcPr>
          <w:p w14:paraId="7485DEA5">
            <w:pPr>
              <w:pStyle w:val="281"/>
              <w:spacing w:before="100"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0C241747">
            <w:pPr>
              <w:pStyle w:val="281"/>
              <w:spacing w:before="97"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6290D09E">
            <w:pPr>
              <w:pStyle w:val="281"/>
              <w:spacing w:before="97" w:line="254"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Y≥30000</w:t>
            </w:r>
          </w:p>
        </w:tc>
        <w:tc>
          <w:tcPr>
            <w:tcW w:w="1700" w:type="dxa"/>
            <w:vAlign w:val="top"/>
          </w:tcPr>
          <w:p w14:paraId="152A4D34">
            <w:pPr>
              <w:pStyle w:val="281"/>
              <w:spacing w:before="97" w:line="252" w:lineRule="exact"/>
              <w:ind w:left="1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3000≤Y＜30000</w:t>
            </w:r>
          </w:p>
        </w:tc>
        <w:tc>
          <w:tcPr>
            <w:tcW w:w="1425" w:type="dxa"/>
            <w:vAlign w:val="top"/>
          </w:tcPr>
          <w:p w14:paraId="079DBAFD">
            <w:pPr>
              <w:pStyle w:val="281"/>
              <w:spacing w:before="61" w:line="252" w:lineRule="exact"/>
              <w:ind w:left="372"/>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6"/>
                <w:position w:val="1"/>
                <w:sz w:val="21"/>
                <w:szCs w:val="21"/>
              </w:rPr>
              <w:t>200≤Y&lt;</w:t>
            </w:r>
          </w:p>
        </w:tc>
        <w:tc>
          <w:tcPr>
            <w:tcW w:w="1473" w:type="dxa"/>
            <w:vAlign w:val="top"/>
          </w:tcPr>
          <w:p w14:paraId="7EE880CD">
            <w:pPr>
              <w:pStyle w:val="281"/>
              <w:spacing w:before="97" w:line="256"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Y＜200</w:t>
            </w:r>
          </w:p>
        </w:tc>
      </w:tr>
      <w:tr w14:paraId="2AF99D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6" w:hRule="atLeast"/>
        </w:trPr>
        <w:tc>
          <w:tcPr>
            <w:tcW w:w="1907" w:type="dxa"/>
            <w:vMerge w:val="restart"/>
            <w:tcBorders>
              <w:bottom w:val="nil"/>
            </w:tcBorders>
            <w:vAlign w:val="top"/>
          </w:tcPr>
          <w:p w14:paraId="30311735">
            <w:pPr>
              <w:pStyle w:val="281"/>
              <w:spacing w:before="298" w:line="229" w:lineRule="auto"/>
              <w:ind w:left="11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仓储业*</w:t>
            </w:r>
          </w:p>
        </w:tc>
        <w:tc>
          <w:tcPr>
            <w:tcW w:w="1368" w:type="dxa"/>
            <w:vAlign w:val="top"/>
          </w:tcPr>
          <w:p w14:paraId="3BE7FD81">
            <w:pPr>
              <w:pStyle w:val="281"/>
              <w:spacing w:before="99"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2EA82773">
            <w:pPr>
              <w:pStyle w:val="281"/>
              <w:spacing w:before="99"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207634A7">
            <w:pPr>
              <w:pStyle w:val="281"/>
              <w:spacing w:before="99" w:line="253" w:lineRule="exact"/>
              <w:ind w:left="2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X≥200</w:t>
            </w:r>
          </w:p>
        </w:tc>
        <w:tc>
          <w:tcPr>
            <w:tcW w:w="1700" w:type="dxa"/>
            <w:vAlign w:val="top"/>
          </w:tcPr>
          <w:p w14:paraId="4818426C">
            <w:pPr>
              <w:pStyle w:val="281"/>
              <w:spacing w:before="99" w:line="252" w:lineRule="exact"/>
              <w:ind w:left="26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100≤X＜200</w:t>
            </w:r>
          </w:p>
        </w:tc>
        <w:tc>
          <w:tcPr>
            <w:tcW w:w="1425" w:type="dxa"/>
            <w:vAlign w:val="top"/>
          </w:tcPr>
          <w:p w14:paraId="71991E5F">
            <w:pPr>
              <w:pStyle w:val="281"/>
              <w:spacing w:before="99" w:line="252" w:lineRule="exact"/>
              <w:ind w:left="27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20≤X＜100</w:t>
            </w:r>
          </w:p>
        </w:tc>
        <w:tc>
          <w:tcPr>
            <w:tcW w:w="1473" w:type="dxa"/>
            <w:vAlign w:val="top"/>
          </w:tcPr>
          <w:p w14:paraId="69CD21B7">
            <w:pPr>
              <w:pStyle w:val="281"/>
              <w:spacing w:before="99" w:line="255"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X＜20</w:t>
            </w:r>
          </w:p>
        </w:tc>
      </w:tr>
      <w:tr w14:paraId="2C83B2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continue"/>
            <w:tcBorders>
              <w:top w:val="nil"/>
            </w:tcBorders>
            <w:vAlign w:val="top"/>
          </w:tcPr>
          <w:p w14:paraId="7C75EB22">
            <w:pPr>
              <w:rPr>
                <w:rFonts w:hint="eastAsia" w:asciiTheme="minorEastAsia" w:hAnsiTheme="minorEastAsia" w:eastAsiaTheme="minorEastAsia" w:cstheme="minorEastAsia"/>
                <w:sz w:val="21"/>
                <w:szCs w:val="21"/>
              </w:rPr>
            </w:pPr>
          </w:p>
        </w:tc>
        <w:tc>
          <w:tcPr>
            <w:tcW w:w="1368" w:type="dxa"/>
            <w:vAlign w:val="top"/>
          </w:tcPr>
          <w:p w14:paraId="10D54291">
            <w:pPr>
              <w:pStyle w:val="281"/>
              <w:spacing w:before="100"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7A72206C">
            <w:pPr>
              <w:pStyle w:val="281"/>
              <w:spacing w:before="98"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7C5A55CD">
            <w:pPr>
              <w:pStyle w:val="281"/>
              <w:spacing w:before="98" w:line="253"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Y≥30000</w:t>
            </w:r>
          </w:p>
        </w:tc>
        <w:tc>
          <w:tcPr>
            <w:tcW w:w="1700" w:type="dxa"/>
            <w:vAlign w:val="top"/>
          </w:tcPr>
          <w:p w14:paraId="7621D9BC">
            <w:pPr>
              <w:pStyle w:val="281"/>
              <w:spacing w:before="98" w:line="252" w:lineRule="exact"/>
              <w:ind w:left="16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1000≤Y＜30000</w:t>
            </w:r>
          </w:p>
        </w:tc>
        <w:tc>
          <w:tcPr>
            <w:tcW w:w="1425" w:type="dxa"/>
            <w:vAlign w:val="top"/>
          </w:tcPr>
          <w:p w14:paraId="1277EA1D">
            <w:pPr>
              <w:pStyle w:val="281"/>
              <w:spacing w:before="62" w:line="252" w:lineRule="exact"/>
              <w:ind w:left="38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4"/>
                <w:position w:val="1"/>
                <w:sz w:val="21"/>
                <w:szCs w:val="21"/>
              </w:rPr>
              <w:t>100≤Y&lt;</w:t>
            </w:r>
          </w:p>
        </w:tc>
        <w:tc>
          <w:tcPr>
            <w:tcW w:w="1473" w:type="dxa"/>
            <w:vAlign w:val="top"/>
          </w:tcPr>
          <w:p w14:paraId="1B242DD8">
            <w:pPr>
              <w:pStyle w:val="281"/>
              <w:spacing w:before="98" w:line="255"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w:t>
            </w:r>
          </w:p>
        </w:tc>
      </w:tr>
      <w:tr w14:paraId="64FB96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restart"/>
            <w:tcBorders>
              <w:bottom w:val="nil"/>
            </w:tcBorders>
            <w:vAlign w:val="top"/>
          </w:tcPr>
          <w:p w14:paraId="365ECDA0">
            <w:pPr>
              <w:pStyle w:val="281"/>
              <w:spacing w:before="298" w:line="230" w:lineRule="auto"/>
              <w:ind w:left="12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邮政业</w:t>
            </w:r>
          </w:p>
        </w:tc>
        <w:tc>
          <w:tcPr>
            <w:tcW w:w="1368" w:type="dxa"/>
            <w:vAlign w:val="top"/>
          </w:tcPr>
          <w:p w14:paraId="3DB3DF15">
            <w:pPr>
              <w:pStyle w:val="281"/>
              <w:spacing w:before="99"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43BA6E2F">
            <w:pPr>
              <w:pStyle w:val="281"/>
              <w:spacing w:before="99"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13F75592">
            <w:pPr>
              <w:pStyle w:val="281"/>
              <w:spacing w:before="99" w:line="253" w:lineRule="exact"/>
              <w:ind w:left="21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X≥1000</w:t>
            </w:r>
          </w:p>
        </w:tc>
        <w:tc>
          <w:tcPr>
            <w:tcW w:w="1700" w:type="dxa"/>
            <w:vAlign w:val="top"/>
          </w:tcPr>
          <w:p w14:paraId="6BAA8A01">
            <w:pPr>
              <w:pStyle w:val="281"/>
              <w:spacing w:before="99" w:line="252" w:lineRule="exact"/>
              <w:ind w:left="25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300≤X＜1000</w:t>
            </w:r>
          </w:p>
        </w:tc>
        <w:tc>
          <w:tcPr>
            <w:tcW w:w="1425" w:type="dxa"/>
            <w:vAlign w:val="top"/>
          </w:tcPr>
          <w:p w14:paraId="2EDE4B58">
            <w:pPr>
              <w:pStyle w:val="281"/>
              <w:spacing w:before="99" w:line="252" w:lineRule="exact"/>
              <w:ind w:left="27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20≤X＜300</w:t>
            </w:r>
          </w:p>
        </w:tc>
        <w:tc>
          <w:tcPr>
            <w:tcW w:w="1473" w:type="dxa"/>
            <w:vAlign w:val="top"/>
          </w:tcPr>
          <w:p w14:paraId="5535D80B">
            <w:pPr>
              <w:pStyle w:val="281"/>
              <w:spacing w:before="99" w:line="256"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X＜20</w:t>
            </w:r>
          </w:p>
        </w:tc>
      </w:tr>
      <w:tr w14:paraId="46DF92B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continue"/>
            <w:tcBorders>
              <w:top w:val="nil"/>
            </w:tcBorders>
            <w:vAlign w:val="top"/>
          </w:tcPr>
          <w:p w14:paraId="2850137D">
            <w:pPr>
              <w:rPr>
                <w:rFonts w:hint="eastAsia" w:asciiTheme="minorEastAsia" w:hAnsiTheme="minorEastAsia" w:eastAsiaTheme="minorEastAsia" w:cstheme="minorEastAsia"/>
                <w:sz w:val="21"/>
                <w:szCs w:val="21"/>
              </w:rPr>
            </w:pPr>
          </w:p>
        </w:tc>
        <w:tc>
          <w:tcPr>
            <w:tcW w:w="1368" w:type="dxa"/>
            <w:vAlign w:val="top"/>
          </w:tcPr>
          <w:p w14:paraId="08F483FD">
            <w:pPr>
              <w:pStyle w:val="281"/>
              <w:spacing w:before="101"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514F5666">
            <w:pPr>
              <w:pStyle w:val="281"/>
              <w:spacing w:before="98"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1F468922">
            <w:pPr>
              <w:pStyle w:val="281"/>
              <w:spacing w:before="98" w:line="253"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Y≥30000</w:t>
            </w:r>
          </w:p>
        </w:tc>
        <w:tc>
          <w:tcPr>
            <w:tcW w:w="1700" w:type="dxa"/>
            <w:vAlign w:val="top"/>
          </w:tcPr>
          <w:p w14:paraId="326423AE">
            <w:pPr>
              <w:pStyle w:val="281"/>
              <w:spacing w:before="98" w:line="252" w:lineRule="exact"/>
              <w:ind w:left="15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2000≤Y＜30000</w:t>
            </w:r>
          </w:p>
        </w:tc>
        <w:tc>
          <w:tcPr>
            <w:tcW w:w="1425" w:type="dxa"/>
            <w:vAlign w:val="top"/>
          </w:tcPr>
          <w:p w14:paraId="55463C9A">
            <w:pPr>
              <w:pStyle w:val="281"/>
              <w:spacing w:before="62" w:line="252" w:lineRule="exact"/>
              <w:ind w:left="38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4"/>
                <w:position w:val="1"/>
                <w:sz w:val="21"/>
                <w:szCs w:val="21"/>
              </w:rPr>
              <w:t>100≤Y&lt;</w:t>
            </w:r>
          </w:p>
        </w:tc>
        <w:tc>
          <w:tcPr>
            <w:tcW w:w="1473" w:type="dxa"/>
            <w:vAlign w:val="top"/>
          </w:tcPr>
          <w:p w14:paraId="492053EC">
            <w:pPr>
              <w:pStyle w:val="281"/>
              <w:spacing w:before="98" w:line="256"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w:t>
            </w:r>
          </w:p>
        </w:tc>
      </w:tr>
      <w:tr w14:paraId="4EA28D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restart"/>
            <w:tcBorders>
              <w:bottom w:val="nil"/>
            </w:tcBorders>
            <w:vAlign w:val="top"/>
          </w:tcPr>
          <w:p w14:paraId="57B84DD6">
            <w:pPr>
              <w:pStyle w:val="281"/>
              <w:spacing w:before="299" w:line="228" w:lineRule="auto"/>
              <w:ind w:left="11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7"/>
                <w:sz w:val="21"/>
                <w:szCs w:val="21"/>
              </w:rPr>
              <w:t>住宿业</w:t>
            </w:r>
          </w:p>
        </w:tc>
        <w:tc>
          <w:tcPr>
            <w:tcW w:w="1368" w:type="dxa"/>
            <w:vAlign w:val="top"/>
          </w:tcPr>
          <w:p w14:paraId="5D3670D2">
            <w:pPr>
              <w:pStyle w:val="281"/>
              <w:spacing w:before="99"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6FC67961">
            <w:pPr>
              <w:pStyle w:val="281"/>
              <w:spacing w:before="100"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36E97803">
            <w:pPr>
              <w:pStyle w:val="281"/>
              <w:spacing w:before="100" w:line="253" w:lineRule="exact"/>
              <w:ind w:left="2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X≥300</w:t>
            </w:r>
          </w:p>
        </w:tc>
        <w:tc>
          <w:tcPr>
            <w:tcW w:w="1700" w:type="dxa"/>
            <w:vAlign w:val="top"/>
          </w:tcPr>
          <w:p w14:paraId="7C568D63">
            <w:pPr>
              <w:pStyle w:val="281"/>
              <w:spacing w:before="100" w:line="251" w:lineRule="exact"/>
              <w:ind w:left="26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100≤X＜300</w:t>
            </w:r>
          </w:p>
        </w:tc>
        <w:tc>
          <w:tcPr>
            <w:tcW w:w="1425" w:type="dxa"/>
            <w:vAlign w:val="top"/>
          </w:tcPr>
          <w:p w14:paraId="4A540519">
            <w:pPr>
              <w:pStyle w:val="281"/>
              <w:spacing w:before="100" w:line="251" w:lineRule="exact"/>
              <w:ind w:left="28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10≤X＜100</w:t>
            </w:r>
          </w:p>
        </w:tc>
        <w:tc>
          <w:tcPr>
            <w:tcW w:w="1473" w:type="dxa"/>
            <w:vAlign w:val="top"/>
          </w:tcPr>
          <w:p w14:paraId="7A654FD7">
            <w:pPr>
              <w:pStyle w:val="281"/>
              <w:spacing w:before="100" w:line="255"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w:t>
            </w:r>
          </w:p>
        </w:tc>
      </w:tr>
      <w:tr w14:paraId="70B60D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continue"/>
            <w:tcBorders>
              <w:top w:val="nil"/>
            </w:tcBorders>
            <w:vAlign w:val="top"/>
          </w:tcPr>
          <w:p w14:paraId="53ABBE01">
            <w:pPr>
              <w:rPr>
                <w:rFonts w:hint="eastAsia" w:asciiTheme="minorEastAsia" w:hAnsiTheme="minorEastAsia" w:eastAsiaTheme="minorEastAsia" w:cstheme="minorEastAsia"/>
                <w:sz w:val="21"/>
                <w:szCs w:val="21"/>
              </w:rPr>
            </w:pPr>
          </w:p>
        </w:tc>
        <w:tc>
          <w:tcPr>
            <w:tcW w:w="1368" w:type="dxa"/>
            <w:vAlign w:val="top"/>
          </w:tcPr>
          <w:p w14:paraId="03BE4777">
            <w:pPr>
              <w:pStyle w:val="281"/>
              <w:spacing w:before="99"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36AACF94">
            <w:pPr>
              <w:pStyle w:val="281"/>
              <w:spacing w:before="98"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526178C3">
            <w:pPr>
              <w:pStyle w:val="281"/>
              <w:spacing w:before="99" w:line="253"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Y≥10000</w:t>
            </w:r>
          </w:p>
        </w:tc>
        <w:tc>
          <w:tcPr>
            <w:tcW w:w="1700" w:type="dxa"/>
            <w:vAlign w:val="top"/>
          </w:tcPr>
          <w:p w14:paraId="08134ECF">
            <w:pPr>
              <w:pStyle w:val="281"/>
              <w:spacing w:before="99" w:line="251" w:lineRule="exact"/>
              <w:ind w:left="15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2000≤Y＜10000</w:t>
            </w:r>
          </w:p>
        </w:tc>
        <w:tc>
          <w:tcPr>
            <w:tcW w:w="1425" w:type="dxa"/>
            <w:vAlign w:val="top"/>
          </w:tcPr>
          <w:p w14:paraId="2A4FE4BE">
            <w:pPr>
              <w:pStyle w:val="281"/>
              <w:spacing w:before="63" w:line="251" w:lineRule="exact"/>
              <w:ind w:left="38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4"/>
                <w:position w:val="1"/>
                <w:sz w:val="21"/>
                <w:szCs w:val="21"/>
              </w:rPr>
              <w:t>100≤Y&lt;</w:t>
            </w:r>
          </w:p>
        </w:tc>
        <w:tc>
          <w:tcPr>
            <w:tcW w:w="1473" w:type="dxa"/>
            <w:vAlign w:val="top"/>
          </w:tcPr>
          <w:p w14:paraId="1704DB9B">
            <w:pPr>
              <w:pStyle w:val="281"/>
              <w:spacing w:before="99" w:line="255"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w:t>
            </w:r>
          </w:p>
        </w:tc>
      </w:tr>
      <w:tr w14:paraId="18621C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restart"/>
            <w:tcBorders>
              <w:bottom w:val="nil"/>
            </w:tcBorders>
            <w:vAlign w:val="top"/>
          </w:tcPr>
          <w:p w14:paraId="48521F2C">
            <w:pPr>
              <w:pStyle w:val="281"/>
              <w:spacing w:before="299" w:line="228" w:lineRule="auto"/>
              <w:ind w:left="116"/>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餐饮业</w:t>
            </w:r>
          </w:p>
        </w:tc>
        <w:tc>
          <w:tcPr>
            <w:tcW w:w="1368" w:type="dxa"/>
            <w:vAlign w:val="top"/>
          </w:tcPr>
          <w:p w14:paraId="3B3ABDD4">
            <w:pPr>
              <w:pStyle w:val="281"/>
              <w:spacing w:before="97"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628FF45F">
            <w:pPr>
              <w:pStyle w:val="281"/>
              <w:spacing w:before="98"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4E2AF148">
            <w:pPr>
              <w:pStyle w:val="281"/>
              <w:spacing w:before="98" w:line="253" w:lineRule="exact"/>
              <w:ind w:left="2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X≥300</w:t>
            </w:r>
          </w:p>
        </w:tc>
        <w:tc>
          <w:tcPr>
            <w:tcW w:w="1700" w:type="dxa"/>
            <w:vAlign w:val="top"/>
          </w:tcPr>
          <w:p w14:paraId="39AAC583">
            <w:pPr>
              <w:pStyle w:val="281"/>
              <w:spacing w:before="98" w:line="251" w:lineRule="exact"/>
              <w:ind w:left="26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100≤X＜300</w:t>
            </w:r>
          </w:p>
        </w:tc>
        <w:tc>
          <w:tcPr>
            <w:tcW w:w="1425" w:type="dxa"/>
            <w:vAlign w:val="top"/>
          </w:tcPr>
          <w:p w14:paraId="143594DA">
            <w:pPr>
              <w:pStyle w:val="281"/>
              <w:spacing w:before="98" w:line="251" w:lineRule="exact"/>
              <w:ind w:left="28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10≤X＜100</w:t>
            </w:r>
          </w:p>
        </w:tc>
        <w:tc>
          <w:tcPr>
            <w:tcW w:w="1473" w:type="dxa"/>
            <w:vAlign w:val="top"/>
          </w:tcPr>
          <w:p w14:paraId="0FDE3F2A">
            <w:pPr>
              <w:pStyle w:val="281"/>
              <w:spacing w:before="98" w:line="255"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w:t>
            </w:r>
          </w:p>
        </w:tc>
      </w:tr>
      <w:tr w14:paraId="535140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continue"/>
            <w:tcBorders>
              <w:top w:val="nil"/>
            </w:tcBorders>
            <w:vAlign w:val="top"/>
          </w:tcPr>
          <w:p w14:paraId="6BBBD985">
            <w:pPr>
              <w:rPr>
                <w:rFonts w:hint="eastAsia" w:asciiTheme="minorEastAsia" w:hAnsiTheme="minorEastAsia" w:eastAsiaTheme="minorEastAsia" w:cstheme="minorEastAsia"/>
                <w:sz w:val="21"/>
                <w:szCs w:val="21"/>
              </w:rPr>
            </w:pPr>
          </w:p>
        </w:tc>
        <w:tc>
          <w:tcPr>
            <w:tcW w:w="1368" w:type="dxa"/>
            <w:vAlign w:val="top"/>
          </w:tcPr>
          <w:p w14:paraId="10651D5B">
            <w:pPr>
              <w:pStyle w:val="281"/>
              <w:spacing w:before="99"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284DC4C6">
            <w:pPr>
              <w:pStyle w:val="281"/>
              <w:spacing w:before="99"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7FCAD98A">
            <w:pPr>
              <w:pStyle w:val="281"/>
              <w:spacing w:before="99" w:line="253"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Y≥10000</w:t>
            </w:r>
          </w:p>
        </w:tc>
        <w:tc>
          <w:tcPr>
            <w:tcW w:w="1700" w:type="dxa"/>
            <w:vAlign w:val="top"/>
          </w:tcPr>
          <w:p w14:paraId="364298C8">
            <w:pPr>
              <w:pStyle w:val="281"/>
              <w:spacing w:before="99" w:line="252" w:lineRule="exact"/>
              <w:ind w:left="15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2000≤Y＜10000</w:t>
            </w:r>
          </w:p>
        </w:tc>
        <w:tc>
          <w:tcPr>
            <w:tcW w:w="1425" w:type="dxa"/>
            <w:vAlign w:val="top"/>
          </w:tcPr>
          <w:p w14:paraId="3301A775">
            <w:pPr>
              <w:pStyle w:val="281"/>
              <w:spacing w:before="61" w:line="251" w:lineRule="exact"/>
              <w:ind w:left="38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4"/>
                <w:position w:val="1"/>
                <w:sz w:val="21"/>
                <w:szCs w:val="21"/>
              </w:rPr>
              <w:t>100≤Y&lt;</w:t>
            </w:r>
          </w:p>
        </w:tc>
        <w:tc>
          <w:tcPr>
            <w:tcW w:w="1473" w:type="dxa"/>
            <w:vAlign w:val="top"/>
          </w:tcPr>
          <w:p w14:paraId="143B16D4">
            <w:pPr>
              <w:pStyle w:val="281"/>
              <w:spacing w:before="99" w:line="255"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w:t>
            </w:r>
          </w:p>
        </w:tc>
      </w:tr>
      <w:tr w14:paraId="057826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restart"/>
            <w:tcBorders>
              <w:bottom w:val="nil"/>
            </w:tcBorders>
            <w:vAlign w:val="top"/>
          </w:tcPr>
          <w:p w14:paraId="28A11183">
            <w:pPr>
              <w:pStyle w:val="281"/>
              <w:spacing w:before="300" w:line="227" w:lineRule="auto"/>
              <w:ind w:left="11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信息传输业</w:t>
            </w:r>
            <w:r>
              <w:rPr>
                <w:rFonts w:hint="eastAsia" w:asciiTheme="minorEastAsia" w:hAnsiTheme="minorEastAsia" w:eastAsiaTheme="minorEastAsia" w:cstheme="minorEastAsia"/>
                <w:spacing w:val="18"/>
                <w:sz w:val="21"/>
                <w:szCs w:val="21"/>
              </w:rPr>
              <w:t xml:space="preserve"> </w:t>
            </w:r>
            <w:r>
              <w:rPr>
                <w:rFonts w:hint="eastAsia" w:asciiTheme="minorEastAsia" w:hAnsiTheme="minorEastAsia" w:eastAsiaTheme="minorEastAsia" w:cstheme="minorEastAsia"/>
                <w:spacing w:val="6"/>
                <w:sz w:val="21"/>
                <w:szCs w:val="21"/>
              </w:rPr>
              <w:t>*</w:t>
            </w:r>
          </w:p>
        </w:tc>
        <w:tc>
          <w:tcPr>
            <w:tcW w:w="1368" w:type="dxa"/>
            <w:vAlign w:val="top"/>
          </w:tcPr>
          <w:p w14:paraId="62035C7A">
            <w:pPr>
              <w:pStyle w:val="281"/>
              <w:spacing w:before="98"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274321D7">
            <w:pPr>
              <w:pStyle w:val="281"/>
              <w:spacing w:before="98"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332F9012">
            <w:pPr>
              <w:pStyle w:val="281"/>
              <w:spacing w:before="98" w:line="253" w:lineRule="exact"/>
              <w:ind w:left="21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X≥2000</w:t>
            </w:r>
          </w:p>
        </w:tc>
        <w:tc>
          <w:tcPr>
            <w:tcW w:w="1700" w:type="dxa"/>
            <w:vAlign w:val="top"/>
          </w:tcPr>
          <w:p w14:paraId="774F3062">
            <w:pPr>
              <w:pStyle w:val="281"/>
              <w:spacing w:before="98" w:line="252" w:lineRule="exact"/>
              <w:ind w:left="27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100≤X＜2000</w:t>
            </w:r>
          </w:p>
        </w:tc>
        <w:tc>
          <w:tcPr>
            <w:tcW w:w="1425" w:type="dxa"/>
            <w:vAlign w:val="top"/>
          </w:tcPr>
          <w:p w14:paraId="7E292BED">
            <w:pPr>
              <w:pStyle w:val="281"/>
              <w:spacing w:before="98" w:line="252" w:lineRule="exact"/>
              <w:ind w:left="28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10≤X＜100</w:t>
            </w:r>
          </w:p>
        </w:tc>
        <w:tc>
          <w:tcPr>
            <w:tcW w:w="1473" w:type="dxa"/>
            <w:vAlign w:val="top"/>
          </w:tcPr>
          <w:p w14:paraId="7F671872">
            <w:pPr>
              <w:pStyle w:val="281"/>
              <w:spacing w:before="98" w:line="255"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w:t>
            </w:r>
          </w:p>
        </w:tc>
      </w:tr>
      <w:tr w14:paraId="48B67B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2" w:hRule="atLeast"/>
        </w:trPr>
        <w:tc>
          <w:tcPr>
            <w:tcW w:w="1907" w:type="dxa"/>
            <w:vMerge w:val="continue"/>
            <w:tcBorders>
              <w:top w:val="nil"/>
            </w:tcBorders>
            <w:vAlign w:val="top"/>
          </w:tcPr>
          <w:p w14:paraId="205174ED">
            <w:pPr>
              <w:rPr>
                <w:rFonts w:hint="eastAsia" w:asciiTheme="minorEastAsia" w:hAnsiTheme="minorEastAsia" w:eastAsiaTheme="minorEastAsia" w:cstheme="minorEastAsia"/>
                <w:sz w:val="21"/>
                <w:szCs w:val="21"/>
              </w:rPr>
            </w:pPr>
          </w:p>
        </w:tc>
        <w:tc>
          <w:tcPr>
            <w:tcW w:w="1368" w:type="dxa"/>
            <w:vAlign w:val="top"/>
          </w:tcPr>
          <w:p w14:paraId="00260D47">
            <w:pPr>
              <w:pStyle w:val="281"/>
              <w:spacing w:before="99"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43E9BE1F">
            <w:pPr>
              <w:pStyle w:val="281"/>
              <w:spacing w:before="99"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19BEA7AB">
            <w:pPr>
              <w:pStyle w:val="281"/>
              <w:spacing w:before="99" w:line="254" w:lineRule="exact"/>
              <w:ind w:left="11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Y≥100000</w:t>
            </w:r>
          </w:p>
        </w:tc>
        <w:tc>
          <w:tcPr>
            <w:tcW w:w="1700" w:type="dxa"/>
            <w:vAlign w:val="top"/>
          </w:tcPr>
          <w:p w14:paraId="493DDC7D">
            <w:pPr>
              <w:pStyle w:val="281"/>
              <w:spacing w:before="61" w:line="252" w:lineRule="exact"/>
              <w:ind w:left="46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3"/>
                <w:position w:val="1"/>
                <w:sz w:val="21"/>
                <w:szCs w:val="21"/>
              </w:rPr>
              <w:t>1000≤Y&lt;</w:t>
            </w:r>
          </w:p>
        </w:tc>
        <w:tc>
          <w:tcPr>
            <w:tcW w:w="1425" w:type="dxa"/>
            <w:vAlign w:val="top"/>
          </w:tcPr>
          <w:p w14:paraId="2CCBF643">
            <w:pPr>
              <w:pStyle w:val="281"/>
              <w:spacing w:before="61" w:line="252" w:lineRule="exact"/>
              <w:ind w:left="38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4"/>
                <w:position w:val="1"/>
                <w:sz w:val="21"/>
                <w:szCs w:val="21"/>
              </w:rPr>
              <w:t>100≤Y&lt;</w:t>
            </w:r>
          </w:p>
        </w:tc>
        <w:tc>
          <w:tcPr>
            <w:tcW w:w="1473" w:type="dxa"/>
            <w:vAlign w:val="top"/>
          </w:tcPr>
          <w:p w14:paraId="019F8910">
            <w:pPr>
              <w:pStyle w:val="281"/>
              <w:spacing w:before="99" w:line="256"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w:t>
            </w:r>
          </w:p>
        </w:tc>
      </w:tr>
      <w:tr w14:paraId="6B4E02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1907" w:type="dxa"/>
            <w:vMerge w:val="restart"/>
            <w:tcBorders>
              <w:bottom w:val="nil"/>
            </w:tcBorders>
            <w:vAlign w:val="top"/>
          </w:tcPr>
          <w:p w14:paraId="528EC305">
            <w:pPr>
              <w:pStyle w:val="281"/>
              <w:spacing w:before="122" w:line="237" w:lineRule="auto"/>
              <w:ind w:left="113" w:right="187" w:firstLine="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3"/>
                <w:sz w:val="21"/>
                <w:szCs w:val="21"/>
              </w:rPr>
              <w:t>软件和信息技术</w:t>
            </w:r>
            <w:r>
              <w:rPr>
                <w:rFonts w:hint="eastAsia" w:asciiTheme="minorEastAsia" w:hAnsiTheme="minorEastAsia" w:eastAsiaTheme="minorEastAsia" w:cstheme="minorEastAsia"/>
                <w:spacing w:val="-13"/>
                <w:sz w:val="21"/>
                <w:szCs w:val="21"/>
                <w:lang w:eastAsia="zh-CN"/>
              </w:rPr>
              <w:t>服务业</w:t>
            </w:r>
          </w:p>
        </w:tc>
        <w:tc>
          <w:tcPr>
            <w:tcW w:w="1368" w:type="dxa"/>
            <w:vAlign w:val="top"/>
          </w:tcPr>
          <w:p w14:paraId="796A7D92">
            <w:pPr>
              <w:pStyle w:val="281"/>
              <w:spacing w:before="69"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642BD94D">
            <w:pPr>
              <w:pStyle w:val="281"/>
              <w:spacing w:before="70"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00F32D37">
            <w:pPr>
              <w:pStyle w:val="281"/>
              <w:spacing w:before="70" w:line="253" w:lineRule="exact"/>
              <w:ind w:left="2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X≥300</w:t>
            </w:r>
          </w:p>
        </w:tc>
        <w:tc>
          <w:tcPr>
            <w:tcW w:w="1700" w:type="dxa"/>
            <w:vAlign w:val="top"/>
          </w:tcPr>
          <w:p w14:paraId="0BAE491A">
            <w:pPr>
              <w:pStyle w:val="281"/>
              <w:spacing w:before="70" w:line="251" w:lineRule="exact"/>
              <w:ind w:left="26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100≤X＜300</w:t>
            </w:r>
          </w:p>
        </w:tc>
        <w:tc>
          <w:tcPr>
            <w:tcW w:w="1425" w:type="dxa"/>
            <w:vAlign w:val="top"/>
          </w:tcPr>
          <w:p w14:paraId="4DC44C87">
            <w:pPr>
              <w:pStyle w:val="281"/>
              <w:spacing w:before="70" w:line="251" w:lineRule="exact"/>
              <w:ind w:left="28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10≤X＜100</w:t>
            </w:r>
          </w:p>
        </w:tc>
        <w:tc>
          <w:tcPr>
            <w:tcW w:w="1473" w:type="dxa"/>
            <w:vAlign w:val="top"/>
          </w:tcPr>
          <w:p w14:paraId="1E16116C">
            <w:pPr>
              <w:pStyle w:val="281"/>
              <w:spacing w:before="70" w:line="255"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w:t>
            </w:r>
          </w:p>
        </w:tc>
      </w:tr>
      <w:tr w14:paraId="0C2B32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1907" w:type="dxa"/>
            <w:vMerge w:val="continue"/>
            <w:tcBorders>
              <w:top w:val="nil"/>
            </w:tcBorders>
            <w:vAlign w:val="top"/>
          </w:tcPr>
          <w:p w14:paraId="7ACFCEAC">
            <w:pPr>
              <w:rPr>
                <w:rFonts w:hint="eastAsia" w:asciiTheme="minorEastAsia" w:hAnsiTheme="minorEastAsia" w:eastAsiaTheme="minorEastAsia" w:cstheme="minorEastAsia"/>
                <w:sz w:val="21"/>
                <w:szCs w:val="21"/>
              </w:rPr>
            </w:pPr>
          </w:p>
        </w:tc>
        <w:tc>
          <w:tcPr>
            <w:tcW w:w="1368" w:type="dxa"/>
            <w:vAlign w:val="top"/>
          </w:tcPr>
          <w:p w14:paraId="2A8A1116">
            <w:pPr>
              <w:pStyle w:val="281"/>
              <w:spacing w:before="70"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59CD1B24">
            <w:pPr>
              <w:pStyle w:val="281"/>
              <w:spacing w:before="70"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3CEDA7FC">
            <w:pPr>
              <w:pStyle w:val="281"/>
              <w:spacing w:before="70" w:line="254" w:lineRule="exact"/>
              <w:ind w:left="16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Y≥10000</w:t>
            </w:r>
          </w:p>
        </w:tc>
        <w:tc>
          <w:tcPr>
            <w:tcW w:w="1700" w:type="dxa"/>
            <w:vAlign w:val="top"/>
          </w:tcPr>
          <w:p w14:paraId="6CA8E727">
            <w:pPr>
              <w:pStyle w:val="281"/>
              <w:spacing w:before="70" w:line="252" w:lineRule="exact"/>
              <w:ind w:left="16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1000≤Y＜10000</w:t>
            </w:r>
          </w:p>
        </w:tc>
        <w:tc>
          <w:tcPr>
            <w:tcW w:w="1425" w:type="dxa"/>
            <w:vAlign w:val="top"/>
          </w:tcPr>
          <w:p w14:paraId="6A4DE993">
            <w:pPr>
              <w:pStyle w:val="281"/>
              <w:spacing w:before="61" w:line="252" w:lineRule="exact"/>
              <w:ind w:left="472"/>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8"/>
                <w:position w:val="1"/>
                <w:sz w:val="21"/>
                <w:szCs w:val="21"/>
              </w:rPr>
              <w:t>50≤Y&lt;</w:t>
            </w:r>
          </w:p>
        </w:tc>
        <w:tc>
          <w:tcPr>
            <w:tcW w:w="1473" w:type="dxa"/>
            <w:vAlign w:val="top"/>
          </w:tcPr>
          <w:p w14:paraId="21092482">
            <w:pPr>
              <w:pStyle w:val="281"/>
              <w:spacing w:before="70" w:line="255" w:lineRule="exact"/>
              <w:ind w:left="24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Y＜50</w:t>
            </w:r>
          </w:p>
        </w:tc>
      </w:tr>
      <w:tr w14:paraId="6989C1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1907" w:type="dxa"/>
            <w:vMerge w:val="restart"/>
            <w:tcBorders>
              <w:bottom w:val="nil"/>
            </w:tcBorders>
            <w:vAlign w:val="top"/>
          </w:tcPr>
          <w:p w14:paraId="65981FD1">
            <w:pPr>
              <w:pStyle w:val="281"/>
              <w:spacing w:before="242" w:line="228" w:lineRule="auto"/>
              <w:ind w:left="115"/>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8"/>
                <w:sz w:val="21"/>
                <w:szCs w:val="21"/>
              </w:rPr>
              <w:t>房地产开发经营</w:t>
            </w:r>
          </w:p>
        </w:tc>
        <w:tc>
          <w:tcPr>
            <w:tcW w:w="1368" w:type="dxa"/>
            <w:vAlign w:val="top"/>
          </w:tcPr>
          <w:p w14:paraId="66D07A67">
            <w:pPr>
              <w:pStyle w:val="281"/>
              <w:spacing w:before="71"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65A61C1C">
            <w:pPr>
              <w:pStyle w:val="281"/>
              <w:spacing w:before="71"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5C1DE20D">
            <w:pPr>
              <w:pStyle w:val="281"/>
              <w:spacing w:before="71" w:line="253" w:lineRule="exact"/>
              <w:ind w:left="11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Y≥200000</w:t>
            </w:r>
          </w:p>
        </w:tc>
        <w:tc>
          <w:tcPr>
            <w:tcW w:w="1700" w:type="dxa"/>
            <w:vAlign w:val="top"/>
          </w:tcPr>
          <w:p w14:paraId="4E120834">
            <w:pPr>
              <w:pStyle w:val="281"/>
              <w:spacing w:before="62" w:line="251" w:lineRule="exact"/>
              <w:ind w:left="46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3"/>
                <w:position w:val="1"/>
                <w:sz w:val="21"/>
                <w:szCs w:val="21"/>
              </w:rPr>
              <w:t>1000≤Y&lt;</w:t>
            </w:r>
          </w:p>
        </w:tc>
        <w:tc>
          <w:tcPr>
            <w:tcW w:w="1425" w:type="dxa"/>
            <w:vAlign w:val="top"/>
          </w:tcPr>
          <w:p w14:paraId="570EB476">
            <w:pPr>
              <w:pStyle w:val="281"/>
              <w:spacing w:before="62" w:line="251" w:lineRule="exact"/>
              <w:ind w:left="38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4"/>
                <w:position w:val="1"/>
                <w:sz w:val="21"/>
                <w:szCs w:val="21"/>
              </w:rPr>
              <w:t>100≤Y&lt;</w:t>
            </w:r>
          </w:p>
        </w:tc>
        <w:tc>
          <w:tcPr>
            <w:tcW w:w="1473" w:type="dxa"/>
            <w:vAlign w:val="top"/>
          </w:tcPr>
          <w:p w14:paraId="32833DA7">
            <w:pPr>
              <w:pStyle w:val="281"/>
              <w:spacing w:before="71" w:line="253"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Y＜100</w:t>
            </w:r>
          </w:p>
        </w:tc>
      </w:tr>
      <w:tr w14:paraId="0A337D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1907" w:type="dxa"/>
            <w:vMerge w:val="continue"/>
            <w:tcBorders>
              <w:top w:val="nil"/>
            </w:tcBorders>
            <w:vAlign w:val="top"/>
          </w:tcPr>
          <w:p w14:paraId="71FB1E9A">
            <w:pPr>
              <w:rPr>
                <w:rFonts w:hint="eastAsia" w:asciiTheme="minorEastAsia" w:hAnsiTheme="minorEastAsia" w:eastAsiaTheme="minorEastAsia" w:cstheme="minorEastAsia"/>
                <w:sz w:val="21"/>
                <w:szCs w:val="21"/>
              </w:rPr>
            </w:pPr>
          </w:p>
        </w:tc>
        <w:tc>
          <w:tcPr>
            <w:tcW w:w="1368" w:type="dxa"/>
            <w:vAlign w:val="top"/>
          </w:tcPr>
          <w:p w14:paraId="2F4705C7">
            <w:pPr>
              <w:pStyle w:val="281"/>
              <w:spacing w:before="72" w:line="228" w:lineRule="auto"/>
              <w:ind w:left="145"/>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资产总额(Z)</w:t>
            </w:r>
          </w:p>
        </w:tc>
        <w:tc>
          <w:tcPr>
            <w:tcW w:w="709" w:type="dxa"/>
            <w:vAlign w:val="top"/>
          </w:tcPr>
          <w:p w14:paraId="4F88FA2B">
            <w:pPr>
              <w:pStyle w:val="281"/>
              <w:spacing w:before="69"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3FD127BF">
            <w:pPr>
              <w:pStyle w:val="281"/>
              <w:spacing w:before="70" w:line="253" w:lineRule="exact"/>
              <w:ind w:left="166"/>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Z≥10000</w:t>
            </w:r>
          </w:p>
        </w:tc>
        <w:tc>
          <w:tcPr>
            <w:tcW w:w="1700" w:type="dxa"/>
            <w:vAlign w:val="top"/>
          </w:tcPr>
          <w:p w14:paraId="6359EA17">
            <w:pPr>
              <w:pStyle w:val="281"/>
              <w:spacing w:before="70" w:line="251" w:lineRule="exact"/>
              <w:ind w:left="1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5000≤Z＜10000</w:t>
            </w:r>
          </w:p>
        </w:tc>
        <w:tc>
          <w:tcPr>
            <w:tcW w:w="1425" w:type="dxa"/>
            <w:vAlign w:val="top"/>
          </w:tcPr>
          <w:p w14:paraId="23D789AA">
            <w:pPr>
              <w:pStyle w:val="281"/>
              <w:spacing w:before="62" w:line="252" w:lineRule="exact"/>
              <w:ind w:left="27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5"/>
                <w:position w:val="1"/>
                <w:sz w:val="21"/>
                <w:szCs w:val="21"/>
              </w:rPr>
              <w:t>2000≤Z&lt;</w:t>
            </w:r>
          </w:p>
        </w:tc>
        <w:tc>
          <w:tcPr>
            <w:tcW w:w="1473" w:type="dxa"/>
            <w:vAlign w:val="top"/>
          </w:tcPr>
          <w:p w14:paraId="7C020552">
            <w:pPr>
              <w:pStyle w:val="281"/>
              <w:spacing w:before="70" w:line="255" w:lineRule="exact"/>
              <w:ind w:left="15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Z＜2000</w:t>
            </w:r>
          </w:p>
        </w:tc>
      </w:tr>
      <w:tr w14:paraId="615448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1907" w:type="dxa"/>
            <w:vMerge w:val="restart"/>
            <w:tcBorders>
              <w:bottom w:val="nil"/>
            </w:tcBorders>
            <w:vAlign w:val="top"/>
          </w:tcPr>
          <w:p w14:paraId="40719A5F">
            <w:pPr>
              <w:pStyle w:val="281"/>
              <w:spacing w:before="241" w:line="228" w:lineRule="auto"/>
              <w:ind w:left="11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7"/>
                <w:sz w:val="21"/>
                <w:szCs w:val="21"/>
              </w:rPr>
              <w:t>物业管理</w:t>
            </w:r>
          </w:p>
        </w:tc>
        <w:tc>
          <w:tcPr>
            <w:tcW w:w="1368" w:type="dxa"/>
            <w:vAlign w:val="top"/>
          </w:tcPr>
          <w:p w14:paraId="7B6D07BD">
            <w:pPr>
              <w:pStyle w:val="281"/>
              <w:spacing w:before="70"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09D3F20E">
            <w:pPr>
              <w:pStyle w:val="281"/>
              <w:spacing w:before="70"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5535E5B2">
            <w:pPr>
              <w:pStyle w:val="281"/>
              <w:spacing w:before="70" w:line="254" w:lineRule="exact"/>
              <w:ind w:left="21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X≥1000</w:t>
            </w:r>
          </w:p>
        </w:tc>
        <w:tc>
          <w:tcPr>
            <w:tcW w:w="1700" w:type="dxa"/>
            <w:vAlign w:val="top"/>
          </w:tcPr>
          <w:p w14:paraId="040783F9">
            <w:pPr>
              <w:pStyle w:val="281"/>
              <w:spacing w:before="70" w:line="252" w:lineRule="exact"/>
              <w:ind w:left="25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300≤X＜1000</w:t>
            </w:r>
          </w:p>
        </w:tc>
        <w:tc>
          <w:tcPr>
            <w:tcW w:w="1425" w:type="dxa"/>
            <w:vAlign w:val="top"/>
          </w:tcPr>
          <w:p w14:paraId="6A586F0A">
            <w:pPr>
              <w:pStyle w:val="281"/>
              <w:spacing w:before="70" w:line="252" w:lineRule="exact"/>
              <w:ind w:left="18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100≤X＜300</w:t>
            </w:r>
          </w:p>
        </w:tc>
        <w:tc>
          <w:tcPr>
            <w:tcW w:w="1473" w:type="dxa"/>
            <w:vAlign w:val="top"/>
          </w:tcPr>
          <w:p w14:paraId="4ED85FC5">
            <w:pPr>
              <w:pStyle w:val="281"/>
              <w:spacing w:before="70" w:line="255" w:lineRule="exact"/>
              <w:ind w:left="20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X＜100</w:t>
            </w:r>
          </w:p>
        </w:tc>
      </w:tr>
      <w:tr w14:paraId="51EC50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1907" w:type="dxa"/>
            <w:vMerge w:val="continue"/>
            <w:tcBorders>
              <w:top w:val="nil"/>
            </w:tcBorders>
            <w:vAlign w:val="top"/>
          </w:tcPr>
          <w:p w14:paraId="59F4C02C">
            <w:pPr>
              <w:rPr>
                <w:rFonts w:hint="eastAsia" w:asciiTheme="minorEastAsia" w:hAnsiTheme="minorEastAsia" w:eastAsiaTheme="minorEastAsia" w:cstheme="minorEastAsia"/>
                <w:sz w:val="21"/>
                <w:szCs w:val="21"/>
              </w:rPr>
            </w:pPr>
          </w:p>
        </w:tc>
        <w:tc>
          <w:tcPr>
            <w:tcW w:w="1368" w:type="dxa"/>
            <w:vAlign w:val="top"/>
          </w:tcPr>
          <w:p w14:paraId="6E0F5C72">
            <w:pPr>
              <w:pStyle w:val="281"/>
              <w:spacing w:before="71" w:line="228" w:lineRule="auto"/>
              <w:ind w:left="14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营业收入(Y)</w:t>
            </w:r>
          </w:p>
        </w:tc>
        <w:tc>
          <w:tcPr>
            <w:tcW w:w="709" w:type="dxa"/>
            <w:vAlign w:val="top"/>
          </w:tcPr>
          <w:p w14:paraId="0600B9EC">
            <w:pPr>
              <w:pStyle w:val="281"/>
              <w:spacing w:before="71"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04089DD3">
            <w:pPr>
              <w:pStyle w:val="281"/>
              <w:spacing w:before="71" w:line="253" w:lineRule="exact"/>
              <w:ind w:left="212"/>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Y≥5000</w:t>
            </w:r>
          </w:p>
        </w:tc>
        <w:tc>
          <w:tcPr>
            <w:tcW w:w="1700" w:type="dxa"/>
            <w:vAlign w:val="top"/>
          </w:tcPr>
          <w:p w14:paraId="4FDBD796">
            <w:pPr>
              <w:pStyle w:val="281"/>
              <w:spacing w:before="71" w:line="252" w:lineRule="exact"/>
              <w:ind w:left="16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1000≤Y＜5000</w:t>
            </w:r>
          </w:p>
        </w:tc>
        <w:tc>
          <w:tcPr>
            <w:tcW w:w="1425" w:type="dxa"/>
            <w:vAlign w:val="top"/>
          </w:tcPr>
          <w:p w14:paraId="5A72874E">
            <w:pPr>
              <w:pStyle w:val="281"/>
              <w:spacing w:before="62" w:line="251" w:lineRule="exact"/>
              <w:ind w:left="37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6"/>
                <w:position w:val="1"/>
                <w:sz w:val="21"/>
                <w:szCs w:val="21"/>
              </w:rPr>
              <w:t>500≤Y&lt;</w:t>
            </w:r>
          </w:p>
        </w:tc>
        <w:tc>
          <w:tcPr>
            <w:tcW w:w="1473" w:type="dxa"/>
            <w:vAlign w:val="top"/>
          </w:tcPr>
          <w:p w14:paraId="779EE444">
            <w:pPr>
              <w:pStyle w:val="281"/>
              <w:spacing w:before="71" w:line="253" w:lineRule="exact"/>
              <w:ind w:left="19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Y＜500</w:t>
            </w:r>
          </w:p>
        </w:tc>
      </w:tr>
      <w:tr w14:paraId="69366E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1907" w:type="dxa"/>
            <w:vMerge w:val="restart"/>
            <w:tcBorders>
              <w:bottom w:val="nil"/>
            </w:tcBorders>
            <w:vAlign w:val="top"/>
          </w:tcPr>
          <w:p w14:paraId="339CFDDA">
            <w:pPr>
              <w:pStyle w:val="281"/>
              <w:spacing w:before="242" w:line="228" w:lineRule="auto"/>
              <w:ind w:left="116"/>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8"/>
                <w:sz w:val="21"/>
                <w:szCs w:val="21"/>
              </w:rPr>
              <w:t>租赁和商务服务业</w:t>
            </w:r>
          </w:p>
        </w:tc>
        <w:tc>
          <w:tcPr>
            <w:tcW w:w="1368" w:type="dxa"/>
            <w:vAlign w:val="top"/>
          </w:tcPr>
          <w:p w14:paraId="4DB4B8E9">
            <w:pPr>
              <w:pStyle w:val="281"/>
              <w:spacing w:before="69"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2BEC7873">
            <w:pPr>
              <w:pStyle w:val="281"/>
              <w:spacing w:before="70"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0B83C0B4">
            <w:pPr>
              <w:pStyle w:val="281"/>
              <w:spacing w:before="70" w:line="253" w:lineRule="exact"/>
              <w:ind w:left="2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X≥300</w:t>
            </w:r>
          </w:p>
        </w:tc>
        <w:tc>
          <w:tcPr>
            <w:tcW w:w="1700" w:type="dxa"/>
            <w:vAlign w:val="top"/>
          </w:tcPr>
          <w:p w14:paraId="58AFF27E">
            <w:pPr>
              <w:pStyle w:val="281"/>
              <w:spacing w:before="70" w:line="251" w:lineRule="exact"/>
              <w:ind w:left="26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100≤X＜300</w:t>
            </w:r>
          </w:p>
        </w:tc>
        <w:tc>
          <w:tcPr>
            <w:tcW w:w="1425" w:type="dxa"/>
            <w:vAlign w:val="top"/>
          </w:tcPr>
          <w:p w14:paraId="58124BCA">
            <w:pPr>
              <w:pStyle w:val="281"/>
              <w:spacing w:before="70" w:line="251" w:lineRule="exact"/>
              <w:ind w:left="28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10≤X＜100</w:t>
            </w:r>
          </w:p>
        </w:tc>
        <w:tc>
          <w:tcPr>
            <w:tcW w:w="1473" w:type="dxa"/>
            <w:vAlign w:val="top"/>
          </w:tcPr>
          <w:p w14:paraId="7D28C66E">
            <w:pPr>
              <w:pStyle w:val="281"/>
              <w:spacing w:before="70" w:line="255"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w:t>
            </w:r>
          </w:p>
        </w:tc>
      </w:tr>
      <w:tr w14:paraId="570D9C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5" w:hRule="atLeast"/>
        </w:trPr>
        <w:tc>
          <w:tcPr>
            <w:tcW w:w="1907" w:type="dxa"/>
            <w:vMerge w:val="continue"/>
            <w:tcBorders>
              <w:top w:val="nil"/>
            </w:tcBorders>
            <w:vAlign w:val="top"/>
          </w:tcPr>
          <w:p w14:paraId="36A009DC">
            <w:pPr>
              <w:rPr>
                <w:rFonts w:hint="eastAsia" w:asciiTheme="minorEastAsia" w:hAnsiTheme="minorEastAsia" w:eastAsiaTheme="minorEastAsia" w:cstheme="minorEastAsia"/>
                <w:sz w:val="21"/>
                <w:szCs w:val="21"/>
              </w:rPr>
            </w:pPr>
          </w:p>
        </w:tc>
        <w:tc>
          <w:tcPr>
            <w:tcW w:w="1368" w:type="dxa"/>
            <w:vAlign w:val="top"/>
          </w:tcPr>
          <w:p w14:paraId="7377BFFE">
            <w:pPr>
              <w:pStyle w:val="281"/>
              <w:spacing w:before="70" w:line="228" w:lineRule="auto"/>
              <w:ind w:left="145"/>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sz w:val="21"/>
                <w:szCs w:val="21"/>
              </w:rPr>
              <w:t>资产总额(Z)</w:t>
            </w:r>
          </w:p>
        </w:tc>
        <w:tc>
          <w:tcPr>
            <w:tcW w:w="709" w:type="dxa"/>
            <w:vAlign w:val="top"/>
          </w:tcPr>
          <w:p w14:paraId="45B0D620">
            <w:pPr>
              <w:pStyle w:val="281"/>
              <w:spacing w:before="70" w:line="229" w:lineRule="auto"/>
              <w:ind w:left="1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2"/>
                <w:sz w:val="21"/>
                <w:szCs w:val="21"/>
              </w:rPr>
              <w:t>万元</w:t>
            </w:r>
          </w:p>
        </w:tc>
        <w:tc>
          <w:tcPr>
            <w:tcW w:w="1124" w:type="dxa"/>
            <w:vAlign w:val="top"/>
          </w:tcPr>
          <w:p w14:paraId="1F24C262">
            <w:pPr>
              <w:pStyle w:val="281"/>
              <w:spacing w:before="70" w:line="254" w:lineRule="exact"/>
              <w:ind w:left="116"/>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Z≥120000</w:t>
            </w:r>
          </w:p>
        </w:tc>
        <w:tc>
          <w:tcPr>
            <w:tcW w:w="1700" w:type="dxa"/>
            <w:vAlign w:val="top"/>
          </w:tcPr>
          <w:p w14:paraId="5D3E0E4F">
            <w:pPr>
              <w:pStyle w:val="281"/>
              <w:spacing w:before="61" w:line="252" w:lineRule="exact"/>
              <w:ind w:left="455"/>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5"/>
                <w:position w:val="1"/>
                <w:sz w:val="21"/>
                <w:szCs w:val="21"/>
              </w:rPr>
              <w:t>8000≤Z&lt;</w:t>
            </w:r>
          </w:p>
        </w:tc>
        <w:tc>
          <w:tcPr>
            <w:tcW w:w="1425" w:type="dxa"/>
            <w:vAlign w:val="top"/>
          </w:tcPr>
          <w:p w14:paraId="26271DB0">
            <w:pPr>
              <w:pStyle w:val="281"/>
              <w:spacing w:before="61" w:line="252" w:lineRule="exact"/>
              <w:ind w:left="384"/>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14"/>
                <w:position w:val="1"/>
                <w:sz w:val="21"/>
                <w:szCs w:val="21"/>
              </w:rPr>
              <w:t>100≤Z&lt;</w:t>
            </w:r>
          </w:p>
        </w:tc>
        <w:tc>
          <w:tcPr>
            <w:tcW w:w="1473" w:type="dxa"/>
            <w:vAlign w:val="top"/>
          </w:tcPr>
          <w:p w14:paraId="075B3312">
            <w:pPr>
              <w:pStyle w:val="281"/>
              <w:spacing w:before="70" w:line="255" w:lineRule="exact"/>
              <w:ind w:left="20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Z＜100</w:t>
            </w:r>
          </w:p>
        </w:tc>
      </w:tr>
      <w:tr w14:paraId="43E9BE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1907" w:type="dxa"/>
            <w:vAlign w:val="top"/>
          </w:tcPr>
          <w:p w14:paraId="1E5BC6B9">
            <w:pPr>
              <w:pStyle w:val="281"/>
              <w:spacing w:before="172" w:line="228" w:lineRule="auto"/>
              <w:ind w:left="115"/>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8"/>
                <w:sz w:val="21"/>
                <w:szCs w:val="21"/>
              </w:rPr>
              <w:t>其他未列明行业 *</w:t>
            </w:r>
          </w:p>
        </w:tc>
        <w:tc>
          <w:tcPr>
            <w:tcW w:w="1368" w:type="dxa"/>
            <w:vAlign w:val="top"/>
          </w:tcPr>
          <w:p w14:paraId="325B5188">
            <w:pPr>
              <w:pStyle w:val="281"/>
              <w:spacing w:before="172" w:line="229" w:lineRule="auto"/>
              <w:ind w:left="139"/>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6"/>
                <w:sz w:val="21"/>
                <w:szCs w:val="21"/>
              </w:rPr>
              <w:t>从业人员(X)</w:t>
            </w:r>
          </w:p>
        </w:tc>
        <w:tc>
          <w:tcPr>
            <w:tcW w:w="709" w:type="dxa"/>
            <w:vAlign w:val="top"/>
          </w:tcPr>
          <w:p w14:paraId="08F14662">
            <w:pPr>
              <w:pStyle w:val="281"/>
              <w:spacing w:before="172" w:line="231" w:lineRule="auto"/>
              <w:ind w:left="258"/>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w:t>
            </w:r>
          </w:p>
        </w:tc>
        <w:tc>
          <w:tcPr>
            <w:tcW w:w="1124" w:type="dxa"/>
            <w:vAlign w:val="top"/>
          </w:tcPr>
          <w:p w14:paraId="3B2D330F">
            <w:pPr>
              <w:pStyle w:val="281"/>
              <w:spacing w:before="172" w:line="253" w:lineRule="exact"/>
              <w:ind w:left="26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5"/>
                <w:position w:val="1"/>
                <w:sz w:val="21"/>
                <w:szCs w:val="21"/>
              </w:rPr>
              <w:t>X≥300</w:t>
            </w:r>
          </w:p>
        </w:tc>
        <w:tc>
          <w:tcPr>
            <w:tcW w:w="1700" w:type="dxa"/>
            <w:vAlign w:val="top"/>
          </w:tcPr>
          <w:p w14:paraId="7DA500C8">
            <w:pPr>
              <w:pStyle w:val="281"/>
              <w:spacing w:before="172" w:line="252" w:lineRule="exact"/>
              <w:ind w:left="267"/>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100≤X＜300</w:t>
            </w:r>
          </w:p>
        </w:tc>
        <w:tc>
          <w:tcPr>
            <w:tcW w:w="1425" w:type="dxa"/>
            <w:vAlign w:val="top"/>
          </w:tcPr>
          <w:p w14:paraId="04BC8E49">
            <w:pPr>
              <w:pStyle w:val="281"/>
              <w:spacing w:before="172" w:line="252" w:lineRule="exact"/>
              <w:ind w:left="283"/>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3"/>
                <w:position w:val="1"/>
                <w:sz w:val="21"/>
                <w:szCs w:val="21"/>
              </w:rPr>
              <w:t>10≤X＜100</w:t>
            </w:r>
          </w:p>
        </w:tc>
        <w:tc>
          <w:tcPr>
            <w:tcW w:w="1473" w:type="dxa"/>
            <w:vAlign w:val="top"/>
          </w:tcPr>
          <w:p w14:paraId="6EC72ED9">
            <w:pPr>
              <w:pStyle w:val="281"/>
              <w:spacing w:before="172" w:line="255" w:lineRule="exact"/>
              <w:ind w:left="25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4"/>
                <w:position w:val="1"/>
                <w:sz w:val="21"/>
                <w:szCs w:val="21"/>
              </w:rPr>
              <w:t>X＜10</w:t>
            </w:r>
          </w:p>
        </w:tc>
      </w:tr>
    </w:tbl>
    <w:p w14:paraId="51B03589">
      <w:pPr>
        <w:tabs>
          <w:tab w:val="center" w:pos="4832"/>
          <w:tab w:val="left" w:pos="7140"/>
        </w:tabs>
        <w:spacing w:line="360" w:lineRule="auto"/>
        <w:jc w:val="center"/>
        <w:outlineLvl w:val="9"/>
        <w:rPr>
          <w:rFonts w:hint="eastAsia" w:ascii="宋体" w:hAnsi="宋体" w:cs="宋体"/>
          <w:b/>
          <w:szCs w:val="21"/>
        </w:rPr>
      </w:pPr>
    </w:p>
    <w:p w14:paraId="387F3488">
      <w:pPr>
        <w:tabs>
          <w:tab w:val="center" w:pos="4832"/>
          <w:tab w:val="left" w:pos="7140"/>
        </w:tabs>
        <w:spacing w:line="360" w:lineRule="auto"/>
        <w:jc w:val="center"/>
        <w:outlineLvl w:val="1"/>
        <w:rPr>
          <w:rFonts w:ascii="宋体" w:hAnsi="宋体" w:cs="宋体"/>
          <w:b/>
          <w:szCs w:val="21"/>
        </w:rPr>
      </w:pPr>
      <w:bookmarkStart w:id="96" w:name="_Toc19736"/>
      <w:r>
        <w:rPr>
          <w:rFonts w:hint="eastAsia" w:ascii="宋体" w:hAnsi="宋体" w:cs="宋体"/>
          <w:b/>
          <w:szCs w:val="21"/>
        </w:rPr>
        <w:t>资格审查标准</w:t>
      </w:r>
      <w:bookmarkEnd w:id="91"/>
      <w:bookmarkEnd w:id="92"/>
      <w:bookmarkEnd w:id="93"/>
      <w:bookmarkEnd w:id="94"/>
      <w:bookmarkEnd w:id="95"/>
      <w:bookmarkEnd w:id="96"/>
    </w:p>
    <w:tbl>
      <w:tblPr>
        <w:tblStyle w:val="47"/>
        <w:tblW w:w="4999" w:type="pct"/>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0" w:type="dxa"/>
          <w:bottom w:w="0" w:type="dxa"/>
          <w:right w:w="0" w:type="dxa"/>
        </w:tblCellMar>
      </w:tblPr>
      <w:tblGrid>
        <w:gridCol w:w="593"/>
        <w:gridCol w:w="9158"/>
      </w:tblGrid>
      <w:tr w14:paraId="4952CBA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176" w:hRule="atLeast"/>
          <w:jc w:val="center"/>
        </w:trPr>
        <w:tc>
          <w:tcPr>
            <w:tcW w:w="304" w:type="pct"/>
            <w:tcMar>
              <w:top w:w="0" w:type="dxa"/>
              <w:left w:w="28" w:type="dxa"/>
              <w:bottom w:w="0" w:type="dxa"/>
              <w:right w:w="28" w:type="dxa"/>
            </w:tcMar>
            <w:vAlign w:val="center"/>
          </w:tcPr>
          <w:p w14:paraId="7BBAFE88">
            <w:pPr>
              <w:widowControl/>
              <w:shd w:val="clear" w:color="auto" w:fill="FFFFFF"/>
              <w:snapToGrid w:val="0"/>
              <w:jc w:val="center"/>
              <w:rPr>
                <w:rFonts w:ascii="宋体" w:hAnsi="宋体" w:cs="Arial"/>
                <w:kern w:val="0"/>
                <w:szCs w:val="21"/>
              </w:rPr>
            </w:pPr>
            <w:r>
              <w:rPr>
                <w:rFonts w:hint="eastAsia" w:ascii="宋体" w:hAnsi="宋体" w:cs="Arial"/>
                <w:kern w:val="0"/>
                <w:szCs w:val="21"/>
              </w:rPr>
              <w:t>序号</w:t>
            </w:r>
          </w:p>
        </w:tc>
        <w:tc>
          <w:tcPr>
            <w:tcW w:w="4695" w:type="pct"/>
            <w:tcMar>
              <w:top w:w="0" w:type="dxa"/>
              <w:left w:w="28" w:type="dxa"/>
              <w:bottom w:w="0" w:type="dxa"/>
              <w:right w:w="28" w:type="dxa"/>
            </w:tcMar>
            <w:vAlign w:val="center"/>
          </w:tcPr>
          <w:p w14:paraId="153E3666">
            <w:pPr>
              <w:widowControl/>
              <w:shd w:val="clear" w:color="auto" w:fill="FFFFFF"/>
              <w:snapToGrid w:val="0"/>
              <w:jc w:val="center"/>
              <w:rPr>
                <w:rFonts w:ascii="宋体" w:hAnsi="宋体"/>
                <w:szCs w:val="21"/>
              </w:rPr>
            </w:pPr>
            <w:r>
              <w:rPr>
                <w:rFonts w:hint="eastAsia" w:ascii="宋体" w:hAnsi="宋体" w:cs="Arial"/>
                <w:kern w:val="0"/>
                <w:szCs w:val="21"/>
              </w:rPr>
              <w:t>评审标准</w:t>
            </w:r>
          </w:p>
        </w:tc>
      </w:tr>
      <w:tr w14:paraId="60F3D3A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176" w:hRule="atLeast"/>
          <w:jc w:val="center"/>
        </w:trPr>
        <w:tc>
          <w:tcPr>
            <w:tcW w:w="304" w:type="pct"/>
            <w:tcMar>
              <w:top w:w="0" w:type="dxa"/>
              <w:left w:w="28" w:type="dxa"/>
              <w:bottom w:w="0" w:type="dxa"/>
              <w:right w:w="28" w:type="dxa"/>
            </w:tcMar>
            <w:vAlign w:val="center"/>
          </w:tcPr>
          <w:p w14:paraId="65F200EA">
            <w:pPr>
              <w:widowControl/>
              <w:shd w:val="clear" w:color="auto" w:fill="FFFFFF"/>
              <w:snapToGrid w:val="0"/>
              <w:jc w:val="center"/>
              <w:rPr>
                <w:rFonts w:ascii="宋体" w:hAnsi="宋体" w:cs="Arial"/>
                <w:kern w:val="0"/>
                <w:szCs w:val="21"/>
              </w:rPr>
            </w:pPr>
            <w:r>
              <w:rPr>
                <w:rFonts w:hint="eastAsia" w:ascii="宋体" w:hAnsi="宋体" w:cs="Arial"/>
                <w:kern w:val="0"/>
                <w:szCs w:val="21"/>
              </w:rPr>
              <w:t>1</w:t>
            </w:r>
          </w:p>
        </w:tc>
        <w:tc>
          <w:tcPr>
            <w:tcW w:w="4695" w:type="pct"/>
            <w:tcMar>
              <w:top w:w="0" w:type="dxa"/>
              <w:left w:w="28" w:type="dxa"/>
              <w:bottom w:w="0" w:type="dxa"/>
              <w:right w:w="28" w:type="dxa"/>
            </w:tcMar>
            <w:vAlign w:val="center"/>
          </w:tcPr>
          <w:p w14:paraId="0DC245EE">
            <w:pPr>
              <w:widowControl/>
              <w:shd w:val="clear" w:color="auto" w:fill="FFFFFF"/>
              <w:snapToGrid w:val="0"/>
              <w:jc w:val="left"/>
              <w:rPr>
                <w:rFonts w:ascii="宋体" w:hAnsi="宋体" w:cs="Arial"/>
                <w:kern w:val="0"/>
                <w:szCs w:val="21"/>
              </w:rPr>
            </w:pPr>
            <w:r>
              <w:rPr>
                <w:rFonts w:hint="eastAsia" w:ascii="宋体" w:hAnsi="宋体" w:cs="Arial"/>
                <w:kern w:val="0"/>
                <w:szCs w:val="21"/>
              </w:rPr>
              <w:t>供应商须符合《中华人民共和国政府采购法》第二十二条款的规定；具有有效的营业执照；具有独立订立合同的权利，能独立承担民事责任的能力；</w:t>
            </w:r>
          </w:p>
        </w:tc>
      </w:tr>
      <w:tr w14:paraId="401FBB3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421" w:hRule="atLeast"/>
          <w:jc w:val="center"/>
        </w:trPr>
        <w:tc>
          <w:tcPr>
            <w:tcW w:w="304" w:type="pct"/>
            <w:tcMar>
              <w:top w:w="0" w:type="dxa"/>
              <w:left w:w="28" w:type="dxa"/>
              <w:bottom w:w="0" w:type="dxa"/>
              <w:right w:w="28" w:type="dxa"/>
            </w:tcMar>
            <w:vAlign w:val="center"/>
          </w:tcPr>
          <w:p w14:paraId="3C1141CD">
            <w:pPr>
              <w:widowControl/>
              <w:shd w:val="clear" w:color="auto" w:fill="FFFFFF"/>
              <w:snapToGrid w:val="0"/>
              <w:jc w:val="center"/>
              <w:rPr>
                <w:rFonts w:ascii="宋体" w:hAnsi="宋体" w:cs="Arial"/>
                <w:kern w:val="0"/>
                <w:szCs w:val="21"/>
              </w:rPr>
            </w:pPr>
            <w:r>
              <w:rPr>
                <w:rFonts w:hint="eastAsia" w:ascii="宋体" w:hAnsi="宋体" w:cs="Arial"/>
                <w:kern w:val="0"/>
                <w:szCs w:val="21"/>
              </w:rPr>
              <w:t>2</w:t>
            </w:r>
          </w:p>
        </w:tc>
        <w:tc>
          <w:tcPr>
            <w:tcW w:w="4695" w:type="pct"/>
            <w:tcMar>
              <w:top w:w="0" w:type="dxa"/>
              <w:left w:w="28" w:type="dxa"/>
              <w:bottom w:w="0" w:type="dxa"/>
              <w:right w:w="28" w:type="dxa"/>
            </w:tcMar>
            <w:vAlign w:val="center"/>
          </w:tcPr>
          <w:p w14:paraId="63EFB370">
            <w:pPr>
              <w:widowControl/>
              <w:shd w:val="clear" w:color="auto" w:fill="FFFFFF"/>
              <w:snapToGrid w:val="0"/>
              <w:jc w:val="left"/>
              <w:rPr>
                <w:rFonts w:ascii="宋体" w:hAnsi="宋体" w:cs="Arial"/>
                <w:kern w:val="0"/>
                <w:szCs w:val="21"/>
              </w:rPr>
            </w:pPr>
            <w:r>
              <w:rPr>
                <w:rFonts w:hint="eastAsia" w:ascii="宋体" w:hAnsi="宋体" w:cs="Arial"/>
                <w:kern w:val="0"/>
                <w:szCs w:val="21"/>
              </w:rPr>
              <w:t>供应商须具备有效的资质证书，且具备：</w:t>
            </w:r>
            <w:r>
              <w:rPr>
                <w:rFonts w:hint="eastAsia" w:ascii="宋体" w:hAnsi="宋体" w:cs="Arial"/>
                <w:kern w:val="0"/>
                <w:szCs w:val="21"/>
                <w:lang w:eastAsia="zh-CN"/>
              </w:rPr>
              <w:t>[施工]施工总承包企业资质(电力工程)三级及以上或[施工]专业承包企业资质(输变电工程)三级及以上</w:t>
            </w:r>
            <w:r>
              <w:rPr>
                <w:rFonts w:hint="eastAsia" w:ascii="宋体" w:hAnsi="宋体" w:cs="Arial"/>
                <w:kern w:val="0"/>
                <w:szCs w:val="21"/>
              </w:rPr>
              <w:t>；</w:t>
            </w:r>
          </w:p>
        </w:tc>
      </w:tr>
      <w:tr w14:paraId="4F79C52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318" w:hRule="atLeast"/>
          <w:jc w:val="center"/>
        </w:trPr>
        <w:tc>
          <w:tcPr>
            <w:tcW w:w="304" w:type="pct"/>
            <w:tcMar>
              <w:top w:w="0" w:type="dxa"/>
              <w:left w:w="28" w:type="dxa"/>
              <w:bottom w:w="0" w:type="dxa"/>
              <w:right w:w="28" w:type="dxa"/>
            </w:tcMar>
            <w:vAlign w:val="center"/>
          </w:tcPr>
          <w:p w14:paraId="2C197D7F">
            <w:pPr>
              <w:widowControl/>
              <w:shd w:val="clear" w:color="auto" w:fill="FFFFFF"/>
              <w:snapToGrid w:val="0"/>
              <w:jc w:val="center"/>
              <w:rPr>
                <w:rFonts w:ascii="宋体" w:hAnsi="宋体" w:cs="Arial"/>
                <w:kern w:val="0"/>
                <w:szCs w:val="21"/>
              </w:rPr>
            </w:pPr>
            <w:r>
              <w:rPr>
                <w:rFonts w:hint="eastAsia" w:ascii="宋体" w:hAnsi="宋体" w:cs="Arial"/>
                <w:kern w:val="0"/>
                <w:szCs w:val="21"/>
              </w:rPr>
              <w:t>3</w:t>
            </w:r>
          </w:p>
        </w:tc>
        <w:tc>
          <w:tcPr>
            <w:tcW w:w="4695" w:type="pct"/>
            <w:tcMar>
              <w:top w:w="0" w:type="dxa"/>
              <w:left w:w="28" w:type="dxa"/>
              <w:bottom w:w="0" w:type="dxa"/>
              <w:right w:w="28" w:type="dxa"/>
            </w:tcMar>
            <w:vAlign w:val="center"/>
          </w:tcPr>
          <w:p w14:paraId="4BAE10A1">
            <w:pPr>
              <w:widowControl/>
              <w:shd w:val="clear" w:color="auto" w:fill="FFFFFF"/>
              <w:snapToGrid w:val="0"/>
              <w:jc w:val="left"/>
              <w:rPr>
                <w:rFonts w:ascii="宋体" w:hAnsi="宋体" w:cs="Arial"/>
                <w:kern w:val="0"/>
                <w:szCs w:val="21"/>
              </w:rPr>
            </w:pPr>
            <w:r>
              <w:rPr>
                <w:rFonts w:hint="eastAsia" w:ascii="宋体" w:hAnsi="宋体" w:cs="Arial"/>
                <w:kern w:val="0"/>
                <w:szCs w:val="21"/>
              </w:rPr>
              <w:t>供应商须具备有效的安全生产许可证；</w:t>
            </w:r>
          </w:p>
        </w:tc>
      </w:tr>
      <w:tr w14:paraId="09AE44D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388" w:hRule="atLeast"/>
          <w:jc w:val="center"/>
        </w:trPr>
        <w:tc>
          <w:tcPr>
            <w:tcW w:w="304" w:type="pct"/>
            <w:tcMar>
              <w:top w:w="0" w:type="dxa"/>
              <w:left w:w="28" w:type="dxa"/>
              <w:bottom w:w="0" w:type="dxa"/>
              <w:right w:w="28" w:type="dxa"/>
            </w:tcMar>
            <w:vAlign w:val="center"/>
          </w:tcPr>
          <w:p w14:paraId="2F341ADB">
            <w:pPr>
              <w:widowControl/>
              <w:shd w:val="clear" w:color="auto" w:fill="FFFFFF"/>
              <w:snapToGrid w:val="0"/>
              <w:jc w:val="center"/>
              <w:rPr>
                <w:rFonts w:ascii="宋体" w:hAnsi="宋体" w:cs="Arial"/>
                <w:kern w:val="0"/>
                <w:szCs w:val="21"/>
              </w:rPr>
            </w:pPr>
            <w:r>
              <w:rPr>
                <w:rFonts w:hint="eastAsia" w:ascii="宋体" w:hAnsi="宋体" w:cs="Arial"/>
                <w:kern w:val="0"/>
                <w:szCs w:val="21"/>
              </w:rPr>
              <w:t>4</w:t>
            </w:r>
          </w:p>
        </w:tc>
        <w:tc>
          <w:tcPr>
            <w:tcW w:w="4695" w:type="pct"/>
            <w:tcMar>
              <w:top w:w="0" w:type="dxa"/>
              <w:left w:w="28" w:type="dxa"/>
              <w:bottom w:w="0" w:type="dxa"/>
              <w:right w:w="28" w:type="dxa"/>
            </w:tcMar>
            <w:vAlign w:val="center"/>
          </w:tcPr>
          <w:p w14:paraId="62466970">
            <w:pPr>
              <w:widowControl/>
              <w:shd w:val="clear" w:color="auto" w:fill="FFFFFF"/>
              <w:snapToGrid w:val="0"/>
              <w:jc w:val="left"/>
              <w:rPr>
                <w:rFonts w:ascii="宋体" w:hAnsi="宋体" w:cs="Arial"/>
                <w:kern w:val="0"/>
                <w:szCs w:val="21"/>
              </w:rPr>
            </w:pPr>
            <w:r>
              <w:rPr>
                <w:rFonts w:hint="eastAsia" w:ascii="宋体" w:hAnsi="宋体" w:cs="Arial"/>
                <w:kern w:val="0"/>
                <w:szCs w:val="21"/>
              </w:rPr>
              <w:t>供应商名称必须与营业执照、资质证书、安全生产许可证中的企业名称保持一致；</w:t>
            </w:r>
          </w:p>
        </w:tc>
      </w:tr>
      <w:tr w14:paraId="6B2F2A5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724" w:hRule="atLeast"/>
          <w:jc w:val="center"/>
        </w:trPr>
        <w:tc>
          <w:tcPr>
            <w:tcW w:w="304" w:type="pct"/>
            <w:tcMar>
              <w:top w:w="0" w:type="dxa"/>
              <w:left w:w="28" w:type="dxa"/>
              <w:bottom w:w="0" w:type="dxa"/>
              <w:right w:w="28" w:type="dxa"/>
            </w:tcMar>
            <w:vAlign w:val="center"/>
          </w:tcPr>
          <w:p w14:paraId="31B2782E">
            <w:pPr>
              <w:widowControl/>
              <w:shd w:val="clear" w:color="auto" w:fill="FFFFFF"/>
              <w:snapToGrid w:val="0"/>
              <w:jc w:val="center"/>
              <w:rPr>
                <w:rFonts w:ascii="宋体" w:hAnsi="宋体" w:cs="Arial"/>
                <w:kern w:val="0"/>
                <w:szCs w:val="21"/>
              </w:rPr>
            </w:pPr>
            <w:r>
              <w:rPr>
                <w:rFonts w:hint="eastAsia" w:ascii="宋体" w:hAnsi="宋体" w:cs="Arial"/>
                <w:kern w:val="0"/>
                <w:szCs w:val="21"/>
              </w:rPr>
              <w:t>5</w:t>
            </w:r>
          </w:p>
        </w:tc>
        <w:tc>
          <w:tcPr>
            <w:tcW w:w="4695" w:type="pct"/>
            <w:tcMar>
              <w:top w:w="0" w:type="dxa"/>
              <w:left w:w="28" w:type="dxa"/>
              <w:bottom w:w="0" w:type="dxa"/>
              <w:right w:w="28" w:type="dxa"/>
            </w:tcMar>
            <w:vAlign w:val="center"/>
          </w:tcPr>
          <w:p w14:paraId="60BC25B5">
            <w:pPr>
              <w:widowControl/>
              <w:shd w:val="clear" w:color="auto" w:fill="FFFFFF"/>
              <w:snapToGrid w:val="0"/>
              <w:jc w:val="left"/>
              <w:rPr>
                <w:rFonts w:ascii="宋体" w:hAnsi="宋体" w:cs="Arial"/>
                <w:kern w:val="0"/>
                <w:szCs w:val="21"/>
              </w:rPr>
            </w:pPr>
            <w:r>
              <w:rPr>
                <w:rFonts w:hint="eastAsia" w:ascii="宋体" w:hAnsi="宋体" w:cs="Arial"/>
                <w:kern w:val="0"/>
                <w:szCs w:val="21"/>
              </w:rPr>
              <w:t>供应商所报项目负责人须具备二级及以上</w:t>
            </w:r>
            <w:r>
              <w:rPr>
                <w:rFonts w:hint="eastAsia" w:ascii="宋体" w:hAnsi="宋体" w:cs="Arial"/>
                <w:kern w:val="0"/>
                <w:szCs w:val="21"/>
                <w:lang w:eastAsia="zh-CN"/>
              </w:rPr>
              <w:t>注册建造师（机电工程专业）</w:t>
            </w:r>
            <w:r>
              <w:rPr>
                <w:rFonts w:hint="eastAsia" w:ascii="宋体" w:hAnsi="宋体" w:cs="Arial"/>
                <w:kern w:val="0"/>
                <w:szCs w:val="21"/>
              </w:rPr>
              <w:t>、</w:t>
            </w:r>
            <w:r>
              <w:rPr>
                <w:rFonts w:hint="eastAsia" w:ascii="宋体" w:hAnsi="宋体" w:cs="Arial"/>
                <w:kern w:val="0"/>
                <w:szCs w:val="21"/>
                <w:highlight w:val="none"/>
              </w:rPr>
              <w:t>安全生产考核证B类（须合格有效），</w:t>
            </w:r>
            <w:r>
              <w:rPr>
                <w:rFonts w:hint="eastAsia" w:ascii="宋体" w:hAnsi="宋体" w:cs="Arial"/>
                <w:kern w:val="0"/>
                <w:szCs w:val="21"/>
              </w:rPr>
              <w:t>未担任其他在建项目的项目负责人，本单位注册，且在有效期内,不接受临时注册建造师；</w:t>
            </w:r>
          </w:p>
        </w:tc>
      </w:tr>
      <w:tr w14:paraId="500B783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558" w:hRule="atLeast"/>
          <w:jc w:val="center"/>
        </w:trPr>
        <w:tc>
          <w:tcPr>
            <w:tcW w:w="304" w:type="pct"/>
            <w:tcMar>
              <w:top w:w="0" w:type="dxa"/>
              <w:left w:w="28" w:type="dxa"/>
              <w:bottom w:w="0" w:type="dxa"/>
              <w:right w:w="28" w:type="dxa"/>
            </w:tcMar>
            <w:vAlign w:val="center"/>
          </w:tcPr>
          <w:p w14:paraId="0EA6B61F">
            <w:pPr>
              <w:widowControl/>
              <w:shd w:val="clear" w:color="auto" w:fill="FFFFFF"/>
              <w:snapToGrid w:val="0"/>
              <w:jc w:val="center"/>
              <w:rPr>
                <w:rFonts w:ascii="宋体" w:hAnsi="宋体" w:cs="Arial"/>
                <w:kern w:val="0"/>
                <w:szCs w:val="21"/>
              </w:rPr>
            </w:pPr>
            <w:r>
              <w:rPr>
                <w:rFonts w:hint="eastAsia" w:ascii="宋体" w:hAnsi="宋体" w:cs="Arial"/>
                <w:kern w:val="0"/>
                <w:szCs w:val="21"/>
              </w:rPr>
              <w:t>6</w:t>
            </w:r>
          </w:p>
        </w:tc>
        <w:tc>
          <w:tcPr>
            <w:tcW w:w="4695" w:type="pct"/>
            <w:tcMar>
              <w:top w:w="0" w:type="dxa"/>
              <w:left w:w="28" w:type="dxa"/>
              <w:bottom w:w="0" w:type="dxa"/>
              <w:right w:w="28" w:type="dxa"/>
            </w:tcMar>
            <w:vAlign w:val="center"/>
          </w:tcPr>
          <w:p w14:paraId="6C6307FF">
            <w:pPr>
              <w:widowControl/>
              <w:shd w:val="clear" w:color="auto" w:fill="FFFFFF"/>
              <w:snapToGrid w:val="0"/>
              <w:jc w:val="left"/>
              <w:rPr>
                <w:rFonts w:ascii="宋体" w:hAnsi="宋体" w:cs="Arial"/>
                <w:kern w:val="0"/>
                <w:szCs w:val="21"/>
              </w:rPr>
            </w:pPr>
            <w:r>
              <w:rPr>
                <w:rFonts w:hint="eastAsia" w:ascii="宋体" w:hAnsi="宋体" w:cs="Arial"/>
                <w:kern w:val="0"/>
                <w:szCs w:val="21"/>
              </w:rPr>
              <w:t>供应商须是在“信用中国”（www.creditchina.gov.cn）和中国政府采购网（www.ccgp.gov.cn）网站上未被列入失信被执行人、重大税收违法案件当事人名单以及政府采购严重违法失信行为记录名单；</w:t>
            </w:r>
            <w:r>
              <w:rPr>
                <w:rFonts w:ascii="宋体" w:hAnsi="宋体" w:cs="Arial"/>
                <w:kern w:val="0"/>
                <w:szCs w:val="21"/>
              </w:rPr>
              <w:t xml:space="preserve"> </w:t>
            </w:r>
          </w:p>
        </w:tc>
      </w:tr>
      <w:tr w14:paraId="3EF777D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558" w:hRule="atLeast"/>
          <w:jc w:val="center"/>
        </w:trPr>
        <w:tc>
          <w:tcPr>
            <w:tcW w:w="304" w:type="pct"/>
            <w:tcMar>
              <w:top w:w="0" w:type="dxa"/>
              <w:left w:w="28" w:type="dxa"/>
              <w:bottom w:w="0" w:type="dxa"/>
              <w:right w:w="28" w:type="dxa"/>
            </w:tcMar>
            <w:vAlign w:val="center"/>
          </w:tcPr>
          <w:p w14:paraId="60461BA3">
            <w:pPr>
              <w:widowControl/>
              <w:shd w:val="clear" w:color="auto" w:fill="FFFFFF"/>
              <w:snapToGrid w:val="0"/>
              <w:jc w:val="center"/>
              <w:rPr>
                <w:rFonts w:ascii="宋体" w:hAnsi="宋体" w:cs="Arial"/>
                <w:kern w:val="0"/>
                <w:szCs w:val="21"/>
              </w:rPr>
            </w:pPr>
            <w:r>
              <w:rPr>
                <w:rFonts w:hint="eastAsia" w:ascii="宋体" w:hAnsi="宋体" w:cs="Arial"/>
                <w:kern w:val="0"/>
                <w:szCs w:val="21"/>
              </w:rPr>
              <w:t>7</w:t>
            </w:r>
          </w:p>
        </w:tc>
        <w:tc>
          <w:tcPr>
            <w:tcW w:w="4695" w:type="pct"/>
            <w:tcMar>
              <w:top w:w="0" w:type="dxa"/>
              <w:left w:w="28" w:type="dxa"/>
              <w:bottom w:w="0" w:type="dxa"/>
              <w:right w:w="28" w:type="dxa"/>
            </w:tcMar>
            <w:vAlign w:val="center"/>
          </w:tcPr>
          <w:p w14:paraId="1820A848">
            <w:pPr>
              <w:widowControl/>
              <w:shd w:val="clear" w:color="auto" w:fill="FFFFFF"/>
              <w:snapToGrid w:val="0"/>
              <w:jc w:val="left"/>
              <w:rPr>
                <w:rFonts w:ascii="宋体" w:hAnsi="宋体" w:cs="Arial"/>
                <w:kern w:val="0"/>
                <w:szCs w:val="21"/>
              </w:rPr>
            </w:pPr>
            <w:r>
              <w:rPr>
                <w:rFonts w:hint="eastAsia" w:ascii="宋体" w:hAnsi="宋体" w:cs="Arial"/>
                <w:kern w:val="0"/>
                <w:szCs w:val="21"/>
              </w:rPr>
              <w:t>供应商如在中国裁判文书网（http://wenshu.court.gov.cn）有行贿犯罪记录的（尚在处罚期内的），将被拒绝参加本次采购活动；</w:t>
            </w:r>
          </w:p>
        </w:tc>
      </w:tr>
      <w:tr w14:paraId="4FEE0E7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371" w:hRule="atLeast"/>
          <w:jc w:val="center"/>
        </w:trPr>
        <w:tc>
          <w:tcPr>
            <w:tcW w:w="304" w:type="pct"/>
            <w:tcMar>
              <w:top w:w="0" w:type="dxa"/>
              <w:left w:w="28" w:type="dxa"/>
              <w:bottom w:w="0" w:type="dxa"/>
              <w:right w:w="28" w:type="dxa"/>
            </w:tcMar>
            <w:vAlign w:val="center"/>
          </w:tcPr>
          <w:p w14:paraId="732196A2">
            <w:pPr>
              <w:widowControl/>
              <w:shd w:val="clear" w:color="auto" w:fill="FFFFFF"/>
              <w:snapToGrid w:val="0"/>
              <w:jc w:val="center"/>
              <w:rPr>
                <w:rFonts w:ascii="宋体" w:hAnsi="宋体" w:cs="Arial"/>
                <w:kern w:val="0"/>
                <w:szCs w:val="21"/>
              </w:rPr>
            </w:pPr>
            <w:r>
              <w:rPr>
                <w:rFonts w:hint="eastAsia" w:ascii="宋体" w:hAnsi="宋体" w:cs="Arial"/>
                <w:kern w:val="0"/>
                <w:szCs w:val="21"/>
              </w:rPr>
              <w:t>8</w:t>
            </w:r>
          </w:p>
        </w:tc>
        <w:tc>
          <w:tcPr>
            <w:tcW w:w="4695" w:type="pct"/>
            <w:tcMar>
              <w:top w:w="0" w:type="dxa"/>
              <w:left w:w="28" w:type="dxa"/>
              <w:bottom w:w="0" w:type="dxa"/>
              <w:right w:w="28" w:type="dxa"/>
            </w:tcMar>
            <w:vAlign w:val="center"/>
          </w:tcPr>
          <w:p w14:paraId="012676DF">
            <w:pPr>
              <w:widowControl/>
              <w:shd w:val="clear" w:color="auto" w:fill="FFFFFF"/>
              <w:snapToGrid w:val="0"/>
              <w:jc w:val="left"/>
              <w:rPr>
                <w:rFonts w:ascii="宋体" w:hAnsi="宋体" w:cs="Arial"/>
                <w:kern w:val="0"/>
                <w:szCs w:val="21"/>
              </w:rPr>
            </w:pPr>
            <w:r>
              <w:rPr>
                <w:rFonts w:hint="eastAsia" w:ascii="宋体" w:hAnsi="宋体" w:cs="Arial"/>
                <w:kern w:val="0"/>
                <w:szCs w:val="21"/>
              </w:rPr>
              <w:t>供应商须提供《中小企业声明函》，本项目为专门面向小微企业（含小型、微型企业）。</w:t>
            </w:r>
          </w:p>
        </w:tc>
      </w:tr>
      <w:tr w14:paraId="43CB6F9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288" w:hRule="atLeast"/>
          <w:jc w:val="center"/>
        </w:trPr>
        <w:tc>
          <w:tcPr>
            <w:tcW w:w="304" w:type="pct"/>
            <w:tcMar>
              <w:top w:w="0" w:type="dxa"/>
              <w:left w:w="28" w:type="dxa"/>
              <w:bottom w:w="0" w:type="dxa"/>
              <w:right w:w="28" w:type="dxa"/>
            </w:tcMar>
            <w:vAlign w:val="center"/>
          </w:tcPr>
          <w:p w14:paraId="6F86591A">
            <w:pPr>
              <w:widowControl/>
              <w:shd w:val="clear" w:color="auto" w:fill="FFFFFF"/>
              <w:snapToGrid w:val="0"/>
              <w:jc w:val="center"/>
              <w:rPr>
                <w:rFonts w:ascii="宋体" w:hAnsi="宋体" w:cs="Arial"/>
                <w:kern w:val="0"/>
                <w:szCs w:val="21"/>
              </w:rPr>
            </w:pPr>
            <w:r>
              <w:rPr>
                <w:rFonts w:hint="eastAsia" w:ascii="宋体" w:hAnsi="宋体" w:cs="Arial"/>
                <w:kern w:val="0"/>
                <w:szCs w:val="21"/>
              </w:rPr>
              <w:t>9</w:t>
            </w:r>
          </w:p>
        </w:tc>
        <w:tc>
          <w:tcPr>
            <w:tcW w:w="4695" w:type="pct"/>
            <w:tcMar>
              <w:top w:w="0" w:type="dxa"/>
              <w:left w:w="28" w:type="dxa"/>
              <w:bottom w:w="0" w:type="dxa"/>
              <w:right w:w="28" w:type="dxa"/>
            </w:tcMar>
            <w:vAlign w:val="center"/>
          </w:tcPr>
          <w:p w14:paraId="21700A6E">
            <w:pPr>
              <w:widowControl/>
              <w:shd w:val="clear" w:color="auto" w:fill="FFFFFF"/>
              <w:snapToGrid w:val="0"/>
              <w:jc w:val="left"/>
              <w:rPr>
                <w:rFonts w:ascii="宋体" w:hAnsi="宋体" w:cs="Arial"/>
                <w:kern w:val="0"/>
                <w:szCs w:val="21"/>
              </w:rPr>
            </w:pPr>
            <w:r>
              <w:rPr>
                <w:rFonts w:ascii="宋体" w:hAnsi="宋体" w:cs="Arial"/>
                <w:kern w:val="0"/>
                <w:szCs w:val="21"/>
              </w:rPr>
              <w:t>其他说明：①与采购人存在利害关系可能影响招标公正性的法人、其他组织或者个人，不得参加投标。②</w:t>
            </w:r>
            <w:r>
              <w:rPr>
                <w:rFonts w:hint="eastAsia" w:ascii="宋体" w:hAnsi="宋体" w:cs="Arial"/>
                <w:kern w:val="0"/>
                <w:szCs w:val="21"/>
              </w:rPr>
              <w:t>单位负责人为同一人或者存在控股、管理关系的不同供应商，不得参加同一合同项下的政府采购活动。</w:t>
            </w:r>
            <w:r>
              <w:rPr>
                <w:rFonts w:ascii="宋体" w:hAnsi="宋体" w:cs="Arial"/>
                <w:kern w:val="0"/>
                <w:szCs w:val="21"/>
              </w:rPr>
              <w:t>违反前两款规定的，相关投标均无效。</w:t>
            </w:r>
          </w:p>
        </w:tc>
      </w:tr>
      <w:tr w14:paraId="6B8BBEF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221" w:hRule="atLeast"/>
          <w:jc w:val="center"/>
        </w:trPr>
        <w:tc>
          <w:tcPr>
            <w:tcW w:w="304" w:type="pct"/>
            <w:tcMar>
              <w:top w:w="0" w:type="dxa"/>
              <w:left w:w="28" w:type="dxa"/>
              <w:bottom w:w="0" w:type="dxa"/>
              <w:right w:w="28" w:type="dxa"/>
            </w:tcMar>
            <w:vAlign w:val="center"/>
          </w:tcPr>
          <w:p w14:paraId="3019E069">
            <w:pPr>
              <w:widowControl/>
              <w:shd w:val="clear" w:color="auto" w:fill="FFFFFF"/>
              <w:snapToGrid w:val="0"/>
              <w:jc w:val="center"/>
              <w:rPr>
                <w:rFonts w:ascii="宋体" w:hAnsi="宋体" w:cs="Arial"/>
                <w:kern w:val="0"/>
                <w:szCs w:val="21"/>
              </w:rPr>
            </w:pPr>
            <w:r>
              <w:rPr>
                <w:rFonts w:hint="eastAsia" w:ascii="宋体" w:hAnsi="宋体" w:cs="Arial"/>
                <w:kern w:val="0"/>
                <w:szCs w:val="21"/>
              </w:rPr>
              <w:t>10</w:t>
            </w:r>
          </w:p>
        </w:tc>
        <w:tc>
          <w:tcPr>
            <w:tcW w:w="4695" w:type="pct"/>
            <w:tcMar>
              <w:top w:w="0" w:type="dxa"/>
              <w:left w:w="28" w:type="dxa"/>
              <w:bottom w:w="0" w:type="dxa"/>
              <w:right w:w="28" w:type="dxa"/>
            </w:tcMar>
            <w:vAlign w:val="center"/>
          </w:tcPr>
          <w:p w14:paraId="30D07CDD">
            <w:pPr>
              <w:jc w:val="left"/>
              <w:rPr>
                <w:rFonts w:ascii="宋体" w:hAnsi="宋体" w:cs="Arial"/>
                <w:kern w:val="0"/>
                <w:szCs w:val="21"/>
              </w:rPr>
            </w:pPr>
            <w:r>
              <w:rPr>
                <w:rFonts w:hint="eastAsia" w:ascii="宋体" w:hAnsi="宋体" w:cs="Arial"/>
                <w:kern w:val="0"/>
                <w:szCs w:val="21"/>
              </w:rPr>
              <w:t>供应商应按照供应商须知前附表规定递交磋商保证金。</w:t>
            </w:r>
          </w:p>
        </w:tc>
      </w:tr>
      <w:tr w14:paraId="63E97DE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cantSplit/>
          <w:trHeight w:val="924" w:hRule="atLeast"/>
          <w:jc w:val="center"/>
        </w:trPr>
        <w:tc>
          <w:tcPr>
            <w:tcW w:w="5000" w:type="pct"/>
            <w:gridSpan w:val="2"/>
            <w:tcMar>
              <w:top w:w="0" w:type="dxa"/>
              <w:left w:w="28" w:type="dxa"/>
              <w:bottom w:w="0" w:type="dxa"/>
              <w:right w:w="28" w:type="dxa"/>
            </w:tcMar>
            <w:vAlign w:val="center"/>
          </w:tcPr>
          <w:p w14:paraId="4DC19BCB">
            <w:pPr>
              <w:widowControl/>
              <w:shd w:val="clear" w:color="auto" w:fill="FFFFFF"/>
              <w:snapToGrid w:val="0"/>
              <w:jc w:val="left"/>
              <w:rPr>
                <w:rFonts w:ascii="宋体" w:hAnsi="宋体" w:cs="Arial"/>
                <w:kern w:val="0"/>
                <w:szCs w:val="21"/>
              </w:rPr>
            </w:pPr>
            <w:r>
              <w:rPr>
                <w:rFonts w:hint="eastAsia" w:ascii="宋体" w:hAnsi="宋体" w:cs="Arial"/>
                <w:kern w:val="0"/>
                <w:szCs w:val="21"/>
              </w:rPr>
              <w:t>备注：1、如果资格评审中有一项不满足审查标准的，资格审查小组将认定该供应商不通过资格审查，不得进入下一阶段评审。并且不允许供应商通过修改或撤销其不符合要求的差异或保留，使之成为具有响应性的投标。</w:t>
            </w:r>
          </w:p>
        </w:tc>
      </w:tr>
    </w:tbl>
    <w:p w14:paraId="2F138AD9">
      <w:pPr>
        <w:tabs>
          <w:tab w:val="center" w:pos="4832"/>
          <w:tab w:val="left" w:pos="7140"/>
        </w:tabs>
        <w:spacing w:line="360" w:lineRule="auto"/>
        <w:jc w:val="center"/>
        <w:outlineLvl w:val="9"/>
        <w:rPr>
          <w:rFonts w:ascii="宋体" w:hAnsi="宋体" w:cs="宋体"/>
          <w:b/>
          <w:szCs w:val="21"/>
        </w:rPr>
      </w:pPr>
    </w:p>
    <w:p w14:paraId="602D21D5">
      <w:pPr>
        <w:widowControl/>
        <w:jc w:val="center"/>
        <w:outlineLvl w:val="1"/>
        <w:rPr>
          <w:rFonts w:ascii="宋体" w:hAnsi="宋体" w:cs="宋体"/>
          <w:b/>
          <w:szCs w:val="21"/>
        </w:rPr>
      </w:pPr>
      <w:bookmarkStart w:id="97" w:name="_Toc17505"/>
      <w:r>
        <w:rPr>
          <w:rFonts w:hint="eastAsia" w:ascii="宋体" w:hAnsi="宋体" w:cs="宋体"/>
          <w:b/>
          <w:szCs w:val="21"/>
        </w:rPr>
        <w:t>响应文件完备性及符合性审查标准</w:t>
      </w:r>
      <w:bookmarkEnd w:id="97"/>
    </w:p>
    <w:tbl>
      <w:tblPr>
        <w:tblStyle w:val="47"/>
        <w:tblW w:w="4999" w:type="pct"/>
        <w:jc w:val="center"/>
        <w:tblLayout w:type="autofit"/>
        <w:tblCellMar>
          <w:top w:w="0" w:type="dxa"/>
          <w:left w:w="0" w:type="dxa"/>
          <w:bottom w:w="0" w:type="dxa"/>
          <w:right w:w="0" w:type="dxa"/>
        </w:tblCellMar>
      </w:tblPr>
      <w:tblGrid>
        <w:gridCol w:w="585"/>
        <w:gridCol w:w="9130"/>
      </w:tblGrid>
      <w:tr w14:paraId="6991FD62">
        <w:tblPrEx>
          <w:tblCellMar>
            <w:top w:w="0" w:type="dxa"/>
            <w:left w:w="0" w:type="dxa"/>
            <w:bottom w:w="0" w:type="dxa"/>
            <w:right w:w="0" w:type="dxa"/>
          </w:tblCellMar>
        </w:tblPrEx>
        <w:trPr>
          <w:cantSplit/>
          <w:trHeight w:val="329" w:hRule="atLeast"/>
          <w:jc w:val="center"/>
        </w:trPr>
        <w:tc>
          <w:tcPr>
            <w:tcW w:w="301" w:type="pct"/>
            <w:tcBorders>
              <w:top w:val="single" w:color="auto" w:sz="8" w:space="0"/>
              <w:left w:val="single" w:color="auto" w:sz="8" w:space="0"/>
              <w:bottom w:val="single" w:color="auto" w:sz="8" w:space="0"/>
              <w:right w:val="single" w:color="auto" w:sz="8" w:space="0"/>
            </w:tcBorders>
            <w:vAlign w:val="center"/>
          </w:tcPr>
          <w:p w14:paraId="4B2062EB">
            <w:pPr>
              <w:widowControl/>
              <w:shd w:val="clear" w:color="auto" w:fill="FFFFFF"/>
              <w:snapToGrid w:val="0"/>
              <w:jc w:val="center"/>
              <w:rPr>
                <w:rFonts w:ascii="宋体" w:hAnsi="宋体" w:cs="Arial"/>
                <w:kern w:val="0"/>
                <w:szCs w:val="21"/>
              </w:rPr>
            </w:pPr>
            <w:r>
              <w:rPr>
                <w:rFonts w:hint="eastAsia" w:ascii="宋体" w:hAnsi="宋体" w:cs="Arial"/>
                <w:kern w:val="0"/>
                <w:szCs w:val="21"/>
              </w:rPr>
              <w:t>序号</w:t>
            </w:r>
          </w:p>
        </w:tc>
        <w:tc>
          <w:tcPr>
            <w:tcW w:w="4698" w:type="pct"/>
            <w:tcBorders>
              <w:top w:val="single" w:color="auto" w:sz="8" w:space="0"/>
              <w:left w:val="single" w:color="auto" w:sz="8" w:space="0"/>
              <w:bottom w:val="single" w:color="auto" w:sz="8" w:space="0"/>
              <w:right w:val="single" w:color="auto" w:sz="8" w:space="0"/>
            </w:tcBorders>
            <w:vAlign w:val="center"/>
          </w:tcPr>
          <w:p w14:paraId="731D7A92">
            <w:pPr>
              <w:widowControl/>
              <w:shd w:val="clear" w:color="auto" w:fill="FFFFFF"/>
              <w:snapToGrid w:val="0"/>
              <w:jc w:val="center"/>
              <w:rPr>
                <w:rFonts w:ascii="宋体" w:hAnsi="宋体" w:cs="Arial"/>
                <w:kern w:val="0"/>
                <w:szCs w:val="21"/>
              </w:rPr>
            </w:pPr>
            <w:r>
              <w:rPr>
                <w:rFonts w:hint="eastAsia" w:ascii="宋体" w:hAnsi="宋体" w:cs="Arial"/>
                <w:kern w:val="0"/>
                <w:szCs w:val="21"/>
              </w:rPr>
              <w:t>评审标准</w:t>
            </w:r>
          </w:p>
        </w:tc>
      </w:tr>
      <w:tr w14:paraId="5D01A83B">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7F8A50CE">
            <w:pPr>
              <w:widowControl/>
              <w:shd w:val="clear" w:color="auto" w:fill="FFFFFF"/>
              <w:snapToGrid w:val="0"/>
              <w:jc w:val="center"/>
              <w:rPr>
                <w:rFonts w:ascii="宋体" w:hAnsi="宋体" w:cs="Arial"/>
                <w:kern w:val="0"/>
                <w:szCs w:val="21"/>
              </w:rPr>
            </w:pPr>
            <w:r>
              <w:rPr>
                <w:rFonts w:hint="eastAsia" w:ascii="宋体" w:hAnsi="宋体" w:cs="Arial"/>
                <w:kern w:val="0"/>
                <w:szCs w:val="21"/>
              </w:rPr>
              <w:t>1</w:t>
            </w:r>
          </w:p>
        </w:tc>
        <w:tc>
          <w:tcPr>
            <w:tcW w:w="4698" w:type="pct"/>
            <w:tcBorders>
              <w:top w:val="nil"/>
              <w:left w:val="nil"/>
              <w:bottom w:val="single" w:color="auto" w:sz="8" w:space="0"/>
              <w:right w:val="single" w:color="auto" w:sz="8" w:space="0"/>
            </w:tcBorders>
            <w:tcMar>
              <w:top w:w="0" w:type="dxa"/>
              <w:left w:w="28" w:type="dxa"/>
              <w:bottom w:w="0" w:type="dxa"/>
              <w:right w:w="28" w:type="dxa"/>
            </w:tcMar>
          </w:tcPr>
          <w:p w14:paraId="7C03E7E9">
            <w:pPr>
              <w:autoSpaceDE w:val="0"/>
              <w:autoSpaceDN w:val="0"/>
              <w:adjustRightInd w:val="0"/>
              <w:jc w:val="left"/>
              <w:rPr>
                <w:rFonts w:cs="宋体" w:asciiTheme="minorEastAsia" w:hAnsiTheme="minorEastAsia"/>
                <w:kern w:val="0"/>
                <w:szCs w:val="21"/>
              </w:rPr>
            </w:pPr>
            <w:r>
              <w:rPr>
                <w:rFonts w:hint="eastAsia" w:cs="宋体" w:asciiTheme="minorEastAsia" w:hAnsiTheme="minorEastAsia"/>
                <w:kern w:val="0"/>
                <w:szCs w:val="21"/>
              </w:rPr>
              <w:t>凡竞争性磋商文件中要求盖章或签字处，是否按要求加盖单位公章、法定代表人或被授权委托人签字或盖章的。</w:t>
            </w:r>
          </w:p>
        </w:tc>
      </w:tr>
      <w:tr w14:paraId="62D0A777">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42286565">
            <w:pPr>
              <w:widowControl/>
              <w:shd w:val="clear" w:color="auto" w:fill="FFFFFF"/>
              <w:snapToGrid w:val="0"/>
              <w:jc w:val="center"/>
              <w:rPr>
                <w:rFonts w:ascii="宋体" w:hAnsi="宋体" w:cs="Arial"/>
                <w:kern w:val="0"/>
                <w:szCs w:val="21"/>
              </w:rPr>
            </w:pPr>
            <w:r>
              <w:rPr>
                <w:rFonts w:hint="eastAsia" w:ascii="宋体" w:hAnsi="宋体" w:cs="Arial"/>
                <w:kern w:val="0"/>
                <w:szCs w:val="21"/>
              </w:rPr>
              <w:t>2</w:t>
            </w:r>
          </w:p>
        </w:tc>
        <w:tc>
          <w:tcPr>
            <w:tcW w:w="4698" w:type="pct"/>
            <w:tcBorders>
              <w:top w:val="nil"/>
              <w:left w:val="nil"/>
              <w:bottom w:val="single" w:color="auto" w:sz="8" w:space="0"/>
              <w:right w:val="single" w:color="auto" w:sz="8" w:space="0"/>
            </w:tcBorders>
            <w:tcMar>
              <w:top w:w="0" w:type="dxa"/>
              <w:left w:w="28" w:type="dxa"/>
              <w:bottom w:w="0" w:type="dxa"/>
              <w:right w:w="28" w:type="dxa"/>
            </w:tcMar>
          </w:tcPr>
          <w:p w14:paraId="05C4B511">
            <w:pPr>
              <w:autoSpaceDE w:val="0"/>
              <w:autoSpaceDN w:val="0"/>
              <w:adjustRightInd w:val="0"/>
              <w:jc w:val="left"/>
              <w:rPr>
                <w:rFonts w:cs="宋体" w:asciiTheme="minorEastAsia" w:hAnsiTheme="minorEastAsia"/>
                <w:kern w:val="0"/>
                <w:szCs w:val="21"/>
              </w:rPr>
            </w:pPr>
            <w:r>
              <w:rPr>
                <w:rFonts w:hint="eastAsia" w:cs="宋体" w:asciiTheme="minorEastAsia" w:hAnsiTheme="minorEastAsia"/>
                <w:kern w:val="0"/>
                <w:szCs w:val="21"/>
              </w:rPr>
              <w:t>响应文件组成齐全完整，内容均按规定填写；响应文件的关键内容无字迹模糊、无法辨认的。</w:t>
            </w:r>
          </w:p>
        </w:tc>
      </w:tr>
      <w:tr w14:paraId="0EF9A979">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08E90404">
            <w:pPr>
              <w:widowControl/>
              <w:shd w:val="clear" w:color="auto" w:fill="FFFFFF"/>
              <w:snapToGrid w:val="0"/>
              <w:jc w:val="center"/>
              <w:rPr>
                <w:rFonts w:ascii="宋体" w:hAnsi="宋体" w:cs="Arial"/>
                <w:kern w:val="0"/>
                <w:szCs w:val="21"/>
              </w:rPr>
            </w:pPr>
            <w:r>
              <w:rPr>
                <w:rFonts w:hint="eastAsia" w:ascii="宋体" w:hAnsi="宋体" w:cs="Arial"/>
                <w:kern w:val="0"/>
                <w:szCs w:val="21"/>
              </w:rPr>
              <w:t>3</w:t>
            </w:r>
          </w:p>
        </w:tc>
        <w:tc>
          <w:tcPr>
            <w:tcW w:w="4698" w:type="pct"/>
            <w:tcBorders>
              <w:top w:val="nil"/>
              <w:left w:val="nil"/>
              <w:bottom w:val="single" w:color="auto" w:sz="8" w:space="0"/>
              <w:right w:val="single" w:color="auto" w:sz="8" w:space="0"/>
            </w:tcBorders>
            <w:tcMar>
              <w:top w:w="0" w:type="dxa"/>
              <w:left w:w="28" w:type="dxa"/>
              <w:bottom w:w="0" w:type="dxa"/>
              <w:right w:w="28" w:type="dxa"/>
            </w:tcMar>
          </w:tcPr>
          <w:p w14:paraId="10F91DF1">
            <w:pPr>
              <w:autoSpaceDE w:val="0"/>
              <w:autoSpaceDN w:val="0"/>
              <w:adjustRightInd w:val="0"/>
              <w:jc w:val="left"/>
              <w:rPr>
                <w:rFonts w:cs="宋体" w:asciiTheme="minorEastAsia" w:hAnsiTheme="minorEastAsia"/>
                <w:kern w:val="0"/>
                <w:szCs w:val="21"/>
              </w:rPr>
            </w:pPr>
            <w:r>
              <w:rPr>
                <w:rFonts w:hint="eastAsia" w:cs="宋体" w:asciiTheme="minorEastAsia" w:hAnsiTheme="minorEastAsia"/>
                <w:kern w:val="0"/>
                <w:szCs w:val="21"/>
              </w:rPr>
              <w:t>响应文件是否实质上响应了竞争性磋商文件的要求。实质上响应的投标应该是与竞争性磋商文件要求的全部条款、条件等相符，没有重大偏离或保留的投标。</w:t>
            </w:r>
          </w:p>
        </w:tc>
      </w:tr>
      <w:tr w14:paraId="2AD55957">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0980BB1C">
            <w:pPr>
              <w:widowControl/>
              <w:shd w:val="clear" w:color="auto" w:fill="FFFFFF"/>
              <w:snapToGrid w:val="0"/>
              <w:jc w:val="center"/>
              <w:rPr>
                <w:rFonts w:ascii="宋体" w:hAnsi="宋体" w:cs="Arial"/>
                <w:kern w:val="0"/>
                <w:szCs w:val="21"/>
              </w:rPr>
            </w:pPr>
            <w:r>
              <w:rPr>
                <w:rFonts w:hint="eastAsia" w:ascii="宋体" w:hAnsi="宋体" w:cs="Arial"/>
                <w:kern w:val="0"/>
                <w:szCs w:val="21"/>
              </w:rPr>
              <w:t>4</w:t>
            </w:r>
          </w:p>
        </w:tc>
        <w:tc>
          <w:tcPr>
            <w:tcW w:w="4698" w:type="pct"/>
            <w:tcBorders>
              <w:top w:val="nil"/>
              <w:left w:val="nil"/>
              <w:bottom w:val="single" w:color="auto" w:sz="8" w:space="0"/>
              <w:right w:val="single" w:color="auto" w:sz="8" w:space="0"/>
            </w:tcBorders>
            <w:tcMar>
              <w:top w:w="0" w:type="dxa"/>
              <w:left w:w="28" w:type="dxa"/>
              <w:bottom w:w="0" w:type="dxa"/>
              <w:right w:w="28" w:type="dxa"/>
            </w:tcMar>
            <w:vAlign w:val="center"/>
          </w:tcPr>
          <w:p w14:paraId="1E4F8C0C">
            <w:pPr>
              <w:rPr>
                <w:rFonts w:ascii="宋体" w:hAnsi="宋体"/>
                <w:bCs/>
                <w:szCs w:val="21"/>
              </w:rPr>
            </w:pPr>
            <w:r>
              <w:rPr>
                <w:rFonts w:hint="eastAsia" w:ascii="宋体" w:hAnsi="宋体"/>
                <w:bCs/>
                <w:szCs w:val="21"/>
              </w:rPr>
              <w:t>投标承诺书中所报工期、质量标准必须要满足竞争性磋商文件规定。</w:t>
            </w:r>
          </w:p>
        </w:tc>
      </w:tr>
      <w:tr w14:paraId="5C44674E">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4861A92A">
            <w:pPr>
              <w:widowControl/>
              <w:shd w:val="clear" w:color="auto" w:fill="FFFFFF"/>
              <w:snapToGrid w:val="0"/>
              <w:jc w:val="center"/>
              <w:rPr>
                <w:rFonts w:ascii="宋体" w:hAnsi="宋体" w:cs="Arial"/>
                <w:kern w:val="0"/>
                <w:szCs w:val="21"/>
              </w:rPr>
            </w:pPr>
            <w:r>
              <w:rPr>
                <w:rFonts w:hint="eastAsia" w:ascii="宋体" w:hAnsi="宋体" w:cs="Arial"/>
                <w:kern w:val="0"/>
                <w:szCs w:val="21"/>
              </w:rPr>
              <w:t>5</w:t>
            </w:r>
          </w:p>
        </w:tc>
        <w:tc>
          <w:tcPr>
            <w:tcW w:w="4698" w:type="pct"/>
            <w:tcBorders>
              <w:top w:val="nil"/>
              <w:left w:val="nil"/>
              <w:bottom w:val="single" w:color="auto" w:sz="8" w:space="0"/>
              <w:right w:val="single" w:color="auto" w:sz="8" w:space="0"/>
            </w:tcBorders>
            <w:tcMar>
              <w:top w:w="0" w:type="dxa"/>
              <w:left w:w="28" w:type="dxa"/>
              <w:bottom w:w="0" w:type="dxa"/>
              <w:right w:w="28" w:type="dxa"/>
            </w:tcMar>
            <w:vAlign w:val="center"/>
          </w:tcPr>
          <w:p w14:paraId="621FCD47">
            <w:pPr>
              <w:rPr>
                <w:rFonts w:ascii="宋体" w:hAnsi="宋体"/>
                <w:bCs/>
                <w:szCs w:val="21"/>
              </w:rPr>
            </w:pPr>
            <w:r>
              <w:rPr>
                <w:rFonts w:hint="eastAsia" w:ascii="宋体" w:hAnsi="宋体"/>
                <w:bCs/>
                <w:szCs w:val="21"/>
              </w:rPr>
              <w:t>项目负责人简历表必须提供，且符合竞争性磋商文件要求。</w:t>
            </w:r>
          </w:p>
        </w:tc>
      </w:tr>
      <w:tr w14:paraId="1498F9F0">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7ED0DE8C">
            <w:pPr>
              <w:widowControl/>
              <w:shd w:val="clear" w:color="auto" w:fill="FFFFFF"/>
              <w:snapToGrid w:val="0"/>
              <w:jc w:val="center"/>
              <w:rPr>
                <w:rFonts w:ascii="宋体" w:hAnsi="宋体" w:cs="Arial"/>
                <w:kern w:val="0"/>
                <w:szCs w:val="21"/>
              </w:rPr>
            </w:pPr>
            <w:r>
              <w:rPr>
                <w:rFonts w:hint="eastAsia" w:ascii="宋体" w:hAnsi="宋体" w:cs="Arial"/>
                <w:kern w:val="0"/>
                <w:szCs w:val="21"/>
              </w:rPr>
              <w:t>6</w:t>
            </w:r>
          </w:p>
        </w:tc>
        <w:tc>
          <w:tcPr>
            <w:tcW w:w="4698" w:type="pct"/>
            <w:tcBorders>
              <w:top w:val="nil"/>
              <w:left w:val="nil"/>
              <w:bottom w:val="single" w:color="auto" w:sz="8" w:space="0"/>
              <w:right w:val="single" w:color="auto" w:sz="8" w:space="0"/>
            </w:tcBorders>
            <w:tcMar>
              <w:top w:w="0" w:type="dxa"/>
              <w:left w:w="28" w:type="dxa"/>
              <w:bottom w:w="0" w:type="dxa"/>
              <w:right w:w="28" w:type="dxa"/>
            </w:tcMar>
            <w:vAlign w:val="center"/>
          </w:tcPr>
          <w:p w14:paraId="16C06556">
            <w:pPr>
              <w:rPr>
                <w:rFonts w:ascii="宋体" w:hAnsi="宋体"/>
                <w:szCs w:val="21"/>
              </w:rPr>
            </w:pPr>
            <w:r>
              <w:rPr>
                <w:rFonts w:hint="eastAsia" w:ascii="宋体" w:hAnsi="宋体"/>
                <w:szCs w:val="21"/>
              </w:rPr>
              <w:t>项目管理人员表必须</w:t>
            </w:r>
            <w:r>
              <w:rPr>
                <w:rFonts w:hint="eastAsia" w:ascii="宋体" w:hAnsi="宋体"/>
                <w:bCs/>
                <w:szCs w:val="21"/>
              </w:rPr>
              <w:t>提供。</w:t>
            </w:r>
          </w:p>
        </w:tc>
      </w:tr>
      <w:tr w14:paraId="28DCFF88">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0DC3CCDB">
            <w:pPr>
              <w:widowControl/>
              <w:shd w:val="clear" w:color="auto" w:fill="FFFFFF"/>
              <w:snapToGrid w:val="0"/>
              <w:jc w:val="center"/>
              <w:rPr>
                <w:rFonts w:ascii="宋体" w:hAnsi="宋体" w:cs="Arial"/>
                <w:kern w:val="0"/>
                <w:szCs w:val="21"/>
              </w:rPr>
            </w:pPr>
            <w:r>
              <w:rPr>
                <w:rFonts w:hint="eastAsia" w:ascii="宋体" w:hAnsi="宋体" w:cs="Arial"/>
                <w:kern w:val="0"/>
                <w:szCs w:val="21"/>
              </w:rPr>
              <w:t>7</w:t>
            </w:r>
          </w:p>
        </w:tc>
        <w:tc>
          <w:tcPr>
            <w:tcW w:w="4698" w:type="pct"/>
            <w:tcBorders>
              <w:top w:val="nil"/>
              <w:left w:val="nil"/>
              <w:bottom w:val="single" w:color="auto" w:sz="8" w:space="0"/>
              <w:right w:val="single" w:color="auto" w:sz="8" w:space="0"/>
            </w:tcBorders>
            <w:tcMar>
              <w:top w:w="0" w:type="dxa"/>
              <w:left w:w="28" w:type="dxa"/>
              <w:bottom w:w="0" w:type="dxa"/>
              <w:right w:w="28" w:type="dxa"/>
            </w:tcMar>
            <w:vAlign w:val="center"/>
          </w:tcPr>
          <w:p w14:paraId="426BF097">
            <w:pPr>
              <w:rPr>
                <w:rFonts w:ascii="宋体" w:hAnsi="宋体"/>
                <w:szCs w:val="21"/>
              </w:rPr>
            </w:pPr>
            <w:r>
              <w:rPr>
                <w:rFonts w:hint="eastAsia" w:ascii="宋体" w:hAnsi="宋体" w:cs="Arial"/>
                <w:kern w:val="0"/>
                <w:szCs w:val="21"/>
              </w:rPr>
              <w:t>每一个项目只允许有一个报价，任何有选择的报价将不予接受。</w:t>
            </w:r>
          </w:p>
        </w:tc>
      </w:tr>
      <w:tr w14:paraId="7B832B46">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23CE176F">
            <w:pPr>
              <w:widowControl/>
              <w:shd w:val="clear" w:color="auto" w:fill="FFFFFF"/>
              <w:snapToGrid w:val="0"/>
              <w:jc w:val="center"/>
              <w:rPr>
                <w:rFonts w:ascii="宋体" w:hAnsi="宋体" w:cs="Arial"/>
                <w:kern w:val="0"/>
                <w:szCs w:val="21"/>
              </w:rPr>
            </w:pPr>
            <w:r>
              <w:rPr>
                <w:rFonts w:hint="eastAsia" w:ascii="宋体" w:hAnsi="宋体" w:cs="Arial"/>
                <w:kern w:val="0"/>
                <w:szCs w:val="21"/>
              </w:rPr>
              <w:t>8</w:t>
            </w:r>
          </w:p>
        </w:tc>
        <w:tc>
          <w:tcPr>
            <w:tcW w:w="4698" w:type="pct"/>
            <w:tcBorders>
              <w:top w:val="nil"/>
              <w:left w:val="nil"/>
              <w:bottom w:val="single" w:color="auto" w:sz="8" w:space="0"/>
              <w:right w:val="single" w:color="auto" w:sz="8" w:space="0"/>
            </w:tcBorders>
            <w:tcMar>
              <w:top w:w="0" w:type="dxa"/>
              <w:left w:w="28" w:type="dxa"/>
              <w:bottom w:w="0" w:type="dxa"/>
              <w:right w:w="28" w:type="dxa"/>
            </w:tcMar>
            <w:vAlign w:val="center"/>
          </w:tcPr>
          <w:p w14:paraId="336B99EA">
            <w:pPr>
              <w:rPr>
                <w:rFonts w:ascii="宋体" w:hAnsi="宋体"/>
                <w:szCs w:val="21"/>
              </w:rPr>
            </w:pPr>
            <w:r>
              <w:rPr>
                <w:rFonts w:hint="eastAsia" w:ascii="宋体" w:hAnsi="宋体"/>
                <w:szCs w:val="21"/>
              </w:rPr>
              <w:t>投标报价</w:t>
            </w:r>
            <w:r>
              <w:rPr>
                <w:rFonts w:hint="eastAsia" w:ascii="宋体" w:hAnsi="宋体"/>
                <w:bCs/>
                <w:szCs w:val="21"/>
              </w:rPr>
              <w:t>总价</w:t>
            </w:r>
            <w:r>
              <w:rPr>
                <w:rFonts w:hint="eastAsia" w:ascii="宋体" w:hAnsi="宋体"/>
                <w:szCs w:val="21"/>
              </w:rPr>
              <w:t>不得超过供应商须知前附表中的采购最高限价。</w:t>
            </w:r>
          </w:p>
        </w:tc>
      </w:tr>
      <w:tr w14:paraId="4C0EE5EC">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09FAE41B">
            <w:pPr>
              <w:widowControl/>
              <w:shd w:val="clear" w:color="auto" w:fill="FFFFFF"/>
              <w:snapToGrid w:val="0"/>
              <w:jc w:val="center"/>
              <w:rPr>
                <w:rFonts w:ascii="宋体" w:hAnsi="宋体" w:cs="Arial"/>
                <w:kern w:val="0"/>
                <w:szCs w:val="21"/>
              </w:rPr>
            </w:pPr>
            <w:r>
              <w:rPr>
                <w:rFonts w:hint="eastAsia" w:ascii="宋体" w:hAnsi="宋体" w:cs="Arial"/>
                <w:kern w:val="0"/>
                <w:szCs w:val="21"/>
              </w:rPr>
              <w:t>9</w:t>
            </w:r>
          </w:p>
        </w:tc>
        <w:tc>
          <w:tcPr>
            <w:tcW w:w="4698" w:type="pct"/>
            <w:tcBorders>
              <w:top w:val="nil"/>
              <w:left w:val="nil"/>
              <w:bottom w:val="single" w:color="auto" w:sz="8" w:space="0"/>
              <w:right w:val="single" w:color="auto" w:sz="8" w:space="0"/>
            </w:tcBorders>
            <w:tcMar>
              <w:top w:w="0" w:type="dxa"/>
              <w:left w:w="28" w:type="dxa"/>
              <w:bottom w:w="0" w:type="dxa"/>
              <w:right w:w="28" w:type="dxa"/>
            </w:tcMar>
          </w:tcPr>
          <w:p w14:paraId="5104C540">
            <w:pPr>
              <w:autoSpaceDE w:val="0"/>
              <w:autoSpaceDN w:val="0"/>
              <w:adjustRightInd w:val="0"/>
              <w:jc w:val="left"/>
              <w:rPr>
                <w:rFonts w:cs="宋体" w:asciiTheme="minorEastAsia" w:hAnsiTheme="minorEastAsia"/>
                <w:kern w:val="0"/>
                <w:szCs w:val="21"/>
              </w:rPr>
            </w:pPr>
            <w:r>
              <w:rPr>
                <w:rFonts w:hint="eastAsia" w:cs="宋体" w:asciiTheme="minorEastAsia" w:hAnsiTheme="minorEastAsia"/>
                <w:kern w:val="0"/>
                <w:szCs w:val="21"/>
              </w:rPr>
              <w:t>响应文件未附有采购人不能接受的附加条件的。</w:t>
            </w:r>
          </w:p>
        </w:tc>
      </w:tr>
      <w:tr w14:paraId="74B0FE16">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35EA934A">
            <w:pPr>
              <w:widowControl/>
              <w:shd w:val="clear" w:color="auto" w:fill="FFFFFF"/>
              <w:snapToGrid w:val="0"/>
              <w:jc w:val="center"/>
              <w:rPr>
                <w:rFonts w:ascii="宋体" w:hAnsi="宋体" w:cs="Arial"/>
                <w:kern w:val="0"/>
                <w:szCs w:val="21"/>
              </w:rPr>
            </w:pPr>
            <w:r>
              <w:rPr>
                <w:rFonts w:hint="eastAsia" w:ascii="宋体" w:hAnsi="宋体" w:cs="Arial"/>
                <w:kern w:val="0"/>
                <w:szCs w:val="21"/>
              </w:rPr>
              <w:t>10</w:t>
            </w:r>
          </w:p>
        </w:tc>
        <w:tc>
          <w:tcPr>
            <w:tcW w:w="4698" w:type="pct"/>
            <w:tcBorders>
              <w:top w:val="nil"/>
              <w:left w:val="nil"/>
              <w:bottom w:val="single" w:color="auto" w:sz="8" w:space="0"/>
              <w:right w:val="single" w:color="auto" w:sz="8" w:space="0"/>
            </w:tcBorders>
            <w:tcMar>
              <w:top w:w="0" w:type="dxa"/>
              <w:left w:w="28" w:type="dxa"/>
              <w:bottom w:w="0" w:type="dxa"/>
              <w:right w:w="28" w:type="dxa"/>
            </w:tcMar>
          </w:tcPr>
          <w:p w14:paraId="0BDD2235">
            <w:pPr>
              <w:autoSpaceDE w:val="0"/>
              <w:autoSpaceDN w:val="0"/>
              <w:adjustRightInd w:val="0"/>
              <w:jc w:val="left"/>
              <w:rPr>
                <w:rFonts w:cs="宋体" w:asciiTheme="minorEastAsia" w:hAnsiTheme="minorEastAsia"/>
                <w:kern w:val="0"/>
                <w:szCs w:val="21"/>
              </w:rPr>
            </w:pPr>
            <w:r>
              <w:rPr>
                <w:rFonts w:hint="eastAsia" w:cs="宋体" w:asciiTheme="minorEastAsia" w:hAnsiTheme="minorEastAsia"/>
                <w:kern w:val="0"/>
                <w:szCs w:val="21"/>
              </w:rPr>
              <w:t>不存在与其他供应商相互串通报价，或者与采购人串通投标的情形。</w:t>
            </w:r>
          </w:p>
        </w:tc>
      </w:tr>
      <w:tr w14:paraId="724F4FCC">
        <w:tblPrEx>
          <w:tblCellMar>
            <w:top w:w="0" w:type="dxa"/>
            <w:left w:w="0" w:type="dxa"/>
            <w:bottom w:w="0" w:type="dxa"/>
            <w:right w:w="0" w:type="dxa"/>
          </w:tblCellMar>
        </w:tblPrEx>
        <w:trPr>
          <w:cantSplit/>
          <w:trHeight w:val="20" w:hRule="atLeast"/>
          <w:jc w:val="center"/>
        </w:trPr>
        <w:tc>
          <w:tcPr>
            <w:tcW w:w="301" w:type="pct"/>
            <w:tcBorders>
              <w:top w:val="nil"/>
              <w:left w:val="single" w:color="auto" w:sz="8" w:space="0"/>
              <w:bottom w:val="single" w:color="auto" w:sz="8" w:space="0"/>
              <w:right w:val="single" w:color="auto" w:sz="8" w:space="0"/>
            </w:tcBorders>
            <w:tcMar>
              <w:top w:w="0" w:type="dxa"/>
              <w:left w:w="28" w:type="dxa"/>
              <w:bottom w:w="0" w:type="dxa"/>
              <w:right w:w="28" w:type="dxa"/>
            </w:tcMar>
            <w:vAlign w:val="center"/>
          </w:tcPr>
          <w:p w14:paraId="2079C0BC">
            <w:pPr>
              <w:widowControl/>
              <w:shd w:val="clear" w:color="auto" w:fill="FFFFFF"/>
              <w:snapToGrid w:val="0"/>
              <w:jc w:val="center"/>
              <w:rPr>
                <w:rFonts w:ascii="宋体" w:hAnsi="宋体" w:cs="Arial"/>
                <w:kern w:val="0"/>
                <w:szCs w:val="21"/>
              </w:rPr>
            </w:pPr>
            <w:r>
              <w:rPr>
                <w:rFonts w:hint="eastAsia" w:ascii="宋体" w:hAnsi="宋体" w:cs="Arial"/>
                <w:kern w:val="0"/>
                <w:szCs w:val="21"/>
              </w:rPr>
              <w:t>11</w:t>
            </w:r>
          </w:p>
        </w:tc>
        <w:tc>
          <w:tcPr>
            <w:tcW w:w="4698" w:type="pct"/>
            <w:tcBorders>
              <w:top w:val="nil"/>
              <w:left w:val="nil"/>
              <w:bottom w:val="single" w:color="auto" w:sz="8" w:space="0"/>
              <w:right w:val="single" w:color="auto" w:sz="8" w:space="0"/>
            </w:tcBorders>
            <w:tcMar>
              <w:top w:w="0" w:type="dxa"/>
              <w:left w:w="28" w:type="dxa"/>
              <w:bottom w:w="0" w:type="dxa"/>
              <w:right w:w="28" w:type="dxa"/>
            </w:tcMar>
          </w:tcPr>
          <w:p w14:paraId="24ED32DD">
            <w:pPr>
              <w:autoSpaceDE w:val="0"/>
              <w:autoSpaceDN w:val="0"/>
              <w:adjustRightInd w:val="0"/>
              <w:jc w:val="left"/>
              <w:rPr>
                <w:rFonts w:cs="宋体" w:asciiTheme="minorEastAsia" w:hAnsiTheme="minorEastAsia"/>
                <w:kern w:val="0"/>
                <w:szCs w:val="21"/>
              </w:rPr>
            </w:pPr>
            <w:r>
              <w:rPr>
                <w:rFonts w:hint="eastAsia" w:cs="宋体" w:asciiTheme="minorEastAsia" w:hAnsiTheme="minorEastAsia"/>
                <w:kern w:val="0"/>
                <w:szCs w:val="21"/>
              </w:rPr>
              <w:t>法律、法规和竞争性磋商文件规定的其他无效情形。</w:t>
            </w:r>
          </w:p>
        </w:tc>
      </w:tr>
      <w:tr w14:paraId="04F734C8">
        <w:tblPrEx>
          <w:tblCellMar>
            <w:top w:w="0" w:type="dxa"/>
            <w:left w:w="0" w:type="dxa"/>
            <w:bottom w:w="0" w:type="dxa"/>
            <w:right w:w="0" w:type="dxa"/>
          </w:tblCellMar>
        </w:tblPrEx>
        <w:trPr>
          <w:cantSplit/>
          <w:trHeight w:val="20" w:hRule="atLeast"/>
          <w:jc w:val="center"/>
        </w:trPr>
        <w:tc>
          <w:tcPr>
            <w:tcW w:w="5000" w:type="pct"/>
            <w:gridSpan w:val="2"/>
            <w:tcBorders>
              <w:top w:val="single" w:color="auto" w:sz="8" w:space="0"/>
              <w:left w:val="single" w:color="auto" w:sz="8" w:space="0"/>
              <w:bottom w:val="single" w:color="auto" w:sz="8" w:space="0"/>
              <w:right w:val="single" w:color="auto" w:sz="8" w:space="0"/>
            </w:tcBorders>
            <w:tcMar>
              <w:top w:w="0" w:type="dxa"/>
              <w:left w:w="28" w:type="dxa"/>
              <w:bottom w:w="0" w:type="dxa"/>
              <w:right w:w="28" w:type="dxa"/>
            </w:tcMar>
            <w:vAlign w:val="center"/>
          </w:tcPr>
          <w:p w14:paraId="6895CC8B">
            <w:pPr>
              <w:widowControl/>
              <w:shd w:val="clear" w:color="auto" w:fill="FFFFFF"/>
              <w:snapToGrid w:val="0"/>
              <w:rPr>
                <w:rFonts w:ascii="宋体" w:hAnsi="宋体" w:cs="Arial"/>
                <w:kern w:val="0"/>
                <w:szCs w:val="21"/>
              </w:rPr>
            </w:pPr>
            <w:r>
              <w:rPr>
                <w:rFonts w:hint="eastAsia" w:ascii="宋体" w:hAnsi="宋体" w:cs="Arial"/>
                <w:kern w:val="0"/>
                <w:szCs w:val="21"/>
              </w:rPr>
              <w:t>备注：完备性及符合性审查中有一项不满足评审标准的，磋商小组将认定该供应商不通过完备性及符合性审查，不得进入下一阶段评审。并且不允许供应商通过修改或撤销其不符合要求的差异或保留，使之成为具有响应性的投标。</w:t>
            </w:r>
          </w:p>
        </w:tc>
      </w:tr>
    </w:tbl>
    <w:p w14:paraId="4C9BBD13">
      <w:pPr>
        <w:autoSpaceDE w:val="0"/>
        <w:autoSpaceDN w:val="0"/>
        <w:adjustRightInd w:val="0"/>
        <w:ind w:firstLine="420" w:firstLineChars="200"/>
        <w:rPr>
          <w:rFonts w:ascii="宋体" w:hAnsi="宋体"/>
        </w:rPr>
      </w:pPr>
      <w:r>
        <w:rPr>
          <w:rFonts w:hint="eastAsia" w:ascii="宋体" w:hAnsi="宋体" w:cs="Arial"/>
          <w:kern w:val="0"/>
          <w:szCs w:val="21"/>
        </w:rPr>
        <w:t>磋商小组</w:t>
      </w:r>
      <w:r>
        <w:rPr>
          <w:rFonts w:hint="eastAsia" w:ascii="宋体" w:hAnsi="宋体"/>
        </w:rPr>
        <w:t>只对通过上述评审的响应文件中工程量清单报价进行详细评审，看其是否有计算或表达上的错误，修改错误的原则如下：</w:t>
      </w:r>
    </w:p>
    <w:p w14:paraId="5114BCC8">
      <w:pPr>
        <w:autoSpaceDE w:val="0"/>
        <w:autoSpaceDN w:val="0"/>
        <w:adjustRightInd w:val="0"/>
        <w:ind w:firstLine="420" w:firstLineChars="200"/>
        <w:rPr>
          <w:rFonts w:ascii="宋体" w:hAnsi="宋体"/>
        </w:rPr>
      </w:pPr>
      <w:r>
        <w:rPr>
          <w:rFonts w:hint="eastAsia" w:ascii="宋体" w:hAnsi="宋体"/>
        </w:rPr>
        <w:t>（</w:t>
      </w:r>
      <w:r>
        <w:rPr>
          <w:rFonts w:ascii="宋体" w:hAnsi="宋体"/>
        </w:rPr>
        <w:t>1</w:t>
      </w:r>
      <w:r>
        <w:rPr>
          <w:rFonts w:hint="eastAsia" w:ascii="宋体" w:hAnsi="宋体"/>
        </w:rPr>
        <w:t>）投标总价应按建设项目投标报价汇总表合计金额填写。如不一致，以建设项目投标报价汇总表合计金额为准。</w:t>
      </w:r>
    </w:p>
    <w:p w14:paraId="566A2B9B">
      <w:pPr>
        <w:autoSpaceDE w:val="0"/>
        <w:autoSpaceDN w:val="0"/>
        <w:adjustRightInd w:val="0"/>
        <w:ind w:firstLine="420" w:firstLineChars="200"/>
        <w:rPr>
          <w:rFonts w:ascii="宋体" w:hAnsi="宋体"/>
        </w:rPr>
      </w:pPr>
      <w:r>
        <w:rPr>
          <w:rFonts w:hint="eastAsia" w:ascii="宋体" w:hAnsi="宋体"/>
        </w:rPr>
        <w:t>（</w:t>
      </w:r>
      <w:r>
        <w:rPr>
          <w:rFonts w:ascii="宋体" w:hAnsi="宋体"/>
        </w:rPr>
        <w:t>2</w:t>
      </w:r>
      <w:r>
        <w:rPr>
          <w:rFonts w:hint="eastAsia" w:ascii="宋体" w:hAnsi="宋体"/>
        </w:rPr>
        <w:t>）建设项目投标报价汇总表中单项工程名称、金额应按单项工程投标报价汇总表的工程名称、合计金额填写。如不一致，以单项工程投标报价汇总表的工程名称、合计金额为准。</w:t>
      </w:r>
    </w:p>
    <w:p w14:paraId="675988F1">
      <w:pPr>
        <w:autoSpaceDE w:val="0"/>
        <w:autoSpaceDN w:val="0"/>
        <w:adjustRightInd w:val="0"/>
        <w:ind w:firstLine="420" w:firstLineChars="200"/>
        <w:rPr>
          <w:rFonts w:ascii="宋体" w:hAnsi="宋体"/>
        </w:rPr>
      </w:pPr>
      <w:r>
        <w:rPr>
          <w:rFonts w:hint="eastAsia" w:ascii="宋体" w:hAnsi="宋体"/>
        </w:rPr>
        <w:t>（</w:t>
      </w:r>
      <w:r>
        <w:rPr>
          <w:rFonts w:ascii="宋体" w:hAnsi="宋体"/>
        </w:rPr>
        <w:t>3</w:t>
      </w:r>
      <w:r>
        <w:rPr>
          <w:rFonts w:hint="eastAsia" w:ascii="宋体" w:hAnsi="宋体"/>
        </w:rPr>
        <w:t>）单项工程投标报价汇总表中单位工程名称、金额应按单位工程投标报价汇总表的工程名称、合计金额填写。如不一致，以单位工程投标报价汇总表的工程名称、合计金额为准。</w:t>
      </w:r>
    </w:p>
    <w:p w14:paraId="2B0CE5BF">
      <w:pPr>
        <w:autoSpaceDE w:val="0"/>
        <w:autoSpaceDN w:val="0"/>
        <w:adjustRightInd w:val="0"/>
        <w:ind w:firstLine="420" w:firstLineChars="200"/>
        <w:rPr>
          <w:rFonts w:ascii="宋体" w:hAnsi="宋体"/>
        </w:rPr>
      </w:pPr>
      <w:r>
        <w:rPr>
          <w:rFonts w:hint="eastAsia" w:ascii="宋体" w:hAnsi="宋体"/>
        </w:rPr>
        <w:t>（</w:t>
      </w:r>
      <w:r>
        <w:rPr>
          <w:rFonts w:ascii="宋体" w:hAnsi="宋体"/>
        </w:rPr>
        <w:t>4</w:t>
      </w:r>
      <w:r>
        <w:rPr>
          <w:rFonts w:hint="eastAsia" w:ascii="宋体" w:hAnsi="宋体"/>
        </w:rPr>
        <w:t>）单位工程投标报价汇总表中的金额应分别按照分部分项工程和单价措施项目清单与计价表、总价措施项目清单与计价表和其他项目清单与计价汇总表的合计金额填写，如不一致，以分部分项工程和单价措施项目清单与计价表、总价措施项目清单与计价表和其他项目清单与计价汇总表的合计金额为准。并按有关规定计算的规费、税金填写（规费和税金应按国家或省级、行业建设主管部门的规定计算，不得作为竞争性费用）。</w:t>
      </w:r>
    </w:p>
    <w:p w14:paraId="2BD4342A">
      <w:pPr>
        <w:autoSpaceDE w:val="0"/>
        <w:autoSpaceDN w:val="0"/>
        <w:adjustRightInd w:val="0"/>
        <w:ind w:firstLine="420" w:firstLineChars="200"/>
        <w:rPr>
          <w:rFonts w:ascii="宋体" w:hAnsi="宋体"/>
        </w:rPr>
      </w:pPr>
      <w:r>
        <w:rPr>
          <w:rFonts w:hint="eastAsia" w:ascii="宋体" w:hAnsi="宋体"/>
        </w:rPr>
        <w:t>（</w:t>
      </w:r>
      <w:r>
        <w:rPr>
          <w:rFonts w:ascii="宋体" w:hAnsi="宋体"/>
        </w:rPr>
        <w:t>5</w:t>
      </w:r>
      <w:r>
        <w:rPr>
          <w:rFonts w:hint="eastAsia" w:ascii="宋体" w:hAnsi="宋体"/>
        </w:rPr>
        <w:t>）总价措施项目清单与计价表中供应商可根据工程实际情况结合施工组织设计，对采购人所列的措施项目进行增补，其中安全文明施工费应按照国家或省级、行业建设主管部门的规定计价，不得作为竞争性费用。</w:t>
      </w:r>
    </w:p>
    <w:p w14:paraId="6EFC8243">
      <w:pPr>
        <w:autoSpaceDE w:val="0"/>
        <w:autoSpaceDN w:val="0"/>
        <w:adjustRightInd w:val="0"/>
        <w:ind w:firstLine="420" w:firstLineChars="200"/>
        <w:rPr>
          <w:rFonts w:ascii="宋体" w:hAnsi="宋体"/>
        </w:rPr>
      </w:pPr>
      <w:r>
        <w:rPr>
          <w:rFonts w:hint="eastAsia" w:ascii="宋体" w:hAnsi="宋体"/>
        </w:rPr>
        <w:t>（</w:t>
      </w:r>
      <w:r>
        <w:rPr>
          <w:rFonts w:ascii="宋体" w:hAnsi="宋体"/>
        </w:rPr>
        <w:t>6</w:t>
      </w:r>
      <w:r>
        <w:rPr>
          <w:rFonts w:hint="eastAsia" w:ascii="宋体" w:hAnsi="宋体"/>
        </w:rPr>
        <w:t>）其他项目清单与计价汇总表应按下列规定填报</w:t>
      </w:r>
    </w:p>
    <w:p w14:paraId="3E519962">
      <w:pPr>
        <w:autoSpaceDE w:val="0"/>
        <w:autoSpaceDN w:val="0"/>
        <w:adjustRightInd w:val="0"/>
        <w:ind w:firstLine="630" w:firstLineChars="300"/>
        <w:rPr>
          <w:rFonts w:ascii="宋体" w:hAnsi="宋体"/>
        </w:rPr>
      </w:pPr>
      <w:r>
        <w:rPr>
          <w:rFonts w:hint="eastAsia" w:ascii="宋体" w:hAnsi="宋体"/>
        </w:rPr>
        <w:t>①暂列金额应按采购人在其他项目清单中列出的金额填写，不得变动。</w:t>
      </w:r>
    </w:p>
    <w:p w14:paraId="76EE73C8">
      <w:pPr>
        <w:autoSpaceDE w:val="0"/>
        <w:autoSpaceDN w:val="0"/>
        <w:adjustRightInd w:val="0"/>
        <w:ind w:firstLine="630" w:firstLineChars="300"/>
        <w:rPr>
          <w:rFonts w:ascii="宋体" w:hAnsi="宋体"/>
        </w:rPr>
      </w:pPr>
      <w:r>
        <w:rPr>
          <w:rFonts w:hint="eastAsia" w:ascii="宋体" w:hAnsi="宋体"/>
        </w:rPr>
        <w:t>②材料(工程设备)暂估价应按采购人在其他项目清单中列出的单价计入综合单价；专业工程暂估价应按采购人在其他项目清单中列出的金额填写，不得变动和更改。</w:t>
      </w:r>
    </w:p>
    <w:p w14:paraId="2EC71D35">
      <w:pPr>
        <w:autoSpaceDE w:val="0"/>
        <w:autoSpaceDN w:val="0"/>
        <w:adjustRightInd w:val="0"/>
        <w:ind w:firstLine="630" w:firstLineChars="300"/>
        <w:rPr>
          <w:rFonts w:ascii="宋体" w:hAnsi="宋体"/>
        </w:rPr>
      </w:pPr>
      <w:r>
        <w:rPr>
          <w:rFonts w:hint="eastAsia" w:ascii="宋体" w:hAnsi="宋体"/>
        </w:rPr>
        <w:t>③计日工按采购人在其他项目清单中列出的项目和数量，自主确定综合单价并计算计日工费用；</w:t>
      </w:r>
    </w:p>
    <w:p w14:paraId="3A0EC617">
      <w:pPr>
        <w:autoSpaceDE w:val="0"/>
        <w:autoSpaceDN w:val="0"/>
        <w:adjustRightInd w:val="0"/>
        <w:ind w:firstLine="630" w:firstLineChars="300"/>
        <w:rPr>
          <w:rFonts w:ascii="宋体" w:hAnsi="宋体"/>
        </w:rPr>
      </w:pPr>
      <w:r>
        <w:rPr>
          <w:rFonts w:hint="eastAsia" w:ascii="宋体" w:hAnsi="宋体"/>
        </w:rPr>
        <w:t>④总承包服务费根据竞争性磋商文件中列出的内容和提出的要求自主确定。</w:t>
      </w:r>
    </w:p>
    <w:p w14:paraId="46360933">
      <w:pPr>
        <w:autoSpaceDE w:val="0"/>
        <w:autoSpaceDN w:val="0"/>
        <w:adjustRightInd w:val="0"/>
        <w:ind w:firstLine="420" w:firstLineChars="200"/>
        <w:rPr>
          <w:rFonts w:ascii="宋体" w:hAnsi="宋体"/>
        </w:rPr>
      </w:pPr>
      <w:r>
        <w:rPr>
          <w:rFonts w:hint="eastAsia" w:ascii="宋体" w:hAnsi="宋体"/>
        </w:rPr>
        <w:t>（</w:t>
      </w:r>
      <w:r>
        <w:rPr>
          <w:rFonts w:ascii="宋体" w:hAnsi="宋体"/>
        </w:rPr>
        <w:t>7</w:t>
      </w:r>
      <w:r>
        <w:rPr>
          <w:rFonts w:hint="eastAsia" w:ascii="宋体" w:hAnsi="宋体"/>
        </w:rPr>
        <w:t>）投标报价当用数字表示的数额与用文字表示的数额不一致时，以文字为准。</w:t>
      </w:r>
    </w:p>
    <w:p w14:paraId="68952813">
      <w:pPr>
        <w:autoSpaceDE w:val="0"/>
        <w:autoSpaceDN w:val="0"/>
        <w:adjustRightInd w:val="0"/>
        <w:ind w:firstLine="420" w:firstLineChars="200"/>
        <w:rPr>
          <w:rFonts w:hint="eastAsia" w:ascii="宋体" w:hAnsi="宋体"/>
        </w:rPr>
      </w:pPr>
      <w:r>
        <w:rPr>
          <w:rFonts w:hint="eastAsia" w:ascii="宋体" w:hAnsi="宋体"/>
        </w:rPr>
        <w:t>（</w:t>
      </w:r>
      <w:r>
        <w:rPr>
          <w:rFonts w:ascii="宋体" w:hAnsi="宋体"/>
        </w:rPr>
        <w:t>8</w:t>
      </w:r>
      <w:r>
        <w:rPr>
          <w:rFonts w:hint="eastAsia" w:ascii="宋体" w:hAnsi="宋体"/>
        </w:rPr>
        <w:t>）当单价与工程量的乘积与细目总价不一致时，通常以该行填报的单价为准。除非磋商小组认为单价有明显的小数点错位，此时应以填报的细目总价为准，并修改单价。</w:t>
      </w:r>
      <w:bookmarkStart w:id="98" w:name="_Toc486588769"/>
      <w:bookmarkStart w:id="99" w:name="_Toc486588531"/>
      <w:bookmarkStart w:id="100" w:name="_Toc486587985"/>
      <w:bookmarkStart w:id="101" w:name="_Toc486588870"/>
      <w:bookmarkStart w:id="102" w:name="_Toc486588376"/>
      <w:bookmarkStart w:id="103" w:name="_Toc486588767"/>
      <w:bookmarkStart w:id="104" w:name="_Toc486588868"/>
      <w:bookmarkStart w:id="105" w:name="_Toc486587983"/>
      <w:bookmarkStart w:id="106" w:name="_Toc486588529"/>
      <w:bookmarkStart w:id="107" w:name="_Toc486588374"/>
    </w:p>
    <w:p w14:paraId="2685401F">
      <w:pPr>
        <w:autoSpaceDE w:val="0"/>
        <w:autoSpaceDN w:val="0"/>
        <w:adjustRightInd w:val="0"/>
        <w:ind w:firstLine="422" w:firstLineChars="200"/>
        <w:jc w:val="center"/>
        <w:rPr>
          <w:rFonts w:hint="eastAsia" w:ascii="宋体" w:hAnsi="宋体" w:cs="宋体"/>
          <w:b/>
          <w:szCs w:val="21"/>
        </w:rPr>
      </w:pPr>
    </w:p>
    <w:p w14:paraId="6D52D8BD">
      <w:pPr>
        <w:autoSpaceDE w:val="0"/>
        <w:autoSpaceDN w:val="0"/>
        <w:adjustRightInd w:val="0"/>
        <w:ind w:firstLine="422" w:firstLineChars="200"/>
        <w:jc w:val="center"/>
        <w:outlineLvl w:val="1"/>
        <w:rPr>
          <w:rFonts w:ascii="宋体" w:hAnsi="宋体" w:cs="宋体"/>
          <w:b/>
          <w:szCs w:val="21"/>
        </w:rPr>
      </w:pPr>
      <w:bookmarkStart w:id="108" w:name="_Toc10251"/>
      <w:r>
        <w:rPr>
          <w:rFonts w:hint="eastAsia" w:ascii="宋体" w:hAnsi="宋体" w:cs="宋体"/>
          <w:b/>
          <w:szCs w:val="21"/>
        </w:rPr>
        <w:t>响应文件详细评审标准</w:t>
      </w:r>
      <w:bookmarkEnd w:id="98"/>
      <w:bookmarkEnd w:id="99"/>
      <w:bookmarkEnd w:id="100"/>
      <w:bookmarkEnd w:id="101"/>
      <w:bookmarkEnd w:id="102"/>
      <w:bookmarkEnd w:id="108"/>
    </w:p>
    <w:tbl>
      <w:tblPr>
        <w:tblStyle w:val="47"/>
        <w:tblW w:w="10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918"/>
        <w:gridCol w:w="1140"/>
        <w:gridCol w:w="7257"/>
      </w:tblGrid>
      <w:tr w14:paraId="07DFD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916" w:type="dxa"/>
            <w:vAlign w:val="center"/>
          </w:tcPr>
          <w:p w14:paraId="5C3B3004">
            <w:pPr>
              <w:snapToGrid w:val="0"/>
              <w:jc w:val="center"/>
              <w:rPr>
                <w:rFonts w:ascii="宋体" w:hAnsi="宋体" w:cs="宋体"/>
                <w:szCs w:val="21"/>
              </w:rPr>
            </w:pPr>
            <w:r>
              <w:rPr>
                <w:rFonts w:hint="eastAsia" w:ascii="宋体" w:hAnsi="宋体" w:cs="宋体"/>
                <w:szCs w:val="21"/>
              </w:rPr>
              <w:t>评分项</w:t>
            </w:r>
          </w:p>
        </w:tc>
        <w:tc>
          <w:tcPr>
            <w:tcW w:w="918" w:type="dxa"/>
            <w:vAlign w:val="center"/>
          </w:tcPr>
          <w:p w14:paraId="64E7FAFE">
            <w:pPr>
              <w:snapToGrid w:val="0"/>
              <w:jc w:val="center"/>
              <w:rPr>
                <w:rFonts w:ascii="宋体" w:hAnsi="宋体" w:cs="宋体"/>
                <w:szCs w:val="21"/>
              </w:rPr>
            </w:pPr>
            <w:r>
              <w:rPr>
                <w:rFonts w:hint="eastAsia" w:ascii="宋体" w:hAnsi="宋体" w:cs="宋体"/>
                <w:szCs w:val="21"/>
              </w:rPr>
              <w:t>权重值</w:t>
            </w:r>
          </w:p>
        </w:tc>
        <w:tc>
          <w:tcPr>
            <w:tcW w:w="1140" w:type="dxa"/>
            <w:vAlign w:val="center"/>
          </w:tcPr>
          <w:p w14:paraId="46E48CB9">
            <w:pPr>
              <w:snapToGrid w:val="0"/>
              <w:jc w:val="center"/>
              <w:rPr>
                <w:rFonts w:ascii="宋体" w:hAnsi="宋体" w:cs="宋体"/>
                <w:szCs w:val="21"/>
              </w:rPr>
            </w:pPr>
            <w:r>
              <w:rPr>
                <w:rFonts w:hint="eastAsia" w:ascii="宋体" w:hAnsi="宋体" w:cs="宋体"/>
                <w:szCs w:val="21"/>
              </w:rPr>
              <w:t>评分主要因素（分值）</w:t>
            </w:r>
          </w:p>
        </w:tc>
        <w:tc>
          <w:tcPr>
            <w:tcW w:w="7257" w:type="dxa"/>
            <w:vAlign w:val="center"/>
          </w:tcPr>
          <w:p w14:paraId="70A4B3AF">
            <w:pPr>
              <w:snapToGrid w:val="0"/>
              <w:jc w:val="center"/>
              <w:rPr>
                <w:rFonts w:ascii="宋体" w:hAnsi="宋体" w:cs="宋体"/>
                <w:szCs w:val="21"/>
              </w:rPr>
            </w:pPr>
            <w:r>
              <w:rPr>
                <w:rFonts w:hint="eastAsia" w:ascii="宋体" w:hAnsi="宋体" w:cs="宋体"/>
                <w:szCs w:val="21"/>
              </w:rPr>
              <w:t>评分标准</w:t>
            </w:r>
          </w:p>
        </w:tc>
      </w:tr>
      <w:tr w14:paraId="43EC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7" w:hRule="atLeast"/>
          <w:jc w:val="center"/>
        </w:trPr>
        <w:tc>
          <w:tcPr>
            <w:tcW w:w="916" w:type="dxa"/>
            <w:vMerge w:val="restart"/>
            <w:vAlign w:val="center"/>
          </w:tcPr>
          <w:p w14:paraId="7B52F73A">
            <w:pPr>
              <w:snapToGrid w:val="0"/>
              <w:jc w:val="left"/>
              <w:rPr>
                <w:rFonts w:ascii="宋体" w:hAnsi="宋体" w:cs="宋体"/>
                <w:szCs w:val="21"/>
              </w:rPr>
            </w:pPr>
            <w:r>
              <w:rPr>
                <w:rFonts w:hint="eastAsia" w:ascii="宋体" w:hAnsi="宋体" w:cs="宋体"/>
                <w:szCs w:val="21"/>
              </w:rPr>
              <w:t>商务技术部分</w:t>
            </w:r>
          </w:p>
        </w:tc>
        <w:tc>
          <w:tcPr>
            <w:tcW w:w="918" w:type="dxa"/>
            <w:vMerge w:val="restart"/>
            <w:vAlign w:val="center"/>
          </w:tcPr>
          <w:p w14:paraId="67E0F004">
            <w:pPr>
              <w:snapToGrid w:val="0"/>
              <w:jc w:val="left"/>
              <w:rPr>
                <w:rFonts w:ascii="宋体" w:hAnsi="宋体" w:cs="宋体"/>
                <w:szCs w:val="21"/>
              </w:rPr>
            </w:pPr>
            <w:r>
              <w:rPr>
                <w:rFonts w:hint="eastAsia" w:ascii="宋体" w:hAnsi="宋体" w:cs="宋体"/>
                <w:szCs w:val="21"/>
              </w:rPr>
              <w:t>70%</w:t>
            </w:r>
          </w:p>
        </w:tc>
        <w:tc>
          <w:tcPr>
            <w:tcW w:w="1140" w:type="dxa"/>
            <w:vAlign w:val="center"/>
          </w:tcPr>
          <w:p w14:paraId="41605C7F">
            <w:pPr>
              <w:widowControl/>
              <w:jc w:val="left"/>
              <w:rPr>
                <w:rFonts w:ascii="宋体" w:hAnsi="宋体" w:cs="宋体"/>
                <w:szCs w:val="21"/>
              </w:rPr>
            </w:pPr>
            <w:r>
              <w:rPr>
                <w:rFonts w:hint="eastAsia" w:ascii="宋体" w:hAnsi="宋体" w:cs="宋体"/>
                <w:kern w:val="0"/>
                <w:szCs w:val="21"/>
              </w:rPr>
              <w:t>工程概况及特点（6分）</w:t>
            </w:r>
          </w:p>
        </w:tc>
        <w:tc>
          <w:tcPr>
            <w:tcW w:w="7257" w:type="dxa"/>
            <w:vAlign w:val="center"/>
          </w:tcPr>
          <w:p w14:paraId="1849474C">
            <w:pPr>
              <w:widowControl/>
              <w:jc w:val="left"/>
              <w:rPr>
                <w:rFonts w:ascii="宋体" w:hAnsi="宋体" w:cs="宋体"/>
                <w:kern w:val="0"/>
                <w:szCs w:val="21"/>
              </w:rPr>
            </w:pPr>
            <w:r>
              <w:rPr>
                <w:rFonts w:hint="eastAsia" w:ascii="宋体" w:hAnsi="宋体" w:cs="宋体"/>
                <w:kern w:val="0"/>
                <w:szCs w:val="21"/>
              </w:rPr>
              <w:t xml:space="preserve">根据供应商提供的工程概况及特点，包括但不限于： </w:t>
            </w:r>
          </w:p>
          <w:p w14:paraId="3DF1A9B4">
            <w:pPr>
              <w:widowControl/>
              <w:jc w:val="left"/>
              <w:rPr>
                <w:rFonts w:ascii="宋体" w:hAnsi="宋体" w:cs="宋体"/>
                <w:kern w:val="0"/>
                <w:szCs w:val="21"/>
              </w:rPr>
            </w:pPr>
            <w:r>
              <w:rPr>
                <w:rFonts w:hint="eastAsia" w:ascii="宋体" w:hAnsi="宋体" w:cs="宋体"/>
                <w:kern w:val="0"/>
                <w:szCs w:val="21"/>
              </w:rPr>
              <w:t xml:space="preserve">①工程总体概况；②特点分析；此项满分6分，每有一项缺项或漏项扣3分，每有一处缺陷扣1分，扣完为止。 </w:t>
            </w:r>
          </w:p>
          <w:p w14:paraId="0D5F2FCF">
            <w:pPr>
              <w:widowControl/>
              <w:jc w:val="left"/>
              <w:rPr>
                <w:rFonts w:ascii="宋体" w:hAnsi="宋体" w:cs="宋体"/>
                <w:szCs w:val="21"/>
              </w:rPr>
            </w:pPr>
            <w:r>
              <w:rPr>
                <w:rFonts w:hint="eastAsia" w:ascii="宋体" w:hAnsi="宋体" w:cs="宋体"/>
                <w:kern w:val="0"/>
                <w:szCs w:val="21"/>
              </w:rPr>
              <w:t>（缺陷是指：前后内容不一致、存在凭空编造、前后逻辑错误、涉及的规范及标准错误、项目名称或实施地点区域错误、内容简略或与本项目无关等任意一种情形等）。</w:t>
            </w:r>
          </w:p>
        </w:tc>
      </w:tr>
      <w:tr w14:paraId="2C54C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916" w:type="dxa"/>
            <w:vMerge w:val="continue"/>
            <w:vAlign w:val="center"/>
          </w:tcPr>
          <w:p w14:paraId="5119329F">
            <w:pPr>
              <w:snapToGrid w:val="0"/>
              <w:jc w:val="left"/>
              <w:rPr>
                <w:rFonts w:ascii="宋体" w:hAnsi="宋体" w:cs="宋体"/>
                <w:szCs w:val="21"/>
              </w:rPr>
            </w:pPr>
          </w:p>
        </w:tc>
        <w:tc>
          <w:tcPr>
            <w:tcW w:w="918" w:type="dxa"/>
            <w:vMerge w:val="continue"/>
            <w:vAlign w:val="center"/>
          </w:tcPr>
          <w:p w14:paraId="72AB58DE">
            <w:pPr>
              <w:snapToGrid w:val="0"/>
              <w:jc w:val="left"/>
              <w:rPr>
                <w:rFonts w:ascii="宋体" w:hAnsi="宋体" w:cs="宋体"/>
                <w:szCs w:val="21"/>
              </w:rPr>
            </w:pPr>
          </w:p>
        </w:tc>
        <w:tc>
          <w:tcPr>
            <w:tcW w:w="1140" w:type="dxa"/>
            <w:vAlign w:val="center"/>
          </w:tcPr>
          <w:p w14:paraId="59B608A5">
            <w:pPr>
              <w:widowControl/>
              <w:jc w:val="left"/>
              <w:rPr>
                <w:rFonts w:ascii="宋体" w:hAnsi="宋体"/>
                <w:szCs w:val="21"/>
              </w:rPr>
            </w:pPr>
            <w:r>
              <w:rPr>
                <w:rFonts w:hint="eastAsia" w:ascii="宋体" w:hAnsi="宋体" w:cs="宋体"/>
                <w:kern w:val="0"/>
                <w:szCs w:val="21"/>
              </w:rPr>
              <w:t>施工方案（10分）</w:t>
            </w:r>
          </w:p>
        </w:tc>
        <w:tc>
          <w:tcPr>
            <w:tcW w:w="7257" w:type="dxa"/>
            <w:vAlign w:val="center"/>
          </w:tcPr>
          <w:p w14:paraId="6C54205E">
            <w:pPr>
              <w:widowControl/>
              <w:jc w:val="left"/>
              <w:rPr>
                <w:rFonts w:ascii="宋体" w:hAnsi="宋体" w:cs="宋体"/>
                <w:kern w:val="0"/>
                <w:szCs w:val="21"/>
              </w:rPr>
            </w:pPr>
            <w:r>
              <w:rPr>
                <w:rFonts w:hint="eastAsia" w:ascii="宋体" w:hAnsi="宋体" w:cs="宋体"/>
                <w:kern w:val="0"/>
                <w:szCs w:val="21"/>
              </w:rPr>
              <w:t xml:space="preserve">根据供应商提供的施工方案，包括但不限于： </w:t>
            </w:r>
          </w:p>
          <w:p w14:paraId="2DBA06F5">
            <w:pPr>
              <w:widowControl/>
              <w:jc w:val="left"/>
              <w:rPr>
                <w:rFonts w:ascii="宋体" w:hAnsi="宋体" w:cs="宋体"/>
                <w:kern w:val="0"/>
                <w:szCs w:val="21"/>
              </w:rPr>
            </w:pPr>
            <w:r>
              <w:rPr>
                <w:rFonts w:hint="eastAsia" w:ascii="宋体" w:hAnsi="宋体" w:cs="宋体"/>
                <w:kern w:val="0"/>
                <w:szCs w:val="21"/>
              </w:rPr>
              <w:t xml:space="preserve">①施工方案符合工程实际情况；②部署及措施先进、可靠；③提高生产率、缩短工期、提高质量、降低消耗；④项目重点、难点分析、解决方案；⑤交通组织规划及措施；此项满分10分，每有一项缺项或漏项扣2分，每有一处缺陷扣1分，扣完为止。 </w:t>
            </w:r>
          </w:p>
          <w:p w14:paraId="0F260EBF">
            <w:pPr>
              <w:widowControl/>
              <w:jc w:val="left"/>
              <w:rPr>
                <w:rFonts w:ascii="宋体" w:hAnsi="宋体" w:cs="宋体"/>
                <w:kern w:val="0"/>
                <w:szCs w:val="21"/>
              </w:rPr>
            </w:pPr>
            <w:r>
              <w:rPr>
                <w:rFonts w:hint="eastAsia" w:ascii="宋体" w:hAnsi="宋体" w:cs="宋体"/>
                <w:kern w:val="0"/>
                <w:szCs w:val="21"/>
              </w:rPr>
              <w:t>（缺陷是指：前后内容一致、存在凭空编造、前后逻辑错误、涉及的规范及标准错误、项目名称或实施地点区域错误、内容简略或与本项目无关等任意一种情形等）</w:t>
            </w:r>
          </w:p>
        </w:tc>
      </w:tr>
      <w:tr w14:paraId="577E0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4" w:hRule="atLeast"/>
          <w:jc w:val="center"/>
        </w:trPr>
        <w:tc>
          <w:tcPr>
            <w:tcW w:w="916" w:type="dxa"/>
            <w:vMerge w:val="continue"/>
            <w:vAlign w:val="center"/>
          </w:tcPr>
          <w:p w14:paraId="1BDDF59A">
            <w:pPr>
              <w:snapToGrid w:val="0"/>
              <w:jc w:val="left"/>
              <w:rPr>
                <w:rFonts w:ascii="宋体" w:hAnsi="宋体" w:cs="宋体"/>
                <w:szCs w:val="21"/>
              </w:rPr>
            </w:pPr>
          </w:p>
        </w:tc>
        <w:tc>
          <w:tcPr>
            <w:tcW w:w="918" w:type="dxa"/>
            <w:vMerge w:val="continue"/>
            <w:vAlign w:val="center"/>
          </w:tcPr>
          <w:p w14:paraId="4D9CC148">
            <w:pPr>
              <w:snapToGrid w:val="0"/>
              <w:jc w:val="left"/>
              <w:rPr>
                <w:rFonts w:ascii="宋体" w:hAnsi="宋体" w:cs="宋体"/>
                <w:szCs w:val="21"/>
              </w:rPr>
            </w:pPr>
          </w:p>
        </w:tc>
        <w:tc>
          <w:tcPr>
            <w:tcW w:w="1140" w:type="dxa"/>
            <w:vAlign w:val="center"/>
          </w:tcPr>
          <w:p w14:paraId="43D53427">
            <w:pPr>
              <w:widowControl/>
              <w:jc w:val="left"/>
              <w:rPr>
                <w:rFonts w:ascii="宋体" w:hAnsi="宋体"/>
                <w:szCs w:val="21"/>
              </w:rPr>
            </w:pPr>
            <w:r>
              <w:rPr>
                <w:rFonts w:hint="eastAsia" w:ascii="宋体" w:hAnsi="宋体" w:cs="宋体"/>
                <w:kern w:val="0"/>
                <w:szCs w:val="21"/>
              </w:rPr>
              <w:t>施工进度、施工平面布置方案（8分）</w:t>
            </w:r>
          </w:p>
        </w:tc>
        <w:tc>
          <w:tcPr>
            <w:tcW w:w="7257" w:type="dxa"/>
            <w:vAlign w:val="center"/>
          </w:tcPr>
          <w:p w14:paraId="0DD4A3B9">
            <w:pPr>
              <w:widowControl/>
              <w:jc w:val="left"/>
              <w:rPr>
                <w:rFonts w:ascii="宋体" w:hAnsi="宋体" w:cs="宋体"/>
                <w:kern w:val="0"/>
                <w:szCs w:val="21"/>
              </w:rPr>
            </w:pPr>
            <w:r>
              <w:rPr>
                <w:rFonts w:hint="eastAsia" w:ascii="宋体" w:hAnsi="宋体" w:cs="宋体"/>
                <w:kern w:val="0"/>
                <w:szCs w:val="21"/>
              </w:rPr>
              <w:t xml:space="preserve">根据供应商提供的施工进度、施工平面布置方案，包括但不限于： </w:t>
            </w:r>
          </w:p>
          <w:p w14:paraId="7A77EABC">
            <w:pPr>
              <w:widowControl/>
              <w:jc w:val="left"/>
              <w:rPr>
                <w:rFonts w:ascii="宋体" w:hAnsi="宋体" w:cs="宋体"/>
                <w:kern w:val="0"/>
                <w:szCs w:val="21"/>
              </w:rPr>
            </w:pPr>
            <w:r>
              <w:rPr>
                <w:rFonts w:hint="eastAsia" w:ascii="宋体" w:hAnsi="宋体" w:cs="宋体"/>
                <w:kern w:val="0"/>
                <w:szCs w:val="21"/>
              </w:rPr>
              <w:t xml:space="preserve">①进度计划在空间和时间上的统筹安排；②施工平面的布置便于施工和管理，符合安全、文明生产要求；此项满分8分，每有一项缺项或漏项扣4分，每有一处缺陷扣1分，扣完为止。 </w:t>
            </w:r>
          </w:p>
          <w:p w14:paraId="6690B5EB">
            <w:pPr>
              <w:widowControl/>
              <w:jc w:val="left"/>
              <w:rPr>
                <w:rFonts w:ascii="宋体" w:hAnsi="宋体" w:cs="宋体"/>
                <w:kern w:val="0"/>
                <w:szCs w:val="21"/>
              </w:rPr>
            </w:pPr>
            <w:r>
              <w:rPr>
                <w:rFonts w:hint="eastAsia" w:ascii="宋体" w:hAnsi="宋体" w:cs="宋体"/>
                <w:kern w:val="0"/>
                <w:szCs w:val="21"/>
              </w:rPr>
              <w:t>（缺陷是指：前后内容不一致、存在凭空编造、前后逻辑错误、涉及的规范及标准错误、项目名称或实施地点区域错误、内容简略或与本项目无关等任意一种情形等）</w:t>
            </w:r>
          </w:p>
        </w:tc>
      </w:tr>
      <w:tr w14:paraId="3F0334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jc w:val="center"/>
        </w:trPr>
        <w:tc>
          <w:tcPr>
            <w:tcW w:w="916" w:type="dxa"/>
            <w:vMerge w:val="continue"/>
            <w:vAlign w:val="center"/>
          </w:tcPr>
          <w:p w14:paraId="2BFE9FC3">
            <w:pPr>
              <w:snapToGrid w:val="0"/>
              <w:jc w:val="left"/>
              <w:rPr>
                <w:rFonts w:ascii="宋体" w:hAnsi="宋体" w:cs="宋体"/>
                <w:szCs w:val="21"/>
              </w:rPr>
            </w:pPr>
          </w:p>
        </w:tc>
        <w:tc>
          <w:tcPr>
            <w:tcW w:w="918" w:type="dxa"/>
            <w:vMerge w:val="continue"/>
            <w:vAlign w:val="center"/>
          </w:tcPr>
          <w:p w14:paraId="19AF423D">
            <w:pPr>
              <w:snapToGrid w:val="0"/>
              <w:jc w:val="left"/>
              <w:rPr>
                <w:rFonts w:ascii="宋体" w:hAnsi="宋体" w:cs="宋体"/>
                <w:szCs w:val="21"/>
              </w:rPr>
            </w:pPr>
          </w:p>
        </w:tc>
        <w:tc>
          <w:tcPr>
            <w:tcW w:w="1140" w:type="dxa"/>
            <w:vAlign w:val="center"/>
          </w:tcPr>
          <w:p w14:paraId="14EEE674">
            <w:pPr>
              <w:widowControl/>
              <w:jc w:val="left"/>
              <w:rPr>
                <w:rFonts w:ascii="宋体" w:hAnsi="宋体"/>
                <w:szCs w:val="21"/>
              </w:rPr>
            </w:pPr>
            <w:r>
              <w:rPr>
                <w:rFonts w:hint="eastAsia" w:ascii="宋体" w:hAnsi="宋体" w:cs="宋体"/>
                <w:kern w:val="0"/>
                <w:szCs w:val="21"/>
              </w:rPr>
              <w:t>劳动力、材料机械设备用量方案（9分）</w:t>
            </w:r>
          </w:p>
        </w:tc>
        <w:tc>
          <w:tcPr>
            <w:tcW w:w="7257" w:type="dxa"/>
            <w:vAlign w:val="center"/>
          </w:tcPr>
          <w:p w14:paraId="5EFCC442">
            <w:pPr>
              <w:widowControl/>
              <w:jc w:val="left"/>
              <w:rPr>
                <w:rFonts w:ascii="宋体" w:hAnsi="宋体" w:cs="宋体"/>
                <w:kern w:val="0"/>
                <w:szCs w:val="21"/>
              </w:rPr>
            </w:pPr>
            <w:r>
              <w:rPr>
                <w:rFonts w:hint="eastAsia" w:ascii="宋体" w:hAnsi="宋体" w:cs="宋体"/>
                <w:kern w:val="0"/>
                <w:szCs w:val="21"/>
              </w:rPr>
              <w:t xml:space="preserve">根据供应商提供的劳动力、材料、机械设备用量方案，包括但不限于： </w:t>
            </w:r>
          </w:p>
          <w:p w14:paraId="6ADB3BBE">
            <w:pPr>
              <w:widowControl/>
              <w:jc w:val="left"/>
              <w:rPr>
                <w:rFonts w:ascii="宋体" w:hAnsi="宋体" w:cs="宋体"/>
                <w:kern w:val="0"/>
                <w:szCs w:val="21"/>
              </w:rPr>
            </w:pPr>
            <w:r>
              <w:rPr>
                <w:rFonts w:hint="eastAsia" w:ascii="宋体" w:hAnsi="宋体" w:cs="宋体"/>
                <w:kern w:val="0"/>
                <w:szCs w:val="21"/>
              </w:rPr>
              <w:t xml:space="preserve">①劳动力投入计划与施工部署、施工方法及进度计划；②材料投入计划与施工部署、施工方法及进度计划；③机械投入计划与施工部署、施工方法及进度计划能够相互呼应；此项满分9分，每有一项缺项或漏项扣3分，每有一处缺陷扣1分，扣完为止。 </w:t>
            </w:r>
          </w:p>
          <w:p w14:paraId="0699244F">
            <w:pPr>
              <w:widowControl/>
              <w:jc w:val="left"/>
              <w:rPr>
                <w:rFonts w:ascii="宋体" w:hAnsi="宋体" w:cs="宋体"/>
                <w:kern w:val="0"/>
                <w:szCs w:val="21"/>
              </w:rPr>
            </w:pPr>
            <w:r>
              <w:rPr>
                <w:rFonts w:hint="eastAsia" w:ascii="宋体" w:hAnsi="宋体" w:cs="宋体"/>
                <w:kern w:val="0"/>
                <w:szCs w:val="21"/>
              </w:rPr>
              <w:t>（缺陷是指：前后内容不一致、存在凭空编造、前后逻辑错误、涉及的规范及标准错误、项目名称或实施地点区域错误、内容简略或与本项目无关等任意一种情形等）</w:t>
            </w:r>
          </w:p>
        </w:tc>
      </w:tr>
      <w:tr w14:paraId="1B14A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916" w:type="dxa"/>
            <w:vMerge w:val="continue"/>
            <w:vAlign w:val="center"/>
          </w:tcPr>
          <w:p w14:paraId="36DE71FF">
            <w:pPr>
              <w:snapToGrid w:val="0"/>
              <w:jc w:val="left"/>
              <w:rPr>
                <w:rFonts w:ascii="宋体" w:hAnsi="宋体" w:cs="宋体"/>
                <w:szCs w:val="21"/>
              </w:rPr>
            </w:pPr>
          </w:p>
        </w:tc>
        <w:tc>
          <w:tcPr>
            <w:tcW w:w="918" w:type="dxa"/>
            <w:vMerge w:val="continue"/>
            <w:vAlign w:val="center"/>
          </w:tcPr>
          <w:p w14:paraId="2B7B5096">
            <w:pPr>
              <w:snapToGrid w:val="0"/>
              <w:jc w:val="left"/>
              <w:rPr>
                <w:rFonts w:ascii="宋体" w:hAnsi="宋体" w:cs="宋体"/>
                <w:szCs w:val="21"/>
              </w:rPr>
            </w:pPr>
          </w:p>
        </w:tc>
        <w:tc>
          <w:tcPr>
            <w:tcW w:w="1140" w:type="dxa"/>
            <w:vAlign w:val="center"/>
          </w:tcPr>
          <w:p w14:paraId="58AB9E2F">
            <w:pPr>
              <w:widowControl/>
              <w:jc w:val="left"/>
              <w:rPr>
                <w:rFonts w:ascii="宋体" w:hAnsi="宋体" w:cs="宋体"/>
                <w:kern w:val="0"/>
                <w:szCs w:val="21"/>
              </w:rPr>
            </w:pPr>
            <w:r>
              <w:rPr>
                <w:rFonts w:hint="eastAsia" w:ascii="宋体" w:hAnsi="宋体" w:cs="宋体"/>
                <w:kern w:val="0"/>
                <w:szCs w:val="21"/>
              </w:rPr>
              <w:t>质量、工期、安全保证等措施（9分）</w:t>
            </w:r>
          </w:p>
        </w:tc>
        <w:tc>
          <w:tcPr>
            <w:tcW w:w="7257" w:type="dxa"/>
            <w:vAlign w:val="center"/>
          </w:tcPr>
          <w:p w14:paraId="2BD3B653">
            <w:pPr>
              <w:widowControl/>
              <w:jc w:val="left"/>
              <w:rPr>
                <w:rFonts w:ascii="宋体" w:hAnsi="宋体" w:cs="宋体"/>
                <w:kern w:val="0"/>
                <w:szCs w:val="21"/>
              </w:rPr>
            </w:pPr>
            <w:r>
              <w:rPr>
                <w:rFonts w:hint="eastAsia" w:ascii="宋体" w:hAnsi="宋体" w:cs="宋体"/>
                <w:kern w:val="0"/>
                <w:szCs w:val="21"/>
              </w:rPr>
              <w:t xml:space="preserve">根据供应商提供的质量保证、工期保证、安全保证等措施，包括但不限于： </w:t>
            </w:r>
          </w:p>
          <w:p w14:paraId="55E16595">
            <w:pPr>
              <w:widowControl/>
              <w:jc w:val="left"/>
              <w:rPr>
                <w:rFonts w:ascii="宋体" w:hAnsi="宋体" w:cs="宋体"/>
                <w:kern w:val="0"/>
                <w:szCs w:val="21"/>
              </w:rPr>
            </w:pPr>
            <w:r>
              <w:rPr>
                <w:rFonts w:hint="eastAsia" w:ascii="宋体" w:hAnsi="宋体" w:cs="宋体"/>
                <w:kern w:val="0"/>
                <w:szCs w:val="21"/>
              </w:rPr>
              <w:t xml:space="preserve">①质量保证措施符合施工规律、国家强制性标准，实施措施全面有效；②详细施工整体进度计划，进度控制和工期保证措施；③安全目标明确，管理机构健全，职责分工明确，管理制度齐全。此项满分9分，每有一项缺项或漏项扣3分，每有一处缺陷扣1分，扣完为止。 </w:t>
            </w:r>
          </w:p>
          <w:p w14:paraId="2E9267F2">
            <w:pPr>
              <w:widowControl/>
              <w:jc w:val="left"/>
              <w:rPr>
                <w:rFonts w:ascii="宋体" w:hAnsi="宋体" w:cs="宋体"/>
                <w:kern w:val="0"/>
                <w:szCs w:val="21"/>
              </w:rPr>
            </w:pPr>
            <w:r>
              <w:rPr>
                <w:rFonts w:hint="eastAsia" w:ascii="宋体" w:hAnsi="宋体" w:cs="宋体"/>
                <w:kern w:val="0"/>
                <w:szCs w:val="21"/>
              </w:rPr>
              <w:t>（缺陷是指：前后内容不一致、存在凭空编造、前后逻辑错误、涉及的规范及标准错误、项目名称或实施地点区域错误、内容简略或与本项目无关等任意一种情形等）。</w:t>
            </w:r>
          </w:p>
        </w:tc>
      </w:tr>
      <w:tr w14:paraId="45988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916" w:type="dxa"/>
            <w:vMerge w:val="continue"/>
            <w:vAlign w:val="center"/>
          </w:tcPr>
          <w:p w14:paraId="7AFFA00D">
            <w:pPr>
              <w:snapToGrid w:val="0"/>
              <w:jc w:val="left"/>
              <w:rPr>
                <w:rFonts w:ascii="宋体" w:hAnsi="宋体" w:cs="宋体"/>
                <w:szCs w:val="21"/>
              </w:rPr>
            </w:pPr>
          </w:p>
        </w:tc>
        <w:tc>
          <w:tcPr>
            <w:tcW w:w="918" w:type="dxa"/>
            <w:vMerge w:val="continue"/>
            <w:vAlign w:val="center"/>
          </w:tcPr>
          <w:p w14:paraId="1EB387F7">
            <w:pPr>
              <w:snapToGrid w:val="0"/>
              <w:jc w:val="left"/>
              <w:rPr>
                <w:rFonts w:ascii="宋体" w:hAnsi="宋体" w:cs="宋体"/>
                <w:szCs w:val="21"/>
              </w:rPr>
            </w:pPr>
          </w:p>
        </w:tc>
        <w:tc>
          <w:tcPr>
            <w:tcW w:w="1140" w:type="dxa"/>
            <w:vAlign w:val="center"/>
          </w:tcPr>
          <w:p w14:paraId="27AD624E">
            <w:pPr>
              <w:widowControl/>
              <w:jc w:val="left"/>
              <w:rPr>
                <w:rFonts w:ascii="宋体" w:hAnsi="宋体" w:cs="宋体"/>
                <w:kern w:val="0"/>
                <w:szCs w:val="21"/>
              </w:rPr>
            </w:pPr>
            <w:r>
              <w:rPr>
                <w:rFonts w:hint="eastAsia" w:ascii="宋体" w:hAnsi="宋体" w:cs="宋体"/>
                <w:kern w:val="0"/>
                <w:szCs w:val="21"/>
              </w:rPr>
              <w:t>现场文明施工措施（6分）</w:t>
            </w:r>
          </w:p>
        </w:tc>
        <w:tc>
          <w:tcPr>
            <w:tcW w:w="7257" w:type="dxa"/>
            <w:vAlign w:val="center"/>
          </w:tcPr>
          <w:p w14:paraId="2D26CA6A">
            <w:pPr>
              <w:widowControl/>
              <w:jc w:val="left"/>
              <w:rPr>
                <w:rFonts w:ascii="宋体" w:hAnsi="宋体" w:cs="宋体"/>
                <w:kern w:val="0"/>
                <w:szCs w:val="21"/>
              </w:rPr>
            </w:pPr>
            <w:r>
              <w:rPr>
                <w:rFonts w:hint="eastAsia" w:ascii="宋体" w:hAnsi="宋体" w:cs="宋体"/>
                <w:kern w:val="0"/>
                <w:szCs w:val="21"/>
              </w:rPr>
              <w:t xml:space="preserve">根据供应商提供的现场文明施工措施，包括但不限于： </w:t>
            </w:r>
          </w:p>
          <w:p w14:paraId="36169EDC">
            <w:pPr>
              <w:widowControl/>
              <w:jc w:val="left"/>
              <w:rPr>
                <w:rFonts w:ascii="宋体" w:hAnsi="宋体" w:cs="宋体"/>
                <w:kern w:val="0"/>
                <w:szCs w:val="21"/>
              </w:rPr>
            </w:pPr>
            <w:r>
              <w:rPr>
                <w:rFonts w:hint="eastAsia" w:ascii="宋体" w:hAnsi="宋体" w:cs="宋体"/>
                <w:kern w:val="0"/>
                <w:szCs w:val="21"/>
              </w:rPr>
              <w:t xml:space="preserve">①管理措施目标明确；②管理机构健全，职责分工明确；③管理制度齐全； </w:t>
            </w:r>
          </w:p>
          <w:p w14:paraId="13DA62E3">
            <w:pPr>
              <w:widowControl/>
              <w:jc w:val="left"/>
              <w:rPr>
                <w:rFonts w:ascii="宋体" w:hAnsi="宋体" w:cs="宋体"/>
                <w:kern w:val="0"/>
                <w:szCs w:val="21"/>
              </w:rPr>
            </w:pPr>
            <w:r>
              <w:rPr>
                <w:rFonts w:hint="eastAsia" w:ascii="宋体" w:hAnsi="宋体" w:cs="宋体"/>
                <w:kern w:val="0"/>
                <w:szCs w:val="21"/>
              </w:rPr>
              <w:t xml:space="preserve">此项满分6分，每有一项缺项或漏项扣2分，每有一处缺陷扣1分，扣完为止。 </w:t>
            </w:r>
          </w:p>
          <w:p w14:paraId="2E2CDDE3">
            <w:pPr>
              <w:widowControl/>
              <w:jc w:val="left"/>
              <w:rPr>
                <w:rFonts w:ascii="宋体" w:hAnsi="宋体" w:cs="宋体"/>
                <w:kern w:val="0"/>
                <w:szCs w:val="21"/>
              </w:rPr>
            </w:pPr>
            <w:r>
              <w:rPr>
                <w:rFonts w:hint="eastAsia" w:ascii="宋体" w:hAnsi="宋体" w:cs="宋体"/>
                <w:kern w:val="0"/>
                <w:szCs w:val="21"/>
              </w:rPr>
              <w:t>（缺陷是指：前后内容不一致、存在凭空编造、前后逻辑错误、涉及的规范及标准错误、项目名称或实施地点区域错误、内容简略或与本项目无关等任意一种情形等）。</w:t>
            </w:r>
          </w:p>
        </w:tc>
      </w:tr>
      <w:tr w14:paraId="2B902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916" w:type="dxa"/>
            <w:vMerge w:val="continue"/>
            <w:vAlign w:val="center"/>
          </w:tcPr>
          <w:p w14:paraId="1CE207D7">
            <w:pPr>
              <w:snapToGrid w:val="0"/>
              <w:jc w:val="left"/>
              <w:rPr>
                <w:rFonts w:ascii="宋体" w:hAnsi="宋体" w:cs="宋体"/>
                <w:szCs w:val="21"/>
              </w:rPr>
            </w:pPr>
          </w:p>
        </w:tc>
        <w:tc>
          <w:tcPr>
            <w:tcW w:w="918" w:type="dxa"/>
            <w:vMerge w:val="continue"/>
            <w:vAlign w:val="center"/>
          </w:tcPr>
          <w:p w14:paraId="5CA3FAB0">
            <w:pPr>
              <w:snapToGrid w:val="0"/>
              <w:jc w:val="left"/>
              <w:rPr>
                <w:rFonts w:ascii="宋体" w:hAnsi="宋体" w:cs="宋体"/>
                <w:szCs w:val="21"/>
              </w:rPr>
            </w:pPr>
          </w:p>
        </w:tc>
        <w:tc>
          <w:tcPr>
            <w:tcW w:w="1140" w:type="dxa"/>
            <w:vAlign w:val="center"/>
          </w:tcPr>
          <w:p w14:paraId="10182AAC">
            <w:pPr>
              <w:snapToGrid w:val="0"/>
              <w:jc w:val="left"/>
              <w:rPr>
                <w:rFonts w:ascii="宋体" w:hAnsi="宋体" w:cs="宋体"/>
                <w:szCs w:val="21"/>
              </w:rPr>
            </w:pPr>
            <w:r>
              <w:rPr>
                <w:rFonts w:hint="eastAsia" w:ascii="宋体" w:hAnsi="宋体" w:cs="宋体"/>
                <w:szCs w:val="21"/>
              </w:rPr>
              <w:t>类似业绩（4分）</w:t>
            </w:r>
          </w:p>
        </w:tc>
        <w:tc>
          <w:tcPr>
            <w:tcW w:w="7257" w:type="dxa"/>
            <w:vAlign w:val="center"/>
          </w:tcPr>
          <w:p w14:paraId="4883C883">
            <w:pPr>
              <w:snapToGrid w:val="0"/>
              <w:jc w:val="left"/>
              <w:rPr>
                <w:rFonts w:ascii="宋体" w:hAnsi="宋体" w:cs="宋体"/>
                <w:szCs w:val="21"/>
              </w:rPr>
            </w:pPr>
            <w:r>
              <w:rPr>
                <w:rFonts w:hint="eastAsia" w:ascii="宋体" w:hAnsi="宋体" w:cs="宋体"/>
                <w:szCs w:val="21"/>
              </w:rPr>
              <w:t>供应商提供（</w:t>
            </w:r>
            <w:r>
              <w:rPr>
                <w:rFonts w:hint="eastAsia" w:ascii="宋体" w:hAnsi="宋体" w:cs="宋体"/>
                <w:szCs w:val="21"/>
                <w:lang w:eastAsia="zh-CN"/>
              </w:rPr>
              <w:t>2022</w:t>
            </w:r>
            <w:r>
              <w:rPr>
                <w:rFonts w:hint="eastAsia" w:ascii="宋体" w:hAnsi="宋体" w:cs="宋体"/>
                <w:szCs w:val="21"/>
              </w:rPr>
              <w:t>年01月01日-至今）类似业绩（须提供中标通知书、施工合同及竣工验收表扫描件，以施工合同签订时间为准。）每提供一个有效业绩得2分，最高得4分。</w:t>
            </w:r>
          </w:p>
        </w:tc>
      </w:tr>
      <w:tr w14:paraId="0DB8E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916" w:type="dxa"/>
            <w:vMerge w:val="continue"/>
            <w:vAlign w:val="center"/>
          </w:tcPr>
          <w:p w14:paraId="61491146">
            <w:pPr>
              <w:snapToGrid w:val="0"/>
              <w:jc w:val="left"/>
              <w:rPr>
                <w:rFonts w:ascii="宋体" w:hAnsi="宋体" w:cs="宋体"/>
                <w:szCs w:val="21"/>
              </w:rPr>
            </w:pPr>
          </w:p>
        </w:tc>
        <w:tc>
          <w:tcPr>
            <w:tcW w:w="918" w:type="dxa"/>
            <w:vMerge w:val="continue"/>
            <w:vAlign w:val="center"/>
          </w:tcPr>
          <w:p w14:paraId="7FCB77F3">
            <w:pPr>
              <w:snapToGrid w:val="0"/>
              <w:jc w:val="left"/>
              <w:rPr>
                <w:rFonts w:ascii="宋体" w:hAnsi="宋体" w:cs="宋体"/>
                <w:szCs w:val="21"/>
              </w:rPr>
            </w:pPr>
          </w:p>
        </w:tc>
        <w:tc>
          <w:tcPr>
            <w:tcW w:w="1140" w:type="dxa"/>
            <w:vAlign w:val="center"/>
          </w:tcPr>
          <w:p w14:paraId="1E76C1B2">
            <w:pPr>
              <w:snapToGrid w:val="0"/>
              <w:jc w:val="left"/>
              <w:rPr>
                <w:rFonts w:ascii="宋体" w:hAnsi="宋体" w:cs="宋体"/>
                <w:szCs w:val="21"/>
              </w:rPr>
            </w:pPr>
            <w:r>
              <w:rPr>
                <w:rFonts w:hint="eastAsia" w:ascii="宋体" w:hAnsi="宋体" w:cs="宋体"/>
                <w:szCs w:val="21"/>
              </w:rPr>
              <w:t>技术人员配备</w:t>
            </w:r>
          </w:p>
          <w:p w14:paraId="48AF5B83">
            <w:pPr>
              <w:snapToGrid w:val="0"/>
              <w:jc w:val="left"/>
              <w:rPr>
                <w:rFonts w:ascii="宋体" w:hAnsi="宋体" w:cs="宋体"/>
                <w:szCs w:val="21"/>
              </w:rPr>
            </w:pPr>
            <w:r>
              <w:rPr>
                <w:rFonts w:hint="eastAsia" w:ascii="宋体" w:hAnsi="宋体" w:cs="宋体"/>
                <w:szCs w:val="21"/>
              </w:rPr>
              <w:t>（8分）</w:t>
            </w:r>
          </w:p>
        </w:tc>
        <w:tc>
          <w:tcPr>
            <w:tcW w:w="7257" w:type="dxa"/>
            <w:vAlign w:val="center"/>
          </w:tcPr>
          <w:p w14:paraId="55922F59">
            <w:pPr>
              <w:snapToGrid w:val="0"/>
              <w:jc w:val="left"/>
              <w:rPr>
                <w:rFonts w:ascii="宋体" w:hAnsi="宋体" w:cs="宋体"/>
                <w:szCs w:val="21"/>
              </w:rPr>
            </w:pPr>
            <w:r>
              <w:rPr>
                <w:rFonts w:hint="eastAsia" w:ascii="宋体" w:hAnsi="宋体" w:cs="宋体"/>
                <w:szCs w:val="21"/>
              </w:rPr>
              <w:t>需提供专业人员技术支持，技术服务需满足工作内容要求。对技术人员包括项目负责人、技术负责人、安全员、质检员、施工员、资料员等人员配备齐全，配备情况及任职资格、资质证书、人员驻场时间等做评审。满分8分</w:t>
            </w:r>
          </w:p>
          <w:p w14:paraId="07B870DE">
            <w:pPr>
              <w:snapToGrid w:val="0"/>
              <w:jc w:val="left"/>
              <w:rPr>
                <w:rFonts w:ascii="宋体" w:hAnsi="宋体" w:cs="宋体"/>
                <w:szCs w:val="21"/>
              </w:rPr>
            </w:pPr>
            <w:r>
              <w:rPr>
                <w:rFonts w:hint="eastAsia" w:ascii="宋体" w:hAnsi="宋体" w:cs="宋体"/>
                <w:szCs w:val="21"/>
              </w:rPr>
              <w:t>以上配备人员及证书每缺一项内容，扣1分；扣完为止</w:t>
            </w:r>
          </w:p>
          <w:p w14:paraId="3E5819A8">
            <w:pPr>
              <w:snapToGrid w:val="0"/>
              <w:jc w:val="left"/>
              <w:rPr>
                <w:rFonts w:ascii="宋体" w:hAnsi="宋体" w:cs="宋体"/>
                <w:szCs w:val="21"/>
              </w:rPr>
            </w:pPr>
            <w:r>
              <w:rPr>
                <w:rFonts w:hint="eastAsia" w:ascii="宋体" w:hAnsi="宋体" w:cs="宋体"/>
                <w:szCs w:val="21"/>
              </w:rPr>
              <w:t>注： 1、技术负责人具有建筑工程相关专业高级工程师职称的得2分，中级工程师职称的得1分，没有不得分。</w:t>
            </w:r>
          </w:p>
        </w:tc>
      </w:tr>
      <w:tr w14:paraId="3282C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916" w:type="dxa"/>
            <w:vMerge w:val="continue"/>
            <w:vAlign w:val="center"/>
          </w:tcPr>
          <w:p w14:paraId="405FD621">
            <w:pPr>
              <w:snapToGrid w:val="0"/>
              <w:jc w:val="left"/>
              <w:rPr>
                <w:rFonts w:ascii="宋体" w:hAnsi="宋体" w:cs="宋体"/>
                <w:szCs w:val="21"/>
              </w:rPr>
            </w:pPr>
          </w:p>
        </w:tc>
        <w:tc>
          <w:tcPr>
            <w:tcW w:w="918" w:type="dxa"/>
            <w:vMerge w:val="continue"/>
            <w:vAlign w:val="center"/>
          </w:tcPr>
          <w:p w14:paraId="41478644">
            <w:pPr>
              <w:snapToGrid w:val="0"/>
              <w:jc w:val="left"/>
              <w:rPr>
                <w:rFonts w:ascii="宋体" w:hAnsi="宋体" w:cs="宋体"/>
                <w:szCs w:val="21"/>
              </w:rPr>
            </w:pPr>
          </w:p>
        </w:tc>
        <w:tc>
          <w:tcPr>
            <w:tcW w:w="1140" w:type="dxa"/>
            <w:vAlign w:val="center"/>
          </w:tcPr>
          <w:p w14:paraId="5C14D400">
            <w:pPr>
              <w:snapToGrid w:val="0"/>
              <w:jc w:val="left"/>
              <w:rPr>
                <w:rFonts w:ascii="宋体" w:hAnsi="宋体" w:cs="宋体"/>
                <w:szCs w:val="21"/>
              </w:rPr>
            </w:pPr>
            <w:r>
              <w:rPr>
                <w:rFonts w:hint="eastAsia" w:ascii="宋体" w:hAnsi="宋体" w:cs="宋体"/>
                <w:szCs w:val="21"/>
              </w:rPr>
              <w:t>工程项目售后方案（10分）</w:t>
            </w:r>
          </w:p>
        </w:tc>
        <w:tc>
          <w:tcPr>
            <w:tcW w:w="7257" w:type="dxa"/>
            <w:vAlign w:val="center"/>
          </w:tcPr>
          <w:p w14:paraId="61B88FF9">
            <w:pPr>
              <w:widowControl/>
              <w:jc w:val="left"/>
              <w:rPr>
                <w:rFonts w:ascii="宋体" w:hAnsi="宋体" w:cs="宋体"/>
                <w:szCs w:val="21"/>
              </w:rPr>
            </w:pPr>
            <w:r>
              <w:rPr>
                <w:rFonts w:hint="eastAsia" w:ascii="宋体" w:hAnsi="宋体" w:cs="宋体"/>
                <w:szCs w:val="21"/>
              </w:rPr>
              <w:t>根据供应商提供的工程售后服务方案内容进行综合评审。方案内容充分，详细具体，内容包括：1、服务方案承诺；2、响应时间；3、服务流程（包括故障处理、上门维护、紧急维护、电话回访维护等）4、应急预案；5、服务记录（包括服务报告、质量考核评估、满意度调查、电话回访记录），方案完全满足要求的得10分；每出现一项缺失（或负偏离、瑕疵）的扣2分，扣完为止。</w:t>
            </w:r>
          </w:p>
        </w:tc>
      </w:tr>
      <w:tr w14:paraId="23312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1834" w:type="dxa"/>
            <w:gridSpan w:val="2"/>
            <w:vAlign w:val="center"/>
          </w:tcPr>
          <w:p w14:paraId="729F9BFB">
            <w:pPr>
              <w:jc w:val="center"/>
              <w:rPr>
                <w:rFonts w:ascii="宋体" w:hAnsi="宋体"/>
                <w:szCs w:val="21"/>
              </w:rPr>
            </w:pPr>
            <w:r>
              <w:rPr>
                <w:rFonts w:hint="eastAsia" w:ascii="宋体" w:hAnsi="宋体"/>
                <w:szCs w:val="21"/>
              </w:rPr>
              <w:t>合计</w:t>
            </w:r>
          </w:p>
        </w:tc>
        <w:tc>
          <w:tcPr>
            <w:tcW w:w="1140" w:type="dxa"/>
            <w:vAlign w:val="center"/>
          </w:tcPr>
          <w:p w14:paraId="6269E0C8">
            <w:pPr>
              <w:jc w:val="center"/>
              <w:rPr>
                <w:rFonts w:ascii="宋体" w:hAnsi="宋体"/>
                <w:szCs w:val="21"/>
              </w:rPr>
            </w:pPr>
            <w:r>
              <w:rPr>
                <w:rFonts w:hint="eastAsia" w:ascii="宋体" w:hAnsi="宋体"/>
                <w:szCs w:val="21"/>
              </w:rPr>
              <w:t>70</w:t>
            </w:r>
          </w:p>
        </w:tc>
        <w:tc>
          <w:tcPr>
            <w:tcW w:w="7257" w:type="dxa"/>
            <w:vAlign w:val="center"/>
          </w:tcPr>
          <w:p w14:paraId="215A4F14">
            <w:pPr>
              <w:snapToGrid w:val="0"/>
              <w:jc w:val="left"/>
              <w:rPr>
                <w:rFonts w:ascii="宋体" w:hAnsi="宋体" w:cs="宋体"/>
                <w:szCs w:val="21"/>
              </w:rPr>
            </w:pPr>
          </w:p>
        </w:tc>
      </w:tr>
      <w:tr w14:paraId="7BA52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10231" w:type="dxa"/>
            <w:gridSpan w:val="4"/>
            <w:vAlign w:val="center"/>
          </w:tcPr>
          <w:p w14:paraId="2C16B189">
            <w:pPr>
              <w:rPr>
                <w:rFonts w:ascii="宋体" w:hAnsi="宋体"/>
                <w:bCs/>
                <w:szCs w:val="21"/>
              </w:rPr>
            </w:pPr>
            <w:r>
              <w:rPr>
                <w:rFonts w:hint="eastAsia" w:ascii="宋体" w:hAnsi="宋体"/>
                <w:bCs/>
                <w:szCs w:val="21"/>
              </w:rPr>
              <w:t>注：1、评委应认真了解本竞争性磋商文件和工程有关情况后，做出须自己负责的评审。</w:t>
            </w:r>
          </w:p>
          <w:p w14:paraId="4FD95B7E">
            <w:pPr>
              <w:snapToGrid w:val="0"/>
              <w:jc w:val="left"/>
              <w:rPr>
                <w:rFonts w:ascii="宋体" w:hAnsi="宋体" w:cs="宋体"/>
                <w:szCs w:val="21"/>
              </w:rPr>
            </w:pPr>
            <w:r>
              <w:rPr>
                <w:rFonts w:hint="eastAsia" w:ascii="宋体" w:hAnsi="宋体"/>
                <w:bCs/>
                <w:szCs w:val="21"/>
              </w:rPr>
              <w:t>2、响应文件得分等于所有评委评分的算术平均值，计算结果值在小数点后保留两位小数，后余位数四舍五入。</w:t>
            </w:r>
          </w:p>
        </w:tc>
      </w:tr>
      <w:bookmarkEnd w:id="103"/>
      <w:bookmarkEnd w:id="104"/>
      <w:bookmarkEnd w:id="105"/>
      <w:bookmarkEnd w:id="106"/>
      <w:bookmarkEnd w:id="107"/>
    </w:tbl>
    <w:p w14:paraId="08A9419E">
      <w:pPr>
        <w:tabs>
          <w:tab w:val="center" w:pos="4832"/>
          <w:tab w:val="left" w:pos="7140"/>
        </w:tabs>
        <w:spacing w:line="360" w:lineRule="auto"/>
        <w:ind w:firstLine="411" w:firstLineChars="196"/>
        <w:jc w:val="left"/>
        <w:outlineLvl w:val="9"/>
        <w:rPr>
          <w:rFonts w:ascii="宋体" w:hAnsi="宋体"/>
        </w:rPr>
      </w:pPr>
      <w:bookmarkStart w:id="109" w:name="_Toc37592782"/>
      <w:r>
        <w:rPr>
          <w:rFonts w:ascii="宋体" w:hAnsi="宋体"/>
        </w:rPr>
        <w:t xml:space="preserve">1. </w:t>
      </w:r>
      <w:r>
        <w:rPr>
          <w:rFonts w:hint="eastAsia" w:ascii="宋体" w:hAnsi="宋体"/>
        </w:rPr>
        <w:t>评标方法</w:t>
      </w:r>
      <w:bookmarkEnd w:id="109"/>
    </w:p>
    <w:p w14:paraId="617B0B7E">
      <w:pPr>
        <w:autoSpaceDE w:val="0"/>
        <w:autoSpaceDN w:val="0"/>
        <w:adjustRightInd w:val="0"/>
        <w:ind w:firstLine="420" w:firstLineChars="200"/>
        <w:rPr>
          <w:rFonts w:ascii="宋体" w:hAnsi="宋体"/>
        </w:rPr>
      </w:pPr>
      <w:r>
        <w:rPr>
          <w:rFonts w:hint="eastAsia" w:ascii="宋体" w:hAnsi="宋体"/>
        </w:rPr>
        <w:t>本次评标采用竞争性磋商。磋商小组对满足竞争性磋商文件实质性要求的竞争性磋商响应文件，按照本节规定的评审标准进行评审。评标中各评委若发生意见分歧，以少数服从多数原则确定。</w:t>
      </w:r>
    </w:p>
    <w:p w14:paraId="0EB21061">
      <w:pPr>
        <w:autoSpaceDE w:val="0"/>
        <w:autoSpaceDN w:val="0"/>
        <w:adjustRightInd w:val="0"/>
        <w:ind w:firstLine="420" w:firstLineChars="200"/>
        <w:rPr>
          <w:rFonts w:ascii="宋体" w:hAnsi="宋体"/>
        </w:rPr>
      </w:pPr>
      <w:bookmarkStart w:id="110" w:name="_Toc37592783"/>
      <w:r>
        <w:rPr>
          <w:rFonts w:ascii="宋体" w:hAnsi="宋体"/>
        </w:rPr>
        <w:t xml:space="preserve">2. </w:t>
      </w:r>
      <w:r>
        <w:rPr>
          <w:rFonts w:hint="eastAsia" w:ascii="宋体" w:hAnsi="宋体"/>
        </w:rPr>
        <w:t>评审标准</w:t>
      </w:r>
      <w:bookmarkEnd w:id="110"/>
    </w:p>
    <w:p w14:paraId="743D73C3">
      <w:pPr>
        <w:autoSpaceDE w:val="0"/>
        <w:autoSpaceDN w:val="0"/>
        <w:adjustRightInd w:val="0"/>
        <w:ind w:firstLine="420" w:firstLineChars="200"/>
        <w:rPr>
          <w:rFonts w:ascii="宋体" w:hAnsi="宋体"/>
        </w:rPr>
      </w:pPr>
      <w:r>
        <w:rPr>
          <w:rFonts w:ascii="宋体" w:hAnsi="宋体"/>
        </w:rPr>
        <w:t>2.</w:t>
      </w:r>
      <w:r>
        <w:rPr>
          <w:rFonts w:hint="eastAsia" w:ascii="宋体" w:hAnsi="宋体"/>
        </w:rPr>
        <w:t>1资格审查：评审因素和评审标准见《资格审查标准》。</w:t>
      </w:r>
    </w:p>
    <w:p w14:paraId="1B3EF34F">
      <w:pPr>
        <w:autoSpaceDE w:val="0"/>
        <w:autoSpaceDN w:val="0"/>
        <w:adjustRightInd w:val="0"/>
        <w:ind w:firstLine="420" w:firstLineChars="200"/>
        <w:rPr>
          <w:rFonts w:ascii="宋体" w:hAnsi="宋体"/>
        </w:rPr>
      </w:pPr>
      <w:r>
        <w:rPr>
          <w:rFonts w:ascii="宋体" w:hAnsi="宋体"/>
        </w:rPr>
        <w:t>2.</w:t>
      </w:r>
      <w:r>
        <w:rPr>
          <w:rFonts w:hint="eastAsia" w:ascii="宋体" w:hAnsi="宋体"/>
        </w:rPr>
        <w:t>2完备性及符合性审查：评审因素和评审标准见《完备性及符合性审查标准》。</w:t>
      </w:r>
    </w:p>
    <w:p w14:paraId="36A49E29">
      <w:pPr>
        <w:autoSpaceDE w:val="0"/>
        <w:autoSpaceDN w:val="0"/>
        <w:adjustRightInd w:val="0"/>
        <w:ind w:firstLine="420" w:firstLineChars="200"/>
        <w:rPr>
          <w:rFonts w:ascii="宋体" w:hAnsi="宋体"/>
        </w:rPr>
      </w:pPr>
      <w:r>
        <w:rPr>
          <w:rFonts w:ascii="宋体" w:hAnsi="宋体"/>
        </w:rPr>
        <w:t>2.</w:t>
      </w:r>
      <w:r>
        <w:rPr>
          <w:rFonts w:hint="eastAsia" w:ascii="宋体" w:hAnsi="宋体"/>
        </w:rPr>
        <w:t>3详细评审：</w:t>
      </w:r>
    </w:p>
    <w:p w14:paraId="2ADE9AE2">
      <w:pPr>
        <w:autoSpaceDE w:val="0"/>
        <w:autoSpaceDN w:val="0"/>
        <w:adjustRightInd w:val="0"/>
        <w:ind w:firstLine="420" w:firstLineChars="200"/>
        <w:rPr>
          <w:rFonts w:ascii="宋体" w:hAnsi="宋体"/>
        </w:rPr>
      </w:pPr>
      <w:r>
        <w:rPr>
          <w:rFonts w:hint="eastAsia" w:ascii="宋体" w:hAnsi="宋体"/>
        </w:rPr>
        <w:t>2.3.1详细评审：评审因素和评审标准见《详细评审标准》及本节第3.</w:t>
      </w:r>
      <w:r>
        <w:rPr>
          <w:rFonts w:hint="eastAsia" w:ascii="宋体" w:hAnsi="宋体"/>
          <w:lang w:val="en-US" w:eastAsia="zh-CN"/>
        </w:rPr>
        <w:t>5</w:t>
      </w:r>
      <w:r>
        <w:rPr>
          <w:rFonts w:hint="eastAsia" w:ascii="宋体" w:hAnsi="宋体"/>
        </w:rPr>
        <w:t>款。</w:t>
      </w:r>
    </w:p>
    <w:p w14:paraId="1C69B4B1">
      <w:pPr>
        <w:autoSpaceDE w:val="0"/>
        <w:autoSpaceDN w:val="0"/>
        <w:adjustRightInd w:val="0"/>
        <w:ind w:firstLine="420" w:firstLineChars="200"/>
        <w:rPr>
          <w:rFonts w:ascii="宋体" w:hAnsi="宋体"/>
        </w:rPr>
      </w:pPr>
      <w:r>
        <w:rPr>
          <w:rFonts w:ascii="宋体" w:hAnsi="宋体"/>
        </w:rPr>
        <w:t>2.</w:t>
      </w:r>
      <w:r>
        <w:rPr>
          <w:rFonts w:hint="eastAsia" w:ascii="宋体" w:hAnsi="宋体"/>
        </w:rPr>
        <w:t>3</w:t>
      </w:r>
      <w:r>
        <w:rPr>
          <w:rFonts w:ascii="宋体" w:hAnsi="宋体"/>
        </w:rPr>
        <w:t xml:space="preserve">.2 </w:t>
      </w:r>
      <w:r>
        <w:rPr>
          <w:rFonts w:hint="eastAsia" w:ascii="宋体" w:hAnsi="宋体"/>
        </w:rPr>
        <w:t>投标报价评分标准：</w:t>
      </w:r>
    </w:p>
    <w:p w14:paraId="242529EA">
      <w:pPr>
        <w:autoSpaceDE w:val="0"/>
        <w:autoSpaceDN w:val="0"/>
        <w:adjustRightInd w:val="0"/>
        <w:ind w:firstLine="420" w:firstLineChars="200"/>
        <w:rPr>
          <w:rFonts w:ascii="宋体" w:hAnsi="宋体"/>
        </w:rPr>
      </w:pPr>
      <w:r>
        <w:rPr>
          <w:rFonts w:hint="eastAsia" w:ascii="宋体" w:hAnsi="宋体"/>
        </w:rPr>
        <w:t>（</w:t>
      </w:r>
      <w:r>
        <w:rPr>
          <w:rFonts w:ascii="宋体" w:hAnsi="宋体"/>
        </w:rPr>
        <w:t>1</w:t>
      </w:r>
      <w:r>
        <w:rPr>
          <w:rFonts w:hint="eastAsia" w:ascii="宋体" w:hAnsi="宋体"/>
        </w:rPr>
        <w:t>）分值构成及权重：见评标办法前附表。</w:t>
      </w:r>
    </w:p>
    <w:p w14:paraId="4C6F6001">
      <w:pPr>
        <w:autoSpaceDE w:val="0"/>
        <w:autoSpaceDN w:val="0"/>
        <w:adjustRightInd w:val="0"/>
        <w:ind w:firstLine="420" w:firstLineChars="200"/>
        <w:rPr>
          <w:rFonts w:ascii="宋体" w:hAnsi="宋体"/>
        </w:rPr>
      </w:pPr>
      <w:r>
        <w:rPr>
          <w:rFonts w:hint="eastAsia" w:ascii="宋体" w:hAnsi="宋体"/>
        </w:rPr>
        <w:t>（</w:t>
      </w:r>
      <w:r>
        <w:rPr>
          <w:rFonts w:ascii="宋体" w:hAnsi="宋体"/>
        </w:rPr>
        <w:t>2</w:t>
      </w:r>
      <w:r>
        <w:rPr>
          <w:rFonts w:hint="eastAsia" w:ascii="宋体" w:hAnsi="宋体"/>
        </w:rPr>
        <w:t>）评标基准价计算：见评标办法前附表。</w:t>
      </w:r>
    </w:p>
    <w:p w14:paraId="01C8B6A3">
      <w:pPr>
        <w:autoSpaceDE w:val="0"/>
        <w:autoSpaceDN w:val="0"/>
        <w:adjustRightInd w:val="0"/>
        <w:ind w:firstLine="420" w:firstLineChars="200"/>
        <w:rPr>
          <w:rFonts w:ascii="宋体" w:hAnsi="宋体"/>
        </w:rPr>
      </w:pPr>
      <w:r>
        <w:rPr>
          <w:rFonts w:hint="eastAsia" w:ascii="宋体" w:hAnsi="宋体"/>
        </w:rPr>
        <w:t>（3）投标报价得分的计算：见评标办法前附表。</w:t>
      </w:r>
    </w:p>
    <w:p w14:paraId="69E6AB53">
      <w:pPr>
        <w:autoSpaceDE w:val="0"/>
        <w:autoSpaceDN w:val="0"/>
        <w:adjustRightInd w:val="0"/>
        <w:ind w:firstLine="420" w:firstLineChars="200"/>
        <w:rPr>
          <w:rFonts w:ascii="宋体" w:hAnsi="宋体"/>
        </w:rPr>
      </w:pPr>
      <w:bookmarkStart w:id="111" w:name="_Toc37592784"/>
      <w:r>
        <w:rPr>
          <w:rFonts w:ascii="宋体" w:hAnsi="宋体"/>
        </w:rPr>
        <w:t xml:space="preserve">3. </w:t>
      </w:r>
      <w:r>
        <w:rPr>
          <w:rFonts w:hint="eastAsia" w:ascii="宋体" w:hAnsi="宋体"/>
        </w:rPr>
        <w:t>评标程序</w:t>
      </w:r>
      <w:bookmarkEnd w:id="111"/>
    </w:p>
    <w:p w14:paraId="565D680C">
      <w:pPr>
        <w:autoSpaceDE w:val="0"/>
        <w:autoSpaceDN w:val="0"/>
        <w:adjustRightInd w:val="0"/>
        <w:ind w:firstLine="420" w:firstLineChars="200"/>
        <w:rPr>
          <w:rFonts w:ascii="宋体" w:hAnsi="宋体"/>
        </w:rPr>
      </w:pPr>
      <w:r>
        <w:rPr>
          <w:rFonts w:hint="eastAsia" w:ascii="宋体" w:hAnsi="宋体"/>
        </w:rPr>
        <w:t>基本程序</w:t>
      </w:r>
    </w:p>
    <w:p w14:paraId="65E7BF4A">
      <w:pPr>
        <w:autoSpaceDE w:val="0"/>
        <w:autoSpaceDN w:val="0"/>
        <w:adjustRightInd w:val="0"/>
        <w:ind w:firstLine="420" w:firstLineChars="200"/>
        <w:rPr>
          <w:rFonts w:ascii="宋体" w:hAnsi="宋体"/>
        </w:rPr>
      </w:pPr>
      <w:r>
        <w:rPr>
          <w:rFonts w:hint="eastAsia" w:ascii="宋体" w:hAnsi="宋体"/>
        </w:rPr>
        <w:t>评标活动将按以下步骤进行：</w:t>
      </w:r>
    </w:p>
    <w:p w14:paraId="35430EE8">
      <w:pPr>
        <w:autoSpaceDE w:val="0"/>
        <w:autoSpaceDN w:val="0"/>
        <w:adjustRightInd w:val="0"/>
        <w:ind w:firstLine="420" w:firstLineChars="200"/>
        <w:rPr>
          <w:rFonts w:ascii="宋体" w:hAnsi="宋体"/>
        </w:rPr>
      </w:pPr>
      <w:r>
        <w:rPr>
          <w:rFonts w:hint="eastAsia" w:ascii="宋体" w:hAnsi="宋体"/>
        </w:rPr>
        <w:t>（1）评标准备</w:t>
      </w:r>
    </w:p>
    <w:p w14:paraId="6A929EF1">
      <w:pPr>
        <w:autoSpaceDE w:val="0"/>
        <w:autoSpaceDN w:val="0"/>
        <w:adjustRightInd w:val="0"/>
        <w:ind w:firstLine="420" w:firstLineChars="200"/>
        <w:rPr>
          <w:rFonts w:ascii="宋体" w:hAnsi="宋体"/>
        </w:rPr>
      </w:pPr>
      <w:r>
        <w:rPr>
          <w:rFonts w:hint="eastAsia" w:ascii="宋体" w:hAnsi="宋体"/>
        </w:rPr>
        <w:t>（2）资格审查</w:t>
      </w:r>
    </w:p>
    <w:p w14:paraId="0249DD4C">
      <w:pPr>
        <w:autoSpaceDE w:val="0"/>
        <w:autoSpaceDN w:val="0"/>
        <w:adjustRightInd w:val="0"/>
        <w:ind w:firstLine="420" w:firstLineChars="200"/>
        <w:rPr>
          <w:rFonts w:ascii="宋体" w:hAnsi="宋体"/>
        </w:rPr>
      </w:pPr>
      <w:r>
        <w:rPr>
          <w:rFonts w:hint="eastAsia" w:ascii="宋体" w:hAnsi="宋体"/>
        </w:rPr>
        <w:t>（3）完备性及符合性审查</w:t>
      </w:r>
    </w:p>
    <w:p w14:paraId="753812DA">
      <w:pPr>
        <w:autoSpaceDE w:val="0"/>
        <w:autoSpaceDN w:val="0"/>
        <w:adjustRightInd w:val="0"/>
        <w:ind w:firstLine="420" w:firstLineChars="200"/>
        <w:rPr>
          <w:rFonts w:ascii="宋体" w:hAnsi="宋体"/>
        </w:rPr>
      </w:pPr>
      <w:r>
        <w:rPr>
          <w:rFonts w:hint="eastAsia" w:ascii="宋体" w:hAnsi="宋体"/>
        </w:rPr>
        <w:t>（4）详细评审</w:t>
      </w:r>
    </w:p>
    <w:p w14:paraId="7C25C669">
      <w:pPr>
        <w:autoSpaceDE w:val="0"/>
        <w:autoSpaceDN w:val="0"/>
        <w:adjustRightInd w:val="0"/>
        <w:ind w:firstLine="420" w:firstLineChars="200"/>
        <w:rPr>
          <w:rFonts w:ascii="宋体" w:hAnsi="宋体"/>
        </w:rPr>
      </w:pPr>
      <w:r>
        <w:rPr>
          <w:rFonts w:hint="eastAsia" w:ascii="宋体" w:hAnsi="宋体"/>
        </w:rPr>
        <w:t>（5）磋商报价</w:t>
      </w:r>
    </w:p>
    <w:p w14:paraId="5E0F8C97">
      <w:pPr>
        <w:autoSpaceDE w:val="0"/>
        <w:autoSpaceDN w:val="0"/>
        <w:adjustRightInd w:val="0"/>
        <w:ind w:firstLine="420" w:firstLineChars="200"/>
        <w:rPr>
          <w:rFonts w:ascii="宋体" w:hAnsi="宋体"/>
        </w:rPr>
      </w:pPr>
      <w:r>
        <w:rPr>
          <w:rFonts w:hint="eastAsia" w:ascii="宋体" w:hAnsi="宋体"/>
        </w:rPr>
        <w:t>（6）澄清、说明或补正</w:t>
      </w:r>
    </w:p>
    <w:p w14:paraId="046B3B55">
      <w:pPr>
        <w:autoSpaceDE w:val="0"/>
        <w:autoSpaceDN w:val="0"/>
        <w:adjustRightInd w:val="0"/>
        <w:ind w:firstLine="420" w:firstLineChars="200"/>
        <w:rPr>
          <w:rFonts w:ascii="宋体" w:hAnsi="宋体"/>
        </w:rPr>
      </w:pPr>
      <w:r>
        <w:rPr>
          <w:rFonts w:hint="eastAsia" w:ascii="宋体" w:hAnsi="宋体"/>
        </w:rPr>
        <w:t>（7）推荐成交候选人及提交评审报告</w:t>
      </w:r>
    </w:p>
    <w:p w14:paraId="6202167D">
      <w:pPr>
        <w:autoSpaceDE w:val="0"/>
        <w:autoSpaceDN w:val="0"/>
        <w:adjustRightInd w:val="0"/>
        <w:ind w:firstLine="420" w:firstLineChars="200"/>
        <w:rPr>
          <w:rFonts w:ascii="宋体" w:hAnsi="宋体"/>
        </w:rPr>
      </w:pPr>
      <w:r>
        <w:rPr>
          <w:rFonts w:ascii="宋体" w:hAnsi="宋体"/>
        </w:rPr>
        <w:t xml:space="preserve">3.2 </w:t>
      </w:r>
      <w:r>
        <w:rPr>
          <w:rFonts w:hint="eastAsia" w:ascii="宋体" w:hAnsi="宋体"/>
        </w:rPr>
        <w:t>评标准备</w:t>
      </w:r>
    </w:p>
    <w:p w14:paraId="23C55C4B">
      <w:pPr>
        <w:autoSpaceDE w:val="0"/>
        <w:autoSpaceDN w:val="0"/>
        <w:adjustRightInd w:val="0"/>
        <w:ind w:firstLine="420" w:firstLineChars="200"/>
        <w:rPr>
          <w:rFonts w:ascii="宋体" w:hAnsi="宋体"/>
        </w:rPr>
      </w:pPr>
      <w:r>
        <w:rPr>
          <w:rFonts w:ascii="宋体" w:hAnsi="宋体"/>
        </w:rPr>
        <w:t>3.2.1</w:t>
      </w:r>
      <w:r>
        <w:rPr>
          <w:rFonts w:hint="eastAsia" w:ascii="宋体" w:hAnsi="宋体"/>
        </w:rPr>
        <w:t>磋商小组成员签到</w:t>
      </w:r>
    </w:p>
    <w:p w14:paraId="7DDE76DE">
      <w:pPr>
        <w:autoSpaceDE w:val="0"/>
        <w:autoSpaceDN w:val="0"/>
        <w:adjustRightInd w:val="0"/>
        <w:ind w:firstLine="420" w:firstLineChars="200"/>
        <w:rPr>
          <w:rFonts w:ascii="宋体" w:hAnsi="宋体"/>
        </w:rPr>
      </w:pPr>
      <w:r>
        <w:rPr>
          <w:rFonts w:hint="eastAsia" w:ascii="宋体" w:hAnsi="宋体"/>
        </w:rPr>
        <w:t>磋商小组成员到达评审现场时应当在签到表上签到以证明其出席。</w:t>
      </w:r>
    </w:p>
    <w:p w14:paraId="790952F0">
      <w:pPr>
        <w:autoSpaceDE w:val="0"/>
        <w:autoSpaceDN w:val="0"/>
        <w:adjustRightInd w:val="0"/>
        <w:ind w:firstLine="420" w:firstLineChars="200"/>
        <w:rPr>
          <w:rFonts w:ascii="宋体" w:hAnsi="宋体"/>
        </w:rPr>
      </w:pPr>
      <w:r>
        <w:rPr>
          <w:rFonts w:ascii="宋体" w:hAnsi="宋体"/>
        </w:rPr>
        <w:t xml:space="preserve">3.2.2 </w:t>
      </w:r>
      <w:r>
        <w:rPr>
          <w:rFonts w:hint="eastAsia" w:ascii="宋体" w:hAnsi="宋体"/>
        </w:rPr>
        <w:t>磋商小组的分工</w:t>
      </w:r>
    </w:p>
    <w:p w14:paraId="5E7DBDC5">
      <w:pPr>
        <w:autoSpaceDE w:val="0"/>
        <w:autoSpaceDN w:val="0"/>
        <w:adjustRightInd w:val="0"/>
        <w:ind w:firstLine="420" w:firstLineChars="200"/>
        <w:rPr>
          <w:rFonts w:ascii="宋体" w:hAnsi="宋体"/>
        </w:rPr>
      </w:pPr>
      <w:r>
        <w:rPr>
          <w:rFonts w:ascii="宋体" w:hAnsi="宋体"/>
        </w:rPr>
        <w:t>3.2.2.1</w:t>
      </w:r>
      <w:r>
        <w:rPr>
          <w:rFonts w:hint="eastAsia" w:ascii="宋体" w:hAnsi="宋体"/>
        </w:rPr>
        <w:t>磋商小组首先推选一名磋商小组组长（非采购人代表担任）。磋商小组组长负责评标活动的组织领导工作。磋商小组组长与磋商小组其他成员具有同等的评标权力。</w:t>
      </w:r>
    </w:p>
    <w:p w14:paraId="16AE2246">
      <w:pPr>
        <w:autoSpaceDE w:val="0"/>
        <w:autoSpaceDN w:val="0"/>
        <w:adjustRightInd w:val="0"/>
        <w:ind w:firstLine="420" w:firstLineChars="200"/>
        <w:rPr>
          <w:rFonts w:ascii="宋体" w:hAnsi="宋体"/>
        </w:rPr>
      </w:pPr>
      <w:r>
        <w:rPr>
          <w:rFonts w:ascii="宋体" w:hAnsi="宋体"/>
        </w:rPr>
        <w:t xml:space="preserve">3.2.2.2 </w:t>
      </w:r>
      <w:r>
        <w:rPr>
          <w:rFonts w:hint="eastAsia" w:ascii="宋体" w:hAnsi="宋体"/>
        </w:rPr>
        <w:t>磋商小组组长除履行自己作为磋商小组成员独立评标的职责外，主要负责以下工作：</w:t>
      </w:r>
    </w:p>
    <w:p w14:paraId="55BEFE97">
      <w:pPr>
        <w:autoSpaceDE w:val="0"/>
        <w:autoSpaceDN w:val="0"/>
        <w:adjustRightInd w:val="0"/>
        <w:ind w:firstLine="420" w:firstLineChars="200"/>
        <w:rPr>
          <w:rFonts w:ascii="宋体" w:hAnsi="宋体"/>
        </w:rPr>
      </w:pPr>
      <w:r>
        <w:rPr>
          <w:rFonts w:hint="eastAsia" w:ascii="宋体" w:hAnsi="宋体"/>
        </w:rPr>
        <w:t>（</w:t>
      </w:r>
      <w:r>
        <w:rPr>
          <w:rFonts w:ascii="宋体" w:hAnsi="宋体"/>
        </w:rPr>
        <w:t>1</w:t>
      </w:r>
      <w:r>
        <w:rPr>
          <w:rFonts w:hint="eastAsia" w:ascii="宋体" w:hAnsi="宋体"/>
        </w:rPr>
        <w:t>）组织磋商小组成员学习竞争性磋商文件；</w:t>
      </w:r>
    </w:p>
    <w:p w14:paraId="1DF0D80A">
      <w:pPr>
        <w:autoSpaceDE w:val="0"/>
        <w:autoSpaceDN w:val="0"/>
        <w:adjustRightInd w:val="0"/>
        <w:ind w:firstLine="420" w:firstLineChars="200"/>
        <w:rPr>
          <w:rFonts w:ascii="宋体" w:hAnsi="宋体"/>
        </w:rPr>
      </w:pPr>
      <w:r>
        <w:rPr>
          <w:rFonts w:hint="eastAsia" w:ascii="宋体" w:hAnsi="宋体"/>
        </w:rPr>
        <w:t>（</w:t>
      </w:r>
      <w:r>
        <w:rPr>
          <w:rFonts w:ascii="宋体" w:hAnsi="宋体"/>
        </w:rPr>
        <w:t>2</w:t>
      </w:r>
      <w:r>
        <w:rPr>
          <w:rFonts w:hint="eastAsia" w:ascii="宋体" w:hAnsi="宋体"/>
        </w:rPr>
        <w:t>）汇总各磋商小组成员认为需要供应商澄清、说明或者补正的问题；</w:t>
      </w:r>
    </w:p>
    <w:p w14:paraId="02BC9CDF">
      <w:pPr>
        <w:autoSpaceDE w:val="0"/>
        <w:autoSpaceDN w:val="0"/>
        <w:adjustRightInd w:val="0"/>
        <w:ind w:firstLine="420" w:firstLineChars="200"/>
        <w:rPr>
          <w:rFonts w:ascii="宋体" w:hAnsi="宋体"/>
        </w:rPr>
      </w:pPr>
      <w:r>
        <w:rPr>
          <w:rFonts w:hint="eastAsia" w:ascii="宋体" w:hAnsi="宋体"/>
        </w:rPr>
        <w:t>（</w:t>
      </w:r>
      <w:r>
        <w:rPr>
          <w:rFonts w:ascii="宋体" w:hAnsi="宋体"/>
        </w:rPr>
        <w:t>3</w:t>
      </w:r>
      <w:r>
        <w:rPr>
          <w:rFonts w:hint="eastAsia" w:ascii="宋体" w:hAnsi="宋体"/>
        </w:rPr>
        <w:t>）组织磋商小组对供应商质询并对供应商的答复进行评审；</w:t>
      </w:r>
    </w:p>
    <w:p w14:paraId="69FBBAB2">
      <w:pPr>
        <w:autoSpaceDE w:val="0"/>
        <w:autoSpaceDN w:val="0"/>
        <w:adjustRightInd w:val="0"/>
        <w:ind w:firstLine="420" w:firstLineChars="200"/>
        <w:rPr>
          <w:rFonts w:ascii="宋体" w:hAnsi="宋体"/>
        </w:rPr>
      </w:pPr>
      <w:r>
        <w:rPr>
          <w:rFonts w:hint="eastAsia" w:ascii="宋体" w:hAnsi="宋体"/>
        </w:rPr>
        <w:t>（</w:t>
      </w:r>
      <w:r>
        <w:rPr>
          <w:rFonts w:ascii="宋体" w:hAnsi="宋体"/>
        </w:rPr>
        <w:t>4</w:t>
      </w:r>
      <w:r>
        <w:rPr>
          <w:rFonts w:hint="eastAsia" w:ascii="宋体" w:hAnsi="宋体"/>
        </w:rPr>
        <w:t>）对出现较大争议的事项进行书面记录；</w:t>
      </w:r>
    </w:p>
    <w:p w14:paraId="3920F9DE">
      <w:pPr>
        <w:autoSpaceDE w:val="0"/>
        <w:autoSpaceDN w:val="0"/>
        <w:adjustRightInd w:val="0"/>
        <w:ind w:firstLine="420" w:firstLineChars="200"/>
        <w:rPr>
          <w:rFonts w:ascii="宋体" w:hAnsi="宋体"/>
        </w:rPr>
      </w:pPr>
      <w:r>
        <w:rPr>
          <w:rFonts w:hint="eastAsia" w:ascii="宋体" w:hAnsi="宋体"/>
        </w:rPr>
        <w:t>（</w:t>
      </w:r>
      <w:r>
        <w:rPr>
          <w:rFonts w:ascii="宋体" w:hAnsi="宋体"/>
        </w:rPr>
        <w:t>5</w:t>
      </w:r>
      <w:r>
        <w:rPr>
          <w:rFonts w:hint="eastAsia" w:ascii="宋体" w:hAnsi="宋体"/>
        </w:rPr>
        <w:t>）组织收回评标过程中使用的文件、表格和评标记录以及其他资料，并查验评标记录的完整性及有效性；</w:t>
      </w:r>
    </w:p>
    <w:p w14:paraId="7B02FB8E">
      <w:pPr>
        <w:autoSpaceDE w:val="0"/>
        <w:autoSpaceDN w:val="0"/>
        <w:adjustRightInd w:val="0"/>
        <w:ind w:firstLine="420" w:firstLineChars="200"/>
        <w:rPr>
          <w:rFonts w:ascii="宋体" w:hAnsi="宋体"/>
        </w:rPr>
      </w:pPr>
      <w:r>
        <w:rPr>
          <w:rFonts w:hint="eastAsia" w:ascii="宋体" w:hAnsi="宋体"/>
        </w:rPr>
        <w:t>（</w:t>
      </w:r>
      <w:r>
        <w:rPr>
          <w:rFonts w:ascii="宋体" w:hAnsi="宋体"/>
        </w:rPr>
        <w:t>6</w:t>
      </w:r>
      <w:r>
        <w:rPr>
          <w:rFonts w:hint="eastAsia" w:ascii="宋体" w:hAnsi="宋体"/>
        </w:rPr>
        <w:t>）组织对评标结论进行复核确认；</w:t>
      </w:r>
    </w:p>
    <w:p w14:paraId="615DD23F">
      <w:pPr>
        <w:autoSpaceDE w:val="0"/>
        <w:autoSpaceDN w:val="0"/>
        <w:adjustRightInd w:val="0"/>
        <w:ind w:firstLine="420" w:firstLineChars="200"/>
        <w:rPr>
          <w:rFonts w:ascii="宋体" w:hAnsi="宋体"/>
        </w:rPr>
      </w:pPr>
      <w:r>
        <w:rPr>
          <w:rFonts w:hint="eastAsia" w:ascii="宋体" w:hAnsi="宋体"/>
        </w:rPr>
        <w:t>（</w:t>
      </w:r>
      <w:r>
        <w:rPr>
          <w:rFonts w:ascii="宋体" w:hAnsi="宋体"/>
        </w:rPr>
        <w:t>7</w:t>
      </w:r>
      <w:r>
        <w:rPr>
          <w:rFonts w:hint="eastAsia" w:ascii="宋体" w:hAnsi="宋体"/>
        </w:rPr>
        <w:t>）组织编写评标报告。</w:t>
      </w:r>
    </w:p>
    <w:p w14:paraId="0802CE7A">
      <w:pPr>
        <w:autoSpaceDE w:val="0"/>
        <w:autoSpaceDN w:val="0"/>
        <w:adjustRightInd w:val="0"/>
        <w:ind w:firstLine="420" w:firstLineChars="200"/>
        <w:rPr>
          <w:rFonts w:ascii="宋体" w:hAnsi="宋体"/>
        </w:rPr>
      </w:pPr>
      <w:r>
        <w:rPr>
          <w:rFonts w:ascii="宋体" w:hAnsi="宋体"/>
        </w:rPr>
        <w:t xml:space="preserve">3.2.3 </w:t>
      </w:r>
      <w:r>
        <w:rPr>
          <w:rFonts w:hint="eastAsia" w:ascii="宋体" w:hAnsi="宋体"/>
        </w:rPr>
        <w:t>熟悉文件资料</w:t>
      </w:r>
    </w:p>
    <w:p w14:paraId="5FA7AEEB">
      <w:pPr>
        <w:autoSpaceDE w:val="0"/>
        <w:autoSpaceDN w:val="0"/>
        <w:adjustRightInd w:val="0"/>
        <w:ind w:firstLine="420" w:firstLineChars="200"/>
        <w:rPr>
          <w:rFonts w:ascii="宋体" w:hAnsi="宋体"/>
        </w:rPr>
      </w:pPr>
      <w:r>
        <w:rPr>
          <w:rFonts w:ascii="宋体" w:hAnsi="宋体"/>
        </w:rPr>
        <w:t xml:space="preserve">3.2.3.1 </w:t>
      </w:r>
      <w:r>
        <w:rPr>
          <w:rFonts w:hint="eastAsia" w:ascii="宋体" w:hAnsi="宋体"/>
        </w:rPr>
        <w:t>磋商小组组长应当组织磋商小组成员认真研究竞争性磋商文件，了解和熟悉采购目标、采购范围、主要合同条件、服务标准和要求，掌握评标标准和方法，熟悉本章及附件中包括的评标表格的使用，如果本章及附件所附的表格不能满足评审所需时，磋商小组应当补充编制评审所需的表格。</w:t>
      </w:r>
    </w:p>
    <w:p w14:paraId="41D319DB">
      <w:pPr>
        <w:autoSpaceDE w:val="0"/>
        <w:autoSpaceDN w:val="0"/>
        <w:adjustRightInd w:val="0"/>
        <w:ind w:firstLine="420" w:firstLineChars="200"/>
        <w:rPr>
          <w:rFonts w:ascii="宋体" w:hAnsi="宋体"/>
        </w:rPr>
      </w:pPr>
      <w:r>
        <w:rPr>
          <w:rFonts w:ascii="宋体" w:hAnsi="宋体"/>
        </w:rPr>
        <w:t xml:space="preserve">3.2.3.2 </w:t>
      </w:r>
      <w:r>
        <w:rPr>
          <w:rFonts w:hint="eastAsia" w:ascii="宋体" w:hAnsi="宋体"/>
        </w:rPr>
        <w:t>采购人或采购代理机构应当向磋商小组提供评标所需的信息和数据，包括：</w:t>
      </w:r>
    </w:p>
    <w:p w14:paraId="588CA84B">
      <w:pPr>
        <w:autoSpaceDE w:val="0"/>
        <w:autoSpaceDN w:val="0"/>
        <w:adjustRightInd w:val="0"/>
        <w:ind w:firstLine="420" w:firstLineChars="200"/>
        <w:rPr>
          <w:rFonts w:ascii="宋体" w:hAnsi="宋体"/>
        </w:rPr>
      </w:pPr>
      <w:r>
        <w:rPr>
          <w:rFonts w:hint="eastAsia" w:ascii="宋体" w:hAnsi="宋体"/>
        </w:rPr>
        <w:t>（</w:t>
      </w:r>
      <w:r>
        <w:rPr>
          <w:rFonts w:ascii="宋体" w:hAnsi="宋体"/>
        </w:rPr>
        <w:t>1</w:t>
      </w:r>
      <w:r>
        <w:rPr>
          <w:rFonts w:hint="eastAsia" w:ascii="宋体" w:hAnsi="宋体"/>
        </w:rPr>
        <w:t>）竞争性磋商文件及其澄清修改等竞争性磋商文件补充；</w:t>
      </w:r>
    </w:p>
    <w:p w14:paraId="0748EEBC">
      <w:pPr>
        <w:autoSpaceDE w:val="0"/>
        <w:autoSpaceDN w:val="0"/>
        <w:adjustRightInd w:val="0"/>
        <w:ind w:firstLine="420" w:firstLineChars="200"/>
        <w:rPr>
          <w:rFonts w:ascii="宋体" w:hAnsi="宋体"/>
        </w:rPr>
      </w:pPr>
      <w:r>
        <w:rPr>
          <w:rFonts w:hint="eastAsia" w:ascii="宋体" w:hAnsi="宋体"/>
        </w:rPr>
        <w:t>（</w:t>
      </w:r>
      <w:r>
        <w:rPr>
          <w:rFonts w:ascii="宋体" w:hAnsi="宋体"/>
        </w:rPr>
        <w:t>2</w:t>
      </w:r>
      <w:r>
        <w:rPr>
          <w:rFonts w:hint="eastAsia" w:ascii="宋体" w:hAnsi="宋体"/>
        </w:rPr>
        <w:t>）未在开标会上当场拒绝的各竞争性磋商响应文件；</w:t>
      </w:r>
    </w:p>
    <w:p w14:paraId="3306E103">
      <w:pPr>
        <w:autoSpaceDE w:val="0"/>
        <w:autoSpaceDN w:val="0"/>
        <w:adjustRightInd w:val="0"/>
        <w:ind w:firstLine="420" w:firstLineChars="200"/>
        <w:rPr>
          <w:rFonts w:ascii="宋体" w:hAnsi="宋体"/>
        </w:rPr>
      </w:pPr>
      <w:r>
        <w:rPr>
          <w:rFonts w:hint="eastAsia" w:ascii="宋体" w:hAnsi="宋体"/>
        </w:rPr>
        <w:t>（</w:t>
      </w:r>
      <w:r>
        <w:rPr>
          <w:rFonts w:ascii="宋体" w:hAnsi="宋体"/>
        </w:rPr>
        <w:t>3</w:t>
      </w:r>
      <w:r>
        <w:rPr>
          <w:rFonts w:hint="eastAsia" w:ascii="宋体" w:hAnsi="宋体"/>
        </w:rPr>
        <w:t>）开标会记录；</w:t>
      </w:r>
    </w:p>
    <w:p w14:paraId="3B6CD412">
      <w:pPr>
        <w:autoSpaceDE w:val="0"/>
        <w:autoSpaceDN w:val="0"/>
        <w:adjustRightInd w:val="0"/>
        <w:ind w:firstLine="420" w:firstLineChars="200"/>
        <w:rPr>
          <w:rFonts w:ascii="宋体" w:hAnsi="宋体"/>
        </w:rPr>
      </w:pPr>
      <w:r>
        <w:rPr>
          <w:rFonts w:hint="eastAsia" w:ascii="宋体" w:hAnsi="宋体"/>
        </w:rPr>
        <w:t>（</w:t>
      </w:r>
      <w:r>
        <w:rPr>
          <w:rFonts w:ascii="宋体" w:hAnsi="宋体"/>
        </w:rPr>
        <w:t>4</w:t>
      </w:r>
      <w:r>
        <w:rPr>
          <w:rFonts w:hint="eastAsia" w:ascii="宋体" w:hAnsi="宋体"/>
        </w:rPr>
        <w:t>）评标表格；</w:t>
      </w:r>
    </w:p>
    <w:p w14:paraId="78064842">
      <w:pPr>
        <w:autoSpaceDE w:val="0"/>
        <w:autoSpaceDN w:val="0"/>
        <w:adjustRightInd w:val="0"/>
        <w:ind w:firstLine="420" w:firstLineChars="200"/>
        <w:rPr>
          <w:rFonts w:ascii="宋体" w:hAnsi="宋体"/>
        </w:rPr>
      </w:pPr>
      <w:r>
        <w:rPr>
          <w:rFonts w:hint="eastAsia" w:ascii="宋体" w:hAnsi="宋体"/>
        </w:rPr>
        <w:t>（</w:t>
      </w:r>
      <w:r>
        <w:rPr>
          <w:rFonts w:ascii="宋体" w:hAnsi="宋体"/>
        </w:rPr>
        <w:t>5</w:t>
      </w:r>
      <w:r>
        <w:rPr>
          <w:rFonts w:hint="eastAsia" w:ascii="宋体" w:hAnsi="宋体"/>
        </w:rPr>
        <w:t>）其他信息和数据。</w:t>
      </w:r>
    </w:p>
    <w:p w14:paraId="28249E2A">
      <w:pPr>
        <w:autoSpaceDE w:val="0"/>
        <w:autoSpaceDN w:val="0"/>
        <w:adjustRightInd w:val="0"/>
        <w:ind w:firstLine="420" w:firstLineChars="200"/>
        <w:rPr>
          <w:rFonts w:ascii="宋体" w:hAnsi="宋体"/>
        </w:rPr>
      </w:pPr>
      <w:r>
        <w:rPr>
          <w:rFonts w:ascii="宋体" w:hAnsi="宋体"/>
        </w:rPr>
        <w:t>3.3</w:t>
      </w:r>
      <w:r>
        <w:rPr>
          <w:rFonts w:hint="eastAsia" w:ascii="宋体" w:hAnsi="宋体"/>
        </w:rPr>
        <w:t>资格审查（适用于资格后审）</w:t>
      </w:r>
    </w:p>
    <w:p w14:paraId="39888149">
      <w:pPr>
        <w:autoSpaceDE w:val="0"/>
        <w:autoSpaceDN w:val="0"/>
        <w:adjustRightInd w:val="0"/>
        <w:ind w:firstLine="420" w:firstLineChars="200"/>
        <w:rPr>
          <w:rFonts w:ascii="宋体" w:hAnsi="宋体"/>
        </w:rPr>
      </w:pPr>
      <w:r>
        <w:rPr>
          <w:rFonts w:hint="eastAsia" w:ascii="宋体" w:hAnsi="宋体"/>
        </w:rPr>
        <w:t>采购人会依据本章规定的评审因素和审查标准，对供应商的资格审查资料进行资格审查。资格审查有一项未通过审查标准，采购人将认定整个竞争性磋商响应文件不响应竞争性磋商文件而否决其投标，并且不允许供应商通过修改或撤销其不符合要求的差异或保留，使之成为具有响应性的投标。</w:t>
      </w:r>
    </w:p>
    <w:p w14:paraId="33F3F0D3">
      <w:pPr>
        <w:autoSpaceDE w:val="0"/>
        <w:autoSpaceDN w:val="0"/>
        <w:adjustRightInd w:val="0"/>
        <w:ind w:firstLine="420" w:firstLineChars="200"/>
        <w:rPr>
          <w:rFonts w:ascii="宋体" w:hAnsi="宋体"/>
        </w:rPr>
      </w:pPr>
      <w:r>
        <w:rPr>
          <w:rFonts w:hint="eastAsia" w:ascii="宋体" w:hAnsi="宋体"/>
        </w:rPr>
        <w:t>3.4完备性及符合性审查</w:t>
      </w:r>
    </w:p>
    <w:p w14:paraId="39FADF86">
      <w:pPr>
        <w:autoSpaceDE w:val="0"/>
        <w:autoSpaceDN w:val="0"/>
        <w:adjustRightInd w:val="0"/>
        <w:ind w:firstLine="420" w:firstLineChars="200"/>
        <w:rPr>
          <w:rFonts w:ascii="宋体" w:hAnsi="宋体"/>
        </w:rPr>
      </w:pPr>
      <w:r>
        <w:rPr>
          <w:rFonts w:ascii="宋体" w:hAnsi="宋体"/>
        </w:rPr>
        <w:t>3.</w:t>
      </w:r>
      <w:r>
        <w:rPr>
          <w:rFonts w:hint="eastAsia" w:ascii="宋体" w:hAnsi="宋体"/>
        </w:rPr>
        <w:t>4</w:t>
      </w:r>
      <w:r>
        <w:rPr>
          <w:rFonts w:ascii="宋体" w:hAnsi="宋体"/>
        </w:rPr>
        <w:t xml:space="preserve">.1 </w:t>
      </w:r>
      <w:r>
        <w:rPr>
          <w:rFonts w:hint="eastAsia" w:ascii="宋体" w:hAnsi="宋体"/>
        </w:rPr>
        <w:t>磋商小组依据本章规定的评审因素和评审标准，对供应商的竞争性磋商响应文件进行完备性及符合性审查。完备性及符合性审查有一项未通过评审标准，磋商小组将认定整个竞争性磋商响应文件不响应竞争性磋商文件而否决其投标，并且不允许供应商通过修改或撤销其不符合要求的差异或保留，使之成为具有响应性的投标。</w:t>
      </w:r>
    </w:p>
    <w:p w14:paraId="50B25EBC">
      <w:pPr>
        <w:autoSpaceDE w:val="0"/>
        <w:autoSpaceDN w:val="0"/>
        <w:adjustRightInd w:val="0"/>
        <w:ind w:firstLine="420" w:firstLineChars="200"/>
        <w:rPr>
          <w:rFonts w:ascii="宋体" w:hAnsi="宋体"/>
        </w:rPr>
      </w:pPr>
      <w:r>
        <w:rPr>
          <w:rFonts w:ascii="宋体" w:hAnsi="宋体"/>
        </w:rPr>
        <w:t>3.</w:t>
      </w:r>
      <w:r>
        <w:rPr>
          <w:rFonts w:hint="eastAsia" w:ascii="宋体" w:hAnsi="宋体"/>
        </w:rPr>
        <w:t>4</w:t>
      </w:r>
      <w:r>
        <w:rPr>
          <w:rFonts w:ascii="宋体" w:hAnsi="宋体"/>
        </w:rPr>
        <w:t xml:space="preserve">.2 </w:t>
      </w:r>
      <w:r>
        <w:rPr>
          <w:rFonts w:hint="eastAsia" w:ascii="宋体" w:hAnsi="宋体"/>
        </w:rPr>
        <w:t>完备性及符合性审查条款是指对本采购项目产生了重大影响的重大偏差，而且纠正此类偏差将会对响应本次采购的其他供应商的竞争地位产生不公正的影响。</w:t>
      </w:r>
    </w:p>
    <w:p w14:paraId="2B1D7D9A">
      <w:pPr>
        <w:autoSpaceDE w:val="0"/>
        <w:autoSpaceDN w:val="0"/>
        <w:adjustRightInd w:val="0"/>
        <w:ind w:firstLine="420" w:firstLineChars="200"/>
        <w:rPr>
          <w:rFonts w:ascii="宋体" w:hAnsi="宋体"/>
        </w:rPr>
      </w:pPr>
      <w:r>
        <w:rPr>
          <w:rFonts w:ascii="宋体" w:hAnsi="宋体"/>
        </w:rPr>
        <w:t>3.</w:t>
      </w:r>
      <w:r>
        <w:rPr>
          <w:rFonts w:hint="eastAsia" w:ascii="宋体" w:hAnsi="宋体"/>
        </w:rPr>
        <w:t>4</w:t>
      </w:r>
      <w:r>
        <w:rPr>
          <w:rFonts w:ascii="宋体" w:hAnsi="宋体"/>
        </w:rPr>
        <w:t>.3</w:t>
      </w:r>
      <w:r>
        <w:rPr>
          <w:rFonts w:hint="eastAsia" w:ascii="宋体" w:hAnsi="宋体"/>
        </w:rPr>
        <w:t>细微偏差是指竞争性磋商响应文件在实质上响应竞争性磋商文件要求，但在个别地方存在疏漏或者提供了不完整的技术信息和数据等情况，并且补正这些遗漏和不完整不会对其他供应商造成不公平的结果。细微偏差不影响竞争性磋商响应文件的有效性，磋商小组可要求存在细微偏差的供应商予以补正。</w:t>
      </w:r>
    </w:p>
    <w:p w14:paraId="19642BE7">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5</w:t>
      </w:r>
      <w:r>
        <w:rPr>
          <w:rFonts w:hint="eastAsia" w:ascii="宋体" w:hAnsi="宋体"/>
        </w:rPr>
        <w:t>详细评审</w:t>
      </w:r>
    </w:p>
    <w:p w14:paraId="5730D59C">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.1.</w:t>
      </w:r>
      <w:r>
        <w:rPr>
          <w:rFonts w:hint="eastAsia" w:ascii="宋体" w:hAnsi="宋体"/>
        </w:rPr>
        <w:t>只有通过了资格审查、完备性及符合性审查且供应商不少于3个方可进入详细评审。磋商小组所有成员将对响应文件进行详细评审，并根据磋商文件规定的程序、评定成交的标准等事项与实质性响应磋商文件的单一供应商分别进行磋商。</w:t>
      </w:r>
    </w:p>
    <w:p w14:paraId="1108EA67">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 xml:space="preserve">.2 </w:t>
      </w:r>
      <w:r>
        <w:rPr>
          <w:rFonts w:hint="eastAsia" w:ascii="宋体" w:hAnsi="宋体"/>
        </w:rPr>
        <w:t>澄清、说明和补正</w:t>
      </w:r>
    </w:p>
    <w:p w14:paraId="5798BC25">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.2</w:t>
      </w:r>
      <w:r>
        <w:rPr>
          <w:rFonts w:hint="eastAsia" w:ascii="宋体" w:hAnsi="宋体"/>
        </w:rPr>
        <w:t>.1在不改变供应商竞争性磋商响应文件实质性内容的前提下，磋商小组应当对竞争性磋商响应文件进行基础性数据分析和整理，从而发现并提取其中可能存在的对招标范围理解的偏差、技术响应偏离、投标价格的算术性错误、错漏项、投标价格构成不合理、不平衡报价等存在明显异常的问题。</w:t>
      </w:r>
    </w:p>
    <w:p w14:paraId="22D02FFA">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.2</w:t>
      </w:r>
      <w:r>
        <w:rPr>
          <w:rFonts w:hint="eastAsia" w:ascii="宋体" w:hAnsi="宋体"/>
        </w:rPr>
        <w:t>.2澄清、说明和补正内容不得改变竞争性磋商响应文件的实质性内容（算术性错误修正的除外）。供应商的书面澄清、说明和补正属于竞争性磋商响应文件的组成部分。</w:t>
      </w:r>
    </w:p>
    <w:p w14:paraId="2D2C61BC">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.2</w:t>
      </w:r>
      <w:r>
        <w:rPr>
          <w:rFonts w:hint="eastAsia" w:ascii="宋体" w:hAnsi="宋体"/>
        </w:rPr>
        <w:t>.3磋商小组针对需要供应商对所提交竞争性磋商响应文件中不明确的内容进行书面澄清、说明或补正。澄清通知不得向供应商提出带有暗示性或诱导性问题，或向其明确竞争性磋商响应文件中的遗漏和错误。供应商接到磋商小组发出的书面澄清通知后，应按磋商小组的要求提供书面澄清资料，并在规定的时间递交到指定地点。磋商小组不接受供应商主动提出的澄清、说明或补正。</w:t>
      </w:r>
    </w:p>
    <w:p w14:paraId="3A7B2CCD">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.2</w:t>
      </w:r>
      <w:r>
        <w:rPr>
          <w:rFonts w:hint="eastAsia" w:ascii="宋体" w:hAnsi="宋体"/>
        </w:rPr>
        <w:t>.4磋商小组对供应商提交的澄清、说明或补正有疑问的，可以要求供应商进一步澄清、说明或补正，直至满足磋商小组的要求。磋商结束后，磋商小组应当要求所有继续参加磋商的供应商在规定时间内提交最后报价，提交最后报价的供应商不少于3家。</w:t>
      </w:r>
    </w:p>
    <w:p w14:paraId="6CF5E389">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.3</w:t>
      </w:r>
      <w:r>
        <w:rPr>
          <w:rFonts w:hint="eastAsia" w:ascii="宋体" w:hAnsi="宋体"/>
        </w:rPr>
        <w:t>评委评分：评委按照《详细评审标准》评分，供应商详细评审得分等于全部评委评分的算术平均值。</w:t>
      </w:r>
    </w:p>
    <w:p w14:paraId="429AB637">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 xml:space="preserve">.4 </w:t>
      </w:r>
      <w:r>
        <w:rPr>
          <w:rFonts w:hint="eastAsia" w:ascii="宋体" w:hAnsi="宋体"/>
        </w:rPr>
        <w:t>算术错误修正：投标价格有算术错误的，磋商小组按以下原则对投标价格进行修正，修正的价格经供应商书面确认后具有约束力。供应商不接受修正价格的，其投标将被否决。</w:t>
      </w:r>
    </w:p>
    <w:p w14:paraId="7045D86E">
      <w:pPr>
        <w:autoSpaceDE w:val="0"/>
        <w:autoSpaceDN w:val="0"/>
        <w:adjustRightInd w:val="0"/>
        <w:ind w:firstLine="420" w:firstLineChars="200"/>
        <w:rPr>
          <w:rFonts w:ascii="宋体" w:hAnsi="宋体"/>
        </w:rPr>
      </w:pPr>
      <w:r>
        <w:rPr>
          <w:rFonts w:ascii="宋体" w:hAnsi="宋体"/>
        </w:rPr>
        <w:t xml:space="preserve">a. </w:t>
      </w:r>
      <w:r>
        <w:rPr>
          <w:rFonts w:hint="eastAsia" w:ascii="宋体" w:hAnsi="宋体"/>
        </w:rPr>
        <w:t>响应文件中开标一览表（报价表）内容与响应文件中相应内容不一致的，以开标一览表（报价表）为准；</w:t>
      </w:r>
    </w:p>
    <w:p w14:paraId="11F3E4F0">
      <w:pPr>
        <w:autoSpaceDE w:val="0"/>
        <w:autoSpaceDN w:val="0"/>
        <w:adjustRightInd w:val="0"/>
        <w:ind w:firstLine="420" w:firstLineChars="200"/>
        <w:rPr>
          <w:rFonts w:ascii="宋体" w:hAnsi="宋体"/>
        </w:rPr>
      </w:pPr>
      <w:r>
        <w:rPr>
          <w:rFonts w:ascii="宋体" w:hAnsi="宋体"/>
        </w:rPr>
        <w:t xml:space="preserve">b. </w:t>
      </w:r>
      <w:r>
        <w:rPr>
          <w:rFonts w:hint="eastAsia" w:ascii="宋体" w:hAnsi="宋体"/>
        </w:rPr>
        <w:t>大写金额和小写金额不一致的，以大写金额为准；</w:t>
      </w:r>
    </w:p>
    <w:p w14:paraId="4B6827FF">
      <w:pPr>
        <w:autoSpaceDE w:val="0"/>
        <w:autoSpaceDN w:val="0"/>
        <w:adjustRightInd w:val="0"/>
        <w:ind w:firstLine="420" w:firstLineChars="200"/>
        <w:rPr>
          <w:rFonts w:ascii="宋体" w:hAnsi="宋体"/>
        </w:rPr>
      </w:pPr>
      <w:r>
        <w:rPr>
          <w:rFonts w:ascii="宋体" w:hAnsi="宋体"/>
        </w:rPr>
        <w:t xml:space="preserve">c. </w:t>
      </w:r>
      <w:r>
        <w:rPr>
          <w:rFonts w:hint="eastAsia" w:ascii="宋体" w:hAnsi="宋体"/>
        </w:rPr>
        <w:t>单价金额小数点或者百分比有明显错位的，以开标一览表的总价为准，并修改单价；</w:t>
      </w:r>
    </w:p>
    <w:p w14:paraId="1CF9BD02">
      <w:pPr>
        <w:autoSpaceDE w:val="0"/>
        <w:autoSpaceDN w:val="0"/>
        <w:adjustRightInd w:val="0"/>
        <w:ind w:firstLine="420" w:firstLineChars="200"/>
        <w:rPr>
          <w:rFonts w:ascii="宋体" w:hAnsi="宋体"/>
        </w:rPr>
      </w:pPr>
      <w:r>
        <w:rPr>
          <w:rFonts w:ascii="宋体" w:hAnsi="宋体"/>
        </w:rPr>
        <w:t xml:space="preserve">d. </w:t>
      </w:r>
      <w:r>
        <w:rPr>
          <w:rFonts w:hint="eastAsia" w:ascii="宋体" w:hAnsi="宋体"/>
        </w:rPr>
        <w:t>总价金额与按单价汇总金额不一致的，以单价金额计算结果为准。</w:t>
      </w:r>
    </w:p>
    <w:p w14:paraId="3E6EF3D2">
      <w:pPr>
        <w:autoSpaceDE w:val="0"/>
        <w:autoSpaceDN w:val="0"/>
        <w:adjustRightInd w:val="0"/>
        <w:ind w:firstLine="420" w:firstLineChars="200"/>
        <w:rPr>
          <w:rFonts w:ascii="宋体" w:hAnsi="宋体"/>
        </w:rPr>
      </w:pPr>
      <w:r>
        <w:rPr>
          <w:rFonts w:hint="eastAsia" w:ascii="宋体" w:hAnsi="宋体"/>
        </w:rPr>
        <w:t>e. 同时出现两种以上不一致的，按照前款规定的顺序修正。修正后的最终投标报价若超过最高投标限价（如有），评审小组应当否决其投标。</w:t>
      </w:r>
    </w:p>
    <w:p w14:paraId="04410D8F">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 xml:space="preserve">.5 </w:t>
      </w:r>
      <w:r>
        <w:rPr>
          <w:rFonts w:hint="eastAsia" w:ascii="宋体" w:hAnsi="宋体"/>
        </w:rPr>
        <w:t>磋商小组发现供应商的报价明显低于其他供应商投标价格，使得其投标价格可能低于其成本的，应当要求该供应商作出书面说明并提供相应的证明材料。供应商不能合理说明或者不能提供相应证明材料的，由磋商小组认定该供应商以低于成本报价竞标，否决其投标。</w:t>
      </w:r>
    </w:p>
    <w:p w14:paraId="2AA43A7C">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 xml:space="preserve">.6 </w:t>
      </w:r>
      <w:r>
        <w:rPr>
          <w:rFonts w:hint="eastAsia" w:ascii="宋体" w:hAnsi="宋体"/>
        </w:rPr>
        <w:t>投标报价评分：对投标报价进行投标报价得分计算，计算方法详见评标办法前附表。</w:t>
      </w:r>
    </w:p>
    <w:p w14:paraId="620FF54B">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.7</w:t>
      </w:r>
      <w:r>
        <w:rPr>
          <w:rFonts w:hint="eastAsia" w:ascii="宋体" w:hAnsi="宋体"/>
        </w:rPr>
        <w:t>供应商综合得分即为：报价文件得分+商务技术文件得分，评分分值计算保留小数点后两位，小数点后第三位“四舍五入”。</w:t>
      </w:r>
    </w:p>
    <w:p w14:paraId="325DAC0C">
      <w:pPr>
        <w:autoSpaceDE w:val="0"/>
        <w:autoSpaceDN w:val="0"/>
        <w:adjustRightInd w:val="0"/>
        <w:ind w:firstLine="420" w:firstLineChars="200"/>
        <w:rPr>
          <w:rFonts w:ascii="宋体" w:hAnsi="宋体"/>
        </w:rPr>
      </w:pPr>
      <w:r>
        <w:rPr>
          <w:rFonts w:hint="eastAsia" w:ascii="宋体" w:hAnsi="宋体"/>
          <w:lang w:val="en-US" w:eastAsia="zh-CN"/>
        </w:rPr>
        <w:t>3.5</w:t>
      </w:r>
      <w:r>
        <w:rPr>
          <w:rFonts w:ascii="宋体" w:hAnsi="宋体"/>
        </w:rPr>
        <w:t xml:space="preserve">.8 </w:t>
      </w:r>
      <w:r>
        <w:rPr>
          <w:rFonts w:hint="eastAsia" w:ascii="宋体" w:hAnsi="宋体"/>
        </w:rPr>
        <w:t>详细评审工作全部结束后，供应商成交候选人排序按照以下原则进行。</w:t>
      </w:r>
    </w:p>
    <w:p w14:paraId="7733DA51">
      <w:pPr>
        <w:autoSpaceDE w:val="0"/>
        <w:autoSpaceDN w:val="0"/>
        <w:adjustRightInd w:val="0"/>
        <w:ind w:firstLine="420" w:firstLineChars="200"/>
        <w:rPr>
          <w:rFonts w:ascii="宋体" w:hAnsi="宋体"/>
        </w:rPr>
      </w:pPr>
      <w:r>
        <w:rPr>
          <w:rFonts w:hint="eastAsia" w:ascii="宋体" w:hAnsi="宋体"/>
        </w:rPr>
        <w:t>评审小组应当根据综合得分情况，按照供应商综合得分由高到低的顺序排列，依次推荐</w:t>
      </w:r>
      <w:r>
        <w:rPr>
          <w:rFonts w:ascii="宋体" w:hAnsi="宋体"/>
        </w:rPr>
        <w:t>3</w:t>
      </w:r>
      <w:r>
        <w:rPr>
          <w:rFonts w:hint="eastAsia" w:ascii="宋体" w:hAnsi="宋体"/>
        </w:rPr>
        <w:t>名成交候选人，并编写评审报告。供应商综合得分相同的，按照最终报价由低到高的顺序排列。供应商综合得分相同且最终报价也相同的并列，评审小组将按照随机抽取推荐。</w:t>
      </w:r>
    </w:p>
    <w:p w14:paraId="3EC50D90">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6</w:t>
      </w:r>
      <w:r>
        <w:rPr>
          <w:rFonts w:hint="eastAsia" w:ascii="宋体" w:hAnsi="宋体"/>
        </w:rPr>
        <w:t>推荐成交候选人及提交评标报告</w:t>
      </w:r>
    </w:p>
    <w:p w14:paraId="4B376637">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6</w:t>
      </w:r>
      <w:r>
        <w:rPr>
          <w:rFonts w:ascii="宋体" w:hAnsi="宋体"/>
        </w:rPr>
        <w:t>.1</w:t>
      </w:r>
      <w:r>
        <w:rPr>
          <w:rFonts w:hint="eastAsia" w:ascii="宋体" w:hAnsi="宋体"/>
        </w:rPr>
        <w:t>磋商小组推荐成交候选人，综合得分排序第一的供应商将被确定为第一成交候选人，以此类推确定出规定数量的的成交候选人。</w:t>
      </w:r>
    </w:p>
    <w:p w14:paraId="37D800E9">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6</w:t>
      </w:r>
      <w:r>
        <w:rPr>
          <w:rFonts w:ascii="宋体" w:hAnsi="宋体"/>
        </w:rPr>
        <w:t>.2</w:t>
      </w:r>
      <w:r>
        <w:rPr>
          <w:rFonts w:hint="eastAsia" w:ascii="宋体" w:hAnsi="宋体"/>
        </w:rPr>
        <w:t>当通过了资格审查、完备性及符合性审查后，供应商少于3个时，采购人应当依法重新采购。</w:t>
      </w:r>
    </w:p>
    <w:p w14:paraId="5E6E971A">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6</w:t>
      </w:r>
      <w:r>
        <w:rPr>
          <w:rFonts w:ascii="宋体" w:hAnsi="宋体"/>
        </w:rPr>
        <w:t xml:space="preserve">.3 </w:t>
      </w:r>
      <w:r>
        <w:rPr>
          <w:rFonts w:hint="eastAsia" w:ascii="宋体" w:hAnsi="宋体"/>
        </w:rPr>
        <w:t>磋商小组完成评标后，应当向采购人提交书面评标报告。</w:t>
      </w:r>
    </w:p>
    <w:p w14:paraId="016C2084">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7</w:t>
      </w:r>
      <w:r>
        <w:rPr>
          <w:rFonts w:hint="eastAsia" w:ascii="宋体" w:hAnsi="宋体"/>
        </w:rPr>
        <w:t>特殊情况的处置程序</w:t>
      </w:r>
    </w:p>
    <w:p w14:paraId="6CCC1FBF">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7</w:t>
      </w:r>
      <w:r>
        <w:rPr>
          <w:rFonts w:ascii="宋体" w:hAnsi="宋体"/>
        </w:rPr>
        <w:t xml:space="preserve">.1 </w:t>
      </w:r>
      <w:r>
        <w:rPr>
          <w:rFonts w:hint="eastAsia" w:ascii="宋体" w:hAnsi="宋体"/>
        </w:rPr>
        <w:t>关于评标活动暂停</w:t>
      </w:r>
    </w:p>
    <w:p w14:paraId="7B3B6818">
      <w:pPr>
        <w:autoSpaceDE w:val="0"/>
        <w:autoSpaceDN w:val="0"/>
        <w:adjustRightInd w:val="0"/>
        <w:ind w:firstLine="420" w:firstLineChars="200"/>
        <w:rPr>
          <w:rFonts w:ascii="宋体" w:hAnsi="宋体"/>
        </w:rPr>
      </w:pPr>
      <w:r>
        <w:rPr>
          <w:rFonts w:hint="eastAsia" w:ascii="宋体" w:hAnsi="宋体"/>
        </w:rPr>
        <w:t>磋商小组应当执行连续评标的原则，按评标办法中规定的程序、内容、方法、标准完成全部评标工作。只有发生不可抗力导致评标工作无法继续时，评标活动方可暂停。发生评标暂停情况时，应当封存全部竞争性磋商响应文件和评标记录，待不可抗力的影响结束且具备继续评标的条件时，由原磋商小组继续评标。</w:t>
      </w:r>
    </w:p>
    <w:p w14:paraId="4C7DAB20">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7</w:t>
      </w:r>
      <w:r>
        <w:rPr>
          <w:rFonts w:ascii="宋体" w:hAnsi="宋体"/>
        </w:rPr>
        <w:t>.2</w:t>
      </w:r>
      <w:r>
        <w:rPr>
          <w:rFonts w:hint="eastAsia" w:ascii="宋体" w:hAnsi="宋体"/>
        </w:rPr>
        <w:t>关于评标中途更换评委</w:t>
      </w:r>
    </w:p>
    <w:p w14:paraId="0637310A">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7</w:t>
      </w:r>
      <w:r>
        <w:rPr>
          <w:rFonts w:ascii="宋体" w:hAnsi="宋体"/>
        </w:rPr>
        <w:t xml:space="preserve">.2.1 </w:t>
      </w:r>
      <w:r>
        <w:rPr>
          <w:rFonts w:hint="eastAsia" w:ascii="宋体" w:hAnsi="宋体"/>
        </w:rPr>
        <w:t>除非发生下列情况之一，磋商小组成员不得在评标中途更换：</w:t>
      </w:r>
    </w:p>
    <w:p w14:paraId="6F847AB2">
      <w:pPr>
        <w:autoSpaceDE w:val="0"/>
        <w:autoSpaceDN w:val="0"/>
        <w:adjustRightInd w:val="0"/>
        <w:ind w:firstLine="420" w:firstLineChars="200"/>
        <w:rPr>
          <w:rFonts w:ascii="宋体" w:hAnsi="宋体"/>
        </w:rPr>
      </w:pPr>
      <w:r>
        <w:rPr>
          <w:rFonts w:hint="eastAsia" w:ascii="宋体" w:hAnsi="宋体"/>
        </w:rPr>
        <w:t>（</w:t>
      </w:r>
      <w:r>
        <w:rPr>
          <w:rFonts w:ascii="宋体" w:hAnsi="宋体"/>
        </w:rPr>
        <w:t>1</w:t>
      </w:r>
      <w:r>
        <w:rPr>
          <w:rFonts w:hint="eastAsia" w:ascii="宋体" w:hAnsi="宋体"/>
        </w:rPr>
        <w:t>）因不可抗拒的客观原因，不能到场或需在评标中途退出评标活动。</w:t>
      </w:r>
    </w:p>
    <w:p w14:paraId="07B6B163">
      <w:pPr>
        <w:autoSpaceDE w:val="0"/>
        <w:autoSpaceDN w:val="0"/>
        <w:adjustRightInd w:val="0"/>
        <w:ind w:firstLine="420" w:firstLineChars="200"/>
        <w:rPr>
          <w:rFonts w:ascii="宋体" w:hAnsi="宋体"/>
        </w:rPr>
      </w:pPr>
      <w:r>
        <w:rPr>
          <w:rFonts w:hint="eastAsia" w:ascii="宋体" w:hAnsi="宋体"/>
        </w:rPr>
        <w:t>（</w:t>
      </w:r>
      <w:r>
        <w:rPr>
          <w:rFonts w:ascii="宋体" w:hAnsi="宋体"/>
        </w:rPr>
        <w:t>2</w:t>
      </w:r>
      <w:r>
        <w:rPr>
          <w:rFonts w:hint="eastAsia" w:ascii="宋体" w:hAnsi="宋体"/>
        </w:rPr>
        <w:t>）根据法律法规规定，某个或某几个磋商小组成员需要回避。</w:t>
      </w:r>
    </w:p>
    <w:p w14:paraId="0772338F">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7</w:t>
      </w:r>
      <w:r>
        <w:rPr>
          <w:rFonts w:ascii="宋体" w:hAnsi="宋体"/>
        </w:rPr>
        <w:t xml:space="preserve">.2.2 </w:t>
      </w:r>
      <w:r>
        <w:rPr>
          <w:rFonts w:hint="eastAsia" w:ascii="宋体" w:hAnsi="宋体"/>
        </w:rPr>
        <w:t>退出评标的磋商小组成员，其已完成的评标行为无效，由更换的评委进行评标。</w:t>
      </w:r>
    </w:p>
    <w:p w14:paraId="3A8F12C4">
      <w:pPr>
        <w:autoSpaceDE w:val="0"/>
        <w:autoSpaceDN w:val="0"/>
        <w:adjustRightInd w:val="0"/>
        <w:ind w:firstLine="420" w:firstLineChars="200"/>
        <w:rPr>
          <w:rFonts w:ascii="宋体" w:hAnsi="宋体"/>
        </w:rPr>
      </w:pPr>
      <w:r>
        <w:rPr>
          <w:rFonts w:ascii="宋体" w:hAnsi="宋体"/>
        </w:rPr>
        <w:t>3.</w:t>
      </w:r>
      <w:r>
        <w:rPr>
          <w:rFonts w:hint="eastAsia" w:ascii="宋体" w:hAnsi="宋体"/>
          <w:lang w:val="en-US" w:eastAsia="zh-CN"/>
        </w:rPr>
        <w:t>7</w:t>
      </w:r>
      <w:r>
        <w:rPr>
          <w:rFonts w:ascii="宋体" w:hAnsi="宋体"/>
        </w:rPr>
        <w:t xml:space="preserve">.3 </w:t>
      </w:r>
      <w:r>
        <w:rPr>
          <w:rFonts w:hint="eastAsia" w:ascii="宋体" w:hAnsi="宋体"/>
        </w:rPr>
        <w:t>在评标环节中，需磋商小组就某项定性的评审结论做出表决的，由磋商小组全体成员按照少数服从多数的原则确定。</w:t>
      </w:r>
    </w:p>
    <w:p w14:paraId="0727D8D0">
      <w:pPr>
        <w:autoSpaceDE w:val="0"/>
        <w:autoSpaceDN w:val="0"/>
        <w:adjustRightInd w:val="0"/>
        <w:ind w:firstLine="420" w:firstLineChars="200"/>
        <w:rPr>
          <w:rFonts w:ascii="宋体" w:hAnsi="宋体"/>
        </w:rPr>
      </w:pPr>
    </w:p>
    <w:p w14:paraId="0A89E086">
      <w:pPr>
        <w:widowControl/>
        <w:jc w:val="left"/>
        <w:rPr>
          <w:rFonts w:ascii="宋体" w:hAnsi="宋体"/>
        </w:rPr>
      </w:pPr>
      <w:r>
        <w:rPr>
          <w:rFonts w:ascii="宋体" w:hAnsi="宋体"/>
        </w:rPr>
        <w:br w:type="page"/>
      </w:r>
    </w:p>
    <w:p w14:paraId="2200B9A9">
      <w:pPr>
        <w:autoSpaceDE w:val="0"/>
        <w:autoSpaceDN w:val="0"/>
        <w:adjustRightInd w:val="0"/>
        <w:ind w:firstLine="420" w:firstLineChars="200"/>
        <w:rPr>
          <w:rFonts w:ascii="宋体" w:hAnsi="宋体"/>
        </w:rPr>
      </w:pPr>
    </w:p>
    <w:p w14:paraId="0E63FDA1">
      <w:pPr>
        <w:autoSpaceDE w:val="0"/>
        <w:autoSpaceDN w:val="0"/>
        <w:adjustRightInd w:val="0"/>
        <w:ind w:firstLine="422" w:firstLineChars="200"/>
        <w:jc w:val="center"/>
        <w:rPr>
          <w:rFonts w:ascii="宋体" w:hAnsi="宋体"/>
          <w:b/>
          <w:szCs w:val="21"/>
        </w:rPr>
      </w:pPr>
      <w:r>
        <w:rPr>
          <w:rFonts w:hint="eastAsia" w:ascii="宋体" w:hAnsi="宋体"/>
          <w:b/>
          <w:szCs w:val="21"/>
        </w:rPr>
        <w:t>问题澄清通知</w:t>
      </w:r>
    </w:p>
    <w:p w14:paraId="2F92AA2A">
      <w:pPr>
        <w:rPr>
          <w:rFonts w:ascii="宋体" w:hAnsi="宋体"/>
          <w:szCs w:val="21"/>
        </w:rPr>
      </w:pPr>
    </w:p>
    <w:p w14:paraId="280358C0">
      <w:pPr>
        <w:rPr>
          <w:rFonts w:ascii="宋体" w:hAnsi="宋体" w:cs="Arial"/>
          <w:kern w:val="0"/>
          <w:szCs w:val="21"/>
        </w:rPr>
      </w:pPr>
      <w:r>
        <w:rPr>
          <w:rFonts w:hint="eastAsia" w:ascii="宋体" w:hAnsi="宋体" w:cs="Arial"/>
          <w:kern w:val="0"/>
          <w:szCs w:val="21"/>
        </w:rPr>
        <w:t>（供应商名称）：</w:t>
      </w:r>
    </w:p>
    <w:p w14:paraId="690ACADA">
      <w:pPr>
        <w:ind w:firstLine="420" w:firstLineChars="200"/>
        <w:rPr>
          <w:rFonts w:ascii="宋体" w:hAnsi="宋体" w:cs="Arial"/>
          <w:kern w:val="0"/>
          <w:szCs w:val="21"/>
        </w:rPr>
      </w:pPr>
      <w:r>
        <w:rPr>
          <w:rFonts w:hint="eastAsia" w:ascii="宋体" w:hAnsi="宋体" w:cs="Arial"/>
          <w:kern w:val="0"/>
          <w:szCs w:val="21"/>
        </w:rPr>
        <w:t>（采购项目名称）采购的磋商小组，对你方的响应文件进行了仔细的审查，现需你方对本通知所附质疑问卷中的问题以书面形式予以澄清、说明或者补正。</w:t>
      </w:r>
    </w:p>
    <w:p w14:paraId="6E335176">
      <w:pPr>
        <w:rPr>
          <w:rFonts w:ascii="宋体" w:hAnsi="宋体" w:cs="Arial"/>
          <w:kern w:val="0"/>
          <w:szCs w:val="21"/>
        </w:rPr>
      </w:pPr>
      <w:r>
        <w:rPr>
          <w:rFonts w:hint="eastAsia" w:ascii="宋体" w:hAnsi="宋体" w:cs="Arial"/>
          <w:kern w:val="0"/>
          <w:szCs w:val="21"/>
        </w:rPr>
        <w:t>质疑问题：</w:t>
      </w:r>
    </w:p>
    <w:p w14:paraId="69289073">
      <w:pPr>
        <w:rPr>
          <w:rFonts w:ascii="宋体" w:hAnsi="宋体" w:cs="Arial"/>
          <w:kern w:val="0"/>
          <w:szCs w:val="21"/>
        </w:rPr>
      </w:pPr>
    </w:p>
    <w:p w14:paraId="2532604A">
      <w:pPr>
        <w:rPr>
          <w:rFonts w:ascii="宋体" w:hAnsi="宋体" w:cs="Arial"/>
          <w:kern w:val="0"/>
          <w:szCs w:val="21"/>
        </w:rPr>
      </w:pPr>
    </w:p>
    <w:p w14:paraId="3FB2068C">
      <w:pPr>
        <w:rPr>
          <w:rFonts w:ascii="宋体" w:hAnsi="宋体" w:cs="Arial"/>
          <w:kern w:val="0"/>
          <w:szCs w:val="21"/>
        </w:rPr>
      </w:pPr>
    </w:p>
    <w:p w14:paraId="662D7605">
      <w:pPr>
        <w:rPr>
          <w:rFonts w:ascii="宋体" w:hAnsi="宋体" w:cs="Arial"/>
          <w:kern w:val="0"/>
          <w:szCs w:val="21"/>
        </w:rPr>
      </w:pPr>
    </w:p>
    <w:p w14:paraId="198E39B3">
      <w:pPr>
        <w:rPr>
          <w:rFonts w:ascii="宋体" w:hAnsi="宋体" w:cs="Arial"/>
          <w:kern w:val="0"/>
          <w:szCs w:val="21"/>
        </w:rPr>
      </w:pPr>
    </w:p>
    <w:p w14:paraId="456FD4BF">
      <w:pPr>
        <w:rPr>
          <w:rFonts w:ascii="宋体" w:hAnsi="宋体" w:cs="Arial"/>
          <w:kern w:val="0"/>
          <w:szCs w:val="21"/>
        </w:rPr>
      </w:pPr>
    </w:p>
    <w:p w14:paraId="6F6D1E81">
      <w:pPr>
        <w:rPr>
          <w:rFonts w:ascii="宋体" w:hAnsi="宋体" w:cs="Arial"/>
          <w:kern w:val="0"/>
          <w:szCs w:val="21"/>
        </w:rPr>
      </w:pPr>
    </w:p>
    <w:p w14:paraId="1A46CBB7">
      <w:pPr>
        <w:rPr>
          <w:rFonts w:ascii="宋体" w:hAnsi="宋体" w:cs="Arial"/>
          <w:kern w:val="0"/>
          <w:szCs w:val="21"/>
        </w:rPr>
      </w:pPr>
    </w:p>
    <w:p w14:paraId="4BB810FF">
      <w:pPr>
        <w:rPr>
          <w:rFonts w:ascii="宋体" w:hAnsi="宋体" w:cs="Arial"/>
          <w:kern w:val="0"/>
          <w:szCs w:val="21"/>
        </w:rPr>
      </w:pPr>
    </w:p>
    <w:p w14:paraId="3FB59CDE">
      <w:pPr>
        <w:rPr>
          <w:rFonts w:ascii="宋体" w:hAnsi="宋体" w:cs="Arial"/>
          <w:kern w:val="0"/>
          <w:szCs w:val="21"/>
        </w:rPr>
      </w:pPr>
    </w:p>
    <w:p w14:paraId="4B8D0607">
      <w:pPr>
        <w:rPr>
          <w:rFonts w:ascii="宋体" w:hAnsi="宋体" w:cs="Arial"/>
          <w:kern w:val="0"/>
          <w:szCs w:val="21"/>
        </w:rPr>
      </w:pPr>
      <w:r>
        <w:rPr>
          <w:rFonts w:hint="eastAsia" w:ascii="宋体" w:hAnsi="宋体" w:cs="Arial"/>
          <w:kern w:val="0"/>
          <w:szCs w:val="21"/>
        </w:rPr>
        <w:t>磋商小组（签字）：</w:t>
      </w:r>
    </w:p>
    <w:p w14:paraId="6BF0AC65">
      <w:pPr>
        <w:rPr>
          <w:rFonts w:ascii="宋体" w:hAnsi="宋体" w:cs="Arial"/>
          <w:kern w:val="0"/>
          <w:szCs w:val="21"/>
        </w:rPr>
      </w:pPr>
    </w:p>
    <w:p w14:paraId="373F3DFA">
      <w:pPr>
        <w:rPr>
          <w:rFonts w:ascii="宋体" w:hAnsi="宋体" w:cs="Arial"/>
          <w:kern w:val="0"/>
          <w:szCs w:val="21"/>
        </w:rPr>
      </w:pPr>
      <w:r>
        <w:rPr>
          <w:rFonts w:hint="eastAsia" w:ascii="宋体" w:hAnsi="宋体" w:cs="Arial"/>
          <w:kern w:val="0"/>
          <w:szCs w:val="21"/>
        </w:rPr>
        <w:t>日期：    年    月    日</w:t>
      </w:r>
    </w:p>
    <w:p w14:paraId="4E7C1C96">
      <w:pPr>
        <w:jc w:val="center"/>
        <w:rPr>
          <w:rFonts w:ascii="宋体" w:hAnsi="宋体"/>
          <w:b/>
          <w:szCs w:val="21"/>
        </w:rPr>
      </w:pPr>
      <w:r>
        <w:rPr>
          <w:rFonts w:hint="eastAsia" w:ascii="宋体" w:hAnsi="宋体" w:cs="Arial"/>
          <w:kern w:val="0"/>
          <w:szCs w:val="21"/>
        </w:rPr>
        <w:br w:type="page"/>
      </w:r>
      <w:r>
        <w:rPr>
          <w:rFonts w:hint="eastAsia" w:ascii="宋体" w:hAnsi="宋体"/>
          <w:b/>
          <w:szCs w:val="21"/>
        </w:rPr>
        <w:t>问题的澄清、说明或补正</w:t>
      </w:r>
    </w:p>
    <w:p w14:paraId="0CDE6291">
      <w:pPr>
        <w:rPr>
          <w:rFonts w:ascii="宋体" w:hAnsi="宋体" w:cs="Arial"/>
          <w:kern w:val="0"/>
          <w:szCs w:val="21"/>
        </w:rPr>
      </w:pPr>
    </w:p>
    <w:p w14:paraId="56251137">
      <w:pPr>
        <w:rPr>
          <w:rFonts w:ascii="宋体" w:hAnsi="宋体" w:cs="Arial"/>
          <w:kern w:val="0"/>
          <w:szCs w:val="21"/>
        </w:rPr>
      </w:pPr>
      <w:r>
        <w:rPr>
          <w:rFonts w:hint="eastAsia" w:ascii="宋体" w:hAnsi="宋体" w:cs="Arial"/>
          <w:kern w:val="0"/>
          <w:szCs w:val="21"/>
        </w:rPr>
        <w:t>磋商小组：</w:t>
      </w:r>
    </w:p>
    <w:p w14:paraId="5AAB7AE9">
      <w:pPr>
        <w:ind w:firstLine="420" w:firstLineChars="200"/>
        <w:rPr>
          <w:rFonts w:ascii="宋体" w:hAnsi="宋体" w:cs="Arial"/>
          <w:kern w:val="0"/>
          <w:szCs w:val="21"/>
        </w:rPr>
      </w:pPr>
      <w:r>
        <w:rPr>
          <w:rFonts w:hint="eastAsia" w:ascii="宋体" w:hAnsi="宋体" w:cs="Arial"/>
          <w:kern w:val="0"/>
          <w:szCs w:val="21"/>
        </w:rPr>
        <w:t>（采购项目名称）的问题澄清通知已收悉，现澄清、说明或者补正如下：</w:t>
      </w:r>
    </w:p>
    <w:p w14:paraId="316BA223">
      <w:pPr>
        <w:rPr>
          <w:rFonts w:ascii="宋体" w:hAnsi="宋体" w:cs="Arial"/>
          <w:kern w:val="0"/>
          <w:szCs w:val="21"/>
        </w:rPr>
      </w:pPr>
    </w:p>
    <w:p w14:paraId="53FC287A">
      <w:pPr>
        <w:rPr>
          <w:rFonts w:ascii="宋体" w:hAnsi="宋体" w:cs="Arial"/>
          <w:kern w:val="0"/>
          <w:szCs w:val="21"/>
        </w:rPr>
      </w:pPr>
    </w:p>
    <w:p w14:paraId="3C1E76B9">
      <w:pPr>
        <w:rPr>
          <w:rFonts w:ascii="宋体" w:hAnsi="宋体" w:cs="Arial"/>
          <w:kern w:val="0"/>
          <w:szCs w:val="21"/>
        </w:rPr>
      </w:pPr>
    </w:p>
    <w:p w14:paraId="13880ECF">
      <w:pPr>
        <w:rPr>
          <w:rFonts w:ascii="宋体" w:hAnsi="宋体" w:cs="Arial"/>
          <w:kern w:val="0"/>
          <w:szCs w:val="21"/>
        </w:rPr>
      </w:pPr>
    </w:p>
    <w:p w14:paraId="6B13FE2D">
      <w:pPr>
        <w:rPr>
          <w:rFonts w:ascii="宋体" w:hAnsi="宋体" w:cs="Arial"/>
          <w:kern w:val="0"/>
          <w:szCs w:val="21"/>
        </w:rPr>
      </w:pPr>
    </w:p>
    <w:p w14:paraId="40514491">
      <w:pPr>
        <w:rPr>
          <w:rFonts w:ascii="宋体" w:hAnsi="宋体" w:cs="Arial"/>
          <w:kern w:val="0"/>
          <w:szCs w:val="21"/>
        </w:rPr>
      </w:pPr>
    </w:p>
    <w:p w14:paraId="07F1AE68">
      <w:pPr>
        <w:rPr>
          <w:rFonts w:ascii="宋体" w:hAnsi="宋体" w:cs="Arial"/>
          <w:kern w:val="0"/>
          <w:szCs w:val="21"/>
        </w:rPr>
      </w:pPr>
    </w:p>
    <w:p w14:paraId="224C7A63">
      <w:pPr>
        <w:rPr>
          <w:rFonts w:ascii="宋体" w:hAnsi="宋体" w:cs="Arial"/>
          <w:kern w:val="0"/>
          <w:szCs w:val="21"/>
        </w:rPr>
      </w:pPr>
    </w:p>
    <w:p w14:paraId="58AFEFA8">
      <w:pPr>
        <w:rPr>
          <w:rFonts w:ascii="宋体" w:hAnsi="宋体" w:cs="Arial"/>
          <w:kern w:val="0"/>
          <w:szCs w:val="21"/>
        </w:rPr>
      </w:pPr>
    </w:p>
    <w:p w14:paraId="05A8BCC5">
      <w:pPr>
        <w:rPr>
          <w:rFonts w:ascii="宋体" w:hAnsi="宋体" w:cs="Arial"/>
          <w:kern w:val="0"/>
          <w:szCs w:val="21"/>
        </w:rPr>
      </w:pPr>
      <w:r>
        <w:rPr>
          <w:rFonts w:hint="eastAsia" w:ascii="宋体" w:hAnsi="宋体" w:cs="Arial"/>
          <w:kern w:val="0"/>
          <w:szCs w:val="21"/>
        </w:rPr>
        <w:t>法定代表人或其授权委托人（签字）：</w:t>
      </w:r>
    </w:p>
    <w:p w14:paraId="48D533DA">
      <w:pPr>
        <w:rPr>
          <w:rFonts w:ascii="宋体" w:hAnsi="宋体" w:cs="Arial"/>
          <w:kern w:val="0"/>
          <w:szCs w:val="21"/>
        </w:rPr>
      </w:pPr>
    </w:p>
    <w:p w14:paraId="4799C5B8">
      <w:pPr>
        <w:rPr>
          <w:rFonts w:ascii="宋体" w:hAnsi="宋体" w:cs="Arial"/>
          <w:kern w:val="0"/>
          <w:szCs w:val="21"/>
        </w:rPr>
      </w:pPr>
      <w:r>
        <w:rPr>
          <w:rFonts w:hint="eastAsia" w:ascii="宋体" w:hAnsi="宋体" w:cs="Arial"/>
          <w:kern w:val="0"/>
          <w:szCs w:val="21"/>
        </w:rPr>
        <w:t>日期：    年    月    日</w:t>
      </w:r>
    </w:p>
    <w:p w14:paraId="0B6BA239">
      <w:pPr>
        <w:spacing w:line="360" w:lineRule="auto"/>
        <w:jc w:val="center"/>
        <w:outlineLvl w:val="0"/>
        <w:rPr>
          <w:rFonts w:ascii="宋体" w:hAnsi="宋体" w:cs="宋体"/>
          <w:b/>
          <w:szCs w:val="21"/>
        </w:rPr>
      </w:pPr>
      <w:r>
        <w:rPr>
          <w:rFonts w:hint="eastAsia" w:ascii="宋体" w:hAnsi="宋体" w:cs="Arial"/>
          <w:kern w:val="0"/>
          <w:sz w:val="24"/>
          <w:szCs w:val="24"/>
        </w:rPr>
        <w:br w:type="page"/>
      </w:r>
      <w:bookmarkStart w:id="112" w:name="_Toc486588774"/>
      <w:bookmarkStart w:id="113" w:name="_Toc486588536"/>
      <w:bookmarkStart w:id="114" w:name="_Toc481666273"/>
      <w:bookmarkStart w:id="115" w:name="_Toc486588875"/>
      <w:bookmarkStart w:id="116" w:name="_Toc486588381"/>
      <w:bookmarkStart w:id="117" w:name="_Toc9773"/>
      <w:bookmarkStart w:id="118" w:name="_Toc481666747"/>
      <w:bookmarkStart w:id="119" w:name="_Toc486587990"/>
      <w:bookmarkStart w:id="120" w:name="_Toc481665065"/>
      <w:r>
        <w:rPr>
          <w:rFonts w:hint="eastAsia" w:ascii="宋体" w:hAnsi="宋体" w:cs="宋体"/>
          <w:b/>
          <w:szCs w:val="21"/>
        </w:rPr>
        <w:t>第三章  合同条款及格式</w:t>
      </w:r>
      <w:bookmarkEnd w:id="112"/>
      <w:bookmarkEnd w:id="113"/>
      <w:bookmarkEnd w:id="114"/>
      <w:bookmarkEnd w:id="115"/>
      <w:bookmarkEnd w:id="116"/>
      <w:bookmarkEnd w:id="117"/>
      <w:bookmarkEnd w:id="118"/>
      <w:bookmarkEnd w:id="119"/>
      <w:bookmarkEnd w:id="120"/>
    </w:p>
    <w:p w14:paraId="4BC386F0">
      <w:pPr>
        <w:rPr>
          <w:rFonts w:ascii="宋体" w:hAnsi="宋体"/>
          <w:b/>
          <w:bCs/>
        </w:rPr>
      </w:pPr>
      <w:bookmarkStart w:id="121" w:name="_Toc486588385"/>
      <w:bookmarkStart w:id="122" w:name="_Toc486588879"/>
      <w:bookmarkStart w:id="123" w:name="_Toc486587994"/>
      <w:bookmarkStart w:id="124" w:name="_Toc486588778"/>
      <w:bookmarkStart w:id="125" w:name="_Toc481666277"/>
      <w:bookmarkStart w:id="126" w:name="_Toc486588540"/>
      <w:bookmarkStart w:id="127" w:name="_Toc481666751"/>
      <w:r>
        <w:rPr>
          <w:rFonts w:hint="eastAsia" w:ascii="宋体" w:hAnsi="宋体"/>
          <w:b/>
          <w:bCs/>
        </w:rPr>
        <w:t xml:space="preserve">    执行住房城乡建设部及国家工商行政管理总局制定的建设工程施工合同（GF—2017—0201），以下合同条款内容仅供参考，以采购人实际签订为准</w:t>
      </w:r>
    </w:p>
    <w:p w14:paraId="1F279607">
      <w:pPr>
        <w:tabs>
          <w:tab w:val="center" w:pos="4832"/>
          <w:tab w:val="left" w:pos="7140"/>
        </w:tabs>
        <w:spacing w:line="360" w:lineRule="auto"/>
        <w:jc w:val="center"/>
        <w:outlineLvl w:val="1"/>
        <w:rPr>
          <w:rFonts w:ascii="宋体" w:hAnsi="宋体" w:cs="宋体"/>
          <w:b/>
          <w:szCs w:val="21"/>
        </w:rPr>
      </w:pPr>
      <w:bookmarkStart w:id="128" w:name="_Toc24408"/>
      <w:bookmarkStart w:id="129" w:name="_Toc504473201"/>
      <w:bookmarkStart w:id="130" w:name="_Toc504472591"/>
      <w:bookmarkStart w:id="131" w:name="_Toc481666750"/>
      <w:bookmarkStart w:id="132" w:name="_Toc481666276"/>
      <w:r>
        <w:rPr>
          <w:rFonts w:hint="eastAsia" w:ascii="宋体" w:hAnsi="宋体" w:cs="宋体"/>
          <w:b/>
          <w:szCs w:val="21"/>
        </w:rPr>
        <w:t>第一部分 合同协议书</w:t>
      </w:r>
      <w:bookmarkEnd w:id="128"/>
      <w:bookmarkEnd w:id="129"/>
      <w:bookmarkEnd w:id="130"/>
    </w:p>
    <w:p w14:paraId="58671212">
      <w:pPr>
        <w:ind w:firstLine="422" w:firstLineChars="200"/>
        <w:rPr>
          <w:b/>
          <w:u w:val="single"/>
        </w:rPr>
      </w:pPr>
      <w:bookmarkStart w:id="133" w:name="_Toc504472592"/>
      <w:r>
        <w:rPr>
          <w:b/>
        </w:rPr>
        <w:t>发包人（全称）：</w:t>
      </w:r>
      <w:r>
        <w:rPr>
          <w:b/>
          <w:u w:val="single"/>
        </w:rPr>
        <w:t>         </w:t>
      </w:r>
      <w:bookmarkEnd w:id="133"/>
    </w:p>
    <w:p w14:paraId="3EC2E2D2">
      <w:pPr>
        <w:ind w:firstLine="422" w:firstLineChars="200"/>
        <w:rPr>
          <w:b/>
          <w:u w:val="single"/>
        </w:rPr>
      </w:pPr>
      <w:bookmarkStart w:id="134" w:name="_Toc504472593"/>
      <w:r>
        <w:rPr>
          <w:b/>
        </w:rPr>
        <w:t>承包人（全称）：</w:t>
      </w:r>
      <w:r>
        <w:rPr>
          <w:b/>
          <w:u w:val="single"/>
        </w:rPr>
        <w:t>     </w:t>
      </w:r>
      <w:bookmarkEnd w:id="134"/>
      <w:r>
        <w:rPr>
          <w:rFonts w:hint="eastAsia"/>
          <w:b/>
          <w:u w:val="single"/>
        </w:rPr>
        <w:t xml:space="preserve">    </w:t>
      </w:r>
    </w:p>
    <w:p w14:paraId="0D834CE7">
      <w:pPr>
        <w:ind w:firstLine="420" w:firstLineChars="200"/>
      </w:pPr>
      <w:bookmarkStart w:id="135" w:name="_Toc504472594"/>
      <w:r>
        <w:t>根据《中华人民共和国</w:t>
      </w:r>
      <w:r>
        <w:rPr>
          <w:rFonts w:hint="eastAsia"/>
        </w:rPr>
        <w:t>民法典</w:t>
      </w:r>
      <w:r>
        <w:t>》、《中华人民共和国建筑法》及有关法律规定，遵循平等、自愿、公平和诚实信用的原则，双方就工程施工及有关事项协商一致</w:t>
      </w:r>
      <w:r>
        <w:rPr>
          <w:rFonts w:hint="eastAsia"/>
        </w:rPr>
        <w:t>，</w:t>
      </w:r>
      <w:r>
        <w:t>共同达成如下协议：</w:t>
      </w:r>
      <w:bookmarkEnd w:id="135"/>
    </w:p>
    <w:p w14:paraId="65869FD9">
      <w:pPr>
        <w:ind w:firstLine="422" w:firstLineChars="200"/>
        <w:rPr>
          <w:b/>
          <w:bCs/>
        </w:rPr>
      </w:pPr>
      <w:bookmarkStart w:id="136" w:name="_Toc504472595"/>
      <w:bookmarkStart w:id="137" w:name="_Toc351203481"/>
      <w:r>
        <w:rPr>
          <w:b/>
        </w:rPr>
        <w:t>一、工程概况</w:t>
      </w:r>
      <w:bookmarkEnd w:id="136"/>
      <w:bookmarkEnd w:id="137"/>
    </w:p>
    <w:p w14:paraId="3BEFF9CD">
      <w:pPr>
        <w:ind w:firstLine="420" w:firstLineChars="200"/>
        <w:rPr>
          <w:u w:val="single"/>
        </w:rPr>
      </w:pPr>
      <w:bookmarkStart w:id="138" w:name="_Toc504472596"/>
      <w:r>
        <w:rPr>
          <w:bCs/>
        </w:rPr>
        <w:t>1.工程名称</w:t>
      </w:r>
      <w:r>
        <w:t>：</w:t>
      </w:r>
      <w:r>
        <w:rPr>
          <w:u w:val="single"/>
        </w:rPr>
        <w:t xml:space="preserve"> </w:t>
      </w:r>
      <w:r>
        <w:t>。</w:t>
      </w:r>
      <w:bookmarkEnd w:id="138"/>
    </w:p>
    <w:p w14:paraId="10148B47">
      <w:pPr>
        <w:ind w:firstLine="420" w:firstLineChars="200"/>
        <w:rPr>
          <w:bCs/>
        </w:rPr>
      </w:pPr>
      <w:bookmarkStart w:id="139" w:name="_Toc504472597"/>
      <w:r>
        <w:rPr>
          <w:bCs/>
        </w:rPr>
        <w:t>2.工程地点：</w:t>
      </w:r>
      <w:r>
        <w:rPr>
          <w:u w:val="single"/>
        </w:rPr>
        <w:t xml:space="preserve"> </w:t>
      </w:r>
      <w:r>
        <w:t>。</w:t>
      </w:r>
      <w:bookmarkEnd w:id="139"/>
    </w:p>
    <w:p w14:paraId="36ADB292">
      <w:pPr>
        <w:ind w:firstLine="420" w:firstLineChars="200"/>
        <w:rPr>
          <w:bCs/>
        </w:rPr>
      </w:pPr>
      <w:bookmarkStart w:id="140" w:name="_Toc504472598"/>
      <w:r>
        <w:rPr>
          <w:bCs/>
        </w:rPr>
        <w:t>3.工程立项批准文号：</w:t>
      </w:r>
      <w:r>
        <w:rPr>
          <w:u w:val="single"/>
        </w:rPr>
        <w:t xml:space="preserve"> </w:t>
      </w:r>
      <w:r>
        <w:rPr>
          <w:bCs/>
        </w:rPr>
        <w:t>。</w:t>
      </w:r>
      <w:bookmarkEnd w:id="140"/>
    </w:p>
    <w:p w14:paraId="6F50E491">
      <w:pPr>
        <w:ind w:firstLine="420" w:firstLineChars="200"/>
        <w:rPr>
          <w:bCs/>
        </w:rPr>
      </w:pPr>
      <w:bookmarkStart w:id="141" w:name="_Toc504472599"/>
      <w:r>
        <w:rPr>
          <w:bCs/>
        </w:rPr>
        <w:t>4.资金来源：</w:t>
      </w:r>
      <w:r>
        <w:rPr>
          <w:u w:val="single"/>
        </w:rPr>
        <w:t xml:space="preserve"> </w:t>
      </w:r>
      <w:r>
        <w:rPr>
          <w:bCs/>
        </w:rPr>
        <w:t>。</w:t>
      </w:r>
      <w:bookmarkEnd w:id="141"/>
    </w:p>
    <w:p w14:paraId="27CB7E7F">
      <w:pPr>
        <w:ind w:firstLine="420" w:firstLineChars="200"/>
        <w:rPr>
          <w:bCs/>
        </w:rPr>
      </w:pPr>
      <w:bookmarkStart w:id="142" w:name="_Toc504472600"/>
      <w:r>
        <w:rPr>
          <w:rFonts w:hint="eastAsia"/>
          <w:bCs/>
        </w:rPr>
        <w:t>5.工程内容：</w:t>
      </w:r>
      <w:r>
        <w:rPr>
          <w:u w:val="single"/>
        </w:rPr>
        <w:t xml:space="preserve"> </w:t>
      </w:r>
      <w:r>
        <w:rPr>
          <w:bCs/>
        </w:rPr>
        <w:t>。</w:t>
      </w:r>
      <w:bookmarkEnd w:id="142"/>
    </w:p>
    <w:p w14:paraId="0E057629">
      <w:pPr>
        <w:ind w:firstLine="420" w:firstLineChars="200"/>
        <w:rPr>
          <w:bCs/>
        </w:rPr>
      </w:pPr>
      <w:bookmarkStart w:id="143" w:name="_Toc504472601"/>
      <w:r>
        <w:rPr>
          <w:rFonts w:hint="eastAsia"/>
        </w:rPr>
        <w:t>群体工程应附《</w:t>
      </w:r>
      <w:r>
        <w:t>承包人承揽工程项目一览表</w:t>
      </w:r>
      <w:r>
        <w:rPr>
          <w:rFonts w:hint="eastAsia"/>
        </w:rPr>
        <w:t>》（附件1）。</w:t>
      </w:r>
      <w:bookmarkEnd w:id="143"/>
    </w:p>
    <w:p w14:paraId="175BEF0E">
      <w:pPr>
        <w:ind w:firstLine="420" w:firstLineChars="200"/>
        <w:rPr>
          <w:bCs/>
        </w:rPr>
      </w:pPr>
      <w:bookmarkStart w:id="144" w:name="_Toc504472602"/>
      <w:r>
        <w:rPr>
          <w:rFonts w:hint="eastAsia"/>
          <w:bCs/>
        </w:rPr>
        <w:t>6</w:t>
      </w:r>
      <w:r>
        <w:rPr>
          <w:bCs/>
        </w:rPr>
        <w:t>.工程承包范围：</w:t>
      </w:r>
      <w:r>
        <w:rPr>
          <w:u w:val="single"/>
        </w:rPr>
        <w:t></w:t>
      </w:r>
      <w:r>
        <w:t>。</w:t>
      </w:r>
      <w:bookmarkEnd w:id="144"/>
    </w:p>
    <w:p w14:paraId="09D3D0D8">
      <w:pPr>
        <w:ind w:firstLine="422" w:firstLineChars="200"/>
        <w:rPr>
          <w:b/>
        </w:rPr>
      </w:pPr>
      <w:bookmarkStart w:id="145" w:name="_Toc504472603"/>
      <w:bookmarkStart w:id="146" w:name="_Toc351203482"/>
      <w:r>
        <w:rPr>
          <w:b/>
        </w:rPr>
        <w:t>二、合同工期</w:t>
      </w:r>
      <w:bookmarkEnd w:id="145"/>
      <w:bookmarkEnd w:id="146"/>
    </w:p>
    <w:p w14:paraId="5DE5DDDF">
      <w:pPr>
        <w:ind w:firstLine="420" w:firstLineChars="200"/>
        <w:rPr>
          <w:szCs w:val="21"/>
        </w:rPr>
      </w:pPr>
      <w:bookmarkStart w:id="147" w:name="_Toc504472606"/>
      <w:r>
        <w:rPr>
          <w:rFonts w:hint="eastAsia" w:cs="Arial" w:asciiTheme="minorEastAsia" w:hAnsiTheme="minorEastAsia" w:eastAsiaTheme="minorEastAsia"/>
          <w:kern w:val="0"/>
          <w:szCs w:val="21"/>
        </w:rPr>
        <w:t>自采购合同签订之日起</w:t>
      </w:r>
      <w:r>
        <w:rPr>
          <w:rFonts w:hint="eastAsia" w:cs="Arial" w:asciiTheme="minorEastAsia" w:hAnsiTheme="minorEastAsia" w:eastAsiaTheme="minorEastAsia"/>
          <w:kern w:val="0"/>
          <w:szCs w:val="21"/>
          <w:u w:val="single"/>
        </w:rPr>
        <w:t xml:space="preserve">     </w:t>
      </w:r>
      <w:r>
        <w:rPr>
          <w:rFonts w:hint="eastAsia" w:cs="Arial" w:asciiTheme="minorEastAsia" w:hAnsiTheme="minorEastAsia" w:eastAsiaTheme="minorEastAsia"/>
          <w:kern w:val="0"/>
          <w:szCs w:val="21"/>
        </w:rPr>
        <w:t>日历日内完成。</w:t>
      </w:r>
      <w:bookmarkEnd w:id="147"/>
    </w:p>
    <w:p w14:paraId="4EC18188">
      <w:pPr>
        <w:ind w:firstLine="422" w:firstLineChars="200"/>
        <w:rPr>
          <w:b/>
          <w:bCs/>
        </w:rPr>
      </w:pPr>
      <w:bookmarkStart w:id="148" w:name="_Toc504472607"/>
      <w:bookmarkStart w:id="149" w:name="_Toc351203483"/>
      <w:r>
        <w:rPr>
          <w:b/>
        </w:rPr>
        <w:t>三、质量标准</w:t>
      </w:r>
      <w:bookmarkEnd w:id="148"/>
      <w:bookmarkEnd w:id="149"/>
    </w:p>
    <w:p w14:paraId="39401F0B">
      <w:pPr>
        <w:ind w:firstLine="420" w:firstLineChars="200"/>
      </w:pPr>
      <w:bookmarkStart w:id="150" w:name="_Toc504472608"/>
      <w:r>
        <w:t>工程质量符合</w:t>
      </w:r>
      <w:r>
        <w:rPr>
          <w:u w:val="single"/>
        </w:rPr>
        <w:t></w:t>
      </w:r>
      <w:r>
        <w:t>标准。</w:t>
      </w:r>
      <w:bookmarkEnd w:id="150"/>
    </w:p>
    <w:p w14:paraId="3A76A27C">
      <w:pPr>
        <w:ind w:firstLine="422" w:firstLineChars="200"/>
        <w:rPr>
          <w:b/>
          <w:bCs/>
        </w:rPr>
      </w:pPr>
      <w:bookmarkStart w:id="151" w:name="_Toc351203484"/>
      <w:bookmarkStart w:id="152" w:name="_Toc504472609"/>
      <w:r>
        <w:rPr>
          <w:b/>
        </w:rPr>
        <w:t>四、签约合同价与合同价格形式</w:t>
      </w:r>
      <w:bookmarkEnd w:id="151"/>
      <w:bookmarkEnd w:id="152"/>
      <w:r>
        <w:rPr>
          <w:b/>
        </w:rPr>
        <w:tab/>
      </w:r>
    </w:p>
    <w:p w14:paraId="51EAF64E">
      <w:pPr>
        <w:ind w:firstLine="420" w:firstLineChars="200"/>
      </w:pPr>
      <w:bookmarkStart w:id="153" w:name="_Toc504472610"/>
      <w:r>
        <w:t>1.签约合同价为：</w:t>
      </w:r>
      <w:bookmarkEnd w:id="153"/>
    </w:p>
    <w:p w14:paraId="2190D314">
      <w:pPr>
        <w:ind w:firstLine="420" w:firstLineChars="200"/>
      </w:pPr>
      <w:bookmarkStart w:id="154" w:name="_Toc504472611"/>
      <w:r>
        <w:t>人民币（大写</w:t>
      </w:r>
      <w:r>
        <w:rPr>
          <w:u w:val="single"/>
        </w:rPr>
        <w:t></w:t>
      </w:r>
      <w:r>
        <w:t>）(¥</w:t>
      </w:r>
      <w:r>
        <w:rPr>
          <w:u w:val="single"/>
        </w:rPr>
        <w:t></w:t>
      </w:r>
      <w:r>
        <w:t>元)；</w:t>
      </w:r>
      <w:bookmarkEnd w:id="154"/>
    </w:p>
    <w:p w14:paraId="1E912728">
      <w:pPr>
        <w:ind w:firstLine="420" w:firstLineChars="200"/>
      </w:pPr>
      <w:bookmarkStart w:id="155" w:name="_Toc504472612"/>
      <w:r>
        <w:t>其中：</w:t>
      </w:r>
      <w:bookmarkEnd w:id="155"/>
      <w:r>
        <w:rPr>
          <w:u w:val="single"/>
        </w:rPr>
        <w:t></w:t>
      </w:r>
    </w:p>
    <w:p w14:paraId="25FA1B4F">
      <w:pPr>
        <w:ind w:firstLine="420" w:firstLineChars="200"/>
      </w:pPr>
      <w:bookmarkStart w:id="156" w:name="_Toc504472613"/>
      <w:r>
        <w:t>（1）安全文明施工费：</w:t>
      </w:r>
      <w:bookmarkEnd w:id="156"/>
    </w:p>
    <w:p w14:paraId="632E3D90">
      <w:pPr>
        <w:ind w:firstLine="420" w:firstLineChars="200"/>
      </w:pPr>
      <w:bookmarkStart w:id="157" w:name="_Toc504472614"/>
      <w:r>
        <w:t>人民币（大写）</w:t>
      </w:r>
      <w:r>
        <w:rPr>
          <w:u w:val="single"/>
        </w:rPr>
        <w:t></w:t>
      </w:r>
      <w:r>
        <w:t xml:space="preserve"> (¥</w:t>
      </w:r>
      <w:r>
        <w:rPr>
          <w:u w:val="single"/>
        </w:rPr>
        <w:t></w:t>
      </w:r>
      <w:r>
        <w:t>元)；</w:t>
      </w:r>
      <w:bookmarkEnd w:id="157"/>
    </w:p>
    <w:p w14:paraId="38A33081">
      <w:pPr>
        <w:ind w:firstLine="420" w:firstLineChars="200"/>
      </w:pPr>
      <w:bookmarkStart w:id="158" w:name="_Toc504472615"/>
      <w:r>
        <w:t>（2）材料和工程设备暂估价金额：</w:t>
      </w:r>
      <w:bookmarkEnd w:id="158"/>
    </w:p>
    <w:p w14:paraId="0A25DEA3">
      <w:pPr>
        <w:ind w:firstLine="420" w:firstLineChars="200"/>
      </w:pPr>
      <w:bookmarkStart w:id="159" w:name="_Toc504472616"/>
      <w:r>
        <w:t>人民币（大写）</w:t>
      </w:r>
      <w:r>
        <w:rPr>
          <w:u w:val="single"/>
        </w:rPr>
        <w:t></w:t>
      </w:r>
      <w:r>
        <w:t xml:space="preserve"> (¥</w:t>
      </w:r>
      <w:r>
        <w:rPr>
          <w:u w:val="single"/>
        </w:rPr>
        <w:t></w:t>
      </w:r>
      <w:r>
        <w:t>元)；</w:t>
      </w:r>
      <w:bookmarkEnd w:id="159"/>
    </w:p>
    <w:p w14:paraId="195144C4">
      <w:pPr>
        <w:ind w:firstLine="420" w:firstLineChars="200"/>
      </w:pPr>
      <w:bookmarkStart w:id="160" w:name="_Toc504472617"/>
      <w:r>
        <w:t>（3）专业工程暂估价金额：</w:t>
      </w:r>
      <w:bookmarkEnd w:id="160"/>
    </w:p>
    <w:p w14:paraId="0C50418F">
      <w:pPr>
        <w:ind w:firstLine="420" w:firstLineChars="200"/>
      </w:pPr>
      <w:bookmarkStart w:id="161" w:name="_Toc504472618"/>
      <w:r>
        <w:t>人民币（大写）</w:t>
      </w:r>
      <w:r>
        <w:rPr>
          <w:u w:val="single"/>
        </w:rPr>
        <w:t></w:t>
      </w:r>
      <w:r>
        <w:t xml:space="preserve"> (¥</w:t>
      </w:r>
      <w:r>
        <w:rPr>
          <w:u w:val="single"/>
        </w:rPr>
        <w:t></w:t>
      </w:r>
      <w:r>
        <w:t>元)；</w:t>
      </w:r>
      <w:bookmarkEnd w:id="161"/>
    </w:p>
    <w:p w14:paraId="35293FDC">
      <w:pPr>
        <w:ind w:firstLine="420" w:firstLineChars="200"/>
      </w:pPr>
      <w:bookmarkStart w:id="162" w:name="_Toc504472619"/>
      <w:r>
        <w:t>（4）暂列金额：</w:t>
      </w:r>
      <w:bookmarkEnd w:id="162"/>
    </w:p>
    <w:p w14:paraId="7DE22025">
      <w:pPr>
        <w:ind w:firstLine="420" w:firstLineChars="200"/>
      </w:pPr>
      <w:bookmarkStart w:id="163" w:name="_Toc504472620"/>
      <w:r>
        <w:t>人民币（大写）</w:t>
      </w:r>
      <w:r>
        <w:rPr>
          <w:u w:val="single"/>
        </w:rPr>
        <w:t></w:t>
      </w:r>
      <w:r>
        <w:t xml:space="preserve"> (¥</w:t>
      </w:r>
      <w:r>
        <w:rPr>
          <w:u w:val="single"/>
        </w:rPr>
        <w:t></w:t>
      </w:r>
      <w:r>
        <w:t>元)。</w:t>
      </w:r>
      <w:bookmarkEnd w:id="163"/>
    </w:p>
    <w:p w14:paraId="1736295F">
      <w:pPr>
        <w:ind w:firstLine="420" w:firstLineChars="200"/>
      </w:pPr>
      <w:bookmarkStart w:id="164" w:name="_Toc504472621"/>
      <w:r>
        <w:t>2.合同价格形式：</w:t>
      </w:r>
      <w:r>
        <w:rPr>
          <w:u w:val="single"/>
        </w:rPr>
        <w:t>           </w:t>
      </w:r>
      <w:r>
        <w:t>。</w:t>
      </w:r>
      <w:bookmarkEnd w:id="164"/>
    </w:p>
    <w:p w14:paraId="0F83BA3B">
      <w:pPr>
        <w:ind w:firstLine="422" w:firstLineChars="200"/>
        <w:rPr>
          <w:b/>
        </w:rPr>
      </w:pPr>
      <w:bookmarkStart w:id="165" w:name="_Toc351203485"/>
      <w:bookmarkStart w:id="166" w:name="_Toc504472622"/>
      <w:r>
        <w:rPr>
          <w:b/>
        </w:rPr>
        <w:t>五、</w:t>
      </w:r>
      <w:bookmarkEnd w:id="165"/>
      <w:r>
        <w:rPr>
          <w:b/>
        </w:rPr>
        <w:t>项目经理</w:t>
      </w:r>
      <w:bookmarkEnd w:id="166"/>
    </w:p>
    <w:p w14:paraId="53728400">
      <w:pPr>
        <w:ind w:firstLine="420" w:firstLineChars="200"/>
      </w:pPr>
      <w:bookmarkStart w:id="167" w:name="_Toc504472623"/>
      <w:r>
        <w:t>承包人项目经理：</w:t>
      </w:r>
      <w:r>
        <w:rPr>
          <w:u w:val="single"/>
        </w:rPr>
        <w:t>         </w:t>
      </w:r>
      <w:r>
        <w:t>。</w:t>
      </w:r>
      <w:bookmarkEnd w:id="167"/>
    </w:p>
    <w:p w14:paraId="0D2794B0">
      <w:pPr>
        <w:ind w:firstLine="422" w:firstLineChars="200"/>
        <w:rPr>
          <w:b/>
          <w:bCs/>
        </w:rPr>
      </w:pPr>
      <w:bookmarkStart w:id="168" w:name="_Toc504472624"/>
      <w:bookmarkStart w:id="169" w:name="_Toc351203486"/>
      <w:r>
        <w:rPr>
          <w:b/>
        </w:rPr>
        <w:t>六、合同文件构成</w:t>
      </w:r>
      <w:bookmarkEnd w:id="168"/>
      <w:bookmarkEnd w:id="169"/>
    </w:p>
    <w:p w14:paraId="417B1DA6">
      <w:pPr>
        <w:ind w:firstLine="420" w:firstLineChars="200"/>
        <w:rPr>
          <w:bCs/>
        </w:rPr>
      </w:pPr>
      <w:bookmarkStart w:id="170" w:name="_Toc504472625"/>
      <w:r>
        <w:rPr>
          <w:bCs/>
        </w:rPr>
        <w:t>本协议书与下列文件一起构成合同文件：</w:t>
      </w:r>
      <w:bookmarkEnd w:id="170"/>
    </w:p>
    <w:p w14:paraId="4C2F50DD">
      <w:pPr>
        <w:ind w:firstLine="420" w:firstLineChars="200"/>
      </w:pPr>
      <w:bookmarkStart w:id="171" w:name="_Toc504472626"/>
      <w:r>
        <w:t>（1）成交通知书（如果有）；</w:t>
      </w:r>
      <w:bookmarkEnd w:id="171"/>
    </w:p>
    <w:p w14:paraId="48CFAC28">
      <w:pPr>
        <w:ind w:firstLine="420" w:firstLineChars="200"/>
      </w:pPr>
      <w:bookmarkStart w:id="172" w:name="_Toc504472627"/>
      <w:r>
        <w:t>（2）投标函及其附录（如果有）；</w:t>
      </w:r>
      <w:bookmarkEnd w:id="172"/>
    </w:p>
    <w:p w14:paraId="14CE8170">
      <w:pPr>
        <w:ind w:firstLine="420" w:firstLineChars="200"/>
      </w:pPr>
      <w:bookmarkStart w:id="173" w:name="_Toc504472628"/>
      <w:r>
        <w:t>（3）专用合同条款及其附件；</w:t>
      </w:r>
      <w:bookmarkEnd w:id="173"/>
    </w:p>
    <w:p w14:paraId="3152E950">
      <w:pPr>
        <w:ind w:firstLine="420" w:firstLineChars="200"/>
      </w:pPr>
      <w:bookmarkStart w:id="174" w:name="_Toc504472629"/>
      <w:r>
        <w:t>（4）通用合同条款；</w:t>
      </w:r>
      <w:bookmarkEnd w:id="174"/>
    </w:p>
    <w:p w14:paraId="6DCDAC26">
      <w:pPr>
        <w:ind w:firstLine="420" w:firstLineChars="200"/>
      </w:pPr>
      <w:bookmarkStart w:id="175" w:name="_Toc504472630"/>
      <w:r>
        <w:t>（5）技术文件准和要求；</w:t>
      </w:r>
      <w:bookmarkEnd w:id="175"/>
    </w:p>
    <w:p w14:paraId="58F3735C">
      <w:pPr>
        <w:ind w:firstLine="420" w:firstLineChars="200"/>
      </w:pPr>
      <w:bookmarkStart w:id="176" w:name="_Toc504472631"/>
      <w:r>
        <w:t>（6）图纸；</w:t>
      </w:r>
      <w:bookmarkEnd w:id="176"/>
    </w:p>
    <w:p w14:paraId="3DFE3DEC">
      <w:pPr>
        <w:ind w:firstLine="420" w:firstLineChars="200"/>
      </w:pPr>
      <w:bookmarkStart w:id="177" w:name="_Toc504472632"/>
      <w:r>
        <w:t>（7）已标价工程量清单或预算书；</w:t>
      </w:r>
      <w:bookmarkEnd w:id="177"/>
    </w:p>
    <w:p w14:paraId="2274846C">
      <w:pPr>
        <w:ind w:firstLine="420" w:firstLineChars="200"/>
      </w:pPr>
      <w:bookmarkStart w:id="178" w:name="_Toc504472633"/>
      <w:r>
        <w:t>（8）其他合同文件。</w:t>
      </w:r>
      <w:bookmarkEnd w:id="178"/>
    </w:p>
    <w:p w14:paraId="0832CD69">
      <w:pPr>
        <w:ind w:firstLine="420" w:firstLineChars="200"/>
      </w:pPr>
      <w:bookmarkStart w:id="179" w:name="_Toc504472634"/>
      <w:r>
        <w:t>在合同订立及履行过程中形成的与合同有关的文件均构成合同文件组成部分。</w:t>
      </w:r>
      <w:bookmarkEnd w:id="179"/>
    </w:p>
    <w:p w14:paraId="25339C49">
      <w:pPr>
        <w:ind w:firstLine="420" w:firstLineChars="200"/>
      </w:pPr>
      <w:bookmarkStart w:id="180" w:name="_Toc504472635"/>
      <w:r>
        <w:t>上述各项合同文件包括合同当事人就该项合同文件所作出的补充和修改，属于同一类内容的文件，应以最新签署的为准。</w:t>
      </w:r>
      <w:r>
        <w:rPr>
          <w:rFonts w:hint="eastAsia"/>
        </w:rPr>
        <w:t>专用合同条款及其附件须经合同当事人签字或盖章。</w:t>
      </w:r>
      <w:bookmarkEnd w:id="180"/>
    </w:p>
    <w:p w14:paraId="4D664EA5">
      <w:pPr>
        <w:ind w:firstLine="422" w:firstLineChars="200"/>
        <w:rPr>
          <w:b/>
          <w:bCs/>
        </w:rPr>
      </w:pPr>
      <w:bookmarkStart w:id="181" w:name="_Toc351203487"/>
      <w:bookmarkStart w:id="182" w:name="_Toc504472636"/>
      <w:r>
        <w:rPr>
          <w:b/>
        </w:rPr>
        <w:t>七、承诺</w:t>
      </w:r>
      <w:bookmarkEnd w:id="181"/>
      <w:bookmarkEnd w:id="182"/>
    </w:p>
    <w:p w14:paraId="3938BC95">
      <w:pPr>
        <w:ind w:firstLine="420" w:firstLineChars="200"/>
        <w:rPr>
          <w:bCs/>
        </w:rPr>
      </w:pPr>
      <w:bookmarkStart w:id="183" w:name="_Toc504472637"/>
      <w:r>
        <w:rPr>
          <w:bCs/>
        </w:rPr>
        <w:t>1.发包人承诺按照法律规定履行项目审批手续、筹集工程建设资金并按照合同约定的期限和方式支付合同价款。</w:t>
      </w:r>
      <w:bookmarkEnd w:id="183"/>
    </w:p>
    <w:p w14:paraId="26A1ABED">
      <w:pPr>
        <w:ind w:firstLine="420" w:firstLineChars="200"/>
        <w:rPr>
          <w:bCs/>
        </w:rPr>
      </w:pPr>
      <w:bookmarkStart w:id="184" w:name="_Toc504472638"/>
      <w:r>
        <w:rPr>
          <w:bCs/>
        </w:rPr>
        <w:t>2.承包人承诺按照法律规定及合同约定组织完成工程施工，确保工程质量和安全，不进行转包及违法分包，并在缺陷责任期及保修期内承担相应的工程维修责任。</w:t>
      </w:r>
      <w:bookmarkEnd w:id="184"/>
    </w:p>
    <w:p w14:paraId="007F6578">
      <w:pPr>
        <w:ind w:firstLine="420" w:firstLineChars="200"/>
        <w:rPr>
          <w:bCs/>
        </w:rPr>
      </w:pPr>
      <w:bookmarkStart w:id="185" w:name="_Toc504472639"/>
      <w:r>
        <w:rPr>
          <w:bCs/>
        </w:rPr>
        <w:t>3.发包人和承包人通过招投标形式签订合同的，双方理解并</w:t>
      </w:r>
      <w:r>
        <w:rPr>
          <w:rFonts w:hint="eastAsia"/>
          <w:bCs/>
        </w:rPr>
        <w:t>承诺</w:t>
      </w:r>
      <w:r>
        <w:rPr>
          <w:bCs/>
        </w:rPr>
        <w:t>不再就同一工程另行签订与合同实质性内容相背离的协议。</w:t>
      </w:r>
      <w:bookmarkEnd w:id="185"/>
    </w:p>
    <w:p w14:paraId="18F088B1">
      <w:pPr>
        <w:ind w:firstLine="422" w:firstLineChars="200"/>
        <w:rPr>
          <w:b/>
          <w:bCs/>
        </w:rPr>
      </w:pPr>
      <w:bookmarkStart w:id="186" w:name="_Toc351203488"/>
      <w:bookmarkStart w:id="187" w:name="_Toc504472640"/>
      <w:r>
        <w:rPr>
          <w:b/>
        </w:rPr>
        <w:t>八、词语含义</w:t>
      </w:r>
      <w:bookmarkEnd w:id="186"/>
      <w:bookmarkEnd w:id="187"/>
    </w:p>
    <w:p w14:paraId="71FC819D">
      <w:pPr>
        <w:ind w:firstLine="420" w:firstLineChars="200"/>
        <w:rPr>
          <w:bCs/>
        </w:rPr>
      </w:pPr>
      <w:bookmarkStart w:id="188" w:name="_Toc504472641"/>
      <w:r>
        <w:rPr>
          <w:bCs/>
        </w:rPr>
        <w:t>本协议书中词语含义与第二部分通用合同条款中赋予的含义相同。</w:t>
      </w:r>
      <w:bookmarkEnd w:id="188"/>
    </w:p>
    <w:p w14:paraId="7D199052">
      <w:pPr>
        <w:ind w:firstLine="422" w:firstLineChars="200"/>
        <w:rPr>
          <w:b/>
          <w:bCs/>
        </w:rPr>
      </w:pPr>
      <w:bookmarkStart w:id="189" w:name="_Toc351203489"/>
      <w:bookmarkStart w:id="190" w:name="_Toc504472642"/>
      <w:r>
        <w:rPr>
          <w:b/>
        </w:rPr>
        <w:t>九、签订时间</w:t>
      </w:r>
      <w:bookmarkEnd w:id="189"/>
      <w:bookmarkEnd w:id="190"/>
    </w:p>
    <w:p w14:paraId="42728A97">
      <w:pPr>
        <w:ind w:firstLine="420" w:firstLineChars="200"/>
        <w:rPr>
          <w:bCs/>
        </w:rPr>
      </w:pPr>
      <w:bookmarkStart w:id="191" w:name="_Toc504472643"/>
      <w:r>
        <w:rPr>
          <w:bCs/>
        </w:rPr>
        <w:t>本合同于</w:t>
      </w:r>
      <w:r>
        <w:rPr>
          <w:rFonts w:hint="eastAsia"/>
          <w:bCs/>
          <w:u w:val="single"/>
        </w:rPr>
        <w:t xml:space="preserve">   </w:t>
      </w:r>
      <w:r>
        <w:rPr>
          <w:bCs/>
        </w:rPr>
        <w:t>年</w:t>
      </w:r>
      <w:r>
        <w:rPr>
          <w:rFonts w:hint="eastAsia"/>
          <w:bCs/>
          <w:u w:val="single"/>
        </w:rPr>
        <w:t xml:space="preserve">   </w:t>
      </w:r>
      <w:r>
        <w:rPr>
          <w:bCs/>
        </w:rPr>
        <w:t>月</w:t>
      </w:r>
      <w:r>
        <w:rPr>
          <w:rFonts w:hint="eastAsia"/>
          <w:bCs/>
          <w:u w:val="single"/>
        </w:rPr>
        <w:t xml:space="preserve">   </w:t>
      </w:r>
      <w:r>
        <w:rPr>
          <w:bCs/>
        </w:rPr>
        <w:t>日签订。</w:t>
      </w:r>
      <w:bookmarkEnd w:id="191"/>
    </w:p>
    <w:p w14:paraId="1CB42B7C">
      <w:pPr>
        <w:ind w:firstLine="422" w:firstLineChars="200"/>
        <w:rPr>
          <w:b/>
          <w:bCs/>
        </w:rPr>
      </w:pPr>
      <w:bookmarkStart w:id="192" w:name="_Toc504472644"/>
      <w:bookmarkStart w:id="193" w:name="_Toc351203490"/>
      <w:r>
        <w:rPr>
          <w:b/>
        </w:rPr>
        <w:t>十、签订地点</w:t>
      </w:r>
      <w:bookmarkEnd w:id="192"/>
      <w:bookmarkEnd w:id="193"/>
    </w:p>
    <w:p w14:paraId="5F7FC5E7">
      <w:pPr>
        <w:ind w:firstLine="420" w:firstLineChars="200"/>
        <w:rPr>
          <w:bCs/>
        </w:rPr>
      </w:pPr>
      <w:bookmarkStart w:id="194" w:name="_Toc504472645"/>
      <w:r>
        <w:rPr>
          <w:bCs/>
        </w:rPr>
        <w:t>本合同在签订。</w:t>
      </w:r>
      <w:bookmarkEnd w:id="194"/>
    </w:p>
    <w:p w14:paraId="73B5D317">
      <w:pPr>
        <w:ind w:firstLine="422" w:firstLineChars="200"/>
        <w:rPr>
          <w:b/>
          <w:bCs/>
        </w:rPr>
      </w:pPr>
      <w:bookmarkStart w:id="195" w:name="_Toc351203491"/>
      <w:bookmarkStart w:id="196" w:name="_Toc504472646"/>
      <w:r>
        <w:rPr>
          <w:b/>
        </w:rPr>
        <w:t>十一、补充协议</w:t>
      </w:r>
      <w:bookmarkEnd w:id="195"/>
      <w:bookmarkEnd w:id="196"/>
    </w:p>
    <w:p w14:paraId="504EF0C8">
      <w:pPr>
        <w:ind w:firstLine="420" w:firstLineChars="200"/>
        <w:rPr>
          <w:b/>
          <w:bCs/>
        </w:rPr>
      </w:pPr>
      <w:bookmarkStart w:id="197" w:name="_Toc504472647"/>
      <w:r>
        <w:rPr>
          <w:bCs/>
        </w:rPr>
        <w:t>合同未尽事宜，合同当事人另行签订补充协议</w:t>
      </w:r>
      <w:r>
        <w:rPr>
          <w:rFonts w:hint="eastAsia"/>
          <w:bCs/>
        </w:rPr>
        <w:t>，</w:t>
      </w:r>
      <w:r>
        <w:rPr>
          <w:bCs/>
        </w:rPr>
        <w:t>补充协议是合同的组成部分。</w:t>
      </w:r>
      <w:bookmarkEnd w:id="197"/>
    </w:p>
    <w:p w14:paraId="7099E3BF">
      <w:pPr>
        <w:ind w:firstLine="422" w:firstLineChars="200"/>
        <w:rPr>
          <w:b/>
          <w:bCs/>
        </w:rPr>
      </w:pPr>
      <w:bookmarkStart w:id="198" w:name="_Toc504472648"/>
      <w:bookmarkStart w:id="199" w:name="_Toc351203492"/>
      <w:r>
        <w:rPr>
          <w:b/>
        </w:rPr>
        <w:t>十二、合同生效</w:t>
      </w:r>
      <w:bookmarkEnd w:id="198"/>
      <w:bookmarkEnd w:id="199"/>
    </w:p>
    <w:p w14:paraId="0366A181">
      <w:pPr>
        <w:ind w:firstLine="420" w:firstLineChars="200"/>
        <w:rPr>
          <w:bCs/>
        </w:rPr>
      </w:pPr>
      <w:bookmarkStart w:id="200" w:name="_Toc504472649"/>
      <w:r>
        <w:rPr>
          <w:bCs/>
        </w:rPr>
        <w:t>本合同自生效。</w:t>
      </w:r>
      <w:bookmarkEnd w:id="200"/>
    </w:p>
    <w:p w14:paraId="6148C8BB">
      <w:pPr>
        <w:ind w:firstLine="422" w:firstLineChars="200"/>
        <w:rPr>
          <w:b/>
          <w:bCs/>
        </w:rPr>
      </w:pPr>
      <w:bookmarkStart w:id="201" w:name="_Toc504472650"/>
      <w:bookmarkStart w:id="202" w:name="_Toc351203493"/>
      <w:r>
        <w:rPr>
          <w:b/>
        </w:rPr>
        <w:t>十三、合同份数</w:t>
      </w:r>
      <w:bookmarkEnd w:id="201"/>
      <w:bookmarkEnd w:id="202"/>
    </w:p>
    <w:p w14:paraId="2F06A64A">
      <w:pPr>
        <w:ind w:firstLine="420" w:firstLineChars="200"/>
        <w:rPr>
          <w:bCs/>
        </w:rPr>
      </w:pPr>
      <w:bookmarkStart w:id="203" w:name="_Toc504472651"/>
      <w:r>
        <w:rPr>
          <w:bCs/>
        </w:rPr>
        <w:t>本合同一式份，均具有同等法律效力，发包人执</w:t>
      </w:r>
      <w:r>
        <w:rPr>
          <w:rFonts w:hint="eastAsia"/>
          <w:bCs/>
          <w:u w:val="single"/>
        </w:rPr>
        <w:t xml:space="preserve">   </w:t>
      </w:r>
      <w:r>
        <w:rPr>
          <w:bCs/>
        </w:rPr>
        <w:t>份，承包人执</w:t>
      </w:r>
      <w:r>
        <w:rPr>
          <w:rFonts w:hint="eastAsia"/>
          <w:bCs/>
          <w:u w:val="single"/>
        </w:rPr>
        <w:t xml:space="preserve">   </w:t>
      </w:r>
      <w:r>
        <w:rPr>
          <w:bCs/>
        </w:rPr>
        <w:t>份。</w:t>
      </w:r>
      <w:bookmarkEnd w:id="203"/>
    </w:p>
    <w:p w14:paraId="17C7FE77">
      <w:pPr>
        <w:ind w:firstLine="420" w:firstLineChars="200"/>
      </w:pPr>
      <w:bookmarkStart w:id="204" w:name="_Toc504472652"/>
      <w:r>
        <w:t>发包人</w:t>
      </w:r>
      <w:r>
        <w:rPr>
          <w:rFonts w:hint="eastAsia"/>
        </w:rPr>
        <w:t>：</w:t>
      </w:r>
      <w:r>
        <w:t>(公章)</w:t>
      </w:r>
      <w:r>
        <w:rPr>
          <w:rFonts w:hint="eastAsia"/>
        </w:rPr>
        <w:t xml:space="preserve">                                   </w:t>
      </w:r>
      <w:r>
        <w:t>承包人</w:t>
      </w:r>
      <w:r>
        <w:rPr>
          <w:rFonts w:hint="eastAsia"/>
        </w:rPr>
        <w:t>：</w:t>
      </w:r>
      <w:r>
        <w:t>(公章)</w:t>
      </w:r>
      <w:bookmarkEnd w:id="204"/>
    </w:p>
    <w:p w14:paraId="312F251B">
      <w:pPr>
        <w:ind w:firstLine="420" w:firstLineChars="200"/>
        <w:rPr>
          <w:u w:val="single"/>
        </w:rPr>
      </w:pPr>
    </w:p>
    <w:p w14:paraId="47F515E0">
      <w:pPr>
        <w:ind w:firstLine="420" w:firstLineChars="200"/>
      </w:pPr>
      <w:bookmarkStart w:id="205" w:name="_Toc504472653"/>
      <w:r>
        <w:rPr>
          <w:rFonts w:hint="eastAsia"/>
        </w:rPr>
        <w:t>法定代表人或其委托代理人：                      法定代表人或其委托代理人：</w:t>
      </w:r>
      <w:bookmarkEnd w:id="205"/>
    </w:p>
    <w:p w14:paraId="440CC83E">
      <w:pPr>
        <w:ind w:firstLine="420" w:firstLineChars="200"/>
      </w:pPr>
      <w:bookmarkStart w:id="206" w:name="_Toc504472654"/>
      <w:r>
        <w:rPr>
          <w:rFonts w:hint="eastAsia"/>
        </w:rPr>
        <w:t xml:space="preserve">               （签字）                                            （签字）</w:t>
      </w:r>
      <w:bookmarkEnd w:id="206"/>
    </w:p>
    <w:p w14:paraId="3AD57AE5">
      <w:pPr>
        <w:ind w:firstLine="420" w:firstLineChars="200"/>
      </w:pPr>
      <w:bookmarkStart w:id="207" w:name="_Toc504472655"/>
      <w:r>
        <w:rPr>
          <w:rFonts w:hint="eastAsia"/>
        </w:rPr>
        <w:t>组织机构代码：</w:t>
      </w:r>
      <w:r>
        <w:rPr>
          <w:u w:val="single"/>
        </w:rPr>
        <w:t xml:space="preserve">      </w:t>
      </w:r>
      <w:r>
        <w:rPr>
          <w:rFonts w:hint="eastAsia"/>
          <w:u w:val="single"/>
        </w:rPr>
        <w:t xml:space="preserve">     </w:t>
      </w:r>
      <w:r>
        <w:rPr>
          <w:rFonts w:hint="eastAsia"/>
        </w:rPr>
        <w:t xml:space="preserve">                  组织机构代码：</w:t>
      </w:r>
      <w:r>
        <w:rPr>
          <w:u w:val="single"/>
        </w:rPr>
        <w:t> </w:t>
      </w:r>
      <w:bookmarkEnd w:id="207"/>
      <w:r>
        <w:rPr>
          <w:rFonts w:hint="eastAsia"/>
          <w:u w:val="single"/>
        </w:rPr>
        <w:t xml:space="preserve">           </w:t>
      </w:r>
    </w:p>
    <w:p w14:paraId="5A6E0209">
      <w:pPr>
        <w:ind w:firstLine="420" w:firstLineChars="200"/>
      </w:pPr>
      <w:bookmarkStart w:id="208" w:name="_Toc504472656"/>
      <w:r>
        <w:t>地址：</w:t>
      </w:r>
      <w:r>
        <w:rPr>
          <w:u w:val="single"/>
        </w:rPr>
        <w:t xml:space="preserve">     </w:t>
      </w:r>
      <w:r>
        <w:rPr>
          <w:rFonts w:hint="eastAsia"/>
          <w:u w:val="single"/>
        </w:rPr>
        <w:t xml:space="preserve">      </w:t>
      </w:r>
      <w:r>
        <w:rPr>
          <w:rFonts w:hint="eastAsia"/>
        </w:rPr>
        <w:t xml:space="preserve">                 </w:t>
      </w:r>
      <w:r>
        <w:t>地址：</w:t>
      </w:r>
      <w:r>
        <w:rPr>
          <w:u w:val="single"/>
        </w:rPr>
        <w:t></w:t>
      </w:r>
      <w:r>
        <w:rPr>
          <w:rFonts w:hint="eastAsia"/>
          <w:u w:val="single"/>
        </w:rPr>
        <w:t xml:space="preserve">          </w:t>
      </w:r>
      <w:r>
        <w:rPr>
          <w:u w:val="single"/>
        </w:rPr>
        <w:t></w:t>
      </w:r>
      <w:bookmarkEnd w:id="208"/>
    </w:p>
    <w:p w14:paraId="492512AE">
      <w:pPr>
        <w:ind w:firstLine="420" w:firstLineChars="200"/>
      </w:pPr>
      <w:bookmarkStart w:id="209" w:name="_Toc504472657"/>
      <w:r>
        <w:t>邮政编码：</w:t>
      </w:r>
      <w:r>
        <w:rPr>
          <w:u w:val="single"/>
        </w:rPr>
        <w:t xml:space="preserve">   </w:t>
      </w:r>
      <w:r>
        <w:rPr>
          <w:rFonts w:hint="eastAsia"/>
          <w:u w:val="single"/>
        </w:rPr>
        <w:t xml:space="preserve">      </w:t>
      </w:r>
      <w:r>
        <w:rPr>
          <w:rFonts w:hint="eastAsia"/>
        </w:rPr>
        <w:t xml:space="preserve">                 </w:t>
      </w:r>
      <w:r>
        <w:t>邮政编码：</w:t>
      </w:r>
      <w:r>
        <w:rPr>
          <w:u w:val="single"/>
        </w:rPr>
        <w:t></w:t>
      </w:r>
      <w:r>
        <w:rPr>
          <w:rFonts w:hint="eastAsia"/>
          <w:u w:val="single"/>
        </w:rPr>
        <w:t xml:space="preserve">    </w:t>
      </w:r>
      <w:r>
        <w:rPr>
          <w:u w:val="single"/>
        </w:rPr>
        <w:t></w:t>
      </w:r>
      <w:bookmarkEnd w:id="209"/>
    </w:p>
    <w:p w14:paraId="7FFB83C0">
      <w:pPr>
        <w:ind w:firstLine="420" w:firstLineChars="200"/>
      </w:pPr>
      <w:bookmarkStart w:id="210" w:name="_Toc504472658"/>
      <w:r>
        <w:t>法定代表人：</w:t>
      </w:r>
      <w:r>
        <w:rPr>
          <w:u w:val="single"/>
        </w:rPr>
        <w:t></w:t>
      </w:r>
      <w:r>
        <w:rPr>
          <w:rFonts w:hint="eastAsia"/>
          <w:u w:val="single"/>
        </w:rPr>
        <w:t xml:space="preserve">               </w:t>
      </w:r>
      <w:r>
        <w:rPr>
          <w:rFonts w:hint="eastAsia"/>
        </w:rPr>
        <w:t xml:space="preserve">                 </w:t>
      </w:r>
      <w:r>
        <w:t>法定代表人：</w:t>
      </w:r>
      <w:r>
        <w:rPr>
          <w:u w:val="single"/>
        </w:rPr>
        <w:t></w:t>
      </w:r>
      <w:r>
        <w:rPr>
          <w:rFonts w:hint="eastAsia"/>
          <w:u w:val="single"/>
        </w:rPr>
        <w:t xml:space="preserve">               </w:t>
      </w:r>
      <w:r>
        <w:rPr>
          <w:u w:val="single"/>
        </w:rPr>
        <w:t></w:t>
      </w:r>
      <w:bookmarkEnd w:id="210"/>
    </w:p>
    <w:p w14:paraId="13FAD143">
      <w:pPr>
        <w:ind w:firstLine="420" w:firstLineChars="200"/>
      </w:pPr>
      <w:bookmarkStart w:id="211" w:name="_Toc504472659"/>
      <w:r>
        <w:t>委托代理人：</w:t>
      </w:r>
      <w:r>
        <w:rPr>
          <w:u w:val="single"/>
        </w:rPr>
        <w:t xml:space="preserve"> </w:t>
      </w:r>
      <w:r>
        <w:rPr>
          <w:rFonts w:hint="eastAsia"/>
          <w:u w:val="single"/>
        </w:rPr>
        <w:t xml:space="preserve">              </w:t>
      </w:r>
      <w:r>
        <w:rPr>
          <w:rFonts w:hint="eastAsia"/>
        </w:rPr>
        <w:t xml:space="preserve">                 </w:t>
      </w:r>
      <w:r>
        <w:t>委托代理人：</w:t>
      </w:r>
      <w:r>
        <w:rPr>
          <w:u w:val="single"/>
        </w:rPr>
        <w:t></w:t>
      </w:r>
      <w:bookmarkEnd w:id="211"/>
      <w:r>
        <w:rPr>
          <w:rFonts w:hint="eastAsia"/>
          <w:u w:val="single"/>
        </w:rPr>
        <w:t xml:space="preserve">               </w:t>
      </w:r>
    </w:p>
    <w:p w14:paraId="286D59AC">
      <w:pPr>
        <w:ind w:firstLine="420" w:firstLineChars="200"/>
      </w:pPr>
      <w:bookmarkStart w:id="212" w:name="_Toc504472660"/>
      <w:r>
        <w:t>电话：</w:t>
      </w:r>
      <w:r>
        <w:rPr>
          <w:u w:val="single"/>
        </w:rPr>
        <w:t></w:t>
      </w:r>
      <w:r>
        <w:rPr>
          <w:rFonts w:hint="eastAsia"/>
          <w:u w:val="single"/>
        </w:rPr>
        <w:t xml:space="preserve">         </w:t>
      </w:r>
      <w:r>
        <w:rPr>
          <w:rFonts w:hint="eastAsia"/>
        </w:rPr>
        <w:t xml:space="preserve">                 </w:t>
      </w:r>
      <w:r>
        <w:t>电话：</w:t>
      </w:r>
      <w:r>
        <w:rPr>
          <w:u w:val="single"/>
        </w:rPr>
        <w:t></w:t>
      </w:r>
      <w:r>
        <w:rPr>
          <w:rFonts w:hint="eastAsia"/>
          <w:u w:val="single"/>
        </w:rPr>
        <w:t xml:space="preserve">         </w:t>
      </w:r>
      <w:r>
        <w:rPr>
          <w:u w:val="single"/>
        </w:rPr>
        <w:t></w:t>
      </w:r>
      <w:bookmarkEnd w:id="212"/>
    </w:p>
    <w:p w14:paraId="5F112DB4">
      <w:pPr>
        <w:ind w:firstLine="420" w:firstLineChars="200"/>
      </w:pPr>
      <w:bookmarkStart w:id="213" w:name="_Toc504472661"/>
      <w:r>
        <w:t>传真：</w:t>
      </w:r>
      <w:r>
        <w:rPr>
          <w:u w:val="single"/>
        </w:rPr>
        <w:t xml:space="preserve"> </w:t>
      </w:r>
      <w:r>
        <w:rPr>
          <w:rFonts w:hint="eastAsia"/>
          <w:u w:val="single"/>
        </w:rPr>
        <w:t xml:space="preserve">        </w:t>
      </w:r>
      <w:r>
        <w:rPr>
          <w:rFonts w:hint="eastAsia"/>
        </w:rPr>
        <w:t xml:space="preserve">                 </w:t>
      </w:r>
      <w:r>
        <w:t>传真：</w:t>
      </w:r>
      <w:r>
        <w:rPr>
          <w:u w:val="single"/>
        </w:rPr>
        <w:t></w:t>
      </w:r>
      <w:r>
        <w:rPr>
          <w:rFonts w:hint="eastAsia"/>
          <w:u w:val="single"/>
        </w:rPr>
        <w:t xml:space="preserve">         </w:t>
      </w:r>
      <w:r>
        <w:rPr>
          <w:u w:val="single"/>
        </w:rPr>
        <w:t></w:t>
      </w:r>
      <w:bookmarkEnd w:id="213"/>
    </w:p>
    <w:p w14:paraId="2D56D572">
      <w:pPr>
        <w:ind w:firstLine="420" w:firstLineChars="200"/>
      </w:pPr>
      <w:bookmarkStart w:id="214" w:name="_Toc504472662"/>
      <w:r>
        <w:t>电子信箱：</w:t>
      </w:r>
      <w:r>
        <w:rPr>
          <w:rFonts w:hint="eastAsia"/>
          <w:u w:val="single"/>
        </w:rPr>
        <w:t xml:space="preserve">                     </w:t>
      </w:r>
      <w:r>
        <w:rPr>
          <w:rFonts w:hint="eastAsia"/>
        </w:rPr>
        <w:t xml:space="preserve">                 </w:t>
      </w:r>
      <w:r>
        <w:t>电子信箱：</w:t>
      </w:r>
      <w:r>
        <w:rPr>
          <w:u w:val="single"/>
        </w:rPr>
        <w:t></w:t>
      </w:r>
      <w:r>
        <w:rPr>
          <w:rFonts w:hint="eastAsia"/>
          <w:u w:val="single"/>
        </w:rPr>
        <w:t xml:space="preserve">     </w:t>
      </w:r>
      <w:r>
        <w:rPr>
          <w:u w:val="single"/>
        </w:rPr>
        <w:t></w:t>
      </w:r>
      <w:bookmarkEnd w:id="214"/>
    </w:p>
    <w:p w14:paraId="1501D32F">
      <w:pPr>
        <w:ind w:firstLine="420" w:firstLineChars="200"/>
      </w:pPr>
      <w:bookmarkStart w:id="215" w:name="_Toc504472663"/>
      <w:r>
        <w:t>开户银行：</w:t>
      </w:r>
      <w:r>
        <w:rPr>
          <w:u w:val="single"/>
        </w:rPr>
        <w:t xml:space="preserve">   </w:t>
      </w:r>
      <w:r>
        <w:rPr>
          <w:rFonts w:hint="eastAsia"/>
          <w:u w:val="single"/>
        </w:rPr>
        <w:t xml:space="preserve">    </w:t>
      </w:r>
      <w:r>
        <w:rPr>
          <w:rFonts w:hint="eastAsia"/>
        </w:rPr>
        <w:t xml:space="preserve">                 </w:t>
      </w:r>
      <w:r>
        <w:t>开户银行：</w:t>
      </w:r>
      <w:r>
        <w:rPr>
          <w:u w:val="single"/>
        </w:rPr>
        <w:t></w:t>
      </w:r>
      <w:bookmarkEnd w:id="215"/>
      <w:r>
        <w:rPr>
          <w:rFonts w:hint="eastAsia"/>
          <w:u w:val="single"/>
        </w:rPr>
        <w:t xml:space="preserve">     </w:t>
      </w:r>
    </w:p>
    <w:p w14:paraId="3D7B6CBB">
      <w:pPr>
        <w:ind w:firstLine="420" w:firstLineChars="200"/>
      </w:pPr>
      <w:bookmarkStart w:id="216" w:name="_Toc504472664"/>
      <w:r>
        <w:t>账号：</w:t>
      </w:r>
      <w:r>
        <w:rPr>
          <w:u w:val="single"/>
        </w:rPr>
        <w:t xml:space="preserve">       </w:t>
      </w:r>
      <w:r>
        <w:rPr>
          <w:rFonts w:hint="eastAsia"/>
          <w:u w:val="single"/>
        </w:rPr>
        <w:t xml:space="preserve">       </w:t>
      </w:r>
      <w:r>
        <w:rPr>
          <w:rFonts w:hint="eastAsia"/>
        </w:rPr>
        <w:t xml:space="preserve">                 </w:t>
      </w:r>
      <w:r>
        <w:t>账号：</w:t>
      </w:r>
      <w:r>
        <w:rPr>
          <w:u w:val="single"/>
        </w:rPr>
        <w:t></w:t>
      </w:r>
      <w:bookmarkEnd w:id="216"/>
      <w:r>
        <w:rPr>
          <w:rFonts w:hint="eastAsia"/>
          <w:u w:val="single"/>
        </w:rPr>
        <w:t xml:space="preserve">         </w:t>
      </w:r>
    </w:p>
    <w:p w14:paraId="305F742F">
      <w:r>
        <w:br w:type="page"/>
      </w:r>
    </w:p>
    <w:p w14:paraId="7DDA5525">
      <w:pPr>
        <w:tabs>
          <w:tab w:val="center" w:pos="4832"/>
          <w:tab w:val="left" w:pos="7140"/>
        </w:tabs>
        <w:spacing w:line="360" w:lineRule="auto"/>
        <w:jc w:val="center"/>
        <w:outlineLvl w:val="1"/>
        <w:rPr>
          <w:rFonts w:ascii="宋体" w:hAnsi="宋体" w:cs="宋体"/>
          <w:b/>
          <w:szCs w:val="21"/>
        </w:rPr>
      </w:pPr>
      <w:bookmarkStart w:id="217" w:name="_Toc504473202"/>
      <w:bookmarkStart w:id="218" w:name="_Toc499565522"/>
      <w:bookmarkStart w:id="219" w:name="_Toc19535"/>
      <w:bookmarkStart w:id="220" w:name="_Toc504472665"/>
      <w:r>
        <w:rPr>
          <w:rFonts w:ascii="宋体" w:hAnsi="宋体" w:cs="宋体"/>
          <w:b/>
          <w:szCs w:val="21"/>
        </w:rPr>
        <w:t>第二部分 通用合同条款</w:t>
      </w:r>
      <w:bookmarkEnd w:id="217"/>
      <w:bookmarkEnd w:id="218"/>
      <w:bookmarkEnd w:id="219"/>
      <w:bookmarkEnd w:id="220"/>
    </w:p>
    <w:p w14:paraId="6B2D7C58">
      <w:pPr>
        <w:rPr>
          <w:rFonts w:asciiTheme="minorEastAsia" w:hAnsiTheme="minorEastAsia" w:eastAsiaTheme="minorEastAsia"/>
          <w:b/>
          <w:szCs w:val="21"/>
        </w:rPr>
      </w:pPr>
      <w:r>
        <w:rPr>
          <w:rFonts w:hint="eastAsia" w:asciiTheme="minorEastAsia" w:hAnsiTheme="minorEastAsia" w:eastAsiaTheme="minorEastAsia"/>
          <w:b/>
          <w:szCs w:val="21"/>
        </w:rPr>
        <w:t>1. 一般约定</w:t>
      </w:r>
    </w:p>
    <w:p w14:paraId="34C1B9B1">
      <w:pPr>
        <w:rPr>
          <w:rFonts w:asciiTheme="minorEastAsia" w:hAnsiTheme="minorEastAsia" w:eastAsiaTheme="minorEastAsia"/>
          <w:szCs w:val="21"/>
        </w:rPr>
      </w:pPr>
      <w:r>
        <w:rPr>
          <w:rFonts w:hint="eastAsia" w:asciiTheme="minorEastAsia" w:hAnsiTheme="minorEastAsia" w:eastAsiaTheme="minorEastAsia"/>
          <w:szCs w:val="21"/>
        </w:rPr>
        <w:t>1.1词语定义与解释</w:t>
      </w:r>
    </w:p>
    <w:p w14:paraId="791DF289">
      <w:pPr>
        <w:rPr>
          <w:rFonts w:asciiTheme="minorEastAsia" w:hAnsiTheme="minorEastAsia" w:eastAsiaTheme="minorEastAsia"/>
          <w:szCs w:val="21"/>
        </w:rPr>
      </w:pPr>
      <w:r>
        <w:rPr>
          <w:rFonts w:hint="eastAsia" w:asciiTheme="minorEastAsia" w:hAnsiTheme="minorEastAsia" w:eastAsiaTheme="minorEastAsia"/>
          <w:szCs w:val="21"/>
        </w:rPr>
        <w:t>合同协议书、通用合同条款、专用合同条款中的下列词语具有本款所赋予的含义：</w:t>
      </w:r>
    </w:p>
    <w:p w14:paraId="40CF30D4">
      <w:pPr>
        <w:rPr>
          <w:rFonts w:asciiTheme="minorEastAsia" w:hAnsiTheme="minorEastAsia" w:eastAsiaTheme="minorEastAsia"/>
          <w:szCs w:val="21"/>
        </w:rPr>
      </w:pPr>
      <w:r>
        <w:rPr>
          <w:rFonts w:hint="eastAsia" w:asciiTheme="minorEastAsia" w:hAnsiTheme="minorEastAsia" w:eastAsiaTheme="minorEastAsia"/>
          <w:szCs w:val="21"/>
        </w:rPr>
        <w:t>1.1.1 合同</w:t>
      </w:r>
    </w:p>
    <w:p w14:paraId="62CF0D26">
      <w:pPr>
        <w:rPr>
          <w:rFonts w:asciiTheme="minorEastAsia" w:hAnsiTheme="minorEastAsia" w:eastAsiaTheme="minorEastAsia"/>
          <w:szCs w:val="21"/>
        </w:rPr>
      </w:pPr>
      <w:r>
        <w:rPr>
          <w:rFonts w:hint="eastAsia" w:asciiTheme="minorEastAsia" w:hAnsiTheme="minorEastAsia" w:eastAsiaTheme="minorEastAsia"/>
          <w:szCs w:val="21"/>
        </w:rPr>
        <w:t>1.1.1.1 合同：是指根据法律规定和合同当事人约定具有约束力的文件，构成合同的文件包括合同协议书、成交通知书（如果有）、投标函及其附录（如果有）、专用合同条款及其附件、通用合同条款、技术文件准和要求、图纸、已标价工程量清单或预算书以及其他合同文件。</w:t>
      </w:r>
    </w:p>
    <w:p w14:paraId="4057B18A">
      <w:pPr>
        <w:rPr>
          <w:rFonts w:asciiTheme="minorEastAsia" w:hAnsiTheme="minorEastAsia" w:eastAsiaTheme="minorEastAsia"/>
          <w:szCs w:val="21"/>
        </w:rPr>
      </w:pPr>
      <w:r>
        <w:rPr>
          <w:rFonts w:hint="eastAsia" w:asciiTheme="minorEastAsia" w:hAnsiTheme="minorEastAsia" w:eastAsiaTheme="minorEastAsia"/>
          <w:szCs w:val="21"/>
        </w:rPr>
        <w:t>1.1.1.2 合同协议书：是指构成合同的由发包人和承包人共同签署的称为“合同协议书”的书面文件。</w:t>
      </w:r>
    </w:p>
    <w:p w14:paraId="5D6C3928">
      <w:pPr>
        <w:rPr>
          <w:rFonts w:asciiTheme="minorEastAsia" w:hAnsiTheme="minorEastAsia" w:eastAsiaTheme="minorEastAsia"/>
          <w:szCs w:val="21"/>
        </w:rPr>
      </w:pPr>
      <w:r>
        <w:rPr>
          <w:rFonts w:hint="eastAsia" w:asciiTheme="minorEastAsia" w:hAnsiTheme="minorEastAsia" w:eastAsiaTheme="minorEastAsia"/>
          <w:szCs w:val="21"/>
        </w:rPr>
        <w:t>1.1.1.3 成交通知书：是指构成合同的由发包人通知承包人中标的书面文件。</w:t>
      </w:r>
    </w:p>
    <w:p w14:paraId="64480079">
      <w:pPr>
        <w:rPr>
          <w:rFonts w:asciiTheme="minorEastAsia" w:hAnsiTheme="minorEastAsia" w:eastAsiaTheme="minorEastAsia"/>
          <w:szCs w:val="21"/>
        </w:rPr>
      </w:pPr>
      <w:r>
        <w:rPr>
          <w:rFonts w:hint="eastAsia" w:asciiTheme="minorEastAsia" w:hAnsiTheme="minorEastAsia" w:eastAsiaTheme="minorEastAsia"/>
          <w:szCs w:val="21"/>
        </w:rPr>
        <w:t>1.1.1.4 投标函：是指构成合同的由承包人填写并签署的用于投标的称为“投标函”的文件。</w:t>
      </w:r>
    </w:p>
    <w:p w14:paraId="50C7CD9B">
      <w:pPr>
        <w:rPr>
          <w:rFonts w:asciiTheme="minorEastAsia" w:hAnsiTheme="minorEastAsia" w:eastAsiaTheme="minorEastAsia"/>
          <w:szCs w:val="21"/>
        </w:rPr>
      </w:pPr>
      <w:r>
        <w:rPr>
          <w:rFonts w:hint="eastAsia" w:asciiTheme="minorEastAsia" w:hAnsiTheme="minorEastAsia" w:eastAsiaTheme="minorEastAsia"/>
          <w:szCs w:val="21"/>
        </w:rPr>
        <w:t>1.1.1.5 投标函附录：是指构成合同的附在投标函后的称为“投标函附录”的文件。</w:t>
      </w:r>
    </w:p>
    <w:p w14:paraId="3FD34DF2">
      <w:pPr>
        <w:rPr>
          <w:rFonts w:asciiTheme="minorEastAsia" w:hAnsiTheme="minorEastAsia" w:eastAsiaTheme="minorEastAsia"/>
          <w:szCs w:val="21"/>
        </w:rPr>
      </w:pPr>
      <w:r>
        <w:rPr>
          <w:rFonts w:hint="eastAsia" w:asciiTheme="minorEastAsia" w:hAnsiTheme="minorEastAsia" w:eastAsiaTheme="minorEastAsia"/>
          <w:szCs w:val="21"/>
        </w:rPr>
        <w:t>1.1.1.6 技术文件准和要求：是指构成合同的施工应当遵守的或指导施工的国家、行业或地方的技术文件准和要求，以及合同约定的技术文件准和要求。</w:t>
      </w:r>
    </w:p>
    <w:p w14:paraId="4C2A5834">
      <w:pPr>
        <w:rPr>
          <w:rFonts w:asciiTheme="minorEastAsia" w:hAnsiTheme="minorEastAsia" w:eastAsiaTheme="minorEastAsia"/>
          <w:szCs w:val="21"/>
        </w:rPr>
      </w:pPr>
      <w:r>
        <w:rPr>
          <w:rFonts w:hint="eastAsia" w:asciiTheme="minorEastAsia" w:hAnsiTheme="minorEastAsia" w:eastAsiaTheme="minorEastAsia"/>
          <w:szCs w:val="21"/>
        </w:rPr>
        <w:t>1.1.1.7 图纸：是指构成合同的图纸，包括由发包人按照合同约定提供或经发包人批准的设计文件、施工图、鸟瞰图及模型等，以及在合同履行过程中形成的图纸文件。图纸应当按照法律规定审查合格。</w:t>
      </w:r>
    </w:p>
    <w:p w14:paraId="3C29AD9E">
      <w:pPr>
        <w:rPr>
          <w:rFonts w:asciiTheme="minorEastAsia" w:hAnsiTheme="minorEastAsia" w:eastAsiaTheme="minorEastAsia"/>
          <w:szCs w:val="21"/>
        </w:rPr>
      </w:pPr>
      <w:r>
        <w:rPr>
          <w:rFonts w:hint="eastAsia" w:asciiTheme="minorEastAsia" w:hAnsiTheme="minorEastAsia" w:eastAsiaTheme="minorEastAsia"/>
          <w:szCs w:val="21"/>
        </w:rPr>
        <w:t>1.1.1.8 已标价工程量清单：是指构成合同的由承包人按照规定的格式和要求填写并标明价格的工程量清单，包括说明和表格。</w:t>
      </w:r>
    </w:p>
    <w:p w14:paraId="4F8AA3EA">
      <w:pPr>
        <w:rPr>
          <w:rFonts w:asciiTheme="minorEastAsia" w:hAnsiTheme="minorEastAsia" w:eastAsiaTheme="minorEastAsia"/>
          <w:szCs w:val="21"/>
        </w:rPr>
      </w:pPr>
      <w:r>
        <w:rPr>
          <w:rFonts w:hint="eastAsia" w:asciiTheme="minorEastAsia" w:hAnsiTheme="minorEastAsia" w:eastAsiaTheme="minorEastAsia"/>
          <w:szCs w:val="21"/>
        </w:rPr>
        <w:t>1.1.1.9 预算书：是指构成合同的由承包人按照发包人规定的格式和要求编制的工程预算文件。</w:t>
      </w:r>
    </w:p>
    <w:p w14:paraId="4E608815">
      <w:pPr>
        <w:rPr>
          <w:rFonts w:asciiTheme="minorEastAsia" w:hAnsiTheme="minorEastAsia" w:eastAsiaTheme="minorEastAsia"/>
          <w:szCs w:val="21"/>
        </w:rPr>
      </w:pPr>
      <w:r>
        <w:rPr>
          <w:rFonts w:hint="eastAsia" w:asciiTheme="minorEastAsia" w:hAnsiTheme="minorEastAsia" w:eastAsiaTheme="minorEastAsia"/>
          <w:szCs w:val="21"/>
        </w:rPr>
        <w:t>1.1.1.10 其他合同文件：是指经合同当事人约定的与工程施工有关的具有合同约束力的文件或书面协议。合同当事人可以在专用合同条款中进行约定。</w:t>
      </w:r>
    </w:p>
    <w:p w14:paraId="16A23416">
      <w:pPr>
        <w:rPr>
          <w:rFonts w:asciiTheme="minorEastAsia" w:hAnsiTheme="minorEastAsia" w:eastAsiaTheme="minorEastAsia"/>
          <w:szCs w:val="21"/>
        </w:rPr>
      </w:pPr>
      <w:r>
        <w:rPr>
          <w:rFonts w:hint="eastAsia" w:asciiTheme="minorEastAsia" w:hAnsiTheme="minorEastAsia" w:eastAsiaTheme="minorEastAsia"/>
          <w:szCs w:val="21"/>
        </w:rPr>
        <w:t>1.1.2 合同当事人及其他相关方</w:t>
      </w:r>
    </w:p>
    <w:p w14:paraId="5A8ED8B3">
      <w:pPr>
        <w:rPr>
          <w:rFonts w:asciiTheme="minorEastAsia" w:hAnsiTheme="minorEastAsia" w:eastAsiaTheme="minorEastAsia"/>
          <w:szCs w:val="21"/>
        </w:rPr>
      </w:pPr>
      <w:r>
        <w:rPr>
          <w:rFonts w:hint="eastAsia" w:asciiTheme="minorEastAsia" w:hAnsiTheme="minorEastAsia" w:eastAsiaTheme="minorEastAsia"/>
          <w:szCs w:val="21"/>
        </w:rPr>
        <w:t>1.1.2.1 合同当事人：是指发包人和（或）承包人。</w:t>
      </w:r>
    </w:p>
    <w:p w14:paraId="214D7E47">
      <w:pPr>
        <w:rPr>
          <w:rFonts w:asciiTheme="minorEastAsia" w:hAnsiTheme="minorEastAsia" w:eastAsiaTheme="minorEastAsia"/>
          <w:szCs w:val="21"/>
        </w:rPr>
      </w:pPr>
      <w:r>
        <w:rPr>
          <w:rFonts w:hint="eastAsia" w:asciiTheme="minorEastAsia" w:hAnsiTheme="minorEastAsia" w:eastAsiaTheme="minorEastAsia"/>
          <w:szCs w:val="21"/>
        </w:rPr>
        <w:t>1.1.2.2 发包人：是指与承包人签订合同协议书的当事人及取得该当事人资格的合法继承人。</w:t>
      </w:r>
    </w:p>
    <w:p w14:paraId="55863C7B">
      <w:pPr>
        <w:rPr>
          <w:rFonts w:asciiTheme="minorEastAsia" w:hAnsiTheme="minorEastAsia" w:eastAsiaTheme="minorEastAsia"/>
          <w:szCs w:val="21"/>
        </w:rPr>
      </w:pPr>
      <w:r>
        <w:rPr>
          <w:rFonts w:hint="eastAsia" w:asciiTheme="minorEastAsia" w:hAnsiTheme="minorEastAsia" w:eastAsiaTheme="minorEastAsia"/>
          <w:szCs w:val="21"/>
        </w:rPr>
        <w:t>1.1.2.3 承包人：是指与发包人签订合同协议书的，具有相应工程施工承包资质的当事人及取得该当事人资格的合法继承人。</w:t>
      </w:r>
    </w:p>
    <w:p w14:paraId="647A3683">
      <w:pPr>
        <w:rPr>
          <w:rFonts w:asciiTheme="minorEastAsia" w:hAnsiTheme="minorEastAsia" w:eastAsiaTheme="minorEastAsia"/>
          <w:szCs w:val="21"/>
        </w:rPr>
      </w:pPr>
      <w:r>
        <w:rPr>
          <w:rFonts w:hint="eastAsia" w:asciiTheme="minorEastAsia" w:hAnsiTheme="minorEastAsia" w:eastAsiaTheme="minorEastAsia"/>
          <w:szCs w:val="21"/>
        </w:rPr>
        <w:t>1.1.2.4 监理人：是指在专用合同条款中指明的，受发包人委托按照法律规定进行工程监督管理的法人或其他组织。</w:t>
      </w:r>
    </w:p>
    <w:p w14:paraId="776F736F">
      <w:pPr>
        <w:rPr>
          <w:rFonts w:asciiTheme="minorEastAsia" w:hAnsiTheme="minorEastAsia" w:eastAsiaTheme="minorEastAsia"/>
          <w:szCs w:val="21"/>
        </w:rPr>
      </w:pPr>
      <w:r>
        <w:rPr>
          <w:rFonts w:hint="eastAsia" w:asciiTheme="minorEastAsia" w:hAnsiTheme="minorEastAsia" w:eastAsiaTheme="minorEastAsia"/>
          <w:szCs w:val="21"/>
        </w:rPr>
        <w:t>1.1.2.5 设计人：是指在专用合同条款中指明的，受发包人委托负责工程设计并具备相应工程设计资质的法人或其他组织。</w:t>
      </w:r>
    </w:p>
    <w:p w14:paraId="3186829D">
      <w:pPr>
        <w:rPr>
          <w:rFonts w:asciiTheme="minorEastAsia" w:hAnsiTheme="minorEastAsia" w:eastAsiaTheme="minorEastAsia"/>
          <w:szCs w:val="21"/>
        </w:rPr>
      </w:pPr>
      <w:r>
        <w:rPr>
          <w:rFonts w:hint="eastAsia" w:asciiTheme="minorEastAsia" w:hAnsiTheme="minorEastAsia" w:eastAsiaTheme="minorEastAsia"/>
          <w:szCs w:val="21"/>
        </w:rPr>
        <w:t>1.1.2.6 分包人：是指按照法律规定和合同约定，分包部分工程或工作，并与承包人签订分包合同的具有相应资质的法人。</w:t>
      </w:r>
    </w:p>
    <w:p w14:paraId="05B9BFDC">
      <w:pPr>
        <w:rPr>
          <w:rFonts w:asciiTheme="minorEastAsia" w:hAnsiTheme="minorEastAsia" w:eastAsiaTheme="minorEastAsia"/>
          <w:szCs w:val="21"/>
        </w:rPr>
      </w:pPr>
      <w:r>
        <w:rPr>
          <w:rFonts w:hint="eastAsia" w:asciiTheme="minorEastAsia" w:hAnsiTheme="minorEastAsia" w:eastAsiaTheme="minorEastAsia"/>
          <w:szCs w:val="21"/>
        </w:rPr>
        <w:t>1.1.2.7 发包人代表：是指由发包人任命并派驻施工现场在发包人授权范围内行使发包人权利的人。</w:t>
      </w:r>
    </w:p>
    <w:p w14:paraId="17E1D9E3">
      <w:pPr>
        <w:rPr>
          <w:rFonts w:asciiTheme="minorEastAsia" w:hAnsiTheme="minorEastAsia" w:eastAsiaTheme="minorEastAsia"/>
          <w:szCs w:val="21"/>
        </w:rPr>
      </w:pPr>
      <w:r>
        <w:rPr>
          <w:rFonts w:hint="eastAsia" w:asciiTheme="minorEastAsia" w:hAnsiTheme="minorEastAsia" w:eastAsiaTheme="minorEastAsia"/>
          <w:szCs w:val="21"/>
        </w:rPr>
        <w:t>1.1.2.8 项目经理：是指由承包人任命并派驻施工现场，在承包人授权范围内负责合同履行，且按照法律规定具有相应资格的项目负责人。</w:t>
      </w:r>
    </w:p>
    <w:p w14:paraId="47FDED1D">
      <w:pPr>
        <w:rPr>
          <w:rFonts w:asciiTheme="minorEastAsia" w:hAnsiTheme="minorEastAsia" w:eastAsiaTheme="minorEastAsia"/>
          <w:szCs w:val="21"/>
        </w:rPr>
      </w:pPr>
      <w:r>
        <w:rPr>
          <w:rFonts w:hint="eastAsia" w:asciiTheme="minorEastAsia" w:hAnsiTheme="minorEastAsia" w:eastAsiaTheme="minorEastAsia"/>
          <w:szCs w:val="21"/>
        </w:rPr>
        <w:t>1.1.2.9 总监理工程师：是指由监理人任命并派驻施工现场进行工程监理的总负责人。</w:t>
      </w:r>
    </w:p>
    <w:p w14:paraId="3FC34759">
      <w:pPr>
        <w:rPr>
          <w:rFonts w:asciiTheme="minorEastAsia" w:hAnsiTheme="minorEastAsia" w:eastAsiaTheme="minorEastAsia"/>
          <w:szCs w:val="21"/>
        </w:rPr>
      </w:pPr>
      <w:r>
        <w:rPr>
          <w:rFonts w:hint="eastAsia" w:asciiTheme="minorEastAsia" w:hAnsiTheme="minorEastAsia" w:eastAsiaTheme="minorEastAsia"/>
          <w:szCs w:val="21"/>
        </w:rPr>
        <w:t>1.1.3 工程和设备</w:t>
      </w:r>
    </w:p>
    <w:p w14:paraId="71E7046B">
      <w:pPr>
        <w:rPr>
          <w:rFonts w:asciiTheme="minorEastAsia" w:hAnsiTheme="minorEastAsia" w:eastAsiaTheme="minorEastAsia"/>
          <w:szCs w:val="21"/>
        </w:rPr>
      </w:pPr>
      <w:r>
        <w:rPr>
          <w:rFonts w:hint="eastAsia" w:asciiTheme="minorEastAsia" w:hAnsiTheme="minorEastAsia" w:eastAsiaTheme="minorEastAsia"/>
          <w:szCs w:val="21"/>
        </w:rPr>
        <w:t>1.1.3.1 工程：是指与合同协议书中工程承包范围对应的永久工程和（或）临时工程。</w:t>
      </w:r>
    </w:p>
    <w:p w14:paraId="6FE43CBF">
      <w:pPr>
        <w:rPr>
          <w:rFonts w:asciiTheme="minorEastAsia" w:hAnsiTheme="minorEastAsia" w:eastAsiaTheme="minorEastAsia"/>
          <w:szCs w:val="21"/>
        </w:rPr>
      </w:pPr>
      <w:r>
        <w:rPr>
          <w:rFonts w:hint="eastAsia" w:asciiTheme="minorEastAsia" w:hAnsiTheme="minorEastAsia" w:eastAsiaTheme="minorEastAsia"/>
          <w:szCs w:val="21"/>
        </w:rPr>
        <w:t>1.1.3.2 永久工程：是指按合同约定建造并移交给发包人的工程，包括工程设备。</w:t>
      </w:r>
    </w:p>
    <w:p w14:paraId="3A8A3F45">
      <w:pPr>
        <w:rPr>
          <w:rFonts w:asciiTheme="minorEastAsia" w:hAnsiTheme="minorEastAsia" w:eastAsiaTheme="minorEastAsia"/>
          <w:szCs w:val="21"/>
        </w:rPr>
      </w:pPr>
      <w:r>
        <w:rPr>
          <w:rFonts w:hint="eastAsia" w:asciiTheme="minorEastAsia" w:hAnsiTheme="minorEastAsia" w:eastAsiaTheme="minorEastAsia"/>
          <w:szCs w:val="21"/>
        </w:rPr>
        <w:t>1.1.3.3 临时工程：是指为完成合同约定的永久工程所修建的各类临时性工程，不包括施工设备。</w:t>
      </w:r>
    </w:p>
    <w:p w14:paraId="01D36DF2">
      <w:pPr>
        <w:rPr>
          <w:rFonts w:asciiTheme="minorEastAsia" w:hAnsiTheme="minorEastAsia" w:eastAsiaTheme="minorEastAsia"/>
          <w:szCs w:val="21"/>
        </w:rPr>
      </w:pPr>
      <w:r>
        <w:rPr>
          <w:rFonts w:hint="eastAsia" w:asciiTheme="minorEastAsia" w:hAnsiTheme="minorEastAsia" w:eastAsiaTheme="minorEastAsia"/>
          <w:szCs w:val="21"/>
        </w:rPr>
        <w:t>1.1.3.4 单位工程：是指在合同协议书中指明的，具备独立施工条件并能形成独立使用功能的永久工程。</w:t>
      </w:r>
    </w:p>
    <w:p w14:paraId="666916B8">
      <w:pPr>
        <w:rPr>
          <w:rFonts w:asciiTheme="minorEastAsia" w:hAnsiTheme="minorEastAsia" w:eastAsiaTheme="minorEastAsia"/>
          <w:szCs w:val="21"/>
        </w:rPr>
      </w:pPr>
      <w:r>
        <w:rPr>
          <w:rFonts w:hint="eastAsia" w:asciiTheme="minorEastAsia" w:hAnsiTheme="minorEastAsia" w:eastAsiaTheme="minorEastAsia"/>
          <w:szCs w:val="21"/>
        </w:rPr>
        <w:t>1.1.3.5 工程设备：是指构成永久工程的机电设备、金属结构设备、仪器及其他类似的设备和装置。</w:t>
      </w:r>
    </w:p>
    <w:p w14:paraId="34FDAE00">
      <w:pPr>
        <w:rPr>
          <w:rFonts w:asciiTheme="minorEastAsia" w:hAnsiTheme="minorEastAsia" w:eastAsiaTheme="minorEastAsia"/>
          <w:szCs w:val="21"/>
        </w:rPr>
      </w:pPr>
      <w:r>
        <w:rPr>
          <w:rFonts w:hint="eastAsia" w:asciiTheme="minorEastAsia" w:hAnsiTheme="minorEastAsia" w:eastAsiaTheme="minorEastAsia"/>
          <w:szCs w:val="21"/>
        </w:rPr>
        <w:t>1.1.3.6 施工设备：是指为完成合同约定的各项工作所需的设备、器具和其他物品，但不包括工程设备、临时工程和材料。</w:t>
      </w:r>
    </w:p>
    <w:p w14:paraId="32A24E29">
      <w:pPr>
        <w:rPr>
          <w:rFonts w:asciiTheme="minorEastAsia" w:hAnsiTheme="minorEastAsia" w:eastAsiaTheme="minorEastAsia"/>
          <w:szCs w:val="21"/>
        </w:rPr>
      </w:pPr>
      <w:r>
        <w:rPr>
          <w:rFonts w:hint="eastAsia" w:asciiTheme="minorEastAsia" w:hAnsiTheme="minorEastAsia" w:eastAsiaTheme="minorEastAsia"/>
          <w:szCs w:val="21"/>
        </w:rPr>
        <w:t>1.1.3.7 施工现场：是指用于工程施工的场所，以及在专用合同条款中指明作为施工场所组成部分的其他场所，包括永久占地和临时占地。</w:t>
      </w:r>
    </w:p>
    <w:p w14:paraId="24C710C3">
      <w:pPr>
        <w:rPr>
          <w:rFonts w:asciiTheme="minorEastAsia" w:hAnsiTheme="minorEastAsia" w:eastAsiaTheme="minorEastAsia"/>
          <w:szCs w:val="21"/>
        </w:rPr>
      </w:pPr>
      <w:r>
        <w:rPr>
          <w:rFonts w:hint="eastAsia" w:asciiTheme="minorEastAsia" w:hAnsiTheme="minorEastAsia" w:eastAsiaTheme="minorEastAsia"/>
          <w:szCs w:val="21"/>
        </w:rPr>
        <w:t>1.1.3.8临时设施：是指为完成合同约定的各项工作所服务的临时性生产和生活设施。</w:t>
      </w:r>
    </w:p>
    <w:p w14:paraId="0FE93EB8">
      <w:pPr>
        <w:rPr>
          <w:rFonts w:asciiTheme="minorEastAsia" w:hAnsiTheme="minorEastAsia" w:eastAsiaTheme="minorEastAsia"/>
          <w:szCs w:val="21"/>
        </w:rPr>
      </w:pPr>
      <w:r>
        <w:rPr>
          <w:rFonts w:hint="eastAsia" w:asciiTheme="minorEastAsia" w:hAnsiTheme="minorEastAsia" w:eastAsiaTheme="minorEastAsia"/>
          <w:szCs w:val="21"/>
        </w:rPr>
        <w:t>1.1.3.9 永久占地：是指专用合同条款中指明为实施工程需永久占用的土地。</w:t>
      </w:r>
    </w:p>
    <w:p w14:paraId="417E8D27">
      <w:pPr>
        <w:rPr>
          <w:rFonts w:asciiTheme="minorEastAsia" w:hAnsiTheme="minorEastAsia" w:eastAsiaTheme="minorEastAsia"/>
          <w:szCs w:val="21"/>
        </w:rPr>
      </w:pPr>
      <w:r>
        <w:rPr>
          <w:rFonts w:hint="eastAsia" w:asciiTheme="minorEastAsia" w:hAnsiTheme="minorEastAsia" w:eastAsiaTheme="minorEastAsia"/>
          <w:szCs w:val="21"/>
        </w:rPr>
        <w:t>1.1.3.10 临时占地：是指专用合同条款中指明为实施工程需要临时占用的土地。</w:t>
      </w:r>
    </w:p>
    <w:p w14:paraId="41DE4907">
      <w:pPr>
        <w:rPr>
          <w:rFonts w:asciiTheme="minorEastAsia" w:hAnsiTheme="minorEastAsia" w:eastAsiaTheme="minorEastAsia"/>
          <w:szCs w:val="21"/>
        </w:rPr>
      </w:pPr>
      <w:r>
        <w:rPr>
          <w:rFonts w:hint="eastAsia" w:asciiTheme="minorEastAsia" w:hAnsiTheme="minorEastAsia" w:eastAsiaTheme="minorEastAsia"/>
          <w:szCs w:val="21"/>
        </w:rPr>
        <w:t>1.1.4 日期和期限</w:t>
      </w:r>
    </w:p>
    <w:p w14:paraId="69134FFD">
      <w:pPr>
        <w:rPr>
          <w:rFonts w:asciiTheme="minorEastAsia" w:hAnsiTheme="minorEastAsia" w:eastAsiaTheme="minorEastAsia"/>
          <w:szCs w:val="21"/>
        </w:rPr>
      </w:pPr>
      <w:r>
        <w:rPr>
          <w:rFonts w:hint="eastAsia" w:asciiTheme="minorEastAsia" w:hAnsiTheme="minorEastAsia" w:eastAsiaTheme="minorEastAsia"/>
          <w:szCs w:val="21"/>
        </w:rPr>
        <w:t>1.1.4.1 开工日期：包括计划开工日期和实际开工日期。计划开工日期是指合同协议书约定的开工日期；实际开工日期是指监理人按照第7.3.2项〔开工通知〕约定发出的符合法律规定的开工通知中载明的开工日期。</w:t>
      </w:r>
    </w:p>
    <w:p w14:paraId="5BE75247">
      <w:pPr>
        <w:rPr>
          <w:rFonts w:asciiTheme="minorEastAsia" w:hAnsiTheme="minorEastAsia" w:eastAsiaTheme="minorEastAsia"/>
          <w:szCs w:val="21"/>
        </w:rPr>
      </w:pPr>
      <w:r>
        <w:rPr>
          <w:rFonts w:hint="eastAsia" w:asciiTheme="minorEastAsia" w:hAnsiTheme="minorEastAsia" w:eastAsiaTheme="minorEastAsia"/>
          <w:szCs w:val="21"/>
        </w:rPr>
        <w:t xml:space="preserve">1.1.4.2 竣工日期：包括计划竣工日期和实际竣工日期。计划竣工日期是指合同协议书约定的竣工日期；实际竣工日期按照第13.2.3项〔竣工日期〕的约定确定。 </w:t>
      </w:r>
    </w:p>
    <w:p w14:paraId="703D41C0">
      <w:pPr>
        <w:rPr>
          <w:rFonts w:asciiTheme="minorEastAsia" w:hAnsiTheme="minorEastAsia" w:eastAsiaTheme="minorEastAsia"/>
          <w:szCs w:val="21"/>
        </w:rPr>
      </w:pPr>
      <w:r>
        <w:rPr>
          <w:rFonts w:hint="eastAsia" w:asciiTheme="minorEastAsia" w:hAnsiTheme="minorEastAsia" w:eastAsiaTheme="minorEastAsia"/>
          <w:szCs w:val="21"/>
        </w:rPr>
        <w:t>1.1.4.3 工期：是指在合同协议书约定的承包人完成工程所需的期限，包括按照合同约定所作的期限变更。</w:t>
      </w:r>
    </w:p>
    <w:p w14:paraId="6A9C4CFF">
      <w:pPr>
        <w:rPr>
          <w:rFonts w:asciiTheme="minorEastAsia" w:hAnsiTheme="minorEastAsia" w:eastAsiaTheme="minorEastAsia"/>
          <w:szCs w:val="21"/>
        </w:rPr>
      </w:pPr>
      <w:r>
        <w:rPr>
          <w:rFonts w:hint="eastAsia" w:asciiTheme="minorEastAsia" w:hAnsiTheme="minorEastAsia" w:eastAsiaTheme="minorEastAsia"/>
          <w:szCs w:val="21"/>
        </w:rPr>
        <w:t>1.1.4.4 缺陷责任期：是指承包人按照合同约定承担缺陷修复义务，且发包人预留质量保证金（已缴纳履约保证金的除外）的期限，自工程实际竣工日期起计算。</w:t>
      </w:r>
    </w:p>
    <w:p w14:paraId="5615448D">
      <w:pPr>
        <w:rPr>
          <w:rFonts w:asciiTheme="minorEastAsia" w:hAnsiTheme="minorEastAsia" w:eastAsiaTheme="minorEastAsia"/>
          <w:szCs w:val="21"/>
        </w:rPr>
      </w:pPr>
      <w:r>
        <w:rPr>
          <w:rFonts w:hint="eastAsia" w:asciiTheme="minorEastAsia" w:hAnsiTheme="minorEastAsia" w:eastAsiaTheme="minorEastAsia"/>
          <w:szCs w:val="21"/>
        </w:rPr>
        <w:t>1.1.4.5 保修期：是指承包人按照合同约定对工程承担保修责任的期限，从工程竣工验收合格之日起计算。</w:t>
      </w:r>
    </w:p>
    <w:p w14:paraId="7E8F46D0">
      <w:pPr>
        <w:rPr>
          <w:rFonts w:asciiTheme="minorEastAsia" w:hAnsiTheme="minorEastAsia" w:eastAsiaTheme="minorEastAsia"/>
          <w:szCs w:val="21"/>
        </w:rPr>
      </w:pPr>
      <w:r>
        <w:rPr>
          <w:rFonts w:hint="eastAsia" w:asciiTheme="minorEastAsia" w:hAnsiTheme="minorEastAsia" w:eastAsiaTheme="minorEastAsia"/>
          <w:szCs w:val="21"/>
        </w:rPr>
        <w:t>1.1.4.6 基准日期：招标发包的工程以投标截止日前28天的日期为基准日期，直接发包的工程以合同签订日前28天的日期为基准日期。</w:t>
      </w:r>
    </w:p>
    <w:p w14:paraId="5324CA48">
      <w:pPr>
        <w:rPr>
          <w:rFonts w:asciiTheme="minorEastAsia" w:hAnsiTheme="minorEastAsia" w:eastAsiaTheme="minorEastAsia"/>
          <w:szCs w:val="21"/>
        </w:rPr>
      </w:pPr>
      <w:r>
        <w:rPr>
          <w:rFonts w:hint="eastAsia" w:asciiTheme="minorEastAsia" w:hAnsiTheme="minorEastAsia" w:eastAsiaTheme="minorEastAsia"/>
          <w:szCs w:val="21"/>
        </w:rPr>
        <w:t>1.1.4.7 天：除特别指明外，均指日历天。合同中按天计算时间的，开始当天不计入，从次日开始计算，期限最后一天的截止时间为当天24:00时。</w:t>
      </w:r>
    </w:p>
    <w:p w14:paraId="3F5D604E">
      <w:pPr>
        <w:rPr>
          <w:rFonts w:asciiTheme="minorEastAsia" w:hAnsiTheme="minorEastAsia" w:eastAsiaTheme="minorEastAsia"/>
          <w:szCs w:val="21"/>
        </w:rPr>
      </w:pPr>
      <w:r>
        <w:rPr>
          <w:rFonts w:hint="eastAsia" w:asciiTheme="minorEastAsia" w:hAnsiTheme="minorEastAsia" w:eastAsiaTheme="minorEastAsia"/>
          <w:szCs w:val="21"/>
        </w:rPr>
        <w:t>1.1.5 合同价格和费用</w:t>
      </w:r>
    </w:p>
    <w:p w14:paraId="035C3736">
      <w:pPr>
        <w:rPr>
          <w:rFonts w:asciiTheme="minorEastAsia" w:hAnsiTheme="minorEastAsia" w:eastAsiaTheme="minorEastAsia"/>
          <w:szCs w:val="21"/>
        </w:rPr>
      </w:pPr>
      <w:r>
        <w:rPr>
          <w:rFonts w:hint="eastAsia" w:asciiTheme="minorEastAsia" w:hAnsiTheme="minorEastAsia" w:eastAsiaTheme="minorEastAsia"/>
          <w:szCs w:val="21"/>
        </w:rPr>
        <w:t>1.1.5.1 签约合同价：是指发包人和承包人在合同协议书中确定的总金额，包括安全文明施工费、暂估价及暂列金额等。</w:t>
      </w:r>
    </w:p>
    <w:p w14:paraId="299A555E">
      <w:pPr>
        <w:rPr>
          <w:rFonts w:asciiTheme="minorEastAsia" w:hAnsiTheme="minorEastAsia" w:eastAsiaTheme="minorEastAsia"/>
          <w:szCs w:val="21"/>
        </w:rPr>
      </w:pPr>
      <w:r>
        <w:rPr>
          <w:rFonts w:hint="eastAsia" w:asciiTheme="minorEastAsia" w:hAnsiTheme="minorEastAsia" w:eastAsiaTheme="minorEastAsia"/>
          <w:szCs w:val="21"/>
        </w:rPr>
        <w:t>1.1.5.2 合同价格：是指发包人用于支付承包人按照合同约定完成承包范围内全部工作的金额，包括合同履行过程中按合同约定发生的价格变化。</w:t>
      </w:r>
    </w:p>
    <w:p w14:paraId="3DCAC960">
      <w:pPr>
        <w:rPr>
          <w:rFonts w:asciiTheme="minorEastAsia" w:hAnsiTheme="minorEastAsia" w:eastAsiaTheme="minorEastAsia"/>
          <w:szCs w:val="21"/>
        </w:rPr>
      </w:pPr>
      <w:r>
        <w:rPr>
          <w:rFonts w:hint="eastAsia" w:asciiTheme="minorEastAsia" w:hAnsiTheme="minorEastAsia" w:eastAsiaTheme="minorEastAsia"/>
          <w:szCs w:val="21"/>
        </w:rPr>
        <w:t>1.1.5.3 费用：是指为履行合同所发生的或将要发生的所有必需的开支，包括管理费和应分摊的其他费用，但不包括利润。</w:t>
      </w:r>
    </w:p>
    <w:p w14:paraId="444204E0">
      <w:pPr>
        <w:rPr>
          <w:rFonts w:asciiTheme="minorEastAsia" w:hAnsiTheme="minorEastAsia" w:eastAsiaTheme="minorEastAsia"/>
          <w:szCs w:val="21"/>
        </w:rPr>
      </w:pPr>
      <w:r>
        <w:rPr>
          <w:rFonts w:hint="eastAsia" w:asciiTheme="minorEastAsia" w:hAnsiTheme="minorEastAsia" w:eastAsiaTheme="minorEastAsia"/>
          <w:szCs w:val="21"/>
        </w:rPr>
        <w:t>1.1.5.4 暂估价：是指发包人在工程量清单或预算书中提供的用于支付必然发生但暂时不能确定价格的材料、工程设备的单价、专业工程以及服务工作的金额。</w:t>
      </w:r>
    </w:p>
    <w:p w14:paraId="1D13493F">
      <w:pPr>
        <w:rPr>
          <w:rFonts w:asciiTheme="minorEastAsia" w:hAnsiTheme="minorEastAsia" w:eastAsiaTheme="minorEastAsia"/>
          <w:szCs w:val="21"/>
        </w:rPr>
      </w:pPr>
      <w:r>
        <w:rPr>
          <w:rFonts w:hint="eastAsia" w:asciiTheme="minorEastAsia" w:hAnsiTheme="minorEastAsia" w:eastAsiaTheme="minorEastAsia"/>
          <w:szCs w:val="21"/>
        </w:rPr>
        <w:t>1.1.5.5 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签证确认等的费用。</w:t>
      </w:r>
    </w:p>
    <w:p w14:paraId="75D93112">
      <w:pPr>
        <w:rPr>
          <w:rFonts w:asciiTheme="minorEastAsia" w:hAnsiTheme="minorEastAsia" w:eastAsiaTheme="minorEastAsia"/>
          <w:szCs w:val="21"/>
        </w:rPr>
      </w:pPr>
      <w:r>
        <w:rPr>
          <w:rFonts w:hint="eastAsia" w:asciiTheme="minorEastAsia" w:hAnsiTheme="minorEastAsia" w:eastAsiaTheme="minorEastAsia"/>
          <w:szCs w:val="21"/>
        </w:rPr>
        <w:t>1.1.5.6 计日工：是指合同履行过程中，承包人完成发包人提出的零星工作或需要采用计日工计价的变更工作时，按合同中约定的单价计价的一种方式。</w:t>
      </w:r>
    </w:p>
    <w:p w14:paraId="4ABCE6F5">
      <w:pPr>
        <w:rPr>
          <w:rFonts w:asciiTheme="minorEastAsia" w:hAnsiTheme="minorEastAsia" w:eastAsiaTheme="minorEastAsia"/>
          <w:szCs w:val="21"/>
        </w:rPr>
      </w:pPr>
      <w:r>
        <w:rPr>
          <w:rFonts w:hint="eastAsia" w:asciiTheme="minorEastAsia" w:hAnsiTheme="minorEastAsia" w:eastAsiaTheme="minorEastAsia"/>
          <w:szCs w:val="21"/>
        </w:rPr>
        <w:t>1.1.5.7 质量保证金：是指按照第15.3款〔质量保证金〕约定承包人用于保证其在缺陷责任期内履行缺陷修补义务的担保。</w:t>
      </w:r>
    </w:p>
    <w:p w14:paraId="3A21F973">
      <w:pPr>
        <w:rPr>
          <w:rFonts w:asciiTheme="minorEastAsia" w:hAnsiTheme="minorEastAsia" w:eastAsiaTheme="minorEastAsia"/>
          <w:szCs w:val="21"/>
        </w:rPr>
      </w:pPr>
      <w:r>
        <w:rPr>
          <w:rFonts w:hint="eastAsia" w:asciiTheme="minorEastAsia" w:hAnsiTheme="minorEastAsia" w:eastAsiaTheme="minorEastAsia"/>
          <w:szCs w:val="21"/>
        </w:rPr>
        <w:t>1.1.5.8 总价项目：是指在现行国家、行业以及地方的计量规则中无工程量计算规则，在已标价工程量清单或预算书中以总价或以费率形式计算的项目。</w:t>
      </w:r>
    </w:p>
    <w:p w14:paraId="74CBCAAE">
      <w:pPr>
        <w:rPr>
          <w:rFonts w:asciiTheme="minorEastAsia" w:hAnsiTheme="minorEastAsia" w:eastAsiaTheme="minorEastAsia"/>
          <w:szCs w:val="21"/>
        </w:rPr>
      </w:pPr>
      <w:r>
        <w:rPr>
          <w:rFonts w:hint="eastAsia" w:asciiTheme="minorEastAsia" w:hAnsiTheme="minorEastAsia" w:eastAsiaTheme="minorEastAsia"/>
          <w:szCs w:val="21"/>
        </w:rPr>
        <w:t>1.1.6 其他</w:t>
      </w:r>
    </w:p>
    <w:p w14:paraId="7AF30DD8">
      <w:pPr>
        <w:rPr>
          <w:rFonts w:asciiTheme="minorEastAsia" w:hAnsiTheme="minorEastAsia" w:eastAsiaTheme="minorEastAsia"/>
          <w:szCs w:val="21"/>
        </w:rPr>
      </w:pPr>
      <w:r>
        <w:rPr>
          <w:rFonts w:hint="eastAsia" w:asciiTheme="minorEastAsia" w:hAnsiTheme="minorEastAsia" w:eastAsiaTheme="minorEastAsia"/>
          <w:szCs w:val="21"/>
        </w:rPr>
        <w:t>1.1.6.1 书面形式：是指合同文件、信函、电报、传真等可以有形地表现所载内容的形式。</w:t>
      </w:r>
    </w:p>
    <w:p w14:paraId="1433A895">
      <w:pPr>
        <w:rPr>
          <w:rFonts w:asciiTheme="minorEastAsia" w:hAnsiTheme="minorEastAsia" w:eastAsiaTheme="minorEastAsia"/>
          <w:szCs w:val="21"/>
        </w:rPr>
      </w:pPr>
      <w:r>
        <w:rPr>
          <w:rFonts w:hint="eastAsia" w:asciiTheme="minorEastAsia" w:hAnsiTheme="minorEastAsia" w:eastAsiaTheme="minorEastAsia"/>
          <w:szCs w:val="21"/>
        </w:rPr>
        <w:t>1.2语言文字</w:t>
      </w:r>
    </w:p>
    <w:p w14:paraId="743391AD">
      <w:pPr>
        <w:rPr>
          <w:rFonts w:asciiTheme="minorEastAsia" w:hAnsiTheme="minorEastAsia" w:eastAsiaTheme="minorEastAsia"/>
          <w:szCs w:val="21"/>
        </w:rPr>
      </w:pPr>
      <w:r>
        <w:rPr>
          <w:rFonts w:hint="eastAsia" w:asciiTheme="minorEastAsia" w:hAnsiTheme="minorEastAsia" w:eastAsiaTheme="minorEastAsia"/>
          <w:szCs w:val="21"/>
        </w:rPr>
        <w:t>合同以中国的汉语简体文字编写、解释和说明。合同当事人在专用合同条款中约定使用两种以上语言时，汉语为优先解释和说明合同的语言。</w:t>
      </w:r>
    </w:p>
    <w:p w14:paraId="2E8D3361">
      <w:pPr>
        <w:rPr>
          <w:rFonts w:asciiTheme="minorEastAsia" w:hAnsiTheme="minorEastAsia" w:eastAsiaTheme="minorEastAsia"/>
          <w:szCs w:val="21"/>
        </w:rPr>
      </w:pPr>
      <w:r>
        <w:rPr>
          <w:rFonts w:hint="eastAsia" w:asciiTheme="minorEastAsia" w:hAnsiTheme="minorEastAsia" w:eastAsiaTheme="minorEastAsia"/>
          <w:szCs w:val="21"/>
        </w:rPr>
        <w:t>1.3法律</w:t>
      </w:r>
    </w:p>
    <w:p w14:paraId="197DF852">
      <w:pPr>
        <w:rPr>
          <w:rFonts w:asciiTheme="minorEastAsia" w:hAnsiTheme="minorEastAsia" w:eastAsiaTheme="minorEastAsia"/>
          <w:szCs w:val="21"/>
        </w:rPr>
      </w:pPr>
      <w:r>
        <w:rPr>
          <w:rFonts w:hint="eastAsia" w:asciiTheme="minorEastAsia" w:hAnsiTheme="minorEastAsia" w:eastAsiaTheme="minorEastAsia"/>
          <w:szCs w:val="21"/>
        </w:rPr>
        <w:t>合同所称法律是指中华人民共和国法律、行政法规、部门规章，以及工程所在地的地方性法规、自治条例、单行条例和地方政府规章等。</w:t>
      </w:r>
    </w:p>
    <w:p w14:paraId="682D0EC4">
      <w:pPr>
        <w:rPr>
          <w:rFonts w:asciiTheme="minorEastAsia" w:hAnsiTheme="minorEastAsia" w:eastAsiaTheme="minorEastAsia"/>
          <w:szCs w:val="21"/>
        </w:rPr>
      </w:pPr>
      <w:r>
        <w:rPr>
          <w:rFonts w:hint="eastAsia" w:asciiTheme="minorEastAsia" w:hAnsiTheme="minorEastAsia" w:eastAsiaTheme="minorEastAsia"/>
          <w:szCs w:val="21"/>
        </w:rPr>
        <w:t>合同当事人可以在专用合同条款中约定合同适用的其他规范性文件。</w:t>
      </w:r>
    </w:p>
    <w:p w14:paraId="48E9E80C">
      <w:pPr>
        <w:rPr>
          <w:rFonts w:asciiTheme="minorEastAsia" w:hAnsiTheme="minorEastAsia" w:eastAsiaTheme="minorEastAsia"/>
          <w:szCs w:val="21"/>
        </w:rPr>
      </w:pPr>
      <w:r>
        <w:rPr>
          <w:rFonts w:hint="eastAsia" w:asciiTheme="minorEastAsia" w:hAnsiTheme="minorEastAsia" w:eastAsiaTheme="minorEastAsia"/>
          <w:szCs w:val="21"/>
        </w:rPr>
        <w:t>1.4 标准和规范</w:t>
      </w:r>
    </w:p>
    <w:p w14:paraId="0CF0A058">
      <w:pPr>
        <w:rPr>
          <w:rFonts w:asciiTheme="minorEastAsia" w:hAnsiTheme="minorEastAsia" w:eastAsiaTheme="minorEastAsia"/>
          <w:szCs w:val="21"/>
        </w:rPr>
      </w:pPr>
      <w:r>
        <w:rPr>
          <w:rFonts w:hint="eastAsia" w:asciiTheme="minorEastAsia" w:hAnsiTheme="minorEastAsia" w:eastAsiaTheme="minorEastAsia"/>
          <w:szCs w:val="21"/>
        </w:rPr>
        <w:t>1.4.1 适用于工程的国家标准、行业标准、工程所在地的地方性标准，以及相应的规范、规程等，合同当事人有特别要求的，应在专用合同条款中约定。</w:t>
      </w:r>
    </w:p>
    <w:p w14:paraId="7DF8B294">
      <w:pPr>
        <w:rPr>
          <w:rFonts w:asciiTheme="minorEastAsia" w:hAnsiTheme="minorEastAsia" w:eastAsiaTheme="minorEastAsia"/>
          <w:szCs w:val="21"/>
        </w:rPr>
      </w:pPr>
      <w:r>
        <w:rPr>
          <w:rFonts w:hint="eastAsia" w:asciiTheme="minorEastAsia" w:hAnsiTheme="minorEastAsia" w:eastAsiaTheme="minorEastAsia"/>
          <w:szCs w:val="21"/>
        </w:rPr>
        <w:t>1.4.2 发包人要求使用国外标准、规范的，发包人负责提供原文版本和中文译本，并在专用合同条款中约定提供标准规范的名称、份数和时间。</w:t>
      </w:r>
    </w:p>
    <w:p w14:paraId="0DDC74DC">
      <w:pPr>
        <w:rPr>
          <w:rFonts w:asciiTheme="minorEastAsia" w:hAnsiTheme="minorEastAsia" w:eastAsiaTheme="minorEastAsia"/>
          <w:szCs w:val="21"/>
        </w:rPr>
      </w:pPr>
      <w:r>
        <w:rPr>
          <w:rFonts w:hint="eastAsia" w:asciiTheme="minorEastAsia" w:hAnsiTheme="minorEastAsia" w:eastAsiaTheme="minorEastAsia"/>
          <w:szCs w:val="21"/>
        </w:rPr>
        <w:t>1.4.3 发包人对工程的技术文件准、功能要求高于或严于现行国家、行业或地方标准的，应当在专用合同条款中予以明确。除专用合同条款另有约定外，应视为承包人在签订合同前已充分预见前述技术文件准和功能要求的复杂程度，签约合同价中已包含由此产生的费用。</w:t>
      </w:r>
    </w:p>
    <w:p w14:paraId="4C9B300D">
      <w:pPr>
        <w:rPr>
          <w:rFonts w:asciiTheme="minorEastAsia" w:hAnsiTheme="minorEastAsia" w:eastAsiaTheme="minorEastAsia"/>
          <w:szCs w:val="21"/>
        </w:rPr>
      </w:pPr>
      <w:r>
        <w:rPr>
          <w:rFonts w:hint="eastAsia" w:asciiTheme="minorEastAsia" w:hAnsiTheme="minorEastAsia" w:eastAsiaTheme="minorEastAsia"/>
          <w:szCs w:val="21"/>
        </w:rPr>
        <w:t>1.5 合同文件的优先顺序</w:t>
      </w:r>
    </w:p>
    <w:p w14:paraId="567FD479">
      <w:pPr>
        <w:rPr>
          <w:rFonts w:asciiTheme="minorEastAsia" w:hAnsiTheme="minorEastAsia" w:eastAsiaTheme="minorEastAsia"/>
          <w:szCs w:val="21"/>
        </w:rPr>
      </w:pPr>
      <w:r>
        <w:rPr>
          <w:rFonts w:hint="eastAsia" w:asciiTheme="minorEastAsia" w:hAnsiTheme="minorEastAsia" w:eastAsiaTheme="minorEastAsia"/>
          <w:szCs w:val="21"/>
        </w:rPr>
        <w:t>组成合同的各项文件应互相解释，互为说明。除专用合同条款另有约定外，解释合同文件的优先顺序如下：</w:t>
      </w:r>
    </w:p>
    <w:p w14:paraId="6B2C3934">
      <w:pPr>
        <w:rPr>
          <w:rFonts w:asciiTheme="minorEastAsia" w:hAnsiTheme="minorEastAsia" w:eastAsiaTheme="minorEastAsia"/>
          <w:szCs w:val="21"/>
        </w:rPr>
      </w:pPr>
      <w:r>
        <w:rPr>
          <w:rFonts w:hint="eastAsia" w:asciiTheme="minorEastAsia" w:hAnsiTheme="minorEastAsia" w:eastAsiaTheme="minorEastAsia"/>
          <w:szCs w:val="21"/>
        </w:rPr>
        <w:t>（1）合同协议书；</w:t>
      </w:r>
    </w:p>
    <w:p w14:paraId="03C88482">
      <w:pPr>
        <w:rPr>
          <w:rFonts w:asciiTheme="minorEastAsia" w:hAnsiTheme="minorEastAsia" w:eastAsiaTheme="minorEastAsia"/>
          <w:szCs w:val="21"/>
        </w:rPr>
      </w:pPr>
      <w:r>
        <w:rPr>
          <w:rFonts w:hint="eastAsia" w:asciiTheme="minorEastAsia" w:hAnsiTheme="minorEastAsia" w:eastAsiaTheme="minorEastAsia"/>
          <w:szCs w:val="21"/>
        </w:rPr>
        <w:t>（2）成交通知书（如果有）；</w:t>
      </w:r>
    </w:p>
    <w:p w14:paraId="43DF69BC">
      <w:pPr>
        <w:rPr>
          <w:rFonts w:asciiTheme="minorEastAsia" w:hAnsiTheme="minorEastAsia" w:eastAsiaTheme="minorEastAsia"/>
          <w:szCs w:val="21"/>
        </w:rPr>
      </w:pPr>
      <w:r>
        <w:rPr>
          <w:rFonts w:hint="eastAsia" w:asciiTheme="minorEastAsia" w:hAnsiTheme="minorEastAsia" w:eastAsiaTheme="minorEastAsia"/>
          <w:szCs w:val="21"/>
        </w:rPr>
        <w:t>（3）投标函及其附录（如果有）；</w:t>
      </w:r>
    </w:p>
    <w:p w14:paraId="6E6EDFED">
      <w:pPr>
        <w:rPr>
          <w:rFonts w:asciiTheme="minorEastAsia" w:hAnsiTheme="minorEastAsia" w:eastAsiaTheme="minorEastAsia"/>
          <w:szCs w:val="21"/>
        </w:rPr>
      </w:pPr>
      <w:r>
        <w:rPr>
          <w:rFonts w:hint="eastAsia" w:asciiTheme="minorEastAsia" w:hAnsiTheme="minorEastAsia" w:eastAsiaTheme="minorEastAsia"/>
          <w:szCs w:val="21"/>
        </w:rPr>
        <w:t>（4）专用合同条款及其附件；</w:t>
      </w:r>
    </w:p>
    <w:p w14:paraId="4E202C77">
      <w:pPr>
        <w:rPr>
          <w:rFonts w:asciiTheme="minorEastAsia" w:hAnsiTheme="minorEastAsia" w:eastAsiaTheme="minorEastAsia"/>
          <w:szCs w:val="21"/>
        </w:rPr>
      </w:pPr>
      <w:r>
        <w:rPr>
          <w:rFonts w:hint="eastAsia" w:asciiTheme="minorEastAsia" w:hAnsiTheme="minorEastAsia" w:eastAsiaTheme="minorEastAsia"/>
          <w:szCs w:val="21"/>
        </w:rPr>
        <w:t>（5）通用合同条款；</w:t>
      </w:r>
    </w:p>
    <w:p w14:paraId="5752FDA2">
      <w:pPr>
        <w:rPr>
          <w:rFonts w:asciiTheme="minorEastAsia" w:hAnsiTheme="minorEastAsia" w:eastAsiaTheme="minorEastAsia"/>
          <w:szCs w:val="21"/>
        </w:rPr>
      </w:pPr>
      <w:r>
        <w:rPr>
          <w:rFonts w:hint="eastAsia" w:asciiTheme="minorEastAsia" w:hAnsiTheme="minorEastAsia" w:eastAsiaTheme="minorEastAsia"/>
          <w:szCs w:val="21"/>
        </w:rPr>
        <w:t>（6）技术文件准和要求；</w:t>
      </w:r>
    </w:p>
    <w:p w14:paraId="297A9E1A">
      <w:pPr>
        <w:rPr>
          <w:rFonts w:asciiTheme="minorEastAsia" w:hAnsiTheme="minorEastAsia" w:eastAsiaTheme="minorEastAsia"/>
          <w:szCs w:val="21"/>
        </w:rPr>
      </w:pPr>
      <w:r>
        <w:rPr>
          <w:rFonts w:hint="eastAsia" w:asciiTheme="minorEastAsia" w:hAnsiTheme="minorEastAsia" w:eastAsiaTheme="minorEastAsia"/>
          <w:szCs w:val="21"/>
        </w:rPr>
        <w:t>（7）图纸；</w:t>
      </w:r>
    </w:p>
    <w:p w14:paraId="27E3B334">
      <w:pPr>
        <w:rPr>
          <w:rFonts w:asciiTheme="minorEastAsia" w:hAnsiTheme="minorEastAsia" w:eastAsiaTheme="minorEastAsia"/>
          <w:szCs w:val="21"/>
        </w:rPr>
      </w:pPr>
      <w:r>
        <w:rPr>
          <w:rFonts w:hint="eastAsia" w:asciiTheme="minorEastAsia" w:hAnsiTheme="minorEastAsia" w:eastAsiaTheme="minorEastAsia"/>
          <w:szCs w:val="21"/>
        </w:rPr>
        <w:t>（8）已标价工程量清单或预算书；</w:t>
      </w:r>
    </w:p>
    <w:p w14:paraId="4F0C745A">
      <w:pPr>
        <w:rPr>
          <w:rFonts w:asciiTheme="minorEastAsia" w:hAnsiTheme="minorEastAsia" w:eastAsiaTheme="minorEastAsia"/>
          <w:szCs w:val="21"/>
        </w:rPr>
      </w:pPr>
      <w:r>
        <w:rPr>
          <w:rFonts w:hint="eastAsia" w:asciiTheme="minorEastAsia" w:hAnsiTheme="minorEastAsia" w:eastAsiaTheme="minorEastAsia"/>
          <w:szCs w:val="21"/>
        </w:rPr>
        <w:t>（9）其他合同文件。</w:t>
      </w:r>
    </w:p>
    <w:p w14:paraId="446FDCC6">
      <w:pPr>
        <w:rPr>
          <w:rFonts w:asciiTheme="minorEastAsia" w:hAnsiTheme="minorEastAsia" w:eastAsiaTheme="minorEastAsia"/>
          <w:szCs w:val="21"/>
        </w:rPr>
      </w:pPr>
      <w:r>
        <w:rPr>
          <w:rFonts w:hint="eastAsia" w:asciiTheme="minorEastAsia" w:hAnsiTheme="minorEastAsia" w:eastAsiaTheme="minorEastAsia"/>
          <w:szCs w:val="21"/>
        </w:rPr>
        <w:t>上述各项合同文件包括合同当事人就该项合同文件所作出的补充和修改，属于同一类内容的文件，应以最新签署的为准。</w:t>
      </w:r>
    </w:p>
    <w:p w14:paraId="7C7DEB35">
      <w:pPr>
        <w:rPr>
          <w:rFonts w:asciiTheme="minorEastAsia" w:hAnsiTheme="minorEastAsia" w:eastAsiaTheme="minorEastAsia"/>
          <w:szCs w:val="21"/>
        </w:rPr>
      </w:pPr>
      <w:r>
        <w:rPr>
          <w:rFonts w:hint="eastAsia" w:asciiTheme="minorEastAsia" w:hAnsiTheme="minorEastAsia" w:eastAsiaTheme="minorEastAsia"/>
          <w:szCs w:val="21"/>
        </w:rPr>
        <w:t>在合同订立及履行过程中形成的与合同有关的文件均构成合同文件组成部分，并根据其性质确定优先解释顺序。</w:t>
      </w:r>
    </w:p>
    <w:p w14:paraId="1A578950">
      <w:pPr>
        <w:rPr>
          <w:rFonts w:asciiTheme="minorEastAsia" w:hAnsiTheme="minorEastAsia" w:eastAsiaTheme="minorEastAsia"/>
          <w:szCs w:val="21"/>
        </w:rPr>
      </w:pPr>
      <w:r>
        <w:rPr>
          <w:rFonts w:hint="eastAsia" w:asciiTheme="minorEastAsia" w:hAnsiTheme="minorEastAsia" w:eastAsiaTheme="minorEastAsia"/>
          <w:szCs w:val="21"/>
        </w:rPr>
        <w:t>1.6图纸和承包人文件</w:t>
      </w:r>
    </w:p>
    <w:p w14:paraId="644E25EC">
      <w:pPr>
        <w:rPr>
          <w:rFonts w:asciiTheme="minorEastAsia" w:hAnsiTheme="minorEastAsia" w:eastAsiaTheme="minorEastAsia"/>
          <w:szCs w:val="21"/>
        </w:rPr>
      </w:pPr>
      <w:r>
        <w:rPr>
          <w:rFonts w:hint="eastAsia" w:asciiTheme="minorEastAsia" w:hAnsiTheme="minorEastAsia" w:eastAsiaTheme="minorEastAsia"/>
          <w:szCs w:val="21"/>
        </w:rPr>
        <w:t>1.6.1 图纸的提供和交底</w:t>
      </w:r>
    </w:p>
    <w:p w14:paraId="06783FEA">
      <w:pPr>
        <w:rPr>
          <w:rFonts w:asciiTheme="minorEastAsia" w:hAnsiTheme="minorEastAsia" w:eastAsiaTheme="minorEastAsia"/>
          <w:szCs w:val="21"/>
        </w:rPr>
      </w:pPr>
      <w:r>
        <w:rPr>
          <w:rFonts w:hint="eastAsia" w:asciiTheme="minorEastAsia" w:hAnsiTheme="minorEastAsia" w:eastAsiaTheme="minorEastAsia"/>
          <w:szCs w:val="21"/>
        </w:rPr>
        <w:t>发包人应按照专用合同条款约定的期限、数量和内容向承包人免费提供图纸，并组织承包人、监理人和设计人进行图纸会审和设计交底。发包人至迟不得晚于第7.3.2项〔开工通知〕载明的开工日期前14天向承包人提供图纸。</w:t>
      </w:r>
    </w:p>
    <w:p w14:paraId="5D78924D">
      <w:pPr>
        <w:rPr>
          <w:rFonts w:asciiTheme="minorEastAsia" w:hAnsiTheme="minorEastAsia" w:eastAsiaTheme="minorEastAsia"/>
          <w:szCs w:val="21"/>
        </w:rPr>
      </w:pPr>
      <w:r>
        <w:rPr>
          <w:rFonts w:hint="eastAsia" w:asciiTheme="minorEastAsia" w:hAnsiTheme="minorEastAsia" w:eastAsiaTheme="minorEastAsia"/>
          <w:szCs w:val="21"/>
        </w:rPr>
        <w:t>因发包人未按合同约定提供图纸导致承包人费用增加和（或）工期延误的，按照第7.5.1项〔因发包人原因导致工期延误〕约定办理。</w:t>
      </w:r>
    </w:p>
    <w:p w14:paraId="06A4221A">
      <w:pPr>
        <w:rPr>
          <w:rFonts w:asciiTheme="minorEastAsia" w:hAnsiTheme="minorEastAsia" w:eastAsiaTheme="minorEastAsia"/>
          <w:szCs w:val="21"/>
        </w:rPr>
      </w:pPr>
      <w:r>
        <w:rPr>
          <w:rFonts w:hint="eastAsia" w:asciiTheme="minorEastAsia" w:hAnsiTheme="minorEastAsia" w:eastAsiaTheme="minorEastAsia"/>
          <w:szCs w:val="21"/>
        </w:rPr>
        <w:t>1.6.2 图纸的错误</w:t>
      </w:r>
    </w:p>
    <w:p w14:paraId="4C9EC304">
      <w:pPr>
        <w:rPr>
          <w:rFonts w:asciiTheme="minorEastAsia" w:hAnsiTheme="minorEastAsia" w:eastAsiaTheme="minorEastAsia"/>
          <w:szCs w:val="21"/>
        </w:rPr>
      </w:pPr>
      <w:r>
        <w:rPr>
          <w:rFonts w:hint="eastAsia" w:asciiTheme="minorEastAsia" w:hAnsiTheme="minorEastAsia" w:eastAsiaTheme="minorEastAsia"/>
          <w:szCs w:val="21"/>
        </w:rPr>
        <w:t>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14:paraId="733ACF41">
      <w:pPr>
        <w:rPr>
          <w:rFonts w:asciiTheme="minorEastAsia" w:hAnsiTheme="minorEastAsia" w:eastAsiaTheme="minorEastAsia"/>
          <w:szCs w:val="21"/>
        </w:rPr>
      </w:pPr>
      <w:r>
        <w:rPr>
          <w:rFonts w:hint="eastAsia" w:asciiTheme="minorEastAsia" w:hAnsiTheme="minorEastAsia" w:eastAsiaTheme="minorEastAsia"/>
          <w:szCs w:val="21"/>
        </w:rPr>
        <w:t>1.6.3 图纸的修改和补充</w:t>
      </w:r>
    </w:p>
    <w:p w14:paraId="3B11E293">
      <w:pPr>
        <w:rPr>
          <w:rFonts w:asciiTheme="minorEastAsia" w:hAnsiTheme="minorEastAsia" w:eastAsiaTheme="minorEastAsia"/>
          <w:szCs w:val="21"/>
        </w:rPr>
      </w:pPr>
      <w:r>
        <w:rPr>
          <w:rFonts w:hint="eastAsia" w:asciiTheme="minorEastAsia" w:hAnsiTheme="minorEastAsia" w:eastAsiaTheme="minorEastAsia"/>
          <w:szCs w:val="21"/>
        </w:rPr>
        <w:t>图纸需要修改和补充的，应经图纸原设计人及审批部门同意，并由监理人在工程或工程相应部位施工前将修改后的图纸或补充图纸提交给承包人，承包人应按修改或补充后的图纸施工。</w:t>
      </w:r>
    </w:p>
    <w:p w14:paraId="3B10E63F">
      <w:pPr>
        <w:rPr>
          <w:rFonts w:asciiTheme="minorEastAsia" w:hAnsiTheme="minorEastAsia" w:eastAsiaTheme="minorEastAsia"/>
          <w:szCs w:val="21"/>
        </w:rPr>
      </w:pPr>
      <w:r>
        <w:rPr>
          <w:rFonts w:hint="eastAsia" w:asciiTheme="minorEastAsia" w:hAnsiTheme="minorEastAsia" w:eastAsiaTheme="minorEastAsia"/>
          <w:szCs w:val="21"/>
        </w:rPr>
        <w:t>1.6.4 承包人文件</w:t>
      </w:r>
    </w:p>
    <w:p w14:paraId="4AA385BB">
      <w:pPr>
        <w:rPr>
          <w:rFonts w:asciiTheme="minorEastAsia" w:hAnsiTheme="minorEastAsia" w:eastAsiaTheme="minorEastAsia"/>
          <w:szCs w:val="21"/>
        </w:rPr>
      </w:pPr>
      <w:r>
        <w:rPr>
          <w:rFonts w:hint="eastAsia" w:asciiTheme="minorEastAsia" w:hAnsiTheme="minorEastAsia" w:eastAsiaTheme="minorEastAsia"/>
          <w:szCs w:val="21"/>
        </w:rPr>
        <w:t>承包人应按照专用合同条款的约定提供应当由其编制的与工程施工有关的文件，并按照专用合同条款约定的期限、数量和形式提交监理人，并由监理人报送发包人。</w:t>
      </w:r>
    </w:p>
    <w:p w14:paraId="28650030">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14:paraId="259BEE6E">
      <w:pPr>
        <w:rPr>
          <w:rFonts w:asciiTheme="minorEastAsia" w:hAnsiTheme="minorEastAsia" w:eastAsiaTheme="minorEastAsia"/>
          <w:szCs w:val="21"/>
        </w:rPr>
      </w:pPr>
      <w:r>
        <w:rPr>
          <w:rFonts w:hint="eastAsia" w:asciiTheme="minorEastAsia" w:hAnsiTheme="minorEastAsia" w:eastAsiaTheme="minorEastAsia"/>
          <w:szCs w:val="21"/>
        </w:rPr>
        <w:t>1.6.5 图纸和承包人文件的保管</w:t>
      </w:r>
    </w:p>
    <w:p w14:paraId="126F17DA">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除专用合同条款另有约定外，承包人应在施工现场另外保存一套完整的图纸和承包人文件，供发包人、监理人及有关人员进行工程检查时使用。</w:t>
      </w:r>
    </w:p>
    <w:p w14:paraId="7ED90593">
      <w:pPr>
        <w:rPr>
          <w:rFonts w:asciiTheme="minorEastAsia" w:hAnsiTheme="minorEastAsia" w:eastAsiaTheme="minorEastAsia"/>
          <w:szCs w:val="21"/>
        </w:rPr>
      </w:pPr>
      <w:r>
        <w:rPr>
          <w:rFonts w:hint="eastAsia" w:asciiTheme="minorEastAsia" w:hAnsiTheme="minorEastAsia" w:eastAsiaTheme="minorEastAsia"/>
          <w:szCs w:val="21"/>
        </w:rPr>
        <w:t>1.7联络</w:t>
      </w:r>
    </w:p>
    <w:p w14:paraId="5C730691">
      <w:pPr>
        <w:rPr>
          <w:rFonts w:asciiTheme="minorEastAsia" w:hAnsiTheme="minorEastAsia" w:eastAsiaTheme="minorEastAsia"/>
          <w:szCs w:val="21"/>
        </w:rPr>
      </w:pPr>
      <w:r>
        <w:rPr>
          <w:rFonts w:hint="eastAsia" w:asciiTheme="minorEastAsia" w:hAnsiTheme="minorEastAsia" w:eastAsiaTheme="minorEastAsia"/>
          <w:szCs w:val="21"/>
        </w:rPr>
        <w:t>1.7.1 与合同有关的通知、批准、证明、证书、指示、指令、要求、请求、同意、意见、确定和决定等，均应采用书面形式，并应在合同约定的期限内送达接收人和送达地点。</w:t>
      </w:r>
    </w:p>
    <w:p w14:paraId="3C4A511E">
      <w:pPr>
        <w:rPr>
          <w:rFonts w:asciiTheme="minorEastAsia" w:hAnsiTheme="minorEastAsia" w:eastAsiaTheme="minorEastAsia"/>
          <w:szCs w:val="21"/>
        </w:rPr>
      </w:pPr>
      <w:r>
        <w:rPr>
          <w:rFonts w:hint="eastAsia" w:asciiTheme="minorEastAsia" w:hAnsiTheme="minorEastAsia" w:eastAsiaTheme="minorEastAsia"/>
          <w:szCs w:val="21"/>
        </w:rPr>
        <w:t>1.7.2 发包人和承包人应在专用合同条款中约定各自的送达接收人和送达地点。任何一方合同当事人指定的接收人或送达地点发生变动的，应提前3天以书面形式通知对方。</w:t>
      </w:r>
    </w:p>
    <w:p w14:paraId="1B33125B">
      <w:pPr>
        <w:rPr>
          <w:rFonts w:asciiTheme="minorEastAsia" w:hAnsiTheme="minorEastAsia" w:eastAsiaTheme="minorEastAsia"/>
          <w:szCs w:val="21"/>
        </w:rPr>
      </w:pPr>
      <w:r>
        <w:rPr>
          <w:rFonts w:hint="eastAsia" w:asciiTheme="minorEastAsia" w:hAnsiTheme="minorEastAsia" w:eastAsiaTheme="minorEastAsia"/>
          <w:szCs w:val="21"/>
        </w:rPr>
        <w:t>1.7.3 发包人和承包人应当及时签收另一方送达至送达地点和指定接收人的来往信函。拒不签收的，由此增加的费用和（或）延误的工期由拒绝接收一方承担。</w:t>
      </w:r>
    </w:p>
    <w:p w14:paraId="480B2CFC">
      <w:pPr>
        <w:rPr>
          <w:rFonts w:asciiTheme="minorEastAsia" w:hAnsiTheme="minorEastAsia" w:eastAsiaTheme="minorEastAsia"/>
          <w:szCs w:val="21"/>
        </w:rPr>
      </w:pPr>
      <w:r>
        <w:rPr>
          <w:rFonts w:hint="eastAsia" w:asciiTheme="minorEastAsia" w:hAnsiTheme="minorEastAsia" w:eastAsiaTheme="minorEastAsia"/>
          <w:szCs w:val="21"/>
        </w:rPr>
        <w:t>1.8严禁贿赂</w:t>
      </w:r>
    </w:p>
    <w:p w14:paraId="678C84FA">
      <w:pPr>
        <w:rPr>
          <w:rFonts w:asciiTheme="minorEastAsia" w:hAnsiTheme="minorEastAsia" w:eastAsiaTheme="minorEastAsia"/>
          <w:szCs w:val="21"/>
        </w:rPr>
      </w:pPr>
      <w:r>
        <w:rPr>
          <w:rFonts w:hint="eastAsia" w:asciiTheme="minorEastAsia" w:hAnsiTheme="minorEastAsia" w:eastAsiaTheme="minorEastAsia"/>
          <w:szCs w:val="21"/>
        </w:rPr>
        <w:t>合同当事人不得以贿赂或变相贿赂的方式，谋取非法利益或损害对方权益。因一方合同当事人的贿赂造成对方损失的，应赔偿损失，并承担相应的法律责任。</w:t>
      </w:r>
    </w:p>
    <w:p w14:paraId="0F9C3FB1">
      <w:pPr>
        <w:rPr>
          <w:rFonts w:asciiTheme="minorEastAsia" w:hAnsiTheme="minorEastAsia" w:eastAsiaTheme="minorEastAsia"/>
          <w:szCs w:val="21"/>
        </w:rPr>
      </w:pPr>
      <w:r>
        <w:rPr>
          <w:rFonts w:hint="eastAsia" w:asciiTheme="minorEastAsia" w:hAnsiTheme="minorEastAsia" w:eastAsiaTheme="minorEastAsia"/>
          <w:szCs w:val="21"/>
        </w:rPr>
        <w:t>承包人不得与监理人或发包人聘请的第三方串通损害发包人利益。未经发包人书面同意，承包人不得为监理人提供合同约定以外的通讯设备、交通工具及其他任何形式的利益，不得向监理人支付报酬。</w:t>
      </w:r>
    </w:p>
    <w:p w14:paraId="336E325E">
      <w:pPr>
        <w:rPr>
          <w:rFonts w:asciiTheme="minorEastAsia" w:hAnsiTheme="minorEastAsia" w:eastAsiaTheme="minorEastAsia"/>
          <w:szCs w:val="21"/>
        </w:rPr>
      </w:pPr>
      <w:r>
        <w:rPr>
          <w:rFonts w:hint="eastAsia" w:asciiTheme="minorEastAsia" w:hAnsiTheme="minorEastAsia" w:eastAsiaTheme="minorEastAsia"/>
          <w:szCs w:val="21"/>
        </w:rPr>
        <w:t>1.9化石、文物</w:t>
      </w:r>
    </w:p>
    <w:p w14:paraId="16F3C752">
      <w:pPr>
        <w:rPr>
          <w:rFonts w:asciiTheme="minorEastAsia" w:hAnsiTheme="minorEastAsia" w:eastAsiaTheme="minorEastAsia"/>
          <w:szCs w:val="21"/>
        </w:rPr>
      </w:pPr>
      <w:r>
        <w:rPr>
          <w:rFonts w:hint="eastAsia" w:asciiTheme="minorEastAsia" w:hAnsiTheme="minorEastAsia" w:eastAsiaTheme="minorEastAsia"/>
          <w:szCs w:val="21"/>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03FFD71B">
      <w:pPr>
        <w:rPr>
          <w:rFonts w:asciiTheme="minorEastAsia" w:hAnsiTheme="minorEastAsia" w:eastAsiaTheme="minorEastAsia"/>
          <w:szCs w:val="21"/>
        </w:rPr>
      </w:pPr>
      <w:r>
        <w:rPr>
          <w:rFonts w:hint="eastAsia" w:asciiTheme="minorEastAsia" w:hAnsiTheme="minorEastAsia" w:eastAsiaTheme="minorEastAsia"/>
          <w:szCs w:val="21"/>
        </w:rPr>
        <w:t>发包人、监理人和承包人应按有关政府行政管理部门要求采取妥善的保护措施，由此增加的费用和（或）延误的工期由发包人承担。</w:t>
      </w:r>
    </w:p>
    <w:p w14:paraId="61F9EE4F">
      <w:pPr>
        <w:rPr>
          <w:rFonts w:asciiTheme="minorEastAsia" w:hAnsiTheme="minorEastAsia" w:eastAsiaTheme="minorEastAsia"/>
          <w:szCs w:val="21"/>
        </w:rPr>
      </w:pPr>
      <w:r>
        <w:rPr>
          <w:rFonts w:hint="eastAsia" w:asciiTheme="minorEastAsia" w:hAnsiTheme="minorEastAsia" w:eastAsiaTheme="minorEastAsia"/>
          <w:szCs w:val="21"/>
        </w:rPr>
        <w:t>承包人发现文物后不及时报告或隐瞒不报，致使文物丢失或损坏的，应赔偿损失，并承担相应的法律责任。</w:t>
      </w:r>
    </w:p>
    <w:p w14:paraId="46D7EC06">
      <w:pPr>
        <w:rPr>
          <w:rFonts w:asciiTheme="minorEastAsia" w:hAnsiTheme="minorEastAsia" w:eastAsiaTheme="minorEastAsia"/>
          <w:szCs w:val="21"/>
        </w:rPr>
      </w:pPr>
      <w:r>
        <w:rPr>
          <w:rFonts w:hint="eastAsia" w:asciiTheme="minorEastAsia" w:hAnsiTheme="minorEastAsia" w:eastAsiaTheme="minorEastAsia"/>
          <w:szCs w:val="21"/>
        </w:rPr>
        <w:t>1.10交通运输</w:t>
      </w:r>
    </w:p>
    <w:p w14:paraId="2EB5F5AD">
      <w:pPr>
        <w:rPr>
          <w:rFonts w:asciiTheme="minorEastAsia" w:hAnsiTheme="minorEastAsia" w:eastAsiaTheme="minorEastAsia"/>
          <w:szCs w:val="21"/>
        </w:rPr>
      </w:pPr>
      <w:r>
        <w:rPr>
          <w:rFonts w:hint="eastAsia" w:asciiTheme="minorEastAsia" w:hAnsiTheme="minorEastAsia" w:eastAsiaTheme="minorEastAsia"/>
          <w:szCs w:val="21"/>
        </w:rPr>
        <w:t>1.10.1 出入现场的权利</w:t>
      </w:r>
    </w:p>
    <w:p w14:paraId="7E9CFCA7">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应根据施工需要，负责取得出入施工现场所需的批准手续和全部权利，以及取得因施工所需修建道路、桥梁以及其他基础设施的权利，并承担相关手续费用和建设费用。承包人应协助发包人办理修建场内外道路、桥梁以及其他基础设施的手续。</w:t>
      </w:r>
    </w:p>
    <w:p w14:paraId="7021FAC2">
      <w:pPr>
        <w:rPr>
          <w:rFonts w:asciiTheme="minorEastAsia" w:hAnsiTheme="minorEastAsia" w:eastAsiaTheme="minorEastAsia"/>
          <w:szCs w:val="21"/>
        </w:rPr>
      </w:pPr>
      <w:r>
        <w:rPr>
          <w:rFonts w:hint="eastAsia" w:asciiTheme="minorEastAsia" w:hAnsiTheme="minorEastAsia" w:eastAsiaTheme="minorEastAsia"/>
          <w:szCs w:val="21"/>
        </w:rPr>
        <w:t>承包人应在订立合同前查勘施工现场，并根据工程规模及技术参数合理预见工程施工所需的进出施工现场的方式、手段、路径等。因承包人未合理预见所增加的费用和（或）延误的工期由承包人承担。</w:t>
      </w:r>
    </w:p>
    <w:p w14:paraId="1D955804">
      <w:pPr>
        <w:rPr>
          <w:rFonts w:asciiTheme="minorEastAsia" w:hAnsiTheme="minorEastAsia" w:eastAsiaTheme="minorEastAsia"/>
          <w:szCs w:val="21"/>
        </w:rPr>
      </w:pPr>
      <w:r>
        <w:rPr>
          <w:rFonts w:hint="eastAsia" w:asciiTheme="minorEastAsia" w:hAnsiTheme="minorEastAsia" w:eastAsiaTheme="minorEastAsia"/>
          <w:szCs w:val="21"/>
        </w:rPr>
        <w:t>1.10.2 场外交通</w:t>
      </w:r>
    </w:p>
    <w:p w14:paraId="55A5B883">
      <w:pPr>
        <w:rPr>
          <w:rFonts w:asciiTheme="minorEastAsia" w:hAnsiTheme="minorEastAsia" w:eastAsiaTheme="minorEastAsia"/>
          <w:szCs w:val="21"/>
        </w:rPr>
      </w:pPr>
      <w:r>
        <w:rPr>
          <w:rFonts w:hint="eastAsia" w:asciiTheme="minorEastAsia" w:hAnsiTheme="minorEastAsia" w:eastAsiaTheme="minorEastAsia"/>
          <w:szCs w:val="21"/>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06B61D9E">
      <w:pPr>
        <w:rPr>
          <w:rFonts w:asciiTheme="minorEastAsia" w:hAnsiTheme="minorEastAsia" w:eastAsiaTheme="minorEastAsia"/>
          <w:szCs w:val="21"/>
        </w:rPr>
      </w:pPr>
      <w:r>
        <w:rPr>
          <w:rFonts w:hint="eastAsia" w:asciiTheme="minorEastAsia" w:hAnsiTheme="minorEastAsia" w:eastAsiaTheme="minorEastAsia"/>
          <w:szCs w:val="21"/>
        </w:rPr>
        <w:t>1.10.3场内交通</w:t>
      </w:r>
    </w:p>
    <w:p w14:paraId="670A522A">
      <w:pPr>
        <w:rPr>
          <w:rFonts w:asciiTheme="minorEastAsia" w:hAnsiTheme="minorEastAsia" w:eastAsiaTheme="minorEastAsia"/>
          <w:szCs w:val="21"/>
        </w:rPr>
      </w:pPr>
      <w:r>
        <w:rPr>
          <w:rFonts w:hint="eastAsia" w:asciiTheme="minorEastAsia" w:hAnsiTheme="minorEastAsia" w:eastAsiaTheme="minorEastAsia"/>
          <w:szCs w:val="21"/>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29BFD316">
      <w:pPr>
        <w:rPr>
          <w:rFonts w:asciiTheme="minorEastAsia" w:hAnsiTheme="minorEastAsia" w:eastAsiaTheme="minorEastAsia"/>
          <w:szCs w:val="21"/>
        </w:rPr>
      </w:pPr>
      <w:r>
        <w:rPr>
          <w:rFonts w:hint="eastAsia" w:asciiTheme="minorEastAsia" w:hAnsiTheme="minorEastAsia" w:eastAsiaTheme="minorEastAsia"/>
          <w:szCs w:val="21"/>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32ABBE9B">
      <w:pPr>
        <w:rPr>
          <w:rFonts w:asciiTheme="minorEastAsia" w:hAnsiTheme="minorEastAsia" w:eastAsiaTheme="minorEastAsia"/>
          <w:szCs w:val="21"/>
        </w:rPr>
      </w:pPr>
      <w:r>
        <w:rPr>
          <w:rFonts w:hint="eastAsia" w:asciiTheme="minorEastAsia" w:hAnsiTheme="minorEastAsia" w:eastAsiaTheme="minorEastAsia"/>
          <w:szCs w:val="21"/>
        </w:rPr>
        <w:t>场外交通和场内交通的边界由合同当事人在专用合同条款中约定。</w:t>
      </w:r>
    </w:p>
    <w:p w14:paraId="778A8080">
      <w:pPr>
        <w:rPr>
          <w:rFonts w:asciiTheme="minorEastAsia" w:hAnsiTheme="minorEastAsia" w:eastAsiaTheme="minorEastAsia"/>
          <w:szCs w:val="21"/>
        </w:rPr>
      </w:pPr>
      <w:r>
        <w:rPr>
          <w:rFonts w:hint="eastAsia" w:asciiTheme="minorEastAsia" w:hAnsiTheme="minorEastAsia" w:eastAsiaTheme="minorEastAsia"/>
          <w:szCs w:val="21"/>
        </w:rPr>
        <w:t>1.10.4 超大件和超重件的运输</w:t>
      </w:r>
    </w:p>
    <w:p w14:paraId="72CE9EEF">
      <w:pPr>
        <w:rPr>
          <w:rFonts w:asciiTheme="minorEastAsia" w:hAnsiTheme="minorEastAsia" w:eastAsiaTheme="minorEastAsia"/>
          <w:szCs w:val="21"/>
        </w:rPr>
      </w:pPr>
      <w:r>
        <w:rPr>
          <w:rFonts w:hint="eastAsia" w:asciiTheme="minorEastAsia" w:hAnsiTheme="minorEastAsia" w:eastAsiaTheme="minorEastAsia"/>
          <w:szCs w:val="21"/>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748E033F">
      <w:pPr>
        <w:rPr>
          <w:rFonts w:asciiTheme="minorEastAsia" w:hAnsiTheme="minorEastAsia" w:eastAsiaTheme="minorEastAsia"/>
          <w:szCs w:val="21"/>
        </w:rPr>
      </w:pPr>
      <w:r>
        <w:rPr>
          <w:rFonts w:hint="eastAsia" w:asciiTheme="minorEastAsia" w:hAnsiTheme="minorEastAsia" w:eastAsiaTheme="minorEastAsia"/>
          <w:szCs w:val="21"/>
        </w:rPr>
        <w:t>1.10.5 道路和桥梁的损坏责任</w:t>
      </w:r>
    </w:p>
    <w:p w14:paraId="3D1A449D">
      <w:pPr>
        <w:rPr>
          <w:rFonts w:asciiTheme="minorEastAsia" w:hAnsiTheme="minorEastAsia" w:eastAsiaTheme="minorEastAsia"/>
          <w:szCs w:val="21"/>
        </w:rPr>
      </w:pPr>
      <w:r>
        <w:rPr>
          <w:rFonts w:hint="eastAsia" w:asciiTheme="minorEastAsia" w:hAnsiTheme="minorEastAsia" w:eastAsiaTheme="minorEastAsia"/>
          <w:szCs w:val="21"/>
        </w:rPr>
        <w:t>因承包人运输造成施工场地内外公共道路和桥梁损坏的，由承包人承担修复损坏的全部费用和可能引起的赔偿。</w:t>
      </w:r>
    </w:p>
    <w:p w14:paraId="3893CB94">
      <w:pPr>
        <w:rPr>
          <w:rFonts w:asciiTheme="minorEastAsia" w:hAnsiTheme="minorEastAsia" w:eastAsiaTheme="minorEastAsia"/>
          <w:szCs w:val="21"/>
        </w:rPr>
      </w:pPr>
      <w:r>
        <w:rPr>
          <w:rFonts w:hint="eastAsia" w:asciiTheme="minorEastAsia" w:hAnsiTheme="minorEastAsia" w:eastAsiaTheme="minorEastAsia"/>
          <w:szCs w:val="21"/>
        </w:rPr>
        <w:t>1.10.6 水路和航空运输</w:t>
      </w:r>
    </w:p>
    <w:p w14:paraId="6C234222">
      <w:pPr>
        <w:rPr>
          <w:rFonts w:asciiTheme="minorEastAsia" w:hAnsiTheme="minorEastAsia" w:eastAsiaTheme="minorEastAsia"/>
          <w:szCs w:val="21"/>
        </w:rPr>
      </w:pPr>
      <w:r>
        <w:rPr>
          <w:rFonts w:hint="eastAsia" w:asciiTheme="minorEastAsia" w:hAnsiTheme="minorEastAsia" w:eastAsiaTheme="minorEastAsia"/>
          <w:szCs w:val="21"/>
        </w:rPr>
        <w:t>本款前述各项的内容适用于水路运输和航空运输，其中“道路”一词的涵义包括河道、航线、船闸、机场、码头、堤防以及水路或航空运输中其他相似结构物；“车辆”一词的涵义包括船舶和飞机等。</w:t>
      </w:r>
    </w:p>
    <w:p w14:paraId="59561770">
      <w:pPr>
        <w:rPr>
          <w:rFonts w:asciiTheme="minorEastAsia" w:hAnsiTheme="minorEastAsia" w:eastAsiaTheme="minorEastAsia"/>
          <w:szCs w:val="21"/>
        </w:rPr>
      </w:pPr>
      <w:r>
        <w:rPr>
          <w:rFonts w:hint="eastAsia" w:asciiTheme="minorEastAsia" w:hAnsiTheme="minorEastAsia" w:eastAsiaTheme="minorEastAsia"/>
          <w:szCs w:val="21"/>
        </w:rPr>
        <w:t xml:space="preserve">1.11知识产权 </w:t>
      </w:r>
    </w:p>
    <w:p w14:paraId="2490D750">
      <w:pPr>
        <w:rPr>
          <w:rFonts w:asciiTheme="minorEastAsia" w:hAnsiTheme="minorEastAsia" w:eastAsiaTheme="minorEastAsia"/>
          <w:szCs w:val="21"/>
        </w:rPr>
      </w:pPr>
      <w:r>
        <w:rPr>
          <w:rFonts w:hint="eastAsia" w:asciiTheme="minorEastAsia" w:hAnsiTheme="minorEastAsia" w:eastAsiaTheme="minorEastAsia"/>
          <w:szCs w:val="21"/>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52A1D793">
      <w:pPr>
        <w:rPr>
          <w:rFonts w:asciiTheme="minorEastAsia" w:hAnsiTheme="minorEastAsia" w:eastAsiaTheme="minorEastAsia"/>
          <w:szCs w:val="21"/>
        </w:rPr>
      </w:pPr>
      <w:r>
        <w:rPr>
          <w:rFonts w:hint="eastAsia" w:asciiTheme="minorEastAsia" w:hAnsiTheme="minorEastAsia" w:eastAsiaTheme="minorEastAsia"/>
          <w:szCs w:val="21"/>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14:paraId="32ECD54C">
      <w:pPr>
        <w:rPr>
          <w:rFonts w:asciiTheme="minorEastAsia" w:hAnsiTheme="minorEastAsia" w:eastAsiaTheme="minorEastAsia"/>
          <w:szCs w:val="21"/>
        </w:rPr>
      </w:pPr>
      <w:r>
        <w:rPr>
          <w:rFonts w:hint="eastAsia" w:asciiTheme="minorEastAsia" w:hAnsiTheme="minorEastAsia" w:eastAsiaTheme="minorEastAsia"/>
          <w:szCs w:val="21"/>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6244EA72">
      <w:pPr>
        <w:rPr>
          <w:rFonts w:asciiTheme="minorEastAsia" w:hAnsiTheme="minorEastAsia" w:eastAsiaTheme="minorEastAsia"/>
          <w:szCs w:val="21"/>
        </w:rPr>
      </w:pPr>
      <w:r>
        <w:rPr>
          <w:rFonts w:hint="eastAsia" w:asciiTheme="minorEastAsia" w:hAnsiTheme="minorEastAsia" w:eastAsiaTheme="minorEastAsia"/>
          <w:szCs w:val="21"/>
        </w:rPr>
        <w:t>1.11.4 除专用合同条款另有约定外，承包人在合同签订前和签订时已确定采用的专利、专有技术、技术秘密的使用费已包含在签约合同价中。</w:t>
      </w:r>
    </w:p>
    <w:p w14:paraId="10BE92EE">
      <w:pPr>
        <w:rPr>
          <w:rFonts w:asciiTheme="minorEastAsia" w:hAnsiTheme="minorEastAsia" w:eastAsiaTheme="minorEastAsia"/>
          <w:szCs w:val="21"/>
        </w:rPr>
      </w:pPr>
      <w:r>
        <w:rPr>
          <w:rFonts w:hint="eastAsia" w:asciiTheme="minorEastAsia" w:hAnsiTheme="minorEastAsia" w:eastAsiaTheme="minorEastAsia"/>
          <w:szCs w:val="21"/>
        </w:rPr>
        <w:t>1.12保密</w:t>
      </w:r>
    </w:p>
    <w:p w14:paraId="4738E4B0">
      <w:pPr>
        <w:rPr>
          <w:rFonts w:asciiTheme="minorEastAsia" w:hAnsiTheme="minorEastAsia" w:eastAsiaTheme="minorEastAsia"/>
          <w:szCs w:val="21"/>
        </w:rPr>
      </w:pPr>
      <w:r>
        <w:rPr>
          <w:rFonts w:hint="eastAsia" w:asciiTheme="minorEastAsia" w:hAnsiTheme="minorEastAsia" w:eastAsiaTheme="minorEastAsia"/>
          <w:szCs w:val="21"/>
        </w:rPr>
        <w:t>除法律规定或合同另有约定外，未经发包人同意，承包人不得将发包人提供的图纸、文件以及声明需要保密的资料信息等商业秘密泄露给第三方。</w:t>
      </w:r>
    </w:p>
    <w:p w14:paraId="59D5A405">
      <w:pPr>
        <w:rPr>
          <w:rFonts w:asciiTheme="minorEastAsia" w:hAnsiTheme="minorEastAsia" w:eastAsiaTheme="minorEastAsia"/>
          <w:szCs w:val="21"/>
        </w:rPr>
      </w:pPr>
      <w:r>
        <w:rPr>
          <w:rFonts w:hint="eastAsia" w:asciiTheme="minorEastAsia" w:hAnsiTheme="minorEastAsia" w:eastAsiaTheme="minorEastAsia"/>
          <w:szCs w:val="21"/>
        </w:rPr>
        <w:t>除法律规定或合同另有约定外，未经承包人同意，发包人不得将承包人提供的技术秘密及声明需要保密的资料信息等商业秘密泄露给第三方。</w:t>
      </w:r>
    </w:p>
    <w:p w14:paraId="5326BBED">
      <w:pPr>
        <w:rPr>
          <w:rFonts w:asciiTheme="minorEastAsia" w:hAnsiTheme="minorEastAsia" w:eastAsiaTheme="minorEastAsia"/>
          <w:szCs w:val="21"/>
        </w:rPr>
      </w:pPr>
      <w:r>
        <w:rPr>
          <w:rFonts w:hint="eastAsia" w:asciiTheme="minorEastAsia" w:hAnsiTheme="minorEastAsia" w:eastAsiaTheme="minorEastAsia"/>
          <w:szCs w:val="21"/>
        </w:rPr>
        <w:t>1.13工程量清单错误的修正</w:t>
      </w:r>
    </w:p>
    <w:p w14:paraId="540E9CE3">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除专用合同条款另有约定外，发包人提供的工程量清单，应被认为是准确的和完整的。出现下列情形之一时，发包人应予以修正，并相应调整合同价格：</w:t>
      </w:r>
    </w:p>
    <w:p w14:paraId="48E60907">
      <w:pPr>
        <w:rPr>
          <w:rFonts w:asciiTheme="minorEastAsia" w:hAnsiTheme="minorEastAsia" w:eastAsiaTheme="minorEastAsia"/>
          <w:szCs w:val="21"/>
        </w:rPr>
      </w:pPr>
      <w:r>
        <w:rPr>
          <w:rFonts w:hint="eastAsia" w:asciiTheme="minorEastAsia" w:hAnsiTheme="minorEastAsia" w:eastAsiaTheme="minorEastAsia"/>
          <w:szCs w:val="21"/>
        </w:rPr>
        <w:t>（1）工程量清单存在缺项、漏项的；</w:t>
      </w:r>
    </w:p>
    <w:p w14:paraId="4348212C">
      <w:pPr>
        <w:rPr>
          <w:rFonts w:asciiTheme="minorEastAsia" w:hAnsiTheme="minorEastAsia" w:eastAsiaTheme="minorEastAsia"/>
          <w:szCs w:val="21"/>
        </w:rPr>
      </w:pPr>
      <w:r>
        <w:rPr>
          <w:rFonts w:hint="eastAsia" w:asciiTheme="minorEastAsia" w:hAnsiTheme="minorEastAsia" w:eastAsiaTheme="minorEastAsia"/>
          <w:szCs w:val="21"/>
        </w:rPr>
        <w:t>（2）工程量清单偏差超出专用合同条款约定的工程量偏差范围的；</w:t>
      </w:r>
    </w:p>
    <w:p w14:paraId="2FEA6217">
      <w:pPr>
        <w:rPr>
          <w:rFonts w:asciiTheme="minorEastAsia" w:hAnsiTheme="minorEastAsia" w:eastAsiaTheme="minorEastAsia"/>
          <w:szCs w:val="21"/>
        </w:rPr>
      </w:pPr>
      <w:r>
        <w:rPr>
          <w:rFonts w:hint="eastAsia" w:asciiTheme="minorEastAsia" w:hAnsiTheme="minorEastAsia" w:eastAsiaTheme="minorEastAsia"/>
          <w:szCs w:val="21"/>
        </w:rPr>
        <w:t>（3）未按照国家现行计量规范强制性规定计量的。</w:t>
      </w:r>
    </w:p>
    <w:p w14:paraId="1A38D93C">
      <w:pPr>
        <w:rPr>
          <w:rFonts w:asciiTheme="minorEastAsia" w:hAnsiTheme="minorEastAsia" w:eastAsiaTheme="minorEastAsia"/>
          <w:b/>
          <w:szCs w:val="21"/>
        </w:rPr>
      </w:pPr>
      <w:r>
        <w:rPr>
          <w:rFonts w:hint="eastAsia" w:asciiTheme="minorEastAsia" w:hAnsiTheme="minorEastAsia" w:eastAsiaTheme="minorEastAsia"/>
          <w:b/>
          <w:szCs w:val="21"/>
        </w:rPr>
        <w:t>2. 发包人</w:t>
      </w:r>
    </w:p>
    <w:p w14:paraId="6D578AFE">
      <w:pPr>
        <w:rPr>
          <w:rFonts w:asciiTheme="minorEastAsia" w:hAnsiTheme="minorEastAsia" w:eastAsiaTheme="minorEastAsia"/>
          <w:szCs w:val="21"/>
        </w:rPr>
      </w:pPr>
      <w:r>
        <w:rPr>
          <w:rFonts w:hint="eastAsia" w:asciiTheme="minorEastAsia" w:hAnsiTheme="minorEastAsia" w:eastAsiaTheme="minorEastAsia"/>
          <w:szCs w:val="21"/>
        </w:rPr>
        <w:t>2.1 许可或批准</w:t>
      </w:r>
    </w:p>
    <w:p w14:paraId="69F56837">
      <w:pPr>
        <w:rPr>
          <w:rFonts w:asciiTheme="minorEastAsia" w:hAnsiTheme="minorEastAsia" w:eastAsiaTheme="minorEastAsia"/>
          <w:szCs w:val="21"/>
        </w:rPr>
      </w:pPr>
      <w:r>
        <w:rPr>
          <w:rFonts w:hint="eastAsia" w:asciiTheme="minorEastAsia" w:hAnsiTheme="minorEastAsia" w:eastAsiaTheme="minorEastAsia"/>
          <w:szCs w:val="21"/>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127EF6AD">
      <w:pPr>
        <w:rPr>
          <w:rFonts w:asciiTheme="minorEastAsia" w:hAnsiTheme="minorEastAsia" w:eastAsiaTheme="minorEastAsia"/>
          <w:szCs w:val="21"/>
        </w:rPr>
      </w:pPr>
      <w:r>
        <w:rPr>
          <w:rFonts w:hint="eastAsia" w:asciiTheme="minorEastAsia" w:hAnsiTheme="minorEastAsia" w:eastAsiaTheme="minorEastAsia"/>
          <w:szCs w:val="21"/>
        </w:rPr>
        <w:t>因发包人原因未能及时办理完毕前述许可、批准或备案，由发包人承担由此增加的费用和（或）延误的工期，并支付承包人合理的利润。</w:t>
      </w:r>
    </w:p>
    <w:p w14:paraId="5967859B">
      <w:pPr>
        <w:rPr>
          <w:rFonts w:asciiTheme="minorEastAsia" w:hAnsiTheme="minorEastAsia" w:eastAsiaTheme="minorEastAsia"/>
          <w:szCs w:val="21"/>
        </w:rPr>
      </w:pPr>
      <w:r>
        <w:rPr>
          <w:rFonts w:hint="eastAsia" w:asciiTheme="minorEastAsia" w:hAnsiTheme="minorEastAsia" w:eastAsiaTheme="minorEastAsia"/>
          <w:szCs w:val="21"/>
        </w:rPr>
        <w:t>2.2 发包人代表</w:t>
      </w:r>
    </w:p>
    <w:p w14:paraId="1FAFC5FF">
      <w:pPr>
        <w:rPr>
          <w:rFonts w:asciiTheme="minorEastAsia" w:hAnsiTheme="minorEastAsia" w:eastAsiaTheme="minorEastAsia"/>
          <w:szCs w:val="21"/>
        </w:rPr>
      </w:pPr>
      <w:r>
        <w:rPr>
          <w:rFonts w:hint="eastAsia" w:asciiTheme="minorEastAsia" w:hAnsiTheme="minorEastAsia" w:eastAsiaTheme="minorEastAsia"/>
          <w:szCs w:val="21"/>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14:paraId="4D667372">
      <w:pPr>
        <w:rPr>
          <w:rFonts w:asciiTheme="minorEastAsia" w:hAnsiTheme="minorEastAsia" w:eastAsiaTheme="minorEastAsia"/>
          <w:szCs w:val="21"/>
        </w:rPr>
      </w:pPr>
      <w:r>
        <w:rPr>
          <w:rFonts w:hint="eastAsia" w:asciiTheme="minorEastAsia" w:hAnsiTheme="minorEastAsia" w:eastAsiaTheme="minorEastAsia"/>
          <w:szCs w:val="21"/>
        </w:rPr>
        <w:t>发包人代表不能按照合同约定履行其职责及义务，并导致合同无法继续正常履行的，承包人可以要求发包人撤换发包人代表。</w:t>
      </w:r>
    </w:p>
    <w:p w14:paraId="72CA1CE1">
      <w:pPr>
        <w:rPr>
          <w:rFonts w:asciiTheme="minorEastAsia" w:hAnsiTheme="minorEastAsia" w:eastAsiaTheme="minorEastAsia"/>
          <w:szCs w:val="21"/>
        </w:rPr>
      </w:pPr>
      <w:r>
        <w:rPr>
          <w:rFonts w:hint="eastAsia" w:asciiTheme="minorEastAsia" w:hAnsiTheme="minorEastAsia" w:eastAsiaTheme="minorEastAsia"/>
          <w:szCs w:val="21"/>
        </w:rPr>
        <w:t>不属于法定必须监理的工程，监理人的职权可以由发包人代表或发包人指定的其他人员行使。</w:t>
      </w:r>
    </w:p>
    <w:p w14:paraId="019C4EB7">
      <w:pPr>
        <w:rPr>
          <w:rFonts w:asciiTheme="minorEastAsia" w:hAnsiTheme="minorEastAsia" w:eastAsiaTheme="minorEastAsia"/>
          <w:szCs w:val="21"/>
        </w:rPr>
      </w:pPr>
      <w:r>
        <w:rPr>
          <w:rFonts w:hint="eastAsia" w:asciiTheme="minorEastAsia" w:hAnsiTheme="minorEastAsia" w:eastAsiaTheme="minorEastAsia"/>
          <w:szCs w:val="21"/>
        </w:rPr>
        <w:t>2.3 发包人人员</w:t>
      </w:r>
    </w:p>
    <w:p w14:paraId="7CD577A6">
      <w:pPr>
        <w:rPr>
          <w:rFonts w:asciiTheme="minorEastAsia" w:hAnsiTheme="minorEastAsia" w:eastAsiaTheme="minorEastAsia"/>
          <w:szCs w:val="21"/>
        </w:rPr>
      </w:pPr>
      <w:r>
        <w:rPr>
          <w:rFonts w:hint="eastAsia" w:asciiTheme="minorEastAsia" w:hAnsiTheme="minorEastAsia" w:eastAsiaTheme="minorEastAsia"/>
          <w:szCs w:val="21"/>
        </w:rPr>
        <w:t>发包人应要求在施工现场的发包人人员遵守法律及有关安全、质量、环境保护、文明施工等规定，并保障承包人免于承受因发包人人员未遵守上述要求给承包人造成的损失和责任。</w:t>
      </w:r>
    </w:p>
    <w:p w14:paraId="589D19D5">
      <w:pPr>
        <w:rPr>
          <w:rFonts w:asciiTheme="minorEastAsia" w:hAnsiTheme="minorEastAsia" w:eastAsiaTheme="minorEastAsia"/>
          <w:szCs w:val="21"/>
        </w:rPr>
      </w:pPr>
      <w:r>
        <w:rPr>
          <w:rFonts w:hint="eastAsia" w:asciiTheme="minorEastAsia" w:hAnsiTheme="minorEastAsia" w:eastAsiaTheme="minorEastAsia"/>
          <w:szCs w:val="21"/>
        </w:rPr>
        <w:t>发包人人员包括发包人代表及其他由发包人派驻施工现场的人员。</w:t>
      </w:r>
    </w:p>
    <w:p w14:paraId="390365A4">
      <w:pPr>
        <w:rPr>
          <w:rFonts w:asciiTheme="minorEastAsia" w:hAnsiTheme="minorEastAsia" w:eastAsiaTheme="minorEastAsia"/>
          <w:szCs w:val="21"/>
        </w:rPr>
      </w:pPr>
      <w:r>
        <w:rPr>
          <w:rFonts w:hint="eastAsia" w:asciiTheme="minorEastAsia" w:hAnsiTheme="minorEastAsia" w:eastAsiaTheme="minorEastAsia"/>
          <w:szCs w:val="21"/>
        </w:rPr>
        <w:t xml:space="preserve">2.4 施工现场、施工条件和基础资料的提供  </w:t>
      </w:r>
    </w:p>
    <w:p w14:paraId="5D084436">
      <w:pPr>
        <w:rPr>
          <w:rFonts w:asciiTheme="minorEastAsia" w:hAnsiTheme="minorEastAsia" w:eastAsiaTheme="minorEastAsia"/>
          <w:szCs w:val="21"/>
        </w:rPr>
      </w:pPr>
      <w:r>
        <w:rPr>
          <w:rFonts w:hint="eastAsia" w:asciiTheme="minorEastAsia" w:hAnsiTheme="minorEastAsia" w:eastAsiaTheme="minorEastAsia"/>
          <w:szCs w:val="21"/>
        </w:rPr>
        <w:t>2.4.1 提供施工现场</w:t>
      </w:r>
    </w:p>
    <w:p w14:paraId="1BC21B6D">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除专用合同条款另有约定外，发包人应最迟于开工日期7天前向承包人移交施工现场。</w:t>
      </w:r>
    </w:p>
    <w:p w14:paraId="2EACCF39">
      <w:pPr>
        <w:rPr>
          <w:rFonts w:asciiTheme="minorEastAsia" w:hAnsiTheme="minorEastAsia" w:eastAsiaTheme="minorEastAsia"/>
          <w:szCs w:val="21"/>
        </w:rPr>
      </w:pPr>
      <w:r>
        <w:rPr>
          <w:rFonts w:hint="eastAsia" w:asciiTheme="minorEastAsia" w:hAnsiTheme="minorEastAsia" w:eastAsiaTheme="minorEastAsia"/>
          <w:szCs w:val="21"/>
        </w:rPr>
        <w:t>2.4.2 提供施工条件</w:t>
      </w:r>
    </w:p>
    <w:p w14:paraId="4AC59ACA">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除专用合同条款另有约定外，发包人应负责提供施工所需要的条件，包括：</w:t>
      </w:r>
    </w:p>
    <w:p w14:paraId="6119A563">
      <w:pPr>
        <w:rPr>
          <w:rFonts w:asciiTheme="minorEastAsia" w:hAnsiTheme="minorEastAsia" w:eastAsiaTheme="minorEastAsia"/>
          <w:szCs w:val="21"/>
        </w:rPr>
      </w:pPr>
      <w:r>
        <w:rPr>
          <w:rFonts w:hint="eastAsia" w:asciiTheme="minorEastAsia" w:hAnsiTheme="minorEastAsia" w:eastAsiaTheme="minorEastAsia"/>
          <w:szCs w:val="21"/>
        </w:rPr>
        <w:t>（1）将施工用水、电力、通讯线路等施工所必需的条件接至施工现场内；</w:t>
      </w:r>
    </w:p>
    <w:p w14:paraId="79E6410F">
      <w:pPr>
        <w:rPr>
          <w:rFonts w:asciiTheme="minorEastAsia" w:hAnsiTheme="minorEastAsia" w:eastAsiaTheme="minorEastAsia"/>
          <w:szCs w:val="21"/>
        </w:rPr>
      </w:pPr>
      <w:r>
        <w:rPr>
          <w:rFonts w:hint="eastAsia" w:asciiTheme="minorEastAsia" w:hAnsiTheme="minorEastAsia" w:eastAsiaTheme="minorEastAsia"/>
          <w:szCs w:val="21"/>
        </w:rPr>
        <w:t>（2）保证向承包人提供正常施工所需要的进入施工现场的交通条件；</w:t>
      </w:r>
    </w:p>
    <w:p w14:paraId="0F431F86">
      <w:pPr>
        <w:rPr>
          <w:rFonts w:asciiTheme="minorEastAsia" w:hAnsiTheme="minorEastAsia" w:eastAsiaTheme="minorEastAsia"/>
          <w:szCs w:val="21"/>
        </w:rPr>
      </w:pPr>
      <w:r>
        <w:rPr>
          <w:rFonts w:hint="eastAsia" w:asciiTheme="minorEastAsia" w:hAnsiTheme="minorEastAsia" w:eastAsiaTheme="minorEastAsia"/>
          <w:szCs w:val="21"/>
        </w:rPr>
        <w:t>（3）协调处理施工现场周围地下管线和邻近建筑物、构筑物、古树名木的保护工作，并承担相关费用；</w:t>
      </w:r>
    </w:p>
    <w:p w14:paraId="6F99A801">
      <w:pPr>
        <w:rPr>
          <w:rFonts w:asciiTheme="minorEastAsia" w:hAnsiTheme="minorEastAsia" w:eastAsiaTheme="minorEastAsia"/>
          <w:szCs w:val="21"/>
        </w:rPr>
      </w:pPr>
      <w:r>
        <w:rPr>
          <w:rFonts w:hint="eastAsia" w:asciiTheme="minorEastAsia" w:hAnsiTheme="minorEastAsia" w:eastAsiaTheme="minorEastAsia"/>
          <w:szCs w:val="21"/>
        </w:rPr>
        <w:t>（4）按照专用合同条款约定应提供的其他设施和条件。</w:t>
      </w:r>
    </w:p>
    <w:p w14:paraId="607A54EB">
      <w:pPr>
        <w:rPr>
          <w:rFonts w:asciiTheme="minorEastAsia" w:hAnsiTheme="minorEastAsia" w:eastAsiaTheme="minorEastAsia"/>
          <w:szCs w:val="21"/>
        </w:rPr>
      </w:pPr>
      <w:r>
        <w:rPr>
          <w:rFonts w:hint="eastAsia" w:asciiTheme="minorEastAsia" w:hAnsiTheme="minorEastAsia" w:eastAsiaTheme="minorEastAsia"/>
          <w:szCs w:val="21"/>
        </w:rPr>
        <w:t>2.4.3 提供基础资料</w:t>
      </w:r>
    </w:p>
    <w:p w14:paraId="0590921C">
      <w:pPr>
        <w:rPr>
          <w:rFonts w:asciiTheme="minorEastAsia" w:hAnsiTheme="minorEastAsia" w:eastAsiaTheme="minorEastAsia"/>
          <w:szCs w:val="21"/>
        </w:rPr>
      </w:pPr>
      <w:r>
        <w:rPr>
          <w:rFonts w:hint="eastAsia" w:asciiTheme="minorEastAsia" w:hAnsiTheme="minorEastAsia" w:eastAsiaTheme="minorEastAsia"/>
          <w:szCs w:val="21"/>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14:paraId="120F4388">
      <w:pPr>
        <w:rPr>
          <w:rFonts w:asciiTheme="minorEastAsia" w:hAnsiTheme="minorEastAsia" w:eastAsiaTheme="minorEastAsia"/>
          <w:szCs w:val="21"/>
        </w:rPr>
      </w:pPr>
      <w:r>
        <w:rPr>
          <w:rFonts w:hint="eastAsia" w:asciiTheme="minorEastAsia" w:hAnsiTheme="minorEastAsia" w:eastAsiaTheme="minorEastAsia"/>
          <w:szCs w:val="21"/>
        </w:rPr>
        <w:t>按照法律规定确需在开工后方能提供的基础资料，发包人应尽其努力及时地在相应工程施工前的合理期限内提供，合理期限应以不影响承包人的正常施工为限。</w:t>
      </w:r>
    </w:p>
    <w:p w14:paraId="0DE422F6">
      <w:pPr>
        <w:rPr>
          <w:rFonts w:asciiTheme="minorEastAsia" w:hAnsiTheme="minorEastAsia" w:eastAsiaTheme="minorEastAsia"/>
          <w:szCs w:val="21"/>
        </w:rPr>
      </w:pPr>
      <w:r>
        <w:rPr>
          <w:rFonts w:hint="eastAsia" w:asciiTheme="minorEastAsia" w:hAnsiTheme="minorEastAsia" w:eastAsiaTheme="minorEastAsia"/>
          <w:szCs w:val="21"/>
        </w:rPr>
        <w:t>2.4.4 逾期提供的责任</w:t>
      </w:r>
    </w:p>
    <w:p w14:paraId="303426CE">
      <w:pPr>
        <w:rPr>
          <w:rFonts w:asciiTheme="minorEastAsia" w:hAnsiTheme="minorEastAsia" w:eastAsiaTheme="minorEastAsia"/>
          <w:szCs w:val="21"/>
        </w:rPr>
      </w:pPr>
      <w:r>
        <w:rPr>
          <w:rFonts w:hint="eastAsia" w:asciiTheme="minorEastAsia" w:hAnsiTheme="minorEastAsia" w:eastAsiaTheme="minorEastAsia"/>
          <w:szCs w:val="21"/>
        </w:rPr>
        <w:t>因发包人原因未能按合同约定及时向承包人提供施工现场、施工条件、基础资料的，由发包人承担由此增加的费用和（或）延误的工期。</w:t>
      </w:r>
    </w:p>
    <w:p w14:paraId="5D7DA372">
      <w:pPr>
        <w:rPr>
          <w:rFonts w:asciiTheme="minorEastAsia" w:hAnsiTheme="minorEastAsia" w:eastAsiaTheme="minorEastAsia"/>
          <w:szCs w:val="21"/>
        </w:rPr>
      </w:pPr>
      <w:r>
        <w:rPr>
          <w:rFonts w:hint="eastAsia" w:asciiTheme="minorEastAsia" w:hAnsiTheme="minorEastAsia" w:eastAsiaTheme="minorEastAsia"/>
          <w:szCs w:val="21"/>
        </w:rPr>
        <w:t>2.5 资金来源证明及支付担保</w:t>
      </w:r>
    </w:p>
    <w:p w14:paraId="04E56CAF">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除专用合同条款另有约定外，发包人应在收到承包人要求提供资金来源证明的书面通知后28天内，向承包人提供能够按照合同约定支付合同价款的相应资金来源证明。</w:t>
      </w:r>
    </w:p>
    <w:p w14:paraId="73A72237">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除专用合同条款另有约定外，发包人要求承包人提供履约担保的，发包人应当向承包人提供支付担保。支付担保可以采用银行保函或担保公司担保等形式，具体由合同当事人在专用合同条款中约定。</w:t>
      </w:r>
    </w:p>
    <w:p w14:paraId="3FB26F95">
      <w:pPr>
        <w:rPr>
          <w:rFonts w:asciiTheme="minorEastAsia" w:hAnsiTheme="minorEastAsia" w:eastAsiaTheme="minorEastAsia"/>
          <w:szCs w:val="21"/>
        </w:rPr>
      </w:pPr>
      <w:r>
        <w:rPr>
          <w:rFonts w:hint="eastAsia" w:asciiTheme="minorEastAsia" w:hAnsiTheme="minorEastAsia" w:eastAsiaTheme="minorEastAsia"/>
          <w:szCs w:val="21"/>
        </w:rPr>
        <w:t>2.6 支付合同价款</w:t>
      </w:r>
    </w:p>
    <w:p w14:paraId="22B94FCD">
      <w:pPr>
        <w:rPr>
          <w:rFonts w:asciiTheme="minorEastAsia" w:hAnsiTheme="minorEastAsia" w:eastAsiaTheme="minorEastAsia"/>
          <w:szCs w:val="21"/>
        </w:rPr>
      </w:pPr>
      <w:r>
        <w:rPr>
          <w:rFonts w:hint="eastAsia" w:asciiTheme="minorEastAsia" w:hAnsiTheme="minorEastAsia" w:eastAsiaTheme="minorEastAsia"/>
          <w:szCs w:val="21"/>
        </w:rPr>
        <w:t>发包人应按合同约定向承包人及时支付合同价款。</w:t>
      </w:r>
    </w:p>
    <w:p w14:paraId="450BF38E">
      <w:pPr>
        <w:rPr>
          <w:rFonts w:asciiTheme="minorEastAsia" w:hAnsiTheme="minorEastAsia" w:eastAsiaTheme="minorEastAsia"/>
          <w:szCs w:val="21"/>
        </w:rPr>
      </w:pPr>
      <w:r>
        <w:rPr>
          <w:rFonts w:hint="eastAsia" w:asciiTheme="minorEastAsia" w:hAnsiTheme="minorEastAsia" w:eastAsiaTheme="minorEastAsia"/>
          <w:szCs w:val="21"/>
        </w:rPr>
        <w:t>2.7 组织竣工验收</w:t>
      </w:r>
    </w:p>
    <w:p w14:paraId="3637D47C">
      <w:pPr>
        <w:rPr>
          <w:rFonts w:asciiTheme="minorEastAsia" w:hAnsiTheme="minorEastAsia" w:eastAsiaTheme="minorEastAsia"/>
          <w:szCs w:val="21"/>
        </w:rPr>
      </w:pPr>
      <w:r>
        <w:rPr>
          <w:rFonts w:hint="eastAsia" w:asciiTheme="minorEastAsia" w:hAnsiTheme="minorEastAsia" w:eastAsiaTheme="minorEastAsia"/>
          <w:szCs w:val="21"/>
        </w:rPr>
        <w:t>发包人应按合同约定及时组织竣工验收。</w:t>
      </w:r>
    </w:p>
    <w:p w14:paraId="49501A1F">
      <w:pPr>
        <w:rPr>
          <w:rFonts w:asciiTheme="minorEastAsia" w:hAnsiTheme="minorEastAsia" w:eastAsiaTheme="minorEastAsia"/>
          <w:szCs w:val="21"/>
        </w:rPr>
      </w:pPr>
      <w:r>
        <w:rPr>
          <w:rFonts w:hint="eastAsia" w:asciiTheme="minorEastAsia" w:hAnsiTheme="minorEastAsia" w:eastAsiaTheme="minorEastAsia"/>
          <w:szCs w:val="21"/>
        </w:rPr>
        <w:t>2.8 现场统一管理协议</w:t>
      </w:r>
    </w:p>
    <w:p w14:paraId="613CC92B">
      <w:pPr>
        <w:rPr>
          <w:rFonts w:asciiTheme="minorEastAsia" w:hAnsiTheme="minorEastAsia" w:eastAsiaTheme="minorEastAsia"/>
          <w:szCs w:val="21"/>
        </w:rPr>
      </w:pPr>
      <w:r>
        <w:rPr>
          <w:rFonts w:hint="eastAsia" w:asciiTheme="minorEastAsia" w:hAnsiTheme="minorEastAsia" w:eastAsiaTheme="minorEastAsia"/>
          <w:szCs w:val="21"/>
        </w:rPr>
        <w:t>发包人应与承包人、由发包人直接发包的专业工程的承包人签订施工现场统一管理协议，明确各方的权利义务。施工现场统一管理协议作为专用合同条款的附件。</w:t>
      </w:r>
    </w:p>
    <w:p w14:paraId="1FEC3255">
      <w:pPr>
        <w:rPr>
          <w:rFonts w:asciiTheme="minorEastAsia" w:hAnsiTheme="minorEastAsia" w:eastAsiaTheme="minorEastAsia"/>
          <w:b/>
          <w:szCs w:val="21"/>
        </w:rPr>
      </w:pPr>
      <w:r>
        <w:rPr>
          <w:rFonts w:hint="eastAsia" w:asciiTheme="minorEastAsia" w:hAnsiTheme="minorEastAsia" w:eastAsiaTheme="minorEastAsia"/>
          <w:b/>
          <w:szCs w:val="21"/>
        </w:rPr>
        <w:t>3. 承包人</w:t>
      </w:r>
    </w:p>
    <w:p w14:paraId="7A01F2CA">
      <w:pPr>
        <w:rPr>
          <w:rFonts w:asciiTheme="minorEastAsia" w:hAnsiTheme="minorEastAsia" w:eastAsiaTheme="minorEastAsia"/>
          <w:szCs w:val="21"/>
        </w:rPr>
      </w:pPr>
      <w:r>
        <w:rPr>
          <w:rFonts w:hint="eastAsia" w:asciiTheme="minorEastAsia" w:hAnsiTheme="minorEastAsia" w:eastAsiaTheme="minorEastAsia"/>
          <w:szCs w:val="21"/>
        </w:rPr>
        <w:t>3.1 承包人的一般义务</w:t>
      </w:r>
    </w:p>
    <w:p w14:paraId="598B2FA9">
      <w:pPr>
        <w:rPr>
          <w:rFonts w:asciiTheme="minorEastAsia" w:hAnsiTheme="minorEastAsia" w:eastAsiaTheme="minorEastAsia"/>
          <w:szCs w:val="21"/>
        </w:rPr>
      </w:pPr>
      <w:r>
        <w:rPr>
          <w:rFonts w:hint="eastAsia" w:asciiTheme="minorEastAsia" w:hAnsiTheme="minorEastAsia" w:eastAsiaTheme="minorEastAsia"/>
          <w:szCs w:val="21"/>
        </w:rPr>
        <w:t>承包人在履行合同过程中应遵守法律和工程建设标准规范，并履行以下义务：</w:t>
      </w:r>
    </w:p>
    <w:p w14:paraId="79FE2BB9">
      <w:pPr>
        <w:rPr>
          <w:rFonts w:asciiTheme="minorEastAsia" w:hAnsiTheme="minorEastAsia" w:eastAsiaTheme="minorEastAsia"/>
          <w:szCs w:val="21"/>
        </w:rPr>
      </w:pPr>
      <w:r>
        <w:rPr>
          <w:rFonts w:hint="eastAsia" w:asciiTheme="minorEastAsia" w:hAnsiTheme="minorEastAsia" w:eastAsiaTheme="minorEastAsia"/>
          <w:szCs w:val="21"/>
        </w:rPr>
        <w:t>（1）办理法律规定应由承包人办理的许可和批准，并将办理结果书面报送发包人留存；</w:t>
      </w:r>
    </w:p>
    <w:p w14:paraId="10059DFB">
      <w:pPr>
        <w:rPr>
          <w:rFonts w:asciiTheme="minorEastAsia" w:hAnsiTheme="minorEastAsia" w:eastAsiaTheme="minorEastAsia"/>
          <w:szCs w:val="21"/>
        </w:rPr>
      </w:pPr>
      <w:r>
        <w:rPr>
          <w:rFonts w:hint="eastAsia" w:asciiTheme="minorEastAsia" w:hAnsiTheme="minorEastAsia" w:eastAsiaTheme="minorEastAsia"/>
          <w:szCs w:val="21"/>
        </w:rPr>
        <w:t>（2）按法律规定和合同约定完成工程，并在保修期内承担保修义务；</w:t>
      </w:r>
    </w:p>
    <w:p w14:paraId="5BBAB6A3">
      <w:pPr>
        <w:rPr>
          <w:rFonts w:asciiTheme="minorEastAsia" w:hAnsiTheme="minorEastAsia" w:eastAsiaTheme="minorEastAsia"/>
          <w:szCs w:val="21"/>
        </w:rPr>
      </w:pPr>
      <w:r>
        <w:rPr>
          <w:rFonts w:hint="eastAsia" w:asciiTheme="minorEastAsia" w:hAnsiTheme="minorEastAsia" w:eastAsiaTheme="minorEastAsia"/>
          <w:szCs w:val="21"/>
        </w:rPr>
        <w:t>（3）按法律规定和合同约定采取施工安全和环境保护措施，办理工伤保险，确保工程及人员、材料、设备和设施的安全；</w:t>
      </w:r>
    </w:p>
    <w:p w14:paraId="0F2127B4">
      <w:pPr>
        <w:rPr>
          <w:rFonts w:asciiTheme="minorEastAsia" w:hAnsiTheme="minorEastAsia" w:eastAsiaTheme="minorEastAsia"/>
          <w:szCs w:val="21"/>
        </w:rPr>
      </w:pPr>
      <w:r>
        <w:rPr>
          <w:rFonts w:hint="eastAsia" w:asciiTheme="minorEastAsia" w:hAnsiTheme="minorEastAsia" w:eastAsiaTheme="minorEastAsia"/>
          <w:szCs w:val="21"/>
        </w:rPr>
        <w:t>（4）按合同约定的工作内容和施工进度要求，编制施工组织设计和施工措施计划，并对所有施工作业和施工方法的完备性和安全可靠性负责；</w:t>
      </w:r>
    </w:p>
    <w:p w14:paraId="73472992">
      <w:pPr>
        <w:rPr>
          <w:rFonts w:asciiTheme="minorEastAsia" w:hAnsiTheme="minorEastAsia" w:eastAsiaTheme="minorEastAsia"/>
          <w:szCs w:val="21"/>
        </w:rPr>
      </w:pPr>
      <w:r>
        <w:rPr>
          <w:rFonts w:hint="eastAsia" w:asciiTheme="minorEastAsia" w:hAnsiTheme="minorEastAsia" w:eastAsiaTheme="minorEastAsia"/>
          <w:szCs w:val="21"/>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772A48DA">
      <w:pPr>
        <w:rPr>
          <w:rFonts w:asciiTheme="minorEastAsia" w:hAnsiTheme="minorEastAsia" w:eastAsiaTheme="minorEastAsia"/>
          <w:szCs w:val="21"/>
        </w:rPr>
      </w:pPr>
      <w:r>
        <w:rPr>
          <w:rFonts w:hint="eastAsia" w:asciiTheme="minorEastAsia" w:hAnsiTheme="minorEastAsia" w:eastAsiaTheme="minorEastAsia"/>
          <w:szCs w:val="21"/>
        </w:rPr>
        <w:t>（6）按照第6.3款〔环境保护〕约定负责施工场地及其周边环境与生态的保护工作；</w:t>
      </w:r>
    </w:p>
    <w:p w14:paraId="7AFC1393">
      <w:pPr>
        <w:rPr>
          <w:rFonts w:asciiTheme="minorEastAsia" w:hAnsiTheme="minorEastAsia" w:eastAsiaTheme="minorEastAsia"/>
          <w:szCs w:val="21"/>
        </w:rPr>
      </w:pPr>
      <w:r>
        <w:rPr>
          <w:rFonts w:hint="eastAsia" w:asciiTheme="minorEastAsia" w:hAnsiTheme="minorEastAsia" w:eastAsiaTheme="minorEastAsia"/>
          <w:szCs w:val="21"/>
        </w:rPr>
        <w:t>（7）按第6.1款〔安全文明施工〕约定采取施工安全措施，确保工程及其人员、材料、设备和设施的安全，防止因工程施工造成的人身伤害和财产损失；</w:t>
      </w:r>
    </w:p>
    <w:p w14:paraId="7A1E264A">
      <w:pPr>
        <w:rPr>
          <w:rFonts w:asciiTheme="minorEastAsia" w:hAnsiTheme="minorEastAsia" w:eastAsiaTheme="minorEastAsia"/>
          <w:szCs w:val="21"/>
        </w:rPr>
      </w:pPr>
      <w:r>
        <w:rPr>
          <w:rFonts w:hint="eastAsia" w:asciiTheme="minorEastAsia" w:hAnsiTheme="minorEastAsia" w:eastAsiaTheme="minorEastAsia"/>
          <w:szCs w:val="21"/>
        </w:rPr>
        <w:t>（8）将发包人按合同约定支付的各项价款专用于合同工程，且应及时支付其雇用人员工资，并及时向分包人支付合同价款；</w:t>
      </w:r>
    </w:p>
    <w:p w14:paraId="44EDC907">
      <w:pPr>
        <w:rPr>
          <w:rFonts w:asciiTheme="minorEastAsia" w:hAnsiTheme="minorEastAsia" w:eastAsiaTheme="minorEastAsia"/>
          <w:szCs w:val="21"/>
        </w:rPr>
      </w:pPr>
      <w:r>
        <w:rPr>
          <w:rFonts w:hint="eastAsia" w:asciiTheme="minorEastAsia" w:hAnsiTheme="minorEastAsia" w:eastAsiaTheme="minorEastAsia"/>
          <w:szCs w:val="21"/>
        </w:rPr>
        <w:t>（9）按照法律规定和合同约定编制竣工资料，完成竣工资料立卷及归档，并按专用合同条款约定的竣工资料的套数、内容、时间等要求移交发包人；</w:t>
      </w:r>
    </w:p>
    <w:p w14:paraId="5D2E4746">
      <w:pPr>
        <w:rPr>
          <w:rFonts w:asciiTheme="minorEastAsia" w:hAnsiTheme="minorEastAsia" w:eastAsiaTheme="minorEastAsia"/>
          <w:szCs w:val="21"/>
        </w:rPr>
      </w:pPr>
      <w:r>
        <w:rPr>
          <w:rFonts w:hint="eastAsia" w:asciiTheme="minorEastAsia" w:hAnsiTheme="minorEastAsia" w:eastAsiaTheme="minorEastAsia"/>
          <w:szCs w:val="21"/>
        </w:rPr>
        <w:t>（10）应履行的其他义务。</w:t>
      </w:r>
    </w:p>
    <w:p w14:paraId="6BEC9673">
      <w:pPr>
        <w:rPr>
          <w:rFonts w:asciiTheme="minorEastAsia" w:hAnsiTheme="minorEastAsia" w:eastAsiaTheme="minorEastAsia"/>
          <w:szCs w:val="21"/>
        </w:rPr>
      </w:pPr>
      <w:r>
        <w:rPr>
          <w:rFonts w:hint="eastAsia" w:asciiTheme="minorEastAsia" w:hAnsiTheme="minorEastAsia" w:eastAsiaTheme="minorEastAsia"/>
          <w:szCs w:val="21"/>
        </w:rPr>
        <w:t>3.2 项目经理</w:t>
      </w:r>
    </w:p>
    <w:p w14:paraId="59E7D93D">
      <w:pPr>
        <w:rPr>
          <w:rFonts w:asciiTheme="minorEastAsia" w:hAnsiTheme="minorEastAsia" w:eastAsiaTheme="minorEastAsia"/>
          <w:szCs w:val="21"/>
        </w:rPr>
      </w:pPr>
      <w:r>
        <w:rPr>
          <w:rFonts w:hint="eastAsia" w:asciiTheme="minorEastAsia" w:hAnsiTheme="minorEastAsia" w:eastAsiaTheme="minorEastAsia"/>
          <w:szCs w:val="21"/>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406091DC">
      <w:pPr>
        <w:rPr>
          <w:rFonts w:asciiTheme="minorEastAsia" w:hAnsiTheme="minorEastAsia" w:eastAsiaTheme="minorEastAsia"/>
          <w:szCs w:val="21"/>
        </w:rPr>
      </w:pPr>
      <w:r>
        <w:rPr>
          <w:rFonts w:hint="eastAsia" w:asciiTheme="minorEastAsia" w:hAnsiTheme="minorEastAsia" w:eastAsiaTheme="minorEastAsia"/>
          <w:szCs w:val="21"/>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14:paraId="75E6FF74">
      <w:pPr>
        <w:rPr>
          <w:rFonts w:asciiTheme="minorEastAsia" w:hAnsiTheme="minorEastAsia" w:eastAsiaTheme="minorEastAsia"/>
          <w:szCs w:val="21"/>
        </w:rPr>
      </w:pPr>
      <w:r>
        <w:rPr>
          <w:rFonts w:hint="eastAsia" w:asciiTheme="minorEastAsia" w:hAnsiTheme="minorEastAsia" w:eastAsiaTheme="minorEastAsia"/>
          <w:szCs w:val="21"/>
        </w:rPr>
        <w:t>承包人违反上述约定的，应按照专用合同条款的约定，承担违约责任。</w:t>
      </w:r>
    </w:p>
    <w:p w14:paraId="70492715">
      <w:pPr>
        <w:rPr>
          <w:rFonts w:asciiTheme="minorEastAsia" w:hAnsiTheme="minorEastAsia" w:eastAsiaTheme="minorEastAsia"/>
          <w:szCs w:val="21"/>
        </w:rPr>
      </w:pPr>
      <w:r>
        <w:rPr>
          <w:rFonts w:hint="eastAsia" w:asciiTheme="minorEastAsia" w:hAnsiTheme="minorEastAsia" w:eastAsiaTheme="minorEastAsia"/>
          <w:szCs w:val="21"/>
        </w:rPr>
        <w:t>3.2.2 项目经理按合同约定组织工程实施。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p>
    <w:p w14:paraId="5872F5A3">
      <w:pPr>
        <w:rPr>
          <w:rFonts w:asciiTheme="minorEastAsia" w:hAnsiTheme="minorEastAsia" w:eastAsiaTheme="minorEastAsia"/>
          <w:szCs w:val="21"/>
        </w:rPr>
      </w:pPr>
      <w:r>
        <w:rPr>
          <w:rFonts w:hint="eastAsia" w:asciiTheme="minorEastAsia" w:hAnsiTheme="minorEastAsia" w:eastAsiaTheme="minorEastAsia"/>
          <w:szCs w:val="21"/>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14:paraId="49C292C5">
      <w:pPr>
        <w:rPr>
          <w:rFonts w:asciiTheme="minorEastAsia" w:hAnsiTheme="minorEastAsia" w:eastAsiaTheme="minorEastAsia"/>
          <w:szCs w:val="21"/>
        </w:rPr>
      </w:pPr>
      <w:r>
        <w:rPr>
          <w:rFonts w:hint="eastAsia" w:asciiTheme="minorEastAsia" w:hAnsiTheme="minorEastAsia" w:eastAsiaTheme="minorEastAsia"/>
          <w:szCs w:val="21"/>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继任项目经理继续履行第3.2.1项约定的职责。承包人无正当理由拒绝更换项目经理的，应按照专用合同条款的约定承担违约责任。</w:t>
      </w:r>
    </w:p>
    <w:p w14:paraId="75E04F39">
      <w:pPr>
        <w:rPr>
          <w:rFonts w:asciiTheme="minorEastAsia" w:hAnsiTheme="minorEastAsia" w:eastAsiaTheme="minorEastAsia"/>
          <w:szCs w:val="21"/>
        </w:rPr>
      </w:pPr>
      <w:r>
        <w:rPr>
          <w:rFonts w:hint="eastAsia" w:asciiTheme="minorEastAsia" w:hAnsiTheme="minorEastAsia" w:eastAsiaTheme="minorEastAsia"/>
          <w:szCs w:val="21"/>
        </w:rPr>
        <w:t>3.2.5 项目经理因特殊情况授权其下属人员履行其某项工作职责的，该下属人员应具备履行相应职责的能力，并应提前7天将上述人员的姓名和授权范围书面通知监理人，并征得发包人书面同意。</w:t>
      </w:r>
    </w:p>
    <w:p w14:paraId="011B4050">
      <w:pPr>
        <w:rPr>
          <w:rFonts w:asciiTheme="minorEastAsia" w:hAnsiTheme="minorEastAsia" w:eastAsiaTheme="minorEastAsia"/>
          <w:szCs w:val="21"/>
        </w:rPr>
      </w:pPr>
      <w:r>
        <w:rPr>
          <w:rFonts w:hint="eastAsia" w:asciiTheme="minorEastAsia" w:hAnsiTheme="minorEastAsia" w:eastAsiaTheme="minorEastAsia"/>
          <w:szCs w:val="21"/>
        </w:rPr>
        <w:t>3.3 承包人人员</w:t>
      </w:r>
    </w:p>
    <w:p w14:paraId="5A851853">
      <w:pPr>
        <w:rPr>
          <w:rFonts w:asciiTheme="minorEastAsia" w:hAnsiTheme="minorEastAsia" w:eastAsiaTheme="minorEastAsia"/>
          <w:szCs w:val="21"/>
        </w:rPr>
      </w:pPr>
      <w:r>
        <w:rPr>
          <w:rFonts w:hint="eastAsia" w:asciiTheme="minorEastAsia" w:hAnsiTheme="minorEastAsia" w:eastAsiaTheme="minorEastAsia"/>
          <w:szCs w:val="21"/>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14:paraId="72647E36">
      <w:pPr>
        <w:rPr>
          <w:rFonts w:asciiTheme="minorEastAsia" w:hAnsiTheme="minorEastAsia" w:eastAsiaTheme="minorEastAsia"/>
          <w:szCs w:val="21"/>
        </w:rPr>
      </w:pPr>
      <w:r>
        <w:rPr>
          <w:rFonts w:hint="eastAsia" w:asciiTheme="minorEastAsia" w:hAnsiTheme="minorEastAsia" w:eastAsiaTheme="minorEastAsia"/>
          <w:szCs w:val="21"/>
        </w:rPr>
        <w:t>3.3.2 承包人派驻到施工现场的主要施工管理人员应相对稳定。施工过程中如有变动，承包人应及时向监理人提交施工现场人员变动情况的报告。承包人更换主要施工管理人员时，应提前7天书面通知监理人，并征得发包人书面同意。通知中应当载明继任人员的注册执业资格、管理经验等资料。</w:t>
      </w:r>
    </w:p>
    <w:p w14:paraId="611AB53E">
      <w:pPr>
        <w:rPr>
          <w:rFonts w:asciiTheme="minorEastAsia" w:hAnsiTheme="minorEastAsia" w:eastAsiaTheme="minorEastAsia"/>
          <w:szCs w:val="21"/>
        </w:rPr>
      </w:pPr>
      <w:r>
        <w:rPr>
          <w:rFonts w:hint="eastAsia" w:asciiTheme="minorEastAsia" w:hAnsiTheme="minorEastAsia" w:eastAsiaTheme="minorEastAsia"/>
          <w:szCs w:val="21"/>
        </w:rPr>
        <w:t>特殊工种作业人员均应持有相应的资格证明，监理人可以随时检查。</w:t>
      </w:r>
    </w:p>
    <w:p w14:paraId="5853DAC1">
      <w:pPr>
        <w:rPr>
          <w:rFonts w:asciiTheme="minorEastAsia" w:hAnsiTheme="minorEastAsia" w:eastAsiaTheme="minorEastAsia"/>
          <w:szCs w:val="21"/>
        </w:rPr>
      </w:pPr>
      <w:r>
        <w:rPr>
          <w:rFonts w:hint="eastAsia" w:asciiTheme="minorEastAsia" w:hAnsiTheme="minorEastAsia" w:eastAsiaTheme="minorEastAsia"/>
          <w:szCs w:val="21"/>
        </w:rPr>
        <w:t>3.3.3 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2827384B">
      <w:pPr>
        <w:rPr>
          <w:rFonts w:asciiTheme="minorEastAsia" w:hAnsiTheme="minorEastAsia" w:eastAsiaTheme="minorEastAsia"/>
          <w:szCs w:val="21"/>
        </w:rPr>
      </w:pPr>
      <w:r>
        <w:rPr>
          <w:rFonts w:hint="eastAsia" w:asciiTheme="minorEastAsia" w:hAnsiTheme="minorEastAsia" w:eastAsiaTheme="minorEastAsia"/>
          <w:szCs w:val="21"/>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14:paraId="62F05903">
      <w:pPr>
        <w:rPr>
          <w:rFonts w:asciiTheme="minorEastAsia" w:hAnsiTheme="minorEastAsia" w:eastAsiaTheme="minorEastAsia"/>
          <w:szCs w:val="21"/>
        </w:rPr>
      </w:pPr>
      <w:r>
        <w:rPr>
          <w:rFonts w:hint="eastAsia" w:asciiTheme="minorEastAsia" w:hAnsiTheme="minorEastAsia" w:eastAsiaTheme="minorEastAsia"/>
          <w:szCs w:val="21"/>
        </w:rPr>
        <w:t>3.3.5 承包人擅自更换主要施工管理人员，或前述人员未经监理人或发包人同意擅自离开施工现场的，应按照专用合同条款约定承担违约责任。</w:t>
      </w:r>
    </w:p>
    <w:p w14:paraId="710C4B12">
      <w:pPr>
        <w:rPr>
          <w:rFonts w:asciiTheme="minorEastAsia" w:hAnsiTheme="minorEastAsia" w:eastAsiaTheme="minorEastAsia"/>
          <w:szCs w:val="21"/>
        </w:rPr>
      </w:pPr>
      <w:r>
        <w:rPr>
          <w:rFonts w:hint="eastAsia" w:asciiTheme="minorEastAsia" w:hAnsiTheme="minorEastAsia" w:eastAsiaTheme="minorEastAsia"/>
          <w:szCs w:val="21"/>
        </w:rPr>
        <w:t>3.4 承包人现场查勘</w:t>
      </w:r>
    </w:p>
    <w:p w14:paraId="0CF69F34">
      <w:pPr>
        <w:rPr>
          <w:rFonts w:asciiTheme="minorEastAsia" w:hAnsiTheme="minorEastAsia" w:eastAsiaTheme="minorEastAsia"/>
          <w:szCs w:val="21"/>
        </w:rPr>
      </w:pPr>
      <w:r>
        <w:rPr>
          <w:rFonts w:hint="eastAsia" w:asciiTheme="minorEastAsia" w:hAnsiTheme="minorEastAsia" w:eastAsiaTheme="minorEastAsia"/>
          <w:szCs w:val="21"/>
        </w:rPr>
        <w:t>承包人应对基于发包人按照第2.4.3项〔提供基础资料〕提交的基础资料所做出的解释和推断负责，但因基础资料存在错误、遗漏导致承包人解释或推断失实的，由发包人承担责任。</w:t>
      </w:r>
    </w:p>
    <w:p w14:paraId="5128FF9A">
      <w:pPr>
        <w:rPr>
          <w:rFonts w:asciiTheme="minorEastAsia" w:hAnsiTheme="minorEastAsia" w:eastAsiaTheme="minorEastAsia"/>
          <w:szCs w:val="21"/>
        </w:rPr>
      </w:pPr>
      <w:r>
        <w:rPr>
          <w:rFonts w:hint="eastAsia" w:asciiTheme="minorEastAsia" w:hAnsiTheme="minorEastAsia" w:eastAsiaTheme="minorEastAsia"/>
          <w:szCs w:val="21"/>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18455A9D">
      <w:pPr>
        <w:rPr>
          <w:rFonts w:asciiTheme="minorEastAsia" w:hAnsiTheme="minorEastAsia" w:eastAsiaTheme="minorEastAsia"/>
          <w:szCs w:val="21"/>
        </w:rPr>
      </w:pPr>
      <w:r>
        <w:rPr>
          <w:rFonts w:hint="eastAsia" w:asciiTheme="minorEastAsia" w:hAnsiTheme="minorEastAsia" w:eastAsiaTheme="minorEastAsia"/>
          <w:szCs w:val="21"/>
        </w:rPr>
        <w:t>3.5 分包</w:t>
      </w:r>
    </w:p>
    <w:p w14:paraId="734700D1">
      <w:pPr>
        <w:rPr>
          <w:rFonts w:asciiTheme="minorEastAsia" w:hAnsiTheme="minorEastAsia" w:eastAsiaTheme="minorEastAsia"/>
          <w:szCs w:val="21"/>
        </w:rPr>
      </w:pPr>
      <w:r>
        <w:rPr>
          <w:rFonts w:hint="eastAsia" w:asciiTheme="minorEastAsia" w:hAnsiTheme="minorEastAsia" w:eastAsiaTheme="minorEastAsia"/>
          <w:szCs w:val="21"/>
        </w:rPr>
        <w:t>3.5.1 分包的一般约定</w:t>
      </w:r>
    </w:p>
    <w:p w14:paraId="178F4007">
      <w:pPr>
        <w:rPr>
          <w:rFonts w:asciiTheme="minorEastAsia" w:hAnsiTheme="minorEastAsia" w:eastAsiaTheme="minorEastAsia"/>
          <w:szCs w:val="21"/>
        </w:rPr>
      </w:pPr>
      <w:r>
        <w:rPr>
          <w:rFonts w:hint="eastAsia" w:asciiTheme="minorEastAsia" w:hAnsiTheme="minorEastAsia" w:eastAsiaTheme="minorEastAsia"/>
          <w:szCs w:val="21"/>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14:paraId="4DFC57D5">
      <w:pPr>
        <w:rPr>
          <w:rFonts w:asciiTheme="minorEastAsia" w:hAnsiTheme="minorEastAsia" w:eastAsiaTheme="minorEastAsia"/>
          <w:szCs w:val="21"/>
        </w:rPr>
      </w:pPr>
      <w:r>
        <w:rPr>
          <w:rFonts w:hint="eastAsia" w:asciiTheme="minorEastAsia" w:hAnsiTheme="minorEastAsia" w:eastAsiaTheme="minorEastAsia"/>
          <w:szCs w:val="21"/>
        </w:rPr>
        <w:t>承包人不得以劳务分包的名义转包或违法分包工程。</w:t>
      </w:r>
    </w:p>
    <w:p w14:paraId="55B7A495">
      <w:pPr>
        <w:rPr>
          <w:rFonts w:asciiTheme="minorEastAsia" w:hAnsiTheme="minorEastAsia" w:eastAsiaTheme="minorEastAsia"/>
          <w:szCs w:val="21"/>
        </w:rPr>
      </w:pPr>
      <w:r>
        <w:rPr>
          <w:rFonts w:hint="eastAsia" w:asciiTheme="minorEastAsia" w:hAnsiTheme="minorEastAsia" w:eastAsiaTheme="minorEastAsia"/>
          <w:szCs w:val="21"/>
        </w:rPr>
        <w:t>3.5.2 分包的确定</w:t>
      </w:r>
    </w:p>
    <w:p w14:paraId="301E898C">
      <w:pPr>
        <w:rPr>
          <w:rFonts w:asciiTheme="minorEastAsia" w:hAnsiTheme="minorEastAsia" w:eastAsiaTheme="minorEastAsia"/>
          <w:szCs w:val="21"/>
        </w:rPr>
      </w:pPr>
      <w:r>
        <w:rPr>
          <w:rFonts w:hint="eastAsia" w:asciiTheme="minorEastAsia" w:hAnsiTheme="minorEastAsia" w:eastAsiaTheme="minorEastAsia"/>
          <w:szCs w:val="21"/>
        </w:rPr>
        <w:t>承包人应按专用合同条款的约定进行分包，确定分包人。已标价工程量清单或预算书中给定暂估价的专业工程，按照第10.7款〔暂估价〕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14:paraId="78FC186D">
      <w:pPr>
        <w:rPr>
          <w:rFonts w:asciiTheme="minorEastAsia" w:hAnsiTheme="minorEastAsia" w:eastAsiaTheme="minorEastAsia"/>
          <w:szCs w:val="21"/>
        </w:rPr>
      </w:pPr>
      <w:r>
        <w:rPr>
          <w:rFonts w:hint="eastAsia" w:asciiTheme="minorEastAsia" w:hAnsiTheme="minorEastAsia" w:eastAsiaTheme="minorEastAsia"/>
          <w:szCs w:val="21"/>
        </w:rPr>
        <w:t>3.5.3 分包管理</w:t>
      </w:r>
    </w:p>
    <w:p w14:paraId="08B2279C">
      <w:pPr>
        <w:rPr>
          <w:rFonts w:asciiTheme="minorEastAsia" w:hAnsiTheme="minorEastAsia" w:eastAsiaTheme="minorEastAsia"/>
          <w:szCs w:val="21"/>
        </w:rPr>
      </w:pPr>
      <w:r>
        <w:rPr>
          <w:rFonts w:hint="eastAsia" w:asciiTheme="minorEastAsia" w:hAnsiTheme="minorEastAsia" w:eastAsiaTheme="minorEastAsia"/>
          <w:szCs w:val="21"/>
        </w:rPr>
        <w:t>承包人应向监理人提交分包人的主要施工管理人员表，并对分包人的施工人员进行实名制管理，包括但不限于进出场管理、登记造册以及各种证照的办理。</w:t>
      </w:r>
    </w:p>
    <w:p w14:paraId="1EA63F09">
      <w:pPr>
        <w:rPr>
          <w:rFonts w:asciiTheme="minorEastAsia" w:hAnsiTheme="minorEastAsia" w:eastAsiaTheme="minorEastAsia"/>
          <w:szCs w:val="21"/>
        </w:rPr>
      </w:pPr>
      <w:r>
        <w:rPr>
          <w:rFonts w:hint="eastAsia" w:asciiTheme="minorEastAsia" w:hAnsiTheme="minorEastAsia" w:eastAsiaTheme="minorEastAsia"/>
          <w:szCs w:val="21"/>
        </w:rPr>
        <w:t>3.5.4 分包合同价款</w:t>
      </w:r>
    </w:p>
    <w:p w14:paraId="7F63E822">
      <w:pPr>
        <w:rPr>
          <w:rFonts w:asciiTheme="minorEastAsia" w:hAnsiTheme="minorEastAsia" w:eastAsiaTheme="minorEastAsia"/>
          <w:szCs w:val="21"/>
        </w:rPr>
      </w:pPr>
      <w:r>
        <w:rPr>
          <w:rFonts w:hint="eastAsia" w:asciiTheme="minorEastAsia" w:hAnsiTheme="minorEastAsia" w:eastAsiaTheme="minorEastAsia"/>
          <w:szCs w:val="21"/>
        </w:rPr>
        <w:t>（1）除本项第（2）目约定的情况或专用合同条款另有约定外，分包合同价款由承包人与分包人结算，未经承包人同意，发包人不得向分包人支付分包工程价款；</w:t>
      </w:r>
    </w:p>
    <w:p w14:paraId="16FE218D">
      <w:pPr>
        <w:rPr>
          <w:rFonts w:asciiTheme="minorEastAsia" w:hAnsiTheme="minorEastAsia" w:eastAsiaTheme="minorEastAsia"/>
          <w:szCs w:val="21"/>
        </w:rPr>
      </w:pPr>
      <w:r>
        <w:rPr>
          <w:rFonts w:hint="eastAsia" w:asciiTheme="minorEastAsia" w:hAnsiTheme="minorEastAsia" w:eastAsiaTheme="minorEastAsia"/>
          <w:szCs w:val="21"/>
        </w:rPr>
        <w:t>（2）生效法律文书要求发包人向分包人支付分包合同价款的，发包人有权从应付承包人工程款中扣除该部分款项。</w:t>
      </w:r>
    </w:p>
    <w:p w14:paraId="68BE705A">
      <w:pPr>
        <w:rPr>
          <w:rFonts w:asciiTheme="minorEastAsia" w:hAnsiTheme="minorEastAsia" w:eastAsiaTheme="minorEastAsia"/>
          <w:szCs w:val="21"/>
        </w:rPr>
      </w:pPr>
      <w:r>
        <w:rPr>
          <w:rFonts w:hint="eastAsia" w:asciiTheme="minorEastAsia" w:hAnsiTheme="minorEastAsia" w:eastAsiaTheme="minorEastAsia"/>
          <w:szCs w:val="21"/>
        </w:rPr>
        <w:t>3.5.5 分包合同权益的转让</w:t>
      </w:r>
    </w:p>
    <w:p w14:paraId="5DF35E96">
      <w:pPr>
        <w:rPr>
          <w:rFonts w:asciiTheme="minorEastAsia" w:hAnsiTheme="minorEastAsia" w:eastAsiaTheme="minorEastAsia"/>
          <w:szCs w:val="21"/>
        </w:rPr>
      </w:pPr>
      <w:r>
        <w:rPr>
          <w:rFonts w:hint="eastAsia" w:asciiTheme="minorEastAsia" w:hAnsiTheme="minorEastAsia" w:eastAsiaTheme="minorEastAsia"/>
          <w:szCs w:val="21"/>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p>
    <w:p w14:paraId="20CF59C4">
      <w:pPr>
        <w:rPr>
          <w:rFonts w:asciiTheme="minorEastAsia" w:hAnsiTheme="minorEastAsia" w:eastAsiaTheme="minorEastAsia"/>
          <w:szCs w:val="21"/>
        </w:rPr>
      </w:pPr>
      <w:r>
        <w:rPr>
          <w:rFonts w:hint="eastAsia" w:asciiTheme="minorEastAsia" w:hAnsiTheme="minorEastAsia" w:eastAsiaTheme="minorEastAsia"/>
          <w:szCs w:val="21"/>
        </w:rPr>
        <w:t>3.6 工程照管与成品、半成品保护</w:t>
      </w:r>
    </w:p>
    <w:p w14:paraId="6B2E4B50">
      <w:pPr>
        <w:rPr>
          <w:rFonts w:asciiTheme="minorEastAsia" w:hAnsiTheme="minorEastAsia" w:eastAsiaTheme="minorEastAsia"/>
          <w:szCs w:val="21"/>
        </w:rPr>
      </w:pPr>
      <w:r>
        <w:rPr>
          <w:rFonts w:hint="eastAsia" w:asciiTheme="minorEastAsia" w:hAnsiTheme="minorEastAsia" w:eastAsiaTheme="minorEastAsia"/>
          <w:szCs w:val="21"/>
        </w:rPr>
        <w:t>（1）除专用合同条款另有约定外，自发包人向承包人移交施工现场之日起，承包人应负责照管工程及工程相关的材料、工程设备，直到颁发工程接收证书之日止。</w:t>
      </w:r>
    </w:p>
    <w:p w14:paraId="49BAA60C">
      <w:pPr>
        <w:rPr>
          <w:rFonts w:asciiTheme="minorEastAsia" w:hAnsiTheme="minorEastAsia" w:eastAsiaTheme="minorEastAsia"/>
          <w:szCs w:val="21"/>
        </w:rPr>
      </w:pPr>
      <w:r>
        <w:rPr>
          <w:rFonts w:hint="eastAsia" w:asciiTheme="minorEastAsia" w:hAnsiTheme="minorEastAsia" w:eastAsiaTheme="minorEastAsia"/>
          <w:szCs w:val="21"/>
        </w:rPr>
        <w:t>（2）在承包人负责照管期间，因承包人原因造成工程、材料、工程设备损坏的，由承包人负责修复或更换，并承担由此增加的费用和（或）延误的工期。</w:t>
      </w:r>
    </w:p>
    <w:p w14:paraId="629871DA">
      <w:pPr>
        <w:rPr>
          <w:rFonts w:asciiTheme="minorEastAsia" w:hAnsiTheme="minorEastAsia" w:eastAsiaTheme="minorEastAsia"/>
          <w:szCs w:val="21"/>
        </w:rPr>
      </w:pPr>
      <w:r>
        <w:rPr>
          <w:rFonts w:hint="eastAsia" w:asciiTheme="minorEastAsia" w:hAnsiTheme="minorEastAsia" w:eastAsiaTheme="minorEastAsia"/>
          <w:szCs w:val="21"/>
        </w:rPr>
        <w:t>（3）对合同内分期完成的成品和半成品，在工程接收证书颁发前，由承包人承担保护责任。因承包人原因造成成品或半成品损坏的，由承包人负责修复或更换，并承担由此增加的费用和（或）延误的工期。</w:t>
      </w:r>
    </w:p>
    <w:p w14:paraId="4EC8F4E6">
      <w:pPr>
        <w:rPr>
          <w:rFonts w:asciiTheme="minorEastAsia" w:hAnsiTheme="minorEastAsia" w:eastAsiaTheme="minorEastAsia"/>
          <w:szCs w:val="21"/>
        </w:rPr>
      </w:pPr>
      <w:r>
        <w:rPr>
          <w:rFonts w:hint="eastAsia" w:asciiTheme="minorEastAsia" w:hAnsiTheme="minorEastAsia" w:eastAsiaTheme="minorEastAsia"/>
          <w:szCs w:val="21"/>
        </w:rPr>
        <w:t>3.7 履约担保</w:t>
      </w:r>
    </w:p>
    <w:p w14:paraId="47DD35C1">
      <w:pPr>
        <w:rPr>
          <w:rFonts w:asciiTheme="minorEastAsia" w:hAnsiTheme="minorEastAsia" w:eastAsiaTheme="minorEastAsia"/>
          <w:szCs w:val="21"/>
        </w:rPr>
      </w:pPr>
      <w:r>
        <w:rPr>
          <w:rFonts w:hint="eastAsia" w:asciiTheme="minorEastAsia" w:hAnsiTheme="minorEastAsia" w:eastAsiaTheme="minorEastAsia"/>
          <w:szCs w:val="21"/>
        </w:rPr>
        <w:t>发包人需要承包人提供履约担保的，由合同当事人在专用合同条款中约定履约担保的方式、金额及期限等。履约担保可以采用银行保函或担保公司担保等形式，具体由合同当事人在专用合同条款中约定。</w:t>
      </w:r>
    </w:p>
    <w:p w14:paraId="4FAE4C74">
      <w:pPr>
        <w:rPr>
          <w:rFonts w:asciiTheme="minorEastAsia" w:hAnsiTheme="minorEastAsia" w:eastAsiaTheme="minorEastAsia"/>
          <w:szCs w:val="21"/>
        </w:rPr>
      </w:pPr>
      <w:r>
        <w:rPr>
          <w:rFonts w:hint="eastAsia" w:asciiTheme="minorEastAsia" w:hAnsiTheme="minorEastAsia" w:eastAsiaTheme="minorEastAsia"/>
          <w:szCs w:val="21"/>
        </w:rPr>
        <w:t>因承包人原因导致工期延长的，继续提供履约担保所增加的费用由承包人承担；非因承包人原因导致工期延长的，继续提供履约担保所增加的费用由发包人承担。</w:t>
      </w:r>
    </w:p>
    <w:p w14:paraId="639D6089">
      <w:pPr>
        <w:rPr>
          <w:rFonts w:asciiTheme="minorEastAsia" w:hAnsiTheme="minorEastAsia" w:eastAsiaTheme="minorEastAsia"/>
          <w:szCs w:val="21"/>
        </w:rPr>
      </w:pPr>
      <w:r>
        <w:rPr>
          <w:rFonts w:hint="eastAsia" w:asciiTheme="minorEastAsia" w:hAnsiTheme="minorEastAsia" w:eastAsiaTheme="minorEastAsia"/>
          <w:szCs w:val="21"/>
        </w:rPr>
        <w:t>3.8 联合体</w:t>
      </w:r>
    </w:p>
    <w:p w14:paraId="5D5CCA86">
      <w:pPr>
        <w:rPr>
          <w:rFonts w:asciiTheme="minorEastAsia" w:hAnsiTheme="minorEastAsia" w:eastAsiaTheme="minorEastAsia"/>
          <w:szCs w:val="21"/>
        </w:rPr>
      </w:pPr>
      <w:r>
        <w:rPr>
          <w:rFonts w:hint="eastAsia" w:asciiTheme="minorEastAsia" w:hAnsiTheme="minorEastAsia" w:eastAsiaTheme="minorEastAsia"/>
          <w:szCs w:val="21"/>
        </w:rPr>
        <w:t>3.8.1 联合体各方应共同与发包人签订合同协议书。联合体各方应为履行合同向发包人承担连带责任。</w:t>
      </w:r>
    </w:p>
    <w:p w14:paraId="791A9212">
      <w:pPr>
        <w:rPr>
          <w:rFonts w:asciiTheme="minorEastAsia" w:hAnsiTheme="minorEastAsia" w:eastAsiaTheme="minorEastAsia"/>
          <w:szCs w:val="21"/>
        </w:rPr>
      </w:pPr>
      <w:r>
        <w:rPr>
          <w:rFonts w:hint="eastAsia" w:asciiTheme="minorEastAsia" w:hAnsiTheme="minorEastAsia" w:eastAsiaTheme="minorEastAsia"/>
          <w:szCs w:val="21"/>
        </w:rPr>
        <w:t>3.8.2 联合体协议经发包人确认后作为合同附件。在履行合同过程中，未经发包人同意，不得修改联合体协议。</w:t>
      </w:r>
    </w:p>
    <w:p w14:paraId="6DE80838">
      <w:pPr>
        <w:rPr>
          <w:rFonts w:asciiTheme="minorEastAsia" w:hAnsiTheme="minorEastAsia" w:eastAsiaTheme="minorEastAsia"/>
          <w:szCs w:val="21"/>
        </w:rPr>
      </w:pPr>
      <w:r>
        <w:rPr>
          <w:rFonts w:hint="eastAsia" w:asciiTheme="minorEastAsia" w:hAnsiTheme="minorEastAsia" w:eastAsiaTheme="minorEastAsia"/>
          <w:szCs w:val="21"/>
        </w:rPr>
        <w:t>3.8.3 联合体牵头人负责与发包人和监理人联系，并接受指示，负责组织联合体各成员全面履行合同。</w:t>
      </w:r>
    </w:p>
    <w:p w14:paraId="410D30B6">
      <w:pPr>
        <w:rPr>
          <w:rFonts w:asciiTheme="minorEastAsia" w:hAnsiTheme="minorEastAsia" w:eastAsiaTheme="minorEastAsia"/>
          <w:b/>
          <w:szCs w:val="21"/>
        </w:rPr>
      </w:pPr>
      <w:r>
        <w:rPr>
          <w:rFonts w:hint="eastAsia" w:asciiTheme="minorEastAsia" w:hAnsiTheme="minorEastAsia" w:eastAsiaTheme="minorEastAsia"/>
          <w:b/>
          <w:szCs w:val="21"/>
        </w:rPr>
        <w:t>4. 监理人</w:t>
      </w:r>
    </w:p>
    <w:p w14:paraId="2301B31D">
      <w:pPr>
        <w:rPr>
          <w:rFonts w:asciiTheme="minorEastAsia" w:hAnsiTheme="minorEastAsia" w:eastAsiaTheme="minorEastAsia"/>
          <w:szCs w:val="21"/>
        </w:rPr>
      </w:pPr>
      <w:r>
        <w:rPr>
          <w:rFonts w:hint="eastAsia" w:asciiTheme="minorEastAsia" w:hAnsiTheme="minorEastAsia" w:eastAsiaTheme="minorEastAsia"/>
          <w:szCs w:val="21"/>
        </w:rPr>
        <w:t>4.1监理人的一般规定</w:t>
      </w:r>
    </w:p>
    <w:p w14:paraId="65BC9586">
      <w:pPr>
        <w:rPr>
          <w:rFonts w:asciiTheme="minorEastAsia" w:hAnsiTheme="minorEastAsia" w:eastAsiaTheme="minorEastAsia"/>
          <w:szCs w:val="21"/>
        </w:rPr>
      </w:pPr>
      <w:r>
        <w:rPr>
          <w:rFonts w:hint="eastAsia" w:asciiTheme="minorEastAsia" w:hAnsiTheme="minorEastAsia" w:eastAsiaTheme="minorEastAsia"/>
          <w:szCs w:val="21"/>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64A99348">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除专用合同条款另有约定外，监理人在施工现场的办公场所、生活场所由承包人提供，所发生的费用由发包人承担。</w:t>
      </w:r>
    </w:p>
    <w:p w14:paraId="584AC101">
      <w:pPr>
        <w:rPr>
          <w:rFonts w:asciiTheme="minorEastAsia" w:hAnsiTheme="minorEastAsia" w:eastAsiaTheme="minorEastAsia"/>
          <w:szCs w:val="21"/>
        </w:rPr>
      </w:pPr>
      <w:r>
        <w:rPr>
          <w:rFonts w:hint="eastAsia" w:asciiTheme="minorEastAsia" w:hAnsiTheme="minorEastAsia" w:eastAsiaTheme="minorEastAsia"/>
          <w:szCs w:val="21"/>
        </w:rPr>
        <w:t>4.2监理人员</w:t>
      </w:r>
    </w:p>
    <w:p w14:paraId="7955054E">
      <w:pPr>
        <w:rPr>
          <w:rFonts w:asciiTheme="minorEastAsia" w:hAnsiTheme="minorEastAsia" w:eastAsiaTheme="minorEastAsia"/>
          <w:szCs w:val="21"/>
        </w:rPr>
      </w:pPr>
      <w:r>
        <w:rPr>
          <w:rFonts w:hint="eastAsia" w:asciiTheme="minorEastAsia" w:hAnsiTheme="minorEastAsia" w:eastAsiaTheme="minorEastAsia"/>
          <w:szCs w:val="21"/>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14:paraId="7433E199">
      <w:pPr>
        <w:rPr>
          <w:rFonts w:asciiTheme="minorEastAsia" w:hAnsiTheme="minorEastAsia" w:eastAsiaTheme="minorEastAsia"/>
          <w:szCs w:val="21"/>
        </w:rPr>
      </w:pPr>
      <w:r>
        <w:rPr>
          <w:rFonts w:hint="eastAsia" w:asciiTheme="minorEastAsia" w:hAnsiTheme="minorEastAsia" w:eastAsiaTheme="minorEastAsia"/>
          <w:szCs w:val="21"/>
        </w:rPr>
        <w:t>4.3监理人的指示</w:t>
      </w:r>
    </w:p>
    <w:p w14:paraId="76400928">
      <w:pPr>
        <w:rPr>
          <w:rFonts w:asciiTheme="minorEastAsia" w:hAnsiTheme="minorEastAsia" w:eastAsiaTheme="minorEastAsia"/>
          <w:szCs w:val="21"/>
        </w:rPr>
      </w:pPr>
      <w:r>
        <w:rPr>
          <w:rFonts w:hint="eastAsia" w:asciiTheme="minorEastAsia" w:hAnsiTheme="minorEastAsia" w:eastAsiaTheme="minorEastAsia"/>
          <w:szCs w:val="21"/>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14:paraId="36264C91">
      <w:pPr>
        <w:rPr>
          <w:rFonts w:asciiTheme="minorEastAsia" w:hAnsiTheme="minorEastAsia" w:eastAsiaTheme="minorEastAsia"/>
          <w:szCs w:val="21"/>
        </w:rPr>
      </w:pPr>
      <w:r>
        <w:rPr>
          <w:rFonts w:hint="eastAsia" w:asciiTheme="minorEastAsia" w:hAnsiTheme="minorEastAsia" w:eastAsiaTheme="minorEastAsia"/>
          <w:szCs w:val="21"/>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4.4款〔商定或确定〕约定应由总监理工程师作出确定的权力授权或委托给其他监理人员。</w:t>
      </w:r>
    </w:p>
    <w:p w14:paraId="3726DE1B">
      <w:pPr>
        <w:rPr>
          <w:rFonts w:asciiTheme="minorEastAsia" w:hAnsiTheme="minorEastAsia" w:eastAsiaTheme="minorEastAsia"/>
          <w:szCs w:val="21"/>
        </w:rPr>
      </w:pPr>
      <w:r>
        <w:rPr>
          <w:rFonts w:hint="eastAsia" w:asciiTheme="minorEastAsia" w:hAnsiTheme="minorEastAsia" w:eastAsiaTheme="minorEastAsia"/>
          <w:szCs w:val="21"/>
        </w:rPr>
        <w:t>承包人对监理人发出的指示有疑问的，应向监理人提出书面异议，监理人应在48小时内对该指示予以确认、更改或撤销，监理人逾期未回复的，承包人有权拒绝执行上述指示。</w:t>
      </w:r>
    </w:p>
    <w:p w14:paraId="2CC0C4AA">
      <w:pPr>
        <w:rPr>
          <w:rFonts w:asciiTheme="minorEastAsia" w:hAnsiTheme="minorEastAsia" w:eastAsiaTheme="minorEastAsia"/>
          <w:szCs w:val="21"/>
        </w:rPr>
      </w:pPr>
      <w:r>
        <w:rPr>
          <w:rFonts w:hint="eastAsia" w:asciiTheme="minorEastAsia" w:hAnsiTheme="minorEastAsia" w:eastAsiaTheme="minorEastAsia"/>
          <w:szCs w:val="21"/>
        </w:rPr>
        <w:t>监理人对承包人的任何工作、工程或其采用的材料和工程设备未在约定的或合理期限内提出意见的，视为批准，但不免除或减轻承包人对该工作、工程、材料、工程设备等应承担的责任和义务。</w:t>
      </w:r>
    </w:p>
    <w:p w14:paraId="713DA2E8">
      <w:pPr>
        <w:rPr>
          <w:rFonts w:asciiTheme="minorEastAsia" w:hAnsiTheme="minorEastAsia" w:eastAsiaTheme="minorEastAsia"/>
          <w:szCs w:val="21"/>
        </w:rPr>
      </w:pPr>
      <w:r>
        <w:rPr>
          <w:rFonts w:hint="eastAsia" w:asciiTheme="minorEastAsia" w:hAnsiTheme="minorEastAsia" w:eastAsiaTheme="minorEastAsia"/>
          <w:szCs w:val="21"/>
        </w:rPr>
        <w:t>4.4 商定或确定</w:t>
      </w:r>
    </w:p>
    <w:p w14:paraId="2D70E92E">
      <w:pPr>
        <w:rPr>
          <w:rFonts w:asciiTheme="minorEastAsia" w:hAnsiTheme="minorEastAsia" w:eastAsiaTheme="minorEastAsia"/>
          <w:szCs w:val="21"/>
        </w:rPr>
      </w:pPr>
      <w:r>
        <w:rPr>
          <w:rFonts w:hint="eastAsia" w:asciiTheme="minorEastAsia" w:hAnsiTheme="minorEastAsia" w:eastAsiaTheme="minorEastAsia"/>
          <w:szCs w:val="21"/>
        </w:rPr>
        <w:t>合同当事人进行商定或确定时，总监理工程师应当会同合同当事人尽量通过协商达成一致，不能达成一致的，由总监理工程师按照合同约定审慎做出公正的确定。</w:t>
      </w:r>
    </w:p>
    <w:p w14:paraId="064E3FA5">
      <w:pPr>
        <w:rPr>
          <w:rFonts w:asciiTheme="minorEastAsia" w:hAnsiTheme="minorEastAsia" w:eastAsiaTheme="minorEastAsia"/>
          <w:szCs w:val="21"/>
        </w:rPr>
      </w:pPr>
      <w:r>
        <w:rPr>
          <w:rFonts w:hint="eastAsia" w:asciiTheme="minorEastAsia" w:hAnsiTheme="minorEastAsia" w:eastAsiaTheme="minorEastAsia"/>
          <w:szCs w:val="21"/>
        </w:rPr>
        <w:t>总监理工程师应将确定以书面形式通知发包人和承包人，并附详细依据。合同当事人对总监理工程师的确定没有异议的，按照总监理工程师的确定执行。任何一方合同当事人有异议，按照第20条〔争议解决〕约定处理。争议解决前，合同当事人暂按总监理工程师的确定执行；争议解决后，争议解决的结果与总监理工程师的确定不一致的，按照争议解决的结果执行，由此造成的损失由责任人承担。</w:t>
      </w:r>
    </w:p>
    <w:p w14:paraId="5B0F0125">
      <w:pPr>
        <w:rPr>
          <w:rFonts w:asciiTheme="minorEastAsia" w:hAnsiTheme="minorEastAsia" w:eastAsiaTheme="minorEastAsia"/>
          <w:b/>
          <w:szCs w:val="21"/>
        </w:rPr>
      </w:pPr>
      <w:r>
        <w:rPr>
          <w:rFonts w:hint="eastAsia" w:asciiTheme="minorEastAsia" w:hAnsiTheme="minorEastAsia" w:eastAsiaTheme="minorEastAsia"/>
          <w:b/>
          <w:szCs w:val="21"/>
        </w:rPr>
        <w:t>5. 工程质量</w:t>
      </w:r>
    </w:p>
    <w:p w14:paraId="79074749">
      <w:pPr>
        <w:rPr>
          <w:rFonts w:asciiTheme="minorEastAsia" w:hAnsiTheme="minorEastAsia" w:eastAsiaTheme="minorEastAsia"/>
          <w:szCs w:val="21"/>
        </w:rPr>
      </w:pPr>
      <w:r>
        <w:rPr>
          <w:rFonts w:hint="eastAsia" w:asciiTheme="minorEastAsia" w:hAnsiTheme="minorEastAsia" w:eastAsiaTheme="minorEastAsia"/>
          <w:szCs w:val="21"/>
        </w:rPr>
        <w:t>5.1质量要求</w:t>
      </w:r>
    </w:p>
    <w:p w14:paraId="2430DE9D">
      <w:pPr>
        <w:rPr>
          <w:rFonts w:asciiTheme="minorEastAsia" w:hAnsiTheme="minorEastAsia" w:eastAsiaTheme="minorEastAsia"/>
          <w:szCs w:val="21"/>
        </w:rPr>
      </w:pPr>
      <w:r>
        <w:rPr>
          <w:rFonts w:hint="eastAsia" w:asciiTheme="minorEastAsia" w:hAnsiTheme="minorEastAsia" w:eastAsiaTheme="minorEastAsia"/>
          <w:szCs w:val="21"/>
        </w:rPr>
        <w:t>5.1.1 工程质量标准必须符合现行国家有关工程施工质量验收规范和标准的要求。有关工程质量的特殊标准或要求由合同当事人在专用合同条款中约定。</w:t>
      </w:r>
    </w:p>
    <w:p w14:paraId="40310930">
      <w:pPr>
        <w:rPr>
          <w:rFonts w:asciiTheme="minorEastAsia" w:hAnsiTheme="minorEastAsia" w:eastAsiaTheme="minorEastAsia"/>
          <w:szCs w:val="21"/>
        </w:rPr>
      </w:pPr>
      <w:r>
        <w:rPr>
          <w:rFonts w:hint="eastAsia" w:asciiTheme="minorEastAsia" w:hAnsiTheme="minorEastAsia" w:eastAsiaTheme="minorEastAsia"/>
          <w:szCs w:val="21"/>
        </w:rPr>
        <w:t>5.1.2 因发包人原因造成工程质量未达到合同约定标准的，由发包人承担由此增加的费用和（或）延误的工期，并支付承包人合理的利润。</w:t>
      </w:r>
    </w:p>
    <w:p w14:paraId="19337B1C">
      <w:pPr>
        <w:rPr>
          <w:rFonts w:asciiTheme="minorEastAsia" w:hAnsiTheme="minorEastAsia" w:eastAsiaTheme="minorEastAsia"/>
          <w:szCs w:val="21"/>
        </w:rPr>
      </w:pPr>
      <w:r>
        <w:rPr>
          <w:rFonts w:hint="eastAsia" w:asciiTheme="minorEastAsia" w:hAnsiTheme="minorEastAsia" w:eastAsiaTheme="minorEastAsia"/>
          <w:szCs w:val="21"/>
        </w:rPr>
        <w:t>5.1.3 因承包人原因造成工程质量未达到合同约定标准的，发包人有权要求承包人返工直至工程质量达到合同约定的标准为止，并由承包人承担由此增加的费用和（或）延误的工期。</w:t>
      </w:r>
    </w:p>
    <w:p w14:paraId="0B65B87F">
      <w:pPr>
        <w:rPr>
          <w:rFonts w:asciiTheme="minorEastAsia" w:hAnsiTheme="minorEastAsia" w:eastAsiaTheme="minorEastAsia"/>
          <w:szCs w:val="21"/>
        </w:rPr>
      </w:pPr>
      <w:r>
        <w:rPr>
          <w:rFonts w:hint="eastAsia" w:asciiTheme="minorEastAsia" w:hAnsiTheme="minorEastAsia" w:eastAsiaTheme="minorEastAsia"/>
          <w:szCs w:val="21"/>
        </w:rPr>
        <w:t>5.2质量保证措施</w:t>
      </w:r>
    </w:p>
    <w:p w14:paraId="627A8ACB">
      <w:pPr>
        <w:rPr>
          <w:rFonts w:asciiTheme="minorEastAsia" w:hAnsiTheme="minorEastAsia" w:eastAsiaTheme="minorEastAsia"/>
          <w:szCs w:val="21"/>
        </w:rPr>
      </w:pPr>
      <w:r>
        <w:rPr>
          <w:rFonts w:hint="eastAsia" w:asciiTheme="minorEastAsia" w:hAnsiTheme="minorEastAsia" w:eastAsiaTheme="minorEastAsia"/>
          <w:szCs w:val="21"/>
        </w:rPr>
        <w:t>5.2.1 发包人的质量管理</w:t>
      </w:r>
    </w:p>
    <w:p w14:paraId="7B8C9A41">
      <w:pPr>
        <w:rPr>
          <w:rFonts w:asciiTheme="minorEastAsia" w:hAnsiTheme="minorEastAsia" w:eastAsiaTheme="minorEastAsia"/>
          <w:szCs w:val="21"/>
        </w:rPr>
      </w:pPr>
      <w:r>
        <w:rPr>
          <w:rFonts w:hint="eastAsia" w:asciiTheme="minorEastAsia" w:hAnsiTheme="minorEastAsia" w:eastAsiaTheme="minorEastAsia"/>
          <w:szCs w:val="21"/>
        </w:rPr>
        <w:t>发包人应按照法律规定及合同约定完成与工程质量有关的各项工作。</w:t>
      </w:r>
    </w:p>
    <w:p w14:paraId="4FD6D6A8">
      <w:pPr>
        <w:rPr>
          <w:rFonts w:asciiTheme="minorEastAsia" w:hAnsiTheme="minorEastAsia" w:eastAsiaTheme="minorEastAsia"/>
          <w:szCs w:val="21"/>
        </w:rPr>
      </w:pPr>
      <w:r>
        <w:rPr>
          <w:rFonts w:hint="eastAsia" w:asciiTheme="minorEastAsia" w:hAnsiTheme="minorEastAsia" w:eastAsiaTheme="minorEastAsia"/>
          <w:szCs w:val="21"/>
        </w:rPr>
        <w:t>5.2.2 承包人的质量管理</w:t>
      </w:r>
    </w:p>
    <w:p w14:paraId="3EBD65A6">
      <w:pPr>
        <w:rPr>
          <w:rFonts w:asciiTheme="minorEastAsia" w:hAnsiTheme="minorEastAsia" w:eastAsiaTheme="minorEastAsia"/>
          <w:szCs w:val="21"/>
        </w:rPr>
      </w:pPr>
      <w:r>
        <w:rPr>
          <w:rFonts w:hint="eastAsia" w:asciiTheme="minorEastAsia" w:hAnsiTheme="minorEastAsia" w:eastAsiaTheme="minorEastAsia"/>
          <w:szCs w:val="21"/>
        </w:rPr>
        <w:t>承包人按照第7.1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14:paraId="156288D3">
      <w:pPr>
        <w:rPr>
          <w:rFonts w:asciiTheme="minorEastAsia" w:hAnsiTheme="minorEastAsia" w:eastAsiaTheme="minorEastAsia"/>
          <w:szCs w:val="21"/>
        </w:rPr>
      </w:pPr>
      <w:r>
        <w:rPr>
          <w:rFonts w:hint="eastAsia" w:asciiTheme="minorEastAsia" w:hAnsiTheme="minorEastAsia" w:eastAsiaTheme="minorEastAsia"/>
          <w:szCs w:val="21"/>
        </w:rPr>
        <w:t>承包人应对施工人员进行质量教育和技术培训，定期考核施工人员的劳动技能，严格执行施工规范和操作规程。</w:t>
      </w:r>
    </w:p>
    <w:p w14:paraId="73CC6755">
      <w:pPr>
        <w:rPr>
          <w:rFonts w:asciiTheme="minorEastAsia" w:hAnsiTheme="minorEastAsia" w:eastAsiaTheme="minorEastAsia"/>
          <w:szCs w:val="21"/>
        </w:rPr>
      </w:pPr>
      <w:r>
        <w:rPr>
          <w:rFonts w:hint="eastAsia" w:asciiTheme="minorEastAsia" w:hAnsiTheme="minorEastAsia" w:eastAsiaTheme="minorEastAsia"/>
          <w:szCs w:val="21"/>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14:paraId="02CF5121">
      <w:pPr>
        <w:rPr>
          <w:rFonts w:asciiTheme="minorEastAsia" w:hAnsiTheme="minorEastAsia" w:eastAsiaTheme="minorEastAsia"/>
          <w:szCs w:val="21"/>
        </w:rPr>
      </w:pPr>
      <w:r>
        <w:rPr>
          <w:rFonts w:hint="eastAsia" w:asciiTheme="minorEastAsia" w:hAnsiTheme="minorEastAsia" w:eastAsiaTheme="minorEastAsia"/>
          <w:szCs w:val="21"/>
        </w:rPr>
        <w:t>5.2.3 监理人的质量检查和检验</w:t>
      </w:r>
    </w:p>
    <w:p w14:paraId="3A641515">
      <w:pPr>
        <w:rPr>
          <w:rFonts w:asciiTheme="minorEastAsia" w:hAnsiTheme="minorEastAsia" w:eastAsiaTheme="minorEastAsia"/>
          <w:szCs w:val="21"/>
        </w:rPr>
      </w:pPr>
      <w:r>
        <w:rPr>
          <w:rFonts w:hint="eastAsia" w:asciiTheme="minorEastAsia" w:hAnsiTheme="minorEastAsia" w:eastAsiaTheme="minorEastAsia"/>
          <w:szCs w:val="21"/>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2A917A9D">
      <w:pPr>
        <w:rPr>
          <w:rFonts w:asciiTheme="minorEastAsia" w:hAnsiTheme="minorEastAsia" w:eastAsiaTheme="minorEastAsia"/>
          <w:szCs w:val="21"/>
        </w:rPr>
      </w:pPr>
      <w:r>
        <w:rPr>
          <w:rFonts w:hint="eastAsia" w:asciiTheme="minorEastAsia" w:hAnsiTheme="minorEastAsia" w:eastAsiaTheme="minorEastAsia"/>
          <w:szCs w:val="21"/>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14:paraId="318BCDDB">
      <w:pPr>
        <w:rPr>
          <w:rFonts w:asciiTheme="minorEastAsia" w:hAnsiTheme="minorEastAsia" w:eastAsiaTheme="minorEastAsia"/>
          <w:szCs w:val="21"/>
        </w:rPr>
      </w:pPr>
      <w:r>
        <w:rPr>
          <w:rFonts w:hint="eastAsia" w:asciiTheme="minorEastAsia" w:hAnsiTheme="minorEastAsia" w:eastAsiaTheme="minorEastAsia"/>
          <w:szCs w:val="21"/>
        </w:rPr>
        <w:t>5.3 隐蔽工程检查</w:t>
      </w:r>
    </w:p>
    <w:p w14:paraId="3414EC4C">
      <w:pPr>
        <w:rPr>
          <w:rFonts w:asciiTheme="minorEastAsia" w:hAnsiTheme="minorEastAsia" w:eastAsiaTheme="minorEastAsia"/>
          <w:szCs w:val="21"/>
        </w:rPr>
      </w:pPr>
      <w:r>
        <w:rPr>
          <w:rFonts w:hint="eastAsia" w:asciiTheme="minorEastAsia" w:hAnsiTheme="minorEastAsia" w:eastAsiaTheme="minorEastAsia"/>
          <w:szCs w:val="21"/>
        </w:rPr>
        <w:t>5.3.1承包人自检</w:t>
      </w:r>
    </w:p>
    <w:p w14:paraId="6C8A78F2">
      <w:pPr>
        <w:rPr>
          <w:rFonts w:asciiTheme="minorEastAsia" w:hAnsiTheme="minorEastAsia" w:eastAsiaTheme="minorEastAsia"/>
          <w:szCs w:val="21"/>
        </w:rPr>
      </w:pPr>
      <w:r>
        <w:rPr>
          <w:rFonts w:hint="eastAsia" w:asciiTheme="minorEastAsia" w:hAnsiTheme="minorEastAsia" w:eastAsiaTheme="minorEastAsia"/>
          <w:szCs w:val="21"/>
        </w:rPr>
        <w:t>承包人应当对工程隐蔽部位进行自检，并经自检确认是否具备覆盖条件。</w:t>
      </w:r>
    </w:p>
    <w:p w14:paraId="67B7E15D">
      <w:pPr>
        <w:rPr>
          <w:rFonts w:asciiTheme="minorEastAsia" w:hAnsiTheme="minorEastAsia" w:eastAsiaTheme="minorEastAsia"/>
          <w:szCs w:val="21"/>
        </w:rPr>
      </w:pPr>
      <w:r>
        <w:rPr>
          <w:rFonts w:hint="eastAsia" w:asciiTheme="minorEastAsia" w:hAnsiTheme="minorEastAsia" w:eastAsiaTheme="minorEastAsia"/>
          <w:szCs w:val="21"/>
        </w:rPr>
        <w:t>5.3.2检查程序</w:t>
      </w:r>
    </w:p>
    <w:p w14:paraId="54907028">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工程隐蔽部位经承包人自检确认具备覆盖条件的，承包人应在共同检查前48小时书面通知监理人检查，通知中应载明隐蔽检查的内容、时间和地点，并应附有自检记录和必要的检查资料。</w:t>
      </w:r>
    </w:p>
    <w:p w14:paraId="134C19A6">
      <w:pPr>
        <w:rPr>
          <w:rFonts w:asciiTheme="minorEastAsia" w:hAnsiTheme="minorEastAsia" w:eastAsiaTheme="minorEastAsia"/>
          <w:szCs w:val="21"/>
        </w:rPr>
      </w:pPr>
      <w:r>
        <w:rPr>
          <w:rFonts w:hint="eastAsia" w:asciiTheme="minorEastAsia" w:hAnsiTheme="minorEastAsia" w:eastAsiaTheme="minorEastAsia"/>
          <w:szCs w:val="21"/>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5545D914">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重新检查〕的约定重新检查。</w:t>
      </w:r>
    </w:p>
    <w:p w14:paraId="29C9C748">
      <w:pPr>
        <w:rPr>
          <w:rFonts w:asciiTheme="minorEastAsia" w:hAnsiTheme="minorEastAsia" w:eastAsiaTheme="minorEastAsia"/>
          <w:szCs w:val="21"/>
        </w:rPr>
      </w:pPr>
      <w:r>
        <w:rPr>
          <w:rFonts w:hint="eastAsia" w:asciiTheme="minorEastAsia" w:hAnsiTheme="minorEastAsia" w:eastAsiaTheme="minorEastAsia"/>
          <w:szCs w:val="21"/>
        </w:rPr>
        <w:t>5.3.3 重新检查</w:t>
      </w:r>
    </w:p>
    <w:p w14:paraId="3A71A5E7">
      <w:pPr>
        <w:rPr>
          <w:rFonts w:asciiTheme="minorEastAsia" w:hAnsiTheme="minorEastAsia" w:eastAsiaTheme="minorEastAsia"/>
          <w:szCs w:val="21"/>
        </w:rPr>
      </w:pPr>
      <w:r>
        <w:rPr>
          <w:rFonts w:hint="eastAsia" w:asciiTheme="minorEastAsia" w:hAnsiTheme="minorEastAsia" w:eastAsiaTheme="minorEastAsia"/>
          <w:szCs w:val="21"/>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5725F1D5">
      <w:pPr>
        <w:rPr>
          <w:rFonts w:asciiTheme="minorEastAsia" w:hAnsiTheme="minorEastAsia" w:eastAsiaTheme="minorEastAsia"/>
          <w:szCs w:val="21"/>
        </w:rPr>
      </w:pPr>
      <w:r>
        <w:rPr>
          <w:rFonts w:hint="eastAsia" w:asciiTheme="minorEastAsia" w:hAnsiTheme="minorEastAsia" w:eastAsiaTheme="minorEastAsia"/>
          <w:szCs w:val="21"/>
        </w:rPr>
        <w:t>5.3.4 承包人私自覆盖</w:t>
      </w:r>
    </w:p>
    <w:p w14:paraId="7BB0FB4D">
      <w:pPr>
        <w:rPr>
          <w:rFonts w:asciiTheme="minorEastAsia" w:hAnsiTheme="minorEastAsia" w:eastAsiaTheme="minorEastAsia"/>
          <w:szCs w:val="21"/>
        </w:rPr>
      </w:pPr>
      <w:r>
        <w:rPr>
          <w:rFonts w:hint="eastAsia" w:asciiTheme="minorEastAsia" w:hAnsiTheme="minorEastAsia" w:eastAsiaTheme="minorEastAsia"/>
          <w:szCs w:val="21"/>
        </w:rPr>
        <w:t>承包人未通知监理人到场检查，私自将工程隐蔽部位覆盖的，监理人有权指示承包人钻孔探测或揭开检查，无论工程隐蔽部位质量是否合格，由此增加的费用和（或）延误的工期均由承包人承担。</w:t>
      </w:r>
    </w:p>
    <w:p w14:paraId="29B77BB2">
      <w:pPr>
        <w:rPr>
          <w:rFonts w:asciiTheme="minorEastAsia" w:hAnsiTheme="minorEastAsia" w:eastAsiaTheme="minorEastAsia"/>
          <w:szCs w:val="21"/>
        </w:rPr>
      </w:pPr>
      <w:r>
        <w:rPr>
          <w:rFonts w:hint="eastAsia" w:asciiTheme="minorEastAsia" w:hAnsiTheme="minorEastAsia" w:eastAsiaTheme="minorEastAsia"/>
          <w:szCs w:val="21"/>
        </w:rPr>
        <w:t>5.4不合格工程的处理</w:t>
      </w:r>
    </w:p>
    <w:p w14:paraId="1212C641">
      <w:pPr>
        <w:rPr>
          <w:rFonts w:asciiTheme="minorEastAsia" w:hAnsiTheme="minorEastAsia" w:eastAsiaTheme="minorEastAsia"/>
          <w:szCs w:val="21"/>
        </w:rPr>
      </w:pPr>
      <w:r>
        <w:rPr>
          <w:rFonts w:hint="eastAsia" w:asciiTheme="minorEastAsia" w:hAnsiTheme="minorEastAsia" w:eastAsiaTheme="minorEastAsia"/>
          <w:szCs w:val="21"/>
        </w:rPr>
        <w:t xml:space="preserve">5.4.1 因承包人原因造成工程不合格的，发包人有权随时要求承包人采取补救措施，直至达到合同要求的质量标准，由此增加的费用和（或）延误的工期由承包人承担。无法补救的，按照第13.2.4项〔拒绝接收全部或部分工程〕约定执行。 </w:t>
      </w:r>
    </w:p>
    <w:p w14:paraId="3EC65B54">
      <w:pPr>
        <w:rPr>
          <w:rFonts w:asciiTheme="minorEastAsia" w:hAnsiTheme="minorEastAsia" w:eastAsiaTheme="minorEastAsia"/>
          <w:szCs w:val="21"/>
        </w:rPr>
      </w:pPr>
      <w:r>
        <w:rPr>
          <w:rFonts w:hint="eastAsia" w:asciiTheme="minorEastAsia" w:hAnsiTheme="minorEastAsia" w:eastAsiaTheme="minorEastAsia"/>
          <w:szCs w:val="21"/>
        </w:rPr>
        <w:t>5.4.2 因发包人原因造成工程不合格的，由此增加的费用和（或）延误的工期由发包人承担，并支付承包人合理的利润。</w:t>
      </w:r>
    </w:p>
    <w:p w14:paraId="1036C5DC">
      <w:pPr>
        <w:rPr>
          <w:rFonts w:asciiTheme="minorEastAsia" w:hAnsiTheme="minorEastAsia" w:eastAsiaTheme="minorEastAsia"/>
          <w:szCs w:val="21"/>
        </w:rPr>
      </w:pPr>
      <w:r>
        <w:rPr>
          <w:rFonts w:hint="eastAsia" w:asciiTheme="minorEastAsia" w:hAnsiTheme="minorEastAsia" w:eastAsiaTheme="minorEastAsia"/>
          <w:szCs w:val="21"/>
        </w:rPr>
        <w:t>5.5 质量争议检测</w:t>
      </w:r>
    </w:p>
    <w:p w14:paraId="58D52ED2">
      <w:pPr>
        <w:rPr>
          <w:rFonts w:asciiTheme="minorEastAsia" w:hAnsiTheme="minorEastAsia" w:eastAsiaTheme="minorEastAsia"/>
          <w:szCs w:val="21"/>
        </w:rPr>
      </w:pPr>
      <w:r>
        <w:rPr>
          <w:rFonts w:hint="eastAsia" w:asciiTheme="minorEastAsia" w:hAnsiTheme="minorEastAsia" w:eastAsiaTheme="minorEastAsia"/>
          <w:szCs w:val="21"/>
        </w:rPr>
        <w:t>合同当事人对工程质量有争议的，由双方协商确定的工程质量检测机构鉴定，由此产生的费用及因此造成的损失，由责任方承担。</w:t>
      </w:r>
    </w:p>
    <w:p w14:paraId="118451AA">
      <w:pPr>
        <w:rPr>
          <w:rFonts w:asciiTheme="minorEastAsia" w:hAnsiTheme="minorEastAsia" w:eastAsiaTheme="minorEastAsia"/>
          <w:szCs w:val="21"/>
        </w:rPr>
      </w:pPr>
      <w:r>
        <w:rPr>
          <w:rFonts w:hint="eastAsia" w:asciiTheme="minorEastAsia" w:hAnsiTheme="minorEastAsia" w:eastAsiaTheme="minorEastAsia"/>
          <w:szCs w:val="21"/>
        </w:rPr>
        <w:t>合同当事人均有责任的，由双方根据其责任分别承担。合同当事人无法达成一致的，按照第4.4款〔商定或确定〕执行。</w:t>
      </w:r>
    </w:p>
    <w:p w14:paraId="02FC503D">
      <w:pPr>
        <w:rPr>
          <w:rFonts w:asciiTheme="minorEastAsia" w:hAnsiTheme="minorEastAsia" w:eastAsiaTheme="minorEastAsia"/>
          <w:b/>
          <w:szCs w:val="21"/>
        </w:rPr>
      </w:pPr>
      <w:r>
        <w:rPr>
          <w:rFonts w:hint="eastAsia" w:asciiTheme="minorEastAsia" w:hAnsiTheme="minorEastAsia" w:eastAsiaTheme="minorEastAsia"/>
          <w:b/>
          <w:szCs w:val="21"/>
        </w:rPr>
        <w:t>6. 安全文明施工与环境保护</w:t>
      </w:r>
    </w:p>
    <w:p w14:paraId="5A6D4FA8">
      <w:pPr>
        <w:rPr>
          <w:rFonts w:asciiTheme="minorEastAsia" w:hAnsiTheme="minorEastAsia" w:eastAsiaTheme="minorEastAsia"/>
          <w:szCs w:val="21"/>
        </w:rPr>
      </w:pPr>
      <w:r>
        <w:rPr>
          <w:rFonts w:hint="eastAsia" w:asciiTheme="minorEastAsia" w:hAnsiTheme="minorEastAsia" w:eastAsiaTheme="minorEastAsia"/>
          <w:szCs w:val="21"/>
        </w:rPr>
        <w:t>6.1安全文明施工</w:t>
      </w:r>
    </w:p>
    <w:p w14:paraId="37AE9CBE">
      <w:pPr>
        <w:rPr>
          <w:rFonts w:asciiTheme="minorEastAsia" w:hAnsiTheme="minorEastAsia" w:eastAsiaTheme="minorEastAsia"/>
          <w:szCs w:val="21"/>
        </w:rPr>
      </w:pPr>
      <w:r>
        <w:rPr>
          <w:rFonts w:hint="eastAsia" w:asciiTheme="minorEastAsia" w:hAnsiTheme="minorEastAsia" w:eastAsiaTheme="minorEastAsia"/>
          <w:szCs w:val="21"/>
        </w:rPr>
        <w:t>6.1.1安全生产要求</w:t>
      </w:r>
    </w:p>
    <w:p w14:paraId="4CAB7F15">
      <w:pPr>
        <w:rPr>
          <w:rFonts w:asciiTheme="minorEastAsia" w:hAnsiTheme="minorEastAsia" w:eastAsiaTheme="minorEastAsia"/>
          <w:szCs w:val="21"/>
        </w:rPr>
      </w:pPr>
      <w:r>
        <w:rPr>
          <w:rFonts w:hint="eastAsia" w:asciiTheme="minorEastAsia" w:hAnsiTheme="minorEastAsia" w:eastAsiaTheme="minorEastAsia"/>
          <w:szCs w:val="21"/>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1018A873">
      <w:pPr>
        <w:rPr>
          <w:rFonts w:asciiTheme="minorEastAsia" w:hAnsiTheme="minorEastAsia" w:eastAsiaTheme="minorEastAsia"/>
          <w:szCs w:val="21"/>
        </w:rPr>
      </w:pPr>
      <w:r>
        <w:rPr>
          <w:rFonts w:hint="eastAsia" w:asciiTheme="minorEastAsia" w:hAnsiTheme="minorEastAsia" w:eastAsiaTheme="minorEastAsia"/>
          <w:szCs w:val="21"/>
        </w:rPr>
        <w:t>在施工过程中，如遇到突发的地质变动、事先未知的地下施工障碍等影响施工安全的紧急情况，承包人应及时报告监理人和发包人，发包人应当及时下令停工并报政府有关行政管理部门采取应急措施。</w:t>
      </w:r>
    </w:p>
    <w:p w14:paraId="0DF3A09B">
      <w:pPr>
        <w:rPr>
          <w:rFonts w:asciiTheme="minorEastAsia" w:hAnsiTheme="minorEastAsia" w:eastAsiaTheme="minorEastAsia"/>
          <w:szCs w:val="21"/>
        </w:rPr>
      </w:pPr>
      <w:r>
        <w:rPr>
          <w:rFonts w:hint="eastAsia" w:asciiTheme="minorEastAsia" w:hAnsiTheme="minorEastAsia" w:eastAsiaTheme="minorEastAsia"/>
          <w:szCs w:val="21"/>
        </w:rPr>
        <w:t>因安全生产需要暂停施工的，按照第7.8款〔暂停施工〕的约定执行。</w:t>
      </w:r>
    </w:p>
    <w:p w14:paraId="2A06507F">
      <w:pPr>
        <w:rPr>
          <w:rFonts w:asciiTheme="minorEastAsia" w:hAnsiTheme="minorEastAsia" w:eastAsiaTheme="minorEastAsia"/>
          <w:szCs w:val="21"/>
        </w:rPr>
      </w:pPr>
      <w:r>
        <w:rPr>
          <w:rFonts w:hint="eastAsia" w:asciiTheme="minorEastAsia" w:hAnsiTheme="minorEastAsia" w:eastAsiaTheme="minorEastAsia"/>
          <w:szCs w:val="21"/>
        </w:rPr>
        <w:t>6.1.2 安全生产保证措施</w:t>
      </w:r>
    </w:p>
    <w:p w14:paraId="6C76BD3C">
      <w:pPr>
        <w:rPr>
          <w:rFonts w:asciiTheme="minorEastAsia" w:hAnsiTheme="minorEastAsia" w:eastAsiaTheme="minorEastAsia"/>
          <w:szCs w:val="21"/>
        </w:rPr>
      </w:pPr>
      <w:r>
        <w:rPr>
          <w:rFonts w:hint="eastAsia" w:asciiTheme="minorEastAsia" w:hAnsiTheme="minorEastAsia" w:eastAsiaTheme="minorEastAsia"/>
          <w:szCs w:val="21"/>
        </w:rPr>
        <w:t>承包人应当按照有关规定编制安全技术措施或者专项施工方案，建立安全生产责任制度、治安保卫制度及安全生产教育培训制度，并按安全生产法律规定及合同约定履行安全职责，如实编制工程安全生产的有关记录，接受发包人、监理人及政府安全监督部门的检查与监督。</w:t>
      </w:r>
    </w:p>
    <w:p w14:paraId="64B18A80">
      <w:pPr>
        <w:rPr>
          <w:rFonts w:asciiTheme="minorEastAsia" w:hAnsiTheme="minorEastAsia" w:eastAsiaTheme="minorEastAsia"/>
          <w:szCs w:val="21"/>
        </w:rPr>
      </w:pPr>
      <w:r>
        <w:rPr>
          <w:rFonts w:hint="eastAsia" w:asciiTheme="minorEastAsia" w:hAnsiTheme="minorEastAsia" w:eastAsiaTheme="minorEastAsia"/>
          <w:szCs w:val="21"/>
        </w:rPr>
        <w:t>6.1.3特别安全生产事项</w:t>
      </w:r>
    </w:p>
    <w:p w14:paraId="64ABDBC7">
      <w:pPr>
        <w:rPr>
          <w:rFonts w:asciiTheme="minorEastAsia" w:hAnsiTheme="minorEastAsia" w:eastAsiaTheme="minorEastAsia"/>
          <w:szCs w:val="21"/>
        </w:rPr>
      </w:pPr>
      <w:r>
        <w:rPr>
          <w:rFonts w:hint="eastAsia" w:asciiTheme="minorEastAsia" w:hAnsiTheme="minorEastAsia" w:eastAsiaTheme="minorEastAsia"/>
          <w:szCs w:val="21"/>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7755DB14">
      <w:pPr>
        <w:rPr>
          <w:rFonts w:asciiTheme="minorEastAsia" w:hAnsiTheme="minorEastAsia" w:eastAsiaTheme="minorEastAsia"/>
          <w:szCs w:val="21"/>
        </w:rPr>
      </w:pPr>
      <w:r>
        <w:rPr>
          <w:rFonts w:hint="eastAsia" w:asciiTheme="minorEastAsia" w:hAnsiTheme="minorEastAsia" w:eastAsiaTheme="minorEastAsia"/>
          <w:szCs w:val="21"/>
        </w:rPr>
        <w:t xml:space="preserve">承包人在动力设备、输电线路、地下管道、密封防震车间、易燃易爆地段以及临街交通要道附近施工时，施工开始前应向发包人和监理人提出安全防护措施，经发包人认可后实施。 </w:t>
      </w:r>
    </w:p>
    <w:p w14:paraId="523331C4">
      <w:pPr>
        <w:rPr>
          <w:rFonts w:asciiTheme="minorEastAsia" w:hAnsiTheme="minorEastAsia" w:eastAsiaTheme="minorEastAsia"/>
          <w:szCs w:val="21"/>
        </w:rPr>
      </w:pPr>
      <w:r>
        <w:rPr>
          <w:rFonts w:hint="eastAsia" w:asciiTheme="minorEastAsia" w:hAnsiTheme="minorEastAsia" w:eastAsiaTheme="minorEastAsia"/>
          <w:szCs w:val="21"/>
        </w:rPr>
        <w:t>实施爆破作业，在放射、毒害性环境中施工（含储存、运输、使用）及使用毒害性、腐蚀性物品施工时，承包人应在施工前7天以书面通知发包人和监理人，并报送相应的安全防护措施，经发包人认可后实施。</w:t>
      </w:r>
    </w:p>
    <w:p w14:paraId="0073A562">
      <w:pPr>
        <w:rPr>
          <w:rFonts w:asciiTheme="minorEastAsia" w:hAnsiTheme="minorEastAsia" w:eastAsiaTheme="minorEastAsia"/>
          <w:szCs w:val="21"/>
        </w:rPr>
      </w:pPr>
      <w:r>
        <w:rPr>
          <w:rFonts w:hint="eastAsia" w:asciiTheme="minorEastAsia" w:hAnsiTheme="minorEastAsia" w:eastAsiaTheme="minorEastAsia"/>
          <w:szCs w:val="21"/>
        </w:rPr>
        <w:t>需单独编制危险性较大分部分项专项工程施工方案的，及要求进行专家论证的超过一定规模的危险性较大的分部分项工程，承包人应及时编制和组织论证。</w:t>
      </w:r>
    </w:p>
    <w:p w14:paraId="357AAD1A">
      <w:pPr>
        <w:rPr>
          <w:rFonts w:asciiTheme="minorEastAsia" w:hAnsiTheme="minorEastAsia" w:eastAsiaTheme="minorEastAsia"/>
          <w:szCs w:val="21"/>
        </w:rPr>
      </w:pPr>
      <w:r>
        <w:rPr>
          <w:rFonts w:hint="eastAsia" w:asciiTheme="minorEastAsia" w:hAnsiTheme="minorEastAsia" w:eastAsiaTheme="minorEastAsia"/>
          <w:szCs w:val="21"/>
        </w:rPr>
        <w:t>6.1.4 治安保卫</w:t>
      </w:r>
    </w:p>
    <w:p w14:paraId="3AF94CEC">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除专用合同条款另有约定外，发包人应与当地公安部门协商，在现场建立治安管理机构或联防组织，统一管理施工场地的治安保卫事项，履行合同工程的治安保卫职责。</w:t>
      </w:r>
    </w:p>
    <w:p w14:paraId="24DB8D54">
      <w:pPr>
        <w:rPr>
          <w:rFonts w:asciiTheme="minorEastAsia" w:hAnsiTheme="minorEastAsia" w:eastAsiaTheme="minorEastAsia"/>
          <w:szCs w:val="21"/>
        </w:rPr>
      </w:pPr>
      <w:r>
        <w:rPr>
          <w:rFonts w:hint="eastAsia" w:asciiTheme="minorEastAsia" w:hAnsiTheme="minorEastAsia" w:eastAsiaTheme="minorEastAsia"/>
          <w:szCs w:val="21"/>
        </w:rPr>
        <w:t>发包人和承包人除应协助现场治安管理机构或联防组织维护施工场地的社会治安外，还应做好包括生活区在内的各自管辖区的治安保卫工作。</w:t>
      </w:r>
    </w:p>
    <w:p w14:paraId="28DA7A61">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14:paraId="7CBF0FB6">
      <w:pPr>
        <w:rPr>
          <w:rFonts w:asciiTheme="minorEastAsia" w:hAnsiTheme="minorEastAsia" w:eastAsiaTheme="minorEastAsia"/>
          <w:szCs w:val="21"/>
        </w:rPr>
      </w:pPr>
      <w:r>
        <w:rPr>
          <w:rFonts w:hint="eastAsia" w:asciiTheme="minorEastAsia" w:hAnsiTheme="minorEastAsia" w:eastAsiaTheme="minorEastAsia"/>
          <w:szCs w:val="21"/>
        </w:rPr>
        <w:t>6.1.5 文明施工</w:t>
      </w:r>
    </w:p>
    <w:p w14:paraId="77AF7B55">
      <w:pPr>
        <w:rPr>
          <w:rFonts w:asciiTheme="minorEastAsia" w:hAnsiTheme="minorEastAsia" w:eastAsiaTheme="minorEastAsia"/>
          <w:szCs w:val="21"/>
        </w:rPr>
      </w:pPr>
      <w:r>
        <w:rPr>
          <w:rFonts w:hint="eastAsia" w:asciiTheme="minorEastAsia" w:hAnsiTheme="minorEastAsia" w:eastAsiaTheme="minorEastAsia"/>
          <w:szCs w:val="21"/>
        </w:rPr>
        <w:t>承包人在工程施工期间，应当采取措施保持施工现场平整，物料堆放整齐。工程所在地有关政府行政管理部门有特殊要求的，按照其要求执行。合同当事人对文明施工有其他要求的，可以在专用合同条款中明确。</w:t>
      </w:r>
    </w:p>
    <w:p w14:paraId="4D6DAF82">
      <w:pPr>
        <w:rPr>
          <w:rFonts w:asciiTheme="minorEastAsia" w:hAnsiTheme="minorEastAsia" w:eastAsiaTheme="minorEastAsia"/>
          <w:szCs w:val="21"/>
        </w:rPr>
      </w:pPr>
      <w:r>
        <w:rPr>
          <w:rFonts w:hint="eastAsia" w:asciiTheme="minorEastAsia" w:hAnsiTheme="minorEastAsia" w:eastAsiaTheme="minorEastAsia"/>
          <w:szCs w:val="21"/>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650C9502">
      <w:pPr>
        <w:rPr>
          <w:rFonts w:asciiTheme="minorEastAsia" w:hAnsiTheme="minorEastAsia" w:eastAsiaTheme="minorEastAsia"/>
          <w:szCs w:val="21"/>
        </w:rPr>
      </w:pPr>
      <w:r>
        <w:rPr>
          <w:rFonts w:hint="eastAsia" w:asciiTheme="minorEastAsia" w:hAnsiTheme="minorEastAsia" w:eastAsiaTheme="minorEastAsia"/>
          <w:szCs w:val="21"/>
        </w:rPr>
        <w:t>6.1.6 安全文明施工费</w:t>
      </w:r>
    </w:p>
    <w:p w14:paraId="1650FEDF">
      <w:pPr>
        <w:rPr>
          <w:rFonts w:asciiTheme="minorEastAsia" w:hAnsiTheme="minorEastAsia" w:eastAsiaTheme="minorEastAsia"/>
          <w:szCs w:val="21"/>
        </w:rPr>
      </w:pPr>
      <w:r>
        <w:rPr>
          <w:rFonts w:hint="eastAsia" w:asciiTheme="minorEastAsia" w:hAnsiTheme="minorEastAsia" w:eastAsiaTheme="minorEastAsia"/>
          <w:szCs w:val="21"/>
        </w:rPr>
        <w:t>安全文明施工费由发包人承担，发包人不得以任何形式扣减该部分费用。因基准日期后合同所适用的法律或政府有关规定发生变化，增加的安全文明施工费由发包人承担。</w:t>
      </w:r>
    </w:p>
    <w:p w14:paraId="48BB84DD">
      <w:pPr>
        <w:rPr>
          <w:rFonts w:asciiTheme="minorEastAsia" w:hAnsiTheme="minorEastAsia" w:eastAsiaTheme="minorEastAsia"/>
          <w:szCs w:val="21"/>
        </w:rPr>
      </w:pPr>
      <w:r>
        <w:rPr>
          <w:rFonts w:hint="eastAsia" w:asciiTheme="minorEastAsia" w:hAnsiTheme="minorEastAsia" w:eastAsiaTheme="minorEastAsia"/>
          <w:szCs w:val="21"/>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4B79142F">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发包人违约的情形〕执行。</w:t>
      </w:r>
    </w:p>
    <w:p w14:paraId="54C87979">
      <w:pPr>
        <w:rPr>
          <w:rFonts w:asciiTheme="minorEastAsia" w:hAnsiTheme="minorEastAsia" w:eastAsiaTheme="minorEastAsia"/>
          <w:szCs w:val="21"/>
        </w:rPr>
      </w:pPr>
      <w:r>
        <w:rPr>
          <w:rFonts w:hint="eastAsia" w:asciiTheme="minorEastAsia" w:hAnsiTheme="minorEastAsia" w:eastAsiaTheme="minorEastAsia"/>
          <w:szCs w:val="21"/>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477D11E2">
      <w:pPr>
        <w:rPr>
          <w:rFonts w:asciiTheme="minorEastAsia" w:hAnsiTheme="minorEastAsia" w:eastAsiaTheme="minorEastAsia"/>
          <w:szCs w:val="21"/>
        </w:rPr>
      </w:pPr>
      <w:r>
        <w:rPr>
          <w:rFonts w:hint="eastAsia" w:asciiTheme="minorEastAsia" w:hAnsiTheme="minorEastAsia" w:eastAsiaTheme="minorEastAsia"/>
          <w:szCs w:val="21"/>
        </w:rPr>
        <w:t>6.1.7 紧急情况处理</w:t>
      </w:r>
    </w:p>
    <w:p w14:paraId="7A1560D0">
      <w:pPr>
        <w:rPr>
          <w:rFonts w:asciiTheme="minorEastAsia" w:hAnsiTheme="minorEastAsia" w:eastAsiaTheme="minorEastAsia"/>
          <w:szCs w:val="21"/>
        </w:rPr>
      </w:pPr>
      <w:r>
        <w:rPr>
          <w:rFonts w:hint="eastAsia" w:asciiTheme="minorEastAsia" w:hAnsiTheme="minorEastAsia" w:eastAsiaTheme="minorEastAsia"/>
          <w:szCs w:val="21"/>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0DDBCA1D">
      <w:pPr>
        <w:rPr>
          <w:rFonts w:asciiTheme="minorEastAsia" w:hAnsiTheme="minorEastAsia" w:eastAsiaTheme="minorEastAsia"/>
          <w:szCs w:val="21"/>
        </w:rPr>
      </w:pPr>
      <w:r>
        <w:rPr>
          <w:rFonts w:hint="eastAsia" w:asciiTheme="minorEastAsia" w:hAnsiTheme="minorEastAsia" w:eastAsiaTheme="minorEastAsia"/>
          <w:szCs w:val="21"/>
        </w:rPr>
        <w:t>6.1.8 事故处理</w:t>
      </w:r>
    </w:p>
    <w:p w14:paraId="2C4EBB64">
      <w:pPr>
        <w:rPr>
          <w:rFonts w:asciiTheme="minorEastAsia" w:hAnsiTheme="minorEastAsia" w:eastAsiaTheme="minorEastAsia"/>
          <w:szCs w:val="21"/>
        </w:rPr>
      </w:pPr>
      <w:r>
        <w:rPr>
          <w:rFonts w:hint="eastAsia" w:asciiTheme="minorEastAsia" w:hAnsiTheme="minorEastAsia" w:eastAsiaTheme="minorEastAsia"/>
          <w:szCs w:val="21"/>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32E5DB33">
      <w:pPr>
        <w:rPr>
          <w:rFonts w:asciiTheme="minorEastAsia" w:hAnsiTheme="minorEastAsia" w:eastAsiaTheme="minorEastAsia"/>
          <w:szCs w:val="21"/>
        </w:rPr>
      </w:pPr>
      <w:r>
        <w:rPr>
          <w:rFonts w:hint="eastAsia" w:asciiTheme="minorEastAsia" w:hAnsiTheme="minorEastAsia" w:eastAsiaTheme="minorEastAsia"/>
          <w:szCs w:val="21"/>
        </w:rPr>
        <w:t>6.1.9 安全生产责任</w:t>
      </w:r>
    </w:p>
    <w:p w14:paraId="3AF0C8EB">
      <w:pPr>
        <w:rPr>
          <w:rFonts w:asciiTheme="minorEastAsia" w:hAnsiTheme="minorEastAsia" w:eastAsiaTheme="minorEastAsia"/>
          <w:szCs w:val="21"/>
        </w:rPr>
      </w:pPr>
      <w:r>
        <w:rPr>
          <w:rFonts w:hint="eastAsia" w:asciiTheme="minorEastAsia" w:hAnsiTheme="minorEastAsia" w:eastAsiaTheme="minorEastAsia"/>
          <w:szCs w:val="21"/>
        </w:rPr>
        <w:t>6.1.9.1 发包人的安全责任</w:t>
      </w:r>
    </w:p>
    <w:p w14:paraId="31C54321">
      <w:pPr>
        <w:rPr>
          <w:rFonts w:asciiTheme="minorEastAsia" w:hAnsiTheme="minorEastAsia" w:eastAsiaTheme="minorEastAsia"/>
          <w:szCs w:val="21"/>
        </w:rPr>
      </w:pPr>
      <w:r>
        <w:rPr>
          <w:rFonts w:hint="eastAsia" w:asciiTheme="minorEastAsia" w:hAnsiTheme="minorEastAsia" w:eastAsiaTheme="minorEastAsia"/>
          <w:szCs w:val="21"/>
        </w:rPr>
        <w:t>发包人应负责赔偿以下各种情况造成的损失：</w:t>
      </w:r>
    </w:p>
    <w:p w14:paraId="0B6E244A">
      <w:pPr>
        <w:rPr>
          <w:rFonts w:asciiTheme="minorEastAsia" w:hAnsiTheme="minorEastAsia" w:eastAsiaTheme="minorEastAsia"/>
          <w:szCs w:val="21"/>
        </w:rPr>
      </w:pPr>
      <w:r>
        <w:rPr>
          <w:rFonts w:hint="eastAsia" w:asciiTheme="minorEastAsia" w:hAnsiTheme="minorEastAsia" w:eastAsiaTheme="minorEastAsia"/>
          <w:szCs w:val="21"/>
        </w:rPr>
        <w:t>（1）工程或工程的任何部分对土地的占用所造成的第三者财产损失；</w:t>
      </w:r>
    </w:p>
    <w:p w14:paraId="6A94AE65">
      <w:pPr>
        <w:rPr>
          <w:rFonts w:asciiTheme="minorEastAsia" w:hAnsiTheme="minorEastAsia" w:eastAsiaTheme="minorEastAsia"/>
          <w:szCs w:val="21"/>
        </w:rPr>
      </w:pPr>
      <w:r>
        <w:rPr>
          <w:rFonts w:hint="eastAsia" w:asciiTheme="minorEastAsia" w:hAnsiTheme="minorEastAsia" w:eastAsiaTheme="minorEastAsia"/>
          <w:szCs w:val="21"/>
        </w:rPr>
        <w:t>（2）由于发包人原因在施工场地及其毗邻地带造成的第三者人身伤亡和财产损失；</w:t>
      </w:r>
    </w:p>
    <w:p w14:paraId="766CB66A">
      <w:pPr>
        <w:rPr>
          <w:rFonts w:asciiTheme="minorEastAsia" w:hAnsiTheme="minorEastAsia" w:eastAsiaTheme="minorEastAsia"/>
          <w:szCs w:val="21"/>
        </w:rPr>
      </w:pPr>
      <w:r>
        <w:rPr>
          <w:rFonts w:hint="eastAsia" w:asciiTheme="minorEastAsia" w:hAnsiTheme="minorEastAsia" w:eastAsiaTheme="minorEastAsia"/>
          <w:szCs w:val="21"/>
        </w:rPr>
        <w:t>（3）由于发包人原因对承包人、监理人造成的人员人身伤亡和财产损失；</w:t>
      </w:r>
    </w:p>
    <w:p w14:paraId="6A932C0C">
      <w:pPr>
        <w:rPr>
          <w:rFonts w:asciiTheme="minorEastAsia" w:hAnsiTheme="minorEastAsia" w:eastAsiaTheme="minorEastAsia"/>
          <w:szCs w:val="21"/>
        </w:rPr>
      </w:pPr>
      <w:r>
        <w:rPr>
          <w:rFonts w:hint="eastAsia" w:asciiTheme="minorEastAsia" w:hAnsiTheme="minorEastAsia" w:eastAsiaTheme="minorEastAsia"/>
          <w:szCs w:val="21"/>
        </w:rPr>
        <w:t>（4）由于发包人原因造成的发包人自身人员的人身伤害以及财产损失。</w:t>
      </w:r>
    </w:p>
    <w:p w14:paraId="65663E59">
      <w:pPr>
        <w:rPr>
          <w:rFonts w:asciiTheme="minorEastAsia" w:hAnsiTheme="minorEastAsia" w:eastAsiaTheme="minorEastAsia"/>
          <w:szCs w:val="21"/>
        </w:rPr>
      </w:pPr>
      <w:r>
        <w:rPr>
          <w:rFonts w:hint="eastAsia" w:asciiTheme="minorEastAsia" w:hAnsiTheme="minorEastAsia" w:eastAsiaTheme="minorEastAsia"/>
          <w:szCs w:val="21"/>
        </w:rPr>
        <w:t>6.1.9.2 承包人的安全责任</w:t>
      </w:r>
    </w:p>
    <w:p w14:paraId="4CD48E21">
      <w:pPr>
        <w:rPr>
          <w:rFonts w:asciiTheme="minorEastAsia" w:hAnsiTheme="minorEastAsia" w:eastAsiaTheme="minorEastAsia"/>
          <w:szCs w:val="21"/>
        </w:rPr>
      </w:pPr>
      <w:r>
        <w:rPr>
          <w:rFonts w:hint="eastAsia" w:asciiTheme="minorEastAsia" w:hAnsiTheme="minorEastAsia" w:eastAsiaTheme="minorEastAsia"/>
          <w:szCs w:val="21"/>
        </w:rPr>
        <w:t>由于承包人原因在施工场地内及其毗邻地带造成的发包人、监理人以及第三者人员伤亡和财产损失，由承包人负责赔偿。</w:t>
      </w:r>
    </w:p>
    <w:p w14:paraId="0E5FAF8D">
      <w:pPr>
        <w:rPr>
          <w:rFonts w:asciiTheme="minorEastAsia" w:hAnsiTheme="minorEastAsia" w:eastAsiaTheme="minorEastAsia"/>
          <w:szCs w:val="21"/>
        </w:rPr>
      </w:pPr>
      <w:r>
        <w:rPr>
          <w:rFonts w:hint="eastAsia" w:asciiTheme="minorEastAsia" w:hAnsiTheme="minorEastAsia" w:eastAsiaTheme="minorEastAsia"/>
          <w:szCs w:val="21"/>
        </w:rPr>
        <w:t>6.2 职业健康</w:t>
      </w:r>
    </w:p>
    <w:p w14:paraId="102FA193">
      <w:pPr>
        <w:rPr>
          <w:rFonts w:asciiTheme="minorEastAsia" w:hAnsiTheme="minorEastAsia" w:eastAsiaTheme="minorEastAsia"/>
          <w:szCs w:val="21"/>
        </w:rPr>
      </w:pPr>
      <w:r>
        <w:rPr>
          <w:rFonts w:hint="eastAsia" w:asciiTheme="minorEastAsia" w:hAnsiTheme="minorEastAsia" w:eastAsiaTheme="minorEastAsia"/>
          <w:szCs w:val="21"/>
        </w:rPr>
        <w:t>6.2.1 劳动保护</w:t>
      </w:r>
    </w:p>
    <w:p w14:paraId="5A875D59">
      <w:pPr>
        <w:rPr>
          <w:rFonts w:asciiTheme="minorEastAsia" w:hAnsiTheme="minorEastAsia" w:eastAsiaTheme="minorEastAsia"/>
          <w:szCs w:val="21"/>
        </w:rPr>
      </w:pPr>
      <w:r>
        <w:rPr>
          <w:rFonts w:hint="eastAsia" w:asciiTheme="minorEastAsia" w:hAnsiTheme="minorEastAsia" w:eastAsiaTheme="minorEastAsia"/>
          <w:szCs w:val="21"/>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3AF8F8BC">
      <w:pPr>
        <w:rPr>
          <w:rFonts w:asciiTheme="minorEastAsia" w:hAnsiTheme="minorEastAsia" w:eastAsiaTheme="minorEastAsia"/>
          <w:szCs w:val="21"/>
        </w:rPr>
      </w:pPr>
      <w:r>
        <w:rPr>
          <w:rFonts w:hint="eastAsia" w:asciiTheme="minorEastAsia" w:hAnsiTheme="minorEastAsia" w:eastAsiaTheme="minorEastAsia"/>
          <w:szCs w:val="21"/>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2278ED74">
      <w:pPr>
        <w:rPr>
          <w:rFonts w:asciiTheme="minorEastAsia" w:hAnsiTheme="minorEastAsia" w:eastAsiaTheme="minorEastAsia"/>
          <w:szCs w:val="21"/>
        </w:rPr>
      </w:pPr>
      <w:r>
        <w:rPr>
          <w:rFonts w:hint="eastAsia" w:asciiTheme="minorEastAsia" w:hAnsiTheme="minorEastAsia" w:eastAsiaTheme="minorEastAsia"/>
          <w:szCs w:val="21"/>
        </w:rPr>
        <w:t>承包人应按法律规定安排工作时间，保证其雇佣人员享有休息和休假的权利。因工程施工的特殊需要占用休假日或延长工作时间的，应不超过法律规定的限度，并按法律规定给予补休或付酬。</w:t>
      </w:r>
    </w:p>
    <w:p w14:paraId="0D6A0D4E">
      <w:pPr>
        <w:rPr>
          <w:rFonts w:asciiTheme="minorEastAsia" w:hAnsiTheme="minorEastAsia" w:eastAsiaTheme="minorEastAsia"/>
          <w:szCs w:val="21"/>
        </w:rPr>
      </w:pPr>
      <w:r>
        <w:rPr>
          <w:rFonts w:hint="eastAsia" w:asciiTheme="minorEastAsia" w:hAnsiTheme="minorEastAsia" w:eastAsiaTheme="minorEastAsia"/>
          <w:szCs w:val="21"/>
        </w:rPr>
        <w:t>6.2.2 生活条件</w:t>
      </w:r>
    </w:p>
    <w:p w14:paraId="48829B85">
      <w:pPr>
        <w:rPr>
          <w:rFonts w:asciiTheme="minorEastAsia" w:hAnsiTheme="minorEastAsia" w:eastAsiaTheme="minorEastAsia"/>
          <w:szCs w:val="21"/>
        </w:rPr>
      </w:pPr>
      <w:r>
        <w:rPr>
          <w:rFonts w:hint="eastAsia" w:asciiTheme="minorEastAsia" w:hAnsiTheme="minorEastAsia" w:eastAsiaTheme="minorEastAsia"/>
          <w:szCs w:val="21"/>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14:paraId="7C9ACAA1">
      <w:pPr>
        <w:rPr>
          <w:rFonts w:asciiTheme="minorEastAsia" w:hAnsiTheme="minorEastAsia" w:eastAsiaTheme="minorEastAsia"/>
          <w:szCs w:val="21"/>
        </w:rPr>
      </w:pPr>
      <w:r>
        <w:rPr>
          <w:rFonts w:hint="eastAsia" w:asciiTheme="minorEastAsia" w:hAnsiTheme="minorEastAsia" w:eastAsiaTheme="minorEastAsia"/>
          <w:szCs w:val="21"/>
        </w:rPr>
        <w:t>6.3 环境保护</w:t>
      </w:r>
    </w:p>
    <w:p w14:paraId="2EBF71A6">
      <w:pPr>
        <w:rPr>
          <w:rFonts w:asciiTheme="minorEastAsia" w:hAnsiTheme="minorEastAsia" w:eastAsiaTheme="minorEastAsia"/>
          <w:szCs w:val="21"/>
        </w:rPr>
      </w:pPr>
      <w:r>
        <w:rPr>
          <w:rFonts w:hint="eastAsia" w:asciiTheme="minorEastAsia" w:hAnsiTheme="minorEastAsia" w:eastAsiaTheme="minorEastAsia"/>
          <w:szCs w:val="21"/>
        </w:rPr>
        <w:t>承包人应在施工组织设计中列明环境保护的具体措施。在合同履行期间，承包人应采取合理措施保护施工现场环境。对施工作业过程中可能引起的大气、水、噪音以及固体废物污染采取具体可行的防范措施。</w:t>
      </w:r>
    </w:p>
    <w:p w14:paraId="3EBE0168">
      <w:pPr>
        <w:rPr>
          <w:rFonts w:asciiTheme="minorEastAsia" w:hAnsiTheme="minorEastAsia" w:eastAsiaTheme="minorEastAsia"/>
          <w:szCs w:val="21"/>
        </w:rPr>
      </w:pPr>
      <w:r>
        <w:rPr>
          <w:rFonts w:hint="eastAsia" w:asciiTheme="minorEastAsia" w:hAnsiTheme="minorEastAsia" w:eastAsiaTheme="minorEastAsia"/>
          <w:szCs w:val="21"/>
        </w:rPr>
        <w:t>承包人应当承担因其原因引起的环境污染侵权损害赔偿责任，因上述环境污染引起纠纷而导致暂停施工的，由此增加的费用和（或）延误的工期由承包人承担。</w:t>
      </w:r>
    </w:p>
    <w:p w14:paraId="1D196945">
      <w:pPr>
        <w:rPr>
          <w:rFonts w:asciiTheme="minorEastAsia" w:hAnsiTheme="minorEastAsia" w:eastAsiaTheme="minorEastAsia"/>
          <w:b/>
          <w:szCs w:val="21"/>
        </w:rPr>
      </w:pPr>
      <w:r>
        <w:rPr>
          <w:rFonts w:hint="eastAsia" w:asciiTheme="minorEastAsia" w:hAnsiTheme="minorEastAsia" w:eastAsiaTheme="minorEastAsia"/>
          <w:b/>
          <w:szCs w:val="21"/>
        </w:rPr>
        <w:t>7. 工期和进度</w:t>
      </w:r>
    </w:p>
    <w:p w14:paraId="0A833F1F">
      <w:pPr>
        <w:rPr>
          <w:rFonts w:asciiTheme="minorEastAsia" w:hAnsiTheme="minorEastAsia" w:eastAsiaTheme="minorEastAsia"/>
          <w:szCs w:val="21"/>
        </w:rPr>
      </w:pPr>
      <w:r>
        <w:rPr>
          <w:rFonts w:hint="eastAsia" w:asciiTheme="minorEastAsia" w:hAnsiTheme="minorEastAsia" w:eastAsiaTheme="minorEastAsia"/>
          <w:szCs w:val="21"/>
        </w:rPr>
        <w:t>7.1施工组织设计</w:t>
      </w:r>
    </w:p>
    <w:p w14:paraId="79B7F9A7">
      <w:pPr>
        <w:rPr>
          <w:rFonts w:asciiTheme="minorEastAsia" w:hAnsiTheme="minorEastAsia" w:eastAsiaTheme="minorEastAsia"/>
          <w:szCs w:val="21"/>
        </w:rPr>
      </w:pPr>
      <w:r>
        <w:rPr>
          <w:rFonts w:hint="eastAsia" w:asciiTheme="minorEastAsia" w:hAnsiTheme="minorEastAsia" w:eastAsiaTheme="minorEastAsia"/>
          <w:szCs w:val="21"/>
        </w:rPr>
        <w:t>7.1.1 施工组织设计的内容</w:t>
      </w:r>
    </w:p>
    <w:p w14:paraId="65F898F7">
      <w:pPr>
        <w:rPr>
          <w:rFonts w:asciiTheme="minorEastAsia" w:hAnsiTheme="minorEastAsia" w:eastAsiaTheme="minorEastAsia"/>
          <w:szCs w:val="21"/>
        </w:rPr>
      </w:pPr>
      <w:r>
        <w:rPr>
          <w:rFonts w:hint="eastAsia" w:asciiTheme="minorEastAsia" w:hAnsiTheme="minorEastAsia" w:eastAsiaTheme="minorEastAsia"/>
          <w:szCs w:val="21"/>
        </w:rPr>
        <w:t>施工组织设计应包含以下内容：</w:t>
      </w:r>
    </w:p>
    <w:p w14:paraId="667B0E45">
      <w:pPr>
        <w:rPr>
          <w:rFonts w:asciiTheme="minorEastAsia" w:hAnsiTheme="minorEastAsia" w:eastAsiaTheme="minorEastAsia"/>
          <w:szCs w:val="21"/>
        </w:rPr>
      </w:pPr>
      <w:r>
        <w:rPr>
          <w:rFonts w:hint="eastAsia" w:asciiTheme="minorEastAsia" w:hAnsiTheme="minorEastAsia" w:eastAsiaTheme="minorEastAsia"/>
          <w:szCs w:val="21"/>
        </w:rPr>
        <w:t xml:space="preserve">（1）施工方案； </w:t>
      </w:r>
    </w:p>
    <w:p w14:paraId="437C832A">
      <w:pPr>
        <w:rPr>
          <w:rFonts w:asciiTheme="minorEastAsia" w:hAnsiTheme="minorEastAsia" w:eastAsiaTheme="minorEastAsia"/>
          <w:szCs w:val="21"/>
        </w:rPr>
      </w:pPr>
      <w:r>
        <w:rPr>
          <w:rFonts w:hint="eastAsia" w:asciiTheme="minorEastAsia" w:hAnsiTheme="minorEastAsia" w:eastAsiaTheme="minorEastAsia"/>
          <w:szCs w:val="21"/>
        </w:rPr>
        <w:t>（2）施工现场平面布置图；</w:t>
      </w:r>
    </w:p>
    <w:p w14:paraId="33EF1971">
      <w:pPr>
        <w:rPr>
          <w:rFonts w:asciiTheme="minorEastAsia" w:hAnsiTheme="minorEastAsia" w:eastAsiaTheme="minorEastAsia"/>
          <w:szCs w:val="21"/>
        </w:rPr>
      </w:pPr>
      <w:r>
        <w:rPr>
          <w:rFonts w:hint="eastAsia" w:asciiTheme="minorEastAsia" w:hAnsiTheme="minorEastAsia" w:eastAsiaTheme="minorEastAsia"/>
          <w:szCs w:val="21"/>
        </w:rPr>
        <w:t xml:space="preserve">（3）施工进度计划和保证措施； </w:t>
      </w:r>
    </w:p>
    <w:p w14:paraId="7A753D64">
      <w:pPr>
        <w:rPr>
          <w:rFonts w:asciiTheme="minorEastAsia" w:hAnsiTheme="minorEastAsia" w:eastAsiaTheme="minorEastAsia"/>
          <w:szCs w:val="21"/>
        </w:rPr>
      </w:pPr>
      <w:r>
        <w:rPr>
          <w:rFonts w:hint="eastAsia" w:asciiTheme="minorEastAsia" w:hAnsiTheme="minorEastAsia" w:eastAsiaTheme="minorEastAsia"/>
          <w:szCs w:val="21"/>
        </w:rPr>
        <w:t>（4）劳动力及材料供应计划；</w:t>
      </w:r>
    </w:p>
    <w:p w14:paraId="66B86242">
      <w:pPr>
        <w:rPr>
          <w:rFonts w:asciiTheme="minorEastAsia" w:hAnsiTheme="minorEastAsia" w:eastAsiaTheme="minorEastAsia"/>
          <w:szCs w:val="21"/>
        </w:rPr>
      </w:pPr>
      <w:r>
        <w:rPr>
          <w:rFonts w:hint="eastAsia" w:asciiTheme="minorEastAsia" w:hAnsiTheme="minorEastAsia" w:eastAsiaTheme="minorEastAsia"/>
          <w:szCs w:val="21"/>
        </w:rPr>
        <w:t>（5）施工机械设备的选用；</w:t>
      </w:r>
    </w:p>
    <w:p w14:paraId="6CA7B702">
      <w:pPr>
        <w:rPr>
          <w:rFonts w:asciiTheme="minorEastAsia" w:hAnsiTheme="minorEastAsia" w:eastAsiaTheme="minorEastAsia"/>
          <w:szCs w:val="21"/>
        </w:rPr>
      </w:pPr>
      <w:r>
        <w:rPr>
          <w:rFonts w:hint="eastAsia" w:asciiTheme="minorEastAsia" w:hAnsiTheme="minorEastAsia" w:eastAsiaTheme="minorEastAsia"/>
          <w:szCs w:val="21"/>
        </w:rPr>
        <w:t>（6）质量保证体系及措施；</w:t>
      </w:r>
    </w:p>
    <w:p w14:paraId="45ED0200">
      <w:pPr>
        <w:rPr>
          <w:rFonts w:asciiTheme="minorEastAsia" w:hAnsiTheme="minorEastAsia" w:eastAsiaTheme="minorEastAsia"/>
          <w:szCs w:val="21"/>
        </w:rPr>
      </w:pPr>
      <w:r>
        <w:rPr>
          <w:rFonts w:hint="eastAsia" w:asciiTheme="minorEastAsia" w:hAnsiTheme="minorEastAsia" w:eastAsiaTheme="minorEastAsia"/>
          <w:szCs w:val="21"/>
        </w:rPr>
        <w:t>（7）安全生产、文明施工措施；</w:t>
      </w:r>
    </w:p>
    <w:p w14:paraId="6894209A">
      <w:pPr>
        <w:rPr>
          <w:rFonts w:asciiTheme="minorEastAsia" w:hAnsiTheme="minorEastAsia" w:eastAsiaTheme="minorEastAsia"/>
          <w:szCs w:val="21"/>
        </w:rPr>
      </w:pPr>
      <w:r>
        <w:rPr>
          <w:rFonts w:hint="eastAsia" w:asciiTheme="minorEastAsia" w:hAnsiTheme="minorEastAsia" w:eastAsiaTheme="minorEastAsia"/>
          <w:szCs w:val="21"/>
        </w:rPr>
        <w:t>（8）环境保护、成本控制措施；</w:t>
      </w:r>
    </w:p>
    <w:p w14:paraId="2EE77F9B">
      <w:pPr>
        <w:rPr>
          <w:rFonts w:asciiTheme="minorEastAsia" w:hAnsiTheme="minorEastAsia" w:eastAsiaTheme="minorEastAsia"/>
          <w:szCs w:val="21"/>
        </w:rPr>
      </w:pPr>
      <w:r>
        <w:rPr>
          <w:rFonts w:hint="eastAsia" w:asciiTheme="minorEastAsia" w:hAnsiTheme="minorEastAsia" w:eastAsiaTheme="minorEastAsia"/>
          <w:szCs w:val="21"/>
        </w:rPr>
        <w:t>（9）合同当事人约定的其他内容。</w:t>
      </w:r>
    </w:p>
    <w:p w14:paraId="2A2A9AB9">
      <w:pPr>
        <w:rPr>
          <w:rFonts w:asciiTheme="minorEastAsia" w:hAnsiTheme="minorEastAsia" w:eastAsiaTheme="minorEastAsia"/>
          <w:szCs w:val="21"/>
        </w:rPr>
      </w:pPr>
      <w:r>
        <w:rPr>
          <w:rFonts w:hint="eastAsia" w:asciiTheme="minorEastAsia" w:hAnsiTheme="minorEastAsia" w:eastAsiaTheme="minorEastAsia"/>
          <w:szCs w:val="21"/>
        </w:rPr>
        <w:t>7.1.2 施工组织设计的提交和修改</w:t>
      </w:r>
    </w:p>
    <w:p w14:paraId="00A62C35">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承包人应在合同签订后14天内，但至迟不得晚于第7.3.2项〔开工通知〕载明的开工日期前7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w:t>
      </w:r>
    </w:p>
    <w:p w14:paraId="1E66D5FD">
      <w:pPr>
        <w:rPr>
          <w:rFonts w:asciiTheme="minorEastAsia" w:hAnsiTheme="minorEastAsia" w:eastAsiaTheme="minorEastAsia"/>
          <w:szCs w:val="21"/>
        </w:rPr>
      </w:pPr>
      <w:r>
        <w:rPr>
          <w:rFonts w:hint="eastAsia" w:asciiTheme="minorEastAsia" w:hAnsiTheme="minorEastAsia" w:eastAsiaTheme="minorEastAsia"/>
          <w:szCs w:val="21"/>
        </w:rPr>
        <w:t>施工进度计划的编制和修改按照第7.2款〔施工进度计划〕执行。</w:t>
      </w:r>
    </w:p>
    <w:p w14:paraId="30B246E7">
      <w:pPr>
        <w:rPr>
          <w:rFonts w:asciiTheme="minorEastAsia" w:hAnsiTheme="minorEastAsia" w:eastAsiaTheme="minorEastAsia"/>
          <w:szCs w:val="21"/>
        </w:rPr>
      </w:pPr>
      <w:r>
        <w:rPr>
          <w:rFonts w:hint="eastAsia" w:asciiTheme="minorEastAsia" w:hAnsiTheme="minorEastAsia" w:eastAsiaTheme="minorEastAsia"/>
          <w:szCs w:val="21"/>
        </w:rPr>
        <w:t>7.2 施工进度计划</w:t>
      </w:r>
    </w:p>
    <w:p w14:paraId="15C6C884">
      <w:pPr>
        <w:rPr>
          <w:rFonts w:asciiTheme="minorEastAsia" w:hAnsiTheme="minorEastAsia" w:eastAsiaTheme="minorEastAsia"/>
          <w:szCs w:val="21"/>
        </w:rPr>
      </w:pPr>
      <w:r>
        <w:rPr>
          <w:rFonts w:hint="eastAsia" w:asciiTheme="minorEastAsia" w:hAnsiTheme="minorEastAsia" w:eastAsiaTheme="minorEastAsia"/>
          <w:szCs w:val="21"/>
        </w:rPr>
        <w:t>7.2.1 施工进度计划的编制</w:t>
      </w:r>
    </w:p>
    <w:p w14:paraId="69CD18E1">
      <w:pPr>
        <w:rPr>
          <w:rFonts w:asciiTheme="minorEastAsia" w:hAnsiTheme="minorEastAsia" w:eastAsiaTheme="minorEastAsia"/>
          <w:szCs w:val="21"/>
        </w:rPr>
      </w:pPr>
      <w:r>
        <w:rPr>
          <w:rFonts w:hint="eastAsia" w:asciiTheme="minorEastAsia" w:hAnsiTheme="minorEastAsia" w:eastAsiaTheme="minorEastAsia"/>
          <w:szCs w:val="21"/>
        </w:rPr>
        <w:t>承包人应按照第7.1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55C07D44">
      <w:pPr>
        <w:rPr>
          <w:rFonts w:asciiTheme="minorEastAsia" w:hAnsiTheme="minorEastAsia" w:eastAsiaTheme="minorEastAsia"/>
          <w:szCs w:val="21"/>
        </w:rPr>
      </w:pPr>
      <w:r>
        <w:rPr>
          <w:rFonts w:hint="eastAsia" w:asciiTheme="minorEastAsia" w:hAnsiTheme="minorEastAsia" w:eastAsiaTheme="minorEastAsia"/>
          <w:szCs w:val="21"/>
        </w:rPr>
        <w:t>7.2.2 施工进度计划的修订</w:t>
      </w:r>
    </w:p>
    <w:p w14:paraId="4C46ADB0">
      <w:pPr>
        <w:rPr>
          <w:rFonts w:asciiTheme="minorEastAsia" w:hAnsiTheme="minorEastAsia" w:eastAsiaTheme="minorEastAsia"/>
          <w:szCs w:val="21"/>
        </w:rPr>
      </w:pPr>
      <w:r>
        <w:rPr>
          <w:rFonts w:hint="eastAsia" w:asciiTheme="minorEastAsia" w:hAnsiTheme="minorEastAsia" w:eastAsiaTheme="minorEastAsia"/>
          <w:szCs w:val="21"/>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14:paraId="4C77D039">
      <w:pPr>
        <w:rPr>
          <w:rFonts w:asciiTheme="minorEastAsia" w:hAnsiTheme="minorEastAsia" w:eastAsiaTheme="minorEastAsia"/>
          <w:szCs w:val="21"/>
        </w:rPr>
      </w:pPr>
      <w:r>
        <w:rPr>
          <w:rFonts w:hint="eastAsia" w:asciiTheme="minorEastAsia" w:hAnsiTheme="minorEastAsia" w:eastAsiaTheme="minorEastAsia"/>
          <w:szCs w:val="21"/>
        </w:rPr>
        <w:t>7.3 开工</w:t>
      </w:r>
    </w:p>
    <w:p w14:paraId="44AACD68">
      <w:pPr>
        <w:rPr>
          <w:rFonts w:asciiTheme="minorEastAsia" w:hAnsiTheme="minorEastAsia" w:eastAsiaTheme="minorEastAsia"/>
          <w:szCs w:val="21"/>
        </w:rPr>
      </w:pPr>
      <w:r>
        <w:rPr>
          <w:rFonts w:hint="eastAsia" w:asciiTheme="minorEastAsia" w:hAnsiTheme="minorEastAsia" w:eastAsiaTheme="minorEastAsia"/>
          <w:szCs w:val="21"/>
        </w:rPr>
        <w:t>7.3.1 开工准备</w:t>
      </w:r>
    </w:p>
    <w:p w14:paraId="1654A2F1">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承包人应按照第7.1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697D5B24">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除专用合同条款另有约定外，合同当事人应按约定完成开工准备工作。</w:t>
      </w:r>
    </w:p>
    <w:p w14:paraId="05BA6A74">
      <w:pPr>
        <w:rPr>
          <w:rFonts w:asciiTheme="minorEastAsia" w:hAnsiTheme="minorEastAsia" w:eastAsiaTheme="minorEastAsia"/>
          <w:szCs w:val="21"/>
        </w:rPr>
      </w:pPr>
      <w:r>
        <w:rPr>
          <w:rFonts w:hint="eastAsia" w:asciiTheme="minorEastAsia" w:hAnsiTheme="minorEastAsia" w:eastAsiaTheme="minorEastAsia"/>
          <w:szCs w:val="21"/>
        </w:rPr>
        <w:t>7.3.2 开工通知</w:t>
      </w:r>
    </w:p>
    <w:p w14:paraId="1A21B973">
      <w:pPr>
        <w:rPr>
          <w:rFonts w:asciiTheme="minorEastAsia" w:hAnsiTheme="minorEastAsia" w:eastAsiaTheme="minorEastAsia"/>
          <w:szCs w:val="21"/>
        </w:rPr>
      </w:pPr>
      <w:r>
        <w:rPr>
          <w:rFonts w:hint="eastAsia" w:asciiTheme="minorEastAsia" w:hAnsiTheme="minorEastAsia" w:eastAsiaTheme="minorEastAsia"/>
          <w:szCs w:val="21"/>
        </w:rPr>
        <w:t>发包人应按照法律规定获得工程施工所需的许可。经发包人同意后，监理人发出的开工通知应符合法律规定。监理人应在计划开工日期7天前向承包人发出开工通知，工期自开工通知中载明的开工日期起算。</w:t>
      </w:r>
    </w:p>
    <w:p w14:paraId="62FE457E">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因发包人原因造成监理人未能在计划开工日期之日起90天内发出开工通知的，承包人有权提出价格调整要求，或者解除合同。发包人应当承担由此增加的费用和（或）延误的工期，并向承包人支付合理利润。</w:t>
      </w:r>
    </w:p>
    <w:p w14:paraId="2117C067">
      <w:pPr>
        <w:rPr>
          <w:rFonts w:asciiTheme="minorEastAsia" w:hAnsiTheme="minorEastAsia" w:eastAsiaTheme="minorEastAsia"/>
          <w:szCs w:val="21"/>
        </w:rPr>
      </w:pPr>
      <w:r>
        <w:rPr>
          <w:rFonts w:hint="eastAsia" w:asciiTheme="minorEastAsia" w:hAnsiTheme="minorEastAsia" w:eastAsiaTheme="minorEastAsia"/>
          <w:szCs w:val="21"/>
        </w:rPr>
        <w:t>7.4测量放线</w:t>
      </w:r>
    </w:p>
    <w:p w14:paraId="51C547D4">
      <w:pPr>
        <w:rPr>
          <w:rFonts w:asciiTheme="minorEastAsia" w:hAnsiTheme="minorEastAsia" w:eastAsiaTheme="minorEastAsia"/>
          <w:szCs w:val="21"/>
        </w:rPr>
      </w:pPr>
      <w:r>
        <w:rPr>
          <w:rFonts w:hint="eastAsia" w:asciiTheme="minorEastAsia" w:hAnsiTheme="minorEastAsia" w:eastAsiaTheme="minorEastAsia"/>
          <w:szCs w:val="21"/>
        </w:rPr>
        <w:t>7.4.1 除专用合同条款另有约定外，发包人应在至迟不得晚于第7.3.2项〔开工通知〕载明的开工日期前7天通过监理人向承包人提供测量基准点、基准线和水准点及其书面资料。发包人应对其提供的测量基准点、基准线和水准点及其书面资料的真实性、准确性和完整性负责。</w:t>
      </w:r>
    </w:p>
    <w:p w14:paraId="1CDAF667">
      <w:pPr>
        <w:rPr>
          <w:rFonts w:asciiTheme="minorEastAsia" w:hAnsiTheme="minorEastAsia" w:eastAsiaTheme="minorEastAsia"/>
          <w:szCs w:val="21"/>
        </w:rPr>
      </w:pPr>
      <w:r>
        <w:rPr>
          <w:rFonts w:hint="eastAsia" w:asciiTheme="minorEastAsia" w:hAnsiTheme="minorEastAsia" w:eastAsiaTheme="minorEastAsia"/>
          <w:szCs w:val="21"/>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2850E803">
      <w:pPr>
        <w:rPr>
          <w:rFonts w:asciiTheme="minorEastAsia" w:hAnsiTheme="minorEastAsia" w:eastAsiaTheme="minorEastAsia"/>
          <w:szCs w:val="21"/>
        </w:rPr>
      </w:pPr>
      <w:r>
        <w:rPr>
          <w:rFonts w:hint="eastAsia" w:asciiTheme="minorEastAsia" w:hAnsiTheme="minorEastAsia" w:eastAsiaTheme="minorEastAsia"/>
          <w:szCs w:val="21"/>
        </w:rPr>
        <w:t>7.4.2 承包人负责施工过程中的全部施工测量放线工作，并配置具有相应资质的人员、合格的仪器、设备和其他物品。承包人应矫正工程的位置、标高、尺寸或准线中出现的任何差错，并对工程各部分的定位负责。</w:t>
      </w:r>
    </w:p>
    <w:p w14:paraId="7B90575B">
      <w:pPr>
        <w:rPr>
          <w:rFonts w:asciiTheme="minorEastAsia" w:hAnsiTheme="minorEastAsia" w:eastAsiaTheme="minorEastAsia"/>
          <w:szCs w:val="21"/>
        </w:rPr>
      </w:pPr>
      <w:r>
        <w:rPr>
          <w:rFonts w:hint="eastAsia" w:asciiTheme="minorEastAsia" w:hAnsiTheme="minorEastAsia" w:eastAsiaTheme="minorEastAsia"/>
          <w:szCs w:val="21"/>
        </w:rPr>
        <w:t>施工过程中对施工现场内水准点等测量标志物的保护工作由承包人负责。</w:t>
      </w:r>
    </w:p>
    <w:p w14:paraId="1F67E345">
      <w:pPr>
        <w:rPr>
          <w:rFonts w:asciiTheme="minorEastAsia" w:hAnsiTheme="minorEastAsia" w:eastAsiaTheme="minorEastAsia"/>
          <w:szCs w:val="21"/>
        </w:rPr>
      </w:pPr>
      <w:r>
        <w:rPr>
          <w:rFonts w:hint="eastAsia" w:asciiTheme="minorEastAsia" w:hAnsiTheme="minorEastAsia" w:eastAsiaTheme="minorEastAsia"/>
          <w:szCs w:val="21"/>
        </w:rPr>
        <w:t>7.5 工期延误</w:t>
      </w:r>
    </w:p>
    <w:p w14:paraId="052AE7B6">
      <w:pPr>
        <w:rPr>
          <w:rFonts w:asciiTheme="minorEastAsia" w:hAnsiTheme="minorEastAsia" w:eastAsiaTheme="minorEastAsia"/>
          <w:szCs w:val="21"/>
        </w:rPr>
      </w:pPr>
      <w:r>
        <w:rPr>
          <w:rFonts w:hint="eastAsia" w:asciiTheme="minorEastAsia" w:hAnsiTheme="minorEastAsia" w:eastAsiaTheme="minorEastAsia"/>
          <w:szCs w:val="21"/>
        </w:rPr>
        <w:t>7.5.1 因发包人原因导致工期延误</w:t>
      </w:r>
    </w:p>
    <w:p w14:paraId="520815E5">
      <w:pPr>
        <w:rPr>
          <w:rFonts w:asciiTheme="minorEastAsia" w:hAnsiTheme="minorEastAsia" w:eastAsiaTheme="minorEastAsia"/>
          <w:szCs w:val="21"/>
        </w:rPr>
      </w:pPr>
      <w:r>
        <w:rPr>
          <w:rFonts w:hint="eastAsia" w:asciiTheme="minorEastAsia" w:hAnsiTheme="minorEastAsia" w:eastAsiaTheme="minorEastAsia"/>
          <w:szCs w:val="21"/>
        </w:rPr>
        <w:t xml:space="preserve">在合同履行过程中，因下列情况导致工期延误和（或）费用增加的，由发包人承担由此延误的工期和（或）增加的费用，且发包人应支付承包人合理的利润： </w:t>
      </w:r>
    </w:p>
    <w:p w14:paraId="454381F8">
      <w:pPr>
        <w:rPr>
          <w:rFonts w:asciiTheme="minorEastAsia" w:hAnsiTheme="minorEastAsia" w:eastAsiaTheme="minorEastAsia"/>
          <w:szCs w:val="21"/>
        </w:rPr>
      </w:pPr>
      <w:r>
        <w:rPr>
          <w:rFonts w:hint="eastAsia" w:asciiTheme="minorEastAsia" w:hAnsiTheme="minorEastAsia" w:eastAsiaTheme="minorEastAsia"/>
          <w:szCs w:val="21"/>
        </w:rPr>
        <w:t>（1）发包人未能按合同约定提供图纸或所提供图纸不符合合同约定的；</w:t>
      </w:r>
    </w:p>
    <w:p w14:paraId="21C76214">
      <w:pPr>
        <w:rPr>
          <w:rFonts w:asciiTheme="minorEastAsia" w:hAnsiTheme="minorEastAsia" w:eastAsiaTheme="minorEastAsia"/>
          <w:szCs w:val="21"/>
        </w:rPr>
      </w:pPr>
      <w:r>
        <w:rPr>
          <w:rFonts w:hint="eastAsia" w:asciiTheme="minorEastAsia" w:hAnsiTheme="minorEastAsia" w:eastAsiaTheme="minorEastAsia"/>
          <w:szCs w:val="21"/>
        </w:rPr>
        <w:t>（2）发包人未能按合同约定提供施工现场、施工条件、基础资料、许可、批准等开工条件的；</w:t>
      </w:r>
    </w:p>
    <w:p w14:paraId="1050D4C4">
      <w:pPr>
        <w:rPr>
          <w:rFonts w:asciiTheme="minorEastAsia" w:hAnsiTheme="minorEastAsia" w:eastAsiaTheme="minorEastAsia"/>
          <w:szCs w:val="21"/>
        </w:rPr>
      </w:pPr>
      <w:r>
        <w:rPr>
          <w:rFonts w:hint="eastAsia" w:asciiTheme="minorEastAsia" w:hAnsiTheme="minorEastAsia" w:eastAsiaTheme="minorEastAsia"/>
          <w:szCs w:val="21"/>
        </w:rPr>
        <w:t>（3）发包人提供的测量基准点、基准线和水准点及其书面资料存在错误或疏漏的；</w:t>
      </w:r>
    </w:p>
    <w:p w14:paraId="7614D160">
      <w:pPr>
        <w:rPr>
          <w:rFonts w:asciiTheme="minorEastAsia" w:hAnsiTheme="minorEastAsia" w:eastAsiaTheme="minorEastAsia"/>
          <w:szCs w:val="21"/>
        </w:rPr>
      </w:pPr>
      <w:r>
        <w:rPr>
          <w:rFonts w:hint="eastAsia" w:asciiTheme="minorEastAsia" w:hAnsiTheme="minorEastAsia" w:eastAsiaTheme="minorEastAsia"/>
          <w:szCs w:val="21"/>
        </w:rPr>
        <w:t>（4）发包人未能在计划开工日期之日起7天内同意下达开工通知的；</w:t>
      </w:r>
    </w:p>
    <w:p w14:paraId="32943889">
      <w:pPr>
        <w:rPr>
          <w:rFonts w:asciiTheme="minorEastAsia" w:hAnsiTheme="minorEastAsia" w:eastAsiaTheme="minorEastAsia"/>
          <w:szCs w:val="21"/>
        </w:rPr>
      </w:pPr>
      <w:r>
        <w:rPr>
          <w:rFonts w:hint="eastAsia" w:asciiTheme="minorEastAsia" w:hAnsiTheme="minorEastAsia" w:eastAsiaTheme="minorEastAsia"/>
          <w:szCs w:val="21"/>
        </w:rPr>
        <w:t>（5）发包人未能按合同约定日期支付工程预付款、进度款或竣工结算款的；</w:t>
      </w:r>
    </w:p>
    <w:p w14:paraId="579E7A5F">
      <w:pPr>
        <w:rPr>
          <w:rFonts w:asciiTheme="minorEastAsia" w:hAnsiTheme="minorEastAsia" w:eastAsiaTheme="minorEastAsia"/>
          <w:szCs w:val="21"/>
        </w:rPr>
      </w:pPr>
      <w:r>
        <w:rPr>
          <w:rFonts w:hint="eastAsia" w:asciiTheme="minorEastAsia" w:hAnsiTheme="minorEastAsia" w:eastAsiaTheme="minorEastAsia"/>
          <w:szCs w:val="21"/>
        </w:rPr>
        <w:t>（6）监理人未按合同约定发出指示、批准等文件的；</w:t>
      </w:r>
    </w:p>
    <w:p w14:paraId="629D122E">
      <w:pPr>
        <w:rPr>
          <w:rFonts w:asciiTheme="minorEastAsia" w:hAnsiTheme="minorEastAsia" w:eastAsiaTheme="minorEastAsia"/>
          <w:szCs w:val="21"/>
        </w:rPr>
      </w:pPr>
      <w:r>
        <w:rPr>
          <w:rFonts w:hint="eastAsia" w:asciiTheme="minorEastAsia" w:hAnsiTheme="minorEastAsia" w:eastAsiaTheme="minorEastAsia"/>
          <w:szCs w:val="21"/>
        </w:rPr>
        <w:t>（7）专用合同条款中约定的其他情形。</w:t>
      </w:r>
    </w:p>
    <w:p w14:paraId="2EDCAF00">
      <w:pPr>
        <w:rPr>
          <w:rFonts w:asciiTheme="minorEastAsia" w:hAnsiTheme="minorEastAsia" w:eastAsiaTheme="minorEastAsia"/>
          <w:szCs w:val="21"/>
        </w:rPr>
      </w:pPr>
      <w:r>
        <w:rPr>
          <w:rFonts w:hint="eastAsia" w:asciiTheme="minorEastAsia" w:hAnsiTheme="minorEastAsia" w:eastAsiaTheme="minorEastAsia"/>
          <w:szCs w:val="21"/>
        </w:rPr>
        <w:t>因发包人原因未按计划开工日期开工的，发包人应按实际开工日期顺延竣工日期，确保实际工期不低于合同约定的工期总日历天数。因发包人原因导致工期延误需要修订施工进度计划的，按照第7.2.2项〔施工进度计划的修订〕执行。</w:t>
      </w:r>
    </w:p>
    <w:p w14:paraId="155C64C5">
      <w:pPr>
        <w:rPr>
          <w:rFonts w:asciiTheme="minorEastAsia" w:hAnsiTheme="minorEastAsia" w:eastAsiaTheme="minorEastAsia"/>
          <w:szCs w:val="21"/>
        </w:rPr>
      </w:pPr>
      <w:r>
        <w:rPr>
          <w:rFonts w:hint="eastAsia" w:asciiTheme="minorEastAsia" w:hAnsiTheme="minorEastAsia" w:eastAsiaTheme="minorEastAsia"/>
          <w:szCs w:val="21"/>
        </w:rPr>
        <w:t>7.5.2 因承包人原因导致工期延误</w:t>
      </w:r>
    </w:p>
    <w:p w14:paraId="0F851B82">
      <w:pPr>
        <w:rPr>
          <w:rFonts w:asciiTheme="minorEastAsia" w:hAnsiTheme="minorEastAsia" w:eastAsiaTheme="minorEastAsia"/>
          <w:szCs w:val="21"/>
        </w:rPr>
      </w:pPr>
      <w:r>
        <w:rPr>
          <w:rFonts w:hint="eastAsia" w:asciiTheme="minorEastAsia" w:hAnsiTheme="minorEastAsia" w:eastAsiaTheme="minorEastAsia"/>
          <w:szCs w:val="21"/>
        </w:rPr>
        <w:t>因承包人原因造成工期延误的，可以在专用合同条款中约定逾期竣工违约金的计算方法和逾期竣工违约金的上限。承包人支付逾期竣工违约金后，不免除承包人继续完成工程及修补缺陷的义务。</w:t>
      </w:r>
    </w:p>
    <w:p w14:paraId="0C017BB7">
      <w:pPr>
        <w:rPr>
          <w:rFonts w:asciiTheme="minorEastAsia" w:hAnsiTheme="minorEastAsia" w:eastAsiaTheme="minorEastAsia"/>
          <w:szCs w:val="21"/>
        </w:rPr>
      </w:pPr>
      <w:r>
        <w:rPr>
          <w:rFonts w:hint="eastAsia" w:asciiTheme="minorEastAsia" w:hAnsiTheme="minorEastAsia" w:eastAsiaTheme="minorEastAsia"/>
          <w:szCs w:val="21"/>
        </w:rPr>
        <w:t>7.6 不利物质条件</w:t>
      </w:r>
    </w:p>
    <w:p w14:paraId="2E6A3549">
      <w:pPr>
        <w:rPr>
          <w:rFonts w:asciiTheme="minorEastAsia" w:hAnsiTheme="minorEastAsia" w:eastAsiaTheme="minorEastAsia"/>
          <w:szCs w:val="21"/>
        </w:rPr>
      </w:pPr>
      <w:r>
        <w:rPr>
          <w:rFonts w:hint="eastAsia" w:asciiTheme="minorEastAsia" w:hAnsiTheme="minorEastAsia" w:eastAsiaTheme="minorEastAsia"/>
          <w:szCs w:val="21"/>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4411BF2A">
      <w:pPr>
        <w:rPr>
          <w:rFonts w:asciiTheme="minorEastAsia" w:hAnsiTheme="minorEastAsia" w:eastAsiaTheme="minorEastAsia"/>
          <w:szCs w:val="21"/>
        </w:rPr>
      </w:pPr>
      <w:r>
        <w:rPr>
          <w:rFonts w:hint="eastAsia" w:asciiTheme="minorEastAsia" w:hAnsiTheme="minorEastAsia" w:eastAsiaTheme="minorEastAsia"/>
          <w:szCs w:val="21"/>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变更〕约定执行。承包人因采取合理措施而增加的费用和（或）延误的工期由发包人承担。</w:t>
      </w:r>
    </w:p>
    <w:p w14:paraId="774BBE94">
      <w:pPr>
        <w:rPr>
          <w:rFonts w:asciiTheme="minorEastAsia" w:hAnsiTheme="minorEastAsia" w:eastAsiaTheme="minorEastAsia"/>
          <w:szCs w:val="21"/>
        </w:rPr>
      </w:pPr>
      <w:r>
        <w:rPr>
          <w:rFonts w:hint="eastAsia" w:asciiTheme="minorEastAsia" w:hAnsiTheme="minorEastAsia" w:eastAsiaTheme="minorEastAsia"/>
          <w:szCs w:val="21"/>
        </w:rPr>
        <w:t>7.7 异常恶劣的气候条件</w:t>
      </w:r>
    </w:p>
    <w:p w14:paraId="6945F83F">
      <w:pPr>
        <w:rPr>
          <w:rFonts w:asciiTheme="minorEastAsia" w:hAnsiTheme="minorEastAsia" w:eastAsiaTheme="minorEastAsia"/>
          <w:szCs w:val="21"/>
        </w:rPr>
      </w:pPr>
      <w:r>
        <w:rPr>
          <w:rFonts w:hint="eastAsia" w:asciiTheme="minorEastAsia" w:hAnsiTheme="minorEastAsia" w:eastAsiaTheme="minorEastAsia"/>
          <w:szCs w:val="21"/>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2E05B140">
      <w:pPr>
        <w:rPr>
          <w:rFonts w:asciiTheme="minorEastAsia" w:hAnsiTheme="minorEastAsia" w:eastAsiaTheme="minorEastAsia"/>
          <w:szCs w:val="21"/>
        </w:rPr>
      </w:pPr>
      <w:r>
        <w:rPr>
          <w:rFonts w:hint="eastAsia" w:asciiTheme="minorEastAsia" w:hAnsiTheme="minorEastAsia" w:eastAsiaTheme="minorEastAsia"/>
          <w:szCs w:val="21"/>
        </w:rPr>
        <w:t>承包人应采取克服异常恶劣的气候条件的合理措施继续施工，并及时通知发包人和监理人。监理人经发包人同意后应当及时发出指示，指示构成变更的，按第10条〔变更〕约定办理。承包人因采取合理措施而增加的费用和（或）延误的工期由发包人承担。</w:t>
      </w:r>
    </w:p>
    <w:p w14:paraId="52C5E546">
      <w:pPr>
        <w:rPr>
          <w:rFonts w:asciiTheme="minorEastAsia" w:hAnsiTheme="minorEastAsia" w:eastAsiaTheme="minorEastAsia"/>
          <w:szCs w:val="21"/>
        </w:rPr>
      </w:pPr>
      <w:r>
        <w:rPr>
          <w:rFonts w:hint="eastAsia" w:asciiTheme="minorEastAsia" w:hAnsiTheme="minorEastAsia" w:eastAsiaTheme="minorEastAsia"/>
          <w:szCs w:val="21"/>
        </w:rPr>
        <w:t>7.8 暂停施工</w:t>
      </w:r>
    </w:p>
    <w:p w14:paraId="581D1EBF">
      <w:pPr>
        <w:rPr>
          <w:rFonts w:asciiTheme="minorEastAsia" w:hAnsiTheme="minorEastAsia" w:eastAsiaTheme="minorEastAsia"/>
          <w:szCs w:val="21"/>
        </w:rPr>
      </w:pPr>
      <w:r>
        <w:rPr>
          <w:rFonts w:hint="eastAsia" w:asciiTheme="minorEastAsia" w:hAnsiTheme="minorEastAsia" w:eastAsiaTheme="minorEastAsia"/>
          <w:szCs w:val="21"/>
        </w:rPr>
        <w:t>7.8.1发包人原因引起的暂停施工</w:t>
      </w:r>
    </w:p>
    <w:p w14:paraId="46D73615">
      <w:pPr>
        <w:rPr>
          <w:rFonts w:asciiTheme="minorEastAsia" w:hAnsiTheme="minorEastAsia" w:eastAsiaTheme="minorEastAsia"/>
          <w:szCs w:val="21"/>
        </w:rPr>
      </w:pPr>
      <w:r>
        <w:rPr>
          <w:rFonts w:hint="eastAsia" w:asciiTheme="minorEastAsia" w:hAnsiTheme="minorEastAsia" w:eastAsiaTheme="minorEastAsia"/>
          <w:szCs w:val="21"/>
        </w:rPr>
        <w:t>因发包人原因引起暂停施工的，监理人经发包人同意后，应及时下达暂停施工指示。情况紧急且监理人未及时下达暂停施工指示的，按照第7.8.4项〔紧急情况下的暂停施工〕执行。</w:t>
      </w:r>
    </w:p>
    <w:p w14:paraId="2A037C79">
      <w:pPr>
        <w:rPr>
          <w:rFonts w:asciiTheme="minorEastAsia" w:hAnsiTheme="minorEastAsia" w:eastAsiaTheme="minorEastAsia"/>
          <w:szCs w:val="21"/>
        </w:rPr>
      </w:pPr>
      <w:r>
        <w:rPr>
          <w:rFonts w:hint="eastAsia" w:asciiTheme="minorEastAsia" w:hAnsiTheme="minorEastAsia" w:eastAsiaTheme="minorEastAsia"/>
          <w:szCs w:val="21"/>
        </w:rPr>
        <w:t>因发包人原因引起的暂停施工，发包人应承担由此增加的费用和（或）延误的工期，并支付承包人合理的利润。</w:t>
      </w:r>
    </w:p>
    <w:p w14:paraId="43F7272F">
      <w:pPr>
        <w:rPr>
          <w:rFonts w:asciiTheme="minorEastAsia" w:hAnsiTheme="minorEastAsia" w:eastAsiaTheme="minorEastAsia"/>
          <w:szCs w:val="21"/>
        </w:rPr>
      </w:pPr>
      <w:r>
        <w:rPr>
          <w:rFonts w:hint="eastAsia" w:asciiTheme="minorEastAsia" w:hAnsiTheme="minorEastAsia" w:eastAsiaTheme="minorEastAsia"/>
          <w:szCs w:val="21"/>
        </w:rPr>
        <w:t>7.8.2 承包人原因引起的暂停施工</w:t>
      </w:r>
    </w:p>
    <w:p w14:paraId="4A11391A">
      <w:pPr>
        <w:rPr>
          <w:rFonts w:asciiTheme="minorEastAsia" w:hAnsiTheme="minorEastAsia" w:eastAsiaTheme="minorEastAsia"/>
          <w:szCs w:val="21"/>
        </w:rPr>
      </w:pPr>
      <w:r>
        <w:rPr>
          <w:rFonts w:hint="eastAsia" w:asciiTheme="minorEastAsia" w:hAnsiTheme="minorEastAsia" w:eastAsiaTheme="minorEastAsia"/>
          <w:szCs w:val="21"/>
        </w:rPr>
        <w:t>因承包人原因引起的暂停施工，承包人应承担由此增加的费用和（或）延误的工期，且承包人在收到监理人复工指示后84天内仍未复工的，视为第16.2.1项〔承包人违约的情形〕第（7）目约定的承包人无法继续履行合同的情形。</w:t>
      </w:r>
    </w:p>
    <w:p w14:paraId="64864802">
      <w:pPr>
        <w:rPr>
          <w:rFonts w:asciiTheme="minorEastAsia" w:hAnsiTheme="minorEastAsia" w:eastAsiaTheme="minorEastAsia"/>
          <w:szCs w:val="21"/>
        </w:rPr>
      </w:pPr>
      <w:r>
        <w:rPr>
          <w:rFonts w:hint="eastAsia" w:asciiTheme="minorEastAsia" w:hAnsiTheme="minorEastAsia" w:eastAsiaTheme="minorEastAsia"/>
          <w:szCs w:val="21"/>
        </w:rPr>
        <w:t>7.8.3 指示暂停施工</w:t>
      </w:r>
    </w:p>
    <w:p w14:paraId="60BF7120">
      <w:pPr>
        <w:rPr>
          <w:rFonts w:asciiTheme="minorEastAsia" w:hAnsiTheme="minorEastAsia" w:eastAsiaTheme="minorEastAsia"/>
          <w:szCs w:val="21"/>
        </w:rPr>
      </w:pPr>
      <w:r>
        <w:rPr>
          <w:rFonts w:hint="eastAsia" w:asciiTheme="minorEastAsia" w:hAnsiTheme="minorEastAsia" w:eastAsiaTheme="minorEastAsia"/>
          <w:szCs w:val="21"/>
        </w:rPr>
        <w:t>监理人认为有必要时，并经发包人批准后，可向承包人作出暂停施工的指示，承包人应按监理人指示暂停施工。</w:t>
      </w:r>
    </w:p>
    <w:p w14:paraId="748BD830">
      <w:pPr>
        <w:rPr>
          <w:rFonts w:asciiTheme="minorEastAsia" w:hAnsiTheme="minorEastAsia" w:eastAsiaTheme="minorEastAsia"/>
          <w:szCs w:val="21"/>
        </w:rPr>
      </w:pPr>
      <w:r>
        <w:rPr>
          <w:rFonts w:hint="eastAsia" w:asciiTheme="minorEastAsia" w:hAnsiTheme="minorEastAsia" w:eastAsiaTheme="minorEastAsia"/>
          <w:szCs w:val="21"/>
        </w:rPr>
        <w:t>7.8.4 紧急情况下的暂停施工</w:t>
      </w:r>
    </w:p>
    <w:p w14:paraId="1C626BF4">
      <w:pPr>
        <w:rPr>
          <w:rFonts w:asciiTheme="minorEastAsia" w:hAnsiTheme="minorEastAsia" w:eastAsiaTheme="minorEastAsia"/>
          <w:szCs w:val="21"/>
        </w:rPr>
      </w:pPr>
      <w:r>
        <w:rPr>
          <w:rFonts w:hint="eastAsia" w:asciiTheme="minorEastAsia" w:hAnsiTheme="minorEastAsia" w:eastAsiaTheme="minorEastAsia"/>
          <w:szCs w:val="21"/>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争议解决〕约定处理。</w:t>
      </w:r>
    </w:p>
    <w:p w14:paraId="589D42DA">
      <w:pPr>
        <w:rPr>
          <w:rFonts w:asciiTheme="minorEastAsia" w:hAnsiTheme="minorEastAsia" w:eastAsiaTheme="minorEastAsia"/>
          <w:szCs w:val="21"/>
        </w:rPr>
      </w:pPr>
      <w:r>
        <w:rPr>
          <w:rFonts w:hint="eastAsia" w:asciiTheme="minorEastAsia" w:hAnsiTheme="minorEastAsia" w:eastAsiaTheme="minorEastAsia"/>
          <w:szCs w:val="21"/>
        </w:rPr>
        <w:t>7.8.5 暂停施工后的复工</w:t>
      </w:r>
    </w:p>
    <w:p w14:paraId="5C8D373C">
      <w:pPr>
        <w:rPr>
          <w:rFonts w:asciiTheme="minorEastAsia" w:hAnsiTheme="minorEastAsia" w:eastAsiaTheme="minorEastAsia"/>
          <w:szCs w:val="21"/>
        </w:rPr>
      </w:pPr>
      <w:r>
        <w:rPr>
          <w:rFonts w:hint="eastAsia" w:asciiTheme="minorEastAsia" w:hAnsiTheme="minorEastAsia" w:eastAsiaTheme="minorEastAsia"/>
          <w:szCs w:val="21"/>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53B994EF">
      <w:pPr>
        <w:rPr>
          <w:rFonts w:asciiTheme="minorEastAsia" w:hAnsiTheme="minorEastAsia" w:eastAsiaTheme="minorEastAsia"/>
          <w:szCs w:val="21"/>
        </w:rPr>
      </w:pPr>
      <w:r>
        <w:rPr>
          <w:rFonts w:hint="eastAsia" w:asciiTheme="minorEastAsia" w:hAnsiTheme="minorEastAsia" w:eastAsiaTheme="minorEastAsia"/>
          <w:szCs w:val="21"/>
        </w:rPr>
        <w:t>承包人无故拖延和拒绝复工的，承包人承担由此增加的费用和（或）延误的工期；因发包人原因无法按时复工的，按照第7.5.1项〔因发包人原因导致工期延误〕约定办理。</w:t>
      </w:r>
    </w:p>
    <w:p w14:paraId="0F0BAD5F">
      <w:pPr>
        <w:rPr>
          <w:rFonts w:asciiTheme="minorEastAsia" w:hAnsiTheme="minorEastAsia" w:eastAsiaTheme="minorEastAsia"/>
          <w:szCs w:val="21"/>
        </w:rPr>
      </w:pPr>
      <w:r>
        <w:rPr>
          <w:rFonts w:hint="eastAsia" w:asciiTheme="minorEastAsia" w:hAnsiTheme="minorEastAsia" w:eastAsiaTheme="minorEastAsia"/>
          <w:szCs w:val="21"/>
        </w:rPr>
        <w:t>7.8.6 暂停施工持续56天以上</w:t>
      </w:r>
    </w:p>
    <w:p w14:paraId="77B91D3F">
      <w:pPr>
        <w:rPr>
          <w:rFonts w:asciiTheme="minorEastAsia" w:hAnsiTheme="minorEastAsia" w:eastAsiaTheme="minorEastAsia"/>
          <w:szCs w:val="21"/>
        </w:rPr>
      </w:pPr>
      <w:r>
        <w:rPr>
          <w:rFonts w:hint="eastAsia" w:asciiTheme="minorEastAsia" w:hAnsiTheme="minorEastAsia" w:eastAsiaTheme="minorEastAsia"/>
          <w:szCs w:val="21"/>
        </w:rPr>
        <w:t>监理人发出暂停施工指示后56天内未向承包人发出复工通知，除该项停工属于第7.8.2项〔承包人原因引起的暂停施工〕及第17条〔不可抗力〕约定的情形外，承包人可向发包人提交书面通知，要求发包人在收到书面通知后28天内准许已暂停施工的部分或全部工程继续施工。发包人逾期不予批准的，则承包人可以通知发包人，将工程受影响的部分视为按第10.1款〔变更的范围〕第（2）项的可取消工作。</w:t>
      </w:r>
    </w:p>
    <w:p w14:paraId="641EAFB8">
      <w:pPr>
        <w:rPr>
          <w:rFonts w:asciiTheme="minorEastAsia" w:hAnsiTheme="minorEastAsia" w:eastAsiaTheme="minorEastAsia"/>
          <w:szCs w:val="21"/>
        </w:rPr>
      </w:pPr>
      <w:r>
        <w:rPr>
          <w:rFonts w:hint="eastAsia" w:asciiTheme="minorEastAsia" w:hAnsiTheme="minorEastAsia" w:eastAsiaTheme="minorEastAsia"/>
          <w:szCs w:val="21"/>
        </w:rPr>
        <w:t>暂停施工持续84天以上不复工的，且不属于第7.8.2项〔承包人原因引起的暂停施工〕及第17条〔不可抗力〕约定的情形，并影响到整个工程以及合同目的实现的，承包人有权提出价格调整要求，或者解除合同。解除合同的，按照第16.1.3项〔因发包人违约解除合同〕执行。</w:t>
      </w:r>
    </w:p>
    <w:p w14:paraId="558DBEA0">
      <w:pPr>
        <w:rPr>
          <w:rFonts w:asciiTheme="minorEastAsia" w:hAnsiTheme="minorEastAsia" w:eastAsiaTheme="minorEastAsia"/>
          <w:szCs w:val="21"/>
        </w:rPr>
      </w:pPr>
      <w:r>
        <w:rPr>
          <w:rFonts w:hint="eastAsia" w:asciiTheme="minorEastAsia" w:hAnsiTheme="minorEastAsia" w:eastAsiaTheme="minorEastAsia"/>
          <w:szCs w:val="21"/>
        </w:rPr>
        <w:t>7.8.7 暂停施工期间的工程照管</w:t>
      </w:r>
    </w:p>
    <w:p w14:paraId="46BE6310">
      <w:pPr>
        <w:rPr>
          <w:rFonts w:asciiTheme="minorEastAsia" w:hAnsiTheme="minorEastAsia" w:eastAsiaTheme="minorEastAsia"/>
          <w:szCs w:val="21"/>
        </w:rPr>
      </w:pPr>
      <w:r>
        <w:rPr>
          <w:rFonts w:hint="eastAsia" w:asciiTheme="minorEastAsia" w:hAnsiTheme="minorEastAsia" w:eastAsiaTheme="minorEastAsia"/>
          <w:szCs w:val="21"/>
        </w:rPr>
        <w:t>暂停施工期间，承包人应负责妥善照管工程并提供安全保障，由此增加的费用由责任方承担。</w:t>
      </w:r>
    </w:p>
    <w:p w14:paraId="1E316170">
      <w:pPr>
        <w:rPr>
          <w:rFonts w:asciiTheme="minorEastAsia" w:hAnsiTheme="minorEastAsia" w:eastAsiaTheme="minorEastAsia"/>
          <w:szCs w:val="21"/>
        </w:rPr>
      </w:pPr>
      <w:r>
        <w:rPr>
          <w:rFonts w:hint="eastAsia" w:asciiTheme="minorEastAsia" w:hAnsiTheme="minorEastAsia" w:eastAsiaTheme="minorEastAsia"/>
          <w:szCs w:val="21"/>
        </w:rPr>
        <w:t>7.8.8 暂停施工的措施</w:t>
      </w:r>
    </w:p>
    <w:p w14:paraId="287F3195">
      <w:pPr>
        <w:rPr>
          <w:rFonts w:asciiTheme="minorEastAsia" w:hAnsiTheme="minorEastAsia" w:eastAsiaTheme="minorEastAsia"/>
          <w:szCs w:val="21"/>
        </w:rPr>
      </w:pPr>
      <w:r>
        <w:rPr>
          <w:rFonts w:hint="eastAsia" w:asciiTheme="minorEastAsia" w:hAnsiTheme="minorEastAsia" w:eastAsiaTheme="minorEastAsia"/>
          <w:szCs w:val="21"/>
        </w:rPr>
        <w:t>暂停施工期间，发包人和承包人均应采取必要的措施确保工程质量及安全，防止因暂停施工扩大损失。</w:t>
      </w:r>
    </w:p>
    <w:p w14:paraId="157EE831">
      <w:pPr>
        <w:rPr>
          <w:rFonts w:asciiTheme="minorEastAsia" w:hAnsiTheme="minorEastAsia" w:eastAsiaTheme="minorEastAsia"/>
          <w:szCs w:val="21"/>
        </w:rPr>
      </w:pPr>
      <w:r>
        <w:rPr>
          <w:rFonts w:hint="eastAsia" w:asciiTheme="minorEastAsia" w:hAnsiTheme="minorEastAsia" w:eastAsiaTheme="minorEastAsia"/>
          <w:szCs w:val="21"/>
        </w:rPr>
        <w:t>7.9提前竣工</w:t>
      </w:r>
    </w:p>
    <w:p w14:paraId="46C9C6EE">
      <w:pPr>
        <w:rPr>
          <w:rFonts w:asciiTheme="minorEastAsia" w:hAnsiTheme="minorEastAsia" w:eastAsiaTheme="minorEastAsia"/>
          <w:szCs w:val="21"/>
        </w:rPr>
      </w:pPr>
      <w:r>
        <w:rPr>
          <w:rFonts w:hint="eastAsia" w:asciiTheme="minorEastAsia" w:hAnsiTheme="minorEastAsia" w:eastAsiaTheme="minorEastAsia"/>
          <w:szCs w:val="21"/>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7天内予以答复。任何情况下，发包人不得压缩合理工期。</w:t>
      </w:r>
    </w:p>
    <w:p w14:paraId="5874FEC1">
      <w:pPr>
        <w:rPr>
          <w:rFonts w:asciiTheme="minorEastAsia" w:hAnsiTheme="minorEastAsia" w:eastAsiaTheme="minorEastAsia"/>
          <w:szCs w:val="21"/>
        </w:rPr>
      </w:pPr>
      <w:r>
        <w:rPr>
          <w:rFonts w:hint="eastAsia" w:asciiTheme="minorEastAsia" w:hAnsiTheme="minorEastAsia" w:eastAsiaTheme="minorEastAsia"/>
          <w:szCs w:val="21"/>
        </w:rPr>
        <w:t>7.9.2 发包人要求承包人提前竣工，或承包人提出提前竣工的建议能够给发包人带来效益的，合同当事人可以在专用合同条款中约定提前竣工的奖励。</w:t>
      </w:r>
    </w:p>
    <w:p w14:paraId="7EEE6ED0">
      <w:pPr>
        <w:rPr>
          <w:rFonts w:asciiTheme="minorEastAsia" w:hAnsiTheme="minorEastAsia" w:eastAsiaTheme="minorEastAsia"/>
          <w:b/>
          <w:szCs w:val="21"/>
        </w:rPr>
      </w:pPr>
      <w:r>
        <w:rPr>
          <w:rFonts w:hint="eastAsia" w:asciiTheme="minorEastAsia" w:hAnsiTheme="minorEastAsia" w:eastAsiaTheme="minorEastAsia"/>
          <w:b/>
          <w:szCs w:val="21"/>
        </w:rPr>
        <w:t>8. 材料与设备</w:t>
      </w:r>
    </w:p>
    <w:p w14:paraId="3F7670A9">
      <w:pPr>
        <w:rPr>
          <w:rFonts w:asciiTheme="minorEastAsia" w:hAnsiTheme="minorEastAsia" w:eastAsiaTheme="minorEastAsia"/>
          <w:szCs w:val="21"/>
        </w:rPr>
      </w:pPr>
      <w:r>
        <w:rPr>
          <w:rFonts w:hint="eastAsia" w:asciiTheme="minorEastAsia" w:hAnsiTheme="minorEastAsia" w:eastAsiaTheme="minorEastAsia"/>
          <w:szCs w:val="21"/>
        </w:rPr>
        <w:t>8.1发包人供应材料与工程设备</w:t>
      </w:r>
    </w:p>
    <w:p w14:paraId="5B0998AF">
      <w:pPr>
        <w:rPr>
          <w:rFonts w:asciiTheme="minorEastAsia" w:hAnsiTheme="minorEastAsia" w:eastAsiaTheme="minorEastAsia"/>
          <w:szCs w:val="21"/>
        </w:rPr>
      </w:pPr>
      <w:r>
        <w:rPr>
          <w:rFonts w:hint="eastAsia" w:asciiTheme="minorEastAsia" w:hAnsiTheme="minorEastAsia" w:eastAsiaTheme="minorEastAsia"/>
          <w:szCs w:val="21"/>
        </w:rPr>
        <w:t>发包人自行供应材料、工程设备的，应在签订合同时在专用合同条款的附件《发包人供应材料设备一览表》中明确材料、工程设备的品种、规格、型号、数量、单价、质量等级和送达地点。</w:t>
      </w:r>
    </w:p>
    <w:p w14:paraId="7415C3AD">
      <w:pPr>
        <w:rPr>
          <w:rFonts w:asciiTheme="minorEastAsia" w:hAnsiTheme="minorEastAsia" w:eastAsiaTheme="minorEastAsia"/>
          <w:szCs w:val="21"/>
        </w:rPr>
      </w:pPr>
      <w:r>
        <w:rPr>
          <w:rFonts w:hint="eastAsia" w:asciiTheme="minorEastAsia" w:hAnsiTheme="minorEastAsia" w:eastAsiaTheme="minorEastAsia"/>
          <w:szCs w:val="21"/>
        </w:rPr>
        <w:t>承包人应提前30天通过监理人以书面形式通知发包人供应材料与工程设备进场。承包人按照第7.2.2项〔施工进度计划的修订〕约定修订施工进度计划时，需同时提交经修订后的发包人供应材料与工程设备的进场计划。</w:t>
      </w:r>
    </w:p>
    <w:p w14:paraId="326F1C34">
      <w:pPr>
        <w:rPr>
          <w:rFonts w:asciiTheme="minorEastAsia" w:hAnsiTheme="minorEastAsia" w:eastAsiaTheme="minorEastAsia"/>
          <w:szCs w:val="21"/>
        </w:rPr>
      </w:pPr>
      <w:r>
        <w:rPr>
          <w:rFonts w:hint="eastAsia" w:asciiTheme="minorEastAsia" w:hAnsiTheme="minorEastAsia" w:eastAsiaTheme="minorEastAsia"/>
          <w:szCs w:val="21"/>
        </w:rPr>
        <w:t>8.2承包人采购材料与工程设备</w:t>
      </w:r>
    </w:p>
    <w:p w14:paraId="033BE2FF">
      <w:pPr>
        <w:rPr>
          <w:rFonts w:asciiTheme="minorEastAsia" w:hAnsiTheme="minorEastAsia" w:eastAsiaTheme="minorEastAsia"/>
          <w:szCs w:val="21"/>
        </w:rPr>
      </w:pPr>
      <w:r>
        <w:rPr>
          <w:rFonts w:hint="eastAsia" w:asciiTheme="minorEastAsia" w:hAnsiTheme="minorEastAsia" w:eastAsiaTheme="minorEastAsia"/>
          <w:szCs w:val="21"/>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14:paraId="44B5B5D4">
      <w:pPr>
        <w:rPr>
          <w:rFonts w:asciiTheme="minorEastAsia" w:hAnsiTheme="minorEastAsia" w:eastAsiaTheme="minorEastAsia"/>
          <w:szCs w:val="21"/>
        </w:rPr>
      </w:pPr>
      <w:r>
        <w:rPr>
          <w:rFonts w:hint="eastAsia" w:asciiTheme="minorEastAsia" w:hAnsiTheme="minorEastAsia" w:eastAsiaTheme="minorEastAsia"/>
          <w:szCs w:val="21"/>
        </w:rPr>
        <w:t>8.3材料与工程设备的接收与拒收</w:t>
      </w:r>
    </w:p>
    <w:p w14:paraId="6D364AD4">
      <w:pPr>
        <w:rPr>
          <w:rFonts w:asciiTheme="minorEastAsia" w:hAnsiTheme="minorEastAsia" w:eastAsiaTheme="minorEastAsia"/>
          <w:szCs w:val="21"/>
        </w:rPr>
      </w:pPr>
      <w:r>
        <w:rPr>
          <w:rFonts w:hint="eastAsia" w:asciiTheme="minorEastAsia" w:hAnsiTheme="minorEastAsia" w:eastAsiaTheme="minorEastAsia"/>
          <w:szCs w:val="21"/>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14:paraId="641B3F9A">
      <w:pPr>
        <w:rPr>
          <w:rFonts w:asciiTheme="minorEastAsia" w:hAnsiTheme="minorEastAsia" w:eastAsiaTheme="minorEastAsia"/>
          <w:szCs w:val="21"/>
        </w:rPr>
      </w:pPr>
      <w:r>
        <w:rPr>
          <w:rFonts w:hint="eastAsia" w:asciiTheme="minorEastAsia" w:hAnsiTheme="minorEastAsia" w:eastAsiaTheme="minorEastAsia"/>
          <w:szCs w:val="21"/>
        </w:rPr>
        <w:t>发包人提供的材料和工程设备的规格、数量或质量不符合合同约定的，或因发包人原因导致交货日期延误或交货地点变更等情况的，按照第16.1款〔发包人违约〕约定办理。</w:t>
      </w:r>
    </w:p>
    <w:p w14:paraId="1B72607C">
      <w:pPr>
        <w:rPr>
          <w:rFonts w:asciiTheme="minorEastAsia" w:hAnsiTheme="minorEastAsia" w:eastAsiaTheme="minorEastAsia"/>
          <w:szCs w:val="21"/>
        </w:rPr>
      </w:pPr>
      <w:r>
        <w:rPr>
          <w:rFonts w:hint="eastAsia" w:asciiTheme="minorEastAsia" w:hAnsiTheme="minorEastAsia" w:eastAsiaTheme="minorEastAsia"/>
          <w:szCs w:val="21"/>
        </w:rPr>
        <w:t>8.3.2 承包人采购的材料和工程设备，应保证产品质量合格，承包人应在材料和工程设备到货前24小时通知监理人检验。承包人进行永久设备、材料的制造和生产的，应符合相关质量标准，并向监理人提交材料的样本以及有关资料，并应在使用该材料或工程设备之前获得监理人同意。</w:t>
      </w:r>
    </w:p>
    <w:p w14:paraId="04C50947">
      <w:pPr>
        <w:rPr>
          <w:rFonts w:asciiTheme="minorEastAsia" w:hAnsiTheme="minorEastAsia" w:eastAsiaTheme="minorEastAsia"/>
          <w:szCs w:val="21"/>
        </w:rPr>
      </w:pPr>
      <w:r>
        <w:rPr>
          <w:rFonts w:hint="eastAsia" w:asciiTheme="minorEastAsia" w:hAnsiTheme="minorEastAsia" w:eastAsiaTheme="minorEastAsia"/>
          <w:szCs w:val="21"/>
        </w:rPr>
        <w:t>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11A1046D">
      <w:pPr>
        <w:rPr>
          <w:rFonts w:asciiTheme="minorEastAsia" w:hAnsiTheme="minorEastAsia" w:eastAsiaTheme="minorEastAsia"/>
          <w:szCs w:val="21"/>
        </w:rPr>
      </w:pPr>
      <w:r>
        <w:rPr>
          <w:rFonts w:hint="eastAsia" w:asciiTheme="minorEastAsia" w:hAnsiTheme="minorEastAsia" w:eastAsiaTheme="minorEastAsia"/>
          <w:szCs w:val="21"/>
        </w:rPr>
        <w:t>8.4材料与工程设备的保管与使用</w:t>
      </w:r>
    </w:p>
    <w:p w14:paraId="50C1F1E5">
      <w:pPr>
        <w:rPr>
          <w:rFonts w:asciiTheme="minorEastAsia" w:hAnsiTheme="minorEastAsia" w:eastAsiaTheme="minorEastAsia"/>
          <w:szCs w:val="21"/>
        </w:rPr>
      </w:pPr>
      <w:r>
        <w:rPr>
          <w:rFonts w:hint="eastAsia" w:asciiTheme="minorEastAsia" w:hAnsiTheme="minorEastAsia" w:eastAsiaTheme="minorEastAsia"/>
          <w:szCs w:val="21"/>
        </w:rPr>
        <w:t>8.4.1 发包人供应材料与工程设备的保管与使用</w:t>
      </w:r>
    </w:p>
    <w:p w14:paraId="3E2668ED">
      <w:pPr>
        <w:rPr>
          <w:rFonts w:asciiTheme="minorEastAsia" w:hAnsiTheme="minorEastAsia" w:eastAsiaTheme="minorEastAsia"/>
          <w:szCs w:val="21"/>
        </w:rPr>
      </w:pPr>
      <w:r>
        <w:rPr>
          <w:rFonts w:hint="eastAsia" w:asciiTheme="minorEastAsia" w:hAnsiTheme="minorEastAsia" w:eastAsiaTheme="minorEastAsia"/>
          <w:szCs w:val="21"/>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14A0340E">
      <w:pPr>
        <w:rPr>
          <w:rFonts w:asciiTheme="minorEastAsia" w:hAnsiTheme="minorEastAsia" w:eastAsiaTheme="minorEastAsia"/>
          <w:szCs w:val="21"/>
        </w:rPr>
      </w:pPr>
      <w:r>
        <w:rPr>
          <w:rFonts w:hint="eastAsia" w:asciiTheme="minorEastAsia" w:hAnsiTheme="minorEastAsia" w:eastAsiaTheme="minorEastAsia"/>
          <w:szCs w:val="21"/>
        </w:rPr>
        <w:t>发包人供应的材料和工程设备使用前，由承包人负责检验，检验费用由发包人承担，不合格的不得使用。</w:t>
      </w:r>
    </w:p>
    <w:p w14:paraId="20B56AE3">
      <w:pPr>
        <w:rPr>
          <w:rFonts w:asciiTheme="minorEastAsia" w:hAnsiTheme="minorEastAsia" w:eastAsiaTheme="minorEastAsia"/>
          <w:szCs w:val="21"/>
        </w:rPr>
      </w:pPr>
      <w:r>
        <w:rPr>
          <w:rFonts w:hint="eastAsia" w:asciiTheme="minorEastAsia" w:hAnsiTheme="minorEastAsia" w:eastAsiaTheme="minorEastAsia"/>
          <w:szCs w:val="21"/>
        </w:rPr>
        <w:t>8.4.2 承包人采购材料与工程设备的保管与使用</w:t>
      </w:r>
    </w:p>
    <w:p w14:paraId="5283B62D">
      <w:pPr>
        <w:rPr>
          <w:rFonts w:asciiTheme="minorEastAsia" w:hAnsiTheme="minorEastAsia" w:eastAsiaTheme="minorEastAsia"/>
          <w:szCs w:val="21"/>
        </w:rPr>
      </w:pPr>
      <w:r>
        <w:rPr>
          <w:rFonts w:hint="eastAsia" w:asciiTheme="minorEastAsia" w:hAnsiTheme="minorEastAsia" w:eastAsiaTheme="minorEastAsia"/>
          <w:szCs w:val="21"/>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14:paraId="17162BF1">
      <w:pPr>
        <w:rPr>
          <w:rFonts w:asciiTheme="minorEastAsia" w:hAnsiTheme="minorEastAsia" w:eastAsiaTheme="minorEastAsia"/>
          <w:szCs w:val="21"/>
        </w:rPr>
      </w:pPr>
      <w:r>
        <w:rPr>
          <w:rFonts w:hint="eastAsia" w:asciiTheme="minorEastAsia" w:hAnsiTheme="minorEastAsia" w:eastAsiaTheme="minorEastAsia"/>
          <w:szCs w:val="21"/>
        </w:rPr>
        <w:t>发包人或监理人发现承包人使用不符合设计或有关标准要求的材料和工程设备时，有权要求承包人进行修复、拆除或重新采购，由此增加的费用和（或）延误的工期，由承包人承担。</w:t>
      </w:r>
    </w:p>
    <w:p w14:paraId="7C4FF790">
      <w:pPr>
        <w:rPr>
          <w:rFonts w:asciiTheme="minorEastAsia" w:hAnsiTheme="minorEastAsia" w:eastAsiaTheme="minorEastAsia"/>
          <w:szCs w:val="21"/>
        </w:rPr>
      </w:pPr>
      <w:r>
        <w:rPr>
          <w:rFonts w:hint="eastAsia" w:asciiTheme="minorEastAsia" w:hAnsiTheme="minorEastAsia" w:eastAsiaTheme="minorEastAsia"/>
          <w:szCs w:val="21"/>
        </w:rPr>
        <w:t>8.5禁止使用不合格的材料和工程设备</w:t>
      </w:r>
    </w:p>
    <w:p w14:paraId="6166C9E0">
      <w:pPr>
        <w:rPr>
          <w:rFonts w:asciiTheme="minorEastAsia" w:hAnsiTheme="minorEastAsia" w:eastAsiaTheme="minorEastAsia"/>
          <w:szCs w:val="21"/>
        </w:rPr>
      </w:pPr>
      <w:r>
        <w:rPr>
          <w:rFonts w:hint="eastAsia" w:asciiTheme="minorEastAsia" w:hAnsiTheme="minorEastAsia" w:eastAsiaTheme="minorEastAsia"/>
          <w:szCs w:val="21"/>
        </w:rPr>
        <w:t>8.5.1 监理人有权拒绝承包人提供的不合格材料或工程设备，并要求承包人立即进行更换。监理人应在更换后再次进行检查和检验，由此增加的费用和（或）延误的工期由承包人承担。</w:t>
      </w:r>
    </w:p>
    <w:p w14:paraId="782612EC">
      <w:pPr>
        <w:rPr>
          <w:rFonts w:asciiTheme="minorEastAsia" w:hAnsiTheme="minorEastAsia" w:eastAsiaTheme="minorEastAsia"/>
          <w:szCs w:val="21"/>
        </w:rPr>
      </w:pPr>
      <w:r>
        <w:rPr>
          <w:rFonts w:hint="eastAsia" w:asciiTheme="minorEastAsia" w:hAnsiTheme="minorEastAsia" w:eastAsiaTheme="minorEastAsia"/>
          <w:szCs w:val="21"/>
        </w:rPr>
        <w:t>8.5.2 监理人发现承包人使用了不合格的材料和工程设备，承包人应按照监理人的指示立即改正，并禁止在工程中继续使用不合格的材料和工程设备。</w:t>
      </w:r>
    </w:p>
    <w:p w14:paraId="428CE436">
      <w:pPr>
        <w:rPr>
          <w:rFonts w:asciiTheme="minorEastAsia" w:hAnsiTheme="minorEastAsia" w:eastAsiaTheme="minorEastAsia"/>
          <w:szCs w:val="21"/>
        </w:rPr>
      </w:pPr>
      <w:r>
        <w:rPr>
          <w:rFonts w:hint="eastAsia" w:asciiTheme="minorEastAsia" w:hAnsiTheme="minorEastAsia" w:eastAsiaTheme="minorEastAsia"/>
          <w:szCs w:val="21"/>
        </w:rPr>
        <w:t>8.5.3 发包人提供的材料或工程设备不符合合同要求的，承包人有权拒绝，并可要求发包人更换，由此增加的费用和（或）延误的工期由发包人承担，并支付承包人合理的利润。</w:t>
      </w:r>
    </w:p>
    <w:p w14:paraId="29D5E1A2">
      <w:pPr>
        <w:rPr>
          <w:rFonts w:asciiTheme="minorEastAsia" w:hAnsiTheme="minorEastAsia" w:eastAsiaTheme="minorEastAsia"/>
          <w:szCs w:val="21"/>
        </w:rPr>
      </w:pPr>
      <w:r>
        <w:rPr>
          <w:rFonts w:hint="eastAsia" w:asciiTheme="minorEastAsia" w:hAnsiTheme="minorEastAsia" w:eastAsiaTheme="minorEastAsia"/>
          <w:szCs w:val="21"/>
        </w:rPr>
        <w:t>8.6 样品</w:t>
      </w:r>
    </w:p>
    <w:p w14:paraId="2AEEC815">
      <w:pPr>
        <w:rPr>
          <w:rFonts w:asciiTheme="minorEastAsia" w:hAnsiTheme="minorEastAsia" w:eastAsiaTheme="minorEastAsia"/>
          <w:szCs w:val="21"/>
        </w:rPr>
      </w:pPr>
      <w:r>
        <w:rPr>
          <w:rFonts w:hint="eastAsia" w:asciiTheme="minorEastAsia" w:hAnsiTheme="minorEastAsia" w:eastAsiaTheme="minorEastAsia"/>
          <w:szCs w:val="21"/>
        </w:rPr>
        <w:t>8.6.1样品的报送与封存</w:t>
      </w:r>
    </w:p>
    <w:p w14:paraId="6D00CE29">
      <w:pPr>
        <w:rPr>
          <w:rFonts w:asciiTheme="minorEastAsia" w:hAnsiTheme="minorEastAsia" w:eastAsiaTheme="minorEastAsia"/>
          <w:szCs w:val="21"/>
        </w:rPr>
      </w:pPr>
      <w:r>
        <w:rPr>
          <w:rFonts w:hint="eastAsia" w:asciiTheme="minorEastAsia" w:hAnsiTheme="minorEastAsia" w:eastAsiaTheme="minorEastAsia"/>
          <w:szCs w:val="21"/>
        </w:rPr>
        <w:t>需要承包人报送样品的材料或工程设备，样品的种类、名称、规格、数量等要求均应在专用合同条款中约定。样品的报送程序如下：</w:t>
      </w:r>
    </w:p>
    <w:p w14:paraId="4F107CCE">
      <w:pPr>
        <w:rPr>
          <w:rFonts w:asciiTheme="minorEastAsia" w:hAnsiTheme="minorEastAsia" w:eastAsiaTheme="minorEastAsia"/>
          <w:szCs w:val="21"/>
        </w:rPr>
      </w:pPr>
      <w:r>
        <w:rPr>
          <w:rFonts w:hint="eastAsia" w:asciiTheme="minorEastAsia" w:hAnsiTheme="minorEastAsia" w:eastAsiaTheme="minorEastAsia"/>
          <w:szCs w:val="21"/>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14:paraId="28F328A1">
      <w:pPr>
        <w:rPr>
          <w:rFonts w:asciiTheme="minorEastAsia" w:hAnsiTheme="minorEastAsia" w:eastAsiaTheme="minorEastAsia"/>
          <w:szCs w:val="21"/>
        </w:rPr>
      </w:pPr>
      <w:r>
        <w:rPr>
          <w:rFonts w:hint="eastAsia" w:asciiTheme="minorEastAsia" w:hAnsiTheme="minorEastAsia" w:eastAsiaTheme="minorEastAsia"/>
          <w:szCs w:val="21"/>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14:paraId="34F1BF56">
      <w:pPr>
        <w:rPr>
          <w:rFonts w:asciiTheme="minorEastAsia" w:hAnsiTheme="minorEastAsia" w:eastAsiaTheme="minorEastAsia"/>
          <w:szCs w:val="21"/>
        </w:rPr>
      </w:pPr>
      <w:r>
        <w:rPr>
          <w:rFonts w:hint="eastAsia" w:asciiTheme="minorEastAsia" w:hAnsiTheme="minorEastAsia" w:eastAsiaTheme="minorEastAsia"/>
          <w:szCs w:val="21"/>
        </w:rPr>
        <w:t>（3）经发包人和监理人审批确认的样品应按约定的方法封样，封存的样品作为检验工程相关部分的标准之一。承包人在施工过程中不得使用与样品不符的材料或工程设备。</w:t>
      </w:r>
    </w:p>
    <w:p w14:paraId="3D894F8B">
      <w:pPr>
        <w:rPr>
          <w:rFonts w:asciiTheme="minorEastAsia" w:hAnsiTheme="minorEastAsia" w:eastAsiaTheme="minorEastAsia"/>
          <w:szCs w:val="21"/>
        </w:rPr>
      </w:pPr>
      <w:r>
        <w:rPr>
          <w:rFonts w:hint="eastAsia" w:asciiTheme="minorEastAsia" w:hAnsiTheme="minorEastAsia" w:eastAsiaTheme="minorEastAsia"/>
          <w:szCs w:val="21"/>
        </w:rPr>
        <w:t>（4）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14:paraId="4C74A638">
      <w:pPr>
        <w:rPr>
          <w:rFonts w:asciiTheme="minorEastAsia" w:hAnsiTheme="minorEastAsia" w:eastAsiaTheme="minorEastAsia"/>
          <w:szCs w:val="21"/>
        </w:rPr>
      </w:pPr>
      <w:r>
        <w:rPr>
          <w:rFonts w:hint="eastAsia" w:asciiTheme="minorEastAsia" w:hAnsiTheme="minorEastAsia" w:eastAsiaTheme="minorEastAsia"/>
          <w:szCs w:val="21"/>
        </w:rPr>
        <w:t>8.6.2 样品的保管</w:t>
      </w:r>
    </w:p>
    <w:p w14:paraId="0127CC52">
      <w:pPr>
        <w:rPr>
          <w:rFonts w:asciiTheme="minorEastAsia" w:hAnsiTheme="minorEastAsia" w:eastAsiaTheme="minorEastAsia"/>
          <w:szCs w:val="21"/>
        </w:rPr>
      </w:pPr>
      <w:r>
        <w:rPr>
          <w:rFonts w:hint="eastAsia" w:asciiTheme="minorEastAsia" w:hAnsiTheme="minorEastAsia" w:eastAsiaTheme="minorEastAsia"/>
          <w:szCs w:val="21"/>
        </w:rPr>
        <w:t>经批准的样品应由监理人负责封存于现场，承包人应在现场为保存样品提供适当和固定的场所并保持适当和良好的存储环境条件。</w:t>
      </w:r>
    </w:p>
    <w:p w14:paraId="4470DD57">
      <w:pPr>
        <w:rPr>
          <w:rFonts w:asciiTheme="minorEastAsia" w:hAnsiTheme="minorEastAsia" w:eastAsiaTheme="minorEastAsia"/>
          <w:szCs w:val="21"/>
        </w:rPr>
      </w:pPr>
      <w:r>
        <w:rPr>
          <w:rFonts w:hint="eastAsia" w:asciiTheme="minorEastAsia" w:hAnsiTheme="minorEastAsia" w:eastAsiaTheme="minorEastAsia"/>
          <w:szCs w:val="21"/>
        </w:rPr>
        <w:t>8.7材料与工程设备的替代</w:t>
      </w:r>
    </w:p>
    <w:p w14:paraId="3969FE8D">
      <w:pPr>
        <w:rPr>
          <w:rFonts w:asciiTheme="minorEastAsia" w:hAnsiTheme="minorEastAsia" w:eastAsiaTheme="minorEastAsia"/>
          <w:szCs w:val="21"/>
        </w:rPr>
      </w:pPr>
      <w:r>
        <w:rPr>
          <w:rFonts w:hint="eastAsia" w:asciiTheme="minorEastAsia" w:hAnsiTheme="minorEastAsia" w:eastAsiaTheme="minorEastAsia"/>
          <w:szCs w:val="21"/>
        </w:rPr>
        <w:t>8.7.1 出现下列情况需要使用替代材料和工程设备的，承包人应按照第8.7.2项约定的程序执行：</w:t>
      </w:r>
    </w:p>
    <w:p w14:paraId="58BA1555">
      <w:pPr>
        <w:rPr>
          <w:rFonts w:asciiTheme="minorEastAsia" w:hAnsiTheme="minorEastAsia" w:eastAsiaTheme="minorEastAsia"/>
          <w:szCs w:val="21"/>
        </w:rPr>
      </w:pPr>
      <w:r>
        <w:rPr>
          <w:rFonts w:hint="eastAsia" w:asciiTheme="minorEastAsia" w:hAnsiTheme="minorEastAsia" w:eastAsiaTheme="minorEastAsia"/>
          <w:szCs w:val="21"/>
        </w:rPr>
        <w:t>（1）基准日期后生效的法律规定禁止使用的；</w:t>
      </w:r>
    </w:p>
    <w:p w14:paraId="53EAB194">
      <w:pPr>
        <w:rPr>
          <w:rFonts w:asciiTheme="minorEastAsia" w:hAnsiTheme="minorEastAsia" w:eastAsiaTheme="minorEastAsia"/>
          <w:szCs w:val="21"/>
        </w:rPr>
      </w:pPr>
      <w:r>
        <w:rPr>
          <w:rFonts w:hint="eastAsia" w:asciiTheme="minorEastAsia" w:hAnsiTheme="minorEastAsia" w:eastAsiaTheme="minorEastAsia"/>
          <w:szCs w:val="21"/>
        </w:rPr>
        <w:t>（2）发包人要求使用替代品的；</w:t>
      </w:r>
    </w:p>
    <w:p w14:paraId="4F53CF1A">
      <w:pPr>
        <w:rPr>
          <w:rFonts w:asciiTheme="minorEastAsia" w:hAnsiTheme="minorEastAsia" w:eastAsiaTheme="minorEastAsia"/>
          <w:szCs w:val="21"/>
        </w:rPr>
      </w:pPr>
      <w:r>
        <w:rPr>
          <w:rFonts w:hint="eastAsia" w:asciiTheme="minorEastAsia" w:hAnsiTheme="minorEastAsia" w:eastAsiaTheme="minorEastAsia"/>
          <w:szCs w:val="21"/>
        </w:rPr>
        <w:t>（3）因其他原因必须使用替代品的。</w:t>
      </w:r>
    </w:p>
    <w:p w14:paraId="2AB63901">
      <w:pPr>
        <w:rPr>
          <w:rFonts w:asciiTheme="minorEastAsia" w:hAnsiTheme="minorEastAsia" w:eastAsiaTheme="minorEastAsia"/>
          <w:szCs w:val="21"/>
        </w:rPr>
      </w:pPr>
      <w:r>
        <w:rPr>
          <w:rFonts w:hint="eastAsia" w:asciiTheme="minorEastAsia" w:hAnsiTheme="minorEastAsia" w:eastAsiaTheme="minorEastAsia"/>
          <w:szCs w:val="21"/>
        </w:rPr>
        <w:t>8.7.2 承包人应在使用替代材料和工程设备28天前书面通知监理人，并附下列文件：</w:t>
      </w:r>
    </w:p>
    <w:p w14:paraId="6DB017AF">
      <w:pPr>
        <w:rPr>
          <w:rFonts w:asciiTheme="minorEastAsia" w:hAnsiTheme="minorEastAsia" w:eastAsiaTheme="minorEastAsia"/>
          <w:szCs w:val="21"/>
        </w:rPr>
      </w:pPr>
      <w:r>
        <w:rPr>
          <w:rFonts w:hint="eastAsia" w:asciiTheme="minorEastAsia" w:hAnsiTheme="minorEastAsia" w:eastAsiaTheme="minorEastAsia"/>
          <w:szCs w:val="21"/>
        </w:rPr>
        <w:t>（1）被替代的材料和工程设备的名称、数量、规格、型号、品牌、性能、价格及其他相关资料；</w:t>
      </w:r>
    </w:p>
    <w:p w14:paraId="1269D8D3">
      <w:pPr>
        <w:rPr>
          <w:rFonts w:asciiTheme="minorEastAsia" w:hAnsiTheme="minorEastAsia" w:eastAsiaTheme="minorEastAsia"/>
          <w:szCs w:val="21"/>
        </w:rPr>
      </w:pPr>
      <w:r>
        <w:rPr>
          <w:rFonts w:hint="eastAsia" w:asciiTheme="minorEastAsia" w:hAnsiTheme="minorEastAsia" w:eastAsiaTheme="minorEastAsia"/>
          <w:szCs w:val="21"/>
        </w:rPr>
        <w:t>（2）替代品的名称、数量、规格、型号、品牌、性能、价格及其他相关资料；</w:t>
      </w:r>
    </w:p>
    <w:p w14:paraId="66AB21DD">
      <w:pPr>
        <w:rPr>
          <w:rFonts w:asciiTheme="minorEastAsia" w:hAnsiTheme="minorEastAsia" w:eastAsiaTheme="minorEastAsia"/>
          <w:szCs w:val="21"/>
        </w:rPr>
      </w:pPr>
      <w:r>
        <w:rPr>
          <w:rFonts w:hint="eastAsia" w:asciiTheme="minorEastAsia" w:hAnsiTheme="minorEastAsia" w:eastAsiaTheme="minorEastAsia"/>
          <w:szCs w:val="21"/>
        </w:rPr>
        <w:t>（3）替代品与被替代产品之间的差异以及使用替代品可能对工程产生的影响；</w:t>
      </w:r>
    </w:p>
    <w:p w14:paraId="0EEA3834">
      <w:pPr>
        <w:rPr>
          <w:rFonts w:asciiTheme="minorEastAsia" w:hAnsiTheme="minorEastAsia" w:eastAsiaTheme="minorEastAsia"/>
          <w:szCs w:val="21"/>
        </w:rPr>
      </w:pPr>
      <w:r>
        <w:rPr>
          <w:rFonts w:hint="eastAsia" w:asciiTheme="minorEastAsia" w:hAnsiTheme="minorEastAsia" w:eastAsiaTheme="minorEastAsia"/>
          <w:szCs w:val="21"/>
        </w:rPr>
        <w:t>（4）替代品与被替代产品的价格差异；</w:t>
      </w:r>
    </w:p>
    <w:p w14:paraId="6754DC36">
      <w:pPr>
        <w:rPr>
          <w:rFonts w:asciiTheme="minorEastAsia" w:hAnsiTheme="minorEastAsia" w:eastAsiaTheme="minorEastAsia"/>
          <w:szCs w:val="21"/>
        </w:rPr>
      </w:pPr>
      <w:r>
        <w:rPr>
          <w:rFonts w:hint="eastAsia" w:asciiTheme="minorEastAsia" w:hAnsiTheme="minorEastAsia" w:eastAsiaTheme="minorEastAsia"/>
          <w:szCs w:val="21"/>
        </w:rPr>
        <w:t>（5）使用替代品的理由和原因说明；</w:t>
      </w:r>
    </w:p>
    <w:p w14:paraId="6570AC6D">
      <w:pPr>
        <w:rPr>
          <w:rFonts w:asciiTheme="minorEastAsia" w:hAnsiTheme="minorEastAsia" w:eastAsiaTheme="minorEastAsia"/>
          <w:szCs w:val="21"/>
        </w:rPr>
      </w:pPr>
      <w:r>
        <w:rPr>
          <w:rFonts w:hint="eastAsia" w:asciiTheme="minorEastAsia" w:hAnsiTheme="minorEastAsia" w:eastAsiaTheme="minorEastAsia"/>
          <w:szCs w:val="21"/>
        </w:rPr>
        <w:t>（6）监理人要求的其他文件。</w:t>
      </w:r>
    </w:p>
    <w:p w14:paraId="2AF47BC1">
      <w:pPr>
        <w:rPr>
          <w:rFonts w:asciiTheme="minorEastAsia" w:hAnsiTheme="minorEastAsia" w:eastAsiaTheme="minorEastAsia"/>
          <w:szCs w:val="21"/>
        </w:rPr>
      </w:pPr>
      <w:r>
        <w:rPr>
          <w:rFonts w:hint="eastAsia" w:asciiTheme="minorEastAsia" w:hAnsiTheme="minorEastAsia" w:eastAsiaTheme="minorEastAsia"/>
          <w:szCs w:val="21"/>
        </w:rPr>
        <w:t>监理人应在收到通知后14天内向承包人发出经发包人签认的书面指示；监理人逾期发出书面指示的，视为发包人和监理人同意使用替代品。</w:t>
      </w:r>
    </w:p>
    <w:p w14:paraId="52E25478">
      <w:pPr>
        <w:rPr>
          <w:rFonts w:asciiTheme="minorEastAsia" w:hAnsiTheme="minorEastAsia" w:eastAsiaTheme="minorEastAsia"/>
          <w:szCs w:val="21"/>
        </w:rPr>
      </w:pPr>
      <w:r>
        <w:rPr>
          <w:rFonts w:hint="eastAsia" w:asciiTheme="minorEastAsia" w:hAnsiTheme="minorEastAsia" w:eastAsiaTheme="minorEastAsia"/>
          <w:szCs w:val="21"/>
        </w:rPr>
        <w:t>8.7.3 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4.4款〔商定或确定〕确定价格。</w:t>
      </w:r>
    </w:p>
    <w:p w14:paraId="75E43E8F">
      <w:pPr>
        <w:rPr>
          <w:rFonts w:asciiTheme="minorEastAsia" w:hAnsiTheme="minorEastAsia" w:eastAsiaTheme="minorEastAsia"/>
          <w:szCs w:val="21"/>
        </w:rPr>
      </w:pPr>
      <w:r>
        <w:rPr>
          <w:rFonts w:hint="eastAsia" w:asciiTheme="minorEastAsia" w:hAnsiTheme="minorEastAsia" w:eastAsiaTheme="minorEastAsia"/>
          <w:szCs w:val="21"/>
        </w:rPr>
        <w:t>8.8施工设备和临时设施</w:t>
      </w:r>
    </w:p>
    <w:p w14:paraId="64F89D10">
      <w:pPr>
        <w:rPr>
          <w:rFonts w:asciiTheme="minorEastAsia" w:hAnsiTheme="minorEastAsia" w:eastAsiaTheme="minorEastAsia"/>
          <w:szCs w:val="21"/>
        </w:rPr>
      </w:pPr>
      <w:r>
        <w:rPr>
          <w:rFonts w:hint="eastAsia" w:asciiTheme="minorEastAsia" w:hAnsiTheme="minorEastAsia" w:eastAsiaTheme="minorEastAsia"/>
          <w:szCs w:val="21"/>
        </w:rPr>
        <w:t>8.8.1 承包人提供的施工设备和临时设施</w:t>
      </w:r>
    </w:p>
    <w:p w14:paraId="08715E23">
      <w:pPr>
        <w:rPr>
          <w:rFonts w:asciiTheme="minorEastAsia" w:hAnsiTheme="minorEastAsia" w:eastAsiaTheme="minorEastAsia"/>
          <w:szCs w:val="21"/>
        </w:rPr>
      </w:pPr>
      <w:r>
        <w:rPr>
          <w:rFonts w:hint="eastAsia" w:asciiTheme="minorEastAsia" w:hAnsiTheme="minorEastAsia" w:eastAsiaTheme="minorEastAsia"/>
          <w:szCs w:val="21"/>
        </w:rPr>
        <w:t>承包人应按合同进度计划的要求，及时配置施工设备和修建临时设施。进入施工场地的承包人设备需经监理人核查后才能投入使用。承包人更换合同约定的承包人设备的，应报监理人批准。</w:t>
      </w:r>
    </w:p>
    <w:p w14:paraId="1534C7D8">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除专用合同条款另有约定外，承包人应自行承担修建临时设施的费用，需要临时占地的，应由发包人办理申请手续并承担相应费用。</w:t>
      </w:r>
    </w:p>
    <w:p w14:paraId="22532001">
      <w:pPr>
        <w:rPr>
          <w:rFonts w:asciiTheme="minorEastAsia" w:hAnsiTheme="minorEastAsia" w:eastAsiaTheme="minorEastAsia"/>
          <w:szCs w:val="21"/>
        </w:rPr>
      </w:pPr>
      <w:r>
        <w:rPr>
          <w:rFonts w:hint="eastAsia" w:asciiTheme="minorEastAsia" w:hAnsiTheme="minorEastAsia" w:eastAsiaTheme="minorEastAsia"/>
          <w:szCs w:val="21"/>
        </w:rPr>
        <w:t>8.8.2发包人提供的施工设备和临时设施</w:t>
      </w:r>
    </w:p>
    <w:p w14:paraId="3D8169D0">
      <w:pPr>
        <w:rPr>
          <w:rFonts w:asciiTheme="minorEastAsia" w:hAnsiTheme="minorEastAsia" w:eastAsiaTheme="minorEastAsia"/>
          <w:szCs w:val="21"/>
        </w:rPr>
      </w:pPr>
      <w:r>
        <w:rPr>
          <w:rFonts w:hint="eastAsia" w:asciiTheme="minorEastAsia" w:hAnsiTheme="minorEastAsia" w:eastAsiaTheme="minorEastAsia"/>
          <w:szCs w:val="21"/>
        </w:rPr>
        <w:t>发包人提供的施工设备或临时设施在专用合同条款中约定。</w:t>
      </w:r>
    </w:p>
    <w:p w14:paraId="4570B1C3">
      <w:pPr>
        <w:rPr>
          <w:rFonts w:asciiTheme="minorEastAsia" w:hAnsiTheme="minorEastAsia" w:eastAsiaTheme="minorEastAsia"/>
          <w:szCs w:val="21"/>
        </w:rPr>
      </w:pPr>
      <w:r>
        <w:rPr>
          <w:rFonts w:hint="eastAsia" w:asciiTheme="minorEastAsia" w:hAnsiTheme="minorEastAsia" w:eastAsiaTheme="minorEastAsia"/>
          <w:szCs w:val="21"/>
        </w:rPr>
        <w:t>8.8.3要求承包人增加或更换施工设备</w:t>
      </w:r>
    </w:p>
    <w:p w14:paraId="6ED04569">
      <w:pPr>
        <w:rPr>
          <w:rFonts w:asciiTheme="minorEastAsia" w:hAnsiTheme="minorEastAsia" w:eastAsiaTheme="minorEastAsia"/>
          <w:szCs w:val="21"/>
        </w:rPr>
      </w:pPr>
      <w:r>
        <w:rPr>
          <w:rFonts w:hint="eastAsia" w:asciiTheme="minorEastAsia" w:hAnsiTheme="minorEastAsia" w:eastAsiaTheme="minorEastAsia"/>
          <w:szCs w:val="21"/>
        </w:rPr>
        <w:t>承包人使用的施工设备不能满足合同进度计划和（或）质量要求时，监理人有权要求承包人增加或更换施工设备，承包人应及时增加或更换，由此增加的费用和（或）延误的工期由承包人承担。</w:t>
      </w:r>
    </w:p>
    <w:p w14:paraId="537F220A">
      <w:pPr>
        <w:rPr>
          <w:rFonts w:asciiTheme="minorEastAsia" w:hAnsiTheme="minorEastAsia" w:eastAsiaTheme="minorEastAsia"/>
          <w:szCs w:val="21"/>
        </w:rPr>
      </w:pPr>
      <w:r>
        <w:rPr>
          <w:rFonts w:hint="eastAsia" w:asciiTheme="minorEastAsia" w:hAnsiTheme="minorEastAsia" w:eastAsiaTheme="minorEastAsia"/>
          <w:szCs w:val="21"/>
        </w:rPr>
        <w:t>8.9材料与设备专用要求</w:t>
      </w:r>
    </w:p>
    <w:p w14:paraId="408D649E">
      <w:pPr>
        <w:rPr>
          <w:rFonts w:asciiTheme="minorEastAsia" w:hAnsiTheme="minorEastAsia" w:eastAsiaTheme="minorEastAsia"/>
          <w:szCs w:val="21"/>
        </w:rPr>
      </w:pPr>
      <w:r>
        <w:rPr>
          <w:rFonts w:hint="eastAsia" w:asciiTheme="minorEastAsia" w:hAnsiTheme="minorEastAsia" w:eastAsiaTheme="minorEastAsia"/>
          <w:szCs w:val="21"/>
        </w:rPr>
        <w:t>承包人运入施工现场的材料、工程设备、施工设备以及在施工场地建设的临时设施，包括备品备件、安装工具与资料，必须专用于工程。未经发包人批准，承包人不得运出施工现场或挪作他用；经发包人批准，承包人可以根据施工进度计划撤走闲置的施工设备和其他物品。</w:t>
      </w:r>
    </w:p>
    <w:p w14:paraId="6B7C00AA">
      <w:pPr>
        <w:rPr>
          <w:rFonts w:asciiTheme="minorEastAsia" w:hAnsiTheme="minorEastAsia" w:eastAsiaTheme="minorEastAsia"/>
          <w:b/>
          <w:szCs w:val="21"/>
        </w:rPr>
      </w:pPr>
      <w:r>
        <w:rPr>
          <w:rFonts w:hint="eastAsia" w:asciiTheme="minorEastAsia" w:hAnsiTheme="minorEastAsia" w:eastAsiaTheme="minorEastAsia"/>
          <w:b/>
          <w:szCs w:val="21"/>
        </w:rPr>
        <w:t>9. 试验与检验</w:t>
      </w:r>
    </w:p>
    <w:p w14:paraId="3680701E">
      <w:pPr>
        <w:rPr>
          <w:rFonts w:asciiTheme="minorEastAsia" w:hAnsiTheme="minorEastAsia" w:eastAsiaTheme="minorEastAsia"/>
          <w:szCs w:val="21"/>
        </w:rPr>
      </w:pPr>
      <w:r>
        <w:rPr>
          <w:rFonts w:hint="eastAsia" w:asciiTheme="minorEastAsia" w:hAnsiTheme="minorEastAsia" w:eastAsiaTheme="minorEastAsia"/>
          <w:szCs w:val="21"/>
        </w:rPr>
        <w:t>9.1试验设备与试验人员</w:t>
      </w:r>
    </w:p>
    <w:p w14:paraId="03ABB63F">
      <w:pPr>
        <w:rPr>
          <w:rFonts w:asciiTheme="minorEastAsia" w:hAnsiTheme="minorEastAsia" w:eastAsiaTheme="minorEastAsia"/>
          <w:szCs w:val="21"/>
        </w:rPr>
      </w:pPr>
      <w:r>
        <w:rPr>
          <w:rFonts w:hint="eastAsia" w:asciiTheme="minorEastAsia" w:hAnsiTheme="minorEastAsia" w:eastAsiaTheme="minorEastAsia"/>
          <w:szCs w:val="21"/>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14:paraId="141F0F93">
      <w:pPr>
        <w:rPr>
          <w:rFonts w:asciiTheme="minorEastAsia" w:hAnsiTheme="minorEastAsia" w:eastAsiaTheme="minorEastAsia"/>
          <w:szCs w:val="21"/>
        </w:rPr>
      </w:pPr>
      <w:r>
        <w:rPr>
          <w:rFonts w:hint="eastAsia" w:asciiTheme="minorEastAsia" w:hAnsiTheme="minorEastAsia" w:eastAsiaTheme="minorEastAsia"/>
          <w:szCs w:val="21"/>
        </w:rPr>
        <w:t>9.1.2 承包人应按专用合同条款的约定提供试验设备、取样装置、试验场所和试验条件，并向监理人提交相应进场计划表。</w:t>
      </w:r>
    </w:p>
    <w:p w14:paraId="2B4D110E">
      <w:pPr>
        <w:rPr>
          <w:rFonts w:asciiTheme="minorEastAsia" w:hAnsiTheme="minorEastAsia" w:eastAsiaTheme="minorEastAsia"/>
          <w:szCs w:val="21"/>
        </w:rPr>
      </w:pPr>
      <w:r>
        <w:rPr>
          <w:rFonts w:hint="eastAsia" w:asciiTheme="minorEastAsia" w:hAnsiTheme="minorEastAsia" w:eastAsiaTheme="minorEastAsia"/>
          <w:szCs w:val="21"/>
        </w:rPr>
        <w:t>承包人配置的试验设备要符合相应试验规程的要求并经过具有资质的检测单位检测，且在正式使用该试验设备前，需要经过监理人与承包人共同校定。</w:t>
      </w:r>
    </w:p>
    <w:p w14:paraId="518278AA">
      <w:pPr>
        <w:rPr>
          <w:rFonts w:asciiTheme="minorEastAsia" w:hAnsiTheme="minorEastAsia" w:eastAsiaTheme="minorEastAsia"/>
          <w:szCs w:val="21"/>
        </w:rPr>
      </w:pPr>
      <w:r>
        <w:rPr>
          <w:rFonts w:hint="eastAsia" w:asciiTheme="minorEastAsia" w:hAnsiTheme="minorEastAsia" w:eastAsiaTheme="minorEastAsia"/>
          <w:szCs w:val="21"/>
        </w:rPr>
        <w:t>9.1.3 承包人应向监理人提交试验人员的名单及其岗位、资格等证明资料，试验人员必须能够熟练进行相应的检测试验，承包人对试验人员的试验程序和试验结果的正确性负责。</w:t>
      </w:r>
    </w:p>
    <w:p w14:paraId="13D72486">
      <w:pPr>
        <w:rPr>
          <w:rFonts w:asciiTheme="minorEastAsia" w:hAnsiTheme="minorEastAsia" w:eastAsiaTheme="minorEastAsia"/>
          <w:szCs w:val="21"/>
        </w:rPr>
      </w:pPr>
      <w:r>
        <w:rPr>
          <w:rFonts w:hint="eastAsia" w:asciiTheme="minorEastAsia" w:hAnsiTheme="minorEastAsia" w:eastAsiaTheme="minorEastAsia"/>
          <w:szCs w:val="21"/>
        </w:rPr>
        <w:t>9.2取样</w:t>
      </w:r>
    </w:p>
    <w:p w14:paraId="1EEB88E3">
      <w:pPr>
        <w:rPr>
          <w:rFonts w:asciiTheme="minorEastAsia" w:hAnsiTheme="minorEastAsia" w:eastAsiaTheme="minorEastAsia"/>
          <w:szCs w:val="21"/>
        </w:rPr>
      </w:pPr>
      <w:r>
        <w:rPr>
          <w:rFonts w:hint="eastAsia" w:asciiTheme="minorEastAsia" w:hAnsiTheme="minorEastAsia" w:eastAsiaTheme="minorEastAsia"/>
          <w:szCs w:val="21"/>
        </w:rPr>
        <w:t>试验属于自检性质的，承包人可以单独取样。试验属于监理人抽检性质的，可由监理人取样，也可由承包人的试验人员在监理人的监督下取样。</w:t>
      </w:r>
    </w:p>
    <w:p w14:paraId="19C17930">
      <w:pPr>
        <w:rPr>
          <w:rFonts w:asciiTheme="minorEastAsia" w:hAnsiTheme="minorEastAsia" w:eastAsiaTheme="minorEastAsia"/>
          <w:szCs w:val="21"/>
        </w:rPr>
      </w:pPr>
      <w:r>
        <w:rPr>
          <w:rFonts w:hint="eastAsia" w:asciiTheme="minorEastAsia" w:hAnsiTheme="minorEastAsia" w:eastAsiaTheme="minorEastAsia"/>
          <w:szCs w:val="21"/>
        </w:rPr>
        <w:t>9.3材料、工程设备和工程的试验和检验</w:t>
      </w:r>
    </w:p>
    <w:p w14:paraId="3B67B2EA">
      <w:pPr>
        <w:rPr>
          <w:rFonts w:asciiTheme="minorEastAsia" w:hAnsiTheme="minorEastAsia" w:eastAsiaTheme="minorEastAsia"/>
          <w:szCs w:val="21"/>
        </w:rPr>
      </w:pPr>
      <w:r>
        <w:rPr>
          <w:rFonts w:hint="eastAsia" w:asciiTheme="minorEastAsia" w:hAnsiTheme="minorEastAsia" w:eastAsiaTheme="minorEastAsia"/>
          <w:szCs w:val="21"/>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58D458A4">
      <w:pPr>
        <w:rPr>
          <w:rFonts w:asciiTheme="minorEastAsia" w:hAnsiTheme="minorEastAsia" w:eastAsiaTheme="minorEastAsia"/>
          <w:szCs w:val="21"/>
        </w:rPr>
      </w:pPr>
      <w:r>
        <w:rPr>
          <w:rFonts w:hint="eastAsia" w:asciiTheme="minorEastAsia" w:hAnsiTheme="minorEastAsia" w:eastAsiaTheme="minorEastAsia"/>
          <w:szCs w:val="21"/>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185DD6EC">
      <w:pPr>
        <w:rPr>
          <w:rFonts w:asciiTheme="minorEastAsia" w:hAnsiTheme="minorEastAsia" w:eastAsiaTheme="minorEastAsia"/>
          <w:szCs w:val="21"/>
        </w:rPr>
      </w:pPr>
      <w:r>
        <w:rPr>
          <w:rFonts w:hint="eastAsia" w:asciiTheme="minorEastAsia" w:hAnsiTheme="minorEastAsia" w:eastAsiaTheme="minorEastAsia"/>
          <w:szCs w:val="21"/>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153DE7FA">
      <w:pPr>
        <w:rPr>
          <w:rFonts w:asciiTheme="minorEastAsia" w:hAnsiTheme="minorEastAsia" w:eastAsiaTheme="minorEastAsia"/>
          <w:szCs w:val="21"/>
        </w:rPr>
      </w:pPr>
      <w:r>
        <w:rPr>
          <w:rFonts w:hint="eastAsia" w:asciiTheme="minorEastAsia" w:hAnsiTheme="minorEastAsia" w:eastAsiaTheme="minorEastAsia"/>
          <w:szCs w:val="21"/>
        </w:rPr>
        <w:t>9.4现场工艺试验</w:t>
      </w:r>
    </w:p>
    <w:p w14:paraId="67E98FD9">
      <w:pPr>
        <w:rPr>
          <w:rFonts w:asciiTheme="minorEastAsia" w:hAnsiTheme="minorEastAsia" w:eastAsiaTheme="minorEastAsia"/>
          <w:szCs w:val="21"/>
        </w:rPr>
      </w:pPr>
      <w:r>
        <w:rPr>
          <w:rFonts w:hint="eastAsia" w:asciiTheme="minorEastAsia" w:hAnsiTheme="minorEastAsia" w:eastAsiaTheme="minorEastAsia"/>
          <w:szCs w:val="21"/>
        </w:rPr>
        <w:t>承包人应按合同约定或监理人指示进行现场工艺试验。对大型的现场工艺试验，监理人认为必要时，承包人应根据监理人提出的工艺试验要求，编制工艺试验措施计划，报送监理人审查。</w:t>
      </w:r>
    </w:p>
    <w:p w14:paraId="343A1F55">
      <w:pPr>
        <w:rPr>
          <w:rFonts w:asciiTheme="minorEastAsia" w:hAnsiTheme="minorEastAsia" w:eastAsiaTheme="minorEastAsia"/>
          <w:b/>
          <w:szCs w:val="21"/>
        </w:rPr>
      </w:pPr>
      <w:r>
        <w:rPr>
          <w:rFonts w:hint="eastAsia" w:asciiTheme="minorEastAsia" w:hAnsiTheme="minorEastAsia" w:eastAsiaTheme="minorEastAsia"/>
          <w:b/>
          <w:szCs w:val="21"/>
        </w:rPr>
        <w:t>10. 变更</w:t>
      </w:r>
    </w:p>
    <w:p w14:paraId="26DD1369">
      <w:pPr>
        <w:rPr>
          <w:rFonts w:asciiTheme="minorEastAsia" w:hAnsiTheme="minorEastAsia" w:eastAsiaTheme="minorEastAsia"/>
          <w:szCs w:val="21"/>
        </w:rPr>
      </w:pPr>
      <w:r>
        <w:rPr>
          <w:rFonts w:hint="eastAsia" w:asciiTheme="minorEastAsia" w:hAnsiTheme="minorEastAsia" w:eastAsiaTheme="minorEastAsia"/>
          <w:szCs w:val="21"/>
        </w:rPr>
        <w:t>10.1变更的范围</w:t>
      </w:r>
    </w:p>
    <w:p w14:paraId="3EDD6892">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除专用合同条款另有约定外，合同履行过程中发生以下情形的，应按照本条约定进行变更：</w:t>
      </w:r>
    </w:p>
    <w:p w14:paraId="5D4A9D5D">
      <w:pPr>
        <w:rPr>
          <w:rFonts w:asciiTheme="minorEastAsia" w:hAnsiTheme="minorEastAsia" w:eastAsiaTheme="minorEastAsia"/>
          <w:szCs w:val="21"/>
        </w:rPr>
      </w:pPr>
      <w:r>
        <w:rPr>
          <w:rFonts w:hint="eastAsia" w:asciiTheme="minorEastAsia" w:hAnsiTheme="minorEastAsia" w:eastAsiaTheme="minorEastAsia"/>
          <w:szCs w:val="21"/>
        </w:rPr>
        <w:t>（1）增加或减少合同中任何工作，或追加额外的工作；</w:t>
      </w:r>
    </w:p>
    <w:p w14:paraId="78F4F040">
      <w:pPr>
        <w:rPr>
          <w:rFonts w:asciiTheme="minorEastAsia" w:hAnsiTheme="minorEastAsia" w:eastAsiaTheme="minorEastAsia"/>
          <w:szCs w:val="21"/>
        </w:rPr>
      </w:pPr>
      <w:r>
        <w:rPr>
          <w:rFonts w:hint="eastAsia" w:asciiTheme="minorEastAsia" w:hAnsiTheme="minorEastAsia" w:eastAsiaTheme="minorEastAsia"/>
          <w:szCs w:val="21"/>
        </w:rPr>
        <w:t>（2）取消合同中任何工作，但转由他人实施的工作除外；</w:t>
      </w:r>
    </w:p>
    <w:p w14:paraId="4A6616B9">
      <w:pPr>
        <w:rPr>
          <w:rFonts w:asciiTheme="minorEastAsia" w:hAnsiTheme="minorEastAsia" w:eastAsiaTheme="minorEastAsia"/>
          <w:szCs w:val="21"/>
        </w:rPr>
      </w:pPr>
      <w:r>
        <w:rPr>
          <w:rFonts w:hint="eastAsia" w:asciiTheme="minorEastAsia" w:hAnsiTheme="minorEastAsia" w:eastAsiaTheme="minorEastAsia"/>
          <w:szCs w:val="21"/>
        </w:rPr>
        <w:t>（3）改变合同中任何工作的质量标准或其他特性；</w:t>
      </w:r>
    </w:p>
    <w:p w14:paraId="0EB0C117">
      <w:pPr>
        <w:rPr>
          <w:rFonts w:asciiTheme="minorEastAsia" w:hAnsiTheme="minorEastAsia" w:eastAsiaTheme="minorEastAsia"/>
          <w:szCs w:val="21"/>
        </w:rPr>
      </w:pPr>
      <w:r>
        <w:rPr>
          <w:rFonts w:hint="eastAsia" w:asciiTheme="minorEastAsia" w:hAnsiTheme="minorEastAsia" w:eastAsiaTheme="minorEastAsia"/>
          <w:szCs w:val="21"/>
        </w:rPr>
        <w:t>（4）改变工程的基线、标高、位置和尺寸；</w:t>
      </w:r>
    </w:p>
    <w:p w14:paraId="5AF880CD">
      <w:pPr>
        <w:rPr>
          <w:rFonts w:asciiTheme="minorEastAsia" w:hAnsiTheme="minorEastAsia" w:eastAsiaTheme="minorEastAsia"/>
          <w:szCs w:val="21"/>
        </w:rPr>
      </w:pPr>
      <w:r>
        <w:rPr>
          <w:rFonts w:hint="eastAsia" w:asciiTheme="minorEastAsia" w:hAnsiTheme="minorEastAsia" w:eastAsiaTheme="minorEastAsia"/>
          <w:szCs w:val="21"/>
        </w:rPr>
        <w:t>（5）改变工程的时间安排或实施顺序。</w:t>
      </w:r>
    </w:p>
    <w:p w14:paraId="790920AF">
      <w:pPr>
        <w:rPr>
          <w:rFonts w:asciiTheme="minorEastAsia" w:hAnsiTheme="minorEastAsia" w:eastAsiaTheme="minorEastAsia"/>
          <w:szCs w:val="21"/>
        </w:rPr>
      </w:pPr>
      <w:r>
        <w:rPr>
          <w:rFonts w:hint="eastAsia" w:asciiTheme="minorEastAsia" w:hAnsiTheme="minorEastAsia" w:eastAsiaTheme="minorEastAsia"/>
          <w:szCs w:val="21"/>
        </w:rPr>
        <w:t>10.2变更权</w:t>
      </w:r>
    </w:p>
    <w:p w14:paraId="161B9277">
      <w:pPr>
        <w:rPr>
          <w:rFonts w:asciiTheme="minorEastAsia" w:hAnsiTheme="minorEastAsia" w:eastAsiaTheme="minorEastAsia"/>
          <w:szCs w:val="21"/>
        </w:rPr>
      </w:pPr>
      <w:r>
        <w:rPr>
          <w:rFonts w:hint="eastAsia" w:asciiTheme="minorEastAsia" w:hAnsiTheme="minorEastAsia" w:eastAsiaTheme="minorEastAsia"/>
          <w:szCs w:val="21"/>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6A4C589D">
      <w:pPr>
        <w:rPr>
          <w:rFonts w:asciiTheme="minorEastAsia" w:hAnsiTheme="minorEastAsia" w:eastAsiaTheme="minorEastAsia"/>
          <w:szCs w:val="21"/>
        </w:rPr>
      </w:pPr>
      <w:r>
        <w:rPr>
          <w:rFonts w:hint="eastAsia" w:asciiTheme="minorEastAsia" w:hAnsiTheme="minorEastAsia" w:eastAsiaTheme="minorEastAsia"/>
          <w:szCs w:val="21"/>
        </w:rPr>
        <w:t>涉及设计变更的，应由设计人提供变更后的图纸和说明。如变更超过原设计标准或批准的建设规模时，发包人应及时办理规划、设计变更等审批手续。</w:t>
      </w:r>
    </w:p>
    <w:p w14:paraId="2419DFCE">
      <w:pPr>
        <w:rPr>
          <w:rFonts w:asciiTheme="minorEastAsia" w:hAnsiTheme="minorEastAsia" w:eastAsiaTheme="minorEastAsia"/>
          <w:szCs w:val="21"/>
        </w:rPr>
      </w:pPr>
      <w:r>
        <w:rPr>
          <w:rFonts w:hint="eastAsia" w:asciiTheme="minorEastAsia" w:hAnsiTheme="minorEastAsia" w:eastAsiaTheme="minorEastAsia"/>
          <w:szCs w:val="21"/>
        </w:rPr>
        <w:t>10.3变更程序</w:t>
      </w:r>
    </w:p>
    <w:p w14:paraId="6999E8D1">
      <w:pPr>
        <w:rPr>
          <w:rFonts w:asciiTheme="minorEastAsia" w:hAnsiTheme="minorEastAsia" w:eastAsiaTheme="minorEastAsia"/>
          <w:szCs w:val="21"/>
        </w:rPr>
      </w:pPr>
      <w:r>
        <w:rPr>
          <w:rFonts w:hint="eastAsia" w:asciiTheme="minorEastAsia" w:hAnsiTheme="minorEastAsia" w:eastAsiaTheme="minorEastAsia"/>
          <w:szCs w:val="21"/>
        </w:rPr>
        <w:t>10.3.1 发包人提出变更</w:t>
      </w:r>
    </w:p>
    <w:p w14:paraId="1EAFAC79">
      <w:pPr>
        <w:rPr>
          <w:rFonts w:asciiTheme="minorEastAsia" w:hAnsiTheme="minorEastAsia" w:eastAsiaTheme="minorEastAsia"/>
          <w:szCs w:val="21"/>
        </w:rPr>
      </w:pPr>
      <w:r>
        <w:rPr>
          <w:rFonts w:hint="eastAsia" w:asciiTheme="minorEastAsia" w:hAnsiTheme="minorEastAsia" w:eastAsiaTheme="minorEastAsia"/>
          <w:szCs w:val="21"/>
        </w:rPr>
        <w:t>发包人提出变更的，应通过监理人向承包人发出变更指示，变更指示应说明计划变更的工程范围和变更的内容。</w:t>
      </w:r>
    </w:p>
    <w:p w14:paraId="4BA55643">
      <w:pPr>
        <w:rPr>
          <w:rFonts w:asciiTheme="minorEastAsia" w:hAnsiTheme="minorEastAsia" w:eastAsiaTheme="minorEastAsia"/>
          <w:szCs w:val="21"/>
        </w:rPr>
      </w:pPr>
      <w:r>
        <w:rPr>
          <w:rFonts w:hint="eastAsia" w:asciiTheme="minorEastAsia" w:hAnsiTheme="minorEastAsia" w:eastAsiaTheme="minorEastAsia"/>
          <w:szCs w:val="21"/>
        </w:rPr>
        <w:t>10.3.2 监理人提出变更建议</w:t>
      </w:r>
    </w:p>
    <w:p w14:paraId="486BEA6A">
      <w:pPr>
        <w:rPr>
          <w:rFonts w:asciiTheme="minorEastAsia" w:hAnsiTheme="minorEastAsia" w:eastAsiaTheme="minorEastAsia"/>
          <w:szCs w:val="21"/>
        </w:rPr>
      </w:pPr>
      <w:r>
        <w:rPr>
          <w:rFonts w:hint="eastAsia" w:asciiTheme="minorEastAsia" w:hAnsiTheme="minorEastAsia" w:eastAsiaTheme="minorEastAsia"/>
          <w:szCs w:val="21"/>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37DFFD33">
      <w:pPr>
        <w:rPr>
          <w:rFonts w:asciiTheme="minorEastAsia" w:hAnsiTheme="minorEastAsia" w:eastAsiaTheme="minorEastAsia"/>
          <w:szCs w:val="21"/>
        </w:rPr>
      </w:pPr>
      <w:r>
        <w:rPr>
          <w:rFonts w:hint="eastAsia" w:asciiTheme="minorEastAsia" w:hAnsiTheme="minorEastAsia" w:eastAsiaTheme="minorEastAsia"/>
          <w:szCs w:val="21"/>
        </w:rPr>
        <w:t>10.3.3 变更执行</w:t>
      </w:r>
    </w:p>
    <w:p w14:paraId="208D01EF">
      <w:pPr>
        <w:rPr>
          <w:rFonts w:asciiTheme="minorEastAsia" w:hAnsiTheme="minorEastAsia" w:eastAsiaTheme="minorEastAsia"/>
          <w:szCs w:val="21"/>
        </w:rPr>
      </w:pPr>
      <w:r>
        <w:rPr>
          <w:rFonts w:hint="eastAsia" w:asciiTheme="minorEastAsia" w:hAnsiTheme="minorEastAsia" w:eastAsiaTheme="minorEastAsia"/>
          <w:szCs w:val="21"/>
        </w:rPr>
        <w:t>承包人收到监理人下达的变更指示后，认为不能执行，应立即提出不能执行该变更指示的理由。承包人认为可以执行变更的，应当书面说明实施该变更指示对合同价格和工期的影响，且合同当事人应当按照第10.4款〔变更估价〕约定确定变更估价。</w:t>
      </w:r>
    </w:p>
    <w:p w14:paraId="4FC95775">
      <w:pPr>
        <w:rPr>
          <w:rFonts w:asciiTheme="minorEastAsia" w:hAnsiTheme="minorEastAsia" w:eastAsiaTheme="minorEastAsia"/>
          <w:szCs w:val="21"/>
        </w:rPr>
      </w:pPr>
      <w:r>
        <w:rPr>
          <w:rFonts w:hint="eastAsia" w:asciiTheme="minorEastAsia" w:hAnsiTheme="minorEastAsia" w:eastAsiaTheme="minorEastAsia"/>
          <w:szCs w:val="21"/>
        </w:rPr>
        <w:t>10.4变更估价</w:t>
      </w:r>
    </w:p>
    <w:p w14:paraId="00AF0769">
      <w:pPr>
        <w:rPr>
          <w:rFonts w:asciiTheme="minorEastAsia" w:hAnsiTheme="minorEastAsia" w:eastAsiaTheme="minorEastAsia"/>
          <w:szCs w:val="21"/>
        </w:rPr>
      </w:pPr>
      <w:r>
        <w:rPr>
          <w:rFonts w:hint="eastAsia" w:asciiTheme="minorEastAsia" w:hAnsiTheme="minorEastAsia" w:eastAsiaTheme="minorEastAsia"/>
          <w:szCs w:val="21"/>
        </w:rPr>
        <w:t>10.4.1 变更估价原则</w:t>
      </w:r>
    </w:p>
    <w:p w14:paraId="26DFDF75">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除专用合同条款另有约定外，变更估价按照本款约定处理：</w:t>
      </w:r>
    </w:p>
    <w:p w14:paraId="2BF04D79">
      <w:pPr>
        <w:rPr>
          <w:rFonts w:asciiTheme="minorEastAsia" w:hAnsiTheme="minorEastAsia" w:eastAsiaTheme="minorEastAsia"/>
          <w:szCs w:val="21"/>
        </w:rPr>
      </w:pPr>
      <w:r>
        <w:rPr>
          <w:rFonts w:hint="eastAsia" w:asciiTheme="minorEastAsia" w:hAnsiTheme="minorEastAsia" w:eastAsiaTheme="minorEastAsia"/>
          <w:szCs w:val="21"/>
        </w:rPr>
        <w:t>（1）已标价工程量清单或预算书有相同项目的，按照相同项目单价认定；</w:t>
      </w:r>
    </w:p>
    <w:p w14:paraId="6A66F212">
      <w:pPr>
        <w:rPr>
          <w:rFonts w:asciiTheme="minorEastAsia" w:hAnsiTheme="minorEastAsia" w:eastAsiaTheme="minorEastAsia"/>
          <w:szCs w:val="21"/>
        </w:rPr>
      </w:pPr>
      <w:r>
        <w:rPr>
          <w:rFonts w:hint="eastAsia" w:asciiTheme="minorEastAsia" w:hAnsiTheme="minorEastAsia" w:eastAsiaTheme="minorEastAsia"/>
          <w:szCs w:val="21"/>
        </w:rPr>
        <w:t>（2）已标价工程量清单或预算书中无相同项目，但有类似项目的，参照类似项目的单价认定；</w:t>
      </w:r>
    </w:p>
    <w:p w14:paraId="1FDA5475">
      <w:pPr>
        <w:rPr>
          <w:rFonts w:asciiTheme="minorEastAsia" w:hAnsiTheme="minorEastAsia" w:eastAsiaTheme="minorEastAsia"/>
          <w:szCs w:val="21"/>
        </w:rPr>
      </w:pPr>
      <w:r>
        <w:rPr>
          <w:rFonts w:hint="eastAsia" w:asciiTheme="minorEastAsia" w:hAnsiTheme="minorEastAsia" w:eastAsiaTheme="minorEastAsia"/>
          <w:szCs w:val="21"/>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商定或确定〕确定变更工作的单价。</w:t>
      </w:r>
    </w:p>
    <w:p w14:paraId="72BAD41F">
      <w:pPr>
        <w:rPr>
          <w:rFonts w:asciiTheme="minorEastAsia" w:hAnsiTheme="minorEastAsia" w:eastAsiaTheme="minorEastAsia"/>
          <w:szCs w:val="21"/>
        </w:rPr>
      </w:pPr>
      <w:r>
        <w:rPr>
          <w:rFonts w:hint="eastAsia" w:asciiTheme="minorEastAsia" w:hAnsiTheme="minorEastAsia" w:eastAsiaTheme="minorEastAsia"/>
          <w:szCs w:val="21"/>
        </w:rPr>
        <w:t>10.4.2 变更估价程序</w:t>
      </w:r>
    </w:p>
    <w:p w14:paraId="4FAED730">
      <w:pPr>
        <w:rPr>
          <w:rFonts w:asciiTheme="minorEastAsia" w:hAnsiTheme="minorEastAsia" w:eastAsiaTheme="minorEastAsia"/>
          <w:szCs w:val="21"/>
        </w:rPr>
      </w:pPr>
      <w:r>
        <w:rPr>
          <w:rFonts w:hint="eastAsia" w:asciiTheme="minorEastAsia" w:hAnsiTheme="minorEastAsia" w:eastAsiaTheme="minorEastAsia"/>
          <w:szCs w:val="21"/>
        </w:rPr>
        <w:t>承包人应在收到变更指示后14天内，向监理人提交变更估价申请。监理人应在收到承包人提交的变更估价申请后7天内审查完毕并报送发包人，监理人对变更估价申请有异议，通知承包人修改后重新提交。发包人应在承包人提交变更估价申请后14天内审批完毕。发包人逾期未完成审批或未提出异议的，视为认可承包人提交的变更估价申请。</w:t>
      </w:r>
    </w:p>
    <w:p w14:paraId="666C2E8F">
      <w:pPr>
        <w:rPr>
          <w:rFonts w:asciiTheme="minorEastAsia" w:hAnsiTheme="minorEastAsia" w:eastAsiaTheme="minorEastAsia"/>
          <w:szCs w:val="21"/>
        </w:rPr>
      </w:pPr>
      <w:r>
        <w:rPr>
          <w:rFonts w:hint="eastAsia" w:asciiTheme="minorEastAsia" w:hAnsiTheme="minorEastAsia" w:eastAsiaTheme="minorEastAsia"/>
          <w:szCs w:val="21"/>
        </w:rPr>
        <w:t>因变更引起的价格调整应计入最近一期的进度款中支付。</w:t>
      </w:r>
    </w:p>
    <w:p w14:paraId="67F649E7">
      <w:pPr>
        <w:rPr>
          <w:rFonts w:asciiTheme="minorEastAsia" w:hAnsiTheme="minorEastAsia" w:eastAsiaTheme="minorEastAsia"/>
          <w:szCs w:val="21"/>
        </w:rPr>
      </w:pPr>
      <w:r>
        <w:rPr>
          <w:rFonts w:hint="eastAsia" w:asciiTheme="minorEastAsia" w:hAnsiTheme="minorEastAsia" w:eastAsiaTheme="minorEastAsia"/>
          <w:szCs w:val="21"/>
        </w:rPr>
        <w:t>10.5承包人的合理化建议</w:t>
      </w:r>
    </w:p>
    <w:p w14:paraId="7D054C23">
      <w:pPr>
        <w:rPr>
          <w:rFonts w:asciiTheme="minorEastAsia" w:hAnsiTheme="minorEastAsia" w:eastAsiaTheme="minorEastAsia"/>
          <w:szCs w:val="21"/>
        </w:rPr>
      </w:pPr>
      <w:r>
        <w:rPr>
          <w:rFonts w:hint="eastAsia" w:asciiTheme="minorEastAsia" w:hAnsiTheme="minorEastAsia" w:eastAsiaTheme="minorEastAsia"/>
          <w:szCs w:val="21"/>
        </w:rPr>
        <w:t>承包人提出合理化建议的，应向监理人提交合理化建议说明，说明建议的内容和理由，以及实施该建议对合同价格和工期的影响。</w:t>
      </w:r>
    </w:p>
    <w:p w14:paraId="6F203DEF">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变更估价〕约定执行。发包人不同意变更的，监理人应书面通知承包人。</w:t>
      </w:r>
    </w:p>
    <w:p w14:paraId="4C3B79ED">
      <w:pPr>
        <w:rPr>
          <w:rFonts w:asciiTheme="minorEastAsia" w:hAnsiTheme="minorEastAsia" w:eastAsiaTheme="minorEastAsia"/>
          <w:szCs w:val="21"/>
        </w:rPr>
      </w:pPr>
      <w:r>
        <w:rPr>
          <w:rFonts w:hint="eastAsia" w:asciiTheme="minorEastAsia" w:hAnsiTheme="minorEastAsia" w:eastAsiaTheme="minorEastAsia"/>
          <w:szCs w:val="21"/>
        </w:rPr>
        <w:t>合理化建议降低了合同价格或者提高了工程经济效益的，发包人可对承包人给予奖励，奖励的方法和金额在专用合同条款中约定。</w:t>
      </w:r>
    </w:p>
    <w:p w14:paraId="620D8887">
      <w:pPr>
        <w:rPr>
          <w:rFonts w:asciiTheme="minorEastAsia" w:hAnsiTheme="minorEastAsia" w:eastAsiaTheme="minorEastAsia"/>
          <w:szCs w:val="21"/>
        </w:rPr>
      </w:pPr>
      <w:r>
        <w:rPr>
          <w:rFonts w:hint="eastAsia" w:asciiTheme="minorEastAsia" w:hAnsiTheme="minorEastAsia" w:eastAsiaTheme="minorEastAsia"/>
          <w:szCs w:val="21"/>
        </w:rPr>
        <w:t xml:space="preserve">10.6变更引起的工期调整   </w:t>
      </w:r>
    </w:p>
    <w:p w14:paraId="203D392E">
      <w:pPr>
        <w:rPr>
          <w:rFonts w:asciiTheme="minorEastAsia" w:hAnsiTheme="minorEastAsia" w:eastAsiaTheme="minorEastAsia"/>
          <w:szCs w:val="21"/>
        </w:rPr>
      </w:pPr>
      <w:r>
        <w:rPr>
          <w:rFonts w:hint="eastAsia" w:asciiTheme="minorEastAsia" w:hAnsiTheme="minorEastAsia" w:eastAsiaTheme="minorEastAsia"/>
          <w:szCs w:val="21"/>
        </w:rPr>
        <w:t>因变更引起工期变化的，合同当事人均可要求调整合同工期，由合同当事人按照第4.4款〔商定或确定〕并参考工程所在地的工期定额标准确定增减工期天数。</w:t>
      </w:r>
    </w:p>
    <w:p w14:paraId="7190B972">
      <w:pPr>
        <w:rPr>
          <w:rFonts w:asciiTheme="minorEastAsia" w:hAnsiTheme="minorEastAsia" w:eastAsiaTheme="minorEastAsia"/>
          <w:szCs w:val="21"/>
        </w:rPr>
      </w:pPr>
      <w:r>
        <w:rPr>
          <w:rFonts w:hint="eastAsia" w:asciiTheme="minorEastAsia" w:hAnsiTheme="minorEastAsia" w:eastAsiaTheme="minorEastAsia"/>
          <w:szCs w:val="21"/>
        </w:rPr>
        <w:t>10.7暂估价</w:t>
      </w:r>
    </w:p>
    <w:p w14:paraId="79F32AE5">
      <w:pPr>
        <w:rPr>
          <w:rFonts w:asciiTheme="minorEastAsia" w:hAnsiTheme="minorEastAsia" w:eastAsiaTheme="minorEastAsia"/>
          <w:szCs w:val="21"/>
        </w:rPr>
      </w:pPr>
      <w:r>
        <w:rPr>
          <w:rFonts w:hint="eastAsia" w:asciiTheme="minorEastAsia" w:hAnsiTheme="minorEastAsia" w:eastAsiaTheme="minorEastAsia"/>
          <w:szCs w:val="21"/>
        </w:rPr>
        <w:t>暂估价专业分包工程、服务、材料和工程设备的明细由合同当事人在专用合同条款中约定。</w:t>
      </w:r>
    </w:p>
    <w:p w14:paraId="681696AD">
      <w:pPr>
        <w:rPr>
          <w:rFonts w:asciiTheme="minorEastAsia" w:hAnsiTheme="minorEastAsia" w:eastAsiaTheme="minorEastAsia"/>
          <w:szCs w:val="21"/>
        </w:rPr>
      </w:pPr>
      <w:r>
        <w:rPr>
          <w:rFonts w:hint="eastAsia" w:asciiTheme="minorEastAsia" w:hAnsiTheme="minorEastAsia" w:eastAsiaTheme="minorEastAsia"/>
          <w:szCs w:val="21"/>
        </w:rPr>
        <w:t>10.7.1 依法必须招标的暂估价项目</w:t>
      </w:r>
    </w:p>
    <w:p w14:paraId="21475372">
      <w:pPr>
        <w:rPr>
          <w:rFonts w:asciiTheme="minorEastAsia" w:hAnsiTheme="minorEastAsia" w:eastAsiaTheme="minorEastAsia"/>
          <w:szCs w:val="21"/>
        </w:rPr>
      </w:pPr>
      <w:r>
        <w:rPr>
          <w:rFonts w:hint="eastAsia" w:asciiTheme="minorEastAsia" w:hAnsiTheme="minorEastAsia" w:eastAsiaTheme="minorEastAsia"/>
          <w:szCs w:val="21"/>
        </w:rPr>
        <w:t>对于依法必须招标的暂估价项目，采取以下第1种方式确定。合同当事人也可以在专用合同条款中选择其他招标方式。</w:t>
      </w:r>
    </w:p>
    <w:p w14:paraId="63897A47">
      <w:pPr>
        <w:rPr>
          <w:rFonts w:asciiTheme="minorEastAsia" w:hAnsiTheme="minorEastAsia" w:eastAsiaTheme="minorEastAsia"/>
          <w:szCs w:val="21"/>
        </w:rPr>
      </w:pPr>
      <w:r>
        <w:rPr>
          <w:rFonts w:hint="eastAsia" w:asciiTheme="minorEastAsia" w:hAnsiTheme="minorEastAsia" w:eastAsiaTheme="minorEastAsia"/>
          <w:szCs w:val="21"/>
        </w:rPr>
        <w:t>第1种方式：对于依法必须招标的暂估价项目，由承包人招标，对该暂估价项目的确认和批准按照以下约定执行：</w:t>
      </w:r>
    </w:p>
    <w:p w14:paraId="627BBB5E">
      <w:pPr>
        <w:rPr>
          <w:rFonts w:asciiTheme="minorEastAsia" w:hAnsiTheme="minorEastAsia" w:eastAsiaTheme="minorEastAsia"/>
          <w:szCs w:val="21"/>
        </w:rPr>
      </w:pPr>
      <w:r>
        <w:rPr>
          <w:rFonts w:hint="eastAsia" w:asciiTheme="minorEastAsia" w:hAnsiTheme="minorEastAsia" w:eastAsiaTheme="minorEastAsia"/>
          <w:szCs w:val="21"/>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14:paraId="3A754DF9">
      <w:pPr>
        <w:rPr>
          <w:rFonts w:asciiTheme="minorEastAsia" w:hAnsiTheme="minorEastAsia" w:eastAsiaTheme="minorEastAsia"/>
          <w:szCs w:val="21"/>
        </w:rPr>
      </w:pPr>
      <w:r>
        <w:rPr>
          <w:rFonts w:hint="eastAsia" w:asciiTheme="minorEastAsia" w:hAnsiTheme="minorEastAsia" w:eastAsiaTheme="minorEastAsia"/>
          <w:szCs w:val="21"/>
        </w:rPr>
        <w:t>（2）承包人应当根据施工进度计划，提前14天将竞争性磋商文件通过监理人报送发包人审批，发包人应当在收到承包人报送的相关文件后7天内完成审批或提出修改意见；发包人有权确定采购最高限价并按照法律规定参加评标；</w:t>
      </w:r>
    </w:p>
    <w:p w14:paraId="799CEC4E">
      <w:pPr>
        <w:rPr>
          <w:rFonts w:asciiTheme="minorEastAsia" w:hAnsiTheme="minorEastAsia" w:eastAsiaTheme="minorEastAsia"/>
          <w:szCs w:val="21"/>
        </w:rPr>
      </w:pPr>
      <w:r>
        <w:rPr>
          <w:rFonts w:hint="eastAsia" w:asciiTheme="minorEastAsia" w:hAnsiTheme="minorEastAsia" w:eastAsiaTheme="minorEastAsia"/>
          <w:szCs w:val="21"/>
        </w:rPr>
        <w:t>（3）承包人与供应商、分包人在签订暂估价合同前，应当提前7天将确定的中标候选供应商或中标候选分包人的资料报送发包人，发包人应在收到资料后3天内与承包人共同确定成交人；承包人应当在签订合同后7天内，将暂估价合同副本报送发包人留存。</w:t>
      </w:r>
    </w:p>
    <w:p w14:paraId="14F9DDF3">
      <w:pPr>
        <w:rPr>
          <w:rFonts w:asciiTheme="minorEastAsia" w:hAnsiTheme="minorEastAsia" w:eastAsiaTheme="minorEastAsia"/>
          <w:szCs w:val="21"/>
        </w:rPr>
      </w:pPr>
      <w:r>
        <w:rPr>
          <w:rFonts w:hint="eastAsia" w:asciiTheme="minorEastAsia" w:hAnsiTheme="minorEastAsia" w:eastAsiaTheme="minorEastAsia"/>
          <w:szCs w:val="21"/>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成交人后，由发包人、承包人与成交人共同签订暂估价合同。</w:t>
      </w:r>
    </w:p>
    <w:p w14:paraId="18DD2716">
      <w:pPr>
        <w:rPr>
          <w:rFonts w:asciiTheme="minorEastAsia" w:hAnsiTheme="minorEastAsia" w:eastAsiaTheme="minorEastAsia"/>
          <w:szCs w:val="21"/>
        </w:rPr>
      </w:pPr>
      <w:r>
        <w:rPr>
          <w:rFonts w:hint="eastAsia" w:asciiTheme="minorEastAsia" w:hAnsiTheme="minorEastAsia" w:eastAsiaTheme="minorEastAsia"/>
          <w:szCs w:val="21"/>
        </w:rPr>
        <w:t>10.7.2不属于依法必须招标的暂估价项目</w:t>
      </w:r>
    </w:p>
    <w:p w14:paraId="50AE25DB">
      <w:pPr>
        <w:rPr>
          <w:rFonts w:asciiTheme="minorEastAsia" w:hAnsiTheme="minorEastAsia" w:eastAsiaTheme="minorEastAsia"/>
          <w:szCs w:val="21"/>
        </w:rPr>
      </w:pPr>
      <w:r>
        <w:rPr>
          <w:rFonts w:hint="eastAsia" w:asciiTheme="minorEastAsia" w:hAnsiTheme="minorEastAsia" w:eastAsiaTheme="minorEastAsia"/>
          <w:szCs w:val="21"/>
        </w:rPr>
        <w:t xml:space="preserve">除专用合同条款另有约定外，对于不属于依法必须招标的暂估价项目，采取以下第1种方式确定： </w:t>
      </w:r>
    </w:p>
    <w:p w14:paraId="4EAA1B8C">
      <w:pPr>
        <w:rPr>
          <w:rFonts w:asciiTheme="minorEastAsia" w:hAnsiTheme="minorEastAsia" w:eastAsiaTheme="minorEastAsia"/>
          <w:szCs w:val="21"/>
        </w:rPr>
      </w:pPr>
      <w:r>
        <w:rPr>
          <w:rFonts w:hint="eastAsia" w:asciiTheme="minorEastAsia" w:hAnsiTheme="minorEastAsia" w:eastAsiaTheme="minorEastAsia"/>
          <w:szCs w:val="21"/>
        </w:rPr>
        <w:t>第1种方式：对于不属于依法必须招标的暂估价项目，按本项约定确认和批准：</w:t>
      </w:r>
    </w:p>
    <w:p w14:paraId="06A26DCB">
      <w:pPr>
        <w:rPr>
          <w:rFonts w:asciiTheme="minorEastAsia" w:hAnsiTheme="minorEastAsia" w:eastAsiaTheme="minorEastAsia"/>
          <w:szCs w:val="21"/>
        </w:rPr>
      </w:pPr>
      <w:r>
        <w:rPr>
          <w:rFonts w:hint="eastAsia" w:asciiTheme="minorEastAsia" w:hAnsiTheme="minorEastAsia" w:eastAsiaTheme="minorEastAsia"/>
          <w:szCs w:val="21"/>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14:paraId="3D2E8D8C">
      <w:pPr>
        <w:rPr>
          <w:rFonts w:asciiTheme="minorEastAsia" w:hAnsiTheme="minorEastAsia" w:eastAsiaTheme="minorEastAsia"/>
          <w:szCs w:val="21"/>
        </w:rPr>
      </w:pPr>
      <w:r>
        <w:rPr>
          <w:rFonts w:hint="eastAsia" w:asciiTheme="minorEastAsia" w:hAnsiTheme="minorEastAsia" w:eastAsiaTheme="minorEastAsia"/>
          <w:szCs w:val="21"/>
        </w:rPr>
        <w:t>（2）发包人认为承包人确定的供应商、分包人无法满足工程质量或合同要求的，发包人可以要求承包人重新确定暂估价项目的供应商、分包人;</w:t>
      </w:r>
    </w:p>
    <w:p w14:paraId="2F9A79C4">
      <w:pPr>
        <w:rPr>
          <w:rFonts w:asciiTheme="minorEastAsia" w:hAnsiTheme="minorEastAsia" w:eastAsiaTheme="minorEastAsia"/>
          <w:szCs w:val="21"/>
        </w:rPr>
      </w:pPr>
      <w:r>
        <w:rPr>
          <w:rFonts w:hint="eastAsia" w:asciiTheme="minorEastAsia" w:hAnsiTheme="minorEastAsia" w:eastAsiaTheme="minorEastAsia"/>
          <w:szCs w:val="21"/>
        </w:rPr>
        <w:t>（3）承包人应当在签订暂估价合同后7天内，将暂估价合同副本报送发包人留存。</w:t>
      </w:r>
    </w:p>
    <w:p w14:paraId="4E074F02">
      <w:pPr>
        <w:rPr>
          <w:rFonts w:asciiTheme="minorEastAsia" w:hAnsiTheme="minorEastAsia" w:eastAsiaTheme="minorEastAsia"/>
          <w:szCs w:val="21"/>
        </w:rPr>
      </w:pPr>
      <w:r>
        <w:rPr>
          <w:rFonts w:hint="eastAsia" w:asciiTheme="minorEastAsia" w:hAnsiTheme="minorEastAsia" w:eastAsiaTheme="minorEastAsia"/>
          <w:szCs w:val="21"/>
        </w:rPr>
        <w:t>第2种方式：承包人按照第10.7.1项〔依法必须招标的暂估价项目〕约定的第1种方式确定暂估价项目。</w:t>
      </w:r>
    </w:p>
    <w:p w14:paraId="7EDA2938">
      <w:pPr>
        <w:rPr>
          <w:rFonts w:asciiTheme="minorEastAsia" w:hAnsiTheme="minorEastAsia" w:eastAsiaTheme="minorEastAsia"/>
          <w:szCs w:val="21"/>
        </w:rPr>
      </w:pPr>
      <w:r>
        <w:rPr>
          <w:rFonts w:hint="eastAsia" w:asciiTheme="minorEastAsia" w:hAnsiTheme="minorEastAsia" w:eastAsiaTheme="minorEastAsia"/>
          <w:szCs w:val="21"/>
        </w:rPr>
        <w:t>第3种方式：承包人直接实施的暂估价项目</w:t>
      </w:r>
    </w:p>
    <w:p w14:paraId="4B57A4ED">
      <w:pPr>
        <w:rPr>
          <w:rFonts w:asciiTheme="minorEastAsia" w:hAnsiTheme="minorEastAsia" w:eastAsiaTheme="minorEastAsia"/>
          <w:szCs w:val="21"/>
        </w:rPr>
      </w:pPr>
      <w:r>
        <w:rPr>
          <w:rFonts w:hint="eastAsia" w:asciiTheme="minorEastAsia" w:hAnsiTheme="minorEastAsia" w:eastAsiaTheme="minorEastAsia"/>
          <w:szCs w:val="21"/>
        </w:rPr>
        <w:t>承包人具备实施暂估价项目的资格和条件的，经发包人和承包人协商一致后，可由承包人自行实施暂估价项目，合同当事人可以在专用合同条款约定具体事项。</w:t>
      </w:r>
    </w:p>
    <w:p w14:paraId="07437476">
      <w:pPr>
        <w:rPr>
          <w:rFonts w:asciiTheme="minorEastAsia" w:hAnsiTheme="minorEastAsia" w:eastAsiaTheme="minorEastAsia"/>
          <w:szCs w:val="21"/>
        </w:rPr>
      </w:pPr>
      <w:r>
        <w:rPr>
          <w:rFonts w:hint="eastAsia" w:asciiTheme="minorEastAsia" w:hAnsiTheme="minorEastAsia" w:eastAsiaTheme="minorEastAsia"/>
          <w:szCs w:val="21"/>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52E2CB56">
      <w:pPr>
        <w:rPr>
          <w:rFonts w:asciiTheme="minorEastAsia" w:hAnsiTheme="minorEastAsia" w:eastAsiaTheme="minorEastAsia"/>
          <w:szCs w:val="21"/>
        </w:rPr>
      </w:pPr>
      <w:r>
        <w:rPr>
          <w:rFonts w:hint="eastAsia" w:asciiTheme="minorEastAsia" w:hAnsiTheme="minorEastAsia" w:eastAsiaTheme="minorEastAsia"/>
          <w:szCs w:val="21"/>
        </w:rPr>
        <w:t>10.8暂列金额</w:t>
      </w:r>
    </w:p>
    <w:p w14:paraId="797F9CB0">
      <w:pPr>
        <w:rPr>
          <w:rFonts w:asciiTheme="minorEastAsia" w:hAnsiTheme="minorEastAsia" w:eastAsiaTheme="minorEastAsia"/>
          <w:szCs w:val="21"/>
        </w:rPr>
      </w:pPr>
      <w:r>
        <w:rPr>
          <w:rFonts w:hint="eastAsia" w:asciiTheme="minorEastAsia" w:hAnsiTheme="minorEastAsia" w:eastAsiaTheme="minorEastAsia"/>
          <w:szCs w:val="21"/>
        </w:rPr>
        <w:t>暂列金额应按照发包人的要求使用，发包人的要求应通过监理人发出。合同当事人可以在专用合同条款中协商确定有关事项。</w:t>
      </w:r>
    </w:p>
    <w:p w14:paraId="58D500A2">
      <w:pPr>
        <w:rPr>
          <w:rFonts w:asciiTheme="minorEastAsia" w:hAnsiTheme="minorEastAsia" w:eastAsiaTheme="minorEastAsia"/>
          <w:szCs w:val="21"/>
        </w:rPr>
      </w:pPr>
      <w:r>
        <w:rPr>
          <w:rFonts w:hint="eastAsia" w:asciiTheme="minorEastAsia" w:hAnsiTheme="minorEastAsia" w:eastAsiaTheme="minorEastAsia"/>
          <w:szCs w:val="21"/>
        </w:rPr>
        <w:t xml:space="preserve">10.9计日工 </w:t>
      </w:r>
    </w:p>
    <w:p w14:paraId="5ECDE0CD">
      <w:pPr>
        <w:rPr>
          <w:rFonts w:asciiTheme="minorEastAsia" w:hAnsiTheme="minorEastAsia" w:eastAsiaTheme="minorEastAsia"/>
          <w:szCs w:val="21"/>
        </w:rPr>
      </w:pPr>
      <w:r>
        <w:rPr>
          <w:rFonts w:hint="eastAsia" w:asciiTheme="minorEastAsia" w:hAnsiTheme="minorEastAsia" w:eastAsiaTheme="minorEastAsia"/>
          <w:szCs w:val="21"/>
        </w:rPr>
        <w:t>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4.4款〔商定或确定〕确定计日工的单价。</w:t>
      </w:r>
    </w:p>
    <w:p w14:paraId="035327DC">
      <w:pPr>
        <w:rPr>
          <w:rFonts w:asciiTheme="minorEastAsia" w:hAnsiTheme="minorEastAsia" w:eastAsiaTheme="minorEastAsia"/>
          <w:szCs w:val="21"/>
        </w:rPr>
      </w:pPr>
      <w:r>
        <w:rPr>
          <w:rFonts w:hint="eastAsia" w:asciiTheme="minorEastAsia" w:hAnsiTheme="minorEastAsia" w:eastAsiaTheme="minorEastAsia"/>
          <w:szCs w:val="21"/>
        </w:rPr>
        <w:t>采用计日工计价的任何一项工作，承包人应在该项工作实施过程中，每天提交以下报表和有关凭证报送监理人审查：</w:t>
      </w:r>
    </w:p>
    <w:p w14:paraId="4E034BEE">
      <w:pPr>
        <w:rPr>
          <w:rFonts w:asciiTheme="minorEastAsia" w:hAnsiTheme="minorEastAsia" w:eastAsiaTheme="minorEastAsia"/>
          <w:szCs w:val="21"/>
        </w:rPr>
      </w:pPr>
      <w:r>
        <w:rPr>
          <w:rFonts w:hint="eastAsia" w:asciiTheme="minorEastAsia" w:hAnsiTheme="minorEastAsia" w:eastAsiaTheme="minorEastAsia"/>
          <w:szCs w:val="21"/>
        </w:rPr>
        <w:t>（1）工作名称、内容和数量；</w:t>
      </w:r>
    </w:p>
    <w:p w14:paraId="4F4CFFB2">
      <w:pPr>
        <w:rPr>
          <w:rFonts w:asciiTheme="minorEastAsia" w:hAnsiTheme="minorEastAsia" w:eastAsiaTheme="minorEastAsia"/>
          <w:szCs w:val="21"/>
        </w:rPr>
      </w:pPr>
      <w:r>
        <w:rPr>
          <w:rFonts w:hint="eastAsia" w:asciiTheme="minorEastAsia" w:hAnsiTheme="minorEastAsia" w:eastAsiaTheme="minorEastAsia"/>
          <w:szCs w:val="21"/>
        </w:rPr>
        <w:t>（2）投入该工作的所有人员的姓名、专业、工种、级别和耗用工时；</w:t>
      </w:r>
    </w:p>
    <w:p w14:paraId="512AF96E">
      <w:pPr>
        <w:rPr>
          <w:rFonts w:asciiTheme="minorEastAsia" w:hAnsiTheme="minorEastAsia" w:eastAsiaTheme="minorEastAsia"/>
          <w:szCs w:val="21"/>
        </w:rPr>
      </w:pPr>
      <w:r>
        <w:rPr>
          <w:rFonts w:hint="eastAsia" w:asciiTheme="minorEastAsia" w:hAnsiTheme="minorEastAsia" w:eastAsiaTheme="minorEastAsia"/>
          <w:szCs w:val="21"/>
        </w:rPr>
        <w:t>（3）投入该工作的材料类别和数量；</w:t>
      </w:r>
    </w:p>
    <w:p w14:paraId="34AB96EA">
      <w:pPr>
        <w:rPr>
          <w:rFonts w:asciiTheme="minorEastAsia" w:hAnsiTheme="minorEastAsia" w:eastAsiaTheme="minorEastAsia"/>
          <w:szCs w:val="21"/>
        </w:rPr>
      </w:pPr>
      <w:r>
        <w:rPr>
          <w:rFonts w:hint="eastAsia" w:asciiTheme="minorEastAsia" w:hAnsiTheme="minorEastAsia" w:eastAsiaTheme="minorEastAsia"/>
          <w:szCs w:val="21"/>
        </w:rPr>
        <w:t>（4）投入该工作的施工设备型号、台数和耗用台时；</w:t>
      </w:r>
    </w:p>
    <w:p w14:paraId="730CEF75">
      <w:pPr>
        <w:rPr>
          <w:rFonts w:asciiTheme="minorEastAsia" w:hAnsiTheme="minorEastAsia" w:eastAsiaTheme="minorEastAsia"/>
          <w:szCs w:val="21"/>
        </w:rPr>
      </w:pPr>
      <w:r>
        <w:rPr>
          <w:rFonts w:hint="eastAsia" w:asciiTheme="minorEastAsia" w:hAnsiTheme="minorEastAsia" w:eastAsiaTheme="minorEastAsia"/>
          <w:szCs w:val="21"/>
        </w:rPr>
        <w:t>（5）其他有关资料和凭证。</w:t>
      </w:r>
    </w:p>
    <w:p w14:paraId="266DFD19">
      <w:pPr>
        <w:rPr>
          <w:rFonts w:asciiTheme="minorEastAsia" w:hAnsiTheme="minorEastAsia" w:eastAsiaTheme="minorEastAsia"/>
          <w:szCs w:val="21"/>
        </w:rPr>
      </w:pPr>
      <w:r>
        <w:rPr>
          <w:rFonts w:hint="eastAsia" w:asciiTheme="minorEastAsia" w:hAnsiTheme="minorEastAsia" w:eastAsiaTheme="minorEastAsia"/>
          <w:szCs w:val="21"/>
        </w:rPr>
        <w:t xml:space="preserve"> 计日工由承包人汇总后，列入最近一期进度付款申请单，由监理人审查并经发包人批准后列入进度付款。</w:t>
      </w:r>
    </w:p>
    <w:p w14:paraId="3E129DDF">
      <w:pPr>
        <w:rPr>
          <w:rFonts w:asciiTheme="minorEastAsia" w:hAnsiTheme="minorEastAsia" w:eastAsiaTheme="minorEastAsia"/>
          <w:b/>
          <w:szCs w:val="21"/>
        </w:rPr>
      </w:pPr>
      <w:r>
        <w:rPr>
          <w:rFonts w:hint="eastAsia" w:asciiTheme="minorEastAsia" w:hAnsiTheme="minorEastAsia" w:eastAsiaTheme="minorEastAsia"/>
          <w:b/>
          <w:szCs w:val="21"/>
        </w:rPr>
        <w:t>11. 价格调整</w:t>
      </w:r>
    </w:p>
    <w:p w14:paraId="29E83CF0">
      <w:pPr>
        <w:rPr>
          <w:rFonts w:asciiTheme="minorEastAsia" w:hAnsiTheme="minorEastAsia" w:eastAsiaTheme="minorEastAsia"/>
          <w:szCs w:val="21"/>
        </w:rPr>
      </w:pPr>
      <w:r>
        <w:rPr>
          <w:rFonts w:hint="eastAsia" w:asciiTheme="minorEastAsia" w:hAnsiTheme="minorEastAsia" w:eastAsiaTheme="minorEastAsia"/>
          <w:szCs w:val="21"/>
        </w:rPr>
        <w:t>11.1市场价格波动引起的调整</w:t>
      </w:r>
    </w:p>
    <w:p w14:paraId="3F344E4B">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除专用合同条款另有约定外，市场价格波动超过合同当事人约定的范围，合同价格应当调整。合同当事人可以在专用合同条款中约定选择以下一种方式对合同价格进行调整：</w:t>
      </w:r>
    </w:p>
    <w:p w14:paraId="31D687E0">
      <w:pPr>
        <w:rPr>
          <w:rFonts w:asciiTheme="minorEastAsia" w:hAnsiTheme="minorEastAsia" w:eastAsiaTheme="minorEastAsia"/>
          <w:szCs w:val="21"/>
        </w:rPr>
      </w:pPr>
      <w:r>
        <w:rPr>
          <w:rFonts w:hint="eastAsia" w:asciiTheme="minorEastAsia" w:hAnsiTheme="minorEastAsia" w:eastAsiaTheme="minorEastAsia"/>
          <w:szCs w:val="21"/>
        </w:rPr>
        <w:t>第1种方式：采用价格指数进行价格调整。</w:t>
      </w:r>
    </w:p>
    <w:p w14:paraId="5E4EA23C">
      <w:pPr>
        <w:rPr>
          <w:rFonts w:asciiTheme="minorEastAsia" w:hAnsiTheme="minorEastAsia" w:eastAsiaTheme="minorEastAsia"/>
          <w:szCs w:val="21"/>
        </w:rPr>
      </w:pPr>
      <w:r>
        <w:rPr>
          <w:rFonts w:hint="eastAsia" w:asciiTheme="minorEastAsia" w:hAnsiTheme="minorEastAsia" w:eastAsiaTheme="minorEastAsia"/>
          <w:szCs w:val="21"/>
        </w:rPr>
        <w:t>（1）价格调整公式</w:t>
      </w:r>
    </w:p>
    <w:p w14:paraId="7FFAA732">
      <w:pPr>
        <w:rPr>
          <w:rFonts w:asciiTheme="minorEastAsia" w:hAnsiTheme="minorEastAsia" w:eastAsiaTheme="minorEastAsia"/>
          <w:szCs w:val="21"/>
        </w:rPr>
      </w:pPr>
      <w:r>
        <w:rPr>
          <w:rFonts w:hint="eastAsia" w:asciiTheme="minorEastAsia" w:hAnsiTheme="minorEastAsia" w:eastAsiaTheme="minorEastAsia"/>
          <w:szCs w:val="21"/>
        </w:rPr>
        <w:t>因人工、材料和设备等价格波动影响合同价格时，根据专用合同条款中约定的数据，按以下公式计算差额并调整合同价格：</w:t>
      </w:r>
    </w:p>
    <w:p w14:paraId="6F09CED6">
      <w:pPr>
        <w:rPr>
          <w:rFonts w:asciiTheme="minorEastAsia" w:hAnsiTheme="minorEastAsia" w:eastAsiaTheme="minorEastAsia"/>
          <w:szCs w:val="21"/>
        </w:rPr>
      </w:pPr>
      <w:r>
        <w:rPr>
          <w:rFonts w:hint="eastAsia" w:asciiTheme="minorEastAsia" w:hAnsiTheme="minorEastAsia" w:eastAsiaTheme="minorEastAsia"/>
          <w:szCs w:val="21"/>
        </w:rPr>
        <w:t>公式中：ΔP——需调整的价格差额；</w:t>
      </w:r>
    </w:p>
    <w:p w14:paraId="0509DC6A">
      <w:pPr>
        <w:rPr>
          <w:rFonts w:asciiTheme="minorEastAsia" w:hAnsiTheme="minorEastAsia" w:eastAsiaTheme="minorEastAsia"/>
          <w:szCs w:val="21"/>
        </w:rPr>
      </w:pPr>
      <w:r>
        <w:rPr>
          <w:rFonts w:hint="eastAsia" w:asciiTheme="minorEastAsia" w:hAnsiTheme="minorEastAsia" w:eastAsiaTheme="minorEastAsia"/>
          <w:szCs w:val="21"/>
        </w:rPr>
        <w:t xml:space="preserve"> ——约定的付款证书中承包人应得到的已完成工程量的金额。此项金额应不包括价格调整、不计质量保证金的扣留和支付、预付款的支付和扣回。约定的变更及其他金额已按现行价格计价的，也不计在内；</w:t>
      </w:r>
    </w:p>
    <w:p w14:paraId="01EA70A1">
      <w:pPr>
        <w:rPr>
          <w:rFonts w:asciiTheme="minorEastAsia" w:hAnsiTheme="minorEastAsia" w:eastAsiaTheme="minorEastAsia"/>
          <w:szCs w:val="21"/>
        </w:rPr>
      </w:pPr>
      <w:r>
        <w:rPr>
          <w:rFonts w:hint="eastAsia" w:asciiTheme="minorEastAsia" w:hAnsiTheme="minorEastAsia" w:eastAsiaTheme="minorEastAsia"/>
          <w:szCs w:val="21"/>
        </w:rPr>
        <w:t>A——定值权重（即不调部分的权重）；</w:t>
      </w:r>
    </w:p>
    <w:p w14:paraId="358CA333">
      <w:pPr>
        <w:rPr>
          <w:rFonts w:asciiTheme="minorEastAsia" w:hAnsiTheme="minorEastAsia" w:eastAsiaTheme="minorEastAsia"/>
          <w:szCs w:val="21"/>
        </w:rPr>
      </w:pPr>
      <w:r>
        <w:rPr>
          <w:rFonts w:hint="eastAsia" w:asciiTheme="minorEastAsia" w:hAnsiTheme="minorEastAsia" w:eastAsiaTheme="minorEastAsia"/>
          <w:szCs w:val="21"/>
        </w:rPr>
        <w:t xml:space="preserve"> ——各可调因子的变值权重（即可调部分的权重），为各可调因子在签约合同价中所占的比例；</w:t>
      </w:r>
    </w:p>
    <w:p w14:paraId="5085B4ED">
      <w:pPr>
        <w:rPr>
          <w:rFonts w:asciiTheme="minorEastAsia" w:hAnsiTheme="minorEastAsia" w:eastAsiaTheme="minorEastAsia"/>
          <w:szCs w:val="21"/>
        </w:rPr>
      </w:pPr>
      <w:r>
        <w:rPr>
          <w:rFonts w:hint="eastAsia" w:asciiTheme="minorEastAsia" w:hAnsiTheme="minorEastAsia" w:eastAsiaTheme="minorEastAsia"/>
          <w:szCs w:val="21"/>
        </w:rPr>
        <w:t xml:space="preserve"> ——各可调因子的现行价格指数，指约定的付款证书相关周期最后一天的前42天的各可调因子的价格指数；</w:t>
      </w:r>
    </w:p>
    <w:p w14:paraId="7BCA8BD6">
      <w:pPr>
        <w:rPr>
          <w:rFonts w:asciiTheme="minorEastAsia" w:hAnsiTheme="minorEastAsia" w:eastAsiaTheme="minorEastAsia"/>
          <w:szCs w:val="21"/>
        </w:rPr>
      </w:pPr>
      <w:r>
        <w:rPr>
          <w:rFonts w:hint="eastAsia" w:asciiTheme="minorEastAsia" w:hAnsiTheme="minorEastAsia" w:eastAsiaTheme="minorEastAsia"/>
          <w:szCs w:val="21"/>
        </w:rPr>
        <w:t xml:space="preserve"> ——各可调因子的基本价格指数，指基准日期的各可调因子的价格指数。</w:t>
      </w:r>
    </w:p>
    <w:p w14:paraId="34C55FA6">
      <w:pPr>
        <w:rPr>
          <w:rFonts w:asciiTheme="minorEastAsia" w:hAnsiTheme="minorEastAsia" w:eastAsiaTheme="minorEastAsia"/>
          <w:szCs w:val="21"/>
        </w:rPr>
      </w:pPr>
      <w:r>
        <w:rPr>
          <w:rFonts w:hint="eastAsia" w:asciiTheme="minorEastAsia" w:hAnsiTheme="minorEastAsia" w:eastAsiaTheme="minorEastAsia"/>
          <w:szCs w:val="21"/>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39A3928D">
      <w:pPr>
        <w:rPr>
          <w:rFonts w:asciiTheme="minorEastAsia" w:hAnsiTheme="minorEastAsia" w:eastAsiaTheme="minorEastAsia"/>
          <w:szCs w:val="21"/>
        </w:rPr>
      </w:pPr>
      <w:r>
        <w:rPr>
          <w:rFonts w:hint="eastAsia" w:asciiTheme="minorEastAsia" w:hAnsiTheme="minorEastAsia" w:eastAsiaTheme="minorEastAsia"/>
          <w:szCs w:val="21"/>
        </w:rPr>
        <w:t>（2）暂时确定调整差额</w:t>
      </w:r>
    </w:p>
    <w:p w14:paraId="3598C666">
      <w:pPr>
        <w:rPr>
          <w:rFonts w:asciiTheme="minorEastAsia" w:hAnsiTheme="minorEastAsia" w:eastAsiaTheme="minorEastAsia"/>
          <w:szCs w:val="21"/>
        </w:rPr>
      </w:pPr>
      <w:r>
        <w:rPr>
          <w:rFonts w:hint="eastAsia" w:asciiTheme="minorEastAsia" w:hAnsiTheme="minorEastAsia" w:eastAsiaTheme="minorEastAsia"/>
          <w:szCs w:val="21"/>
        </w:rPr>
        <w:t>在计算调整差额时无现行价格指数的，合同当事人同意暂用前次价格指数计算。实际价格指数有调整的，合同当事人进行相应调整。</w:t>
      </w:r>
    </w:p>
    <w:p w14:paraId="61EAB6C3">
      <w:pPr>
        <w:rPr>
          <w:rFonts w:asciiTheme="minorEastAsia" w:hAnsiTheme="minorEastAsia" w:eastAsiaTheme="minorEastAsia"/>
          <w:szCs w:val="21"/>
        </w:rPr>
      </w:pPr>
      <w:r>
        <w:rPr>
          <w:rFonts w:hint="eastAsia" w:asciiTheme="minorEastAsia" w:hAnsiTheme="minorEastAsia" w:eastAsiaTheme="minorEastAsia"/>
          <w:szCs w:val="21"/>
        </w:rPr>
        <w:t>（3）权重的调整</w:t>
      </w:r>
    </w:p>
    <w:p w14:paraId="61607823">
      <w:pPr>
        <w:rPr>
          <w:rFonts w:asciiTheme="minorEastAsia" w:hAnsiTheme="minorEastAsia" w:eastAsiaTheme="minorEastAsia"/>
          <w:szCs w:val="21"/>
        </w:rPr>
      </w:pPr>
      <w:r>
        <w:rPr>
          <w:rFonts w:hint="eastAsia" w:asciiTheme="minorEastAsia" w:hAnsiTheme="minorEastAsia" w:eastAsiaTheme="minorEastAsia"/>
          <w:szCs w:val="21"/>
        </w:rPr>
        <w:t>因变更导致合同约定的权重不合理时，按照第4.4款〔商定或确定〕执行。</w:t>
      </w:r>
    </w:p>
    <w:p w14:paraId="6A2CB6AD">
      <w:pPr>
        <w:rPr>
          <w:rFonts w:asciiTheme="minorEastAsia" w:hAnsiTheme="minorEastAsia" w:eastAsiaTheme="minorEastAsia"/>
          <w:szCs w:val="21"/>
        </w:rPr>
      </w:pPr>
      <w:r>
        <w:rPr>
          <w:rFonts w:hint="eastAsia" w:asciiTheme="minorEastAsia" w:hAnsiTheme="minorEastAsia" w:eastAsiaTheme="minorEastAsia"/>
          <w:szCs w:val="21"/>
        </w:rPr>
        <w:t>（4）因承包人原因工期延误后的价格调整</w:t>
      </w:r>
    </w:p>
    <w:p w14:paraId="52115505">
      <w:pPr>
        <w:rPr>
          <w:rFonts w:asciiTheme="minorEastAsia" w:hAnsiTheme="minorEastAsia" w:eastAsiaTheme="minorEastAsia"/>
          <w:szCs w:val="21"/>
        </w:rPr>
      </w:pPr>
      <w:r>
        <w:rPr>
          <w:rFonts w:hint="eastAsia" w:asciiTheme="minorEastAsia" w:hAnsiTheme="minorEastAsia" w:eastAsiaTheme="minorEastAsia"/>
          <w:szCs w:val="21"/>
        </w:rPr>
        <w:t>因承包人原因未按期竣工的，对合同约定的竣工日期后继续施工的工程，在使用价格调整公式时，应采用计划竣工日期与实际竣工日期的两个价格指数中较低的一个作为现行价格指数。</w:t>
      </w:r>
    </w:p>
    <w:p w14:paraId="6197694D">
      <w:pPr>
        <w:rPr>
          <w:rFonts w:asciiTheme="minorEastAsia" w:hAnsiTheme="minorEastAsia" w:eastAsiaTheme="minorEastAsia"/>
          <w:szCs w:val="21"/>
        </w:rPr>
      </w:pPr>
      <w:r>
        <w:rPr>
          <w:rFonts w:hint="eastAsia" w:asciiTheme="minorEastAsia" w:hAnsiTheme="minorEastAsia" w:eastAsiaTheme="minorEastAsia"/>
          <w:szCs w:val="21"/>
        </w:rPr>
        <w:t>第2种方式：采用造价信息进行价格调整。</w:t>
      </w:r>
    </w:p>
    <w:p w14:paraId="5888E9CE">
      <w:pPr>
        <w:rPr>
          <w:rFonts w:asciiTheme="minorEastAsia" w:hAnsiTheme="minorEastAsia" w:eastAsiaTheme="minorEastAsia"/>
          <w:szCs w:val="21"/>
        </w:rPr>
      </w:pPr>
      <w:r>
        <w:rPr>
          <w:rFonts w:hint="eastAsia" w:asciiTheme="minorEastAsia" w:hAnsiTheme="minorEastAsia" w:eastAsiaTheme="minorEastAsia"/>
          <w:szCs w:val="21"/>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量应由发包人审批，发包人确认需调整的材料单价及数量，作为调整合同价格的依据。</w:t>
      </w:r>
    </w:p>
    <w:p w14:paraId="2A315E42">
      <w:pPr>
        <w:rPr>
          <w:rFonts w:asciiTheme="minorEastAsia" w:hAnsiTheme="minorEastAsia" w:eastAsiaTheme="minorEastAsia"/>
          <w:szCs w:val="21"/>
        </w:rPr>
      </w:pPr>
      <w:r>
        <w:rPr>
          <w:rFonts w:hint="eastAsia" w:asciiTheme="minorEastAsia" w:hAnsiTheme="minorEastAsia" w:eastAsiaTheme="minorEastAsia"/>
          <w:szCs w:val="21"/>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6474ADF1">
      <w:pPr>
        <w:rPr>
          <w:rFonts w:asciiTheme="minorEastAsia" w:hAnsiTheme="minorEastAsia" w:eastAsiaTheme="minorEastAsia"/>
          <w:szCs w:val="21"/>
        </w:rPr>
      </w:pPr>
      <w:r>
        <w:rPr>
          <w:rFonts w:hint="eastAsia" w:asciiTheme="minorEastAsia" w:hAnsiTheme="minorEastAsia" w:eastAsiaTheme="minorEastAsia"/>
          <w:szCs w:val="21"/>
        </w:rPr>
        <w:t>（2）材料、工程设备价格变化的价款调整按照发包人提供的基准价格，按以下风险范围规定执行:</w:t>
      </w:r>
    </w:p>
    <w:p w14:paraId="1F9EFD6F">
      <w:pPr>
        <w:rPr>
          <w:rFonts w:asciiTheme="minorEastAsia" w:hAnsiTheme="minorEastAsia" w:eastAsiaTheme="minorEastAsia"/>
          <w:szCs w:val="21"/>
        </w:rPr>
      </w:pPr>
      <w:r>
        <w:rPr>
          <w:rFonts w:hint="eastAsia" w:asciiTheme="minorEastAsia" w:hAnsiTheme="minorEastAsia" w:eastAsiaTheme="minorEastAsia"/>
          <w:szCs w:val="21"/>
        </w:rPr>
        <w:t>①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14:paraId="69011AF6">
      <w:pPr>
        <w:rPr>
          <w:rFonts w:asciiTheme="minorEastAsia" w:hAnsiTheme="minorEastAsia" w:eastAsiaTheme="minorEastAsia"/>
          <w:szCs w:val="21"/>
        </w:rPr>
      </w:pPr>
      <w:r>
        <w:rPr>
          <w:rFonts w:hint="eastAsia" w:asciiTheme="minorEastAsia" w:hAnsiTheme="minorEastAsia" w:eastAsiaTheme="minorEastAsia"/>
          <w:szCs w:val="21"/>
        </w:rPr>
        <w:t>②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14:paraId="427B572D">
      <w:pPr>
        <w:rPr>
          <w:rFonts w:asciiTheme="minorEastAsia" w:hAnsiTheme="minorEastAsia" w:eastAsiaTheme="minorEastAsia"/>
          <w:szCs w:val="21"/>
        </w:rPr>
      </w:pPr>
      <w:r>
        <w:rPr>
          <w:rFonts w:hint="eastAsia" w:asciiTheme="minorEastAsia" w:hAnsiTheme="minorEastAsia" w:eastAsiaTheme="minorEastAsia"/>
          <w:szCs w:val="21"/>
        </w:rPr>
        <w:t>③承包人在已标价工程量清单或预算书中载明材料单价等于基准价格的：除专用合同条款另有约定外，合同履行期间材料单价涨跌幅以基准价格为基础超过±5%时，其超过部分据实调整。</w:t>
      </w:r>
    </w:p>
    <w:p w14:paraId="42960BB6">
      <w:pPr>
        <w:rPr>
          <w:rFonts w:asciiTheme="minorEastAsia" w:hAnsiTheme="minorEastAsia" w:eastAsiaTheme="minorEastAsia"/>
          <w:szCs w:val="21"/>
        </w:rPr>
      </w:pPr>
      <w:r>
        <w:rPr>
          <w:rFonts w:hint="eastAsia" w:asciiTheme="minorEastAsia" w:hAnsiTheme="minorEastAsia" w:eastAsiaTheme="minorEastAsia"/>
          <w:szCs w:val="21"/>
        </w:rPr>
        <w:t>④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14:paraId="7D02321D">
      <w:pPr>
        <w:rPr>
          <w:rFonts w:asciiTheme="minorEastAsia" w:hAnsiTheme="minorEastAsia" w:eastAsiaTheme="minorEastAsia"/>
          <w:szCs w:val="21"/>
        </w:rPr>
      </w:pPr>
      <w:r>
        <w:rPr>
          <w:rFonts w:hint="eastAsia" w:asciiTheme="minorEastAsia" w:hAnsiTheme="minorEastAsia" w:eastAsiaTheme="minorEastAsia"/>
          <w:szCs w:val="21"/>
        </w:rPr>
        <w:t>前述基准价格是指由发包人在竞争性磋商文件或专用合同条款中给定的材料、工程设备的价格，该价格原则上应当按照省级或行业建设主管部门或其授权的工程造价管理机构发布的信息价编制。</w:t>
      </w:r>
    </w:p>
    <w:p w14:paraId="7107EB71">
      <w:pPr>
        <w:rPr>
          <w:rFonts w:asciiTheme="minorEastAsia" w:hAnsiTheme="minorEastAsia" w:eastAsiaTheme="minorEastAsia"/>
          <w:szCs w:val="21"/>
        </w:rPr>
      </w:pPr>
      <w:r>
        <w:rPr>
          <w:rFonts w:hint="eastAsia" w:asciiTheme="minorEastAsia" w:hAnsiTheme="minorEastAsia" w:eastAsiaTheme="minorEastAsia"/>
          <w:szCs w:val="21"/>
        </w:rPr>
        <w:t>（3）施工机械台班单价或施工机械使用费发生变化超过省级或行业建设主管部门或其授权的工程造价管理机构规定的范围时，按规定调整合同价格。</w:t>
      </w:r>
    </w:p>
    <w:p w14:paraId="79DA1942">
      <w:pPr>
        <w:rPr>
          <w:rFonts w:asciiTheme="minorEastAsia" w:hAnsiTheme="minorEastAsia" w:eastAsiaTheme="minorEastAsia"/>
          <w:szCs w:val="21"/>
        </w:rPr>
      </w:pPr>
      <w:r>
        <w:rPr>
          <w:rFonts w:hint="eastAsia" w:asciiTheme="minorEastAsia" w:hAnsiTheme="minorEastAsia" w:eastAsiaTheme="minorEastAsia"/>
          <w:szCs w:val="21"/>
        </w:rPr>
        <w:t>第3种方式：专用合同条款约定的其他方式。</w:t>
      </w:r>
    </w:p>
    <w:p w14:paraId="63B742BB">
      <w:pPr>
        <w:rPr>
          <w:rFonts w:asciiTheme="minorEastAsia" w:hAnsiTheme="minorEastAsia" w:eastAsiaTheme="minorEastAsia"/>
          <w:szCs w:val="21"/>
        </w:rPr>
      </w:pPr>
      <w:r>
        <w:rPr>
          <w:rFonts w:hint="eastAsia" w:asciiTheme="minorEastAsia" w:hAnsiTheme="minorEastAsia" w:eastAsiaTheme="minorEastAsia"/>
          <w:szCs w:val="21"/>
        </w:rPr>
        <w:t>11.2法律变化引起的调整</w:t>
      </w:r>
    </w:p>
    <w:p w14:paraId="1C007CA0">
      <w:pPr>
        <w:rPr>
          <w:rFonts w:asciiTheme="minorEastAsia" w:hAnsiTheme="minorEastAsia" w:eastAsiaTheme="minorEastAsia"/>
          <w:szCs w:val="21"/>
        </w:rPr>
      </w:pPr>
      <w:r>
        <w:rPr>
          <w:rFonts w:hint="eastAsia" w:asciiTheme="minorEastAsia" w:hAnsiTheme="minorEastAsia" w:eastAsiaTheme="minorEastAsia"/>
          <w:szCs w:val="21"/>
        </w:rPr>
        <w:t>基准日期后，法律变化导致承包人在合同履行过程中所需要的费用发生除第11.1款〔市场价格波动引起的调整〕约定以外的增加时，由发包人承担由此增加的费用；减少时，应从合同价格中予以扣减。基准日期后，因法律变化造成工期延误时，工期应予以顺延。</w:t>
      </w:r>
    </w:p>
    <w:p w14:paraId="4D748D3F">
      <w:pPr>
        <w:rPr>
          <w:rFonts w:asciiTheme="minorEastAsia" w:hAnsiTheme="minorEastAsia" w:eastAsiaTheme="minorEastAsia"/>
          <w:szCs w:val="21"/>
        </w:rPr>
      </w:pPr>
      <w:r>
        <w:rPr>
          <w:rFonts w:hint="eastAsia" w:asciiTheme="minorEastAsia" w:hAnsiTheme="minorEastAsia" w:eastAsiaTheme="minorEastAsia"/>
          <w:szCs w:val="21"/>
        </w:rPr>
        <w:t>因法律变化引起的合同价格和工期调整，合同当事人无法达成一致的，由总监理工程师按第4.4款〔商定或确定〕的约定处理。</w:t>
      </w:r>
    </w:p>
    <w:p w14:paraId="342A72E9">
      <w:pPr>
        <w:rPr>
          <w:rFonts w:asciiTheme="minorEastAsia" w:hAnsiTheme="minorEastAsia" w:eastAsiaTheme="minorEastAsia"/>
          <w:szCs w:val="21"/>
        </w:rPr>
      </w:pPr>
      <w:r>
        <w:rPr>
          <w:rFonts w:hint="eastAsia" w:asciiTheme="minorEastAsia" w:hAnsiTheme="minorEastAsia" w:eastAsiaTheme="minorEastAsia"/>
          <w:szCs w:val="21"/>
        </w:rPr>
        <w:t>因承包人原因造成工期延误，在工期延误期间出现法律变化的，由此增加的费用和（或）延误的工期由承包人承担。</w:t>
      </w:r>
    </w:p>
    <w:p w14:paraId="25C2DD9D">
      <w:pPr>
        <w:rPr>
          <w:rFonts w:asciiTheme="minorEastAsia" w:hAnsiTheme="minorEastAsia" w:eastAsiaTheme="minorEastAsia"/>
          <w:b/>
          <w:szCs w:val="21"/>
        </w:rPr>
      </w:pPr>
      <w:r>
        <w:rPr>
          <w:rFonts w:hint="eastAsia" w:asciiTheme="minorEastAsia" w:hAnsiTheme="minorEastAsia" w:eastAsiaTheme="minorEastAsia"/>
          <w:b/>
          <w:szCs w:val="21"/>
        </w:rPr>
        <w:t>12. 合同价格、计量与支付</w:t>
      </w:r>
    </w:p>
    <w:p w14:paraId="7559A858">
      <w:pPr>
        <w:rPr>
          <w:rFonts w:asciiTheme="minorEastAsia" w:hAnsiTheme="minorEastAsia" w:eastAsiaTheme="minorEastAsia"/>
          <w:szCs w:val="21"/>
        </w:rPr>
      </w:pPr>
      <w:r>
        <w:rPr>
          <w:rFonts w:hint="eastAsia" w:asciiTheme="minorEastAsia" w:hAnsiTheme="minorEastAsia" w:eastAsiaTheme="minorEastAsia"/>
          <w:szCs w:val="21"/>
        </w:rPr>
        <w:t>12.1 合同价格形式</w:t>
      </w:r>
    </w:p>
    <w:p w14:paraId="6DA1971B">
      <w:pPr>
        <w:rPr>
          <w:rFonts w:asciiTheme="minorEastAsia" w:hAnsiTheme="minorEastAsia" w:eastAsiaTheme="minorEastAsia"/>
          <w:szCs w:val="21"/>
        </w:rPr>
      </w:pPr>
      <w:r>
        <w:rPr>
          <w:rFonts w:hint="eastAsia" w:asciiTheme="minorEastAsia" w:hAnsiTheme="minorEastAsia" w:eastAsiaTheme="minorEastAsia"/>
          <w:szCs w:val="21"/>
        </w:rPr>
        <w:t xml:space="preserve">发包人和承包人应在合同协议书中选择下列一种合同价格形式： </w:t>
      </w:r>
    </w:p>
    <w:p w14:paraId="4927E483">
      <w:pPr>
        <w:rPr>
          <w:rFonts w:asciiTheme="minorEastAsia" w:hAnsiTheme="minorEastAsia" w:eastAsiaTheme="minorEastAsia"/>
          <w:szCs w:val="21"/>
        </w:rPr>
      </w:pPr>
      <w:r>
        <w:rPr>
          <w:rFonts w:hint="eastAsia" w:asciiTheme="minorEastAsia" w:hAnsiTheme="minorEastAsia" w:eastAsiaTheme="minorEastAsia"/>
          <w:szCs w:val="21"/>
        </w:rPr>
        <w:t>1.单价合同</w:t>
      </w:r>
    </w:p>
    <w:p w14:paraId="5B1F34C3">
      <w:pPr>
        <w:rPr>
          <w:rFonts w:asciiTheme="minorEastAsia" w:hAnsiTheme="minorEastAsia" w:eastAsiaTheme="minorEastAsia"/>
          <w:szCs w:val="21"/>
        </w:rPr>
      </w:pPr>
      <w:r>
        <w:rPr>
          <w:rFonts w:hint="eastAsia" w:asciiTheme="minorEastAsia" w:hAnsiTheme="minorEastAsia" w:eastAsiaTheme="minorEastAsia"/>
          <w:szCs w:val="21"/>
        </w:rPr>
        <w:t>单价合同是指合同当事人约定以工程量清单及其综合单价进行合同价格计算、调整和确认的建设工程施工合同，在约定的范围内合同单价不作调整。合同当事人应在专用合同条款中约定综合单价包含的风险范围和风险费用的计算方法，并约定风险范围以外的合同价格的调整方法，其中因市场价格波动引起的调整按第11.1款〔市场价格波动引起的调整〕约定执行。</w:t>
      </w:r>
    </w:p>
    <w:p w14:paraId="725CC8C9">
      <w:pPr>
        <w:rPr>
          <w:rFonts w:asciiTheme="minorEastAsia" w:hAnsiTheme="minorEastAsia" w:eastAsiaTheme="minorEastAsia"/>
          <w:szCs w:val="21"/>
        </w:rPr>
      </w:pPr>
      <w:r>
        <w:rPr>
          <w:rFonts w:hint="eastAsia" w:asciiTheme="minorEastAsia" w:hAnsiTheme="minorEastAsia" w:eastAsiaTheme="minorEastAsia"/>
          <w:szCs w:val="21"/>
        </w:rPr>
        <w:t>2.总价合同</w:t>
      </w:r>
    </w:p>
    <w:p w14:paraId="2B872341">
      <w:pPr>
        <w:rPr>
          <w:rFonts w:asciiTheme="minorEastAsia" w:hAnsiTheme="minorEastAsia" w:eastAsiaTheme="minorEastAsia"/>
          <w:szCs w:val="21"/>
        </w:rPr>
      </w:pPr>
      <w:r>
        <w:rPr>
          <w:rFonts w:hint="eastAsia" w:asciiTheme="minorEastAsia" w:hAnsiTheme="minorEastAsia" w:eastAsiaTheme="minorEastAsia"/>
          <w:szCs w:val="21"/>
        </w:rPr>
        <w:t>总价合同是指合同当事人约定以施工图、已标价工程量清单或预算书及有关条件进行合同价格计算、调整和确认的建设工程施工合同，在约定的范围内合同总价不作调整。合同当事人应在专用合同条款中约定总价包含的风险范围和风险费用的计算方法，并约定风险范围以外的合同价格的调整方法，其中因市场价格波动引起的调整按第11.1款〔市场价格波动引起的调整〕、因法律变化引起的调整按第11.2款〔法律变化引起的调整〕约定执行。</w:t>
      </w:r>
    </w:p>
    <w:p w14:paraId="7C569022">
      <w:pPr>
        <w:rPr>
          <w:rFonts w:asciiTheme="minorEastAsia" w:hAnsiTheme="minorEastAsia" w:eastAsiaTheme="minorEastAsia"/>
          <w:szCs w:val="21"/>
        </w:rPr>
      </w:pPr>
      <w:r>
        <w:rPr>
          <w:rFonts w:hint="eastAsia" w:asciiTheme="minorEastAsia" w:hAnsiTheme="minorEastAsia" w:eastAsiaTheme="minorEastAsia"/>
          <w:szCs w:val="21"/>
        </w:rPr>
        <w:t>3.其它价格形式</w:t>
      </w:r>
    </w:p>
    <w:p w14:paraId="0D3DD868">
      <w:pPr>
        <w:rPr>
          <w:rFonts w:asciiTheme="minorEastAsia" w:hAnsiTheme="minorEastAsia" w:eastAsiaTheme="minorEastAsia"/>
          <w:szCs w:val="21"/>
        </w:rPr>
      </w:pPr>
      <w:r>
        <w:rPr>
          <w:rFonts w:hint="eastAsia" w:asciiTheme="minorEastAsia" w:hAnsiTheme="minorEastAsia" w:eastAsiaTheme="minorEastAsia"/>
          <w:szCs w:val="21"/>
        </w:rPr>
        <w:t>合同当事人可在专用合同条款中约定其他合同价格形式。</w:t>
      </w:r>
    </w:p>
    <w:p w14:paraId="3F7E6488">
      <w:pPr>
        <w:rPr>
          <w:rFonts w:asciiTheme="minorEastAsia" w:hAnsiTheme="minorEastAsia" w:eastAsiaTheme="minorEastAsia"/>
          <w:szCs w:val="21"/>
        </w:rPr>
      </w:pPr>
      <w:r>
        <w:rPr>
          <w:rFonts w:hint="eastAsia" w:asciiTheme="minorEastAsia" w:hAnsiTheme="minorEastAsia" w:eastAsiaTheme="minorEastAsia"/>
          <w:szCs w:val="21"/>
        </w:rPr>
        <w:t>12.2预付款</w:t>
      </w:r>
    </w:p>
    <w:p w14:paraId="314334E4">
      <w:pPr>
        <w:rPr>
          <w:rFonts w:asciiTheme="minorEastAsia" w:hAnsiTheme="minorEastAsia" w:eastAsiaTheme="minorEastAsia"/>
          <w:szCs w:val="21"/>
        </w:rPr>
      </w:pPr>
      <w:r>
        <w:rPr>
          <w:rFonts w:hint="eastAsia" w:asciiTheme="minorEastAsia" w:hAnsiTheme="minorEastAsia" w:eastAsiaTheme="minorEastAsia"/>
          <w:szCs w:val="21"/>
        </w:rPr>
        <w:t>12.2.1预付款的支付</w:t>
      </w:r>
    </w:p>
    <w:p w14:paraId="09449149">
      <w:pPr>
        <w:rPr>
          <w:rFonts w:asciiTheme="minorEastAsia" w:hAnsiTheme="minorEastAsia" w:eastAsiaTheme="minorEastAsia"/>
          <w:szCs w:val="21"/>
        </w:rPr>
      </w:pPr>
      <w:r>
        <w:rPr>
          <w:rFonts w:hint="eastAsia" w:asciiTheme="minorEastAsia" w:hAnsiTheme="minorEastAsia" w:eastAsiaTheme="minorEastAsia"/>
          <w:szCs w:val="21"/>
        </w:rPr>
        <w:t>预付款的支付按照专用合同条款约定执行，但至迟应在开工通知载明的开工日期7天前支付。预付款应当用于材料、工程设备、施工设备的采购及修建临时工程、组织施工队伍进场等。</w:t>
      </w:r>
    </w:p>
    <w:p w14:paraId="1AE8F33E">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除专用合同条款另有约定外，预付款在进度付款中同比例扣回。在颁发工程接收证书前，提前解除合同的，尚未扣完的预付款应与合同价款一并结算。</w:t>
      </w:r>
    </w:p>
    <w:p w14:paraId="404001C4">
      <w:pPr>
        <w:rPr>
          <w:rFonts w:asciiTheme="minorEastAsia" w:hAnsiTheme="minorEastAsia" w:eastAsiaTheme="minorEastAsia"/>
          <w:szCs w:val="21"/>
        </w:rPr>
      </w:pPr>
      <w:r>
        <w:rPr>
          <w:rFonts w:hint="eastAsia" w:asciiTheme="minorEastAsia" w:hAnsiTheme="minorEastAsia" w:eastAsiaTheme="minorEastAsia"/>
          <w:szCs w:val="21"/>
        </w:rPr>
        <w:t>发包人逾期支付预付款超过7天的，承包人有权向发包人发出要求预付的催告通知，发包人收到通知后7天内仍未支付的，承包人有权暂停施工，并按第16.1.1项〔发包人违约的情形〕执行。</w:t>
      </w:r>
    </w:p>
    <w:p w14:paraId="277D2603">
      <w:pPr>
        <w:rPr>
          <w:rFonts w:asciiTheme="minorEastAsia" w:hAnsiTheme="minorEastAsia" w:eastAsiaTheme="minorEastAsia"/>
          <w:szCs w:val="21"/>
        </w:rPr>
      </w:pPr>
      <w:r>
        <w:rPr>
          <w:rFonts w:hint="eastAsia" w:asciiTheme="minorEastAsia" w:hAnsiTheme="minorEastAsia" w:eastAsiaTheme="minorEastAsia"/>
          <w:szCs w:val="21"/>
        </w:rPr>
        <w:t>12.2.2 预付款担保</w:t>
      </w:r>
    </w:p>
    <w:p w14:paraId="05A5ED1B">
      <w:pPr>
        <w:rPr>
          <w:rFonts w:asciiTheme="minorEastAsia" w:hAnsiTheme="minorEastAsia" w:eastAsiaTheme="minorEastAsia"/>
          <w:szCs w:val="21"/>
        </w:rPr>
      </w:pPr>
      <w:r>
        <w:rPr>
          <w:rFonts w:hint="eastAsia" w:asciiTheme="minorEastAsia" w:hAnsiTheme="minorEastAsia" w:eastAsiaTheme="minorEastAsia"/>
          <w:szCs w:val="21"/>
        </w:rPr>
        <w:t>发包人要求承包人提供预付款担保的，承包人应在发包人支付预付款7天前提供预付款担保，专用合同条款另有约定除外。预付款担保可采用银行保函、担保公司担保等形式，具体由合同当事人在专用合同条款中约定。在预付款完全扣回之前，承包人应保证预付款担保持续有效。</w:t>
      </w:r>
    </w:p>
    <w:p w14:paraId="03A33C05">
      <w:pPr>
        <w:rPr>
          <w:rFonts w:asciiTheme="minorEastAsia" w:hAnsiTheme="minorEastAsia" w:eastAsiaTheme="minorEastAsia"/>
          <w:szCs w:val="21"/>
        </w:rPr>
      </w:pPr>
      <w:r>
        <w:rPr>
          <w:rFonts w:hint="eastAsia" w:asciiTheme="minorEastAsia" w:hAnsiTheme="minorEastAsia" w:eastAsiaTheme="minorEastAsia"/>
          <w:szCs w:val="21"/>
        </w:rPr>
        <w:t>发包人在工程款中逐期扣回预付款后，预付款担保额度应相应减少，但剩余的预付款担保金额不得低于未被扣回的预付款金额。</w:t>
      </w:r>
    </w:p>
    <w:p w14:paraId="6DA49EF8">
      <w:pPr>
        <w:rPr>
          <w:rFonts w:asciiTheme="minorEastAsia" w:hAnsiTheme="minorEastAsia" w:eastAsiaTheme="minorEastAsia"/>
          <w:szCs w:val="21"/>
        </w:rPr>
      </w:pPr>
      <w:r>
        <w:rPr>
          <w:rFonts w:hint="eastAsia" w:asciiTheme="minorEastAsia" w:hAnsiTheme="minorEastAsia" w:eastAsiaTheme="minorEastAsia"/>
          <w:szCs w:val="21"/>
        </w:rPr>
        <w:t>12.3计量</w:t>
      </w:r>
    </w:p>
    <w:p w14:paraId="33B8A8D6">
      <w:pPr>
        <w:rPr>
          <w:rFonts w:asciiTheme="minorEastAsia" w:hAnsiTheme="minorEastAsia" w:eastAsiaTheme="minorEastAsia"/>
          <w:szCs w:val="21"/>
        </w:rPr>
      </w:pPr>
      <w:r>
        <w:rPr>
          <w:rFonts w:hint="eastAsia" w:asciiTheme="minorEastAsia" w:hAnsiTheme="minorEastAsia" w:eastAsiaTheme="minorEastAsia"/>
          <w:szCs w:val="21"/>
        </w:rPr>
        <w:t>12.3.1 计量原则</w:t>
      </w:r>
    </w:p>
    <w:p w14:paraId="1E6A4840">
      <w:pPr>
        <w:rPr>
          <w:rFonts w:asciiTheme="minorEastAsia" w:hAnsiTheme="minorEastAsia" w:eastAsiaTheme="minorEastAsia"/>
          <w:szCs w:val="21"/>
        </w:rPr>
      </w:pPr>
      <w:r>
        <w:rPr>
          <w:rFonts w:hint="eastAsia" w:asciiTheme="minorEastAsia" w:hAnsiTheme="minorEastAsia" w:eastAsiaTheme="minorEastAsia"/>
          <w:szCs w:val="21"/>
        </w:rPr>
        <w:t>工程量计量按照合同约定的工程量计算规则、图纸及变更指示等进行计量。工程量计算规则应以相关的国家标准、行业标准等为依据，由合同当事人在专用合同条款中约定。</w:t>
      </w:r>
    </w:p>
    <w:p w14:paraId="6BBF8C0A">
      <w:pPr>
        <w:rPr>
          <w:rFonts w:asciiTheme="minorEastAsia" w:hAnsiTheme="minorEastAsia" w:eastAsiaTheme="minorEastAsia"/>
          <w:szCs w:val="21"/>
        </w:rPr>
      </w:pPr>
      <w:r>
        <w:rPr>
          <w:rFonts w:hint="eastAsia" w:asciiTheme="minorEastAsia" w:hAnsiTheme="minorEastAsia" w:eastAsiaTheme="minorEastAsia"/>
          <w:szCs w:val="21"/>
        </w:rPr>
        <w:t>12.3.2 计量周期</w:t>
      </w:r>
    </w:p>
    <w:p w14:paraId="65061221">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除专用合同条款另有约定外，工程量的计量按月进行。</w:t>
      </w:r>
    </w:p>
    <w:p w14:paraId="2652B0A3">
      <w:pPr>
        <w:rPr>
          <w:rFonts w:asciiTheme="minorEastAsia" w:hAnsiTheme="minorEastAsia" w:eastAsiaTheme="minorEastAsia"/>
          <w:szCs w:val="21"/>
        </w:rPr>
      </w:pPr>
      <w:r>
        <w:rPr>
          <w:rFonts w:hint="eastAsia" w:asciiTheme="minorEastAsia" w:hAnsiTheme="minorEastAsia" w:eastAsiaTheme="minorEastAsia"/>
          <w:szCs w:val="21"/>
        </w:rPr>
        <w:t>12.3.3 单价合同的计量</w:t>
      </w:r>
    </w:p>
    <w:p w14:paraId="603A963A">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除专用合同条款另有约定外，单价合同的计量按照本项约定执行：</w:t>
      </w:r>
    </w:p>
    <w:p w14:paraId="4BFFB3CB">
      <w:pPr>
        <w:rPr>
          <w:rFonts w:asciiTheme="minorEastAsia" w:hAnsiTheme="minorEastAsia" w:eastAsiaTheme="minorEastAsia"/>
          <w:szCs w:val="21"/>
        </w:rPr>
      </w:pPr>
      <w:r>
        <w:rPr>
          <w:rFonts w:hint="eastAsia" w:asciiTheme="minorEastAsia" w:hAnsiTheme="minorEastAsia" w:eastAsiaTheme="minorEastAsia"/>
          <w:szCs w:val="21"/>
        </w:rPr>
        <w:t>（1）承包人应于每月25日向监理人报送上月20日至当月19日已完成的工程量报告，并附具进度付款申请单、已完成工程量报表和有关资料。</w:t>
      </w:r>
    </w:p>
    <w:p w14:paraId="79CD8A44">
      <w:pPr>
        <w:rPr>
          <w:rFonts w:asciiTheme="minorEastAsia" w:hAnsiTheme="minorEastAsia" w:eastAsiaTheme="minorEastAsia"/>
          <w:szCs w:val="21"/>
        </w:rPr>
      </w:pPr>
      <w:r>
        <w:rPr>
          <w:rFonts w:hint="eastAsia" w:asciiTheme="minorEastAsia" w:hAnsiTheme="minorEastAsia" w:eastAsiaTheme="minorEastAsia"/>
          <w:szCs w:val="21"/>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14:paraId="0625AE89">
      <w:pPr>
        <w:rPr>
          <w:rFonts w:asciiTheme="minorEastAsia" w:hAnsiTheme="minorEastAsia" w:eastAsiaTheme="minorEastAsia"/>
          <w:szCs w:val="21"/>
        </w:rPr>
      </w:pPr>
      <w:r>
        <w:rPr>
          <w:rFonts w:hint="eastAsia" w:asciiTheme="minorEastAsia" w:hAnsiTheme="minorEastAsia" w:eastAsiaTheme="minorEastAsia"/>
          <w:szCs w:val="21"/>
        </w:rPr>
        <w:t>（3）监理人未在收到承包人提交的工程量报表后的7天内完成审核的，承包人报送的工程量报告中的工程量视为承包人实际完成的工程量，据此计算工程价款。</w:t>
      </w:r>
    </w:p>
    <w:p w14:paraId="2133D360">
      <w:pPr>
        <w:rPr>
          <w:rFonts w:asciiTheme="minorEastAsia" w:hAnsiTheme="minorEastAsia" w:eastAsiaTheme="minorEastAsia"/>
          <w:szCs w:val="21"/>
        </w:rPr>
      </w:pPr>
      <w:r>
        <w:rPr>
          <w:rFonts w:hint="eastAsia" w:asciiTheme="minorEastAsia" w:hAnsiTheme="minorEastAsia" w:eastAsiaTheme="minorEastAsia"/>
          <w:szCs w:val="21"/>
        </w:rPr>
        <w:t>12.3.4 总价合同的计量</w:t>
      </w:r>
    </w:p>
    <w:p w14:paraId="6A15D978">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除专用合同条款另有约定外，按月计量支付的总价合同，按照本项约定执行：</w:t>
      </w:r>
    </w:p>
    <w:p w14:paraId="666C9CF0">
      <w:pPr>
        <w:rPr>
          <w:rFonts w:asciiTheme="minorEastAsia" w:hAnsiTheme="minorEastAsia" w:eastAsiaTheme="minorEastAsia"/>
          <w:szCs w:val="21"/>
        </w:rPr>
      </w:pPr>
      <w:r>
        <w:rPr>
          <w:rFonts w:hint="eastAsia" w:asciiTheme="minorEastAsia" w:hAnsiTheme="minorEastAsia" w:eastAsiaTheme="minorEastAsia"/>
          <w:szCs w:val="21"/>
        </w:rPr>
        <w:t>（1）承包人应于每月25日向监理人报送上月20日至当月19日已完成的工程量报告，并附具进度付款申请单、已完成工程量报表和有关资料。</w:t>
      </w:r>
    </w:p>
    <w:p w14:paraId="71044C76">
      <w:pPr>
        <w:rPr>
          <w:rFonts w:asciiTheme="minorEastAsia" w:hAnsiTheme="minorEastAsia" w:eastAsiaTheme="minorEastAsia"/>
          <w:szCs w:val="21"/>
        </w:rPr>
      </w:pPr>
      <w:r>
        <w:rPr>
          <w:rFonts w:hint="eastAsia" w:asciiTheme="minorEastAsia" w:hAnsiTheme="minorEastAsia" w:eastAsiaTheme="minorEastAsia"/>
          <w:szCs w:val="21"/>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3F41B2D0">
      <w:pPr>
        <w:rPr>
          <w:rFonts w:asciiTheme="minorEastAsia" w:hAnsiTheme="minorEastAsia" w:eastAsiaTheme="minorEastAsia"/>
          <w:szCs w:val="21"/>
        </w:rPr>
      </w:pPr>
      <w:r>
        <w:rPr>
          <w:rFonts w:hint="eastAsia" w:asciiTheme="minorEastAsia" w:hAnsiTheme="minorEastAsia" w:eastAsiaTheme="minorEastAsia"/>
          <w:szCs w:val="21"/>
        </w:rPr>
        <w:t>（3）监理人未在收到承包人提交的工程量报表后的7天内完成复核的，承包人提交的工程量报告中的工程量视为承包人实际完成的工程量。</w:t>
      </w:r>
    </w:p>
    <w:p w14:paraId="626810CC">
      <w:pPr>
        <w:rPr>
          <w:rFonts w:asciiTheme="minorEastAsia" w:hAnsiTheme="minorEastAsia" w:eastAsiaTheme="minorEastAsia"/>
          <w:szCs w:val="21"/>
        </w:rPr>
      </w:pPr>
      <w:r>
        <w:rPr>
          <w:rFonts w:hint="eastAsia" w:asciiTheme="minorEastAsia" w:hAnsiTheme="minorEastAsia" w:eastAsiaTheme="minorEastAsia"/>
          <w:szCs w:val="21"/>
        </w:rPr>
        <w:t>12.3.5 总价合同采用支付分解表计量支付的，可以按照第12.3.4项〔总价合同的计量〕约定进行计量，但合同价款按照支付分解表进行支付。</w:t>
      </w:r>
    </w:p>
    <w:p w14:paraId="3BAAC607">
      <w:pPr>
        <w:rPr>
          <w:rFonts w:asciiTheme="minorEastAsia" w:hAnsiTheme="minorEastAsia" w:eastAsiaTheme="minorEastAsia"/>
          <w:szCs w:val="21"/>
        </w:rPr>
      </w:pPr>
      <w:r>
        <w:rPr>
          <w:rFonts w:hint="eastAsia" w:asciiTheme="minorEastAsia" w:hAnsiTheme="minorEastAsia" w:eastAsiaTheme="minorEastAsia"/>
          <w:szCs w:val="21"/>
        </w:rPr>
        <w:t>12.3.6 其他价格形式合同的计量</w:t>
      </w:r>
    </w:p>
    <w:p w14:paraId="0769F503">
      <w:pPr>
        <w:rPr>
          <w:rFonts w:asciiTheme="minorEastAsia" w:hAnsiTheme="minorEastAsia" w:eastAsiaTheme="minorEastAsia"/>
          <w:szCs w:val="21"/>
        </w:rPr>
      </w:pPr>
      <w:r>
        <w:rPr>
          <w:rFonts w:hint="eastAsia" w:asciiTheme="minorEastAsia" w:hAnsiTheme="minorEastAsia" w:eastAsiaTheme="minorEastAsia"/>
          <w:szCs w:val="21"/>
        </w:rPr>
        <w:t>合同当事人可在专用合同条款中约定其他价格形式合同的计量方式和程序。</w:t>
      </w:r>
    </w:p>
    <w:p w14:paraId="101A1ADE">
      <w:pPr>
        <w:rPr>
          <w:rFonts w:asciiTheme="minorEastAsia" w:hAnsiTheme="minorEastAsia" w:eastAsiaTheme="minorEastAsia"/>
          <w:szCs w:val="21"/>
        </w:rPr>
      </w:pPr>
      <w:r>
        <w:rPr>
          <w:rFonts w:hint="eastAsia" w:asciiTheme="minorEastAsia" w:hAnsiTheme="minorEastAsia" w:eastAsiaTheme="minorEastAsia"/>
          <w:szCs w:val="21"/>
        </w:rPr>
        <w:t>12.4工程进度款支付</w:t>
      </w:r>
    </w:p>
    <w:p w14:paraId="0CB828B7">
      <w:pPr>
        <w:rPr>
          <w:rFonts w:asciiTheme="minorEastAsia" w:hAnsiTheme="minorEastAsia" w:eastAsiaTheme="minorEastAsia"/>
          <w:szCs w:val="21"/>
        </w:rPr>
      </w:pPr>
      <w:r>
        <w:rPr>
          <w:rFonts w:hint="eastAsia" w:asciiTheme="minorEastAsia" w:hAnsiTheme="minorEastAsia" w:eastAsiaTheme="minorEastAsia"/>
          <w:szCs w:val="21"/>
        </w:rPr>
        <w:t>12.4.1 付款周期</w:t>
      </w:r>
    </w:p>
    <w:p w14:paraId="460A06B0">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除专用合同条款另有约定外，付款周期应按照第12.3.2项〔计量周期〕的约定与计量周期保持一致。</w:t>
      </w:r>
    </w:p>
    <w:p w14:paraId="7AA0442B">
      <w:pPr>
        <w:rPr>
          <w:rFonts w:asciiTheme="minorEastAsia" w:hAnsiTheme="minorEastAsia" w:eastAsiaTheme="minorEastAsia"/>
          <w:szCs w:val="21"/>
        </w:rPr>
      </w:pPr>
      <w:r>
        <w:rPr>
          <w:rFonts w:hint="eastAsia" w:asciiTheme="minorEastAsia" w:hAnsiTheme="minorEastAsia" w:eastAsiaTheme="minorEastAsia"/>
          <w:szCs w:val="21"/>
        </w:rPr>
        <w:t>12.4.2 进度付款申请单的编制</w:t>
      </w:r>
    </w:p>
    <w:p w14:paraId="3426A8C8">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除专用合同条款另有约定外，进度付款申请单应包括下列内容：</w:t>
      </w:r>
    </w:p>
    <w:p w14:paraId="09C74AD8">
      <w:pPr>
        <w:rPr>
          <w:rFonts w:asciiTheme="minorEastAsia" w:hAnsiTheme="minorEastAsia" w:eastAsiaTheme="minorEastAsia"/>
          <w:szCs w:val="21"/>
        </w:rPr>
      </w:pPr>
      <w:r>
        <w:rPr>
          <w:rFonts w:hint="eastAsia" w:asciiTheme="minorEastAsia" w:hAnsiTheme="minorEastAsia" w:eastAsiaTheme="minorEastAsia"/>
          <w:szCs w:val="21"/>
        </w:rPr>
        <w:t>（1）截至本次付款周期已完成工作对应的金额；</w:t>
      </w:r>
    </w:p>
    <w:p w14:paraId="6068CBCA">
      <w:pPr>
        <w:rPr>
          <w:rFonts w:asciiTheme="minorEastAsia" w:hAnsiTheme="minorEastAsia" w:eastAsiaTheme="minorEastAsia"/>
          <w:szCs w:val="21"/>
        </w:rPr>
      </w:pPr>
      <w:r>
        <w:rPr>
          <w:rFonts w:hint="eastAsia" w:asciiTheme="minorEastAsia" w:hAnsiTheme="minorEastAsia" w:eastAsiaTheme="minorEastAsia"/>
          <w:szCs w:val="21"/>
        </w:rPr>
        <w:t>（2）根据第10条〔变更〕应增加和扣减的变更金额；</w:t>
      </w:r>
    </w:p>
    <w:p w14:paraId="01247784">
      <w:pPr>
        <w:rPr>
          <w:rFonts w:asciiTheme="minorEastAsia" w:hAnsiTheme="minorEastAsia" w:eastAsiaTheme="minorEastAsia"/>
          <w:szCs w:val="21"/>
        </w:rPr>
      </w:pPr>
      <w:r>
        <w:rPr>
          <w:rFonts w:hint="eastAsia" w:asciiTheme="minorEastAsia" w:hAnsiTheme="minorEastAsia" w:eastAsiaTheme="minorEastAsia"/>
          <w:szCs w:val="21"/>
        </w:rPr>
        <w:t>（3）根据第12.2款〔预付款〕约定应支付的预付款和扣减的返还预付款；</w:t>
      </w:r>
    </w:p>
    <w:p w14:paraId="603C733B">
      <w:pPr>
        <w:rPr>
          <w:rFonts w:asciiTheme="minorEastAsia" w:hAnsiTheme="minorEastAsia" w:eastAsiaTheme="minorEastAsia"/>
          <w:szCs w:val="21"/>
        </w:rPr>
      </w:pPr>
      <w:r>
        <w:rPr>
          <w:rFonts w:hint="eastAsia" w:asciiTheme="minorEastAsia" w:hAnsiTheme="minorEastAsia" w:eastAsiaTheme="minorEastAsia"/>
          <w:szCs w:val="21"/>
        </w:rPr>
        <w:t>（4）根据第15.3款〔质量保证金〕约定应扣减的质量保证金；</w:t>
      </w:r>
    </w:p>
    <w:p w14:paraId="7C76694D">
      <w:pPr>
        <w:rPr>
          <w:rFonts w:asciiTheme="minorEastAsia" w:hAnsiTheme="minorEastAsia" w:eastAsiaTheme="minorEastAsia"/>
          <w:szCs w:val="21"/>
        </w:rPr>
      </w:pPr>
      <w:r>
        <w:rPr>
          <w:rFonts w:hint="eastAsia" w:asciiTheme="minorEastAsia" w:hAnsiTheme="minorEastAsia" w:eastAsiaTheme="minorEastAsia"/>
          <w:szCs w:val="21"/>
        </w:rPr>
        <w:t>（5）根据第19条〔索赔〕应增加和扣减的索赔金额；</w:t>
      </w:r>
    </w:p>
    <w:p w14:paraId="50FD2B2C">
      <w:pPr>
        <w:rPr>
          <w:rFonts w:asciiTheme="minorEastAsia" w:hAnsiTheme="minorEastAsia" w:eastAsiaTheme="minorEastAsia"/>
          <w:szCs w:val="21"/>
        </w:rPr>
      </w:pPr>
      <w:r>
        <w:rPr>
          <w:rFonts w:hint="eastAsia" w:asciiTheme="minorEastAsia" w:hAnsiTheme="minorEastAsia" w:eastAsiaTheme="minorEastAsia"/>
          <w:szCs w:val="21"/>
        </w:rPr>
        <w:t>（6）对已签发的进度款支付证书中出现错误的修正，应在本次进度付款中支付或扣除的金额；</w:t>
      </w:r>
    </w:p>
    <w:p w14:paraId="744E500A">
      <w:pPr>
        <w:rPr>
          <w:rFonts w:asciiTheme="minorEastAsia" w:hAnsiTheme="minorEastAsia" w:eastAsiaTheme="minorEastAsia"/>
          <w:szCs w:val="21"/>
        </w:rPr>
      </w:pPr>
      <w:r>
        <w:rPr>
          <w:rFonts w:hint="eastAsia" w:asciiTheme="minorEastAsia" w:hAnsiTheme="minorEastAsia" w:eastAsiaTheme="minorEastAsia"/>
          <w:szCs w:val="21"/>
        </w:rPr>
        <w:t>（7）根据合同约定应增加和扣减的其他金额。</w:t>
      </w:r>
    </w:p>
    <w:p w14:paraId="009CB8D4">
      <w:pPr>
        <w:rPr>
          <w:rFonts w:asciiTheme="minorEastAsia" w:hAnsiTheme="minorEastAsia" w:eastAsiaTheme="minorEastAsia"/>
          <w:szCs w:val="21"/>
        </w:rPr>
      </w:pPr>
      <w:r>
        <w:rPr>
          <w:rFonts w:hint="eastAsia" w:asciiTheme="minorEastAsia" w:hAnsiTheme="minorEastAsia" w:eastAsiaTheme="minorEastAsia"/>
          <w:szCs w:val="21"/>
        </w:rPr>
        <w:t>12.4.3 进度付款申请单的提交</w:t>
      </w:r>
    </w:p>
    <w:p w14:paraId="140E7E04">
      <w:pPr>
        <w:rPr>
          <w:rFonts w:asciiTheme="minorEastAsia" w:hAnsiTheme="minorEastAsia" w:eastAsiaTheme="minorEastAsia"/>
          <w:szCs w:val="21"/>
        </w:rPr>
      </w:pPr>
      <w:r>
        <w:rPr>
          <w:rFonts w:hint="eastAsia" w:asciiTheme="minorEastAsia" w:hAnsiTheme="minorEastAsia" w:eastAsiaTheme="minorEastAsia"/>
          <w:szCs w:val="21"/>
        </w:rPr>
        <w:t>（1）单价合同进度付款申请单的提交</w:t>
      </w:r>
    </w:p>
    <w:p w14:paraId="01E6347B">
      <w:pPr>
        <w:rPr>
          <w:rFonts w:asciiTheme="minorEastAsia" w:hAnsiTheme="minorEastAsia" w:eastAsiaTheme="minorEastAsia"/>
          <w:szCs w:val="21"/>
        </w:rPr>
      </w:pPr>
      <w:r>
        <w:rPr>
          <w:rFonts w:hint="eastAsia" w:asciiTheme="minorEastAsia" w:hAnsiTheme="minorEastAsia" w:eastAsiaTheme="minorEastAsia"/>
          <w:szCs w:val="21"/>
        </w:rPr>
        <w:t>单价合同的进度付款申请单，按照第12.3.3项〔单价合同的计量〕约定的时间按月向监理人提交，并附上已完成工程量报表和有关资料。单价合同中的总价项目按月进行支付分解，并汇总列入当期进度付款申请单。</w:t>
      </w:r>
    </w:p>
    <w:p w14:paraId="28F3BB11">
      <w:pPr>
        <w:rPr>
          <w:rFonts w:asciiTheme="minorEastAsia" w:hAnsiTheme="minorEastAsia" w:eastAsiaTheme="minorEastAsia"/>
          <w:szCs w:val="21"/>
        </w:rPr>
      </w:pPr>
      <w:r>
        <w:rPr>
          <w:rFonts w:hint="eastAsia" w:asciiTheme="minorEastAsia" w:hAnsiTheme="minorEastAsia" w:eastAsiaTheme="minorEastAsia"/>
          <w:szCs w:val="21"/>
        </w:rPr>
        <w:t>（2）总价合同进度付款申请单的提交</w:t>
      </w:r>
    </w:p>
    <w:p w14:paraId="55ACA03A">
      <w:pPr>
        <w:rPr>
          <w:rFonts w:asciiTheme="minorEastAsia" w:hAnsiTheme="minorEastAsia" w:eastAsiaTheme="minorEastAsia"/>
          <w:szCs w:val="21"/>
        </w:rPr>
      </w:pPr>
      <w:r>
        <w:rPr>
          <w:rFonts w:hint="eastAsia" w:asciiTheme="minorEastAsia" w:hAnsiTheme="minorEastAsia" w:eastAsiaTheme="minorEastAsia"/>
          <w:szCs w:val="21"/>
        </w:rPr>
        <w:t>总价合同按月计量支付的，承包人按照第12.3.4项〔总价合同的计量〕约定的时间按月向监理人提交进度付款申请单，并附上已完成工程量报表和有关资料。</w:t>
      </w:r>
    </w:p>
    <w:p w14:paraId="3201EAC4">
      <w:pPr>
        <w:rPr>
          <w:rFonts w:asciiTheme="minorEastAsia" w:hAnsiTheme="minorEastAsia" w:eastAsiaTheme="minorEastAsia"/>
          <w:szCs w:val="21"/>
        </w:rPr>
      </w:pPr>
      <w:r>
        <w:rPr>
          <w:rFonts w:hint="eastAsia" w:asciiTheme="minorEastAsia" w:hAnsiTheme="minorEastAsia" w:eastAsiaTheme="minorEastAsia"/>
          <w:szCs w:val="21"/>
        </w:rPr>
        <w:t>总价合同按支付分解表支付的，承包人应按照第12.4.6项〔支付分解表〕及第12.4.2项〔进度付款申请单的编制〕的约定向监理人提交进度付款申请单。</w:t>
      </w:r>
    </w:p>
    <w:p w14:paraId="0B17973B">
      <w:pPr>
        <w:rPr>
          <w:rFonts w:asciiTheme="minorEastAsia" w:hAnsiTheme="minorEastAsia" w:eastAsiaTheme="minorEastAsia"/>
          <w:szCs w:val="21"/>
        </w:rPr>
      </w:pPr>
      <w:r>
        <w:rPr>
          <w:rFonts w:hint="eastAsia" w:asciiTheme="minorEastAsia" w:hAnsiTheme="minorEastAsia" w:eastAsiaTheme="minorEastAsia"/>
          <w:szCs w:val="21"/>
        </w:rPr>
        <w:t>（3）其他价格形式合同的进度付款申请单的提交</w:t>
      </w:r>
    </w:p>
    <w:p w14:paraId="668200F8">
      <w:pPr>
        <w:rPr>
          <w:rFonts w:asciiTheme="minorEastAsia" w:hAnsiTheme="minorEastAsia" w:eastAsiaTheme="minorEastAsia"/>
          <w:szCs w:val="21"/>
        </w:rPr>
      </w:pPr>
      <w:r>
        <w:rPr>
          <w:rFonts w:hint="eastAsia" w:asciiTheme="minorEastAsia" w:hAnsiTheme="minorEastAsia" w:eastAsiaTheme="minorEastAsia"/>
          <w:szCs w:val="21"/>
        </w:rPr>
        <w:t>合同当事人可在专用合同条款中约定其他价格形式合同的进度付款申请单的编制和提交程序。</w:t>
      </w:r>
    </w:p>
    <w:p w14:paraId="3A4F4F2B">
      <w:pPr>
        <w:rPr>
          <w:rFonts w:asciiTheme="minorEastAsia" w:hAnsiTheme="minorEastAsia" w:eastAsiaTheme="minorEastAsia"/>
          <w:szCs w:val="21"/>
        </w:rPr>
      </w:pPr>
      <w:r>
        <w:rPr>
          <w:rFonts w:hint="eastAsia" w:asciiTheme="minorEastAsia" w:hAnsiTheme="minorEastAsia" w:eastAsiaTheme="minorEastAsia"/>
          <w:szCs w:val="21"/>
        </w:rPr>
        <w:t>12.4.4 进度款审核和支付</w:t>
      </w:r>
    </w:p>
    <w:p w14:paraId="58B7D84A">
      <w:pPr>
        <w:rPr>
          <w:rFonts w:asciiTheme="minorEastAsia" w:hAnsiTheme="minorEastAsia" w:eastAsiaTheme="minorEastAsia"/>
          <w:szCs w:val="21"/>
        </w:rPr>
      </w:pPr>
      <w:r>
        <w:rPr>
          <w:rFonts w:hint="eastAsia" w:asciiTheme="minorEastAsia" w:hAnsiTheme="minorEastAsia" w:eastAsiaTheme="minorEastAsia"/>
          <w:szCs w:val="21"/>
        </w:rPr>
        <w:t>（1）除专用合同条款另有约定外，监理人应在收到承包人进度付款申请单以及相关资料后7天内完成审查并报送发包人，发包人应在收到后7天内完成审批并签发进度款支付证书。发包人逾期未完成审批且未提出异议的，视为已签发进度款支付证书。</w:t>
      </w:r>
    </w:p>
    <w:p w14:paraId="4F837916">
      <w:pPr>
        <w:rPr>
          <w:rFonts w:asciiTheme="minorEastAsia" w:hAnsiTheme="minorEastAsia" w:eastAsiaTheme="minorEastAsia"/>
          <w:szCs w:val="21"/>
        </w:rPr>
      </w:pPr>
      <w:r>
        <w:rPr>
          <w:rFonts w:hint="eastAsia" w:asciiTheme="minorEastAsia" w:hAnsiTheme="minorEastAsia" w:eastAsiaTheme="minorEastAsia"/>
          <w:szCs w:val="21"/>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争议解决〕的约定处理。</w:t>
      </w:r>
    </w:p>
    <w:p w14:paraId="76F6C6D6">
      <w:pPr>
        <w:rPr>
          <w:rFonts w:asciiTheme="minorEastAsia" w:hAnsiTheme="minorEastAsia" w:eastAsiaTheme="minorEastAsia"/>
          <w:szCs w:val="21"/>
        </w:rPr>
      </w:pPr>
      <w:r>
        <w:rPr>
          <w:rFonts w:hint="eastAsia" w:asciiTheme="minorEastAsia" w:hAnsiTheme="minorEastAsia" w:eastAsiaTheme="minorEastAsia"/>
          <w:szCs w:val="21"/>
        </w:rPr>
        <w:t>（2）除专用合同条款另有约定外，发包人应在进度款支付证书或临时进度款支付证书签发后14天内完成支付，发包人逾期支付进度款的，应按照中国人民银行发布的同期同类贷款基准利率支付违约金。</w:t>
      </w:r>
    </w:p>
    <w:p w14:paraId="5B1B8EF7">
      <w:pPr>
        <w:rPr>
          <w:rFonts w:asciiTheme="minorEastAsia" w:hAnsiTheme="minorEastAsia" w:eastAsiaTheme="minorEastAsia"/>
          <w:szCs w:val="21"/>
        </w:rPr>
      </w:pPr>
      <w:r>
        <w:rPr>
          <w:rFonts w:hint="eastAsia" w:asciiTheme="minorEastAsia" w:hAnsiTheme="minorEastAsia" w:eastAsiaTheme="minorEastAsia"/>
          <w:szCs w:val="21"/>
        </w:rPr>
        <w:t>（3）发包人签发进度款支付证书或临时进度款支付证书，不表明发包人已同意、批准或接受了承包人完成的相应部分的工作。</w:t>
      </w:r>
    </w:p>
    <w:p w14:paraId="21ED4482">
      <w:pPr>
        <w:rPr>
          <w:rFonts w:asciiTheme="minorEastAsia" w:hAnsiTheme="minorEastAsia" w:eastAsiaTheme="minorEastAsia"/>
          <w:szCs w:val="21"/>
        </w:rPr>
      </w:pPr>
      <w:r>
        <w:rPr>
          <w:rFonts w:hint="eastAsia" w:asciiTheme="minorEastAsia" w:hAnsiTheme="minorEastAsia" w:eastAsiaTheme="minorEastAsia"/>
          <w:szCs w:val="21"/>
        </w:rPr>
        <w:t>12.4.5 进度付款的修正</w:t>
      </w:r>
    </w:p>
    <w:p w14:paraId="6DF669BE">
      <w:pPr>
        <w:rPr>
          <w:rFonts w:asciiTheme="minorEastAsia" w:hAnsiTheme="minorEastAsia" w:eastAsiaTheme="minorEastAsia"/>
          <w:szCs w:val="21"/>
        </w:rPr>
      </w:pPr>
      <w:r>
        <w:rPr>
          <w:rFonts w:hint="eastAsia" w:asciiTheme="minorEastAsia" w:hAnsiTheme="minorEastAsia" w:eastAsiaTheme="minorEastAsia"/>
          <w:szCs w:val="21"/>
        </w:rPr>
        <w:t>在对已签发的进度款支付证书进行阶段汇总和复核中发现错误、遗漏或重复的，发包人和承包人均有权提出修正申请。经发包人和承包人同意的修正，应在下期进度付款中支付或扣除。</w:t>
      </w:r>
    </w:p>
    <w:p w14:paraId="628AE9B3">
      <w:pPr>
        <w:rPr>
          <w:rFonts w:asciiTheme="minorEastAsia" w:hAnsiTheme="minorEastAsia" w:eastAsiaTheme="minorEastAsia"/>
          <w:szCs w:val="21"/>
        </w:rPr>
      </w:pPr>
      <w:r>
        <w:rPr>
          <w:rFonts w:hint="eastAsia" w:asciiTheme="minorEastAsia" w:hAnsiTheme="minorEastAsia" w:eastAsiaTheme="minorEastAsia"/>
          <w:szCs w:val="21"/>
        </w:rPr>
        <w:t>12.4.6 支付分解表</w:t>
      </w:r>
    </w:p>
    <w:p w14:paraId="6A5F2A73">
      <w:pPr>
        <w:rPr>
          <w:rFonts w:asciiTheme="minorEastAsia" w:hAnsiTheme="minorEastAsia" w:eastAsiaTheme="minorEastAsia"/>
          <w:szCs w:val="21"/>
        </w:rPr>
      </w:pPr>
      <w:r>
        <w:rPr>
          <w:rFonts w:hint="eastAsia" w:asciiTheme="minorEastAsia" w:hAnsiTheme="minorEastAsia" w:eastAsiaTheme="minorEastAsia"/>
          <w:szCs w:val="21"/>
        </w:rPr>
        <w:t>1.支付分解表的编制要求</w:t>
      </w:r>
    </w:p>
    <w:p w14:paraId="1FF21967">
      <w:pPr>
        <w:rPr>
          <w:rFonts w:asciiTheme="minorEastAsia" w:hAnsiTheme="minorEastAsia" w:eastAsiaTheme="minorEastAsia"/>
          <w:szCs w:val="21"/>
        </w:rPr>
      </w:pPr>
      <w:r>
        <w:rPr>
          <w:rFonts w:hint="eastAsia" w:asciiTheme="minorEastAsia" w:hAnsiTheme="minorEastAsia" w:eastAsiaTheme="minorEastAsia"/>
          <w:szCs w:val="21"/>
        </w:rPr>
        <w:t>（1）支付分解表中所列的每期付款金额，应为第12.4.2项〔进度付款申请单的编制〕第（1）目的估算金额；</w:t>
      </w:r>
    </w:p>
    <w:p w14:paraId="049EC413">
      <w:pPr>
        <w:rPr>
          <w:rFonts w:asciiTheme="minorEastAsia" w:hAnsiTheme="minorEastAsia" w:eastAsiaTheme="minorEastAsia"/>
          <w:szCs w:val="21"/>
        </w:rPr>
      </w:pPr>
      <w:r>
        <w:rPr>
          <w:rFonts w:hint="eastAsia" w:asciiTheme="minorEastAsia" w:hAnsiTheme="minorEastAsia" w:eastAsiaTheme="minorEastAsia"/>
          <w:szCs w:val="21"/>
        </w:rPr>
        <w:t>（2）实际进度与施工进度计划不一致的，合同当事人可按照第4.4款〔商定或确定〕修改支付分解表；</w:t>
      </w:r>
    </w:p>
    <w:p w14:paraId="75FAE263">
      <w:pPr>
        <w:rPr>
          <w:rFonts w:asciiTheme="minorEastAsia" w:hAnsiTheme="minorEastAsia" w:eastAsiaTheme="minorEastAsia"/>
          <w:szCs w:val="21"/>
        </w:rPr>
      </w:pPr>
      <w:r>
        <w:rPr>
          <w:rFonts w:hint="eastAsia" w:asciiTheme="minorEastAsia" w:hAnsiTheme="minorEastAsia" w:eastAsiaTheme="minorEastAsia"/>
          <w:szCs w:val="21"/>
        </w:rPr>
        <w:t>（3）不采用支付分解表的，承包人应向发包人和监理人提交按季度编制的支付估算分解表，用于支付参考。</w:t>
      </w:r>
    </w:p>
    <w:p w14:paraId="09642275">
      <w:pPr>
        <w:rPr>
          <w:rFonts w:asciiTheme="minorEastAsia" w:hAnsiTheme="minorEastAsia" w:eastAsiaTheme="minorEastAsia"/>
          <w:szCs w:val="21"/>
        </w:rPr>
      </w:pPr>
      <w:r>
        <w:rPr>
          <w:rFonts w:hint="eastAsia" w:asciiTheme="minorEastAsia" w:hAnsiTheme="minorEastAsia" w:eastAsiaTheme="minorEastAsia"/>
          <w:szCs w:val="21"/>
        </w:rPr>
        <w:t>2.总价合同支付分解表的编制与审批</w:t>
      </w:r>
    </w:p>
    <w:p w14:paraId="18F8E2AA">
      <w:pPr>
        <w:rPr>
          <w:rFonts w:asciiTheme="minorEastAsia" w:hAnsiTheme="minorEastAsia" w:eastAsiaTheme="minorEastAsia"/>
          <w:szCs w:val="21"/>
        </w:rPr>
      </w:pPr>
      <w:r>
        <w:rPr>
          <w:rFonts w:hint="eastAsia" w:asciiTheme="minorEastAsia" w:hAnsiTheme="minorEastAsia" w:eastAsiaTheme="minorEastAsia"/>
          <w:szCs w:val="21"/>
        </w:rPr>
        <w:t>（1）除专用合同条款另有约定外，承包人应根据第7.2款〔施工进度计划〕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14:paraId="6A3A20BE">
      <w:pPr>
        <w:rPr>
          <w:rFonts w:asciiTheme="minorEastAsia" w:hAnsiTheme="minorEastAsia" w:eastAsiaTheme="minorEastAsia"/>
          <w:szCs w:val="21"/>
        </w:rPr>
      </w:pPr>
      <w:r>
        <w:rPr>
          <w:rFonts w:hint="eastAsia" w:asciiTheme="minorEastAsia" w:hAnsiTheme="minorEastAsia" w:eastAsiaTheme="minorEastAsia"/>
          <w:szCs w:val="21"/>
        </w:rPr>
        <w:t>（2）监理人应在收到支付分解表后7天内完成审核并报送发包人。发包人应在收到经监理人审核的支付分解表后7天内完成审批，经发包人批准的支付分解表为有约束力的支付分解表。</w:t>
      </w:r>
    </w:p>
    <w:p w14:paraId="25B46139">
      <w:pPr>
        <w:rPr>
          <w:rFonts w:asciiTheme="minorEastAsia" w:hAnsiTheme="minorEastAsia" w:eastAsiaTheme="minorEastAsia"/>
          <w:szCs w:val="21"/>
        </w:rPr>
      </w:pPr>
      <w:r>
        <w:rPr>
          <w:rFonts w:hint="eastAsia" w:asciiTheme="minorEastAsia" w:hAnsiTheme="minorEastAsia" w:eastAsiaTheme="minorEastAsia"/>
          <w:szCs w:val="21"/>
        </w:rPr>
        <w:t>（3）发包人逾期未完成支付分解表审批的，也未及时要求承包人进行修正和提供补充资料的，则承包人提交的支付分解表视为已经获得发包人批准。</w:t>
      </w:r>
    </w:p>
    <w:p w14:paraId="255030BB">
      <w:pPr>
        <w:rPr>
          <w:rFonts w:asciiTheme="minorEastAsia" w:hAnsiTheme="minorEastAsia" w:eastAsiaTheme="minorEastAsia"/>
          <w:szCs w:val="21"/>
        </w:rPr>
      </w:pPr>
      <w:r>
        <w:rPr>
          <w:rFonts w:hint="eastAsia" w:asciiTheme="minorEastAsia" w:hAnsiTheme="minorEastAsia" w:eastAsiaTheme="minorEastAsia"/>
          <w:szCs w:val="21"/>
        </w:rPr>
        <w:t>3.单价合同的总价项目支付分解表的编制与审批</w:t>
      </w:r>
    </w:p>
    <w:p w14:paraId="095CD759">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2663AD01">
      <w:pPr>
        <w:rPr>
          <w:rFonts w:asciiTheme="minorEastAsia" w:hAnsiTheme="minorEastAsia" w:eastAsiaTheme="minorEastAsia"/>
          <w:szCs w:val="21"/>
        </w:rPr>
      </w:pPr>
      <w:r>
        <w:rPr>
          <w:rFonts w:hint="eastAsia" w:asciiTheme="minorEastAsia" w:hAnsiTheme="minorEastAsia" w:eastAsiaTheme="minorEastAsia"/>
          <w:szCs w:val="21"/>
        </w:rPr>
        <w:t>12.5支付账户</w:t>
      </w:r>
    </w:p>
    <w:p w14:paraId="59969E3C">
      <w:pPr>
        <w:rPr>
          <w:rFonts w:asciiTheme="minorEastAsia" w:hAnsiTheme="minorEastAsia" w:eastAsiaTheme="minorEastAsia"/>
          <w:szCs w:val="21"/>
        </w:rPr>
      </w:pPr>
      <w:r>
        <w:rPr>
          <w:rFonts w:hint="eastAsia" w:asciiTheme="minorEastAsia" w:hAnsiTheme="minorEastAsia" w:eastAsiaTheme="minorEastAsia"/>
          <w:szCs w:val="21"/>
        </w:rPr>
        <w:t>发包人应将合同价款支付至合同协议书中约定的承包人账户。</w:t>
      </w:r>
    </w:p>
    <w:p w14:paraId="791C319A">
      <w:pPr>
        <w:rPr>
          <w:rFonts w:asciiTheme="minorEastAsia" w:hAnsiTheme="minorEastAsia" w:eastAsiaTheme="minorEastAsia"/>
          <w:b/>
          <w:szCs w:val="21"/>
        </w:rPr>
      </w:pPr>
      <w:r>
        <w:rPr>
          <w:rFonts w:hint="eastAsia" w:asciiTheme="minorEastAsia" w:hAnsiTheme="minorEastAsia" w:eastAsiaTheme="minorEastAsia"/>
          <w:b/>
          <w:szCs w:val="21"/>
        </w:rPr>
        <w:t>13. 验收和工程试车</w:t>
      </w:r>
    </w:p>
    <w:p w14:paraId="3E690197">
      <w:pPr>
        <w:rPr>
          <w:rFonts w:asciiTheme="minorEastAsia" w:hAnsiTheme="minorEastAsia" w:eastAsiaTheme="minorEastAsia"/>
          <w:szCs w:val="21"/>
        </w:rPr>
      </w:pPr>
      <w:r>
        <w:rPr>
          <w:rFonts w:hint="eastAsia" w:asciiTheme="minorEastAsia" w:hAnsiTheme="minorEastAsia" w:eastAsiaTheme="minorEastAsia"/>
          <w:szCs w:val="21"/>
        </w:rPr>
        <w:t>13.1分部分项工程验收</w:t>
      </w:r>
    </w:p>
    <w:p w14:paraId="7EFDFA38">
      <w:pPr>
        <w:rPr>
          <w:rFonts w:asciiTheme="minorEastAsia" w:hAnsiTheme="minorEastAsia" w:eastAsiaTheme="minorEastAsia"/>
          <w:szCs w:val="21"/>
        </w:rPr>
      </w:pPr>
      <w:r>
        <w:rPr>
          <w:rFonts w:hint="eastAsia" w:asciiTheme="minorEastAsia" w:hAnsiTheme="minorEastAsia" w:eastAsiaTheme="minorEastAsia"/>
          <w:szCs w:val="21"/>
        </w:rPr>
        <w:t>13.1.1 分部分项工程质量应符合国家有关工程施工验收规范、标准及合同约定，承包人应按照施工组织设计的要求完成分部分项工程施工。</w:t>
      </w:r>
    </w:p>
    <w:p w14:paraId="4D58FFCB">
      <w:pPr>
        <w:rPr>
          <w:rFonts w:asciiTheme="minorEastAsia" w:hAnsiTheme="minorEastAsia" w:eastAsiaTheme="minorEastAsia"/>
          <w:szCs w:val="21"/>
        </w:rPr>
      </w:pPr>
      <w:r>
        <w:rPr>
          <w:rFonts w:hint="eastAsia" w:asciiTheme="minorEastAsia" w:hAnsiTheme="minorEastAsia" w:eastAsiaTheme="minorEastAsia"/>
          <w:szCs w:val="21"/>
        </w:rPr>
        <w:t>13.1.2 除专用合同条款另有约定外，分部分项工程经承包人自检合格并具备验收条件的，承包人应提前48小时通知监理人进行验收。监理人不能按时进行验收的，应在验收前24小时向承包人提交书面延期要求，但延期不能超过48小时。监理人未按时进行验收，也未提出延期要求的，承包人有权自行验收，监理人应认可验收结果。分部分项工程未经验收的，不得进入下一道工序施工。</w:t>
      </w:r>
    </w:p>
    <w:p w14:paraId="0D2A3C21">
      <w:pPr>
        <w:rPr>
          <w:rFonts w:asciiTheme="minorEastAsia" w:hAnsiTheme="minorEastAsia" w:eastAsiaTheme="minorEastAsia"/>
          <w:szCs w:val="21"/>
        </w:rPr>
      </w:pPr>
      <w:r>
        <w:rPr>
          <w:rFonts w:hint="eastAsia" w:asciiTheme="minorEastAsia" w:hAnsiTheme="minorEastAsia" w:eastAsiaTheme="minorEastAsia"/>
          <w:szCs w:val="21"/>
        </w:rPr>
        <w:t>分部分项工程的验收资料应当作为竣工资料的组成部分。</w:t>
      </w:r>
    </w:p>
    <w:p w14:paraId="0B6A48DA">
      <w:pPr>
        <w:rPr>
          <w:rFonts w:asciiTheme="minorEastAsia" w:hAnsiTheme="minorEastAsia" w:eastAsiaTheme="minorEastAsia"/>
          <w:szCs w:val="21"/>
        </w:rPr>
      </w:pPr>
      <w:r>
        <w:rPr>
          <w:rFonts w:hint="eastAsia" w:asciiTheme="minorEastAsia" w:hAnsiTheme="minorEastAsia" w:eastAsiaTheme="minorEastAsia"/>
          <w:szCs w:val="21"/>
        </w:rPr>
        <w:t>13.2竣工验收</w:t>
      </w:r>
    </w:p>
    <w:p w14:paraId="1E6EF4FD">
      <w:pPr>
        <w:rPr>
          <w:rFonts w:asciiTheme="minorEastAsia" w:hAnsiTheme="minorEastAsia" w:eastAsiaTheme="minorEastAsia"/>
          <w:szCs w:val="21"/>
        </w:rPr>
      </w:pPr>
      <w:r>
        <w:rPr>
          <w:rFonts w:hint="eastAsia" w:asciiTheme="minorEastAsia" w:hAnsiTheme="minorEastAsia" w:eastAsiaTheme="minorEastAsia"/>
          <w:szCs w:val="21"/>
        </w:rPr>
        <w:t>13.2.1竣工验收条件</w:t>
      </w:r>
    </w:p>
    <w:p w14:paraId="7D982F1D">
      <w:pPr>
        <w:rPr>
          <w:rFonts w:asciiTheme="minorEastAsia" w:hAnsiTheme="minorEastAsia" w:eastAsiaTheme="minorEastAsia"/>
          <w:szCs w:val="21"/>
        </w:rPr>
      </w:pPr>
      <w:r>
        <w:rPr>
          <w:rFonts w:hint="eastAsia" w:asciiTheme="minorEastAsia" w:hAnsiTheme="minorEastAsia" w:eastAsiaTheme="minorEastAsia"/>
          <w:szCs w:val="21"/>
        </w:rPr>
        <w:t>工程具备以下条件的，承包人可以申请竣工验收：</w:t>
      </w:r>
    </w:p>
    <w:p w14:paraId="5C9C35F8">
      <w:pPr>
        <w:rPr>
          <w:rFonts w:asciiTheme="minorEastAsia" w:hAnsiTheme="minorEastAsia" w:eastAsiaTheme="minorEastAsia"/>
          <w:szCs w:val="21"/>
        </w:rPr>
      </w:pPr>
      <w:r>
        <w:rPr>
          <w:rFonts w:hint="eastAsia" w:asciiTheme="minorEastAsia" w:hAnsiTheme="minorEastAsia" w:eastAsiaTheme="minorEastAsia"/>
          <w:szCs w:val="21"/>
        </w:rPr>
        <w:t>（1）除发包人同意的甩项工作和缺陷修补工作外，合同范围内的全部工程以及有关工作，包括合同要求的试验、试运行以及检验均已完成，并符合合同要求；</w:t>
      </w:r>
    </w:p>
    <w:p w14:paraId="2EC25C23">
      <w:pPr>
        <w:rPr>
          <w:rFonts w:asciiTheme="minorEastAsia" w:hAnsiTheme="minorEastAsia" w:eastAsiaTheme="minorEastAsia"/>
          <w:szCs w:val="21"/>
        </w:rPr>
      </w:pPr>
      <w:r>
        <w:rPr>
          <w:rFonts w:hint="eastAsia" w:asciiTheme="minorEastAsia" w:hAnsiTheme="minorEastAsia" w:eastAsiaTheme="minorEastAsia"/>
          <w:szCs w:val="21"/>
        </w:rPr>
        <w:t>（2）已按合同约定编制了甩项工作和缺陷修补工作清单以及相应的施工计划；</w:t>
      </w:r>
    </w:p>
    <w:p w14:paraId="7583073D">
      <w:pPr>
        <w:rPr>
          <w:rFonts w:asciiTheme="minorEastAsia" w:hAnsiTheme="minorEastAsia" w:eastAsiaTheme="minorEastAsia"/>
          <w:szCs w:val="21"/>
        </w:rPr>
      </w:pPr>
      <w:r>
        <w:rPr>
          <w:rFonts w:hint="eastAsia" w:asciiTheme="minorEastAsia" w:hAnsiTheme="minorEastAsia" w:eastAsiaTheme="minorEastAsia"/>
          <w:szCs w:val="21"/>
        </w:rPr>
        <w:t>（3）已按合同约定的内容和份数备齐竣工资料。</w:t>
      </w:r>
    </w:p>
    <w:p w14:paraId="34000E00">
      <w:pPr>
        <w:rPr>
          <w:rFonts w:asciiTheme="minorEastAsia" w:hAnsiTheme="minorEastAsia" w:eastAsiaTheme="minorEastAsia"/>
          <w:szCs w:val="21"/>
        </w:rPr>
      </w:pPr>
      <w:r>
        <w:rPr>
          <w:rFonts w:hint="eastAsia" w:asciiTheme="minorEastAsia" w:hAnsiTheme="minorEastAsia" w:eastAsiaTheme="minorEastAsia"/>
          <w:szCs w:val="21"/>
        </w:rPr>
        <w:t>13.2.2竣工验收程序</w:t>
      </w:r>
    </w:p>
    <w:p w14:paraId="58DFFA97">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除专用合同条款另有约定外，承包人申请竣工验收的，应当按照以下程序进行：</w:t>
      </w:r>
    </w:p>
    <w:p w14:paraId="73C41C0B">
      <w:pPr>
        <w:rPr>
          <w:rFonts w:asciiTheme="minorEastAsia" w:hAnsiTheme="minorEastAsia" w:eastAsiaTheme="minorEastAsia"/>
          <w:szCs w:val="21"/>
        </w:rPr>
      </w:pPr>
      <w:r>
        <w:rPr>
          <w:rFonts w:hint="eastAsia" w:asciiTheme="minorEastAsia" w:hAnsiTheme="minorEastAsia" w:eastAsiaTheme="minorEastAsia"/>
          <w:szCs w:val="21"/>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14:paraId="70975D74">
      <w:pPr>
        <w:rPr>
          <w:rFonts w:asciiTheme="minorEastAsia" w:hAnsiTheme="minorEastAsia" w:eastAsiaTheme="minorEastAsia"/>
          <w:szCs w:val="21"/>
        </w:rPr>
      </w:pPr>
      <w:r>
        <w:rPr>
          <w:rFonts w:hint="eastAsia" w:asciiTheme="minorEastAsia" w:hAnsiTheme="minorEastAsia" w:eastAsiaTheme="minorEastAsia"/>
          <w:szCs w:val="21"/>
        </w:rPr>
        <w:t>（2）监理人审查后认为已具备竣工验收条件的，应将竣工验收申请报告提交发包人，发包人应在收到经监理人审核的竣工验收申请报告后28天内审批完毕并组织监理人、承包人、设计人等相关单位完成竣工验收。</w:t>
      </w:r>
    </w:p>
    <w:p w14:paraId="01C73611">
      <w:pPr>
        <w:rPr>
          <w:rFonts w:asciiTheme="minorEastAsia" w:hAnsiTheme="minorEastAsia" w:eastAsiaTheme="minorEastAsia"/>
          <w:szCs w:val="21"/>
        </w:rPr>
      </w:pPr>
      <w:r>
        <w:rPr>
          <w:rFonts w:hint="eastAsia" w:asciiTheme="minorEastAsia" w:hAnsiTheme="minorEastAsia" w:eastAsiaTheme="minorEastAsia"/>
          <w:szCs w:val="21"/>
        </w:rPr>
        <w:t>（3）竣工验收合格的，发包人应在验收合格后14天内向承包人签发工程接收证书。发包人无正当理由逾期不颁发工程接收证书的，自验收合格后第15天起视为已颁发工程接收证书。</w:t>
      </w:r>
    </w:p>
    <w:p w14:paraId="32D7FDD2">
      <w:pPr>
        <w:rPr>
          <w:rFonts w:asciiTheme="minorEastAsia" w:hAnsiTheme="minorEastAsia" w:eastAsiaTheme="minorEastAsia"/>
          <w:szCs w:val="21"/>
        </w:rPr>
      </w:pPr>
      <w:r>
        <w:rPr>
          <w:rFonts w:hint="eastAsia" w:asciiTheme="minorEastAsia" w:hAnsiTheme="minorEastAsia" w:eastAsiaTheme="minorEastAsia"/>
          <w:szCs w:val="21"/>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643B4479">
      <w:pPr>
        <w:rPr>
          <w:rFonts w:asciiTheme="minorEastAsia" w:hAnsiTheme="minorEastAsia" w:eastAsiaTheme="minorEastAsia"/>
          <w:szCs w:val="21"/>
        </w:rPr>
      </w:pPr>
      <w:r>
        <w:rPr>
          <w:rFonts w:hint="eastAsia" w:asciiTheme="minorEastAsia" w:hAnsiTheme="minorEastAsia" w:eastAsiaTheme="minorEastAsia"/>
          <w:szCs w:val="21"/>
        </w:rPr>
        <w:t>（5）工程未经验收或验收不合格，发包人擅自使用的，应在转移占有工程后7天内向承包人颁发工程接收证书；发包人无正当理由逾期不颁发工程接收证书的，自转移占有后第15天起视为已颁发工程接收证书。</w:t>
      </w:r>
    </w:p>
    <w:p w14:paraId="060458E7">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除专用合同条款另有约定外，发包人不按照本项约定组织竣工验收、颁发工程接收证书的，每逾期一天，应以签约合同价为基数，按照中国人民银行发布的同期同类贷款基准利率支付违约金。</w:t>
      </w:r>
    </w:p>
    <w:p w14:paraId="00255B1C">
      <w:pPr>
        <w:rPr>
          <w:rFonts w:asciiTheme="minorEastAsia" w:hAnsiTheme="minorEastAsia" w:eastAsiaTheme="minorEastAsia"/>
          <w:szCs w:val="21"/>
        </w:rPr>
      </w:pPr>
      <w:r>
        <w:rPr>
          <w:rFonts w:hint="eastAsia" w:asciiTheme="minorEastAsia" w:hAnsiTheme="minorEastAsia" w:eastAsiaTheme="minorEastAsia"/>
          <w:szCs w:val="21"/>
        </w:rPr>
        <w:t>13.2.3竣工日期</w:t>
      </w:r>
    </w:p>
    <w:p w14:paraId="0590AFC4">
      <w:pPr>
        <w:rPr>
          <w:rFonts w:asciiTheme="minorEastAsia" w:hAnsiTheme="minorEastAsia" w:eastAsiaTheme="minorEastAsia"/>
          <w:szCs w:val="21"/>
        </w:rPr>
      </w:pPr>
      <w:r>
        <w:rPr>
          <w:rFonts w:hint="eastAsia" w:asciiTheme="minorEastAsia" w:hAnsiTheme="minorEastAsia" w:eastAsiaTheme="minorEastAsia"/>
          <w:szCs w:val="21"/>
        </w:rPr>
        <w:t>工程经竣工验收合格的，以承包人提交竣工验收申请报告之日为实际竣工日期，并在工程接收证书中载明；因发包人原因，未在监理人收到承包人提交的竣工验收申请报告42天内完成竣工验收，或完成竣工验收不予签发工程接收证书的，以提交竣工验收申请报告的日期为实际竣工日期；工程未经竣工验收，发包人擅自使用的，以转移占有工程之日为实际竣工日期。</w:t>
      </w:r>
    </w:p>
    <w:p w14:paraId="3B5CE69A">
      <w:pPr>
        <w:rPr>
          <w:rFonts w:asciiTheme="minorEastAsia" w:hAnsiTheme="minorEastAsia" w:eastAsiaTheme="minorEastAsia"/>
          <w:szCs w:val="21"/>
        </w:rPr>
      </w:pPr>
      <w:r>
        <w:rPr>
          <w:rFonts w:hint="eastAsia" w:asciiTheme="minorEastAsia" w:hAnsiTheme="minorEastAsia" w:eastAsiaTheme="minorEastAsia"/>
          <w:szCs w:val="21"/>
        </w:rPr>
        <w:t>13.2.4 拒绝接收全部或部分工程</w:t>
      </w:r>
    </w:p>
    <w:p w14:paraId="388FAA6C">
      <w:pPr>
        <w:rPr>
          <w:rFonts w:asciiTheme="minorEastAsia" w:hAnsiTheme="minorEastAsia" w:eastAsiaTheme="minorEastAsia"/>
          <w:szCs w:val="21"/>
        </w:rPr>
      </w:pPr>
      <w:r>
        <w:rPr>
          <w:rFonts w:hint="eastAsia" w:asciiTheme="minorEastAsia" w:hAnsiTheme="minorEastAsia" w:eastAsiaTheme="minorEastAsia"/>
          <w:szCs w:val="21"/>
        </w:rPr>
        <w:t>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28BF67F1">
      <w:pPr>
        <w:rPr>
          <w:rFonts w:asciiTheme="minorEastAsia" w:hAnsiTheme="minorEastAsia" w:eastAsiaTheme="minorEastAsia"/>
          <w:szCs w:val="21"/>
        </w:rPr>
      </w:pPr>
      <w:r>
        <w:rPr>
          <w:rFonts w:hint="eastAsia" w:asciiTheme="minorEastAsia" w:hAnsiTheme="minorEastAsia" w:eastAsiaTheme="minorEastAsia"/>
          <w:szCs w:val="21"/>
        </w:rPr>
        <w:t>13.2.5 移交、接收全部与部分工程</w:t>
      </w:r>
    </w:p>
    <w:p w14:paraId="5B99D169">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除专用合同条款另有约定外，合同当事人应当在颁发工程接收证书后7天内完成工程的移交。</w:t>
      </w:r>
    </w:p>
    <w:p w14:paraId="24A267E2">
      <w:pPr>
        <w:rPr>
          <w:rFonts w:asciiTheme="minorEastAsia" w:hAnsiTheme="minorEastAsia" w:eastAsiaTheme="minorEastAsia"/>
          <w:szCs w:val="21"/>
        </w:rPr>
      </w:pPr>
      <w:r>
        <w:rPr>
          <w:rFonts w:hint="eastAsia" w:asciiTheme="minorEastAsia" w:hAnsiTheme="minorEastAsia" w:eastAsiaTheme="minorEastAsia"/>
          <w:szCs w:val="21"/>
        </w:rPr>
        <w:t>发包人无正当理由不接收工程的，发包人自应当接收工程之日起，承担工程照管、成品保护、保管等与工程有关的各项费用，合同当事人可以在专用合同条款中另行约定发包人逾期接收工程的违约责任。</w:t>
      </w:r>
    </w:p>
    <w:p w14:paraId="14F4CE4E">
      <w:pPr>
        <w:rPr>
          <w:rFonts w:asciiTheme="minorEastAsia" w:hAnsiTheme="minorEastAsia" w:eastAsiaTheme="minorEastAsia"/>
          <w:szCs w:val="21"/>
        </w:rPr>
      </w:pPr>
      <w:r>
        <w:rPr>
          <w:rFonts w:hint="eastAsia" w:asciiTheme="minorEastAsia" w:hAnsiTheme="minorEastAsia" w:eastAsiaTheme="minorEastAsia"/>
          <w:szCs w:val="21"/>
        </w:rPr>
        <w:t>承包人无正当理由不移交工程的，承包人应承担工程照管、成品保护、保管等与工程有关的各项费用，合同当事人可以在专用合同条款中另行约定承包人无正当理由不移交工程的违约责任。</w:t>
      </w:r>
    </w:p>
    <w:p w14:paraId="4C5DC674">
      <w:pPr>
        <w:rPr>
          <w:rFonts w:asciiTheme="minorEastAsia" w:hAnsiTheme="minorEastAsia" w:eastAsiaTheme="minorEastAsia"/>
          <w:szCs w:val="21"/>
        </w:rPr>
      </w:pPr>
      <w:r>
        <w:rPr>
          <w:rFonts w:hint="eastAsia" w:asciiTheme="minorEastAsia" w:hAnsiTheme="minorEastAsia" w:eastAsiaTheme="minorEastAsia"/>
          <w:szCs w:val="21"/>
        </w:rPr>
        <w:t>13.3工程试车</w:t>
      </w:r>
    </w:p>
    <w:p w14:paraId="76C6BFA2">
      <w:pPr>
        <w:rPr>
          <w:rFonts w:asciiTheme="minorEastAsia" w:hAnsiTheme="minorEastAsia" w:eastAsiaTheme="minorEastAsia"/>
          <w:szCs w:val="21"/>
        </w:rPr>
      </w:pPr>
      <w:r>
        <w:rPr>
          <w:rFonts w:hint="eastAsia" w:asciiTheme="minorEastAsia" w:hAnsiTheme="minorEastAsia" w:eastAsiaTheme="minorEastAsia"/>
          <w:szCs w:val="21"/>
        </w:rPr>
        <w:t>13.3.1试车程序</w:t>
      </w:r>
    </w:p>
    <w:p w14:paraId="4FB6D170">
      <w:pPr>
        <w:rPr>
          <w:rFonts w:asciiTheme="minorEastAsia" w:hAnsiTheme="minorEastAsia" w:eastAsiaTheme="minorEastAsia"/>
          <w:szCs w:val="21"/>
        </w:rPr>
      </w:pPr>
      <w:r>
        <w:rPr>
          <w:rFonts w:hint="eastAsia" w:asciiTheme="minorEastAsia" w:hAnsiTheme="minorEastAsia" w:eastAsiaTheme="minorEastAsia"/>
          <w:szCs w:val="21"/>
        </w:rPr>
        <w:t>工程需要试车的，除专用合同条款另有约定外，试车内容应与承包人承包范围相一致，试车费用由承包人承担。工程试车应按如下程序进行：</w:t>
      </w:r>
    </w:p>
    <w:p w14:paraId="52EF28B4">
      <w:pPr>
        <w:rPr>
          <w:rFonts w:asciiTheme="minorEastAsia" w:hAnsiTheme="minorEastAsia" w:eastAsiaTheme="minorEastAsia"/>
          <w:szCs w:val="21"/>
        </w:rPr>
      </w:pPr>
      <w:r>
        <w:rPr>
          <w:rFonts w:hint="eastAsia" w:asciiTheme="minorEastAsia" w:hAnsiTheme="minorEastAsia" w:eastAsiaTheme="minorEastAsia"/>
          <w:szCs w:val="21"/>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14:paraId="7CA43B1A">
      <w:pPr>
        <w:rPr>
          <w:rFonts w:asciiTheme="minorEastAsia" w:hAnsiTheme="minorEastAsia" w:eastAsiaTheme="minorEastAsia"/>
          <w:szCs w:val="21"/>
        </w:rPr>
      </w:pPr>
      <w:r>
        <w:rPr>
          <w:rFonts w:hint="eastAsia" w:asciiTheme="minorEastAsia" w:hAnsiTheme="minorEastAsia" w:eastAsiaTheme="minorEastAsia"/>
          <w:szCs w:val="21"/>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14:paraId="762B256C">
      <w:pPr>
        <w:rPr>
          <w:rFonts w:asciiTheme="minorEastAsia" w:hAnsiTheme="minorEastAsia" w:eastAsiaTheme="minorEastAsia"/>
          <w:szCs w:val="21"/>
        </w:rPr>
      </w:pPr>
      <w:r>
        <w:rPr>
          <w:rFonts w:hint="eastAsia" w:asciiTheme="minorEastAsia" w:hAnsiTheme="minorEastAsia" w:eastAsiaTheme="minorEastAsia"/>
          <w:szCs w:val="21"/>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14:paraId="7050801D">
      <w:pPr>
        <w:rPr>
          <w:rFonts w:asciiTheme="minorEastAsia" w:hAnsiTheme="minorEastAsia" w:eastAsiaTheme="minorEastAsia"/>
          <w:szCs w:val="21"/>
        </w:rPr>
      </w:pPr>
      <w:r>
        <w:rPr>
          <w:rFonts w:hint="eastAsia" w:asciiTheme="minorEastAsia" w:hAnsiTheme="minorEastAsia" w:eastAsiaTheme="minorEastAsia"/>
          <w:szCs w:val="21"/>
        </w:rPr>
        <w:t>13.3.2 试车中的责任</w:t>
      </w:r>
    </w:p>
    <w:p w14:paraId="14CC8E8A">
      <w:pPr>
        <w:rPr>
          <w:rFonts w:asciiTheme="minorEastAsia" w:hAnsiTheme="minorEastAsia" w:eastAsiaTheme="minorEastAsia"/>
          <w:szCs w:val="21"/>
        </w:rPr>
      </w:pPr>
      <w:r>
        <w:rPr>
          <w:rFonts w:hint="eastAsia" w:asciiTheme="minorEastAsia" w:hAnsiTheme="minorEastAsia" w:eastAsiaTheme="minorEastAsia"/>
          <w:szCs w:val="21"/>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14:paraId="623BCF4D">
      <w:pPr>
        <w:rPr>
          <w:rFonts w:asciiTheme="minorEastAsia" w:hAnsiTheme="minorEastAsia" w:eastAsiaTheme="minorEastAsia"/>
          <w:szCs w:val="21"/>
        </w:rPr>
      </w:pPr>
      <w:r>
        <w:rPr>
          <w:rFonts w:hint="eastAsia" w:asciiTheme="minorEastAsia" w:hAnsiTheme="minorEastAsia" w:eastAsiaTheme="minorEastAsia"/>
          <w:szCs w:val="21"/>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7B24BA46">
      <w:pPr>
        <w:rPr>
          <w:rFonts w:asciiTheme="minorEastAsia" w:hAnsiTheme="minorEastAsia" w:eastAsiaTheme="minorEastAsia"/>
          <w:szCs w:val="21"/>
        </w:rPr>
      </w:pPr>
      <w:r>
        <w:rPr>
          <w:rFonts w:hint="eastAsia" w:asciiTheme="minorEastAsia" w:hAnsiTheme="minorEastAsia" w:eastAsiaTheme="minorEastAsia"/>
          <w:szCs w:val="21"/>
        </w:rPr>
        <w:t>13.3.3 投料试车</w:t>
      </w:r>
    </w:p>
    <w:p w14:paraId="7DE4B9A1">
      <w:pPr>
        <w:rPr>
          <w:rFonts w:asciiTheme="minorEastAsia" w:hAnsiTheme="minorEastAsia" w:eastAsiaTheme="minorEastAsia"/>
          <w:szCs w:val="21"/>
        </w:rPr>
      </w:pPr>
      <w:r>
        <w:rPr>
          <w:rFonts w:hint="eastAsia" w:asciiTheme="minorEastAsia" w:hAnsiTheme="minorEastAsia" w:eastAsiaTheme="minorEastAsia"/>
          <w:szCs w:val="21"/>
        </w:rPr>
        <w:t>如需进行投料试车的，发包人应在工程竣工验收后组织投料试车。发包人要求在工程竣工验收前进行或需要承包人配合时，应征得承包人同意，并在专用合同条款中约定有关事项。</w:t>
      </w:r>
    </w:p>
    <w:p w14:paraId="74B9EA86">
      <w:pPr>
        <w:rPr>
          <w:rFonts w:asciiTheme="minorEastAsia" w:hAnsiTheme="minorEastAsia" w:eastAsiaTheme="minorEastAsia"/>
          <w:szCs w:val="21"/>
        </w:rPr>
      </w:pPr>
      <w:r>
        <w:rPr>
          <w:rFonts w:hint="eastAsia" w:asciiTheme="minorEastAsia" w:hAnsiTheme="minorEastAsia" w:eastAsiaTheme="minorEastAsia"/>
          <w:szCs w:val="21"/>
        </w:rPr>
        <w:t>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14:paraId="446480FB">
      <w:pPr>
        <w:rPr>
          <w:rFonts w:asciiTheme="minorEastAsia" w:hAnsiTheme="minorEastAsia" w:eastAsiaTheme="minorEastAsia"/>
          <w:szCs w:val="21"/>
        </w:rPr>
      </w:pPr>
      <w:r>
        <w:rPr>
          <w:rFonts w:hint="eastAsia" w:asciiTheme="minorEastAsia" w:hAnsiTheme="minorEastAsia" w:eastAsiaTheme="minorEastAsia"/>
          <w:szCs w:val="21"/>
        </w:rPr>
        <w:t>13.4提前交付单位工程的验收</w:t>
      </w:r>
    </w:p>
    <w:p w14:paraId="55256ABE">
      <w:pPr>
        <w:rPr>
          <w:rFonts w:asciiTheme="minorEastAsia" w:hAnsiTheme="minorEastAsia" w:eastAsiaTheme="minorEastAsia"/>
          <w:szCs w:val="21"/>
        </w:rPr>
      </w:pPr>
      <w:r>
        <w:rPr>
          <w:rFonts w:hint="eastAsia" w:asciiTheme="minorEastAsia" w:hAnsiTheme="minorEastAsia" w:eastAsiaTheme="minorEastAsia"/>
          <w:szCs w:val="21"/>
        </w:rPr>
        <w:t>13.4.1 发包人需要在工程竣工前使用单位工程的，或承包人提出提前交付已经竣工的单位工程且经发包人同意的，可进行单位工程验收，验收的程序按照第13.2款〔竣工验收〕的约定进行。</w:t>
      </w:r>
    </w:p>
    <w:p w14:paraId="5D58CE77">
      <w:pPr>
        <w:rPr>
          <w:rFonts w:asciiTheme="minorEastAsia" w:hAnsiTheme="minorEastAsia" w:eastAsiaTheme="minorEastAsia"/>
          <w:szCs w:val="21"/>
        </w:rPr>
      </w:pPr>
      <w:r>
        <w:rPr>
          <w:rFonts w:hint="eastAsia" w:asciiTheme="minorEastAsia" w:hAnsiTheme="minorEastAsia" w:eastAsiaTheme="minorEastAsia"/>
          <w:szCs w:val="21"/>
        </w:rPr>
        <w:t>验收合格后，由监理人向承包人出具经发包人签认的单位工程接收证书。已签发单位工程接收证书的单位工程由发包人负责照管。单位工程的验收成果和结论作为整体工程竣工验收申请报告的附件。</w:t>
      </w:r>
    </w:p>
    <w:p w14:paraId="4C13F940">
      <w:pPr>
        <w:rPr>
          <w:rFonts w:asciiTheme="minorEastAsia" w:hAnsiTheme="minorEastAsia" w:eastAsiaTheme="minorEastAsia"/>
          <w:szCs w:val="21"/>
        </w:rPr>
      </w:pPr>
      <w:r>
        <w:rPr>
          <w:rFonts w:hint="eastAsia" w:asciiTheme="minorEastAsia" w:hAnsiTheme="minorEastAsia" w:eastAsiaTheme="minorEastAsia"/>
          <w:szCs w:val="21"/>
        </w:rPr>
        <w:t>13.4.2 发包人要求在工程竣工前交付单位工程，由此导致承包人费用增加和（或）工期延误的，由发包人承担由此增加的费用和（或）延误的工期，并支付承包人合理的利润。</w:t>
      </w:r>
    </w:p>
    <w:p w14:paraId="619F3F18">
      <w:pPr>
        <w:rPr>
          <w:rFonts w:asciiTheme="minorEastAsia" w:hAnsiTheme="minorEastAsia" w:eastAsiaTheme="minorEastAsia"/>
          <w:szCs w:val="21"/>
        </w:rPr>
      </w:pPr>
      <w:r>
        <w:rPr>
          <w:rFonts w:hint="eastAsia" w:asciiTheme="minorEastAsia" w:hAnsiTheme="minorEastAsia" w:eastAsiaTheme="minorEastAsia"/>
          <w:szCs w:val="21"/>
        </w:rPr>
        <w:t>13.5 施工期运行</w:t>
      </w:r>
    </w:p>
    <w:p w14:paraId="09271B93">
      <w:pPr>
        <w:rPr>
          <w:rFonts w:asciiTheme="minorEastAsia" w:hAnsiTheme="minorEastAsia" w:eastAsiaTheme="minorEastAsia"/>
          <w:szCs w:val="21"/>
        </w:rPr>
      </w:pPr>
      <w:r>
        <w:rPr>
          <w:rFonts w:hint="eastAsia" w:asciiTheme="minorEastAsia" w:hAnsiTheme="minorEastAsia" w:eastAsiaTheme="minorEastAsia"/>
          <w:szCs w:val="21"/>
        </w:rPr>
        <w:t>13.5.1 施工期运行是指合同工程尚未全部竣工，其中某项或某几项单位工程或工程设备安装已竣工，根据专用合同条款约定，需要投入施工期运行的，经发包人按第13.4款〔提前交付单位工程的验收〕的约定验收合格，证明能确保安全后，才能在施工期投入运行。</w:t>
      </w:r>
    </w:p>
    <w:p w14:paraId="522542A5">
      <w:pPr>
        <w:rPr>
          <w:rFonts w:asciiTheme="minorEastAsia" w:hAnsiTheme="minorEastAsia" w:eastAsiaTheme="minorEastAsia"/>
          <w:szCs w:val="21"/>
        </w:rPr>
      </w:pPr>
      <w:r>
        <w:rPr>
          <w:rFonts w:hint="eastAsia" w:asciiTheme="minorEastAsia" w:hAnsiTheme="minorEastAsia" w:eastAsiaTheme="minorEastAsia"/>
          <w:szCs w:val="21"/>
        </w:rPr>
        <w:t>13.5.2 在施工期运行中发现工程或工程设备损坏或存在缺陷的，由承包人按第15.2款〔缺陷责任期〕约定进行修复。</w:t>
      </w:r>
    </w:p>
    <w:p w14:paraId="69602A94">
      <w:pPr>
        <w:rPr>
          <w:rFonts w:asciiTheme="minorEastAsia" w:hAnsiTheme="minorEastAsia" w:eastAsiaTheme="minorEastAsia"/>
          <w:szCs w:val="21"/>
        </w:rPr>
      </w:pPr>
      <w:r>
        <w:rPr>
          <w:rFonts w:hint="eastAsia" w:asciiTheme="minorEastAsia" w:hAnsiTheme="minorEastAsia" w:eastAsiaTheme="minorEastAsia"/>
          <w:szCs w:val="21"/>
        </w:rPr>
        <w:t>13.6 竣工退场</w:t>
      </w:r>
    </w:p>
    <w:p w14:paraId="4AF3B67B">
      <w:pPr>
        <w:rPr>
          <w:rFonts w:asciiTheme="minorEastAsia" w:hAnsiTheme="minorEastAsia" w:eastAsiaTheme="minorEastAsia"/>
          <w:szCs w:val="21"/>
        </w:rPr>
      </w:pPr>
      <w:r>
        <w:rPr>
          <w:rFonts w:hint="eastAsia" w:asciiTheme="minorEastAsia" w:hAnsiTheme="minorEastAsia" w:eastAsiaTheme="minorEastAsia"/>
          <w:szCs w:val="21"/>
        </w:rPr>
        <w:t>13.6.1 竣工退场</w:t>
      </w:r>
    </w:p>
    <w:p w14:paraId="16C3F311">
      <w:pPr>
        <w:rPr>
          <w:rFonts w:asciiTheme="minorEastAsia" w:hAnsiTheme="minorEastAsia" w:eastAsiaTheme="minorEastAsia"/>
          <w:szCs w:val="21"/>
        </w:rPr>
      </w:pPr>
      <w:r>
        <w:rPr>
          <w:rFonts w:hint="eastAsia" w:asciiTheme="minorEastAsia" w:hAnsiTheme="minorEastAsia" w:eastAsiaTheme="minorEastAsia"/>
          <w:szCs w:val="21"/>
        </w:rPr>
        <w:t>颁发工程接收证书后，承包人应按以下要求对施工现场进行清理：</w:t>
      </w:r>
    </w:p>
    <w:p w14:paraId="191E1331">
      <w:pPr>
        <w:rPr>
          <w:rFonts w:asciiTheme="minorEastAsia" w:hAnsiTheme="minorEastAsia" w:eastAsiaTheme="minorEastAsia"/>
          <w:szCs w:val="21"/>
        </w:rPr>
      </w:pPr>
      <w:r>
        <w:rPr>
          <w:rFonts w:hint="eastAsia" w:asciiTheme="minorEastAsia" w:hAnsiTheme="minorEastAsia" w:eastAsiaTheme="minorEastAsia"/>
          <w:szCs w:val="21"/>
        </w:rPr>
        <w:t>（1）施工现场内残留的垃圾已全部清除出场；</w:t>
      </w:r>
    </w:p>
    <w:p w14:paraId="4AEF48E1">
      <w:pPr>
        <w:rPr>
          <w:rFonts w:asciiTheme="minorEastAsia" w:hAnsiTheme="minorEastAsia" w:eastAsiaTheme="minorEastAsia"/>
          <w:szCs w:val="21"/>
        </w:rPr>
      </w:pPr>
      <w:r>
        <w:rPr>
          <w:rFonts w:hint="eastAsia" w:asciiTheme="minorEastAsia" w:hAnsiTheme="minorEastAsia" w:eastAsiaTheme="minorEastAsia"/>
          <w:szCs w:val="21"/>
        </w:rPr>
        <w:t>（2）临时工程已拆除，场地已进行清理、平整或复原；</w:t>
      </w:r>
    </w:p>
    <w:p w14:paraId="14F51990">
      <w:pPr>
        <w:rPr>
          <w:rFonts w:asciiTheme="minorEastAsia" w:hAnsiTheme="minorEastAsia" w:eastAsiaTheme="minorEastAsia"/>
          <w:szCs w:val="21"/>
        </w:rPr>
      </w:pPr>
      <w:r>
        <w:rPr>
          <w:rFonts w:hint="eastAsia" w:asciiTheme="minorEastAsia" w:hAnsiTheme="minorEastAsia" w:eastAsiaTheme="minorEastAsia"/>
          <w:szCs w:val="21"/>
        </w:rPr>
        <w:t>（3）按合同约定应撤离的人员、承包人施工设备和剩余的材料，包括废弃的施工设备和材料，已按计划撤离施工现场；</w:t>
      </w:r>
    </w:p>
    <w:p w14:paraId="17224D88">
      <w:pPr>
        <w:rPr>
          <w:rFonts w:asciiTheme="minorEastAsia" w:hAnsiTheme="minorEastAsia" w:eastAsiaTheme="minorEastAsia"/>
          <w:szCs w:val="21"/>
        </w:rPr>
      </w:pPr>
      <w:r>
        <w:rPr>
          <w:rFonts w:hint="eastAsia" w:asciiTheme="minorEastAsia" w:hAnsiTheme="minorEastAsia" w:eastAsiaTheme="minorEastAsia"/>
          <w:szCs w:val="21"/>
        </w:rPr>
        <w:t>（4）施工现场周边及其附近道路、河道的施工堆积物，已全部清理；</w:t>
      </w:r>
    </w:p>
    <w:p w14:paraId="32F7C6ED">
      <w:pPr>
        <w:rPr>
          <w:rFonts w:asciiTheme="minorEastAsia" w:hAnsiTheme="minorEastAsia" w:eastAsiaTheme="minorEastAsia"/>
          <w:szCs w:val="21"/>
        </w:rPr>
      </w:pPr>
      <w:r>
        <w:rPr>
          <w:rFonts w:hint="eastAsia" w:asciiTheme="minorEastAsia" w:hAnsiTheme="minorEastAsia" w:eastAsiaTheme="minorEastAsia"/>
          <w:szCs w:val="21"/>
        </w:rPr>
        <w:t>（5）施工现场其他场地清理工作已全部完成。</w:t>
      </w:r>
    </w:p>
    <w:p w14:paraId="26087853">
      <w:pPr>
        <w:rPr>
          <w:rFonts w:asciiTheme="minorEastAsia" w:hAnsiTheme="minorEastAsia" w:eastAsiaTheme="minorEastAsia"/>
          <w:szCs w:val="21"/>
        </w:rPr>
      </w:pPr>
      <w:r>
        <w:rPr>
          <w:rFonts w:hint="eastAsia" w:asciiTheme="minorEastAsia" w:hAnsiTheme="minorEastAsia" w:eastAsiaTheme="minorEastAsia"/>
          <w:szCs w:val="21"/>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4213E6E0">
      <w:pPr>
        <w:rPr>
          <w:rFonts w:asciiTheme="minorEastAsia" w:hAnsiTheme="minorEastAsia" w:eastAsiaTheme="minorEastAsia"/>
          <w:szCs w:val="21"/>
        </w:rPr>
      </w:pPr>
      <w:r>
        <w:rPr>
          <w:rFonts w:hint="eastAsia" w:asciiTheme="minorEastAsia" w:hAnsiTheme="minorEastAsia" w:eastAsiaTheme="minorEastAsia"/>
          <w:szCs w:val="21"/>
        </w:rPr>
        <w:t>13.6.2 地表还原</w:t>
      </w:r>
    </w:p>
    <w:p w14:paraId="1288CAFA">
      <w:pPr>
        <w:rPr>
          <w:rFonts w:asciiTheme="minorEastAsia" w:hAnsiTheme="minorEastAsia" w:eastAsiaTheme="minorEastAsia"/>
          <w:szCs w:val="21"/>
        </w:rPr>
      </w:pPr>
      <w:r>
        <w:rPr>
          <w:rFonts w:hint="eastAsia" w:asciiTheme="minorEastAsia" w:hAnsiTheme="minorEastAsia" w:eastAsiaTheme="minorEastAsia"/>
          <w:szCs w:val="21"/>
        </w:rPr>
        <w:t>承包人应按发包人要求恢复临时占地及清理场地，承包人未按发包人的要求恢复临时占地，或者场地清理未达到合同约定要求的，发包人有权委托其他人恢复或清理，所发生的费用由承包人承担。</w:t>
      </w:r>
    </w:p>
    <w:p w14:paraId="0AE696EA">
      <w:pPr>
        <w:rPr>
          <w:rFonts w:asciiTheme="minorEastAsia" w:hAnsiTheme="minorEastAsia" w:eastAsiaTheme="minorEastAsia"/>
          <w:b/>
          <w:szCs w:val="21"/>
        </w:rPr>
      </w:pPr>
      <w:r>
        <w:rPr>
          <w:rFonts w:hint="eastAsia" w:asciiTheme="minorEastAsia" w:hAnsiTheme="minorEastAsia" w:eastAsiaTheme="minorEastAsia"/>
          <w:b/>
          <w:szCs w:val="21"/>
        </w:rPr>
        <w:t>14. 竣工结算</w:t>
      </w:r>
    </w:p>
    <w:p w14:paraId="0F549494">
      <w:pPr>
        <w:rPr>
          <w:rFonts w:asciiTheme="minorEastAsia" w:hAnsiTheme="minorEastAsia" w:eastAsiaTheme="minorEastAsia"/>
          <w:szCs w:val="21"/>
        </w:rPr>
      </w:pPr>
      <w:r>
        <w:rPr>
          <w:rFonts w:hint="eastAsia" w:asciiTheme="minorEastAsia" w:hAnsiTheme="minorEastAsia" w:eastAsiaTheme="minorEastAsia"/>
          <w:szCs w:val="21"/>
        </w:rPr>
        <w:t>14.1 竣工结算申请</w:t>
      </w:r>
    </w:p>
    <w:p w14:paraId="0CBCF6DE">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承包人应在工程竣工验收合格后28天内向发包人和监理人提交竣工结算申请单，并提交完整的结算资料，有关竣工结算申请单的资料清单和份数等要求由合同当事人在专用合同条款中约定。</w:t>
      </w:r>
    </w:p>
    <w:p w14:paraId="1CB7FF47">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除专用合同条款另有约定外，竣工结算申请单应包括以下内容：</w:t>
      </w:r>
    </w:p>
    <w:p w14:paraId="1EC006F8">
      <w:pPr>
        <w:rPr>
          <w:rFonts w:asciiTheme="minorEastAsia" w:hAnsiTheme="minorEastAsia" w:eastAsiaTheme="minorEastAsia"/>
          <w:szCs w:val="21"/>
        </w:rPr>
      </w:pPr>
      <w:r>
        <w:rPr>
          <w:rFonts w:hint="eastAsia" w:asciiTheme="minorEastAsia" w:hAnsiTheme="minorEastAsia" w:eastAsiaTheme="minorEastAsia"/>
          <w:szCs w:val="21"/>
        </w:rPr>
        <w:t>（1）竣工结算合同价格；</w:t>
      </w:r>
    </w:p>
    <w:p w14:paraId="55D768FE">
      <w:pPr>
        <w:rPr>
          <w:rFonts w:asciiTheme="minorEastAsia" w:hAnsiTheme="minorEastAsia" w:eastAsiaTheme="minorEastAsia"/>
          <w:szCs w:val="21"/>
        </w:rPr>
      </w:pPr>
      <w:r>
        <w:rPr>
          <w:rFonts w:hint="eastAsia" w:asciiTheme="minorEastAsia" w:hAnsiTheme="minorEastAsia" w:eastAsiaTheme="minorEastAsia"/>
          <w:szCs w:val="21"/>
        </w:rPr>
        <w:t>（2）发包人已支付承包人的款项；</w:t>
      </w:r>
    </w:p>
    <w:p w14:paraId="2AF17AF5">
      <w:pPr>
        <w:rPr>
          <w:rFonts w:asciiTheme="minorEastAsia" w:hAnsiTheme="minorEastAsia" w:eastAsiaTheme="minorEastAsia"/>
          <w:szCs w:val="21"/>
        </w:rPr>
      </w:pPr>
      <w:r>
        <w:rPr>
          <w:rFonts w:hint="eastAsia" w:asciiTheme="minorEastAsia" w:hAnsiTheme="minorEastAsia" w:eastAsiaTheme="minorEastAsia"/>
          <w:szCs w:val="21"/>
        </w:rPr>
        <w:t xml:space="preserve">（3）应扣留的质量保证金。已缴纳履约保证金的或提供其他工程质量担保方式的除外； </w:t>
      </w:r>
    </w:p>
    <w:p w14:paraId="3E465366">
      <w:pPr>
        <w:rPr>
          <w:rFonts w:asciiTheme="minorEastAsia" w:hAnsiTheme="minorEastAsia" w:eastAsiaTheme="minorEastAsia"/>
          <w:szCs w:val="21"/>
        </w:rPr>
      </w:pPr>
      <w:r>
        <w:rPr>
          <w:rFonts w:hint="eastAsia" w:asciiTheme="minorEastAsia" w:hAnsiTheme="minorEastAsia" w:eastAsiaTheme="minorEastAsia"/>
          <w:szCs w:val="21"/>
        </w:rPr>
        <w:t>（4）发包人应支付承包人的合同价款。</w:t>
      </w:r>
    </w:p>
    <w:p w14:paraId="7FCC4CE7">
      <w:pPr>
        <w:rPr>
          <w:rFonts w:asciiTheme="minorEastAsia" w:hAnsiTheme="minorEastAsia" w:eastAsiaTheme="minorEastAsia"/>
          <w:szCs w:val="21"/>
        </w:rPr>
      </w:pPr>
      <w:r>
        <w:rPr>
          <w:rFonts w:hint="eastAsia" w:asciiTheme="minorEastAsia" w:hAnsiTheme="minorEastAsia" w:eastAsiaTheme="minorEastAsia"/>
          <w:szCs w:val="21"/>
        </w:rPr>
        <w:t>14.2 竣工结算审核</w:t>
      </w:r>
    </w:p>
    <w:p w14:paraId="43522602">
      <w:pPr>
        <w:rPr>
          <w:rFonts w:asciiTheme="minorEastAsia" w:hAnsiTheme="minorEastAsia" w:eastAsiaTheme="minorEastAsia"/>
          <w:szCs w:val="21"/>
        </w:rPr>
      </w:pPr>
      <w:r>
        <w:rPr>
          <w:rFonts w:hint="eastAsia" w:asciiTheme="minorEastAsia" w:hAnsiTheme="minorEastAsia" w:eastAsiaTheme="minorEastAsia"/>
          <w:szCs w:val="21"/>
        </w:rPr>
        <w:t>（1）除专用合同条款另有约定外，监理人应在收到竣工结算申请单后14天内完成核查并报送发包人。发包人应在收到监理人提交的经审核的竣工结算申请单后14天内完成审批，并由监理人向承包人签发经发包人签认的竣工付款证书。监理人或发包人对竣工结算申请单有异议的，有权要求承包人进行修正和提供补充资料，承包人应提交修正后的竣工结算申请单。</w:t>
      </w:r>
    </w:p>
    <w:p w14:paraId="05CA36D8">
      <w:pPr>
        <w:rPr>
          <w:rFonts w:asciiTheme="minorEastAsia" w:hAnsiTheme="minorEastAsia" w:eastAsiaTheme="minorEastAsia"/>
          <w:szCs w:val="21"/>
        </w:rPr>
      </w:pPr>
      <w:r>
        <w:rPr>
          <w:rFonts w:hint="eastAsia" w:asciiTheme="minorEastAsia" w:hAnsiTheme="minorEastAsia" w:eastAsiaTheme="minorEastAsia"/>
          <w:szCs w:val="21"/>
        </w:rPr>
        <w:t>发包人在收到承包人提交竣工结算申请书后28天内未完成审批且未提出异议的，视为发包人认可承包人提交的竣工结算申请单，并自发包人收到承包人提交的竣工结算申请单后第29天起视为已签发竣工付款证书。</w:t>
      </w:r>
    </w:p>
    <w:p w14:paraId="5CB7BF94">
      <w:pPr>
        <w:rPr>
          <w:rFonts w:asciiTheme="minorEastAsia" w:hAnsiTheme="minorEastAsia" w:eastAsiaTheme="minorEastAsia"/>
          <w:szCs w:val="21"/>
        </w:rPr>
      </w:pPr>
      <w:r>
        <w:rPr>
          <w:rFonts w:hint="eastAsia" w:asciiTheme="minorEastAsia" w:hAnsiTheme="minorEastAsia" w:eastAsiaTheme="minorEastAsia"/>
          <w:szCs w:val="21"/>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14:paraId="0D3E692E">
      <w:pPr>
        <w:rPr>
          <w:rFonts w:asciiTheme="minorEastAsia" w:hAnsiTheme="minorEastAsia" w:eastAsiaTheme="minorEastAsia"/>
          <w:szCs w:val="21"/>
        </w:rPr>
      </w:pPr>
      <w:r>
        <w:rPr>
          <w:rFonts w:hint="eastAsia" w:asciiTheme="minorEastAsia" w:hAnsiTheme="minorEastAsia" w:eastAsiaTheme="minorEastAsia"/>
          <w:szCs w:val="21"/>
        </w:rPr>
        <w:t>（3）承包人对发包人签认的竣工付款证书有异议的，对于有异议部分应在收到发包人签认的竣工付款证书后7天内提出异议，并由合同当事人按照专用合同条款约定的方式和程序进行复核，或按照第20条〔争议解决〕约定处理。对于无异议部分，发包人应签发临时竣工付款证书，并按本款第（2）项完成付款。承包人逾期未提出异议的，视为认可发包人的审批结果。</w:t>
      </w:r>
    </w:p>
    <w:p w14:paraId="601DF406">
      <w:pPr>
        <w:rPr>
          <w:rFonts w:asciiTheme="minorEastAsia" w:hAnsiTheme="minorEastAsia" w:eastAsiaTheme="minorEastAsia"/>
          <w:szCs w:val="21"/>
        </w:rPr>
      </w:pPr>
      <w:r>
        <w:rPr>
          <w:rFonts w:hint="eastAsia" w:asciiTheme="minorEastAsia" w:hAnsiTheme="minorEastAsia" w:eastAsiaTheme="minorEastAsia"/>
          <w:szCs w:val="21"/>
        </w:rPr>
        <w:t>14.3 甩项竣工协议</w:t>
      </w:r>
    </w:p>
    <w:p w14:paraId="248AC084">
      <w:pPr>
        <w:rPr>
          <w:rFonts w:asciiTheme="minorEastAsia" w:hAnsiTheme="minorEastAsia" w:eastAsiaTheme="minorEastAsia"/>
          <w:szCs w:val="21"/>
        </w:rPr>
      </w:pPr>
      <w:r>
        <w:rPr>
          <w:rFonts w:hint="eastAsia" w:asciiTheme="minorEastAsia" w:hAnsiTheme="minorEastAsia" w:eastAsiaTheme="minorEastAsia"/>
          <w:szCs w:val="21"/>
        </w:rPr>
        <w:t>发包人要求甩项竣工的，合同当事人应签订甩项竣工协议。在甩项竣工协议中应明确，合同当事人按照第14.1款〔竣工结算申请〕及14.2款〔竣工结算审核〕的约定，对已完合格工程进行结算，并支付相应合同价款。</w:t>
      </w:r>
    </w:p>
    <w:p w14:paraId="6896029A">
      <w:pPr>
        <w:rPr>
          <w:rFonts w:asciiTheme="minorEastAsia" w:hAnsiTheme="minorEastAsia" w:eastAsiaTheme="minorEastAsia"/>
          <w:szCs w:val="21"/>
        </w:rPr>
      </w:pPr>
      <w:r>
        <w:rPr>
          <w:rFonts w:hint="eastAsia" w:asciiTheme="minorEastAsia" w:hAnsiTheme="minorEastAsia" w:eastAsiaTheme="minorEastAsia"/>
          <w:szCs w:val="21"/>
        </w:rPr>
        <w:t>14.4 最终结清</w:t>
      </w:r>
    </w:p>
    <w:p w14:paraId="5DE753C7">
      <w:pPr>
        <w:rPr>
          <w:rFonts w:asciiTheme="minorEastAsia" w:hAnsiTheme="minorEastAsia" w:eastAsiaTheme="minorEastAsia"/>
          <w:szCs w:val="21"/>
        </w:rPr>
      </w:pPr>
      <w:r>
        <w:rPr>
          <w:rFonts w:hint="eastAsia" w:asciiTheme="minorEastAsia" w:hAnsiTheme="minorEastAsia" w:eastAsiaTheme="minorEastAsia"/>
          <w:szCs w:val="21"/>
        </w:rPr>
        <w:t>14.4.1 最终结清申请单</w:t>
      </w:r>
    </w:p>
    <w:p w14:paraId="201BCA7F">
      <w:pPr>
        <w:rPr>
          <w:rFonts w:asciiTheme="minorEastAsia" w:hAnsiTheme="minorEastAsia" w:eastAsiaTheme="minorEastAsia"/>
          <w:szCs w:val="21"/>
        </w:rPr>
      </w:pPr>
      <w:r>
        <w:rPr>
          <w:rFonts w:hint="eastAsia" w:asciiTheme="minorEastAsia" w:hAnsiTheme="minorEastAsia" w:eastAsiaTheme="minorEastAsia"/>
          <w:szCs w:val="21"/>
        </w:rPr>
        <w:t>（1）除专用合同条款另有约定外，承包人应在缺陷责任期终止证书颁发后7天内，按专用合同条款约定的份数向发包人提交最终结清申请单，并提供相关证明材料。</w:t>
      </w:r>
    </w:p>
    <w:p w14:paraId="38D2769C">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除专用合同条款另有约定外，最终结清申请单应列明质量保证金、应扣除的质量保证金、缺陷责任期内发生的增减费用。</w:t>
      </w:r>
    </w:p>
    <w:p w14:paraId="489FF30F">
      <w:pPr>
        <w:rPr>
          <w:rFonts w:asciiTheme="minorEastAsia" w:hAnsiTheme="minorEastAsia" w:eastAsiaTheme="minorEastAsia"/>
          <w:szCs w:val="21"/>
        </w:rPr>
      </w:pPr>
      <w:r>
        <w:rPr>
          <w:rFonts w:hint="eastAsia" w:asciiTheme="minorEastAsia" w:hAnsiTheme="minorEastAsia" w:eastAsiaTheme="minorEastAsia"/>
          <w:szCs w:val="21"/>
        </w:rPr>
        <w:t>（2）发包人对最终结清申请单内容有异议的，有权要求承包人进行修正和提供补充资料，承包人应向发包人提交修正后的最终结清申请单。</w:t>
      </w:r>
    </w:p>
    <w:p w14:paraId="03156829">
      <w:pPr>
        <w:rPr>
          <w:rFonts w:asciiTheme="minorEastAsia" w:hAnsiTheme="minorEastAsia" w:eastAsiaTheme="minorEastAsia"/>
          <w:szCs w:val="21"/>
        </w:rPr>
      </w:pPr>
      <w:r>
        <w:rPr>
          <w:rFonts w:hint="eastAsia" w:asciiTheme="minorEastAsia" w:hAnsiTheme="minorEastAsia" w:eastAsiaTheme="minorEastAsia"/>
          <w:szCs w:val="21"/>
        </w:rPr>
        <w:t>14.4.2 最终结清证书和支付</w:t>
      </w:r>
    </w:p>
    <w:p w14:paraId="6784457E">
      <w:pPr>
        <w:rPr>
          <w:rFonts w:asciiTheme="minorEastAsia" w:hAnsiTheme="minorEastAsia" w:eastAsiaTheme="minorEastAsia"/>
          <w:szCs w:val="21"/>
        </w:rPr>
      </w:pPr>
      <w:r>
        <w:rPr>
          <w:rFonts w:hint="eastAsia" w:asciiTheme="minorEastAsia" w:hAnsiTheme="minorEastAsia" w:eastAsiaTheme="minorEastAsia"/>
          <w:szCs w:val="21"/>
        </w:rPr>
        <w:t>（1）除专用合同条款另有约定外，发包人应在收到承包人提交的最终结清申请单后14天内完成审批并向承包人颁发最终结清证书。发包人逾期未完成审批，又未提出修改意见的，视为发包人同意承包人提交的最终结清申请单，且自发包人收到承包人提交的最终结清申请单后15天起视为已颁发最终结清证书。</w:t>
      </w:r>
    </w:p>
    <w:p w14:paraId="226E4327">
      <w:pPr>
        <w:rPr>
          <w:rFonts w:asciiTheme="minorEastAsia" w:hAnsiTheme="minorEastAsia" w:eastAsiaTheme="minorEastAsia"/>
          <w:szCs w:val="21"/>
        </w:rPr>
      </w:pPr>
      <w:r>
        <w:rPr>
          <w:rFonts w:hint="eastAsia" w:asciiTheme="minorEastAsia" w:hAnsiTheme="minorEastAsia" w:eastAsiaTheme="minorEastAsia"/>
          <w:szCs w:val="21"/>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14:paraId="6F2BD788">
      <w:pPr>
        <w:rPr>
          <w:rFonts w:asciiTheme="minorEastAsia" w:hAnsiTheme="minorEastAsia" w:eastAsiaTheme="minorEastAsia"/>
          <w:szCs w:val="21"/>
        </w:rPr>
      </w:pPr>
      <w:r>
        <w:rPr>
          <w:rFonts w:hint="eastAsia" w:asciiTheme="minorEastAsia" w:hAnsiTheme="minorEastAsia" w:eastAsiaTheme="minorEastAsia"/>
          <w:szCs w:val="21"/>
        </w:rPr>
        <w:t>（3）承包人对发包人颁发的最终结清证书有异议的，按第20条〔争议解决〕的约定办理。</w:t>
      </w:r>
    </w:p>
    <w:p w14:paraId="6088E8DD">
      <w:pPr>
        <w:rPr>
          <w:rFonts w:asciiTheme="minorEastAsia" w:hAnsiTheme="minorEastAsia" w:eastAsiaTheme="minorEastAsia"/>
          <w:b/>
          <w:szCs w:val="21"/>
        </w:rPr>
      </w:pPr>
      <w:r>
        <w:rPr>
          <w:rFonts w:hint="eastAsia" w:asciiTheme="minorEastAsia" w:hAnsiTheme="minorEastAsia" w:eastAsiaTheme="minorEastAsia"/>
          <w:b/>
          <w:szCs w:val="21"/>
        </w:rPr>
        <w:t>15. 缺陷责任与保修</w:t>
      </w:r>
    </w:p>
    <w:p w14:paraId="0CA6AD87">
      <w:pPr>
        <w:rPr>
          <w:rFonts w:asciiTheme="minorEastAsia" w:hAnsiTheme="minorEastAsia" w:eastAsiaTheme="minorEastAsia"/>
          <w:szCs w:val="21"/>
        </w:rPr>
      </w:pPr>
      <w:r>
        <w:rPr>
          <w:rFonts w:hint="eastAsia" w:asciiTheme="minorEastAsia" w:hAnsiTheme="minorEastAsia" w:eastAsiaTheme="minorEastAsia"/>
          <w:szCs w:val="21"/>
        </w:rPr>
        <w:t>15.1 工程保修的原则</w:t>
      </w:r>
    </w:p>
    <w:p w14:paraId="05BAD4F5">
      <w:pPr>
        <w:rPr>
          <w:rFonts w:asciiTheme="minorEastAsia" w:hAnsiTheme="minorEastAsia" w:eastAsiaTheme="minorEastAsia"/>
          <w:szCs w:val="21"/>
        </w:rPr>
      </w:pPr>
      <w:r>
        <w:rPr>
          <w:rFonts w:hint="eastAsia" w:asciiTheme="minorEastAsia" w:hAnsiTheme="minorEastAsia" w:eastAsiaTheme="minorEastAsia"/>
          <w:szCs w:val="21"/>
        </w:rPr>
        <w:t>在工程移交发包人后，因承包人原因产生的质量缺陷，承包人应承担质量缺陷责任和保修义务。缺陷责任期届满，承包人仍应按合同约定的工程各部位保修年限承担保修义务。</w:t>
      </w:r>
    </w:p>
    <w:p w14:paraId="5EE4A6AE">
      <w:pPr>
        <w:rPr>
          <w:rFonts w:asciiTheme="minorEastAsia" w:hAnsiTheme="minorEastAsia" w:eastAsiaTheme="minorEastAsia"/>
          <w:szCs w:val="21"/>
        </w:rPr>
      </w:pPr>
      <w:r>
        <w:rPr>
          <w:rFonts w:hint="eastAsia" w:asciiTheme="minorEastAsia" w:hAnsiTheme="minorEastAsia" w:eastAsiaTheme="minorEastAsia"/>
          <w:szCs w:val="21"/>
        </w:rPr>
        <w:t>15.2 缺陷责任期</w:t>
      </w:r>
    </w:p>
    <w:p w14:paraId="0BDAC81F">
      <w:pPr>
        <w:rPr>
          <w:rFonts w:asciiTheme="minorEastAsia" w:hAnsiTheme="minorEastAsia" w:eastAsiaTheme="minorEastAsia"/>
          <w:szCs w:val="21"/>
        </w:rPr>
      </w:pPr>
      <w:r>
        <w:rPr>
          <w:rFonts w:hint="eastAsia" w:asciiTheme="minorEastAsia" w:hAnsiTheme="minorEastAsia" w:eastAsiaTheme="minorEastAsia"/>
          <w:szCs w:val="21"/>
        </w:rPr>
        <w:t>15.2.1 缺陷责任期从工程通过竣工验收之日起计算，合同当事人应在专用合同条款约定缺陷责任期的具体期限，但该期限最长不超过24个月。</w:t>
      </w:r>
    </w:p>
    <w:p w14:paraId="65DA37F3">
      <w:pPr>
        <w:rPr>
          <w:rFonts w:asciiTheme="minorEastAsia" w:hAnsiTheme="minorEastAsia" w:eastAsiaTheme="minorEastAsia"/>
          <w:szCs w:val="21"/>
        </w:rPr>
      </w:pPr>
      <w:r>
        <w:rPr>
          <w:rFonts w:hint="eastAsia" w:asciiTheme="minorEastAsia" w:hAnsiTheme="minorEastAsia" w:eastAsiaTheme="minorEastAsia"/>
          <w:szCs w:val="21"/>
        </w:rPr>
        <w:t>单位工程先于全部工程进行验收，经验收合格并交付使用的，该单位工程缺陷责任期自单位工程验收合格之日起算。因承包人原因导致工程无法按合同约定期限进行竣工验收的，缺陷责任期从实际通过竣工验收之日起计算。因发包人原因导致工程无法按合同约定期限进行竣工验收的，在承包人提交竣工验收报告90天后，工程自动进入缺陷责任期；发包人未经竣工验收擅自使用工程的，缺陷责任期自工程转移占有之日起开始计算。</w:t>
      </w:r>
    </w:p>
    <w:p w14:paraId="1ACB8B98">
      <w:pPr>
        <w:rPr>
          <w:rFonts w:asciiTheme="minorEastAsia" w:hAnsiTheme="minorEastAsia" w:eastAsiaTheme="minorEastAsia"/>
          <w:szCs w:val="21"/>
        </w:rPr>
      </w:pPr>
      <w:r>
        <w:rPr>
          <w:rFonts w:hint="eastAsia" w:asciiTheme="minorEastAsia" w:hAnsiTheme="minorEastAsia" w:eastAsiaTheme="minorEastAsia"/>
          <w:szCs w:val="21"/>
        </w:rPr>
        <w:t>15.2.2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发包人有权要求承包人延长缺陷责任期，并应在原缺陷责任期届满前发出延长通知。但缺陷责任期（含延长部分）最长不能超过24个月。</w:t>
      </w:r>
    </w:p>
    <w:p w14:paraId="5C901B17">
      <w:pPr>
        <w:rPr>
          <w:rFonts w:asciiTheme="minorEastAsia" w:hAnsiTheme="minorEastAsia" w:eastAsiaTheme="minorEastAsia"/>
          <w:szCs w:val="21"/>
        </w:rPr>
      </w:pPr>
      <w:r>
        <w:rPr>
          <w:rFonts w:hint="eastAsia" w:asciiTheme="minorEastAsia" w:hAnsiTheme="minorEastAsia" w:eastAsiaTheme="minorEastAsia"/>
          <w:szCs w:val="21"/>
        </w:rPr>
        <w:t>由他人原因造成的缺陷，发包人负责组织维修，承包人不承担费用，且发包人不得从保证金中扣除费用。</w:t>
      </w:r>
    </w:p>
    <w:p w14:paraId="11844289">
      <w:pPr>
        <w:rPr>
          <w:rFonts w:asciiTheme="minorEastAsia" w:hAnsiTheme="minorEastAsia" w:eastAsiaTheme="minorEastAsia"/>
          <w:szCs w:val="21"/>
        </w:rPr>
      </w:pPr>
      <w:r>
        <w:rPr>
          <w:rFonts w:hint="eastAsia" w:asciiTheme="minorEastAsia" w:hAnsiTheme="minorEastAsia" w:eastAsiaTheme="minorEastAsia"/>
          <w:szCs w:val="21"/>
        </w:rPr>
        <w:t>15.2.3 任何一项缺陷或损坏修复后，经检查证明其影响了工程或工程设备的使用性能，承包人应重新进行合同约定的试验和试运行，试验和试运行的全部费用应由责任方承担。</w:t>
      </w:r>
    </w:p>
    <w:p w14:paraId="014D5788">
      <w:pPr>
        <w:rPr>
          <w:rFonts w:asciiTheme="minorEastAsia" w:hAnsiTheme="minorEastAsia" w:eastAsiaTheme="minorEastAsia"/>
          <w:szCs w:val="21"/>
        </w:rPr>
      </w:pPr>
      <w:r>
        <w:rPr>
          <w:rFonts w:hint="eastAsia" w:asciiTheme="minorEastAsia" w:hAnsiTheme="minorEastAsia" w:eastAsiaTheme="minorEastAsia"/>
          <w:szCs w:val="21"/>
        </w:rPr>
        <w:t>15.2.4 除专用合同条款另有约定外，承包人应于缺陷责任期届满后7天内向发包人发出缺陷责任期届满通知，发包人应在收到缺陷责任期满通知后14天内核实承包人是否履行缺陷修复义务，承包人未能履行缺陷修复义务的，发包人有权扣除相应金额的维修费用。发包人应在收到缺陷责任期届满通知后14天内，向承包人颁发缺陷责任期终止证书。</w:t>
      </w:r>
    </w:p>
    <w:p w14:paraId="5D9EFB87">
      <w:pPr>
        <w:rPr>
          <w:rFonts w:asciiTheme="minorEastAsia" w:hAnsiTheme="minorEastAsia" w:eastAsiaTheme="minorEastAsia"/>
          <w:szCs w:val="21"/>
        </w:rPr>
      </w:pPr>
      <w:r>
        <w:rPr>
          <w:rFonts w:hint="eastAsia" w:asciiTheme="minorEastAsia" w:hAnsiTheme="minorEastAsia" w:eastAsiaTheme="minorEastAsia"/>
          <w:szCs w:val="21"/>
        </w:rPr>
        <w:t>15.3 质量保证金</w:t>
      </w:r>
    </w:p>
    <w:p w14:paraId="0BF51925">
      <w:pPr>
        <w:rPr>
          <w:rFonts w:asciiTheme="minorEastAsia" w:hAnsiTheme="minorEastAsia" w:eastAsiaTheme="minorEastAsia"/>
          <w:szCs w:val="21"/>
        </w:rPr>
      </w:pPr>
      <w:r>
        <w:rPr>
          <w:rFonts w:hint="eastAsia" w:asciiTheme="minorEastAsia" w:hAnsiTheme="minorEastAsia" w:eastAsiaTheme="minorEastAsia"/>
          <w:szCs w:val="21"/>
        </w:rPr>
        <w:t>经合同当事人协商一致扣留质量保证金的，应在专用合同条款中予以明确。</w:t>
      </w:r>
    </w:p>
    <w:p w14:paraId="06DE8CCE">
      <w:pPr>
        <w:rPr>
          <w:rFonts w:asciiTheme="minorEastAsia" w:hAnsiTheme="minorEastAsia" w:eastAsiaTheme="minorEastAsia"/>
          <w:szCs w:val="21"/>
        </w:rPr>
      </w:pPr>
      <w:r>
        <w:rPr>
          <w:rFonts w:hint="eastAsia" w:asciiTheme="minorEastAsia" w:hAnsiTheme="minorEastAsia" w:eastAsiaTheme="minorEastAsia"/>
          <w:szCs w:val="21"/>
        </w:rPr>
        <w:t>在工程项目竣工前，承包人已经提供履约担保的，发包人不得同时预留工程质量保证金。</w:t>
      </w:r>
    </w:p>
    <w:p w14:paraId="48F057CE">
      <w:pPr>
        <w:rPr>
          <w:rFonts w:asciiTheme="minorEastAsia" w:hAnsiTheme="minorEastAsia" w:eastAsiaTheme="minorEastAsia"/>
          <w:szCs w:val="21"/>
        </w:rPr>
      </w:pPr>
      <w:r>
        <w:rPr>
          <w:rFonts w:hint="eastAsia" w:asciiTheme="minorEastAsia" w:hAnsiTheme="minorEastAsia" w:eastAsiaTheme="minorEastAsia"/>
          <w:szCs w:val="21"/>
        </w:rPr>
        <w:t>15.3.1 承包人提供质量保证金的方式</w:t>
      </w:r>
    </w:p>
    <w:p w14:paraId="56E2626F">
      <w:pPr>
        <w:rPr>
          <w:rFonts w:asciiTheme="minorEastAsia" w:hAnsiTheme="minorEastAsia" w:eastAsiaTheme="minorEastAsia"/>
          <w:szCs w:val="21"/>
        </w:rPr>
      </w:pPr>
      <w:r>
        <w:rPr>
          <w:rFonts w:hint="eastAsia" w:asciiTheme="minorEastAsia" w:hAnsiTheme="minorEastAsia" w:eastAsiaTheme="minorEastAsia"/>
          <w:szCs w:val="21"/>
        </w:rPr>
        <w:t>承包人提供质量保证金有以下三种方式：</w:t>
      </w:r>
    </w:p>
    <w:p w14:paraId="6B79FDF5">
      <w:pPr>
        <w:rPr>
          <w:rFonts w:asciiTheme="minorEastAsia" w:hAnsiTheme="minorEastAsia" w:eastAsiaTheme="minorEastAsia"/>
          <w:szCs w:val="21"/>
        </w:rPr>
      </w:pPr>
      <w:r>
        <w:rPr>
          <w:rFonts w:hint="eastAsia" w:asciiTheme="minorEastAsia" w:hAnsiTheme="minorEastAsia" w:eastAsiaTheme="minorEastAsia"/>
          <w:szCs w:val="21"/>
        </w:rPr>
        <w:t xml:space="preserve">（1）质量保证金保函； </w:t>
      </w:r>
    </w:p>
    <w:p w14:paraId="3CE313FB">
      <w:pPr>
        <w:rPr>
          <w:rFonts w:asciiTheme="minorEastAsia" w:hAnsiTheme="minorEastAsia" w:eastAsiaTheme="minorEastAsia"/>
          <w:szCs w:val="21"/>
        </w:rPr>
      </w:pPr>
      <w:r>
        <w:rPr>
          <w:rFonts w:hint="eastAsia" w:asciiTheme="minorEastAsia" w:hAnsiTheme="minorEastAsia" w:eastAsiaTheme="minorEastAsia"/>
          <w:szCs w:val="21"/>
        </w:rPr>
        <w:t>（2）相应比例的工程款；</w:t>
      </w:r>
    </w:p>
    <w:p w14:paraId="2345ABE5">
      <w:pPr>
        <w:rPr>
          <w:rFonts w:asciiTheme="minorEastAsia" w:hAnsiTheme="minorEastAsia" w:eastAsiaTheme="minorEastAsia"/>
          <w:szCs w:val="21"/>
        </w:rPr>
      </w:pPr>
      <w:r>
        <w:rPr>
          <w:rFonts w:hint="eastAsia" w:asciiTheme="minorEastAsia" w:hAnsiTheme="minorEastAsia" w:eastAsiaTheme="minorEastAsia"/>
          <w:szCs w:val="21"/>
        </w:rPr>
        <w:t>（3）双方约定的其他方式。</w:t>
      </w:r>
    </w:p>
    <w:p w14:paraId="7917868C">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除专用合同条款另有约定外，质量保证金原则上采用上述第（1）种方式。</w:t>
      </w:r>
    </w:p>
    <w:p w14:paraId="6E765C6B">
      <w:pPr>
        <w:rPr>
          <w:rFonts w:asciiTheme="minorEastAsia" w:hAnsiTheme="minorEastAsia" w:eastAsiaTheme="minorEastAsia"/>
          <w:szCs w:val="21"/>
        </w:rPr>
      </w:pPr>
      <w:r>
        <w:rPr>
          <w:rFonts w:hint="eastAsia" w:asciiTheme="minorEastAsia" w:hAnsiTheme="minorEastAsia" w:eastAsiaTheme="minorEastAsia"/>
          <w:szCs w:val="21"/>
        </w:rPr>
        <w:t>15.3.2 质量保证金的扣留</w:t>
      </w:r>
    </w:p>
    <w:p w14:paraId="2A75EEAF">
      <w:pPr>
        <w:rPr>
          <w:rFonts w:asciiTheme="minorEastAsia" w:hAnsiTheme="minorEastAsia" w:eastAsiaTheme="minorEastAsia"/>
          <w:szCs w:val="21"/>
        </w:rPr>
      </w:pPr>
      <w:r>
        <w:rPr>
          <w:rFonts w:hint="eastAsia" w:asciiTheme="minorEastAsia" w:hAnsiTheme="minorEastAsia" w:eastAsiaTheme="minorEastAsia"/>
          <w:szCs w:val="21"/>
        </w:rPr>
        <w:t>质量保证金的扣留有以下三种方式：</w:t>
      </w:r>
    </w:p>
    <w:p w14:paraId="4D4CCCE9">
      <w:pPr>
        <w:rPr>
          <w:rFonts w:asciiTheme="minorEastAsia" w:hAnsiTheme="minorEastAsia" w:eastAsiaTheme="minorEastAsia"/>
          <w:szCs w:val="21"/>
        </w:rPr>
      </w:pPr>
      <w:r>
        <w:rPr>
          <w:rFonts w:hint="eastAsia" w:asciiTheme="minorEastAsia" w:hAnsiTheme="minorEastAsia" w:eastAsiaTheme="minorEastAsia"/>
          <w:szCs w:val="21"/>
        </w:rPr>
        <w:t>（1）在支付工程进度款时逐次扣留，在此情形下，质量保证金的计算基数不包括预付款的支付、扣回以及价格调整的金额；</w:t>
      </w:r>
    </w:p>
    <w:p w14:paraId="26C86219">
      <w:pPr>
        <w:rPr>
          <w:rFonts w:asciiTheme="minorEastAsia" w:hAnsiTheme="minorEastAsia" w:eastAsiaTheme="minorEastAsia"/>
          <w:szCs w:val="21"/>
        </w:rPr>
      </w:pPr>
      <w:r>
        <w:rPr>
          <w:rFonts w:hint="eastAsia" w:asciiTheme="minorEastAsia" w:hAnsiTheme="minorEastAsia" w:eastAsiaTheme="minorEastAsia"/>
          <w:szCs w:val="21"/>
        </w:rPr>
        <w:t>（2）工程竣工结算时一次性扣留质量保证金；</w:t>
      </w:r>
    </w:p>
    <w:p w14:paraId="3FF8D47D">
      <w:pPr>
        <w:rPr>
          <w:rFonts w:asciiTheme="minorEastAsia" w:hAnsiTheme="minorEastAsia" w:eastAsiaTheme="minorEastAsia"/>
          <w:szCs w:val="21"/>
        </w:rPr>
      </w:pPr>
      <w:r>
        <w:rPr>
          <w:rFonts w:hint="eastAsia" w:asciiTheme="minorEastAsia" w:hAnsiTheme="minorEastAsia" w:eastAsiaTheme="minorEastAsia"/>
          <w:szCs w:val="21"/>
        </w:rPr>
        <w:t>（3）双方约定的其他扣留方式。</w:t>
      </w:r>
    </w:p>
    <w:p w14:paraId="049B9EE1">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除专用合同条款另有约定外，质量保证金的扣留原则上采用上述第（1）种方式。</w:t>
      </w:r>
    </w:p>
    <w:p w14:paraId="04B3ABF2">
      <w:pPr>
        <w:rPr>
          <w:rFonts w:asciiTheme="minorEastAsia" w:hAnsiTheme="minorEastAsia" w:eastAsiaTheme="minorEastAsia"/>
          <w:szCs w:val="21"/>
        </w:rPr>
      </w:pPr>
      <w:r>
        <w:rPr>
          <w:rFonts w:hint="eastAsia" w:asciiTheme="minorEastAsia" w:hAnsiTheme="minorEastAsia" w:eastAsiaTheme="minorEastAsia"/>
          <w:szCs w:val="21"/>
        </w:rPr>
        <w:t>发包人累计扣留的质量保证金不得超过工程价款结算总额的3%。如承包人在发包人签发竣工付款证书后28天内提交质量保证金保函，发包人应同时退还扣留的作为质量保证金的工程价款；保函金额不得超过工程价款结算总额的3%。</w:t>
      </w:r>
    </w:p>
    <w:p w14:paraId="0E4E0871">
      <w:pPr>
        <w:rPr>
          <w:rFonts w:asciiTheme="minorEastAsia" w:hAnsiTheme="minorEastAsia" w:eastAsiaTheme="minorEastAsia"/>
          <w:szCs w:val="21"/>
        </w:rPr>
      </w:pPr>
      <w:r>
        <w:rPr>
          <w:rFonts w:hint="eastAsia" w:asciiTheme="minorEastAsia" w:hAnsiTheme="minorEastAsia" w:eastAsiaTheme="minorEastAsia"/>
          <w:szCs w:val="21"/>
        </w:rPr>
        <w:t>发包人在退还质量保证金的同时按照中国人民银行发布的同期同类贷款基准利率支付利息。</w:t>
      </w:r>
    </w:p>
    <w:p w14:paraId="3B15FEE7">
      <w:pPr>
        <w:rPr>
          <w:rFonts w:asciiTheme="minorEastAsia" w:hAnsiTheme="minorEastAsia" w:eastAsiaTheme="minorEastAsia"/>
          <w:szCs w:val="21"/>
        </w:rPr>
      </w:pPr>
      <w:r>
        <w:rPr>
          <w:rFonts w:hint="eastAsia" w:asciiTheme="minorEastAsia" w:hAnsiTheme="minorEastAsia" w:eastAsiaTheme="minorEastAsia"/>
          <w:szCs w:val="21"/>
        </w:rPr>
        <w:t>15.3.3 质量保证金的退还</w:t>
      </w:r>
    </w:p>
    <w:p w14:paraId="6D9311BB">
      <w:pPr>
        <w:rPr>
          <w:rFonts w:asciiTheme="minorEastAsia" w:hAnsiTheme="minorEastAsia" w:eastAsiaTheme="minorEastAsia"/>
          <w:szCs w:val="21"/>
        </w:rPr>
      </w:pPr>
      <w:r>
        <w:rPr>
          <w:rFonts w:hint="eastAsia" w:asciiTheme="minorEastAsia" w:hAnsiTheme="minorEastAsia" w:eastAsiaTheme="minorEastAsia"/>
          <w:szCs w:val="21"/>
        </w:rPr>
        <w:t>缺陷责任期内，承包人认真履行合同约定的责任，到期后，承包人可向发包人申请返还保证金。</w:t>
      </w:r>
    </w:p>
    <w:p w14:paraId="4DD0BC60">
      <w:pPr>
        <w:rPr>
          <w:rFonts w:asciiTheme="minorEastAsia" w:hAnsiTheme="minorEastAsia" w:eastAsiaTheme="minorEastAsia"/>
          <w:szCs w:val="21"/>
        </w:rPr>
      </w:pPr>
      <w:r>
        <w:rPr>
          <w:rFonts w:hint="eastAsia" w:asciiTheme="minorEastAsia" w:hAnsiTheme="minorEastAsia" w:eastAsiaTheme="minorEastAsia"/>
          <w:szCs w:val="21"/>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14:paraId="30B76E22">
      <w:pPr>
        <w:rPr>
          <w:rFonts w:asciiTheme="minorEastAsia" w:hAnsiTheme="minorEastAsia" w:eastAsiaTheme="minorEastAsia"/>
          <w:szCs w:val="21"/>
        </w:rPr>
      </w:pPr>
      <w:r>
        <w:rPr>
          <w:rFonts w:hint="eastAsia" w:asciiTheme="minorEastAsia" w:hAnsiTheme="minorEastAsia" w:eastAsiaTheme="minorEastAsia"/>
          <w:szCs w:val="21"/>
        </w:rPr>
        <w:t>发包人和承包人对保证金预留、返还以及工程维修质量、费用有争议的，按本合同第20条约定的争议和纠纷解决程序处理。</w:t>
      </w:r>
    </w:p>
    <w:p w14:paraId="706284C4">
      <w:pPr>
        <w:rPr>
          <w:rFonts w:asciiTheme="minorEastAsia" w:hAnsiTheme="minorEastAsia" w:eastAsiaTheme="minorEastAsia"/>
          <w:szCs w:val="21"/>
        </w:rPr>
      </w:pPr>
      <w:r>
        <w:rPr>
          <w:rFonts w:hint="eastAsia" w:asciiTheme="minorEastAsia" w:hAnsiTheme="minorEastAsia" w:eastAsiaTheme="minorEastAsia"/>
          <w:szCs w:val="21"/>
        </w:rPr>
        <w:t>15.4 保修</w:t>
      </w:r>
    </w:p>
    <w:p w14:paraId="5F198359">
      <w:pPr>
        <w:rPr>
          <w:rFonts w:asciiTheme="minorEastAsia" w:hAnsiTheme="minorEastAsia" w:eastAsiaTheme="minorEastAsia"/>
          <w:szCs w:val="21"/>
        </w:rPr>
      </w:pPr>
      <w:r>
        <w:rPr>
          <w:rFonts w:hint="eastAsia" w:asciiTheme="minorEastAsia" w:hAnsiTheme="minorEastAsia" w:eastAsiaTheme="minorEastAsia"/>
          <w:szCs w:val="21"/>
        </w:rPr>
        <w:t>15.4.1保修责任</w:t>
      </w:r>
    </w:p>
    <w:p w14:paraId="2FD084BD">
      <w:pPr>
        <w:rPr>
          <w:rFonts w:asciiTheme="minorEastAsia" w:hAnsiTheme="minorEastAsia" w:eastAsiaTheme="minorEastAsia"/>
          <w:szCs w:val="21"/>
        </w:rPr>
      </w:pPr>
      <w:r>
        <w:rPr>
          <w:rFonts w:hint="eastAsia" w:asciiTheme="minorEastAsia" w:hAnsiTheme="minorEastAsia" w:eastAsiaTheme="minorEastAsia"/>
          <w:szCs w:val="21"/>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085ECE28">
      <w:pPr>
        <w:rPr>
          <w:rFonts w:asciiTheme="minorEastAsia" w:hAnsiTheme="minorEastAsia" w:eastAsiaTheme="minorEastAsia"/>
          <w:szCs w:val="21"/>
        </w:rPr>
      </w:pPr>
      <w:r>
        <w:rPr>
          <w:rFonts w:hint="eastAsia" w:asciiTheme="minorEastAsia" w:hAnsiTheme="minorEastAsia" w:eastAsiaTheme="minorEastAsia"/>
          <w:szCs w:val="21"/>
        </w:rPr>
        <w:t>发包人未经竣工验收擅自使用工程的，保修期自转移占有之日起算。</w:t>
      </w:r>
    </w:p>
    <w:p w14:paraId="082A9F2B">
      <w:pPr>
        <w:rPr>
          <w:rFonts w:asciiTheme="minorEastAsia" w:hAnsiTheme="minorEastAsia" w:eastAsiaTheme="minorEastAsia"/>
          <w:szCs w:val="21"/>
        </w:rPr>
      </w:pPr>
      <w:r>
        <w:rPr>
          <w:rFonts w:hint="eastAsia" w:asciiTheme="minorEastAsia" w:hAnsiTheme="minorEastAsia" w:eastAsiaTheme="minorEastAsia"/>
          <w:szCs w:val="21"/>
        </w:rPr>
        <w:t>15.4.2 修复费用</w:t>
      </w:r>
    </w:p>
    <w:p w14:paraId="37B97EEC">
      <w:pPr>
        <w:rPr>
          <w:rFonts w:asciiTheme="minorEastAsia" w:hAnsiTheme="minorEastAsia" w:eastAsiaTheme="minorEastAsia"/>
          <w:szCs w:val="21"/>
        </w:rPr>
      </w:pPr>
      <w:r>
        <w:rPr>
          <w:rFonts w:hint="eastAsia" w:asciiTheme="minorEastAsia" w:hAnsiTheme="minorEastAsia" w:eastAsiaTheme="minorEastAsia"/>
          <w:szCs w:val="21"/>
        </w:rPr>
        <w:t>保修期内，修复的费用按照以下约定处理：</w:t>
      </w:r>
    </w:p>
    <w:p w14:paraId="72684907">
      <w:pPr>
        <w:rPr>
          <w:rFonts w:asciiTheme="minorEastAsia" w:hAnsiTheme="minorEastAsia" w:eastAsiaTheme="minorEastAsia"/>
          <w:szCs w:val="21"/>
        </w:rPr>
      </w:pPr>
      <w:r>
        <w:rPr>
          <w:rFonts w:hint="eastAsia" w:asciiTheme="minorEastAsia" w:hAnsiTheme="minorEastAsia" w:eastAsiaTheme="minorEastAsia"/>
          <w:szCs w:val="21"/>
        </w:rPr>
        <w:t>（1）保修期内，因承包人原因造成工程的缺陷、损坏，承包人应负责修复，并承担修复的费用以及因工程的缺陷、损坏造成的人身伤害和财产损失；</w:t>
      </w:r>
    </w:p>
    <w:p w14:paraId="07D87A9F">
      <w:pPr>
        <w:rPr>
          <w:rFonts w:asciiTheme="minorEastAsia" w:hAnsiTheme="minorEastAsia" w:eastAsiaTheme="minorEastAsia"/>
          <w:szCs w:val="21"/>
        </w:rPr>
      </w:pPr>
      <w:r>
        <w:rPr>
          <w:rFonts w:hint="eastAsia" w:asciiTheme="minorEastAsia" w:hAnsiTheme="minorEastAsia" w:eastAsiaTheme="minorEastAsia"/>
          <w:szCs w:val="21"/>
        </w:rPr>
        <w:t>（2）保修期内，因发包人使用不当造成工程的缺陷、损坏，可以委托承包人修复，但发包人应承担修复的费用，并支付承包人合理利润；</w:t>
      </w:r>
    </w:p>
    <w:p w14:paraId="2E061580">
      <w:pPr>
        <w:rPr>
          <w:rFonts w:asciiTheme="minorEastAsia" w:hAnsiTheme="minorEastAsia" w:eastAsiaTheme="minorEastAsia"/>
          <w:szCs w:val="21"/>
        </w:rPr>
      </w:pPr>
      <w:r>
        <w:rPr>
          <w:rFonts w:hint="eastAsia" w:asciiTheme="minorEastAsia" w:hAnsiTheme="minorEastAsia" w:eastAsiaTheme="minorEastAsia"/>
          <w:szCs w:val="21"/>
        </w:rPr>
        <w:t>（3）因其他原因造成工程的缺陷、损坏，可以委托承包人修复，发包人应承担修复的费用，并支付承包人合理的利润，因工程的缺陷、损坏造成的人身伤害和财产损失由责任方承担。</w:t>
      </w:r>
    </w:p>
    <w:p w14:paraId="64B4CD9C">
      <w:pPr>
        <w:rPr>
          <w:rFonts w:asciiTheme="minorEastAsia" w:hAnsiTheme="minorEastAsia" w:eastAsiaTheme="minorEastAsia"/>
          <w:szCs w:val="21"/>
        </w:rPr>
      </w:pPr>
      <w:r>
        <w:rPr>
          <w:rFonts w:hint="eastAsia" w:asciiTheme="minorEastAsia" w:hAnsiTheme="minorEastAsia" w:eastAsiaTheme="minorEastAsia"/>
          <w:szCs w:val="21"/>
        </w:rPr>
        <w:t>15.4.3 修复通知</w:t>
      </w:r>
    </w:p>
    <w:p w14:paraId="1B533C46">
      <w:pPr>
        <w:rPr>
          <w:rFonts w:asciiTheme="minorEastAsia" w:hAnsiTheme="minorEastAsia" w:eastAsiaTheme="minorEastAsia"/>
          <w:szCs w:val="21"/>
        </w:rPr>
      </w:pPr>
      <w:r>
        <w:rPr>
          <w:rFonts w:hint="eastAsia" w:asciiTheme="minorEastAsia" w:hAnsiTheme="minorEastAsia" w:eastAsiaTheme="minorEastAsia"/>
          <w:szCs w:val="21"/>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14:paraId="71232F22">
      <w:pPr>
        <w:rPr>
          <w:rFonts w:asciiTheme="minorEastAsia" w:hAnsiTheme="minorEastAsia" w:eastAsiaTheme="minorEastAsia"/>
          <w:szCs w:val="21"/>
        </w:rPr>
      </w:pPr>
      <w:r>
        <w:rPr>
          <w:rFonts w:hint="eastAsia" w:asciiTheme="minorEastAsia" w:hAnsiTheme="minorEastAsia" w:eastAsiaTheme="minorEastAsia"/>
          <w:szCs w:val="21"/>
        </w:rPr>
        <w:t>15.4.4 未能修复</w:t>
      </w:r>
    </w:p>
    <w:p w14:paraId="27FBE1BE">
      <w:pPr>
        <w:rPr>
          <w:rFonts w:asciiTheme="minorEastAsia" w:hAnsiTheme="minorEastAsia" w:eastAsiaTheme="minorEastAsia"/>
          <w:szCs w:val="21"/>
        </w:rPr>
      </w:pPr>
      <w:r>
        <w:rPr>
          <w:rFonts w:hint="eastAsia" w:asciiTheme="minorEastAsia" w:hAnsiTheme="minorEastAsia" w:eastAsiaTheme="minorEastAsia"/>
          <w:szCs w:val="21"/>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14:paraId="46797531">
      <w:pPr>
        <w:rPr>
          <w:rFonts w:asciiTheme="minorEastAsia" w:hAnsiTheme="minorEastAsia" w:eastAsiaTheme="minorEastAsia"/>
          <w:szCs w:val="21"/>
        </w:rPr>
      </w:pPr>
      <w:r>
        <w:rPr>
          <w:rFonts w:hint="eastAsia" w:asciiTheme="minorEastAsia" w:hAnsiTheme="minorEastAsia" w:eastAsiaTheme="minorEastAsia"/>
          <w:szCs w:val="21"/>
        </w:rPr>
        <w:t>15.4.5 承包人出入权</w:t>
      </w:r>
    </w:p>
    <w:p w14:paraId="1CC8812A">
      <w:pPr>
        <w:rPr>
          <w:rFonts w:asciiTheme="minorEastAsia" w:hAnsiTheme="minorEastAsia" w:eastAsiaTheme="minorEastAsia"/>
          <w:szCs w:val="21"/>
        </w:rPr>
      </w:pPr>
      <w:r>
        <w:rPr>
          <w:rFonts w:hint="eastAsia" w:asciiTheme="minorEastAsia" w:hAnsiTheme="minorEastAsia" w:eastAsiaTheme="minorEastAsia"/>
          <w:szCs w:val="21"/>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14:paraId="5FD91145">
      <w:pPr>
        <w:rPr>
          <w:rFonts w:asciiTheme="minorEastAsia" w:hAnsiTheme="minorEastAsia" w:eastAsiaTheme="minorEastAsia"/>
          <w:b/>
          <w:szCs w:val="21"/>
        </w:rPr>
      </w:pPr>
      <w:r>
        <w:rPr>
          <w:rFonts w:hint="eastAsia" w:asciiTheme="minorEastAsia" w:hAnsiTheme="minorEastAsia" w:eastAsiaTheme="minorEastAsia"/>
          <w:b/>
          <w:szCs w:val="21"/>
        </w:rPr>
        <w:t>16. 违约</w:t>
      </w:r>
    </w:p>
    <w:p w14:paraId="30982DFE">
      <w:pPr>
        <w:rPr>
          <w:rFonts w:asciiTheme="minorEastAsia" w:hAnsiTheme="minorEastAsia" w:eastAsiaTheme="minorEastAsia"/>
          <w:szCs w:val="21"/>
        </w:rPr>
      </w:pPr>
      <w:r>
        <w:rPr>
          <w:rFonts w:hint="eastAsia" w:asciiTheme="minorEastAsia" w:hAnsiTheme="minorEastAsia" w:eastAsiaTheme="minorEastAsia"/>
          <w:szCs w:val="21"/>
        </w:rPr>
        <w:t>16.1 发包人违约</w:t>
      </w:r>
    </w:p>
    <w:p w14:paraId="0B7B690B">
      <w:pPr>
        <w:rPr>
          <w:rFonts w:asciiTheme="minorEastAsia" w:hAnsiTheme="minorEastAsia" w:eastAsiaTheme="minorEastAsia"/>
          <w:szCs w:val="21"/>
        </w:rPr>
      </w:pPr>
      <w:r>
        <w:rPr>
          <w:rFonts w:hint="eastAsia" w:asciiTheme="minorEastAsia" w:hAnsiTheme="minorEastAsia" w:eastAsiaTheme="minorEastAsia"/>
          <w:szCs w:val="21"/>
        </w:rPr>
        <w:t>16.1.1 发包人违约的情形</w:t>
      </w:r>
    </w:p>
    <w:p w14:paraId="391B9516">
      <w:pPr>
        <w:rPr>
          <w:rFonts w:asciiTheme="minorEastAsia" w:hAnsiTheme="minorEastAsia" w:eastAsiaTheme="minorEastAsia"/>
          <w:szCs w:val="21"/>
        </w:rPr>
      </w:pPr>
      <w:r>
        <w:rPr>
          <w:rFonts w:hint="eastAsia" w:asciiTheme="minorEastAsia" w:hAnsiTheme="minorEastAsia" w:eastAsiaTheme="minorEastAsia"/>
          <w:szCs w:val="21"/>
        </w:rPr>
        <w:t>在合同履行过程中发生的下列情形，属于发包人违约：</w:t>
      </w:r>
    </w:p>
    <w:p w14:paraId="6159C563">
      <w:pPr>
        <w:rPr>
          <w:rFonts w:asciiTheme="minorEastAsia" w:hAnsiTheme="minorEastAsia" w:eastAsiaTheme="minorEastAsia"/>
          <w:szCs w:val="21"/>
        </w:rPr>
      </w:pPr>
      <w:r>
        <w:rPr>
          <w:rFonts w:hint="eastAsia" w:asciiTheme="minorEastAsia" w:hAnsiTheme="minorEastAsia" w:eastAsiaTheme="minorEastAsia"/>
          <w:szCs w:val="21"/>
        </w:rPr>
        <w:t>（1）因发包人原因未能在计划开工日期前7天内下达开工通知的；</w:t>
      </w:r>
    </w:p>
    <w:p w14:paraId="5F91E959">
      <w:pPr>
        <w:rPr>
          <w:rFonts w:asciiTheme="minorEastAsia" w:hAnsiTheme="minorEastAsia" w:eastAsiaTheme="minorEastAsia"/>
          <w:szCs w:val="21"/>
        </w:rPr>
      </w:pPr>
      <w:r>
        <w:rPr>
          <w:rFonts w:hint="eastAsia" w:asciiTheme="minorEastAsia" w:hAnsiTheme="minorEastAsia" w:eastAsiaTheme="minorEastAsia"/>
          <w:szCs w:val="21"/>
        </w:rPr>
        <w:t>（2）因发包人原因未能按合同约定支付合同价款的；</w:t>
      </w:r>
    </w:p>
    <w:p w14:paraId="2CE54ABF">
      <w:pPr>
        <w:rPr>
          <w:rFonts w:asciiTheme="minorEastAsia" w:hAnsiTheme="minorEastAsia" w:eastAsiaTheme="minorEastAsia"/>
          <w:szCs w:val="21"/>
        </w:rPr>
      </w:pPr>
      <w:r>
        <w:rPr>
          <w:rFonts w:hint="eastAsia" w:asciiTheme="minorEastAsia" w:hAnsiTheme="minorEastAsia" w:eastAsiaTheme="minorEastAsia"/>
          <w:szCs w:val="21"/>
        </w:rPr>
        <w:t>（3）发包人违反第10.1款〔变更的范围〕第（2）项约定，自行实施被取消的工作或转由他人实施的；</w:t>
      </w:r>
    </w:p>
    <w:p w14:paraId="3194652B">
      <w:pPr>
        <w:rPr>
          <w:rFonts w:asciiTheme="minorEastAsia" w:hAnsiTheme="minorEastAsia" w:eastAsiaTheme="minorEastAsia"/>
          <w:szCs w:val="21"/>
        </w:rPr>
      </w:pPr>
      <w:r>
        <w:rPr>
          <w:rFonts w:hint="eastAsia" w:asciiTheme="minorEastAsia" w:hAnsiTheme="minorEastAsia" w:eastAsiaTheme="minorEastAsia"/>
          <w:szCs w:val="21"/>
        </w:rPr>
        <w:t>（4）发包人提供的材料、工程设备的规格、数量或质量不符合合同约定，或因发包人原因导致交货日期延误或交货地点变更等情况的；</w:t>
      </w:r>
    </w:p>
    <w:p w14:paraId="12A629F8">
      <w:pPr>
        <w:rPr>
          <w:rFonts w:asciiTheme="minorEastAsia" w:hAnsiTheme="minorEastAsia" w:eastAsiaTheme="minorEastAsia"/>
          <w:szCs w:val="21"/>
        </w:rPr>
      </w:pPr>
      <w:r>
        <w:rPr>
          <w:rFonts w:hint="eastAsia" w:asciiTheme="minorEastAsia" w:hAnsiTheme="minorEastAsia" w:eastAsiaTheme="minorEastAsia"/>
          <w:szCs w:val="21"/>
        </w:rPr>
        <w:t>（5）因发包人违反合同约定造成暂停施工的；</w:t>
      </w:r>
    </w:p>
    <w:p w14:paraId="4A0F4F24">
      <w:pPr>
        <w:rPr>
          <w:rFonts w:asciiTheme="minorEastAsia" w:hAnsiTheme="minorEastAsia" w:eastAsiaTheme="minorEastAsia"/>
          <w:szCs w:val="21"/>
        </w:rPr>
      </w:pPr>
      <w:r>
        <w:rPr>
          <w:rFonts w:hint="eastAsia" w:asciiTheme="minorEastAsia" w:hAnsiTheme="minorEastAsia" w:eastAsiaTheme="minorEastAsia"/>
          <w:szCs w:val="21"/>
        </w:rPr>
        <w:t>（6）发包人无正当理由没有在约定期限内发出复工指示，导致承包人无法复工的；</w:t>
      </w:r>
    </w:p>
    <w:p w14:paraId="23B8869D">
      <w:pPr>
        <w:rPr>
          <w:rFonts w:asciiTheme="minorEastAsia" w:hAnsiTheme="minorEastAsia" w:eastAsiaTheme="minorEastAsia"/>
          <w:szCs w:val="21"/>
        </w:rPr>
      </w:pPr>
      <w:r>
        <w:rPr>
          <w:rFonts w:hint="eastAsia" w:asciiTheme="minorEastAsia" w:hAnsiTheme="minorEastAsia" w:eastAsiaTheme="minorEastAsia"/>
          <w:szCs w:val="21"/>
        </w:rPr>
        <w:t>（7）发包人明确表示或者以其行为表明不履行合同主要义务的；</w:t>
      </w:r>
    </w:p>
    <w:p w14:paraId="686CA552">
      <w:pPr>
        <w:rPr>
          <w:rFonts w:asciiTheme="minorEastAsia" w:hAnsiTheme="minorEastAsia" w:eastAsiaTheme="minorEastAsia"/>
          <w:szCs w:val="21"/>
        </w:rPr>
      </w:pPr>
      <w:r>
        <w:rPr>
          <w:rFonts w:hint="eastAsia" w:asciiTheme="minorEastAsia" w:hAnsiTheme="minorEastAsia" w:eastAsiaTheme="minorEastAsia"/>
          <w:szCs w:val="21"/>
        </w:rPr>
        <w:t>（8）发包人未能按照合同约定履行其他义务的。</w:t>
      </w:r>
    </w:p>
    <w:p w14:paraId="0B02D582">
      <w:pPr>
        <w:rPr>
          <w:rFonts w:asciiTheme="minorEastAsia" w:hAnsiTheme="minorEastAsia" w:eastAsiaTheme="minorEastAsia"/>
          <w:szCs w:val="21"/>
        </w:rPr>
      </w:pPr>
      <w:r>
        <w:rPr>
          <w:rFonts w:hint="eastAsia" w:asciiTheme="minorEastAsia" w:hAnsiTheme="minorEastAsia" w:eastAsiaTheme="minorEastAsia"/>
          <w:szCs w:val="21"/>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14:paraId="30F81543">
      <w:pPr>
        <w:rPr>
          <w:rFonts w:asciiTheme="minorEastAsia" w:hAnsiTheme="minorEastAsia" w:eastAsiaTheme="minorEastAsia"/>
          <w:szCs w:val="21"/>
        </w:rPr>
      </w:pPr>
      <w:r>
        <w:rPr>
          <w:rFonts w:hint="eastAsia" w:asciiTheme="minorEastAsia" w:hAnsiTheme="minorEastAsia" w:eastAsiaTheme="minorEastAsia"/>
          <w:szCs w:val="21"/>
        </w:rPr>
        <w:t>16.1.2 发包人违约的责任</w:t>
      </w:r>
    </w:p>
    <w:p w14:paraId="54CCBB4C">
      <w:pPr>
        <w:rPr>
          <w:rFonts w:asciiTheme="minorEastAsia" w:hAnsiTheme="minorEastAsia" w:eastAsiaTheme="minorEastAsia"/>
          <w:szCs w:val="21"/>
        </w:rPr>
      </w:pPr>
      <w:r>
        <w:rPr>
          <w:rFonts w:hint="eastAsia" w:asciiTheme="minorEastAsia" w:hAnsiTheme="minorEastAsia" w:eastAsiaTheme="minorEastAsia"/>
          <w:szCs w:val="21"/>
        </w:rPr>
        <w:t>发包人应承担因其违约给承包人增加的费用和（或）延误的工期，并支付承包人合理的利润。此外，合同当事人可在专用合同条款中另行约定发包人违约责任的承担方式和计算方法。</w:t>
      </w:r>
    </w:p>
    <w:p w14:paraId="1D1FDC64">
      <w:pPr>
        <w:rPr>
          <w:rFonts w:asciiTheme="minorEastAsia" w:hAnsiTheme="minorEastAsia" w:eastAsiaTheme="minorEastAsia"/>
          <w:szCs w:val="21"/>
        </w:rPr>
      </w:pPr>
      <w:r>
        <w:rPr>
          <w:rFonts w:hint="eastAsia" w:asciiTheme="minorEastAsia" w:hAnsiTheme="minorEastAsia" w:eastAsiaTheme="minorEastAsia"/>
          <w:szCs w:val="21"/>
        </w:rPr>
        <w:t>16.1.3 因发包人违约解除合同</w:t>
      </w:r>
    </w:p>
    <w:p w14:paraId="05C4D29D">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承包人按第16.1.1项〔发包人违约的情形〕约定暂停施工满28天后，发包人仍不纠正其违约行为并致使合同目的不能实现的，或出现第16.1.1项〔发包人违约的情形〕第（7）目约定的违约情况，承包人有权解除合同，发包人应承担由此增加的费用，并支付承包人合理的利润。</w:t>
      </w:r>
    </w:p>
    <w:p w14:paraId="4382871F">
      <w:pPr>
        <w:rPr>
          <w:rFonts w:asciiTheme="minorEastAsia" w:hAnsiTheme="minorEastAsia" w:eastAsiaTheme="minorEastAsia"/>
          <w:szCs w:val="21"/>
        </w:rPr>
      </w:pPr>
      <w:r>
        <w:rPr>
          <w:rFonts w:hint="eastAsia" w:asciiTheme="minorEastAsia" w:hAnsiTheme="minorEastAsia" w:eastAsiaTheme="minorEastAsia"/>
          <w:szCs w:val="21"/>
        </w:rPr>
        <w:t>16.1.4 因发包人违约解除合同后的付款</w:t>
      </w:r>
    </w:p>
    <w:p w14:paraId="6F1D4E60">
      <w:pPr>
        <w:rPr>
          <w:rFonts w:asciiTheme="minorEastAsia" w:hAnsiTheme="minorEastAsia" w:eastAsiaTheme="minorEastAsia"/>
          <w:szCs w:val="21"/>
        </w:rPr>
      </w:pPr>
      <w:r>
        <w:rPr>
          <w:rFonts w:hint="eastAsia" w:asciiTheme="minorEastAsia" w:hAnsiTheme="minorEastAsia" w:eastAsiaTheme="minorEastAsia"/>
          <w:szCs w:val="21"/>
        </w:rPr>
        <w:t>承包人按照本款约定解除合同的，发包人应在解除合同后28天内支付下列款项，并解除履约担保：</w:t>
      </w:r>
    </w:p>
    <w:p w14:paraId="0D501A04">
      <w:pPr>
        <w:rPr>
          <w:rFonts w:asciiTheme="minorEastAsia" w:hAnsiTheme="minorEastAsia" w:eastAsiaTheme="minorEastAsia"/>
          <w:szCs w:val="21"/>
        </w:rPr>
      </w:pPr>
      <w:r>
        <w:rPr>
          <w:rFonts w:hint="eastAsia" w:asciiTheme="minorEastAsia" w:hAnsiTheme="minorEastAsia" w:eastAsiaTheme="minorEastAsia"/>
          <w:szCs w:val="21"/>
        </w:rPr>
        <w:t>（1）合同解除前所完成工作的价款；</w:t>
      </w:r>
    </w:p>
    <w:p w14:paraId="40088B15">
      <w:pPr>
        <w:rPr>
          <w:rFonts w:asciiTheme="minorEastAsia" w:hAnsiTheme="minorEastAsia" w:eastAsiaTheme="minorEastAsia"/>
          <w:szCs w:val="21"/>
        </w:rPr>
      </w:pPr>
      <w:r>
        <w:rPr>
          <w:rFonts w:hint="eastAsia" w:asciiTheme="minorEastAsia" w:hAnsiTheme="minorEastAsia" w:eastAsiaTheme="minorEastAsia"/>
          <w:szCs w:val="21"/>
        </w:rPr>
        <w:t>（2）承包人为工程施工订购并已付款的材料、工程设备和其他物品的价款；</w:t>
      </w:r>
    </w:p>
    <w:p w14:paraId="4E2470C8">
      <w:pPr>
        <w:rPr>
          <w:rFonts w:asciiTheme="minorEastAsia" w:hAnsiTheme="minorEastAsia" w:eastAsiaTheme="minorEastAsia"/>
          <w:szCs w:val="21"/>
        </w:rPr>
      </w:pPr>
      <w:r>
        <w:rPr>
          <w:rFonts w:hint="eastAsia" w:asciiTheme="minorEastAsia" w:hAnsiTheme="minorEastAsia" w:eastAsiaTheme="minorEastAsia"/>
          <w:szCs w:val="21"/>
        </w:rPr>
        <w:t>（3）承包人撤离施工现场以及遣散承包人人员的款项；</w:t>
      </w:r>
    </w:p>
    <w:p w14:paraId="72F60EBA">
      <w:pPr>
        <w:rPr>
          <w:rFonts w:asciiTheme="minorEastAsia" w:hAnsiTheme="minorEastAsia" w:eastAsiaTheme="minorEastAsia"/>
          <w:szCs w:val="21"/>
        </w:rPr>
      </w:pPr>
      <w:r>
        <w:rPr>
          <w:rFonts w:hint="eastAsia" w:asciiTheme="minorEastAsia" w:hAnsiTheme="minorEastAsia" w:eastAsiaTheme="minorEastAsia"/>
          <w:szCs w:val="21"/>
        </w:rPr>
        <w:t>（4）按照合同约定在合同解除前应支付的违约金；</w:t>
      </w:r>
    </w:p>
    <w:p w14:paraId="17B815A3">
      <w:pPr>
        <w:rPr>
          <w:rFonts w:asciiTheme="minorEastAsia" w:hAnsiTheme="minorEastAsia" w:eastAsiaTheme="minorEastAsia"/>
          <w:szCs w:val="21"/>
        </w:rPr>
      </w:pPr>
      <w:r>
        <w:rPr>
          <w:rFonts w:hint="eastAsia" w:asciiTheme="minorEastAsia" w:hAnsiTheme="minorEastAsia" w:eastAsiaTheme="minorEastAsia"/>
          <w:szCs w:val="21"/>
        </w:rPr>
        <w:t>（5）按照合同约定应当支付给承包人的其他款项；</w:t>
      </w:r>
    </w:p>
    <w:p w14:paraId="1762CC46">
      <w:pPr>
        <w:rPr>
          <w:rFonts w:asciiTheme="minorEastAsia" w:hAnsiTheme="minorEastAsia" w:eastAsiaTheme="minorEastAsia"/>
          <w:szCs w:val="21"/>
        </w:rPr>
      </w:pPr>
      <w:r>
        <w:rPr>
          <w:rFonts w:hint="eastAsia" w:asciiTheme="minorEastAsia" w:hAnsiTheme="minorEastAsia" w:eastAsiaTheme="minorEastAsia"/>
          <w:szCs w:val="21"/>
        </w:rPr>
        <w:t>（6）按照合同约定应退还的质量保证金；</w:t>
      </w:r>
    </w:p>
    <w:p w14:paraId="164F164C">
      <w:pPr>
        <w:rPr>
          <w:rFonts w:asciiTheme="minorEastAsia" w:hAnsiTheme="minorEastAsia" w:eastAsiaTheme="minorEastAsia"/>
          <w:szCs w:val="21"/>
        </w:rPr>
      </w:pPr>
      <w:r>
        <w:rPr>
          <w:rFonts w:hint="eastAsia" w:asciiTheme="minorEastAsia" w:hAnsiTheme="minorEastAsia" w:eastAsiaTheme="minorEastAsia"/>
          <w:szCs w:val="21"/>
        </w:rPr>
        <w:t>（7）因解除合同给承包人造成的损失。</w:t>
      </w:r>
    </w:p>
    <w:p w14:paraId="29A1B1DA">
      <w:pPr>
        <w:rPr>
          <w:rFonts w:asciiTheme="minorEastAsia" w:hAnsiTheme="minorEastAsia" w:eastAsiaTheme="minorEastAsia"/>
          <w:szCs w:val="21"/>
        </w:rPr>
      </w:pPr>
      <w:r>
        <w:rPr>
          <w:rFonts w:hint="eastAsia" w:asciiTheme="minorEastAsia" w:hAnsiTheme="minorEastAsia" w:eastAsiaTheme="minorEastAsia"/>
          <w:szCs w:val="21"/>
        </w:rPr>
        <w:t>合同当事人未能就解除合同后的结清达成一致的，按照第20条〔争议解决〕的约定处理。</w:t>
      </w:r>
    </w:p>
    <w:p w14:paraId="77A60250">
      <w:pPr>
        <w:rPr>
          <w:rFonts w:asciiTheme="minorEastAsia" w:hAnsiTheme="minorEastAsia" w:eastAsiaTheme="minorEastAsia"/>
          <w:szCs w:val="21"/>
        </w:rPr>
      </w:pPr>
      <w:r>
        <w:rPr>
          <w:rFonts w:hint="eastAsia" w:asciiTheme="minorEastAsia" w:hAnsiTheme="minorEastAsia" w:eastAsiaTheme="minorEastAsia"/>
          <w:szCs w:val="21"/>
        </w:rPr>
        <w:t>承包人应妥善做好已完工程和与工程有关的已购材料、工程设备的保护和移交工作，并将施工设备和人员撤出施工现场，发包人应为承包人撤出提供必要条件。</w:t>
      </w:r>
    </w:p>
    <w:p w14:paraId="6B65E56D">
      <w:pPr>
        <w:rPr>
          <w:rFonts w:asciiTheme="minorEastAsia" w:hAnsiTheme="minorEastAsia" w:eastAsiaTheme="minorEastAsia"/>
          <w:szCs w:val="21"/>
        </w:rPr>
      </w:pPr>
      <w:r>
        <w:rPr>
          <w:rFonts w:hint="eastAsia" w:asciiTheme="minorEastAsia" w:hAnsiTheme="minorEastAsia" w:eastAsiaTheme="minorEastAsia"/>
          <w:szCs w:val="21"/>
        </w:rPr>
        <w:t>16.2 承包人违约</w:t>
      </w:r>
    </w:p>
    <w:p w14:paraId="0A1438CA">
      <w:pPr>
        <w:rPr>
          <w:rFonts w:asciiTheme="minorEastAsia" w:hAnsiTheme="minorEastAsia" w:eastAsiaTheme="minorEastAsia"/>
          <w:szCs w:val="21"/>
        </w:rPr>
      </w:pPr>
      <w:r>
        <w:rPr>
          <w:rFonts w:hint="eastAsia" w:asciiTheme="minorEastAsia" w:hAnsiTheme="minorEastAsia" w:eastAsiaTheme="minorEastAsia"/>
          <w:szCs w:val="21"/>
        </w:rPr>
        <w:t>16.2.1 承包人违约的情形</w:t>
      </w:r>
    </w:p>
    <w:p w14:paraId="3ED9C44D">
      <w:pPr>
        <w:rPr>
          <w:rFonts w:asciiTheme="minorEastAsia" w:hAnsiTheme="minorEastAsia" w:eastAsiaTheme="minorEastAsia"/>
          <w:szCs w:val="21"/>
        </w:rPr>
      </w:pPr>
      <w:r>
        <w:rPr>
          <w:rFonts w:hint="eastAsia" w:asciiTheme="minorEastAsia" w:hAnsiTheme="minorEastAsia" w:eastAsiaTheme="minorEastAsia"/>
          <w:szCs w:val="21"/>
        </w:rPr>
        <w:t>在合同履行过程中发生的下列情形，属于承包人违约：</w:t>
      </w:r>
    </w:p>
    <w:p w14:paraId="7E4C5B22">
      <w:pPr>
        <w:rPr>
          <w:rFonts w:asciiTheme="minorEastAsia" w:hAnsiTheme="minorEastAsia" w:eastAsiaTheme="minorEastAsia"/>
          <w:szCs w:val="21"/>
        </w:rPr>
      </w:pPr>
      <w:r>
        <w:rPr>
          <w:rFonts w:hint="eastAsia" w:asciiTheme="minorEastAsia" w:hAnsiTheme="minorEastAsia" w:eastAsiaTheme="minorEastAsia"/>
          <w:szCs w:val="21"/>
        </w:rPr>
        <w:t>（1）承包人违反合同约定进行转包或违法分包的；</w:t>
      </w:r>
    </w:p>
    <w:p w14:paraId="4F863DF2">
      <w:pPr>
        <w:rPr>
          <w:rFonts w:asciiTheme="minorEastAsia" w:hAnsiTheme="minorEastAsia" w:eastAsiaTheme="minorEastAsia"/>
          <w:szCs w:val="21"/>
        </w:rPr>
      </w:pPr>
      <w:r>
        <w:rPr>
          <w:rFonts w:hint="eastAsia" w:asciiTheme="minorEastAsia" w:hAnsiTheme="minorEastAsia" w:eastAsiaTheme="minorEastAsia"/>
          <w:szCs w:val="21"/>
        </w:rPr>
        <w:t>（2）承包人违反合同约定采购和使用不合格的材料和工程设备的；</w:t>
      </w:r>
    </w:p>
    <w:p w14:paraId="7ABE70DE">
      <w:pPr>
        <w:rPr>
          <w:rFonts w:asciiTheme="minorEastAsia" w:hAnsiTheme="minorEastAsia" w:eastAsiaTheme="minorEastAsia"/>
          <w:szCs w:val="21"/>
        </w:rPr>
      </w:pPr>
      <w:r>
        <w:rPr>
          <w:rFonts w:hint="eastAsia" w:asciiTheme="minorEastAsia" w:hAnsiTheme="minorEastAsia" w:eastAsiaTheme="minorEastAsia"/>
          <w:szCs w:val="21"/>
        </w:rPr>
        <w:t xml:space="preserve">（3）因承包人原因导致工程质量不符合合同要求的； </w:t>
      </w:r>
    </w:p>
    <w:p w14:paraId="1B6F7137">
      <w:pPr>
        <w:rPr>
          <w:rFonts w:asciiTheme="minorEastAsia" w:hAnsiTheme="minorEastAsia" w:eastAsiaTheme="minorEastAsia"/>
          <w:szCs w:val="21"/>
        </w:rPr>
      </w:pPr>
      <w:r>
        <w:rPr>
          <w:rFonts w:hint="eastAsia" w:asciiTheme="minorEastAsia" w:hAnsiTheme="minorEastAsia" w:eastAsiaTheme="minorEastAsia"/>
          <w:szCs w:val="21"/>
        </w:rPr>
        <w:t>（4）承包人违反第8.9款〔材料与设备专用要求〕的约定，未经批准，私自将已按照合同约定进入施工现场的材料或设备撤离施工现场的；</w:t>
      </w:r>
    </w:p>
    <w:p w14:paraId="17583E4E">
      <w:pPr>
        <w:rPr>
          <w:rFonts w:asciiTheme="minorEastAsia" w:hAnsiTheme="minorEastAsia" w:eastAsiaTheme="minorEastAsia"/>
          <w:szCs w:val="21"/>
        </w:rPr>
      </w:pPr>
      <w:r>
        <w:rPr>
          <w:rFonts w:hint="eastAsia" w:asciiTheme="minorEastAsia" w:hAnsiTheme="minorEastAsia" w:eastAsiaTheme="minorEastAsia"/>
          <w:szCs w:val="21"/>
        </w:rPr>
        <w:t>（5）承包人未能按施工进度计划及时完成合同约定的工作，造成工期延误的；</w:t>
      </w:r>
    </w:p>
    <w:p w14:paraId="1050C4A1">
      <w:pPr>
        <w:rPr>
          <w:rFonts w:asciiTheme="minorEastAsia" w:hAnsiTheme="minorEastAsia" w:eastAsiaTheme="minorEastAsia"/>
          <w:szCs w:val="21"/>
        </w:rPr>
      </w:pPr>
      <w:r>
        <w:rPr>
          <w:rFonts w:hint="eastAsia" w:asciiTheme="minorEastAsia" w:hAnsiTheme="minorEastAsia" w:eastAsiaTheme="minorEastAsia"/>
          <w:szCs w:val="21"/>
        </w:rPr>
        <w:t>（6）承包人在缺陷责任期及保修期内，未能在合理期限对工程缺陷进行修复，或拒绝按发包人要求进行修复的；</w:t>
      </w:r>
    </w:p>
    <w:p w14:paraId="42DAE7E1">
      <w:pPr>
        <w:rPr>
          <w:rFonts w:asciiTheme="minorEastAsia" w:hAnsiTheme="minorEastAsia" w:eastAsiaTheme="minorEastAsia"/>
          <w:szCs w:val="21"/>
        </w:rPr>
      </w:pPr>
      <w:r>
        <w:rPr>
          <w:rFonts w:hint="eastAsia" w:asciiTheme="minorEastAsia" w:hAnsiTheme="minorEastAsia" w:eastAsiaTheme="minorEastAsia"/>
          <w:szCs w:val="21"/>
        </w:rPr>
        <w:t>（7）承包人明确表示或者以其行为表明不履行合同主要义务的；</w:t>
      </w:r>
    </w:p>
    <w:p w14:paraId="61A7F492">
      <w:pPr>
        <w:rPr>
          <w:rFonts w:asciiTheme="minorEastAsia" w:hAnsiTheme="minorEastAsia" w:eastAsiaTheme="minorEastAsia"/>
          <w:szCs w:val="21"/>
        </w:rPr>
      </w:pPr>
      <w:r>
        <w:rPr>
          <w:rFonts w:hint="eastAsia" w:asciiTheme="minorEastAsia" w:hAnsiTheme="minorEastAsia" w:eastAsiaTheme="minorEastAsia"/>
          <w:szCs w:val="21"/>
        </w:rPr>
        <w:t>（8）承包人未能按照合同约定履行其他义务的。</w:t>
      </w:r>
    </w:p>
    <w:p w14:paraId="48FC3CBA">
      <w:pPr>
        <w:rPr>
          <w:rFonts w:asciiTheme="minorEastAsia" w:hAnsiTheme="minorEastAsia" w:eastAsiaTheme="minorEastAsia"/>
          <w:szCs w:val="21"/>
        </w:rPr>
      </w:pPr>
      <w:r>
        <w:rPr>
          <w:rFonts w:hint="eastAsia" w:asciiTheme="minorEastAsia" w:hAnsiTheme="minorEastAsia" w:eastAsiaTheme="minorEastAsia"/>
          <w:szCs w:val="21"/>
        </w:rPr>
        <w:t>承包人发生除本项第（7）目约定以外的其他违约情况时，监理人可向承包人发出整改通知，要求其在指定的期限内改正。</w:t>
      </w:r>
    </w:p>
    <w:p w14:paraId="15471B26">
      <w:pPr>
        <w:rPr>
          <w:rFonts w:asciiTheme="minorEastAsia" w:hAnsiTheme="minorEastAsia" w:eastAsiaTheme="minorEastAsia"/>
          <w:szCs w:val="21"/>
        </w:rPr>
      </w:pPr>
      <w:r>
        <w:rPr>
          <w:rFonts w:hint="eastAsia" w:asciiTheme="minorEastAsia" w:hAnsiTheme="minorEastAsia" w:eastAsiaTheme="minorEastAsia"/>
          <w:szCs w:val="21"/>
        </w:rPr>
        <w:t>16.2.2 承包人违约的责任</w:t>
      </w:r>
    </w:p>
    <w:p w14:paraId="1FC39ED5">
      <w:pPr>
        <w:rPr>
          <w:rFonts w:asciiTheme="minorEastAsia" w:hAnsiTheme="minorEastAsia" w:eastAsiaTheme="minorEastAsia"/>
          <w:szCs w:val="21"/>
        </w:rPr>
      </w:pPr>
      <w:r>
        <w:rPr>
          <w:rFonts w:hint="eastAsia" w:asciiTheme="minorEastAsia" w:hAnsiTheme="minorEastAsia" w:eastAsiaTheme="minorEastAsia"/>
          <w:szCs w:val="21"/>
        </w:rPr>
        <w:t>承包人应承担因其违约行为而增加的费用和（或）延误的工期。此外，合同当事人可在专用合同条款中另行约定承包人违约责任的承担方式和计算方法。</w:t>
      </w:r>
    </w:p>
    <w:p w14:paraId="025999E9">
      <w:pPr>
        <w:rPr>
          <w:rFonts w:asciiTheme="minorEastAsia" w:hAnsiTheme="minorEastAsia" w:eastAsiaTheme="minorEastAsia"/>
          <w:szCs w:val="21"/>
        </w:rPr>
      </w:pPr>
      <w:r>
        <w:rPr>
          <w:rFonts w:hint="eastAsia" w:asciiTheme="minorEastAsia" w:hAnsiTheme="minorEastAsia" w:eastAsiaTheme="minorEastAsia"/>
          <w:szCs w:val="21"/>
        </w:rPr>
        <w:t>16.2.3 因承包人违约解除合同</w:t>
      </w:r>
    </w:p>
    <w:p w14:paraId="6A40F62D">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出现第16.2.1项〔承包人违约的情形〕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14:paraId="6EB0B1F7">
      <w:pPr>
        <w:rPr>
          <w:rFonts w:asciiTheme="minorEastAsia" w:hAnsiTheme="minorEastAsia" w:eastAsiaTheme="minorEastAsia"/>
          <w:szCs w:val="21"/>
        </w:rPr>
      </w:pPr>
      <w:r>
        <w:rPr>
          <w:rFonts w:hint="eastAsia" w:asciiTheme="minorEastAsia" w:hAnsiTheme="minorEastAsia" w:eastAsiaTheme="minorEastAsia"/>
          <w:szCs w:val="21"/>
        </w:rPr>
        <w:t>16.2.4因承包人违约解除合同后的处理</w:t>
      </w:r>
    </w:p>
    <w:p w14:paraId="496FC465">
      <w:pPr>
        <w:rPr>
          <w:rFonts w:asciiTheme="minorEastAsia" w:hAnsiTheme="minorEastAsia" w:eastAsiaTheme="minorEastAsia"/>
          <w:szCs w:val="21"/>
        </w:rPr>
      </w:pPr>
      <w:r>
        <w:rPr>
          <w:rFonts w:hint="eastAsia" w:asciiTheme="minorEastAsia" w:hAnsiTheme="minorEastAsia" w:eastAsiaTheme="minorEastAsia"/>
          <w:szCs w:val="21"/>
        </w:rPr>
        <w:t>因承包人原因导致合同解除的，则合同当事人应在合同解除后28天内完成估价、付款和清算，并按以下约定执行：</w:t>
      </w:r>
    </w:p>
    <w:p w14:paraId="70D075FC">
      <w:pPr>
        <w:rPr>
          <w:rFonts w:asciiTheme="minorEastAsia" w:hAnsiTheme="minorEastAsia" w:eastAsiaTheme="minorEastAsia"/>
          <w:szCs w:val="21"/>
        </w:rPr>
      </w:pPr>
      <w:r>
        <w:rPr>
          <w:rFonts w:hint="eastAsia" w:asciiTheme="minorEastAsia" w:hAnsiTheme="minorEastAsia" w:eastAsiaTheme="minorEastAsia"/>
          <w:szCs w:val="21"/>
        </w:rPr>
        <w:t>（1）合同解除后，按第4.4款〔商定或确定〕商定或确定承包人实际完成工作对应的合同价款，以及承包人已提供的材料、工程设备、施工设备和临时工程等的价值；</w:t>
      </w:r>
    </w:p>
    <w:p w14:paraId="41E4263B">
      <w:pPr>
        <w:rPr>
          <w:rFonts w:asciiTheme="minorEastAsia" w:hAnsiTheme="minorEastAsia" w:eastAsiaTheme="minorEastAsia"/>
          <w:szCs w:val="21"/>
        </w:rPr>
      </w:pPr>
      <w:r>
        <w:rPr>
          <w:rFonts w:hint="eastAsia" w:asciiTheme="minorEastAsia" w:hAnsiTheme="minorEastAsia" w:eastAsiaTheme="minorEastAsia"/>
          <w:szCs w:val="21"/>
        </w:rPr>
        <w:t>（2）合同解除后，承包人应支付的违约金；</w:t>
      </w:r>
    </w:p>
    <w:p w14:paraId="396EB09C">
      <w:pPr>
        <w:rPr>
          <w:rFonts w:asciiTheme="minorEastAsia" w:hAnsiTheme="minorEastAsia" w:eastAsiaTheme="minorEastAsia"/>
          <w:szCs w:val="21"/>
        </w:rPr>
      </w:pPr>
      <w:r>
        <w:rPr>
          <w:rFonts w:hint="eastAsia" w:asciiTheme="minorEastAsia" w:hAnsiTheme="minorEastAsia" w:eastAsiaTheme="minorEastAsia"/>
          <w:szCs w:val="21"/>
        </w:rPr>
        <w:t>（3）合同解除后，因解除合同给发包人造成的损失；</w:t>
      </w:r>
    </w:p>
    <w:p w14:paraId="7AD75C06">
      <w:pPr>
        <w:rPr>
          <w:rFonts w:asciiTheme="minorEastAsia" w:hAnsiTheme="minorEastAsia" w:eastAsiaTheme="minorEastAsia"/>
          <w:szCs w:val="21"/>
        </w:rPr>
      </w:pPr>
      <w:r>
        <w:rPr>
          <w:rFonts w:hint="eastAsia" w:asciiTheme="minorEastAsia" w:hAnsiTheme="minorEastAsia" w:eastAsiaTheme="minorEastAsia"/>
          <w:szCs w:val="21"/>
        </w:rPr>
        <w:t>（4）合同解除后，承包人应按照发包人要求和监理人的指示完成现场的清理和撤离；</w:t>
      </w:r>
    </w:p>
    <w:p w14:paraId="4D4405A7">
      <w:pPr>
        <w:rPr>
          <w:rFonts w:asciiTheme="minorEastAsia" w:hAnsiTheme="minorEastAsia" w:eastAsiaTheme="minorEastAsia"/>
          <w:szCs w:val="21"/>
        </w:rPr>
      </w:pPr>
      <w:r>
        <w:rPr>
          <w:rFonts w:hint="eastAsia" w:asciiTheme="minorEastAsia" w:hAnsiTheme="minorEastAsia" w:eastAsiaTheme="minorEastAsia"/>
          <w:szCs w:val="21"/>
        </w:rPr>
        <w:t>（5）发包人和承包人应在合同解除后进行清算，出具最终结清付款证书，结清全部款项。</w:t>
      </w:r>
    </w:p>
    <w:p w14:paraId="34FFEFEF">
      <w:pPr>
        <w:rPr>
          <w:rFonts w:asciiTheme="minorEastAsia" w:hAnsiTheme="minorEastAsia" w:eastAsiaTheme="minorEastAsia"/>
          <w:szCs w:val="21"/>
        </w:rPr>
      </w:pPr>
      <w:r>
        <w:rPr>
          <w:rFonts w:hint="eastAsia" w:asciiTheme="minorEastAsia" w:hAnsiTheme="minorEastAsia" w:eastAsiaTheme="minorEastAsia"/>
          <w:szCs w:val="21"/>
        </w:rPr>
        <w:t>因承包人违约解除合同的，发包人有权暂停对承包人的付款，查清各项付款和已扣款项。发包人和承包人未能就合同解除后的清算和款项支付达成一致的，按照第20条〔争议解决〕的约定处理。</w:t>
      </w:r>
    </w:p>
    <w:p w14:paraId="42929895">
      <w:pPr>
        <w:rPr>
          <w:rFonts w:asciiTheme="minorEastAsia" w:hAnsiTheme="minorEastAsia" w:eastAsiaTheme="minorEastAsia"/>
          <w:szCs w:val="21"/>
        </w:rPr>
      </w:pPr>
      <w:r>
        <w:rPr>
          <w:rFonts w:hint="eastAsia" w:asciiTheme="minorEastAsia" w:hAnsiTheme="minorEastAsia" w:eastAsiaTheme="minorEastAsia"/>
          <w:szCs w:val="21"/>
        </w:rPr>
        <w:t>16.2.5采购合同权益转让</w:t>
      </w:r>
    </w:p>
    <w:p w14:paraId="0AB28138">
      <w:pPr>
        <w:rPr>
          <w:rFonts w:asciiTheme="minorEastAsia" w:hAnsiTheme="minorEastAsia" w:eastAsiaTheme="minorEastAsia"/>
          <w:szCs w:val="21"/>
        </w:rPr>
      </w:pPr>
      <w:r>
        <w:rPr>
          <w:rFonts w:hint="eastAsia" w:asciiTheme="minorEastAsia" w:hAnsiTheme="minorEastAsia" w:eastAsiaTheme="minorEastAsia"/>
          <w:szCs w:val="21"/>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14:paraId="6B2D5F1F">
      <w:pPr>
        <w:rPr>
          <w:rFonts w:asciiTheme="minorEastAsia" w:hAnsiTheme="minorEastAsia" w:eastAsiaTheme="minorEastAsia"/>
          <w:szCs w:val="21"/>
        </w:rPr>
      </w:pPr>
      <w:r>
        <w:rPr>
          <w:rFonts w:hint="eastAsia" w:asciiTheme="minorEastAsia" w:hAnsiTheme="minorEastAsia" w:eastAsiaTheme="minorEastAsia"/>
          <w:szCs w:val="21"/>
        </w:rPr>
        <w:t>16.3 第三人造成的违约</w:t>
      </w:r>
    </w:p>
    <w:p w14:paraId="4809D6E9">
      <w:pPr>
        <w:rPr>
          <w:rFonts w:asciiTheme="minorEastAsia" w:hAnsiTheme="minorEastAsia" w:eastAsiaTheme="minorEastAsia"/>
          <w:szCs w:val="21"/>
        </w:rPr>
      </w:pPr>
      <w:r>
        <w:rPr>
          <w:rFonts w:hint="eastAsia" w:asciiTheme="minorEastAsia" w:hAnsiTheme="minorEastAsia" w:eastAsiaTheme="minorEastAsia"/>
          <w:szCs w:val="21"/>
        </w:rPr>
        <w:t>在履行合同过程中，一方当事人因第三人的原因造成违约的，应当向对方当事人承担违约责任。一方当事人和第三人之间的纠纷，依照法律规定或者按照约定解决。</w:t>
      </w:r>
    </w:p>
    <w:p w14:paraId="4D754C3A">
      <w:pPr>
        <w:rPr>
          <w:rFonts w:asciiTheme="minorEastAsia" w:hAnsiTheme="minorEastAsia" w:eastAsiaTheme="minorEastAsia"/>
          <w:b/>
          <w:szCs w:val="21"/>
        </w:rPr>
      </w:pPr>
      <w:r>
        <w:rPr>
          <w:rFonts w:hint="eastAsia" w:asciiTheme="minorEastAsia" w:hAnsiTheme="minorEastAsia" w:eastAsiaTheme="minorEastAsia"/>
          <w:b/>
          <w:szCs w:val="21"/>
        </w:rPr>
        <w:t xml:space="preserve">17. 不可抗力 </w:t>
      </w:r>
    </w:p>
    <w:p w14:paraId="2DC060F4">
      <w:pPr>
        <w:rPr>
          <w:rFonts w:asciiTheme="minorEastAsia" w:hAnsiTheme="minorEastAsia" w:eastAsiaTheme="minorEastAsia"/>
          <w:szCs w:val="21"/>
        </w:rPr>
      </w:pPr>
      <w:r>
        <w:rPr>
          <w:rFonts w:hint="eastAsia" w:asciiTheme="minorEastAsia" w:hAnsiTheme="minorEastAsia" w:eastAsiaTheme="minorEastAsia"/>
          <w:szCs w:val="21"/>
        </w:rPr>
        <w:t>17.1 不可抗力的确认</w:t>
      </w:r>
    </w:p>
    <w:p w14:paraId="4FBE247A">
      <w:pPr>
        <w:rPr>
          <w:rFonts w:asciiTheme="minorEastAsia" w:hAnsiTheme="minorEastAsia" w:eastAsiaTheme="minorEastAsia"/>
          <w:szCs w:val="21"/>
        </w:rPr>
      </w:pPr>
      <w:r>
        <w:rPr>
          <w:rFonts w:hint="eastAsia" w:asciiTheme="minorEastAsia" w:hAnsiTheme="minorEastAsia" w:eastAsiaTheme="minorEastAsia"/>
          <w:szCs w:val="21"/>
        </w:rPr>
        <w:t>不可抗力是指合同当事人在签订合同时不可预见，在合同履行过程中不可避免且不能克服的自然灾害和社会性突发事件，如地震、海啸、瘟疫、骚乱、戒严、暴动、战争和专用合同条款中约定的其他情形。</w:t>
      </w:r>
    </w:p>
    <w:p w14:paraId="5D75A812">
      <w:pPr>
        <w:rPr>
          <w:rFonts w:asciiTheme="minorEastAsia" w:hAnsiTheme="minorEastAsia" w:eastAsiaTheme="minorEastAsia"/>
          <w:szCs w:val="21"/>
        </w:rPr>
      </w:pPr>
      <w:r>
        <w:rPr>
          <w:rFonts w:hint="eastAsia" w:asciiTheme="minorEastAsia" w:hAnsiTheme="minorEastAsia" w:eastAsiaTheme="minorEastAsia"/>
          <w:szCs w:val="21"/>
        </w:rPr>
        <w:t>不可抗力发生后，发包人和承包人应收集证明不可抗力发生及不可抗力造成损失的证据，并及时认真统计所造成的损失。合同当事人对是否属于不可抗力或其损失的意见不一致的，由监理人按第4.4款〔商定或确定〕的约定处理。发生争议时，按第20条〔争议解决〕的约定处理。</w:t>
      </w:r>
    </w:p>
    <w:p w14:paraId="0D601FB0">
      <w:pPr>
        <w:rPr>
          <w:rFonts w:asciiTheme="minorEastAsia" w:hAnsiTheme="minorEastAsia" w:eastAsiaTheme="minorEastAsia"/>
          <w:szCs w:val="21"/>
        </w:rPr>
      </w:pPr>
      <w:r>
        <w:rPr>
          <w:rFonts w:hint="eastAsia" w:asciiTheme="minorEastAsia" w:hAnsiTheme="minorEastAsia" w:eastAsiaTheme="minorEastAsia"/>
          <w:szCs w:val="21"/>
        </w:rPr>
        <w:t>17.2 不可抗力的通知</w:t>
      </w:r>
    </w:p>
    <w:p w14:paraId="0C93DC37">
      <w:pPr>
        <w:rPr>
          <w:rFonts w:asciiTheme="minorEastAsia" w:hAnsiTheme="minorEastAsia" w:eastAsiaTheme="minorEastAsia"/>
          <w:szCs w:val="21"/>
        </w:rPr>
      </w:pPr>
      <w:r>
        <w:rPr>
          <w:rFonts w:hint="eastAsia" w:asciiTheme="minorEastAsia" w:hAnsiTheme="minorEastAsia" w:eastAsiaTheme="minorEastAsia"/>
          <w:szCs w:val="21"/>
        </w:rPr>
        <w:t>合同一方当事人遇到不可抗力事件，使其履行合同义务受到阻碍时，应立即通知合同另一方当事人和监理人，书面说明不可抗力和受阻碍的详细情况，并提供必要的证明。</w:t>
      </w:r>
    </w:p>
    <w:p w14:paraId="50A3A728">
      <w:pPr>
        <w:rPr>
          <w:rFonts w:asciiTheme="minorEastAsia" w:hAnsiTheme="minorEastAsia" w:eastAsiaTheme="minorEastAsia"/>
          <w:szCs w:val="21"/>
        </w:rPr>
      </w:pPr>
      <w:r>
        <w:rPr>
          <w:rFonts w:hint="eastAsia" w:asciiTheme="minorEastAsia" w:hAnsiTheme="minorEastAsia" w:eastAsiaTheme="minorEastAsia"/>
          <w:szCs w:val="21"/>
        </w:rPr>
        <w:t>不可抗力持续发生的，合同一方当事人应及时向合同另一方当事人和监理人提交中间报告，说明不可抗力和履行合同受阻的情况，并于不可抗力事件结束后28天内提交最终报告及有关资料。</w:t>
      </w:r>
    </w:p>
    <w:p w14:paraId="6E5D448F">
      <w:pPr>
        <w:rPr>
          <w:rFonts w:asciiTheme="minorEastAsia" w:hAnsiTheme="minorEastAsia" w:eastAsiaTheme="minorEastAsia"/>
          <w:szCs w:val="21"/>
        </w:rPr>
      </w:pPr>
      <w:r>
        <w:rPr>
          <w:rFonts w:hint="eastAsia" w:asciiTheme="minorEastAsia" w:hAnsiTheme="minorEastAsia" w:eastAsiaTheme="minorEastAsia"/>
          <w:szCs w:val="21"/>
        </w:rPr>
        <w:t>17.3 不可抗力后果的承担</w:t>
      </w:r>
    </w:p>
    <w:p w14:paraId="039CE7F7">
      <w:pPr>
        <w:rPr>
          <w:rFonts w:asciiTheme="minorEastAsia" w:hAnsiTheme="minorEastAsia" w:eastAsiaTheme="minorEastAsia"/>
          <w:szCs w:val="21"/>
        </w:rPr>
      </w:pPr>
      <w:r>
        <w:rPr>
          <w:rFonts w:hint="eastAsia" w:asciiTheme="minorEastAsia" w:hAnsiTheme="minorEastAsia" w:eastAsiaTheme="minorEastAsia"/>
          <w:szCs w:val="21"/>
        </w:rPr>
        <w:t>17.3.1 不可抗力引起的后果及造成的损失由合同当事人按照法律规定及合同约定各自承担。不可抗力发生前已完成的工程应当按照合同约定进行计量支付。</w:t>
      </w:r>
    </w:p>
    <w:p w14:paraId="6F3D9E9C">
      <w:pPr>
        <w:rPr>
          <w:rFonts w:asciiTheme="minorEastAsia" w:hAnsiTheme="minorEastAsia" w:eastAsiaTheme="minorEastAsia"/>
          <w:szCs w:val="21"/>
        </w:rPr>
      </w:pPr>
      <w:r>
        <w:rPr>
          <w:rFonts w:hint="eastAsia" w:asciiTheme="minorEastAsia" w:hAnsiTheme="minorEastAsia" w:eastAsiaTheme="minorEastAsia"/>
          <w:szCs w:val="21"/>
        </w:rPr>
        <w:t>17.3.2 不可抗力导致的人员伤亡、财产损失、费用增加和（或）工期延误等后果，由合同当事人按以下原则承担：</w:t>
      </w:r>
    </w:p>
    <w:p w14:paraId="6DEF8764">
      <w:pPr>
        <w:rPr>
          <w:rFonts w:asciiTheme="minorEastAsia" w:hAnsiTheme="minorEastAsia" w:eastAsiaTheme="minorEastAsia"/>
          <w:szCs w:val="21"/>
        </w:rPr>
      </w:pPr>
      <w:r>
        <w:rPr>
          <w:rFonts w:hint="eastAsia" w:asciiTheme="minorEastAsia" w:hAnsiTheme="minorEastAsia" w:eastAsiaTheme="minorEastAsia"/>
          <w:szCs w:val="21"/>
        </w:rPr>
        <w:t>（1）永久工程、已运至施工现场的材料和工程设备的损坏，以及因工程损坏造成的第三人人员伤亡和财产损失由发包人承担；</w:t>
      </w:r>
    </w:p>
    <w:p w14:paraId="16A035E5">
      <w:pPr>
        <w:rPr>
          <w:rFonts w:asciiTheme="minorEastAsia" w:hAnsiTheme="minorEastAsia" w:eastAsiaTheme="minorEastAsia"/>
          <w:szCs w:val="21"/>
        </w:rPr>
      </w:pPr>
      <w:r>
        <w:rPr>
          <w:rFonts w:hint="eastAsia" w:asciiTheme="minorEastAsia" w:hAnsiTheme="minorEastAsia" w:eastAsiaTheme="minorEastAsia"/>
          <w:szCs w:val="21"/>
        </w:rPr>
        <w:t>（2）承包人施工设备的损坏由承包人承担；</w:t>
      </w:r>
    </w:p>
    <w:p w14:paraId="0FCFC5CC">
      <w:pPr>
        <w:rPr>
          <w:rFonts w:asciiTheme="minorEastAsia" w:hAnsiTheme="minorEastAsia" w:eastAsiaTheme="minorEastAsia"/>
          <w:szCs w:val="21"/>
        </w:rPr>
      </w:pPr>
      <w:r>
        <w:rPr>
          <w:rFonts w:hint="eastAsia" w:asciiTheme="minorEastAsia" w:hAnsiTheme="minorEastAsia" w:eastAsiaTheme="minorEastAsia"/>
          <w:szCs w:val="21"/>
        </w:rPr>
        <w:t>（3）发包人和承包人承担各自人员伤亡和财产的损失；</w:t>
      </w:r>
    </w:p>
    <w:p w14:paraId="57104ED7">
      <w:pPr>
        <w:rPr>
          <w:rFonts w:asciiTheme="minorEastAsia" w:hAnsiTheme="minorEastAsia" w:eastAsiaTheme="minorEastAsia"/>
          <w:szCs w:val="21"/>
        </w:rPr>
      </w:pPr>
      <w:r>
        <w:rPr>
          <w:rFonts w:hint="eastAsia" w:asciiTheme="minorEastAsia" w:hAnsiTheme="minorEastAsia" w:eastAsiaTheme="minorEastAsia"/>
          <w:szCs w:val="21"/>
        </w:rPr>
        <w:t>（4）因不可抗力影响承包人履行合同约定的义务，已经引起或将引起工期延误的，应当顺延工期，由此导致承包人停工的费用损失由发包人和承包人合理分担，停工期间必须支付的工人工资由发包人承担；</w:t>
      </w:r>
    </w:p>
    <w:p w14:paraId="251C2A1B">
      <w:pPr>
        <w:rPr>
          <w:rFonts w:asciiTheme="minorEastAsia" w:hAnsiTheme="minorEastAsia" w:eastAsiaTheme="minorEastAsia"/>
          <w:szCs w:val="21"/>
        </w:rPr>
      </w:pPr>
      <w:r>
        <w:rPr>
          <w:rFonts w:hint="eastAsia" w:asciiTheme="minorEastAsia" w:hAnsiTheme="minorEastAsia" w:eastAsiaTheme="minorEastAsia"/>
          <w:szCs w:val="21"/>
        </w:rPr>
        <w:t>（5）因不可抗力引起或将引起工期延误，发包人要求赶工的，由此增加的赶工费用由发包人承担；</w:t>
      </w:r>
    </w:p>
    <w:p w14:paraId="13822833">
      <w:pPr>
        <w:rPr>
          <w:rFonts w:asciiTheme="minorEastAsia" w:hAnsiTheme="minorEastAsia" w:eastAsiaTheme="minorEastAsia"/>
          <w:szCs w:val="21"/>
        </w:rPr>
      </w:pPr>
      <w:r>
        <w:rPr>
          <w:rFonts w:hint="eastAsia" w:asciiTheme="minorEastAsia" w:hAnsiTheme="minorEastAsia" w:eastAsiaTheme="minorEastAsia"/>
          <w:szCs w:val="21"/>
        </w:rPr>
        <w:t>（6）承包人在停工期间按照发包人要求照管、清理和修复工程的费用由发包人承担。</w:t>
      </w:r>
    </w:p>
    <w:p w14:paraId="24AA8802">
      <w:pPr>
        <w:rPr>
          <w:rFonts w:asciiTheme="minorEastAsia" w:hAnsiTheme="minorEastAsia" w:eastAsiaTheme="minorEastAsia"/>
          <w:szCs w:val="21"/>
        </w:rPr>
      </w:pPr>
      <w:r>
        <w:rPr>
          <w:rFonts w:hint="eastAsia" w:asciiTheme="minorEastAsia" w:hAnsiTheme="minorEastAsia" w:eastAsiaTheme="minorEastAsia"/>
          <w:szCs w:val="21"/>
        </w:rPr>
        <w:t>不可抗力发生后，合同当事人均应采取措施尽量避免和减少损失的扩大，任何一方当事人没有采取有效措施导致损失扩大的，应对扩大的损失承担责任。</w:t>
      </w:r>
    </w:p>
    <w:p w14:paraId="0CF77022">
      <w:pPr>
        <w:rPr>
          <w:rFonts w:asciiTheme="minorEastAsia" w:hAnsiTheme="minorEastAsia" w:eastAsiaTheme="minorEastAsia"/>
          <w:szCs w:val="21"/>
        </w:rPr>
      </w:pPr>
      <w:r>
        <w:rPr>
          <w:rFonts w:hint="eastAsia" w:asciiTheme="minorEastAsia" w:hAnsiTheme="minorEastAsia" w:eastAsiaTheme="minorEastAsia"/>
          <w:szCs w:val="21"/>
        </w:rPr>
        <w:t>因合同一方迟延履行合同义务，在迟延履行期间遭遇不可抗力的，不免除其违约责任。</w:t>
      </w:r>
    </w:p>
    <w:p w14:paraId="57E70486">
      <w:pPr>
        <w:rPr>
          <w:rFonts w:asciiTheme="minorEastAsia" w:hAnsiTheme="minorEastAsia" w:eastAsiaTheme="minorEastAsia"/>
          <w:szCs w:val="21"/>
        </w:rPr>
      </w:pPr>
      <w:r>
        <w:rPr>
          <w:rFonts w:hint="eastAsia" w:asciiTheme="minorEastAsia" w:hAnsiTheme="minorEastAsia" w:eastAsiaTheme="minorEastAsia"/>
          <w:szCs w:val="21"/>
        </w:rPr>
        <w:t>17.4 因不可抗力解除合同</w:t>
      </w:r>
    </w:p>
    <w:p w14:paraId="2845ADD9">
      <w:pPr>
        <w:rPr>
          <w:rFonts w:asciiTheme="minorEastAsia" w:hAnsiTheme="minorEastAsia" w:eastAsiaTheme="minorEastAsia"/>
          <w:szCs w:val="21"/>
        </w:rPr>
      </w:pPr>
      <w:r>
        <w:rPr>
          <w:rFonts w:hint="eastAsia" w:asciiTheme="minorEastAsia" w:hAnsiTheme="minorEastAsia" w:eastAsiaTheme="minorEastAsia"/>
          <w:szCs w:val="21"/>
        </w:rPr>
        <w:t>因不可抗力导致合同无法履行连续超过84天或累计超过140天的，发包人和承包人均有权解除合同。合同解除后，由双方当事人按照第4.4款〔商定或确定〕商定或确定发包人应支付的款项，该款项包括：</w:t>
      </w:r>
    </w:p>
    <w:p w14:paraId="770FC5D9">
      <w:pPr>
        <w:rPr>
          <w:rFonts w:asciiTheme="minorEastAsia" w:hAnsiTheme="minorEastAsia" w:eastAsiaTheme="minorEastAsia"/>
          <w:szCs w:val="21"/>
        </w:rPr>
      </w:pPr>
      <w:r>
        <w:rPr>
          <w:rFonts w:hint="eastAsia" w:asciiTheme="minorEastAsia" w:hAnsiTheme="minorEastAsia" w:eastAsiaTheme="minorEastAsia"/>
          <w:szCs w:val="21"/>
        </w:rPr>
        <w:t>（1）合同解除前承包人已完成工作的价款；</w:t>
      </w:r>
    </w:p>
    <w:p w14:paraId="672A74D1">
      <w:pPr>
        <w:rPr>
          <w:rFonts w:asciiTheme="minorEastAsia" w:hAnsiTheme="minorEastAsia" w:eastAsiaTheme="minorEastAsia"/>
          <w:szCs w:val="21"/>
        </w:rPr>
      </w:pPr>
      <w:r>
        <w:rPr>
          <w:rFonts w:hint="eastAsia" w:asciiTheme="minorEastAsia" w:hAnsiTheme="minorEastAsia" w:eastAsiaTheme="minorEastAsia"/>
          <w:szCs w:val="21"/>
        </w:rPr>
        <w:t>（2）承包人为工程订购的并已交付给承包人，或承包人有责任接受交付的材料、工程设备和其他物品的价款；</w:t>
      </w:r>
    </w:p>
    <w:p w14:paraId="7F71BA4A">
      <w:pPr>
        <w:rPr>
          <w:rFonts w:asciiTheme="minorEastAsia" w:hAnsiTheme="minorEastAsia" w:eastAsiaTheme="minorEastAsia"/>
          <w:szCs w:val="21"/>
        </w:rPr>
      </w:pPr>
      <w:r>
        <w:rPr>
          <w:rFonts w:hint="eastAsia" w:asciiTheme="minorEastAsia" w:hAnsiTheme="minorEastAsia" w:eastAsiaTheme="minorEastAsia"/>
          <w:szCs w:val="21"/>
        </w:rPr>
        <w:t>（3）发包人要求承包人退货或解除订货合同而产生的费用，或因不能退货或解除合同而产生的损失；</w:t>
      </w:r>
    </w:p>
    <w:p w14:paraId="60FC9177">
      <w:pPr>
        <w:rPr>
          <w:rFonts w:asciiTheme="minorEastAsia" w:hAnsiTheme="minorEastAsia" w:eastAsiaTheme="minorEastAsia"/>
          <w:szCs w:val="21"/>
        </w:rPr>
      </w:pPr>
      <w:r>
        <w:rPr>
          <w:rFonts w:hint="eastAsia" w:asciiTheme="minorEastAsia" w:hAnsiTheme="minorEastAsia" w:eastAsiaTheme="minorEastAsia"/>
          <w:szCs w:val="21"/>
        </w:rPr>
        <w:t>（4）承包人撤离施工现场以及遣散承包人人员的费用；</w:t>
      </w:r>
    </w:p>
    <w:p w14:paraId="370CC6AF">
      <w:pPr>
        <w:rPr>
          <w:rFonts w:asciiTheme="minorEastAsia" w:hAnsiTheme="minorEastAsia" w:eastAsiaTheme="minorEastAsia"/>
          <w:szCs w:val="21"/>
        </w:rPr>
      </w:pPr>
      <w:r>
        <w:rPr>
          <w:rFonts w:hint="eastAsia" w:asciiTheme="minorEastAsia" w:hAnsiTheme="minorEastAsia" w:eastAsiaTheme="minorEastAsia"/>
          <w:szCs w:val="21"/>
        </w:rPr>
        <w:t>（5）按照合同约定在合同解除前应支付给承包人的其他款项；</w:t>
      </w:r>
    </w:p>
    <w:p w14:paraId="3C6EC8A5">
      <w:pPr>
        <w:rPr>
          <w:rFonts w:asciiTheme="minorEastAsia" w:hAnsiTheme="minorEastAsia" w:eastAsiaTheme="minorEastAsia"/>
          <w:szCs w:val="21"/>
        </w:rPr>
      </w:pPr>
      <w:r>
        <w:rPr>
          <w:rFonts w:hint="eastAsia" w:asciiTheme="minorEastAsia" w:hAnsiTheme="minorEastAsia" w:eastAsiaTheme="minorEastAsia"/>
          <w:szCs w:val="21"/>
        </w:rPr>
        <w:t>（6）扣减承包人按照合同约定应向发包人支付的款项；</w:t>
      </w:r>
    </w:p>
    <w:p w14:paraId="73C2C3DF">
      <w:pPr>
        <w:rPr>
          <w:rFonts w:asciiTheme="minorEastAsia" w:hAnsiTheme="minorEastAsia" w:eastAsiaTheme="minorEastAsia"/>
          <w:szCs w:val="21"/>
        </w:rPr>
      </w:pPr>
      <w:r>
        <w:rPr>
          <w:rFonts w:hint="eastAsia" w:asciiTheme="minorEastAsia" w:hAnsiTheme="minorEastAsia" w:eastAsiaTheme="minorEastAsia"/>
          <w:szCs w:val="21"/>
        </w:rPr>
        <w:t>（7）双方商定或确定的其他款项。</w:t>
      </w:r>
    </w:p>
    <w:p w14:paraId="266DD26C">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除专用合同条款另有约定外，合同解除后，发包人应在商定或确定上述款项后28天内完成上述款项的支付。</w:t>
      </w:r>
    </w:p>
    <w:p w14:paraId="0AF76E11">
      <w:pPr>
        <w:rPr>
          <w:rFonts w:asciiTheme="minorEastAsia" w:hAnsiTheme="minorEastAsia" w:eastAsiaTheme="minorEastAsia"/>
          <w:b/>
          <w:szCs w:val="21"/>
        </w:rPr>
      </w:pPr>
      <w:r>
        <w:rPr>
          <w:rFonts w:hint="eastAsia" w:asciiTheme="minorEastAsia" w:hAnsiTheme="minorEastAsia" w:eastAsiaTheme="minorEastAsia"/>
          <w:b/>
          <w:szCs w:val="21"/>
        </w:rPr>
        <w:t>18. 保险</w:t>
      </w:r>
    </w:p>
    <w:p w14:paraId="5252A69E">
      <w:pPr>
        <w:rPr>
          <w:rFonts w:asciiTheme="minorEastAsia" w:hAnsiTheme="minorEastAsia" w:eastAsiaTheme="minorEastAsia"/>
          <w:szCs w:val="21"/>
        </w:rPr>
      </w:pPr>
      <w:r>
        <w:rPr>
          <w:rFonts w:hint="eastAsia" w:asciiTheme="minorEastAsia" w:hAnsiTheme="minorEastAsia" w:eastAsiaTheme="minorEastAsia"/>
          <w:szCs w:val="21"/>
        </w:rPr>
        <w:t>18.1 工程保险</w:t>
      </w:r>
    </w:p>
    <w:p w14:paraId="11700071">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除专用合同条款另有约定外，发包人应投保建筑工程一切险或安装工程一切险；发包人委托承包人投保的，因投保产生的保险费和其他相关费用由发包人承担。</w:t>
      </w:r>
    </w:p>
    <w:p w14:paraId="13ABCD14">
      <w:pPr>
        <w:rPr>
          <w:rFonts w:asciiTheme="minorEastAsia" w:hAnsiTheme="minorEastAsia" w:eastAsiaTheme="minorEastAsia"/>
          <w:szCs w:val="21"/>
        </w:rPr>
      </w:pPr>
      <w:r>
        <w:rPr>
          <w:rFonts w:hint="eastAsia" w:asciiTheme="minorEastAsia" w:hAnsiTheme="minorEastAsia" w:eastAsiaTheme="minorEastAsia"/>
          <w:szCs w:val="21"/>
        </w:rPr>
        <w:t>18.2 工伤保险</w:t>
      </w:r>
    </w:p>
    <w:p w14:paraId="12D070E4">
      <w:pPr>
        <w:rPr>
          <w:rFonts w:asciiTheme="minorEastAsia" w:hAnsiTheme="minorEastAsia" w:eastAsiaTheme="minorEastAsia"/>
          <w:szCs w:val="21"/>
        </w:rPr>
      </w:pPr>
      <w:r>
        <w:rPr>
          <w:rFonts w:hint="eastAsia" w:asciiTheme="minorEastAsia" w:hAnsiTheme="minorEastAsia" w:eastAsiaTheme="minorEastAsia"/>
          <w:szCs w:val="21"/>
        </w:rPr>
        <w:t>18.2.1 发包人应依照法律规定参加工伤保险，并为在施工现场的全部员工办理工伤保险，缴纳工伤保险费，并要求监理人及由发包人为履行合同聘请的第三方依法参加工伤保险。</w:t>
      </w:r>
    </w:p>
    <w:p w14:paraId="7637FA8D">
      <w:pPr>
        <w:rPr>
          <w:rFonts w:asciiTheme="minorEastAsia" w:hAnsiTheme="minorEastAsia" w:eastAsiaTheme="minorEastAsia"/>
          <w:szCs w:val="21"/>
        </w:rPr>
      </w:pPr>
      <w:r>
        <w:rPr>
          <w:rFonts w:hint="eastAsia" w:asciiTheme="minorEastAsia" w:hAnsiTheme="minorEastAsia" w:eastAsiaTheme="minorEastAsia"/>
          <w:szCs w:val="21"/>
        </w:rPr>
        <w:t>18.2.2 承包人应依照法律规定参加工伤保险，并为其履行合同的全部员工办理工伤保险，缴纳工伤保险费，并要求分包人及由承包人为履行合同聘请的第三方依法参加工伤保险。</w:t>
      </w:r>
    </w:p>
    <w:p w14:paraId="18BBDA6E">
      <w:pPr>
        <w:rPr>
          <w:rFonts w:asciiTheme="minorEastAsia" w:hAnsiTheme="minorEastAsia" w:eastAsiaTheme="minorEastAsia"/>
          <w:szCs w:val="21"/>
        </w:rPr>
      </w:pPr>
      <w:r>
        <w:rPr>
          <w:rFonts w:hint="eastAsia" w:asciiTheme="minorEastAsia" w:hAnsiTheme="minorEastAsia" w:eastAsiaTheme="minorEastAsia"/>
          <w:szCs w:val="21"/>
        </w:rPr>
        <w:t>18.3其他保险</w:t>
      </w:r>
    </w:p>
    <w:p w14:paraId="64338E6F">
      <w:pPr>
        <w:rPr>
          <w:rFonts w:asciiTheme="minorEastAsia" w:hAnsiTheme="minorEastAsia" w:eastAsiaTheme="minorEastAsia"/>
          <w:szCs w:val="21"/>
        </w:rPr>
      </w:pPr>
      <w:r>
        <w:rPr>
          <w:rFonts w:hint="eastAsia" w:asciiTheme="minorEastAsia" w:hAnsiTheme="minorEastAsia" w:eastAsiaTheme="minorEastAsia"/>
          <w:szCs w:val="21"/>
        </w:rPr>
        <w:t>发包人和承包人可以为其施工现场的全部人员办理意外伤害保险并支付保险费，包括其员工及为履行合同聘请的第三方的人员，具体事项由合同当事人在专用合同条款约定。</w:t>
      </w:r>
    </w:p>
    <w:p w14:paraId="3E5C2547">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除专用合同条款另有约定外，承包人应为其施工设备等办理财产保险。</w:t>
      </w:r>
    </w:p>
    <w:p w14:paraId="2ED57CDA">
      <w:pPr>
        <w:rPr>
          <w:rFonts w:asciiTheme="minorEastAsia" w:hAnsiTheme="minorEastAsia" w:eastAsiaTheme="minorEastAsia"/>
          <w:szCs w:val="21"/>
        </w:rPr>
      </w:pPr>
      <w:r>
        <w:rPr>
          <w:rFonts w:hint="eastAsia" w:asciiTheme="minorEastAsia" w:hAnsiTheme="minorEastAsia" w:eastAsiaTheme="minorEastAsia"/>
          <w:szCs w:val="21"/>
        </w:rPr>
        <w:t>18.4持续保险</w:t>
      </w:r>
    </w:p>
    <w:p w14:paraId="230B897F">
      <w:pPr>
        <w:rPr>
          <w:rFonts w:asciiTheme="minorEastAsia" w:hAnsiTheme="minorEastAsia" w:eastAsiaTheme="minorEastAsia"/>
          <w:szCs w:val="21"/>
        </w:rPr>
      </w:pPr>
      <w:r>
        <w:rPr>
          <w:rFonts w:hint="eastAsia" w:asciiTheme="minorEastAsia" w:hAnsiTheme="minorEastAsia" w:eastAsiaTheme="minorEastAsia"/>
          <w:szCs w:val="21"/>
        </w:rPr>
        <w:t>合同当事人应与保险人保持联系，使保险人能够随时了解工程实施中的变动，并确保按保险合同条款要求持续保险。</w:t>
      </w:r>
    </w:p>
    <w:p w14:paraId="204271AB">
      <w:pPr>
        <w:rPr>
          <w:rFonts w:asciiTheme="minorEastAsia" w:hAnsiTheme="minorEastAsia" w:eastAsiaTheme="minorEastAsia"/>
          <w:szCs w:val="21"/>
        </w:rPr>
      </w:pPr>
      <w:r>
        <w:rPr>
          <w:rFonts w:hint="eastAsia" w:asciiTheme="minorEastAsia" w:hAnsiTheme="minorEastAsia" w:eastAsiaTheme="minorEastAsia"/>
          <w:szCs w:val="21"/>
        </w:rPr>
        <w:t>18.5 保险凭证</w:t>
      </w:r>
    </w:p>
    <w:p w14:paraId="1A8532B5">
      <w:pPr>
        <w:rPr>
          <w:rFonts w:asciiTheme="minorEastAsia" w:hAnsiTheme="minorEastAsia" w:eastAsiaTheme="minorEastAsia"/>
          <w:szCs w:val="21"/>
        </w:rPr>
      </w:pPr>
      <w:r>
        <w:rPr>
          <w:rFonts w:hint="eastAsia" w:asciiTheme="minorEastAsia" w:hAnsiTheme="minorEastAsia" w:eastAsiaTheme="minorEastAsia"/>
          <w:szCs w:val="21"/>
        </w:rPr>
        <w:t>合同当事人应及时向另一方当事人提交其已投保的各项保险的凭证和保险单复印件。</w:t>
      </w:r>
    </w:p>
    <w:p w14:paraId="00637A05">
      <w:pPr>
        <w:rPr>
          <w:rFonts w:asciiTheme="minorEastAsia" w:hAnsiTheme="minorEastAsia" w:eastAsiaTheme="minorEastAsia"/>
          <w:szCs w:val="21"/>
        </w:rPr>
      </w:pPr>
      <w:r>
        <w:rPr>
          <w:rFonts w:hint="eastAsia" w:asciiTheme="minorEastAsia" w:hAnsiTheme="minorEastAsia" w:eastAsiaTheme="minorEastAsia"/>
          <w:szCs w:val="21"/>
        </w:rPr>
        <w:t>18.6 未按约定投保的补救</w:t>
      </w:r>
    </w:p>
    <w:p w14:paraId="0AE4C314">
      <w:pPr>
        <w:rPr>
          <w:rFonts w:asciiTheme="minorEastAsia" w:hAnsiTheme="minorEastAsia" w:eastAsiaTheme="minorEastAsia"/>
          <w:szCs w:val="21"/>
        </w:rPr>
      </w:pPr>
      <w:r>
        <w:rPr>
          <w:rFonts w:hint="eastAsia" w:asciiTheme="minorEastAsia" w:hAnsiTheme="minorEastAsia" w:eastAsiaTheme="minorEastAsia"/>
          <w:szCs w:val="21"/>
        </w:rPr>
        <w:t>18.6.1发包人未按合同约定办理保险，或未能使保险持续有效的，则承包人可代为办理，所需费用由发包人承担。发包人未按合同约定办理保险，导致未能得到足额赔偿的，由发包人负责补足。</w:t>
      </w:r>
    </w:p>
    <w:p w14:paraId="52026674">
      <w:pPr>
        <w:rPr>
          <w:rFonts w:asciiTheme="minorEastAsia" w:hAnsiTheme="minorEastAsia" w:eastAsiaTheme="minorEastAsia"/>
          <w:szCs w:val="21"/>
        </w:rPr>
      </w:pPr>
      <w:r>
        <w:rPr>
          <w:rFonts w:hint="eastAsia" w:asciiTheme="minorEastAsia" w:hAnsiTheme="minorEastAsia" w:eastAsiaTheme="minorEastAsia"/>
          <w:szCs w:val="21"/>
        </w:rPr>
        <w:t>18.6.2承包人未按合同约定办理保险，或未能使保险持续有效的，则发包人可代为办理，所需费用由承包人承担。承包人未按合同约定办理保险，导致未能得到足额赔偿的，由承包人负责补足。</w:t>
      </w:r>
    </w:p>
    <w:p w14:paraId="13280193">
      <w:pPr>
        <w:rPr>
          <w:rFonts w:asciiTheme="minorEastAsia" w:hAnsiTheme="minorEastAsia" w:eastAsiaTheme="minorEastAsia"/>
          <w:szCs w:val="21"/>
        </w:rPr>
      </w:pPr>
      <w:r>
        <w:rPr>
          <w:rFonts w:hint="eastAsia" w:asciiTheme="minorEastAsia" w:hAnsiTheme="minorEastAsia" w:eastAsiaTheme="minorEastAsia"/>
          <w:szCs w:val="21"/>
        </w:rPr>
        <w:t>18.7 通知义务</w:t>
      </w:r>
    </w:p>
    <w:p w14:paraId="430F477E">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除专用合同条款另有约定外，发包人变更除工伤保险之外的保险合同时，应事先征得承包人同意，并通知监理人；承包人变更除工伤保险之外的保险合同时，应事先征得发包人同意，并通知监理人。</w:t>
      </w:r>
    </w:p>
    <w:p w14:paraId="2648AA06">
      <w:pPr>
        <w:rPr>
          <w:rFonts w:asciiTheme="minorEastAsia" w:hAnsiTheme="minorEastAsia" w:eastAsiaTheme="minorEastAsia"/>
          <w:szCs w:val="21"/>
        </w:rPr>
      </w:pPr>
      <w:r>
        <w:rPr>
          <w:rFonts w:hint="eastAsia" w:asciiTheme="minorEastAsia" w:hAnsiTheme="minorEastAsia" w:eastAsiaTheme="minorEastAsia"/>
          <w:szCs w:val="21"/>
        </w:rPr>
        <w:t>保险事故发生时，投保人应按照保险合同规定的条件和期限及时向保险人报告。发包人和承包人应当在知道保险事故发生后及时通知对方。</w:t>
      </w:r>
    </w:p>
    <w:p w14:paraId="0D8A7B7D">
      <w:pPr>
        <w:rPr>
          <w:rFonts w:asciiTheme="minorEastAsia" w:hAnsiTheme="minorEastAsia" w:eastAsiaTheme="minorEastAsia"/>
          <w:b/>
          <w:szCs w:val="21"/>
        </w:rPr>
      </w:pPr>
      <w:r>
        <w:rPr>
          <w:rFonts w:hint="eastAsia" w:asciiTheme="minorEastAsia" w:hAnsiTheme="minorEastAsia" w:eastAsiaTheme="minorEastAsia"/>
          <w:b/>
          <w:szCs w:val="21"/>
        </w:rPr>
        <w:t>19. 索赔</w:t>
      </w:r>
    </w:p>
    <w:p w14:paraId="0AC50C22">
      <w:pPr>
        <w:rPr>
          <w:rFonts w:asciiTheme="minorEastAsia" w:hAnsiTheme="minorEastAsia" w:eastAsiaTheme="minorEastAsia"/>
          <w:szCs w:val="21"/>
        </w:rPr>
      </w:pPr>
      <w:r>
        <w:rPr>
          <w:rFonts w:hint="eastAsia" w:asciiTheme="minorEastAsia" w:hAnsiTheme="minorEastAsia" w:eastAsiaTheme="minorEastAsia"/>
          <w:szCs w:val="21"/>
        </w:rPr>
        <w:t>19.1承包人的索赔</w:t>
      </w:r>
    </w:p>
    <w:p w14:paraId="168F467A">
      <w:pPr>
        <w:rPr>
          <w:rFonts w:asciiTheme="minorEastAsia" w:hAnsiTheme="minorEastAsia" w:eastAsiaTheme="minorEastAsia"/>
          <w:szCs w:val="21"/>
        </w:rPr>
      </w:pPr>
      <w:r>
        <w:rPr>
          <w:rFonts w:hint="eastAsia" w:asciiTheme="minorEastAsia" w:hAnsiTheme="minorEastAsia" w:eastAsiaTheme="minorEastAsia"/>
          <w:szCs w:val="21"/>
        </w:rPr>
        <w:t>根据合同约定，承包人认为有权得到追加付款和（或）延长工期的，应按以下程序向发包人提出索赔：</w:t>
      </w:r>
    </w:p>
    <w:p w14:paraId="018E5E46">
      <w:pPr>
        <w:rPr>
          <w:rFonts w:asciiTheme="minorEastAsia" w:hAnsiTheme="minorEastAsia" w:eastAsiaTheme="minorEastAsia"/>
          <w:szCs w:val="21"/>
        </w:rPr>
      </w:pPr>
      <w:r>
        <w:rPr>
          <w:rFonts w:hint="eastAsia" w:asciiTheme="minorEastAsia" w:hAnsiTheme="minorEastAsia" w:eastAsiaTheme="minorEastAsia"/>
          <w:szCs w:val="21"/>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7C7303CA">
      <w:pPr>
        <w:rPr>
          <w:rFonts w:asciiTheme="minorEastAsia" w:hAnsiTheme="minorEastAsia" w:eastAsiaTheme="minorEastAsia"/>
          <w:szCs w:val="21"/>
        </w:rPr>
      </w:pPr>
      <w:r>
        <w:rPr>
          <w:rFonts w:hint="eastAsia" w:asciiTheme="minorEastAsia" w:hAnsiTheme="minorEastAsia" w:eastAsiaTheme="minorEastAsia"/>
          <w:szCs w:val="21"/>
        </w:rPr>
        <w:t>（2）承包人应在发出索赔意向通知书后28天内，向监理人正式递交索赔报告；索赔报告应详细说明索赔理由以及要求追加的付款金额和（或）延长的工期，并附必要的记录和证明材料；</w:t>
      </w:r>
    </w:p>
    <w:p w14:paraId="04416932">
      <w:pPr>
        <w:rPr>
          <w:rFonts w:asciiTheme="minorEastAsia" w:hAnsiTheme="minorEastAsia" w:eastAsiaTheme="minorEastAsia"/>
          <w:szCs w:val="21"/>
        </w:rPr>
      </w:pPr>
      <w:r>
        <w:rPr>
          <w:rFonts w:hint="eastAsia" w:asciiTheme="minorEastAsia" w:hAnsiTheme="minorEastAsia" w:eastAsiaTheme="minorEastAsia"/>
          <w:szCs w:val="21"/>
        </w:rPr>
        <w:t>（3）索赔事件具有持续影响的，承包人应按合理时间间隔继续递交延续索赔通知，说明持续影响的实际情况和记录，列出累计的追加付款金额和（或）工期延长天数；</w:t>
      </w:r>
    </w:p>
    <w:p w14:paraId="1B200AA0">
      <w:pPr>
        <w:rPr>
          <w:rFonts w:asciiTheme="minorEastAsia" w:hAnsiTheme="minorEastAsia" w:eastAsiaTheme="minorEastAsia"/>
          <w:szCs w:val="21"/>
        </w:rPr>
      </w:pPr>
      <w:r>
        <w:rPr>
          <w:rFonts w:hint="eastAsia" w:asciiTheme="minorEastAsia" w:hAnsiTheme="minorEastAsia" w:eastAsiaTheme="minorEastAsia"/>
          <w:szCs w:val="21"/>
        </w:rPr>
        <w:t>（4）在索赔事件影响结束后28天内，承包人应向监理人递交最终索赔报告，说明最终要求索赔的追加付款金额和（或）延长的工期，并附必要的记录和证明材料。</w:t>
      </w:r>
    </w:p>
    <w:p w14:paraId="7CA1896F">
      <w:pPr>
        <w:rPr>
          <w:rFonts w:asciiTheme="minorEastAsia" w:hAnsiTheme="minorEastAsia" w:eastAsiaTheme="minorEastAsia"/>
          <w:szCs w:val="21"/>
        </w:rPr>
      </w:pPr>
      <w:r>
        <w:rPr>
          <w:rFonts w:hint="eastAsia" w:asciiTheme="minorEastAsia" w:hAnsiTheme="minorEastAsia" w:eastAsiaTheme="minorEastAsia"/>
          <w:szCs w:val="21"/>
        </w:rPr>
        <w:t>19.2 对承包人索赔的处理</w:t>
      </w:r>
    </w:p>
    <w:p w14:paraId="554B198A">
      <w:pPr>
        <w:rPr>
          <w:rFonts w:asciiTheme="minorEastAsia" w:hAnsiTheme="minorEastAsia" w:eastAsiaTheme="minorEastAsia"/>
          <w:szCs w:val="21"/>
        </w:rPr>
      </w:pPr>
      <w:r>
        <w:rPr>
          <w:rFonts w:hint="eastAsia" w:asciiTheme="minorEastAsia" w:hAnsiTheme="minorEastAsia" w:eastAsiaTheme="minorEastAsia"/>
          <w:szCs w:val="21"/>
        </w:rPr>
        <w:t>对承包人索赔的处理如下：</w:t>
      </w:r>
    </w:p>
    <w:p w14:paraId="637EE5FD">
      <w:pPr>
        <w:rPr>
          <w:rFonts w:asciiTheme="minorEastAsia" w:hAnsiTheme="minorEastAsia" w:eastAsiaTheme="minorEastAsia"/>
          <w:szCs w:val="21"/>
        </w:rPr>
      </w:pPr>
      <w:r>
        <w:rPr>
          <w:rFonts w:hint="eastAsia" w:asciiTheme="minorEastAsia" w:hAnsiTheme="minorEastAsia" w:eastAsiaTheme="minorEastAsia"/>
          <w:szCs w:val="21"/>
        </w:rPr>
        <w:t>（1）监理人应在收到索赔报告后14天内完成审查并报送发包人。监理人对索赔报告存在异议的，有权要求承包人提交全部原始记录副本；</w:t>
      </w:r>
    </w:p>
    <w:p w14:paraId="34DF652E">
      <w:pPr>
        <w:rPr>
          <w:rFonts w:asciiTheme="minorEastAsia" w:hAnsiTheme="minorEastAsia" w:eastAsiaTheme="minorEastAsia"/>
          <w:szCs w:val="21"/>
        </w:rPr>
      </w:pPr>
      <w:r>
        <w:rPr>
          <w:rFonts w:hint="eastAsia" w:asciiTheme="minorEastAsia" w:hAnsiTheme="minorEastAsia" w:eastAsiaTheme="minorEastAsia"/>
          <w:szCs w:val="21"/>
        </w:rPr>
        <w:t>（2）发包人应在监理人收到索赔报告或有关索赔的进一步证明材料后的28天内，由监理人向承包人出具经发包人签认的索赔处理结果。发包人逾期答复的，则视为认可承包人的索赔要求；</w:t>
      </w:r>
    </w:p>
    <w:p w14:paraId="4D8E1BF9">
      <w:pPr>
        <w:rPr>
          <w:rFonts w:asciiTheme="minorEastAsia" w:hAnsiTheme="minorEastAsia" w:eastAsiaTheme="minorEastAsia"/>
          <w:szCs w:val="21"/>
        </w:rPr>
      </w:pPr>
      <w:r>
        <w:rPr>
          <w:rFonts w:hint="eastAsia" w:asciiTheme="minorEastAsia" w:hAnsiTheme="minorEastAsia" w:eastAsiaTheme="minorEastAsia"/>
          <w:szCs w:val="21"/>
        </w:rPr>
        <w:t>（3）承包人接受索赔处理结果的，索赔款项在当期进度款中进行支付；承包人不接受索赔处理结果的，按照第20条〔争议解决〕约定处理。</w:t>
      </w:r>
    </w:p>
    <w:p w14:paraId="23BD76E6">
      <w:pPr>
        <w:rPr>
          <w:rFonts w:asciiTheme="minorEastAsia" w:hAnsiTheme="minorEastAsia" w:eastAsiaTheme="minorEastAsia"/>
          <w:szCs w:val="21"/>
        </w:rPr>
      </w:pPr>
      <w:r>
        <w:rPr>
          <w:rFonts w:hint="eastAsia" w:asciiTheme="minorEastAsia" w:hAnsiTheme="minorEastAsia" w:eastAsiaTheme="minorEastAsia"/>
          <w:szCs w:val="21"/>
        </w:rPr>
        <w:t>19.3发包人的索赔</w:t>
      </w:r>
    </w:p>
    <w:p w14:paraId="13F48BCB">
      <w:pPr>
        <w:rPr>
          <w:rFonts w:asciiTheme="minorEastAsia" w:hAnsiTheme="minorEastAsia" w:eastAsiaTheme="minorEastAsia"/>
          <w:szCs w:val="21"/>
        </w:rPr>
      </w:pPr>
      <w:r>
        <w:rPr>
          <w:rFonts w:hint="eastAsia" w:asciiTheme="minorEastAsia" w:hAnsiTheme="minorEastAsia" w:eastAsiaTheme="minorEastAsia"/>
          <w:szCs w:val="21"/>
        </w:rPr>
        <w:t>根据合同约定，发包人认为有权得到赔付金额和（或）延长缺陷责任期的，监理人应向承包人发出通知并附有详细的证明。</w:t>
      </w:r>
    </w:p>
    <w:p w14:paraId="5DAE01FA">
      <w:pPr>
        <w:rPr>
          <w:rFonts w:asciiTheme="minorEastAsia" w:hAnsiTheme="minorEastAsia" w:eastAsiaTheme="minorEastAsia"/>
          <w:szCs w:val="21"/>
        </w:rPr>
      </w:pPr>
      <w:r>
        <w:rPr>
          <w:rFonts w:hint="eastAsia" w:asciiTheme="minorEastAsia" w:hAnsiTheme="minorEastAsia" w:eastAsiaTheme="minorEastAsia"/>
          <w:szCs w:val="21"/>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14:paraId="3598B8D1">
      <w:pPr>
        <w:rPr>
          <w:rFonts w:asciiTheme="minorEastAsia" w:hAnsiTheme="minorEastAsia" w:eastAsiaTheme="minorEastAsia"/>
          <w:szCs w:val="21"/>
        </w:rPr>
      </w:pPr>
      <w:r>
        <w:rPr>
          <w:rFonts w:hint="eastAsia" w:asciiTheme="minorEastAsia" w:hAnsiTheme="minorEastAsia" w:eastAsiaTheme="minorEastAsia"/>
          <w:szCs w:val="21"/>
        </w:rPr>
        <w:t>19.4 对发包人索赔的处理</w:t>
      </w:r>
    </w:p>
    <w:p w14:paraId="36135640">
      <w:pPr>
        <w:rPr>
          <w:rFonts w:asciiTheme="minorEastAsia" w:hAnsiTheme="minorEastAsia" w:eastAsiaTheme="minorEastAsia"/>
          <w:szCs w:val="21"/>
        </w:rPr>
      </w:pPr>
      <w:r>
        <w:rPr>
          <w:rFonts w:hint="eastAsia" w:asciiTheme="minorEastAsia" w:hAnsiTheme="minorEastAsia" w:eastAsiaTheme="minorEastAsia"/>
          <w:szCs w:val="21"/>
        </w:rPr>
        <w:t>对发包人索赔的处理如下：</w:t>
      </w:r>
    </w:p>
    <w:p w14:paraId="3A42FB41">
      <w:pPr>
        <w:rPr>
          <w:rFonts w:asciiTheme="minorEastAsia" w:hAnsiTheme="minorEastAsia" w:eastAsiaTheme="minorEastAsia"/>
          <w:szCs w:val="21"/>
        </w:rPr>
      </w:pPr>
      <w:r>
        <w:rPr>
          <w:rFonts w:hint="eastAsia" w:asciiTheme="minorEastAsia" w:hAnsiTheme="minorEastAsia" w:eastAsiaTheme="minorEastAsia"/>
          <w:szCs w:val="21"/>
        </w:rPr>
        <w:t>（1）承包人收到发包人提交的索赔报告后，应及时审查索赔报告的内容、查验发包人证明材料；</w:t>
      </w:r>
    </w:p>
    <w:p w14:paraId="3060D1ED">
      <w:pPr>
        <w:rPr>
          <w:rFonts w:asciiTheme="minorEastAsia" w:hAnsiTheme="minorEastAsia" w:eastAsiaTheme="minorEastAsia"/>
          <w:szCs w:val="21"/>
        </w:rPr>
      </w:pPr>
      <w:r>
        <w:rPr>
          <w:rFonts w:hint="eastAsia" w:asciiTheme="minorEastAsia" w:hAnsiTheme="minorEastAsia" w:eastAsiaTheme="minorEastAsia"/>
          <w:szCs w:val="21"/>
        </w:rPr>
        <w:t>（2）承包人应在收到索赔报告或有关索赔的进一步证明材料后28天内，将索赔处理结果答复发包人。如果承包人未在上述期限内作出答复的，则视为对发包人索赔要求的认可；</w:t>
      </w:r>
    </w:p>
    <w:p w14:paraId="0DC9C5B2">
      <w:pPr>
        <w:rPr>
          <w:rFonts w:asciiTheme="minorEastAsia" w:hAnsiTheme="minorEastAsia" w:eastAsiaTheme="minorEastAsia"/>
          <w:szCs w:val="21"/>
        </w:rPr>
      </w:pPr>
      <w:r>
        <w:rPr>
          <w:rFonts w:hint="eastAsia" w:asciiTheme="minorEastAsia" w:hAnsiTheme="minorEastAsia" w:eastAsiaTheme="minorEastAsia"/>
          <w:szCs w:val="21"/>
        </w:rPr>
        <w:t>（3）承包人接受索赔处理结果的，发包人可从应支付给承包人的合同价款中扣除赔付的金额或延长缺陷责任期；发包人不接受索赔处理结果的，按第20条〔争议解决〕约定处理。</w:t>
      </w:r>
    </w:p>
    <w:p w14:paraId="225DE655">
      <w:pPr>
        <w:rPr>
          <w:rFonts w:asciiTheme="minorEastAsia" w:hAnsiTheme="minorEastAsia" w:eastAsiaTheme="minorEastAsia"/>
          <w:szCs w:val="21"/>
        </w:rPr>
      </w:pPr>
      <w:r>
        <w:rPr>
          <w:rFonts w:hint="eastAsia" w:asciiTheme="minorEastAsia" w:hAnsiTheme="minorEastAsia" w:eastAsiaTheme="minorEastAsia"/>
          <w:szCs w:val="21"/>
        </w:rPr>
        <w:t>19.5 提出索赔的期限</w:t>
      </w:r>
    </w:p>
    <w:p w14:paraId="2CB7B4F7">
      <w:pPr>
        <w:rPr>
          <w:rFonts w:asciiTheme="minorEastAsia" w:hAnsiTheme="minorEastAsia" w:eastAsiaTheme="minorEastAsia"/>
          <w:szCs w:val="21"/>
        </w:rPr>
      </w:pPr>
      <w:r>
        <w:rPr>
          <w:rFonts w:hint="eastAsia" w:asciiTheme="minorEastAsia" w:hAnsiTheme="minorEastAsia" w:eastAsiaTheme="minorEastAsia"/>
          <w:szCs w:val="21"/>
        </w:rPr>
        <w:t>（1）承包人按第14.2款〔竣工结算审核〕约定接收竣工付款证书后，应被视为已无权再提出在工程接收证书颁发前所发生的任何索赔。</w:t>
      </w:r>
    </w:p>
    <w:p w14:paraId="2E5069EB">
      <w:pPr>
        <w:rPr>
          <w:rFonts w:asciiTheme="minorEastAsia" w:hAnsiTheme="minorEastAsia" w:eastAsiaTheme="minorEastAsia"/>
          <w:szCs w:val="21"/>
        </w:rPr>
      </w:pPr>
      <w:r>
        <w:rPr>
          <w:rFonts w:hint="eastAsia" w:asciiTheme="minorEastAsia" w:hAnsiTheme="minorEastAsia" w:eastAsiaTheme="minorEastAsia"/>
          <w:szCs w:val="21"/>
        </w:rPr>
        <w:t>（2）承包人按第14.4款〔最终结清〕提交的最终结清申请单中，只限于提出工程接收证书颁发后发生的索赔。提出索赔的期限自接受最终结清证书时终止。</w:t>
      </w:r>
    </w:p>
    <w:p w14:paraId="2CCCC5D1">
      <w:pPr>
        <w:rPr>
          <w:rFonts w:asciiTheme="minorEastAsia" w:hAnsiTheme="minorEastAsia" w:eastAsiaTheme="minorEastAsia"/>
          <w:b/>
          <w:szCs w:val="21"/>
        </w:rPr>
      </w:pPr>
      <w:r>
        <w:rPr>
          <w:rFonts w:hint="eastAsia" w:asciiTheme="minorEastAsia" w:hAnsiTheme="minorEastAsia" w:eastAsiaTheme="minorEastAsia"/>
          <w:b/>
          <w:szCs w:val="21"/>
        </w:rPr>
        <w:t>20. 争议解决</w:t>
      </w:r>
    </w:p>
    <w:p w14:paraId="2A3A609B">
      <w:pPr>
        <w:rPr>
          <w:rFonts w:asciiTheme="minorEastAsia" w:hAnsiTheme="minorEastAsia" w:eastAsiaTheme="minorEastAsia"/>
          <w:szCs w:val="21"/>
        </w:rPr>
      </w:pPr>
      <w:r>
        <w:rPr>
          <w:rFonts w:hint="eastAsia" w:asciiTheme="minorEastAsia" w:hAnsiTheme="minorEastAsia" w:eastAsiaTheme="minorEastAsia"/>
          <w:szCs w:val="21"/>
        </w:rPr>
        <w:t>20.1和解</w:t>
      </w:r>
    </w:p>
    <w:p w14:paraId="3D81A795">
      <w:pPr>
        <w:rPr>
          <w:rFonts w:asciiTheme="minorEastAsia" w:hAnsiTheme="minorEastAsia" w:eastAsiaTheme="minorEastAsia"/>
          <w:szCs w:val="21"/>
        </w:rPr>
      </w:pPr>
      <w:r>
        <w:rPr>
          <w:rFonts w:hint="eastAsia" w:asciiTheme="minorEastAsia" w:hAnsiTheme="minorEastAsia" w:eastAsiaTheme="minorEastAsia"/>
          <w:szCs w:val="21"/>
        </w:rPr>
        <w:t>合同当事人可以就争议自行和解，自行和解达成协议的经双方签字并盖章后作为合同补充文件，双方均应遵照执行。</w:t>
      </w:r>
    </w:p>
    <w:p w14:paraId="1FABA817">
      <w:pPr>
        <w:rPr>
          <w:rFonts w:asciiTheme="minorEastAsia" w:hAnsiTheme="minorEastAsia" w:eastAsiaTheme="minorEastAsia"/>
          <w:szCs w:val="21"/>
        </w:rPr>
      </w:pPr>
      <w:r>
        <w:rPr>
          <w:rFonts w:hint="eastAsia" w:asciiTheme="minorEastAsia" w:hAnsiTheme="minorEastAsia" w:eastAsiaTheme="minorEastAsia"/>
          <w:szCs w:val="21"/>
        </w:rPr>
        <w:t>20.2调解</w:t>
      </w:r>
    </w:p>
    <w:p w14:paraId="27C466EE">
      <w:pPr>
        <w:rPr>
          <w:rFonts w:asciiTheme="minorEastAsia" w:hAnsiTheme="minorEastAsia" w:eastAsiaTheme="minorEastAsia"/>
          <w:szCs w:val="21"/>
        </w:rPr>
      </w:pPr>
      <w:r>
        <w:rPr>
          <w:rFonts w:hint="eastAsia" w:asciiTheme="minorEastAsia" w:hAnsiTheme="minorEastAsia" w:eastAsiaTheme="minorEastAsia"/>
          <w:szCs w:val="21"/>
        </w:rPr>
        <w:t>合同当事人可以就争议请求建设行政主管部门、行业协会或其他第三方进行调解，调解达成协议的，经双方签字并盖章后作为合同补充文件，双方均应遵照执行。</w:t>
      </w:r>
    </w:p>
    <w:p w14:paraId="3EAA94D9">
      <w:pPr>
        <w:rPr>
          <w:rFonts w:asciiTheme="minorEastAsia" w:hAnsiTheme="minorEastAsia" w:eastAsiaTheme="minorEastAsia"/>
          <w:szCs w:val="21"/>
        </w:rPr>
      </w:pPr>
      <w:r>
        <w:rPr>
          <w:rFonts w:hint="eastAsia" w:asciiTheme="minorEastAsia" w:hAnsiTheme="minorEastAsia" w:eastAsiaTheme="minorEastAsia"/>
          <w:szCs w:val="21"/>
        </w:rPr>
        <w:t>20.3争议评审</w:t>
      </w:r>
    </w:p>
    <w:p w14:paraId="0BBE4D4F">
      <w:pPr>
        <w:rPr>
          <w:rFonts w:asciiTheme="minorEastAsia" w:hAnsiTheme="minorEastAsia" w:eastAsiaTheme="minorEastAsia"/>
          <w:szCs w:val="21"/>
        </w:rPr>
      </w:pPr>
      <w:r>
        <w:rPr>
          <w:rFonts w:hint="eastAsia" w:asciiTheme="minorEastAsia" w:hAnsiTheme="minorEastAsia" w:eastAsiaTheme="minorEastAsia"/>
          <w:szCs w:val="21"/>
        </w:rPr>
        <w:t xml:space="preserve">合同当事人在专用合同条款中约定采取争议评审方式解决争议以及评审规则，并按下列约定执行： </w:t>
      </w:r>
    </w:p>
    <w:p w14:paraId="7B54DB43">
      <w:pPr>
        <w:rPr>
          <w:rFonts w:asciiTheme="minorEastAsia" w:hAnsiTheme="minorEastAsia" w:eastAsiaTheme="minorEastAsia"/>
          <w:szCs w:val="21"/>
        </w:rPr>
      </w:pPr>
      <w:r>
        <w:rPr>
          <w:rFonts w:hint="eastAsia" w:asciiTheme="minorEastAsia" w:hAnsiTheme="minorEastAsia" w:eastAsiaTheme="minorEastAsia"/>
          <w:szCs w:val="21"/>
        </w:rPr>
        <w:t>20.3.1 争议评审小组的确定</w:t>
      </w:r>
    </w:p>
    <w:p w14:paraId="12CD64C6">
      <w:pPr>
        <w:rPr>
          <w:rFonts w:asciiTheme="minorEastAsia" w:hAnsiTheme="minorEastAsia" w:eastAsiaTheme="minorEastAsia"/>
          <w:szCs w:val="21"/>
        </w:rPr>
      </w:pPr>
      <w:r>
        <w:rPr>
          <w:rFonts w:hint="eastAsia" w:asciiTheme="minorEastAsia" w:hAnsiTheme="minorEastAsia" w:eastAsiaTheme="minorEastAsia"/>
          <w:szCs w:val="21"/>
        </w:rPr>
        <w:t>合同当事人可以共同选择一名或三名争议评审员，组成争议评审小组。除专用合同条款另有约定外，合同当事人应当自合同签订后28天内，或者争议发生后14天内，选定争议评审员。</w:t>
      </w:r>
    </w:p>
    <w:p w14:paraId="4A66DC52">
      <w:pPr>
        <w:rPr>
          <w:rFonts w:asciiTheme="minorEastAsia" w:hAnsiTheme="minorEastAsia" w:eastAsiaTheme="minorEastAsia"/>
          <w:szCs w:val="21"/>
        </w:rPr>
      </w:pPr>
      <w:r>
        <w:rPr>
          <w:rFonts w:hint="eastAsia" w:asciiTheme="minorEastAsia" w:hAnsiTheme="minorEastAsia" w:eastAsiaTheme="minorEastAsia"/>
          <w:szCs w:val="21"/>
        </w:rPr>
        <w:t xml:space="preserve">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 </w:t>
      </w:r>
    </w:p>
    <w:p w14:paraId="7AC68B7B">
      <w:pPr>
        <w:rPr>
          <w:rFonts w:asciiTheme="minorEastAsia" w:hAnsiTheme="minorEastAsia" w:eastAsiaTheme="minorEastAsia"/>
          <w:szCs w:val="21"/>
        </w:rPr>
      </w:pPr>
      <w:r>
        <w:rPr>
          <w:rFonts w:hint="eastAsia" w:asciiTheme="minorEastAsia" w:hAnsiTheme="minorEastAsia" w:eastAsiaTheme="minorEastAsia"/>
          <w:szCs w:val="21"/>
        </w:rPr>
        <w:t>除专用合同条款另有约定外，评审员报酬由发包人和承包人各承担一半。</w:t>
      </w:r>
    </w:p>
    <w:p w14:paraId="62FBC68A">
      <w:pPr>
        <w:rPr>
          <w:rFonts w:asciiTheme="minorEastAsia" w:hAnsiTheme="minorEastAsia" w:eastAsiaTheme="minorEastAsia"/>
          <w:szCs w:val="21"/>
        </w:rPr>
      </w:pPr>
      <w:r>
        <w:rPr>
          <w:rFonts w:hint="eastAsia" w:asciiTheme="minorEastAsia" w:hAnsiTheme="minorEastAsia" w:eastAsiaTheme="minorEastAsia"/>
          <w:szCs w:val="21"/>
        </w:rPr>
        <w:t>20.3.2 争议评审小组的决定</w:t>
      </w:r>
    </w:p>
    <w:p w14:paraId="54C99C20">
      <w:pPr>
        <w:rPr>
          <w:rFonts w:asciiTheme="minorEastAsia" w:hAnsiTheme="minorEastAsia" w:eastAsiaTheme="minorEastAsia"/>
          <w:szCs w:val="21"/>
        </w:rPr>
      </w:pPr>
      <w:r>
        <w:rPr>
          <w:rFonts w:hint="eastAsia" w:asciiTheme="minorEastAsia" w:hAnsiTheme="minorEastAsia" w:eastAsiaTheme="minorEastAsia"/>
          <w:szCs w:val="21"/>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14:paraId="7595AF98">
      <w:pPr>
        <w:rPr>
          <w:rFonts w:asciiTheme="minorEastAsia" w:hAnsiTheme="minorEastAsia" w:eastAsiaTheme="minorEastAsia"/>
          <w:szCs w:val="21"/>
        </w:rPr>
      </w:pPr>
      <w:r>
        <w:rPr>
          <w:rFonts w:hint="eastAsia" w:asciiTheme="minorEastAsia" w:hAnsiTheme="minorEastAsia" w:eastAsiaTheme="minorEastAsia"/>
          <w:szCs w:val="21"/>
        </w:rPr>
        <w:t>20.3.3 争议评审小组决定的效力</w:t>
      </w:r>
    </w:p>
    <w:p w14:paraId="288E8B97">
      <w:pPr>
        <w:rPr>
          <w:rFonts w:asciiTheme="minorEastAsia" w:hAnsiTheme="minorEastAsia" w:eastAsiaTheme="minorEastAsia"/>
          <w:szCs w:val="21"/>
        </w:rPr>
      </w:pPr>
      <w:r>
        <w:rPr>
          <w:rFonts w:hint="eastAsia" w:asciiTheme="minorEastAsia" w:hAnsiTheme="minorEastAsia" w:eastAsiaTheme="minorEastAsia"/>
          <w:szCs w:val="21"/>
        </w:rPr>
        <w:t>争议评审小组作出的书面决定经合同当事人签字确认后，对双方具有约束力，双方应遵照执行。</w:t>
      </w:r>
    </w:p>
    <w:p w14:paraId="383EEF5B">
      <w:pPr>
        <w:rPr>
          <w:rFonts w:asciiTheme="minorEastAsia" w:hAnsiTheme="minorEastAsia" w:eastAsiaTheme="minorEastAsia"/>
          <w:szCs w:val="21"/>
        </w:rPr>
      </w:pPr>
      <w:r>
        <w:rPr>
          <w:rFonts w:hint="eastAsia" w:asciiTheme="minorEastAsia" w:hAnsiTheme="minorEastAsia" w:eastAsiaTheme="minorEastAsia"/>
          <w:szCs w:val="21"/>
        </w:rPr>
        <w:t>任何一方当事人不接受争议评审小组决定或不履行争议评审小组决定的，双方可选择采用其他争议解决方式。</w:t>
      </w:r>
    </w:p>
    <w:p w14:paraId="0C627BE5">
      <w:pPr>
        <w:rPr>
          <w:rFonts w:asciiTheme="minorEastAsia" w:hAnsiTheme="minorEastAsia" w:eastAsiaTheme="minorEastAsia"/>
          <w:szCs w:val="21"/>
        </w:rPr>
      </w:pPr>
      <w:r>
        <w:rPr>
          <w:rFonts w:hint="eastAsia" w:asciiTheme="minorEastAsia" w:hAnsiTheme="minorEastAsia" w:eastAsiaTheme="minorEastAsia"/>
          <w:szCs w:val="21"/>
        </w:rPr>
        <w:t>20.4仲裁或诉讼</w:t>
      </w:r>
    </w:p>
    <w:p w14:paraId="43E6A3B1">
      <w:pPr>
        <w:rPr>
          <w:rFonts w:asciiTheme="minorEastAsia" w:hAnsiTheme="minorEastAsia" w:eastAsiaTheme="minorEastAsia"/>
          <w:szCs w:val="21"/>
        </w:rPr>
      </w:pPr>
      <w:r>
        <w:rPr>
          <w:rFonts w:hint="eastAsia" w:asciiTheme="minorEastAsia" w:hAnsiTheme="minorEastAsia" w:eastAsiaTheme="minorEastAsia"/>
          <w:szCs w:val="21"/>
        </w:rPr>
        <w:t>因合同及合同有关事项产生的争议，合同当事人可以在专用合同条款中约定以下一种方式解决争议：</w:t>
      </w:r>
    </w:p>
    <w:p w14:paraId="16CF3525">
      <w:pPr>
        <w:rPr>
          <w:rFonts w:asciiTheme="minorEastAsia" w:hAnsiTheme="minorEastAsia" w:eastAsiaTheme="minorEastAsia"/>
          <w:szCs w:val="21"/>
        </w:rPr>
      </w:pPr>
      <w:r>
        <w:rPr>
          <w:rFonts w:hint="eastAsia" w:asciiTheme="minorEastAsia" w:hAnsiTheme="minorEastAsia" w:eastAsiaTheme="minorEastAsia"/>
          <w:szCs w:val="21"/>
        </w:rPr>
        <w:t>（1）向约定的仲裁委员会申请仲裁；</w:t>
      </w:r>
    </w:p>
    <w:p w14:paraId="49DADA21">
      <w:pPr>
        <w:rPr>
          <w:rFonts w:asciiTheme="minorEastAsia" w:hAnsiTheme="minorEastAsia" w:eastAsiaTheme="minorEastAsia"/>
          <w:szCs w:val="21"/>
        </w:rPr>
      </w:pPr>
      <w:r>
        <w:rPr>
          <w:rFonts w:hint="eastAsia" w:asciiTheme="minorEastAsia" w:hAnsiTheme="minorEastAsia" w:eastAsiaTheme="minorEastAsia"/>
          <w:szCs w:val="21"/>
        </w:rPr>
        <w:t>（2）向有管辖权的人民法院起诉。</w:t>
      </w:r>
    </w:p>
    <w:p w14:paraId="0C5F551F">
      <w:pPr>
        <w:rPr>
          <w:rFonts w:asciiTheme="minorEastAsia" w:hAnsiTheme="minorEastAsia" w:eastAsiaTheme="minorEastAsia"/>
          <w:szCs w:val="21"/>
        </w:rPr>
      </w:pPr>
      <w:r>
        <w:rPr>
          <w:rFonts w:hint="eastAsia" w:asciiTheme="minorEastAsia" w:hAnsiTheme="minorEastAsia" w:eastAsiaTheme="minorEastAsia"/>
          <w:szCs w:val="21"/>
        </w:rPr>
        <w:t>20.5争议解决条款效力</w:t>
      </w:r>
    </w:p>
    <w:p w14:paraId="5A0407A7">
      <w:pPr>
        <w:rPr>
          <w:rFonts w:asciiTheme="minorEastAsia" w:hAnsiTheme="minorEastAsia" w:eastAsiaTheme="minorEastAsia"/>
          <w:szCs w:val="21"/>
        </w:rPr>
      </w:pPr>
      <w:r>
        <w:rPr>
          <w:rFonts w:hint="eastAsia" w:asciiTheme="minorEastAsia" w:hAnsiTheme="minorEastAsia" w:eastAsiaTheme="minorEastAsia"/>
          <w:szCs w:val="21"/>
        </w:rPr>
        <w:t>合同有关争议解决的条款独立存在，合同的变更、解除、终止、无效或者被撤销均不影响其效力。</w:t>
      </w:r>
    </w:p>
    <w:p w14:paraId="5BE182F7">
      <w:pPr>
        <w:rPr>
          <w:rFonts w:asciiTheme="minorEastAsia" w:hAnsiTheme="minorEastAsia" w:eastAsiaTheme="minorEastAsia"/>
          <w:szCs w:val="21"/>
        </w:rPr>
      </w:pPr>
    </w:p>
    <w:p w14:paraId="5326A832">
      <w:pPr>
        <w:widowControl/>
        <w:jc w:val="left"/>
        <w:rPr>
          <w:rFonts w:asciiTheme="minorEastAsia" w:hAnsiTheme="minorEastAsia" w:eastAsiaTheme="minorEastAsia"/>
          <w:szCs w:val="21"/>
        </w:rPr>
      </w:pPr>
      <w:r>
        <w:rPr>
          <w:rFonts w:asciiTheme="minorEastAsia" w:hAnsiTheme="minorEastAsia" w:eastAsiaTheme="minorEastAsia"/>
          <w:szCs w:val="21"/>
        </w:rPr>
        <w:br w:type="page"/>
      </w:r>
    </w:p>
    <w:p w14:paraId="444EEB94">
      <w:pPr>
        <w:tabs>
          <w:tab w:val="center" w:pos="4832"/>
          <w:tab w:val="left" w:pos="7140"/>
        </w:tabs>
        <w:spacing w:line="360" w:lineRule="auto"/>
        <w:jc w:val="center"/>
        <w:outlineLvl w:val="1"/>
        <w:rPr>
          <w:b/>
        </w:rPr>
      </w:pPr>
      <w:bookmarkStart w:id="221" w:name="_Toc504472666"/>
      <w:bookmarkStart w:id="222" w:name="_Toc504473203"/>
      <w:bookmarkStart w:id="223" w:name="_Toc25205"/>
      <w:bookmarkStart w:id="224" w:name="_Toc499565523"/>
      <w:r>
        <w:rPr>
          <w:rFonts w:hint="eastAsia" w:ascii="宋体" w:hAnsi="宋体" w:cs="宋体"/>
          <w:b/>
          <w:szCs w:val="21"/>
        </w:rPr>
        <w:t>第三部分 专用合同条款</w:t>
      </w:r>
      <w:bookmarkEnd w:id="221"/>
      <w:bookmarkEnd w:id="222"/>
      <w:bookmarkEnd w:id="223"/>
      <w:bookmarkEnd w:id="224"/>
    </w:p>
    <w:p w14:paraId="7ACA2FB2">
      <w:pPr>
        <w:ind w:firstLine="422" w:firstLineChars="200"/>
        <w:jc w:val="left"/>
        <w:rPr>
          <w:b/>
        </w:rPr>
      </w:pPr>
      <w:bookmarkStart w:id="225" w:name="_Toc504472667"/>
      <w:r>
        <w:rPr>
          <w:b/>
        </w:rPr>
        <w:t xml:space="preserve">1. </w:t>
      </w:r>
      <w:r>
        <w:rPr>
          <w:rFonts w:hint="eastAsia"/>
          <w:b/>
        </w:rPr>
        <w:t>一般约定</w:t>
      </w:r>
      <w:bookmarkEnd w:id="225"/>
    </w:p>
    <w:p w14:paraId="63C74786">
      <w:pPr>
        <w:ind w:firstLine="420" w:firstLineChars="200"/>
        <w:jc w:val="left"/>
      </w:pPr>
      <w:bookmarkStart w:id="226" w:name="_Toc504472668"/>
      <w:r>
        <w:t xml:space="preserve">1.1 </w:t>
      </w:r>
      <w:r>
        <w:rPr>
          <w:rFonts w:hint="eastAsia"/>
        </w:rPr>
        <w:t>词语定义</w:t>
      </w:r>
      <w:bookmarkEnd w:id="226"/>
    </w:p>
    <w:p w14:paraId="5FC70590">
      <w:pPr>
        <w:ind w:firstLine="420" w:firstLineChars="200"/>
        <w:jc w:val="left"/>
      </w:pPr>
      <w:bookmarkStart w:id="227" w:name="_Toc504472669"/>
      <w:r>
        <w:t>1.1.1</w:t>
      </w:r>
      <w:r>
        <w:rPr>
          <w:rFonts w:hint="eastAsia"/>
        </w:rPr>
        <w:t>合同</w:t>
      </w:r>
      <w:bookmarkEnd w:id="227"/>
    </w:p>
    <w:p w14:paraId="4A9DBDA0">
      <w:pPr>
        <w:ind w:firstLine="420" w:firstLineChars="200"/>
        <w:jc w:val="left"/>
        <w:rPr>
          <w:u w:val="single"/>
        </w:rPr>
      </w:pPr>
      <w:bookmarkStart w:id="228" w:name="_Toc504472670"/>
      <w:r>
        <w:t>1.1.1.1</w:t>
      </w:r>
      <w:r>
        <w:rPr>
          <w:rFonts w:hint="eastAsia"/>
        </w:rPr>
        <w:t>其他合同文件包括：</w:t>
      </w:r>
      <w:r>
        <w:rPr>
          <w:rFonts w:hint="eastAsia"/>
          <w:u w:val="single"/>
        </w:rPr>
        <w:t>①承包人投标时所做的声明、承诺、澄清及答复资料等（如有时）；②双方在工程施工过程中来往文件（函件）、会议纪要（经发包人认可的）及书面协议等；③标准、规范及有关技术文件；图纸、其他合同文件；④施工组织设计（如人员、设备等的要求）；⑤竞争性磋商文件（含澄清文件、暂列金、暂估价）；⑥洽谈记录、图纸会审记录、发包人相关制度、廉政协议等。</w:t>
      </w:r>
      <w:bookmarkEnd w:id="228"/>
    </w:p>
    <w:p w14:paraId="2E4D6AFD">
      <w:pPr>
        <w:ind w:firstLine="420" w:firstLineChars="200"/>
        <w:jc w:val="left"/>
      </w:pPr>
      <w:bookmarkStart w:id="229" w:name="_Toc504472671"/>
      <w:r>
        <w:t>1.1.2</w:t>
      </w:r>
      <w:r>
        <w:rPr>
          <w:rFonts w:hint="eastAsia"/>
        </w:rPr>
        <w:t>合同当事人及其他相关方</w:t>
      </w:r>
      <w:bookmarkEnd w:id="229"/>
    </w:p>
    <w:p w14:paraId="06EA1552">
      <w:pPr>
        <w:ind w:firstLine="420" w:firstLineChars="200"/>
        <w:jc w:val="left"/>
      </w:pPr>
      <w:bookmarkStart w:id="230" w:name="_Toc504472672"/>
      <w:r>
        <w:t>1.1.2.4</w:t>
      </w:r>
      <w:r>
        <w:rPr>
          <w:rFonts w:hint="eastAsia"/>
        </w:rPr>
        <w:t>监理人：</w:t>
      </w:r>
      <w:bookmarkEnd w:id="230"/>
    </w:p>
    <w:p w14:paraId="5611DFC6">
      <w:pPr>
        <w:ind w:firstLine="420" w:firstLineChars="200"/>
        <w:jc w:val="left"/>
      </w:pPr>
      <w:bookmarkStart w:id="231" w:name="_Toc504472673"/>
      <w:r>
        <w:rPr>
          <w:rFonts w:hint="eastAsia"/>
        </w:rPr>
        <w:t>名称：</w:t>
      </w:r>
      <w:r>
        <w:rPr>
          <w:rFonts w:hint="eastAsia"/>
          <w:u w:val="single"/>
        </w:rPr>
        <w:t>/</w:t>
      </w:r>
      <w:r>
        <w:rPr>
          <w:u w:val="single"/>
        </w:rPr>
        <w:t xml:space="preserve">     </w:t>
      </w:r>
      <w:r>
        <w:rPr>
          <w:rFonts w:hint="eastAsia"/>
        </w:rPr>
        <w:t>；</w:t>
      </w:r>
      <w:bookmarkEnd w:id="231"/>
    </w:p>
    <w:p w14:paraId="593D2DFF">
      <w:pPr>
        <w:ind w:firstLine="420" w:firstLineChars="200"/>
        <w:jc w:val="left"/>
      </w:pPr>
      <w:bookmarkStart w:id="232" w:name="_Toc504472674"/>
      <w:r>
        <w:rPr>
          <w:rFonts w:hint="eastAsia"/>
        </w:rPr>
        <w:t>资质类别和等级：</w:t>
      </w:r>
      <w:r>
        <w:rPr>
          <w:rFonts w:hint="eastAsia"/>
          <w:u w:val="single"/>
        </w:rPr>
        <w:t>/</w:t>
      </w:r>
      <w:r>
        <w:rPr>
          <w:u w:val="single"/>
        </w:rPr>
        <w:t xml:space="preserve">  </w:t>
      </w:r>
      <w:r>
        <w:rPr>
          <w:rFonts w:hint="eastAsia"/>
        </w:rPr>
        <w:t>；</w:t>
      </w:r>
      <w:bookmarkEnd w:id="232"/>
    </w:p>
    <w:p w14:paraId="20ADAF59">
      <w:pPr>
        <w:ind w:firstLine="420" w:firstLineChars="200"/>
        <w:jc w:val="left"/>
      </w:pPr>
      <w:bookmarkStart w:id="233" w:name="_Toc504472675"/>
      <w:r>
        <w:rPr>
          <w:rFonts w:hint="eastAsia"/>
        </w:rPr>
        <w:t>联系电话：</w:t>
      </w:r>
      <w:r>
        <w:rPr>
          <w:rFonts w:hint="eastAsia"/>
          <w:u w:val="single"/>
        </w:rPr>
        <w:t>/</w:t>
      </w:r>
      <w:r>
        <w:rPr>
          <w:u w:val="single"/>
        </w:rPr>
        <w:t xml:space="preserve">            </w:t>
      </w:r>
      <w:r>
        <w:rPr>
          <w:rFonts w:hint="eastAsia"/>
          <w:u w:val="single"/>
        </w:rPr>
        <w:t></w:t>
      </w:r>
      <w:r>
        <w:rPr>
          <w:rFonts w:hint="eastAsia"/>
        </w:rPr>
        <w:t>；</w:t>
      </w:r>
      <w:bookmarkEnd w:id="233"/>
    </w:p>
    <w:p w14:paraId="729002D0">
      <w:pPr>
        <w:ind w:firstLine="420" w:firstLineChars="200"/>
        <w:jc w:val="left"/>
      </w:pPr>
      <w:bookmarkStart w:id="234" w:name="_Toc504472676"/>
      <w:r>
        <w:rPr>
          <w:rFonts w:hint="eastAsia"/>
        </w:rPr>
        <w:t>电子信箱：</w:t>
      </w:r>
      <w:r>
        <w:rPr>
          <w:rFonts w:hint="eastAsia"/>
          <w:u w:val="single"/>
        </w:rPr>
        <w:t>/</w:t>
      </w:r>
      <w:r>
        <w:rPr>
          <w:u w:val="single"/>
        </w:rPr>
        <w:t xml:space="preserve">               </w:t>
      </w:r>
      <w:r>
        <w:rPr>
          <w:rFonts w:hint="eastAsia"/>
        </w:rPr>
        <w:t>；</w:t>
      </w:r>
      <w:bookmarkEnd w:id="234"/>
    </w:p>
    <w:p w14:paraId="7669B3E0">
      <w:pPr>
        <w:ind w:firstLine="420" w:firstLineChars="200"/>
        <w:jc w:val="left"/>
      </w:pPr>
      <w:bookmarkStart w:id="235" w:name="_Toc504472677"/>
      <w:r>
        <w:rPr>
          <w:rFonts w:hint="eastAsia"/>
        </w:rPr>
        <w:t>通信地址：</w:t>
      </w:r>
      <w:r>
        <w:rPr>
          <w:rFonts w:hint="eastAsia"/>
          <w:u w:val="single"/>
        </w:rPr>
        <w:t></w:t>
      </w:r>
      <w:r>
        <w:rPr>
          <w:u w:val="single"/>
        </w:rPr>
        <w:t xml:space="preserve">    </w:t>
      </w:r>
      <w:r>
        <w:rPr>
          <w:rFonts w:hint="eastAsia"/>
          <w:u w:val="single"/>
        </w:rPr>
        <w:t>/</w:t>
      </w:r>
      <w:r>
        <w:rPr>
          <w:u w:val="single"/>
        </w:rPr>
        <w:t xml:space="preserve">            </w:t>
      </w:r>
      <w:r>
        <w:rPr>
          <w:rFonts w:hint="eastAsia"/>
          <w:u w:val="single"/>
        </w:rPr>
        <w:t></w:t>
      </w:r>
      <w:r>
        <w:rPr>
          <w:rFonts w:hint="eastAsia"/>
        </w:rPr>
        <w:t>。</w:t>
      </w:r>
      <w:bookmarkEnd w:id="235"/>
    </w:p>
    <w:p w14:paraId="7E370A2F">
      <w:pPr>
        <w:ind w:firstLine="420" w:firstLineChars="200"/>
        <w:jc w:val="left"/>
      </w:pPr>
      <w:bookmarkStart w:id="236" w:name="_Toc504472678"/>
      <w:r>
        <w:t xml:space="preserve">1.1.2.5 </w:t>
      </w:r>
      <w:r>
        <w:rPr>
          <w:rFonts w:hint="eastAsia"/>
        </w:rPr>
        <w:t>设计人：</w:t>
      </w:r>
      <w:bookmarkEnd w:id="236"/>
    </w:p>
    <w:p w14:paraId="1D707DE8">
      <w:pPr>
        <w:ind w:firstLine="420" w:firstLineChars="200"/>
        <w:jc w:val="left"/>
      </w:pPr>
      <w:bookmarkStart w:id="237" w:name="_Toc504472679"/>
      <w:r>
        <w:rPr>
          <w:rFonts w:hint="eastAsia"/>
        </w:rPr>
        <w:t>名称：</w:t>
      </w:r>
      <w:r>
        <w:rPr>
          <w:rFonts w:hint="eastAsia"/>
          <w:u w:val="single"/>
        </w:rPr>
        <w:t>/</w:t>
      </w:r>
      <w:r>
        <w:rPr>
          <w:u w:val="single"/>
        </w:rPr>
        <w:t xml:space="preserve">    </w:t>
      </w:r>
      <w:r>
        <w:rPr>
          <w:rFonts w:hint="eastAsia"/>
        </w:rPr>
        <w:t>；</w:t>
      </w:r>
      <w:bookmarkEnd w:id="237"/>
    </w:p>
    <w:p w14:paraId="463AB726">
      <w:pPr>
        <w:ind w:firstLine="420" w:firstLineChars="200"/>
        <w:jc w:val="left"/>
      </w:pPr>
      <w:bookmarkStart w:id="238" w:name="_Toc504472680"/>
      <w:r>
        <w:rPr>
          <w:rFonts w:hint="eastAsia"/>
        </w:rPr>
        <w:t>资质类别和等级：</w:t>
      </w:r>
      <w:r>
        <w:rPr>
          <w:rFonts w:hint="eastAsia"/>
          <w:u w:val="single"/>
        </w:rPr>
        <w:t>/</w:t>
      </w:r>
      <w:r>
        <w:rPr>
          <w:u w:val="single"/>
        </w:rPr>
        <w:t xml:space="preserve"> </w:t>
      </w:r>
      <w:r>
        <w:rPr>
          <w:rFonts w:hint="eastAsia"/>
          <w:u w:val="single"/>
        </w:rPr>
        <w:t></w:t>
      </w:r>
      <w:r>
        <w:rPr>
          <w:rFonts w:hint="eastAsia"/>
        </w:rPr>
        <w:t>；</w:t>
      </w:r>
      <w:bookmarkEnd w:id="238"/>
    </w:p>
    <w:p w14:paraId="05B9F8AF">
      <w:pPr>
        <w:ind w:firstLine="420" w:firstLineChars="200"/>
        <w:jc w:val="left"/>
      </w:pPr>
      <w:bookmarkStart w:id="239" w:name="_Toc504472681"/>
      <w:r>
        <w:rPr>
          <w:rFonts w:hint="eastAsia"/>
        </w:rPr>
        <w:t>联系电话：</w:t>
      </w:r>
      <w:r>
        <w:rPr>
          <w:rFonts w:hint="eastAsia"/>
          <w:u w:val="single"/>
        </w:rPr>
        <w:t>/</w:t>
      </w:r>
      <w:r>
        <w:rPr>
          <w:u w:val="single"/>
        </w:rPr>
        <w:t xml:space="preserve">      </w:t>
      </w:r>
      <w:r>
        <w:rPr>
          <w:rFonts w:hint="eastAsia"/>
          <w:u w:val="single"/>
        </w:rPr>
        <w:t></w:t>
      </w:r>
      <w:r>
        <w:rPr>
          <w:rFonts w:hint="eastAsia"/>
        </w:rPr>
        <w:t>；</w:t>
      </w:r>
      <w:bookmarkEnd w:id="239"/>
    </w:p>
    <w:p w14:paraId="602CAAA0">
      <w:pPr>
        <w:ind w:firstLine="420" w:firstLineChars="200"/>
        <w:jc w:val="left"/>
      </w:pPr>
      <w:bookmarkStart w:id="240" w:name="_Toc504472682"/>
      <w:r>
        <w:rPr>
          <w:rFonts w:hint="eastAsia"/>
        </w:rPr>
        <w:t>电子信箱：</w:t>
      </w:r>
      <w:r>
        <w:rPr>
          <w:rFonts w:hint="eastAsia"/>
          <w:u w:val="single"/>
        </w:rPr>
        <w:t>/</w:t>
      </w:r>
      <w:r>
        <w:rPr>
          <w:u w:val="single"/>
        </w:rPr>
        <w:t xml:space="preserve">               </w:t>
      </w:r>
      <w:r>
        <w:rPr>
          <w:rFonts w:hint="eastAsia"/>
          <w:u w:val="single"/>
        </w:rPr>
        <w:t></w:t>
      </w:r>
      <w:r>
        <w:rPr>
          <w:rFonts w:hint="eastAsia"/>
        </w:rPr>
        <w:t>；</w:t>
      </w:r>
      <w:bookmarkEnd w:id="240"/>
    </w:p>
    <w:p w14:paraId="27358789">
      <w:pPr>
        <w:ind w:firstLine="420" w:firstLineChars="200"/>
        <w:jc w:val="left"/>
      </w:pPr>
      <w:bookmarkStart w:id="241" w:name="_Toc504472683"/>
      <w:r>
        <w:rPr>
          <w:rFonts w:hint="eastAsia"/>
        </w:rPr>
        <w:t>通信地址：</w:t>
      </w:r>
      <w:r>
        <w:rPr>
          <w:rFonts w:hint="eastAsia"/>
          <w:u w:val="single"/>
        </w:rPr>
        <w:t></w:t>
      </w:r>
      <w:r>
        <w:rPr>
          <w:u w:val="single"/>
        </w:rPr>
        <w:t xml:space="preserve">    </w:t>
      </w:r>
      <w:r>
        <w:rPr>
          <w:rFonts w:hint="eastAsia"/>
          <w:u w:val="single"/>
        </w:rPr>
        <w:t>/</w:t>
      </w:r>
      <w:r>
        <w:rPr>
          <w:u w:val="single"/>
        </w:rPr>
        <w:t xml:space="preserve">            </w:t>
      </w:r>
      <w:r>
        <w:rPr>
          <w:rFonts w:hint="eastAsia"/>
          <w:u w:val="single"/>
        </w:rPr>
        <w:t></w:t>
      </w:r>
      <w:r>
        <w:rPr>
          <w:rFonts w:hint="eastAsia"/>
        </w:rPr>
        <w:t>。</w:t>
      </w:r>
      <w:bookmarkEnd w:id="241"/>
    </w:p>
    <w:p w14:paraId="0CD4821C">
      <w:pPr>
        <w:ind w:firstLine="420" w:firstLineChars="200"/>
        <w:jc w:val="left"/>
      </w:pPr>
      <w:bookmarkStart w:id="242" w:name="_Toc504472684"/>
      <w:r>
        <w:t>1.1.3</w:t>
      </w:r>
      <w:r>
        <w:rPr>
          <w:rFonts w:hint="eastAsia"/>
        </w:rPr>
        <w:t>工程和设备</w:t>
      </w:r>
      <w:bookmarkEnd w:id="242"/>
    </w:p>
    <w:p w14:paraId="23C0BBCF">
      <w:pPr>
        <w:ind w:firstLine="420" w:firstLineChars="200"/>
        <w:jc w:val="left"/>
      </w:pPr>
      <w:bookmarkStart w:id="243" w:name="_Toc504472685"/>
      <w:r>
        <w:t xml:space="preserve">1.1.3.7 </w:t>
      </w:r>
      <w:r>
        <w:rPr>
          <w:rFonts w:hint="eastAsia"/>
        </w:rPr>
        <w:t>作为施工现场组成部分的其他场所包括：</w:t>
      </w:r>
      <w:r>
        <w:rPr>
          <w:rFonts w:hint="eastAsia"/>
          <w:u w:val="single"/>
        </w:rPr>
        <w:t xml:space="preserve">   无</w:t>
      </w:r>
      <w:r>
        <w:rPr>
          <w:u w:val="single"/>
        </w:rPr>
        <w:t xml:space="preserve">  </w:t>
      </w:r>
      <w:r>
        <w:rPr>
          <w:rFonts w:hint="eastAsia"/>
        </w:rPr>
        <w:t>。</w:t>
      </w:r>
      <w:bookmarkEnd w:id="243"/>
    </w:p>
    <w:p w14:paraId="650F4240">
      <w:pPr>
        <w:ind w:firstLine="420" w:firstLineChars="200"/>
        <w:jc w:val="left"/>
      </w:pPr>
      <w:bookmarkStart w:id="244" w:name="_Toc504472686"/>
      <w:r>
        <w:t xml:space="preserve">1.1.3.9 </w:t>
      </w:r>
      <w:r>
        <w:rPr>
          <w:rFonts w:hint="eastAsia"/>
        </w:rPr>
        <w:t>永久占地包括：</w:t>
      </w:r>
      <w:r>
        <w:rPr>
          <w:u w:val="single"/>
        </w:rPr>
        <w:t xml:space="preserve">                  </w:t>
      </w:r>
      <w:r>
        <w:rPr>
          <w:rFonts w:hint="eastAsia"/>
          <w:u w:val="single"/>
        </w:rPr>
        <w:t></w:t>
      </w:r>
      <w:r>
        <w:rPr>
          <w:u w:val="single"/>
        </w:rPr>
        <w:t xml:space="preserve">      </w:t>
      </w:r>
      <w:r>
        <w:rPr>
          <w:rFonts w:hint="eastAsia"/>
        </w:rPr>
        <w:t>。</w:t>
      </w:r>
      <w:bookmarkEnd w:id="244"/>
    </w:p>
    <w:p w14:paraId="704E42E1">
      <w:pPr>
        <w:ind w:firstLine="420" w:firstLineChars="200"/>
        <w:jc w:val="left"/>
      </w:pPr>
      <w:bookmarkStart w:id="245" w:name="_Toc504472687"/>
      <w:r>
        <w:t xml:space="preserve">1.1.3.10 </w:t>
      </w:r>
      <w:r>
        <w:rPr>
          <w:rFonts w:hint="eastAsia"/>
        </w:rPr>
        <w:t>临时占地包括：</w:t>
      </w:r>
      <w:r>
        <w:rPr>
          <w:rFonts w:hint="eastAsia"/>
          <w:u w:val="single"/>
        </w:rPr>
        <w:t>①采购人进行专业分包工程的专业分承包单位的临时用地及材料设备堆场；②其他临时占地等。</w:t>
      </w:r>
      <w:bookmarkEnd w:id="245"/>
    </w:p>
    <w:p w14:paraId="00E4F68B">
      <w:pPr>
        <w:ind w:firstLine="420" w:firstLineChars="200"/>
        <w:jc w:val="left"/>
      </w:pPr>
      <w:bookmarkStart w:id="246" w:name="_Toc504472688"/>
      <w:r>
        <w:t>1.3</w:t>
      </w:r>
      <w:r>
        <w:rPr>
          <w:rFonts w:hint="eastAsia"/>
        </w:rPr>
        <w:t>法律</w:t>
      </w:r>
      <w:bookmarkEnd w:id="246"/>
    </w:p>
    <w:p w14:paraId="27DA30C4">
      <w:pPr>
        <w:ind w:firstLine="420" w:firstLineChars="200"/>
        <w:jc w:val="left"/>
      </w:pPr>
      <w:bookmarkStart w:id="247" w:name="_Toc504472689"/>
      <w:r>
        <w:rPr>
          <w:rFonts w:hint="eastAsia"/>
        </w:rPr>
        <w:t>适用于合同的其他规范性文件：</w:t>
      </w:r>
      <w:bookmarkEnd w:id="247"/>
      <w:r>
        <w:rPr>
          <w:rFonts w:hint="eastAsia"/>
          <w:u w:val="single"/>
        </w:rPr>
        <w:t>《中华人民共和国民法典》、《中华人民共和国建筑法》、《中华人民共和国安全生产法》《建筑工程质量管理条例》、《建筑工程安全生产管理条例》《新疆维吾尔自治区建筑市场管理条例》等国家法规及自治区和地方的有关规定。</w:t>
      </w:r>
    </w:p>
    <w:p w14:paraId="4F25B7AB">
      <w:pPr>
        <w:ind w:firstLine="420" w:firstLineChars="200"/>
        <w:jc w:val="left"/>
      </w:pPr>
      <w:bookmarkStart w:id="248" w:name="_Toc504472690"/>
      <w:r>
        <w:t xml:space="preserve">1.4 </w:t>
      </w:r>
      <w:r>
        <w:rPr>
          <w:rFonts w:hint="eastAsia"/>
        </w:rPr>
        <w:t>标准和规范</w:t>
      </w:r>
      <w:bookmarkEnd w:id="248"/>
    </w:p>
    <w:p w14:paraId="477C4960">
      <w:pPr>
        <w:ind w:firstLine="420" w:firstLineChars="200"/>
        <w:jc w:val="left"/>
      </w:pPr>
      <w:bookmarkStart w:id="249" w:name="_Toc504472691"/>
      <w:r>
        <w:t>1.4.1</w:t>
      </w:r>
      <w:r>
        <w:rPr>
          <w:rFonts w:hint="eastAsia"/>
        </w:rPr>
        <w:t>适用于工程的标准规范包括：</w:t>
      </w:r>
      <w:r>
        <w:rPr>
          <w:rFonts w:hint="eastAsia"/>
          <w:u w:val="single"/>
        </w:rPr>
        <w:t></w:t>
      </w:r>
      <w:bookmarkEnd w:id="249"/>
      <w:r>
        <w:rPr>
          <w:rFonts w:hint="eastAsia"/>
          <w:u w:val="single"/>
        </w:rPr>
        <w:t>《建设工程工程量清单计价规范》GB50500-2013、《通用安装工程工程量计算规范》GB50856-2013、专业验收规范等现行与本合同文件有关的所有法律、法规、规章,且符合工程所在地的各行政主管部门相关的管理要求。</w:t>
      </w:r>
    </w:p>
    <w:p w14:paraId="65BAEF10">
      <w:pPr>
        <w:ind w:firstLine="420" w:firstLineChars="200"/>
        <w:jc w:val="left"/>
        <w:rPr>
          <w:u w:val="single"/>
        </w:rPr>
      </w:pPr>
      <w:bookmarkStart w:id="250" w:name="_Toc504472692"/>
      <w:r>
        <w:t>1.4.2</w:t>
      </w:r>
      <w:r>
        <w:rPr>
          <w:rFonts w:hint="eastAsia"/>
        </w:rPr>
        <w:t>发包人提供国外标准、规范的名称：</w:t>
      </w:r>
      <w:r>
        <w:rPr>
          <w:rFonts w:hint="eastAsia"/>
          <w:u w:val="single"/>
        </w:rPr>
        <w:t>无</w:t>
      </w:r>
      <w:bookmarkEnd w:id="250"/>
    </w:p>
    <w:p w14:paraId="03BD6785">
      <w:pPr>
        <w:ind w:firstLine="420" w:firstLineChars="200"/>
        <w:jc w:val="left"/>
      </w:pPr>
      <w:bookmarkStart w:id="251" w:name="_Toc504472693"/>
      <w:r>
        <w:rPr>
          <w:rFonts w:hint="eastAsia"/>
        </w:rPr>
        <w:t>发包人提供国外标准、规范的份数：</w:t>
      </w:r>
      <w:r>
        <w:rPr>
          <w:rFonts w:hint="eastAsia"/>
          <w:u w:val="single"/>
        </w:rPr>
        <w:t>无</w:t>
      </w:r>
      <w:r>
        <w:rPr>
          <w:rFonts w:hint="eastAsia"/>
        </w:rPr>
        <w:t>；</w:t>
      </w:r>
      <w:bookmarkEnd w:id="251"/>
    </w:p>
    <w:p w14:paraId="72A36D5A">
      <w:pPr>
        <w:ind w:firstLine="420" w:firstLineChars="200"/>
        <w:jc w:val="left"/>
      </w:pPr>
      <w:bookmarkStart w:id="252" w:name="_Toc504472694"/>
      <w:r>
        <w:rPr>
          <w:rFonts w:hint="eastAsia"/>
        </w:rPr>
        <w:t>发包人提供国外标准、规范的名称：</w:t>
      </w:r>
      <w:r>
        <w:rPr>
          <w:rFonts w:hint="eastAsia"/>
          <w:u w:val="single"/>
        </w:rPr>
        <w:t>无</w:t>
      </w:r>
      <w:r>
        <w:rPr>
          <w:rFonts w:hint="eastAsia"/>
        </w:rPr>
        <w:t>。</w:t>
      </w:r>
      <w:bookmarkEnd w:id="252"/>
    </w:p>
    <w:p w14:paraId="01721F8A">
      <w:pPr>
        <w:ind w:firstLine="420" w:firstLineChars="200"/>
        <w:jc w:val="left"/>
      </w:pPr>
      <w:bookmarkStart w:id="253" w:name="_Toc504472695"/>
      <w:r>
        <w:t>1.4.3</w:t>
      </w:r>
      <w:r>
        <w:rPr>
          <w:rFonts w:hint="eastAsia"/>
        </w:rPr>
        <w:t>发包人对工程的技术文件准和功能要求的特殊要求：</w:t>
      </w:r>
      <w:r>
        <w:rPr>
          <w:rFonts w:hint="eastAsia"/>
          <w:u w:val="single"/>
        </w:rPr>
        <w:t>详见本竞争性磋商文件技术要求。</w:t>
      </w:r>
      <w:bookmarkEnd w:id="253"/>
    </w:p>
    <w:p w14:paraId="5CC28FE9">
      <w:pPr>
        <w:ind w:firstLine="420" w:firstLineChars="200"/>
        <w:jc w:val="left"/>
      </w:pPr>
      <w:bookmarkStart w:id="254" w:name="_Toc504472696"/>
      <w:r>
        <w:t xml:space="preserve">1.5 </w:t>
      </w:r>
      <w:r>
        <w:rPr>
          <w:rFonts w:hint="eastAsia"/>
        </w:rPr>
        <w:t>合同文件的优先顺序</w:t>
      </w:r>
      <w:bookmarkEnd w:id="254"/>
    </w:p>
    <w:p w14:paraId="1C447034">
      <w:pPr>
        <w:ind w:firstLine="420" w:firstLineChars="200"/>
        <w:jc w:val="left"/>
      </w:pPr>
      <w:bookmarkStart w:id="255" w:name="_Toc504472697"/>
      <w:r>
        <w:rPr>
          <w:rFonts w:hint="eastAsia"/>
        </w:rPr>
        <w:t>合同文件组成及优先顺序为：</w:t>
      </w:r>
      <w:r>
        <w:rPr>
          <w:rFonts w:hint="eastAsia"/>
          <w:u w:val="single"/>
        </w:rPr>
        <w:t>①本合同协议书；②成交通知书；③投标书及其附件；④专用合同条款；⑤通用合同条款；⑥图纸；⑦工程量清单；⑧其他合同文件。</w:t>
      </w:r>
      <w:bookmarkEnd w:id="255"/>
    </w:p>
    <w:p w14:paraId="0AF718B2">
      <w:pPr>
        <w:ind w:firstLine="420" w:firstLineChars="200"/>
        <w:jc w:val="left"/>
      </w:pPr>
      <w:bookmarkStart w:id="256" w:name="_Toc504472698"/>
      <w:r>
        <w:t xml:space="preserve">1.6 </w:t>
      </w:r>
      <w:r>
        <w:rPr>
          <w:rFonts w:hint="eastAsia"/>
        </w:rPr>
        <w:t>图纸和承包人文件</w:t>
      </w:r>
      <w:bookmarkEnd w:id="256"/>
      <w:r>
        <w:tab/>
      </w:r>
    </w:p>
    <w:p w14:paraId="5AB3BCFE">
      <w:pPr>
        <w:ind w:firstLine="420" w:firstLineChars="200"/>
        <w:jc w:val="left"/>
      </w:pPr>
      <w:bookmarkStart w:id="257" w:name="_Toc504472699"/>
      <w:r>
        <w:t>1.6.1</w:t>
      </w:r>
      <w:r>
        <w:rPr>
          <w:rFonts w:hint="eastAsia"/>
        </w:rPr>
        <w:t>图纸的提供</w:t>
      </w:r>
      <w:bookmarkEnd w:id="257"/>
    </w:p>
    <w:p w14:paraId="3FE35CC2">
      <w:pPr>
        <w:ind w:firstLine="420" w:firstLineChars="200"/>
        <w:jc w:val="left"/>
      </w:pPr>
      <w:bookmarkStart w:id="258" w:name="_Toc504472700"/>
      <w:r>
        <w:rPr>
          <w:rFonts w:hint="eastAsia"/>
        </w:rPr>
        <w:t>发包人向承包人提供图纸的期限：</w:t>
      </w:r>
      <w:r>
        <w:rPr>
          <w:rFonts w:hint="eastAsia"/>
          <w:u w:val="single"/>
        </w:rPr>
        <w:t></w:t>
      </w:r>
      <w:bookmarkEnd w:id="258"/>
      <w:r>
        <w:rPr>
          <w:rFonts w:hint="eastAsia"/>
          <w:u w:val="single"/>
        </w:rPr>
        <w:t xml:space="preserve">/  </w:t>
      </w:r>
    </w:p>
    <w:p w14:paraId="02A8A14C">
      <w:pPr>
        <w:ind w:firstLine="420" w:firstLineChars="200"/>
        <w:jc w:val="left"/>
      </w:pPr>
      <w:bookmarkStart w:id="259" w:name="_Toc504472701"/>
      <w:r>
        <w:rPr>
          <w:rFonts w:hint="eastAsia"/>
        </w:rPr>
        <w:t>发包人向承包人提供图纸的数量：</w:t>
      </w:r>
      <w:r>
        <w:rPr>
          <w:rFonts w:hint="eastAsia"/>
          <w:u w:val="single"/>
        </w:rPr>
        <w:t>/</w:t>
      </w:r>
      <w:bookmarkEnd w:id="259"/>
    </w:p>
    <w:p w14:paraId="5AF3C53D">
      <w:pPr>
        <w:ind w:firstLine="420" w:firstLineChars="200"/>
        <w:jc w:val="left"/>
      </w:pPr>
      <w:bookmarkStart w:id="260" w:name="_Toc504472702"/>
      <w:r>
        <w:rPr>
          <w:rFonts w:hint="eastAsia"/>
        </w:rPr>
        <w:t>发包人向承包人提供图纸的内容：</w:t>
      </w:r>
      <w:r>
        <w:rPr>
          <w:rFonts w:hint="eastAsia"/>
          <w:u w:val="single"/>
        </w:rPr>
        <w:t></w:t>
      </w:r>
      <w:bookmarkEnd w:id="260"/>
      <w:r>
        <w:rPr>
          <w:rFonts w:hint="eastAsia"/>
          <w:u w:val="single"/>
        </w:rPr>
        <w:t xml:space="preserve">/  </w:t>
      </w:r>
    </w:p>
    <w:p w14:paraId="0ACFECD6">
      <w:pPr>
        <w:ind w:firstLine="420" w:firstLineChars="200"/>
        <w:jc w:val="left"/>
      </w:pPr>
      <w:bookmarkStart w:id="261" w:name="_Toc504472703"/>
      <w:r>
        <w:t>1.6.4</w:t>
      </w:r>
      <w:r>
        <w:rPr>
          <w:rFonts w:hint="eastAsia"/>
        </w:rPr>
        <w:t>承包人文件</w:t>
      </w:r>
      <w:bookmarkEnd w:id="261"/>
    </w:p>
    <w:p w14:paraId="41DA444A">
      <w:pPr>
        <w:ind w:firstLine="420" w:firstLineChars="200"/>
        <w:jc w:val="left"/>
      </w:pPr>
      <w:bookmarkStart w:id="262" w:name="_Toc504472704"/>
      <w:r>
        <w:rPr>
          <w:rFonts w:hint="eastAsia"/>
        </w:rPr>
        <w:t>需要由承包人提供的文件，包括：</w:t>
      </w:r>
      <w:r>
        <w:rPr>
          <w:rFonts w:hint="eastAsia"/>
          <w:u w:val="single"/>
        </w:rPr>
        <w:t>施工组织设计（施工方案）、施工进度计划、安全生产保证措施、文明施工保证措施、质量生产保证措施、治安保卫措施、本项目资金使用计划、事故应急处理预案及事故处理办法。</w:t>
      </w:r>
      <w:bookmarkEnd w:id="262"/>
    </w:p>
    <w:p w14:paraId="7B5D2443">
      <w:pPr>
        <w:ind w:firstLine="420" w:firstLineChars="200"/>
        <w:jc w:val="left"/>
      </w:pPr>
      <w:bookmarkStart w:id="263" w:name="_Toc504472705"/>
      <w:r>
        <w:rPr>
          <w:rFonts w:hint="eastAsia"/>
        </w:rPr>
        <w:t>承包人提供的文件的期限为：</w:t>
      </w:r>
      <w:r>
        <w:rPr>
          <w:rFonts w:hint="eastAsia"/>
          <w:u w:val="single"/>
        </w:rPr>
        <w:t>开工前7天提供。</w:t>
      </w:r>
      <w:r>
        <w:rPr>
          <w:rFonts w:hint="eastAsia"/>
        </w:rPr>
        <w:t>；</w:t>
      </w:r>
      <w:bookmarkEnd w:id="263"/>
    </w:p>
    <w:p w14:paraId="16218799">
      <w:pPr>
        <w:ind w:firstLine="420" w:firstLineChars="200"/>
        <w:jc w:val="left"/>
      </w:pPr>
      <w:bookmarkStart w:id="264" w:name="_Toc504472706"/>
      <w:r>
        <w:rPr>
          <w:rFonts w:hint="eastAsia"/>
        </w:rPr>
        <w:t>承包人提供的文件的数量为：</w:t>
      </w:r>
      <w:r>
        <w:rPr>
          <w:rFonts w:hint="eastAsia"/>
          <w:u w:val="single"/>
        </w:rPr>
        <w:t>三份。</w:t>
      </w:r>
      <w:r>
        <w:rPr>
          <w:rFonts w:hint="eastAsia"/>
        </w:rPr>
        <w:t>；</w:t>
      </w:r>
      <w:bookmarkEnd w:id="264"/>
    </w:p>
    <w:p w14:paraId="3360ADC7">
      <w:pPr>
        <w:ind w:firstLine="420" w:firstLineChars="200"/>
        <w:jc w:val="left"/>
      </w:pPr>
      <w:bookmarkStart w:id="265" w:name="_Toc504472707"/>
      <w:r>
        <w:rPr>
          <w:rFonts w:hint="eastAsia"/>
        </w:rPr>
        <w:t>承包人提供的文件的形式为：</w:t>
      </w:r>
      <w:r>
        <w:rPr>
          <w:rFonts w:hint="eastAsia"/>
          <w:u w:val="single"/>
        </w:rPr>
        <w:t>书面和电子本文件（书面文件2套，电子文件3套）</w:t>
      </w:r>
      <w:r>
        <w:rPr>
          <w:rFonts w:hint="eastAsia"/>
        </w:rPr>
        <w:t>；</w:t>
      </w:r>
      <w:bookmarkEnd w:id="265"/>
    </w:p>
    <w:p w14:paraId="23ACA231">
      <w:pPr>
        <w:ind w:firstLine="420" w:firstLineChars="200"/>
        <w:jc w:val="left"/>
      </w:pPr>
      <w:bookmarkStart w:id="266" w:name="_Toc504472708"/>
      <w:r>
        <w:rPr>
          <w:rFonts w:hint="eastAsia"/>
        </w:rPr>
        <w:t>发包人审批承包人文件的期限：</w:t>
      </w:r>
      <w:r>
        <w:rPr>
          <w:rFonts w:hint="eastAsia"/>
          <w:u w:val="single"/>
        </w:rPr>
        <w:t>开工前三日审批</w:t>
      </w:r>
      <w:r>
        <w:rPr>
          <w:rFonts w:hint="eastAsia"/>
        </w:rPr>
        <w:t>。</w:t>
      </w:r>
      <w:bookmarkEnd w:id="266"/>
    </w:p>
    <w:p w14:paraId="613C7BB3">
      <w:pPr>
        <w:ind w:firstLine="420" w:firstLineChars="200"/>
        <w:jc w:val="left"/>
      </w:pPr>
      <w:bookmarkStart w:id="267" w:name="_Toc504472709"/>
      <w:r>
        <w:t>1.6.5</w:t>
      </w:r>
      <w:r>
        <w:rPr>
          <w:rFonts w:hint="eastAsia"/>
        </w:rPr>
        <w:t>现场图纸准备</w:t>
      </w:r>
      <w:bookmarkEnd w:id="267"/>
    </w:p>
    <w:p w14:paraId="6E2AB849">
      <w:pPr>
        <w:ind w:firstLine="420" w:firstLineChars="200"/>
        <w:jc w:val="left"/>
      </w:pPr>
      <w:bookmarkStart w:id="268" w:name="_Toc504472710"/>
      <w:r>
        <w:rPr>
          <w:rFonts w:hint="eastAsia"/>
        </w:rPr>
        <w:t>关于现场图纸准备的约定：</w:t>
      </w:r>
      <w:r>
        <w:rPr>
          <w:rFonts w:hint="eastAsia"/>
          <w:u w:val="single"/>
        </w:rPr>
        <w:t>/ 。</w:t>
      </w:r>
      <w:bookmarkEnd w:id="268"/>
    </w:p>
    <w:p w14:paraId="345ED5B6">
      <w:pPr>
        <w:ind w:firstLine="420" w:firstLineChars="200"/>
        <w:jc w:val="left"/>
      </w:pPr>
      <w:bookmarkStart w:id="269" w:name="_Toc504472711"/>
      <w:r>
        <w:t xml:space="preserve">1.7 </w:t>
      </w:r>
      <w:r>
        <w:rPr>
          <w:rFonts w:hint="eastAsia"/>
        </w:rPr>
        <w:t>联络</w:t>
      </w:r>
      <w:bookmarkEnd w:id="269"/>
    </w:p>
    <w:p w14:paraId="00E8C047">
      <w:pPr>
        <w:ind w:firstLine="420" w:firstLineChars="200"/>
        <w:jc w:val="left"/>
      </w:pPr>
      <w:bookmarkStart w:id="270" w:name="_Toc504472712"/>
      <w:r>
        <w:t>1.7.1</w:t>
      </w:r>
      <w:r>
        <w:rPr>
          <w:rFonts w:hint="eastAsia"/>
        </w:rPr>
        <w:t>发包人和承包人应当在</w:t>
      </w:r>
      <w:r>
        <w:rPr>
          <w:rFonts w:hint="eastAsia"/>
          <w:u w:val="single"/>
        </w:rPr>
        <w:t xml:space="preserve">/ </w:t>
      </w:r>
      <w:r>
        <w:rPr>
          <w:rFonts w:hint="eastAsia"/>
        </w:rPr>
        <w:t>天内将与合同有关的通知、批准、证明、证书、指示、指令、要求、请求、同意、意见、确定和决定等书面函件送达对方当事人。</w:t>
      </w:r>
      <w:bookmarkEnd w:id="270"/>
    </w:p>
    <w:p w14:paraId="5EC5AEC8">
      <w:pPr>
        <w:ind w:firstLine="420" w:firstLineChars="200"/>
        <w:jc w:val="left"/>
      </w:pPr>
      <w:bookmarkStart w:id="271" w:name="_Toc504472713"/>
      <w:r>
        <w:t>1.7.2</w:t>
      </w:r>
      <w:r>
        <w:rPr>
          <w:rFonts w:hint="eastAsia"/>
        </w:rPr>
        <w:t>发包人接收文件的地点：</w:t>
      </w:r>
      <w:r>
        <w:rPr>
          <w:rFonts w:hint="eastAsia"/>
          <w:u w:val="single"/>
        </w:rPr>
        <w:t>本项目施工现场</w:t>
      </w:r>
      <w:r>
        <w:rPr>
          <w:rFonts w:hint="eastAsia"/>
        </w:rPr>
        <w:t>；</w:t>
      </w:r>
      <w:bookmarkEnd w:id="271"/>
    </w:p>
    <w:p w14:paraId="7647B3E6">
      <w:pPr>
        <w:ind w:firstLine="420" w:firstLineChars="200"/>
        <w:jc w:val="left"/>
      </w:pPr>
      <w:bookmarkStart w:id="272" w:name="_Toc504472714"/>
      <w:r>
        <w:rPr>
          <w:rFonts w:hint="eastAsia"/>
        </w:rPr>
        <w:t>发包人指定的接收人为：</w:t>
      </w:r>
      <w:r>
        <w:rPr>
          <w:rFonts w:hint="eastAsia"/>
          <w:u w:val="single"/>
        </w:rPr>
        <w:t></w:t>
      </w:r>
      <w:r>
        <w:rPr>
          <w:u w:val="single"/>
        </w:rPr>
        <w:t xml:space="preserve">       </w:t>
      </w:r>
      <w:r>
        <w:rPr>
          <w:rFonts w:hint="eastAsia"/>
          <w:u w:val="single"/>
        </w:rPr>
        <w:t>/</w:t>
      </w:r>
      <w:r>
        <w:rPr>
          <w:rFonts w:hint="eastAsia"/>
        </w:rPr>
        <w:t>。</w:t>
      </w:r>
      <w:bookmarkEnd w:id="272"/>
    </w:p>
    <w:p w14:paraId="6F0FBC46">
      <w:pPr>
        <w:ind w:firstLine="420" w:firstLineChars="200"/>
        <w:jc w:val="left"/>
      </w:pPr>
      <w:bookmarkStart w:id="273" w:name="_Toc504472715"/>
      <w:r>
        <w:rPr>
          <w:rFonts w:hint="eastAsia"/>
        </w:rPr>
        <w:t>承包人接收文件的地点：</w:t>
      </w:r>
      <w:r>
        <w:rPr>
          <w:rFonts w:hint="eastAsia"/>
          <w:u w:val="single"/>
        </w:rPr>
        <w:t>本项目施工现场</w:t>
      </w:r>
      <w:r>
        <w:rPr>
          <w:rFonts w:hint="eastAsia"/>
        </w:rPr>
        <w:t>；</w:t>
      </w:r>
      <w:bookmarkEnd w:id="273"/>
    </w:p>
    <w:p w14:paraId="3A579C67">
      <w:pPr>
        <w:ind w:firstLine="420" w:firstLineChars="200"/>
        <w:jc w:val="left"/>
      </w:pPr>
      <w:bookmarkStart w:id="274" w:name="_Toc504472716"/>
      <w:r>
        <w:rPr>
          <w:rFonts w:hint="eastAsia"/>
        </w:rPr>
        <w:t>承包人指定的接收人为：</w:t>
      </w:r>
      <w:r>
        <w:rPr>
          <w:rFonts w:hint="eastAsia"/>
          <w:u w:val="single"/>
        </w:rPr>
        <w:t></w:t>
      </w:r>
      <w:r>
        <w:rPr>
          <w:u w:val="single"/>
        </w:rPr>
        <w:t xml:space="preserve">   </w:t>
      </w:r>
      <w:r>
        <w:rPr>
          <w:rFonts w:hint="eastAsia"/>
          <w:u w:val="single"/>
        </w:rPr>
        <w:t>/</w:t>
      </w:r>
      <w:r>
        <w:rPr>
          <w:rFonts w:hint="eastAsia"/>
        </w:rPr>
        <w:t>。</w:t>
      </w:r>
      <w:bookmarkEnd w:id="274"/>
    </w:p>
    <w:p w14:paraId="4C9AED96">
      <w:pPr>
        <w:ind w:firstLine="420" w:firstLineChars="200"/>
        <w:jc w:val="left"/>
      </w:pPr>
      <w:bookmarkStart w:id="275" w:name="_Toc504472717"/>
      <w:r>
        <w:rPr>
          <w:rFonts w:hint="eastAsia"/>
        </w:rPr>
        <w:t>监理人接收文件的地点：</w:t>
      </w:r>
      <w:r>
        <w:rPr>
          <w:rFonts w:hint="eastAsia"/>
          <w:u w:val="single"/>
        </w:rPr>
        <w:t>本项目施工现场</w:t>
      </w:r>
      <w:r>
        <w:rPr>
          <w:rFonts w:hint="eastAsia"/>
        </w:rPr>
        <w:t>；</w:t>
      </w:r>
      <w:bookmarkEnd w:id="275"/>
    </w:p>
    <w:p w14:paraId="02CD3C49">
      <w:pPr>
        <w:ind w:firstLine="420" w:firstLineChars="200"/>
        <w:jc w:val="left"/>
      </w:pPr>
      <w:bookmarkStart w:id="276" w:name="_Toc504472718"/>
      <w:r>
        <w:rPr>
          <w:rFonts w:hint="eastAsia"/>
        </w:rPr>
        <w:t>监理人指定的接收人为：</w:t>
      </w:r>
      <w:r>
        <w:rPr>
          <w:rFonts w:hint="eastAsia"/>
          <w:u w:val="single"/>
        </w:rPr>
        <w:t></w:t>
      </w:r>
      <w:r>
        <w:rPr>
          <w:u w:val="single"/>
        </w:rPr>
        <w:t xml:space="preserve">   </w:t>
      </w:r>
      <w:r>
        <w:rPr>
          <w:rFonts w:hint="eastAsia"/>
          <w:u w:val="single"/>
        </w:rPr>
        <w:t>/</w:t>
      </w:r>
      <w:r>
        <w:rPr>
          <w:rFonts w:hint="eastAsia"/>
        </w:rPr>
        <w:t>。</w:t>
      </w:r>
      <w:bookmarkEnd w:id="276"/>
    </w:p>
    <w:p w14:paraId="4062BBA5">
      <w:pPr>
        <w:ind w:firstLine="420" w:firstLineChars="200"/>
        <w:jc w:val="left"/>
      </w:pPr>
      <w:bookmarkStart w:id="277" w:name="_Toc504472719"/>
      <w:r>
        <w:t xml:space="preserve">1.10 </w:t>
      </w:r>
      <w:r>
        <w:rPr>
          <w:rFonts w:hint="eastAsia"/>
        </w:rPr>
        <w:t>交通运输</w:t>
      </w:r>
      <w:bookmarkEnd w:id="277"/>
    </w:p>
    <w:p w14:paraId="12BA3848">
      <w:pPr>
        <w:ind w:firstLine="420" w:firstLineChars="200"/>
        <w:jc w:val="left"/>
      </w:pPr>
      <w:bookmarkStart w:id="278" w:name="_Toc504472720"/>
      <w:r>
        <w:t>1.10.1</w:t>
      </w:r>
      <w:r>
        <w:rPr>
          <w:rFonts w:hint="eastAsia"/>
        </w:rPr>
        <w:t>出入现场的权利</w:t>
      </w:r>
      <w:bookmarkEnd w:id="278"/>
    </w:p>
    <w:p w14:paraId="6ABD34CC">
      <w:pPr>
        <w:ind w:firstLine="420" w:firstLineChars="200"/>
        <w:jc w:val="left"/>
      </w:pPr>
      <w:bookmarkStart w:id="279" w:name="_Toc504472721"/>
      <w:r>
        <w:rPr>
          <w:rFonts w:hint="eastAsia"/>
        </w:rPr>
        <w:t>关于出入现场的权利的约定：</w:t>
      </w:r>
      <w:r>
        <w:rPr>
          <w:rFonts w:hint="eastAsia"/>
          <w:u w:val="single"/>
        </w:rPr>
        <w:t>未经发承包人代表的同意，无关人员一律不得随意出入施工现场</w:t>
      </w:r>
      <w:r>
        <w:rPr>
          <w:rFonts w:hint="eastAsia"/>
        </w:rPr>
        <w:t>。</w:t>
      </w:r>
      <w:bookmarkEnd w:id="279"/>
    </w:p>
    <w:p w14:paraId="597C9A19">
      <w:pPr>
        <w:ind w:firstLine="420" w:firstLineChars="200"/>
        <w:jc w:val="left"/>
      </w:pPr>
      <w:bookmarkStart w:id="280" w:name="_Toc504472722"/>
      <w:r>
        <w:t>1.10.3</w:t>
      </w:r>
      <w:r>
        <w:rPr>
          <w:rFonts w:hint="eastAsia"/>
        </w:rPr>
        <w:t>场内交通</w:t>
      </w:r>
      <w:bookmarkEnd w:id="280"/>
    </w:p>
    <w:p w14:paraId="6A76DB58">
      <w:pPr>
        <w:ind w:firstLine="420" w:firstLineChars="200"/>
        <w:jc w:val="left"/>
      </w:pPr>
      <w:bookmarkStart w:id="281" w:name="_Toc504472723"/>
      <w:r>
        <w:rPr>
          <w:rFonts w:hint="eastAsia"/>
        </w:rPr>
        <w:t>关于场外交通和场内交通的边界的约定：</w:t>
      </w:r>
      <w:r>
        <w:rPr>
          <w:rFonts w:hint="eastAsia"/>
          <w:u w:val="single"/>
        </w:rPr>
        <w:t></w:t>
      </w:r>
      <w:r>
        <w:rPr>
          <w:rFonts w:hint="eastAsia"/>
          <w:bCs/>
          <w:u w:val="single"/>
        </w:rPr>
        <w:t>施工现场内临时道路由承包人负责建设并承担相关费用。场外交通以建筑用地范围为边界，场外交通由发包人协调解决</w:t>
      </w:r>
      <w:r>
        <w:rPr>
          <w:rFonts w:hint="eastAsia"/>
          <w:b/>
          <w:bCs/>
          <w:u w:val="single"/>
        </w:rPr>
        <w:t>。</w:t>
      </w:r>
      <w:bookmarkEnd w:id="281"/>
    </w:p>
    <w:p w14:paraId="47136C29">
      <w:pPr>
        <w:ind w:firstLine="420" w:firstLineChars="200"/>
        <w:jc w:val="left"/>
      </w:pPr>
      <w:bookmarkStart w:id="282" w:name="_Toc504472724"/>
      <w:r>
        <w:rPr>
          <w:rFonts w:hint="eastAsia"/>
        </w:rPr>
        <w:t>关于发包人向承包人免费提供满足工程施工需要的场内道路和交通设施的约定：</w:t>
      </w:r>
      <w:r>
        <w:rPr>
          <w:rFonts w:hint="eastAsia"/>
          <w:u w:val="single"/>
        </w:rPr>
        <w:t>由承包人自行解决场内施工道路和交通，并承担相关费用。</w:t>
      </w:r>
      <w:bookmarkEnd w:id="282"/>
    </w:p>
    <w:p w14:paraId="4291005D">
      <w:pPr>
        <w:ind w:firstLine="420" w:firstLineChars="200"/>
        <w:jc w:val="left"/>
      </w:pPr>
      <w:bookmarkStart w:id="283" w:name="_Toc504472725"/>
      <w:r>
        <w:t>1.10.4</w:t>
      </w:r>
      <w:r>
        <w:rPr>
          <w:rFonts w:hint="eastAsia"/>
        </w:rPr>
        <w:t>超大件和超重件的运输</w:t>
      </w:r>
      <w:bookmarkEnd w:id="283"/>
    </w:p>
    <w:p w14:paraId="15918DD4">
      <w:pPr>
        <w:ind w:firstLine="420" w:firstLineChars="200"/>
        <w:jc w:val="left"/>
      </w:pPr>
      <w:bookmarkStart w:id="284" w:name="_Toc504472726"/>
      <w:r>
        <w:rPr>
          <w:rFonts w:hint="eastAsia"/>
        </w:rPr>
        <w:t>运输超大件或超重件所需的道路和桥梁临时加固改造费用和其他有关费用由</w:t>
      </w:r>
      <w:r>
        <w:rPr>
          <w:rFonts w:hint="eastAsia"/>
          <w:u w:val="single"/>
        </w:rPr>
        <w:t>承包人自行协调解决，并承担相关费用</w:t>
      </w:r>
      <w:r>
        <w:rPr>
          <w:rFonts w:hint="eastAsia"/>
        </w:rPr>
        <w:t>。</w:t>
      </w:r>
      <w:bookmarkEnd w:id="284"/>
    </w:p>
    <w:p w14:paraId="678ACF09">
      <w:pPr>
        <w:ind w:firstLine="420" w:firstLineChars="200"/>
        <w:jc w:val="left"/>
      </w:pPr>
      <w:bookmarkStart w:id="285" w:name="_Toc504472727"/>
      <w:r>
        <w:t xml:space="preserve">1.11 </w:t>
      </w:r>
      <w:r>
        <w:rPr>
          <w:rFonts w:hint="eastAsia"/>
        </w:rPr>
        <w:t>知识产权</w:t>
      </w:r>
      <w:bookmarkEnd w:id="285"/>
    </w:p>
    <w:p w14:paraId="7A514555">
      <w:pPr>
        <w:ind w:firstLine="420" w:firstLineChars="200"/>
        <w:jc w:val="left"/>
      </w:pPr>
      <w:bookmarkStart w:id="286" w:name="_Toc504472728"/>
      <w:r>
        <w:t>1.11.1</w:t>
      </w:r>
      <w:r>
        <w:rPr>
          <w:rFonts w:hint="eastAsia"/>
        </w:rPr>
        <w:t>关于发包人提供给承包人的图纸、发包人为实施工程自行编制或委托编制的技术规范以及反映发包人关于合同要求或其他类似性质的文件的著作权的归属：</w:t>
      </w:r>
      <w:r>
        <w:rPr>
          <w:rFonts w:hint="eastAsia"/>
          <w:u w:val="single"/>
        </w:rPr>
        <w:t>/</w:t>
      </w:r>
      <w:r>
        <w:rPr>
          <w:rFonts w:hint="eastAsia"/>
        </w:rPr>
        <w:t>。</w:t>
      </w:r>
      <w:bookmarkEnd w:id="286"/>
    </w:p>
    <w:p w14:paraId="52D0E890">
      <w:pPr>
        <w:ind w:firstLine="420" w:firstLineChars="200"/>
        <w:jc w:val="left"/>
      </w:pPr>
      <w:bookmarkStart w:id="287" w:name="_Toc504472729"/>
      <w:r>
        <w:rPr>
          <w:rFonts w:hint="eastAsia"/>
        </w:rPr>
        <w:t>关于发包人提供的上述文件的使用限制的要求：</w:t>
      </w:r>
      <w:r>
        <w:rPr>
          <w:rFonts w:hint="eastAsia"/>
          <w:u w:val="single"/>
        </w:rPr>
        <w:t>/</w:t>
      </w:r>
      <w:r>
        <w:rPr>
          <w:rFonts w:hint="eastAsia"/>
        </w:rPr>
        <w:t>。</w:t>
      </w:r>
      <w:bookmarkEnd w:id="287"/>
    </w:p>
    <w:p w14:paraId="4A360ACB">
      <w:pPr>
        <w:ind w:firstLine="420" w:firstLineChars="200"/>
        <w:jc w:val="left"/>
      </w:pPr>
      <w:bookmarkStart w:id="288" w:name="_Toc504472730"/>
      <w:r>
        <w:t>1.11.2</w:t>
      </w:r>
      <w:r>
        <w:rPr>
          <w:rFonts w:hint="eastAsia"/>
        </w:rPr>
        <w:t>关于承包人为实施工程所编制文件的著作权的归属：</w:t>
      </w:r>
      <w:r>
        <w:rPr>
          <w:rFonts w:hint="eastAsia"/>
          <w:u w:val="single"/>
        </w:rPr>
        <w:t>/</w:t>
      </w:r>
      <w:r>
        <w:rPr>
          <w:u w:val="single"/>
        </w:rPr>
        <w:t xml:space="preserve">   </w:t>
      </w:r>
      <w:r>
        <w:rPr>
          <w:rFonts w:hint="eastAsia"/>
        </w:rPr>
        <w:t>。</w:t>
      </w:r>
      <w:bookmarkEnd w:id="288"/>
    </w:p>
    <w:p w14:paraId="3ECC90DE">
      <w:pPr>
        <w:ind w:firstLine="420" w:firstLineChars="200"/>
        <w:jc w:val="left"/>
      </w:pPr>
      <w:bookmarkStart w:id="289" w:name="_Toc504472731"/>
      <w:r>
        <w:rPr>
          <w:rFonts w:hint="eastAsia"/>
        </w:rPr>
        <w:t>关于承包人提供的上述文件的使用限制的要求：</w:t>
      </w:r>
      <w:r>
        <w:rPr>
          <w:rFonts w:hint="eastAsia"/>
          <w:u w:val="single"/>
        </w:rPr>
        <w:t>/</w:t>
      </w:r>
      <w:r>
        <w:rPr>
          <w:rFonts w:hint="eastAsia"/>
        </w:rPr>
        <w:t>。</w:t>
      </w:r>
      <w:bookmarkEnd w:id="289"/>
    </w:p>
    <w:p w14:paraId="6D93BDFF">
      <w:pPr>
        <w:ind w:firstLine="420" w:firstLineChars="200"/>
        <w:jc w:val="left"/>
      </w:pPr>
      <w:bookmarkStart w:id="290" w:name="_Toc504472732"/>
      <w:r>
        <w:t>1.11.4</w:t>
      </w:r>
      <w:r>
        <w:rPr>
          <w:rFonts w:hint="eastAsia"/>
        </w:rPr>
        <w:t>承包人在施工过程中所采用的专利、专有技术、技术秘密的使用费的承担方式：</w:t>
      </w:r>
      <w:r>
        <w:rPr>
          <w:rFonts w:hint="eastAsia"/>
          <w:u w:val="single"/>
        </w:rPr>
        <w:t>由承包人负责，并承担相关费用。</w:t>
      </w:r>
      <w:bookmarkEnd w:id="290"/>
    </w:p>
    <w:p w14:paraId="7277C7A7">
      <w:pPr>
        <w:ind w:firstLine="420" w:firstLineChars="200"/>
        <w:jc w:val="left"/>
      </w:pPr>
      <w:bookmarkStart w:id="291" w:name="_Toc504472733"/>
      <w:r>
        <w:t>1.13</w:t>
      </w:r>
      <w:r>
        <w:rPr>
          <w:rFonts w:hint="eastAsia"/>
        </w:rPr>
        <w:t>工程量清单错误的修正</w:t>
      </w:r>
      <w:bookmarkEnd w:id="291"/>
    </w:p>
    <w:p w14:paraId="16838992">
      <w:pPr>
        <w:ind w:firstLine="420" w:firstLineChars="200"/>
        <w:jc w:val="left"/>
        <w:rPr>
          <w:bCs/>
          <w:u w:val="single"/>
        </w:rPr>
      </w:pPr>
      <w:bookmarkStart w:id="292" w:name="_Toc504472734"/>
      <w:r>
        <w:rPr>
          <w:rFonts w:hint="eastAsia"/>
          <w:bCs/>
        </w:rPr>
        <w:t>出现工程量清单错误时，是否调整合同价格：</w:t>
      </w:r>
      <w:r>
        <w:rPr>
          <w:rFonts w:hint="eastAsia"/>
          <w:bCs/>
          <w:u w:val="single"/>
        </w:rPr>
        <w:t>可调整合同总价</w:t>
      </w:r>
      <w:r>
        <w:rPr>
          <w:bCs/>
          <w:u w:val="single"/>
        </w:rPr>
        <w:t xml:space="preserve">  </w:t>
      </w:r>
      <w:r>
        <w:rPr>
          <w:rFonts w:hint="eastAsia"/>
          <w:bCs/>
          <w:u w:val="single"/>
        </w:rPr>
        <w:t>。</w:t>
      </w:r>
      <w:bookmarkEnd w:id="292"/>
    </w:p>
    <w:p w14:paraId="4E9EB04C">
      <w:pPr>
        <w:ind w:firstLine="420" w:firstLineChars="200"/>
        <w:jc w:val="left"/>
        <w:rPr>
          <w:bCs/>
          <w:u w:val="single"/>
        </w:rPr>
      </w:pPr>
      <w:bookmarkStart w:id="293" w:name="_Toc504472735"/>
      <w:r>
        <w:rPr>
          <w:rFonts w:hint="eastAsia"/>
          <w:bCs/>
        </w:rPr>
        <w:t>允许调整合同价格的工程量偏差范围：</w:t>
      </w:r>
      <w:r>
        <w:rPr>
          <w:rFonts w:hint="eastAsia"/>
          <w:bCs/>
          <w:u w:val="single"/>
        </w:rPr>
        <w:t>（1）工程量清单存在缺项、漏项的；（2）工程量清单存在偏差的；均按实际发生进行调整。</w:t>
      </w:r>
      <w:bookmarkEnd w:id="293"/>
    </w:p>
    <w:p w14:paraId="3799CF82">
      <w:pPr>
        <w:ind w:firstLine="422" w:firstLineChars="200"/>
        <w:jc w:val="left"/>
        <w:rPr>
          <w:b/>
          <w:bCs/>
        </w:rPr>
      </w:pPr>
      <w:bookmarkStart w:id="294" w:name="_Toc504472736"/>
      <w:r>
        <w:rPr>
          <w:b/>
          <w:bCs/>
        </w:rPr>
        <w:t xml:space="preserve">2. </w:t>
      </w:r>
      <w:r>
        <w:rPr>
          <w:rFonts w:hint="eastAsia"/>
          <w:b/>
          <w:bCs/>
        </w:rPr>
        <w:t>发包人</w:t>
      </w:r>
      <w:bookmarkEnd w:id="294"/>
    </w:p>
    <w:p w14:paraId="68080327">
      <w:pPr>
        <w:ind w:firstLine="420" w:firstLineChars="200"/>
        <w:jc w:val="left"/>
      </w:pPr>
      <w:bookmarkStart w:id="295" w:name="_Toc504472737"/>
      <w:r>
        <w:t xml:space="preserve">2.2 </w:t>
      </w:r>
      <w:r>
        <w:rPr>
          <w:rFonts w:hint="eastAsia"/>
        </w:rPr>
        <w:t>发包人代表</w:t>
      </w:r>
      <w:bookmarkEnd w:id="295"/>
    </w:p>
    <w:p w14:paraId="12E1C6C6">
      <w:pPr>
        <w:ind w:firstLine="420" w:firstLineChars="200"/>
        <w:jc w:val="left"/>
      </w:pPr>
      <w:bookmarkStart w:id="296" w:name="_Toc504472738"/>
      <w:r>
        <w:rPr>
          <w:rFonts w:hint="eastAsia"/>
        </w:rPr>
        <w:t>发包人代表：</w:t>
      </w:r>
      <w:bookmarkEnd w:id="296"/>
    </w:p>
    <w:p w14:paraId="484EA3D9">
      <w:pPr>
        <w:ind w:firstLine="420" w:firstLineChars="200"/>
        <w:jc w:val="left"/>
      </w:pPr>
      <w:bookmarkStart w:id="297" w:name="_Toc504472739"/>
      <w:r>
        <w:rPr>
          <w:rFonts w:hint="eastAsia"/>
        </w:rPr>
        <w:t>姓名：</w:t>
      </w:r>
      <w:r>
        <w:rPr>
          <w:rFonts w:hint="eastAsia"/>
          <w:u w:val="single"/>
        </w:rPr>
        <w:t>/</w:t>
      </w:r>
      <w:r>
        <w:rPr>
          <w:u w:val="single"/>
        </w:rPr>
        <w:t xml:space="preserve">   </w:t>
      </w:r>
      <w:r>
        <w:rPr>
          <w:rFonts w:hint="eastAsia"/>
          <w:u w:val="single"/>
        </w:rPr>
        <w:t></w:t>
      </w:r>
      <w:r>
        <w:rPr>
          <w:u w:val="single"/>
        </w:rPr>
        <w:t xml:space="preserve"> </w:t>
      </w:r>
      <w:r>
        <w:rPr>
          <w:rFonts w:hint="eastAsia"/>
        </w:rPr>
        <w:t>；</w:t>
      </w:r>
      <w:bookmarkEnd w:id="297"/>
    </w:p>
    <w:p w14:paraId="4E97E1C3">
      <w:pPr>
        <w:ind w:firstLine="420" w:firstLineChars="200"/>
        <w:jc w:val="left"/>
      </w:pPr>
      <w:bookmarkStart w:id="298" w:name="_Toc504472740"/>
      <w:r>
        <w:rPr>
          <w:rFonts w:hint="eastAsia"/>
        </w:rPr>
        <w:t>身份证号：</w:t>
      </w:r>
      <w:r>
        <w:rPr>
          <w:rFonts w:hint="eastAsia"/>
          <w:u w:val="single"/>
        </w:rPr>
        <w:t></w:t>
      </w:r>
      <w:r>
        <w:rPr>
          <w:u w:val="single"/>
        </w:rPr>
        <w:t xml:space="preserve"> </w:t>
      </w:r>
      <w:r>
        <w:rPr>
          <w:rFonts w:hint="eastAsia"/>
          <w:u w:val="single"/>
        </w:rPr>
        <w:t>/</w:t>
      </w:r>
      <w:r>
        <w:rPr>
          <w:u w:val="single"/>
        </w:rPr>
        <w:t xml:space="preserve">  </w:t>
      </w:r>
      <w:r>
        <w:rPr>
          <w:rFonts w:hint="eastAsia"/>
        </w:rPr>
        <w:t>；</w:t>
      </w:r>
      <w:bookmarkEnd w:id="298"/>
    </w:p>
    <w:p w14:paraId="5CED45ED">
      <w:pPr>
        <w:ind w:firstLine="420" w:firstLineChars="200"/>
        <w:jc w:val="left"/>
      </w:pPr>
      <w:bookmarkStart w:id="299" w:name="_Toc504472741"/>
      <w:r>
        <w:rPr>
          <w:rFonts w:hint="eastAsia"/>
        </w:rPr>
        <w:t>职务：</w:t>
      </w:r>
      <w:r>
        <w:rPr>
          <w:rFonts w:hint="eastAsia"/>
          <w:u w:val="single"/>
        </w:rPr>
        <w:t>/</w:t>
      </w:r>
      <w:r>
        <w:rPr>
          <w:u w:val="single"/>
        </w:rPr>
        <w:t xml:space="preserve">   </w:t>
      </w:r>
      <w:r>
        <w:rPr>
          <w:rFonts w:hint="eastAsia"/>
        </w:rPr>
        <w:t>；</w:t>
      </w:r>
      <w:bookmarkEnd w:id="299"/>
    </w:p>
    <w:p w14:paraId="5F1D6611">
      <w:pPr>
        <w:ind w:firstLine="420" w:firstLineChars="200"/>
        <w:jc w:val="left"/>
      </w:pPr>
      <w:bookmarkStart w:id="300" w:name="_Toc504472742"/>
      <w:r>
        <w:rPr>
          <w:rFonts w:hint="eastAsia"/>
        </w:rPr>
        <w:t>联系电话：</w:t>
      </w:r>
      <w:r>
        <w:rPr>
          <w:rFonts w:hint="eastAsia"/>
          <w:u w:val="single"/>
        </w:rPr>
        <w:t></w:t>
      </w:r>
      <w:r>
        <w:rPr>
          <w:u w:val="single"/>
        </w:rPr>
        <w:t xml:space="preserve">   </w:t>
      </w:r>
      <w:r>
        <w:rPr>
          <w:rFonts w:hint="eastAsia"/>
          <w:u w:val="single"/>
        </w:rPr>
        <w:t>/</w:t>
      </w:r>
      <w:r>
        <w:rPr>
          <w:u w:val="single"/>
        </w:rPr>
        <w:t xml:space="preserve"> </w:t>
      </w:r>
      <w:r>
        <w:rPr>
          <w:rFonts w:hint="eastAsia"/>
          <w:u w:val="single"/>
        </w:rPr>
        <w:t></w:t>
      </w:r>
      <w:r>
        <w:rPr>
          <w:u w:val="single"/>
        </w:rPr>
        <w:t xml:space="preserve"> </w:t>
      </w:r>
      <w:r>
        <w:rPr>
          <w:rFonts w:hint="eastAsia"/>
        </w:rPr>
        <w:t>；</w:t>
      </w:r>
      <w:bookmarkEnd w:id="300"/>
    </w:p>
    <w:p w14:paraId="5F1AE7EE">
      <w:pPr>
        <w:ind w:firstLine="420" w:firstLineChars="200"/>
        <w:jc w:val="left"/>
      </w:pPr>
      <w:bookmarkStart w:id="301" w:name="_Toc504472743"/>
      <w:r>
        <w:rPr>
          <w:rFonts w:hint="eastAsia"/>
        </w:rPr>
        <w:t>电子信箱：</w:t>
      </w:r>
      <w:r>
        <w:rPr>
          <w:rFonts w:hint="eastAsia"/>
          <w:u w:val="single"/>
        </w:rPr>
        <w:t></w:t>
      </w:r>
      <w:r>
        <w:rPr>
          <w:u w:val="single"/>
        </w:rPr>
        <w:t xml:space="preserve">   </w:t>
      </w:r>
      <w:r>
        <w:rPr>
          <w:rFonts w:hint="eastAsia"/>
          <w:u w:val="single"/>
        </w:rPr>
        <w:t>/</w:t>
      </w:r>
      <w:r>
        <w:rPr>
          <w:u w:val="single"/>
        </w:rPr>
        <w:t xml:space="preserve"> </w:t>
      </w:r>
      <w:r>
        <w:rPr>
          <w:rFonts w:hint="eastAsia"/>
          <w:u w:val="single"/>
        </w:rPr>
        <w:t></w:t>
      </w:r>
      <w:r>
        <w:rPr>
          <w:u w:val="single"/>
        </w:rPr>
        <w:t xml:space="preserve"> </w:t>
      </w:r>
      <w:r>
        <w:rPr>
          <w:rFonts w:hint="eastAsia"/>
        </w:rPr>
        <w:t>；</w:t>
      </w:r>
      <w:bookmarkEnd w:id="301"/>
    </w:p>
    <w:p w14:paraId="1FAC483B">
      <w:pPr>
        <w:ind w:firstLine="420" w:firstLineChars="200"/>
        <w:jc w:val="left"/>
      </w:pPr>
      <w:bookmarkStart w:id="302" w:name="_Toc504472744"/>
      <w:r>
        <w:rPr>
          <w:rFonts w:hint="eastAsia"/>
        </w:rPr>
        <w:t>通信地址：</w:t>
      </w:r>
      <w:r>
        <w:rPr>
          <w:rFonts w:hint="eastAsia"/>
          <w:u w:val="single"/>
        </w:rPr>
        <w:t>/</w:t>
      </w:r>
      <w:r>
        <w:rPr>
          <w:u w:val="single"/>
        </w:rPr>
        <w:t xml:space="preserve">   </w:t>
      </w:r>
      <w:r>
        <w:rPr>
          <w:rFonts w:hint="eastAsia"/>
        </w:rPr>
        <w:t>。</w:t>
      </w:r>
      <w:bookmarkEnd w:id="302"/>
    </w:p>
    <w:p w14:paraId="7519A8D4">
      <w:pPr>
        <w:ind w:firstLine="420" w:firstLineChars="200"/>
        <w:jc w:val="left"/>
        <w:rPr>
          <w:bCs/>
        </w:rPr>
      </w:pPr>
      <w:bookmarkStart w:id="303" w:name="_Toc504472745"/>
      <w:r>
        <w:rPr>
          <w:rFonts w:hint="eastAsia"/>
        </w:rPr>
        <w:t>发包人对发包人代表的授权范围如下：</w:t>
      </w:r>
      <w:r>
        <w:rPr>
          <w:rFonts w:hint="eastAsia"/>
          <w:bCs/>
          <w:u w:val="single"/>
        </w:rPr>
        <w:t>重大经济变更、重大设计变更、工期顺延及工程款支付。或监督检查工程施工进度及质量、负责现场有关经济技术的签证、负责各参与方协调工作。</w:t>
      </w:r>
      <w:r>
        <w:rPr>
          <w:rFonts w:hint="eastAsia"/>
          <w:u w:val="single"/>
        </w:rPr>
        <w:t>（</w:t>
      </w:r>
      <w:r>
        <w:rPr>
          <w:rFonts w:hint="eastAsia"/>
          <w:bCs/>
          <w:u w:val="single"/>
        </w:rPr>
        <w:t>对建筑工程施工全过程质量、进度、投资、安全施工进行全面控制、监督、协调和管理</w:t>
      </w:r>
      <w:r>
        <w:rPr>
          <w:rFonts w:hint="eastAsia"/>
          <w:u w:val="single"/>
        </w:rPr>
        <w:t>）</w:t>
      </w:r>
      <w:r>
        <w:rPr>
          <w:rFonts w:hint="eastAsia"/>
          <w:bCs/>
          <w:u w:val="single"/>
        </w:rPr>
        <w:t>。</w:t>
      </w:r>
      <w:bookmarkEnd w:id="303"/>
    </w:p>
    <w:p w14:paraId="3DF6E553">
      <w:pPr>
        <w:ind w:firstLine="420" w:firstLineChars="200"/>
        <w:jc w:val="left"/>
      </w:pPr>
      <w:bookmarkStart w:id="304" w:name="_Toc504472746"/>
      <w:r>
        <w:t xml:space="preserve">2.4 </w:t>
      </w:r>
      <w:r>
        <w:rPr>
          <w:rFonts w:hint="eastAsia"/>
        </w:rPr>
        <w:t>施工现场、施工条件和基础资料的提供</w:t>
      </w:r>
      <w:bookmarkEnd w:id="304"/>
    </w:p>
    <w:p w14:paraId="5287FCC2">
      <w:pPr>
        <w:ind w:firstLine="420" w:firstLineChars="200"/>
        <w:jc w:val="left"/>
      </w:pPr>
      <w:bookmarkStart w:id="305" w:name="_Toc504472747"/>
      <w:r>
        <w:t>2.4.1</w:t>
      </w:r>
      <w:r>
        <w:rPr>
          <w:rFonts w:hint="eastAsia"/>
        </w:rPr>
        <w:t>提供施工现场</w:t>
      </w:r>
      <w:bookmarkEnd w:id="305"/>
    </w:p>
    <w:p w14:paraId="5474E1E8">
      <w:pPr>
        <w:ind w:firstLine="420" w:firstLineChars="200"/>
        <w:jc w:val="left"/>
      </w:pPr>
      <w:bookmarkStart w:id="306" w:name="_Toc504472748"/>
      <w:r>
        <w:rPr>
          <w:rFonts w:hint="eastAsia"/>
        </w:rPr>
        <w:t>关于发包人移交施工现场的期限要求：</w:t>
      </w:r>
      <w:r>
        <w:rPr>
          <w:rFonts w:hint="eastAsia"/>
          <w:u w:val="single"/>
        </w:rPr>
        <w:t>开工前3天内提供</w:t>
      </w:r>
      <w:r>
        <w:rPr>
          <w:rFonts w:hint="eastAsia"/>
        </w:rPr>
        <w:t>。</w:t>
      </w:r>
      <w:bookmarkEnd w:id="306"/>
    </w:p>
    <w:p w14:paraId="21508471">
      <w:pPr>
        <w:ind w:firstLine="420" w:firstLineChars="200"/>
        <w:jc w:val="left"/>
      </w:pPr>
      <w:bookmarkStart w:id="307" w:name="_Toc504472749"/>
      <w:r>
        <w:t>2.4.2</w:t>
      </w:r>
      <w:r>
        <w:rPr>
          <w:rFonts w:hint="eastAsia"/>
        </w:rPr>
        <w:t>提供施工条件</w:t>
      </w:r>
      <w:bookmarkEnd w:id="307"/>
    </w:p>
    <w:p w14:paraId="433C5114">
      <w:pPr>
        <w:ind w:firstLine="420" w:firstLineChars="200"/>
        <w:jc w:val="left"/>
        <w:rPr>
          <w:u w:val="single"/>
        </w:rPr>
      </w:pPr>
      <w:bookmarkStart w:id="308" w:name="_Toc504472750"/>
      <w:r>
        <w:rPr>
          <w:rFonts w:hint="eastAsia"/>
        </w:rPr>
        <w:t>关于发包人应负责提供施工所需要的条件，包括：</w:t>
      </w:r>
      <w:r>
        <w:rPr>
          <w:rFonts w:hint="eastAsia"/>
          <w:bCs/>
          <w:u w:val="single"/>
        </w:rPr>
        <w:t>发包人接通施工电源、水源至指定位置。承包人进场后，由监理人和发包人组织向承包人以书面形式移交水准点与座标控制点，并进行现场交验</w:t>
      </w:r>
      <w:r>
        <w:rPr>
          <w:rFonts w:hint="eastAsia"/>
        </w:rPr>
        <w:t>。</w:t>
      </w:r>
      <w:bookmarkEnd w:id="308"/>
    </w:p>
    <w:p w14:paraId="247380FF">
      <w:pPr>
        <w:ind w:firstLine="420" w:firstLineChars="200"/>
        <w:jc w:val="left"/>
      </w:pPr>
      <w:bookmarkStart w:id="309" w:name="_Toc504472751"/>
      <w:r>
        <w:t xml:space="preserve">2.5 </w:t>
      </w:r>
      <w:r>
        <w:rPr>
          <w:rFonts w:hint="eastAsia"/>
        </w:rPr>
        <w:t>资金来源证明及支付担保</w:t>
      </w:r>
      <w:bookmarkEnd w:id="309"/>
    </w:p>
    <w:p w14:paraId="2F209668">
      <w:pPr>
        <w:ind w:firstLine="420" w:firstLineChars="200"/>
        <w:jc w:val="left"/>
      </w:pPr>
      <w:bookmarkStart w:id="310" w:name="_Toc504472752"/>
      <w:r>
        <w:rPr>
          <w:rFonts w:hint="eastAsia"/>
        </w:rPr>
        <w:t>发包人提供资金来源证明的期限要求：</w:t>
      </w:r>
      <w:r>
        <w:rPr>
          <w:rFonts w:hint="eastAsia"/>
          <w:u w:val="single"/>
        </w:rPr>
        <w:t xml:space="preserve">/  </w:t>
      </w:r>
      <w:r>
        <w:rPr>
          <w:rFonts w:hint="eastAsia"/>
        </w:rPr>
        <w:t>。</w:t>
      </w:r>
      <w:bookmarkEnd w:id="310"/>
    </w:p>
    <w:p w14:paraId="4363E674">
      <w:pPr>
        <w:ind w:firstLine="420" w:firstLineChars="200"/>
        <w:jc w:val="left"/>
      </w:pPr>
      <w:bookmarkStart w:id="311" w:name="_Toc504472753"/>
      <w:r>
        <w:rPr>
          <w:rFonts w:hint="eastAsia"/>
        </w:rPr>
        <w:t>发包人是否提供支付担保：</w:t>
      </w:r>
      <w:r>
        <w:rPr>
          <w:rFonts w:hint="eastAsia"/>
          <w:u w:val="single"/>
        </w:rPr>
        <w:t>/</w:t>
      </w:r>
      <w:r>
        <w:rPr>
          <w:u w:val="single"/>
        </w:rPr>
        <w:t xml:space="preserve">              </w:t>
      </w:r>
      <w:r>
        <w:rPr>
          <w:rFonts w:hint="eastAsia"/>
        </w:rPr>
        <w:t>。</w:t>
      </w:r>
      <w:bookmarkEnd w:id="311"/>
    </w:p>
    <w:p w14:paraId="571FC009">
      <w:pPr>
        <w:ind w:firstLine="420" w:firstLineChars="200"/>
        <w:jc w:val="left"/>
        <w:rPr>
          <w:u w:val="single"/>
        </w:rPr>
      </w:pPr>
      <w:bookmarkStart w:id="312" w:name="_Toc504472754"/>
      <w:r>
        <w:rPr>
          <w:rFonts w:hint="eastAsia"/>
        </w:rPr>
        <w:t>发包人提供支付担保的形式：</w:t>
      </w:r>
      <w:r>
        <w:rPr>
          <w:rFonts w:hint="eastAsia"/>
          <w:u w:val="single"/>
        </w:rPr>
        <w:t>/</w:t>
      </w:r>
      <w:r>
        <w:rPr>
          <w:u w:val="single"/>
        </w:rPr>
        <w:t xml:space="preserve">               </w:t>
      </w:r>
      <w:r>
        <w:rPr>
          <w:rFonts w:hint="eastAsia"/>
        </w:rPr>
        <w:t>。</w:t>
      </w:r>
      <w:bookmarkEnd w:id="312"/>
    </w:p>
    <w:p w14:paraId="385B8EC8">
      <w:pPr>
        <w:ind w:firstLine="422" w:firstLineChars="200"/>
        <w:jc w:val="left"/>
        <w:rPr>
          <w:b/>
          <w:bCs/>
        </w:rPr>
      </w:pPr>
      <w:bookmarkStart w:id="313" w:name="_Toc504472755"/>
      <w:r>
        <w:rPr>
          <w:b/>
          <w:bCs/>
        </w:rPr>
        <w:t xml:space="preserve">3. </w:t>
      </w:r>
      <w:r>
        <w:rPr>
          <w:rFonts w:hint="eastAsia"/>
          <w:b/>
          <w:bCs/>
        </w:rPr>
        <w:t>承包人</w:t>
      </w:r>
      <w:bookmarkEnd w:id="313"/>
    </w:p>
    <w:p w14:paraId="1F520FF1">
      <w:pPr>
        <w:ind w:firstLine="420" w:firstLineChars="200"/>
        <w:jc w:val="left"/>
      </w:pPr>
      <w:bookmarkStart w:id="314" w:name="_Toc504472756"/>
      <w:r>
        <w:t xml:space="preserve">3.1 </w:t>
      </w:r>
      <w:r>
        <w:rPr>
          <w:rFonts w:hint="eastAsia"/>
        </w:rPr>
        <w:t>承包人的一般义务</w:t>
      </w:r>
      <w:bookmarkEnd w:id="314"/>
    </w:p>
    <w:p w14:paraId="5A0C86A5">
      <w:pPr>
        <w:ind w:firstLine="420" w:firstLineChars="200"/>
        <w:jc w:val="left"/>
      </w:pPr>
      <w:bookmarkStart w:id="315" w:name="_Toc504472757"/>
      <w:r>
        <w:rPr>
          <w:rFonts w:hint="eastAsia"/>
        </w:rPr>
        <w:t>（</w:t>
      </w:r>
      <w:r>
        <w:t>5</w:t>
      </w:r>
      <w:r>
        <w:rPr>
          <w:rFonts w:hint="eastAsia"/>
        </w:rPr>
        <w:t>）承包人提交的竣工资料的内容：</w:t>
      </w:r>
      <w:r>
        <w:rPr>
          <w:rFonts w:hint="eastAsia"/>
          <w:bCs/>
          <w:u w:val="single"/>
        </w:rPr>
        <w:t>经相关部门审核通过的竣工资料（承包人提交竣工付款申请、竣工结算报告及完整的结算资料的时间与份数为竣工验收合格之日起28天内、共5份。）</w:t>
      </w:r>
      <w:bookmarkEnd w:id="315"/>
    </w:p>
    <w:p w14:paraId="3DA4FFEB">
      <w:pPr>
        <w:ind w:firstLine="420" w:firstLineChars="200"/>
        <w:jc w:val="left"/>
      </w:pPr>
      <w:bookmarkStart w:id="316" w:name="_Toc504472758"/>
      <w:r>
        <w:rPr>
          <w:rFonts w:hint="eastAsia"/>
        </w:rPr>
        <w:t>承包人需要提交的竣工资料套数：</w:t>
      </w:r>
      <w:r>
        <w:rPr>
          <w:rFonts w:hint="eastAsia"/>
          <w:u w:val="single"/>
        </w:rPr>
        <w:t>一式五套</w:t>
      </w:r>
      <w:r>
        <w:rPr>
          <w:rFonts w:hint="eastAsia"/>
        </w:rPr>
        <w:t>。</w:t>
      </w:r>
      <w:bookmarkEnd w:id="316"/>
    </w:p>
    <w:p w14:paraId="28E0D52C">
      <w:pPr>
        <w:ind w:firstLine="420" w:firstLineChars="200"/>
        <w:jc w:val="left"/>
      </w:pPr>
      <w:bookmarkStart w:id="317" w:name="_Toc504472759"/>
      <w:r>
        <w:rPr>
          <w:rFonts w:hint="eastAsia"/>
        </w:rPr>
        <w:t>承包人提交的竣工资料的费用承担：</w:t>
      </w:r>
      <w:r>
        <w:rPr>
          <w:rFonts w:hint="eastAsia"/>
          <w:u w:val="single"/>
        </w:rPr>
        <w:t>由承包人承担</w:t>
      </w:r>
      <w:r>
        <w:rPr>
          <w:rFonts w:hint="eastAsia"/>
        </w:rPr>
        <w:t>。</w:t>
      </w:r>
      <w:bookmarkEnd w:id="317"/>
    </w:p>
    <w:p w14:paraId="21C2834B">
      <w:pPr>
        <w:ind w:firstLine="420" w:firstLineChars="200"/>
        <w:jc w:val="left"/>
      </w:pPr>
      <w:bookmarkStart w:id="318" w:name="_Toc504472760"/>
      <w:r>
        <w:rPr>
          <w:rFonts w:hint="eastAsia"/>
        </w:rPr>
        <w:t>承包人提交的竣工资料移交时间：</w:t>
      </w:r>
      <w:r>
        <w:rPr>
          <w:rFonts w:hint="eastAsia"/>
          <w:u w:val="single"/>
        </w:rPr>
        <w:t>竣工验收后14天内</w:t>
      </w:r>
      <w:r>
        <w:rPr>
          <w:rFonts w:hint="eastAsia"/>
        </w:rPr>
        <w:t>。</w:t>
      </w:r>
      <w:bookmarkEnd w:id="318"/>
    </w:p>
    <w:p w14:paraId="2462C95B">
      <w:pPr>
        <w:ind w:firstLine="420" w:firstLineChars="200"/>
        <w:jc w:val="left"/>
        <w:rPr>
          <w:u w:val="single"/>
        </w:rPr>
      </w:pPr>
      <w:bookmarkStart w:id="319" w:name="_Toc504472761"/>
      <w:r>
        <w:rPr>
          <w:rFonts w:hint="eastAsia"/>
        </w:rPr>
        <w:t>承包人提交的竣工资料形式要求：</w:t>
      </w:r>
      <w:r>
        <w:rPr>
          <w:rFonts w:hint="eastAsia"/>
          <w:u w:val="single"/>
        </w:rPr>
        <w:t>书面纸质，并装订成册及电子版一套。</w:t>
      </w:r>
      <w:bookmarkEnd w:id="319"/>
    </w:p>
    <w:p w14:paraId="67099ADB">
      <w:pPr>
        <w:ind w:firstLine="420" w:firstLineChars="200"/>
        <w:jc w:val="left"/>
        <w:rPr>
          <w:u w:val="single"/>
        </w:rPr>
      </w:pPr>
      <w:bookmarkStart w:id="320" w:name="_Toc504472762"/>
      <w:r>
        <w:rPr>
          <w:rFonts w:hint="eastAsia"/>
        </w:rPr>
        <w:t>（</w:t>
      </w:r>
      <w:r>
        <w:t>6</w:t>
      </w:r>
      <w:r>
        <w:rPr>
          <w:rFonts w:hint="eastAsia"/>
        </w:rPr>
        <w:t>）承包人应履行的其他义务：</w:t>
      </w:r>
      <w:r>
        <w:rPr>
          <w:rFonts w:hint="eastAsia"/>
          <w:u w:val="single"/>
        </w:rPr>
        <w:t>协助办理施工许可证等相关建设手续，费用按规定各自承担，按时提交工程竣工结算资料。</w:t>
      </w:r>
      <w:bookmarkEnd w:id="320"/>
    </w:p>
    <w:p w14:paraId="71FDAAD3">
      <w:pPr>
        <w:ind w:firstLine="420" w:firstLineChars="200"/>
        <w:jc w:val="left"/>
      </w:pPr>
      <w:bookmarkStart w:id="321" w:name="_Toc504472763"/>
      <w:r>
        <w:rPr>
          <w:rFonts w:hint="eastAsia"/>
        </w:rPr>
        <w:t>（7）承包人应履行的其他义务</w:t>
      </w:r>
      <w:r>
        <w:t xml:space="preserve">3.2 </w:t>
      </w:r>
      <w:r>
        <w:rPr>
          <w:rFonts w:hint="eastAsia"/>
        </w:rPr>
        <w:t>项目经理</w:t>
      </w:r>
      <w:bookmarkEnd w:id="321"/>
    </w:p>
    <w:p w14:paraId="2D3042E0">
      <w:pPr>
        <w:ind w:firstLine="420" w:firstLineChars="200"/>
        <w:jc w:val="left"/>
      </w:pPr>
      <w:bookmarkStart w:id="322" w:name="_Toc504472764"/>
      <w:r>
        <w:t>3.2.1</w:t>
      </w:r>
      <w:r>
        <w:rPr>
          <w:rFonts w:hint="eastAsia"/>
        </w:rPr>
        <w:t>项目经理：</w:t>
      </w:r>
      <w:bookmarkEnd w:id="322"/>
    </w:p>
    <w:p w14:paraId="24B6661E">
      <w:pPr>
        <w:ind w:firstLine="420" w:firstLineChars="200"/>
        <w:jc w:val="left"/>
      </w:pPr>
      <w:bookmarkStart w:id="323" w:name="_Toc504472765"/>
      <w:r>
        <w:rPr>
          <w:rFonts w:hint="eastAsia"/>
        </w:rPr>
        <w:t>姓名：</w:t>
      </w:r>
      <w:r>
        <w:rPr>
          <w:rFonts w:hint="eastAsia"/>
          <w:u w:val="single"/>
        </w:rPr>
        <w:t></w:t>
      </w:r>
      <w:r>
        <w:rPr>
          <w:u w:val="single"/>
        </w:rPr>
        <w:t xml:space="preserve">        </w:t>
      </w:r>
      <w:r>
        <w:rPr>
          <w:rFonts w:hint="eastAsia"/>
          <w:u w:val="single"/>
        </w:rPr>
        <w:t>/</w:t>
      </w:r>
      <w:r>
        <w:rPr>
          <w:u w:val="single"/>
        </w:rPr>
        <w:t xml:space="preserve"> </w:t>
      </w:r>
      <w:r>
        <w:rPr>
          <w:rFonts w:hint="eastAsia"/>
        </w:rPr>
        <w:t>；</w:t>
      </w:r>
      <w:bookmarkEnd w:id="323"/>
    </w:p>
    <w:p w14:paraId="2C3C0E3C">
      <w:pPr>
        <w:ind w:firstLine="420" w:firstLineChars="200"/>
        <w:jc w:val="left"/>
      </w:pPr>
      <w:bookmarkStart w:id="324" w:name="_Toc504472766"/>
      <w:r>
        <w:rPr>
          <w:rFonts w:hint="eastAsia"/>
        </w:rPr>
        <w:t>身份证号：</w:t>
      </w:r>
      <w:r>
        <w:rPr>
          <w:rFonts w:hint="eastAsia"/>
          <w:u w:val="single"/>
        </w:rPr>
        <w:t></w:t>
      </w:r>
      <w:r>
        <w:rPr>
          <w:u w:val="single"/>
        </w:rPr>
        <w:t xml:space="preserve">      </w:t>
      </w:r>
      <w:r>
        <w:rPr>
          <w:rFonts w:hint="eastAsia"/>
          <w:u w:val="single"/>
        </w:rPr>
        <w:t>/</w:t>
      </w:r>
      <w:r>
        <w:rPr>
          <w:u w:val="single"/>
        </w:rPr>
        <w:t xml:space="preserve"> </w:t>
      </w:r>
      <w:r>
        <w:rPr>
          <w:rFonts w:hint="eastAsia"/>
        </w:rPr>
        <w:t>；</w:t>
      </w:r>
      <w:bookmarkEnd w:id="324"/>
    </w:p>
    <w:p w14:paraId="58A77B4F">
      <w:pPr>
        <w:ind w:firstLine="420" w:firstLineChars="200"/>
        <w:jc w:val="left"/>
      </w:pPr>
      <w:bookmarkStart w:id="325" w:name="_Toc504472767"/>
      <w:r>
        <w:rPr>
          <w:rFonts w:hint="eastAsia"/>
        </w:rPr>
        <w:t>建造师执业资格等级：</w:t>
      </w:r>
      <w:r>
        <w:rPr>
          <w:rFonts w:hint="eastAsia"/>
          <w:u w:val="single"/>
        </w:rPr>
        <w:t>/</w:t>
      </w:r>
      <w:r>
        <w:rPr>
          <w:u w:val="single"/>
        </w:rPr>
        <w:t xml:space="preserve">   </w:t>
      </w:r>
      <w:r>
        <w:rPr>
          <w:rFonts w:hint="eastAsia"/>
        </w:rPr>
        <w:t>；</w:t>
      </w:r>
      <w:bookmarkEnd w:id="325"/>
    </w:p>
    <w:p w14:paraId="3A07D901">
      <w:pPr>
        <w:ind w:firstLine="420" w:firstLineChars="200"/>
        <w:jc w:val="left"/>
      </w:pPr>
      <w:bookmarkStart w:id="326" w:name="_Toc504472768"/>
      <w:r>
        <w:rPr>
          <w:rFonts w:hint="eastAsia"/>
        </w:rPr>
        <w:t>建造师注册证书号：</w:t>
      </w:r>
      <w:r>
        <w:rPr>
          <w:rFonts w:hint="eastAsia"/>
          <w:u w:val="single"/>
        </w:rPr>
        <w:t>/</w:t>
      </w:r>
      <w:r>
        <w:rPr>
          <w:u w:val="single"/>
        </w:rPr>
        <w:t xml:space="preserve"> </w:t>
      </w:r>
      <w:r>
        <w:rPr>
          <w:rFonts w:hint="eastAsia"/>
        </w:rPr>
        <w:t>；</w:t>
      </w:r>
      <w:bookmarkEnd w:id="326"/>
    </w:p>
    <w:p w14:paraId="50C7166E">
      <w:pPr>
        <w:ind w:firstLine="420" w:firstLineChars="200"/>
        <w:jc w:val="left"/>
      </w:pPr>
      <w:bookmarkStart w:id="327" w:name="_Toc504472769"/>
      <w:r>
        <w:rPr>
          <w:rFonts w:hint="eastAsia"/>
        </w:rPr>
        <w:t>建造师执业印章号：</w:t>
      </w:r>
      <w:r>
        <w:rPr>
          <w:rFonts w:hint="eastAsia"/>
          <w:u w:val="single"/>
        </w:rPr>
        <w:t>/</w:t>
      </w:r>
      <w:r>
        <w:rPr>
          <w:u w:val="single"/>
        </w:rPr>
        <w:t xml:space="preserve"> </w:t>
      </w:r>
      <w:r>
        <w:rPr>
          <w:rFonts w:hint="eastAsia"/>
        </w:rPr>
        <w:t>；</w:t>
      </w:r>
      <w:bookmarkEnd w:id="327"/>
    </w:p>
    <w:p w14:paraId="67E428F9">
      <w:pPr>
        <w:ind w:firstLine="420" w:firstLineChars="200"/>
        <w:jc w:val="left"/>
      </w:pPr>
      <w:bookmarkStart w:id="328" w:name="_Toc504472770"/>
      <w:r>
        <w:rPr>
          <w:rFonts w:hint="eastAsia"/>
        </w:rPr>
        <w:t>安全生产考核合格证书号：</w:t>
      </w:r>
      <w:r>
        <w:rPr>
          <w:rFonts w:hint="eastAsia"/>
          <w:u w:val="single"/>
        </w:rPr>
        <w:t>/</w:t>
      </w:r>
      <w:r>
        <w:rPr>
          <w:u w:val="single"/>
        </w:rPr>
        <w:t xml:space="preserve"> </w:t>
      </w:r>
      <w:r>
        <w:rPr>
          <w:rFonts w:hint="eastAsia"/>
        </w:rPr>
        <w:t>；</w:t>
      </w:r>
      <w:bookmarkEnd w:id="328"/>
    </w:p>
    <w:p w14:paraId="261AE4C3">
      <w:pPr>
        <w:ind w:firstLine="420" w:firstLineChars="200"/>
        <w:jc w:val="left"/>
      </w:pPr>
      <w:bookmarkStart w:id="329" w:name="_Toc504472771"/>
      <w:r>
        <w:rPr>
          <w:rFonts w:hint="eastAsia"/>
        </w:rPr>
        <w:t>联系电话：</w:t>
      </w:r>
      <w:r>
        <w:rPr>
          <w:rFonts w:hint="eastAsia"/>
          <w:u w:val="single"/>
        </w:rPr>
        <w:t></w:t>
      </w:r>
      <w:r>
        <w:rPr>
          <w:u w:val="single"/>
        </w:rPr>
        <w:t xml:space="preserve">  </w:t>
      </w:r>
      <w:r>
        <w:rPr>
          <w:rFonts w:hint="eastAsia"/>
          <w:u w:val="single"/>
        </w:rPr>
        <w:t>/</w:t>
      </w:r>
      <w:r>
        <w:rPr>
          <w:u w:val="single"/>
        </w:rPr>
        <w:t xml:space="preserve"> </w:t>
      </w:r>
      <w:r>
        <w:rPr>
          <w:rFonts w:hint="eastAsia"/>
        </w:rPr>
        <w:t>；</w:t>
      </w:r>
      <w:bookmarkEnd w:id="329"/>
    </w:p>
    <w:p w14:paraId="7D73B0F8">
      <w:pPr>
        <w:ind w:firstLine="420" w:firstLineChars="200"/>
        <w:jc w:val="left"/>
      </w:pPr>
      <w:bookmarkStart w:id="330" w:name="_Toc504472772"/>
      <w:r>
        <w:rPr>
          <w:rFonts w:hint="eastAsia"/>
        </w:rPr>
        <w:t>电子信箱：</w:t>
      </w:r>
      <w:r>
        <w:rPr>
          <w:rFonts w:hint="eastAsia"/>
          <w:u w:val="single"/>
        </w:rPr>
        <w:t>/</w:t>
      </w:r>
      <w:r>
        <w:rPr>
          <w:u w:val="single"/>
        </w:rPr>
        <w:t xml:space="preserve"> </w:t>
      </w:r>
      <w:r>
        <w:rPr>
          <w:rFonts w:hint="eastAsia"/>
        </w:rPr>
        <w:t>；</w:t>
      </w:r>
      <w:bookmarkEnd w:id="330"/>
    </w:p>
    <w:p w14:paraId="267E2B93">
      <w:pPr>
        <w:ind w:firstLine="420" w:firstLineChars="200"/>
        <w:jc w:val="left"/>
      </w:pPr>
      <w:bookmarkStart w:id="331" w:name="_Toc504472773"/>
      <w:r>
        <w:rPr>
          <w:rFonts w:hint="eastAsia"/>
        </w:rPr>
        <w:t>通信地址：</w:t>
      </w:r>
      <w:r>
        <w:rPr>
          <w:rFonts w:hint="eastAsia"/>
          <w:u w:val="single"/>
        </w:rPr>
        <w:t>/</w:t>
      </w:r>
      <w:r>
        <w:rPr>
          <w:u w:val="single"/>
        </w:rPr>
        <w:t xml:space="preserve"> </w:t>
      </w:r>
      <w:r>
        <w:rPr>
          <w:rFonts w:hint="eastAsia"/>
        </w:rPr>
        <w:t>；</w:t>
      </w:r>
      <w:bookmarkEnd w:id="331"/>
    </w:p>
    <w:p w14:paraId="3BD8DAE8">
      <w:pPr>
        <w:ind w:firstLine="420" w:firstLineChars="200"/>
        <w:jc w:val="left"/>
      </w:pPr>
      <w:bookmarkStart w:id="332" w:name="_Toc504472774"/>
      <w:r>
        <w:rPr>
          <w:rFonts w:hint="eastAsia"/>
        </w:rPr>
        <w:t>承包人对项目经理的授权范围如下：</w:t>
      </w:r>
      <w:r>
        <w:rPr>
          <w:rFonts w:hint="eastAsia"/>
          <w:u w:val="single"/>
        </w:rPr>
        <w:t>按承包企业的具体要求和规定为准。</w:t>
      </w:r>
      <w:bookmarkEnd w:id="332"/>
    </w:p>
    <w:p w14:paraId="34AA2E4C">
      <w:pPr>
        <w:ind w:firstLine="420" w:firstLineChars="200"/>
        <w:jc w:val="left"/>
      </w:pPr>
      <w:bookmarkStart w:id="333" w:name="_Toc504472775"/>
      <w:r>
        <w:rPr>
          <w:rFonts w:hint="eastAsia"/>
        </w:rPr>
        <w:t>关于项目经理每月在施工现场的时间要求：</w:t>
      </w:r>
      <w:r>
        <w:rPr>
          <w:rFonts w:hint="eastAsia"/>
          <w:u w:val="single"/>
        </w:rPr>
        <w:t>每周在现场时间不少于5天。</w:t>
      </w:r>
      <w:bookmarkEnd w:id="333"/>
    </w:p>
    <w:p w14:paraId="013D0EEF">
      <w:pPr>
        <w:ind w:firstLine="420" w:firstLineChars="200"/>
        <w:jc w:val="left"/>
      </w:pPr>
      <w:bookmarkStart w:id="334" w:name="_Toc504472776"/>
      <w:r>
        <w:rPr>
          <w:rFonts w:hint="eastAsia"/>
        </w:rPr>
        <w:t>承包人未提交劳动合同，以及没有为项目经理缴纳社会保险证明的违约责任：</w:t>
      </w:r>
      <w:r>
        <w:rPr>
          <w:rFonts w:hint="eastAsia"/>
          <w:u w:val="single"/>
        </w:rPr>
        <w:t>/</w:t>
      </w:r>
      <w:r>
        <w:rPr>
          <w:rFonts w:hint="eastAsia"/>
        </w:rPr>
        <w:t>。</w:t>
      </w:r>
      <w:bookmarkEnd w:id="334"/>
    </w:p>
    <w:p w14:paraId="02F07CFE">
      <w:pPr>
        <w:ind w:firstLine="420" w:firstLineChars="200"/>
        <w:jc w:val="left"/>
        <w:rPr>
          <w:u w:val="single"/>
        </w:rPr>
      </w:pPr>
      <w:bookmarkStart w:id="335" w:name="_Toc504472777"/>
      <w:r>
        <w:rPr>
          <w:rFonts w:hint="eastAsia"/>
        </w:rPr>
        <w:t>项目经理未经批准，擅自离开施工现场的违约责任：</w:t>
      </w:r>
      <w:r>
        <w:rPr>
          <w:rFonts w:hint="eastAsia"/>
          <w:u w:val="single"/>
        </w:rPr>
        <w:t>根据承包人的施工现场关键岗位员考核管理制度的规定执行。</w:t>
      </w:r>
      <w:bookmarkEnd w:id="335"/>
    </w:p>
    <w:p w14:paraId="4FCC9CA4">
      <w:pPr>
        <w:ind w:firstLine="420" w:firstLineChars="200"/>
        <w:jc w:val="left"/>
      </w:pPr>
      <w:bookmarkStart w:id="336" w:name="_Toc504472778"/>
      <w:r>
        <w:t>3.2.3</w:t>
      </w:r>
      <w:r>
        <w:rPr>
          <w:rFonts w:hint="eastAsia"/>
        </w:rPr>
        <w:t>承包人擅自更换项目经理的违约责任：</w:t>
      </w:r>
      <w:bookmarkEnd w:id="336"/>
    </w:p>
    <w:p w14:paraId="5F0E98CC">
      <w:pPr>
        <w:ind w:firstLine="420" w:firstLineChars="200"/>
        <w:jc w:val="left"/>
      </w:pPr>
      <w:bookmarkStart w:id="337" w:name="_Toc504472779"/>
      <w:r>
        <w:rPr>
          <w:rFonts w:hint="eastAsia"/>
          <w:u w:val="single"/>
        </w:rPr>
        <w:t>如特殊原因需更换时，应提前15天提出书面申请，征得发包人同意，且必须为不低于前任资历（资格、经历）的人员。未经发包人同意，承包人私自调换项目经理的处人民币10万元处罚。项目经理须保证每月在现场时间不少于21天。监理单位负责对承包人项目经理及项目副经理进行考勤，项目经理缺勤按照1000 元/天的标准进行罚款。工程施工过程中，如项目班子中有不能胜任本职工作的工作人员，招标单位有权要求限期改正，直至撤换相关人员。</w:t>
      </w:r>
      <w:bookmarkEnd w:id="337"/>
    </w:p>
    <w:p w14:paraId="314F4B64">
      <w:pPr>
        <w:ind w:firstLine="420" w:firstLineChars="200"/>
        <w:jc w:val="left"/>
      </w:pPr>
      <w:bookmarkStart w:id="338" w:name="_Toc504472780"/>
      <w:r>
        <w:t>3.2.4</w:t>
      </w:r>
      <w:r>
        <w:rPr>
          <w:rFonts w:hint="eastAsia"/>
        </w:rPr>
        <w:t>承包人无正当理由拒绝更换项目经理的违约责任：</w:t>
      </w:r>
      <w:r>
        <w:rPr>
          <w:rFonts w:hint="eastAsia"/>
          <w:u w:val="single"/>
        </w:rPr>
        <w:t>工程施工过程中，如项目经理不能胜任本职工作的，发包人有权要求限期改正或更换项目经理，否则发包人有权提出各种无条件索赔</w:t>
      </w:r>
      <w:r>
        <w:rPr>
          <w:rFonts w:hint="eastAsia"/>
        </w:rPr>
        <w:t>。</w:t>
      </w:r>
      <w:bookmarkEnd w:id="338"/>
    </w:p>
    <w:p w14:paraId="7F87CB1C">
      <w:pPr>
        <w:ind w:firstLine="420" w:firstLineChars="200"/>
        <w:jc w:val="left"/>
      </w:pPr>
      <w:bookmarkStart w:id="339" w:name="_Toc504472781"/>
      <w:r>
        <w:t xml:space="preserve">3.3 </w:t>
      </w:r>
      <w:r>
        <w:rPr>
          <w:rFonts w:hint="eastAsia"/>
        </w:rPr>
        <w:t>承包人人员</w:t>
      </w:r>
      <w:bookmarkEnd w:id="339"/>
    </w:p>
    <w:p w14:paraId="7D23F709">
      <w:pPr>
        <w:ind w:firstLine="420" w:firstLineChars="200"/>
        <w:jc w:val="left"/>
      </w:pPr>
      <w:bookmarkStart w:id="340" w:name="_Toc504472782"/>
      <w:r>
        <w:t>3.3.1</w:t>
      </w:r>
      <w:r>
        <w:rPr>
          <w:rFonts w:hint="eastAsia"/>
        </w:rPr>
        <w:t>承包人提交项目管理机构及施工现场管理人员安排报告的期限：</w:t>
      </w:r>
      <w:r>
        <w:rPr>
          <w:rFonts w:hint="eastAsia"/>
          <w:u w:val="single"/>
        </w:rPr>
        <w:t>开工前七天内</w:t>
      </w:r>
      <w:r>
        <w:rPr>
          <w:rFonts w:hint="eastAsia"/>
        </w:rPr>
        <w:t>。</w:t>
      </w:r>
      <w:bookmarkEnd w:id="340"/>
    </w:p>
    <w:p w14:paraId="7094160A">
      <w:pPr>
        <w:ind w:firstLine="420" w:firstLineChars="200"/>
        <w:jc w:val="left"/>
        <w:rPr>
          <w:u w:val="single"/>
        </w:rPr>
      </w:pPr>
      <w:bookmarkStart w:id="341" w:name="_Toc504472783"/>
      <w:r>
        <w:t>3.3.3</w:t>
      </w:r>
      <w:r>
        <w:rPr>
          <w:rFonts w:hint="eastAsia"/>
        </w:rPr>
        <w:t>承包人无正当理由拒绝撤换主要施工管理人员的违约责任：</w:t>
      </w:r>
      <w:r>
        <w:rPr>
          <w:rFonts w:hint="eastAsia"/>
          <w:u w:val="single"/>
        </w:rPr>
        <w:t>工程施工过程中，如施工管理人员不能胜任本职工作的，发包人有权要求限期改正或更换相关人员，否则发包人有权提出各种无条件索赔。</w:t>
      </w:r>
      <w:bookmarkEnd w:id="341"/>
    </w:p>
    <w:p w14:paraId="238D2B07">
      <w:pPr>
        <w:ind w:firstLine="420" w:firstLineChars="200"/>
        <w:jc w:val="left"/>
        <w:rPr>
          <w:u w:val="single"/>
        </w:rPr>
      </w:pPr>
      <w:bookmarkStart w:id="342" w:name="_Toc504472784"/>
      <w:r>
        <w:t>3.3.4</w:t>
      </w:r>
      <w:r>
        <w:rPr>
          <w:rFonts w:hint="eastAsia"/>
        </w:rPr>
        <w:t>承包人主要施工管理人员离开施工现场的批准要求：</w:t>
      </w:r>
      <w:r>
        <w:rPr>
          <w:rFonts w:hint="eastAsia"/>
          <w:bCs/>
          <w:u w:val="single"/>
        </w:rPr>
        <w:t>由总监理工程师批准，发包人认可后方可离开</w:t>
      </w:r>
      <w:r>
        <w:rPr>
          <w:rFonts w:hint="eastAsia"/>
        </w:rPr>
        <w:t>。</w:t>
      </w:r>
      <w:bookmarkEnd w:id="342"/>
    </w:p>
    <w:p w14:paraId="7640D0A3">
      <w:pPr>
        <w:ind w:firstLine="420" w:firstLineChars="200"/>
        <w:jc w:val="left"/>
      </w:pPr>
      <w:bookmarkStart w:id="343" w:name="_Toc504472785"/>
      <w:r>
        <w:t>3.3.5</w:t>
      </w:r>
      <w:r>
        <w:rPr>
          <w:rFonts w:hint="eastAsia"/>
        </w:rPr>
        <w:t>承包人擅自更换主要施工管理人员的违约责任：</w:t>
      </w:r>
      <w:r>
        <w:rPr>
          <w:rFonts w:hint="eastAsia"/>
          <w:u w:val="single"/>
        </w:rPr>
        <w:t>未经发包人同意，不得擅自更换项目技术负责人及主要管理人员；由于承包人原因造成项目技术负责人及主要管理人员更换，即是得到发包人同意,也将对承包人（每更换一名）进行2万元处罚，并列入不良履约评价记录中</w:t>
      </w:r>
      <w:r>
        <w:rPr>
          <w:rFonts w:hint="eastAsia"/>
        </w:rPr>
        <w:t>。</w:t>
      </w:r>
      <w:bookmarkEnd w:id="343"/>
    </w:p>
    <w:p w14:paraId="188557E3">
      <w:pPr>
        <w:ind w:firstLine="420" w:firstLineChars="200"/>
        <w:jc w:val="left"/>
      </w:pPr>
      <w:bookmarkStart w:id="344" w:name="_Toc504472786"/>
      <w:r>
        <w:t xml:space="preserve">3.5 </w:t>
      </w:r>
      <w:r>
        <w:rPr>
          <w:rFonts w:hint="eastAsia"/>
        </w:rPr>
        <w:t>分包</w:t>
      </w:r>
      <w:bookmarkEnd w:id="344"/>
    </w:p>
    <w:p w14:paraId="692A6AEA">
      <w:pPr>
        <w:ind w:firstLine="420" w:firstLineChars="200"/>
        <w:jc w:val="left"/>
      </w:pPr>
      <w:bookmarkStart w:id="345" w:name="_Toc504472787"/>
      <w:r>
        <w:t>3.5.1</w:t>
      </w:r>
      <w:r>
        <w:rPr>
          <w:rFonts w:hint="eastAsia"/>
        </w:rPr>
        <w:t>分包的一般约定</w:t>
      </w:r>
      <w:bookmarkEnd w:id="345"/>
    </w:p>
    <w:p w14:paraId="7A1C0FAE">
      <w:pPr>
        <w:ind w:firstLine="420" w:firstLineChars="200"/>
        <w:jc w:val="left"/>
      </w:pPr>
      <w:bookmarkStart w:id="346" w:name="_Toc504472788"/>
      <w:r>
        <w:rPr>
          <w:rFonts w:hint="eastAsia"/>
        </w:rPr>
        <w:t>禁止分包的工程包括：</w:t>
      </w:r>
      <w:r>
        <w:rPr>
          <w:rFonts w:hint="eastAsia"/>
          <w:u w:val="single"/>
        </w:rPr>
        <w:t xml:space="preserve">/ </w:t>
      </w:r>
      <w:r>
        <w:rPr>
          <w:rFonts w:hint="eastAsia"/>
        </w:rPr>
        <w:t>。</w:t>
      </w:r>
      <w:bookmarkEnd w:id="346"/>
    </w:p>
    <w:p w14:paraId="5255CF18">
      <w:pPr>
        <w:ind w:firstLine="420" w:firstLineChars="200"/>
        <w:jc w:val="left"/>
        <w:rPr>
          <w:u w:val="single"/>
        </w:rPr>
      </w:pPr>
      <w:bookmarkStart w:id="347" w:name="_Toc504472789"/>
      <w:r>
        <w:rPr>
          <w:rFonts w:hint="eastAsia"/>
        </w:rPr>
        <w:t>主体结构、关键性工作的范围：</w:t>
      </w:r>
      <w:r>
        <w:rPr>
          <w:rFonts w:hint="eastAsia"/>
          <w:u w:val="single"/>
        </w:rPr>
        <w:t>/</w:t>
      </w:r>
      <w:r>
        <w:rPr>
          <w:rFonts w:hint="eastAsia"/>
        </w:rPr>
        <w:t>。</w:t>
      </w:r>
      <w:bookmarkEnd w:id="347"/>
    </w:p>
    <w:p w14:paraId="3D9E9BC6">
      <w:pPr>
        <w:ind w:firstLine="420" w:firstLineChars="200"/>
        <w:jc w:val="left"/>
      </w:pPr>
      <w:bookmarkStart w:id="348" w:name="_Toc504472790"/>
      <w:r>
        <w:t>3.5.2</w:t>
      </w:r>
      <w:r>
        <w:rPr>
          <w:rFonts w:hint="eastAsia"/>
        </w:rPr>
        <w:t>分包的确定</w:t>
      </w:r>
      <w:bookmarkEnd w:id="348"/>
    </w:p>
    <w:p w14:paraId="081A3506">
      <w:pPr>
        <w:ind w:firstLine="420" w:firstLineChars="200"/>
        <w:jc w:val="left"/>
        <w:rPr>
          <w:u w:val="single"/>
        </w:rPr>
      </w:pPr>
      <w:bookmarkStart w:id="349" w:name="_Toc504472791"/>
      <w:r>
        <w:rPr>
          <w:rFonts w:hint="eastAsia"/>
        </w:rPr>
        <w:t>允许分包的专业工程包括：</w:t>
      </w:r>
      <w:r>
        <w:rPr>
          <w:rFonts w:hint="eastAsia"/>
          <w:u w:val="single"/>
        </w:rPr>
        <w:t>/</w:t>
      </w:r>
      <w:r>
        <w:rPr>
          <w:rFonts w:hint="eastAsia"/>
        </w:rPr>
        <w:t>。</w:t>
      </w:r>
      <w:bookmarkEnd w:id="349"/>
    </w:p>
    <w:p w14:paraId="27D19261">
      <w:pPr>
        <w:ind w:firstLine="420" w:firstLineChars="200"/>
        <w:jc w:val="left"/>
      </w:pPr>
      <w:bookmarkStart w:id="350" w:name="_Toc504472792"/>
      <w:r>
        <w:rPr>
          <w:rFonts w:hint="eastAsia"/>
        </w:rPr>
        <w:t>其他关于分包的约定：</w:t>
      </w:r>
      <w:r>
        <w:rPr>
          <w:rFonts w:hint="eastAsia"/>
          <w:u w:val="single"/>
        </w:rPr>
        <w:t>一般不得分包，确定因专业或特殊情况要分包应征得发包人的同意批准后才能分包。</w:t>
      </w:r>
      <w:bookmarkEnd w:id="350"/>
    </w:p>
    <w:p w14:paraId="112F00E6">
      <w:pPr>
        <w:ind w:firstLine="420" w:firstLineChars="200"/>
        <w:jc w:val="left"/>
      </w:pPr>
      <w:bookmarkStart w:id="351" w:name="_Toc504472793"/>
      <w:r>
        <w:t>3.5.4</w:t>
      </w:r>
      <w:r>
        <w:rPr>
          <w:rFonts w:hint="eastAsia"/>
        </w:rPr>
        <w:t>分包合同价款</w:t>
      </w:r>
      <w:bookmarkEnd w:id="351"/>
    </w:p>
    <w:p w14:paraId="5C26F79D">
      <w:pPr>
        <w:ind w:firstLine="420" w:firstLineChars="200"/>
        <w:jc w:val="left"/>
      </w:pPr>
      <w:bookmarkStart w:id="352" w:name="_Toc504472794"/>
      <w:r>
        <w:rPr>
          <w:rFonts w:hint="eastAsia"/>
        </w:rPr>
        <w:t>关于分包合同价款支付的约定：</w:t>
      </w:r>
      <w:r>
        <w:rPr>
          <w:rFonts w:hint="eastAsia"/>
          <w:bCs/>
          <w:u w:val="single"/>
        </w:rPr>
        <w:t>由承包人，按照总承包支付方式进行支付</w:t>
      </w:r>
      <w:r>
        <w:rPr>
          <w:rFonts w:hint="eastAsia"/>
        </w:rPr>
        <w:t>。</w:t>
      </w:r>
      <w:bookmarkEnd w:id="352"/>
    </w:p>
    <w:p w14:paraId="1649A628">
      <w:pPr>
        <w:ind w:firstLine="420" w:firstLineChars="200"/>
        <w:jc w:val="left"/>
      </w:pPr>
      <w:bookmarkStart w:id="353" w:name="_Toc504472795"/>
      <w:r>
        <w:t xml:space="preserve">3.6 </w:t>
      </w:r>
      <w:r>
        <w:rPr>
          <w:rFonts w:hint="eastAsia"/>
        </w:rPr>
        <w:t>工程照管与成品、半成品保护</w:t>
      </w:r>
      <w:bookmarkEnd w:id="353"/>
    </w:p>
    <w:p w14:paraId="0FE72954">
      <w:pPr>
        <w:ind w:firstLine="420" w:firstLineChars="200"/>
        <w:jc w:val="left"/>
        <w:rPr>
          <w:u w:val="single"/>
        </w:rPr>
      </w:pPr>
      <w:bookmarkStart w:id="354" w:name="_Toc504472796"/>
      <w:r>
        <w:rPr>
          <w:rFonts w:hint="eastAsia"/>
        </w:rPr>
        <w:t>承包人负责照管工程及工程相关的材料、工程设备的起始时间：</w:t>
      </w:r>
      <w:r>
        <w:rPr>
          <w:rFonts w:hint="eastAsia"/>
          <w:bCs/>
          <w:u w:val="single"/>
        </w:rPr>
        <w:t>设备、人员进场至验收交付使用前由承包人负责保修，无其它特殊要求的，费用由承包人承担</w:t>
      </w:r>
      <w:r>
        <w:rPr>
          <w:rFonts w:hint="eastAsia"/>
          <w:u w:val="single"/>
        </w:rPr>
        <w:t>（包括承包人进行专业分包的工程或设备）</w:t>
      </w:r>
      <w:r>
        <w:rPr>
          <w:rFonts w:hint="eastAsia"/>
        </w:rPr>
        <w:t>。</w:t>
      </w:r>
      <w:bookmarkEnd w:id="354"/>
    </w:p>
    <w:p w14:paraId="1F23A84E">
      <w:pPr>
        <w:ind w:firstLine="420" w:firstLineChars="200"/>
        <w:jc w:val="left"/>
      </w:pPr>
      <w:bookmarkStart w:id="355" w:name="_Toc504472797"/>
      <w:r>
        <w:t xml:space="preserve">3.7 </w:t>
      </w:r>
      <w:r>
        <w:rPr>
          <w:rFonts w:hint="eastAsia"/>
        </w:rPr>
        <w:t>履约担保</w:t>
      </w:r>
      <w:bookmarkEnd w:id="355"/>
    </w:p>
    <w:p w14:paraId="674CF4FD">
      <w:pPr>
        <w:ind w:firstLine="420" w:firstLineChars="200"/>
        <w:jc w:val="left"/>
      </w:pPr>
      <w:bookmarkStart w:id="356" w:name="_Toc504472798"/>
      <w:r>
        <w:rPr>
          <w:rFonts w:hint="eastAsia"/>
        </w:rPr>
        <w:t>承包人是否提供履约担保：</w:t>
      </w:r>
      <w:r>
        <w:rPr>
          <w:rFonts w:hint="eastAsia" w:asciiTheme="minorEastAsia" w:hAnsiTheme="minorEastAsia" w:eastAsiaTheme="minorEastAsia"/>
          <w:kern w:val="0"/>
          <w:szCs w:val="21"/>
          <w:u w:val="single"/>
        </w:rPr>
        <w:t>签订合同价的10%或遵循采购人规定。</w:t>
      </w:r>
      <w:bookmarkEnd w:id="356"/>
    </w:p>
    <w:p w14:paraId="642A5364">
      <w:pPr>
        <w:ind w:firstLine="420" w:firstLineChars="200"/>
        <w:jc w:val="left"/>
      </w:pPr>
      <w:bookmarkStart w:id="357" w:name="_Toc504472799"/>
      <w:r>
        <w:rPr>
          <w:rFonts w:hint="eastAsia"/>
        </w:rPr>
        <w:t>承包人提供履约担保的形式、金额及期限的：</w:t>
      </w:r>
      <w:r>
        <w:rPr>
          <w:rFonts w:hint="eastAsia"/>
          <w:bCs/>
          <w:u w:val="single"/>
        </w:rPr>
        <w:t>合同价的10%，时间为承包人接到成交通知书后7日内，在合同协议书签订之前。采用形式为：现金、汇票、银行保函等，银行保函期限为工程竣工验收合格，并提供相关竣工资料、竣工结算资料后28天一直有效。</w:t>
      </w:r>
      <w:bookmarkEnd w:id="357"/>
    </w:p>
    <w:p w14:paraId="7F236C8B">
      <w:pPr>
        <w:ind w:firstLine="422" w:firstLineChars="200"/>
        <w:jc w:val="left"/>
        <w:rPr>
          <w:b/>
          <w:bCs/>
        </w:rPr>
      </w:pPr>
      <w:bookmarkStart w:id="358" w:name="_Toc504472800"/>
      <w:r>
        <w:rPr>
          <w:b/>
          <w:bCs/>
        </w:rPr>
        <w:t xml:space="preserve">4. </w:t>
      </w:r>
      <w:r>
        <w:rPr>
          <w:rFonts w:hint="eastAsia"/>
          <w:b/>
          <w:bCs/>
        </w:rPr>
        <w:t>监理人</w:t>
      </w:r>
      <w:bookmarkEnd w:id="358"/>
    </w:p>
    <w:p w14:paraId="4533AB47">
      <w:pPr>
        <w:ind w:firstLine="420" w:firstLineChars="200"/>
        <w:jc w:val="left"/>
      </w:pPr>
      <w:bookmarkStart w:id="359" w:name="_Toc504472801"/>
      <w:r>
        <w:t>4.1</w:t>
      </w:r>
      <w:r>
        <w:rPr>
          <w:rFonts w:hint="eastAsia"/>
        </w:rPr>
        <w:t>监理人的一般规定</w:t>
      </w:r>
      <w:bookmarkEnd w:id="359"/>
    </w:p>
    <w:p w14:paraId="0673D427">
      <w:pPr>
        <w:ind w:firstLine="420" w:firstLineChars="200"/>
        <w:jc w:val="left"/>
      </w:pPr>
      <w:bookmarkStart w:id="360" w:name="_Toc504472802"/>
      <w:r>
        <w:rPr>
          <w:rFonts w:hint="eastAsia"/>
        </w:rPr>
        <w:t>关于监理人的监理内容：</w:t>
      </w:r>
      <w:r>
        <w:rPr>
          <w:rFonts w:hint="eastAsia"/>
          <w:u w:val="single"/>
        </w:rPr>
        <w:t>按监理合同执</w:t>
      </w:r>
      <w:r>
        <w:rPr>
          <w:rFonts w:hint="eastAsia"/>
        </w:rPr>
        <w:t>。</w:t>
      </w:r>
      <w:bookmarkEnd w:id="360"/>
    </w:p>
    <w:p w14:paraId="74D1BE18">
      <w:pPr>
        <w:ind w:firstLine="420" w:firstLineChars="200"/>
        <w:jc w:val="left"/>
      </w:pPr>
      <w:bookmarkStart w:id="361" w:name="_Toc504472803"/>
      <w:r>
        <w:rPr>
          <w:rFonts w:hint="eastAsia"/>
        </w:rPr>
        <w:t>关于监理人的监理权限：</w:t>
      </w:r>
      <w:r>
        <w:rPr>
          <w:rFonts w:hint="eastAsia"/>
          <w:u w:val="single"/>
        </w:rPr>
        <w:t>控制、二管理、一协调及安全管理，具体以发包人与监理公司签订的《监理合同》授权为准。需要取得发包人批准才能行使的职权：详见本工程《建设工程委托监理合同》。</w:t>
      </w:r>
      <w:bookmarkEnd w:id="361"/>
    </w:p>
    <w:p w14:paraId="0F9DF473">
      <w:pPr>
        <w:ind w:firstLine="420" w:firstLineChars="200"/>
        <w:jc w:val="left"/>
      </w:pPr>
      <w:bookmarkStart w:id="362" w:name="_Toc504472804"/>
      <w:r>
        <w:rPr>
          <w:rFonts w:hint="eastAsia"/>
        </w:rPr>
        <w:t>关于监理人在施工现场的办公场所、生活场所的提供和费用承担的约定：</w:t>
      </w:r>
      <w:r>
        <w:rPr>
          <w:rFonts w:hint="eastAsia"/>
          <w:u w:val="single"/>
        </w:rPr>
        <w:t>由承包人提供，费用由监理人自行承担</w:t>
      </w:r>
      <w:r>
        <w:rPr>
          <w:rFonts w:hint="eastAsia"/>
        </w:rPr>
        <w:t>。</w:t>
      </w:r>
      <w:bookmarkEnd w:id="362"/>
    </w:p>
    <w:p w14:paraId="7799672E">
      <w:pPr>
        <w:ind w:firstLine="420" w:firstLineChars="200"/>
        <w:jc w:val="left"/>
      </w:pPr>
      <w:bookmarkStart w:id="363" w:name="_Toc504472805"/>
      <w:r>
        <w:t xml:space="preserve">4.2 </w:t>
      </w:r>
      <w:r>
        <w:rPr>
          <w:rFonts w:hint="eastAsia"/>
        </w:rPr>
        <w:t>监理人员</w:t>
      </w:r>
      <w:bookmarkEnd w:id="363"/>
    </w:p>
    <w:p w14:paraId="3910B79E">
      <w:pPr>
        <w:ind w:firstLine="420" w:firstLineChars="200"/>
        <w:jc w:val="left"/>
      </w:pPr>
      <w:bookmarkStart w:id="364" w:name="_Toc504472806"/>
      <w:r>
        <w:rPr>
          <w:rFonts w:hint="eastAsia"/>
        </w:rPr>
        <w:t>总监理工程师：</w:t>
      </w:r>
      <w:bookmarkEnd w:id="364"/>
    </w:p>
    <w:p w14:paraId="5B97C625">
      <w:pPr>
        <w:ind w:firstLine="420" w:firstLineChars="200"/>
        <w:jc w:val="left"/>
      </w:pPr>
      <w:bookmarkStart w:id="365" w:name="_Toc504472807"/>
      <w:r>
        <w:rPr>
          <w:rFonts w:hint="eastAsia"/>
        </w:rPr>
        <w:t>姓名：</w:t>
      </w:r>
      <w:r>
        <w:rPr>
          <w:rFonts w:hint="eastAsia"/>
          <w:u w:val="single"/>
        </w:rPr>
        <w:t></w:t>
      </w:r>
      <w:r>
        <w:rPr>
          <w:u w:val="single"/>
        </w:rPr>
        <w:t xml:space="preserve">  </w:t>
      </w:r>
      <w:r>
        <w:rPr>
          <w:rFonts w:hint="eastAsia"/>
          <w:u w:val="single"/>
        </w:rPr>
        <w:t>/</w:t>
      </w:r>
      <w:r>
        <w:rPr>
          <w:u w:val="single"/>
        </w:rPr>
        <w:t> </w:t>
      </w:r>
      <w:r>
        <w:rPr>
          <w:rFonts w:hint="eastAsia"/>
        </w:rPr>
        <w:t>；</w:t>
      </w:r>
      <w:bookmarkEnd w:id="365"/>
    </w:p>
    <w:p w14:paraId="005C173A">
      <w:pPr>
        <w:ind w:firstLine="420" w:firstLineChars="200"/>
        <w:jc w:val="left"/>
      </w:pPr>
      <w:bookmarkStart w:id="366" w:name="_Toc504472808"/>
      <w:r>
        <w:rPr>
          <w:rFonts w:hint="eastAsia"/>
        </w:rPr>
        <w:t>职务：</w:t>
      </w:r>
      <w:r>
        <w:rPr>
          <w:rFonts w:hint="eastAsia"/>
          <w:u w:val="single"/>
        </w:rPr>
        <w:t></w:t>
      </w:r>
      <w:r>
        <w:rPr>
          <w:u w:val="single"/>
        </w:rPr>
        <w:t xml:space="preserve">  </w:t>
      </w:r>
      <w:r>
        <w:rPr>
          <w:rFonts w:hint="eastAsia"/>
          <w:u w:val="single"/>
        </w:rPr>
        <w:t>/</w:t>
      </w:r>
      <w:r>
        <w:rPr>
          <w:u w:val="single"/>
        </w:rPr>
        <w:t> </w:t>
      </w:r>
      <w:r>
        <w:rPr>
          <w:rFonts w:hint="eastAsia"/>
        </w:rPr>
        <w:t>；</w:t>
      </w:r>
      <w:bookmarkEnd w:id="366"/>
    </w:p>
    <w:p w14:paraId="633F8E7E">
      <w:pPr>
        <w:ind w:firstLine="420" w:firstLineChars="200"/>
        <w:jc w:val="left"/>
      </w:pPr>
      <w:bookmarkStart w:id="367" w:name="_Toc504472809"/>
      <w:r>
        <w:rPr>
          <w:rFonts w:hint="eastAsia"/>
        </w:rPr>
        <w:t>监理工程师执业资格证书号：</w:t>
      </w:r>
      <w:r>
        <w:rPr>
          <w:rFonts w:hint="eastAsia"/>
          <w:u w:val="single"/>
        </w:rPr>
        <w:t>/</w:t>
      </w:r>
      <w:r>
        <w:rPr>
          <w:u w:val="single"/>
        </w:rPr>
        <w:t xml:space="preserve"> </w:t>
      </w:r>
      <w:r>
        <w:rPr>
          <w:rFonts w:hint="eastAsia"/>
        </w:rPr>
        <w:t>；</w:t>
      </w:r>
      <w:bookmarkEnd w:id="367"/>
    </w:p>
    <w:p w14:paraId="11694CF7">
      <w:pPr>
        <w:ind w:firstLine="420" w:firstLineChars="200"/>
        <w:jc w:val="left"/>
      </w:pPr>
      <w:bookmarkStart w:id="368" w:name="_Toc504472810"/>
      <w:r>
        <w:rPr>
          <w:rFonts w:hint="eastAsia"/>
        </w:rPr>
        <w:t>联系电话：</w:t>
      </w:r>
      <w:r>
        <w:rPr>
          <w:rFonts w:hint="eastAsia"/>
          <w:u w:val="single"/>
        </w:rPr>
        <w:t>/</w:t>
      </w:r>
      <w:r>
        <w:rPr>
          <w:u w:val="single"/>
        </w:rPr>
        <w:t xml:space="preserve">   </w:t>
      </w:r>
      <w:r>
        <w:rPr>
          <w:rFonts w:hint="eastAsia"/>
        </w:rPr>
        <w:t>；</w:t>
      </w:r>
      <w:bookmarkEnd w:id="368"/>
    </w:p>
    <w:p w14:paraId="41983BCB">
      <w:pPr>
        <w:ind w:firstLine="420" w:firstLineChars="200"/>
        <w:jc w:val="left"/>
      </w:pPr>
      <w:bookmarkStart w:id="369" w:name="_Toc504472811"/>
      <w:r>
        <w:rPr>
          <w:rFonts w:hint="eastAsia"/>
        </w:rPr>
        <w:t>电子信箱：</w:t>
      </w:r>
      <w:r>
        <w:rPr>
          <w:rFonts w:hint="eastAsia"/>
          <w:u w:val="single"/>
        </w:rPr>
        <w:t></w:t>
      </w:r>
      <w:r>
        <w:rPr>
          <w:u w:val="single"/>
        </w:rPr>
        <w:t xml:space="preserve">  </w:t>
      </w:r>
      <w:r>
        <w:rPr>
          <w:rFonts w:hint="eastAsia"/>
          <w:u w:val="single"/>
        </w:rPr>
        <w:t>/</w:t>
      </w:r>
      <w:r>
        <w:rPr>
          <w:u w:val="single"/>
        </w:rPr>
        <w:t> </w:t>
      </w:r>
      <w:r>
        <w:rPr>
          <w:rFonts w:hint="eastAsia"/>
        </w:rPr>
        <w:t>；</w:t>
      </w:r>
      <w:bookmarkEnd w:id="369"/>
    </w:p>
    <w:p w14:paraId="76B8948E">
      <w:pPr>
        <w:ind w:firstLine="420" w:firstLineChars="200"/>
        <w:jc w:val="left"/>
      </w:pPr>
      <w:bookmarkStart w:id="370" w:name="_Toc504472812"/>
      <w:r>
        <w:rPr>
          <w:rFonts w:hint="eastAsia"/>
        </w:rPr>
        <w:t>通信地址：</w:t>
      </w:r>
      <w:r>
        <w:rPr>
          <w:rFonts w:hint="eastAsia"/>
          <w:u w:val="single"/>
        </w:rPr>
        <w:t></w:t>
      </w:r>
      <w:r>
        <w:rPr>
          <w:u w:val="single"/>
        </w:rPr>
        <w:t xml:space="preserve">  </w:t>
      </w:r>
      <w:r>
        <w:rPr>
          <w:rFonts w:hint="eastAsia"/>
          <w:u w:val="single"/>
        </w:rPr>
        <w:t>/</w:t>
      </w:r>
      <w:r>
        <w:rPr>
          <w:u w:val="single"/>
        </w:rPr>
        <w:t> </w:t>
      </w:r>
      <w:r>
        <w:rPr>
          <w:rFonts w:hint="eastAsia"/>
        </w:rPr>
        <w:t>；</w:t>
      </w:r>
      <w:bookmarkEnd w:id="370"/>
    </w:p>
    <w:p w14:paraId="69C52023">
      <w:pPr>
        <w:ind w:firstLine="420" w:firstLineChars="200"/>
        <w:jc w:val="left"/>
      </w:pPr>
      <w:bookmarkStart w:id="371" w:name="_Toc504472813"/>
      <w:r>
        <w:rPr>
          <w:rFonts w:hint="eastAsia"/>
        </w:rPr>
        <w:t>关于监理人的其他约定：</w:t>
      </w:r>
      <w:r>
        <w:rPr>
          <w:rFonts w:hint="eastAsia"/>
          <w:u w:val="single"/>
        </w:rPr>
        <w:t>/</w:t>
      </w:r>
      <w:r>
        <w:rPr>
          <w:u w:val="single"/>
        </w:rPr>
        <w:t> </w:t>
      </w:r>
      <w:r>
        <w:rPr>
          <w:rFonts w:hint="eastAsia"/>
        </w:rPr>
        <w:t>。</w:t>
      </w:r>
      <w:bookmarkEnd w:id="371"/>
    </w:p>
    <w:p w14:paraId="4409E097">
      <w:pPr>
        <w:ind w:firstLine="420" w:firstLineChars="200"/>
        <w:jc w:val="left"/>
      </w:pPr>
      <w:bookmarkStart w:id="372" w:name="_Toc504472814"/>
      <w:r>
        <w:t xml:space="preserve">4.4 </w:t>
      </w:r>
      <w:r>
        <w:rPr>
          <w:rFonts w:hint="eastAsia"/>
        </w:rPr>
        <w:t>商定或确定</w:t>
      </w:r>
      <w:bookmarkEnd w:id="372"/>
    </w:p>
    <w:p w14:paraId="3FCB6138">
      <w:pPr>
        <w:ind w:firstLine="420" w:firstLineChars="200"/>
        <w:jc w:val="left"/>
      </w:pPr>
      <w:bookmarkStart w:id="373" w:name="_Toc504472815"/>
      <w:r>
        <w:rPr>
          <w:rFonts w:hint="eastAsia"/>
        </w:rPr>
        <w:t>在发包人和承包人不能通过协商达成一致意见时，发包人授权监理人对以下事项进行确定：</w:t>
      </w:r>
      <w:r>
        <w:rPr>
          <w:rFonts w:hint="eastAsia"/>
          <w:u w:val="single"/>
        </w:rPr>
        <w:t>/</w:t>
      </w:r>
      <w:r>
        <w:rPr>
          <w:rFonts w:hint="eastAsia"/>
        </w:rPr>
        <w:t>；</w:t>
      </w:r>
      <w:bookmarkEnd w:id="373"/>
    </w:p>
    <w:p w14:paraId="350362CF">
      <w:pPr>
        <w:ind w:firstLine="422" w:firstLineChars="200"/>
        <w:jc w:val="left"/>
        <w:rPr>
          <w:b/>
          <w:bCs/>
        </w:rPr>
      </w:pPr>
      <w:bookmarkStart w:id="374" w:name="_Toc504472816"/>
      <w:r>
        <w:rPr>
          <w:b/>
          <w:bCs/>
        </w:rPr>
        <w:t xml:space="preserve">5. </w:t>
      </w:r>
      <w:r>
        <w:rPr>
          <w:rFonts w:hint="eastAsia"/>
          <w:b/>
          <w:bCs/>
        </w:rPr>
        <w:t>工程质量</w:t>
      </w:r>
      <w:bookmarkEnd w:id="374"/>
    </w:p>
    <w:p w14:paraId="7B640CFC">
      <w:pPr>
        <w:ind w:firstLine="420" w:firstLineChars="200"/>
        <w:jc w:val="left"/>
      </w:pPr>
      <w:bookmarkStart w:id="375" w:name="_Toc504472817"/>
      <w:r>
        <w:t xml:space="preserve">5.1 </w:t>
      </w:r>
      <w:r>
        <w:rPr>
          <w:rFonts w:hint="eastAsia"/>
        </w:rPr>
        <w:t>质量要求</w:t>
      </w:r>
      <w:bookmarkEnd w:id="375"/>
    </w:p>
    <w:p w14:paraId="39580EDD">
      <w:pPr>
        <w:ind w:firstLine="420" w:firstLineChars="200"/>
        <w:jc w:val="left"/>
      </w:pPr>
      <w:bookmarkStart w:id="376" w:name="_Toc504472818"/>
      <w:r>
        <w:t>5.1.1</w:t>
      </w:r>
      <w:r>
        <w:rPr>
          <w:rFonts w:hint="eastAsia"/>
        </w:rPr>
        <w:t>特殊质量标准和要求：</w:t>
      </w:r>
      <w:r>
        <w:rPr>
          <w:rFonts w:hint="eastAsia"/>
          <w:u w:val="single"/>
        </w:rPr>
        <w:t>无</w:t>
      </w:r>
      <w:r>
        <w:rPr>
          <w:rFonts w:hint="eastAsia"/>
        </w:rPr>
        <w:t>。</w:t>
      </w:r>
      <w:bookmarkEnd w:id="376"/>
    </w:p>
    <w:p w14:paraId="04228C3C">
      <w:pPr>
        <w:ind w:firstLine="420" w:firstLineChars="200"/>
        <w:jc w:val="left"/>
      </w:pPr>
      <w:bookmarkStart w:id="377" w:name="_Toc504472819"/>
      <w:r>
        <w:rPr>
          <w:rFonts w:hint="eastAsia"/>
        </w:rPr>
        <w:t>关于工程奖项的约定：</w:t>
      </w:r>
      <w:r>
        <w:rPr>
          <w:rFonts w:hint="eastAsia"/>
          <w:u w:val="single"/>
        </w:rPr>
        <w:t>无</w:t>
      </w:r>
      <w:r>
        <w:rPr>
          <w:rFonts w:hint="eastAsia"/>
        </w:rPr>
        <w:t>。</w:t>
      </w:r>
      <w:bookmarkEnd w:id="377"/>
    </w:p>
    <w:p w14:paraId="366D4577">
      <w:pPr>
        <w:ind w:firstLine="420" w:firstLineChars="200"/>
        <w:jc w:val="left"/>
      </w:pPr>
      <w:bookmarkStart w:id="378" w:name="_Toc504472820"/>
      <w:r>
        <w:t xml:space="preserve">5.3 </w:t>
      </w:r>
      <w:r>
        <w:rPr>
          <w:rFonts w:hint="eastAsia"/>
        </w:rPr>
        <w:t>隐蔽工程检查</w:t>
      </w:r>
      <w:bookmarkEnd w:id="378"/>
    </w:p>
    <w:p w14:paraId="21657E2F">
      <w:pPr>
        <w:ind w:firstLine="420" w:firstLineChars="200"/>
        <w:jc w:val="left"/>
      </w:pPr>
      <w:bookmarkStart w:id="379" w:name="_Toc504472821"/>
      <w:r>
        <w:t>5.3.2</w:t>
      </w:r>
      <w:r>
        <w:rPr>
          <w:rFonts w:hint="eastAsia"/>
        </w:rPr>
        <w:t>承包人提前通知监理人隐蔽工程检查的期限的约定：</w:t>
      </w:r>
      <w:r>
        <w:rPr>
          <w:rFonts w:hint="eastAsia"/>
          <w:u w:val="single"/>
        </w:rPr>
        <w:t>共同检查验48小时书面通知监理人（监理人及承包人必须将全套隐蔽工程书面和电子版资料留存）</w:t>
      </w:r>
      <w:r>
        <w:rPr>
          <w:rFonts w:hint="eastAsia"/>
        </w:rPr>
        <w:t>。</w:t>
      </w:r>
      <w:bookmarkEnd w:id="379"/>
    </w:p>
    <w:p w14:paraId="334483EC">
      <w:pPr>
        <w:ind w:firstLine="420" w:firstLineChars="200"/>
        <w:jc w:val="left"/>
      </w:pPr>
      <w:bookmarkStart w:id="380" w:name="_Toc504472822"/>
      <w:r>
        <w:rPr>
          <w:rFonts w:hint="eastAsia"/>
        </w:rPr>
        <w:t>监理人不能按时进行检查时，应提前</w:t>
      </w:r>
      <w:r>
        <w:rPr>
          <w:rFonts w:hint="eastAsia"/>
          <w:u w:val="single"/>
        </w:rPr>
        <w:t>24</w:t>
      </w:r>
      <w:r>
        <w:rPr>
          <w:rFonts w:hint="eastAsia"/>
        </w:rPr>
        <w:t>小时提交书面延期要求。</w:t>
      </w:r>
      <w:bookmarkEnd w:id="380"/>
    </w:p>
    <w:p w14:paraId="2940E0DD">
      <w:pPr>
        <w:ind w:firstLine="420" w:firstLineChars="200"/>
        <w:jc w:val="left"/>
      </w:pPr>
      <w:bookmarkStart w:id="381" w:name="_Toc504472823"/>
      <w:r>
        <w:rPr>
          <w:rFonts w:hint="eastAsia"/>
        </w:rPr>
        <w:t>关于延期最长不得超过：</w:t>
      </w:r>
      <w:r>
        <w:rPr>
          <w:rFonts w:hint="eastAsia"/>
          <w:u w:val="single"/>
        </w:rPr>
        <w:t>48</w:t>
      </w:r>
      <w:r>
        <w:rPr>
          <w:rFonts w:hint="eastAsia"/>
        </w:rPr>
        <w:t>小时。</w:t>
      </w:r>
      <w:bookmarkEnd w:id="381"/>
    </w:p>
    <w:p w14:paraId="123BE479">
      <w:pPr>
        <w:ind w:firstLine="422" w:firstLineChars="200"/>
        <w:jc w:val="left"/>
        <w:rPr>
          <w:b/>
          <w:bCs/>
        </w:rPr>
      </w:pPr>
      <w:bookmarkStart w:id="382" w:name="_Toc504472824"/>
      <w:r>
        <w:rPr>
          <w:b/>
          <w:bCs/>
        </w:rPr>
        <w:t xml:space="preserve">6. </w:t>
      </w:r>
      <w:r>
        <w:rPr>
          <w:rFonts w:hint="eastAsia"/>
          <w:b/>
          <w:bCs/>
        </w:rPr>
        <w:t>安全文明施工与环境保护</w:t>
      </w:r>
      <w:bookmarkEnd w:id="382"/>
    </w:p>
    <w:p w14:paraId="0650A162">
      <w:pPr>
        <w:ind w:firstLine="420" w:firstLineChars="200"/>
        <w:jc w:val="left"/>
      </w:pPr>
      <w:bookmarkStart w:id="383" w:name="_Toc504472825"/>
      <w:r>
        <w:t>6.1</w:t>
      </w:r>
      <w:r>
        <w:rPr>
          <w:rFonts w:hint="eastAsia"/>
        </w:rPr>
        <w:t>安全文明施工</w:t>
      </w:r>
      <w:bookmarkEnd w:id="383"/>
    </w:p>
    <w:p w14:paraId="01C9D9C6">
      <w:pPr>
        <w:ind w:firstLine="420" w:firstLineChars="200"/>
        <w:jc w:val="left"/>
        <w:rPr>
          <w:u w:val="single"/>
        </w:rPr>
      </w:pPr>
      <w:bookmarkStart w:id="384" w:name="_Toc504472826"/>
      <w:r>
        <w:t>6.1.1</w:t>
      </w:r>
      <w:r>
        <w:rPr>
          <w:rFonts w:hint="eastAsia"/>
        </w:rPr>
        <w:t>项目安全生产的达标目标及相应事项的约定：</w:t>
      </w:r>
      <w:r>
        <w:rPr>
          <w:rFonts w:hint="eastAsia"/>
          <w:u w:val="single"/>
        </w:rPr>
        <w:t>达到项目所在地要求的合格标准。</w:t>
      </w:r>
      <w:bookmarkEnd w:id="384"/>
    </w:p>
    <w:p w14:paraId="23CF353D">
      <w:pPr>
        <w:ind w:firstLine="420" w:firstLineChars="200"/>
        <w:jc w:val="left"/>
      </w:pPr>
      <w:bookmarkStart w:id="385" w:name="_Toc504472827"/>
      <w:r>
        <w:t>6.1.4</w:t>
      </w:r>
      <w:r>
        <w:rPr>
          <w:rFonts w:hint="eastAsia"/>
        </w:rPr>
        <w:t>关于治安保卫的特别约定：</w:t>
      </w:r>
      <w:r>
        <w:rPr>
          <w:rFonts w:hint="eastAsia"/>
          <w:u w:val="single"/>
        </w:rPr>
        <w:t>制定相关应急预案和措施，并符合当地公安部门的要求。</w:t>
      </w:r>
      <w:bookmarkEnd w:id="385"/>
    </w:p>
    <w:p w14:paraId="06F8B0FF">
      <w:pPr>
        <w:ind w:firstLine="420" w:firstLineChars="200"/>
        <w:jc w:val="left"/>
      </w:pPr>
      <w:bookmarkStart w:id="386" w:name="_Toc504472828"/>
      <w:r>
        <w:rPr>
          <w:rFonts w:hint="eastAsia"/>
        </w:rPr>
        <w:t>关于编制施工场地治安管理计划的约定：</w:t>
      </w:r>
      <w:r>
        <w:rPr>
          <w:rFonts w:hint="eastAsia"/>
          <w:u w:val="single"/>
        </w:rPr>
        <w:t>开工前7日内提供</w:t>
      </w:r>
      <w:r>
        <w:rPr>
          <w:rFonts w:hint="eastAsia"/>
        </w:rPr>
        <w:t>。</w:t>
      </w:r>
      <w:bookmarkEnd w:id="386"/>
    </w:p>
    <w:p w14:paraId="745E364F">
      <w:pPr>
        <w:ind w:firstLine="420" w:firstLineChars="200"/>
        <w:jc w:val="left"/>
      </w:pPr>
      <w:bookmarkStart w:id="387" w:name="_Toc504472829"/>
      <w:r>
        <w:t>6.1.5</w:t>
      </w:r>
      <w:r>
        <w:rPr>
          <w:rFonts w:hint="eastAsia"/>
        </w:rPr>
        <w:t>文明施工</w:t>
      </w:r>
      <w:bookmarkEnd w:id="387"/>
    </w:p>
    <w:p w14:paraId="1752A0D4">
      <w:pPr>
        <w:ind w:firstLine="420" w:firstLineChars="200"/>
        <w:jc w:val="left"/>
      </w:pPr>
      <w:bookmarkStart w:id="388" w:name="_Toc504472830"/>
      <w:r>
        <w:rPr>
          <w:rFonts w:hint="eastAsia"/>
        </w:rPr>
        <w:t>合同当事人对文明施工的要求：</w:t>
      </w:r>
      <w:r>
        <w:rPr>
          <w:rFonts w:hint="eastAsia"/>
          <w:u w:val="single"/>
        </w:rPr>
        <w:t>达到国家、自治区的相关要求和标准。</w:t>
      </w:r>
      <w:bookmarkEnd w:id="388"/>
    </w:p>
    <w:p w14:paraId="49DEEB70">
      <w:pPr>
        <w:ind w:firstLine="420" w:firstLineChars="200"/>
        <w:jc w:val="left"/>
      </w:pPr>
      <w:bookmarkStart w:id="389" w:name="_Toc504472831"/>
      <w:r>
        <w:t>6.1.6</w:t>
      </w:r>
      <w:r>
        <w:rPr>
          <w:rFonts w:hint="eastAsia"/>
        </w:rPr>
        <w:t>关于安全文明施工费支付比例和支付期限的约定：</w:t>
      </w:r>
      <w:r>
        <w:rPr>
          <w:rFonts w:hint="eastAsia"/>
          <w:u w:val="single"/>
        </w:rPr>
        <w:t>纳入合同总价支付</w:t>
      </w:r>
      <w:r>
        <w:rPr>
          <w:rFonts w:hint="eastAsia"/>
        </w:rPr>
        <w:t>。</w:t>
      </w:r>
      <w:bookmarkEnd w:id="389"/>
    </w:p>
    <w:p w14:paraId="3F041BE6">
      <w:pPr>
        <w:ind w:firstLine="422" w:firstLineChars="200"/>
        <w:jc w:val="left"/>
        <w:rPr>
          <w:b/>
          <w:bCs/>
        </w:rPr>
      </w:pPr>
      <w:bookmarkStart w:id="390" w:name="_Toc504472832"/>
      <w:r>
        <w:rPr>
          <w:b/>
          <w:bCs/>
        </w:rPr>
        <w:t xml:space="preserve">7. </w:t>
      </w:r>
      <w:r>
        <w:rPr>
          <w:rFonts w:hint="eastAsia"/>
          <w:b/>
          <w:bCs/>
        </w:rPr>
        <w:t>工期和进度</w:t>
      </w:r>
      <w:bookmarkEnd w:id="390"/>
    </w:p>
    <w:p w14:paraId="7156DADD">
      <w:pPr>
        <w:ind w:firstLine="420" w:firstLineChars="200"/>
        <w:jc w:val="left"/>
      </w:pPr>
      <w:bookmarkStart w:id="391" w:name="_Toc504472833"/>
      <w:r>
        <w:t xml:space="preserve">7.1 </w:t>
      </w:r>
      <w:r>
        <w:rPr>
          <w:rFonts w:hint="eastAsia"/>
        </w:rPr>
        <w:t>施工组织设计</w:t>
      </w:r>
      <w:bookmarkEnd w:id="391"/>
    </w:p>
    <w:p w14:paraId="291F8627">
      <w:pPr>
        <w:ind w:firstLine="420" w:firstLineChars="200"/>
        <w:jc w:val="left"/>
      </w:pPr>
      <w:bookmarkStart w:id="392" w:name="_Toc504472834"/>
      <w:r>
        <w:t>7.1.1</w:t>
      </w:r>
      <w:r>
        <w:rPr>
          <w:rFonts w:hint="eastAsia"/>
        </w:rPr>
        <w:t>合同当事人约定的施工组织设计应包括的其他内容：</w:t>
      </w:r>
      <w:r>
        <w:rPr>
          <w:rFonts w:hint="eastAsia"/>
          <w:u w:val="single"/>
        </w:rPr>
        <w:t>施工方案、施工进度计划、施工现场平面布置图、劳动力需用量计划、材料需用量计划、机械设备需用量计划、资金需用量计划、承包人自有周转资金计划、质量保证体系、工期保证体系、安全保证体系、现场安全施工措施等</w:t>
      </w:r>
      <w:r>
        <w:rPr>
          <w:rFonts w:hint="eastAsia"/>
        </w:rPr>
        <w:t>。</w:t>
      </w:r>
      <w:bookmarkEnd w:id="392"/>
    </w:p>
    <w:p w14:paraId="064533F4">
      <w:pPr>
        <w:ind w:firstLine="420" w:firstLineChars="200"/>
        <w:jc w:val="left"/>
      </w:pPr>
      <w:bookmarkStart w:id="393" w:name="_Toc504472835"/>
      <w:r>
        <w:t>7.1.2</w:t>
      </w:r>
      <w:r>
        <w:rPr>
          <w:rFonts w:hint="eastAsia"/>
        </w:rPr>
        <w:t>施工组织设计的提交和修改</w:t>
      </w:r>
      <w:bookmarkEnd w:id="393"/>
    </w:p>
    <w:p w14:paraId="37E75C39">
      <w:pPr>
        <w:ind w:firstLine="420" w:firstLineChars="200"/>
        <w:jc w:val="left"/>
      </w:pPr>
      <w:bookmarkStart w:id="394" w:name="_Toc504472836"/>
      <w:r>
        <w:rPr>
          <w:rFonts w:hint="eastAsia"/>
        </w:rPr>
        <w:t>承包人提交详细施工组织设计的期限的约定：</w:t>
      </w:r>
      <w:r>
        <w:rPr>
          <w:rFonts w:hint="eastAsia"/>
          <w:bCs/>
          <w:u w:val="single"/>
        </w:rPr>
        <w:t>收到后7天内</w:t>
      </w:r>
      <w:r>
        <w:rPr>
          <w:rFonts w:hint="eastAsia"/>
        </w:rPr>
        <w:t>。</w:t>
      </w:r>
      <w:bookmarkEnd w:id="394"/>
    </w:p>
    <w:p w14:paraId="5B1E3C66">
      <w:pPr>
        <w:ind w:firstLine="420" w:firstLineChars="200"/>
        <w:jc w:val="left"/>
      </w:pPr>
      <w:bookmarkStart w:id="395" w:name="_Toc504472837"/>
      <w:r>
        <w:rPr>
          <w:rFonts w:hint="eastAsia"/>
        </w:rPr>
        <w:t>发包人和监理人在收到详细的施工组织设计后确认或提出修改意见的期限：</w:t>
      </w:r>
      <w:r>
        <w:rPr>
          <w:rFonts w:hint="eastAsia"/>
          <w:u w:val="single"/>
        </w:rPr>
        <w:t>收到施工组织设计后7日内提出修改意见或确认</w:t>
      </w:r>
      <w:r>
        <w:rPr>
          <w:rFonts w:hint="eastAsia"/>
        </w:rPr>
        <w:t>。</w:t>
      </w:r>
      <w:bookmarkEnd w:id="395"/>
    </w:p>
    <w:p w14:paraId="18F3B0E7">
      <w:pPr>
        <w:ind w:firstLine="420" w:firstLineChars="200"/>
        <w:jc w:val="left"/>
      </w:pPr>
      <w:bookmarkStart w:id="396" w:name="_Toc504472838"/>
      <w:r>
        <w:t xml:space="preserve">7.2 </w:t>
      </w:r>
      <w:r>
        <w:rPr>
          <w:rFonts w:hint="eastAsia"/>
        </w:rPr>
        <w:t>施工进度计划</w:t>
      </w:r>
      <w:bookmarkEnd w:id="396"/>
    </w:p>
    <w:p w14:paraId="14737F76">
      <w:pPr>
        <w:ind w:firstLine="420" w:firstLineChars="200"/>
        <w:jc w:val="left"/>
      </w:pPr>
      <w:bookmarkStart w:id="397" w:name="_Toc504472839"/>
      <w:r>
        <w:t>7.2.2</w:t>
      </w:r>
      <w:r>
        <w:rPr>
          <w:rFonts w:hint="eastAsia"/>
        </w:rPr>
        <w:t>施工进度计划的修订</w:t>
      </w:r>
      <w:bookmarkEnd w:id="397"/>
    </w:p>
    <w:p w14:paraId="616178B9">
      <w:pPr>
        <w:ind w:firstLine="420" w:firstLineChars="200"/>
        <w:jc w:val="left"/>
      </w:pPr>
      <w:bookmarkStart w:id="398" w:name="_Toc504472840"/>
      <w:r>
        <w:rPr>
          <w:rFonts w:hint="eastAsia"/>
        </w:rPr>
        <w:t>发包人和监理人在收到修订的施工进度计划后确认或提出修改意见的期限：</w:t>
      </w:r>
      <w:r>
        <w:rPr>
          <w:rFonts w:hint="eastAsia"/>
          <w:u w:val="single"/>
        </w:rPr>
        <w:t>收到施工组织设计后7日内确认</w:t>
      </w:r>
      <w:r>
        <w:rPr>
          <w:rFonts w:hint="eastAsia"/>
        </w:rPr>
        <w:t>。</w:t>
      </w:r>
      <w:bookmarkEnd w:id="398"/>
    </w:p>
    <w:p w14:paraId="1E90A353">
      <w:pPr>
        <w:ind w:firstLine="420" w:firstLineChars="200"/>
        <w:jc w:val="left"/>
      </w:pPr>
      <w:bookmarkStart w:id="399" w:name="_Toc504472841"/>
      <w:r>
        <w:t xml:space="preserve">7.3 </w:t>
      </w:r>
      <w:r>
        <w:rPr>
          <w:rFonts w:hint="eastAsia"/>
        </w:rPr>
        <w:t>开工</w:t>
      </w:r>
      <w:bookmarkEnd w:id="399"/>
    </w:p>
    <w:p w14:paraId="3CB3DD60">
      <w:pPr>
        <w:ind w:firstLine="420" w:firstLineChars="200"/>
        <w:jc w:val="left"/>
      </w:pPr>
      <w:bookmarkStart w:id="400" w:name="_Toc504472842"/>
      <w:r>
        <w:t>7.3.1</w:t>
      </w:r>
      <w:r>
        <w:rPr>
          <w:rFonts w:hint="eastAsia"/>
        </w:rPr>
        <w:t>开工准备</w:t>
      </w:r>
      <w:bookmarkEnd w:id="400"/>
    </w:p>
    <w:p w14:paraId="182F3E16">
      <w:pPr>
        <w:ind w:firstLine="420" w:firstLineChars="200"/>
        <w:jc w:val="left"/>
        <w:rPr>
          <w:u w:val="single"/>
        </w:rPr>
      </w:pPr>
      <w:bookmarkStart w:id="401" w:name="_Toc504472843"/>
      <w:r>
        <w:rPr>
          <w:rFonts w:hint="eastAsia"/>
        </w:rPr>
        <w:t>关于承包人提交工程开工报审表的期限：</w:t>
      </w:r>
      <w:r>
        <w:rPr>
          <w:rFonts w:hint="eastAsia"/>
          <w:u w:val="single"/>
        </w:rPr>
        <w:t>合同签订后7日内提供</w:t>
      </w:r>
      <w:r>
        <w:rPr>
          <w:rFonts w:hint="eastAsia"/>
        </w:rPr>
        <w:t>。</w:t>
      </w:r>
      <w:bookmarkEnd w:id="401"/>
    </w:p>
    <w:p w14:paraId="7FCFA2FB">
      <w:pPr>
        <w:ind w:firstLine="420" w:firstLineChars="200"/>
        <w:jc w:val="left"/>
      </w:pPr>
      <w:bookmarkStart w:id="402" w:name="_Toc504472844"/>
      <w:r>
        <w:rPr>
          <w:rFonts w:hint="eastAsia"/>
        </w:rPr>
        <w:t>关于发包人应完成的其他开工准备工作及期限：</w:t>
      </w:r>
      <w:r>
        <w:rPr>
          <w:rFonts w:hint="eastAsia"/>
          <w:u w:val="single"/>
        </w:rPr>
        <w:t>合同签订后7日内提供</w:t>
      </w:r>
      <w:r>
        <w:rPr>
          <w:rFonts w:hint="eastAsia"/>
        </w:rPr>
        <w:t>。</w:t>
      </w:r>
      <w:bookmarkEnd w:id="402"/>
    </w:p>
    <w:p w14:paraId="0AFA3756">
      <w:pPr>
        <w:ind w:firstLine="420" w:firstLineChars="200"/>
        <w:jc w:val="left"/>
      </w:pPr>
      <w:bookmarkStart w:id="403" w:name="_Toc504472845"/>
      <w:r>
        <w:rPr>
          <w:rFonts w:hint="eastAsia"/>
        </w:rPr>
        <w:t>关于承包人应完成的其他开工准备工作及期限：</w:t>
      </w:r>
      <w:r>
        <w:rPr>
          <w:rFonts w:hint="eastAsia"/>
          <w:u w:val="single"/>
        </w:rPr>
        <w:t>合同签订后7日内提供。</w:t>
      </w:r>
      <w:bookmarkEnd w:id="403"/>
    </w:p>
    <w:p w14:paraId="55534890">
      <w:pPr>
        <w:ind w:firstLine="420" w:firstLineChars="200"/>
        <w:jc w:val="left"/>
      </w:pPr>
      <w:bookmarkStart w:id="404" w:name="_Toc504472846"/>
      <w:r>
        <w:t>7.3.2</w:t>
      </w:r>
      <w:r>
        <w:rPr>
          <w:rFonts w:hint="eastAsia"/>
        </w:rPr>
        <w:t>开工通知</w:t>
      </w:r>
      <w:bookmarkEnd w:id="404"/>
    </w:p>
    <w:p w14:paraId="5B7F198E">
      <w:pPr>
        <w:ind w:firstLine="420" w:firstLineChars="200"/>
        <w:jc w:val="left"/>
      </w:pPr>
      <w:bookmarkStart w:id="405" w:name="_Toc504472847"/>
      <w:r>
        <w:rPr>
          <w:rFonts w:hint="eastAsia"/>
        </w:rPr>
        <w:t>因发包人原因造成监理人未能在计划开工日期之日起</w:t>
      </w:r>
      <w:r>
        <w:rPr>
          <w:rFonts w:hint="eastAsia"/>
          <w:u w:val="single"/>
        </w:rPr>
        <w:t>60</w:t>
      </w:r>
      <w:r>
        <w:rPr>
          <w:rFonts w:hint="eastAsia"/>
        </w:rPr>
        <w:t>天内发出开工通知的，承包人有权提出价格调整要求，或者解除合同。</w:t>
      </w:r>
      <w:bookmarkEnd w:id="405"/>
    </w:p>
    <w:p w14:paraId="38493AE2">
      <w:pPr>
        <w:ind w:firstLine="420" w:firstLineChars="200"/>
        <w:jc w:val="left"/>
      </w:pPr>
      <w:bookmarkStart w:id="406" w:name="_Toc504472848"/>
      <w:r>
        <w:t xml:space="preserve">7.4 </w:t>
      </w:r>
      <w:r>
        <w:rPr>
          <w:rFonts w:hint="eastAsia"/>
        </w:rPr>
        <w:t>测量放线</w:t>
      </w:r>
      <w:bookmarkEnd w:id="406"/>
    </w:p>
    <w:p w14:paraId="57EF5764">
      <w:pPr>
        <w:ind w:firstLine="420" w:firstLineChars="200"/>
        <w:jc w:val="left"/>
        <w:rPr>
          <w:u w:val="single"/>
        </w:rPr>
      </w:pPr>
      <w:bookmarkStart w:id="407" w:name="_Toc504472849"/>
      <w:r>
        <w:t>7.4.1</w:t>
      </w:r>
      <w:r>
        <w:rPr>
          <w:rFonts w:hint="eastAsia"/>
        </w:rPr>
        <w:t>发包人通过监理人向承包人提供测量基准点、基准线和水准点及其书面资料的期限：</w:t>
      </w:r>
      <w:r>
        <w:rPr>
          <w:rFonts w:hint="eastAsia"/>
          <w:u w:val="single"/>
        </w:rPr>
        <w:t>施工单位进场后7日内</w:t>
      </w:r>
      <w:r>
        <w:rPr>
          <w:rFonts w:hint="eastAsia"/>
        </w:rPr>
        <w:t>。</w:t>
      </w:r>
      <w:bookmarkEnd w:id="407"/>
    </w:p>
    <w:p w14:paraId="3F99E0CC">
      <w:pPr>
        <w:ind w:firstLine="420" w:firstLineChars="200"/>
        <w:jc w:val="left"/>
      </w:pPr>
      <w:bookmarkStart w:id="408" w:name="_Toc504472850"/>
      <w:r>
        <w:t xml:space="preserve">7.5 </w:t>
      </w:r>
      <w:r>
        <w:rPr>
          <w:rFonts w:hint="eastAsia"/>
        </w:rPr>
        <w:t>工期延误</w:t>
      </w:r>
      <w:bookmarkEnd w:id="408"/>
    </w:p>
    <w:p w14:paraId="12526445">
      <w:pPr>
        <w:ind w:firstLine="420" w:firstLineChars="200"/>
        <w:jc w:val="left"/>
      </w:pPr>
      <w:bookmarkStart w:id="409" w:name="_Toc504472851"/>
      <w:r>
        <w:t>7.5.1</w:t>
      </w:r>
      <w:r>
        <w:rPr>
          <w:rFonts w:hint="eastAsia"/>
        </w:rPr>
        <w:t>因发包人原因导致工期延误</w:t>
      </w:r>
      <w:bookmarkEnd w:id="409"/>
    </w:p>
    <w:p w14:paraId="4E300A95">
      <w:pPr>
        <w:ind w:firstLine="420" w:firstLineChars="200"/>
        <w:jc w:val="left"/>
      </w:pPr>
      <w:bookmarkStart w:id="410" w:name="_Toc504472852"/>
      <w:r>
        <w:rPr>
          <w:rFonts w:hint="eastAsia"/>
        </w:rPr>
        <w:t>（</w:t>
      </w:r>
      <w:r>
        <w:t>7</w:t>
      </w:r>
      <w:r>
        <w:rPr>
          <w:rFonts w:hint="eastAsia"/>
        </w:rPr>
        <w:t>）因发包人原因导致工期延误的其他情形：</w:t>
      </w:r>
      <w:r>
        <w:rPr>
          <w:rFonts w:hint="eastAsia"/>
          <w:bCs/>
          <w:u w:val="single"/>
        </w:rPr>
        <w:t>①发包人未按合同规定支付工程款并确实影响施工进度；②重大设计变更而影响施工进度；③政策处理问题影响施工进度；</w:t>
      </w:r>
      <w:r>
        <w:rPr>
          <w:rFonts w:hint="eastAsia"/>
          <w:bCs/>
          <w:u w:val="single"/>
        </w:rPr>
        <w:fldChar w:fldCharType="begin"/>
      </w:r>
      <w:r>
        <w:rPr>
          <w:rFonts w:hint="eastAsia"/>
          <w:bCs/>
          <w:u w:val="single"/>
        </w:rPr>
        <w:instrText xml:space="preserve"> = 4 \* GB3 </w:instrText>
      </w:r>
      <w:r>
        <w:rPr>
          <w:rFonts w:hint="eastAsia"/>
          <w:bCs/>
          <w:u w:val="single"/>
        </w:rPr>
        <w:fldChar w:fldCharType="separate"/>
      </w:r>
      <w:r>
        <w:rPr>
          <w:rFonts w:hint="eastAsia"/>
          <w:bCs/>
          <w:u w:val="single"/>
        </w:rPr>
        <w:t>④</w:t>
      </w:r>
      <w:r>
        <w:rPr>
          <w:rFonts w:hint="eastAsia"/>
        </w:rPr>
        <w:fldChar w:fldCharType="end"/>
      </w:r>
      <w:r>
        <w:rPr>
          <w:rFonts w:hint="eastAsia"/>
          <w:bCs/>
          <w:u w:val="single"/>
        </w:rPr>
        <w:t>不可抗力，此延误工期须在发现后七天内办理签证，逾期不予认可</w:t>
      </w:r>
      <w:r>
        <w:rPr>
          <w:rFonts w:hint="eastAsia"/>
        </w:rPr>
        <w:t>。</w:t>
      </w:r>
      <w:bookmarkEnd w:id="410"/>
    </w:p>
    <w:p w14:paraId="2B9EFF37">
      <w:pPr>
        <w:ind w:firstLine="420" w:firstLineChars="200"/>
        <w:jc w:val="left"/>
      </w:pPr>
      <w:bookmarkStart w:id="411" w:name="_Toc504472853"/>
      <w:r>
        <w:t>7.5.2</w:t>
      </w:r>
      <w:r>
        <w:rPr>
          <w:rFonts w:hint="eastAsia"/>
        </w:rPr>
        <w:t>因承包人原因导致工期延误</w:t>
      </w:r>
      <w:bookmarkEnd w:id="411"/>
    </w:p>
    <w:p w14:paraId="2879722A">
      <w:pPr>
        <w:ind w:firstLine="420" w:firstLineChars="200"/>
        <w:jc w:val="left"/>
      </w:pPr>
      <w:bookmarkStart w:id="412" w:name="_Toc504472854"/>
      <w:r>
        <w:rPr>
          <w:rFonts w:hint="eastAsia"/>
        </w:rPr>
        <w:t>因承包人原因造成工期延误，逾期竣工违约金的计算方法为：</w:t>
      </w:r>
      <w:r>
        <w:rPr>
          <w:rFonts w:hint="eastAsia"/>
          <w:u w:val="single"/>
        </w:rPr>
        <w:t>工期每延误一天，按合同价的2‰计算</w:t>
      </w:r>
      <w:r>
        <w:rPr>
          <w:rFonts w:hint="eastAsia"/>
        </w:rPr>
        <w:t>。</w:t>
      </w:r>
      <w:bookmarkEnd w:id="412"/>
    </w:p>
    <w:p w14:paraId="6AE601DB">
      <w:pPr>
        <w:ind w:firstLine="420" w:firstLineChars="200"/>
        <w:jc w:val="left"/>
      </w:pPr>
      <w:bookmarkStart w:id="413" w:name="_Toc504472855"/>
      <w:r>
        <w:rPr>
          <w:rFonts w:hint="eastAsia"/>
        </w:rPr>
        <w:t>因承包人原因造成工期延误，逾期竣工违约金的上限：</w:t>
      </w:r>
      <w:r>
        <w:rPr>
          <w:rFonts w:hint="eastAsia"/>
          <w:bCs/>
          <w:u w:val="single"/>
        </w:rPr>
        <w:t>最高赔偿不得超过合同价款的20%</w:t>
      </w:r>
      <w:r>
        <w:rPr>
          <w:rFonts w:hint="eastAsia"/>
          <w:bCs/>
        </w:rPr>
        <w:t>。</w:t>
      </w:r>
      <w:bookmarkEnd w:id="413"/>
    </w:p>
    <w:p w14:paraId="7FC0FFE1">
      <w:pPr>
        <w:ind w:firstLine="420" w:firstLineChars="200"/>
        <w:jc w:val="left"/>
      </w:pPr>
      <w:bookmarkStart w:id="414" w:name="_Toc504472856"/>
      <w:r>
        <w:t xml:space="preserve">7.6 </w:t>
      </w:r>
      <w:r>
        <w:rPr>
          <w:rFonts w:hint="eastAsia"/>
        </w:rPr>
        <w:t>不利物质条件</w:t>
      </w:r>
      <w:bookmarkEnd w:id="414"/>
    </w:p>
    <w:p w14:paraId="798DDBFC">
      <w:pPr>
        <w:ind w:firstLine="420" w:firstLineChars="200"/>
        <w:jc w:val="left"/>
      </w:pPr>
      <w:bookmarkStart w:id="415" w:name="_Toc504472857"/>
      <w:r>
        <w:rPr>
          <w:rFonts w:hint="eastAsia"/>
        </w:rPr>
        <w:t>不利物质条件的其他情形和有关约定：</w:t>
      </w:r>
      <w:r>
        <w:rPr>
          <w:rFonts w:hint="eastAsia"/>
          <w:u w:val="single"/>
        </w:rPr>
        <w:t>协商解决</w:t>
      </w:r>
      <w:r>
        <w:rPr>
          <w:rFonts w:hint="eastAsia"/>
        </w:rPr>
        <w:t>。</w:t>
      </w:r>
      <w:bookmarkEnd w:id="415"/>
    </w:p>
    <w:p w14:paraId="33C88D3D">
      <w:pPr>
        <w:ind w:firstLine="420" w:firstLineChars="200"/>
        <w:jc w:val="left"/>
      </w:pPr>
      <w:bookmarkStart w:id="416" w:name="_Toc504472858"/>
      <w:r>
        <w:t>7.7</w:t>
      </w:r>
      <w:r>
        <w:rPr>
          <w:rFonts w:hint="eastAsia"/>
        </w:rPr>
        <w:t>异常恶劣的气候条件</w:t>
      </w:r>
      <w:bookmarkEnd w:id="416"/>
    </w:p>
    <w:p w14:paraId="74A3EE33">
      <w:pPr>
        <w:ind w:firstLine="420" w:firstLineChars="200"/>
        <w:jc w:val="left"/>
      </w:pPr>
      <w:bookmarkStart w:id="417" w:name="_Toc504472859"/>
      <w:r>
        <w:rPr>
          <w:rFonts w:hint="eastAsia"/>
        </w:rPr>
        <w:t>发包人和承包人同意以下情形视为异常恶劣的气候条件：</w:t>
      </w:r>
      <w:bookmarkEnd w:id="417"/>
    </w:p>
    <w:p w14:paraId="2B1F42FE">
      <w:pPr>
        <w:ind w:firstLine="420" w:firstLineChars="200"/>
        <w:jc w:val="left"/>
      </w:pPr>
      <w:bookmarkStart w:id="418" w:name="_Toc504472860"/>
      <w:r>
        <w:rPr>
          <w:rFonts w:hint="eastAsia"/>
        </w:rPr>
        <w:t>（</w:t>
      </w:r>
      <w:r>
        <w:t>1</w:t>
      </w:r>
      <w:r>
        <w:rPr>
          <w:rFonts w:hint="eastAsia"/>
        </w:rPr>
        <w:t>）</w:t>
      </w:r>
      <w:r>
        <w:rPr>
          <w:rFonts w:hint="eastAsia"/>
          <w:u w:val="single"/>
        </w:rPr>
        <w:t>/</w:t>
      </w:r>
      <w:r>
        <w:rPr>
          <w:rFonts w:hint="eastAsia"/>
        </w:rPr>
        <w:t>；</w:t>
      </w:r>
      <w:bookmarkEnd w:id="418"/>
    </w:p>
    <w:p w14:paraId="0247A54A">
      <w:pPr>
        <w:ind w:firstLine="420" w:firstLineChars="200"/>
        <w:jc w:val="left"/>
      </w:pPr>
      <w:bookmarkStart w:id="419" w:name="_Toc504472861"/>
      <w:r>
        <w:rPr>
          <w:rFonts w:hint="eastAsia"/>
        </w:rPr>
        <w:t>（</w:t>
      </w:r>
      <w:r>
        <w:t>2</w:t>
      </w:r>
      <w:r>
        <w:rPr>
          <w:rFonts w:hint="eastAsia"/>
        </w:rPr>
        <w:t>）</w:t>
      </w:r>
      <w:r>
        <w:rPr>
          <w:rFonts w:hint="eastAsia"/>
          <w:u w:val="single"/>
        </w:rPr>
        <w:t>/</w:t>
      </w:r>
      <w:r>
        <w:rPr>
          <w:rFonts w:hint="eastAsia"/>
        </w:rPr>
        <w:t>；</w:t>
      </w:r>
      <w:bookmarkEnd w:id="419"/>
    </w:p>
    <w:p w14:paraId="6793A0A5">
      <w:pPr>
        <w:ind w:firstLine="420" w:firstLineChars="200"/>
        <w:jc w:val="left"/>
      </w:pPr>
      <w:bookmarkStart w:id="420" w:name="_Toc504472862"/>
      <w:r>
        <w:rPr>
          <w:rFonts w:hint="eastAsia"/>
        </w:rPr>
        <w:t>（</w:t>
      </w:r>
      <w:r>
        <w:t>3</w:t>
      </w:r>
      <w:r>
        <w:rPr>
          <w:rFonts w:hint="eastAsia"/>
        </w:rPr>
        <w:t>）</w:t>
      </w:r>
      <w:r>
        <w:rPr>
          <w:rFonts w:hint="eastAsia"/>
          <w:u w:val="single"/>
        </w:rPr>
        <w:t>/</w:t>
      </w:r>
      <w:r>
        <w:rPr>
          <w:rFonts w:hint="eastAsia"/>
        </w:rPr>
        <w:t>。</w:t>
      </w:r>
      <w:bookmarkEnd w:id="420"/>
    </w:p>
    <w:p w14:paraId="58A14146">
      <w:pPr>
        <w:ind w:firstLine="420" w:firstLineChars="200"/>
        <w:jc w:val="left"/>
      </w:pPr>
      <w:bookmarkStart w:id="421" w:name="_Toc504472863"/>
      <w:r>
        <w:t xml:space="preserve">7.9 </w:t>
      </w:r>
      <w:r>
        <w:rPr>
          <w:rFonts w:hint="eastAsia"/>
        </w:rPr>
        <w:t>提前竣工的奖励</w:t>
      </w:r>
      <w:bookmarkEnd w:id="421"/>
    </w:p>
    <w:p w14:paraId="1F57BD6B">
      <w:pPr>
        <w:ind w:firstLine="420" w:firstLineChars="200"/>
        <w:jc w:val="left"/>
      </w:pPr>
      <w:bookmarkStart w:id="422" w:name="_Toc504472864"/>
      <w:r>
        <w:t>7.9.2</w:t>
      </w:r>
      <w:r>
        <w:rPr>
          <w:rFonts w:hint="eastAsia"/>
        </w:rPr>
        <w:t>提前竣工的奖励：</w:t>
      </w:r>
      <w:r>
        <w:rPr>
          <w:rFonts w:hint="eastAsia"/>
          <w:b/>
          <w:bCs/>
          <w:u w:val="single"/>
        </w:rPr>
        <w:t xml:space="preserve">   /</w:t>
      </w:r>
      <w:bookmarkEnd w:id="422"/>
    </w:p>
    <w:p w14:paraId="0A1DBE1F">
      <w:pPr>
        <w:ind w:firstLine="422" w:firstLineChars="200"/>
        <w:jc w:val="left"/>
        <w:rPr>
          <w:b/>
        </w:rPr>
      </w:pPr>
      <w:bookmarkStart w:id="423" w:name="_Toc504472865"/>
      <w:r>
        <w:rPr>
          <w:b/>
        </w:rPr>
        <w:t xml:space="preserve">8. </w:t>
      </w:r>
      <w:r>
        <w:rPr>
          <w:rFonts w:hint="eastAsia"/>
          <w:b/>
        </w:rPr>
        <w:t>材料与设备</w:t>
      </w:r>
      <w:bookmarkEnd w:id="423"/>
    </w:p>
    <w:p w14:paraId="610B51ED">
      <w:pPr>
        <w:ind w:firstLine="420" w:firstLineChars="200"/>
        <w:jc w:val="left"/>
      </w:pPr>
      <w:bookmarkStart w:id="424" w:name="_Toc504472866"/>
      <w:r>
        <w:t>8.4</w:t>
      </w:r>
      <w:r>
        <w:rPr>
          <w:rFonts w:hint="eastAsia"/>
        </w:rPr>
        <w:t>材料与工程设备的保管与使用</w:t>
      </w:r>
      <w:bookmarkEnd w:id="424"/>
    </w:p>
    <w:p w14:paraId="444F85E7">
      <w:pPr>
        <w:ind w:firstLine="420" w:firstLineChars="200"/>
        <w:jc w:val="left"/>
      </w:pPr>
      <w:bookmarkStart w:id="425" w:name="_Toc504472867"/>
      <w:r>
        <w:t>8.4.1</w:t>
      </w:r>
      <w:r>
        <w:rPr>
          <w:rFonts w:hint="eastAsia"/>
        </w:rPr>
        <w:t>发包人供应的材料设备的保管费用的承担：</w:t>
      </w:r>
      <w:r>
        <w:rPr>
          <w:rFonts w:hint="eastAsia"/>
          <w:bCs/>
          <w:u w:val="single"/>
        </w:rPr>
        <w:t>发包人供应的材料设备使用前，由承包人负责检验、试验和验收，经承包人负责检验、试验和验收合格的材料设备，交由承包人保管，并承担相关费用；由承包人负责检验、试验和验收不合格的材料设备不得使用，发包人供应的材料设备检验或试验费用由发包人承担。</w:t>
      </w:r>
      <w:bookmarkEnd w:id="425"/>
    </w:p>
    <w:p w14:paraId="3B5C536F">
      <w:pPr>
        <w:ind w:firstLine="420" w:firstLineChars="200"/>
        <w:jc w:val="left"/>
      </w:pPr>
      <w:bookmarkStart w:id="426" w:name="_Toc504472868"/>
      <w:r>
        <w:t xml:space="preserve">8.6 </w:t>
      </w:r>
      <w:r>
        <w:rPr>
          <w:rFonts w:hint="eastAsia"/>
        </w:rPr>
        <w:t>样品</w:t>
      </w:r>
      <w:bookmarkEnd w:id="426"/>
    </w:p>
    <w:p w14:paraId="4E210265">
      <w:pPr>
        <w:ind w:firstLine="420" w:firstLineChars="200"/>
        <w:jc w:val="left"/>
      </w:pPr>
      <w:bookmarkStart w:id="427" w:name="_Toc504472869"/>
      <w:r>
        <w:t>8.6.1</w:t>
      </w:r>
      <w:r>
        <w:tab/>
      </w:r>
      <w:r>
        <w:rPr>
          <w:rFonts w:hint="eastAsia"/>
        </w:rPr>
        <w:t>样品的报送与封存</w:t>
      </w:r>
      <w:bookmarkEnd w:id="427"/>
    </w:p>
    <w:p w14:paraId="406B33EB">
      <w:pPr>
        <w:ind w:firstLine="420" w:firstLineChars="200"/>
        <w:jc w:val="left"/>
        <w:rPr>
          <w:u w:val="single"/>
        </w:rPr>
      </w:pPr>
      <w:bookmarkStart w:id="428" w:name="_Toc504472870"/>
      <w:r>
        <w:rPr>
          <w:rFonts w:hint="eastAsia"/>
        </w:rPr>
        <w:t>需要承包人报送样品的材料或工程设备，样品的种类、名称、规格、数量要求：</w:t>
      </w:r>
      <w:r>
        <w:rPr>
          <w:rFonts w:hint="eastAsia"/>
          <w:u w:val="single"/>
        </w:rPr>
        <w:t>所有材料设备，在进场前7日内，都必须需要承包人报送样品，经发包人、监理人确认后，方可使用。</w:t>
      </w:r>
      <w:bookmarkEnd w:id="428"/>
    </w:p>
    <w:p w14:paraId="652BF25D">
      <w:pPr>
        <w:ind w:firstLine="420" w:firstLineChars="200"/>
        <w:jc w:val="left"/>
      </w:pPr>
      <w:bookmarkStart w:id="429" w:name="_Toc504472871"/>
      <w:r>
        <w:t xml:space="preserve">8.8 </w:t>
      </w:r>
      <w:r>
        <w:rPr>
          <w:rFonts w:hint="eastAsia"/>
        </w:rPr>
        <w:t>施工设备和临时设施</w:t>
      </w:r>
      <w:bookmarkEnd w:id="429"/>
    </w:p>
    <w:p w14:paraId="01D6DF8D">
      <w:pPr>
        <w:ind w:firstLine="420" w:firstLineChars="200"/>
        <w:jc w:val="left"/>
      </w:pPr>
      <w:bookmarkStart w:id="430" w:name="_Toc504472872"/>
      <w:r>
        <w:t>8.8.1</w:t>
      </w:r>
      <w:r>
        <w:rPr>
          <w:rFonts w:hint="eastAsia"/>
        </w:rPr>
        <w:t>承包人提供的施工设备和临时设施</w:t>
      </w:r>
      <w:bookmarkEnd w:id="430"/>
    </w:p>
    <w:p w14:paraId="5652F050">
      <w:pPr>
        <w:ind w:firstLine="420" w:firstLineChars="200"/>
        <w:jc w:val="left"/>
        <w:rPr>
          <w:u w:val="single"/>
        </w:rPr>
      </w:pPr>
      <w:bookmarkStart w:id="431" w:name="_Toc504472873"/>
      <w:r>
        <w:rPr>
          <w:rFonts w:hint="eastAsia"/>
        </w:rPr>
        <w:t>关于修建临时设施费用承担的约定：</w:t>
      </w:r>
      <w:r>
        <w:rPr>
          <w:rFonts w:hint="eastAsia"/>
          <w:u w:val="single"/>
        </w:rPr>
        <w:t>由承包人承担。</w:t>
      </w:r>
      <w:bookmarkEnd w:id="431"/>
    </w:p>
    <w:p w14:paraId="35613369">
      <w:pPr>
        <w:ind w:firstLine="422" w:firstLineChars="200"/>
        <w:jc w:val="left"/>
        <w:rPr>
          <w:b/>
          <w:bCs/>
        </w:rPr>
      </w:pPr>
      <w:bookmarkStart w:id="432" w:name="_Toc504472874"/>
      <w:r>
        <w:rPr>
          <w:b/>
          <w:bCs/>
        </w:rPr>
        <w:t xml:space="preserve">9. </w:t>
      </w:r>
      <w:r>
        <w:rPr>
          <w:rFonts w:hint="eastAsia"/>
          <w:b/>
          <w:bCs/>
        </w:rPr>
        <w:t>试验与检验</w:t>
      </w:r>
      <w:bookmarkEnd w:id="432"/>
    </w:p>
    <w:p w14:paraId="30725F57">
      <w:pPr>
        <w:ind w:firstLine="420" w:firstLineChars="200"/>
        <w:jc w:val="left"/>
      </w:pPr>
      <w:bookmarkStart w:id="433" w:name="_Toc504472875"/>
      <w:r>
        <w:t>9.1</w:t>
      </w:r>
      <w:r>
        <w:rPr>
          <w:rFonts w:hint="eastAsia"/>
        </w:rPr>
        <w:t>试验设备与试验人员</w:t>
      </w:r>
      <w:bookmarkEnd w:id="433"/>
    </w:p>
    <w:p w14:paraId="6CBFFB5D">
      <w:pPr>
        <w:ind w:firstLine="420" w:firstLineChars="200"/>
        <w:jc w:val="left"/>
      </w:pPr>
      <w:bookmarkStart w:id="434" w:name="_Toc504472876"/>
      <w:r>
        <w:t>9.1.2</w:t>
      </w:r>
      <w:r>
        <w:rPr>
          <w:rFonts w:hint="eastAsia"/>
        </w:rPr>
        <w:t>试验设备</w:t>
      </w:r>
      <w:bookmarkEnd w:id="434"/>
    </w:p>
    <w:p w14:paraId="6F0B74EC">
      <w:pPr>
        <w:ind w:firstLine="420" w:firstLineChars="200"/>
        <w:jc w:val="left"/>
      </w:pPr>
      <w:bookmarkStart w:id="435" w:name="_Toc504472877"/>
      <w:r>
        <w:rPr>
          <w:rFonts w:hint="eastAsia"/>
        </w:rPr>
        <w:t>施工现场需要配置的试验场所：</w:t>
      </w:r>
      <w:r>
        <w:rPr>
          <w:rFonts w:hint="eastAsia"/>
          <w:u w:val="single"/>
        </w:rPr>
        <w:t>按有关规定执行。</w:t>
      </w:r>
      <w:bookmarkEnd w:id="435"/>
    </w:p>
    <w:p w14:paraId="28176D87">
      <w:pPr>
        <w:ind w:firstLine="420" w:firstLineChars="200"/>
        <w:jc w:val="left"/>
      </w:pPr>
      <w:bookmarkStart w:id="436" w:name="_Toc504472878"/>
      <w:r>
        <w:rPr>
          <w:rFonts w:hint="eastAsia"/>
        </w:rPr>
        <w:t>施工现场需要配备的试验设备：</w:t>
      </w:r>
      <w:r>
        <w:rPr>
          <w:rFonts w:hint="eastAsia"/>
          <w:u w:val="single"/>
        </w:rPr>
        <w:t>按有关规定执行。</w:t>
      </w:r>
      <w:bookmarkEnd w:id="436"/>
    </w:p>
    <w:p w14:paraId="2E092886">
      <w:pPr>
        <w:ind w:firstLine="420" w:firstLineChars="200"/>
        <w:jc w:val="left"/>
      </w:pPr>
      <w:bookmarkStart w:id="437" w:name="_Toc504472879"/>
      <w:r>
        <w:rPr>
          <w:rFonts w:hint="eastAsia"/>
        </w:rPr>
        <w:t>施工现场需要具备的其他试验条件：</w:t>
      </w:r>
      <w:r>
        <w:rPr>
          <w:rFonts w:hint="eastAsia"/>
          <w:u w:val="single"/>
        </w:rPr>
        <w:t>按有关规定执行。</w:t>
      </w:r>
      <w:bookmarkEnd w:id="437"/>
    </w:p>
    <w:p w14:paraId="5E9D866A">
      <w:pPr>
        <w:ind w:firstLine="420" w:firstLineChars="200"/>
        <w:jc w:val="left"/>
      </w:pPr>
      <w:bookmarkStart w:id="438" w:name="_Toc504472880"/>
      <w:r>
        <w:t xml:space="preserve">9.4 </w:t>
      </w:r>
      <w:r>
        <w:rPr>
          <w:rFonts w:hint="eastAsia"/>
        </w:rPr>
        <w:t>现场工艺试验</w:t>
      </w:r>
      <w:bookmarkEnd w:id="438"/>
    </w:p>
    <w:p w14:paraId="4B33743E">
      <w:pPr>
        <w:ind w:firstLine="420" w:firstLineChars="200"/>
        <w:jc w:val="left"/>
      </w:pPr>
      <w:bookmarkStart w:id="439" w:name="_Toc504472881"/>
      <w:r>
        <w:rPr>
          <w:rFonts w:hint="eastAsia"/>
        </w:rPr>
        <w:t>现场工艺试验的有关约定：</w:t>
      </w:r>
      <w:r>
        <w:rPr>
          <w:rFonts w:hint="eastAsia"/>
          <w:u w:val="single"/>
        </w:rPr>
        <w:t>/</w:t>
      </w:r>
      <w:bookmarkEnd w:id="439"/>
    </w:p>
    <w:p w14:paraId="4E3AE923">
      <w:pPr>
        <w:ind w:firstLine="422" w:firstLineChars="200"/>
        <w:jc w:val="left"/>
        <w:rPr>
          <w:b/>
          <w:bCs/>
        </w:rPr>
      </w:pPr>
      <w:bookmarkStart w:id="440" w:name="_Toc504472882"/>
      <w:r>
        <w:rPr>
          <w:b/>
          <w:bCs/>
        </w:rPr>
        <w:t xml:space="preserve">10. </w:t>
      </w:r>
      <w:r>
        <w:rPr>
          <w:rFonts w:hint="eastAsia"/>
          <w:b/>
          <w:bCs/>
        </w:rPr>
        <w:t>变更</w:t>
      </w:r>
      <w:bookmarkEnd w:id="440"/>
    </w:p>
    <w:p w14:paraId="6437B307">
      <w:pPr>
        <w:ind w:firstLine="420" w:firstLineChars="200"/>
        <w:jc w:val="left"/>
      </w:pPr>
      <w:bookmarkStart w:id="441" w:name="_Toc504472883"/>
      <w:r>
        <w:t>10.1</w:t>
      </w:r>
      <w:r>
        <w:rPr>
          <w:rFonts w:hint="eastAsia"/>
        </w:rPr>
        <w:t>变更的范围</w:t>
      </w:r>
      <w:bookmarkEnd w:id="441"/>
    </w:p>
    <w:p w14:paraId="3749F0C5">
      <w:pPr>
        <w:ind w:firstLine="420" w:firstLineChars="200"/>
        <w:jc w:val="left"/>
      </w:pPr>
      <w:bookmarkStart w:id="442" w:name="_Toc504472884"/>
      <w:r>
        <w:rPr>
          <w:rFonts w:hint="eastAsia"/>
        </w:rPr>
        <w:t>关于变更的范围的约定：</w:t>
      </w:r>
      <w:r>
        <w:rPr>
          <w:rFonts w:hint="eastAsia"/>
          <w:u w:val="single"/>
        </w:rPr>
        <w:t>执行通用条款并依据《清单计价规范》9.3条规定</w:t>
      </w:r>
      <w:r>
        <w:rPr>
          <w:rFonts w:hint="eastAsia"/>
        </w:rPr>
        <w:t>。</w:t>
      </w:r>
      <w:bookmarkEnd w:id="442"/>
    </w:p>
    <w:p w14:paraId="2AF485EE">
      <w:pPr>
        <w:ind w:firstLine="420" w:firstLineChars="200"/>
        <w:jc w:val="left"/>
      </w:pPr>
      <w:bookmarkStart w:id="443" w:name="_Toc504472885"/>
      <w:r>
        <w:t xml:space="preserve">10.4 </w:t>
      </w:r>
      <w:r>
        <w:rPr>
          <w:rFonts w:hint="eastAsia"/>
        </w:rPr>
        <w:t>变更估价</w:t>
      </w:r>
      <w:bookmarkEnd w:id="443"/>
    </w:p>
    <w:p w14:paraId="636ACAC4">
      <w:pPr>
        <w:ind w:firstLine="420" w:firstLineChars="200"/>
        <w:jc w:val="left"/>
      </w:pPr>
      <w:bookmarkStart w:id="444" w:name="_Toc504472886"/>
      <w:r>
        <w:t>10.4.1</w:t>
      </w:r>
      <w:r>
        <w:rPr>
          <w:rFonts w:hint="eastAsia"/>
        </w:rPr>
        <w:t>变更估价原则</w:t>
      </w:r>
      <w:bookmarkEnd w:id="444"/>
    </w:p>
    <w:p w14:paraId="7149ABEB">
      <w:pPr>
        <w:ind w:firstLine="420" w:firstLineChars="200"/>
        <w:jc w:val="left"/>
        <w:rPr>
          <w:bCs/>
          <w:u w:val="single"/>
        </w:rPr>
      </w:pPr>
      <w:bookmarkStart w:id="445" w:name="_Toc504472887"/>
      <w:r>
        <w:rPr>
          <w:rFonts w:hint="eastAsia"/>
        </w:rPr>
        <w:t>关于变更估价的约定</w:t>
      </w:r>
      <w:r>
        <w:t xml:space="preserve">: </w:t>
      </w:r>
      <w:r>
        <w:rPr>
          <w:rFonts w:hint="eastAsia"/>
          <w:bCs/>
          <w:u w:val="single"/>
        </w:rPr>
        <w:t>①合同中有相同或类似工程项目单价的，可以参照合同中相同或类似项目的综合单价计算确定。</w:t>
      </w:r>
      <w:bookmarkEnd w:id="445"/>
    </w:p>
    <w:p w14:paraId="66D2D919">
      <w:pPr>
        <w:ind w:firstLine="420" w:firstLineChars="200"/>
        <w:jc w:val="left"/>
        <w:rPr>
          <w:bCs/>
          <w:u w:val="single"/>
        </w:rPr>
      </w:pPr>
      <w:bookmarkStart w:id="446" w:name="_Toc504472888"/>
      <w:r>
        <w:rPr>
          <w:rFonts w:hint="eastAsia"/>
          <w:bCs/>
          <w:u w:val="single"/>
        </w:rPr>
        <w:t>②合同中没有类似工程项目综合单价的，由承包人根据合同中约定的组价原则或参考“计价依据”提出适当的单价，经发包人或其委托的工程造价咨询单位审定后，作为结算的依据。由承包人对增加的工程量或减少后剩余的工程量提出新的综合单价和措施项目费，经发包人确认后调整。</w:t>
      </w:r>
      <w:bookmarkEnd w:id="446"/>
    </w:p>
    <w:p w14:paraId="21422F7F">
      <w:pPr>
        <w:ind w:firstLine="420" w:firstLineChars="200"/>
        <w:jc w:val="left"/>
        <w:rPr>
          <w:bCs/>
          <w:u w:val="single"/>
        </w:rPr>
      </w:pPr>
      <w:bookmarkStart w:id="447" w:name="_Toc504472889"/>
      <w:r>
        <w:rPr>
          <w:rFonts w:hint="eastAsia"/>
          <w:bCs/>
          <w:u w:val="single"/>
        </w:rPr>
        <w:t>③由于清单项目中项目特征或工程内容发生部分变更的，应以原综合单价为基础，仅就变更部分相应定额子目调整综合单价。</w:t>
      </w:r>
      <w:bookmarkEnd w:id="447"/>
    </w:p>
    <w:p w14:paraId="0C634B2B">
      <w:pPr>
        <w:ind w:firstLine="420" w:firstLineChars="200"/>
        <w:jc w:val="left"/>
        <w:rPr>
          <w:bCs/>
          <w:u w:val="single"/>
        </w:rPr>
      </w:pPr>
      <w:bookmarkStart w:id="448" w:name="_Toc504472890"/>
      <w:r>
        <w:rPr>
          <w:rFonts w:hint="eastAsia"/>
          <w:bCs/>
          <w:u w:val="single"/>
        </w:rPr>
        <w:t>以上重新组价的综合单价不能高于2010年现行工程造价计价规则和计价依据规定计算的价格，并按中标时审定预算价和中标价间的下浮幅度下浮。</w:t>
      </w:r>
      <w:bookmarkEnd w:id="448"/>
    </w:p>
    <w:p w14:paraId="163E11AB">
      <w:pPr>
        <w:ind w:firstLine="420" w:firstLineChars="200"/>
        <w:jc w:val="left"/>
        <w:rPr>
          <w:bCs/>
          <w:u w:val="single"/>
        </w:rPr>
      </w:pPr>
      <w:bookmarkStart w:id="449" w:name="_Toc504472891"/>
      <w:r>
        <w:rPr>
          <w:rFonts w:hint="eastAsia"/>
          <w:bCs/>
          <w:u w:val="single"/>
        </w:rPr>
        <w:t>因设计变更、现场签证导致变更后的预算超过总预算或者分项预算的百分之五且金额超过五十万元的，承包人必须通知发包人，发包人应当书面通知审计机关（市审计局）派员现场见证。</w:t>
      </w:r>
      <w:bookmarkEnd w:id="449"/>
    </w:p>
    <w:p w14:paraId="1E0AE543">
      <w:pPr>
        <w:ind w:firstLine="420" w:firstLineChars="200"/>
        <w:jc w:val="left"/>
      </w:pPr>
      <w:bookmarkStart w:id="450" w:name="_Toc504472892"/>
      <w:r>
        <w:t>10.5</w:t>
      </w:r>
      <w:r>
        <w:rPr>
          <w:rFonts w:hint="eastAsia"/>
        </w:rPr>
        <w:t>承包人的合理化建议</w:t>
      </w:r>
      <w:bookmarkEnd w:id="450"/>
    </w:p>
    <w:p w14:paraId="359CBD85">
      <w:pPr>
        <w:ind w:firstLine="420" w:firstLineChars="200"/>
        <w:jc w:val="left"/>
      </w:pPr>
      <w:bookmarkStart w:id="451" w:name="_Toc504472893"/>
      <w:r>
        <w:rPr>
          <w:rFonts w:hint="eastAsia"/>
        </w:rPr>
        <w:t>监理人审查承包人合理化建议的期限：</w:t>
      </w:r>
      <w:r>
        <w:rPr>
          <w:rFonts w:hint="eastAsia"/>
          <w:u w:val="single"/>
        </w:rPr>
        <w:t>合理化建议提出后3日内</w:t>
      </w:r>
      <w:r>
        <w:rPr>
          <w:rFonts w:hint="eastAsia"/>
        </w:rPr>
        <w:t>。</w:t>
      </w:r>
      <w:bookmarkEnd w:id="451"/>
    </w:p>
    <w:p w14:paraId="115D9F8F">
      <w:pPr>
        <w:ind w:firstLine="420" w:firstLineChars="200"/>
        <w:jc w:val="left"/>
      </w:pPr>
      <w:bookmarkStart w:id="452" w:name="_Toc504472894"/>
      <w:r>
        <w:rPr>
          <w:rFonts w:hint="eastAsia"/>
        </w:rPr>
        <w:t>发包人审批承包人合理化建议的期限：</w:t>
      </w:r>
      <w:r>
        <w:rPr>
          <w:rFonts w:hint="eastAsia"/>
          <w:u w:val="single"/>
        </w:rPr>
        <w:t>合理化建议提出后3日内</w:t>
      </w:r>
      <w:r>
        <w:rPr>
          <w:rFonts w:hint="eastAsia"/>
        </w:rPr>
        <w:t>。</w:t>
      </w:r>
      <w:bookmarkEnd w:id="452"/>
    </w:p>
    <w:p w14:paraId="2FCC9EE7">
      <w:pPr>
        <w:ind w:firstLine="420" w:firstLineChars="200"/>
        <w:jc w:val="left"/>
        <w:rPr>
          <w:u w:val="single"/>
        </w:rPr>
      </w:pPr>
      <w:bookmarkStart w:id="453" w:name="_Toc504472895"/>
      <w:r>
        <w:rPr>
          <w:rFonts w:hint="eastAsia"/>
        </w:rPr>
        <w:t>承包人提出的合理化建议降低了合同价格或者提高了工程经济效益的奖励的方法和金额为：</w:t>
      </w:r>
      <w:r>
        <w:rPr>
          <w:rFonts w:hint="eastAsia"/>
          <w:u w:val="single"/>
        </w:rPr>
        <w:t>协商解决</w:t>
      </w:r>
      <w:r>
        <w:rPr>
          <w:rFonts w:hint="eastAsia"/>
        </w:rPr>
        <w:t>。</w:t>
      </w:r>
      <w:bookmarkEnd w:id="453"/>
    </w:p>
    <w:p w14:paraId="480AF31D">
      <w:pPr>
        <w:ind w:firstLine="420" w:firstLineChars="200"/>
        <w:jc w:val="left"/>
      </w:pPr>
      <w:bookmarkStart w:id="454" w:name="_Toc504472896"/>
      <w:r>
        <w:t xml:space="preserve">10.7 </w:t>
      </w:r>
      <w:r>
        <w:rPr>
          <w:rFonts w:hint="eastAsia"/>
        </w:rPr>
        <w:t>暂估价</w:t>
      </w:r>
      <w:bookmarkEnd w:id="454"/>
    </w:p>
    <w:p w14:paraId="3910AA8B">
      <w:pPr>
        <w:ind w:firstLine="420" w:firstLineChars="200"/>
        <w:jc w:val="left"/>
      </w:pPr>
      <w:bookmarkStart w:id="455" w:name="_Toc504472897"/>
      <w:r>
        <w:rPr>
          <w:rFonts w:hint="eastAsia"/>
        </w:rPr>
        <w:t>暂估价材料和工程设备的明细详见附件</w:t>
      </w:r>
      <w:r>
        <w:t>11</w:t>
      </w:r>
      <w:r>
        <w:rPr>
          <w:rFonts w:hint="eastAsia"/>
        </w:rPr>
        <w:t>：《暂估价一览表》。</w:t>
      </w:r>
      <w:bookmarkEnd w:id="455"/>
    </w:p>
    <w:p w14:paraId="1B3A2FC5">
      <w:pPr>
        <w:ind w:firstLine="420" w:firstLineChars="200"/>
        <w:jc w:val="left"/>
      </w:pPr>
      <w:bookmarkStart w:id="456" w:name="_Toc504472898"/>
      <w:r>
        <w:t>10.7.1</w:t>
      </w:r>
      <w:r>
        <w:rPr>
          <w:rFonts w:hint="eastAsia"/>
        </w:rPr>
        <w:t>依法必须招标的暂估价项目</w:t>
      </w:r>
      <w:bookmarkEnd w:id="456"/>
    </w:p>
    <w:p w14:paraId="40BBAC79">
      <w:pPr>
        <w:ind w:firstLine="420" w:firstLineChars="200"/>
        <w:jc w:val="left"/>
      </w:pPr>
      <w:bookmarkStart w:id="457" w:name="_Toc504472899"/>
      <w:r>
        <w:rPr>
          <w:rFonts w:hint="eastAsia"/>
        </w:rPr>
        <w:t>对于依法必须招标的暂估价项目的确认和批准采取第</w:t>
      </w:r>
      <w:r>
        <w:rPr>
          <w:rFonts w:hint="eastAsia"/>
          <w:u w:val="single"/>
        </w:rPr>
        <w:t>（1）</w:t>
      </w:r>
      <w:r>
        <w:rPr>
          <w:rFonts w:hint="eastAsia"/>
        </w:rPr>
        <w:t>种方式确定。</w:t>
      </w:r>
      <w:bookmarkEnd w:id="457"/>
    </w:p>
    <w:p w14:paraId="34C167B6">
      <w:pPr>
        <w:ind w:firstLine="420" w:firstLineChars="200"/>
        <w:jc w:val="left"/>
      </w:pPr>
      <w:bookmarkStart w:id="458" w:name="_Toc504472900"/>
      <w:r>
        <w:t>10.7.2</w:t>
      </w:r>
      <w:r>
        <w:rPr>
          <w:rFonts w:hint="eastAsia"/>
        </w:rPr>
        <w:t>不属于依法必须招标的暂估价项目</w:t>
      </w:r>
      <w:bookmarkEnd w:id="458"/>
    </w:p>
    <w:p w14:paraId="5228474B">
      <w:pPr>
        <w:ind w:firstLine="420" w:firstLineChars="200"/>
        <w:jc w:val="left"/>
      </w:pPr>
      <w:bookmarkStart w:id="459" w:name="_Toc504472901"/>
      <w:r>
        <w:rPr>
          <w:rFonts w:hint="eastAsia"/>
        </w:rPr>
        <w:t>对于不属于依法必须招标的暂估价项目的确认和批准采取第</w:t>
      </w:r>
      <w:r>
        <w:rPr>
          <w:rFonts w:hint="eastAsia"/>
          <w:u w:val="single"/>
        </w:rPr>
        <w:t>（1）</w:t>
      </w:r>
      <w:r>
        <w:rPr>
          <w:rFonts w:hint="eastAsia"/>
        </w:rPr>
        <w:t>种方式确定。</w:t>
      </w:r>
      <w:bookmarkEnd w:id="459"/>
    </w:p>
    <w:p w14:paraId="7FB255C4">
      <w:pPr>
        <w:ind w:firstLine="420" w:firstLineChars="200"/>
        <w:jc w:val="left"/>
      </w:pPr>
      <w:bookmarkStart w:id="460" w:name="_Toc504472902"/>
      <w:r>
        <w:rPr>
          <w:rFonts w:hint="eastAsia"/>
        </w:rPr>
        <w:t>第</w:t>
      </w:r>
      <w:r>
        <w:t>3</w:t>
      </w:r>
      <w:r>
        <w:rPr>
          <w:rFonts w:hint="eastAsia"/>
        </w:rPr>
        <w:t>种方式：承包人直接实施的暂估价项目</w:t>
      </w:r>
      <w:bookmarkEnd w:id="460"/>
    </w:p>
    <w:p w14:paraId="5E28D18F">
      <w:pPr>
        <w:ind w:firstLine="420" w:firstLineChars="200"/>
        <w:jc w:val="left"/>
      </w:pPr>
      <w:bookmarkStart w:id="461" w:name="_Toc504472903"/>
      <w:r>
        <w:rPr>
          <w:rFonts w:hint="eastAsia"/>
        </w:rPr>
        <w:t>承包人直接实施的暂估价项目的约定：</w:t>
      </w:r>
      <w:r>
        <w:rPr>
          <w:u w:val="single"/>
        </w:rPr>
        <w:t>在工程施工时，即可由发、承包双方对暂估价项目的综合单价进行确认；若不使用暂估价项目原报价的，应由承包人提出新的综合单价及计价依据，经发包人确认后</w:t>
      </w:r>
      <w:r>
        <w:rPr>
          <w:rFonts w:hint="eastAsia"/>
          <w:u w:val="single"/>
        </w:rPr>
        <w:t>予以</w:t>
      </w:r>
      <w:r>
        <w:rPr>
          <w:u w:val="single"/>
        </w:rPr>
        <w:t>调整。</w:t>
      </w:r>
      <w:r>
        <w:rPr>
          <w:rFonts w:hint="eastAsia"/>
          <w:u w:val="single"/>
        </w:rPr>
        <w:t>其余执行通用条款。</w:t>
      </w:r>
      <w:bookmarkEnd w:id="461"/>
    </w:p>
    <w:p w14:paraId="768C38AD">
      <w:pPr>
        <w:ind w:firstLine="420" w:firstLineChars="200"/>
        <w:jc w:val="left"/>
      </w:pPr>
      <w:bookmarkStart w:id="462" w:name="_Toc504472904"/>
      <w:r>
        <w:t xml:space="preserve">10.8 </w:t>
      </w:r>
      <w:r>
        <w:rPr>
          <w:rFonts w:hint="eastAsia"/>
        </w:rPr>
        <w:t>暂列金额</w:t>
      </w:r>
      <w:bookmarkEnd w:id="462"/>
    </w:p>
    <w:p w14:paraId="263A0B5E">
      <w:pPr>
        <w:ind w:firstLine="420" w:firstLineChars="200"/>
        <w:jc w:val="left"/>
      </w:pPr>
      <w:bookmarkStart w:id="463" w:name="_Toc504472905"/>
      <w:r>
        <w:rPr>
          <w:rFonts w:hint="eastAsia"/>
        </w:rPr>
        <w:t>合同当事人关于暂列金额使用的约定：</w:t>
      </w:r>
      <w:r>
        <w:rPr>
          <w:rFonts w:hint="eastAsia"/>
          <w:u w:val="single"/>
        </w:rPr>
        <w:t>详见本项目工程量清单。</w:t>
      </w:r>
      <w:r>
        <w:rPr>
          <w:rFonts w:hint="eastAsia"/>
          <w:bCs/>
          <w:u w:val="single"/>
        </w:rPr>
        <w:t>发生按实计取，不发生不计取任何费用；预付款支付扣除暂列金额。</w:t>
      </w:r>
      <w:bookmarkEnd w:id="463"/>
    </w:p>
    <w:p w14:paraId="209910D6">
      <w:pPr>
        <w:ind w:firstLine="422" w:firstLineChars="200"/>
        <w:jc w:val="left"/>
        <w:rPr>
          <w:b/>
          <w:bCs/>
        </w:rPr>
      </w:pPr>
      <w:bookmarkStart w:id="464" w:name="_Toc504472906"/>
      <w:bookmarkStart w:id="465" w:name="_Toc386132736"/>
      <w:r>
        <w:rPr>
          <w:b/>
          <w:bCs/>
        </w:rPr>
        <w:t xml:space="preserve">11. </w:t>
      </w:r>
      <w:r>
        <w:rPr>
          <w:rFonts w:hint="eastAsia"/>
          <w:b/>
          <w:bCs/>
        </w:rPr>
        <w:t>价格调整</w:t>
      </w:r>
      <w:bookmarkEnd w:id="464"/>
    </w:p>
    <w:p w14:paraId="076EE261">
      <w:pPr>
        <w:ind w:firstLine="420" w:firstLineChars="200"/>
        <w:jc w:val="left"/>
      </w:pPr>
      <w:bookmarkStart w:id="466" w:name="_Toc504472907"/>
      <w:r>
        <w:t xml:space="preserve">11.1 </w:t>
      </w:r>
      <w:r>
        <w:rPr>
          <w:rFonts w:hint="eastAsia"/>
        </w:rPr>
        <w:t>市场价格波动引起的调整</w:t>
      </w:r>
      <w:bookmarkEnd w:id="466"/>
    </w:p>
    <w:p w14:paraId="5C0E00E3">
      <w:pPr>
        <w:ind w:firstLine="420" w:firstLineChars="200"/>
        <w:jc w:val="left"/>
      </w:pPr>
      <w:bookmarkStart w:id="467" w:name="_Toc504472908"/>
      <w:r>
        <w:rPr>
          <w:rFonts w:hint="eastAsia"/>
        </w:rPr>
        <w:t>市场价格波动是否调整合同价格的约定：</w:t>
      </w:r>
      <w:r>
        <w:rPr>
          <w:rFonts w:hint="eastAsia"/>
          <w:u w:val="single"/>
        </w:rPr>
        <w:t>调整合同价格</w:t>
      </w:r>
      <w:r>
        <w:rPr>
          <w:rFonts w:hint="eastAsia"/>
        </w:rPr>
        <w:t>。</w:t>
      </w:r>
      <w:bookmarkEnd w:id="467"/>
    </w:p>
    <w:p w14:paraId="186D2A55">
      <w:pPr>
        <w:ind w:firstLine="420" w:firstLineChars="200"/>
        <w:jc w:val="left"/>
      </w:pPr>
      <w:bookmarkStart w:id="468" w:name="_Toc504472909"/>
      <w:r>
        <w:rPr>
          <w:rFonts w:hint="eastAsia"/>
        </w:rPr>
        <w:t>因市场价格波动调整合同价格，采用以下第</w:t>
      </w:r>
      <w:r>
        <w:rPr>
          <w:rFonts w:hint="eastAsia"/>
          <w:u w:val="single"/>
        </w:rPr>
        <w:t>（2）</w:t>
      </w:r>
      <w:r>
        <w:rPr>
          <w:rFonts w:hint="eastAsia"/>
        </w:rPr>
        <w:t>种方式对合同价格进行调整：</w:t>
      </w:r>
      <w:bookmarkEnd w:id="468"/>
    </w:p>
    <w:p w14:paraId="2ECC8E16">
      <w:pPr>
        <w:ind w:firstLine="420" w:firstLineChars="200"/>
        <w:jc w:val="left"/>
      </w:pPr>
      <w:bookmarkStart w:id="469" w:name="_Toc504472910"/>
      <w:r>
        <w:rPr>
          <w:rFonts w:hint="eastAsia"/>
        </w:rPr>
        <w:t>第</w:t>
      </w:r>
      <w:r>
        <w:t>1</w:t>
      </w:r>
      <w:r>
        <w:rPr>
          <w:rFonts w:hint="eastAsia"/>
        </w:rPr>
        <w:t>种方式：采用价格指数进行价格调整。</w:t>
      </w:r>
      <w:bookmarkEnd w:id="469"/>
    </w:p>
    <w:p w14:paraId="6BA8622A">
      <w:pPr>
        <w:ind w:firstLine="420" w:firstLineChars="200"/>
        <w:jc w:val="left"/>
        <w:rPr>
          <w:u w:val="single"/>
        </w:rPr>
      </w:pPr>
      <w:bookmarkStart w:id="470" w:name="_Toc504472911"/>
      <w:r>
        <w:rPr>
          <w:rFonts w:hint="eastAsia"/>
        </w:rPr>
        <w:t>关于各可调因子、定值和变值权重，以及基本价格指数及其来源的约定：</w:t>
      </w:r>
      <w:r>
        <w:rPr>
          <w:rFonts w:hint="eastAsia"/>
          <w:u w:val="single"/>
        </w:rPr>
        <w:t>/</w:t>
      </w:r>
      <w:r>
        <w:rPr>
          <w:rFonts w:hint="eastAsia"/>
        </w:rPr>
        <w:t>；</w:t>
      </w:r>
      <w:bookmarkEnd w:id="470"/>
    </w:p>
    <w:p w14:paraId="1BF5216D">
      <w:pPr>
        <w:ind w:firstLine="420" w:firstLineChars="200"/>
        <w:jc w:val="left"/>
        <w:rPr>
          <w:u w:val="single"/>
        </w:rPr>
      </w:pPr>
      <w:bookmarkStart w:id="471" w:name="_Toc504472912"/>
      <w:r>
        <w:rPr>
          <w:rFonts w:hint="eastAsia"/>
        </w:rPr>
        <w:t>第</w:t>
      </w:r>
      <w:r>
        <w:t>2</w:t>
      </w:r>
      <w:r>
        <w:rPr>
          <w:rFonts w:hint="eastAsia"/>
        </w:rPr>
        <w:t>种方式：</w:t>
      </w:r>
      <w:r>
        <w:rPr>
          <w:rFonts w:hint="eastAsia"/>
          <w:u w:val="single"/>
        </w:rPr>
        <w:t>采用造价信息进行价格调整。</w:t>
      </w:r>
      <w:bookmarkEnd w:id="471"/>
    </w:p>
    <w:p w14:paraId="2ED0DFB7">
      <w:pPr>
        <w:ind w:firstLine="420" w:firstLineChars="200"/>
        <w:jc w:val="left"/>
        <w:rPr>
          <w:u w:val="single"/>
        </w:rPr>
      </w:pPr>
      <w:bookmarkStart w:id="472" w:name="_Toc504472913"/>
      <w:r>
        <w:rPr>
          <w:rFonts w:hint="eastAsia"/>
          <w:u w:val="single"/>
        </w:rPr>
        <w:t>（1）</w:t>
      </w:r>
      <w:r>
        <w:rPr>
          <w:u w:val="single"/>
        </w:rPr>
        <w:t>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r>
        <w:rPr>
          <w:rFonts w:hint="eastAsia"/>
          <w:u w:val="single"/>
        </w:rPr>
        <w:t>。</w:t>
      </w:r>
      <w:bookmarkEnd w:id="472"/>
    </w:p>
    <w:p w14:paraId="645FB6FF">
      <w:pPr>
        <w:ind w:firstLine="420" w:firstLineChars="200"/>
        <w:jc w:val="left"/>
        <w:rPr>
          <w:u w:val="single"/>
        </w:rPr>
      </w:pPr>
      <w:bookmarkStart w:id="473" w:name="_Toc504472914"/>
      <w:r>
        <w:rPr>
          <w:rFonts w:hint="eastAsia"/>
          <w:u w:val="single"/>
        </w:rPr>
        <w:t>（</w:t>
      </w:r>
      <w:r>
        <w:rPr>
          <w:u w:val="single"/>
        </w:rPr>
        <w:t>2</w:t>
      </w:r>
      <w:r>
        <w:rPr>
          <w:rFonts w:hint="eastAsia"/>
          <w:u w:val="single"/>
        </w:rPr>
        <w:t>）关于基准价格的约定：签约合同价编制时的材料价格信息；采购最高限价编制时依据的造价站公布的信息价。</w:t>
      </w:r>
      <w:bookmarkEnd w:id="473"/>
    </w:p>
    <w:p w14:paraId="67D12617">
      <w:pPr>
        <w:ind w:firstLine="420" w:firstLineChars="200"/>
        <w:jc w:val="left"/>
        <w:rPr>
          <w:u w:val="single"/>
        </w:rPr>
      </w:pPr>
      <w:bookmarkStart w:id="474" w:name="_Toc504472915"/>
      <w:r>
        <w:rPr>
          <w:rFonts w:hint="eastAsia"/>
          <w:u w:val="single"/>
        </w:rPr>
        <w:t>专用合同条款</w:t>
      </w:r>
      <w:bookmarkEnd w:id="474"/>
    </w:p>
    <w:p w14:paraId="47D3BC93">
      <w:pPr>
        <w:pStyle w:val="70"/>
        <w:numPr>
          <w:ilvl w:val="0"/>
          <w:numId w:val="2"/>
        </w:numPr>
        <w:ind w:firstLineChars="0"/>
        <w:rPr>
          <w:u w:val="single"/>
        </w:rPr>
      </w:pPr>
      <w:bookmarkStart w:id="475" w:name="_Toc504472916"/>
      <w:r>
        <w:rPr>
          <w:rFonts w:hint="eastAsia"/>
          <w:u w:val="single"/>
        </w:rPr>
        <w:t>承包人在已标价工程量清单或预算书中载明的材料单价低于基准价格的：专用合同条款合同履行期间材料单价涨幅以基准价格为基础超过5</w:t>
      </w:r>
      <w:r>
        <w:rPr>
          <w:u w:val="single"/>
        </w:rPr>
        <w:t xml:space="preserve">  %</w:t>
      </w:r>
      <w:r>
        <w:rPr>
          <w:rFonts w:hint="eastAsia"/>
          <w:u w:val="single"/>
        </w:rPr>
        <w:t>时，或材料单价跌幅以已标价工程量清单或预算书中载明材料单价为基础超过5</w:t>
      </w:r>
      <w:r>
        <w:rPr>
          <w:u w:val="single"/>
        </w:rPr>
        <w:t xml:space="preserve"> %</w:t>
      </w:r>
      <w:r>
        <w:rPr>
          <w:rFonts w:hint="eastAsia"/>
          <w:u w:val="single"/>
        </w:rPr>
        <w:t>时，其超过部分据实调整。</w:t>
      </w:r>
      <w:bookmarkEnd w:id="475"/>
    </w:p>
    <w:p w14:paraId="0B968901">
      <w:pPr>
        <w:pStyle w:val="70"/>
        <w:numPr>
          <w:ilvl w:val="1"/>
          <w:numId w:val="2"/>
        </w:numPr>
        <w:ind w:firstLineChars="0"/>
        <w:rPr>
          <w:u w:val="single"/>
        </w:rPr>
      </w:pPr>
      <w:bookmarkStart w:id="476" w:name="_Toc504472917"/>
      <w:r>
        <w:rPr>
          <w:rFonts w:hint="eastAsia"/>
          <w:u w:val="single"/>
        </w:rPr>
        <w:t>承包人在已标价工程量清单或预算书中载明的材料单价高于基准价格的：专用合同条款合同履行期间材料单价跌幅以基准价格为基础超过5</w:t>
      </w:r>
      <w:r>
        <w:rPr>
          <w:u w:val="single"/>
        </w:rPr>
        <w:t xml:space="preserve"> %</w:t>
      </w:r>
      <w:r>
        <w:rPr>
          <w:rFonts w:hint="eastAsia"/>
          <w:u w:val="single"/>
        </w:rPr>
        <w:t>时，材料单价涨幅以已标价工程量清单或预算书中载明材料单价为基础超过5</w:t>
      </w:r>
      <w:r>
        <w:rPr>
          <w:u w:val="single"/>
        </w:rPr>
        <w:t xml:space="preserve"> %</w:t>
      </w:r>
      <w:r>
        <w:rPr>
          <w:rFonts w:hint="eastAsia"/>
          <w:u w:val="single"/>
        </w:rPr>
        <w:t>时，其超过部分据实调整。</w:t>
      </w:r>
      <w:bookmarkEnd w:id="476"/>
    </w:p>
    <w:p w14:paraId="656255B5">
      <w:pPr>
        <w:pStyle w:val="70"/>
        <w:numPr>
          <w:ilvl w:val="1"/>
          <w:numId w:val="2"/>
        </w:numPr>
        <w:ind w:firstLineChars="0"/>
        <w:rPr>
          <w:u w:val="single"/>
        </w:rPr>
      </w:pPr>
      <w:bookmarkStart w:id="477" w:name="_Toc504472918"/>
      <w:r>
        <w:rPr>
          <w:rFonts w:hint="eastAsia"/>
          <w:u w:val="single"/>
        </w:rPr>
        <w:t>承包人在已标价工程量清单或预算书中载明的材料单价等于基准单价的：专用合同条款合同履行期间材料单价涨跌幅以基准单价为基础超过</w:t>
      </w:r>
      <w:r>
        <w:rPr>
          <w:u w:val="single"/>
        </w:rPr>
        <w:t xml:space="preserve">±  </w:t>
      </w:r>
      <w:r>
        <w:rPr>
          <w:rFonts w:hint="eastAsia"/>
          <w:u w:val="single"/>
        </w:rPr>
        <w:t>5</w:t>
      </w:r>
      <w:r>
        <w:rPr>
          <w:u w:val="single"/>
        </w:rPr>
        <w:t xml:space="preserve"> %</w:t>
      </w:r>
      <w:r>
        <w:rPr>
          <w:rFonts w:hint="eastAsia"/>
          <w:u w:val="single"/>
        </w:rPr>
        <w:t>时，其超过部分据实调整。</w:t>
      </w:r>
      <w:bookmarkEnd w:id="477"/>
    </w:p>
    <w:p w14:paraId="7ECCB772">
      <w:pPr>
        <w:pStyle w:val="70"/>
        <w:numPr>
          <w:ilvl w:val="1"/>
          <w:numId w:val="2"/>
        </w:numPr>
        <w:ind w:firstLineChars="0"/>
        <w:rPr>
          <w:u w:val="single"/>
        </w:rPr>
      </w:pPr>
      <w:bookmarkStart w:id="478" w:name="_Toc504472919"/>
      <w:r>
        <w:rPr>
          <w:u w:val="single"/>
        </w:rPr>
        <w:t>施工机械台班单价或施工机械使用费发生变化超过省级或行业建设主管部门或其授权的工程造价管理机构规定的范围时，按规定调整合同价格</w:t>
      </w:r>
      <w:r>
        <w:rPr>
          <w:rFonts w:hint="eastAsia"/>
          <w:u w:val="single"/>
        </w:rPr>
        <w:t>。</w:t>
      </w:r>
      <w:bookmarkEnd w:id="478"/>
    </w:p>
    <w:p w14:paraId="1D85614E">
      <w:pPr>
        <w:ind w:firstLine="420" w:firstLineChars="200"/>
        <w:jc w:val="left"/>
      </w:pPr>
      <w:bookmarkStart w:id="479" w:name="_Toc504472920"/>
      <w:r>
        <w:rPr>
          <w:rFonts w:hint="eastAsia"/>
        </w:rPr>
        <w:t>第</w:t>
      </w:r>
      <w:r>
        <w:t>3</w:t>
      </w:r>
      <w:r>
        <w:rPr>
          <w:rFonts w:hint="eastAsia"/>
        </w:rPr>
        <w:t>种方式：其他价格调整方式：</w:t>
      </w:r>
      <w:r>
        <w:rPr>
          <w:rFonts w:hint="eastAsia"/>
          <w:u w:val="single"/>
        </w:rPr>
        <w:t>无</w:t>
      </w:r>
      <w:r>
        <w:rPr>
          <w:rFonts w:hint="eastAsia"/>
        </w:rPr>
        <w:t>。</w:t>
      </w:r>
      <w:bookmarkEnd w:id="479"/>
    </w:p>
    <w:p w14:paraId="0E6653E6">
      <w:pPr>
        <w:ind w:firstLine="422" w:firstLineChars="200"/>
        <w:jc w:val="left"/>
        <w:rPr>
          <w:b/>
          <w:bCs/>
        </w:rPr>
      </w:pPr>
      <w:bookmarkStart w:id="480" w:name="_Toc504472921"/>
      <w:r>
        <w:rPr>
          <w:b/>
          <w:bCs/>
        </w:rPr>
        <w:t xml:space="preserve">12. </w:t>
      </w:r>
      <w:r>
        <w:rPr>
          <w:rFonts w:hint="eastAsia"/>
          <w:b/>
          <w:bCs/>
        </w:rPr>
        <w:t>合同价格、计量与支付</w:t>
      </w:r>
      <w:bookmarkEnd w:id="465"/>
      <w:bookmarkEnd w:id="480"/>
    </w:p>
    <w:p w14:paraId="44FC0669">
      <w:pPr>
        <w:ind w:firstLine="420" w:firstLineChars="200"/>
        <w:jc w:val="left"/>
      </w:pPr>
      <w:bookmarkStart w:id="481" w:name="_Toc504472922"/>
      <w:r>
        <w:t xml:space="preserve">12.1 </w:t>
      </w:r>
      <w:r>
        <w:rPr>
          <w:rFonts w:hint="eastAsia"/>
        </w:rPr>
        <w:t>合同价格形式</w:t>
      </w:r>
      <w:bookmarkEnd w:id="481"/>
    </w:p>
    <w:p w14:paraId="34E6B845">
      <w:pPr>
        <w:ind w:firstLine="420" w:firstLineChars="200"/>
        <w:jc w:val="left"/>
        <w:rPr>
          <w:u w:val="single"/>
        </w:rPr>
      </w:pPr>
      <w:bookmarkStart w:id="482" w:name="_Toc504472923"/>
      <w:r>
        <w:rPr>
          <w:rFonts w:hint="eastAsia"/>
        </w:rPr>
        <w:t>发包人和承包人应在合同协议书中选择下列一种合同价格形式：</w:t>
      </w:r>
      <w:r>
        <w:rPr>
          <w:rFonts w:hint="eastAsia"/>
          <w:u w:val="single"/>
        </w:rPr>
        <w:t>单价合同</w:t>
      </w:r>
      <w:bookmarkEnd w:id="482"/>
    </w:p>
    <w:p w14:paraId="772A8F56">
      <w:pPr>
        <w:ind w:firstLine="420" w:firstLineChars="200"/>
        <w:jc w:val="left"/>
      </w:pPr>
      <w:bookmarkStart w:id="483" w:name="_Toc504472925"/>
      <w:r>
        <w:rPr>
          <w:rFonts w:hint="eastAsia"/>
        </w:rPr>
        <w:t>1、单价合同。</w:t>
      </w:r>
      <w:bookmarkEnd w:id="483"/>
    </w:p>
    <w:p w14:paraId="55B5E2C9">
      <w:pPr>
        <w:ind w:firstLine="420" w:firstLineChars="200"/>
        <w:jc w:val="left"/>
        <w:rPr>
          <w:u w:val="single"/>
        </w:rPr>
      </w:pPr>
      <w:bookmarkStart w:id="484" w:name="_Toc504472926"/>
      <w:r>
        <w:rPr>
          <w:rFonts w:hint="eastAsia"/>
        </w:rPr>
        <w:t>综合单价包含的风险范围：</w:t>
      </w:r>
      <w:r>
        <w:rPr>
          <w:rFonts w:hint="eastAsia"/>
          <w:u w:val="single"/>
        </w:rPr>
        <w:t>1、对于主要由市场价格波动导致的价格风险以及人工、材料、机械费用上涨风险；2、对于法律、法规、规章或有关政策出台导致工程税金、规费、人工发生变化，并由省级、行业建设行政主管部门或其授权的工程造价管理机构根据上述变化发布的政策性调整；3、对于承包人根据自身技术水平、管理、经营状况能够自主控制的风险。</w:t>
      </w:r>
      <w:bookmarkEnd w:id="484"/>
    </w:p>
    <w:p w14:paraId="29BE00C8">
      <w:pPr>
        <w:ind w:firstLine="420" w:firstLineChars="200"/>
        <w:jc w:val="left"/>
        <w:rPr>
          <w:u w:val="single"/>
        </w:rPr>
      </w:pPr>
      <w:bookmarkStart w:id="485" w:name="_Toc504472927"/>
      <w:r>
        <w:rPr>
          <w:rFonts w:hint="eastAsia"/>
        </w:rPr>
        <w:t>风险费用的计算方法：</w:t>
      </w:r>
      <w:r>
        <w:rPr>
          <w:rFonts w:hint="eastAsia"/>
          <w:u w:val="single"/>
        </w:rPr>
        <w:t>1、对于主要由市场价格波动导致的价格风险及人工、材料、机械费用上涨风险，如工程造价中的建筑材料、燃料等价格风险，承包人可承担5%以内的材料价格风险，10%施工机械使用费的风险。2、对于法律、法规、规章或有关政策出台导致工程税金、规费、人工发生变化，并由省级、行业建设行政主管部门或其授权的工程造价管理机构根据上述变化发布的政策性调整，承包人不应承担此类风险，应按照有关调整规定执行。3、对于承包人根据自身技术水平、管理、经营状况能够自主控制的风险，如承包人的管理费、利润的风险，承包人应结合市场情况，根据企业自身实际合理确定、自主报价，该部分风险由承包人全部承担。</w:t>
      </w:r>
      <w:bookmarkEnd w:id="485"/>
    </w:p>
    <w:p w14:paraId="107E3455">
      <w:pPr>
        <w:ind w:firstLine="420" w:firstLineChars="200"/>
        <w:jc w:val="left"/>
        <w:rPr>
          <w:u w:val="single"/>
        </w:rPr>
      </w:pPr>
      <w:bookmarkStart w:id="486" w:name="_Toc504472928"/>
      <w:r>
        <w:rPr>
          <w:rFonts w:hint="eastAsia"/>
        </w:rPr>
        <w:t>风险范围以外合同价格的调整方法：</w:t>
      </w:r>
      <w:r>
        <w:rPr>
          <w:rFonts w:hint="eastAsia"/>
          <w:u w:val="single"/>
        </w:rPr>
        <w:t>1</w:t>
      </w:r>
      <w:r>
        <w:rPr>
          <w:u w:val="single"/>
        </w:rPr>
        <w:t>、</w:t>
      </w:r>
      <w:r>
        <w:rPr>
          <w:rFonts w:hint="eastAsia"/>
          <w:u w:val="single"/>
        </w:rPr>
        <w:t>材料暂估价以发包人提供的工程量清单单价为准，结算时，若发生变动按发包人签字确认的单价给予找差，差价部分只计取税金；2、发包人控制承包人提供的暂估材料必须经发包人确认后方可进入结算。3、如施工期间政府部门新出台的需发包人代为承包人缴纳的税、费，此类税、费执行通用条款。4、暂列金额结算时按实际发生的计取，发生多少计取多少，不发生不计取，结算时扣回。5、计日工是按完成图纸以外的零星项目或工作，按合同约定的综合单位执行，发生多少计取多少，没发生不计取，结算时扣回。6、清单中列示的清单项，但实际施工过程中没有发生该项目清单，结算时将其清单项扣除。</w:t>
      </w:r>
      <w:bookmarkEnd w:id="486"/>
    </w:p>
    <w:p w14:paraId="23199A7B">
      <w:pPr>
        <w:ind w:firstLine="420" w:firstLineChars="200"/>
        <w:jc w:val="left"/>
      </w:pPr>
      <w:bookmarkStart w:id="487" w:name="_Toc504472929"/>
      <w:r>
        <w:t>2</w:t>
      </w:r>
      <w:r>
        <w:rPr>
          <w:rFonts w:hint="eastAsia"/>
        </w:rPr>
        <w:t>、总价合同。</w:t>
      </w:r>
      <w:bookmarkEnd w:id="487"/>
    </w:p>
    <w:p w14:paraId="4A570739">
      <w:pPr>
        <w:ind w:firstLine="420" w:firstLineChars="200"/>
        <w:jc w:val="left"/>
      </w:pPr>
      <w:bookmarkStart w:id="488" w:name="_Toc504472930"/>
      <w:r>
        <w:rPr>
          <w:rFonts w:hint="eastAsia"/>
        </w:rPr>
        <w:t>总价包含的风险范围：</w:t>
      </w:r>
      <w:r>
        <w:rPr>
          <w:rFonts w:hint="eastAsia"/>
          <w:u w:val="single"/>
        </w:rPr>
        <w:t>无</w:t>
      </w:r>
      <w:r>
        <w:rPr>
          <w:rFonts w:hint="eastAsia"/>
        </w:rPr>
        <w:t>。</w:t>
      </w:r>
      <w:bookmarkEnd w:id="488"/>
    </w:p>
    <w:p w14:paraId="3041DDFB">
      <w:pPr>
        <w:ind w:firstLine="420" w:firstLineChars="200"/>
        <w:jc w:val="left"/>
      </w:pPr>
      <w:bookmarkStart w:id="489" w:name="_Toc504472931"/>
      <w:r>
        <w:rPr>
          <w:rFonts w:hint="eastAsia"/>
        </w:rPr>
        <w:t>风险费用的计算方法：</w:t>
      </w:r>
      <w:r>
        <w:rPr>
          <w:rFonts w:hint="eastAsia"/>
          <w:u w:val="single"/>
        </w:rPr>
        <w:t>无</w:t>
      </w:r>
      <w:r>
        <w:rPr>
          <w:rFonts w:hint="eastAsia"/>
        </w:rPr>
        <w:t>。</w:t>
      </w:r>
      <w:bookmarkEnd w:id="489"/>
    </w:p>
    <w:p w14:paraId="597CD17B">
      <w:pPr>
        <w:ind w:firstLine="420" w:firstLineChars="200"/>
        <w:jc w:val="left"/>
      </w:pPr>
      <w:bookmarkStart w:id="490" w:name="_Toc504472932"/>
      <w:r>
        <w:rPr>
          <w:rFonts w:hint="eastAsia"/>
        </w:rPr>
        <w:t>风险范围以外合同价格的调整方法：</w:t>
      </w:r>
      <w:r>
        <w:rPr>
          <w:rFonts w:hint="eastAsia"/>
          <w:u w:val="single"/>
        </w:rPr>
        <w:t>无</w:t>
      </w:r>
      <w:r>
        <w:rPr>
          <w:rFonts w:hint="eastAsia"/>
        </w:rPr>
        <w:t>。</w:t>
      </w:r>
      <w:bookmarkEnd w:id="490"/>
    </w:p>
    <w:p w14:paraId="65B81276">
      <w:pPr>
        <w:ind w:firstLine="420" w:firstLineChars="200"/>
        <w:jc w:val="left"/>
      </w:pPr>
      <w:bookmarkStart w:id="491" w:name="_Toc504472933"/>
      <w:r>
        <w:t>3</w:t>
      </w:r>
      <w:r>
        <w:rPr>
          <w:rFonts w:hint="eastAsia"/>
        </w:rPr>
        <w:t>、其他价格方式：</w:t>
      </w:r>
      <w:r>
        <w:rPr>
          <w:rFonts w:hint="eastAsia"/>
          <w:u w:val="single"/>
        </w:rPr>
        <w:t>无</w:t>
      </w:r>
      <w:bookmarkEnd w:id="491"/>
    </w:p>
    <w:p w14:paraId="32565E8E">
      <w:pPr>
        <w:ind w:firstLine="420" w:firstLineChars="200"/>
        <w:jc w:val="left"/>
      </w:pPr>
      <w:bookmarkStart w:id="492" w:name="_Toc504472934"/>
      <w:r>
        <w:t xml:space="preserve">12.2 </w:t>
      </w:r>
      <w:r>
        <w:rPr>
          <w:rFonts w:hint="eastAsia"/>
        </w:rPr>
        <w:t>预付款</w:t>
      </w:r>
      <w:bookmarkEnd w:id="492"/>
    </w:p>
    <w:p w14:paraId="52066501">
      <w:pPr>
        <w:ind w:firstLine="420" w:firstLineChars="200"/>
        <w:jc w:val="left"/>
      </w:pPr>
      <w:bookmarkStart w:id="493" w:name="_Toc504472935"/>
      <w:r>
        <w:t>12.2.1</w:t>
      </w:r>
      <w:r>
        <w:rPr>
          <w:rFonts w:hint="eastAsia"/>
        </w:rPr>
        <w:t>预付款的支付</w:t>
      </w:r>
      <w:bookmarkEnd w:id="493"/>
    </w:p>
    <w:p w14:paraId="3BE8EB40">
      <w:pPr>
        <w:ind w:firstLine="422" w:firstLineChars="200"/>
        <w:jc w:val="left"/>
        <w:rPr>
          <w:b/>
        </w:rPr>
      </w:pPr>
      <w:bookmarkStart w:id="494" w:name="_Toc504472936"/>
      <w:r>
        <w:rPr>
          <w:rFonts w:hint="eastAsia"/>
          <w:b/>
        </w:rPr>
        <w:t>预付款支付比例或金额：</w:t>
      </w:r>
      <w:r>
        <w:rPr>
          <w:rFonts w:hint="eastAsia"/>
          <w:u w:val="single"/>
        </w:rPr>
        <w:t>合同价款的30%（不含暂列金额）</w:t>
      </w:r>
      <w:r>
        <w:rPr>
          <w:rFonts w:hint="eastAsia"/>
          <w:b/>
        </w:rPr>
        <w:t>。。</w:t>
      </w:r>
      <w:bookmarkEnd w:id="494"/>
    </w:p>
    <w:p w14:paraId="5E745EA7">
      <w:pPr>
        <w:ind w:firstLine="422" w:firstLineChars="200"/>
        <w:jc w:val="left"/>
        <w:rPr>
          <w:b/>
          <w:u w:val="single"/>
        </w:rPr>
      </w:pPr>
      <w:bookmarkStart w:id="495" w:name="_Toc504472937"/>
      <w:r>
        <w:rPr>
          <w:rFonts w:hint="eastAsia"/>
          <w:b/>
        </w:rPr>
        <w:t>预付款支付期限：</w:t>
      </w:r>
      <w:bookmarkEnd w:id="495"/>
      <w:r>
        <w:rPr>
          <w:rFonts w:hint="eastAsia"/>
          <w:szCs w:val="21"/>
          <w:u w:val="single"/>
        </w:rPr>
        <w:t>承包人提交了履约保证金并签订合同后</w:t>
      </w:r>
      <w:r>
        <w:rPr>
          <w:rFonts w:hint="eastAsia"/>
          <w:u w:val="single"/>
        </w:rPr>
        <w:t>7日内</w:t>
      </w:r>
      <w:r>
        <w:rPr>
          <w:rFonts w:hint="eastAsia"/>
          <w:szCs w:val="21"/>
          <w:u w:val="single"/>
        </w:rPr>
        <w:t xml:space="preserve"> 。</w:t>
      </w:r>
    </w:p>
    <w:p w14:paraId="1FAD800A">
      <w:pPr>
        <w:ind w:firstLine="422" w:firstLineChars="200"/>
        <w:jc w:val="left"/>
        <w:rPr>
          <w:b/>
        </w:rPr>
      </w:pPr>
      <w:bookmarkStart w:id="496" w:name="_Toc504472938"/>
      <w:r>
        <w:rPr>
          <w:rFonts w:hint="eastAsia"/>
          <w:b/>
        </w:rPr>
        <w:t>预付款扣回的方式：</w:t>
      </w:r>
      <w:bookmarkEnd w:id="496"/>
      <w:r>
        <w:rPr>
          <w:rFonts w:hint="eastAsia" w:ascii="宋体" w:hAnsi="宋体" w:cs="宋体"/>
          <w:kern w:val="0"/>
          <w:szCs w:val="21"/>
          <w:u w:val="single"/>
        </w:rPr>
        <w:t>当发包人付给承包人的工程款累计达到合同价的30%后，发包人在累计支付金额达到合同价款（不含暂列金）的70%前全部扣回。</w:t>
      </w:r>
    </w:p>
    <w:p w14:paraId="356089A4">
      <w:pPr>
        <w:ind w:firstLine="420" w:firstLineChars="200"/>
        <w:jc w:val="left"/>
      </w:pPr>
      <w:bookmarkStart w:id="497" w:name="_Toc504472939"/>
      <w:r>
        <w:t>12.2.2</w:t>
      </w:r>
      <w:r>
        <w:rPr>
          <w:rFonts w:hint="eastAsia"/>
        </w:rPr>
        <w:t>预付款担保：</w:t>
      </w:r>
      <w:r>
        <w:rPr>
          <w:rFonts w:hint="eastAsia"/>
          <w:u w:val="single"/>
        </w:rPr>
        <w:t xml:space="preserve">    /  </w:t>
      </w:r>
      <w:r>
        <w:rPr>
          <w:rFonts w:hint="eastAsia"/>
        </w:rPr>
        <w:t>。</w:t>
      </w:r>
      <w:bookmarkEnd w:id="497"/>
    </w:p>
    <w:p w14:paraId="16F19CF7">
      <w:pPr>
        <w:ind w:firstLine="420" w:firstLineChars="200"/>
        <w:jc w:val="left"/>
        <w:rPr>
          <w:b/>
          <w:u w:val="single"/>
        </w:rPr>
      </w:pPr>
      <w:bookmarkStart w:id="498" w:name="_Toc504472940"/>
      <w:r>
        <w:rPr>
          <w:rFonts w:hint="eastAsia"/>
        </w:rPr>
        <w:t>预付款担保的形式为：</w:t>
      </w:r>
      <w:bookmarkEnd w:id="498"/>
      <w:r>
        <w:rPr>
          <w:rFonts w:hint="eastAsia"/>
          <w:u w:val="single"/>
        </w:rPr>
        <w:t xml:space="preserve">/ </w:t>
      </w:r>
    </w:p>
    <w:p w14:paraId="08CFE12E">
      <w:pPr>
        <w:ind w:firstLine="420" w:firstLineChars="200"/>
        <w:jc w:val="left"/>
      </w:pPr>
      <w:bookmarkStart w:id="499" w:name="_Toc504472941"/>
      <w:r>
        <w:t xml:space="preserve">12.3 </w:t>
      </w:r>
      <w:r>
        <w:rPr>
          <w:rFonts w:hint="eastAsia"/>
        </w:rPr>
        <w:t>计量</w:t>
      </w:r>
      <w:bookmarkEnd w:id="499"/>
    </w:p>
    <w:p w14:paraId="3E8523BD">
      <w:pPr>
        <w:ind w:firstLine="420" w:firstLineChars="200"/>
        <w:jc w:val="left"/>
      </w:pPr>
      <w:bookmarkStart w:id="500" w:name="_Toc504472942"/>
      <w:r>
        <w:t>12.3.1</w:t>
      </w:r>
      <w:r>
        <w:rPr>
          <w:rFonts w:hint="eastAsia"/>
        </w:rPr>
        <w:t>计量原则</w:t>
      </w:r>
      <w:bookmarkEnd w:id="500"/>
    </w:p>
    <w:p w14:paraId="0A212909">
      <w:pPr>
        <w:ind w:firstLine="420" w:firstLineChars="200"/>
        <w:jc w:val="left"/>
      </w:pPr>
      <w:bookmarkStart w:id="501" w:name="_Toc504472943"/>
      <w:r>
        <w:rPr>
          <w:rFonts w:hint="eastAsia"/>
        </w:rPr>
        <w:t>工程量计算规则：</w:t>
      </w:r>
      <w:r>
        <w:rPr>
          <w:rFonts w:hint="eastAsia"/>
          <w:u w:val="single"/>
        </w:rPr>
        <w:t>按国家有关规定执行</w:t>
      </w:r>
      <w:r>
        <w:rPr>
          <w:rFonts w:hint="eastAsia"/>
        </w:rPr>
        <w:t>。</w:t>
      </w:r>
      <w:bookmarkEnd w:id="501"/>
    </w:p>
    <w:p w14:paraId="7EED70FD">
      <w:pPr>
        <w:ind w:firstLine="420" w:firstLineChars="200"/>
        <w:jc w:val="left"/>
      </w:pPr>
      <w:bookmarkStart w:id="502" w:name="_Toc504472944"/>
      <w:r>
        <w:t>12.3.2</w:t>
      </w:r>
      <w:r>
        <w:rPr>
          <w:rFonts w:hint="eastAsia"/>
        </w:rPr>
        <w:t>计量周期</w:t>
      </w:r>
      <w:bookmarkEnd w:id="502"/>
    </w:p>
    <w:p w14:paraId="28C038F7">
      <w:pPr>
        <w:ind w:firstLine="420" w:firstLineChars="200"/>
        <w:jc w:val="left"/>
      </w:pPr>
      <w:bookmarkStart w:id="503" w:name="_Toc504472945"/>
      <w:r>
        <w:rPr>
          <w:rFonts w:hint="eastAsia"/>
        </w:rPr>
        <w:t>关于计量周期的约定：</w:t>
      </w:r>
      <w:r>
        <w:rPr>
          <w:rFonts w:hint="eastAsia"/>
          <w:u w:val="single"/>
        </w:rPr>
        <w:t>按月计量</w:t>
      </w:r>
      <w:r>
        <w:rPr>
          <w:rFonts w:hint="eastAsia"/>
        </w:rPr>
        <w:t>。</w:t>
      </w:r>
      <w:bookmarkEnd w:id="503"/>
    </w:p>
    <w:p w14:paraId="5C088A37">
      <w:pPr>
        <w:ind w:firstLine="420" w:firstLineChars="200"/>
        <w:jc w:val="left"/>
      </w:pPr>
      <w:bookmarkStart w:id="504" w:name="_Toc504472946"/>
      <w:r>
        <w:t>12.3.3</w:t>
      </w:r>
      <w:r>
        <w:rPr>
          <w:rFonts w:hint="eastAsia"/>
        </w:rPr>
        <w:t>单价合同的计量</w:t>
      </w:r>
      <w:bookmarkEnd w:id="504"/>
    </w:p>
    <w:p w14:paraId="7424F8D2">
      <w:pPr>
        <w:ind w:firstLine="420" w:firstLineChars="200"/>
        <w:jc w:val="left"/>
      </w:pPr>
      <w:bookmarkStart w:id="505" w:name="_Toc504472947"/>
      <w:r>
        <w:rPr>
          <w:rFonts w:hint="eastAsia"/>
        </w:rPr>
        <w:t>关于单价合同计量的约定：</w:t>
      </w:r>
      <w:r>
        <w:rPr>
          <w:rFonts w:hint="eastAsia"/>
          <w:u w:val="single"/>
        </w:rPr>
        <w:t>按月计量</w:t>
      </w:r>
      <w:r>
        <w:rPr>
          <w:rFonts w:hint="eastAsia"/>
        </w:rPr>
        <w:t>。</w:t>
      </w:r>
      <w:bookmarkEnd w:id="505"/>
    </w:p>
    <w:p w14:paraId="4FE2761E">
      <w:pPr>
        <w:ind w:firstLine="420" w:firstLineChars="200"/>
        <w:jc w:val="left"/>
      </w:pPr>
      <w:bookmarkStart w:id="506" w:name="_Toc504472948"/>
      <w:r>
        <w:t>12.3.4</w:t>
      </w:r>
      <w:r>
        <w:rPr>
          <w:rFonts w:hint="eastAsia"/>
        </w:rPr>
        <w:t>总价合同的计量</w:t>
      </w:r>
      <w:bookmarkEnd w:id="506"/>
    </w:p>
    <w:p w14:paraId="2E134C99">
      <w:pPr>
        <w:ind w:firstLine="420" w:firstLineChars="200"/>
        <w:jc w:val="left"/>
      </w:pPr>
      <w:bookmarkStart w:id="507" w:name="_Toc504472949"/>
      <w:r>
        <w:rPr>
          <w:rFonts w:hint="eastAsia"/>
        </w:rPr>
        <w:t>关于总价合同计量的约定：</w:t>
      </w:r>
      <w:r>
        <w:rPr>
          <w:rFonts w:hint="eastAsia"/>
          <w:u w:val="single"/>
        </w:rPr>
        <w:t>无</w:t>
      </w:r>
      <w:r>
        <w:rPr>
          <w:rFonts w:hint="eastAsia"/>
        </w:rPr>
        <w:t>。</w:t>
      </w:r>
      <w:bookmarkEnd w:id="507"/>
    </w:p>
    <w:p w14:paraId="31D4B66D">
      <w:pPr>
        <w:ind w:firstLine="420" w:firstLineChars="200"/>
        <w:jc w:val="left"/>
      </w:pPr>
      <w:bookmarkStart w:id="508" w:name="_Toc504472950"/>
      <w:r>
        <w:t>12.3.5</w:t>
      </w:r>
      <w:r>
        <w:rPr>
          <w:rFonts w:hint="eastAsia"/>
        </w:rPr>
        <w:t>总价合同采用支付分解表计量支付的，是否适用第</w:t>
      </w:r>
      <w:r>
        <w:t xml:space="preserve">12.3.4 </w:t>
      </w:r>
      <w:r>
        <w:rPr>
          <w:rFonts w:hint="eastAsia"/>
        </w:rPr>
        <w:t>项〔总价合同的计量〕约定进行计量：</w:t>
      </w:r>
      <w:r>
        <w:rPr>
          <w:rFonts w:hint="eastAsia"/>
          <w:u w:val="single"/>
        </w:rPr>
        <w:t>无</w:t>
      </w:r>
      <w:r>
        <w:rPr>
          <w:rFonts w:hint="eastAsia"/>
        </w:rPr>
        <w:t>。</w:t>
      </w:r>
      <w:bookmarkEnd w:id="508"/>
    </w:p>
    <w:p w14:paraId="38B64362">
      <w:pPr>
        <w:ind w:firstLine="420" w:firstLineChars="200"/>
        <w:jc w:val="left"/>
      </w:pPr>
      <w:bookmarkStart w:id="509" w:name="_Toc504472951"/>
      <w:r>
        <w:t>12.3.6</w:t>
      </w:r>
      <w:r>
        <w:rPr>
          <w:rFonts w:hint="eastAsia"/>
        </w:rPr>
        <w:t>其他价格形式合同的计量</w:t>
      </w:r>
      <w:bookmarkEnd w:id="509"/>
    </w:p>
    <w:p w14:paraId="14A80FB5">
      <w:pPr>
        <w:ind w:firstLine="420" w:firstLineChars="200"/>
        <w:jc w:val="left"/>
        <w:rPr>
          <w:u w:val="single"/>
        </w:rPr>
      </w:pPr>
      <w:bookmarkStart w:id="510" w:name="_Toc504472952"/>
      <w:r>
        <w:rPr>
          <w:rFonts w:hint="eastAsia"/>
        </w:rPr>
        <w:t>其他价格形式的计量方式和程序：</w:t>
      </w:r>
      <w:r>
        <w:rPr>
          <w:rFonts w:hint="eastAsia"/>
          <w:u w:val="single"/>
        </w:rPr>
        <w:t>无</w:t>
      </w:r>
      <w:bookmarkEnd w:id="510"/>
    </w:p>
    <w:p w14:paraId="605B5B04">
      <w:pPr>
        <w:ind w:firstLine="420" w:firstLineChars="200"/>
        <w:jc w:val="left"/>
      </w:pPr>
      <w:bookmarkStart w:id="511" w:name="_Toc504472953"/>
      <w:r>
        <w:t xml:space="preserve">12.4 </w:t>
      </w:r>
      <w:r>
        <w:rPr>
          <w:rFonts w:hint="eastAsia"/>
        </w:rPr>
        <w:t>工程进度款支付</w:t>
      </w:r>
      <w:bookmarkEnd w:id="511"/>
    </w:p>
    <w:p w14:paraId="012BB2D4">
      <w:pPr>
        <w:ind w:firstLine="420" w:firstLineChars="200"/>
        <w:jc w:val="left"/>
      </w:pPr>
      <w:bookmarkStart w:id="512" w:name="_Toc504472954"/>
      <w:r>
        <w:t>12.4.1</w:t>
      </w:r>
      <w:r>
        <w:rPr>
          <w:rFonts w:hint="eastAsia"/>
        </w:rPr>
        <w:t>付款周期</w:t>
      </w:r>
      <w:bookmarkEnd w:id="512"/>
    </w:p>
    <w:p w14:paraId="53D02086">
      <w:pPr>
        <w:ind w:firstLine="420" w:firstLineChars="200"/>
        <w:jc w:val="left"/>
        <w:rPr>
          <w:u w:val="single"/>
        </w:rPr>
      </w:pPr>
      <w:bookmarkStart w:id="513" w:name="_Toc504472955"/>
      <w:r>
        <w:rPr>
          <w:rFonts w:hint="eastAsia"/>
        </w:rPr>
        <w:t>关于付款周期的约定：</w:t>
      </w:r>
      <w:bookmarkEnd w:id="513"/>
      <w:r>
        <w:rPr>
          <w:rFonts w:hint="eastAsia"/>
          <w:u w:val="single"/>
        </w:rPr>
        <w:t>/</w:t>
      </w:r>
    </w:p>
    <w:p w14:paraId="20EFBE03">
      <w:pPr>
        <w:ind w:firstLine="420" w:firstLineChars="200"/>
        <w:jc w:val="left"/>
      </w:pPr>
      <w:bookmarkStart w:id="514" w:name="_Toc504472956"/>
      <w:r>
        <w:t>12.4.2</w:t>
      </w:r>
      <w:r>
        <w:rPr>
          <w:rFonts w:hint="eastAsia"/>
        </w:rPr>
        <w:t>进度付款申请单的编制</w:t>
      </w:r>
      <w:bookmarkEnd w:id="514"/>
    </w:p>
    <w:p w14:paraId="4678D628">
      <w:pPr>
        <w:ind w:firstLine="420" w:firstLineChars="200"/>
        <w:jc w:val="left"/>
        <w:rPr>
          <w:u w:val="single"/>
        </w:rPr>
      </w:pPr>
      <w:bookmarkStart w:id="515" w:name="_Toc504472957"/>
      <w:r>
        <w:rPr>
          <w:rFonts w:hint="eastAsia"/>
        </w:rPr>
        <w:t>关于进度付款申请单编制的约定：</w:t>
      </w:r>
      <w:r>
        <w:rPr>
          <w:rFonts w:hint="eastAsia"/>
          <w:u w:val="single"/>
        </w:rPr>
        <w:t>进度付款申请单一式五份。</w:t>
      </w:r>
      <w:bookmarkEnd w:id="515"/>
    </w:p>
    <w:p w14:paraId="74FB4444">
      <w:pPr>
        <w:ind w:firstLine="420" w:firstLineChars="200"/>
        <w:jc w:val="left"/>
      </w:pPr>
      <w:bookmarkStart w:id="516" w:name="_Toc504472958"/>
      <w:r>
        <w:t>12.4.3</w:t>
      </w:r>
      <w:r>
        <w:rPr>
          <w:rFonts w:hint="eastAsia"/>
        </w:rPr>
        <w:t>进度付款申请单的提交</w:t>
      </w:r>
      <w:bookmarkEnd w:id="516"/>
    </w:p>
    <w:p w14:paraId="3AC9C830">
      <w:pPr>
        <w:ind w:firstLine="420" w:firstLineChars="200"/>
        <w:jc w:val="left"/>
      </w:pPr>
      <w:bookmarkStart w:id="517" w:name="_Toc504472959"/>
      <w:r>
        <w:rPr>
          <w:rFonts w:hint="eastAsia"/>
        </w:rPr>
        <w:t>（</w:t>
      </w:r>
      <w:r>
        <w:t>1</w:t>
      </w:r>
      <w:r>
        <w:rPr>
          <w:rFonts w:hint="eastAsia"/>
        </w:rPr>
        <w:t>）单价合同进度付款申请单提交的约定：</w:t>
      </w:r>
      <w:r>
        <w:rPr>
          <w:rFonts w:hint="eastAsia"/>
          <w:u w:val="single"/>
        </w:rPr>
        <w:t>/</w:t>
      </w:r>
      <w:r>
        <w:rPr>
          <w:rFonts w:hint="eastAsia"/>
        </w:rPr>
        <w:t>。</w:t>
      </w:r>
      <w:bookmarkEnd w:id="517"/>
    </w:p>
    <w:p w14:paraId="27487D9A">
      <w:pPr>
        <w:ind w:firstLine="420" w:firstLineChars="200"/>
        <w:jc w:val="left"/>
      </w:pPr>
      <w:bookmarkStart w:id="518" w:name="_Toc504472960"/>
      <w:r>
        <w:rPr>
          <w:rFonts w:hint="eastAsia"/>
        </w:rPr>
        <w:t>（</w:t>
      </w:r>
      <w:r>
        <w:t>2</w:t>
      </w:r>
      <w:r>
        <w:rPr>
          <w:rFonts w:hint="eastAsia"/>
        </w:rPr>
        <w:t>）总价合同进度付款申请单提交的约定：</w:t>
      </w:r>
      <w:r>
        <w:rPr>
          <w:rFonts w:hint="eastAsia"/>
          <w:u w:val="single"/>
        </w:rPr>
        <w:t>/</w:t>
      </w:r>
      <w:r>
        <w:rPr>
          <w:rFonts w:hint="eastAsia"/>
        </w:rPr>
        <w:t>。</w:t>
      </w:r>
      <w:bookmarkEnd w:id="518"/>
    </w:p>
    <w:p w14:paraId="33B3AAC3">
      <w:pPr>
        <w:ind w:firstLine="240" w:firstLineChars="100"/>
        <w:rPr>
          <w:u w:val="single"/>
        </w:rPr>
      </w:pPr>
      <w:bookmarkStart w:id="519" w:name="_Toc504472961"/>
      <w:r>
        <w:rPr>
          <w:rFonts w:hint="eastAsia" w:cs="Arial" w:asciiTheme="minorEastAsia" w:hAnsiTheme="minorEastAsia"/>
          <w:kern w:val="0"/>
          <w:sz w:val="24"/>
          <w:szCs w:val="24"/>
        </w:rPr>
        <w:t>★</w:t>
      </w:r>
      <w:r>
        <w:rPr>
          <w:rFonts w:hint="eastAsia"/>
        </w:rPr>
        <w:t>（</w:t>
      </w:r>
      <w:r>
        <w:t>3</w:t>
      </w:r>
      <w:r>
        <w:rPr>
          <w:rFonts w:hint="eastAsia"/>
        </w:rPr>
        <w:t>）其他价格形式合同进度付款申请单提交的约定：</w:t>
      </w:r>
      <w:bookmarkEnd w:id="519"/>
      <w:r>
        <w:rPr>
          <w:rFonts w:hint="eastAsia"/>
          <w:b/>
          <w:bCs/>
          <w:color w:val="000000" w:themeColor="text1"/>
          <w:u w:val="single"/>
          <w14:textFill>
            <w14:solidFill>
              <w14:schemeClr w14:val="tx1"/>
            </w14:solidFill>
          </w14:textFill>
        </w:rPr>
        <w:t>1、合同签订后7日内，支付合同价款的30%为预付款；2、工程竣工验收合格后支付至合同价款的70%；3、审计部门完成结算审核支付至审定价款的97%;质保期满后，若无质量问题，付清余款。</w:t>
      </w:r>
    </w:p>
    <w:p w14:paraId="5FA58796">
      <w:pPr>
        <w:ind w:firstLine="420" w:firstLineChars="200"/>
        <w:jc w:val="left"/>
        <w:rPr>
          <w:u w:val="single"/>
        </w:rPr>
      </w:pPr>
      <w:bookmarkStart w:id="520" w:name="_Toc504472962"/>
      <w:r>
        <w:rPr>
          <w:rFonts w:hint="eastAsia"/>
          <w:u w:val="single"/>
        </w:rPr>
        <w:t>因变更或约定可调整的合同价款或追加合同价款，同上述支付形式。</w:t>
      </w:r>
      <w:bookmarkEnd w:id="520"/>
    </w:p>
    <w:p w14:paraId="2417E73F">
      <w:pPr>
        <w:ind w:firstLine="420" w:firstLineChars="200"/>
        <w:jc w:val="left"/>
        <w:rPr>
          <w:u w:val="single"/>
        </w:rPr>
      </w:pPr>
      <w:bookmarkStart w:id="521" w:name="_Toc504472963"/>
      <w:r>
        <w:rPr>
          <w:rFonts w:hint="eastAsia"/>
          <w:u w:val="single"/>
        </w:rPr>
        <w:t>对于承包人应该支付的本合同范围的所有违约金和发包人预先支付的各种费用，由发包人、监理共同确认后直接从工程款中扣除，且在拨付下次工程进度款之前核准；如未核准，发包人不拨付进度款，由此造成的相应责任和损失均由承包人承担。</w:t>
      </w:r>
      <w:bookmarkEnd w:id="521"/>
    </w:p>
    <w:p w14:paraId="3AC04499">
      <w:pPr>
        <w:ind w:firstLine="420" w:firstLineChars="200"/>
        <w:jc w:val="left"/>
      </w:pPr>
      <w:bookmarkStart w:id="522" w:name="_Toc504472964"/>
      <w:r>
        <w:rPr>
          <w:rFonts w:hint="eastAsia"/>
          <w:u w:val="single"/>
        </w:rPr>
        <w:t>承包人在施工期间不得拖欠工人工资、材料设备款，否则，发包人有权自主将工程进度款用于支付被拖欠的工人工资、材料设备款。</w:t>
      </w:r>
      <w:bookmarkEnd w:id="522"/>
    </w:p>
    <w:p w14:paraId="7A92704F">
      <w:pPr>
        <w:ind w:firstLine="420" w:firstLineChars="200"/>
        <w:jc w:val="left"/>
      </w:pPr>
      <w:bookmarkStart w:id="523" w:name="_Toc504472965"/>
      <w:r>
        <w:t>12.4.4</w:t>
      </w:r>
      <w:r>
        <w:rPr>
          <w:rFonts w:hint="eastAsia"/>
        </w:rPr>
        <w:t>进度款审核和支付</w:t>
      </w:r>
      <w:bookmarkEnd w:id="523"/>
    </w:p>
    <w:p w14:paraId="41B63477">
      <w:pPr>
        <w:ind w:firstLine="420" w:firstLineChars="200"/>
        <w:jc w:val="left"/>
        <w:rPr>
          <w:u w:val="single"/>
        </w:rPr>
      </w:pPr>
      <w:bookmarkStart w:id="524" w:name="_Toc504472966"/>
      <w:r>
        <w:rPr>
          <w:rFonts w:hint="eastAsia"/>
        </w:rPr>
        <w:t>（</w:t>
      </w:r>
      <w:r>
        <w:t>1</w:t>
      </w:r>
      <w:r>
        <w:rPr>
          <w:rFonts w:hint="eastAsia"/>
        </w:rPr>
        <w:t>）监理人审查并报送发包人的期限：</w:t>
      </w:r>
      <w:r>
        <w:rPr>
          <w:rFonts w:hint="eastAsia"/>
          <w:u w:val="single"/>
        </w:rPr>
        <w:t>7天</w:t>
      </w:r>
      <w:r>
        <w:rPr>
          <w:rFonts w:hint="eastAsia"/>
        </w:rPr>
        <w:t>。</w:t>
      </w:r>
      <w:bookmarkEnd w:id="524"/>
    </w:p>
    <w:p w14:paraId="0C3D3623">
      <w:pPr>
        <w:ind w:firstLine="420" w:firstLineChars="200"/>
        <w:jc w:val="left"/>
      </w:pPr>
      <w:bookmarkStart w:id="525" w:name="_Toc504472967"/>
      <w:r>
        <w:rPr>
          <w:rFonts w:hint="eastAsia"/>
        </w:rPr>
        <w:t>发包人完成审批并签发进度款支付证书的期限：</w:t>
      </w:r>
      <w:r>
        <w:rPr>
          <w:rFonts w:hint="eastAsia"/>
          <w:u w:val="single"/>
        </w:rPr>
        <w:t>14天</w:t>
      </w:r>
      <w:r>
        <w:rPr>
          <w:rFonts w:hint="eastAsia"/>
        </w:rPr>
        <w:t>。</w:t>
      </w:r>
      <w:bookmarkEnd w:id="525"/>
    </w:p>
    <w:p w14:paraId="3DFF1649">
      <w:pPr>
        <w:ind w:firstLine="420" w:firstLineChars="200"/>
        <w:jc w:val="left"/>
      </w:pPr>
      <w:bookmarkStart w:id="526" w:name="_Toc504472968"/>
      <w:r>
        <w:rPr>
          <w:rFonts w:hint="eastAsia"/>
        </w:rPr>
        <w:t>（</w:t>
      </w:r>
      <w:r>
        <w:t>2</w:t>
      </w:r>
      <w:r>
        <w:rPr>
          <w:rFonts w:hint="eastAsia"/>
        </w:rPr>
        <w:t>）发包人支付进度款的期限：</w:t>
      </w:r>
      <w:r>
        <w:rPr>
          <w:rFonts w:hint="eastAsia"/>
          <w:u w:val="single"/>
        </w:rPr>
        <w:t>7天</w:t>
      </w:r>
      <w:r>
        <w:rPr>
          <w:rFonts w:hint="eastAsia"/>
        </w:rPr>
        <w:t>。</w:t>
      </w:r>
      <w:bookmarkEnd w:id="526"/>
    </w:p>
    <w:p w14:paraId="79A396AB">
      <w:pPr>
        <w:ind w:firstLine="420" w:firstLineChars="200"/>
        <w:jc w:val="left"/>
      </w:pPr>
      <w:bookmarkStart w:id="527" w:name="_Toc504472969"/>
      <w:r>
        <w:rPr>
          <w:rFonts w:hint="eastAsia"/>
        </w:rPr>
        <w:t>发包人逾期支付进度款的违约金的计算方式：</w:t>
      </w:r>
      <w:r>
        <w:rPr>
          <w:rFonts w:hint="eastAsia"/>
          <w:u w:val="single"/>
        </w:rPr>
        <w:t>协商解决</w:t>
      </w:r>
      <w:r>
        <w:rPr>
          <w:rFonts w:hint="eastAsia"/>
        </w:rPr>
        <w:t>。</w:t>
      </w:r>
      <w:bookmarkEnd w:id="527"/>
    </w:p>
    <w:p w14:paraId="12508058">
      <w:pPr>
        <w:ind w:firstLine="420" w:firstLineChars="200"/>
        <w:jc w:val="left"/>
      </w:pPr>
      <w:bookmarkStart w:id="528" w:name="_Toc504472970"/>
      <w:r>
        <w:t>12.4.6</w:t>
      </w:r>
      <w:r>
        <w:rPr>
          <w:rFonts w:hint="eastAsia"/>
        </w:rPr>
        <w:t>支付分解表的编制</w:t>
      </w:r>
      <w:bookmarkEnd w:id="528"/>
    </w:p>
    <w:p w14:paraId="5E598F2C">
      <w:pPr>
        <w:ind w:firstLine="420" w:firstLineChars="200"/>
        <w:jc w:val="left"/>
      </w:pPr>
      <w:bookmarkStart w:id="529" w:name="_Toc504472971"/>
      <w:r>
        <w:t>2</w:t>
      </w:r>
      <w:r>
        <w:rPr>
          <w:rFonts w:hint="eastAsia"/>
        </w:rPr>
        <w:t>、总价合同支付分解表的编制与审批：</w:t>
      </w:r>
      <w:r>
        <w:rPr>
          <w:rFonts w:hint="eastAsia"/>
          <w:u w:val="single"/>
        </w:rPr>
        <w:t>无</w:t>
      </w:r>
      <w:r>
        <w:rPr>
          <w:rFonts w:hint="eastAsia"/>
        </w:rPr>
        <w:t>。</w:t>
      </w:r>
      <w:bookmarkEnd w:id="529"/>
    </w:p>
    <w:p w14:paraId="06248D55">
      <w:pPr>
        <w:ind w:firstLine="420" w:firstLineChars="200"/>
        <w:jc w:val="left"/>
      </w:pPr>
      <w:bookmarkStart w:id="530" w:name="_Toc504472972"/>
      <w:r>
        <w:t>3</w:t>
      </w:r>
      <w:r>
        <w:rPr>
          <w:rFonts w:hint="eastAsia"/>
        </w:rPr>
        <w:t>、单价合同的总价项目支付分解表的编制与审批：</w:t>
      </w:r>
      <w:r>
        <w:rPr>
          <w:rFonts w:hint="eastAsia"/>
          <w:u w:val="single"/>
        </w:rPr>
        <w:t>由承包人编制，按月随进度付款申请单一并报送</w:t>
      </w:r>
      <w:r>
        <w:rPr>
          <w:rFonts w:hint="eastAsia"/>
        </w:rPr>
        <w:t>。</w:t>
      </w:r>
      <w:bookmarkEnd w:id="530"/>
    </w:p>
    <w:p w14:paraId="223CB52A">
      <w:pPr>
        <w:ind w:firstLine="422" w:firstLineChars="200"/>
        <w:jc w:val="left"/>
        <w:rPr>
          <w:b/>
          <w:bCs/>
        </w:rPr>
      </w:pPr>
      <w:bookmarkStart w:id="531" w:name="_Toc504472973"/>
      <w:r>
        <w:rPr>
          <w:b/>
          <w:bCs/>
        </w:rPr>
        <w:t xml:space="preserve">13. </w:t>
      </w:r>
      <w:r>
        <w:rPr>
          <w:rFonts w:hint="eastAsia"/>
          <w:b/>
          <w:bCs/>
        </w:rPr>
        <w:t>验收和工程试车</w:t>
      </w:r>
      <w:bookmarkEnd w:id="531"/>
    </w:p>
    <w:p w14:paraId="04A85AB0">
      <w:pPr>
        <w:ind w:firstLine="420" w:firstLineChars="200"/>
        <w:jc w:val="left"/>
      </w:pPr>
      <w:bookmarkStart w:id="532" w:name="_Toc504472974"/>
      <w:r>
        <w:t xml:space="preserve">13.1 </w:t>
      </w:r>
      <w:r>
        <w:rPr>
          <w:rFonts w:hint="eastAsia"/>
        </w:rPr>
        <w:t>分部分项工程验收</w:t>
      </w:r>
      <w:bookmarkEnd w:id="532"/>
    </w:p>
    <w:p w14:paraId="7715437A">
      <w:pPr>
        <w:ind w:firstLine="420" w:firstLineChars="200"/>
        <w:jc w:val="left"/>
      </w:pPr>
      <w:bookmarkStart w:id="533" w:name="_Toc504472975"/>
      <w:r>
        <w:t>13.1.2</w:t>
      </w:r>
      <w:r>
        <w:rPr>
          <w:rFonts w:hint="eastAsia"/>
        </w:rPr>
        <w:t>监理人不能按时进行验收时，应提前</w:t>
      </w:r>
      <w:r>
        <w:rPr>
          <w:rFonts w:hint="eastAsia"/>
          <w:u w:val="single"/>
        </w:rPr>
        <w:t>24</w:t>
      </w:r>
      <w:r>
        <w:rPr>
          <w:rFonts w:hint="eastAsia"/>
        </w:rPr>
        <w:t>小时提交书面延期要求。</w:t>
      </w:r>
      <w:bookmarkEnd w:id="533"/>
    </w:p>
    <w:p w14:paraId="23D61BDD">
      <w:pPr>
        <w:ind w:firstLine="420" w:firstLineChars="200"/>
        <w:jc w:val="left"/>
        <w:rPr>
          <w:b/>
          <w:bCs/>
        </w:rPr>
      </w:pPr>
      <w:bookmarkStart w:id="534" w:name="_Toc504472976"/>
      <w:r>
        <w:rPr>
          <w:rFonts w:hint="eastAsia"/>
        </w:rPr>
        <w:t>关于延期最长不得超过：</w:t>
      </w:r>
      <w:r>
        <w:rPr>
          <w:rFonts w:hint="eastAsia"/>
          <w:u w:val="single"/>
        </w:rPr>
        <w:t>48</w:t>
      </w:r>
      <w:r>
        <w:rPr>
          <w:rFonts w:hint="eastAsia"/>
        </w:rPr>
        <w:t>小时。</w:t>
      </w:r>
      <w:bookmarkEnd w:id="534"/>
    </w:p>
    <w:p w14:paraId="62DF3F23">
      <w:pPr>
        <w:ind w:firstLine="420" w:firstLineChars="200"/>
        <w:jc w:val="left"/>
      </w:pPr>
      <w:bookmarkStart w:id="535" w:name="_Toc504472977"/>
      <w:r>
        <w:t xml:space="preserve">13.2 </w:t>
      </w:r>
      <w:r>
        <w:rPr>
          <w:rFonts w:hint="eastAsia"/>
        </w:rPr>
        <w:t>竣工验收</w:t>
      </w:r>
      <w:bookmarkEnd w:id="535"/>
    </w:p>
    <w:p w14:paraId="658AFEB3">
      <w:pPr>
        <w:ind w:firstLine="420" w:firstLineChars="200"/>
        <w:jc w:val="left"/>
      </w:pPr>
      <w:bookmarkStart w:id="536" w:name="_Toc504472978"/>
      <w:r>
        <w:t>13.2.2</w:t>
      </w:r>
      <w:r>
        <w:rPr>
          <w:rFonts w:hint="eastAsia"/>
        </w:rPr>
        <w:t>竣工验收程序</w:t>
      </w:r>
      <w:bookmarkEnd w:id="536"/>
    </w:p>
    <w:p w14:paraId="73FC12BA">
      <w:pPr>
        <w:ind w:firstLine="420" w:firstLineChars="200"/>
        <w:jc w:val="left"/>
      </w:pPr>
      <w:bookmarkStart w:id="537" w:name="_Toc504472979"/>
      <w:r>
        <w:rPr>
          <w:rFonts w:hint="eastAsia"/>
        </w:rPr>
        <w:t>关于竣工验收程序的约定：</w:t>
      </w:r>
      <w:r>
        <w:rPr>
          <w:rFonts w:hint="eastAsia"/>
          <w:bCs/>
          <w:u w:val="single"/>
        </w:rPr>
        <w:t>（1）竣工验收按有关程序执行。（2）竣工验收合格后28天内，由承包人提供完整的竣工结算报告。（3）发包人在收到完整的竣工结算报告后28天内无正当理由不支付工程竣工结算价款的，从第29日起按承包人同期向银行贷款利率支付拖欠工程价款的利息，并承担违约责任，或按通用条款有关规定执行。凡属于政府重大投资项目的工程，必须经专业审计局审计后方办理工程结算或竣工结算）</w:t>
      </w:r>
      <w:r>
        <w:t>。</w:t>
      </w:r>
      <w:bookmarkEnd w:id="537"/>
    </w:p>
    <w:p w14:paraId="7B09ABDA">
      <w:pPr>
        <w:ind w:firstLine="420" w:firstLineChars="200"/>
        <w:jc w:val="left"/>
      </w:pPr>
      <w:bookmarkStart w:id="538" w:name="_Toc504472980"/>
      <w:r>
        <w:rPr>
          <w:rFonts w:hint="eastAsia"/>
        </w:rPr>
        <w:t>发包人不按照本项约定组织竣工验收、颁发工程接收证书的违约金的计算方法：</w:t>
      </w:r>
      <w:r>
        <w:rPr>
          <w:rFonts w:hint="eastAsia"/>
          <w:u w:val="single"/>
        </w:rPr>
        <w:t>协商解决</w:t>
      </w:r>
      <w:r>
        <w:rPr>
          <w:rFonts w:hint="eastAsia"/>
        </w:rPr>
        <w:t>。</w:t>
      </w:r>
      <w:bookmarkEnd w:id="538"/>
    </w:p>
    <w:p w14:paraId="74DC1704">
      <w:pPr>
        <w:ind w:firstLine="420" w:firstLineChars="200"/>
        <w:jc w:val="left"/>
      </w:pPr>
      <w:bookmarkStart w:id="539" w:name="_Toc504472981"/>
      <w:r>
        <w:t>13.2.5</w:t>
      </w:r>
      <w:r>
        <w:rPr>
          <w:rFonts w:hint="eastAsia"/>
        </w:rPr>
        <w:t>移交、接收全部与部分工程</w:t>
      </w:r>
      <w:bookmarkEnd w:id="539"/>
    </w:p>
    <w:p w14:paraId="095228EF">
      <w:pPr>
        <w:ind w:firstLine="420" w:firstLineChars="200"/>
        <w:jc w:val="left"/>
      </w:pPr>
      <w:bookmarkStart w:id="540" w:name="_Toc504472982"/>
      <w:r>
        <w:rPr>
          <w:rFonts w:hint="eastAsia"/>
        </w:rPr>
        <w:t>承包人向发包人移交工程的期限：</w:t>
      </w:r>
      <w:r>
        <w:rPr>
          <w:rFonts w:hint="eastAsia"/>
          <w:u w:val="single"/>
        </w:rPr>
        <w:t>按工程竣工日期填写</w:t>
      </w:r>
      <w:r>
        <w:rPr>
          <w:rFonts w:hint="eastAsia"/>
        </w:rPr>
        <w:t>。</w:t>
      </w:r>
      <w:bookmarkEnd w:id="540"/>
    </w:p>
    <w:p w14:paraId="0114AFDC">
      <w:pPr>
        <w:ind w:firstLine="420" w:firstLineChars="200"/>
        <w:jc w:val="left"/>
        <w:rPr>
          <w:u w:val="single"/>
        </w:rPr>
      </w:pPr>
      <w:bookmarkStart w:id="541" w:name="_Toc504472983"/>
      <w:r>
        <w:rPr>
          <w:rFonts w:hint="eastAsia"/>
        </w:rPr>
        <w:t>发包人未按本合同约定接收全部或部分工程的，违约金的计算方法为：</w:t>
      </w:r>
      <w:r>
        <w:rPr>
          <w:rFonts w:hint="eastAsia"/>
          <w:u w:val="single"/>
        </w:rPr>
        <w:t>协商解决</w:t>
      </w:r>
      <w:r>
        <w:rPr>
          <w:rFonts w:hint="eastAsia"/>
        </w:rPr>
        <w:t>。</w:t>
      </w:r>
      <w:bookmarkEnd w:id="541"/>
    </w:p>
    <w:p w14:paraId="390D3EFC">
      <w:pPr>
        <w:ind w:firstLine="420" w:firstLineChars="200"/>
        <w:jc w:val="left"/>
        <w:rPr>
          <w:b/>
        </w:rPr>
      </w:pPr>
      <w:bookmarkStart w:id="542" w:name="_Toc504472984"/>
      <w:r>
        <w:rPr>
          <w:rFonts w:hint="eastAsia"/>
        </w:rPr>
        <w:t>承包人未按时移交工程的，违约金的计算方法为：</w:t>
      </w:r>
      <w:r>
        <w:rPr>
          <w:rFonts w:hint="eastAsia"/>
          <w:b/>
          <w:u w:val="single"/>
        </w:rPr>
        <w:t>每逾期一天按合同价的0.2%，最高为合同价的20% 。</w:t>
      </w:r>
      <w:bookmarkEnd w:id="542"/>
    </w:p>
    <w:p w14:paraId="6A054675">
      <w:pPr>
        <w:ind w:firstLine="420" w:firstLineChars="200"/>
        <w:jc w:val="left"/>
      </w:pPr>
      <w:bookmarkStart w:id="543" w:name="_Toc504472985"/>
      <w:r>
        <w:t xml:space="preserve">13.3 </w:t>
      </w:r>
      <w:r>
        <w:rPr>
          <w:rFonts w:hint="eastAsia"/>
        </w:rPr>
        <w:t>工程试车</w:t>
      </w:r>
      <w:bookmarkEnd w:id="543"/>
    </w:p>
    <w:p w14:paraId="19C8DA8B">
      <w:pPr>
        <w:ind w:firstLine="420" w:firstLineChars="200"/>
        <w:jc w:val="left"/>
      </w:pPr>
      <w:bookmarkStart w:id="544" w:name="_Toc504472986"/>
      <w:r>
        <w:t>13.3.1</w:t>
      </w:r>
      <w:r>
        <w:rPr>
          <w:rFonts w:hint="eastAsia"/>
        </w:rPr>
        <w:t>试车程序</w:t>
      </w:r>
      <w:bookmarkEnd w:id="544"/>
    </w:p>
    <w:p w14:paraId="304EEED4">
      <w:pPr>
        <w:ind w:firstLine="420" w:firstLineChars="200"/>
        <w:jc w:val="left"/>
        <w:rPr>
          <w:u w:val="single"/>
        </w:rPr>
      </w:pPr>
      <w:bookmarkStart w:id="545" w:name="_Toc504472987"/>
      <w:r>
        <w:rPr>
          <w:rFonts w:hint="eastAsia"/>
        </w:rPr>
        <w:t>工程试车内容：</w:t>
      </w:r>
      <w:r>
        <w:rPr>
          <w:rFonts w:hint="eastAsia"/>
          <w:u w:val="single"/>
        </w:rPr>
        <w:t>/</w:t>
      </w:r>
      <w:bookmarkEnd w:id="545"/>
    </w:p>
    <w:p w14:paraId="1C25EC53">
      <w:pPr>
        <w:ind w:firstLine="420" w:firstLineChars="200"/>
        <w:jc w:val="left"/>
      </w:pPr>
      <w:bookmarkStart w:id="546" w:name="_Toc504472988"/>
      <w:r>
        <w:rPr>
          <w:rFonts w:hint="eastAsia"/>
        </w:rPr>
        <w:t>（</w:t>
      </w:r>
      <w:r>
        <w:t>1</w:t>
      </w:r>
      <w:r>
        <w:rPr>
          <w:rFonts w:hint="eastAsia"/>
        </w:rPr>
        <w:t>）单机无负荷试车费用由</w:t>
      </w:r>
      <w:r>
        <w:rPr>
          <w:rFonts w:hint="eastAsia"/>
          <w:u w:val="single"/>
        </w:rPr>
        <w:t>/</w:t>
      </w:r>
      <w:r>
        <w:rPr>
          <w:rFonts w:hint="eastAsia"/>
        </w:rPr>
        <w:t>承担；</w:t>
      </w:r>
      <w:bookmarkEnd w:id="546"/>
    </w:p>
    <w:p w14:paraId="233BECE1">
      <w:pPr>
        <w:ind w:firstLine="420" w:firstLineChars="200"/>
        <w:jc w:val="left"/>
      </w:pPr>
      <w:bookmarkStart w:id="547" w:name="_Toc504472989"/>
      <w:r>
        <w:rPr>
          <w:rFonts w:hint="eastAsia"/>
        </w:rPr>
        <w:t>（</w:t>
      </w:r>
      <w:r>
        <w:t>2</w:t>
      </w:r>
      <w:r>
        <w:rPr>
          <w:rFonts w:hint="eastAsia"/>
        </w:rPr>
        <w:t>）无负荷联动试车费用由</w:t>
      </w:r>
      <w:r>
        <w:rPr>
          <w:rFonts w:hint="eastAsia"/>
          <w:u w:val="single"/>
        </w:rPr>
        <w:t>/</w:t>
      </w:r>
      <w:r>
        <w:rPr>
          <w:rFonts w:hint="eastAsia"/>
        </w:rPr>
        <w:t>承担。</w:t>
      </w:r>
      <w:bookmarkEnd w:id="547"/>
    </w:p>
    <w:p w14:paraId="26F5BE00">
      <w:pPr>
        <w:ind w:firstLine="420" w:firstLineChars="200"/>
        <w:jc w:val="left"/>
      </w:pPr>
      <w:bookmarkStart w:id="548" w:name="_Toc504472990"/>
      <w:r>
        <w:t>13.3.3</w:t>
      </w:r>
      <w:r>
        <w:rPr>
          <w:rFonts w:hint="eastAsia"/>
        </w:rPr>
        <w:t>投料试车</w:t>
      </w:r>
      <w:bookmarkEnd w:id="548"/>
    </w:p>
    <w:p w14:paraId="1FDD5A71">
      <w:pPr>
        <w:ind w:firstLine="420" w:firstLineChars="200"/>
        <w:jc w:val="left"/>
        <w:rPr>
          <w:u w:val="single"/>
        </w:rPr>
      </w:pPr>
      <w:bookmarkStart w:id="549" w:name="_Toc504472991"/>
      <w:r>
        <w:rPr>
          <w:rFonts w:hint="eastAsia"/>
        </w:rPr>
        <w:t>关于投料试车相关事项的约定：</w:t>
      </w:r>
      <w:r>
        <w:rPr>
          <w:rFonts w:hint="eastAsia"/>
          <w:u w:val="single"/>
        </w:rPr>
        <w:t>/</w:t>
      </w:r>
      <w:bookmarkEnd w:id="549"/>
    </w:p>
    <w:p w14:paraId="5E38EA67">
      <w:pPr>
        <w:ind w:firstLine="420" w:firstLineChars="200"/>
        <w:jc w:val="left"/>
      </w:pPr>
      <w:bookmarkStart w:id="550" w:name="_Toc504472992"/>
      <w:r>
        <w:t xml:space="preserve">13.6 </w:t>
      </w:r>
      <w:r>
        <w:rPr>
          <w:rFonts w:hint="eastAsia"/>
        </w:rPr>
        <w:t>竣工退场</w:t>
      </w:r>
      <w:bookmarkEnd w:id="550"/>
    </w:p>
    <w:p w14:paraId="72886949">
      <w:pPr>
        <w:ind w:firstLine="420" w:firstLineChars="200"/>
        <w:jc w:val="left"/>
      </w:pPr>
      <w:bookmarkStart w:id="551" w:name="_Toc504472993"/>
      <w:r>
        <w:t>13.6.1</w:t>
      </w:r>
      <w:r>
        <w:rPr>
          <w:rFonts w:hint="eastAsia"/>
        </w:rPr>
        <w:t>竣工退场</w:t>
      </w:r>
      <w:bookmarkEnd w:id="551"/>
    </w:p>
    <w:p w14:paraId="6EBABC47">
      <w:pPr>
        <w:ind w:firstLine="420" w:firstLineChars="200"/>
        <w:jc w:val="left"/>
      </w:pPr>
      <w:bookmarkStart w:id="552" w:name="_Toc504472994"/>
      <w:r>
        <w:rPr>
          <w:rFonts w:hint="eastAsia"/>
        </w:rPr>
        <w:t>承包人完成竣工退场的期限：</w:t>
      </w:r>
      <w:r>
        <w:rPr>
          <w:rFonts w:hint="eastAsia"/>
          <w:u w:val="single"/>
        </w:rPr>
        <w:t>承包人收到工程接受证书后3日内完成退场工作</w:t>
      </w:r>
      <w:r>
        <w:rPr>
          <w:rFonts w:hint="eastAsia"/>
        </w:rPr>
        <w:t>。</w:t>
      </w:r>
      <w:bookmarkEnd w:id="552"/>
    </w:p>
    <w:p w14:paraId="374A81C9">
      <w:pPr>
        <w:ind w:firstLine="422" w:firstLineChars="200"/>
        <w:jc w:val="left"/>
        <w:rPr>
          <w:b/>
          <w:bCs/>
        </w:rPr>
      </w:pPr>
      <w:bookmarkStart w:id="553" w:name="_Toc504472995"/>
      <w:r>
        <w:rPr>
          <w:b/>
          <w:bCs/>
        </w:rPr>
        <w:t xml:space="preserve">14. </w:t>
      </w:r>
      <w:r>
        <w:rPr>
          <w:rFonts w:hint="eastAsia"/>
          <w:b/>
          <w:bCs/>
        </w:rPr>
        <w:t>竣工结算</w:t>
      </w:r>
      <w:bookmarkEnd w:id="553"/>
    </w:p>
    <w:p w14:paraId="5C30D5C6">
      <w:pPr>
        <w:ind w:firstLine="420" w:firstLineChars="200"/>
        <w:jc w:val="left"/>
      </w:pPr>
      <w:bookmarkStart w:id="554" w:name="_Toc504472996"/>
      <w:r>
        <w:t xml:space="preserve">14.1 </w:t>
      </w:r>
      <w:r>
        <w:rPr>
          <w:rFonts w:hint="eastAsia"/>
        </w:rPr>
        <w:t>竣工付款申请</w:t>
      </w:r>
      <w:bookmarkEnd w:id="554"/>
    </w:p>
    <w:p w14:paraId="43FA754A">
      <w:pPr>
        <w:ind w:firstLine="420" w:firstLineChars="200"/>
        <w:jc w:val="left"/>
      </w:pPr>
      <w:bookmarkStart w:id="555" w:name="_Toc504472997"/>
      <w:r>
        <w:rPr>
          <w:rFonts w:hint="eastAsia"/>
        </w:rPr>
        <w:t>承包人提交竣工付款申请单的期限：</w:t>
      </w:r>
      <w:r>
        <w:rPr>
          <w:rFonts w:hint="eastAsia"/>
          <w:u w:val="single"/>
        </w:rPr>
        <w:t>工程竣工验收合格后28天内</w:t>
      </w:r>
      <w:r>
        <w:rPr>
          <w:rFonts w:hint="eastAsia"/>
        </w:rPr>
        <w:t>。</w:t>
      </w:r>
      <w:bookmarkEnd w:id="555"/>
    </w:p>
    <w:p w14:paraId="7DAA42E6">
      <w:pPr>
        <w:ind w:firstLine="420" w:firstLineChars="200"/>
        <w:jc w:val="left"/>
      </w:pPr>
      <w:bookmarkStart w:id="556" w:name="_Toc504472998"/>
      <w:r>
        <w:rPr>
          <w:rFonts w:hint="eastAsia"/>
        </w:rPr>
        <w:t>竣工付款申请单应包括的内容：</w:t>
      </w:r>
      <w:r>
        <w:rPr>
          <w:rFonts w:hint="eastAsia"/>
          <w:u w:val="single"/>
        </w:rPr>
        <w:t>执行通用条款</w:t>
      </w:r>
      <w:bookmarkEnd w:id="556"/>
    </w:p>
    <w:p w14:paraId="5BF617E2">
      <w:pPr>
        <w:ind w:firstLine="420" w:firstLineChars="200"/>
        <w:jc w:val="left"/>
      </w:pPr>
      <w:bookmarkStart w:id="557" w:name="_Toc504472999"/>
      <w:r>
        <w:t xml:space="preserve">14.2 </w:t>
      </w:r>
      <w:r>
        <w:rPr>
          <w:rFonts w:hint="eastAsia"/>
        </w:rPr>
        <w:t>竣工结算审核</w:t>
      </w:r>
      <w:bookmarkEnd w:id="557"/>
    </w:p>
    <w:p w14:paraId="59D528C0">
      <w:pPr>
        <w:ind w:firstLine="420" w:firstLineChars="200"/>
        <w:jc w:val="left"/>
      </w:pPr>
      <w:bookmarkStart w:id="558" w:name="_Toc504473000"/>
      <w:r>
        <w:rPr>
          <w:rFonts w:hint="eastAsia"/>
        </w:rPr>
        <w:t>发包人审批竣工付款申请单的期限：</w:t>
      </w:r>
      <w:r>
        <w:rPr>
          <w:rFonts w:hint="eastAsia"/>
          <w:u w:val="single"/>
        </w:rPr>
        <w:t>收到</w:t>
      </w:r>
      <w:r>
        <w:rPr>
          <w:u w:val="single"/>
        </w:rPr>
        <w:t>竣工付款申请单</w:t>
      </w:r>
      <w:r>
        <w:rPr>
          <w:rFonts w:hint="eastAsia"/>
          <w:u w:val="single"/>
        </w:rPr>
        <w:t>14天内</w:t>
      </w:r>
      <w:r>
        <w:rPr>
          <w:rFonts w:hint="eastAsia"/>
        </w:rPr>
        <w:t>。</w:t>
      </w:r>
      <w:bookmarkEnd w:id="558"/>
    </w:p>
    <w:p w14:paraId="1DE69B82">
      <w:pPr>
        <w:ind w:firstLine="420" w:firstLineChars="200"/>
        <w:jc w:val="left"/>
      </w:pPr>
      <w:bookmarkStart w:id="559" w:name="_Toc504473001"/>
      <w:r>
        <w:rPr>
          <w:rFonts w:hint="eastAsia"/>
        </w:rPr>
        <w:t>发包人完成竣工付款的期限：</w:t>
      </w:r>
      <w:r>
        <w:rPr>
          <w:rFonts w:hint="eastAsia"/>
          <w:u w:val="single"/>
        </w:rPr>
        <w:t>签发</w:t>
      </w:r>
      <w:r>
        <w:rPr>
          <w:u w:val="single"/>
        </w:rPr>
        <w:t>竣工付款申请单</w:t>
      </w:r>
      <w:r>
        <w:rPr>
          <w:rFonts w:hint="eastAsia"/>
          <w:u w:val="single"/>
        </w:rPr>
        <w:t>28天内</w:t>
      </w:r>
      <w:r>
        <w:rPr>
          <w:rFonts w:hint="eastAsia"/>
        </w:rPr>
        <w:t>。</w:t>
      </w:r>
      <w:bookmarkEnd w:id="559"/>
    </w:p>
    <w:p w14:paraId="0D96AE2D">
      <w:pPr>
        <w:ind w:firstLine="420" w:firstLineChars="200"/>
        <w:jc w:val="left"/>
      </w:pPr>
      <w:bookmarkStart w:id="560" w:name="_Toc504473002"/>
      <w:r>
        <w:rPr>
          <w:rFonts w:hint="eastAsia"/>
        </w:rPr>
        <w:t>关于竣工付款证书异议部分复核的方式和程序：</w:t>
      </w:r>
      <w:r>
        <w:rPr>
          <w:rFonts w:hint="eastAsia"/>
          <w:u w:val="single"/>
        </w:rPr>
        <w:t>执行通用条款</w:t>
      </w:r>
      <w:r>
        <w:rPr>
          <w:rFonts w:hint="eastAsia"/>
        </w:rPr>
        <w:t>。</w:t>
      </w:r>
      <w:bookmarkEnd w:id="560"/>
    </w:p>
    <w:p w14:paraId="2E70839C">
      <w:pPr>
        <w:ind w:firstLine="420" w:firstLineChars="200"/>
        <w:jc w:val="left"/>
      </w:pPr>
      <w:bookmarkStart w:id="561" w:name="_Toc504473003"/>
      <w:r>
        <w:t xml:space="preserve">14.4 </w:t>
      </w:r>
      <w:r>
        <w:rPr>
          <w:rFonts w:hint="eastAsia"/>
        </w:rPr>
        <w:t>最终结清</w:t>
      </w:r>
      <w:bookmarkEnd w:id="561"/>
    </w:p>
    <w:p w14:paraId="10D7BBB0">
      <w:pPr>
        <w:ind w:firstLine="420" w:firstLineChars="200"/>
        <w:jc w:val="left"/>
      </w:pPr>
      <w:bookmarkStart w:id="562" w:name="_Toc504473004"/>
      <w:r>
        <w:t>14.4.1</w:t>
      </w:r>
      <w:r>
        <w:rPr>
          <w:rFonts w:hint="eastAsia"/>
        </w:rPr>
        <w:t>最终结清申请单</w:t>
      </w:r>
      <w:bookmarkEnd w:id="562"/>
    </w:p>
    <w:p w14:paraId="7EF90BDC">
      <w:pPr>
        <w:ind w:firstLine="420" w:firstLineChars="200"/>
        <w:jc w:val="left"/>
      </w:pPr>
      <w:bookmarkStart w:id="563" w:name="_Toc504473005"/>
      <w:r>
        <w:rPr>
          <w:rFonts w:hint="eastAsia"/>
        </w:rPr>
        <w:t>承包人提交最终结清申请单的份数：</w:t>
      </w:r>
      <w:r>
        <w:rPr>
          <w:rFonts w:hint="eastAsia"/>
          <w:u w:val="single"/>
        </w:rPr>
        <w:t>一式五份</w:t>
      </w:r>
      <w:r>
        <w:rPr>
          <w:rFonts w:hint="eastAsia"/>
        </w:rPr>
        <w:t>。</w:t>
      </w:r>
      <w:bookmarkEnd w:id="563"/>
    </w:p>
    <w:p w14:paraId="7BABB954">
      <w:pPr>
        <w:ind w:firstLine="420" w:firstLineChars="200"/>
        <w:jc w:val="left"/>
      </w:pPr>
      <w:bookmarkStart w:id="564" w:name="_Toc504473006"/>
      <w:r>
        <w:rPr>
          <w:rFonts w:hint="eastAsia"/>
        </w:rPr>
        <w:t>承包人提交最终结算申请单的期限：</w:t>
      </w:r>
      <w:r>
        <w:rPr>
          <w:rFonts w:hint="eastAsia"/>
          <w:u w:val="single"/>
        </w:rPr>
        <w:t>缺陷责任期满7日</w:t>
      </w:r>
      <w:r>
        <w:rPr>
          <w:rFonts w:hint="eastAsia"/>
        </w:rPr>
        <w:t>。</w:t>
      </w:r>
      <w:bookmarkEnd w:id="564"/>
    </w:p>
    <w:p w14:paraId="42437737">
      <w:pPr>
        <w:ind w:firstLine="420" w:firstLineChars="200"/>
        <w:jc w:val="left"/>
      </w:pPr>
      <w:bookmarkStart w:id="565" w:name="_Toc504473007"/>
      <w:r>
        <w:t>14.4.2</w:t>
      </w:r>
      <w:r>
        <w:rPr>
          <w:rFonts w:hint="eastAsia"/>
        </w:rPr>
        <w:t>最终结清证书和支付</w:t>
      </w:r>
      <w:bookmarkEnd w:id="565"/>
    </w:p>
    <w:p w14:paraId="42E5A3F7">
      <w:pPr>
        <w:ind w:firstLine="420" w:firstLineChars="200"/>
        <w:jc w:val="left"/>
      </w:pPr>
      <w:bookmarkStart w:id="566" w:name="_Toc504473008"/>
      <w:r>
        <w:rPr>
          <w:rFonts w:hint="eastAsia"/>
        </w:rPr>
        <w:t>（</w:t>
      </w:r>
      <w:r>
        <w:t>1</w:t>
      </w:r>
      <w:r>
        <w:rPr>
          <w:rFonts w:hint="eastAsia"/>
        </w:rPr>
        <w:t>）发包人完成最终结清申请单的审批并颁发最终结清证书的期限：</w:t>
      </w:r>
      <w:r>
        <w:rPr>
          <w:rFonts w:hint="eastAsia"/>
          <w:u w:val="single"/>
        </w:rPr>
        <w:t>收到申请14天内</w:t>
      </w:r>
      <w:r>
        <w:rPr>
          <w:rFonts w:hint="eastAsia"/>
        </w:rPr>
        <w:t>。</w:t>
      </w:r>
      <w:bookmarkEnd w:id="566"/>
    </w:p>
    <w:p w14:paraId="3B7508C9">
      <w:pPr>
        <w:ind w:firstLine="420" w:firstLineChars="200"/>
        <w:jc w:val="left"/>
      </w:pPr>
      <w:bookmarkStart w:id="567" w:name="_Toc504473009"/>
      <w:r>
        <w:rPr>
          <w:rFonts w:hint="eastAsia"/>
        </w:rPr>
        <w:t>（</w:t>
      </w:r>
      <w:r>
        <w:t>2</w:t>
      </w:r>
      <w:r>
        <w:rPr>
          <w:rFonts w:hint="eastAsia"/>
        </w:rPr>
        <w:t>）发包人完成支付的期限：</w:t>
      </w:r>
      <w:r>
        <w:rPr>
          <w:rFonts w:hint="eastAsia"/>
          <w:u w:val="single"/>
        </w:rPr>
        <w:t>申请签发后14日内</w:t>
      </w:r>
      <w:r>
        <w:rPr>
          <w:rFonts w:hint="eastAsia"/>
        </w:rPr>
        <w:t>。</w:t>
      </w:r>
      <w:bookmarkEnd w:id="567"/>
    </w:p>
    <w:p w14:paraId="370345B1">
      <w:pPr>
        <w:ind w:firstLine="422" w:firstLineChars="200"/>
        <w:jc w:val="left"/>
        <w:rPr>
          <w:b/>
          <w:bCs/>
        </w:rPr>
      </w:pPr>
      <w:bookmarkStart w:id="568" w:name="_Toc504473010"/>
      <w:r>
        <w:rPr>
          <w:b/>
          <w:bCs/>
        </w:rPr>
        <w:t xml:space="preserve">15. </w:t>
      </w:r>
      <w:r>
        <w:rPr>
          <w:rFonts w:hint="eastAsia"/>
          <w:b/>
          <w:bCs/>
        </w:rPr>
        <w:t>缺陷责任期与保修</w:t>
      </w:r>
      <w:bookmarkEnd w:id="568"/>
    </w:p>
    <w:p w14:paraId="2CB284D9">
      <w:pPr>
        <w:ind w:firstLine="420" w:firstLineChars="200"/>
        <w:jc w:val="left"/>
      </w:pPr>
      <w:bookmarkStart w:id="569" w:name="_Toc504473011"/>
      <w:r>
        <w:t>15.2</w:t>
      </w:r>
      <w:r>
        <w:rPr>
          <w:rFonts w:hint="eastAsia"/>
        </w:rPr>
        <w:t>缺陷责任期</w:t>
      </w:r>
      <w:bookmarkEnd w:id="569"/>
    </w:p>
    <w:p w14:paraId="7114FEEA">
      <w:pPr>
        <w:ind w:firstLine="420" w:firstLineChars="200"/>
        <w:jc w:val="left"/>
      </w:pPr>
      <w:bookmarkStart w:id="570" w:name="_Toc504473012"/>
      <w:r>
        <w:rPr>
          <w:rFonts w:hint="eastAsia"/>
        </w:rPr>
        <w:t>缺陷责任期的具体期限：</w:t>
      </w:r>
      <w:r>
        <w:rPr>
          <w:rFonts w:hint="eastAsia"/>
          <w:u w:val="single"/>
        </w:rPr>
        <w:t>24个月</w:t>
      </w:r>
      <w:r>
        <w:rPr>
          <w:rFonts w:hint="eastAsia"/>
        </w:rPr>
        <w:t>。</w:t>
      </w:r>
      <w:bookmarkEnd w:id="570"/>
    </w:p>
    <w:p w14:paraId="5DFAF65B">
      <w:pPr>
        <w:ind w:firstLine="420" w:firstLineChars="200"/>
        <w:jc w:val="left"/>
      </w:pPr>
      <w:bookmarkStart w:id="571" w:name="_Toc504473013"/>
      <w:r>
        <w:t xml:space="preserve">15.3 </w:t>
      </w:r>
      <w:r>
        <w:rPr>
          <w:rFonts w:hint="eastAsia"/>
        </w:rPr>
        <w:t>质量保证金</w:t>
      </w:r>
      <w:bookmarkEnd w:id="571"/>
    </w:p>
    <w:p w14:paraId="2D047C54">
      <w:pPr>
        <w:ind w:firstLine="420" w:firstLineChars="200"/>
        <w:jc w:val="left"/>
      </w:pPr>
      <w:bookmarkStart w:id="572" w:name="_Toc504473014"/>
      <w:r>
        <w:rPr>
          <w:rFonts w:hint="eastAsia"/>
        </w:rPr>
        <w:t>关于是否扣留质量保证金的约定：</w:t>
      </w:r>
      <w:r>
        <w:rPr>
          <w:rFonts w:hint="eastAsia"/>
          <w:u w:val="single"/>
        </w:rPr>
        <w:t xml:space="preserve">   。</w:t>
      </w:r>
      <w:bookmarkEnd w:id="572"/>
    </w:p>
    <w:p w14:paraId="37BDC6F4">
      <w:pPr>
        <w:ind w:firstLine="420" w:firstLineChars="200"/>
        <w:jc w:val="left"/>
      </w:pPr>
      <w:bookmarkStart w:id="573" w:name="_Toc504473015"/>
      <w:r>
        <w:t>15.3.1</w:t>
      </w:r>
      <w:r>
        <w:rPr>
          <w:rFonts w:hint="eastAsia"/>
        </w:rPr>
        <w:t>承包人提供质量保证金的方式</w:t>
      </w:r>
      <w:bookmarkEnd w:id="573"/>
    </w:p>
    <w:p w14:paraId="23175628">
      <w:pPr>
        <w:ind w:firstLine="420" w:firstLineChars="200"/>
        <w:jc w:val="left"/>
      </w:pPr>
      <w:bookmarkStart w:id="574" w:name="_Toc504473016"/>
      <w:r>
        <w:rPr>
          <w:rFonts w:hint="eastAsia"/>
        </w:rPr>
        <w:t>质量保证金采用以下第</w:t>
      </w:r>
      <w:r>
        <w:rPr>
          <w:rFonts w:hint="eastAsia"/>
          <w:u w:val="single"/>
        </w:rPr>
        <w:t xml:space="preserve">       </w:t>
      </w:r>
      <w:r>
        <w:rPr>
          <w:rFonts w:hint="eastAsia"/>
        </w:rPr>
        <w:t>种方式：</w:t>
      </w:r>
      <w:bookmarkEnd w:id="574"/>
    </w:p>
    <w:p w14:paraId="5DE41C54">
      <w:pPr>
        <w:ind w:firstLine="420" w:firstLineChars="200"/>
        <w:jc w:val="left"/>
      </w:pPr>
      <w:bookmarkStart w:id="575" w:name="_Toc504473017"/>
      <w:r>
        <w:rPr>
          <w:rFonts w:hint="eastAsia"/>
        </w:rPr>
        <w:t>（</w:t>
      </w:r>
      <w:r>
        <w:t>1</w:t>
      </w:r>
      <w:r>
        <w:rPr>
          <w:rFonts w:hint="eastAsia"/>
        </w:rPr>
        <w:t>）质量保证金保函，保证金额为：</w:t>
      </w:r>
      <w:r>
        <w:rPr>
          <w:rFonts w:hint="eastAsia"/>
          <w:u w:val="single"/>
        </w:rPr>
        <w:t xml:space="preserve">    </w:t>
      </w:r>
      <w:r>
        <w:rPr>
          <w:rFonts w:hint="eastAsia"/>
        </w:rPr>
        <w:t>；</w:t>
      </w:r>
      <w:bookmarkEnd w:id="575"/>
    </w:p>
    <w:p w14:paraId="783AF94B">
      <w:pPr>
        <w:ind w:firstLine="420" w:firstLineChars="200"/>
        <w:jc w:val="left"/>
      </w:pPr>
      <w:bookmarkStart w:id="576" w:name="_Toc504473018"/>
      <w:r>
        <w:rPr>
          <w:rFonts w:hint="eastAsia"/>
        </w:rPr>
        <w:t>（</w:t>
      </w:r>
      <w:r>
        <w:t>2</w:t>
      </w:r>
      <w:r>
        <w:rPr>
          <w:rFonts w:hint="eastAsia"/>
        </w:rPr>
        <w:t>）</w:t>
      </w:r>
      <w:r>
        <w:rPr>
          <w:rFonts w:hint="eastAsia"/>
          <w:u w:val="single"/>
        </w:rPr>
        <w:t xml:space="preserve">    </w:t>
      </w:r>
      <w:r>
        <w:t>%</w:t>
      </w:r>
      <w:r>
        <w:rPr>
          <w:rFonts w:hint="eastAsia"/>
        </w:rPr>
        <w:t>的工程款；</w:t>
      </w:r>
      <w:bookmarkEnd w:id="576"/>
    </w:p>
    <w:p w14:paraId="4F415CBA">
      <w:pPr>
        <w:ind w:firstLine="420" w:firstLineChars="200"/>
        <w:jc w:val="left"/>
      </w:pPr>
      <w:bookmarkStart w:id="577" w:name="_Toc504473019"/>
      <w:r>
        <w:rPr>
          <w:rFonts w:hint="eastAsia"/>
        </w:rPr>
        <w:t>（</w:t>
      </w:r>
      <w:r>
        <w:t>3</w:t>
      </w:r>
      <w:r>
        <w:rPr>
          <w:rFonts w:hint="eastAsia"/>
        </w:rPr>
        <w:t>）其他方式</w:t>
      </w:r>
      <w:r>
        <w:t>:</w:t>
      </w:r>
      <w:r>
        <w:rPr>
          <w:rFonts w:hint="eastAsia"/>
          <w:u w:val="single"/>
        </w:rPr>
        <w:t xml:space="preserve">    </w:t>
      </w:r>
      <w:r>
        <w:rPr>
          <w:rFonts w:hint="eastAsia"/>
        </w:rPr>
        <w:t>。</w:t>
      </w:r>
      <w:bookmarkEnd w:id="577"/>
    </w:p>
    <w:p w14:paraId="0D82B2D0">
      <w:pPr>
        <w:ind w:firstLine="420" w:firstLineChars="200"/>
        <w:jc w:val="left"/>
      </w:pPr>
      <w:bookmarkStart w:id="578" w:name="_Toc504473020"/>
      <w:r>
        <w:t>15.3.2</w:t>
      </w:r>
      <w:r>
        <w:rPr>
          <w:rFonts w:hint="eastAsia"/>
        </w:rPr>
        <w:t>质量保证金的扣留</w:t>
      </w:r>
      <w:bookmarkEnd w:id="578"/>
    </w:p>
    <w:p w14:paraId="3543C19D">
      <w:pPr>
        <w:ind w:firstLine="420" w:firstLineChars="200"/>
        <w:jc w:val="left"/>
      </w:pPr>
      <w:bookmarkStart w:id="579" w:name="_Toc504473021"/>
      <w:r>
        <w:rPr>
          <w:rFonts w:hint="eastAsia"/>
        </w:rPr>
        <w:t>质量保证金的扣留采取以下第</w:t>
      </w:r>
      <w:r>
        <w:rPr>
          <w:rFonts w:hint="eastAsia"/>
          <w:u w:val="single"/>
        </w:rPr>
        <w:t xml:space="preserve">      </w:t>
      </w:r>
      <w:r>
        <w:rPr>
          <w:rFonts w:hint="eastAsia"/>
        </w:rPr>
        <w:t>种方式：</w:t>
      </w:r>
      <w:bookmarkEnd w:id="579"/>
    </w:p>
    <w:p w14:paraId="207332B9">
      <w:pPr>
        <w:ind w:firstLine="420" w:firstLineChars="200"/>
        <w:jc w:val="left"/>
      </w:pPr>
      <w:bookmarkStart w:id="580" w:name="_Toc504473022"/>
      <w:r>
        <w:rPr>
          <w:rFonts w:hint="eastAsia"/>
        </w:rPr>
        <w:t>（</w:t>
      </w:r>
      <w:r>
        <w:t>1</w:t>
      </w:r>
      <w:r>
        <w:rPr>
          <w:rFonts w:hint="eastAsia"/>
        </w:rPr>
        <w:t>）在支付工程进度款时逐次扣留，在此情形下，质量保证金的计算基数不包括预付款的支付、扣回以及价格调整的金额；</w:t>
      </w:r>
      <w:bookmarkEnd w:id="580"/>
    </w:p>
    <w:p w14:paraId="602C7187">
      <w:pPr>
        <w:ind w:firstLine="420" w:firstLineChars="200"/>
        <w:jc w:val="left"/>
      </w:pPr>
      <w:bookmarkStart w:id="581" w:name="_Toc504473023"/>
      <w:r>
        <w:rPr>
          <w:rFonts w:hint="eastAsia"/>
        </w:rPr>
        <w:t>（</w:t>
      </w:r>
      <w:r>
        <w:t>2</w:t>
      </w:r>
      <w:r>
        <w:rPr>
          <w:rFonts w:hint="eastAsia"/>
        </w:rPr>
        <w:t>）工程竣工结算时一次性扣留质量保证金；</w:t>
      </w:r>
      <w:bookmarkEnd w:id="581"/>
    </w:p>
    <w:p w14:paraId="1235AAF2">
      <w:pPr>
        <w:ind w:firstLine="420" w:firstLineChars="200"/>
        <w:jc w:val="left"/>
      </w:pPr>
      <w:bookmarkStart w:id="582" w:name="_Toc504473024"/>
      <w:r>
        <w:rPr>
          <w:rFonts w:hint="eastAsia"/>
        </w:rPr>
        <w:t>（</w:t>
      </w:r>
      <w:r>
        <w:t>3</w:t>
      </w:r>
      <w:r>
        <w:rPr>
          <w:rFonts w:hint="eastAsia"/>
        </w:rPr>
        <w:t>）其他扣留方式</w:t>
      </w:r>
      <w:r>
        <w:t>:</w:t>
      </w:r>
      <w:r>
        <w:rPr>
          <w:rFonts w:hint="eastAsia"/>
          <w:u w:val="single"/>
        </w:rPr>
        <w:t xml:space="preserve"> 工程竣工验收合格后开始计算保修期，按专业工程所规定的保修期限和保修范围及保修金额，待保修期满，保修期限期满后，缺陷责任期满后由监理单位、建设单位、使用单位共同确认后将相应专业工程保修金无息返还承包人。保修期限为附件 3 工程质量保修书及国家、地方相关法律、法规及政策性文件所规定的保修期限。发包人有权按照通用条款及质量保修书等相关规定从保修金中按本合同约定扣除有关保修费用及其他相关违约金、损害赔偿金等费用。质量保证金不计利息等其他费用</w:t>
      </w:r>
      <w:r>
        <w:rPr>
          <w:rFonts w:hint="eastAsia"/>
        </w:rPr>
        <w:t>。</w:t>
      </w:r>
      <w:bookmarkEnd w:id="582"/>
    </w:p>
    <w:p w14:paraId="7BD8D5AD">
      <w:pPr>
        <w:ind w:firstLine="420" w:firstLineChars="200"/>
        <w:jc w:val="left"/>
      </w:pPr>
      <w:bookmarkStart w:id="583" w:name="_Toc504473025"/>
      <w:r>
        <w:rPr>
          <w:rFonts w:hint="eastAsia"/>
        </w:rPr>
        <w:t>关于质量保证金的补充约定：</w:t>
      </w:r>
      <w:r>
        <w:rPr>
          <w:rFonts w:hint="eastAsia"/>
          <w:u w:val="single"/>
        </w:rPr>
        <w:t>/</w:t>
      </w:r>
      <w:r>
        <w:rPr>
          <w:rFonts w:hint="eastAsia"/>
        </w:rPr>
        <w:t>。</w:t>
      </w:r>
      <w:bookmarkEnd w:id="583"/>
    </w:p>
    <w:p w14:paraId="02B97BE8">
      <w:pPr>
        <w:ind w:firstLine="420" w:firstLineChars="200"/>
        <w:jc w:val="left"/>
      </w:pPr>
      <w:bookmarkStart w:id="584" w:name="_Toc504473026"/>
      <w:r>
        <w:t>15.4</w:t>
      </w:r>
      <w:r>
        <w:rPr>
          <w:rFonts w:hint="eastAsia"/>
        </w:rPr>
        <w:t>保修</w:t>
      </w:r>
      <w:bookmarkEnd w:id="584"/>
    </w:p>
    <w:p w14:paraId="0A433A11">
      <w:pPr>
        <w:ind w:firstLine="420" w:firstLineChars="200"/>
        <w:jc w:val="left"/>
      </w:pPr>
      <w:bookmarkStart w:id="585" w:name="_Toc504473027"/>
      <w:r>
        <w:t>15.4.1</w:t>
      </w:r>
      <w:r>
        <w:rPr>
          <w:rFonts w:hint="eastAsia"/>
        </w:rPr>
        <w:t>保修责任</w:t>
      </w:r>
      <w:bookmarkEnd w:id="585"/>
    </w:p>
    <w:p w14:paraId="32595BD9">
      <w:pPr>
        <w:ind w:firstLine="420" w:firstLineChars="200"/>
        <w:jc w:val="left"/>
      </w:pPr>
      <w:bookmarkStart w:id="586" w:name="_Toc504473028"/>
      <w:r>
        <w:rPr>
          <w:rFonts w:hint="eastAsia"/>
        </w:rPr>
        <w:t>工程保修期为：</w:t>
      </w:r>
      <w:r>
        <w:rPr>
          <w:rFonts w:hint="eastAsia"/>
          <w:u w:val="single"/>
        </w:rPr>
        <w:t>按国家有关规定执行</w:t>
      </w:r>
      <w:r>
        <w:rPr>
          <w:rFonts w:hint="eastAsia"/>
        </w:rPr>
        <w:t>。</w:t>
      </w:r>
      <w:bookmarkEnd w:id="586"/>
    </w:p>
    <w:p w14:paraId="5B32226D">
      <w:pPr>
        <w:ind w:firstLine="420" w:firstLineChars="200"/>
        <w:jc w:val="left"/>
      </w:pPr>
      <w:bookmarkStart w:id="587" w:name="_Toc504473029"/>
      <w:r>
        <w:t>15.4.3</w:t>
      </w:r>
      <w:r>
        <w:rPr>
          <w:rFonts w:hint="eastAsia"/>
        </w:rPr>
        <w:t>修复通知</w:t>
      </w:r>
      <w:bookmarkEnd w:id="587"/>
    </w:p>
    <w:p w14:paraId="3A836B36">
      <w:pPr>
        <w:ind w:firstLine="420" w:firstLineChars="200"/>
        <w:jc w:val="left"/>
        <w:rPr>
          <w:bCs/>
          <w:u w:val="single"/>
        </w:rPr>
      </w:pPr>
      <w:bookmarkStart w:id="588" w:name="_Toc504473030"/>
      <w:r>
        <w:rPr>
          <w:rFonts w:hint="eastAsia"/>
        </w:rPr>
        <w:t>承包人收到保修通知并到达工程现场的合理时间：</w:t>
      </w:r>
      <w:r>
        <w:rPr>
          <w:rFonts w:hint="eastAsia"/>
          <w:bCs/>
          <w:u w:val="single"/>
        </w:rPr>
        <w:t>收到通知后24小时内到达工程现场。</w:t>
      </w:r>
      <w:bookmarkEnd w:id="588"/>
    </w:p>
    <w:p w14:paraId="510D77A3">
      <w:pPr>
        <w:ind w:firstLine="420" w:firstLineChars="200"/>
        <w:jc w:val="left"/>
        <w:rPr>
          <w:bCs/>
          <w:u w:val="single"/>
        </w:rPr>
      </w:pPr>
      <w:bookmarkStart w:id="589" w:name="_Toc504473031"/>
      <w:r>
        <w:rPr>
          <w:rFonts w:hint="eastAsia"/>
          <w:bCs/>
          <w:u w:val="single"/>
        </w:rPr>
        <w:t>１．属于保修范围和内容的项目，承包人应在接到修理通知之日后７天内派人修理完毕。承包人不在约定期限内派人修理，发包人可委托其他人员修理，保修费用从质量保修金内扣除。</w:t>
      </w:r>
      <w:bookmarkEnd w:id="589"/>
    </w:p>
    <w:p w14:paraId="730AAA73">
      <w:pPr>
        <w:ind w:firstLine="420" w:firstLineChars="200"/>
        <w:jc w:val="left"/>
        <w:rPr>
          <w:bCs/>
          <w:u w:val="single"/>
        </w:rPr>
      </w:pPr>
      <w:bookmarkStart w:id="590" w:name="_Toc504473032"/>
      <w:r>
        <w:rPr>
          <w:rFonts w:hint="eastAsia"/>
          <w:bCs/>
          <w:u w:val="single"/>
        </w:rPr>
        <w:t>２．发生须紧急抢修事故（如上水跑水、暖气漏水漏气、燃气漏气等），承包人接到事故通知后，应立即到达事故现场抢修。</w:t>
      </w:r>
      <w:bookmarkEnd w:id="590"/>
    </w:p>
    <w:p w14:paraId="3F14B67C">
      <w:pPr>
        <w:ind w:firstLine="420" w:firstLineChars="200"/>
        <w:jc w:val="left"/>
        <w:rPr>
          <w:bCs/>
          <w:u w:val="single"/>
        </w:rPr>
      </w:pPr>
      <w:bookmarkStart w:id="591" w:name="_Toc504473033"/>
      <w:r>
        <w:rPr>
          <w:rFonts w:hint="eastAsia"/>
          <w:bCs/>
          <w:u w:val="single"/>
        </w:rPr>
        <w:t>３．对于涉及结构安全的质量问题，应当按照《房屋建筑工程质量保修办法》的规定，立即向当地建设行政主管部门报告，采取安全防范措施；由原设计单位或具有相应资质等级的设计单位提出保修方案，承包人实施保修。</w:t>
      </w:r>
      <w:bookmarkEnd w:id="591"/>
    </w:p>
    <w:p w14:paraId="014327D5">
      <w:pPr>
        <w:ind w:firstLine="420" w:firstLineChars="200"/>
        <w:jc w:val="left"/>
      </w:pPr>
      <w:bookmarkStart w:id="592" w:name="_Toc504473034"/>
      <w:r>
        <w:rPr>
          <w:rFonts w:hint="eastAsia"/>
          <w:bCs/>
          <w:u w:val="single"/>
        </w:rPr>
        <w:t>4．质量保修完成后，由发包人和使用单位组织验收。</w:t>
      </w:r>
      <w:bookmarkEnd w:id="592"/>
    </w:p>
    <w:p w14:paraId="2F88C73A">
      <w:pPr>
        <w:ind w:firstLine="422" w:firstLineChars="200"/>
        <w:jc w:val="left"/>
        <w:rPr>
          <w:b/>
          <w:bCs/>
        </w:rPr>
      </w:pPr>
      <w:bookmarkStart w:id="593" w:name="_Toc504473035"/>
      <w:r>
        <w:rPr>
          <w:b/>
          <w:bCs/>
        </w:rPr>
        <w:t xml:space="preserve">16. </w:t>
      </w:r>
      <w:r>
        <w:rPr>
          <w:rFonts w:hint="eastAsia"/>
          <w:b/>
          <w:bCs/>
        </w:rPr>
        <w:t>违约</w:t>
      </w:r>
      <w:bookmarkEnd w:id="593"/>
    </w:p>
    <w:p w14:paraId="35D8E9C6">
      <w:pPr>
        <w:ind w:firstLine="420" w:firstLineChars="200"/>
        <w:jc w:val="left"/>
      </w:pPr>
      <w:bookmarkStart w:id="594" w:name="_Toc504473036"/>
      <w:r>
        <w:t xml:space="preserve">16.1 </w:t>
      </w:r>
      <w:r>
        <w:rPr>
          <w:rFonts w:hint="eastAsia"/>
        </w:rPr>
        <w:t>发包人违约</w:t>
      </w:r>
      <w:bookmarkEnd w:id="594"/>
    </w:p>
    <w:p w14:paraId="60FABC8E">
      <w:pPr>
        <w:ind w:firstLine="420" w:firstLineChars="200"/>
        <w:jc w:val="left"/>
      </w:pPr>
      <w:bookmarkStart w:id="595" w:name="_Toc504473037"/>
      <w:r>
        <w:t>16.1.1</w:t>
      </w:r>
      <w:r>
        <w:rPr>
          <w:rFonts w:hint="eastAsia"/>
        </w:rPr>
        <w:t>发包人违约的情形</w:t>
      </w:r>
      <w:bookmarkEnd w:id="595"/>
    </w:p>
    <w:p w14:paraId="551CA311">
      <w:pPr>
        <w:ind w:firstLine="420" w:firstLineChars="200"/>
        <w:jc w:val="left"/>
      </w:pPr>
      <w:bookmarkStart w:id="596" w:name="_Toc504473038"/>
      <w:r>
        <w:rPr>
          <w:rFonts w:hint="eastAsia"/>
        </w:rPr>
        <w:t>发包人违约的其他情形：</w:t>
      </w:r>
      <w:r>
        <w:rPr>
          <w:rFonts w:hint="eastAsia"/>
          <w:u w:val="single"/>
        </w:rPr>
        <w:t>无</w:t>
      </w:r>
      <w:r>
        <w:rPr>
          <w:rFonts w:hint="eastAsia"/>
        </w:rPr>
        <w:t>。</w:t>
      </w:r>
      <w:bookmarkEnd w:id="596"/>
    </w:p>
    <w:p w14:paraId="640879F4">
      <w:pPr>
        <w:ind w:firstLine="420" w:firstLineChars="200"/>
        <w:jc w:val="left"/>
      </w:pPr>
      <w:bookmarkStart w:id="597" w:name="_Toc504473039"/>
      <w:r>
        <w:t>16.1.2</w:t>
      </w:r>
      <w:r>
        <w:rPr>
          <w:rFonts w:hint="eastAsia"/>
        </w:rPr>
        <w:t>发包人违约的责任</w:t>
      </w:r>
      <w:bookmarkEnd w:id="597"/>
    </w:p>
    <w:p w14:paraId="664EA0E3">
      <w:pPr>
        <w:ind w:firstLine="420" w:firstLineChars="200"/>
        <w:jc w:val="left"/>
      </w:pPr>
      <w:bookmarkStart w:id="598" w:name="_Toc504473040"/>
      <w:r>
        <w:rPr>
          <w:rFonts w:hint="eastAsia"/>
        </w:rPr>
        <w:t>发包人违约责任的承担方式和计算方法：</w:t>
      </w:r>
      <w:bookmarkEnd w:id="598"/>
    </w:p>
    <w:p w14:paraId="020E05D7">
      <w:pPr>
        <w:ind w:firstLine="420" w:firstLineChars="200"/>
        <w:jc w:val="left"/>
        <w:rPr>
          <w:u w:val="single"/>
        </w:rPr>
      </w:pPr>
      <w:bookmarkStart w:id="599" w:name="_Toc504473041"/>
      <w:r>
        <w:rPr>
          <w:rFonts w:hint="eastAsia"/>
        </w:rPr>
        <w:t>（</w:t>
      </w:r>
      <w:r>
        <w:t>1</w:t>
      </w:r>
      <w:r>
        <w:rPr>
          <w:rFonts w:hint="eastAsia"/>
        </w:rPr>
        <w:t>）因发包人原因未能在计划开工日期前</w:t>
      </w:r>
      <w:r>
        <w:t>7</w:t>
      </w:r>
      <w:r>
        <w:rPr>
          <w:rFonts w:hint="eastAsia"/>
        </w:rPr>
        <w:t>天内下达开工通知的违约责任：</w:t>
      </w:r>
      <w:r>
        <w:rPr>
          <w:rFonts w:hint="eastAsia"/>
          <w:u w:val="single"/>
        </w:rPr>
        <w:t>协商解决</w:t>
      </w:r>
      <w:r>
        <w:rPr>
          <w:rFonts w:hint="eastAsia"/>
        </w:rPr>
        <w:t>。</w:t>
      </w:r>
      <w:bookmarkEnd w:id="599"/>
    </w:p>
    <w:p w14:paraId="5904066A">
      <w:pPr>
        <w:ind w:firstLine="420" w:firstLineChars="200"/>
        <w:jc w:val="left"/>
      </w:pPr>
      <w:bookmarkStart w:id="600" w:name="_Toc504473042"/>
      <w:r>
        <w:rPr>
          <w:rFonts w:hint="eastAsia"/>
        </w:rPr>
        <w:t>（</w:t>
      </w:r>
      <w:r>
        <w:t>2</w:t>
      </w:r>
      <w:r>
        <w:rPr>
          <w:rFonts w:hint="eastAsia"/>
        </w:rPr>
        <w:t>）因发包人原因未能按合同约定支付合同价款的违约责任：</w:t>
      </w:r>
      <w:r>
        <w:rPr>
          <w:rFonts w:hint="eastAsia"/>
          <w:u w:val="single"/>
        </w:rPr>
        <w:t>协商解决</w:t>
      </w:r>
      <w:r>
        <w:rPr>
          <w:rFonts w:hint="eastAsia"/>
        </w:rPr>
        <w:t>。</w:t>
      </w:r>
      <w:bookmarkEnd w:id="600"/>
    </w:p>
    <w:p w14:paraId="708791AC">
      <w:pPr>
        <w:ind w:firstLine="420" w:firstLineChars="200"/>
        <w:jc w:val="left"/>
      </w:pPr>
      <w:bookmarkStart w:id="601" w:name="_Toc504473043"/>
      <w:r>
        <w:rPr>
          <w:rFonts w:hint="eastAsia"/>
        </w:rPr>
        <w:t>（</w:t>
      </w:r>
      <w:r>
        <w:t>3</w:t>
      </w:r>
      <w:r>
        <w:rPr>
          <w:rFonts w:hint="eastAsia"/>
        </w:rPr>
        <w:t>）发包人违反第</w:t>
      </w:r>
      <w:r>
        <w:t>10.1</w:t>
      </w:r>
      <w:r>
        <w:rPr>
          <w:rFonts w:hint="eastAsia"/>
        </w:rPr>
        <w:t>款〔变更的范围〕第（</w:t>
      </w:r>
      <w:r>
        <w:t>2</w:t>
      </w:r>
      <w:r>
        <w:rPr>
          <w:rFonts w:hint="eastAsia"/>
        </w:rPr>
        <w:t>）项约定，自行实施被取消的工作或转由他人实施的违约责任：</w:t>
      </w:r>
      <w:r>
        <w:rPr>
          <w:rFonts w:hint="eastAsia"/>
          <w:u w:val="single"/>
        </w:rPr>
        <w:t>协商解决</w:t>
      </w:r>
      <w:r>
        <w:rPr>
          <w:rFonts w:hint="eastAsia"/>
        </w:rPr>
        <w:t>。</w:t>
      </w:r>
      <w:bookmarkEnd w:id="601"/>
    </w:p>
    <w:p w14:paraId="269439D5">
      <w:pPr>
        <w:ind w:firstLine="420" w:firstLineChars="200"/>
        <w:jc w:val="left"/>
      </w:pPr>
      <w:bookmarkStart w:id="602" w:name="_Toc504473044"/>
      <w:r>
        <w:rPr>
          <w:rFonts w:hint="eastAsia"/>
        </w:rPr>
        <w:t>（</w:t>
      </w:r>
      <w:r>
        <w:t>4</w:t>
      </w:r>
      <w:r>
        <w:rPr>
          <w:rFonts w:hint="eastAsia"/>
        </w:rPr>
        <w:t>）发包人提供的材料、工程设备的规格、数量或质量不符合合同约定，或因发包人原因导致交货日期延误或交货地点变更等情况的违约责任：</w:t>
      </w:r>
      <w:r>
        <w:rPr>
          <w:rFonts w:hint="eastAsia"/>
          <w:u w:val="single"/>
        </w:rPr>
        <w:t>无内容</w:t>
      </w:r>
      <w:r>
        <w:rPr>
          <w:rFonts w:hint="eastAsia"/>
        </w:rPr>
        <w:t>。</w:t>
      </w:r>
      <w:bookmarkEnd w:id="602"/>
    </w:p>
    <w:p w14:paraId="14ECB1C8">
      <w:pPr>
        <w:ind w:firstLine="420" w:firstLineChars="200"/>
        <w:jc w:val="left"/>
      </w:pPr>
      <w:bookmarkStart w:id="603" w:name="_Toc504473045"/>
      <w:r>
        <w:rPr>
          <w:rFonts w:hint="eastAsia"/>
        </w:rPr>
        <w:t>（</w:t>
      </w:r>
      <w:r>
        <w:t>5</w:t>
      </w:r>
      <w:r>
        <w:rPr>
          <w:rFonts w:hint="eastAsia"/>
        </w:rPr>
        <w:t>）因发包人违反合同约定造成暂停施工的违约责任：</w:t>
      </w:r>
      <w:r>
        <w:rPr>
          <w:rFonts w:hint="eastAsia"/>
          <w:u w:val="single"/>
        </w:rPr>
        <w:t>协商解决</w:t>
      </w:r>
      <w:r>
        <w:rPr>
          <w:rFonts w:hint="eastAsia"/>
        </w:rPr>
        <w:t>。</w:t>
      </w:r>
      <w:bookmarkEnd w:id="603"/>
    </w:p>
    <w:p w14:paraId="37502F55">
      <w:pPr>
        <w:ind w:firstLine="420" w:firstLineChars="200"/>
        <w:jc w:val="left"/>
      </w:pPr>
      <w:bookmarkStart w:id="604" w:name="_Toc504473046"/>
      <w:r>
        <w:rPr>
          <w:rFonts w:hint="eastAsia"/>
        </w:rPr>
        <w:t>（</w:t>
      </w:r>
      <w:r>
        <w:t>6</w:t>
      </w:r>
      <w:r>
        <w:rPr>
          <w:rFonts w:hint="eastAsia"/>
        </w:rPr>
        <w:t>）发包人无正当理由没有在约定期限内发出复工指示，导致承包人无法复工的违约责任：</w:t>
      </w:r>
      <w:r>
        <w:rPr>
          <w:rFonts w:hint="eastAsia"/>
          <w:u w:val="single"/>
        </w:rPr>
        <w:t>协商解决</w:t>
      </w:r>
      <w:r>
        <w:rPr>
          <w:rFonts w:hint="eastAsia"/>
        </w:rPr>
        <w:t>。</w:t>
      </w:r>
      <w:bookmarkEnd w:id="604"/>
    </w:p>
    <w:p w14:paraId="5FDEBFCF">
      <w:pPr>
        <w:ind w:firstLine="420" w:firstLineChars="200"/>
        <w:jc w:val="left"/>
      </w:pPr>
      <w:bookmarkStart w:id="605" w:name="_Toc504473047"/>
      <w:r>
        <w:rPr>
          <w:rFonts w:hint="eastAsia"/>
        </w:rPr>
        <w:t>（</w:t>
      </w:r>
      <w:r>
        <w:t>7</w:t>
      </w:r>
      <w:r>
        <w:rPr>
          <w:rFonts w:hint="eastAsia"/>
        </w:rPr>
        <w:t>）其他：</w:t>
      </w:r>
      <w:r>
        <w:rPr>
          <w:rFonts w:hint="eastAsia"/>
          <w:u w:val="single"/>
        </w:rPr>
        <w:t>/</w:t>
      </w:r>
      <w:r>
        <w:rPr>
          <w:rFonts w:hint="eastAsia"/>
        </w:rPr>
        <w:t>。</w:t>
      </w:r>
      <w:bookmarkEnd w:id="605"/>
    </w:p>
    <w:p w14:paraId="60F3C833">
      <w:pPr>
        <w:ind w:firstLine="420" w:firstLineChars="200"/>
        <w:jc w:val="left"/>
      </w:pPr>
      <w:bookmarkStart w:id="606" w:name="_Toc504473048"/>
      <w:r>
        <w:t>16.1.3</w:t>
      </w:r>
      <w:r>
        <w:rPr>
          <w:rFonts w:hint="eastAsia"/>
        </w:rPr>
        <w:t>因发包人违约解除合同</w:t>
      </w:r>
      <w:bookmarkEnd w:id="606"/>
    </w:p>
    <w:p w14:paraId="4F2D9F6F">
      <w:pPr>
        <w:ind w:firstLine="420" w:firstLineChars="200"/>
        <w:jc w:val="left"/>
      </w:pPr>
      <w:bookmarkStart w:id="607" w:name="_Toc504473049"/>
      <w:r>
        <w:rPr>
          <w:rFonts w:hint="eastAsia"/>
        </w:rPr>
        <w:t>承包人按</w:t>
      </w:r>
      <w:r>
        <w:t>16.1.1</w:t>
      </w:r>
      <w:r>
        <w:rPr>
          <w:rFonts w:hint="eastAsia"/>
        </w:rPr>
        <w:t>项〔发包人违约的情形〕约定暂停施工满</w:t>
      </w:r>
      <w:r>
        <w:rPr>
          <w:rFonts w:hint="eastAsia"/>
          <w:u w:val="single"/>
        </w:rPr>
        <w:t>60</w:t>
      </w:r>
      <w:r>
        <w:rPr>
          <w:rFonts w:hint="eastAsia"/>
        </w:rPr>
        <w:t>天后发包人仍不纠正其违约行为并致使合同目的不能实现的，承包人有权解除合同。</w:t>
      </w:r>
      <w:bookmarkEnd w:id="607"/>
    </w:p>
    <w:p w14:paraId="24EC0FEC">
      <w:pPr>
        <w:ind w:firstLine="420" w:firstLineChars="200"/>
        <w:jc w:val="left"/>
      </w:pPr>
      <w:bookmarkStart w:id="608" w:name="_Toc504473050"/>
      <w:r>
        <w:t xml:space="preserve">16.2 </w:t>
      </w:r>
      <w:r>
        <w:rPr>
          <w:rFonts w:hint="eastAsia"/>
        </w:rPr>
        <w:t>承包人违约</w:t>
      </w:r>
      <w:bookmarkEnd w:id="608"/>
    </w:p>
    <w:p w14:paraId="55EAD8B5">
      <w:pPr>
        <w:ind w:firstLine="420" w:firstLineChars="200"/>
        <w:jc w:val="left"/>
      </w:pPr>
      <w:bookmarkStart w:id="609" w:name="_Toc504473051"/>
      <w:r>
        <w:t>16.2.1</w:t>
      </w:r>
      <w:r>
        <w:rPr>
          <w:rFonts w:hint="eastAsia"/>
        </w:rPr>
        <w:t>承包人违约的情形</w:t>
      </w:r>
      <w:bookmarkEnd w:id="609"/>
    </w:p>
    <w:p w14:paraId="22D767B8">
      <w:pPr>
        <w:ind w:firstLine="420" w:firstLineChars="200"/>
        <w:jc w:val="left"/>
        <w:rPr>
          <w:u w:val="single"/>
        </w:rPr>
      </w:pPr>
      <w:bookmarkStart w:id="610" w:name="_Toc504473052"/>
      <w:r>
        <w:rPr>
          <w:rFonts w:hint="eastAsia"/>
        </w:rPr>
        <w:t>承包人违约的其他情形：</w:t>
      </w:r>
      <w:r>
        <w:rPr>
          <w:rFonts w:hint="eastAsia"/>
          <w:u w:val="single"/>
        </w:rPr>
        <w:t>（1）发包人在给承包人合格工程计量支付工程款后，承包人无故拖欠劳务工工资、材料供应商的材料款、机械设备租赁以及分包商的工程款，引起合同纠纷，造成不良影响。（2）承包人未能按响应文件承诺书中约定的履行义务及承包人不按合同约定履行义务的其他情况。（3）未按时提交工程竣工结算资料的。</w:t>
      </w:r>
      <w:bookmarkEnd w:id="610"/>
    </w:p>
    <w:p w14:paraId="5B011085">
      <w:pPr>
        <w:ind w:firstLine="420" w:firstLineChars="200"/>
        <w:jc w:val="left"/>
      </w:pPr>
      <w:bookmarkStart w:id="611" w:name="_Toc504473053"/>
      <w:r>
        <w:t>16.2.2</w:t>
      </w:r>
      <w:r>
        <w:rPr>
          <w:rFonts w:hint="eastAsia"/>
        </w:rPr>
        <w:t>承包人违约的责任</w:t>
      </w:r>
      <w:bookmarkEnd w:id="611"/>
    </w:p>
    <w:p w14:paraId="7DD0EBB9">
      <w:pPr>
        <w:ind w:firstLine="420" w:firstLineChars="200"/>
        <w:jc w:val="left"/>
        <w:rPr>
          <w:u w:val="single"/>
        </w:rPr>
      </w:pPr>
      <w:bookmarkStart w:id="612" w:name="_Toc504473054"/>
      <w:r>
        <w:rPr>
          <w:rFonts w:hint="eastAsia"/>
        </w:rPr>
        <w:t>承包人违约责任的承担方式和计算方法：</w:t>
      </w:r>
      <w:r>
        <w:rPr>
          <w:rFonts w:hint="eastAsia"/>
          <w:u w:val="single"/>
        </w:rPr>
        <w:t>依照专用合同条款7.5.2条款执行</w:t>
      </w:r>
      <w:r>
        <w:rPr>
          <w:rFonts w:hint="eastAsia"/>
        </w:rPr>
        <w:t>。</w:t>
      </w:r>
      <w:bookmarkEnd w:id="612"/>
    </w:p>
    <w:p w14:paraId="6EF9AE0B">
      <w:pPr>
        <w:ind w:firstLine="420" w:firstLineChars="200"/>
        <w:jc w:val="left"/>
      </w:pPr>
      <w:bookmarkStart w:id="613" w:name="_Toc504473055"/>
      <w:r>
        <w:t>16.2.3</w:t>
      </w:r>
      <w:r>
        <w:rPr>
          <w:rFonts w:hint="eastAsia"/>
        </w:rPr>
        <w:t>因承包人违约解除合同</w:t>
      </w:r>
      <w:bookmarkEnd w:id="613"/>
    </w:p>
    <w:p w14:paraId="3EB2FEB0">
      <w:pPr>
        <w:ind w:firstLine="420" w:firstLineChars="200"/>
        <w:jc w:val="left"/>
        <w:rPr>
          <w:u w:val="single"/>
        </w:rPr>
      </w:pPr>
      <w:bookmarkStart w:id="614" w:name="_Toc504473056"/>
      <w:r>
        <w:rPr>
          <w:rFonts w:hint="eastAsia"/>
        </w:rPr>
        <w:t>关于承包人违约解除合同的特别约定：</w:t>
      </w:r>
      <w:r>
        <w:rPr>
          <w:rFonts w:hint="eastAsia"/>
          <w:u w:val="single"/>
        </w:rPr>
        <w:t>执行通用条款</w:t>
      </w:r>
      <w:bookmarkEnd w:id="614"/>
    </w:p>
    <w:p w14:paraId="5AE87693">
      <w:pPr>
        <w:ind w:firstLine="420" w:firstLineChars="200"/>
        <w:jc w:val="left"/>
      </w:pPr>
      <w:bookmarkStart w:id="615" w:name="_Toc504473057"/>
      <w:r>
        <w:rPr>
          <w:rFonts w:hint="eastAsia"/>
        </w:rPr>
        <w:t>发包人继续使用承包人在施工现场的材料、设备、临时工程、承包人文件和由承包人或以其名义编制的其他文件的费用承担方式：</w:t>
      </w:r>
      <w:r>
        <w:rPr>
          <w:rFonts w:hint="eastAsia"/>
          <w:u w:val="single"/>
        </w:rPr>
        <w:t>无</w:t>
      </w:r>
      <w:r>
        <w:rPr>
          <w:rFonts w:hint="eastAsia"/>
        </w:rPr>
        <w:t>。</w:t>
      </w:r>
      <w:bookmarkEnd w:id="615"/>
    </w:p>
    <w:p w14:paraId="5F43EC24">
      <w:pPr>
        <w:ind w:firstLine="422" w:firstLineChars="200"/>
        <w:jc w:val="left"/>
        <w:rPr>
          <w:b/>
          <w:bCs/>
        </w:rPr>
      </w:pPr>
      <w:bookmarkStart w:id="616" w:name="_Toc504473058"/>
      <w:r>
        <w:rPr>
          <w:b/>
          <w:bCs/>
        </w:rPr>
        <w:t xml:space="preserve">17. </w:t>
      </w:r>
      <w:r>
        <w:rPr>
          <w:rFonts w:hint="eastAsia"/>
          <w:b/>
          <w:bCs/>
        </w:rPr>
        <w:t>不可抗力</w:t>
      </w:r>
      <w:bookmarkEnd w:id="616"/>
    </w:p>
    <w:p w14:paraId="48A6DE7C">
      <w:pPr>
        <w:ind w:firstLine="420" w:firstLineChars="200"/>
        <w:jc w:val="left"/>
      </w:pPr>
      <w:bookmarkStart w:id="617" w:name="_Toc504473059"/>
      <w:r>
        <w:t xml:space="preserve">17.1 </w:t>
      </w:r>
      <w:r>
        <w:rPr>
          <w:rFonts w:hint="eastAsia"/>
        </w:rPr>
        <w:t>不可抗力的确认</w:t>
      </w:r>
      <w:bookmarkEnd w:id="617"/>
    </w:p>
    <w:p w14:paraId="7A4C4925">
      <w:pPr>
        <w:ind w:firstLine="420" w:firstLineChars="200"/>
        <w:jc w:val="left"/>
        <w:rPr>
          <w:u w:val="single"/>
        </w:rPr>
      </w:pPr>
      <w:bookmarkStart w:id="618" w:name="_Toc504473060"/>
      <w:r>
        <w:rPr>
          <w:rFonts w:hint="eastAsia"/>
        </w:rPr>
        <w:t>除通用合同条款约定的不可抗力事件之外，视为不可抗力的其他情形：</w:t>
      </w:r>
      <w:r>
        <w:rPr>
          <w:rFonts w:hint="eastAsia"/>
          <w:u w:val="single"/>
        </w:rPr>
        <w:t>/</w:t>
      </w:r>
      <w:r>
        <w:rPr>
          <w:rFonts w:hint="eastAsia"/>
        </w:rPr>
        <w:t>。</w:t>
      </w:r>
      <w:bookmarkEnd w:id="618"/>
    </w:p>
    <w:p w14:paraId="31B0FFC7">
      <w:pPr>
        <w:ind w:firstLine="420" w:firstLineChars="200"/>
        <w:jc w:val="left"/>
      </w:pPr>
      <w:bookmarkStart w:id="619" w:name="_Toc504473061"/>
      <w:r>
        <w:t xml:space="preserve">17.4 </w:t>
      </w:r>
      <w:r>
        <w:rPr>
          <w:rFonts w:hint="eastAsia"/>
        </w:rPr>
        <w:t>因不可抗力解除合同</w:t>
      </w:r>
      <w:bookmarkEnd w:id="619"/>
    </w:p>
    <w:p w14:paraId="1568B95E">
      <w:pPr>
        <w:ind w:firstLine="420" w:firstLineChars="200"/>
        <w:jc w:val="left"/>
      </w:pPr>
      <w:bookmarkStart w:id="620" w:name="_Toc504473062"/>
      <w:r>
        <w:rPr>
          <w:rFonts w:hint="eastAsia"/>
        </w:rPr>
        <w:t>合同解除后，发包人应在商定或确定发包人应支付款项后</w:t>
      </w:r>
      <w:r>
        <w:rPr>
          <w:rFonts w:hint="eastAsia"/>
          <w:u w:val="single"/>
        </w:rPr>
        <w:t xml:space="preserve"> /  </w:t>
      </w:r>
      <w:r>
        <w:rPr>
          <w:rFonts w:hint="eastAsia"/>
        </w:rPr>
        <w:t>天内完成款项的支付。</w:t>
      </w:r>
      <w:bookmarkEnd w:id="620"/>
    </w:p>
    <w:p w14:paraId="313E73B4">
      <w:pPr>
        <w:ind w:firstLine="422" w:firstLineChars="200"/>
        <w:jc w:val="left"/>
        <w:rPr>
          <w:b/>
          <w:bCs/>
        </w:rPr>
      </w:pPr>
      <w:bookmarkStart w:id="621" w:name="_Toc504473063"/>
      <w:r>
        <w:rPr>
          <w:b/>
          <w:bCs/>
        </w:rPr>
        <w:t xml:space="preserve">18. </w:t>
      </w:r>
      <w:r>
        <w:rPr>
          <w:rFonts w:hint="eastAsia"/>
          <w:b/>
          <w:bCs/>
        </w:rPr>
        <w:t>保险</w:t>
      </w:r>
      <w:bookmarkEnd w:id="621"/>
    </w:p>
    <w:p w14:paraId="44B76890">
      <w:pPr>
        <w:ind w:firstLine="420" w:firstLineChars="200"/>
        <w:jc w:val="left"/>
      </w:pPr>
      <w:bookmarkStart w:id="622" w:name="_Toc504473064"/>
      <w:r>
        <w:t xml:space="preserve">18.1 </w:t>
      </w:r>
      <w:r>
        <w:rPr>
          <w:rFonts w:hint="eastAsia"/>
        </w:rPr>
        <w:t>工程保险</w:t>
      </w:r>
      <w:bookmarkEnd w:id="622"/>
    </w:p>
    <w:p w14:paraId="4B6DAC52">
      <w:pPr>
        <w:ind w:firstLine="420" w:firstLineChars="200"/>
        <w:jc w:val="left"/>
      </w:pPr>
      <w:bookmarkStart w:id="623" w:name="_Toc504473065"/>
      <w:r>
        <w:rPr>
          <w:rFonts w:hint="eastAsia"/>
        </w:rPr>
        <w:t>关于工程保险的特别约定：</w:t>
      </w:r>
      <w:r>
        <w:rPr>
          <w:rFonts w:hint="eastAsia"/>
          <w:u w:val="single"/>
        </w:rPr>
        <w:t>执行通用条款</w:t>
      </w:r>
      <w:r>
        <w:rPr>
          <w:rFonts w:hint="eastAsia"/>
        </w:rPr>
        <w:t>。</w:t>
      </w:r>
      <w:bookmarkEnd w:id="623"/>
    </w:p>
    <w:p w14:paraId="23899877">
      <w:pPr>
        <w:ind w:firstLine="420" w:firstLineChars="200"/>
        <w:jc w:val="left"/>
      </w:pPr>
      <w:bookmarkStart w:id="624" w:name="_Toc504473066"/>
      <w:r>
        <w:t xml:space="preserve">18.3 </w:t>
      </w:r>
      <w:r>
        <w:rPr>
          <w:rFonts w:hint="eastAsia"/>
        </w:rPr>
        <w:t>其他保险</w:t>
      </w:r>
      <w:bookmarkEnd w:id="624"/>
    </w:p>
    <w:p w14:paraId="5A3E0180">
      <w:pPr>
        <w:ind w:firstLine="420" w:firstLineChars="200"/>
        <w:jc w:val="left"/>
      </w:pPr>
      <w:bookmarkStart w:id="625" w:name="_Toc504473067"/>
      <w:r>
        <w:rPr>
          <w:rFonts w:hint="eastAsia"/>
        </w:rPr>
        <w:t>关于其他保险的约定：</w:t>
      </w:r>
      <w:r>
        <w:rPr>
          <w:rFonts w:hint="eastAsia"/>
          <w:u w:val="single"/>
        </w:rPr>
        <w:t>/</w:t>
      </w:r>
      <w:r>
        <w:rPr>
          <w:rFonts w:hint="eastAsia"/>
        </w:rPr>
        <w:t>。</w:t>
      </w:r>
      <w:bookmarkEnd w:id="625"/>
    </w:p>
    <w:p w14:paraId="2CCE49A3">
      <w:pPr>
        <w:ind w:firstLine="420" w:firstLineChars="200"/>
        <w:jc w:val="left"/>
      </w:pPr>
      <w:bookmarkStart w:id="626" w:name="_Toc504473068"/>
      <w:r>
        <w:rPr>
          <w:rFonts w:hint="eastAsia"/>
        </w:rPr>
        <w:t>承包人是否应为其施工设备等办理财产保险：</w:t>
      </w:r>
      <w:r>
        <w:rPr>
          <w:rFonts w:hint="eastAsia"/>
          <w:u w:val="single"/>
        </w:rPr>
        <w:t>执行通用条款</w:t>
      </w:r>
      <w:r>
        <w:rPr>
          <w:rFonts w:hint="eastAsia"/>
        </w:rPr>
        <w:t>。</w:t>
      </w:r>
      <w:bookmarkEnd w:id="626"/>
    </w:p>
    <w:p w14:paraId="66393FC7">
      <w:pPr>
        <w:ind w:firstLine="420" w:firstLineChars="200"/>
        <w:jc w:val="left"/>
      </w:pPr>
      <w:bookmarkStart w:id="627" w:name="_Toc504473069"/>
      <w:r>
        <w:t xml:space="preserve">18.7 </w:t>
      </w:r>
      <w:r>
        <w:rPr>
          <w:rFonts w:hint="eastAsia"/>
        </w:rPr>
        <w:t>通知义务</w:t>
      </w:r>
      <w:bookmarkEnd w:id="627"/>
    </w:p>
    <w:p w14:paraId="4B7E86C7">
      <w:pPr>
        <w:ind w:firstLine="420" w:firstLineChars="200"/>
        <w:jc w:val="left"/>
      </w:pPr>
      <w:bookmarkStart w:id="628" w:name="_Toc504473070"/>
      <w:r>
        <w:rPr>
          <w:rFonts w:hint="eastAsia"/>
        </w:rPr>
        <w:t>关于变更保险合同时的通知义务的约定：</w:t>
      </w:r>
      <w:r>
        <w:rPr>
          <w:rFonts w:hint="eastAsia"/>
          <w:u w:val="single"/>
        </w:rPr>
        <w:t>执行通用条款</w:t>
      </w:r>
      <w:r>
        <w:rPr>
          <w:rFonts w:hint="eastAsia"/>
        </w:rPr>
        <w:t>。</w:t>
      </w:r>
      <w:bookmarkEnd w:id="628"/>
    </w:p>
    <w:p w14:paraId="41479F01">
      <w:pPr>
        <w:ind w:firstLine="422" w:firstLineChars="200"/>
        <w:jc w:val="left"/>
        <w:rPr>
          <w:b/>
          <w:bCs/>
        </w:rPr>
      </w:pPr>
      <w:bookmarkStart w:id="629" w:name="_Toc504473071"/>
      <w:r>
        <w:rPr>
          <w:b/>
          <w:bCs/>
        </w:rPr>
        <w:t xml:space="preserve">20. </w:t>
      </w:r>
      <w:r>
        <w:rPr>
          <w:rFonts w:hint="eastAsia"/>
          <w:b/>
          <w:bCs/>
        </w:rPr>
        <w:t>争议解决</w:t>
      </w:r>
      <w:bookmarkEnd w:id="629"/>
    </w:p>
    <w:p w14:paraId="0D31609A">
      <w:pPr>
        <w:ind w:firstLine="420" w:firstLineChars="200"/>
        <w:jc w:val="left"/>
      </w:pPr>
      <w:bookmarkStart w:id="630" w:name="_Toc504473072"/>
      <w:r>
        <w:t xml:space="preserve">20.3 </w:t>
      </w:r>
      <w:r>
        <w:rPr>
          <w:rFonts w:hint="eastAsia"/>
        </w:rPr>
        <w:t>争议评审</w:t>
      </w:r>
      <w:bookmarkEnd w:id="630"/>
    </w:p>
    <w:p w14:paraId="2C833554">
      <w:pPr>
        <w:ind w:firstLine="420" w:firstLineChars="200"/>
        <w:jc w:val="left"/>
      </w:pPr>
      <w:bookmarkStart w:id="631" w:name="_Toc504473073"/>
      <w:r>
        <w:rPr>
          <w:rFonts w:hint="eastAsia"/>
        </w:rPr>
        <w:t>合同当事人是否同意将工程争议提交争议评审小组决定：</w:t>
      </w:r>
      <w:r>
        <w:rPr>
          <w:rFonts w:hint="eastAsia"/>
          <w:u w:val="single"/>
        </w:rPr>
        <w:t>不同意。</w:t>
      </w:r>
      <w:bookmarkEnd w:id="631"/>
    </w:p>
    <w:p w14:paraId="08006529">
      <w:pPr>
        <w:ind w:firstLine="420" w:firstLineChars="200"/>
        <w:jc w:val="left"/>
      </w:pPr>
      <w:bookmarkStart w:id="632" w:name="_Toc504473074"/>
      <w:r>
        <w:t>20.3.1</w:t>
      </w:r>
      <w:r>
        <w:rPr>
          <w:rFonts w:hint="eastAsia"/>
        </w:rPr>
        <w:t>争议评审小组的确定</w:t>
      </w:r>
      <w:bookmarkEnd w:id="632"/>
    </w:p>
    <w:p w14:paraId="5B18977C">
      <w:pPr>
        <w:ind w:firstLine="420" w:firstLineChars="200"/>
        <w:jc w:val="left"/>
        <w:rPr>
          <w:u w:val="single"/>
        </w:rPr>
      </w:pPr>
      <w:bookmarkStart w:id="633" w:name="_Toc504473075"/>
      <w:r>
        <w:rPr>
          <w:rFonts w:hint="eastAsia"/>
        </w:rPr>
        <w:t>争议评审小组成员的确定：</w:t>
      </w:r>
      <w:r>
        <w:rPr>
          <w:rFonts w:hint="eastAsia"/>
          <w:u w:val="single"/>
        </w:rPr>
        <w:t>监理人、建设行政主管单位、相关行业专家</w:t>
      </w:r>
      <w:r>
        <w:rPr>
          <w:rFonts w:hint="eastAsia"/>
        </w:rPr>
        <w:t>。</w:t>
      </w:r>
      <w:bookmarkEnd w:id="633"/>
    </w:p>
    <w:p w14:paraId="2A8B6FAD">
      <w:pPr>
        <w:ind w:firstLine="420" w:firstLineChars="200"/>
        <w:jc w:val="left"/>
      </w:pPr>
      <w:bookmarkStart w:id="634" w:name="_Toc504473076"/>
      <w:r>
        <w:rPr>
          <w:rFonts w:hint="eastAsia"/>
        </w:rPr>
        <w:t>选定争议评审员的期限：</w:t>
      </w:r>
      <w:r>
        <w:rPr>
          <w:rFonts w:hint="eastAsia"/>
          <w:u w:val="single"/>
        </w:rPr>
        <w:t>7个工作日</w:t>
      </w:r>
      <w:r>
        <w:rPr>
          <w:rFonts w:hint="eastAsia"/>
        </w:rPr>
        <w:t>。</w:t>
      </w:r>
      <w:bookmarkEnd w:id="634"/>
    </w:p>
    <w:p w14:paraId="5A6220F7">
      <w:pPr>
        <w:ind w:firstLine="420" w:firstLineChars="200"/>
        <w:jc w:val="left"/>
      </w:pPr>
      <w:bookmarkStart w:id="635" w:name="_Toc504473077"/>
      <w:r>
        <w:rPr>
          <w:rFonts w:hint="eastAsia"/>
        </w:rPr>
        <w:t>争议评审小组成员的报酬承担方式：</w:t>
      </w:r>
      <w:r>
        <w:rPr>
          <w:rFonts w:hint="eastAsia"/>
          <w:u w:val="single"/>
        </w:rPr>
        <w:t>争议双方共同承担</w:t>
      </w:r>
      <w:r>
        <w:rPr>
          <w:rFonts w:hint="eastAsia"/>
        </w:rPr>
        <w:t>。</w:t>
      </w:r>
      <w:bookmarkEnd w:id="635"/>
    </w:p>
    <w:p w14:paraId="0B5C1AB1">
      <w:pPr>
        <w:ind w:firstLine="420" w:firstLineChars="200"/>
        <w:jc w:val="left"/>
      </w:pPr>
      <w:bookmarkStart w:id="636" w:name="_Toc504473078"/>
      <w:r>
        <w:rPr>
          <w:rFonts w:hint="eastAsia"/>
        </w:rPr>
        <w:t>其他事项的约定：</w:t>
      </w:r>
      <w:r>
        <w:rPr>
          <w:rFonts w:hint="eastAsia"/>
          <w:u w:val="single"/>
        </w:rPr>
        <w:t>/</w:t>
      </w:r>
      <w:r>
        <w:rPr>
          <w:rFonts w:hint="eastAsia"/>
        </w:rPr>
        <w:t>。</w:t>
      </w:r>
      <w:bookmarkEnd w:id="636"/>
    </w:p>
    <w:p w14:paraId="1FC3001D">
      <w:pPr>
        <w:ind w:firstLine="420" w:firstLineChars="200"/>
        <w:jc w:val="left"/>
      </w:pPr>
      <w:bookmarkStart w:id="637" w:name="_Toc504473079"/>
      <w:r>
        <w:t>20.3.2</w:t>
      </w:r>
      <w:r>
        <w:rPr>
          <w:rFonts w:hint="eastAsia"/>
        </w:rPr>
        <w:t>争议评审小组的决定</w:t>
      </w:r>
      <w:bookmarkEnd w:id="637"/>
    </w:p>
    <w:p w14:paraId="60242601">
      <w:pPr>
        <w:ind w:firstLine="420" w:firstLineChars="200"/>
        <w:jc w:val="left"/>
      </w:pPr>
      <w:bookmarkStart w:id="638" w:name="_Toc504473080"/>
      <w:r>
        <w:rPr>
          <w:rFonts w:hint="eastAsia"/>
        </w:rPr>
        <w:t>合同当事人关于本项的约定：</w:t>
      </w:r>
      <w:r>
        <w:rPr>
          <w:rFonts w:hint="eastAsia"/>
          <w:u w:val="single"/>
        </w:rPr>
        <w:t>遵守争议评审小组的意见</w:t>
      </w:r>
      <w:r>
        <w:rPr>
          <w:rFonts w:hint="eastAsia"/>
        </w:rPr>
        <w:t>。</w:t>
      </w:r>
      <w:bookmarkEnd w:id="638"/>
    </w:p>
    <w:p w14:paraId="0C1315E4">
      <w:pPr>
        <w:ind w:firstLine="420" w:firstLineChars="200"/>
        <w:jc w:val="left"/>
      </w:pPr>
      <w:bookmarkStart w:id="639" w:name="_Toc504473081"/>
      <w:r>
        <w:t>20.4</w:t>
      </w:r>
      <w:r>
        <w:rPr>
          <w:rFonts w:hint="eastAsia"/>
        </w:rPr>
        <w:t>仲裁或诉讼</w:t>
      </w:r>
      <w:bookmarkEnd w:id="639"/>
    </w:p>
    <w:p w14:paraId="358AD766">
      <w:pPr>
        <w:ind w:firstLine="420" w:firstLineChars="200"/>
        <w:jc w:val="left"/>
      </w:pPr>
      <w:bookmarkStart w:id="640" w:name="_Toc504473082"/>
      <w:r>
        <w:rPr>
          <w:rFonts w:hint="eastAsia"/>
        </w:rPr>
        <w:t>因合同及合同有关事项发生的争议，按下列第</w:t>
      </w:r>
      <w:r>
        <w:rPr>
          <w:rFonts w:hint="eastAsia"/>
          <w:u w:val="single"/>
        </w:rPr>
        <w:t>（2）</w:t>
      </w:r>
      <w:r>
        <w:rPr>
          <w:rFonts w:hint="eastAsia"/>
        </w:rPr>
        <w:t>种方式解决：</w:t>
      </w:r>
      <w:bookmarkEnd w:id="640"/>
    </w:p>
    <w:p w14:paraId="0F89F28D">
      <w:pPr>
        <w:ind w:firstLine="420" w:firstLineChars="200"/>
        <w:jc w:val="left"/>
      </w:pPr>
      <w:bookmarkStart w:id="641" w:name="_Toc504473083"/>
      <w:r>
        <w:rPr>
          <w:rFonts w:hint="eastAsia"/>
        </w:rPr>
        <w:t>（</w:t>
      </w:r>
      <w:r>
        <w:t>1</w:t>
      </w:r>
      <w:r>
        <w:rPr>
          <w:rFonts w:hint="eastAsia"/>
        </w:rPr>
        <w:t xml:space="preserve">）向 </w:t>
      </w:r>
      <w:r>
        <w:rPr>
          <w:rFonts w:hint="eastAsia"/>
          <w:u w:val="single"/>
        </w:rPr>
        <w:t xml:space="preserve"> /  </w:t>
      </w:r>
      <w:r>
        <w:rPr>
          <w:rFonts w:hint="eastAsia"/>
        </w:rPr>
        <w:t>仲裁委员会申请仲裁；</w:t>
      </w:r>
      <w:bookmarkEnd w:id="641"/>
    </w:p>
    <w:p w14:paraId="6EC2BC97">
      <w:pPr>
        <w:ind w:firstLine="420" w:firstLineChars="200"/>
        <w:jc w:val="left"/>
      </w:pPr>
      <w:bookmarkStart w:id="642" w:name="_Toc504473084"/>
      <w:r>
        <w:rPr>
          <w:rFonts w:hint="eastAsia"/>
        </w:rPr>
        <w:t>（</w:t>
      </w:r>
      <w:r>
        <w:t>2</w:t>
      </w:r>
      <w:r>
        <w:rPr>
          <w:rFonts w:hint="eastAsia"/>
        </w:rPr>
        <w:t>）向</w:t>
      </w:r>
      <w:r>
        <w:rPr>
          <w:rFonts w:hint="eastAsia"/>
          <w:u w:val="single"/>
        </w:rPr>
        <w:t>项目所在地</w:t>
      </w:r>
      <w:r>
        <w:rPr>
          <w:rFonts w:hint="eastAsia"/>
        </w:rPr>
        <w:t>人民法院起诉。</w:t>
      </w:r>
      <w:bookmarkEnd w:id="131"/>
      <w:bookmarkEnd w:id="132"/>
      <w:bookmarkEnd w:id="642"/>
      <w:bookmarkStart w:id="643" w:name="_Toc351203652"/>
    </w:p>
    <w:p w14:paraId="3A52A445">
      <w:pPr>
        <w:widowControl/>
        <w:jc w:val="left"/>
        <w:rPr>
          <w:rFonts w:ascii="宋体" w:hAnsi="宋体" w:cs="仿宋_GB2312"/>
          <w:b/>
          <w:szCs w:val="21"/>
        </w:rPr>
      </w:pPr>
      <w:r>
        <w:rPr>
          <w:rFonts w:ascii="宋体" w:hAnsi="宋体" w:cs="仿宋_GB2312"/>
          <w:b/>
          <w:szCs w:val="21"/>
        </w:rPr>
        <w:br w:type="page"/>
      </w:r>
    </w:p>
    <w:p w14:paraId="5A2D3C1C">
      <w:pPr>
        <w:spacing w:line="360" w:lineRule="auto"/>
        <w:jc w:val="left"/>
        <w:rPr>
          <w:rFonts w:ascii="宋体" w:hAnsi="宋体" w:cs="仿宋_GB2312"/>
          <w:b/>
          <w:szCs w:val="21"/>
        </w:rPr>
      </w:pPr>
    </w:p>
    <w:p w14:paraId="0BF7F517">
      <w:pPr>
        <w:widowControl/>
        <w:jc w:val="left"/>
        <w:rPr>
          <w:rFonts w:ascii="宋体" w:hAnsi="宋体" w:cs="仿宋_GB2312"/>
          <w:b/>
          <w:szCs w:val="21"/>
        </w:rPr>
      </w:pPr>
      <w:r>
        <w:rPr>
          <w:rFonts w:hint="eastAsia" w:ascii="宋体" w:hAnsi="宋体" w:cs="仿宋_GB2312"/>
          <w:b/>
          <w:szCs w:val="21"/>
        </w:rPr>
        <w:t>附件</w:t>
      </w:r>
      <w:bookmarkEnd w:id="643"/>
    </w:p>
    <w:p w14:paraId="36530CB3">
      <w:pPr>
        <w:spacing w:line="360" w:lineRule="auto"/>
        <w:jc w:val="left"/>
        <w:rPr>
          <w:rFonts w:ascii="宋体" w:hAnsi="宋体" w:cs="仿宋_GB2312"/>
          <w:szCs w:val="21"/>
        </w:rPr>
      </w:pPr>
      <w:r>
        <w:rPr>
          <w:rFonts w:hint="eastAsia" w:ascii="宋体" w:hAnsi="宋体" w:cs="仿宋_GB2312"/>
          <w:szCs w:val="21"/>
        </w:rPr>
        <w:t>协议书附件：</w:t>
      </w:r>
    </w:p>
    <w:p w14:paraId="2EBF10D4">
      <w:pPr>
        <w:spacing w:line="360" w:lineRule="auto"/>
        <w:jc w:val="left"/>
        <w:rPr>
          <w:rFonts w:ascii="宋体" w:hAnsi="宋体" w:cs="仿宋_GB2312"/>
          <w:szCs w:val="21"/>
        </w:rPr>
      </w:pPr>
      <w:r>
        <w:rPr>
          <w:rFonts w:hint="eastAsia" w:ascii="宋体" w:hAnsi="宋体" w:cs="仿宋_GB2312"/>
          <w:szCs w:val="21"/>
        </w:rPr>
        <w:t>附件1：承包人承揽工程项目一览表</w:t>
      </w:r>
    </w:p>
    <w:p w14:paraId="689E60A5">
      <w:pPr>
        <w:spacing w:line="360" w:lineRule="auto"/>
        <w:jc w:val="left"/>
        <w:rPr>
          <w:rFonts w:ascii="宋体" w:hAnsi="宋体" w:cs="仿宋_GB2312"/>
          <w:szCs w:val="21"/>
        </w:rPr>
      </w:pPr>
      <w:r>
        <w:rPr>
          <w:rFonts w:hint="eastAsia" w:ascii="宋体" w:hAnsi="宋体" w:cs="仿宋_GB2312"/>
          <w:szCs w:val="21"/>
        </w:rPr>
        <w:t>专用合同条款附件：</w:t>
      </w:r>
    </w:p>
    <w:p w14:paraId="69B351AE">
      <w:pPr>
        <w:spacing w:line="360" w:lineRule="auto"/>
        <w:jc w:val="left"/>
        <w:rPr>
          <w:rFonts w:ascii="宋体" w:hAnsi="宋体" w:cs="仿宋_GB2312"/>
          <w:szCs w:val="21"/>
        </w:rPr>
      </w:pPr>
      <w:r>
        <w:rPr>
          <w:rFonts w:hint="eastAsia" w:ascii="宋体" w:hAnsi="宋体" w:cs="仿宋_GB2312"/>
          <w:szCs w:val="21"/>
        </w:rPr>
        <w:t>附件2：发包人供应材料设备一览表</w:t>
      </w:r>
    </w:p>
    <w:p w14:paraId="2D6A9BD1">
      <w:pPr>
        <w:spacing w:line="360" w:lineRule="auto"/>
        <w:jc w:val="left"/>
        <w:rPr>
          <w:rFonts w:ascii="宋体" w:hAnsi="宋体" w:cs="仿宋_GB2312"/>
          <w:szCs w:val="21"/>
        </w:rPr>
      </w:pPr>
      <w:r>
        <w:rPr>
          <w:rFonts w:hint="eastAsia" w:ascii="宋体" w:hAnsi="宋体" w:cs="仿宋_GB2312"/>
          <w:szCs w:val="21"/>
        </w:rPr>
        <w:t>附件3：工程质量保修书</w:t>
      </w:r>
    </w:p>
    <w:p w14:paraId="2AD94EE7">
      <w:pPr>
        <w:spacing w:line="360" w:lineRule="auto"/>
        <w:jc w:val="left"/>
        <w:rPr>
          <w:rFonts w:ascii="宋体" w:hAnsi="宋体" w:cs="仿宋_GB2312"/>
          <w:szCs w:val="21"/>
        </w:rPr>
      </w:pPr>
      <w:r>
        <w:rPr>
          <w:rFonts w:hint="eastAsia" w:ascii="宋体" w:hAnsi="宋体" w:cs="仿宋_GB2312"/>
          <w:szCs w:val="21"/>
        </w:rPr>
        <w:t>附件4：主要建设工程文件目录</w:t>
      </w:r>
    </w:p>
    <w:p w14:paraId="5A39E474">
      <w:pPr>
        <w:spacing w:line="360" w:lineRule="auto"/>
        <w:jc w:val="left"/>
        <w:rPr>
          <w:rFonts w:ascii="宋体" w:hAnsi="宋体" w:cs="仿宋_GB2312"/>
          <w:szCs w:val="21"/>
        </w:rPr>
      </w:pPr>
      <w:r>
        <w:rPr>
          <w:rFonts w:hint="eastAsia" w:ascii="宋体" w:hAnsi="宋体" w:cs="仿宋_GB2312"/>
          <w:szCs w:val="21"/>
        </w:rPr>
        <w:t>附件5：承包人用于本工程施工的机械设备表</w:t>
      </w:r>
    </w:p>
    <w:p w14:paraId="27F15BD0">
      <w:pPr>
        <w:spacing w:line="360" w:lineRule="auto"/>
        <w:jc w:val="left"/>
        <w:rPr>
          <w:rFonts w:ascii="宋体" w:hAnsi="宋体" w:cs="仿宋_GB2312"/>
          <w:szCs w:val="21"/>
        </w:rPr>
      </w:pPr>
      <w:r>
        <w:rPr>
          <w:rFonts w:hint="eastAsia" w:ascii="宋体" w:hAnsi="宋体" w:cs="仿宋_GB2312"/>
          <w:szCs w:val="21"/>
        </w:rPr>
        <w:t>附件6：承包人主要施工管理人员表</w:t>
      </w:r>
    </w:p>
    <w:p w14:paraId="0B6DBEC2">
      <w:pPr>
        <w:spacing w:line="360" w:lineRule="auto"/>
        <w:jc w:val="left"/>
        <w:rPr>
          <w:rFonts w:ascii="宋体" w:hAnsi="宋体" w:cs="仿宋_GB2312"/>
          <w:szCs w:val="21"/>
        </w:rPr>
      </w:pPr>
      <w:r>
        <w:rPr>
          <w:rFonts w:hint="eastAsia" w:ascii="宋体" w:hAnsi="宋体" w:cs="仿宋_GB2312"/>
          <w:szCs w:val="21"/>
        </w:rPr>
        <w:t>附件7：分包人主要施工管理人员表</w:t>
      </w:r>
    </w:p>
    <w:p w14:paraId="3E9E674D">
      <w:pPr>
        <w:spacing w:line="360" w:lineRule="auto"/>
        <w:jc w:val="left"/>
        <w:rPr>
          <w:rFonts w:ascii="宋体" w:hAnsi="宋体" w:cs="仿宋_GB2312"/>
          <w:szCs w:val="21"/>
        </w:rPr>
      </w:pPr>
      <w:r>
        <w:rPr>
          <w:rFonts w:hint="eastAsia" w:ascii="宋体" w:hAnsi="宋体" w:cs="仿宋_GB2312"/>
          <w:szCs w:val="21"/>
        </w:rPr>
        <w:t>附件8：履约担保格式</w:t>
      </w:r>
    </w:p>
    <w:p w14:paraId="18040CD3">
      <w:pPr>
        <w:spacing w:line="360" w:lineRule="auto"/>
        <w:jc w:val="left"/>
        <w:rPr>
          <w:rFonts w:ascii="宋体" w:hAnsi="宋体" w:cs="仿宋_GB2312"/>
          <w:szCs w:val="21"/>
        </w:rPr>
      </w:pPr>
      <w:r>
        <w:rPr>
          <w:rFonts w:hint="eastAsia" w:ascii="宋体" w:hAnsi="宋体" w:cs="仿宋_GB2312"/>
          <w:szCs w:val="21"/>
        </w:rPr>
        <w:t>附件9：预付款担保格式</w:t>
      </w:r>
    </w:p>
    <w:p w14:paraId="20EABB51">
      <w:pPr>
        <w:spacing w:line="360" w:lineRule="auto"/>
        <w:jc w:val="left"/>
        <w:rPr>
          <w:rFonts w:ascii="宋体" w:hAnsi="宋体" w:cs="仿宋_GB2312"/>
          <w:szCs w:val="21"/>
        </w:rPr>
      </w:pPr>
      <w:r>
        <w:rPr>
          <w:rFonts w:hint="eastAsia" w:ascii="宋体" w:hAnsi="宋体" w:cs="仿宋_GB2312"/>
          <w:szCs w:val="21"/>
        </w:rPr>
        <w:t>附件10：支付担保格式</w:t>
      </w:r>
    </w:p>
    <w:p w14:paraId="7CBB8745">
      <w:pPr>
        <w:spacing w:line="360" w:lineRule="auto"/>
        <w:jc w:val="left"/>
        <w:rPr>
          <w:rFonts w:ascii="宋体" w:hAnsi="宋体" w:cs="仿宋_GB2312"/>
          <w:szCs w:val="21"/>
        </w:rPr>
      </w:pPr>
      <w:r>
        <w:rPr>
          <w:rFonts w:hint="eastAsia" w:ascii="宋体" w:hAnsi="宋体" w:cs="仿宋_GB2312"/>
          <w:szCs w:val="21"/>
        </w:rPr>
        <w:t>附件11：暂估价一览表</w:t>
      </w:r>
    </w:p>
    <w:p w14:paraId="1DFEF751">
      <w:pPr>
        <w:spacing w:line="360" w:lineRule="auto"/>
        <w:jc w:val="left"/>
        <w:rPr>
          <w:rFonts w:ascii="宋体" w:hAnsi="宋体" w:cs="仿宋_GB2312"/>
          <w:szCs w:val="21"/>
        </w:rPr>
      </w:pPr>
    </w:p>
    <w:p w14:paraId="47778022">
      <w:pPr>
        <w:spacing w:line="360" w:lineRule="auto"/>
        <w:jc w:val="left"/>
        <w:rPr>
          <w:rFonts w:ascii="宋体" w:hAnsi="宋体" w:cs="仿宋_GB2312"/>
          <w:szCs w:val="21"/>
        </w:rPr>
      </w:pPr>
      <w:r>
        <w:rPr>
          <w:rFonts w:ascii="宋体" w:hAnsi="宋体" w:cs="仿宋_GB2312"/>
          <w:szCs w:val="21"/>
        </w:rPr>
        <w:br w:type="page"/>
      </w:r>
    </w:p>
    <w:p w14:paraId="67088566">
      <w:pPr>
        <w:spacing w:before="156" w:beforeLines="50" w:after="156" w:afterLines="50" w:line="360" w:lineRule="auto"/>
        <w:jc w:val="left"/>
        <w:rPr>
          <w:rFonts w:ascii="宋体" w:hAnsi="宋体" w:cs="仿宋_GB2312"/>
          <w:szCs w:val="21"/>
        </w:rPr>
      </w:pPr>
      <w:r>
        <w:rPr>
          <w:rFonts w:hint="eastAsia" w:ascii="宋体" w:hAnsi="宋体" w:cs="仿宋_GB2312"/>
          <w:szCs w:val="21"/>
        </w:rPr>
        <w:t>附件1：</w:t>
      </w:r>
    </w:p>
    <w:tbl>
      <w:tblPr>
        <w:tblStyle w:val="47"/>
        <w:tblpPr w:leftFromText="180" w:rightFromText="180" w:vertAnchor="text" w:horzAnchor="page" w:tblpX="1600" w:tblpY="1057"/>
        <w:tblOverlap w:val="never"/>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29"/>
        <w:gridCol w:w="715"/>
        <w:gridCol w:w="1195"/>
        <w:gridCol w:w="715"/>
        <w:gridCol w:w="498"/>
        <w:gridCol w:w="714"/>
        <w:gridCol w:w="928"/>
        <w:gridCol w:w="1241"/>
        <w:gridCol w:w="714"/>
        <w:gridCol w:w="714"/>
      </w:tblGrid>
      <w:tr w14:paraId="1C0CF29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10" w:hRule="atLeast"/>
        </w:trPr>
        <w:tc>
          <w:tcPr>
            <w:tcW w:w="929" w:type="dxa"/>
            <w:vAlign w:val="center"/>
          </w:tcPr>
          <w:p w14:paraId="0ACB891B">
            <w:pPr>
              <w:keepNext/>
              <w:spacing w:after="120" w:line="360" w:lineRule="auto"/>
              <w:ind w:left="63" w:right="63"/>
              <w:rPr>
                <w:rFonts w:ascii="宋体" w:hAnsi="宋体" w:cs="仿宋_GB2312"/>
                <w:kern w:val="0"/>
                <w:szCs w:val="21"/>
              </w:rPr>
            </w:pPr>
            <w:r>
              <w:rPr>
                <w:rFonts w:hint="eastAsia" w:ascii="宋体" w:hAnsi="宋体" w:cs="仿宋_GB2312"/>
                <w:kern w:val="0"/>
                <w:szCs w:val="21"/>
              </w:rPr>
              <w:t>单位工程名称</w:t>
            </w:r>
          </w:p>
        </w:tc>
        <w:tc>
          <w:tcPr>
            <w:tcW w:w="715" w:type="dxa"/>
            <w:vAlign w:val="center"/>
          </w:tcPr>
          <w:p w14:paraId="3D566CA7">
            <w:pPr>
              <w:keepNext/>
              <w:spacing w:after="120" w:line="360" w:lineRule="auto"/>
              <w:ind w:left="63" w:right="63"/>
              <w:rPr>
                <w:rFonts w:ascii="宋体" w:hAnsi="宋体" w:cs="仿宋_GB2312"/>
                <w:kern w:val="0"/>
                <w:szCs w:val="21"/>
              </w:rPr>
            </w:pPr>
            <w:r>
              <w:rPr>
                <w:rFonts w:hint="eastAsia" w:ascii="宋体" w:hAnsi="宋体" w:cs="仿宋_GB2312"/>
                <w:kern w:val="0"/>
                <w:szCs w:val="21"/>
              </w:rPr>
              <w:t>建设规模</w:t>
            </w:r>
          </w:p>
        </w:tc>
        <w:tc>
          <w:tcPr>
            <w:tcW w:w="1195" w:type="dxa"/>
            <w:vAlign w:val="center"/>
          </w:tcPr>
          <w:p w14:paraId="2597180D">
            <w:pPr>
              <w:keepNext/>
              <w:spacing w:after="120" w:line="360" w:lineRule="auto"/>
              <w:ind w:left="63" w:right="63"/>
              <w:rPr>
                <w:rFonts w:ascii="宋体" w:hAnsi="宋体" w:cs="仿宋_GB2312"/>
                <w:kern w:val="0"/>
                <w:szCs w:val="21"/>
              </w:rPr>
            </w:pPr>
            <w:r>
              <w:rPr>
                <w:rFonts w:hint="eastAsia" w:ascii="宋体" w:hAnsi="宋体" w:cs="仿宋_GB2312"/>
                <w:kern w:val="0"/>
                <w:szCs w:val="21"/>
              </w:rPr>
              <w:t>建筑面积(平方米)</w:t>
            </w:r>
          </w:p>
        </w:tc>
        <w:tc>
          <w:tcPr>
            <w:tcW w:w="715" w:type="dxa"/>
            <w:vAlign w:val="center"/>
          </w:tcPr>
          <w:p w14:paraId="2DA7FDD5">
            <w:pPr>
              <w:keepNext/>
              <w:spacing w:after="120" w:line="360" w:lineRule="auto"/>
              <w:ind w:left="63" w:right="63"/>
              <w:rPr>
                <w:rFonts w:ascii="宋体" w:hAnsi="宋体" w:cs="仿宋_GB2312"/>
                <w:kern w:val="0"/>
                <w:szCs w:val="21"/>
              </w:rPr>
            </w:pPr>
            <w:r>
              <w:rPr>
                <w:rFonts w:hint="eastAsia" w:ascii="宋体" w:hAnsi="宋体" w:cs="仿宋_GB2312"/>
                <w:kern w:val="0"/>
                <w:szCs w:val="21"/>
              </w:rPr>
              <w:t>结构形式</w:t>
            </w:r>
          </w:p>
        </w:tc>
        <w:tc>
          <w:tcPr>
            <w:tcW w:w="498" w:type="dxa"/>
            <w:vAlign w:val="center"/>
          </w:tcPr>
          <w:p w14:paraId="3DADA51E">
            <w:pPr>
              <w:keepNext/>
              <w:spacing w:after="120" w:line="360" w:lineRule="auto"/>
              <w:ind w:left="63" w:right="63"/>
              <w:rPr>
                <w:rFonts w:ascii="宋体" w:hAnsi="宋体" w:cs="仿宋_GB2312"/>
                <w:kern w:val="0"/>
                <w:szCs w:val="21"/>
              </w:rPr>
            </w:pPr>
            <w:r>
              <w:rPr>
                <w:rFonts w:hint="eastAsia" w:ascii="宋体" w:hAnsi="宋体" w:cs="仿宋_GB2312"/>
                <w:kern w:val="0"/>
                <w:szCs w:val="21"/>
              </w:rPr>
              <w:t>层数</w:t>
            </w:r>
          </w:p>
        </w:tc>
        <w:tc>
          <w:tcPr>
            <w:tcW w:w="714" w:type="dxa"/>
            <w:vAlign w:val="center"/>
          </w:tcPr>
          <w:p w14:paraId="36EC3F04">
            <w:pPr>
              <w:keepNext/>
              <w:spacing w:after="120" w:line="360" w:lineRule="auto"/>
              <w:ind w:left="63" w:right="63"/>
              <w:rPr>
                <w:rFonts w:ascii="宋体" w:hAnsi="宋体" w:cs="仿宋_GB2312"/>
                <w:kern w:val="0"/>
                <w:szCs w:val="21"/>
              </w:rPr>
            </w:pPr>
            <w:r>
              <w:rPr>
                <w:rFonts w:hint="eastAsia" w:ascii="宋体" w:hAnsi="宋体" w:cs="仿宋_GB2312"/>
                <w:kern w:val="0"/>
                <w:szCs w:val="21"/>
              </w:rPr>
              <w:t>生产能力</w:t>
            </w:r>
          </w:p>
        </w:tc>
        <w:tc>
          <w:tcPr>
            <w:tcW w:w="928" w:type="dxa"/>
            <w:vAlign w:val="center"/>
          </w:tcPr>
          <w:p w14:paraId="50E3D098">
            <w:pPr>
              <w:keepNext/>
              <w:spacing w:after="120" w:line="360" w:lineRule="auto"/>
              <w:ind w:left="63" w:right="63"/>
              <w:rPr>
                <w:rFonts w:ascii="宋体" w:hAnsi="宋体" w:cs="仿宋_GB2312"/>
                <w:kern w:val="0"/>
                <w:szCs w:val="21"/>
              </w:rPr>
            </w:pPr>
            <w:r>
              <w:rPr>
                <w:rFonts w:hint="eastAsia" w:ascii="宋体" w:hAnsi="宋体" w:cs="仿宋_GB2312"/>
                <w:kern w:val="0"/>
                <w:szCs w:val="21"/>
              </w:rPr>
              <w:t>设备安装内容</w:t>
            </w:r>
          </w:p>
        </w:tc>
        <w:tc>
          <w:tcPr>
            <w:tcW w:w="1241" w:type="dxa"/>
            <w:vAlign w:val="center"/>
          </w:tcPr>
          <w:p w14:paraId="69461914">
            <w:pPr>
              <w:keepNext/>
              <w:spacing w:after="120" w:line="360" w:lineRule="auto"/>
              <w:ind w:left="63" w:right="63"/>
              <w:rPr>
                <w:rFonts w:ascii="宋体" w:hAnsi="宋体" w:cs="仿宋_GB2312"/>
                <w:kern w:val="0"/>
                <w:szCs w:val="21"/>
              </w:rPr>
            </w:pPr>
            <w:r>
              <w:rPr>
                <w:rFonts w:hint="eastAsia" w:ascii="宋体" w:hAnsi="宋体" w:cs="仿宋_GB2312"/>
                <w:kern w:val="0"/>
                <w:szCs w:val="21"/>
              </w:rPr>
              <w:t>合同价格（元）</w:t>
            </w:r>
          </w:p>
        </w:tc>
        <w:tc>
          <w:tcPr>
            <w:tcW w:w="714" w:type="dxa"/>
            <w:vAlign w:val="center"/>
          </w:tcPr>
          <w:p w14:paraId="44766CE7">
            <w:pPr>
              <w:keepNext/>
              <w:spacing w:after="120" w:line="360" w:lineRule="auto"/>
              <w:ind w:left="63" w:right="63"/>
              <w:rPr>
                <w:rFonts w:ascii="宋体" w:hAnsi="宋体" w:cs="仿宋_GB2312"/>
                <w:kern w:val="0"/>
                <w:szCs w:val="21"/>
              </w:rPr>
            </w:pPr>
            <w:r>
              <w:rPr>
                <w:rFonts w:hint="eastAsia" w:ascii="宋体" w:hAnsi="宋体" w:cs="仿宋_GB2312"/>
                <w:kern w:val="0"/>
                <w:szCs w:val="21"/>
              </w:rPr>
              <w:t>开工日期</w:t>
            </w:r>
          </w:p>
        </w:tc>
        <w:tc>
          <w:tcPr>
            <w:tcW w:w="714" w:type="dxa"/>
            <w:vAlign w:val="center"/>
          </w:tcPr>
          <w:p w14:paraId="78821E33">
            <w:pPr>
              <w:keepNext/>
              <w:spacing w:after="120" w:line="360" w:lineRule="auto"/>
              <w:ind w:left="63" w:right="63"/>
              <w:rPr>
                <w:rFonts w:ascii="宋体" w:hAnsi="宋体" w:cs="仿宋_GB2312"/>
                <w:kern w:val="0"/>
                <w:szCs w:val="21"/>
              </w:rPr>
            </w:pPr>
            <w:r>
              <w:rPr>
                <w:rFonts w:hint="eastAsia" w:ascii="宋体" w:hAnsi="宋体" w:cs="仿宋_GB2312"/>
                <w:kern w:val="0"/>
                <w:szCs w:val="21"/>
              </w:rPr>
              <w:t>竣工日期</w:t>
            </w:r>
          </w:p>
        </w:tc>
      </w:tr>
      <w:tr w14:paraId="1681B1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1D7252A3">
            <w:pPr>
              <w:keepNext/>
              <w:spacing w:after="120" w:line="360" w:lineRule="auto"/>
              <w:ind w:left="63" w:right="63"/>
              <w:rPr>
                <w:rFonts w:ascii="宋体" w:hAnsi="宋体" w:cs="仿宋_GB2312"/>
                <w:kern w:val="0"/>
                <w:szCs w:val="21"/>
              </w:rPr>
            </w:pPr>
          </w:p>
        </w:tc>
        <w:tc>
          <w:tcPr>
            <w:tcW w:w="715" w:type="dxa"/>
            <w:vAlign w:val="center"/>
          </w:tcPr>
          <w:p w14:paraId="5762DB7E">
            <w:pPr>
              <w:keepNext/>
              <w:spacing w:after="120" w:line="360" w:lineRule="auto"/>
              <w:ind w:left="63" w:right="63"/>
              <w:rPr>
                <w:rFonts w:ascii="宋体" w:hAnsi="宋体" w:cs="仿宋_GB2312"/>
                <w:kern w:val="0"/>
                <w:szCs w:val="21"/>
              </w:rPr>
            </w:pPr>
          </w:p>
        </w:tc>
        <w:tc>
          <w:tcPr>
            <w:tcW w:w="1195" w:type="dxa"/>
            <w:vAlign w:val="center"/>
          </w:tcPr>
          <w:p w14:paraId="5FD2D663">
            <w:pPr>
              <w:keepNext/>
              <w:spacing w:after="120" w:line="360" w:lineRule="auto"/>
              <w:ind w:left="63" w:right="63"/>
              <w:rPr>
                <w:rFonts w:ascii="宋体" w:hAnsi="宋体" w:cs="仿宋_GB2312"/>
                <w:kern w:val="0"/>
                <w:szCs w:val="21"/>
              </w:rPr>
            </w:pPr>
          </w:p>
        </w:tc>
        <w:tc>
          <w:tcPr>
            <w:tcW w:w="715" w:type="dxa"/>
            <w:vAlign w:val="center"/>
          </w:tcPr>
          <w:p w14:paraId="2B88824F">
            <w:pPr>
              <w:keepNext/>
              <w:spacing w:after="120" w:line="360" w:lineRule="auto"/>
              <w:ind w:left="63" w:right="63"/>
              <w:rPr>
                <w:rFonts w:ascii="宋体" w:hAnsi="宋体" w:cs="仿宋_GB2312"/>
                <w:kern w:val="0"/>
                <w:szCs w:val="21"/>
              </w:rPr>
            </w:pPr>
          </w:p>
        </w:tc>
        <w:tc>
          <w:tcPr>
            <w:tcW w:w="498" w:type="dxa"/>
            <w:vAlign w:val="center"/>
          </w:tcPr>
          <w:p w14:paraId="5425057D">
            <w:pPr>
              <w:keepNext/>
              <w:spacing w:after="120" w:line="360" w:lineRule="auto"/>
              <w:ind w:left="63" w:right="63"/>
              <w:rPr>
                <w:rFonts w:ascii="宋体" w:hAnsi="宋体" w:cs="仿宋_GB2312"/>
                <w:kern w:val="0"/>
                <w:szCs w:val="21"/>
              </w:rPr>
            </w:pPr>
          </w:p>
        </w:tc>
        <w:tc>
          <w:tcPr>
            <w:tcW w:w="714" w:type="dxa"/>
            <w:vAlign w:val="center"/>
          </w:tcPr>
          <w:p w14:paraId="1FC3B1C9">
            <w:pPr>
              <w:keepNext/>
              <w:spacing w:after="120" w:line="360" w:lineRule="auto"/>
              <w:ind w:left="63" w:right="63"/>
              <w:rPr>
                <w:rFonts w:ascii="宋体" w:hAnsi="宋体" w:cs="仿宋_GB2312"/>
                <w:kern w:val="0"/>
                <w:szCs w:val="21"/>
              </w:rPr>
            </w:pPr>
          </w:p>
        </w:tc>
        <w:tc>
          <w:tcPr>
            <w:tcW w:w="928" w:type="dxa"/>
            <w:vAlign w:val="center"/>
          </w:tcPr>
          <w:p w14:paraId="01CA442D">
            <w:pPr>
              <w:keepNext/>
              <w:spacing w:after="120" w:line="360" w:lineRule="auto"/>
              <w:ind w:left="63" w:right="63"/>
              <w:rPr>
                <w:rFonts w:ascii="宋体" w:hAnsi="宋体" w:cs="仿宋_GB2312"/>
                <w:kern w:val="0"/>
                <w:szCs w:val="21"/>
              </w:rPr>
            </w:pPr>
          </w:p>
        </w:tc>
        <w:tc>
          <w:tcPr>
            <w:tcW w:w="1241" w:type="dxa"/>
            <w:vAlign w:val="center"/>
          </w:tcPr>
          <w:p w14:paraId="455D581E">
            <w:pPr>
              <w:keepNext/>
              <w:spacing w:after="120" w:line="360" w:lineRule="auto"/>
              <w:ind w:left="63" w:right="63"/>
              <w:rPr>
                <w:rFonts w:ascii="宋体" w:hAnsi="宋体" w:cs="仿宋_GB2312"/>
                <w:kern w:val="0"/>
                <w:szCs w:val="21"/>
              </w:rPr>
            </w:pPr>
          </w:p>
        </w:tc>
        <w:tc>
          <w:tcPr>
            <w:tcW w:w="714" w:type="dxa"/>
            <w:vAlign w:val="center"/>
          </w:tcPr>
          <w:p w14:paraId="30BDEAB1">
            <w:pPr>
              <w:keepNext/>
              <w:spacing w:after="120" w:line="360" w:lineRule="auto"/>
              <w:ind w:left="63" w:right="63"/>
              <w:rPr>
                <w:rFonts w:ascii="宋体" w:hAnsi="宋体" w:cs="仿宋_GB2312"/>
                <w:kern w:val="0"/>
                <w:szCs w:val="21"/>
              </w:rPr>
            </w:pPr>
          </w:p>
        </w:tc>
        <w:tc>
          <w:tcPr>
            <w:tcW w:w="714" w:type="dxa"/>
            <w:vAlign w:val="center"/>
          </w:tcPr>
          <w:p w14:paraId="08A87AB9">
            <w:pPr>
              <w:keepNext/>
              <w:spacing w:after="120" w:line="360" w:lineRule="auto"/>
              <w:ind w:left="63" w:right="63"/>
              <w:rPr>
                <w:rFonts w:ascii="宋体" w:hAnsi="宋体" w:cs="仿宋_GB2312"/>
                <w:kern w:val="0"/>
                <w:szCs w:val="21"/>
              </w:rPr>
            </w:pPr>
          </w:p>
        </w:tc>
      </w:tr>
      <w:tr w14:paraId="61A486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7AFA0F73">
            <w:pPr>
              <w:keepNext/>
              <w:spacing w:after="120" w:line="360" w:lineRule="auto"/>
              <w:ind w:left="63" w:right="63"/>
              <w:rPr>
                <w:rFonts w:ascii="宋体" w:hAnsi="宋体" w:cs="仿宋_GB2312"/>
                <w:kern w:val="0"/>
                <w:szCs w:val="21"/>
              </w:rPr>
            </w:pPr>
          </w:p>
        </w:tc>
        <w:tc>
          <w:tcPr>
            <w:tcW w:w="715" w:type="dxa"/>
            <w:vAlign w:val="center"/>
          </w:tcPr>
          <w:p w14:paraId="1055342F">
            <w:pPr>
              <w:keepNext/>
              <w:spacing w:after="120" w:line="360" w:lineRule="auto"/>
              <w:ind w:left="63" w:right="63"/>
              <w:rPr>
                <w:rFonts w:ascii="宋体" w:hAnsi="宋体" w:cs="仿宋_GB2312"/>
                <w:kern w:val="0"/>
                <w:szCs w:val="21"/>
              </w:rPr>
            </w:pPr>
          </w:p>
        </w:tc>
        <w:tc>
          <w:tcPr>
            <w:tcW w:w="1195" w:type="dxa"/>
            <w:vAlign w:val="center"/>
          </w:tcPr>
          <w:p w14:paraId="3D3EE0E9">
            <w:pPr>
              <w:keepNext/>
              <w:spacing w:after="120" w:line="360" w:lineRule="auto"/>
              <w:ind w:left="63" w:right="63"/>
              <w:rPr>
                <w:rFonts w:ascii="宋体" w:hAnsi="宋体" w:cs="仿宋_GB2312"/>
                <w:kern w:val="0"/>
                <w:szCs w:val="21"/>
              </w:rPr>
            </w:pPr>
          </w:p>
        </w:tc>
        <w:tc>
          <w:tcPr>
            <w:tcW w:w="715" w:type="dxa"/>
            <w:vAlign w:val="center"/>
          </w:tcPr>
          <w:p w14:paraId="3B8C45B7">
            <w:pPr>
              <w:keepNext/>
              <w:spacing w:after="120" w:line="360" w:lineRule="auto"/>
              <w:ind w:left="63" w:right="63"/>
              <w:rPr>
                <w:rFonts w:ascii="宋体" w:hAnsi="宋体" w:cs="仿宋_GB2312"/>
                <w:kern w:val="0"/>
                <w:szCs w:val="21"/>
              </w:rPr>
            </w:pPr>
          </w:p>
        </w:tc>
        <w:tc>
          <w:tcPr>
            <w:tcW w:w="498" w:type="dxa"/>
            <w:vAlign w:val="center"/>
          </w:tcPr>
          <w:p w14:paraId="530FA880">
            <w:pPr>
              <w:keepNext/>
              <w:spacing w:after="120" w:line="360" w:lineRule="auto"/>
              <w:ind w:left="63" w:right="63"/>
              <w:rPr>
                <w:rFonts w:ascii="宋体" w:hAnsi="宋体" w:cs="仿宋_GB2312"/>
                <w:kern w:val="0"/>
                <w:szCs w:val="21"/>
              </w:rPr>
            </w:pPr>
          </w:p>
        </w:tc>
        <w:tc>
          <w:tcPr>
            <w:tcW w:w="714" w:type="dxa"/>
            <w:vAlign w:val="center"/>
          </w:tcPr>
          <w:p w14:paraId="609E1265">
            <w:pPr>
              <w:keepNext/>
              <w:spacing w:after="120" w:line="360" w:lineRule="auto"/>
              <w:ind w:left="63" w:right="63"/>
              <w:rPr>
                <w:rFonts w:ascii="宋体" w:hAnsi="宋体" w:cs="仿宋_GB2312"/>
                <w:kern w:val="0"/>
                <w:szCs w:val="21"/>
              </w:rPr>
            </w:pPr>
          </w:p>
        </w:tc>
        <w:tc>
          <w:tcPr>
            <w:tcW w:w="928" w:type="dxa"/>
            <w:vAlign w:val="center"/>
          </w:tcPr>
          <w:p w14:paraId="317F49C1">
            <w:pPr>
              <w:keepNext/>
              <w:spacing w:after="120" w:line="360" w:lineRule="auto"/>
              <w:ind w:left="63" w:right="63"/>
              <w:rPr>
                <w:rFonts w:ascii="宋体" w:hAnsi="宋体" w:cs="仿宋_GB2312"/>
                <w:kern w:val="0"/>
                <w:szCs w:val="21"/>
              </w:rPr>
            </w:pPr>
          </w:p>
        </w:tc>
        <w:tc>
          <w:tcPr>
            <w:tcW w:w="1241" w:type="dxa"/>
            <w:vAlign w:val="center"/>
          </w:tcPr>
          <w:p w14:paraId="4BD7EB29">
            <w:pPr>
              <w:keepNext/>
              <w:spacing w:after="120" w:line="360" w:lineRule="auto"/>
              <w:ind w:left="63" w:right="63"/>
              <w:rPr>
                <w:rFonts w:ascii="宋体" w:hAnsi="宋体" w:cs="仿宋_GB2312"/>
                <w:kern w:val="0"/>
                <w:szCs w:val="21"/>
              </w:rPr>
            </w:pPr>
          </w:p>
        </w:tc>
        <w:tc>
          <w:tcPr>
            <w:tcW w:w="714" w:type="dxa"/>
            <w:vAlign w:val="center"/>
          </w:tcPr>
          <w:p w14:paraId="072DE844">
            <w:pPr>
              <w:keepNext/>
              <w:spacing w:after="120" w:line="360" w:lineRule="auto"/>
              <w:ind w:left="63" w:right="63"/>
              <w:rPr>
                <w:rFonts w:ascii="宋体" w:hAnsi="宋体" w:cs="仿宋_GB2312"/>
                <w:kern w:val="0"/>
                <w:szCs w:val="21"/>
              </w:rPr>
            </w:pPr>
          </w:p>
        </w:tc>
        <w:tc>
          <w:tcPr>
            <w:tcW w:w="714" w:type="dxa"/>
            <w:vAlign w:val="center"/>
          </w:tcPr>
          <w:p w14:paraId="3AA97CC5">
            <w:pPr>
              <w:keepNext/>
              <w:spacing w:after="120" w:line="360" w:lineRule="auto"/>
              <w:ind w:left="63" w:right="63"/>
              <w:rPr>
                <w:rFonts w:ascii="宋体" w:hAnsi="宋体" w:cs="仿宋_GB2312"/>
                <w:kern w:val="0"/>
                <w:szCs w:val="21"/>
              </w:rPr>
            </w:pPr>
          </w:p>
        </w:tc>
      </w:tr>
      <w:tr w14:paraId="70F585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50806B0C">
            <w:pPr>
              <w:keepNext/>
              <w:spacing w:after="120" w:line="360" w:lineRule="auto"/>
              <w:ind w:left="63" w:right="63"/>
              <w:rPr>
                <w:rFonts w:ascii="宋体" w:hAnsi="宋体" w:cs="仿宋_GB2312"/>
                <w:kern w:val="0"/>
                <w:szCs w:val="21"/>
              </w:rPr>
            </w:pPr>
          </w:p>
        </w:tc>
        <w:tc>
          <w:tcPr>
            <w:tcW w:w="715" w:type="dxa"/>
            <w:vAlign w:val="center"/>
          </w:tcPr>
          <w:p w14:paraId="0A677A0F">
            <w:pPr>
              <w:keepNext/>
              <w:spacing w:after="120" w:line="360" w:lineRule="auto"/>
              <w:ind w:left="63" w:right="63"/>
              <w:rPr>
                <w:rFonts w:ascii="宋体" w:hAnsi="宋体" w:cs="仿宋_GB2312"/>
                <w:kern w:val="0"/>
                <w:szCs w:val="21"/>
              </w:rPr>
            </w:pPr>
          </w:p>
        </w:tc>
        <w:tc>
          <w:tcPr>
            <w:tcW w:w="1195" w:type="dxa"/>
            <w:vAlign w:val="center"/>
          </w:tcPr>
          <w:p w14:paraId="5B211774">
            <w:pPr>
              <w:keepNext/>
              <w:spacing w:after="120" w:line="360" w:lineRule="auto"/>
              <w:ind w:left="63" w:right="63"/>
              <w:rPr>
                <w:rFonts w:ascii="宋体" w:hAnsi="宋体" w:cs="仿宋_GB2312"/>
                <w:kern w:val="0"/>
                <w:szCs w:val="21"/>
              </w:rPr>
            </w:pPr>
          </w:p>
        </w:tc>
        <w:tc>
          <w:tcPr>
            <w:tcW w:w="715" w:type="dxa"/>
            <w:vAlign w:val="center"/>
          </w:tcPr>
          <w:p w14:paraId="3ED1CD4A">
            <w:pPr>
              <w:keepNext/>
              <w:spacing w:after="120" w:line="360" w:lineRule="auto"/>
              <w:ind w:left="63" w:right="63"/>
              <w:rPr>
                <w:rFonts w:ascii="宋体" w:hAnsi="宋体" w:cs="仿宋_GB2312"/>
                <w:kern w:val="0"/>
                <w:szCs w:val="21"/>
              </w:rPr>
            </w:pPr>
          </w:p>
        </w:tc>
        <w:tc>
          <w:tcPr>
            <w:tcW w:w="498" w:type="dxa"/>
            <w:vAlign w:val="center"/>
          </w:tcPr>
          <w:p w14:paraId="5D9CBB54">
            <w:pPr>
              <w:keepNext/>
              <w:spacing w:after="120" w:line="360" w:lineRule="auto"/>
              <w:ind w:left="63" w:right="63"/>
              <w:rPr>
                <w:rFonts w:ascii="宋体" w:hAnsi="宋体" w:cs="仿宋_GB2312"/>
                <w:kern w:val="0"/>
                <w:szCs w:val="21"/>
              </w:rPr>
            </w:pPr>
          </w:p>
        </w:tc>
        <w:tc>
          <w:tcPr>
            <w:tcW w:w="714" w:type="dxa"/>
            <w:vAlign w:val="center"/>
          </w:tcPr>
          <w:p w14:paraId="48F91214">
            <w:pPr>
              <w:keepNext/>
              <w:spacing w:after="120" w:line="360" w:lineRule="auto"/>
              <w:ind w:left="63" w:right="63"/>
              <w:rPr>
                <w:rFonts w:ascii="宋体" w:hAnsi="宋体" w:cs="仿宋_GB2312"/>
                <w:kern w:val="0"/>
                <w:szCs w:val="21"/>
              </w:rPr>
            </w:pPr>
          </w:p>
        </w:tc>
        <w:tc>
          <w:tcPr>
            <w:tcW w:w="928" w:type="dxa"/>
            <w:vAlign w:val="center"/>
          </w:tcPr>
          <w:p w14:paraId="1114267A">
            <w:pPr>
              <w:keepNext/>
              <w:spacing w:after="120" w:line="360" w:lineRule="auto"/>
              <w:ind w:left="63" w:right="63"/>
              <w:rPr>
                <w:rFonts w:ascii="宋体" w:hAnsi="宋体" w:cs="仿宋_GB2312"/>
                <w:kern w:val="0"/>
                <w:szCs w:val="21"/>
              </w:rPr>
            </w:pPr>
          </w:p>
        </w:tc>
        <w:tc>
          <w:tcPr>
            <w:tcW w:w="1241" w:type="dxa"/>
            <w:vAlign w:val="center"/>
          </w:tcPr>
          <w:p w14:paraId="39A45DD7">
            <w:pPr>
              <w:keepNext/>
              <w:spacing w:after="120" w:line="360" w:lineRule="auto"/>
              <w:ind w:left="63" w:right="63"/>
              <w:rPr>
                <w:rFonts w:ascii="宋体" w:hAnsi="宋体" w:cs="仿宋_GB2312"/>
                <w:kern w:val="0"/>
                <w:szCs w:val="21"/>
              </w:rPr>
            </w:pPr>
          </w:p>
        </w:tc>
        <w:tc>
          <w:tcPr>
            <w:tcW w:w="714" w:type="dxa"/>
            <w:vAlign w:val="center"/>
          </w:tcPr>
          <w:p w14:paraId="47ED7FA8">
            <w:pPr>
              <w:keepNext/>
              <w:spacing w:after="120" w:line="360" w:lineRule="auto"/>
              <w:ind w:left="63" w:right="63"/>
              <w:rPr>
                <w:rFonts w:ascii="宋体" w:hAnsi="宋体" w:cs="仿宋_GB2312"/>
                <w:kern w:val="0"/>
                <w:szCs w:val="21"/>
              </w:rPr>
            </w:pPr>
          </w:p>
        </w:tc>
        <w:tc>
          <w:tcPr>
            <w:tcW w:w="714" w:type="dxa"/>
            <w:vAlign w:val="center"/>
          </w:tcPr>
          <w:p w14:paraId="369CB2F9">
            <w:pPr>
              <w:keepNext/>
              <w:spacing w:after="120" w:line="360" w:lineRule="auto"/>
              <w:ind w:left="63" w:right="63"/>
              <w:rPr>
                <w:rFonts w:ascii="宋体" w:hAnsi="宋体" w:cs="仿宋_GB2312"/>
                <w:kern w:val="0"/>
                <w:szCs w:val="21"/>
              </w:rPr>
            </w:pPr>
          </w:p>
        </w:tc>
      </w:tr>
      <w:tr w14:paraId="5E632E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1869180F">
            <w:pPr>
              <w:keepNext/>
              <w:spacing w:after="120" w:line="360" w:lineRule="auto"/>
              <w:ind w:left="63" w:right="63"/>
              <w:rPr>
                <w:rFonts w:ascii="宋体" w:hAnsi="宋体" w:cs="仿宋_GB2312"/>
                <w:kern w:val="0"/>
                <w:szCs w:val="21"/>
              </w:rPr>
            </w:pPr>
          </w:p>
        </w:tc>
        <w:tc>
          <w:tcPr>
            <w:tcW w:w="715" w:type="dxa"/>
            <w:vAlign w:val="center"/>
          </w:tcPr>
          <w:p w14:paraId="60ED9E53">
            <w:pPr>
              <w:keepNext/>
              <w:spacing w:after="120" w:line="360" w:lineRule="auto"/>
              <w:ind w:left="63" w:right="63"/>
              <w:rPr>
                <w:rFonts w:ascii="宋体" w:hAnsi="宋体" w:cs="仿宋_GB2312"/>
                <w:kern w:val="0"/>
                <w:szCs w:val="21"/>
              </w:rPr>
            </w:pPr>
          </w:p>
        </w:tc>
        <w:tc>
          <w:tcPr>
            <w:tcW w:w="1195" w:type="dxa"/>
            <w:vAlign w:val="center"/>
          </w:tcPr>
          <w:p w14:paraId="304E1B52">
            <w:pPr>
              <w:keepNext/>
              <w:spacing w:after="120" w:line="360" w:lineRule="auto"/>
              <w:ind w:left="63" w:right="63"/>
              <w:rPr>
                <w:rFonts w:ascii="宋体" w:hAnsi="宋体" w:cs="仿宋_GB2312"/>
                <w:kern w:val="0"/>
                <w:szCs w:val="21"/>
              </w:rPr>
            </w:pPr>
          </w:p>
        </w:tc>
        <w:tc>
          <w:tcPr>
            <w:tcW w:w="715" w:type="dxa"/>
            <w:vAlign w:val="center"/>
          </w:tcPr>
          <w:p w14:paraId="613E3F98">
            <w:pPr>
              <w:keepNext/>
              <w:spacing w:after="120" w:line="360" w:lineRule="auto"/>
              <w:ind w:left="63" w:right="63"/>
              <w:rPr>
                <w:rFonts w:ascii="宋体" w:hAnsi="宋体" w:cs="仿宋_GB2312"/>
                <w:kern w:val="0"/>
                <w:szCs w:val="21"/>
              </w:rPr>
            </w:pPr>
          </w:p>
        </w:tc>
        <w:tc>
          <w:tcPr>
            <w:tcW w:w="498" w:type="dxa"/>
            <w:vAlign w:val="center"/>
          </w:tcPr>
          <w:p w14:paraId="245AA939">
            <w:pPr>
              <w:keepNext/>
              <w:spacing w:after="120" w:line="360" w:lineRule="auto"/>
              <w:ind w:left="63" w:right="63"/>
              <w:rPr>
                <w:rFonts w:ascii="宋体" w:hAnsi="宋体" w:cs="仿宋_GB2312"/>
                <w:kern w:val="0"/>
                <w:szCs w:val="21"/>
              </w:rPr>
            </w:pPr>
          </w:p>
        </w:tc>
        <w:tc>
          <w:tcPr>
            <w:tcW w:w="714" w:type="dxa"/>
            <w:vAlign w:val="center"/>
          </w:tcPr>
          <w:p w14:paraId="1FAD7CAB">
            <w:pPr>
              <w:keepNext/>
              <w:spacing w:after="120" w:line="360" w:lineRule="auto"/>
              <w:ind w:left="63" w:right="63"/>
              <w:rPr>
                <w:rFonts w:ascii="宋体" w:hAnsi="宋体" w:cs="仿宋_GB2312"/>
                <w:kern w:val="0"/>
                <w:szCs w:val="21"/>
              </w:rPr>
            </w:pPr>
          </w:p>
        </w:tc>
        <w:tc>
          <w:tcPr>
            <w:tcW w:w="928" w:type="dxa"/>
            <w:vAlign w:val="center"/>
          </w:tcPr>
          <w:p w14:paraId="68DC7EA5">
            <w:pPr>
              <w:keepNext/>
              <w:spacing w:after="120" w:line="360" w:lineRule="auto"/>
              <w:ind w:left="63" w:right="63"/>
              <w:rPr>
                <w:rFonts w:ascii="宋体" w:hAnsi="宋体" w:cs="仿宋_GB2312"/>
                <w:kern w:val="0"/>
                <w:szCs w:val="21"/>
              </w:rPr>
            </w:pPr>
          </w:p>
        </w:tc>
        <w:tc>
          <w:tcPr>
            <w:tcW w:w="1241" w:type="dxa"/>
            <w:vAlign w:val="center"/>
          </w:tcPr>
          <w:p w14:paraId="35BA0540">
            <w:pPr>
              <w:keepNext/>
              <w:spacing w:after="120" w:line="360" w:lineRule="auto"/>
              <w:ind w:left="63" w:right="63"/>
              <w:rPr>
                <w:rFonts w:ascii="宋体" w:hAnsi="宋体" w:cs="仿宋_GB2312"/>
                <w:kern w:val="0"/>
                <w:szCs w:val="21"/>
              </w:rPr>
            </w:pPr>
          </w:p>
        </w:tc>
        <w:tc>
          <w:tcPr>
            <w:tcW w:w="714" w:type="dxa"/>
            <w:vAlign w:val="center"/>
          </w:tcPr>
          <w:p w14:paraId="156D1B4A">
            <w:pPr>
              <w:keepNext/>
              <w:spacing w:after="120" w:line="360" w:lineRule="auto"/>
              <w:ind w:left="63" w:right="63"/>
              <w:rPr>
                <w:rFonts w:ascii="宋体" w:hAnsi="宋体" w:cs="仿宋_GB2312"/>
                <w:kern w:val="0"/>
                <w:szCs w:val="21"/>
              </w:rPr>
            </w:pPr>
          </w:p>
        </w:tc>
        <w:tc>
          <w:tcPr>
            <w:tcW w:w="714" w:type="dxa"/>
            <w:vAlign w:val="center"/>
          </w:tcPr>
          <w:p w14:paraId="76C30AB2">
            <w:pPr>
              <w:keepNext/>
              <w:spacing w:after="120" w:line="360" w:lineRule="auto"/>
              <w:ind w:left="63" w:right="63"/>
              <w:rPr>
                <w:rFonts w:ascii="宋体" w:hAnsi="宋体" w:cs="仿宋_GB2312"/>
                <w:kern w:val="0"/>
                <w:szCs w:val="21"/>
              </w:rPr>
            </w:pPr>
          </w:p>
        </w:tc>
      </w:tr>
      <w:tr w14:paraId="5AE431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2FDC3BBC">
            <w:pPr>
              <w:keepNext/>
              <w:spacing w:after="120" w:line="360" w:lineRule="auto"/>
              <w:ind w:left="63" w:right="63"/>
              <w:rPr>
                <w:rFonts w:ascii="宋体" w:hAnsi="宋体" w:cs="仿宋_GB2312"/>
                <w:kern w:val="0"/>
                <w:szCs w:val="21"/>
              </w:rPr>
            </w:pPr>
          </w:p>
        </w:tc>
        <w:tc>
          <w:tcPr>
            <w:tcW w:w="715" w:type="dxa"/>
            <w:vAlign w:val="center"/>
          </w:tcPr>
          <w:p w14:paraId="4F611041">
            <w:pPr>
              <w:keepNext/>
              <w:spacing w:after="120" w:line="360" w:lineRule="auto"/>
              <w:ind w:left="63" w:right="63"/>
              <w:rPr>
                <w:rFonts w:ascii="宋体" w:hAnsi="宋体" w:cs="仿宋_GB2312"/>
                <w:kern w:val="0"/>
                <w:szCs w:val="21"/>
              </w:rPr>
            </w:pPr>
          </w:p>
        </w:tc>
        <w:tc>
          <w:tcPr>
            <w:tcW w:w="1195" w:type="dxa"/>
            <w:vAlign w:val="center"/>
          </w:tcPr>
          <w:p w14:paraId="1F0DA63D">
            <w:pPr>
              <w:keepNext/>
              <w:spacing w:after="120" w:line="360" w:lineRule="auto"/>
              <w:ind w:left="63" w:right="63"/>
              <w:rPr>
                <w:rFonts w:ascii="宋体" w:hAnsi="宋体" w:cs="仿宋_GB2312"/>
                <w:kern w:val="0"/>
                <w:szCs w:val="21"/>
              </w:rPr>
            </w:pPr>
          </w:p>
        </w:tc>
        <w:tc>
          <w:tcPr>
            <w:tcW w:w="715" w:type="dxa"/>
            <w:vAlign w:val="center"/>
          </w:tcPr>
          <w:p w14:paraId="56847FFC">
            <w:pPr>
              <w:keepNext/>
              <w:spacing w:after="120" w:line="360" w:lineRule="auto"/>
              <w:ind w:left="63" w:right="63"/>
              <w:rPr>
                <w:rFonts w:ascii="宋体" w:hAnsi="宋体" w:cs="仿宋_GB2312"/>
                <w:kern w:val="0"/>
                <w:szCs w:val="21"/>
              </w:rPr>
            </w:pPr>
          </w:p>
        </w:tc>
        <w:tc>
          <w:tcPr>
            <w:tcW w:w="498" w:type="dxa"/>
            <w:vAlign w:val="center"/>
          </w:tcPr>
          <w:p w14:paraId="74F06410">
            <w:pPr>
              <w:keepNext/>
              <w:spacing w:after="120" w:line="360" w:lineRule="auto"/>
              <w:ind w:left="63" w:right="63"/>
              <w:rPr>
                <w:rFonts w:ascii="宋体" w:hAnsi="宋体" w:cs="仿宋_GB2312"/>
                <w:kern w:val="0"/>
                <w:szCs w:val="21"/>
              </w:rPr>
            </w:pPr>
          </w:p>
        </w:tc>
        <w:tc>
          <w:tcPr>
            <w:tcW w:w="714" w:type="dxa"/>
            <w:vAlign w:val="center"/>
          </w:tcPr>
          <w:p w14:paraId="4AA67067">
            <w:pPr>
              <w:keepNext/>
              <w:spacing w:after="120" w:line="360" w:lineRule="auto"/>
              <w:ind w:left="63" w:right="63"/>
              <w:rPr>
                <w:rFonts w:ascii="宋体" w:hAnsi="宋体" w:cs="仿宋_GB2312"/>
                <w:kern w:val="0"/>
                <w:szCs w:val="21"/>
              </w:rPr>
            </w:pPr>
          </w:p>
        </w:tc>
        <w:tc>
          <w:tcPr>
            <w:tcW w:w="928" w:type="dxa"/>
            <w:vAlign w:val="center"/>
          </w:tcPr>
          <w:p w14:paraId="2DCD7169">
            <w:pPr>
              <w:keepNext/>
              <w:spacing w:after="120" w:line="360" w:lineRule="auto"/>
              <w:ind w:left="63" w:right="63"/>
              <w:rPr>
                <w:rFonts w:ascii="宋体" w:hAnsi="宋体" w:cs="仿宋_GB2312"/>
                <w:kern w:val="0"/>
                <w:szCs w:val="21"/>
              </w:rPr>
            </w:pPr>
          </w:p>
        </w:tc>
        <w:tc>
          <w:tcPr>
            <w:tcW w:w="1241" w:type="dxa"/>
            <w:vAlign w:val="center"/>
          </w:tcPr>
          <w:p w14:paraId="3B0DD17D">
            <w:pPr>
              <w:keepNext/>
              <w:spacing w:after="120" w:line="360" w:lineRule="auto"/>
              <w:ind w:left="63" w:right="63"/>
              <w:rPr>
                <w:rFonts w:ascii="宋体" w:hAnsi="宋体" w:cs="仿宋_GB2312"/>
                <w:kern w:val="0"/>
                <w:szCs w:val="21"/>
              </w:rPr>
            </w:pPr>
          </w:p>
        </w:tc>
        <w:tc>
          <w:tcPr>
            <w:tcW w:w="714" w:type="dxa"/>
            <w:vAlign w:val="center"/>
          </w:tcPr>
          <w:p w14:paraId="513F6A27">
            <w:pPr>
              <w:keepNext/>
              <w:spacing w:after="120" w:line="360" w:lineRule="auto"/>
              <w:ind w:left="63" w:right="63"/>
              <w:rPr>
                <w:rFonts w:ascii="宋体" w:hAnsi="宋体" w:cs="仿宋_GB2312"/>
                <w:kern w:val="0"/>
                <w:szCs w:val="21"/>
              </w:rPr>
            </w:pPr>
          </w:p>
        </w:tc>
        <w:tc>
          <w:tcPr>
            <w:tcW w:w="714" w:type="dxa"/>
            <w:vAlign w:val="center"/>
          </w:tcPr>
          <w:p w14:paraId="0624D6D0">
            <w:pPr>
              <w:keepNext/>
              <w:spacing w:after="120" w:line="360" w:lineRule="auto"/>
              <w:ind w:left="63" w:right="63"/>
              <w:rPr>
                <w:rFonts w:ascii="宋体" w:hAnsi="宋体" w:cs="仿宋_GB2312"/>
                <w:kern w:val="0"/>
                <w:szCs w:val="21"/>
              </w:rPr>
            </w:pPr>
          </w:p>
        </w:tc>
      </w:tr>
      <w:tr w14:paraId="289D5C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378EB39B">
            <w:pPr>
              <w:keepNext/>
              <w:spacing w:after="120" w:line="360" w:lineRule="auto"/>
              <w:ind w:left="63" w:right="63"/>
              <w:rPr>
                <w:rFonts w:ascii="宋体" w:hAnsi="宋体" w:cs="仿宋_GB2312"/>
                <w:kern w:val="0"/>
                <w:szCs w:val="21"/>
              </w:rPr>
            </w:pPr>
          </w:p>
        </w:tc>
        <w:tc>
          <w:tcPr>
            <w:tcW w:w="715" w:type="dxa"/>
            <w:vAlign w:val="center"/>
          </w:tcPr>
          <w:p w14:paraId="64948378">
            <w:pPr>
              <w:keepNext/>
              <w:spacing w:after="120" w:line="360" w:lineRule="auto"/>
              <w:ind w:left="63" w:right="63"/>
              <w:rPr>
                <w:rFonts w:ascii="宋体" w:hAnsi="宋体" w:cs="仿宋_GB2312"/>
                <w:kern w:val="0"/>
                <w:szCs w:val="21"/>
              </w:rPr>
            </w:pPr>
          </w:p>
        </w:tc>
        <w:tc>
          <w:tcPr>
            <w:tcW w:w="1195" w:type="dxa"/>
            <w:vAlign w:val="center"/>
          </w:tcPr>
          <w:p w14:paraId="140BF8A9">
            <w:pPr>
              <w:keepNext/>
              <w:spacing w:after="120" w:line="360" w:lineRule="auto"/>
              <w:ind w:left="63" w:right="63"/>
              <w:rPr>
                <w:rFonts w:ascii="宋体" w:hAnsi="宋体" w:cs="仿宋_GB2312"/>
                <w:kern w:val="0"/>
                <w:szCs w:val="21"/>
              </w:rPr>
            </w:pPr>
          </w:p>
        </w:tc>
        <w:tc>
          <w:tcPr>
            <w:tcW w:w="715" w:type="dxa"/>
            <w:vAlign w:val="center"/>
          </w:tcPr>
          <w:p w14:paraId="6A52CAD1">
            <w:pPr>
              <w:keepNext/>
              <w:spacing w:after="120" w:line="360" w:lineRule="auto"/>
              <w:ind w:left="63" w:right="63"/>
              <w:rPr>
                <w:rFonts w:ascii="宋体" w:hAnsi="宋体" w:cs="仿宋_GB2312"/>
                <w:kern w:val="0"/>
                <w:szCs w:val="21"/>
              </w:rPr>
            </w:pPr>
          </w:p>
        </w:tc>
        <w:tc>
          <w:tcPr>
            <w:tcW w:w="498" w:type="dxa"/>
            <w:vAlign w:val="center"/>
          </w:tcPr>
          <w:p w14:paraId="14378B63">
            <w:pPr>
              <w:keepNext/>
              <w:spacing w:after="120" w:line="360" w:lineRule="auto"/>
              <w:ind w:left="63" w:right="63"/>
              <w:rPr>
                <w:rFonts w:ascii="宋体" w:hAnsi="宋体" w:cs="仿宋_GB2312"/>
                <w:kern w:val="0"/>
                <w:szCs w:val="21"/>
              </w:rPr>
            </w:pPr>
          </w:p>
        </w:tc>
        <w:tc>
          <w:tcPr>
            <w:tcW w:w="714" w:type="dxa"/>
            <w:vAlign w:val="center"/>
          </w:tcPr>
          <w:p w14:paraId="2B72D2D5">
            <w:pPr>
              <w:keepNext/>
              <w:spacing w:after="120" w:line="360" w:lineRule="auto"/>
              <w:ind w:left="63" w:right="63"/>
              <w:rPr>
                <w:rFonts w:ascii="宋体" w:hAnsi="宋体" w:cs="仿宋_GB2312"/>
                <w:kern w:val="0"/>
                <w:szCs w:val="21"/>
              </w:rPr>
            </w:pPr>
          </w:p>
        </w:tc>
        <w:tc>
          <w:tcPr>
            <w:tcW w:w="928" w:type="dxa"/>
            <w:vAlign w:val="center"/>
          </w:tcPr>
          <w:p w14:paraId="0E95739E">
            <w:pPr>
              <w:keepNext/>
              <w:spacing w:after="120" w:line="360" w:lineRule="auto"/>
              <w:ind w:left="63" w:right="63"/>
              <w:rPr>
                <w:rFonts w:ascii="宋体" w:hAnsi="宋体" w:cs="仿宋_GB2312"/>
                <w:kern w:val="0"/>
                <w:szCs w:val="21"/>
              </w:rPr>
            </w:pPr>
          </w:p>
        </w:tc>
        <w:tc>
          <w:tcPr>
            <w:tcW w:w="1241" w:type="dxa"/>
            <w:vAlign w:val="center"/>
          </w:tcPr>
          <w:p w14:paraId="4197FF16">
            <w:pPr>
              <w:keepNext/>
              <w:spacing w:after="120" w:line="360" w:lineRule="auto"/>
              <w:ind w:left="63" w:right="63"/>
              <w:rPr>
                <w:rFonts w:ascii="宋体" w:hAnsi="宋体" w:cs="仿宋_GB2312"/>
                <w:kern w:val="0"/>
                <w:szCs w:val="21"/>
              </w:rPr>
            </w:pPr>
          </w:p>
        </w:tc>
        <w:tc>
          <w:tcPr>
            <w:tcW w:w="714" w:type="dxa"/>
            <w:vAlign w:val="center"/>
          </w:tcPr>
          <w:p w14:paraId="5CF8F874">
            <w:pPr>
              <w:keepNext/>
              <w:spacing w:after="120" w:line="360" w:lineRule="auto"/>
              <w:ind w:left="63" w:right="63"/>
              <w:rPr>
                <w:rFonts w:ascii="宋体" w:hAnsi="宋体" w:cs="仿宋_GB2312"/>
                <w:kern w:val="0"/>
                <w:szCs w:val="21"/>
              </w:rPr>
            </w:pPr>
          </w:p>
        </w:tc>
        <w:tc>
          <w:tcPr>
            <w:tcW w:w="714" w:type="dxa"/>
            <w:vAlign w:val="center"/>
          </w:tcPr>
          <w:p w14:paraId="27FD6F39">
            <w:pPr>
              <w:keepNext/>
              <w:spacing w:after="120" w:line="360" w:lineRule="auto"/>
              <w:ind w:left="63" w:right="63"/>
              <w:rPr>
                <w:rFonts w:ascii="宋体" w:hAnsi="宋体" w:cs="仿宋_GB2312"/>
                <w:kern w:val="0"/>
                <w:szCs w:val="21"/>
              </w:rPr>
            </w:pPr>
          </w:p>
        </w:tc>
      </w:tr>
      <w:tr w14:paraId="4A7252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122115CD">
            <w:pPr>
              <w:keepNext/>
              <w:spacing w:after="120" w:line="360" w:lineRule="auto"/>
              <w:ind w:left="63" w:right="63"/>
              <w:rPr>
                <w:rFonts w:ascii="宋体" w:hAnsi="宋体" w:cs="仿宋_GB2312"/>
                <w:kern w:val="0"/>
                <w:szCs w:val="21"/>
              </w:rPr>
            </w:pPr>
          </w:p>
        </w:tc>
        <w:tc>
          <w:tcPr>
            <w:tcW w:w="715" w:type="dxa"/>
            <w:vAlign w:val="center"/>
          </w:tcPr>
          <w:p w14:paraId="3340E5D3">
            <w:pPr>
              <w:keepNext/>
              <w:spacing w:after="120" w:line="360" w:lineRule="auto"/>
              <w:ind w:left="63" w:right="63"/>
              <w:rPr>
                <w:rFonts w:ascii="宋体" w:hAnsi="宋体" w:cs="仿宋_GB2312"/>
                <w:kern w:val="0"/>
                <w:szCs w:val="21"/>
              </w:rPr>
            </w:pPr>
          </w:p>
        </w:tc>
        <w:tc>
          <w:tcPr>
            <w:tcW w:w="1195" w:type="dxa"/>
            <w:vAlign w:val="center"/>
          </w:tcPr>
          <w:p w14:paraId="130B1DB4">
            <w:pPr>
              <w:keepNext/>
              <w:spacing w:after="120" w:line="360" w:lineRule="auto"/>
              <w:ind w:left="63" w:right="63"/>
              <w:rPr>
                <w:rFonts w:ascii="宋体" w:hAnsi="宋体" w:cs="仿宋_GB2312"/>
                <w:kern w:val="0"/>
                <w:szCs w:val="21"/>
              </w:rPr>
            </w:pPr>
          </w:p>
        </w:tc>
        <w:tc>
          <w:tcPr>
            <w:tcW w:w="715" w:type="dxa"/>
            <w:vAlign w:val="center"/>
          </w:tcPr>
          <w:p w14:paraId="4130E00F">
            <w:pPr>
              <w:keepNext/>
              <w:spacing w:after="120" w:line="360" w:lineRule="auto"/>
              <w:ind w:left="63" w:right="63"/>
              <w:rPr>
                <w:rFonts w:ascii="宋体" w:hAnsi="宋体" w:cs="仿宋_GB2312"/>
                <w:kern w:val="0"/>
                <w:szCs w:val="21"/>
              </w:rPr>
            </w:pPr>
          </w:p>
        </w:tc>
        <w:tc>
          <w:tcPr>
            <w:tcW w:w="498" w:type="dxa"/>
            <w:vAlign w:val="center"/>
          </w:tcPr>
          <w:p w14:paraId="3EAA114A">
            <w:pPr>
              <w:keepNext/>
              <w:spacing w:after="120" w:line="360" w:lineRule="auto"/>
              <w:ind w:left="63" w:right="63"/>
              <w:rPr>
                <w:rFonts w:ascii="宋体" w:hAnsi="宋体" w:cs="仿宋_GB2312"/>
                <w:kern w:val="0"/>
                <w:szCs w:val="21"/>
              </w:rPr>
            </w:pPr>
          </w:p>
        </w:tc>
        <w:tc>
          <w:tcPr>
            <w:tcW w:w="714" w:type="dxa"/>
            <w:vAlign w:val="center"/>
          </w:tcPr>
          <w:p w14:paraId="4FB22B3F">
            <w:pPr>
              <w:keepNext/>
              <w:spacing w:after="120" w:line="360" w:lineRule="auto"/>
              <w:ind w:left="63" w:right="63"/>
              <w:rPr>
                <w:rFonts w:ascii="宋体" w:hAnsi="宋体" w:cs="仿宋_GB2312"/>
                <w:kern w:val="0"/>
                <w:szCs w:val="21"/>
              </w:rPr>
            </w:pPr>
          </w:p>
        </w:tc>
        <w:tc>
          <w:tcPr>
            <w:tcW w:w="928" w:type="dxa"/>
            <w:vAlign w:val="center"/>
          </w:tcPr>
          <w:p w14:paraId="0D8CB1D0">
            <w:pPr>
              <w:keepNext/>
              <w:spacing w:after="120" w:line="360" w:lineRule="auto"/>
              <w:ind w:left="63" w:right="63"/>
              <w:rPr>
                <w:rFonts w:ascii="宋体" w:hAnsi="宋体" w:cs="仿宋_GB2312"/>
                <w:kern w:val="0"/>
                <w:szCs w:val="21"/>
              </w:rPr>
            </w:pPr>
          </w:p>
        </w:tc>
        <w:tc>
          <w:tcPr>
            <w:tcW w:w="1241" w:type="dxa"/>
            <w:vAlign w:val="center"/>
          </w:tcPr>
          <w:p w14:paraId="26D1631E">
            <w:pPr>
              <w:keepNext/>
              <w:spacing w:after="120" w:line="360" w:lineRule="auto"/>
              <w:ind w:left="63" w:right="63"/>
              <w:rPr>
                <w:rFonts w:ascii="宋体" w:hAnsi="宋体" w:cs="仿宋_GB2312"/>
                <w:kern w:val="0"/>
                <w:szCs w:val="21"/>
              </w:rPr>
            </w:pPr>
          </w:p>
        </w:tc>
        <w:tc>
          <w:tcPr>
            <w:tcW w:w="714" w:type="dxa"/>
            <w:vAlign w:val="center"/>
          </w:tcPr>
          <w:p w14:paraId="60A659A5">
            <w:pPr>
              <w:keepNext/>
              <w:spacing w:after="120" w:line="360" w:lineRule="auto"/>
              <w:ind w:left="63" w:right="63"/>
              <w:rPr>
                <w:rFonts w:ascii="宋体" w:hAnsi="宋体" w:cs="仿宋_GB2312"/>
                <w:kern w:val="0"/>
                <w:szCs w:val="21"/>
              </w:rPr>
            </w:pPr>
          </w:p>
        </w:tc>
        <w:tc>
          <w:tcPr>
            <w:tcW w:w="714" w:type="dxa"/>
            <w:vAlign w:val="center"/>
          </w:tcPr>
          <w:p w14:paraId="2D50DC03">
            <w:pPr>
              <w:keepNext/>
              <w:spacing w:after="120" w:line="360" w:lineRule="auto"/>
              <w:ind w:left="63" w:right="63"/>
              <w:rPr>
                <w:rFonts w:ascii="宋体" w:hAnsi="宋体" w:cs="仿宋_GB2312"/>
                <w:kern w:val="0"/>
                <w:szCs w:val="21"/>
              </w:rPr>
            </w:pPr>
          </w:p>
        </w:tc>
      </w:tr>
      <w:tr w14:paraId="36F6A9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05B1D4EC">
            <w:pPr>
              <w:keepNext/>
              <w:spacing w:after="120" w:line="360" w:lineRule="auto"/>
              <w:ind w:left="63" w:right="63"/>
              <w:rPr>
                <w:rFonts w:ascii="宋体" w:hAnsi="宋体" w:cs="仿宋_GB2312"/>
                <w:kern w:val="0"/>
                <w:szCs w:val="21"/>
              </w:rPr>
            </w:pPr>
          </w:p>
        </w:tc>
        <w:tc>
          <w:tcPr>
            <w:tcW w:w="715" w:type="dxa"/>
            <w:vAlign w:val="center"/>
          </w:tcPr>
          <w:p w14:paraId="509E9630">
            <w:pPr>
              <w:keepNext/>
              <w:spacing w:after="120" w:line="360" w:lineRule="auto"/>
              <w:ind w:left="63" w:right="63"/>
              <w:rPr>
                <w:rFonts w:ascii="宋体" w:hAnsi="宋体" w:cs="仿宋_GB2312"/>
                <w:kern w:val="0"/>
                <w:szCs w:val="21"/>
              </w:rPr>
            </w:pPr>
          </w:p>
        </w:tc>
        <w:tc>
          <w:tcPr>
            <w:tcW w:w="1195" w:type="dxa"/>
            <w:vAlign w:val="center"/>
          </w:tcPr>
          <w:p w14:paraId="4ACAA2CD">
            <w:pPr>
              <w:keepNext/>
              <w:spacing w:after="120" w:line="360" w:lineRule="auto"/>
              <w:ind w:left="63" w:right="63"/>
              <w:rPr>
                <w:rFonts w:ascii="宋体" w:hAnsi="宋体" w:cs="仿宋_GB2312"/>
                <w:kern w:val="0"/>
                <w:szCs w:val="21"/>
              </w:rPr>
            </w:pPr>
          </w:p>
        </w:tc>
        <w:tc>
          <w:tcPr>
            <w:tcW w:w="715" w:type="dxa"/>
            <w:vAlign w:val="center"/>
          </w:tcPr>
          <w:p w14:paraId="214CF6F3">
            <w:pPr>
              <w:keepNext/>
              <w:spacing w:after="120" w:line="360" w:lineRule="auto"/>
              <w:ind w:left="63" w:right="63"/>
              <w:rPr>
                <w:rFonts w:ascii="宋体" w:hAnsi="宋体" w:cs="仿宋_GB2312"/>
                <w:kern w:val="0"/>
                <w:szCs w:val="21"/>
              </w:rPr>
            </w:pPr>
          </w:p>
        </w:tc>
        <w:tc>
          <w:tcPr>
            <w:tcW w:w="498" w:type="dxa"/>
            <w:vAlign w:val="center"/>
          </w:tcPr>
          <w:p w14:paraId="3564B395">
            <w:pPr>
              <w:keepNext/>
              <w:spacing w:after="120" w:line="360" w:lineRule="auto"/>
              <w:ind w:left="63" w:right="63"/>
              <w:rPr>
                <w:rFonts w:ascii="宋体" w:hAnsi="宋体" w:cs="仿宋_GB2312"/>
                <w:kern w:val="0"/>
                <w:szCs w:val="21"/>
              </w:rPr>
            </w:pPr>
          </w:p>
        </w:tc>
        <w:tc>
          <w:tcPr>
            <w:tcW w:w="714" w:type="dxa"/>
            <w:vAlign w:val="center"/>
          </w:tcPr>
          <w:p w14:paraId="42747FB9">
            <w:pPr>
              <w:keepNext/>
              <w:spacing w:after="120" w:line="360" w:lineRule="auto"/>
              <w:ind w:left="63" w:right="63"/>
              <w:rPr>
                <w:rFonts w:ascii="宋体" w:hAnsi="宋体" w:cs="仿宋_GB2312"/>
                <w:kern w:val="0"/>
                <w:szCs w:val="21"/>
              </w:rPr>
            </w:pPr>
          </w:p>
        </w:tc>
        <w:tc>
          <w:tcPr>
            <w:tcW w:w="928" w:type="dxa"/>
            <w:vAlign w:val="center"/>
          </w:tcPr>
          <w:p w14:paraId="119442C0">
            <w:pPr>
              <w:keepNext/>
              <w:spacing w:after="120" w:line="360" w:lineRule="auto"/>
              <w:ind w:left="63" w:right="63"/>
              <w:rPr>
                <w:rFonts w:ascii="宋体" w:hAnsi="宋体" w:cs="仿宋_GB2312"/>
                <w:kern w:val="0"/>
                <w:szCs w:val="21"/>
              </w:rPr>
            </w:pPr>
          </w:p>
        </w:tc>
        <w:tc>
          <w:tcPr>
            <w:tcW w:w="1241" w:type="dxa"/>
            <w:vAlign w:val="center"/>
          </w:tcPr>
          <w:p w14:paraId="742D8788">
            <w:pPr>
              <w:keepNext/>
              <w:spacing w:after="120" w:line="360" w:lineRule="auto"/>
              <w:ind w:left="63" w:right="63"/>
              <w:rPr>
                <w:rFonts w:ascii="宋体" w:hAnsi="宋体" w:cs="仿宋_GB2312"/>
                <w:kern w:val="0"/>
                <w:szCs w:val="21"/>
              </w:rPr>
            </w:pPr>
          </w:p>
        </w:tc>
        <w:tc>
          <w:tcPr>
            <w:tcW w:w="714" w:type="dxa"/>
            <w:vAlign w:val="center"/>
          </w:tcPr>
          <w:p w14:paraId="7DBD17DA">
            <w:pPr>
              <w:keepNext/>
              <w:spacing w:after="120" w:line="360" w:lineRule="auto"/>
              <w:ind w:left="63" w:right="63"/>
              <w:rPr>
                <w:rFonts w:ascii="宋体" w:hAnsi="宋体" w:cs="仿宋_GB2312"/>
                <w:kern w:val="0"/>
                <w:szCs w:val="21"/>
              </w:rPr>
            </w:pPr>
          </w:p>
        </w:tc>
        <w:tc>
          <w:tcPr>
            <w:tcW w:w="714" w:type="dxa"/>
            <w:vAlign w:val="center"/>
          </w:tcPr>
          <w:p w14:paraId="463DFCB5">
            <w:pPr>
              <w:keepNext/>
              <w:spacing w:after="120" w:line="360" w:lineRule="auto"/>
              <w:ind w:left="63" w:right="63"/>
              <w:rPr>
                <w:rFonts w:ascii="宋体" w:hAnsi="宋体" w:cs="仿宋_GB2312"/>
                <w:kern w:val="0"/>
                <w:szCs w:val="21"/>
              </w:rPr>
            </w:pPr>
          </w:p>
        </w:tc>
      </w:tr>
      <w:tr w14:paraId="105F2A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0C971BE4">
            <w:pPr>
              <w:keepNext/>
              <w:spacing w:after="120" w:line="360" w:lineRule="auto"/>
              <w:ind w:left="63" w:right="63"/>
              <w:rPr>
                <w:rFonts w:ascii="宋体" w:hAnsi="宋体" w:cs="仿宋_GB2312"/>
                <w:kern w:val="0"/>
                <w:szCs w:val="21"/>
              </w:rPr>
            </w:pPr>
          </w:p>
        </w:tc>
        <w:tc>
          <w:tcPr>
            <w:tcW w:w="715" w:type="dxa"/>
            <w:vAlign w:val="center"/>
          </w:tcPr>
          <w:p w14:paraId="666354F7">
            <w:pPr>
              <w:keepNext/>
              <w:spacing w:after="120" w:line="360" w:lineRule="auto"/>
              <w:ind w:left="63" w:right="63"/>
              <w:rPr>
                <w:rFonts w:ascii="宋体" w:hAnsi="宋体" w:cs="仿宋_GB2312"/>
                <w:kern w:val="0"/>
                <w:szCs w:val="21"/>
              </w:rPr>
            </w:pPr>
          </w:p>
        </w:tc>
        <w:tc>
          <w:tcPr>
            <w:tcW w:w="1195" w:type="dxa"/>
            <w:vAlign w:val="center"/>
          </w:tcPr>
          <w:p w14:paraId="1A4451EA">
            <w:pPr>
              <w:keepNext/>
              <w:spacing w:after="120" w:line="360" w:lineRule="auto"/>
              <w:ind w:left="63" w:right="63"/>
              <w:rPr>
                <w:rFonts w:ascii="宋体" w:hAnsi="宋体" w:cs="仿宋_GB2312"/>
                <w:kern w:val="0"/>
                <w:szCs w:val="21"/>
              </w:rPr>
            </w:pPr>
          </w:p>
        </w:tc>
        <w:tc>
          <w:tcPr>
            <w:tcW w:w="715" w:type="dxa"/>
            <w:vAlign w:val="center"/>
          </w:tcPr>
          <w:p w14:paraId="7AEA52BA">
            <w:pPr>
              <w:keepNext/>
              <w:spacing w:after="120" w:line="360" w:lineRule="auto"/>
              <w:ind w:left="63" w:right="63"/>
              <w:rPr>
                <w:rFonts w:ascii="宋体" w:hAnsi="宋体" w:cs="仿宋_GB2312"/>
                <w:kern w:val="0"/>
                <w:szCs w:val="21"/>
              </w:rPr>
            </w:pPr>
          </w:p>
        </w:tc>
        <w:tc>
          <w:tcPr>
            <w:tcW w:w="498" w:type="dxa"/>
            <w:vAlign w:val="center"/>
          </w:tcPr>
          <w:p w14:paraId="378BA29A">
            <w:pPr>
              <w:keepNext/>
              <w:spacing w:after="120" w:line="360" w:lineRule="auto"/>
              <w:ind w:left="63" w:right="63"/>
              <w:rPr>
                <w:rFonts w:ascii="宋体" w:hAnsi="宋体" w:cs="仿宋_GB2312"/>
                <w:kern w:val="0"/>
                <w:szCs w:val="21"/>
              </w:rPr>
            </w:pPr>
          </w:p>
        </w:tc>
        <w:tc>
          <w:tcPr>
            <w:tcW w:w="714" w:type="dxa"/>
            <w:vAlign w:val="center"/>
          </w:tcPr>
          <w:p w14:paraId="5CC6611B">
            <w:pPr>
              <w:keepNext/>
              <w:spacing w:after="120" w:line="360" w:lineRule="auto"/>
              <w:ind w:left="63" w:right="63"/>
              <w:rPr>
                <w:rFonts w:ascii="宋体" w:hAnsi="宋体" w:cs="仿宋_GB2312"/>
                <w:kern w:val="0"/>
                <w:szCs w:val="21"/>
              </w:rPr>
            </w:pPr>
          </w:p>
        </w:tc>
        <w:tc>
          <w:tcPr>
            <w:tcW w:w="928" w:type="dxa"/>
            <w:vAlign w:val="center"/>
          </w:tcPr>
          <w:p w14:paraId="3AEEEDAA">
            <w:pPr>
              <w:keepNext/>
              <w:spacing w:after="120" w:line="360" w:lineRule="auto"/>
              <w:ind w:left="63" w:right="63"/>
              <w:rPr>
                <w:rFonts w:ascii="宋体" w:hAnsi="宋体" w:cs="仿宋_GB2312"/>
                <w:kern w:val="0"/>
                <w:szCs w:val="21"/>
              </w:rPr>
            </w:pPr>
          </w:p>
        </w:tc>
        <w:tc>
          <w:tcPr>
            <w:tcW w:w="1241" w:type="dxa"/>
            <w:vAlign w:val="center"/>
          </w:tcPr>
          <w:p w14:paraId="421963BD">
            <w:pPr>
              <w:keepNext/>
              <w:spacing w:after="120" w:line="360" w:lineRule="auto"/>
              <w:ind w:left="63" w:right="63"/>
              <w:rPr>
                <w:rFonts w:ascii="宋体" w:hAnsi="宋体" w:cs="仿宋_GB2312"/>
                <w:kern w:val="0"/>
                <w:szCs w:val="21"/>
              </w:rPr>
            </w:pPr>
          </w:p>
        </w:tc>
        <w:tc>
          <w:tcPr>
            <w:tcW w:w="714" w:type="dxa"/>
            <w:vAlign w:val="center"/>
          </w:tcPr>
          <w:p w14:paraId="6525CF10">
            <w:pPr>
              <w:keepNext/>
              <w:spacing w:after="120" w:line="360" w:lineRule="auto"/>
              <w:ind w:left="63" w:right="63"/>
              <w:rPr>
                <w:rFonts w:ascii="宋体" w:hAnsi="宋体" w:cs="仿宋_GB2312"/>
                <w:kern w:val="0"/>
                <w:szCs w:val="21"/>
              </w:rPr>
            </w:pPr>
          </w:p>
        </w:tc>
        <w:tc>
          <w:tcPr>
            <w:tcW w:w="714" w:type="dxa"/>
            <w:vAlign w:val="center"/>
          </w:tcPr>
          <w:p w14:paraId="667480EE">
            <w:pPr>
              <w:keepNext/>
              <w:spacing w:after="120" w:line="360" w:lineRule="auto"/>
              <w:ind w:left="63" w:right="63"/>
              <w:rPr>
                <w:rFonts w:ascii="宋体" w:hAnsi="宋体" w:cs="仿宋_GB2312"/>
                <w:kern w:val="0"/>
                <w:szCs w:val="21"/>
              </w:rPr>
            </w:pPr>
          </w:p>
        </w:tc>
      </w:tr>
      <w:tr w14:paraId="12B1E3F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751E67FF">
            <w:pPr>
              <w:keepNext/>
              <w:spacing w:after="120" w:line="360" w:lineRule="auto"/>
              <w:ind w:left="63" w:right="63"/>
              <w:rPr>
                <w:rFonts w:ascii="宋体" w:hAnsi="宋体" w:cs="仿宋_GB2312"/>
                <w:kern w:val="0"/>
                <w:szCs w:val="21"/>
              </w:rPr>
            </w:pPr>
          </w:p>
        </w:tc>
        <w:tc>
          <w:tcPr>
            <w:tcW w:w="715" w:type="dxa"/>
            <w:vAlign w:val="center"/>
          </w:tcPr>
          <w:p w14:paraId="10528EEB">
            <w:pPr>
              <w:keepNext/>
              <w:spacing w:after="120" w:line="360" w:lineRule="auto"/>
              <w:ind w:left="63" w:right="63"/>
              <w:rPr>
                <w:rFonts w:ascii="宋体" w:hAnsi="宋体" w:cs="仿宋_GB2312"/>
                <w:kern w:val="0"/>
                <w:szCs w:val="21"/>
              </w:rPr>
            </w:pPr>
          </w:p>
        </w:tc>
        <w:tc>
          <w:tcPr>
            <w:tcW w:w="1195" w:type="dxa"/>
            <w:vAlign w:val="center"/>
          </w:tcPr>
          <w:p w14:paraId="274E565A">
            <w:pPr>
              <w:keepNext/>
              <w:spacing w:after="120" w:line="360" w:lineRule="auto"/>
              <w:ind w:left="63" w:right="63"/>
              <w:rPr>
                <w:rFonts w:ascii="宋体" w:hAnsi="宋体" w:cs="仿宋_GB2312"/>
                <w:kern w:val="0"/>
                <w:szCs w:val="21"/>
              </w:rPr>
            </w:pPr>
          </w:p>
        </w:tc>
        <w:tc>
          <w:tcPr>
            <w:tcW w:w="715" w:type="dxa"/>
            <w:vAlign w:val="center"/>
          </w:tcPr>
          <w:p w14:paraId="4B0E675C">
            <w:pPr>
              <w:keepNext/>
              <w:spacing w:after="120" w:line="360" w:lineRule="auto"/>
              <w:ind w:left="63" w:right="63"/>
              <w:rPr>
                <w:rFonts w:ascii="宋体" w:hAnsi="宋体" w:cs="仿宋_GB2312"/>
                <w:kern w:val="0"/>
                <w:szCs w:val="21"/>
              </w:rPr>
            </w:pPr>
          </w:p>
        </w:tc>
        <w:tc>
          <w:tcPr>
            <w:tcW w:w="498" w:type="dxa"/>
            <w:vAlign w:val="center"/>
          </w:tcPr>
          <w:p w14:paraId="7C8D53C0">
            <w:pPr>
              <w:keepNext/>
              <w:spacing w:after="120" w:line="360" w:lineRule="auto"/>
              <w:ind w:left="63" w:right="63"/>
              <w:rPr>
                <w:rFonts w:ascii="宋体" w:hAnsi="宋体" w:cs="仿宋_GB2312"/>
                <w:kern w:val="0"/>
                <w:szCs w:val="21"/>
              </w:rPr>
            </w:pPr>
          </w:p>
        </w:tc>
        <w:tc>
          <w:tcPr>
            <w:tcW w:w="714" w:type="dxa"/>
            <w:vAlign w:val="center"/>
          </w:tcPr>
          <w:p w14:paraId="02551478">
            <w:pPr>
              <w:keepNext/>
              <w:spacing w:after="120" w:line="360" w:lineRule="auto"/>
              <w:ind w:left="63" w:right="63"/>
              <w:rPr>
                <w:rFonts w:ascii="宋体" w:hAnsi="宋体" w:cs="仿宋_GB2312"/>
                <w:kern w:val="0"/>
                <w:szCs w:val="21"/>
              </w:rPr>
            </w:pPr>
          </w:p>
        </w:tc>
        <w:tc>
          <w:tcPr>
            <w:tcW w:w="928" w:type="dxa"/>
            <w:vAlign w:val="center"/>
          </w:tcPr>
          <w:p w14:paraId="5BA07E71">
            <w:pPr>
              <w:keepNext/>
              <w:spacing w:after="120" w:line="360" w:lineRule="auto"/>
              <w:ind w:left="63" w:right="63"/>
              <w:rPr>
                <w:rFonts w:ascii="宋体" w:hAnsi="宋体" w:cs="仿宋_GB2312"/>
                <w:kern w:val="0"/>
                <w:szCs w:val="21"/>
              </w:rPr>
            </w:pPr>
          </w:p>
        </w:tc>
        <w:tc>
          <w:tcPr>
            <w:tcW w:w="1241" w:type="dxa"/>
            <w:vAlign w:val="center"/>
          </w:tcPr>
          <w:p w14:paraId="13601F0E">
            <w:pPr>
              <w:keepNext/>
              <w:spacing w:after="120" w:line="360" w:lineRule="auto"/>
              <w:ind w:left="63" w:right="63"/>
              <w:rPr>
                <w:rFonts w:ascii="宋体" w:hAnsi="宋体" w:cs="仿宋_GB2312"/>
                <w:kern w:val="0"/>
                <w:szCs w:val="21"/>
              </w:rPr>
            </w:pPr>
          </w:p>
        </w:tc>
        <w:tc>
          <w:tcPr>
            <w:tcW w:w="714" w:type="dxa"/>
            <w:vAlign w:val="center"/>
          </w:tcPr>
          <w:p w14:paraId="70D59CCE">
            <w:pPr>
              <w:keepNext/>
              <w:spacing w:after="120" w:line="360" w:lineRule="auto"/>
              <w:ind w:left="63" w:right="63"/>
              <w:rPr>
                <w:rFonts w:ascii="宋体" w:hAnsi="宋体" w:cs="仿宋_GB2312"/>
                <w:kern w:val="0"/>
                <w:szCs w:val="21"/>
              </w:rPr>
            </w:pPr>
          </w:p>
        </w:tc>
        <w:tc>
          <w:tcPr>
            <w:tcW w:w="714" w:type="dxa"/>
            <w:vAlign w:val="center"/>
          </w:tcPr>
          <w:p w14:paraId="4ED12BBE">
            <w:pPr>
              <w:keepNext/>
              <w:spacing w:after="120" w:line="360" w:lineRule="auto"/>
              <w:ind w:left="63" w:right="63"/>
              <w:rPr>
                <w:rFonts w:ascii="宋体" w:hAnsi="宋体" w:cs="仿宋_GB2312"/>
                <w:kern w:val="0"/>
                <w:szCs w:val="21"/>
              </w:rPr>
            </w:pPr>
          </w:p>
        </w:tc>
      </w:tr>
      <w:tr w14:paraId="695FF0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929" w:type="dxa"/>
            <w:vAlign w:val="center"/>
          </w:tcPr>
          <w:p w14:paraId="7A327F5C">
            <w:pPr>
              <w:keepNext/>
              <w:spacing w:after="120" w:line="360" w:lineRule="auto"/>
              <w:ind w:left="63" w:right="63"/>
              <w:rPr>
                <w:rFonts w:ascii="宋体" w:hAnsi="宋体" w:cs="仿宋_GB2312"/>
                <w:kern w:val="0"/>
                <w:szCs w:val="21"/>
              </w:rPr>
            </w:pPr>
          </w:p>
        </w:tc>
        <w:tc>
          <w:tcPr>
            <w:tcW w:w="715" w:type="dxa"/>
            <w:vAlign w:val="center"/>
          </w:tcPr>
          <w:p w14:paraId="4A37A58A">
            <w:pPr>
              <w:keepNext/>
              <w:spacing w:after="120" w:line="360" w:lineRule="auto"/>
              <w:ind w:left="63" w:right="63"/>
              <w:rPr>
                <w:rFonts w:ascii="宋体" w:hAnsi="宋体" w:cs="仿宋_GB2312"/>
                <w:kern w:val="0"/>
                <w:szCs w:val="21"/>
              </w:rPr>
            </w:pPr>
          </w:p>
        </w:tc>
        <w:tc>
          <w:tcPr>
            <w:tcW w:w="1195" w:type="dxa"/>
            <w:vAlign w:val="center"/>
          </w:tcPr>
          <w:p w14:paraId="38ECEAC7">
            <w:pPr>
              <w:keepNext/>
              <w:spacing w:after="120" w:line="360" w:lineRule="auto"/>
              <w:ind w:left="63" w:right="63"/>
              <w:rPr>
                <w:rFonts w:ascii="宋体" w:hAnsi="宋体" w:cs="仿宋_GB2312"/>
                <w:kern w:val="0"/>
                <w:szCs w:val="21"/>
              </w:rPr>
            </w:pPr>
          </w:p>
        </w:tc>
        <w:tc>
          <w:tcPr>
            <w:tcW w:w="715" w:type="dxa"/>
            <w:vAlign w:val="center"/>
          </w:tcPr>
          <w:p w14:paraId="12B7795B">
            <w:pPr>
              <w:keepNext/>
              <w:spacing w:after="120" w:line="360" w:lineRule="auto"/>
              <w:ind w:left="63" w:right="63"/>
              <w:rPr>
                <w:rFonts w:ascii="宋体" w:hAnsi="宋体" w:cs="仿宋_GB2312"/>
                <w:kern w:val="0"/>
                <w:szCs w:val="21"/>
              </w:rPr>
            </w:pPr>
          </w:p>
        </w:tc>
        <w:tc>
          <w:tcPr>
            <w:tcW w:w="498" w:type="dxa"/>
            <w:vAlign w:val="center"/>
          </w:tcPr>
          <w:p w14:paraId="40EBDCCF">
            <w:pPr>
              <w:keepNext/>
              <w:spacing w:after="120" w:line="360" w:lineRule="auto"/>
              <w:ind w:left="63" w:right="63"/>
              <w:rPr>
                <w:rFonts w:ascii="宋体" w:hAnsi="宋体" w:cs="仿宋_GB2312"/>
                <w:kern w:val="0"/>
                <w:szCs w:val="21"/>
              </w:rPr>
            </w:pPr>
          </w:p>
        </w:tc>
        <w:tc>
          <w:tcPr>
            <w:tcW w:w="714" w:type="dxa"/>
            <w:vAlign w:val="center"/>
          </w:tcPr>
          <w:p w14:paraId="4DBEBA28">
            <w:pPr>
              <w:keepNext/>
              <w:spacing w:after="120" w:line="360" w:lineRule="auto"/>
              <w:ind w:left="63" w:right="63"/>
              <w:rPr>
                <w:rFonts w:ascii="宋体" w:hAnsi="宋体" w:cs="仿宋_GB2312"/>
                <w:kern w:val="0"/>
                <w:szCs w:val="21"/>
              </w:rPr>
            </w:pPr>
          </w:p>
        </w:tc>
        <w:tc>
          <w:tcPr>
            <w:tcW w:w="928" w:type="dxa"/>
            <w:vAlign w:val="center"/>
          </w:tcPr>
          <w:p w14:paraId="4413FF8E">
            <w:pPr>
              <w:keepNext/>
              <w:spacing w:after="120" w:line="360" w:lineRule="auto"/>
              <w:ind w:left="63" w:right="63"/>
              <w:rPr>
                <w:rFonts w:ascii="宋体" w:hAnsi="宋体" w:cs="仿宋_GB2312"/>
                <w:kern w:val="0"/>
                <w:szCs w:val="21"/>
              </w:rPr>
            </w:pPr>
          </w:p>
        </w:tc>
        <w:tc>
          <w:tcPr>
            <w:tcW w:w="1241" w:type="dxa"/>
            <w:vAlign w:val="center"/>
          </w:tcPr>
          <w:p w14:paraId="7B464671">
            <w:pPr>
              <w:keepNext/>
              <w:spacing w:after="120" w:line="360" w:lineRule="auto"/>
              <w:ind w:left="63" w:right="63"/>
              <w:rPr>
                <w:rFonts w:ascii="宋体" w:hAnsi="宋体" w:cs="仿宋_GB2312"/>
                <w:kern w:val="0"/>
                <w:szCs w:val="21"/>
              </w:rPr>
            </w:pPr>
          </w:p>
        </w:tc>
        <w:tc>
          <w:tcPr>
            <w:tcW w:w="714" w:type="dxa"/>
            <w:vAlign w:val="center"/>
          </w:tcPr>
          <w:p w14:paraId="6A0478F0">
            <w:pPr>
              <w:keepNext/>
              <w:spacing w:after="120" w:line="360" w:lineRule="auto"/>
              <w:ind w:left="63" w:right="63"/>
              <w:rPr>
                <w:rFonts w:ascii="宋体" w:hAnsi="宋体" w:cs="仿宋_GB2312"/>
                <w:kern w:val="0"/>
                <w:szCs w:val="21"/>
              </w:rPr>
            </w:pPr>
          </w:p>
        </w:tc>
        <w:tc>
          <w:tcPr>
            <w:tcW w:w="714" w:type="dxa"/>
            <w:vAlign w:val="center"/>
          </w:tcPr>
          <w:p w14:paraId="3051DD5F">
            <w:pPr>
              <w:keepNext/>
              <w:spacing w:after="120" w:line="360" w:lineRule="auto"/>
              <w:ind w:left="63" w:right="63"/>
              <w:rPr>
                <w:rFonts w:ascii="宋体" w:hAnsi="宋体" w:cs="仿宋_GB2312"/>
                <w:kern w:val="0"/>
                <w:szCs w:val="21"/>
              </w:rPr>
            </w:pPr>
          </w:p>
        </w:tc>
      </w:tr>
    </w:tbl>
    <w:p w14:paraId="12FCE3A2">
      <w:pPr>
        <w:spacing w:before="156" w:beforeLines="50" w:after="156" w:afterLines="50" w:line="360" w:lineRule="auto"/>
        <w:jc w:val="center"/>
        <w:rPr>
          <w:rFonts w:ascii="宋体" w:hAnsi="宋体" w:cs="仿宋_GB2312"/>
          <w:szCs w:val="21"/>
        </w:rPr>
      </w:pPr>
      <w:r>
        <w:rPr>
          <w:rFonts w:hint="eastAsia" w:ascii="宋体" w:hAnsi="宋体" w:cs="仿宋_GB2312"/>
          <w:szCs w:val="21"/>
        </w:rPr>
        <w:t>承包人承揽工程项目一览表</w:t>
      </w:r>
    </w:p>
    <w:p w14:paraId="4A0A2312">
      <w:pPr>
        <w:spacing w:before="156" w:beforeLines="50" w:after="156" w:afterLines="50" w:line="360" w:lineRule="auto"/>
        <w:rPr>
          <w:rFonts w:ascii="宋体" w:hAnsi="宋体" w:cs="仿宋_GB2312"/>
          <w:szCs w:val="21"/>
        </w:rPr>
      </w:pPr>
    </w:p>
    <w:p w14:paraId="3D5F06C3">
      <w:pPr>
        <w:spacing w:before="156" w:beforeLines="50" w:after="156" w:afterLines="50" w:line="360" w:lineRule="auto"/>
        <w:rPr>
          <w:rFonts w:ascii="宋体" w:hAnsi="宋体" w:cs="仿宋_GB2312"/>
          <w:szCs w:val="21"/>
        </w:rPr>
      </w:pPr>
      <w:r>
        <w:rPr>
          <w:rFonts w:ascii="宋体" w:hAnsi="宋体" w:cs="仿宋_GB2312"/>
          <w:szCs w:val="21"/>
        </w:rPr>
        <w:br w:type="page"/>
      </w:r>
    </w:p>
    <w:p w14:paraId="080F0C99">
      <w:pPr>
        <w:spacing w:line="360" w:lineRule="auto"/>
        <w:rPr>
          <w:rFonts w:ascii="宋体" w:hAnsi="宋体" w:cs="仿宋_GB2312"/>
          <w:szCs w:val="21"/>
        </w:rPr>
      </w:pPr>
      <w:r>
        <w:rPr>
          <w:rFonts w:hint="eastAsia" w:ascii="宋体" w:hAnsi="宋体" w:cs="仿宋_GB2312"/>
          <w:szCs w:val="21"/>
        </w:rPr>
        <w:t>附</w:t>
      </w:r>
      <w:bookmarkStart w:id="644" w:name="_Toc296944564"/>
      <w:bookmarkStart w:id="645" w:name="_Toc296503225"/>
      <w:bookmarkStart w:id="646" w:name="_Toc267261692"/>
      <w:bookmarkStart w:id="647" w:name="_Toc296346726"/>
      <w:bookmarkStart w:id="648" w:name="_Toc296891053"/>
      <w:bookmarkStart w:id="649" w:name="_Toc296347224"/>
      <w:bookmarkStart w:id="650" w:name="_Toc296891265"/>
      <w:r>
        <w:rPr>
          <w:rFonts w:hint="eastAsia" w:ascii="宋体" w:hAnsi="宋体" w:cs="仿宋_GB2312"/>
          <w:szCs w:val="21"/>
        </w:rPr>
        <w:t>件2：</w:t>
      </w:r>
    </w:p>
    <w:bookmarkEnd w:id="644"/>
    <w:bookmarkEnd w:id="645"/>
    <w:bookmarkEnd w:id="646"/>
    <w:bookmarkEnd w:id="647"/>
    <w:bookmarkEnd w:id="648"/>
    <w:bookmarkEnd w:id="649"/>
    <w:bookmarkEnd w:id="650"/>
    <w:p w14:paraId="6D35A3F7">
      <w:pPr>
        <w:spacing w:before="156" w:beforeLines="50" w:after="156" w:afterLines="50" w:line="360" w:lineRule="auto"/>
        <w:jc w:val="center"/>
        <w:rPr>
          <w:rFonts w:ascii="宋体" w:hAnsi="宋体" w:cs="仿宋_GB2312"/>
          <w:szCs w:val="21"/>
        </w:rPr>
      </w:pPr>
      <w:r>
        <w:rPr>
          <w:rFonts w:hint="eastAsia" w:ascii="宋体" w:hAnsi="宋体" w:cs="仿宋_GB2312"/>
          <w:szCs w:val="21"/>
        </w:rPr>
        <w:t>发包人供应材料设备一览表</w:t>
      </w:r>
    </w:p>
    <w:tbl>
      <w:tblPr>
        <w:tblStyle w:val="47"/>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582"/>
        <w:gridCol w:w="983"/>
        <w:gridCol w:w="964"/>
        <w:gridCol w:w="583"/>
        <w:gridCol w:w="583"/>
        <w:gridCol w:w="1193"/>
        <w:gridCol w:w="964"/>
        <w:gridCol w:w="964"/>
        <w:gridCol w:w="964"/>
        <w:gridCol w:w="583"/>
      </w:tblGrid>
      <w:tr w14:paraId="69B9EB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582" w:type="dxa"/>
            <w:vAlign w:val="center"/>
          </w:tcPr>
          <w:p w14:paraId="4F267009">
            <w:pPr>
              <w:keepNext/>
              <w:spacing w:after="120" w:line="360" w:lineRule="auto"/>
              <w:ind w:left="63" w:right="63"/>
              <w:rPr>
                <w:rFonts w:ascii="宋体" w:hAnsi="宋体" w:cs="仿宋_GB2312"/>
                <w:kern w:val="0"/>
                <w:szCs w:val="21"/>
              </w:rPr>
            </w:pPr>
            <w:r>
              <w:rPr>
                <w:rFonts w:hint="eastAsia" w:ascii="宋体" w:hAnsi="宋体" w:cs="仿宋_GB2312"/>
                <w:kern w:val="0"/>
                <w:szCs w:val="21"/>
              </w:rPr>
              <w:t>序号</w:t>
            </w:r>
          </w:p>
        </w:tc>
        <w:tc>
          <w:tcPr>
            <w:tcW w:w="983" w:type="dxa"/>
            <w:vAlign w:val="center"/>
          </w:tcPr>
          <w:p w14:paraId="596F585D">
            <w:pPr>
              <w:keepNext/>
              <w:spacing w:after="120" w:line="360" w:lineRule="auto"/>
              <w:ind w:left="63" w:right="63"/>
              <w:rPr>
                <w:rFonts w:ascii="宋体" w:hAnsi="宋体" w:cs="仿宋_GB2312"/>
                <w:kern w:val="0"/>
                <w:szCs w:val="21"/>
              </w:rPr>
            </w:pPr>
            <w:r>
              <w:rPr>
                <w:rFonts w:hint="eastAsia" w:ascii="宋体" w:hAnsi="宋体" w:cs="仿宋_GB2312"/>
                <w:kern w:val="0"/>
                <w:szCs w:val="21"/>
              </w:rPr>
              <w:t xml:space="preserve">  材料、</w:t>
            </w:r>
          </w:p>
          <w:p w14:paraId="6A75546C">
            <w:pPr>
              <w:keepNext/>
              <w:spacing w:after="120" w:line="360" w:lineRule="auto"/>
              <w:ind w:right="63"/>
              <w:rPr>
                <w:rFonts w:ascii="宋体" w:hAnsi="宋体" w:cs="仿宋_GB2312"/>
                <w:kern w:val="0"/>
                <w:szCs w:val="21"/>
              </w:rPr>
            </w:pPr>
            <w:r>
              <w:rPr>
                <w:rFonts w:hint="eastAsia" w:ascii="宋体" w:hAnsi="宋体" w:cs="仿宋_GB2312"/>
                <w:kern w:val="0"/>
                <w:szCs w:val="21"/>
              </w:rPr>
              <w:t>设备品种</w:t>
            </w:r>
          </w:p>
        </w:tc>
        <w:tc>
          <w:tcPr>
            <w:tcW w:w="964" w:type="dxa"/>
            <w:vAlign w:val="center"/>
          </w:tcPr>
          <w:p w14:paraId="33F22148">
            <w:pPr>
              <w:keepNext/>
              <w:spacing w:after="120" w:line="360" w:lineRule="auto"/>
              <w:ind w:left="63" w:right="63"/>
              <w:rPr>
                <w:rFonts w:ascii="宋体" w:hAnsi="宋体" w:cs="仿宋_GB2312"/>
                <w:kern w:val="0"/>
                <w:szCs w:val="21"/>
              </w:rPr>
            </w:pPr>
            <w:r>
              <w:rPr>
                <w:rFonts w:hint="eastAsia" w:ascii="宋体" w:hAnsi="宋体" w:cs="仿宋_GB2312"/>
                <w:kern w:val="0"/>
                <w:szCs w:val="21"/>
              </w:rPr>
              <w:t>规格型号</w:t>
            </w:r>
          </w:p>
        </w:tc>
        <w:tc>
          <w:tcPr>
            <w:tcW w:w="583" w:type="dxa"/>
            <w:vAlign w:val="center"/>
          </w:tcPr>
          <w:p w14:paraId="47D5D676">
            <w:pPr>
              <w:keepNext/>
              <w:spacing w:after="120" w:line="360" w:lineRule="auto"/>
              <w:ind w:left="63" w:right="63"/>
              <w:rPr>
                <w:rFonts w:ascii="宋体" w:hAnsi="宋体" w:cs="仿宋_GB2312"/>
                <w:kern w:val="0"/>
                <w:szCs w:val="21"/>
              </w:rPr>
            </w:pPr>
            <w:r>
              <w:rPr>
                <w:rFonts w:hint="eastAsia" w:ascii="宋体" w:hAnsi="宋体" w:cs="仿宋_GB2312"/>
                <w:kern w:val="0"/>
                <w:szCs w:val="21"/>
              </w:rPr>
              <w:t>单位</w:t>
            </w:r>
          </w:p>
        </w:tc>
        <w:tc>
          <w:tcPr>
            <w:tcW w:w="583" w:type="dxa"/>
            <w:vAlign w:val="center"/>
          </w:tcPr>
          <w:p w14:paraId="5C9420DB">
            <w:pPr>
              <w:keepNext/>
              <w:spacing w:after="120" w:line="360" w:lineRule="auto"/>
              <w:ind w:left="63" w:right="63"/>
              <w:rPr>
                <w:rFonts w:ascii="宋体" w:hAnsi="宋体" w:cs="仿宋_GB2312"/>
                <w:kern w:val="0"/>
                <w:szCs w:val="21"/>
              </w:rPr>
            </w:pPr>
            <w:r>
              <w:rPr>
                <w:rFonts w:hint="eastAsia" w:ascii="宋体" w:hAnsi="宋体" w:cs="仿宋_GB2312"/>
                <w:kern w:val="0"/>
                <w:szCs w:val="21"/>
              </w:rPr>
              <w:t>数量</w:t>
            </w:r>
          </w:p>
        </w:tc>
        <w:tc>
          <w:tcPr>
            <w:tcW w:w="1193" w:type="dxa"/>
            <w:vAlign w:val="center"/>
          </w:tcPr>
          <w:p w14:paraId="63F1CD63">
            <w:pPr>
              <w:keepNext/>
              <w:spacing w:after="120" w:line="360" w:lineRule="auto"/>
              <w:ind w:left="63" w:right="63"/>
              <w:rPr>
                <w:rFonts w:ascii="宋体" w:hAnsi="宋体" w:cs="仿宋_GB2312"/>
                <w:kern w:val="0"/>
                <w:szCs w:val="21"/>
              </w:rPr>
            </w:pPr>
            <w:r>
              <w:rPr>
                <w:rFonts w:hint="eastAsia" w:ascii="宋体" w:hAnsi="宋体" w:cs="仿宋_GB2312"/>
                <w:kern w:val="0"/>
                <w:szCs w:val="21"/>
              </w:rPr>
              <w:t>单价（元）</w:t>
            </w:r>
          </w:p>
        </w:tc>
        <w:tc>
          <w:tcPr>
            <w:tcW w:w="964" w:type="dxa"/>
            <w:vAlign w:val="center"/>
          </w:tcPr>
          <w:p w14:paraId="40BC9EFD">
            <w:pPr>
              <w:keepNext/>
              <w:spacing w:after="120" w:line="360" w:lineRule="auto"/>
              <w:ind w:left="63" w:right="63"/>
              <w:rPr>
                <w:rFonts w:ascii="宋体" w:hAnsi="宋体" w:cs="仿宋_GB2312"/>
                <w:kern w:val="0"/>
                <w:szCs w:val="21"/>
              </w:rPr>
            </w:pPr>
            <w:r>
              <w:rPr>
                <w:rFonts w:hint="eastAsia" w:ascii="宋体" w:hAnsi="宋体" w:cs="仿宋_GB2312"/>
                <w:kern w:val="0"/>
                <w:szCs w:val="21"/>
              </w:rPr>
              <w:t>质量等级</w:t>
            </w:r>
          </w:p>
        </w:tc>
        <w:tc>
          <w:tcPr>
            <w:tcW w:w="964" w:type="dxa"/>
            <w:vAlign w:val="center"/>
          </w:tcPr>
          <w:p w14:paraId="2D188896">
            <w:pPr>
              <w:keepNext/>
              <w:spacing w:after="120" w:line="360" w:lineRule="auto"/>
              <w:ind w:left="63" w:right="63"/>
              <w:rPr>
                <w:rFonts w:ascii="宋体" w:hAnsi="宋体" w:cs="仿宋_GB2312"/>
                <w:kern w:val="0"/>
                <w:szCs w:val="21"/>
              </w:rPr>
            </w:pPr>
            <w:r>
              <w:rPr>
                <w:rFonts w:hint="eastAsia" w:ascii="宋体" w:hAnsi="宋体" w:cs="仿宋_GB2312"/>
                <w:kern w:val="0"/>
                <w:szCs w:val="21"/>
              </w:rPr>
              <w:t>供应时间</w:t>
            </w:r>
          </w:p>
        </w:tc>
        <w:tc>
          <w:tcPr>
            <w:tcW w:w="964" w:type="dxa"/>
            <w:vAlign w:val="center"/>
          </w:tcPr>
          <w:p w14:paraId="0B33E2A2">
            <w:pPr>
              <w:keepNext/>
              <w:spacing w:after="120" w:line="360" w:lineRule="auto"/>
              <w:ind w:left="63" w:right="63"/>
              <w:rPr>
                <w:rFonts w:ascii="宋体" w:hAnsi="宋体" w:cs="仿宋_GB2312"/>
                <w:kern w:val="0"/>
                <w:szCs w:val="21"/>
              </w:rPr>
            </w:pPr>
            <w:r>
              <w:rPr>
                <w:rFonts w:hint="eastAsia" w:ascii="宋体" w:hAnsi="宋体" w:cs="仿宋_GB2312"/>
                <w:kern w:val="0"/>
                <w:szCs w:val="21"/>
              </w:rPr>
              <w:t>送达地点</w:t>
            </w:r>
          </w:p>
        </w:tc>
        <w:tc>
          <w:tcPr>
            <w:tcW w:w="583" w:type="dxa"/>
            <w:vAlign w:val="center"/>
          </w:tcPr>
          <w:p w14:paraId="10EF8636">
            <w:pPr>
              <w:keepNext/>
              <w:spacing w:after="120" w:line="360" w:lineRule="auto"/>
              <w:ind w:left="63" w:right="63"/>
              <w:rPr>
                <w:rFonts w:ascii="宋体" w:hAnsi="宋体" w:cs="仿宋_GB2312"/>
                <w:kern w:val="0"/>
                <w:szCs w:val="21"/>
              </w:rPr>
            </w:pPr>
            <w:r>
              <w:rPr>
                <w:rFonts w:hint="eastAsia" w:ascii="宋体" w:hAnsi="宋体" w:cs="仿宋_GB2312"/>
                <w:kern w:val="0"/>
                <w:szCs w:val="21"/>
              </w:rPr>
              <w:t>备注</w:t>
            </w:r>
          </w:p>
        </w:tc>
      </w:tr>
      <w:tr w14:paraId="725D15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63B6596C">
            <w:pPr>
              <w:keepNext/>
              <w:spacing w:after="120" w:line="360" w:lineRule="auto"/>
              <w:ind w:left="63" w:right="63"/>
              <w:rPr>
                <w:rFonts w:ascii="宋体" w:hAnsi="宋体" w:cs="仿宋_GB2312"/>
                <w:kern w:val="0"/>
                <w:szCs w:val="21"/>
              </w:rPr>
            </w:pPr>
          </w:p>
        </w:tc>
        <w:tc>
          <w:tcPr>
            <w:tcW w:w="983" w:type="dxa"/>
            <w:vAlign w:val="center"/>
          </w:tcPr>
          <w:p w14:paraId="36CB1A6D">
            <w:pPr>
              <w:keepNext/>
              <w:spacing w:after="120" w:line="360" w:lineRule="auto"/>
              <w:ind w:left="63" w:right="63"/>
              <w:rPr>
                <w:rFonts w:ascii="宋体" w:hAnsi="宋体" w:cs="仿宋_GB2312"/>
                <w:kern w:val="0"/>
                <w:szCs w:val="21"/>
              </w:rPr>
            </w:pPr>
          </w:p>
        </w:tc>
        <w:tc>
          <w:tcPr>
            <w:tcW w:w="964" w:type="dxa"/>
            <w:vAlign w:val="center"/>
          </w:tcPr>
          <w:p w14:paraId="73509632">
            <w:pPr>
              <w:keepNext/>
              <w:spacing w:after="120" w:line="360" w:lineRule="auto"/>
              <w:ind w:left="63" w:right="63"/>
              <w:rPr>
                <w:rFonts w:ascii="宋体" w:hAnsi="宋体" w:cs="仿宋_GB2312"/>
                <w:kern w:val="0"/>
                <w:szCs w:val="21"/>
              </w:rPr>
            </w:pPr>
          </w:p>
        </w:tc>
        <w:tc>
          <w:tcPr>
            <w:tcW w:w="583" w:type="dxa"/>
            <w:vAlign w:val="center"/>
          </w:tcPr>
          <w:p w14:paraId="1DD625CA">
            <w:pPr>
              <w:keepNext/>
              <w:spacing w:after="120" w:line="360" w:lineRule="auto"/>
              <w:ind w:left="63" w:right="63"/>
              <w:rPr>
                <w:rFonts w:ascii="宋体" w:hAnsi="宋体" w:cs="仿宋_GB2312"/>
                <w:kern w:val="0"/>
                <w:szCs w:val="21"/>
              </w:rPr>
            </w:pPr>
          </w:p>
        </w:tc>
        <w:tc>
          <w:tcPr>
            <w:tcW w:w="583" w:type="dxa"/>
            <w:vAlign w:val="center"/>
          </w:tcPr>
          <w:p w14:paraId="596CE743">
            <w:pPr>
              <w:keepNext/>
              <w:spacing w:after="120" w:line="360" w:lineRule="auto"/>
              <w:ind w:left="63" w:right="63"/>
              <w:rPr>
                <w:rFonts w:ascii="宋体" w:hAnsi="宋体" w:cs="仿宋_GB2312"/>
                <w:kern w:val="0"/>
                <w:szCs w:val="21"/>
              </w:rPr>
            </w:pPr>
          </w:p>
        </w:tc>
        <w:tc>
          <w:tcPr>
            <w:tcW w:w="1193" w:type="dxa"/>
            <w:vAlign w:val="center"/>
          </w:tcPr>
          <w:p w14:paraId="74648818">
            <w:pPr>
              <w:keepNext/>
              <w:spacing w:after="120" w:line="360" w:lineRule="auto"/>
              <w:ind w:left="63" w:right="63"/>
              <w:rPr>
                <w:rFonts w:ascii="宋体" w:hAnsi="宋体" w:cs="仿宋_GB2312"/>
                <w:kern w:val="0"/>
                <w:szCs w:val="21"/>
              </w:rPr>
            </w:pPr>
          </w:p>
        </w:tc>
        <w:tc>
          <w:tcPr>
            <w:tcW w:w="964" w:type="dxa"/>
            <w:vAlign w:val="center"/>
          </w:tcPr>
          <w:p w14:paraId="6EAA1B21">
            <w:pPr>
              <w:keepNext/>
              <w:spacing w:after="120" w:line="360" w:lineRule="auto"/>
              <w:ind w:left="63" w:right="63"/>
              <w:rPr>
                <w:rFonts w:ascii="宋体" w:hAnsi="宋体" w:cs="仿宋_GB2312"/>
                <w:kern w:val="0"/>
                <w:szCs w:val="21"/>
              </w:rPr>
            </w:pPr>
          </w:p>
        </w:tc>
        <w:tc>
          <w:tcPr>
            <w:tcW w:w="964" w:type="dxa"/>
            <w:vAlign w:val="center"/>
          </w:tcPr>
          <w:p w14:paraId="4E44149F">
            <w:pPr>
              <w:keepNext/>
              <w:spacing w:after="120" w:line="360" w:lineRule="auto"/>
              <w:ind w:left="63" w:right="63"/>
              <w:rPr>
                <w:rFonts w:ascii="宋体" w:hAnsi="宋体" w:cs="仿宋_GB2312"/>
                <w:kern w:val="0"/>
                <w:szCs w:val="21"/>
              </w:rPr>
            </w:pPr>
          </w:p>
        </w:tc>
        <w:tc>
          <w:tcPr>
            <w:tcW w:w="964" w:type="dxa"/>
            <w:vAlign w:val="center"/>
          </w:tcPr>
          <w:p w14:paraId="4C68C2A0">
            <w:pPr>
              <w:keepNext/>
              <w:spacing w:after="120" w:line="360" w:lineRule="auto"/>
              <w:ind w:left="63" w:right="63"/>
              <w:rPr>
                <w:rFonts w:ascii="宋体" w:hAnsi="宋体" w:cs="仿宋_GB2312"/>
                <w:kern w:val="0"/>
                <w:szCs w:val="21"/>
              </w:rPr>
            </w:pPr>
          </w:p>
        </w:tc>
        <w:tc>
          <w:tcPr>
            <w:tcW w:w="583" w:type="dxa"/>
            <w:vAlign w:val="center"/>
          </w:tcPr>
          <w:p w14:paraId="51801410">
            <w:pPr>
              <w:keepNext/>
              <w:spacing w:after="120" w:line="360" w:lineRule="auto"/>
              <w:ind w:left="63" w:right="63"/>
              <w:rPr>
                <w:rFonts w:ascii="宋体" w:hAnsi="宋体" w:cs="仿宋_GB2312"/>
                <w:kern w:val="0"/>
                <w:szCs w:val="21"/>
              </w:rPr>
            </w:pPr>
          </w:p>
        </w:tc>
      </w:tr>
      <w:tr w14:paraId="52278C4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0EFB3A0A">
            <w:pPr>
              <w:keepNext/>
              <w:spacing w:after="120" w:line="360" w:lineRule="auto"/>
              <w:ind w:left="63" w:right="63"/>
              <w:rPr>
                <w:rFonts w:ascii="宋体" w:hAnsi="宋体" w:cs="仿宋_GB2312"/>
                <w:kern w:val="0"/>
                <w:szCs w:val="21"/>
              </w:rPr>
            </w:pPr>
          </w:p>
        </w:tc>
        <w:tc>
          <w:tcPr>
            <w:tcW w:w="983" w:type="dxa"/>
            <w:vAlign w:val="center"/>
          </w:tcPr>
          <w:p w14:paraId="7BD22EBB">
            <w:pPr>
              <w:keepNext/>
              <w:spacing w:after="120" w:line="360" w:lineRule="auto"/>
              <w:ind w:left="63" w:right="63"/>
              <w:rPr>
                <w:rFonts w:ascii="宋体" w:hAnsi="宋体" w:cs="仿宋_GB2312"/>
                <w:kern w:val="0"/>
                <w:szCs w:val="21"/>
              </w:rPr>
            </w:pPr>
          </w:p>
        </w:tc>
        <w:tc>
          <w:tcPr>
            <w:tcW w:w="964" w:type="dxa"/>
            <w:vAlign w:val="center"/>
          </w:tcPr>
          <w:p w14:paraId="5F81E5D5">
            <w:pPr>
              <w:keepNext/>
              <w:spacing w:after="120" w:line="360" w:lineRule="auto"/>
              <w:ind w:left="63" w:right="63"/>
              <w:rPr>
                <w:rFonts w:ascii="宋体" w:hAnsi="宋体" w:cs="仿宋_GB2312"/>
                <w:kern w:val="0"/>
                <w:szCs w:val="21"/>
              </w:rPr>
            </w:pPr>
          </w:p>
        </w:tc>
        <w:tc>
          <w:tcPr>
            <w:tcW w:w="583" w:type="dxa"/>
            <w:vAlign w:val="center"/>
          </w:tcPr>
          <w:p w14:paraId="0CF8240D">
            <w:pPr>
              <w:keepNext/>
              <w:spacing w:after="120" w:line="360" w:lineRule="auto"/>
              <w:ind w:left="63" w:right="63"/>
              <w:rPr>
                <w:rFonts w:ascii="宋体" w:hAnsi="宋体" w:cs="仿宋_GB2312"/>
                <w:kern w:val="0"/>
                <w:szCs w:val="21"/>
              </w:rPr>
            </w:pPr>
          </w:p>
        </w:tc>
        <w:tc>
          <w:tcPr>
            <w:tcW w:w="583" w:type="dxa"/>
            <w:vAlign w:val="center"/>
          </w:tcPr>
          <w:p w14:paraId="27CF4F19">
            <w:pPr>
              <w:keepNext/>
              <w:spacing w:after="120" w:line="360" w:lineRule="auto"/>
              <w:ind w:left="63" w:right="63"/>
              <w:rPr>
                <w:rFonts w:ascii="宋体" w:hAnsi="宋体" w:cs="仿宋_GB2312"/>
                <w:kern w:val="0"/>
                <w:szCs w:val="21"/>
              </w:rPr>
            </w:pPr>
          </w:p>
        </w:tc>
        <w:tc>
          <w:tcPr>
            <w:tcW w:w="1193" w:type="dxa"/>
            <w:vAlign w:val="center"/>
          </w:tcPr>
          <w:p w14:paraId="199B29AB">
            <w:pPr>
              <w:keepNext/>
              <w:spacing w:after="120" w:line="360" w:lineRule="auto"/>
              <w:ind w:left="63" w:right="63"/>
              <w:rPr>
                <w:rFonts w:ascii="宋体" w:hAnsi="宋体" w:cs="仿宋_GB2312"/>
                <w:kern w:val="0"/>
                <w:szCs w:val="21"/>
              </w:rPr>
            </w:pPr>
          </w:p>
        </w:tc>
        <w:tc>
          <w:tcPr>
            <w:tcW w:w="964" w:type="dxa"/>
            <w:vAlign w:val="center"/>
          </w:tcPr>
          <w:p w14:paraId="5BD1E7B0">
            <w:pPr>
              <w:keepNext/>
              <w:spacing w:after="120" w:line="360" w:lineRule="auto"/>
              <w:ind w:left="63" w:right="63"/>
              <w:rPr>
                <w:rFonts w:ascii="宋体" w:hAnsi="宋体" w:cs="仿宋_GB2312"/>
                <w:kern w:val="0"/>
                <w:szCs w:val="21"/>
              </w:rPr>
            </w:pPr>
          </w:p>
        </w:tc>
        <w:tc>
          <w:tcPr>
            <w:tcW w:w="964" w:type="dxa"/>
            <w:vAlign w:val="center"/>
          </w:tcPr>
          <w:p w14:paraId="7F605837">
            <w:pPr>
              <w:keepNext/>
              <w:spacing w:after="120" w:line="360" w:lineRule="auto"/>
              <w:ind w:left="63" w:right="63"/>
              <w:rPr>
                <w:rFonts w:ascii="宋体" w:hAnsi="宋体" w:cs="仿宋_GB2312"/>
                <w:kern w:val="0"/>
                <w:szCs w:val="21"/>
              </w:rPr>
            </w:pPr>
          </w:p>
        </w:tc>
        <w:tc>
          <w:tcPr>
            <w:tcW w:w="964" w:type="dxa"/>
            <w:vAlign w:val="center"/>
          </w:tcPr>
          <w:p w14:paraId="12B3C62D">
            <w:pPr>
              <w:keepNext/>
              <w:spacing w:after="120" w:line="360" w:lineRule="auto"/>
              <w:ind w:left="63" w:right="63"/>
              <w:rPr>
                <w:rFonts w:ascii="宋体" w:hAnsi="宋体" w:cs="仿宋_GB2312"/>
                <w:kern w:val="0"/>
                <w:szCs w:val="21"/>
              </w:rPr>
            </w:pPr>
          </w:p>
        </w:tc>
        <w:tc>
          <w:tcPr>
            <w:tcW w:w="583" w:type="dxa"/>
            <w:vAlign w:val="center"/>
          </w:tcPr>
          <w:p w14:paraId="7926B84F">
            <w:pPr>
              <w:keepNext/>
              <w:spacing w:after="120" w:line="360" w:lineRule="auto"/>
              <w:ind w:left="63" w:right="63"/>
              <w:rPr>
                <w:rFonts w:ascii="宋体" w:hAnsi="宋体" w:cs="仿宋_GB2312"/>
                <w:kern w:val="0"/>
                <w:szCs w:val="21"/>
              </w:rPr>
            </w:pPr>
          </w:p>
        </w:tc>
      </w:tr>
      <w:tr w14:paraId="538FF2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231AD96E">
            <w:pPr>
              <w:keepNext/>
              <w:spacing w:after="120" w:line="360" w:lineRule="auto"/>
              <w:ind w:left="63" w:right="63"/>
              <w:rPr>
                <w:rFonts w:ascii="宋体" w:hAnsi="宋体" w:cs="仿宋_GB2312"/>
                <w:kern w:val="0"/>
                <w:szCs w:val="21"/>
              </w:rPr>
            </w:pPr>
          </w:p>
        </w:tc>
        <w:tc>
          <w:tcPr>
            <w:tcW w:w="983" w:type="dxa"/>
            <w:vAlign w:val="center"/>
          </w:tcPr>
          <w:p w14:paraId="256718BD">
            <w:pPr>
              <w:keepNext/>
              <w:spacing w:after="120" w:line="360" w:lineRule="auto"/>
              <w:ind w:left="63" w:right="63"/>
              <w:rPr>
                <w:rFonts w:ascii="宋体" w:hAnsi="宋体" w:cs="仿宋_GB2312"/>
                <w:kern w:val="0"/>
                <w:szCs w:val="21"/>
              </w:rPr>
            </w:pPr>
          </w:p>
        </w:tc>
        <w:tc>
          <w:tcPr>
            <w:tcW w:w="964" w:type="dxa"/>
            <w:vAlign w:val="center"/>
          </w:tcPr>
          <w:p w14:paraId="6900A88D">
            <w:pPr>
              <w:keepNext/>
              <w:spacing w:after="120" w:line="360" w:lineRule="auto"/>
              <w:ind w:left="63" w:right="63"/>
              <w:rPr>
                <w:rFonts w:ascii="宋体" w:hAnsi="宋体" w:cs="仿宋_GB2312"/>
                <w:kern w:val="0"/>
                <w:szCs w:val="21"/>
              </w:rPr>
            </w:pPr>
          </w:p>
        </w:tc>
        <w:tc>
          <w:tcPr>
            <w:tcW w:w="583" w:type="dxa"/>
            <w:vAlign w:val="center"/>
          </w:tcPr>
          <w:p w14:paraId="75CEE582">
            <w:pPr>
              <w:keepNext/>
              <w:spacing w:after="120" w:line="360" w:lineRule="auto"/>
              <w:ind w:left="63" w:right="63"/>
              <w:rPr>
                <w:rFonts w:ascii="宋体" w:hAnsi="宋体" w:cs="仿宋_GB2312"/>
                <w:kern w:val="0"/>
                <w:szCs w:val="21"/>
              </w:rPr>
            </w:pPr>
          </w:p>
        </w:tc>
        <w:tc>
          <w:tcPr>
            <w:tcW w:w="583" w:type="dxa"/>
            <w:vAlign w:val="center"/>
          </w:tcPr>
          <w:p w14:paraId="0D7B7CBA">
            <w:pPr>
              <w:keepNext/>
              <w:spacing w:after="120" w:line="360" w:lineRule="auto"/>
              <w:ind w:left="63" w:right="63"/>
              <w:rPr>
                <w:rFonts w:ascii="宋体" w:hAnsi="宋体" w:cs="仿宋_GB2312"/>
                <w:kern w:val="0"/>
                <w:szCs w:val="21"/>
              </w:rPr>
            </w:pPr>
          </w:p>
        </w:tc>
        <w:tc>
          <w:tcPr>
            <w:tcW w:w="1193" w:type="dxa"/>
            <w:vAlign w:val="center"/>
          </w:tcPr>
          <w:p w14:paraId="5F08235C">
            <w:pPr>
              <w:keepNext/>
              <w:spacing w:after="120" w:line="360" w:lineRule="auto"/>
              <w:ind w:left="63" w:right="63"/>
              <w:rPr>
                <w:rFonts w:ascii="宋体" w:hAnsi="宋体" w:cs="仿宋_GB2312"/>
                <w:kern w:val="0"/>
                <w:szCs w:val="21"/>
              </w:rPr>
            </w:pPr>
          </w:p>
        </w:tc>
        <w:tc>
          <w:tcPr>
            <w:tcW w:w="964" w:type="dxa"/>
            <w:vAlign w:val="center"/>
          </w:tcPr>
          <w:p w14:paraId="78F06064">
            <w:pPr>
              <w:keepNext/>
              <w:spacing w:after="120" w:line="360" w:lineRule="auto"/>
              <w:ind w:left="63" w:right="63"/>
              <w:rPr>
                <w:rFonts w:ascii="宋体" w:hAnsi="宋体" w:cs="仿宋_GB2312"/>
                <w:kern w:val="0"/>
                <w:szCs w:val="21"/>
              </w:rPr>
            </w:pPr>
          </w:p>
        </w:tc>
        <w:tc>
          <w:tcPr>
            <w:tcW w:w="964" w:type="dxa"/>
            <w:vAlign w:val="center"/>
          </w:tcPr>
          <w:p w14:paraId="089D5B8B">
            <w:pPr>
              <w:keepNext/>
              <w:spacing w:after="120" w:line="360" w:lineRule="auto"/>
              <w:ind w:left="63" w:right="63"/>
              <w:rPr>
                <w:rFonts w:ascii="宋体" w:hAnsi="宋体" w:cs="仿宋_GB2312"/>
                <w:kern w:val="0"/>
                <w:szCs w:val="21"/>
              </w:rPr>
            </w:pPr>
          </w:p>
        </w:tc>
        <w:tc>
          <w:tcPr>
            <w:tcW w:w="964" w:type="dxa"/>
            <w:vAlign w:val="center"/>
          </w:tcPr>
          <w:p w14:paraId="626D81FD">
            <w:pPr>
              <w:keepNext/>
              <w:spacing w:after="120" w:line="360" w:lineRule="auto"/>
              <w:ind w:left="63" w:right="63"/>
              <w:rPr>
                <w:rFonts w:ascii="宋体" w:hAnsi="宋体" w:cs="仿宋_GB2312"/>
                <w:kern w:val="0"/>
                <w:szCs w:val="21"/>
              </w:rPr>
            </w:pPr>
          </w:p>
        </w:tc>
        <w:tc>
          <w:tcPr>
            <w:tcW w:w="583" w:type="dxa"/>
            <w:vAlign w:val="center"/>
          </w:tcPr>
          <w:p w14:paraId="7E3E326B">
            <w:pPr>
              <w:keepNext/>
              <w:spacing w:after="120" w:line="360" w:lineRule="auto"/>
              <w:ind w:left="63" w:right="63"/>
              <w:rPr>
                <w:rFonts w:ascii="宋体" w:hAnsi="宋体" w:cs="仿宋_GB2312"/>
                <w:kern w:val="0"/>
                <w:szCs w:val="21"/>
              </w:rPr>
            </w:pPr>
          </w:p>
        </w:tc>
      </w:tr>
      <w:tr w14:paraId="534658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58D695C7">
            <w:pPr>
              <w:keepNext/>
              <w:spacing w:after="120" w:line="360" w:lineRule="auto"/>
              <w:ind w:left="63" w:right="63"/>
              <w:rPr>
                <w:rFonts w:ascii="宋体" w:hAnsi="宋体" w:cs="仿宋_GB2312"/>
                <w:kern w:val="0"/>
                <w:szCs w:val="21"/>
              </w:rPr>
            </w:pPr>
          </w:p>
        </w:tc>
        <w:tc>
          <w:tcPr>
            <w:tcW w:w="983" w:type="dxa"/>
            <w:vAlign w:val="center"/>
          </w:tcPr>
          <w:p w14:paraId="60F29C55">
            <w:pPr>
              <w:keepNext/>
              <w:spacing w:after="120" w:line="360" w:lineRule="auto"/>
              <w:ind w:left="63" w:right="63"/>
              <w:rPr>
                <w:rFonts w:ascii="宋体" w:hAnsi="宋体" w:cs="仿宋_GB2312"/>
                <w:kern w:val="0"/>
                <w:szCs w:val="21"/>
              </w:rPr>
            </w:pPr>
          </w:p>
        </w:tc>
        <w:tc>
          <w:tcPr>
            <w:tcW w:w="964" w:type="dxa"/>
            <w:vAlign w:val="center"/>
          </w:tcPr>
          <w:p w14:paraId="319AB6D6">
            <w:pPr>
              <w:keepNext/>
              <w:spacing w:after="120" w:line="360" w:lineRule="auto"/>
              <w:ind w:left="63" w:right="63"/>
              <w:rPr>
                <w:rFonts w:ascii="宋体" w:hAnsi="宋体" w:cs="仿宋_GB2312"/>
                <w:kern w:val="0"/>
                <w:szCs w:val="21"/>
              </w:rPr>
            </w:pPr>
          </w:p>
        </w:tc>
        <w:tc>
          <w:tcPr>
            <w:tcW w:w="583" w:type="dxa"/>
            <w:vAlign w:val="center"/>
          </w:tcPr>
          <w:p w14:paraId="69F2DD9A">
            <w:pPr>
              <w:keepNext/>
              <w:spacing w:after="120" w:line="360" w:lineRule="auto"/>
              <w:ind w:left="63" w:right="63"/>
              <w:rPr>
                <w:rFonts w:ascii="宋体" w:hAnsi="宋体" w:cs="仿宋_GB2312"/>
                <w:kern w:val="0"/>
                <w:szCs w:val="21"/>
              </w:rPr>
            </w:pPr>
          </w:p>
        </w:tc>
        <w:tc>
          <w:tcPr>
            <w:tcW w:w="583" w:type="dxa"/>
            <w:vAlign w:val="center"/>
          </w:tcPr>
          <w:p w14:paraId="774D88FD">
            <w:pPr>
              <w:keepNext/>
              <w:spacing w:after="120" w:line="360" w:lineRule="auto"/>
              <w:ind w:left="63" w:right="63"/>
              <w:rPr>
                <w:rFonts w:ascii="宋体" w:hAnsi="宋体" w:cs="仿宋_GB2312"/>
                <w:kern w:val="0"/>
                <w:szCs w:val="21"/>
              </w:rPr>
            </w:pPr>
          </w:p>
        </w:tc>
        <w:tc>
          <w:tcPr>
            <w:tcW w:w="1193" w:type="dxa"/>
            <w:vAlign w:val="center"/>
          </w:tcPr>
          <w:p w14:paraId="609E9229">
            <w:pPr>
              <w:keepNext/>
              <w:spacing w:after="120" w:line="360" w:lineRule="auto"/>
              <w:ind w:left="63" w:right="63"/>
              <w:rPr>
                <w:rFonts w:ascii="宋体" w:hAnsi="宋体" w:cs="仿宋_GB2312"/>
                <w:kern w:val="0"/>
                <w:szCs w:val="21"/>
              </w:rPr>
            </w:pPr>
          </w:p>
        </w:tc>
        <w:tc>
          <w:tcPr>
            <w:tcW w:w="964" w:type="dxa"/>
            <w:vAlign w:val="center"/>
          </w:tcPr>
          <w:p w14:paraId="5BA46090">
            <w:pPr>
              <w:keepNext/>
              <w:spacing w:after="120" w:line="360" w:lineRule="auto"/>
              <w:ind w:left="63" w:right="63"/>
              <w:rPr>
                <w:rFonts w:ascii="宋体" w:hAnsi="宋体" w:cs="仿宋_GB2312"/>
                <w:kern w:val="0"/>
                <w:szCs w:val="21"/>
              </w:rPr>
            </w:pPr>
          </w:p>
        </w:tc>
        <w:tc>
          <w:tcPr>
            <w:tcW w:w="964" w:type="dxa"/>
            <w:vAlign w:val="center"/>
          </w:tcPr>
          <w:p w14:paraId="417414AE">
            <w:pPr>
              <w:keepNext/>
              <w:spacing w:after="120" w:line="360" w:lineRule="auto"/>
              <w:ind w:left="63" w:right="63"/>
              <w:rPr>
                <w:rFonts w:ascii="宋体" w:hAnsi="宋体" w:cs="仿宋_GB2312"/>
                <w:kern w:val="0"/>
                <w:szCs w:val="21"/>
              </w:rPr>
            </w:pPr>
          </w:p>
        </w:tc>
        <w:tc>
          <w:tcPr>
            <w:tcW w:w="964" w:type="dxa"/>
            <w:vAlign w:val="center"/>
          </w:tcPr>
          <w:p w14:paraId="255F430F">
            <w:pPr>
              <w:keepNext/>
              <w:spacing w:after="120" w:line="360" w:lineRule="auto"/>
              <w:ind w:left="63" w:right="63"/>
              <w:rPr>
                <w:rFonts w:ascii="宋体" w:hAnsi="宋体" w:cs="仿宋_GB2312"/>
                <w:kern w:val="0"/>
                <w:szCs w:val="21"/>
              </w:rPr>
            </w:pPr>
          </w:p>
        </w:tc>
        <w:tc>
          <w:tcPr>
            <w:tcW w:w="583" w:type="dxa"/>
            <w:vAlign w:val="center"/>
          </w:tcPr>
          <w:p w14:paraId="78094998">
            <w:pPr>
              <w:keepNext/>
              <w:spacing w:after="120" w:line="360" w:lineRule="auto"/>
              <w:ind w:left="63" w:right="63"/>
              <w:rPr>
                <w:rFonts w:ascii="宋体" w:hAnsi="宋体" w:cs="仿宋_GB2312"/>
                <w:kern w:val="0"/>
                <w:szCs w:val="21"/>
              </w:rPr>
            </w:pPr>
          </w:p>
        </w:tc>
      </w:tr>
      <w:tr w14:paraId="44B8AF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6ED94007">
            <w:pPr>
              <w:keepNext/>
              <w:spacing w:after="120" w:line="360" w:lineRule="auto"/>
              <w:ind w:left="63" w:right="63"/>
              <w:rPr>
                <w:rFonts w:ascii="宋体" w:hAnsi="宋体" w:cs="仿宋_GB2312"/>
                <w:kern w:val="0"/>
                <w:szCs w:val="21"/>
              </w:rPr>
            </w:pPr>
          </w:p>
        </w:tc>
        <w:tc>
          <w:tcPr>
            <w:tcW w:w="983" w:type="dxa"/>
            <w:vAlign w:val="center"/>
          </w:tcPr>
          <w:p w14:paraId="23CD0729">
            <w:pPr>
              <w:keepNext/>
              <w:spacing w:after="120" w:line="360" w:lineRule="auto"/>
              <w:ind w:left="63" w:right="63"/>
              <w:rPr>
                <w:rFonts w:ascii="宋体" w:hAnsi="宋体" w:cs="仿宋_GB2312"/>
                <w:kern w:val="0"/>
                <w:szCs w:val="21"/>
              </w:rPr>
            </w:pPr>
          </w:p>
        </w:tc>
        <w:tc>
          <w:tcPr>
            <w:tcW w:w="964" w:type="dxa"/>
            <w:vAlign w:val="center"/>
          </w:tcPr>
          <w:p w14:paraId="2F4BCAF5">
            <w:pPr>
              <w:keepNext/>
              <w:spacing w:after="120" w:line="360" w:lineRule="auto"/>
              <w:ind w:left="63" w:right="63"/>
              <w:rPr>
                <w:rFonts w:ascii="宋体" w:hAnsi="宋体" w:cs="仿宋_GB2312"/>
                <w:kern w:val="0"/>
                <w:szCs w:val="21"/>
              </w:rPr>
            </w:pPr>
          </w:p>
        </w:tc>
        <w:tc>
          <w:tcPr>
            <w:tcW w:w="583" w:type="dxa"/>
            <w:vAlign w:val="center"/>
          </w:tcPr>
          <w:p w14:paraId="57D3B7AC">
            <w:pPr>
              <w:keepNext/>
              <w:spacing w:after="120" w:line="360" w:lineRule="auto"/>
              <w:ind w:left="63" w:right="63"/>
              <w:rPr>
                <w:rFonts w:ascii="宋体" w:hAnsi="宋体" w:cs="仿宋_GB2312"/>
                <w:kern w:val="0"/>
                <w:szCs w:val="21"/>
              </w:rPr>
            </w:pPr>
          </w:p>
        </w:tc>
        <w:tc>
          <w:tcPr>
            <w:tcW w:w="583" w:type="dxa"/>
            <w:vAlign w:val="center"/>
          </w:tcPr>
          <w:p w14:paraId="5C41E78F">
            <w:pPr>
              <w:keepNext/>
              <w:spacing w:after="120" w:line="360" w:lineRule="auto"/>
              <w:ind w:left="63" w:right="63"/>
              <w:rPr>
                <w:rFonts w:ascii="宋体" w:hAnsi="宋体" w:cs="仿宋_GB2312"/>
                <w:kern w:val="0"/>
                <w:szCs w:val="21"/>
              </w:rPr>
            </w:pPr>
          </w:p>
        </w:tc>
        <w:tc>
          <w:tcPr>
            <w:tcW w:w="1193" w:type="dxa"/>
            <w:vAlign w:val="center"/>
          </w:tcPr>
          <w:p w14:paraId="531A733D">
            <w:pPr>
              <w:keepNext/>
              <w:spacing w:after="120" w:line="360" w:lineRule="auto"/>
              <w:ind w:left="63" w:right="63"/>
              <w:rPr>
                <w:rFonts w:ascii="宋体" w:hAnsi="宋体" w:cs="仿宋_GB2312"/>
                <w:kern w:val="0"/>
                <w:szCs w:val="21"/>
              </w:rPr>
            </w:pPr>
          </w:p>
        </w:tc>
        <w:tc>
          <w:tcPr>
            <w:tcW w:w="964" w:type="dxa"/>
            <w:vAlign w:val="center"/>
          </w:tcPr>
          <w:p w14:paraId="6B50C08B">
            <w:pPr>
              <w:keepNext/>
              <w:spacing w:after="120" w:line="360" w:lineRule="auto"/>
              <w:ind w:left="63" w:right="63"/>
              <w:rPr>
                <w:rFonts w:ascii="宋体" w:hAnsi="宋体" w:cs="仿宋_GB2312"/>
                <w:kern w:val="0"/>
                <w:szCs w:val="21"/>
              </w:rPr>
            </w:pPr>
          </w:p>
        </w:tc>
        <w:tc>
          <w:tcPr>
            <w:tcW w:w="964" w:type="dxa"/>
            <w:vAlign w:val="center"/>
          </w:tcPr>
          <w:p w14:paraId="26EA2A4C">
            <w:pPr>
              <w:keepNext/>
              <w:spacing w:after="120" w:line="360" w:lineRule="auto"/>
              <w:ind w:left="63" w:right="63"/>
              <w:rPr>
                <w:rFonts w:ascii="宋体" w:hAnsi="宋体" w:cs="仿宋_GB2312"/>
                <w:kern w:val="0"/>
                <w:szCs w:val="21"/>
              </w:rPr>
            </w:pPr>
          </w:p>
        </w:tc>
        <w:tc>
          <w:tcPr>
            <w:tcW w:w="964" w:type="dxa"/>
            <w:vAlign w:val="center"/>
          </w:tcPr>
          <w:p w14:paraId="6F617223">
            <w:pPr>
              <w:keepNext/>
              <w:spacing w:after="120" w:line="360" w:lineRule="auto"/>
              <w:ind w:left="63" w:right="63"/>
              <w:rPr>
                <w:rFonts w:ascii="宋体" w:hAnsi="宋体" w:cs="仿宋_GB2312"/>
                <w:kern w:val="0"/>
                <w:szCs w:val="21"/>
              </w:rPr>
            </w:pPr>
          </w:p>
        </w:tc>
        <w:tc>
          <w:tcPr>
            <w:tcW w:w="583" w:type="dxa"/>
            <w:vAlign w:val="center"/>
          </w:tcPr>
          <w:p w14:paraId="1A26EA25">
            <w:pPr>
              <w:keepNext/>
              <w:spacing w:after="120" w:line="360" w:lineRule="auto"/>
              <w:ind w:left="63" w:right="63"/>
              <w:rPr>
                <w:rFonts w:ascii="宋体" w:hAnsi="宋体" w:cs="仿宋_GB2312"/>
                <w:kern w:val="0"/>
                <w:szCs w:val="21"/>
              </w:rPr>
            </w:pPr>
          </w:p>
        </w:tc>
      </w:tr>
      <w:tr w14:paraId="1B77B2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20AB20F0">
            <w:pPr>
              <w:keepNext/>
              <w:spacing w:after="120" w:line="360" w:lineRule="auto"/>
              <w:ind w:left="63" w:right="63"/>
              <w:rPr>
                <w:rFonts w:ascii="宋体" w:hAnsi="宋体" w:cs="仿宋_GB2312"/>
                <w:kern w:val="0"/>
                <w:szCs w:val="21"/>
              </w:rPr>
            </w:pPr>
          </w:p>
        </w:tc>
        <w:tc>
          <w:tcPr>
            <w:tcW w:w="983" w:type="dxa"/>
            <w:vAlign w:val="center"/>
          </w:tcPr>
          <w:p w14:paraId="465E1B80">
            <w:pPr>
              <w:keepNext/>
              <w:spacing w:after="120" w:line="360" w:lineRule="auto"/>
              <w:ind w:left="63" w:right="63"/>
              <w:rPr>
                <w:rFonts w:ascii="宋体" w:hAnsi="宋体" w:cs="仿宋_GB2312"/>
                <w:kern w:val="0"/>
                <w:szCs w:val="21"/>
              </w:rPr>
            </w:pPr>
          </w:p>
        </w:tc>
        <w:tc>
          <w:tcPr>
            <w:tcW w:w="964" w:type="dxa"/>
            <w:vAlign w:val="center"/>
          </w:tcPr>
          <w:p w14:paraId="3A2173BC">
            <w:pPr>
              <w:keepNext/>
              <w:spacing w:after="120" w:line="360" w:lineRule="auto"/>
              <w:ind w:left="63" w:right="63"/>
              <w:rPr>
                <w:rFonts w:ascii="宋体" w:hAnsi="宋体" w:cs="仿宋_GB2312"/>
                <w:kern w:val="0"/>
                <w:szCs w:val="21"/>
              </w:rPr>
            </w:pPr>
          </w:p>
        </w:tc>
        <w:tc>
          <w:tcPr>
            <w:tcW w:w="583" w:type="dxa"/>
            <w:vAlign w:val="center"/>
          </w:tcPr>
          <w:p w14:paraId="5050CDC4">
            <w:pPr>
              <w:keepNext/>
              <w:spacing w:after="120" w:line="360" w:lineRule="auto"/>
              <w:ind w:left="63" w:right="63"/>
              <w:rPr>
                <w:rFonts w:ascii="宋体" w:hAnsi="宋体" w:cs="仿宋_GB2312"/>
                <w:kern w:val="0"/>
                <w:szCs w:val="21"/>
              </w:rPr>
            </w:pPr>
          </w:p>
        </w:tc>
        <w:tc>
          <w:tcPr>
            <w:tcW w:w="583" w:type="dxa"/>
            <w:vAlign w:val="center"/>
          </w:tcPr>
          <w:p w14:paraId="1AA131D1">
            <w:pPr>
              <w:keepNext/>
              <w:spacing w:after="120" w:line="360" w:lineRule="auto"/>
              <w:ind w:left="63" w:right="63"/>
              <w:rPr>
                <w:rFonts w:ascii="宋体" w:hAnsi="宋体" w:cs="仿宋_GB2312"/>
                <w:kern w:val="0"/>
                <w:szCs w:val="21"/>
              </w:rPr>
            </w:pPr>
          </w:p>
        </w:tc>
        <w:tc>
          <w:tcPr>
            <w:tcW w:w="1193" w:type="dxa"/>
            <w:vAlign w:val="center"/>
          </w:tcPr>
          <w:p w14:paraId="2374A285">
            <w:pPr>
              <w:keepNext/>
              <w:spacing w:after="120" w:line="360" w:lineRule="auto"/>
              <w:ind w:left="63" w:right="63"/>
              <w:rPr>
                <w:rFonts w:ascii="宋体" w:hAnsi="宋体" w:cs="仿宋_GB2312"/>
                <w:kern w:val="0"/>
                <w:szCs w:val="21"/>
              </w:rPr>
            </w:pPr>
          </w:p>
        </w:tc>
        <w:tc>
          <w:tcPr>
            <w:tcW w:w="964" w:type="dxa"/>
            <w:vAlign w:val="center"/>
          </w:tcPr>
          <w:p w14:paraId="4048D38E">
            <w:pPr>
              <w:keepNext/>
              <w:spacing w:after="120" w:line="360" w:lineRule="auto"/>
              <w:ind w:left="63" w:right="63"/>
              <w:rPr>
                <w:rFonts w:ascii="宋体" w:hAnsi="宋体" w:cs="仿宋_GB2312"/>
                <w:kern w:val="0"/>
                <w:szCs w:val="21"/>
              </w:rPr>
            </w:pPr>
          </w:p>
        </w:tc>
        <w:tc>
          <w:tcPr>
            <w:tcW w:w="964" w:type="dxa"/>
            <w:vAlign w:val="center"/>
          </w:tcPr>
          <w:p w14:paraId="117FB850">
            <w:pPr>
              <w:keepNext/>
              <w:spacing w:after="120" w:line="360" w:lineRule="auto"/>
              <w:ind w:left="63" w:right="63"/>
              <w:rPr>
                <w:rFonts w:ascii="宋体" w:hAnsi="宋体" w:cs="仿宋_GB2312"/>
                <w:kern w:val="0"/>
                <w:szCs w:val="21"/>
              </w:rPr>
            </w:pPr>
          </w:p>
        </w:tc>
        <w:tc>
          <w:tcPr>
            <w:tcW w:w="964" w:type="dxa"/>
            <w:vAlign w:val="center"/>
          </w:tcPr>
          <w:p w14:paraId="7C2828CC">
            <w:pPr>
              <w:keepNext/>
              <w:spacing w:after="120" w:line="360" w:lineRule="auto"/>
              <w:ind w:left="63" w:right="63"/>
              <w:rPr>
                <w:rFonts w:ascii="宋体" w:hAnsi="宋体" w:cs="仿宋_GB2312"/>
                <w:kern w:val="0"/>
                <w:szCs w:val="21"/>
              </w:rPr>
            </w:pPr>
          </w:p>
        </w:tc>
        <w:tc>
          <w:tcPr>
            <w:tcW w:w="583" w:type="dxa"/>
            <w:vAlign w:val="center"/>
          </w:tcPr>
          <w:p w14:paraId="3540E314">
            <w:pPr>
              <w:keepNext/>
              <w:spacing w:after="120" w:line="360" w:lineRule="auto"/>
              <w:ind w:left="63" w:right="63"/>
              <w:rPr>
                <w:rFonts w:ascii="宋体" w:hAnsi="宋体" w:cs="仿宋_GB2312"/>
                <w:kern w:val="0"/>
                <w:szCs w:val="21"/>
              </w:rPr>
            </w:pPr>
          </w:p>
        </w:tc>
      </w:tr>
      <w:tr w14:paraId="34EB73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6AE2B7CE">
            <w:pPr>
              <w:keepNext/>
              <w:spacing w:after="120" w:line="360" w:lineRule="auto"/>
              <w:ind w:left="63" w:right="63"/>
              <w:rPr>
                <w:rFonts w:ascii="宋体" w:hAnsi="宋体" w:cs="仿宋_GB2312"/>
                <w:kern w:val="0"/>
                <w:szCs w:val="21"/>
              </w:rPr>
            </w:pPr>
          </w:p>
        </w:tc>
        <w:tc>
          <w:tcPr>
            <w:tcW w:w="983" w:type="dxa"/>
            <w:vAlign w:val="center"/>
          </w:tcPr>
          <w:p w14:paraId="10478293">
            <w:pPr>
              <w:keepNext/>
              <w:spacing w:after="120" w:line="360" w:lineRule="auto"/>
              <w:ind w:left="63" w:right="63"/>
              <w:rPr>
                <w:rFonts w:ascii="宋体" w:hAnsi="宋体" w:cs="仿宋_GB2312"/>
                <w:kern w:val="0"/>
                <w:szCs w:val="21"/>
              </w:rPr>
            </w:pPr>
          </w:p>
        </w:tc>
        <w:tc>
          <w:tcPr>
            <w:tcW w:w="964" w:type="dxa"/>
            <w:vAlign w:val="center"/>
          </w:tcPr>
          <w:p w14:paraId="251335CF">
            <w:pPr>
              <w:keepNext/>
              <w:spacing w:after="120" w:line="360" w:lineRule="auto"/>
              <w:ind w:left="63" w:right="63"/>
              <w:rPr>
                <w:rFonts w:ascii="宋体" w:hAnsi="宋体" w:cs="仿宋_GB2312"/>
                <w:kern w:val="0"/>
                <w:szCs w:val="21"/>
              </w:rPr>
            </w:pPr>
          </w:p>
        </w:tc>
        <w:tc>
          <w:tcPr>
            <w:tcW w:w="583" w:type="dxa"/>
            <w:vAlign w:val="center"/>
          </w:tcPr>
          <w:p w14:paraId="4AC059C6">
            <w:pPr>
              <w:keepNext/>
              <w:spacing w:after="120" w:line="360" w:lineRule="auto"/>
              <w:ind w:left="63" w:right="63"/>
              <w:rPr>
                <w:rFonts w:ascii="宋体" w:hAnsi="宋体" w:cs="仿宋_GB2312"/>
                <w:kern w:val="0"/>
                <w:szCs w:val="21"/>
              </w:rPr>
            </w:pPr>
          </w:p>
        </w:tc>
        <w:tc>
          <w:tcPr>
            <w:tcW w:w="583" w:type="dxa"/>
            <w:vAlign w:val="center"/>
          </w:tcPr>
          <w:p w14:paraId="1F708536">
            <w:pPr>
              <w:keepNext/>
              <w:spacing w:after="120" w:line="360" w:lineRule="auto"/>
              <w:ind w:left="63" w:right="63"/>
              <w:rPr>
                <w:rFonts w:ascii="宋体" w:hAnsi="宋体" w:cs="仿宋_GB2312"/>
                <w:kern w:val="0"/>
                <w:szCs w:val="21"/>
              </w:rPr>
            </w:pPr>
          </w:p>
        </w:tc>
        <w:tc>
          <w:tcPr>
            <w:tcW w:w="1193" w:type="dxa"/>
            <w:vAlign w:val="center"/>
          </w:tcPr>
          <w:p w14:paraId="1078E414">
            <w:pPr>
              <w:keepNext/>
              <w:spacing w:after="120" w:line="360" w:lineRule="auto"/>
              <w:ind w:left="63" w:right="63"/>
              <w:rPr>
                <w:rFonts w:ascii="宋体" w:hAnsi="宋体" w:cs="仿宋_GB2312"/>
                <w:kern w:val="0"/>
                <w:szCs w:val="21"/>
              </w:rPr>
            </w:pPr>
          </w:p>
        </w:tc>
        <w:tc>
          <w:tcPr>
            <w:tcW w:w="964" w:type="dxa"/>
            <w:vAlign w:val="center"/>
          </w:tcPr>
          <w:p w14:paraId="62D95304">
            <w:pPr>
              <w:keepNext/>
              <w:spacing w:after="120" w:line="360" w:lineRule="auto"/>
              <w:ind w:left="63" w:right="63"/>
              <w:rPr>
                <w:rFonts w:ascii="宋体" w:hAnsi="宋体" w:cs="仿宋_GB2312"/>
                <w:kern w:val="0"/>
                <w:szCs w:val="21"/>
              </w:rPr>
            </w:pPr>
          </w:p>
        </w:tc>
        <w:tc>
          <w:tcPr>
            <w:tcW w:w="964" w:type="dxa"/>
            <w:vAlign w:val="center"/>
          </w:tcPr>
          <w:p w14:paraId="67527920">
            <w:pPr>
              <w:keepNext/>
              <w:spacing w:after="120" w:line="360" w:lineRule="auto"/>
              <w:ind w:left="63" w:right="63"/>
              <w:rPr>
                <w:rFonts w:ascii="宋体" w:hAnsi="宋体" w:cs="仿宋_GB2312"/>
                <w:kern w:val="0"/>
                <w:szCs w:val="21"/>
              </w:rPr>
            </w:pPr>
          </w:p>
        </w:tc>
        <w:tc>
          <w:tcPr>
            <w:tcW w:w="964" w:type="dxa"/>
            <w:vAlign w:val="center"/>
          </w:tcPr>
          <w:p w14:paraId="210EB636">
            <w:pPr>
              <w:keepNext/>
              <w:spacing w:after="120" w:line="360" w:lineRule="auto"/>
              <w:ind w:left="63" w:right="63"/>
              <w:rPr>
                <w:rFonts w:ascii="宋体" w:hAnsi="宋体" w:cs="仿宋_GB2312"/>
                <w:kern w:val="0"/>
                <w:szCs w:val="21"/>
              </w:rPr>
            </w:pPr>
          </w:p>
        </w:tc>
        <w:tc>
          <w:tcPr>
            <w:tcW w:w="583" w:type="dxa"/>
            <w:vAlign w:val="center"/>
          </w:tcPr>
          <w:p w14:paraId="37FC4360">
            <w:pPr>
              <w:keepNext/>
              <w:spacing w:after="120" w:line="360" w:lineRule="auto"/>
              <w:ind w:left="63" w:right="63"/>
              <w:rPr>
                <w:rFonts w:ascii="宋体" w:hAnsi="宋体" w:cs="仿宋_GB2312"/>
                <w:kern w:val="0"/>
                <w:szCs w:val="21"/>
              </w:rPr>
            </w:pPr>
          </w:p>
        </w:tc>
      </w:tr>
      <w:tr w14:paraId="4EA820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47E144E2">
            <w:pPr>
              <w:spacing w:line="360" w:lineRule="auto"/>
              <w:jc w:val="center"/>
              <w:rPr>
                <w:rFonts w:ascii="宋体" w:hAnsi="宋体" w:cs="仿宋_GB2312"/>
                <w:szCs w:val="21"/>
              </w:rPr>
            </w:pPr>
          </w:p>
        </w:tc>
        <w:tc>
          <w:tcPr>
            <w:tcW w:w="983" w:type="dxa"/>
            <w:vAlign w:val="center"/>
          </w:tcPr>
          <w:p w14:paraId="46F5D7C8">
            <w:pPr>
              <w:spacing w:line="360" w:lineRule="auto"/>
              <w:jc w:val="center"/>
              <w:rPr>
                <w:rFonts w:ascii="宋体" w:hAnsi="宋体" w:cs="仿宋_GB2312"/>
                <w:szCs w:val="21"/>
              </w:rPr>
            </w:pPr>
          </w:p>
        </w:tc>
        <w:tc>
          <w:tcPr>
            <w:tcW w:w="964" w:type="dxa"/>
            <w:vAlign w:val="center"/>
          </w:tcPr>
          <w:p w14:paraId="4E521309">
            <w:pPr>
              <w:spacing w:line="360" w:lineRule="auto"/>
              <w:jc w:val="center"/>
              <w:rPr>
                <w:rFonts w:ascii="宋体" w:hAnsi="宋体" w:cs="仿宋_GB2312"/>
                <w:szCs w:val="21"/>
              </w:rPr>
            </w:pPr>
          </w:p>
        </w:tc>
        <w:tc>
          <w:tcPr>
            <w:tcW w:w="583" w:type="dxa"/>
            <w:vAlign w:val="center"/>
          </w:tcPr>
          <w:p w14:paraId="6AC1F115">
            <w:pPr>
              <w:spacing w:line="360" w:lineRule="auto"/>
              <w:jc w:val="center"/>
              <w:rPr>
                <w:rFonts w:ascii="宋体" w:hAnsi="宋体" w:cs="仿宋_GB2312"/>
                <w:szCs w:val="21"/>
              </w:rPr>
            </w:pPr>
          </w:p>
        </w:tc>
        <w:tc>
          <w:tcPr>
            <w:tcW w:w="583" w:type="dxa"/>
            <w:vAlign w:val="center"/>
          </w:tcPr>
          <w:p w14:paraId="0E2F5293">
            <w:pPr>
              <w:spacing w:line="360" w:lineRule="auto"/>
              <w:jc w:val="center"/>
              <w:rPr>
                <w:rFonts w:ascii="宋体" w:hAnsi="宋体" w:cs="仿宋_GB2312"/>
                <w:szCs w:val="21"/>
              </w:rPr>
            </w:pPr>
          </w:p>
        </w:tc>
        <w:tc>
          <w:tcPr>
            <w:tcW w:w="1193" w:type="dxa"/>
            <w:vAlign w:val="center"/>
          </w:tcPr>
          <w:p w14:paraId="3B418F2F">
            <w:pPr>
              <w:spacing w:line="360" w:lineRule="auto"/>
              <w:jc w:val="center"/>
              <w:rPr>
                <w:rFonts w:ascii="宋体" w:hAnsi="宋体" w:cs="仿宋_GB2312"/>
                <w:szCs w:val="21"/>
              </w:rPr>
            </w:pPr>
          </w:p>
        </w:tc>
        <w:tc>
          <w:tcPr>
            <w:tcW w:w="964" w:type="dxa"/>
            <w:vAlign w:val="center"/>
          </w:tcPr>
          <w:p w14:paraId="17E7C3E9">
            <w:pPr>
              <w:spacing w:line="360" w:lineRule="auto"/>
              <w:jc w:val="center"/>
              <w:rPr>
                <w:rFonts w:ascii="宋体" w:hAnsi="宋体" w:cs="仿宋_GB2312"/>
                <w:szCs w:val="21"/>
              </w:rPr>
            </w:pPr>
          </w:p>
        </w:tc>
        <w:tc>
          <w:tcPr>
            <w:tcW w:w="964" w:type="dxa"/>
            <w:vAlign w:val="center"/>
          </w:tcPr>
          <w:p w14:paraId="111A43CB">
            <w:pPr>
              <w:spacing w:line="360" w:lineRule="auto"/>
              <w:jc w:val="center"/>
              <w:rPr>
                <w:rFonts w:ascii="宋体" w:hAnsi="宋体" w:cs="仿宋_GB2312"/>
                <w:szCs w:val="21"/>
              </w:rPr>
            </w:pPr>
          </w:p>
        </w:tc>
        <w:tc>
          <w:tcPr>
            <w:tcW w:w="964" w:type="dxa"/>
            <w:vAlign w:val="center"/>
          </w:tcPr>
          <w:p w14:paraId="68C96D0A">
            <w:pPr>
              <w:spacing w:line="360" w:lineRule="auto"/>
              <w:jc w:val="center"/>
              <w:rPr>
                <w:rFonts w:ascii="宋体" w:hAnsi="宋体" w:cs="仿宋_GB2312"/>
                <w:szCs w:val="21"/>
              </w:rPr>
            </w:pPr>
          </w:p>
        </w:tc>
        <w:tc>
          <w:tcPr>
            <w:tcW w:w="583" w:type="dxa"/>
            <w:vAlign w:val="center"/>
          </w:tcPr>
          <w:p w14:paraId="4BF952F3">
            <w:pPr>
              <w:spacing w:line="360" w:lineRule="auto"/>
              <w:jc w:val="center"/>
              <w:rPr>
                <w:rFonts w:ascii="宋体" w:hAnsi="宋体" w:cs="仿宋_GB2312"/>
                <w:szCs w:val="21"/>
              </w:rPr>
            </w:pPr>
          </w:p>
        </w:tc>
      </w:tr>
      <w:tr w14:paraId="1AA103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43B4AF42">
            <w:pPr>
              <w:spacing w:line="360" w:lineRule="auto"/>
              <w:jc w:val="center"/>
              <w:rPr>
                <w:rFonts w:ascii="宋体" w:hAnsi="宋体" w:cs="仿宋_GB2312"/>
                <w:szCs w:val="21"/>
              </w:rPr>
            </w:pPr>
          </w:p>
        </w:tc>
        <w:tc>
          <w:tcPr>
            <w:tcW w:w="983" w:type="dxa"/>
            <w:vAlign w:val="center"/>
          </w:tcPr>
          <w:p w14:paraId="393AB986">
            <w:pPr>
              <w:spacing w:line="360" w:lineRule="auto"/>
              <w:jc w:val="center"/>
              <w:rPr>
                <w:rFonts w:ascii="宋体" w:hAnsi="宋体" w:cs="仿宋_GB2312"/>
                <w:szCs w:val="21"/>
              </w:rPr>
            </w:pPr>
          </w:p>
        </w:tc>
        <w:tc>
          <w:tcPr>
            <w:tcW w:w="964" w:type="dxa"/>
            <w:vAlign w:val="center"/>
          </w:tcPr>
          <w:p w14:paraId="3C6A19F3">
            <w:pPr>
              <w:spacing w:line="360" w:lineRule="auto"/>
              <w:jc w:val="center"/>
              <w:rPr>
                <w:rFonts w:ascii="宋体" w:hAnsi="宋体" w:cs="仿宋_GB2312"/>
                <w:szCs w:val="21"/>
              </w:rPr>
            </w:pPr>
          </w:p>
        </w:tc>
        <w:tc>
          <w:tcPr>
            <w:tcW w:w="583" w:type="dxa"/>
            <w:vAlign w:val="center"/>
          </w:tcPr>
          <w:p w14:paraId="5D1DBAB9">
            <w:pPr>
              <w:spacing w:line="360" w:lineRule="auto"/>
              <w:jc w:val="center"/>
              <w:rPr>
                <w:rFonts w:ascii="宋体" w:hAnsi="宋体" w:cs="仿宋_GB2312"/>
                <w:szCs w:val="21"/>
              </w:rPr>
            </w:pPr>
          </w:p>
        </w:tc>
        <w:tc>
          <w:tcPr>
            <w:tcW w:w="583" w:type="dxa"/>
            <w:vAlign w:val="center"/>
          </w:tcPr>
          <w:p w14:paraId="04CEBBA3">
            <w:pPr>
              <w:spacing w:line="360" w:lineRule="auto"/>
              <w:jc w:val="center"/>
              <w:rPr>
                <w:rFonts w:ascii="宋体" w:hAnsi="宋体" w:cs="仿宋_GB2312"/>
                <w:szCs w:val="21"/>
              </w:rPr>
            </w:pPr>
          </w:p>
        </w:tc>
        <w:tc>
          <w:tcPr>
            <w:tcW w:w="1193" w:type="dxa"/>
            <w:vAlign w:val="center"/>
          </w:tcPr>
          <w:p w14:paraId="737A3662">
            <w:pPr>
              <w:spacing w:line="360" w:lineRule="auto"/>
              <w:jc w:val="center"/>
              <w:rPr>
                <w:rFonts w:ascii="宋体" w:hAnsi="宋体" w:cs="仿宋_GB2312"/>
                <w:szCs w:val="21"/>
              </w:rPr>
            </w:pPr>
          </w:p>
        </w:tc>
        <w:tc>
          <w:tcPr>
            <w:tcW w:w="964" w:type="dxa"/>
            <w:vAlign w:val="center"/>
          </w:tcPr>
          <w:p w14:paraId="0975EEE8">
            <w:pPr>
              <w:spacing w:line="360" w:lineRule="auto"/>
              <w:jc w:val="center"/>
              <w:rPr>
                <w:rFonts w:ascii="宋体" w:hAnsi="宋体" w:cs="仿宋_GB2312"/>
                <w:szCs w:val="21"/>
              </w:rPr>
            </w:pPr>
          </w:p>
        </w:tc>
        <w:tc>
          <w:tcPr>
            <w:tcW w:w="964" w:type="dxa"/>
            <w:vAlign w:val="center"/>
          </w:tcPr>
          <w:p w14:paraId="67A56D44">
            <w:pPr>
              <w:spacing w:line="360" w:lineRule="auto"/>
              <w:jc w:val="center"/>
              <w:rPr>
                <w:rFonts w:ascii="宋体" w:hAnsi="宋体" w:cs="仿宋_GB2312"/>
                <w:szCs w:val="21"/>
              </w:rPr>
            </w:pPr>
          </w:p>
        </w:tc>
        <w:tc>
          <w:tcPr>
            <w:tcW w:w="964" w:type="dxa"/>
            <w:vAlign w:val="center"/>
          </w:tcPr>
          <w:p w14:paraId="4AD32F73">
            <w:pPr>
              <w:spacing w:line="360" w:lineRule="auto"/>
              <w:jc w:val="center"/>
              <w:rPr>
                <w:rFonts w:ascii="宋体" w:hAnsi="宋体" w:cs="仿宋_GB2312"/>
                <w:szCs w:val="21"/>
              </w:rPr>
            </w:pPr>
          </w:p>
        </w:tc>
        <w:tc>
          <w:tcPr>
            <w:tcW w:w="583" w:type="dxa"/>
            <w:vAlign w:val="center"/>
          </w:tcPr>
          <w:p w14:paraId="083A7CCB">
            <w:pPr>
              <w:spacing w:line="360" w:lineRule="auto"/>
              <w:jc w:val="center"/>
              <w:rPr>
                <w:rFonts w:ascii="宋体" w:hAnsi="宋体" w:cs="仿宋_GB2312"/>
                <w:szCs w:val="21"/>
              </w:rPr>
            </w:pPr>
          </w:p>
        </w:tc>
      </w:tr>
      <w:tr w14:paraId="010B97B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7EBBBF52">
            <w:pPr>
              <w:spacing w:line="360" w:lineRule="auto"/>
              <w:jc w:val="center"/>
              <w:rPr>
                <w:rFonts w:ascii="宋体" w:hAnsi="宋体" w:cs="仿宋_GB2312"/>
                <w:szCs w:val="21"/>
              </w:rPr>
            </w:pPr>
          </w:p>
        </w:tc>
        <w:tc>
          <w:tcPr>
            <w:tcW w:w="983" w:type="dxa"/>
            <w:vAlign w:val="center"/>
          </w:tcPr>
          <w:p w14:paraId="4BCC4D89">
            <w:pPr>
              <w:spacing w:line="360" w:lineRule="auto"/>
              <w:jc w:val="center"/>
              <w:rPr>
                <w:rFonts w:ascii="宋体" w:hAnsi="宋体" w:cs="仿宋_GB2312"/>
                <w:szCs w:val="21"/>
              </w:rPr>
            </w:pPr>
          </w:p>
        </w:tc>
        <w:tc>
          <w:tcPr>
            <w:tcW w:w="964" w:type="dxa"/>
            <w:vAlign w:val="center"/>
          </w:tcPr>
          <w:p w14:paraId="185CBA12">
            <w:pPr>
              <w:spacing w:line="360" w:lineRule="auto"/>
              <w:jc w:val="center"/>
              <w:rPr>
                <w:rFonts w:ascii="宋体" w:hAnsi="宋体" w:cs="仿宋_GB2312"/>
                <w:szCs w:val="21"/>
              </w:rPr>
            </w:pPr>
          </w:p>
        </w:tc>
        <w:tc>
          <w:tcPr>
            <w:tcW w:w="583" w:type="dxa"/>
            <w:vAlign w:val="center"/>
          </w:tcPr>
          <w:p w14:paraId="5D036DF4">
            <w:pPr>
              <w:spacing w:line="360" w:lineRule="auto"/>
              <w:jc w:val="center"/>
              <w:rPr>
                <w:rFonts w:ascii="宋体" w:hAnsi="宋体" w:cs="仿宋_GB2312"/>
                <w:szCs w:val="21"/>
              </w:rPr>
            </w:pPr>
          </w:p>
        </w:tc>
        <w:tc>
          <w:tcPr>
            <w:tcW w:w="583" w:type="dxa"/>
            <w:vAlign w:val="center"/>
          </w:tcPr>
          <w:p w14:paraId="61253B51">
            <w:pPr>
              <w:spacing w:line="360" w:lineRule="auto"/>
              <w:jc w:val="center"/>
              <w:rPr>
                <w:rFonts w:ascii="宋体" w:hAnsi="宋体" w:cs="仿宋_GB2312"/>
                <w:szCs w:val="21"/>
              </w:rPr>
            </w:pPr>
          </w:p>
        </w:tc>
        <w:tc>
          <w:tcPr>
            <w:tcW w:w="1193" w:type="dxa"/>
            <w:vAlign w:val="center"/>
          </w:tcPr>
          <w:p w14:paraId="103C4E79">
            <w:pPr>
              <w:spacing w:line="360" w:lineRule="auto"/>
              <w:jc w:val="center"/>
              <w:rPr>
                <w:rFonts w:ascii="宋体" w:hAnsi="宋体" w:cs="仿宋_GB2312"/>
                <w:szCs w:val="21"/>
              </w:rPr>
            </w:pPr>
          </w:p>
        </w:tc>
        <w:tc>
          <w:tcPr>
            <w:tcW w:w="964" w:type="dxa"/>
            <w:vAlign w:val="center"/>
          </w:tcPr>
          <w:p w14:paraId="2E2469B2">
            <w:pPr>
              <w:spacing w:line="360" w:lineRule="auto"/>
              <w:jc w:val="center"/>
              <w:rPr>
                <w:rFonts w:ascii="宋体" w:hAnsi="宋体" w:cs="仿宋_GB2312"/>
                <w:szCs w:val="21"/>
              </w:rPr>
            </w:pPr>
          </w:p>
        </w:tc>
        <w:tc>
          <w:tcPr>
            <w:tcW w:w="964" w:type="dxa"/>
            <w:vAlign w:val="center"/>
          </w:tcPr>
          <w:p w14:paraId="2D1360F8">
            <w:pPr>
              <w:spacing w:line="360" w:lineRule="auto"/>
              <w:jc w:val="center"/>
              <w:rPr>
                <w:rFonts w:ascii="宋体" w:hAnsi="宋体" w:cs="仿宋_GB2312"/>
                <w:szCs w:val="21"/>
              </w:rPr>
            </w:pPr>
          </w:p>
        </w:tc>
        <w:tc>
          <w:tcPr>
            <w:tcW w:w="964" w:type="dxa"/>
            <w:vAlign w:val="center"/>
          </w:tcPr>
          <w:p w14:paraId="0DF5D6A5">
            <w:pPr>
              <w:spacing w:line="360" w:lineRule="auto"/>
              <w:jc w:val="center"/>
              <w:rPr>
                <w:rFonts w:ascii="宋体" w:hAnsi="宋体" w:cs="仿宋_GB2312"/>
                <w:szCs w:val="21"/>
              </w:rPr>
            </w:pPr>
          </w:p>
        </w:tc>
        <w:tc>
          <w:tcPr>
            <w:tcW w:w="583" w:type="dxa"/>
            <w:vAlign w:val="center"/>
          </w:tcPr>
          <w:p w14:paraId="4AEDFF5D">
            <w:pPr>
              <w:spacing w:line="360" w:lineRule="auto"/>
              <w:jc w:val="center"/>
              <w:rPr>
                <w:rFonts w:ascii="宋体" w:hAnsi="宋体" w:cs="仿宋_GB2312"/>
                <w:szCs w:val="21"/>
              </w:rPr>
            </w:pPr>
          </w:p>
        </w:tc>
      </w:tr>
      <w:tr w14:paraId="578A80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63CB0A57">
            <w:pPr>
              <w:spacing w:line="360" w:lineRule="auto"/>
              <w:jc w:val="center"/>
              <w:rPr>
                <w:rFonts w:ascii="宋体" w:hAnsi="宋体" w:cs="仿宋_GB2312"/>
                <w:szCs w:val="21"/>
              </w:rPr>
            </w:pPr>
          </w:p>
        </w:tc>
        <w:tc>
          <w:tcPr>
            <w:tcW w:w="983" w:type="dxa"/>
            <w:vAlign w:val="center"/>
          </w:tcPr>
          <w:p w14:paraId="44792378">
            <w:pPr>
              <w:spacing w:line="360" w:lineRule="auto"/>
              <w:jc w:val="center"/>
              <w:rPr>
                <w:rFonts w:ascii="宋体" w:hAnsi="宋体" w:cs="仿宋_GB2312"/>
                <w:szCs w:val="21"/>
              </w:rPr>
            </w:pPr>
          </w:p>
        </w:tc>
        <w:tc>
          <w:tcPr>
            <w:tcW w:w="964" w:type="dxa"/>
            <w:vAlign w:val="center"/>
          </w:tcPr>
          <w:p w14:paraId="07C0EC06">
            <w:pPr>
              <w:spacing w:line="360" w:lineRule="auto"/>
              <w:jc w:val="center"/>
              <w:rPr>
                <w:rFonts w:ascii="宋体" w:hAnsi="宋体" w:cs="仿宋_GB2312"/>
                <w:szCs w:val="21"/>
              </w:rPr>
            </w:pPr>
          </w:p>
        </w:tc>
        <w:tc>
          <w:tcPr>
            <w:tcW w:w="583" w:type="dxa"/>
            <w:vAlign w:val="center"/>
          </w:tcPr>
          <w:p w14:paraId="7C2352AE">
            <w:pPr>
              <w:spacing w:line="360" w:lineRule="auto"/>
              <w:jc w:val="center"/>
              <w:rPr>
                <w:rFonts w:ascii="宋体" w:hAnsi="宋体" w:cs="仿宋_GB2312"/>
                <w:szCs w:val="21"/>
              </w:rPr>
            </w:pPr>
          </w:p>
        </w:tc>
        <w:tc>
          <w:tcPr>
            <w:tcW w:w="583" w:type="dxa"/>
            <w:vAlign w:val="center"/>
          </w:tcPr>
          <w:p w14:paraId="23D3D1A0">
            <w:pPr>
              <w:spacing w:line="360" w:lineRule="auto"/>
              <w:jc w:val="center"/>
              <w:rPr>
                <w:rFonts w:ascii="宋体" w:hAnsi="宋体" w:cs="仿宋_GB2312"/>
                <w:szCs w:val="21"/>
              </w:rPr>
            </w:pPr>
          </w:p>
        </w:tc>
        <w:tc>
          <w:tcPr>
            <w:tcW w:w="1193" w:type="dxa"/>
            <w:vAlign w:val="center"/>
          </w:tcPr>
          <w:p w14:paraId="2F0C5699">
            <w:pPr>
              <w:spacing w:line="360" w:lineRule="auto"/>
              <w:jc w:val="center"/>
              <w:rPr>
                <w:rFonts w:ascii="宋体" w:hAnsi="宋体" w:cs="仿宋_GB2312"/>
                <w:szCs w:val="21"/>
              </w:rPr>
            </w:pPr>
          </w:p>
        </w:tc>
        <w:tc>
          <w:tcPr>
            <w:tcW w:w="964" w:type="dxa"/>
            <w:vAlign w:val="center"/>
          </w:tcPr>
          <w:p w14:paraId="26786716">
            <w:pPr>
              <w:spacing w:line="360" w:lineRule="auto"/>
              <w:jc w:val="center"/>
              <w:rPr>
                <w:rFonts w:ascii="宋体" w:hAnsi="宋体" w:cs="仿宋_GB2312"/>
                <w:szCs w:val="21"/>
              </w:rPr>
            </w:pPr>
          </w:p>
        </w:tc>
        <w:tc>
          <w:tcPr>
            <w:tcW w:w="964" w:type="dxa"/>
            <w:vAlign w:val="center"/>
          </w:tcPr>
          <w:p w14:paraId="278635DA">
            <w:pPr>
              <w:spacing w:line="360" w:lineRule="auto"/>
              <w:jc w:val="center"/>
              <w:rPr>
                <w:rFonts w:ascii="宋体" w:hAnsi="宋体" w:cs="仿宋_GB2312"/>
                <w:szCs w:val="21"/>
              </w:rPr>
            </w:pPr>
          </w:p>
        </w:tc>
        <w:tc>
          <w:tcPr>
            <w:tcW w:w="964" w:type="dxa"/>
            <w:vAlign w:val="center"/>
          </w:tcPr>
          <w:p w14:paraId="6A21D01A">
            <w:pPr>
              <w:spacing w:line="360" w:lineRule="auto"/>
              <w:jc w:val="center"/>
              <w:rPr>
                <w:rFonts w:ascii="宋体" w:hAnsi="宋体" w:cs="仿宋_GB2312"/>
                <w:szCs w:val="21"/>
              </w:rPr>
            </w:pPr>
          </w:p>
        </w:tc>
        <w:tc>
          <w:tcPr>
            <w:tcW w:w="583" w:type="dxa"/>
            <w:vAlign w:val="center"/>
          </w:tcPr>
          <w:p w14:paraId="60A263C4">
            <w:pPr>
              <w:spacing w:line="360" w:lineRule="auto"/>
              <w:jc w:val="center"/>
              <w:rPr>
                <w:rFonts w:ascii="宋体" w:hAnsi="宋体" w:cs="仿宋_GB2312"/>
                <w:szCs w:val="21"/>
              </w:rPr>
            </w:pPr>
          </w:p>
        </w:tc>
      </w:tr>
      <w:tr w14:paraId="431CA0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6E03689B">
            <w:pPr>
              <w:spacing w:line="360" w:lineRule="auto"/>
              <w:jc w:val="center"/>
              <w:rPr>
                <w:rFonts w:ascii="宋体" w:hAnsi="宋体" w:cs="仿宋_GB2312"/>
                <w:szCs w:val="21"/>
              </w:rPr>
            </w:pPr>
          </w:p>
        </w:tc>
        <w:tc>
          <w:tcPr>
            <w:tcW w:w="983" w:type="dxa"/>
            <w:vAlign w:val="center"/>
          </w:tcPr>
          <w:p w14:paraId="1714CB77">
            <w:pPr>
              <w:spacing w:line="360" w:lineRule="auto"/>
              <w:jc w:val="center"/>
              <w:rPr>
                <w:rFonts w:ascii="宋体" w:hAnsi="宋体" w:cs="仿宋_GB2312"/>
                <w:szCs w:val="21"/>
              </w:rPr>
            </w:pPr>
          </w:p>
        </w:tc>
        <w:tc>
          <w:tcPr>
            <w:tcW w:w="964" w:type="dxa"/>
            <w:vAlign w:val="center"/>
          </w:tcPr>
          <w:p w14:paraId="243F1BFE">
            <w:pPr>
              <w:spacing w:line="360" w:lineRule="auto"/>
              <w:jc w:val="center"/>
              <w:rPr>
                <w:rFonts w:ascii="宋体" w:hAnsi="宋体" w:cs="仿宋_GB2312"/>
                <w:szCs w:val="21"/>
              </w:rPr>
            </w:pPr>
          </w:p>
        </w:tc>
        <w:tc>
          <w:tcPr>
            <w:tcW w:w="583" w:type="dxa"/>
            <w:vAlign w:val="center"/>
          </w:tcPr>
          <w:p w14:paraId="7BAC0B74">
            <w:pPr>
              <w:spacing w:line="360" w:lineRule="auto"/>
              <w:jc w:val="center"/>
              <w:rPr>
                <w:rFonts w:ascii="宋体" w:hAnsi="宋体" w:cs="仿宋_GB2312"/>
                <w:szCs w:val="21"/>
              </w:rPr>
            </w:pPr>
          </w:p>
        </w:tc>
        <w:tc>
          <w:tcPr>
            <w:tcW w:w="583" w:type="dxa"/>
            <w:vAlign w:val="center"/>
          </w:tcPr>
          <w:p w14:paraId="6A99F894">
            <w:pPr>
              <w:spacing w:line="360" w:lineRule="auto"/>
              <w:jc w:val="center"/>
              <w:rPr>
                <w:rFonts w:ascii="宋体" w:hAnsi="宋体" w:cs="仿宋_GB2312"/>
                <w:szCs w:val="21"/>
              </w:rPr>
            </w:pPr>
          </w:p>
        </w:tc>
        <w:tc>
          <w:tcPr>
            <w:tcW w:w="1193" w:type="dxa"/>
            <w:vAlign w:val="center"/>
          </w:tcPr>
          <w:p w14:paraId="3A8B7E8C">
            <w:pPr>
              <w:spacing w:line="360" w:lineRule="auto"/>
              <w:jc w:val="center"/>
              <w:rPr>
                <w:rFonts w:ascii="宋体" w:hAnsi="宋体" w:cs="仿宋_GB2312"/>
                <w:szCs w:val="21"/>
              </w:rPr>
            </w:pPr>
          </w:p>
        </w:tc>
        <w:tc>
          <w:tcPr>
            <w:tcW w:w="964" w:type="dxa"/>
            <w:vAlign w:val="center"/>
          </w:tcPr>
          <w:p w14:paraId="7632F4CA">
            <w:pPr>
              <w:spacing w:line="360" w:lineRule="auto"/>
              <w:jc w:val="center"/>
              <w:rPr>
                <w:rFonts w:ascii="宋体" w:hAnsi="宋体" w:cs="仿宋_GB2312"/>
                <w:szCs w:val="21"/>
              </w:rPr>
            </w:pPr>
          </w:p>
        </w:tc>
        <w:tc>
          <w:tcPr>
            <w:tcW w:w="964" w:type="dxa"/>
            <w:vAlign w:val="center"/>
          </w:tcPr>
          <w:p w14:paraId="5E4479F7">
            <w:pPr>
              <w:spacing w:line="360" w:lineRule="auto"/>
              <w:jc w:val="center"/>
              <w:rPr>
                <w:rFonts w:ascii="宋体" w:hAnsi="宋体" w:cs="仿宋_GB2312"/>
                <w:szCs w:val="21"/>
              </w:rPr>
            </w:pPr>
          </w:p>
        </w:tc>
        <w:tc>
          <w:tcPr>
            <w:tcW w:w="964" w:type="dxa"/>
            <w:vAlign w:val="center"/>
          </w:tcPr>
          <w:p w14:paraId="56A45454">
            <w:pPr>
              <w:spacing w:line="360" w:lineRule="auto"/>
              <w:jc w:val="center"/>
              <w:rPr>
                <w:rFonts w:ascii="宋体" w:hAnsi="宋体" w:cs="仿宋_GB2312"/>
                <w:szCs w:val="21"/>
              </w:rPr>
            </w:pPr>
          </w:p>
        </w:tc>
        <w:tc>
          <w:tcPr>
            <w:tcW w:w="583" w:type="dxa"/>
            <w:vAlign w:val="center"/>
          </w:tcPr>
          <w:p w14:paraId="43B4AEC6">
            <w:pPr>
              <w:spacing w:line="360" w:lineRule="auto"/>
              <w:jc w:val="center"/>
              <w:rPr>
                <w:rFonts w:ascii="宋体" w:hAnsi="宋体" w:cs="仿宋_GB2312"/>
                <w:szCs w:val="21"/>
              </w:rPr>
            </w:pPr>
          </w:p>
        </w:tc>
      </w:tr>
      <w:tr w14:paraId="2F8A8A6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42834841">
            <w:pPr>
              <w:spacing w:line="360" w:lineRule="auto"/>
              <w:jc w:val="center"/>
              <w:rPr>
                <w:rFonts w:ascii="宋体" w:hAnsi="宋体" w:cs="仿宋_GB2312"/>
                <w:szCs w:val="21"/>
              </w:rPr>
            </w:pPr>
          </w:p>
        </w:tc>
        <w:tc>
          <w:tcPr>
            <w:tcW w:w="983" w:type="dxa"/>
            <w:vAlign w:val="center"/>
          </w:tcPr>
          <w:p w14:paraId="3496F796">
            <w:pPr>
              <w:spacing w:line="360" w:lineRule="auto"/>
              <w:jc w:val="center"/>
              <w:rPr>
                <w:rFonts w:ascii="宋体" w:hAnsi="宋体" w:cs="仿宋_GB2312"/>
                <w:szCs w:val="21"/>
              </w:rPr>
            </w:pPr>
          </w:p>
        </w:tc>
        <w:tc>
          <w:tcPr>
            <w:tcW w:w="964" w:type="dxa"/>
            <w:vAlign w:val="center"/>
          </w:tcPr>
          <w:p w14:paraId="2D97F7E2">
            <w:pPr>
              <w:spacing w:line="360" w:lineRule="auto"/>
              <w:jc w:val="center"/>
              <w:rPr>
                <w:rFonts w:ascii="宋体" w:hAnsi="宋体" w:cs="仿宋_GB2312"/>
                <w:szCs w:val="21"/>
              </w:rPr>
            </w:pPr>
          </w:p>
        </w:tc>
        <w:tc>
          <w:tcPr>
            <w:tcW w:w="583" w:type="dxa"/>
            <w:vAlign w:val="center"/>
          </w:tcPr>
          <w:p w14:paraId="61896724">
            <w:pPr>
              <w:spacing w:line="360" w:lineRule="auto"/>
              <w:jc w:val="center"/>
              <w:rPr>
                <w:rFonts w:ascii="宋体" w:hAnsi="宋体" w:cs="仿宋_GB2312"/>
                <w:szCs w:val="21"/>
              </w:rPr>
            </w:pPr>
          </w:p>
        </w:tc>
        <w:tc>
          <w:tcPr>
            <w:tcW w:w="583" w:type="dxa"/>
            <w:vAlign w:val="center"/>
          </w:tcPr>
          <w:p w14:paraId="1F4B5832">
            <w:pPr>
              <w:spacing w:line="360" w:lineRule="auto"/>
              <w:jc w:val="center"/>
              <w:rPr>
                <w:rFonts w:ascii="宋体" w:hAnsi="宋体" w:cs="仿宋_GB2312"/>
                <w:szCs w:val="21"/>
              </w:rPr>
            </w:pPr>
          </w:p>
        </w:tc>
        <w:tc>
          <w:tcPr>
            <w:tcW w:w="1193" w:type="dxa"/>
            <w:vAlign w:val="center"/>
          </w:tcPr>
          <w:p w14:paraId="007D1E8A">
            <w:pPr>
              <w:spacing w:line="360" w:lineRule="auto"/>
              <w:jc w:val="center"/>
              <w:rPr>
                <w:rFonts w:ascii="宋体" w:hAnsi="宋体" w:cs="仿宋_GB2312"/>
                <w:szCs w:val="21"/>
              </w:rPr>
            </w:pPr>
          </w:p>
        </w:tc>
        <w:tc>
          <w:tcPr>
            <w:tcW w:w="964" w:type="dxa"/>
            <w:vAlign w:val="center"/>
          </w:tcPr>
          <w:p w14:paraId="75373198">
            <w:pPr>
              <w:spacing w:line="360" w:lineRule="auto"/>
              <w:jc w:val="center"/>
              <w:rPr>
                <w:rFonts w:ascii="宋体" w:hAnsi="宋体" w:cs="仿宋_GB2312"/>
                <w:szCs w:val="21"/>
              </w:rPr>
            </w:pPr>
          </w:p>
        </w:tc>
        <w:tc>
          <w:tcPr>
            <w:tcW w:w="964" w:type="dxa"/>
            <w:vAlign w:val="center"/>
          </w:tcPr>
          <w:p w14:paraId="73F4E30F">
            <w:pPr>
              <w:spacing w:line="360" w:lineRule="auto"/>
              <w:jc w:val="center"/>
              <w:rPr>
                <w:rFonts w:ascii="宋体" w:hAnsi="宋体" w:cs="仿宋_GB2312"/>
                <w:szCs w:val="21"/>
              </w:rPr>
            </w:pPr>
          </w:p>
        </w:tc>
        <w:tc>
          <w:tcPr>
            <w:tcW w:w="964" w:type="dxa"/>
            <w:vAlign w:val="center"/>
          </w:tcPr>
          <w:p w14:paraId="64AD64DB">
            <w:pPr>
              <w:spacing w:line="360" w:lineRule="auto"/>
              <w:jc w:val="center"/>
              <w:rPr>
                <w:rFonts w:ascii="宋体" w:hAnsi="宋体" w:cs="仿宋_GB2312"/>
                <w:szCs w:val="21"/>
              </w:rPr>
            </w:pPr>
          </w:p>
        </w:tc>
        <w:tc>
          <w:tcPr>
            <w:tcW w:w="583" w:type="dxa"/>
            <w:vAlign w:val="center"/>
          </w:tcPr>
          <w:p w14:paraId="15996EDF">
            <w:pPr>
              <w:spacing w:line="360" w:lineRule="auto"/>
              <w:jc w:val="center"/>
              <w:rPr>
                <w:rFonts w:ascii="宋体" w:hAnsi="宋体" w:cs="仿宋_GB2312"/>
                <w:szCs w:val="21"/>
              </w:rPr>
            </w:pPr>
          </w:p>
        </w:tc>
      </w:tr>
      <w:tr w14:paraId="77770C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2FD47B94">
            <w:pPr>
              <w:spacing w:line="360" w:lineRule="auto"/>
              <w:jc w:val="center"/>
              <w:rPr>
                <w:rFonts w:ascii="宋体" w:hAnsi="宋体" w:cs="仿宋_GB2312"/>
                <w:szCs w:val="21"/>
              </w:rPr>
            </w:pPr>
          </w:p>
        </w:tc>
        <w:tc>
          <w:tcPr>
            <w:tcW w:w="983" w:type="dxa"/>
            <w:vAlign w:val="center"/>
          </w:tcPr>
          <w:p w14:paraId="27D518D2">
            <w:pPr>
              <w:spacing w:line="360" w:lineRule="auto"/>
              <w:jc w:val="center"/>
              <w:rPr>
                <w:rFonts w:ascii="宋体" w:hAnsi="宋体" w:cs="仿宋_GB2312"/>
                <w:szCs w:val="21"/>
              </w:rPr>
            </w:pPr>
          </w:p>
        </w:tc>
        <w:tc>
          <w:tcPr>
            <w:tcW w:w="964" w:type="dxa"/>
            <w:vAlign w:val="center"/>
          </w:tcPr>
          <w:p w14:paraId="342A2B50">
            <w:pPr>
              <w:spacing w:line="360" w:lineRule="auto"/>
              <w:jc w:val="center"/>
              <w:rPr>
                <w:rFonts w:ascii="宋体" w:hAnsi="宋体" w:cs="仿宋_GB2312"/>
                <w:szCs w:val="21"/>
              </w:rPr>
            </w:pPr>
          </w:p>
        </w:tc>
        <w:tc>
          <w:tcPr>
            <w:tcW w:w="583" w:type="dxa"/>
            <w:vAlign w:val="center"/>
          </w:tcPr>
          <w:p w14:paraId="66572115">
            <w:pPr>
              <w:spacing w:line="360" w:lineRule="auto"/>
              <w:jc w:val="center"/>
              <w:rPr>
                <w:rFonts w:ascii="宋体" w:hAnsi="宋体" w:cs="仿宋_GB2312"/>
                <w:szCs w:val="21"/>
              </w:rPr>
            </w:pPr>
          </w:p>
        </w:tc>
        <w:tc>
          <w:tcPr>
            <w:tcW w:w="583" w:type="dxa"/>
            <w:vAlign w:val="center"/>
          </w:tcPr>
          <w:p w14:paraId="7B64C77A">
            <w:pPr>
              <w:spacing w:line="360" w:lineRule="auto"/>
              <w:jc w:val="center"/>
              <w:rPr>
                <w:rFonts w:ascii="宋体" w:hAnsi="宋体" w:cs="仿宋_GB2312"/>
                <w:szCs w:val="21"/>
              </w:rPr>
            </w:pPr>
          </w:p>
        </w:tc>
        <w:tc>
          <w:tcPr>
            <w:tcW w:w="1193" w:type="dxa"/>
            <w:vAlign w:val="center"/>
          </w:tcPr>
          <w:p w14:paraId="253E6AD9">
            <w:pPr>
              <w:spacing w:line="360" w:lineRule="auto"/>
              <w:jc w:val="center"/>
              <w:rPr>
                <w:rFonts w:ascii="宋体" w:hAnsi="宋体" w:cs="仿宋_GB2312"/>
                <w:szCs w:val="21"/>
              </w:rPr>
            </w:pPr>
          </w:p>
        </w:tc>
        <w:tc>
          <w:tcPr>
            <w:tcW w:w="964" w:type="dxa"/>
            <w:vAlign w:val="center"/>
          </w:tcPr>
          <w:p w14:paraId="4F0E0862">
            <w:pPr>
              <w:spacing w:line="360" w:lineRule="auto"/>
              <w:jc w:val="center"/>
              <w:rPr>
                <w:rFonts w:ascii="宋体" w:hAnsi="宋体" w:cs="仿宋_GB2312"/>
                <w:szCs w:val="21"/>
              </w:rPr>
            </w:pPr>
          </w:p>
        </w:tc>
        <w:tc>
          <w:tcPr>
            <w:tcW w:w="964" w:type="dxa"/>
            <w:vAlign w:val="center"/>
          </w:tcPr>
          <w:p w14:paraId="29461978">
            <w:pPr>
              <w:spacing w:line="360" w:lineRule="auto"/>
              <w:jc w:val="center"/>
              <w:rPr>
                <w:rFonts w:ascii="宋体" w:hAnsi="宋体" w:cs="仿宋_GB2312"/>
                <w:szCs w:val="21"/>
              </w:rPr>
            </w:pPr>
          </w:p>
        </w:tc>
        <w:tc>
          <w:tcPr>
            <w:tcW w:w="964" w:type="dxa"/>
            <w:vAlign w:val="center"/>
          </w:tcPr>
          <w:p w14:paraId="2340BF18">
            <w:pPr>
              <w:spacing w:line="360" w:lineRule="auto"/>
              <w:jc w:val="center"/>
              <w:rPr>
                <w:rFonts w:ascii="宋体" w:hAnsi="宋体" w:cs="仿宋_GB2312"/>
                <w:szCs w:val="21"/>
              </w:rPr>
            </w:pPr>
          </w:p>
        </w:tc>
        <w:tc>
          <w:tcPr>
            <w:tcW w:w="583" w:type="dxa"/>
            <w:vAlign w:val="center"/>
          </w:tcPr>
          <w:p w14:paraId="08515551">
            <w:pPr>
              <w:spacing w:line="360" w:lineRule="auto"/>
              <w:jc w:val="center"/>
              <w:rPr>
                <w:rFonts w:ascii="宋体" w:hAnsi="宋体" w:cs="仿宋_GB2312"/>
                <w:szCs w:val="21"/>
              </w:rPr>
            </w:pPr>
          </w:p>
        </w:tc>
      </w:tr>
      <w:tr w14:paraId="3CD1116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582" w:type="dxa"/>
            <w:vAlign w:val="center"/>
          </w:tcPr>
          <w:p w14:paraId="3F60ECF8">
            <w:pPr>
              <w:spacing w:line="360" w:lineRule="auto"/>
              <w:jc w:val="center"/>
              <w:rPr>
                <w:rFonts w:ascii="宋体" w:hAnsi="宋体" w:cs="仿宋_GB2312"/>
                <w:szCs w:val="21"/>
              </w:rPr>
            </w:pPr>
          </w:p>
        </w:tc>
        <w:tc>
          <w:tcPr>
            <w:tcW w:w="983" w:type="dxa"/>
            <w:vAlign w:val="center"/>
          </w:tcPr>
          <w:p w14:paraId="6D67FA31">
            <w:pPr>
              <w:spacing w:line="360" w:lineRule="auto"/>
              <w:jc w:val="center"/>
              <w:rPr>
                <w:rFonts w:ascii="宋体" w:hAnsi="宋体" w:cs="仿宋_GB2312"/>
                <w:szCs w:val="21"/>
              </w:rPr>
            </w:pPr>
          </w:p>
        </w:tc>
        <w:tc>
          <w:tcPr>
            <w:tcW w:w="964" w:type="dxa"/>
            <w:vAlign w:val="center"/>
          </w:tcPr>
          <w:p w14:paraId="022485EF">
            <w:pPr>
              <w:spacing w:line="360" w:lineRule="auto"/>
              <w:jc w:val="center"/>
              <w:rPr>
                <w:rFonts w:ascii="宋体" w:hAnsi="宋体" w:cs="仿宋_GB2312"/>
                <w:szCs w:val="21"/>
              </w:rPr>
            </w:pPr>
          </w:p>
        </w:tc>
        <w:tc>
          <w:tcPr>
            <w:tcW w:w="583" w:type="dxa"/>
            <w:vAlign w:val="center"/>
          </w:tcPr>
          <w:p w14:paraId="18E068CD">
            <w:pPr>
              <w:spacing w:line="360" w:lineRule="auto"/>
              <w:jc w:val="center"/>
              <w:rPr>
                <w:rFonts w:ascii="宋体" w:hAnsi="宋体" w:cs="仿宋_GB2312"/>
                <w:szCs w:val="21"/>
              </w:rPr>
            </w:pPr>
          </w:p>
        </w:tc>
        <w:tc>
          <w:tcPr>
            <w:tcW w:w="583" w:type="dxa"/>
            <w:vAlign w:val="center"/>
          </w:tcPr>
          <w:p w14:paraId="3A61E771">
            <w:pPr>
              <w:spacing w:line="360" w:lineRule="auto"/>
              <w:jc w:val="center"/>
              <w:rPr>
                <w:rFonts w:ascii="宋体" w:hAnsi="宋体" w:cs="仿宋_GB2312"/>
                <w:szCs w:val="21"/>
              </w:rPr>
            </w:pPr>
          </w:p>
        </w:tc>
        <w:tc>
          <w:tcPr>
            <w:tcW w:w="1193" w:type="dxa"/>
            <w:vAlign w:val="center"/>
          </w:tcPr>
          <w:p w14:paraId="359261EE">
            <w:pPr>
              <w:spacing w:line="360" w:lineRule="auto"/>
              <w:jc w:val="center"/>
              <w:rPr>
                <w:rFonts w:ascii="宋体" w:hAnsi="宋体" w:cs="仿宋_GB2312"/>
                <w:szCs w:val="21"/>
              </w:rPr>
            </w:pPr>
          </w:p>
        </w:tc>
        <w:tc>
          <w:tcPr>
            <w:tcW w:w="964" w:type="dxa"/>
            <w:vAlign w:val="center"/>
          </w:tcPr>
          <w:p w14:paraId="1202F808">
            <w:pPr>
              <w:spacing w:line="360" w:lineRule="auto"/>
              <w:jc w:val="center"/>
              <w:rPr>
                <w:rFonts w:ascii="宋体" w:hAnsi="宋体" w:cs="仿宋_GB2312"/>
                <w:szCs w:val="21"/>
              </w:rPr>
            </w:pPr>
          </w:p>
        </w:tc>
        <w:tc>
          <w:tcPr>
            <w:tcW w:w="964" w:type="dxa"/>
            <w:vAlign w:val="center"/>
          </w:tcPr>
          <w:p w14:paraId="23BCD422">
            <w:pPr>
              <w:spacing w:line="360" w:lineRule="auto"/>
              <w:jc w:val="center"/>
              <w:rPr>
                <w:rFonts w:ascii="宋体" w:hAnsi="宋体" w:cs="仿宋_GB2312"/>
                <w:szCs w:val="21"/>
              </w:rPr>
            </w:pPr>
          </w:p>
        </w:tc>
        <w:tc>
          <w:tcPr>
            <w:tcW w:w="964" w:type="dxa"/>
            <w:vAlign w:val="center"/>
          </w:tcPr>
          <w:p w14:paraId="26CEFEF9">
            <w:pPr>
              <w:spacing w:line="360" w:lineRule="auto"/>
              <w:jc w:val="center"/>
              <w:rPr>
                <w:rFonts w:ascii="宋体" w:hAnsi="宋体" w:cs="仿宋_GB2312"/>
                <w:szCs w:val="21"/>
              </w:rPr>
            </w:pPr>
          </w:p>
        </w:tc>
        <w:tc>
          <w:tcPr>
            <w:tcW w:w="583" w:type="dxa"/>
            <w:vAlign w:val="center"/>
          </w:tcPr>
          <w:p w14:paraId="6828C2C6">
            <w:pPr>
              <w:spacing w:line="360" w:lineRule="auto"/>
              <w:jc w:val="center"/>
              <w:rPr>
                <w:rFonts w:ascii="宋体" w:hAnsi="宋体" w:cs="仿宋_GB2312"/>
                <w:szCs w:val="21"/>
              </w:rPr>
            </w:pPr>
          </w:p>
        </w:tc>
      </w:tr>
    </w:tbl>
    <w:p w14:paraId="1EFC6A2C">
      <w:pPr>
        <w:spacing w:line="360" w:lineRule="auto"/>
        <w:rPr>
          <w:rFonts w:ascii="宋体" w:hAnsi="宋体" w:cs="仿宋_GB2312"/>
          <w:szCs w:val="21"/>
        </w:rPr>
      </w:pPr>
    </w:p>
    <w:p w14:paraId="45D81363">
      <w:pPr>
        <w:spacing w:line="360" w:lineRule="auto"/>
        <w:rPr>
          <w:rFonts w:ascii="宋体" w:hAnsi="宋体" w:cs="仿宋_GB2312"/>
          <w:szCs w:val="21"/>
        </w:rPr>
      </w:pPr>
      <w:r>
        <w:rPr>
          <w:rFonts w:ascii="宋体" w:hAnsi="宋体" w:cs="仿宋_GB2312"/>
          <w:szCs w:val="21"/>
        </w:rPr>
        <w:br w:type="page"/>
      </w:r>
    </w:p>
    <w:p w14:paraId="67BFA040">
      <w:pPr>
        <w:spacing w:line="360" w:lineRule="auto"/>
        <w:rPr>
          <w:rFonts w:ascii="宋体" w:hAnsi="宋体" w:cs="仿宋_GB2312"/>
          <w:szCs w:val="21"/>
        </w:rPr>
      </w:pPr>
      <w:r>
        <w:rPr>
          <w:rFonts w:hint="eastAsia" w:ascii="宋体" w:hAnsi="宋体" w:cs="仿宋_GB2312"/>
          <w:szCs w:val="21"/>
        </w:rPr>
        <w:t>附</w:t>
      </w:r>
      <w:bookmarkStart w:id="651" w:name="_Toc296891054"/>
      <w:bookmarkStart w:id="652" w:name="_Toc267261693"/>
      <w:bookmarkStart w:id="653" w:name="_Toc296891266"/>
      <w:bookmarkStart w:id="654" w:name="_Toc296503226"/>
      <w:bookmarkStart w:id="655" w:name="_Toc296944565"/>
      <w:bookmarkStart w:id="656" w:name="_Toc296347225"/>
      <w:bookmarkStart w:id="657" w:name="_Toc296346727"/>
      <w:r>
        <w:rPr>
          <w:rFonts w:hint="eastAsia" w:ascii="宋体" w:hAnsi="宋体" w:cs="仿宋_GB2312"/>
          <w:szCs w:val="21"/>
        </w:rPr>
        <w:t>件3：</w:t>
      </w:r>
      <w:bookmarkEnd w:id="651"/>
      <w:bookmarkEnd w:id="652"/>
      <w:bookmarkEnd w:id="653"/>
      <w:bookmarkEnd w:id="654"/>
      <w:bookmarkEnd w:id="655"/>
      <w:bookmarkEnd w:id="656"/>
      <w:bookmarkEnd w:id="657"/>
    </w:p>
    <w:p w14:paraId="427D6419">
      <w:pPr>
        <w:spacing w:before="156" w:beforeLines="50" w:after="156" w:afterLines="50" w:line="360" w:lineRule="auto"/>
        <w:jc w:val="center"/>
        <w:rPr>
          <w:rFonts w:ascii="宋体" w:hAnsi="宋体" w:cs="仿宋_GB2312"/>
          <w:szCs w:val="21"/>
        </w:rPr>
      </w:pPr>
      <w:r>
        <w:rPr>
          <w:rFonts w:hint="eastAsia" w:ascii="宋体" w:hAnsi="宋体" w:cs="仿宋_GB2312"/>
          <w:szCs w:val="21"/>
        </w:rPr>
        <w:t>工程质量保修书</w:t>
      </w:r>
    </w:p>
    <w:p w14:paraId="7D891398">
      <w:pPr>
        <w:spacing w:line="360" w:lineRule="auto"/>
        <w:ind w:firstLine="420" w:firstLineChars="200"/>
        <w:rPr>
          <w:rFonts w:ascii="宋体" w:hAnsi="宋体" w:cs="仿宋_GB2312"/>
          <w:szCs w:val="21"/>
        </w:rPr>
      </w:pPr>
      <w:r>
        <w:rPr>
          <w:rFonts w:hint="eastAsia" w:ascii="宋体" w:hAnsi="宋体" w:cs="仿宋_GB2312"/>
          <w:szCs w:val="21"/>
        </w:rPr>
        <w:t xml:space="preserve">发包人（全称）： </w:t>
      </w:r>
    </w:p>
    <w:p w14:paraId="313C1736">
      <w:pPr>
        <w:spacing w:line="360" w:lineRule="auto"/>
        <w:rPr>
          <w:rFonts w:ascii="宋体" w:hAnsi="宋体" w:cs="仿宋_GB2312"/>
          <w:szCs w:val="21"/>
        </w:rPr>
      </w:pPr>
      <w:r>
        <w:rPr>
          <w:rFonts w:hint="eastAsia" w:ascii="宋体" w:hAnsi="宋体" w:cs="仿宋_GB2312"/>
          <w:szCs w:val="21"/>
        </w:rPr>
        <w:t>　　承包人（全称）：</w:t>
      </w:r>
    </w:p>
    <w:p w14:paraId="41ACA713">
      <w:pPr>
        <w:spacing w:line="360" w:lineRule="auto"/>
        <w:rPr>
          <w:rFonts w:ascii="宋体" w:hAnsi="宋体" w:cs="仿宋_GB2312"/>
          <w:szCs w:val="21"/>
        </w:rPr>
      </w:pPr>
      <w:r>
        <w:rPr>
          <w:rFonts w:hint="eastAsia" w:ascii="宋体" w:hAnsi="宋体" w:cs="仿宋_GB2312"/>
          <w:szCs w:val="21"/>
        </w:rPr>
        <w:t>　　发包人和承包人根据《中华人民共和国建筑法》和《建设工程质量管理条例》，经协商一致就（工程全称）签订工程质量保修书。</w:t>
      </w:r>
    </w:p>
    <w:p w14:paraId="443F69ED">
      <w:pPr>
        <w:spacing w:line="360" w:lineRule="auto"/>
        <w:rPr>
          <w:rFonts w:ascii="宋体" w:hAnsi="宋体" w:cs="仿宋_GB2312"/>
          <w:szCs w:val="21"/>
        </w:rPr>
      </w:pPr>
      <w:r>
        <w:rPr>
          <w:rFonts w:hint="eastAsia" w:ascii="宋体" w:hAnsi="宋体" w:cs="仿宋_GB2312"/>
          <w:szCs w:val="21"/>
        </w:rPr>
        <w:t>　　一、工程质量保修范围和内容</w:t>
      </w:r>
    </w:p>
    <w:p w14:paraId="7E35DFCB">
      <w:pPr>
        <w:spacing w:line="360" w:lineRule="auto"/>
        <w:rPr>
          <w:rFonts w:ascii="宋体" w:hAnsi="宋体" w:cs="仿宋_GB2312"/>
          <w:szCs w:val="21"/>
        </w:rPr>
      </w:pPr>
      <w:r>
        <w:rPr>
          <w:rFonts w:hint="eastAsia" w:ascii="宋体" w:hAnsi="宋体" w:cs="仿宋_GB2312"/>
          <w:szCs w:val="21"/>
        </w:rPr>
        <w:t>　　承包人在质量保修期内，按照有关法律规定和合同约定，承担工程质量保修责任。</w:t>
      </w:r>
    </w:p>
    <w:p w14:paraId="3752E089">
      <w:pPr>
        <w:spacing w:line="360" w:lineRule="auto"/>
        <w:rPr>
          <w:rFonts w:ascii="宋体" w:hAnsi="宋体" w:cs="仿宋_GB2312"/>
          <w:szCs w:val="21"/>
        </w:rPr>
      </w:pPr>
      <w:r>
        <w:rPr>
          <w:rFonts w:hint="eastAsia" w:ascii="宋体" w:hAnsi="宋体" w:cs="仿宋_GB2312"/>
          <w:szCs w:val="21"/>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5BD1C824">
      <w:pPr>
        <w:spacing w:line="360" w:lineRule="auto"/>
        <w:rPr>
          <w:rFonts w:ascii="宋体" w:hAnsi="宋体" w:cs="仿宋_GB2312"/>
          <w:szCs w:val="21"/>
          <w:u w:val="single"/>
        </w:rPr>
      </w:pPr>
      <w:r>
        <w:rPr>
          <w:rFonts w:hint="eastAsia" w:ascii="宋体" w:hAnsi="宋体" w:cs="仿宋_GB2312"/>
          <w:szCs w:val="21"/>
        </w:rPr>
        <w:t>。</w:t>
      </w:r>
    </w:p>
    <w:p w14:paraId="35F6EE47">
      <w:pPr>
        <w:spacing w:line="360" w:lineRule="auto"/>
        <w:rPr>
          <w:rFonts w:ascii="宋体" w:hAnsi="宋体" w:cs="仿宋_GB2312"/>
          <w:szCs w:val="21"/>
        </w:rPr>
      </w:pPr>
      <w:r>
        <w:rPr>
          <w:rFonts w:hint="eastAsia" w:ascii="宋体" w:hAnsi="宋体" w:cs="仿宋_GB2312"/>
          <w:b/>
          <w:szCs w:val="21"/>
        </w:rPr>
        <w:t>　　</w:t>
      </w:r>
      <w:r>
        <w:rPr>
          <w:rFonts w:hint="eastAsia" w:ascii="宋体" w:hAnsi="宋体" w:cs="仿宋_GB2312"/>
          <w:szCs w:val="21"/>
        </w:rPr>
        <w:t>二、质量保修期</w:t>
      </w:r>
    </w:p>
    <w:p w14:paraId="068CDC04">
      <w:pPr>
        <w:spacing w:line="360" w:lineRule="auto"/>
        <w:ind w:firstLine="420" w:firstLineChars="200"/>
        <w:rPr>
          <w:rFonts w:ascii="宋体" w:hAnsi="宋体" w:cs="仿宋_GB2312"/>
          <w:szCs w:val="21"/>
        </w:rPr>
      </w:pPr>
      <w:r>
        <w:rPr>
          <w:rFonts w:hint="eastAsia" w:ascii="宋体" w:hAnsi="宋体" w:cs="仿宋_GB2312"/>
          <w:szCs w:val="21"/>
        </w:rPr>
        <w:t>根据《建设工程质量管理条例》及有关规定，工程的质量保修期如下：</w:t>
      </w:r>
    </w:p>
    <w:p w14:paraId="52BBCD4B">
      <w:pPr>
        <w:spacing w:line="360" w:lineRule="auto"/>
        <w:ind w:firstLine="420" w:firstLineChars="200"/>
        <w:rPr>
          <w:rFonts w:ascii="宋体" w:hAnsi="宋体" w:cs="仿宋_GB2312"/>
          <w:szCs w:val="21"/>
        </w:rPr>
      </w:pPr>
      <w:r>
        <w:rPr>
          <w:rFonts w:hint="eastAsia" w:ascii="宋体" w:hAnsi="宋体" w:cs="仿宋_GB2312"/>
          <w:szCs w:val="21"/>
        </w:rPr>
        <w:t>1．地基基础工程和主体结构工程为设计文件规定的工程合理使用年限；</w:t>
      </w:r>
    </w:p>
    <w:p w14:paraId="640147EB">
      <w:pPr>
        <w:spacing w:line="360" w:lineRule="auto"/>
        <w:ind w:firstLine="420" w:firstLineChars="200"/>
        <w:rPr>
          <w:rFonts w:ascii="宋体" w:hAnsi="宋体" w:cs="仿宋_GB2312"/>
          <w:szCs w:val="21"/>
        </w:rPr>
      </w:pPr>
      <w:r>
        <w:rPr>
          <w:rFonts w:hint="eastAsia" w:ascii="宋体" w:hAnsi="宋体" w:cs="仿宋_GB2312"/>
          <w:szCs w:val="21"/>
        </w:rPr>
        <w:t>2．屋面防水工程、有防水要求的卫生间、房间和外墙面的防渗为年；</w:t>
      </w:r>
    </w:p>
    <w:p w14:paraId="4B16724F">
      <w:pPr>
        <w:spacing w:line="360" w:lineRule="auto"/>
        <w:ind w:firstLine="420" w:firstLineChars="200"/>
        <w:rPr>
          <w:rFonts w:ascii="宋体" w:hAnsi="宋体" w:cs="仿宋_GB2312"/>
          <w:szCs w:val="21"/>
        </w:rPr>
      </w:pPr>
      <w:r>
        <w:rPr>
          <w:rFonts w:hint="eastAsia" w:ascii="宋体" w:hAnsi="宋体" w:cs="仿宋_GB2312"/>
          <w:szCs w:val="21"/>
        </w:rPr>
        <w:t>3．装修工程为年；</w:t>
      </w:r>
    </w:p>
    <w:p w14:paraId="5AD4E8EB">
      <w:pPr>
        <w:spacing w:line="360" w:lineRule="auto"/>
        <w:ind w:firstLine="420" w:firstLineChars="200"/>
        <w:rPr>
          <w:rFonts w:ascii="宋体" w:hAnsi="宋体" w:cs="仿宋_GB2312"/>
          <w:szCs w:val="21"/>
        </w:rPr>
      </w:pPr>
      <w:r>
        <w:rPr>
          <w:rFonts w:hint="eastAsia" w:ascii="宋体" w:hAnsi="宋体" w:cs="仿宋_GB2312"/>
          <w:szCs w:val="21"/>
        </w:rPr>
        <w:t>4．电气管线、给排水管道、设备安装工程为年；</w:t>
      </w:r>
    </w:p>
    <w:p w14:paraId="3C594B7A">
      <w:pPr>
        <w:spacing w:line="360" w:lineRule="auto"/>
        <w:ind w:firstLine="420" w:firstLineChars="200"/>
        <w:rPr>
          <w:rFonts w:ascii="宋体" w:hAnsi="宋体" w:cs="仿宋_GB2312"/>
          <w:szCs w:val="21"/>
        </w:rPr>
      </w:pPr>
      <w:r>
        <w:rPr>
          <w:rFonts w:hint="eastAsia" w:ascii="宋体" w:hAnsi="宋体" w:cs="仿宋_GB2312"/>
          <w:szCs w:val="21"/>
        </w:rPr>
        <w:t>5．供热与供冷系统为个采暖期、供冷期；</w:t>
      </w:r>
    </w:p>
    <w:p w14:paraId="5E1629B8">
      <w:pPr>
        <w:spacing w:line="360" w:lineRule="auto"/>
        <w:ind w:firstLine="420" w:firstLineChars="200"/>
        <w:rPr>
          <w:rFonts w:ascii="宋体" w:hAnsi="宋体" w:cs="仿宋_GB2312"/>
          <w:szCs w:val="21"/>
        </w:rPr>
      </w:pPr>
      <w:r>
        <w:rPr>
          <w:rFonts w:hint="eastAsia" w:ascii="宋体" w:hAnsi="宋体" w:cs="仿宋_GB2312"/>
          <w:szCs w:val="21"/>
        </w:rPr>
        <w:t>6．住宅小区内的给排水设施、道路等配套工程为年；</w:t>
      </w:r>
    </w:p>
    <w:p w14:paraId="6618E788">
      <w:pPr>
        <w:spacing w:line="360" w:lineRule="auto"/>
        <w:ind w:firstLine="420" w:firstLineChars="200"/>
        <w:rPr>
          <w:rFonts w:ascii="宋体" w:hAnsi="宋体" w:cs="仿宋_GB2312"/>
          <w:szCs w:val="21"/>
        </w:rPr>
      </w:pPr>
      <w:r>
        <w:rPr>
          <w:rFonts w:hint="eastAsia" w:ascii="宋体" w:hAnsi="宋体" w:cs="仿宋_GB2312"/>
          <w:szCs w:val="21"/>
        </w:rPr>
        <w:t>7．其他项目保修期限约定如下：</w:t>
      </w:r>
    </w:p>
    <w:p w14:paraId="221DDA45">
      <w:pPr>
        <w:spacing w:line="360" w:lineRule="auto"/>
        <w:ind w:firstLine="420" w:firstLineChars="200"/>
        <w:rPr>
          <w:rFonts w:ascii="宋体" w:hAnsi="宋体" w:cs="仿宋_GB2312"/>
          <w:szCs w:val="21"/>
        </w:rPr>
      </w:pPr>
      <w:r>
        <w:rPr>
          <w:rFonts w:hint="eastAsia" w:ascii="宋体" w:hAnsi="宋体" w:cs="仿宋_GB2312"/>
          <w:szCs w:val="21"/>
        </w:rPr>
        <w:t>。</w:t>
      </w:r>
    </w:p>
    <w:p w14:paraId="733E9565">
      <w:pPr>
        <w:spacing w:line="360" w:lineRule="auto"/>
        <w:rPr>
          <w:rFonts w:ascii="宋体" w:hAnsi="宋体" w:cs="仿宋_GB2312"/>
          <w:szCs w:val="21"/>
        </w:rPr>
      </w:pPr>
      <w:r>
        <w:rPr>
          <w:rFonts w:hint="eastAsia" w:ascii="宋体" w:hAnsi="宋体" w:cs="仿宋_GB2312"/>
          <w:szCs w:val="21"/>
        </w:rPr>
        <w:t>　　质量保修期自工程竣工验收合格之日起计算。</w:t>
      </w:r>
    </w:p>
    <w:p w14:paraId="7A97B146">
      <w:pPr>
        <w:spacing w:line="360" w:lineRule="auto"/>
        <w:ind w:firstLine="420" w:firstLineChars="200"/>
        <w:rPr>
          <w:rFonts w:ascii="宋体" w:hAnsi="宋体" w:cs="仿宋_GB2312"/>
          <w:szCs w:val="21"/>
        </w:rPr>
      </w:pPr>
      <w:r>
        <w:rPr>
          <w:rFonts w:hint="eastAsia" w:ascii="宋体" w:hAnsi="宋体" w:cs="仿宋_GB2312"/>
          <w:szCs w:val="21"/>
        </w:rPr>
        <w:t>三、缺陷责任期</w:t>
      </w:r>
    </w:p>
    <w:p w14:paraId="0CA28B39">
      <w:pPr>
        <w:spacing w:line="360" w:lineRule="auto"/>
        <w:ind w:firstLine="420" w:firstLineChars="200"/>
        <w:rPr>
          <w:rFonts w:ascii="宋体" w:hAnsi="宋体" w:cs="仿宋_GB2312"/>
          <w:szCs w:val="21"/>
        </w:rPr>
      </w:pPr>
      <w:r>
        <w:rPr>
          <w:rFonts w:hint="eastAsia" w:ascii="宋体" w:hAnsi="宋体" w:cs="仿宋_GB2312"/>
          <w:szCs w:val="21"/>
        </w:rPr>
        <w:t>工程缺陷责任期为个月，缺陷责任期自工程竣工验收合格之日起计算。单位工程先于全部工程进行验收，单位工程缺陷责任期自单位工程验收合格之日起算。</w:t>
      </w:r>
    </w:p>
    <w:p w14:paraId="11441617">
      <w:pPr>
        <w:spacing w:line="360" w:lineRule="auto"/>
        <w:ind w:firstLine="420" w:firstLineChars="200"/>
        <w:rPr>
          <w:rFonts w:ascii="宋体" w:hAnsi="宋体" w:cs="仿宋_GB2312"/>
          <w:szCs w:val="21"/>
        </w:rPr>
      </w:pPr>
      <w:r>
        <w:rPr>
          <w:rFonts w:hint="eastAsia" w:ascii="宋体" w:hAnsi="宋体" w:cs="仿宋_GB2312"/>
          <w:szCs w:val="21"/>
        </w:rPr>
        <w:t>缺陷责任期终止后，发包人应退还剩余的质量保证金。</w:t>
      </w:r>
    </w:p>
    <w:p w14:paraId="5760BE6E">
      <w:pPr>
        <w:spacing w:line="360" w:lineRule="auto"/>
        <w:rPr>
          <w:rFonts w:ascii="宋体" w:hAnsi="宋体" w:cs="仿宋_GB2312"/>
          <w:szCs w:val="21"/>
        </w:rPr>
      </w:pPr>
      <w:r>
        <w:rPr>
          <w:rFonts w:hint="eastAsia" w:ascii="宋体" w:hAnsi="宋体" w:cs="仿宋_GB2312"/>
          <w:szCs w:val="21"/>
        </w:rPr>
        <w:t xml:space="preserve">    四、质量保修责任</w:t>
      </w:r>
    </w:p>
    <w:p w14:paraId="6E74748B">
      <w:pPr>
        <w:spacing w:line="360" w:lineRule="auto"/>
        <w:ind w:left="105" w:leftChars="50" w:firstLine="430" w:firstLineChars="205"/>
        <w:rPr>
          <w:rFonts w:ascii="宋体" w:hAnsi="宋体" w:cs="仿宋_GB2312"/>
          <w:szCs w:val="21"/>
        </w:rPr>
      </w:pPr>
      <w:r>
        <w:rPr>
          <w:rFonts w:hint="eastAsia" w:ascii="宋体" w:hAnsi="宋体" w:cs="仿宋_GB2312"/>
          <w:szCs w:val="21"/>
        </w:rPr>
        <w:t>1．属于保修范围、内容的项目，承包人应当在接到保修通知之日起7天内派人保修。承包人不在约定期限内派人保修的，发包人可以委托他人修理。</w:t>
      </w:r>
    </w:p>
    <w:p w14:paraId="798031AE">
      <w:pPr>
        <w:spacing w:line="360" w:lineRule="auto"/>
        <w:ind w:left="105" w:leftChars="50" w:firstLine="430" w:firstLineChars="205"/>
        <w:rPr>
          <w:rFonts w:ascii="宋体" w:hAnsi="宋体" w:cs="仿宋_GB2312"/>
          <w:szCs w:val="21"/>
        </w:rPr>
      </w:pPr>
      <w:r>
        <w:rPr>
          <w:rFonts w:hint="eastAsia" w:ascii="宋体" w:hAnsi="宋体" w:cs="仿宋_GB2312"/>
          <w:szCs w:val="21"/>
        </w:rPr>
        <w:t>2．发生紧急事故需抢修的，承包人在接到事故通知后，应当立即到达事故现场抢修。</w:t>
      </w:r>
    </w:p>
    <w:p w14:paraId="0BDD7CD7">
      <w:pPr>
        <w:spacing w:line="360" w:lineRule="auto"/>
        <w:ind w:left="105" w:leftChars="50" w:firstLine="430" w:firstLineChars="205"/>
        <w:rPr>
          <w:rFonts w:ascii="宋体" w:hAnsi="宋体" w:cs="仿宋_GB2312"/>
          <w:szCs w:val="21"/>
        </w:rPr>
      </w:pPr>
      <w:r>
        <w:rPr>
          <w:rFonts w:hint="eastAsia" w:ascii="宋体" w:hAnsi="宋体" w:cs="仿宋_GB2312"/>
          <w:szCs w:val="21"/>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4355F318">
      <w:pPr>
        <w:spacing w:line="360" w:lineRule="auto"/>
        <w:ind w:left="420" w:leftChars="200" w:firstLine="105" w:firstLineChars="50"/>
        <w:rPr>
          <w:rFonts w:ascii="宋体" w:hAnsi="宋体" w:cs="仿宋_GB2312"/>
          <w:szCs w:val="21"/>
        </w:rPr>
      </w:pPr>
      <w:r>
        <w:rPr>
          <w:rFonts w:hint="eastAsia" w:ascii="宋体" w:hAnsi="宋体" w:cs="仿宋_GB2312"/>
          <w:szCs w:val="21"/>
        </w:rPr>
        <w:t>4．质量保修完成后，由发包人组织验收。</w:t>
      </w:r>
    </w:p>
    <w:p w14:paraId="7030C2DC">
      <w:pPr>
        <w:spacing w:line="360" w:lineRule="auto"/>
        <w:rPr>
          <w:rFonts w:ascii="宋体" w:hAnsi="宋体" w:cs="仿宋_GB2312"/>
          <w:szCs w:val="21"/>
        </w:rPr>
      </w:pPr>
      <w:r>
        <w:rPr>
          <w:rFonts w:hint="eastAsia" w:ascii="宋体" w:hAnsi="宋体" w:cs="仿宋_GB2312"/>
          <w:szCs w:val="21"/>
        </w:rPr>
        <w:t>　　五、保修费用</w:t>
      </w:r>
    </w:p>
    <w:p w14:paraId="01CE0859">
      <w:pPr>
        <w:spacing w:line="360" w:lineRule="auto"/>
        <w:rPr>
          <w:rFonts w:ascii="宋体" w:hAnsi="宋体" w:cs="仿宋_GB2312"/>
          <w:szCs w:val="21"/>
        </w:rPr>
      </w:pPr>
      <w:r>
        <w:rPr>
          <w:rFonts w:hint="eastAsia" w:ascii="宋体" w:hAnsi="宋体" w:cs="仿宋_GB2312"/>
          <w:szCs w:val="21"/>
        </w:rPr>
        <w:t>　　保修费用由造成质量缺陷的责任方承担。</w:t>
      </w:r>
    </w:p>
    <w:p w14:paraId="23F58511">
      <w:pPr>
        <w:spacing w:line="360" w:lineRule="auto"/>
        <w:ind w:firstLine="420"/>
        <w:jc w:val="left"/>
        <w:rPr>
          <w:rFonts w:ascii="宋体" w:hAnsi="宋体" w:cs="仿宋_GB2312"/>
          <w:szCs w:val="21"/>
          <w:u w:val="single"/>
        </w:rPr>
      </w:pPr>
      <w:r>
        <w:rPr>
          <w:rFonts w:hint="eastAsia" w:ascii="宋体" w:hAnsi="宋体" w:cs="仿宋_GB2312"/>
          <w:bCs/>
          <w:szCs w:val="21"/>
        </w:rPr>
        <w:t>六、</w:t>
      </w:r>
      <w:r>
        <w:rPr>
          <w:rFonts w:hint="eastAsia" w:ascii="宋体" w:hAnsi="宋体" w:cs="仿宋_GB2312"/>
          <w:szCs w:val="21"/>
        </w:rPr>
        <w:t>双方约定的其他工程质量保修事项：</w:t>
      </w:r>
    </w:p>
    <w:p w14:paraId="1F7A2254">
      <w:pPr>
        <w:spacing w:line="360" w:lineRule="auto"/>
        <w:ind w:firstLine="420"/>
        <w:jc w:val="left"/>
        <w:rPr>
          <w:rFonts w:ascii="宋体" w:hAnsi="宋体" w:cs="仿宋_GB2312"/>
          <w:szCs w:val="21"/>
          <w:u w:val="single"/>
        </w:rPr>
      </w:pPr>
      <w:r>
        <w:rPr>
          <w:rFonts w:hint="eastAsia" w:ascii="宋体" w:hAnsi="宋体" w:cs="仿宋_GB2312"/>
          <w:szCs w:val="21"/>
        </w:rPr>
        <w:t>。</w:t>
      </w:r>
    </w:p>
    <w:p w14:paraId="478FC002">
      <w:pPr>
        <w:spacing w:line="360" w:lineRule="auto"/>
        <w:ind w:firstLine="399" w:firstLineChars="190"/>
        <w:rPr>
          <w:rFonts w:ascii="宋体" w:hAnsi="宋体" w:cs="仿宋_GB2312"/>
          <w:szCs w:val="21"/>
        </w:rPr>
      </w:pPr>
      <w:r>
        <w:rPr>
          <w:rFonts w:hint="eastAsia" w:ascii="宋体" w:hAnsi="宋体" w:cs="仿宋_GB2312"/>
          <w:szCs w:val="21"/>
        </w:rPr>
        <w:t>工程质量保修书由发包人、承包人在工程竣工验收前共同签署，作为施工合同附件，其有效期限至保修期满。</w:t>
      </w:r>
    </w:p>
    <w:tbl>
      <w:tblPr>
        <w:tblStyle w:val="47"/>
        <w:tblW w:w="0" w:type="auto"/>
        <w:tblInd w:w="534" w:type="dxa"/>
        <w:tblLayout w:type="fixed"/>
        <w:tblCellMar>
          <w:top w:w="0" w:type="dxa"/>
          <w:left w:w="108" w:type="dxa"/>
          <w:bottom w:w="0" w:type="dxa"/>
          <w:right w:w="108" w:type="dxa"/>
        </w:tblCellMar>
      </w:tblPr>
      <w:tblGrid>
        <w:gridCol w:w="3727"/>
        <w:gridCol w:w="3785"/>
      </w:tblGrid>
      <w:tr w14:paraId="0BD3CB9D">
        <w:tblPrEx>
          <w:tblCellMar>
            <w:top w:w="0" w:type="dxa"/>
            <w:left w:w="108" w:type="dxa"/>
            <w:bottom w:w="0" w:type="dxa"/>
            <w:right w:w="108" w:type="dxa"/>
          </w:tblCellMar>
        </w:tblPrEx>
        <w:tc>
          <w:tcPr>
            <w:tcW w:w="3727" w:type="dxa"/>
            <w:shd w:val="clear" w:color="auto" w:fill="auto"/>
          </w:tcPr>
          <w:p w14:paraId="4DE0128D">
            <w:pPr>
              <w:spacing w:line="360" w:lineRule="auto"/>
              <w:rPr>
                <w:rFonts w:ascii="宋体" w:hAnsi="宋体" w:cs="仿宋_GB2312"/>
                <w:szCs w:val="21"/>
              </w:rPr>
            </w:pPr>
            <w:r>
              <w:rPr>
                <w:rFonts w:hint="eastAsia" w:ascii="宋体" w:hAnsi="宋体" w:cs="仿宋_GB2312"/>
                <w:szCs w:val="21"/>
              </w:rPr>
              <w:t>发包人(公章)：</w:t>
            </w:r>
          </w:p>
        </w:tc>
        <w:tc>
          <w:tcPr>
            <w:tcW w:w="3785" w:type="dxa"/>
            <w:shd w:val="clear" w:color="auto" w:fill="auto"/>
          </w:tcPr>
          <w:p w14:paraId="163DD892">
            <w:pPr>
              <w:spacing w:line="360" w:lineRule="auto"/>
              <w:rPr>
                <w:rFonts w:ascii="宋体" w:hAnsi="宋体" w:cs="仿宋_GB2312"/>
                <w:szCs w:val="21"/>
              </w:rPr>
            </w:pPr>
            <w:r>
              <w:rPr>
                <w:rFonts w:hint="eastAsia" w:ascii="宋体" w:hAnsi="宋体" w:cs="仿宋_GB2312"/>
                <w:szCs w:val="21"/>
              </w:rPr>
              <w:t>承包人(公章)：</w:t>
            </w:r>
          </w:p>
        </w:tc>
      </w:tr>
      <w:tr w14:paraId="726E9283">
        <w:tblPrEx>
          <w:tblCellMar>
            <w:top w:w="0" w:type="dxa"/>
            <w:left w:w="108" w:type="dxa"/>
            <w:bottom w:w="0" w:type="dxa"/>
            <w:right w:w="108" w:type="dxa"/>
          </w:tblCellMar>
        </w:tblPrEx>
        <w:tc>
          <w:tcPr>
            <w:tcW w:w="3727" w:type="dxa"/>
            <w:shd w:val="clear" w:color="auto" w:fill="auto"/>
          </w:tcPr>
          <w:p w14:paraId="705FCE80">
            <w:pPr>
              <w:spacing w:line="360" w:lineRule="auto"/>
              <w:rPr>
                <w:rFonts w:ascii="宋体" w:hAnsi="宋体" w:cs="仿宋_GB2312"/>
                <w:szCs w:val="21"/>
              </w:rPr>
            </w:pPr>
            <w:r>
              <w:rPr>
                <w:rFonts w:hint="eastAsia" w:ascii="宋体" w:hAnsi="宋体" w:cs="仿宋_GB2312"/>
                <w:szCs w:val="21"/>
              </w:rPr>
              <w:t>地  址：</w:t>
            </w:r>
          </w:p>
        </w:tc>
        <w:tc>
          <w:tcPr>
            <w:tcW w:w="3785" w:type="dxa"/>
            <w:shd w:val="clear" w:color="auto" w:fill="auto"/>
          </w:tcPr>
          <w:p w14:paraId="1F548AB3">
            <w:pPr>
              <w:spacing w:line="360" w:lineRule="auto"/>
              <w:rPr>
                <w:rFonts w:ascii="宋体" w:hAnsi="宋体" w:cs="仿宋_GB2312"/>
                <w:szCs w:val="21"/>
              </w:rPr>
            </w:pPr>
            <w:r>
              <w:rPr>
                <w:rFonts w:hint="eastAsia" w:ascii="宋体" w:hAnsi="宋体" w:cs="仿宋_GB2312"/>
                <w:szCs w:val="21"/>
              </w:rPr>
              <w:t>地  址：</w:t>
            </w:r>
          </w:p>
        </w:tc>
      </w:tr>
      <w:tr w14:paraId="71CE5B3D">
        <w:tblPrEx>
          <w:tblCellMar>
            <w:top w:w="0" w:type="dxa"/>
            <w:left w:w="108" w:type="dxa"/>
            <w:bottom w:w="0" w:type="dxa"/>
            <w:right w:w="108" w:type="dxa"/>
          </w:tblCellMar>
        </w:tblPrEx>
        <w:tc>
          <w:tcPr>
            <w:tcW w:w="3727" w:type="dxa"/>
            <w:shd w:val="clear" w:color="auto" w:fill="auto"/>
          </w:tcPr>
          <w:p w14:paraId="11FDB0C5">
            <w:pPr>
              <w:spacing w:line="360" w:lineRule="auto"/>
              <w:rPr>
                <w:rFonts w:ascii="宋体" w:hAnsi="宋体" w:cs="仿宋_GB2312"/>
                <w:szCs w:val="21"/>
              </w:rPr>
            </w:pPr>
            <w:r>
              <w:rPr>
                <w:rFonts w:hint="eastAsia" w:ascii="宋体" w:hAnsi="宋体" w:cs="仿宋_GB2312"/>
                <w:szCs w:val="21"/>
              </w:rPr>
              <w:t>法定代表人(签字)：</w:t>
            </w:r>
          </w:p>
        </w:tc>
        <w:tc>
          <w:tcPr>
            <w:tcW w:w="3785" w:type="dxa"/>
            <w:shd w:val="clear" w:color="auto" w:fill="auto"/>
          </w:tcPr>
          <w:p w14:paraId="2BCE8CB4">
            <w:pPr>
              <w:spacing w:line="360" w:lineRule="auto"/>
              <w:rPr>
                <w:rFonts w:ascii="宋体" w:hAnsi="宋体" w:cs="仿宋_GB2312"/>
                <w:szCs w:val="21"/>
              </w:rPr>
            </w:pPr>
            <w:r>
              <w:rPr>
                <w:rFonts w:hint="eastAsia" w:ascii="宋体" w:hAnsi="宋体" w:cs="仿宋_GB2312"/>
                <w:szCs w:val="21"/>
              </w:rPr>
              <w:t>法定代表人(签字)：</w:t>
            </w:r>
          </w:p>
        </w:tc>
      </w:tr>
      <w:tr w14:paraId="0D361728">
        <w:tblPrEx>
          <w:tblCellMar>
            <w:top w:w="0" w:type="dxa"/>
            <w:left w:w="108" w:type="dxa"/>
            <w:bottom w:w="0" w:type="dxa"/>
            <w:right w:w="108" w:type="dxa"/>
          </w:tblCellMar>
        </w:tblPrEx>
        <w:tc>
          <w:tcPr>
            <w:tcW w:w="3727" w:type="dxa"/>
            <w:shd w:val="clear" w:color="auto" w:fill="auto"/>
          </w:tcPr>
          <w:p w14:paraId="6886A7E7">
            <w:pPr>
              <w:spacing w:line="360" w:lineRule="auto"/>
              <w:rPr>
                <w:rFonts w:ascii="宋体" w:hAnsi="宋体" w:cs="仿宋_GB2312"/>
                <w:szCs w:val="21"/>
              </w:rPr>
            </w:pPr>
            <w:r>
              <w:rPr>
                <w:rFonts w:hint="eastAsia" w:ascii="宋体" w:hAnsi="宋体" w:cs="仿宋_GB2312"/>
                <w:szCs w:val="21"/>
              </w:rPr>
              <w:t>委托代理人(签字)：</w:t>
            </w:r>
          </w:p>
        </w:tc>
        <w:tc>
          <w:tcPr>
            <w:tcW w:w="3785" w:type="dxa"/>
            <w:shd w:val="clear" w:color="auto" w:fill="auto"/>
          </w:tcPr>
          <w:p w14:paraId="5BB2EE32">
            <w:pPr>
              <w:spacing w:line="360" w:lineRule="auto"/>
              <w:rPr>
                <w:rFonts w:ascii="宋体" w:hAnsi="宋体" w:cs="仿宋_GB2312"/>
                <w:szCs w:val="21"/>
              </w:rPr>
            </w:pPr>
            <w:r>
              <w:rPr>
                <w:rFonts w:hint="eastAsia" w:ascii="宋体" w:hAnsi="宋体" w:cs="仿宋_GB2312"/>
                <w:szCs w:val="21"/>
              </w:rPr>
              <w:t>委托代理人(签字)：</w:t>
            </w:r>
          </w:p>
        </w:tc>
      </w:tr>
      <w:tr w14:paraId="53615872">
        <w:tblPrEx>
          <w:tblCellMar>
            <w:top w:w="0" w:type="dxa"/>
            <w:left w:w="108" w:type="dxa"/>
            <w:bottom w:w="0" w:type="dxa"/>
            <w:right w:w="108" w:type="dxa"/>
          </w:tblCellMar>
        </w:tblPrEx>
        <w:tc>
          <w:tcPr>
            <w:tcW w:w="3727" w:type="dxa"/>
            <w:shd w:val="clear" w:color="auto" w:fill="auto"/>
          </w:tcPr>
          <w:p w14:paraId="52635B37">
            <w:pPr>
              <w:spacing w:line="360" w:lineRule="auto"/>
              <w:rPr>
                <w:rFonts w:ascii="宋体" w:hAnsi="宋体" w:cs="仿宋_GB2312"/>
                <w:szCs w:val="21"/>
              </w:rPr>
            </w:pPr>
            <w:r>
              <w:rPr>
                <w:rFonts w:hint="eastAsia" w:ascii="宋体" w:hAnsi="宋体" w:cs="仿宋_GB2312"/>
                <w:szCs w:val="21"/>
              </w:rPr>
              <w:t>电  话：</w:t>
            </w:r>
          </w:p>
        </w:tc>
        <w:tc>
          <w:tcPr>
            <w:tcW w:w="3785" w:type="dxa"/>
            <w:shd w:val="clear" w:color="auto" w:fill="auto"/>
          </w:tcPr>
          <w:p w14:paraId="608944CF">
            <w:pPr>
              <w:spacing w:line="360" w:lineRule="auto"/>
              <w:rPr>
                <w:rFonts w:ascii="宋体" w:hAnsi="宋体" w:cs="仿宋_GB2312"/>
                <w:szCs w:val="21"/>
              </w:rPr>
            </w:pPr>
            <w:r>
              <w:rPr>
                <w:rFonts w:hint="eastAsia" w:ascii="宋体" w:hAnsi="宋体" w:cs="仿宋_GB2312"/>
                <w:szCs w:val="21"/>
              </w:rPr>
              <w:t>电  话：</w:t>
            </w:r>
          </w:p>
        </w:tc>
      </w:tr>
      <w:tr w14:paraId="715335F0">
        <w:tblPrEx>
          <w:tblCellMar>
            <w:top w:w="0" w:type="dxa"/>
            <w:left w:w="108" w:type="dxa"/>
            <w:bottom w:w="0" w:type="dxa"/>
            <w:right w:w="108" w:type="dxa"/>
          </w:tblCellMar>
        </w:tblPrEx>
        <w:tc>
          <w:tcPr>
            <w:tcW w:w="3727" w:type="dxa"/>
            <w:shd w:val="clear" w:color="auto" w:fill="auto"/>
          </w:tcPr>
          <w:p w14:paraId="430F102A">
            <w:pPr>
              <w:spacing w:line="360" w:lineRule="auto"/>
              <w:rPr>
                <w:rFonts w:ascii="宋体" w:hAnsi="宋体" w:cs="仿宋_GB2312"/>
                <w:szCs w:val="21"/>
              </w:rPr>
            </w:pPr>
            <w:r>
              <w:rPr>
                <w:rFonts w:hint="eastAsia" w:ascii="宋体" w:hAnsi="宋体" w:cs="仿宋_GB2312"/>
                <w:szCs w:val="21"/>
              </w:rPr>
              <w:t>传  真：</w:t>
            </w:r>
          </w:p>
        </w:tc>
        <w:tc>
          <w:tcPr>
            <w:tcW w:w="3785" w:type="dxa"/>
            <w:shd w:val="clear" w:color="auto" w:fill="auto"/>
          </w:tcPr>
          <w:p w14:paraId="6378E707">
            <w:pPr>
              <w:spacing w:line="360" w:lineRule="auto"/>
              <w:rPr>
                <w:rFonts w:ascii="宋体" w:hAnsi="宋体" w:cs="仿宋_GB2312"/>
                <w:szCs w:val="21"/>
              </w:rPr>
            </w:pPr>
            <w:r>
              <w:rPr>
                <w:rFonts w:hint="eastAsia" w:ascii="宋体" w:hAnsi="宋体" w:cs="仿宋_GB2312"/>
                <w:szCs w:val="21"/>
              </w:rPr>
              <w:t>传  真：</w:t>
            </w:r>
          </w:p>
        </w:tc>
      </w:tr>
      <w:tr w14:paraId="7DC84777">
        <w:tblPrEx>
          <w:tblCellMar>
            <w:top w:w="0" w:type="dxa"/>
            <w:left w:w="108" w:type="dxa"/>
            <w:bottom w:w="0" w:type="dxa"/>
            <w:right w:w="108" w:type="dxa"/>
          </w:tblCellMar>
        </w:tblPrEx>
        <w:tc>
          <w:tcPr>
            <w:tcW w:w="3727" w:type="dxa"/>
            <w:shd w:val="clear" w:color="auto" w:fill="auto"/>
          </w:tcPr>
          <w:p w14:paraId="706DBAC6">
            <w:pPr>
              <w:spacing w:line="360" w:lineRule="auto"/>
              <w:rPr>
                <w:rFonts w:ascii="宋体" w:hAnsi="宋体" w:cs="仿宋_GB2312"/>
                <w:szCs w:val="21"/>
              </w:rPr>
            </w:pPr>
            <w:r>
              <w:rPr>
                <w:rFonts w:hint="eastAsia" w:ascii="宋体" w:hAnsi="宋体" w:cs="仿宋_GB2312"/>
                <w:szCs w:val="21"/>
              </w:rPr>
              <w:t>开户银行：</w:t>
            </w:r>
          </w:p>
        </w:tc>
        <w:tc>
          <w:tcPr>
            <w:tcW w:w="3785" w:type="dxa"/>
            <w:shd w:val="clear" w:color="auto" w:fill="auto"/>
          </w:tcPr>
          <w:p w14:paraId="4D9ACD4B">
            <w:pPr>
              <w:spacing w:line="360" w:lineRule="auto"/>
              <w:rPr>
                <w:rFonts w:ascii="宋体" w:hAnsi="宋体" w:cs="仿宋_GB2312"/>
                <w:szCs w:val="21"/>
              </w:rPr>
            </w:pPr>
            <w:r>
              <w:rPr>
                <w:rFonts w:hint="eastAsia" w:ascii="宋体" w:hAnsi="宋体" w:cs="仿宋_GB2312"/>
                <w:szCs w:val="21"/>
              </w:rPr>
              <w:t>开户银行：</w:t>
            </w:r>
          </w:p>
        </w:tc>
      </w:tr>
      <w:tr w14:paraId="415ACBA7">
        <w:tblPrEx>
          <w:tblCellMar>
            <w:top w:w="0" w:type="dxa"/>
            <w:left w:w="108" w:type="dxa"/>
            <w:bottom w:w="0" w:type="dxa"/>
            <w:right w:w="108" w:type="dxa"/>
          </w:tblCellMar>
        </w:tblPrEx>
        <w:tc>
          <w:tcPr>
            <w:tcW w:w="3727" w:type="dxa"/>
            <w:shd w:val="clear" w:color="auto" w:fill="auto"/>
          </w:tcPr>
          <w:p w14:paraId="684C7B09">
            <w:pPr>
              <w:spacing w:line="360" w:lineRule="auto"/>
              <w:rPr>
                <w:rFonts w:ascii="宋体" w:hAnsi="宋体" w:cs="仿宋_GB2312"/>
                <w:szCs w:val="21"/>
              </w:rPr>
            </w:pPr>
            <w:r>
              <w:rPr>
                <w:rFonts w:hint="eastAsia" w:ascii="宋体" w:hAnsi="宋体" w:cs="仿宋_GB2312"/>
                <w:szCs w:val="21"/>
              </w:rPr>
              <w:t>账  号：</w:t>
            </w:r>
          </w:p>
        </w:tc>
        <w:tc>
          <w:tcPr>
            <w:tcW w:w="3785" w:type="dxa"/>
            <w:shd w:val="clear" w:color="auto" w:fill="auto"/>
          </w:tcPr>
          <w:p w14:paraId="103F70E9">
            <w:pPr>
              <w:spacing w:line="360" w:lineRule="auto"/>
              <w:rPr>
                <w:rFonts w:ascii="宋体" w:hAnsi="宋体" w:cs="仿宋_GB2312"/>
                <w:szCs w:val="21"/>
              </w:rPr>
            </w:pPr>
            <w:r>
              <w:rPr>
                <w:rFonts w:hint="eastAsia" w:ascii="宋体" w:hAnsi="宋体" w:cs="仿宋_GB2312"/>
                <w:szCs w:val="21"/>
              </w:rPr>
              <w:t>账  号：</w:t>
            </w:r>
          </w:p>
        </w:tc>
      </w:tr>
      <w:tr w14:paraId="7BDE5D09">
        <w:tblPrEx>
          <w:tblCellMar>
            <w:top w:w="0" w:type="dxa"/>
            <w:left w:w="108" w:type="dxa"/>
            <w:bottom w:w="0" w:type="dxa"/>
            <w:right w:w="108" w:type="dxa"/>
          </w:tblCellMar>
        </w:tblPrEx>
        <w:tc>
          <w:tcPr>
            <w:tcW w:w="3727" w:type="dxa"/>
            <w:shd w:val="clear" w:color="auto" w:fill="auto"/>
          </w:tcPr>
          <w:p w14:paraId="321FA2E5">
            <w:pPr>
              <w:spacing w:line="360" w:lineRule="auto"/>
              <w:rPr>
                <w:rFonts w:ascii="宋体" w:hAnsi="宋体" w:cs="仿宋_GB2312"/>
                <w:szCs w:val="21"/>
              </w:rPr>
            </w:pPr>
            <w:r>
              <w:rPr>
                <w:rFonts w:hint="eastAsia" w:ascii="宋体" w:hAnsi="宋体" w:cs="仿宋_GB2312"/>
                <w:szCs w:val="21"/>
              </w:rPr>
              <w:t>邮政编码：</w:t>
            </w:r>
          </w:p>
        </w:tc>
        <w:tc>
          <w:tcPr>
            <w:tcW w:w="3785" w:type="dxa"/>
            <w:shd w:val="clear" w:color="auto" w:fill="auto"/>
          </w:tcPr>
          <w:p w14:paraId="0C64209B">
            <w:pPr>
              <w:spacing w:line="360" w:lineRule="auto"/>
              <w:rPr>
                <w:rFonts w:ascii="宋体" w:hAnsi="宋体" w:cs="仿宋_GB2312"/>
                <w:szCs w:val="21"/>
              </w:rPr>
            </w:pPr>
            <w:r>
              <w:rPr>
                <w:rFonts w:hint="eastAsia" w:ascii="宋体" w:hAnsi="宋体" w:cs="仿宋_GB2312"/>
                <w:szCs w:val="21"/>
              </w:rPr>
              <w:t>邮政编码：</w:t>
            </w:r>
          </w:p>
        </w:tc>
      </w:tr>
    </w:tbl>
    <w:p w14:paraId="03E1DD35">
      <w:pPr>
        <w:spacing w:line="360" w:lineRule="auto"/>
        <w:rPr>
          <w:rFonts w:ascii="宋体" w:hAnsi="宋体" w:cs="仿宋_GB2312"/>
          <w:szCs w:val="21"/>
        </w:rPr>
      </w:pPr>
    </w:p>
    <w:p w14:paraId="6215B9DE">
      <w:pPr>
        <w:spacing w:line="360" w:lineRule="auto"/>
        <w:rPr>
          <w:rFonts w:ascii="宋体" w:hAnsi="宋体" w:cs="仿宋_GB2312"/>
          <w:b/>
          <w:szCs w:val="21"/>
        </w:rPr>
      </w:pPr>
      <w:r>
        <w:rPr>
          <w:rFonts w:hint="eastAsia" w:ascii="宋体" w:hAnsi="宋体" w:cs="仿宋_GB2312"/>
          <w:b/>
          <w:szCs w:val="21"/>
        </w:rPr>
        <w:br w:type="page"/>
      </w:r>
    </w:p>
    <w:p w14:paraId="7240E76B">
      <w:pPr>
        <w:spacing w:line="360" w:lineRule="auto"/>
        <w:rPr>
          <w:rFonts w:ascii="宋体" w:hAnsi="宋体" w:cs="仿宋_GB2312"/>
          <w:szCs w:val="21"/>
        </w:rPr>
      </w:pPr>
      <w:r>
        <w:rPr>
          <w:rFonts w:hint="eastAsia" w:ascii="宋体" w:hAnsi="宋体" w:cs="仿宋_GB2312"/>
          <w:szCs w:val="21"/>
        </w:rPr>
        <w:t>附件4：</w:t>
      </w:r>
    </w:p>
    <w:p w14:paraId="61D68B80">
      <w:pPr>
        <w:spacing w:before="156" w:beforeLines="50" w:after="156" w:afterLines="50" w:line="360" w:lineRule="auto"/>
        <w:jc w:val="center"/>
        <w:rPr>
          <w:rFonts w:ascii="宋体" w:hAnsi="宋体" w:cs="仿宋_GB2312"/>
          <w:szCs w:val="21"/>
        </w:rPr>
      </w:pPr>
      <w:r>
        <w:rPr>
          <w:rFonts w:hint="eastAsia" w:ascii="宋体" w:hAnsi="宋体" w:cs="仿宋_GB2312"/>
          <w:szCs w:val="21"/>
        </w:rPr>
        <w:t>主要建设工程文件目录</w:t>
      </w:r>
    </w:p>
    <w:tbl>
      <w:tblPr>
        <w:tblStyle w:val="47"/>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695"/>
        <w:gridCol w:w="999"/>
        <w:gridCol w:w="2044"/>
        <w:gridCol w:w="999"/>
        <w:gridCol w:w="1487"/>
        <w:gridCol w:w="1139"/>
      </w:tblGrid>
      <w:tr w14:paraId="16D3E1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695" w:type="dxa"/>
            <w:vAlign w:val="center"/>
          </w:tcPr>
          <w:p w14:paraId="54645322">
            <w:pPr>
              <w:keepNext/>
              <w:spacing w:after="120" w:line="360" w:lineRule="auto"/>
              <w:ind w:left="63" w:right="63"/>
              <w:rPr>
                <w:rFonts w:ascii="宋体" w:hAnsi="宋体" w:cs="仿宋_GB2312"/>
                <w:kern w:val="0"/>
                <w:szCs w:val="21"/>
              </w:rPr>
            </w:pPr>
            <w:r>
              <w:rPr>
                <w:rFonts w:hint="eastAsia" w:ascii="宋体" w:hAnsi="宋体" w:cs="仿宋_GB2312"/>
                <w:kern w:val="0"/>
                <w:szCs w:val="21"/>
              </w:rPr>
              <w:t>文件名称</w:t>
            </w:r>
          </w:p>
        </w:tc>
        <w:tc>
          <w:tcPr>
            <w:tcW w:w="999" w:type="dxa"/>
            <w:vAlign w:val="center"/>
          </w:tcPr>
          <w:p w14:paraId="7FCE9EBF">
            <w:pPr>
              <w:keepNext/>
              <w:spacing w:after="120" w:line="360" w:lineRule="auto"/>
              <w:ind w:left="63" w:right="63"/>
              <w:rPr>
                <w:rFonts w:ascii="宋体" w:hAnsi="宋体" w:cs="仿宋_GB2312"/>
                <w:kern w:val="0"/>
                <w:szCs w:val="21"/>
              </w:rPr>
            </w:pPr>
            <w:r>
              <w:rPr>
                <w:rFonts w:hint="eastAsia" w:ascii="宋体" w:hAnsi="宋体" w:cs="仿宋_GB2312"/>
                <w:kern w:val="0"/>
                <w:szCs w:val="21"/>
              </w:rPr>
              <w:t>套数</w:t>
            </w:r>
          </w:p>
        </w:tc>
        <w:tc>
          <w:tcPr>
            <w:tcW w:w="2044" w:type="dxa"/>
            <w:vAlign w:val="center"/>
          </w:tcPr>
          <w:p w14:paraId="10966A94">
            <w:pPr>
              <w:keepNext/>
              <w:spacing w:after="120" w:line="360" w:lineRule="auto"/>
              <w:ind w:left="63" w:right="63"/>
              <w:rPr>
                <w:rFonts w:ascii="宋体" w:hAnsi="宋体" w:cs="仿宋_GB2312"/>
                <w:kern w:val="0"/>
                <w:szCs w:val="21"/>
              </w:rPr>
            </w:pPr>
            <w:r>
              <w:rPr>
                <w:rFonts w:hint="eastAsia" w:ascii="宋体" w:hAnsi="宋体" w:cs="仿宋_GB2312"/>
                <w:kern w:val="0"/>
                <w:szCs w:val="21"/>
              </w:rPr>
              <w:t>费用（元）</w:t>
            </w:r>
          </w:p>
        </w:tc>
        <w:tc>
          <w:tcPr>
            <w:tcW w:w="999" w:type="dxa"/>
            <w:vAlign w:val="center"/>
          </w:tcPr>
          <w:p w14:paraId="4854B3DC">
            <w:pPr>
              <w:keepNext/>
              <w:spacing w:after="120" w:line="360" w:lineRule="auto"/>
              <w:ind w:left="63" w:right="63"/>
              <w:rPr>
                <w:rFonts w:ascii="宋体" w:hAnsi="宋体" w:cs="仿宋_GB2312"/>
                <w:kern w:val="0"/>
                <w:szCs w:val="21"/>
              </w:rPr>
            </w:pPr>
            <w:r>
              <w:rPr>
                <w:rFonts w:hint="eastAsia" w:ascii="宋体" w:hAnsi="宋体" w:cs="仿宋_GB2312"/>
                <w:kern w:val="0"/>
                <w:szCs w:val="21"/>
              </w:rPr>
              <w:t>质量</w:t>
            </w:r>
          </w:p>
        </w:tc>
        <w:tc>
          <w:tcPr>
            <w:tcW w:w="1487" w:type="dxa"/>
          </w:tcPr>
          <w:p w14:paraId="1B7D9CDE">
            <w:pPr>
              <w:spacing w:line="360" w:lineRule="auto"/>
              <w:jc w:val="center"/>
              <w:rPr>
                <w:rFonts w:ascii="宋体" w:hAnsi="宋体" w:cs="仿宋_GB2312"/>
                <w:szCs w:val="21"/>
              </w:rPr>
            </w:pPr>
            <w:r>
              <w:rPr>
                <w:rFonts w:hint="eastAsia" w:ascii="宋体" w:hAnsi="宋体" w:cs="仿宋_GB2312"/>
                <w:szCs w:val="21"/>
              </w:rPr>
              <w:t>移交时间</w:t>
            </w:r>
          </w:p>
        </w:tc>
        <w:tc>
          <w:tcPr>
            <w:tcW w:w="1139" w:type="dxa"/>
          </w:tcPr>
          <w:p w14:paraId="33F105C9">
            <w:pPr>
              <w:spacing w:line="360" w:lineRule="auto"/>
              <w:jc w:val="center"/>
              <w:rPr>
                <w:rFonts w:ascii="宋体" w:hAnsi="宋体" w:cs="仿宋_GB2312"/>
                <w:szCs w:val="21"/>
              </w:rPr>
            </w:pPr>
            <w:r>
              <w:rPr>
                <w:rFonts w:hint="eastAsia" w:ascii="宋体" w:hAnsi="宋体" w:cs="仿宋_GB2312"/>
                <w:szCs w:val="21"/>
              </w:rPr>
              <w:t>责任人</w:t>
            </w:r>
          </w:p>
        </w:tc>
      </w:tr>
      <w:tr w14:paraId="5DB595A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vAlign w:val="center"/>
          </w:tcPr>
          <w:p w14:paraId="132C85DE">
            <w:pPr>
              <w:keepNext/>
              <w:spacing w:after="120" w:line="360" w:lineRule="auto"/>
              <w:ind w:left="63" w:right="63"/>
              <w:rPr>
                <w:rFonts w:ascii="宋体" w:hAnsi="宋体" w:cs="仿宋_GB2312"/>
                <w:kern w:val="0"/>
                <w:szCs w:val="21"/>
              </w:rPr>
            </w:pPr>
          </w:p>
        </w:tc>
        <w:tc>
          <w:tcPr>
            <w:tcW w:w="999" w:type="dxa"/>
            <w:vAlign w:val="center"/>
          </w:tcPr>
          <w:p w14:paraId="1EA85BF4">
            <w:pPr>
              <w:keepNext/>
              <w:spacing w:after="120" w:line="360" w:lineRule="auto"/>
              <w:ind w:left="63" w:right="63"/>
              <w:rPr>
                <w:rFonts w:ascii="宋体" w:hAnsi="宋体" w:cs="仿宋_GB2312"/>
                <w:kern w:val="0"/>
                <w:szCs w:val="21"/>
              </w:rPr>
            </w:pPr>
          </w:p>
        </w:tc>
        <w:tc>
          <w:tcPr>
            <w:tcW w:w="2044" w:type="dxa"/>
            <w:vAlign w:val="center"/>
          </w:tcPr>
          <w:p w14:paraId="16E6174F">
            <w:pPr>
              <w:keepNext/>
              <w:spacing w:after="120" w:line="360" w:lineRule="auto"/>
              <w:ind w:left="63" w:right="63"/>
              <w:rPr>
                <w:rFonts w:ascii="宋体" w:hAnsi="宋体" w:cs="仿宋_GB2312"/>
                <w:kern w:val="0"/>
                <w:szCs w:val="21"/>
              </w:rPr>
            </w:pPr>
          </w:p>
        </w:tc>
        <w:tc>
          <w:tcPr>
            <w:tcW w:w="999" w:type="dxa"/>
            <w:vAlign w:val="center"/>
          </w:tcPr>
          <w:p w14:paraId="12D2E17B">
            <w:pPr>
              <w:keepNext/>
              <w:spacing w:after="120" w:line="360" w:lineRule="auto"/>
              <w:ind w:left="63" w:right="63"/>
              <w:rPr>
                <w:rFonts w:ascii="宋体" w:hAnsi="宋体" w:cs="仿宋_GB2312"/>
                <w:kern w:val="0"/>
                <w:szCs w:val="21"/>
              </w:rPr>
            </w:pPr>
          </w:p>
        </w:tc>
        <w:tc>
          <w:tcPr>
            <w:tcW w:w="1487" w:type="dxa"/>
            <w:vAlign w:val="center"/>
          </w:tcPr>
          <w:p w14:paraId="4BAC5157">
            <w:pPr>
              <w:keepNext/>
              <w:spacing w:after="120" w:line="360" w:lineRule="auto"/>
              <w:ind w:left="63" w:right="63"/>
              <w:rPr>
                <w:rFonts w:ascii="宋体" w:hAnsi="宋体" w:cs="仿宋_GB2312"/>
                <w:kern w:val="0"/>
                <w:szCs w:val="21"/>
              </w:rPr>
            </w:pPr>
          </w:p>
        </w:tc>
        <w:tc>
          <w:tcPr>
            <w:tcW w:w="1139" w:type="dxa"/>
            <w:vAlign w:val="center"/>
          </w:tcPr>
          <w:p w14:paraId="3A0857F2">
            <w:pPr>
              <w:keepNext/>
              <w:spacing w:after="120" w:line="360" w:lineRule="auto"/>
              <w:ind w:left="63" w:right="63"/>
              <w:rPr>
                <w:rFonts w:ascii="宋体" w:hAnsi="宋体" w:cs="仿宋_GB2312"/>
                <w:kern w:val="0"/>
                <w:szCs w:val="21"/>
              </w:rPr>
            </w:pPr>
          </w:p>
        </w:tc>
      </w:tr>
      <w:tr w14:paraId="41F5316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vAlign w:val="center"/>
          </w:tcPr>
          <w:p w14:paraId="628292A5">
            <w:pPr>
              <w:keepNext/>
              <w:spacing w:after="120" w:line="360" w:lineRule="auto"/>
              <w:ind w:left="63" w:right="63"/>
              <w:rPr>
                <w:rFonts w:ascii="宋体" w:hAnsi="宋体" w:cs="仿宋_GB2312"/>
                <w:kern w:val="0"/>
                <w:szCs w:val="21"/>
              </w:rPr>
            </w:pPr>
          </w:p>
        </w:tc>
        <w:tc>
          <w:tcPr>
            <w:tcW w:w="999" w:type="dxa"/>
            <w:vAlign w:val="center"/>
          </w:tcPr>
          <w:p w14:paraId="256C7F4B">
            <w:pPr>
              <w:keepNext/>
              <w:spacing w:after="120" w:line="360" w:lineRule="auto"/>
              <w:ind w:left="63" w:right="63"/>
              <w:rPr>
                <w:rFonts w:ascii="宋体" w:hAnsi="宋体" w:cs="仿宋_GB2312"/>
                <w:kern w:val="0"/>
                <w:szCs w:val="21"/>
              </w:rPr>
            </w:pPr>
          </w:p>
        </w:tc>
        <w:tc>
          <w:tcPr>
            <w:tcW w:w="2044" w:type="dxa"/>
            <w:vAlign w:val="center"/>
          </w:tcPr>
          <w:p w14:paraId="0AFEF6F2">
            <w:pPr>
              <w:keepNext/>
              <w:spacing w:after="120" w:line="360" w:lineRule="auto"/>
              <w:ind w:left="63" w:right="63"/>
              <w:rPr>
                <w:rFonts w:ascii="宋体" w:hAnsi="宋体" w:cs="仿宋_GB2312"/>
                <w:kern w:val="0"/>
                <w:szCs w:val="21"/>
              </w:rPr>
            </w:pPr>
          </w:p>
        </w:tc>
        <w:tc>
          <w:tcPr>
            <w:tcW w:w="999" w:type="dxa"/>
            <w:vAlign w:val="center"/>
          </w:tcPr>
          <w:p w14:paraId="642A93E5">
            <w:pPr>
              <w:keepNext/>
              <w:spacing w:after="120" w:line="360" w:lineRule="auto"/>
              <w:ind w:left="63" w:right="63"/>
              <w:rPr>
                <w:rFonts w:ascii="宋体" w:hAnsi="宋体" w:cs="仿宋_GB2312"/>
                <w:kern w:val="0"/>
                <w:szCs w:val="21"/>
              </w:rPr>
            </w:pPr>
          </w:p>
        </w:tc>
        <w:tc>
          <w:tcPr>
            <w:tcW w:w="1487" w:type="dxa"/>
            <w:vAlign w:val="center"/>
          </w:tcPr>
          <w:p w14:paraId="7AA2E1EE">
            <w:pPr>
              <w:keepNext/>
              <w:spacing w:after="120" w:line="360" w:lineRule="auto"/>
              <w:ind w:left="63" w:right="63"/>
              <w:rPr>
                <w:rFonts w:ascii="宋体" w:hAnsi="宋体" w:cs="仿宋_GB2312"/>
                <w:kern w:val="0"/>
                <w:szCs w:val="21"/>
              </w:rPr>
            </w:pPr>
          </w:p>
        </w:tc>
        <w:tc>
          <w:tcPr>
            <w:tcW w:w="1139" w:type="dxa"/>
            <w:vAlign w:val="center"/>
          </w:tcPr>
          <w:p w14:paraId="3C72F996">
            <w:pPr>
              <w:keepNext/>
              <w:spacing w:after="120" w:line="360" w:lineRule="auto"/>
              <w:ind w:left="63" w:right="63"/>
              <w:rPr>
                <w:rFonts w:ascii="宋体" w:hAnsi="宋体" w:cs="仿宋_GB2312"/>
                <w:kern w:val="0"/>
                <w:szCs w:val="21"/>
              </w:rPr>
            </w:pPr>
          </w:p>
        </w:tc>
      </w:tr>
      <w:tr w14:paraId="0381B1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vAlign w:val="center"/>
          </w:tcPr>
          <w:p w14:paraId="6E9385B0">
            <w:pPr>
              <w:keepNext/>
              <w:spacing w:after="120" w:line="360" w:lineRule="auto"/>
              <w:ind w:left="63" w:right="63"/>
              <w:rPr>
                <w:rFonts w:ascii="宋体" w:hAnsi="宋体" w:cs="仿宋_GB2312"/>
                <w:kern w:val="0"/>
                <w:szCs w:val="21"/>
              </w:rPr>
            </w:pPr>
          </w:p>
        </w:tc>
        <w:tc>
          <w:tcPr>
            <w:tcW w:w="999" w:type="dxa"/>
            <w:vAlign w:val="center"/>
          </w:tcPr>
          <w:p w14:paraId="729ABC3C">
            <w:pPr>
              <w:keepNext/>
              <w:spacing w:after="120" w:line="360" w:lineRule="auto"/>
              <w:ind w:left="63" w:right="63"/>
              <w:rPr>
                <w:rFonts w:ascii="宋体" w:hAnsi="宋体" w:cs="仿宋_GB2312"/>
                <w:kern w:val="0"/>
                <w:szCs w:val="21"/>
              </w:rPr>
            </w:pPr>
          </w:p>
        </w:tc>
        <w:tc>
          <w:tcPr>
            <w:tcW w:w="2044" w:type="dxa"/>
            <w:vAlign w:val="center"/>
          </w:tcPr>
          <w:p w14:paraId="1EA9A2EE">
            <w:pPr>
              <w:keepNext/>
              <w:spacing w:after="120" w:line="360" w:lineRule="auto"/>
              <w:ind w:left="63" w:right="63"/>
              <w:rPr>
                <w:rFonts w:ascii="宋体" w:hAnsi="宋体" w:cs="仿宋_GB2312"/>
                <w:kern w:val="0"/>
                <w:szCs w:val="21"/>
              </w:rPr>
            </w:pPr>
          </w:p>
        </w:tc>
        <w:tc>
          <w:tcPr>
            <w:tcW w:w="999" w:type="dxa"/>
            <w:vAlign w:val="center"/>
          </w:tcPr>
          <w:p w14:paraId="5D791E7A">
            <w:pPr>
              <w:keepNext/>
              <w:spacing w:after="120" w:line="360" w:lineRule="auto"/>
              <w:ind w:left="63" w:right="63"/>
              <w:rPr>
                <w:rFonts w:ascii="宋体" w:hAnsi="宋体" w:cs="仿宋_GB2312"/>
                <w:kern w:val="0"/>
                <w:szCs w:val="21"/>
              </w:rPr>
            </w:pPr>
          </w:p>
        </w:tc>
        <w:tc>
          <w:tcPr>
            <w:tcW w:w="1487" w:type="dxa"/>
            <w:vAlign w:val="center"/>
          </w:tcPr>
          <w:p w14:paraId="29510D5B">
            <w:pPr>
              <w:keepNext/>
              <w:spacing w:after="120" w:line="360" w:lineRule="auto"/>
              <w:ind w:left="63" w:right="63"/>
              <w:rPr>
                <w:rFonts w:ascii="宋体" w:hAnsi="宋体" w:cs="仿宋_GB2312"/>
                <w:kern w:val="0"/>
                <w:szCs w:val="21"/>
              </w:rPr>
            </w:pPr>
          </w:p>
        </w:tc>
        <w:tc>
          <w:tcPr>
            <w:tcW w:w="1139" w:type="dxa"/>
            <w:vAlign w:val="center"/>
          </w:tcPr>
          <w:p w14:paraId="3DA2D8DD">
            <w:pPr>
              <w:keepNext/>
              <w:spacing w:after="120" w:line="360" w:lineRule="auto"/>
              <w:ind w:left="63" w:right="63"/>
              <w:rPr>
                <w:rFonts w:ascii="宋体" w:hAnsi="宋体" w:cs="仿宋_GB2312"/>
                <w:kern w:val="0"/>
                <w:szCs w:val="21"/>
              </w:rPr>
            </w:pPr>
          </w:p>
        </w:tc>
      </w:tr>
      <w:tr w14:paraId="276C14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vAlign w:val="center"/>
          </w:tcPr>
          <w:p w14:paraId="21C64570">
            <w:pPr>
              <w:keepNext/>
              <w:spacing w:after="120" w:line="360" w:lineRule="auto"/>
              <w:ind w:left="63" w:right="63"/>
              <w:rPr>
                <w:rFonts w:ascii="宋体" w:hAnsi="宋体" w:cs="仿宋_GB2312"/>
                <w:kern w:val="0"/>
                <w:szCs w:val="21"/>
              </w:rPr>
            </w:pPr>
          </w:p>
        </w:tc>
        <w:tc>
          <w:tcPr>
            <w:tcW w:w="999" w:type="dxa"/>
            <w:vAlign w:val="center"/>
          </w:tcPr>
          <w:p w14:paraId="73EBFECE">
            <w:pPr>
              <w:keepNext/>
              <w:spacing w:after="120" w:line="360" w:lineRule="auto"/>
              <w:ind w:left="63" w:right="63"/>
              <w:rPr>
                <w:rFonts w:ascii="宋体" w:hAnsi="宋体" w:cs="仿宋_GB2312"/>
                <w:kern w:val="0"/>
                <w:szCs w:val="21"/>
              </w:rPr>
            </w:pPr>
          </w:p>
        </w:tc>
        <w:tc>
          <w:tcPr>
            <w:tcW w:w="2044" w:type="dxa"/>
            <w:vAlign w:val="center"/>
          </w:tcPr>
          <w:p w14:paraId="1F416A52">
            <w:pPr>
              <w:keepNext/>
              <w:spacing w:after="120" w:line="360" w:lineRule="auto"/>
              <w:ind w:left="63" w:right="63"/>
              <w:rPr>
                <w:rFonts w:ascii="宋体" w:hAnsi="宋体" w:cs="仿宋_GB2312"/>
                <w:kern w:val="0"/>
                <w:szCs w:val="21"/>
              </w:rPr>
            </w:pPr>
          </w:p>
        </w:tc>
        <w:tc>
          <w:tcPr>
            <w:tcW w:w="999" w:type="dxa"/>
            <w:vAlign w:val="center"/>
          </w:tcPr>
          <w:p w14:paraId="00EB02C9">
            <w:pPr>
              <w:keepNext/>
              <w:spacing w:after="120" w:line="360" w:lineRule="auto"/>
              <w:ind w:left="63" w:right="63"/>
              <w:rPr>
                <w:rFonts w:ascii="宋体" w:hAnsi="宋体" w:cs="仿宋_GB2312"/>
                <w:kern w:val="0"/>
                <w:szCs w:val="21"/>
              </w:rPr>
            </w:pPr>
          </w:p>
        </w:tc>
        <w:tc>
          <w:tcPr>
            <w:tcW w:w="1487" w:type="dxa"/>
            <w:vAlign w:val="center"/>
          </w:tcPr>
          <w:p w14:paraId="703C94CA">
            <w:pPr>
              <w:keepNext/>
              <w:spacing w:after="120" w:line="360" w:lineRule="auto"/>
              <w:ind w:left="63" w:right="63"/>
              <w:rPr>
                <w:rFonts w:ascii="宋体" w:hAnsi="宋体" w:cs="仿宋_GB2312"/>
                <w:kern w:val="0"/>
                <w:szCs w:val="21"/>
              </w:rPr>
            </w:pPr>
          </w:p>
        </w:tc>
        <w:tc>
          <w:tcPr>
            <w:tcW w:w="1139" w:type="dxa"/>
            <w:vAlign w:val="center"/>
          </w:tcPr>
          <w:p w14:paraId="4D009630">
            <w:pPr>
              <w:keepNext/>
              <w:spacing w:after="120" w:line="360" w:lineRule="auto"/>
              <w:ind w:left="63" w:right="63"/>
              <w:rPr>
                <w:rFonts w:ascii="宋体" w:hAnsi="宋体" w:cs="仿宋_GB2312"/>
                <w:kern w:val="0"/>
                <w:szCs w:val="21"/>
              </w:rPr>
            </w:pPr>
          </w:p>
        </w:tc>
      </w:tr>
      <w:tr w14:paraId="7B526E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55A77E1F">
            <w:pPr>
              <w:spacing w:line="360" w:lineRule="auto"/>
              <w:rPr>
                <w:rFonts w:ascii="宋体" w:hAnsi="宋体" w:cs="仿宋_GB2312"/>
                <w:szCs w:val="21"/>
              </w:rPr>
            </w:pPr>
          </w:p>
        </w:tc>
        <w:tc>
          <w:tcPr>
            <w:tcW w:w="999" w:type="dxa"/>
          </w:tcPr>
          <w:p w14:paraId="76DF081F">
            <w:pPr>
              <w:spacing w:line="360" w:lineRule="auto"/>
              <w:rPr>
                <w:rFonts w:ascii="宋体" w:hAnsi="宋体" w:cs="仿宋_GB2312"/>
                <w:szCs w:val="21"/>
              </w:rPr>
            </w:pPr>
          </w:p>
        </w:tc>
        <w:tc>
          <w:tcPr>
            <w:tcW w:w="2044" w:type="dxa"/>
          </w:tcPr>
          <w:p w14:paraId="3CC654BB">
            <w:pPr>
              <w:spacing w:line="360" w:lineRule="auto"/>
              <w:rPr>
                <w:rFonts w:ascii="宋体" w:hAnsi="宋体" w:cs="仿宋_GB2312"/>
                <w:szCs w:val="21"/>
              </w:rPr>
            </w:pPr>
          </w:p>
        </w:tc>
        <w:tc>
          <w:tcPr>
            <w:tcW w:w="999" w:type="dxa"/>
          </w:tcPr>
          <w:p w14:paraId="0136860D">
            <w:pPr>
              <w:spacing w:line="360" w:lineRule="auto"/>
              <w:rPr>
                <w:rFonts w:ascii="宋体" w:hAnsi="宋体" w:cs="仿宋_GB2312"/>
                <w:szCs w:val="21"/>
              </w:rPr>
            </w:pPr>
          </w:p>
        </w:tc>
        <w:tc>
          <w:tcPr>
            <w:tcW w:w="1487" w:type="dxa"/>
          </w:tcPr>
          <w:p w14:paraId="133D0B4F">
            <w:pPr>
              <w:spacing w:line="360" w:lineRule="auto"/>
              <w:rPr>
                <w:rFonts w:ascii="宋体" w:hAnsi="宋体" w:cs="仿宋_GB2312"/>
                <w:szCs w:val="21"/>
              </w:rPr>
            </w:pPr>
          </w:p>
        </w:tc>
        <w:tc>
          <w:tcPr>
            <w:tcW w:w="1139" w:type="dxa"/>
          </w:tcPr>
          <w:p w14:paraId="05DA33F2">
            <w:pPr>
              <w:spacing w:line="360" w:lineRule="auto"/>
              <w:rPr>
                <w:rFonts w:ascii="宋体" w:hAnsi="宋体" w:cs="仿宋_GB2312"/>
                <w:szCs w:val="21"/>
              </w:rPr>
            </w:pPr>
          </w:p>
        </w:tc>
      </w:tr>
      <w:tr w14:paraId="2A3120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vAlign w:val="center"/>
          </w:tcPr>
          <w:p w14:paraId="7B10C018">
            <w:pPr>
              <w:keepNext/>
              <w:spacing w:after="120" w:line="360" w:lineRule="auto"/>
              <w:ind w:left="63" w:right="63"/>
              <w:rPr>
                <w:rFonts w:ascii="宋体" w:hAnsi="宋体" w:cs="仿宋_GB2312"/>
                <w:kern w:val="0"/>
                <w:szCs w:val="21"/>
              </w:rPr>
            </w:pPr>
          </w:p>
        </w:tc>
        <w:tc>
          <w:tcPr>
            <w:tcW w:w="999" w:type="dxa"/>
            <w:vAlign w:val="center"/>
          </w:tcPr>
          <w:p w14:paraId="356B82D4">
            <w:pPr>
              <w:keepNext/>
              <w:spacing w:after="120" w:line="360" w:lineRule="auto"/>
              <w:ind w:left="63" w:right="63"/>
              <w:rPr>
                <w:rFonts w:ascii="宋体" w:hAnsi="宋体" w:cs="仿宋_GB2312"/>
                <w:kern w:val="0"/>
                <w:szCs w:val="21"/>
              </w:rPr>
            </w:pPr>
          </w:p>
        </w:tc>
        <w:tc>
          <w:tcPr>
            <w:tcW w:w="2044" w:type="dxa"/>
            <w:vAlign w:val="center"/>
          </w:tcPr>
          <w:p w14:paraId="35513F06">
            <w:pPr>
              <w:keepNext/>
              <w:spacing w:after="120" w:line="360" w:lineRule="auto"/>
              <w:ind w:left="63" w:right="63"/>
              <w:rPr>
                <w:rFonts w:ascii="宋体" w:hAnsi="宋体" w:cs="仿宋_GB2312"/>
                <w:kern w:val="0"/>
                <w:szCs w:val="21"/>
              </w:rPr>
            </w:pPr>
          </w:p>
        </w:tc>
        <w:tc>
          <w:tcPr>
            <w:tcW w:w="999" w:type="dxa"/>
            <w:vAlign w:val="center"/>
          </w:tcPr>
          <w:p w14:paraId="57411C72">
            <w:pPr>
              <w:keepNext/>
              <w:spacing w:after="120" w:line="360" w:lineRule="auto"/>
              <w:ind w:left="63" w:right="63"/>
              <w:rPr>
                <w:rFonts w:ascii="宋体" w:hAnsi="宋体" w:cs="仿宋_GB2312"/>
                <w:kern w:val="0"/>
                <w:szCs w:val="21"/>
              </w:rPr>
            </w:pPr>
          </w:p>
        </w:tc>
        <w:tc>
          <w:tcPr>
            <w:tcW w:w="1487" w:type="dxa"/>
            <w:vAlign w:val="center"/>
          </w:tcPr>
          <w:p w14:paraId="3C9FF6EF">
            <w:pPr>
              <w:keepNext/>
              <w:spacing w:after="120" w:line="360" w:lineRule="auto"/>
              <w:ind w:left="63" w:right="63"/>
              <w:rPr>
                <w:rFonts w:ascii="宋体" w:hAnsi="宋体" w:cs="仿宋_GB2312"/>
                <w:kern w:val="0"/>
                <w:szCs w:val="21"/>
              </w:rPr>
            </w:pPr>
          </w:p>
        </w:tc>
        <w:tc>
          <w:tcPr>
            <w:tcW w:w="1139" w:type="dxa"/>
            <w:vAlign w:val="center"/>
          </w:tcPr>
          <w:p w14:paraId="2ACA7562">
            <w:pPr>
              <w:keepNext/>
              <w:spacing w:after="120" w:line="360" w:lineRule="auto"/>
              <w:ind w:left="63" w:right="63"/>
              <w:rPr>
                <w:rFonts w:ascii="宋体" w:hAnsi="宋体" w:cs="仿宋_GB2312"/>
                <w:kern w:val="0"/>
                <w:szCs w:val="21"/>
              </w:rPr>
            </w:pPr>
          </w:p>
        </w:tc>
      </w:tr>
      <w:tr w14:paraId="42708E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48872BC7">
            <w:pPr>
              <w:spacing w:line="360" w:lineRule="auto"/>
              <w:rPr>
                <w:rFonts w:ascii="宋体" w:hAnsi="宋体" w:cs="仿宋_GB2312"/>
                <w:szCs w:val="21"/>
              </w:rPr>
            </w:pPr>
          </w:p>
        </w:tc>
        <w:tc>
          <w:tcPr>
            <w:tcW w:w="999" w:type="dxa"/>
          </w:tcPr>
          <w:p w14:paraId="0E2356B8">
            <w:pPr>
              <w:spacing w:line="360" w:lineRule="auto"/>
              <w:rPr>
                <w:rFonts w:ascii="宋体" w:hAnsi="宋体" w:cs="仿宋_GB2312"/>
                <w:szCs w:val="21"/>
              </w:rPr>
            </w:pPr>
          </w:p>
        </w:tc>
        <w:tc>
          <w:tcPr>
            <w:tcW w:w="2044" w:type="dxa"/>
          </w:tcPr>
          <w:p w14:paraId="29A7FF70">
            <w:pPr>
              <w:spacing w:line="360" w:lineRule="auto"/>
              <w:rPr>
                <w:rFonts w:ascii="宋体" w:hAnsi="宋体" w:cs="仿宋_GB2312"/>
                <w:szCs w:val="21"/>
              </w:rPr>
            </w:pPr>
          </w:p>
        </w:tc>
        <w:tc>
          <w:tcPr>
            <w:tcW w:w="999" w:type="dxa"/>
          </w:tcPr>
          <w:p w14:paraId="3F92E5E9">
            <w:pPr>
              <w:spacing w:line="360" w:lineRule="auto"/>
              <w:rPr>
                <w:rFonts w:ascii="宋体" w:hAnsi="宋体" w:cs="仿宋_GB2312"/>
                <w:szCs w:val="21"/>
              </w:rPr>
            </w:pPr>
          </w:p>
        </w:tc>
        <w:tc>
          <w:tcPr>
            <w:tcW w:w="1487" w:type="dxa"/>
          </w:tcPr>
          <w:p w14:paraId="6A50F96B">
            <w:pPr>
              <w:spacing w:line="360" w:lineRule="auto"/>
              <w:rPr>
                <w:rFonts w:ascii="宋体" w:hAnsi="宋体" w:cs="仿宋_GB2312"/>
                <w:szCs w:val="21"/>
              </w:rPr>
            </w:pPr>
          </w:p>
        </w:tc>
        <w:tc>
          <w:tcPr>
            <w:tcW w:w="1139" w:type="dxa"/>
          </w:tcPr>
          <w:p w14:paraId="3EE17D9B">
            <w:pPr>
              <w:spacing w:line="360" w:lineRule="auto"/>
              <w:rPr>
                <w:rFonts w:ascii="宋体" w:hAnsi="宋体" w:cs="仿宋_GB2312"/>
                <w:szCs w:val="21"/>
              </w:rPr>
            </w:pPr>
          </w:p>
        </w:tc>
      </w:tr>
      <w:tr w14:paraId="5575B85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6C65007B">
            <w:pPr>
              <w:spacing w:line="360" w:lineRule="auto"/>
              <w:rPr>
                <w:rFonts w:ascii="宋体" w:hAnsi="宋体" w:cs="仿宋_GB2312"/>
                <w:szCs w:val="21"/>
              </w:rPr>
            </w:pPr>
          </w:p>
        </w:tc>
        <w:tc>
          <w:tcPr>
            <w:tcW w:w="999" w:type="dxa"/>
          </w:tcPr>
          <w:p w14:paraId="658318AF">
            <w:pPr>
              <w:spacing w:line="360" w:lineRule="auto"/>
              <w:rPr>
                <w:rFonts w:ascii="宋体" w:hAnsi="宋体" w:cs="仿宋_GB2312"/>
                <w:szCs w:val="21"/>
              </w:rPr>
            </w:pPr>
          </w:p>
        </w:tc>
        <w:tc>
          <w:tcPr>
            <w:tcW w:w="2044" w:type="dxa"/>
          </w:tcPr>
          <w:p w14:paraId="7E2EEADF">
            <w:pPr>
              <w:spacing w:line="360" w:lineRule="auto"/>
              <w:rPr>
                <w:rFonts w:ascii="宋体" w:hAnsi="宋体" w:cs="仿宋_GB2312"/>
                <w:szCs w:val="21"/>
              </w:rPr>
            </w:pPr>
          </w:p>
        </w:tc>
        <w:tc>
          <w:tcPr>
            <w:tcW w:w="999" w:type="dxa"/>
          </w:tcPr>
          <w:p w14:paraId="2937C472">
            <w:pPr>
              <w:spacing w:line="360" w:lineRule="auto"/>
              <w:rPr>
                <w:rFonts w:ascii="宋体" w:hAnsi="宋体" w:cs="仿宋_GB2312"/>
                <w:szCs w:val="21"/>
              </w:rPr>
            </w:pPr>
          </w:p>
        </w:tc>
        <w:tc>
          <w:tcPr>
            <w:tcW w:w="1487" w:type="dxa"/>
          </w:tcPr>
          <w:p w14:paraId="66CDE3C6">
            <w:pPr>
              <w:spacing w:line="360" w:lineRule="auto"/>
              <w:rPr>
                <w:rFonts w:ascii="宋体" w:hAnsi="宋体" w:cs="仿宋_GB2312"/>
                <w:szCs w:val="21"/>
              </w:rPr>
            </w:pPr>
          </w:p>
        </w:tc>
        <w:tc>
          <w:tcPr>
            <w:tcW w:w="1139" w:type="dxa"/>
          </w:tcPr>
          <w:p w14:paraId="3E6640D6">
            <w:pPr>
              <w:spacing w:line="360" w:lineRule="auto"/>
              <w:rPr>
                <w:rFonts w:ascii="宋体" w:hAnsi="宋体" w:cs="仿宋_GB2312"/>
                <w:szCs w:val="21"/>
              </w:rPr>
            </w:pPr>
          </w:p>
        </w:tc>
      </w:tr>
      <w:tr w14:paraId="23DE9B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2E017CA0">
            <w:pPr>
              <w:spacing w:line="360" w:lineRule="auto"/>
              <w:rPr>
                <w:rFonts w:ascii="宋体" w:hAnsi="宋体" w:cs="仿宋_GB2312"/>
                <w:szCs w:val="21"/>
              </w:rPr>
            </w:pPr>
          </w:p>
        </w:tc>
        <w:tc>
          <w:tcPr>
            <w:tcW w:w="999" w:type="dxa"/>
          </w:tcPr>
          <w:p w14:paraId="528ECFAE">
            <w:pPr>
              <w:spacing w:line="360" w:lineRule="auto"/>
              <w:rPr>
                <w:rFonts w:ascii="宋体" w:hAnsi="宋体" w:cs="仿宋_GB2312"/>
                <w:szCs w:val="21"/>
              </w:rPr>
            </w:pPr>
          </w:p>
        </w:tc>
        <w:tc>
          <w:tcPr>
            <w:tcW w:w="2044" w:type="dxa"/>
          </w:tcPr>
          <w:p w14:paraId="60DFC0F3">
            <w:pPr>
              <w:spacing w:line="360" w:lineRule="auto"/>
              <w:rPr>
                <w:rFonts w:ascii="宋体" w:hAnsi="宋体" w:cs="仿宋_GB2312"/>
                <w:szCs w:val="21"/>
              </w:rPr>
            </w:pPr>
          </w:p>
        </w:tc>
        <w:tc>
          <w:tcPr>
            <w:tcW w:w="999" w:type="dxa"/>
          </w:tcPr>
          <w:p w14:paraId="27947E84">
            <w:pPr>
              <w:spacing w:line="360" w:lineRule="auto"/>
              <w:rPr>
                <w:rFonts w:ascii="宋体" w:hAnsi="宋体" w:cs="仿宋_GB2312"/>
                <w:szCs w:val="21"/>
              </w:rPr>
            </w:pPr>
          </w:p>
        </w:tc>
        <w:tc>
          <w:tcPr>
            <w:tcW w:w="1487" w:type="dxa"/>
          </w:tcPr>
          <w:p w14:paraId="66F1ED18">
            <w:pPr>
              <w:spacing w:line="360" w:lineRule="auto"/>
              <w:rPr>
                <w:rFonts w:ascii="宋体" w:hAnsi="宋体" w:cs="仿宋_GB2312"/>
                <w:szCs w:val="21"/>
              </w:rPr>
            </w:pPr>
          </w:p>
        </w:tc>
        <w:tc>
          <w:tcPr>
            <w:tcW w:w="1139" w:type="dxa"/>
          </w:tcPr>
          <w:p w14:paraId="58881A3D">
            <w:pPr>
              <w:spacing w:line="360" w:lineRule="auto"/>
              <w:rPr>
                <w:rFonts w:ascii="宋体" w:hAnsi="宋体" w:cs="仿宋_GB2312"/>
                <w:szCs w:val="21"/>
              </w:rPr>
            </w:pPr>
          </w:p>
        </w:tc>
      </w:tr>
      <w:tr w14:paraId="27DB33E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00136F91">
            <w:pPr>
              <w:spacing w:line="360" w:lineRule="auto"/>
              <w:rPr>
                <w:rFonts w:ascii="宋体" w:hAnsi="宋体" w:cs="仿宋_GB2312"/>
                <w:szCs w:val="21"/>
              </w:rPr>
            </w:pPr>
          </w:p>
        </w:tc>
        <w:tc>
          <w:tcPr>
            <w:tcW w:w="999" w:type="dxa"/>
          </w:tcPr>
          <w:p w14:paraId="134D96CC">
            <w:pPr>
              <w:spacing w:line="360" w:lineRule="auto"/>
              <w:rPr>
                <w:rFonts w:ascii="宋体" w:hAnsi="宋体" w:cs="仿宋_GB2312"/>
                <w:szCs w:val="21"/>
              </w:rPr>
            </w:pPr>
          </w:p>
        </w:tc>
        <w:tc>
          <w:tcPr>
            <w:tcW w:w="2044" w:type="dxa"/>
          </w:tcPr>
          <w:p w14:paraId="36432EE0">
            <w:pPr>
              <w:spacing w:line="360" w:lineRule="auto"/>
              <w:rPr>
                <w:rFonts w:ascii="宋体" w:hAnsi="宋体" w:cs="仿宋_GB2312"/>
                <w:szCs w:val="21"/>
              </w:rPr>
            </w:pPr>
          </w:p>
        </w:tc>
        <w:tc>
          <w:tcPr>
            <w:tcW w:w="999" w:type="dxa"/>
          </w:tcPr>
          <w:p w14:paraId="0E177A2B">
            <w:pPr>
              <w:spacing w:line="360" w:lineRule="auto"/>
              <w:rPr>
                <w:rFonts w:ascii="宋体" w:hAnsi="宋体" w:cs="仿宋_GB2312"/>
                <w:szCs w:val="21"/>
              </w:rPr>
            </w:pPr>
          </w:p>
        </w:tc>
        <w:tc>
          <w:tcPr>
            <w:tcW w:w="1487" w:type="dxa"/>
          </w:tcPr>
          <w:p w14:paraId="23D6A6FD">
            <w:pPr>
              <w:spacing w:line="360" w:lineRule="auto"/>
              <w:rPr>
                <w:rFonts w:ascii="宋体" w:hAnsi="宋体" w:cs="仿宋_GB2312"/>
                <w:szCs w:val="21"/>
              </w:rPr>
            </w:pPr>
          </w:p>
        </w:tc>
        <w:tc>
          <w:tcPr>
            <w:tcW w:w="1139" w:type="dxa"/>
          </w:tcPr>
          <w:p w14:paraId="30ED26E8">
            <w:pPr>
              <w:spacing w:line="360" w:lineRule="auto"/>
              <w:rPr>
                <w:rFonts w:ascii="宋体" w:hAnsi="宋体" w:cs="仿宋_GB2312"/>
                <w:szCs w:val="21"/>
              </w:rPr>
            </w:pPr>
          </w:p>
        </w:tc>
      </w:tr>
      <w:tr w14:paraId="659532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4512BFEB">
            <w:pPr>
              <w:spacing w:line="360" w:lineRule="auto"/>
              <w:rPr>
                <w:rFonts w:ascii="宋体" w:hAnsi="宋体" w:cs="仿宋_GB2312"/>
                <w:szCs w:val="21"/>
              </w:rPr>
            </w:pPr>
          </w:p>
        </w:tc>
        <w:tc>
          <w:tcPr>
            <w:tcW w:w="999" w:type="dxa"/>
          </w:tcPr>
          <w:p w14:paraId="0BB27611">
            <w:pPr>
              <w:spacing w:line="360" w:lineRule="auto"/>
              <w:rPr>
                <w:rFonts w:ascii="宋体" w:hAnsi="宋体" w:cs="仿宋_GB2312"/>
                <w:szCs w:val="21"/>
              </w:rPr>
            </w:pPr>
          </w:p>
        </w:tc>
        <w:tc>
          <w:tcPr>
            <w:tcW w:w="2044" w:type="dxa"/>
          </w:tcPr>
          <w:p w14:paraId="6971DDA7">
            <w:pPr>
              <w:spacing w:line="360" w:lineRule="auto"/>
              <w:rPr>
                <w:rFonts w:ascii="宋体" w:hAnsi="宋体" w:cs="仿宋_GB2312"/>
                <w:szCs w:val="21"/>
              </w:rPr>
            </w:pPr>
          </w:p>
        </w:tc>
        <w:tc>
          <w:tcPr>
            <w:tcW w:w="999" w:type="dxa"/>
          </w:tcPr>
          <w:p w14:paraId="0821AD18">
            <w:pPr>
              <w:spacing w:line="360" w:lineRule="auto"/>
              <w:rPr>
                <w:rFonts w:ascii="宋体" w:hAnsi="宋体" w:cs="仿宋_GB2312"/>
                <w:szCs w:val="21"/>
              </w:rPr>
            </w:pPr>
          </w:p>
        </w:tc>
        <w:tc>
          <w:tcPr>
            <w:tcW w:w="1487" w:type="dxa"/>
          </w:tcPr>
          <w:p w14:paraId="2B04E08D">
            <w:pPr>
              <w:spacing w:line="360" w:lineRule="auto"/>
              <w:rPr>
                <w:rFonts w:ascii="宋体" w:hAnsi="宋体" w:cs="仿宋_GB2312"/>
                <w:szCs w:val="21"/>
              </w:rPr>
            </w:pPr>
          </w:p>
        </w:tc>
        <w:tc>
          <w:tcPr>
            <w:tcW w:w="1139" w:type="dxa"/>
          </w:tcPr>
          <w:p w14:paraId="09D021DD">
            <w:pPr>
              <w:spacing w:line="360" w:lineRule="auto"/>
              <w:rPr>
                <w:rFonts w:ascii="宋体" w:hAnsi="宋体" w:cs="仿宋_GB2312"/>
                <w:szCs w:val="21"/>
              </w:rPr>
            </w:pPr>
          </w:p>
        </w:tc>
      </w:tr>
      <w:tr w14:paraId="14DA14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33D89652">
            <w:pPr>
              <w:spacing w:line="360" w:lineRule="auto"/>
              <w:rPr>
                <w:rFonts w:ascii="宋体" w:hAnsi="宋体" w:cs="仿宋_GB2312"/>
                <w:szCs w:val="21"/>
              </w:rPr>
            </w:pPr>
          </w:p>
        </w:tc>
        <w:tc>
          <w:tcPr>
            <w:tcW w:w="999" w:type="dxa"/>
          </w:tcPr>
          <w:p w14:paraId="186633B3">
            <w:pPr>
              <w:spacing w:line="360" w:lineRule="auto"/>
              <w:rPr>
                <w:rFonts w:ascii="宋体" w:hAnsi="宋体" w:cs="仿宋_GB2312"/>
                <w:szCs w:val="21"/>
              </w:rPr>
            </w:pPr>
          </w:p>
        </w:tc>
        <w:tc>
          <w:tcPr>
            <w:tcW w:w="2044" w:type="dxa"/>
          </w:tcPr>
          <w:p w14:paraId="7288DAD3">
            <w:pPr>
              <w:spacing w:line="360" w:lineRule="auto"/>
              <w:rPr>
                <w:rFonts w:ascii="宋体" w:hAnsi="宋体" w:cs="仿宋_GB2312"/>
                <w:szCs w:val="21"/>
              </w:rPr>
            </w:pPr>
          </w:p>
        </w:tc>
        <w:tc>
          <w:tcPr>
            <w:tcW w:w="999" w:type="dxa"/>
          </w:tcPr>
          <w:p w14:paraId="5E2EB5A1">
            <w:pPr>
              <w:spacing w:line="360" w:lineRule="auto"/>
              <w:rPr>
                <w:rFonts w:ascii="宋体" w:hAnsi="宋体" w:cs="仿宋_GB2312"/>
                <w:szCs w:val="21"/>
              </w:rPr>
            </w:pPr>
          </w:p>
        </w:tc>
        <w:tc>
          <w:tcPr>
            <w:tcW w:w="1487" w:type="dxa"/>
          </w:tcPr>
          <w:p w14:paraId="1B29115E">
            <w:pPr>
              <w:spacing w:line="360" w:lineRule="auto"/>
              <w:rPr>
                <w:rFonts w:ascii="宋体" w:hAnsi="宋体" w:cs="仿宋_GB2312"/>
                <w:szCs w:val="21"/>
              </w:rPr>
            </w:pPr>
          </w:p>
        </w:tc>
        <w:tc>
          <w:tcPr>
            <w:tcW w:w="1139" w:type="dxa"/>
          </w:tcPr>
          <w:p w14:paraId="1E994792">
            <w:pPr>
              <w:spacing w:line="360" w:lineRule="auto"/>
              <w:rPr>
                <w:rFonts w:ascii="宋体" w:hAnsi="宋体" w:cs="仿宋_GB2312"/>
                <w:szCs w:val="21"/>
              </w:rPr>
            </w:pPr>
          </w:p>
        </w:tc>
      </w:tr>
      <w:tr w14:paraId="0226A5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6485C5B6">
            <w:pPr>
              <w:spacing w:line="360" w:lineRule="auto"/>
              <w:rPr>
                <w:rFonts w:ascii="宋体" w:hAnsi="宋体" w:cs="仿宋_GB2312"/>
                <w:szCs w:val="21"/>
              </w:rPr>
            </w:pPr>
          </w:p>
        </w:tc>
        <w:tc>
          <w:tcPr>
            <w:tcW w:w="999" w:type="dxa"/>
          </w:tcPr>
          <w:p w14:paraId="63C9B59B">
            <w:pPr>
              <w:spacing w:line="360" w:lineRule="auto"/>
              <w:rPr>
                <w:rFonts w:ascii="宋体" w:hAnsi="宋体" w:cs="仿宋_GB2312"/>
                <w:szCs w:val="21"/>
              </w:rPr>
            </w:pPr>
          </w:p>
        </w:tc>
        <w:tc>
          <w:tcPr>
            <w:tcW w:w="2044" w:type="dxa"/>
          </w:tcPr>
          <w:p w14:paraId="2C3746F5">
            <w:pPr>
              <w:spacing w:line="360" w:lineRule="auto"/>
              <w:rPr>
                <w:rFonts w:ascii="宋体" w:hAnsi="宋体" w:cs="仿宋_GB2312"/>
                <w:szCs w:val="21"/>
              </w:rPr>
            </w:pPr>
          </w:p>
        </w:tc>
        <w:tc>
          <w:tcPr>
            <w:tcW w:w="999" w:type="dxa"/>
          </w:tcPr>
          <w:p w14:paraId="07BCB3B9">
            <w:pPr>
              <w:spacing w:line="360" w:lineRule="auto"/>
              <w:rPr>
                <w:rFonts w:ascii="宋体" w:hAnsi="宋体" w:cs="仿宋_GB2312"/>
                <w:szCs w:val="21"/>
              </w:rPr>
            </w:pPr>
          </w:p>
        </w:tc>
        <w:tc>
          <w:tcPr>
            <w:tcW w:w="1487" w:type="dxa"/>
          </w:tcPr>
          <w:p w14:paraId="505C483A">
            <w:pPr>
              <w:spacing w:line="360" w:lineRule="auto"/>
              <w:rPr>
                <w:rFonts w:ascii="宋体" w:hAnsi="宋体" w:cs="仿宋_GB2312"/>
                <w:szCs w:val="21"/>
              </w:rPr>
            </w:pPr>
          </w:p>
        </w:tc>
        <w:tc>
          <w:tcPr>
            <w:tcW w:w="1139" w:type="dxa"/>
          </w:tcPr>
          <w:p w14:paraId="686C787E">
            <w:pPr>
              <w:spacing w:line="360" w:lineRule="auto"/>
              <w:rPr>
                <w:rFonts w:ascii="宋体" w:hAnsi="宋体" w:cs="仿宋_GB2312"/>
                <w:szCs w:val="21"/>
              </w:rPr>
            </w:pPr>
          </w:p>
        </w:tc>
      </w:tr>
      <w:tr w14:paraId="27D227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59100375">
            <w:pPr>
              <w:spacing w:line="360" w:lineRule="auto"/>
              <w:rPr>
                <w:rFonts w:ascii="宋体" w:hAnsi="宋体" w:cs="仿宋_GB2312"/>
                <w:szCs w:val="21"/>
              </w:rPr>
            </w:pPr>
          </w:p>
        </w:tc>
        <w:tc>
          <w:tcPr>
            <w:tcW w:w="999" w:type="dxa"/>
          </w:tcPr>
          <w:p w14:paraId="79837736">
            <w:pPr>
              <w:spacing w:line="360" w:lineRule="auto"/>
              <w:rPr>
                <w:rFonts w:ascii="宋体" w:hAnsi="宋体" w:cs="仿宋_GB2312"/>
                <w:szCs w:val="21"/>
              </w:rPr>
            </w:pPr>
          </w:p>
        </w:tc>
        <w:tc>
          <w:tcPr>
            <w:tcW w:w="2044" w:type="dxa"/>
          </w:tcPr>
          <w:p w14:paraId="1B3121DC">
            <w:pPr>
              <w:spacing w:line="360" w:lineRule="auto"/>
              <w:rPr>
                <w:rFonts w:ascii="宋体" w:hAnsi="宋体" w:cs="仿宋_GB2312"/>
                <w:szCs w:val="21"/>
              </w:rPr>
            </w:pPr>
          </w:p>
        </w:tc>
        <w:tc>
          <w:tcPr>
            <w:tcW w:w="999" w:type="dxa"/>
          </w:tcPr>
          <w:p w14:paraId="6A3E5F35">
            <w:pPr>
              <w:spacing w:line="360" w:lineRule="auto"/>
              <w:rPr>
                <w:rFonts w:ascii="宋体" w:hAnsi="宋体" w:cs="仿宋_GB2312"/>
                <w:szCs w:val="21"/>
              </w:rPr>
            </w:pPr>
          </w:p>
        </w:tc>
        <w:tc>
          <w:tcPr>
            <w:tcW w:w="1487" w:type="dxa"/>
          </w:tcPr>
          <w:p w14:paraId="1BBC984D">
            <w:pPr>
              <w:spacing w:line="360" w:lineRule="auto"/>
              <w:rPr>
                <w:rFonts w:ascii="宋体" w:hAnsi="宋体" w:cs="仿宋_GB2312"/>
                <w:szCs w:val="21"/>
              </w:rPr>
            </w:pPr>
          </w:p>
        </w:tc>
        <w:tc>
          <w:tcPr>
            <w:tcW w:w="1139" w:type="dxa"/>
          </w:tcPr>
          <w:p w14:paraId="6AEA0F3F">
            <w:pPr>
              <w:spacing w:line="360" w:lineRule="auto"/>
              <w:rPr>
                <w:rFonts w:ascii="宋体" w:hAnsi="宋体" w:cs="仿宋_GB2312"/>
                <w:szCs w:val="21"/>
              </w:rPr>
            </w:pPr>
          </w:p>
        </w:tc>
      </w:tr>
      <w:tr w14:paraId="3D442E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695" w:type="dxa"/>
          </w:tcPr>
          <w:p w14:paraId="7B086D7B">
            <w:pPr>
              <w:spacing w:line="360" w:lineRule="auto"/>
              <w:rPr>
                <w:rFonts w:ascii="宋体" w:hAnsi="宋体" w:cs="仿宋_GB2312"/>
                <w:szCs w:val="21"/>
              </w:rPr>
            </w:pPr>
          </w:p>
        </w:tc>
        <w:tc>
          <w:tcPr>
            <w:tcW w:w="999" w:type="dxa"/>
          </w:tcPr>
          <w:p w14:paraId="024368F2">
            <w:pPr>
              <w:spacing w:line="360" w:lineRule="auto"/>
              <w:rPr>
                <w:rFonts w:ascii="宋体" w:hAnsi="宋体" w:cs="仿宋_GB2312"/>
                <w:szCs w:val="21"/>
              </w:rPr>
            </w:pPr>
          </w:p>
        </w:tc>
        <w:tc>
          <w:tcPr>
            <w:tcW w:w="2044" w:type="dxa"/>
          </w:tcPr>
          <w:p w14:paraId="540673A7">
            <w:pPr>
              <w:spacing w:line="360" w:lineRule="auto"/>
              <w:rPr>
                <w:rFonts w:ascii="宋体" w:hAnsi="宋体" w:cs="仿宋_GB2312"/>
                <w:szCs w:val="21"/>
              </w:rPr>
            </w:pPr>
          </w:p>
        </w:tc>
        <w:tc>
          <w:tcPr>
            <w:tcW w:w="999" w:type="dxa"/>
          </w:tcPr>
          <w:p w14:paraId="08DA23FD">
            <w:pPr>
              <w:spacing w:line="360" w:lineRule="auto"/>
              <w:rPr>
                <w:rFonts w:ascii="宋体" w:hAnsi="宋体" w:cs="仿宋_GB2312"/>
                <w:szCs w:val="21"/>
              </w:rPr>
            </w:pPr>
          </w:p>
        </w:tc>
        <w:tc>
          <w:tcPr>
            <w:tcW w:w="1487" w:type="dxa"/>
          </w:tcPr>
          <w:p w14:paraId="174AD244">
            <w:pPr>
              <w:spacing w:line="360" w:lineRule="auto"/>
              <w:rPr>
                <w:rFonts w:ascii="宋体" w:hAnsi="宋体" w:cs="仿宋_GB2312"/>
                <w:szCs w:val="21"/>
              </w:rPr>
            </w:pPr>
          </w:p>
        </w:tc>
        <w:tc>
          <w:tcPr>
            <w:tcW w:w="1139" w:type="dxa"/>
          </w:tcPr>
          <w:p w14:paraId="416C1A63">
            <w:pPr>
              <w:spacing w:line="360" w:lineRule="auto"/>
              <w:rPr>
                <w:rFonts w:ascii="宋体" w:hAnsi="宋体" w:cs="仿宋_GB2312"/>
                <w:szCs w:val="21"/>
              </w:rPr>
            </w:pPr>
          </w:p>
        </w:tc>
      </w:tr>
    </w:tbl>
    <w:p w14:paraId="3A2C2C16">
      <w:pPr>
        <w:spacing w:line="360" w:lineRule="auto"/>
        <w:rPr>
          <w:rFonts w:ascii="宋体" w:hAnsi="宋体" w:cs="仿宋_GB2312"/>
          <w:szCs w:val="21"/>
        </w:rPr>
      </w:pPr>
    </w:p>
    <w:p w14:paraId="068D2946">
      <w:pPr>
        <w:spacing w:line="360" w:lineRule="auto"/>
        <w:rPr>
          <w:rFonts w:ascii="宋体" w:hAnsi="宋体" w:cs="仿宋_GB2312"/>
          <w:szCs w:val="21"/>
        </w:rPr>
      </w:pPr>
      <w:r>
        <w:rPr>
          <w:rFonts w:hint="eastAsia" w:ascii="宋体" w:hAnsi="宋体" w:cs="仿宋_GB2312"/>
          <w:szCs w:val="21"/>
        </w:rPr>
        <w:br w:type="page"/>
      </w:r>
    </w:p>
    <w:p w14:paraId="1463E72F">
      <w:pPr>
        <w:spacing w:line="360" w:lineRule="auto"/>
        <w:rPr>
          <w:rFonts w:ascii="宋体" w:hAnsi="宋体" w:cs="仿宋_GB2312"/>
          <w:szCs w:val="21"/>
        </w:rPr>
      </w:pPr>
      <w:r>
        <w:rPr>
          <w:rFonts w:hint="eastAsia" w:ascii="宋体" w:hAnsi="宋体" w:cs="仿宋_GB2312"/>
          <w:szCs w:val="21"/>
        </w:rPr>
        <w:t>附</w:t>
      </w:r>
      <w:bookmarkStart w:id="658" w:name="_Toc296346728"/>
      <w:bookmarkStart w:id="659" w:name="_Toc296891055"/>
      <w:bookmarkStart w:id="660" w:name="_Toc296944566"/>
      <w:bookmarkStart w:id="661" w:name="_Toc296503227"/>
      <w:bookmarkStart w:id="662" w:name="_Toc296891267"/>
      <w:bookmarkStart w:id="663" w:name="_Toc296347226"/>
      <w:bookmarkStart w:id="664" w:name="_Toc267261698"/>
      <w:r>
        <w:rPr>
          <w:rFonts w:hint="eastAsia" w:ascii="宋体" w:hAnsi="宋体" w:cs="仿宋_GB2312"/>
          <w:szCs w:val="21"/>
        </w:rPr>
        <w:t>件5：</w:t>
      </w:r>
    </w:p>
    <w:bookmarkEnd w:id="658"/>
    <w:bookmarkEnd w:id="659"/>
    <w:bookmarkEnd w:id="660"/>
    <w:bookmarkEnd w:id="661"/>
    <w:bookmarkEnd w:id="662"/>
    <w:bookmarkEnd w:id="663"/>
    <w:bookmarkEnd w:id="664"/>
    <w:p w14:paraId="121FB144">
      <w:pPr>
        <w:spacing w:before="156" w:beforeLines="50" w:after="156" w:afterLines="50" w:line="360" w:lineRule="auto"/>
        <w:jc w:val="center"/>
        <w:rPr>
          <w:rFonts w:ascii="宋体" w:hAnsi="宋体" w:cs="仿宋_GB2312"/>
          <w:szCs w:val="21"/>
        </w:rPr>
      </w:pPr>
      <w:r>
        <w:rPr>
          <w:rFonts w:hint="eastAsia" w:ascii="宋体" w:hAnsi="宋体" w:cs="仿宋_GB2312"/>
          <w:szCs w:val="21"/>
        </w:rPr>
        <w:t>承包人用于本工程施工的机械设备表</w:t>
      </w:r>
    </w:p>
    <w:tbl>
      <w:tblPr>
        <w:tblStyle w:val="47"/>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73"/>
        <w:gridCol w:w="1429"/>
        <w:gridCol w:w="928"/>
        <w:gridCol w:w="682"/>
        <w:gridCol w:w="661"/>
        <w:gridCol w:w="1075"/>
        <w:gridCol w:w="1261"/>
        <w:gridCol w:w="987"/>
        <w:gridCol w:w="667"/>
      </w:tblGrid>
      <w:tr w14:paraId="12F3B5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73" w:type="dxa"/>
            <w:vAlign w:val="center"/>
          </w:tcPr>
          <w:p w14:paraId="6D04C406">
            <w:pPr>
              <w:keepNext/>
              <w:spacing w:after="120" w:line="360" w:lineRule="auto"/>
              <w:ind w:left="63" w:right="63"/>
              <w:rPr>
                <w:rFonts w:ascii="宋体" w:hAnsi="宋体" w:cs="仿宋_GB2312"/>
                <w:kern w:val="0"/>
                <w:szCs w:val="21"/>
              </w:rPr>
            </w:pPr>
            <w:r>
              <w:rPr>
                <w:rFonts w:hint="eastAsia" w:ascii="宋体" w:hAnsi="宋体" w:cs="仿宋_GB2312"/>
                <w:kern w:val="0"/>
                <w:szCs w:val="21"/>
              </w:rPr>
              <w:t>序号</w:t>
            </w:r>
          </w:p>
        </w:tc>
        <w:tc>
          <w:tcPr>
            <w:tcW w:w="1429" w:type="dxa"/>
            <w:vAlign w:val="center"/>
          </w:tcPr>
          <w:p w14:paraId="0A00AF27">
            <w:pPr>
              <w:keepNext/>
              <w:spacing w:after="120" w:line="360" w:lineRule="auto"/>
              <w:ind w:left="63" w:right="63"/>
              <w:rPr>
                <w:rFonts w:ascii="宋体" w:hAnsi="宋体" w:cs="仿宋_GB2312"/>
                <w:kern w:val="0"/>
                <w:szCs w:val="21"/>
              </w:rPr>
            </w:pPr>
            <w:r>
              <w:rPr>
                <w:rFonts w:hint="eastAsia" w:ascii="宋体" w:hAnsi="宋体" w:cs="仿宋_GB2312"/>
                <w:kern w:val="0"/>
                <w:szCs w:val="21"/>
              </w:rPr>
              <w:t>机械或设备名称</w:t>
            </w:r>
          </w:p>
        </w:tc>
        <w:tc>
          <w:tcPr>
            <w:tcW w:w="928" w:type="dxa"/>
            <w:vAlign w:val="center"/>
          </w:tcPr>
          <w:p w14:paraId="5FDB15A6">
            <w:pPr>
              <w:keepNext/>
              <w:spacing w:after="120" w:line="360" w:lineRule="auto"/>
              <w:ind w:left="63" w:right="63"/>
              <w:rPr>
                <w:rFonts w:ascii="宋体" w:hAnsi="宋体" w:cs="仿宋_GB2312"/>
                <w:kern w:val="0"/>
                <w:szCs w:val="21"/>
              </w:rPr>
            </w:pPr>
            <w:r>
              <w:rPr>
                <w:rFonts w:hint="eastAsia" w:ascii="宋体" w:hAnsi="宋体" w:cs="仿宋_GB2312"/>
                <w:kern w:val="0"/>
                <w:szCs w:val="21"/>
              </w:rPr>
              <w:t>规格型号</w:t>
            </w:r>
          </w:p>
        </w:tc>
        <w:tc>
          <w:tcPr>
            <w:tcW w:w="682" w:type="dxa"/>
            <w:vAlign w:val="center"/>
          </w:tcPr>
          <w:p w14:paraId="05134A35">
            <w:pPr>
              <w:keepNext/>
              <w:spacing w:after="120" w:line="360" w:lineRule="auto"/>
              <w:ind w:left="63" w:right="63"/>
              <w:rPr>
                <w:rFonts w:ascii="宋体" w:hAnsi="宋体" w:cs="仿宋_GB2312"/>
                <w:kern w:val="0"/>
                <w:szCs w:val="21"/>
              </w:rPr>
            </w:pPr>
            <w:r>
              <w:rPr>
                <w:rFonts w:hint="eastAsia" w:ascii="宋体" w:hAnsi="宋体" w:cs="仿宋_GB2312"/>
                <w:kern w:val="0"/>
                <w:szCs w:val="21"/>
              </w:rPr>
              <w:t>数量</w:t>
            </w:r>
          </w:p>
        </w:tc>
        <w:tc>
          <w:tcPr>
            <w:tcW w:w="661" w:type="dxa"/>
            <w:vAlign w:val="center"/>
          </w:tcPr>
          <w:p w14:paraId="11309D43">
            <w:pPr>
              <w:keepNext/>
              <w:spacing w:after="120" w:line="360" w:lineRule="auto"/>
              <w:ind w:left="63" w:right="63"/>
              <w:rPr>
                <w:rFonts w:ascii="宋体" w:hAnsi="宋体" w:cs="仿宋_GB2312"/>
                <w:kern w:val="0"/>
                <w:szCs w:val="21"/>
              </w:rPr>
            </w:pPr>
            <w:r>
              <w:rPr>
                <w:rFonts w:hint="eastAsia" w:ascii="宋体" w:hAnsi="宋体" w:cs="仿宋_GB2312"/>
                <w:kern w:val="0"/>
                <w:szCs w:val="21"/>
              </w:rPr>
              <w:t>产地</w:t>
            </w:r>
          </w:p>
        </w:tc>
        <w:tc>
          <w:tcPr>
            <w:tcW w:w="1075" w:type="dxa"/>
            <w:vAlign w:val="center"/>
          </w:tcPr>
          <w:p w14:paraId="763FF789">
            <w:pPr>
              <w:keepNext/>
              <w:spacing w:after="120" w:line="360" w:lineRule="auto"/>
              <w:ind w:left="63" w:right="63"/>
              <w:rPr>
                <w:rFonts w:ascii="宋体" w:hAnsi="宋体" w:cs="仿宋_GB2312"/>
                <w:kern w:val="0"/>
                <w:szCs w:val="21"/>
              </w:rPr>
            </w:pPr>
            <w:r>
              <w:rPr>
                <w:rFonts w:hint="eastAsia" w:ascii="宋体" w:hAnsi="宋体" w:cs="仿宋_GB2312"/>
                <w:kern w:val="0"/>
                <w:szCs w:val="21"/>
              </w:rPr>
              <w:t>制造年份</w:t>
            </w:r>
          </w:p>
        </w:tc>
        <w:tc>
          <w:tcPr>
            <w:tcW w:w="1261" w:type="dxa"/>
            <w:vAlign w:val="center"/>
          </w:tcPr>
          <w:p w14:paraId="00EC1548">
            <w:pPr>
              <w:keepNext/>
              <w:spacing w:after="120" w:line="360" w:lineRule="auto"/>
              <w:ind w:left="63" w:right="63"/>
              <w:rPr>
                <w:rFonts w:ascii="宋体" w:hAnsi="宋体" w:cs="仿宋_GB2312"/>
                <w:kern w:val="0"/>
                <w:szCs w:val="21"/>
              </w:rPr>
            </w:pPr>
            <w:r>
              <w:rPr>
                <w:rFonts w:hint="eastAsia" w:ascii="宋体" w:hAnsi="宋体" w:cs="仿宋_GB2312"/>
                <w:kern w:val="0"/>
                <w:szCs w:val="21"/>
              </w:rPr>
              <w:t>额定功率(kW)</w:t>
            </w:r>
          </w:p>
        </w:tc>
        <w:tc>
          <w:tcPr>
            <w:tcW w:w="987" w:type="dxa"/>
            <w:vAlign w:val="center"/>
          </w:tcPr>
          <w:p w14:paraId="6B2F380A">
            <w:pPr>
              <w:keepNext/>
              <w:spacing w:after="120" w:line="360" w:lineRule="auto"/>
              <w:ind w:left="63" w:right="63"/>
              <w:rPr>
                <w:rFonts w:ascii="宋体" w:hAnsi="宋体" w:cs="仿宋_GB2312"/>
                <w:kern w:val="0"/>
                <w:szCs w:val="21"/>
              </w:rPr>
            </w:pPr>
            <w:r>
              <w:rPr>
                <w:rFonts w:hint="eastAsia" w:ascii="宋体" w:hAnsi="宋体" w:cs="仿宋_GB2312"/>
                <w:kern w:val="0"/>
                <w:szCs w:val="21"/>
              </w:rPr>
              <w:t>生产能力</w:t>
            </w:r>
          </w:p>
        </w:tc>
        <w:tc>
          <w:tcPr>
            <w:tcW w:w="667" w:type="dxa"/>
            <w:vAlign w:val="center"/>
          </w:tcPr>
          <w:p w14:paraId="03AB433B">
            <w:pPr>
              <w:keepNext/>
              <w:spacing w:after="120" w:line="360" w:lineRule="auto"/>
              <w:ind w:left="63" w:right="63"/>
              <w:rPr>
                <w:rFonts w:ascii="宋体" w:hAnsi="宋体" w:cs="仿宋_GB2312"/>
                <w:kern w:val="0"/>
                <w:szCs w:val="21"/>
              </w:rPr>
            </w:pPr>
            <w:r>
              <w:rPr>
                <w:rFonts w:hint="eastAsia" w:ascii="宋体" w:hAnsi="宋体" w:cs="仿宋_GB2312"/>
                <w:kern w:val="0"/>
                <w:szCs w:val="21"/>
              </w:rPr>
              <w:t>备注</w:t>
            </w:r>
          </w:p>
        </w:tc>
      </w:tr>
      <w:tr w14:paraId="1797C9B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7A9797BD">
            <w:pPr>
              <w:keepNext/>
              <w:spacing w:after="120" w:line="360" w:lineRule="auto"/>
              <w:ind w:left="63" w:right="63"/>
              <w:rPr>
                <w:rFonts w:ascii="宋体" w:hAnsi="宋体" w:cs="仿宋_GB2312"/>
                <w:kern w:val="0"/>
                <w:szCs w:val="21"/>
              </w:rPr>
            </w:pPr>
          </w:p>
        </w:tc>
        <w:tc>
          <w:tcPr>
            <w:tcW w:w="1429" w:type="dxa"/>
            <w:vAlign w:val="center"/>
          </w:tcPr>
          <w:p w14:paraId="64A780CA">
            <w:pPr>
              <w:keepNext/>
              <w:spacing w:after="120" w:line="360" w:lineRule="auto"/>
              <w:ind w:left="63" w:right="63"/>
              <w:rPr>
                <w:rFonts w:ascii="宋体" w:hAnsi="宋体" w:cs="仿宋_GB2312"/>
                <w:kern w:val="0"/>
                <w:szCs w:val="21"/>
              </w:rPr>
            </w:pPr>
          </w:p>
        </w:tc>
        <w:tc>
          <w:tcPr>
            <w:tcW w:w="928" w:type="dxa"/>
            <w:vAlign w:val="center"/>
          </w:tcPr>
          <w:p w14:paraId="2D463C31">
            <w:pPr>
              <w:keepNext/>
              <w:spacing w:after="120" w:line="360" w:lineRule="auto"/>
              <w:ind w:left="63" w:right="63"/>
              <w:rPr>
                <w:rFonts w:ascii="宋体" w:hAnsi="宋体" w:cs="仿宋_GB2312"/>
                <w:kern w:val="0"/>
                <w:szCs w:val="21"/>
              </w:rPr>
            </w:pPr>
          </w:p>
        </w:tc>
        <w:tc>
          <w:tcPr>
            <w:tcW w:w="682" w:type="dxa"/>
            <w:vAlign w:val="center"/>
          </w:tcPr>
          <w:p w14:paraId="6E58D8E7">
            <w:pPr>
              <w:keepNext/>
              <w:spacing w:after="120" w:line="360" w:lineRule="auto"/>
              <w:ind w:left="63" w:right="63"/>
              <w:rPr>
                <w:rFonts w:ascii="宋体" w:hAnsi="宋体" w:cs="仿宋_GB2312"/>
                <w:kern w:val="0"/>
                <w:szCs w:val="21"/>
              </w:rPr>
            </w:pPr>
          </w:p>
        </w:tc>
        <w:tc>
          <w:tcPr>
            <w:tcW w:w="661" w:type="dxa"/>
            <w:vAlign w:val="center"/>
          </w:tcPr>
          <w:p w14:paraId="6A877278">
            <w:pPr>
              <w:keepNext/>
              <w:spacing w:after="120" w:line="360" w:lineRule="auto"/>
              <w:ind w:left="63" w:right="63"/>
              <w:rPr>
                <w:rFonts w:ascii="宋体" w:hAnsi="宋体" w:cs="仿宋_GB2312"/>
                <w:kern w:val="0"/>
                <w:szCs w:val="21"/>
              </w:rPr>
            </w:pPr>
          </w:p>
        </w:tc>
        <w:tc>
          <w:tcPr>
            <w:tcW w:w="1075" w:type="dxa"/>
            <w:vAlign w:val="center"/>
          </w:tcPr>
          <w:p w14:paraId="52F1A5D3">
            <w:pPr>
              <w:keepNext/>
              <w:spacing w:after="120" w:line="360" w:lineRule="auto"/>
              <w:ind w:left="63" w:right="63"/>
              <w:rPr>
                <w:rFonts w:ascii="宋体" w:hAnsi="宋体" w:cs="仿宋_GB2312"/>
                <w:kern w:val="0"/>
                <w:szCs w:val="21"/>
              </w:rPr>
            </w:pPr>
          </w:p>
        </w:tc>
        <w:tc>
          <w:tcPr>
            <w:tcW w:w="1261" w:type="dxa"/>
            <w:vAlign w:val="center"/>
          </w:tcPr>
          <w:p w14:paraId="7B50C934">
            <w:pPr>
              <w:keepNext/>
              <w:spacing w:after="120" w:line="360" w:lineRule="auto"/>
              <w:ind w:left="63" w:right="63"/>
              <w:rPr>
                <w:rFonts w:ascii="宋体" w:hAnsi="宋体" w:cs="仿宋_GB2312"/>
                <w:kern w:val="0"/>
                <w:szCs w:val="21"/>
              </w:rPr>
            </w:pPr>
          </w:p>
        </w:tc>
        <w:tc>
          <w:tcPr>
            <w:tcW w:w="987" w:type="dxa"/>
            <w:vAlign w:val="center"/>
          </w:tcPr>
          <w:p w14:paraId="05465F29">
            <w:pPr>
              <w:keepNext/>
              <w:spacing w:after="120" w:line="360" w:lineRule="auto"/>
              <w:ind w:left="63" w:right="63"/>
              <w:rPr>
                <w:rFonts w:ascii="宋体" w:hAnsi="宋体" w:cs="仿宋_GB2312"/>
                <w:kern w:val="0"/>
                <w:szCs w:val="21"/>
              </w:rPr>
            </w:pPr>
          </w:p>
        </w:tc>
        <w:tc>
          <w:tcPr>
            <w:tcW w:w="667" w:type="dxa"/>
            <w:vAlign w:val="center"/>
          </w:tcPr>
          <w:p w14:paraId="356E0A7B">
            <w:pPr>
              <w:keepNext/>
              <w:spacing w:after="120" w:line="360" w:lineRule="auto"/>
              <w:ind w:left="63" w:right="63"/>
              <w:rPr>
                <w:rFonts w:ascii="宋体" w:hAnsi="宋体" w:cs="仿宋_GB2312"/>
                <w:kern w:val="0"/>
                <w:szCs w:val="21"/>
              </w:rPr>
            </w:pPr>
          </w:p>
        </w:tc>
      </w:tr>
      <w:tr w14:paraId="62052C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14B5C275">
            <w:pPr>
              <w:keepNext/>
              <w:spacing w:after="120" w:line="360" w:lineRule="auto"/>
              <w:ind w:left="63" w:right="63"/>
              <w:rPr>
                <w:rFonts w:ascii="宋体" w:hAnsi="宋体" w:cs="仿宋_GB2312"/>
                <w:kern w:val="0"/>
                <w:szCs w:val="21"/>
              </w:rPr>
            </w:pPr>
          </w:p>
        </w:tc>
        <w:tc>
          <w:tcPr>
            <w:tcW w:w="1429" w:type="dxa"/>
            <w:vAlign w:val="center"/>
          </w:tcPr>
          <w:p w14:paraId="1B67D031">
            <w:pPr>
              <w:keepNext/>
              <w:spacing w:after="120" w:line="360" w:lineRule="auto"/>
              <w:ind w:left="63" w:right="63"/>
              <w:rPr>
                <w:rFonts w:ascii="宋体" w:hAnsi="宋体" w:cs="仿宋_GB2312"/>
                <w:kern w:val="0"/>
                <w:szCs w:val="21"/>
              </w:rPr>
            </w:pPr>
          </w:p>
        </w:tc>
        <w:tc>
          <w:tcPr>
            <w:tcW w:w="928" w:type="dxa"/>
            <w:vAlign w:val="center"/>
          </w:tcPr>
          <w:p w14:paraId="6B1F89C0">
            <w:pPr>
              <w:keepNext/>
              <w:spacing w:after="120" w:line="360" w:lineRule="auto"/>
              <w:ind w:left="63" w:right="63"/>
              <w:rPr>
                <w:rFonts w:ascii="宋体" w:hAnsi="宋体" w:cs="仿宋_GB2312"/>
                <w:kern w:val="0"/>
                <w:szCs w:val="21"/>
              </w:rPr>
            </w:pPr>
          </w:p>
        </w:tc>
        <w:tc>
          <w:tcPr>
            <w:tcW w:w="682" w:type="dxa"/>
            <w:vAlign w:val="center"/>
          </w:tcPr>
          <w:p w14:paraId="57D37477">
            <w:pPr>
              <w:keepNext/>
              <w:spacing w:after="120" w:line="360" w:lineRule="auto"/>
              <w:ind w:left="63" w:right="63"/>
              <w:rPr>
                <w:rFonts w:ascii="宋体" w:hAnsi="宋体" w:cs="仿宋_GB2312"/>
                <w:kern w:val="0"/>
                <w:szCs w:val="21"/>
              </w:rPr>
            </w:pPr>
          </w:p>
        </w:tc>
        <w:tc>
          <w:tcPr>
            <w:tcW w:w="661" w:type="dxa"/>
            <w:vAlign w:val="center"/>
          </w:tcPr>
          <w:p w14:paraId="4DF4E337">
            <w:pPr>
              <w:keepNext/>
              <w:spacing w:after="120" w:line="360" w:lineRule="auto"/>
              <w:ind w:left="63" w:right="63"/>
              <w:rPr>
                <w:rFonts w:ascii="宋体" w:hAnsi="宋体" w:cs="仿宋_GB2312"/>
                <w:kern w:val="0"/>
                <w:szCs w:val="21"/>
              </w:rPr>
            </w:pPr>
          </w:p>
        </w:tc>
        <w:tc>
          <w:tcPr>
            <w:tcW w:w="1075" w:type="dxa"/>
            <w:vAlign w:val="center"/>
          </w:tcPr>
          <w:p w14:paraId="1E769B70">
            <w:pPr>
              <w:keepNext/>
              <w:spacing w:after="120" w:line="360" w:lineRule="auto"/>
              <w:ind w:left="63" w:right="63"/>
              <w:rPr>
                <w:rFonts w:ascii="宋体" w:hAnsi="宋体" w:cs="仿宋_GB2312"/>
                <w:kern w:val="0"/>
                <w:szCs w:val="21"/>
              </w:rPr>
            </w:pPr>
          </w:p>
        </w:tc>
        <w:tc>
          <w:tcPr>
            <w:tcW w:w="1261" w:type="dxa"/>
            <w:vAlign w:val="center"/>
          </w:tcPr>
          <w:p w14:paraId="229BEC3A">
            <w:pPr>
              <w:keepNext/>
              <w:spacing w:after="120" w:line="360" w:lineRule="auto"/>
              <w:ind w:left="63" w:right="63"/>
              <w:rPr>
                <w:rFonts w:ascii="宋体" w:hAnsi="宋体" w:cs="仿宋_GB2312"/>
                <w:kern w:val="0"/>
                <w:szCs w:val="21"/>
              </w:rPr>
            </w:pPr>
          </w:p>
        </w:tc>
        <w:tc>
          <w:tcPr>
            <w:tcW w:w="987" w:type="dxa"/>
            <w:vAlign w:val="center"/>
          </w:tcPr>
          <w:p w14:paraId="79E7EB77">
            <w:pPr>
              <w:keepNext/>
              <w:spacing w:after="120" w:line="360" w:lineRule="auto"/>
              <w:ind w:left="63" w:right="63"/>
              <w:rPr>
                <w:rFonts w:ascii="宋体" w:hAnsi="宋体" w:cs="仿宋_GB2312"/>
                <w:kern w:val="0"/>
                <w:szCs w:val="21"/>
              </w:rPr>
            </w:pPr>
          </w:p>
        </w:tc>
        <w:tc>
          <w:tcPr>
            <w:tcW w:w="667" w:type="dxa"/>
            <w:vAlign w:val="center"/>
          </w:tcPr>
          <w:p w14:paraId="6297DAE2">
            <w:pPr>
              <w:keepNext/>
              <w:spacing w:after="120" w:line="360" w:lineRule="auto"/>
              <w:ind w:left="63" w:right="63"/>
              <w:rPr>
                <w:rFonts w:ascii="宋体" w:hAnsi="宋体" w:cs="仿宋_GB2312"/>
                <w:kern w:val="0"/>
                <w:szCs w:val="21"/>
              </w:rPr>
            </w:pPr>
          </w:p>
        </w:tc>
      </w:tr>
      <w:tr w14:paraId="2E1D37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71ADF960">
            <w:pPr>
              <w:keepNext/>
              <w:spacing w:after="120" w:line="360" w:lineRule="auto"/>
              <w:ind w:left="63" w:right="63"/>
              <w:rPr>
                <w:rFonts w:ascii="宋体" w:hAnsi="宋体" w:cs="仿宋_GB2312"/>
                <w:kern w:val="0"/>
                <w:szCs w:val="21"/>
              </w:rPr>
            </w:pPr>
          </w:p>
        </w:tc>
        <w:tc>
          <w:tcPr>
            <w:tcW w:w="1429" w:type="dxa"/>
            <w:vAlign w:val="center"/>
          </w:tcPr>
          <w:p w14:paraId="0E8F2F36">
            <w:pPr>
              <w:keepNext/>
              <w:spacing w:after="120" w:line="360" w:lineRule="auto"/>
              <w:ind w:left="63" w:right="63"/>
              <w:rPr>
                <w:rFonts w:ascii="宋体" w:hAnsi="宋体" w:cs="仿宋_GB2312"/>
                <w:kern w:val="0"/>
                <w:szCs w:val="21"/>
              </w:rPr>
            </w:pPr>
          </w:p>
        </w:tc>
        <w:tc>
          <w:tcPr>
            <w:tcW w:w="928" w:type="dxa"/>
            <w:vAlign w:val="center"/>
          </w:tcPr>
          <w:p w14:paraId="1CB98CCB">
            <w:pPr>
              <w:keepNext/>
              <w:spacing w:after="120" w:line="360" w:lineRule="auto"/>
              <w:ind w:left="63" w:right="63"/>
              <w:rPr>
                <w:rFonts w:ascii="宋体" w:hAnsi="宋体" w:cs="仿宋_GB2312"/>
                <w:kern w:val="0"/>
                <w:szCs w:val="21"/>
              </w:rPr>
            </w:pPr>
          </w:p>
        </w:tc>
        <w:tc>
          <w:tcPr>
            <w:tcW w:w="682" w:type="dxa"/>
            <w:vAlign w:val="center"/>
          </w:tcPr>
          <w:p w14:paraId="2D0A08DE">
            <w:pPr>
              <w:keepNext/>
              <w:spacing w:after="120" w:line="360" w:lineRule="auto"/>
              <w:ind w:left="63" w:right="63"/>
              <w:rPr>
                <w:rFonts w:ascii="宋体" w:hAnsi="宋体" w:cs="仿宋_GB2312"/>
                <w:kern w:val="0"/>
                <w:szCs w:val="21"/>
              </w:rPr>
            </w:pPr>
          </w:p>
        </w:tc>
        <w:tc>
          <w:tcPr>
            <w:tcW w:w="661" w:type="dxa"/>
            <w:vAlign w:val="center"/>
          </w:tcPr>
          <w:p w14:paraId="6ED2598A">
            <w:pPr>
              <w:keepNext/>
              <w:spacing w:after="120" w:line="360" w:lineRule="auto"/>
              <w:ind w:left="63" w:right="63"/>
              <w:rPr>
                <w:rFonts w:ascii="宋体" w:hAnsi="宋体" w:cs="仿宋_GB2312"/>
                <w:kern w:val="0"/>
                <w:szCs w:val="21"/>
              </w:rPr>
            </w:pPr>
          </w:p>
        </w:tc>
        <w:tc>
          <w:tcPr>
            <w:tcW w:w="1075" w:type="dxa"/>
            <w:vAlign w:val="center"/>
          </w:tcPr>
          <w:p w14:paraId="312A8D24">
            <w:pPr>
              <w:keepNext/>
              <w:spacing w:after="120" w:line="360" w:lineRule="auto"/>
              <w:ind w:left="63" w:right="63"/>
              <w:rPr>
                <w:rFonts w:ascii="宋体" w:hAnsi="宋体" w:cs="仿宋_GB2312"/>
                <w:kern w:val="0"/>
                <w:szCs w:val="21"/>
              </w:rPr>
            </w:pPr>
          </w:p>
        </w:tc>
        <w:tc>
          <w:tcPr>
            <w:tcW w:w="1261" w:type="dxa"/>
            <w:vAlign w:val="center"/>
          </w:tcPr>
          <w:p w14:paraId="793C956C">
            <w:pPr>
              <w:keepNext/>
              <w:spacing w:after="120" w:line="360" w:lineRule="auto"/>
              <w:ind w:left="63" w:right="63"/>
              <w:rPr>
                <w:rFonts w:ascii="宋体" w:hAnsi="宋体" w:cs="仿宋_GB2312"/>
                <w:kern w:val="0"/>
                <w:szCs w:val="21"/>
              </w:rPr>
            </w:pPr>
          </w:p>
        </w:tc>
        <w:tc>
          <w:tcPr>
            <w:tcW w:w="987" w:type="dxa"/>
            <w:vAlign w:val="center"/>
          </w:tcPr>
          <w:p w14:paraId="43768A9E">
            <w:pPr>
              <w:keepNext/>
              <w:spacing w:after="120" w:line="360" w:lineRule="auto"/>
              <w:ind w:left="63" w:right="63"/>
              <w:rPr>
                <w:rFonts w:ascii="宋体" w:hAnsi="宋体" w:cs="仿宋_GB2312"/>
                <w:kern w:val="0"/>
                <w:szCs w:val="21"/>
              </w:rPr>
            </w:pPr>
          </w:p>
        </w:tc>
        <w:tc>
          <w:tcPr>
            <w:tcW w:w="667" w:type="dxa"/>
            <w:vAlign w:val="center"/>
          </w:tcPr>
          <w:p w14:paraId="30A0F15C">
            <w:pPr>
              <w:keepNext/>
              <w:spacing w:after="120" w:line="360" w:lineRule="auto"/>
              <w:ind w:left="63" w:right="63"/>
              <w:rPr>
                <w:rFonts w:ascii="宋体" w:hAnsi="宋体" w:cs="仿宋_GB2312"/>
                <w:kern w:val="0"/>
                <w:szCs w:val="21"/>
              </w:rPr>
            </w:pPr>
          </w:p>
        </w:tc>
      </w:tr>
      <w:tr w14:paraId="68A9D23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549F7DEF">
            <w:pPr>
              <w:keepNext/>
              <w:spacing w:after="120" w:line="360" w:lineRule="auto"/>
              <w:ind w:left="63" w:right="63"/>
              <w:rPr>
                <w:rFonts w:ascii="宋体" w:hAnsi="宋体" w:cs="仿宋_GB2312"/>
                <w:kern w:val="0"/>
                <w:szCs w:val="21"/>
              </w:rPr>
            </w:pPr>
          </w:p>
        </w:tc>
        <w:tc>
          <w:tcPr>
            <w:tcW w:w="1429" w:type="dxa"/>
            <w:vAlign w:val="center"/>
          </w:tcPr>
          <w:p w14:paraId="5B5C9F1A">
            <w:pPr>
              <w:keepNext/>
              <w:spacing w:after="120" w:line="360" w:lineRule="auto"/>
              <w:ind w:left="63" w:right="63"/>
              <w:rPr>
                <w:rFonts w:ascii="宋体" w:hAnsi="宋体" w:cs="仿宋_GB2312"/>
                <w:kern w:val="0"/>
                <w:szCs w:val="21"/>
              </w:rPr>
            </w:pPr>
          </w:p>
        </w:tc>
        <w:tc>
          <w:tcPr>
            <w:tcW w:w="928" w:type="dxa"/>
            <w:vAlign w:val="center"/>
          </w:tcPr>
          <w:p w14:paraId="322366F0">
            <w:pPr>
              <w:keepNext/>
              <w:spacing w:after="120" w:line="360" w:lineRule="auto"/>
              <w:ind w:left="63" w:right="63"/>
              <w:rPr>
                <w:rFonts w:ascii="宋体" w:hAnsi="宋体" w:cs="仿宋_GB2312"/>
                <w:kern w:val="0"/>
                <w:szCs w:val="21"/>
              </w:rPr>
            </w:pPr>
          </w:p>
        </w:tc>
        <w:tc>
          <w:tcPr>
            <w:tcW w:w="682" w:type="dxa"/>
            <w:vAlign w:val="center"/>
          </w:tcPr>
          <w:p w14:paraId="676F1225">
            <w:pPr>
              <w:keepNext/>
              <w:spacing w:after="120" w:line="360" w:lineRule="auto"/>
              <w:ind w:left="63" w:right="63"/>
              <w:rPr>
                <w:rFonts w:ascii="宋体" w:hAnsi="宋体" w:cs="仿宋_GB2312"/>
                <w:kern w:val="0"/>
                <w:szCs w:val="21"/>
              </w:rPr>
            </w:pPr>
          </w:p>
        </w:tc>
        <w:tc>
          <w:tcPr>
            <w:tcW w:w="661" w:type="dxa"/>
            <w:vAlign w:val="center"/>
          </w:tcPr>
          <w:p w14:paraId="7C74575F">
            <w:pPr>
              <w:keepNext/>
              <w:spacing w:after="120" w:line="360" w:lineRule="auto"/>
              <w:ind w:left="63" w:right="63"/>
              <w:rPr>
                <w:rFonts w:ascii="宋体" w:hAnsi="宋体" w:cs="仿宋_GB2312"/>
                <w:kern w:val="0"/>
                <w:szCs w:val="21"/>
              </w:rPr>
            </w:pPr>
          </w:p>
        </w:tc>
        <w:tc>
          <w:tcPr>
            <w:tcW w:w="1075" w:type="dxa"/>
            <w:vAlign w:val="center"/>
          </w:tcPr>
          <w:p w14:paraId="2263642F">
            <w:pPr>
              <w:keepNext/>
              <w:spacing w:after="120" w:line="360" w:lineRule="auto"/>
              <w:ind w:left="63" w:right="63"/>
              <w:rPr>
                <w:rFonts w:ascii="宋体" w:hAnsi="宋体" w:cs="仿宋_GB2312"/>
                <w:kern w:val="0"/>
                <w:szCs w:val="21"/>
              </w:rPr>
            </w:pPr>
          </w:p>
        </w:tc>
        <w:tc>
          <w:tcPr>
            <w:tcW w:w="1261" w:type="dxa"/>
            <w:vAlign w:val="center"/>
          </w:tcPr>
          <w:p w14:paraId="315D764C">
            <w:pPr>
              <w:keepNext/>
              <w:spacing w:after="120" w:line="360" w:lineRule="auto"/>
              <w:ind w:left="63" w:right="63"/>
              <w:rPr>
                <w:rFonts w:ascii="宋体" w:hAnsi="宋体" w:cs="仿宋_GB2312"/>
                <w:kern w:val="0"/>
                <w:szCs w:val="21"/>
              </w:rPr>
            </w:pPr>
          </w:p>
        </w:tc>
        <w:tc>
          <w:tcPr>
            <w:tcW w:w="987" w:type="dxa"/>
            <w:vAlign w:val="center"/>
          </w:tcPr>
          <w:p w14:paraId="2E67AAE6">
            <w:pPr>
              <w:keepNext/>
              <w:spacing w:after="120" w:line="360" w:lineRule="auto"/>
              <w:ind w:left="63" w:right="63"/>
              <w:rPr>
                <w:rFonts w:ascii="宋体" w:hAnsi="宋体" w:cs="仿宋_GB2312"/>
                <w:kern w:val="0"/>
                <w:szCs w:val="21"/>
              </w:rPr>
            </w:pPr>
          </w:p>
        </w:tc>
        <w:tc>
          <w:tcPr>
            <w:tcW w:w="667" w:type="dxa"/>
            <w:vAlign w:val="center"/>
          </w:tcPr>
          <w:p w14:paraId="3519ECA0">
            <w:pPr>
              <w:keepNext/>
              <w:spacing w:after="120" w:line="360" w:lineRule="auto"/>
              <w:ind w:left="63" w:right="63"/>
              <w:rPr>
                <w:rFonts w:ascii="宋体" w:hAnsi="宋体" w:cs="仿宋_GB2312"/>
                <w:kern w:val="0"/>
                <w:szCs w:val="21"/>
              </w:rPr>
            </w:pPr>
          </w:p>
        </w:tc>
      </w:tr>
      <w:tr w14:paraId="1ADD96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0BD35D0F">
            <w:pPr>
              <w:keepNext/>
              <w:spacing w:after="120" w:line="360" w:lineRule="auto"/>
              <w:ind w:left="63" w:right="63"/>
              <w:rPr>
                <w:rFonts w:ascii="宋体" w:hAnsi="宋体" w:cs="仿宋_GB2312"/>
                <w:kern w:val="0"/>
                <w:szCs w:val="21"/>
              </w:rPr>
            </w:pPr>
          </w:p>
        </w:tc>
        <w:tc>
          <w:tcPr>
            <w:tcW w:w="1429" w:type="dxa"/>
            <w:vAlign w:val="center"/>
          </w:tcPr>
          <w:p w14:paraId="5E9B6461">
            <w:pPr>
              <w:keepNext/>
              <w:spacing w:after="120" w:line="360" w:lineRule="auto"/>
              <w:ind w:left="63" w:right="63"/>
              <w:rPr>
                <w:rFonts w:ascii="宋体" w:hAnsi="宋体" w:cs="仿宋_GB2312"/>
                <w:kern w:val="0"/>
                <w:szCs w:val="21"/>
              </w:rPr>
            </w:pPr>
          </w:p>
        </w:tc>
        <w:tc>
          <w:tcPr>
            <w:tcW w:w="928" w:type="dxa"/>
            <w:vAlign w:val="center"/>
          </w:tcPr>
          <w:p w14:paraId="0786464C">
            <w:pPr>
              <w:keepNext/>
              <w:spacing w:after="120" w:line="360" w:lineRule="auto"/>
              <w:ind w:left="63" w:right="63"/>
              <w:rPr>
                <w:rFonts w:ascii="宋体" w:hAnsi="宋体" w:cs="仿宋_GB2312"/>
                <w:kern w:val="0"/>
                <w:szCs w:val="21"/>
              </w:rPr>
            </w:pPr>
          </w:p>
        </w:tc>
        <w:tc>
          <w:tcPr>
            <w:tcW w:w="682" w:type="dxa"/>
            <w:vAlign w:val="center"/>
          </w:tcPr>
          <w:p w14:paraId="4ABEA99D">
            <w:pPr>
              <w:keepNext/>
              <w:spacing w:after="120" w:line="360" w:lineRule="auto"/>
              <w:ind w:left="63" w:right="63"/>
              <w:rPr>
                <w:rFonts w:ascii="宋体" w:hAnsi="宋体" w:cs="仿宋_GB2312"/>
                <w:kern w:val="0"/>
                <w:szCs w:val="21"/>
              </w:rPr>
            </w:pPr>
          </w:p>
        </w:tc>
        <w:tc>
          <w:tcPr>
            <w:tcW w:w="661" w:type="dxa"/>
            <w:vAlign w:val="center"/>
          </w:tcPr>
          <w:p w14:paraId="39F8043A">
            <w:pPr>
              <w:keepNext/>
              <w:spacing w:after="120" w:line="360" w:lineRule="auto"/>
              <w:ind w:left="63" w:right="63"/>
              <w:rPr>
                <w:rFonts w:ascii="宋体" w:hAnsi="宋体" w:cs="仿宋_GB2312"/>
                <w:kern w:val="0"/>
                <w:szCs w:val="21"/>
              </w:rPr>
            </w:pPr>
          </w:p>
        </w:tc>
        <w:tc>
          <w:tcPr>
            <w:tcW w:w="1075" w:type="dxa"/>
            <w:vAlign w:val="center"/>
          </w:tcPr>
          <w:p w14:paraId="3F69BA49">
            <w:pPr>
              <w:keepNext/>
              <w:spacing w:after="120" w:line="360" w:lineRule="auto"/>
              <w:ind w:left="63" w:right="63"/>
              <w:rPr>
                <w:rFonts w:ascii="宋体" w:hAnsi="宋体" w:cs="仿宋_GB2312"/>
                <w:kern w:val="0"/>
                <w:szCs w:val="21"/>
              </w:rPr>
            </w:pPr>
          </w:p>
        </w:tc>
        <w:tc>
          <w:tcPr>
            <w:tcW w:w="1261" w:type="dxa"/>
            <w:vAlign w:val="center"/>
          </w:tcPr>
          <w:p w14:paraId="10443AF7">
            <w:pPr>
              <w:keepNext/>
              <w:spacing w:after="120" w:line="360" w:lineRule="auto"/>
              <w:ind w:left="63" w:right="63"/>
              <w:rPr>
                <w:rFonts w:ascii="宋体" w:hAnsi="宋体" w:cs="仿宋_GB2312"/>
                <w:kern w:val="0"/>
                <w:szCs w:val="21"/>
              </w:rPr>
            </w:pPr>
          </w:p>
        </w:tc>
        <w:tc>
          <w:tcPr>
            <w:tcW w:w="987" w:type="dxa"/>
            <w:vAlign w:val="center"/>
          </w:tcPr>
          <w:p w14:paraId="4FA56876">
            <w:pPr>
              <w:keepNext/>
              <w:spacing w:after="120" w:line="360" w:lineRule="auto"/>
              <w:ind w:left="63" w:right="63"/>
              <w:rPr>
                <w:rFonts w:ascii="宋体" w:hAnsi="宋体" w:cs="仿宋_GB2312"/>
                <w:kern w:val="0"/>
                <w:szCs w:val="21"/>
              </w:rPr>
            </w:pPr>
          </w:p>
        </w:tc>
        <w:tc>
          <w:tcPr>
            <w:tcW w:w="667" w:type="dxa"/>
            <w:vAlign w:val="center"/>
          </w:tcPr>
          <w:p w14:paraId="5B26798B">
            <w:pPr>
              <w:keepNext/>
              <w:spacing w:after="120" w:line="360" w:lineRule="auto"/>
              <w:ind w:left="63" w:right="63"/>
              <w:rPr>
                <w:rFonts w:ascii="宋体" w:hAnsi="宋体" w:cs="仿宋_GB2312"/>
                <w:kern w:val="0"/>
                <w:szCs w:val="21"/>
              </w:rPr>
            </w:pPr>
          </w:p>
        </w:tc>
      </w:tr>
      <w:tr w14:paraId="63C282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vAlign w:val="center"/>
          </w:tcPr>
          <w:p w14:paraId="3C1DF615">
            <w:pPr>
              <w:keepNext/>
              <w:spacing w:after="120" w:line="360" w:lineRule="auto"/>
              <w:ind w:left="63" w:right="63"/>
              <w:rPr>
                <w:rFonts w:ascii="宋体" w:hAnsi="宋体" w:cs="仿宋_GB2312"/>
                <w:kern w:val="0"/>
                <w:szCs w:val="21"/>
              </w:rPr>
            </w:pPr>
          </w:p>
        </w:tc>
        <w:tc>
          <w:tcPr>
            <w:tcW w:w="1429" w:type="dxa"/>
            <w:vAlign w:val="center"/>
          </w:tcPr>
          <w:p w14:paraId="11D8CB58">
            <w:pPr>
              <w:keepNext/>
              <w:spacing w:after="120" w:line="360" w:lineRule="auto"/>
              <w:ind w:left="63" w:right="63"/>
              <w:rPr>
                <w:rFonts w:ascii="宋体" w:hAnsi="宋体" w:cs="仿宋_GB2312"/>
                <w:kern w:val="0"/>
                <w:szCs w:val="21"/>
              </w:rPr>
            </w:pPr>
          </w:p>
        </w:tc>
        <w:tc>
          <w:tcPr>
            <w:tcW w:w="928" w:type="dxa"/>
            <w:vAlign w:val="center"/>
          </w:tcPr>
          <w:p w14:paraId="670C5E17">
            <w:pPr>
              <w:keepNext/>
              <w:spacing w:after="120" w:line="360" w:lineRule="auto"/>
              <w:ind w:left="63" w:right="63"/>
              <w:rPr>
                <w:rFonts w:ascii="宋体" w:hAnsi="宋体" w:cs="仿宋_GB2312"/>
                <w:kern w:val="0"/>
                <w:szCs w:val="21"/>
              </w:rPr>
            </w:pPr>
          </w:p>
        </w:tc>
        <w:tc>
          <w:tcPr>
            <w:tcW w:w="682" w:type="dxa"/>
            <w:vAlign w:val="center"/>
          </w:tcPr>
          <w:p w14:paraId="1B29E624">
            <w:pPr>
              <w:keepNext/>
              <w:spacing w:after="120" w:line="360" w:lineRule="auto"/>
              <w:ind w:left="63" w:right="63"/>
              <w:rPr>
                <w:rFonts w:ascii="宋体" w:hAnsi="宋体" w:cs="仿宋_GB2312"/>
                <w:kern w:val="0"/>
                <w:szCs w:val="21"/>
              </w:rPr>
            </w:pPr>
          </w:p>
        </w:tc>
        <w:tc>
          <w:tcPr>
            <w:tcW w:w="661" w:type="dxa"/>
            <w:vAlign w:val="center"/>
          </w:tcPr>
          <w:p w14:paraId="5999A094">
            <w:pPr>
              <w:keepNext/>
              <w:spacing w:after="120" w:line="360" w:lineRule="auto"/>
              <w:ind w:left="63" w:right="63"/>
              <w:rPr>
                <w:rFonts w:ascii="宋体" w:hAnsi="宋体" w:cs="仿宋_GB2312"/>
                <w:kern w:val="0"/>
                <w:szCs w:val="21"/>
              </w:rPr>
            </w:pPr>
          </w:p>
        </w:tc>
        <w:tc>
          <w:tcPr>
            <w:tcW w:w="1075" w:type="dxa"/>
            <w:vAlign w:val="center"/>
          </w:tcPr>
          <w:p w14:paraId="4C5A07F4">
            <w:pPr>
              <w:keepNext/>
              <w:spacing w:after="120" w:line="360" w:lineRule="auto"/>
              <w:ind w:left="63" w:right="63"/>
              <w:rPr>
                <w:rFonts w:ascii="宋体" w:hAnsi="宋体" w:cs="仿宋_GB2312"/>
                <w:kern w:val="0"/>
                <w:szCs w:val="21"/>
              </w:rPr>
            </w:pPr>
          </w:p>
        </w:tc>
        <w:tc>
          <w:tcPr>
            <w:tcW w:w="1261" w:type="dxa"/>
            <w:vAlign w:val="center"/>
          </w:tcPr>
          <w:p w14:paraId="4F0A174A">
            <w:pPr>
              <w:keepNext/>
              <w:spacing w:after="120" w:line="360" w:lineRule="auto"/>
              <w:ind w:left="63" w:right="63"/>
              <w:rPr>
                <w:rFonts w:ascii="宋体" w:hAnsi="宋体" w:cs="仿宋_GB2312"/>
                <w:kern w:val="0"/>
                <w:szCs w:val="21"/>
              </w:rPr>
            </w:pPr>
          </w:p>
        </w:tc>
        <w:tc>
          <w:tcPr>
            <w:tcW w:w="987" w:type="dxa"/>
            <w:vAlign w:val="center"/>
          </w:tcPr>
          <w:p w14:paraId="56FDD711">
            <w:pPr>
              <w:keepNext/>
              <w:spacing w:after="120" w:line="360" w:lineRule="auto"/>
              <w:ind w:left="63" w:right="63"/>
              <w:rPr>
                <w:rFonts w:ascii="宋体" w:hAnsi="宋体" w:cs="仿宋_GB2312"/>
                <w:kern w:val="0"/>
                <w:szCs w:val="21"/>
              </w:rPr>
            </w:pPr>
          </w:p>
        </w:tc>
        <w:tc>
          <w:tcPr>
            <w:tcW w:w="667" w:type="dxa"/>
            <w:vAlign w:val="center"/>
          </w:tcPr>
          <w:p w14:paraId="34E03194">
            <w:pPr>
              <w:keepNext/>
              <w:spacing w:after="120" w:line="360" w:lineRule="auto"/>
              <w:ind w:left="63" w:right="63"/>
              <w:rPr>
                <w:rFonts w:ascii="宋体" w:hAnsi="宋体" w:cs="仿宋_GB2312"/>
                <w:kern w:val="0"/>
                <w:szCs w:val="21"/>
              </w:rPr>
            </w:pPr>
          </w:p>
        </w:tc>
      </w:tr>
      <w:tr w14:paraId="3B080E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1F0DCBAB">
            <w:pPr>
              <w:spacing w:line="360" w:lineRule="auto"/>
              <w:rPr>
                <w:rFonts w:ascii="宋体" w:hAnsi="宋体" w:cs="仿宋_GB2312"/>
                <w:szCs w:val="21"/>
              </w:rPr>
            </w:pPr>
          </w:p>
        </w:tc>
        <w:tc>
          <w:tcPr>
            <w:tcW w:w="1429" w:type="dxa"/>
          </w:tcPr>
          <w:p w14:paraId="7CB8E8A3">
            <w:pPr>
              <w:spacing w:line="360" w:lineRule="auto"/>
              <w:rPr>
                <w:rFonts w:ascii="宋体" w:hAnsi="宋体" w:cs="仿宋_GB2312"/>
                <w:szCs w:val="21"/>
              </w:rPr>
            </w:pPr>
          </w:p>
        </w:tc>
        <w:tc>
          <w:tcPr>
            <w:tcW w:w="928" w:type="dxa"/>
          </w:tcPr>
          <w:p w14:paraId="1648DD2E">
            <w:pPr>
              <w:spacing w:line="360" w:lineRule="auto"/>
              <w:rPr>
                <w:rFonts w:ascii="宋体" w:hAnsi="宋体" w:cs="仿宋_GB2312"/>
                <w:szCs w:val="21"/>
              </w:rPr>
            </w:pPr>
          </w:p>
        </w:tc>
        <w:tc>
          <w:tcPr>
            <w:tcW w:w="682" w:type="dxa"/>
          </w:tcPr>
          <w:p w14:paraId="615C8B32">
            <w:pPr>
              <w:spacing w:line="360" w:lineRule="auto"/>
              <w:rPr>
                <w:rFonts w:ascii="宋体" w:hAnsi="宋体" w:cs="仿宋_GB2312"/>
                <w:szCs w:val="21"/>
              </w:rPr>
            </w:pPr>
          </w:p>
        </w:tc>
        <w:tc>
          <w:tcPr>
            <w:tcW w:w="661" w:type="dxa"/>
          </w:tcPr>
          <w:p w14:paraId="38FC5848">
            <w:pPr>
              <w:spacing w:line="360" w:lineRule="auto"/>
              <w:rPr>
                <w:rFonts w:ascii="宋体" w:hAnsi="宋体" w:cs="仿宋_GB2312"/>
                <w:szCs w:val="21"/>
              </w:rPr>
            </w:pPr>
          </w:p>
        </w:tc>
        <w:tc>
          <w:tcPr>
            <w:tcW w:w="1075" w:type="dxa"/>
          </w:tcPr>
          <w:p w14:paraId="778DDB38">
            <w:pPr>
              <w:spacing w:line="360" w:lineRule="auto"/>
              <w:rPr>
                <w:rFonts w:ascii="宋体" w:hAnsi="宋体" w:cs="仿宋_GB2312"/>
                <w:szCs w:val="21"/>
              </w:rPr>
            </w:pPr>
          </w:p>
        </w:tc>
        <w:tc>
          <w:tcPr>
            <w:tcW w:w="1261" w:type="dxa"/>
          </w:tcPr>
          <w:p w14:paraId="09742D22">
            <w:pPr>
              <w:spacing w:line="360" w:lineRule="auto"/>
              <w:rPr>
                <w:rFonts w:ascii="宋体" w:hAnsi="宋体" w:cs="仿宋_GB2312"/>
                <w:szCs w:val="21"/>
              </w:rPr>
            </w:pPr>
          </w:p>
        </w:tc>
        <w:tc>
          <w:tcPr>
            <w:tcW w:w="987" w:type="dxa"/>
          </w:tcPr>
          <w:p w14:paraId="30AFA6DD">
            <w:pPr>
              <w:spacing w:line="360" w:lineRule="auto"/>
              <w:rPr>
                <w:rFonts w:ascii="宋体" w:hAnsi="宋体" w:cs="仿宋_GB2312"/>
                <w:szCs w:val="21"/>
              </w:rPr>
            </w:pPr>
          </w:p>
        </w:tc>
        <w:tc>
          <w:tcPr>
            <w:tcW w:w="667" w:type="dxa"/>
          </w:tcPr>
          <w:p w14:paraId="450FE643">
            <w:pPr>
              <w:spacing w:line="360" w:lineRule="auto"/>
              <w:rPr>
                <w:rFonts w:ascii="宋体" w:hAnsi="宋体" w:cs="仿宋_GB2312"/>
                <w:szCs w:val="21"/>
              </w:rPr>
            </w:pPr>
          </w:p>
        </w:tc>
      </w:tr>
      <w:tr w14:paraId="753E0D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1471DC73">
            <w:pPr>
              <w:spacing w:line="360" w:lineRule="auto"/>
              <w:rPr>
                <w:rFonts w:ascii="宋体" w:hAnsi="宋体" w:cs="仿宋_GB2312"/>
                <w:szCs w:val="21"/>
              </w:rPr>
            </w:pPr>
          </w:p>
        </w:tc>
        <w:tc>
          <w:tcPr>
            <w:tcW w:w="1429" w:type="dxa"/>
          </w:tcPr>
          <w:p w14:paraId="2EECE3EE">
            <w:pPr>
              <w:spacing w:line="360" w:lineRule="auto"/>
              <w:rPr>
                <w:rFonts w:ascii="宋体" w:hAnsi="宋体" w:cs="仿宋_GB2312"/>
                <w:szCs w:val="21"/>
              </w:rPr>
            </w:pPr>
          </w:p>
        </w:tc>
        <w:tc>
          <w:tcPr>
            <w:tcW w:w="928" w:type="dxa"/>
          </w:tcPr>
          <w:p w14:paraId="193D1C36">
            <w:pPr>
              <w:spacing w:line="360" w:lineRule="auto"/>
              <w:rPr>
                <w:rFonts w:ascii="宋体" w:hAnsi="宋体" w:cs="仿宋_GB2312"/>
                <w:szCs w:val="21"/>
              </w:rPr>
            </w:pPr>
          </w:p>
        </w:tc>
        <w:tc>
          <w:tcPr>
            <w:tcW w:w="682" w:type="dxa"/>
          </w:tcPr>
          <w:p w14:paraId="6CD54541">
            <w:pPr>
              <w:spacing w:line="360" w:lineRule="auto"/>
              <w:rPr>
                <w:rFonts w:ascii="宋体" w:hAnsi="宋体" w:cs="仿宋_GB2312"/>
                <w:szCs w:val="21"/>
              </w:rPr>
            </w:pPr>
          </w:p>
        </w:tc>
        <w:tc>
          <w:tcPr>
            <w:tcW w:w="661" w:type="dxa"/>
          </w:tcPr>
          <w:p w14:paraId="3FE697D1">
            <w:pPr>
              <w:spacing w:line="360" w:lineRule="auto"/>
              <w:rPr>
                <w:rFonts w:ascii="宋体" w:hAnsi="宋体" w:cs="仿宋_GB2312"/>
                <w:szCs w:val="21"/>
              </w:rPr>
            </w:pPr>
          </w:p>
        </w:tc>
        <w:tc>
          <w:tcPr>
            <w:tcW w:w="1075" w:type="dxa"/>
          </w:tcPr>
          <w:p w14:paraId="7CAE931D">
            <w:pPr>
              <w:spacing w:line="360" w:lineRule="auto"/>
              <w:rPr>
                <w:rFonts w:ascii="宋体" w:hAnsi="宋体" w:cs="仿宋_GB2312"/>
                <w:szCs w:val="21"/>
              </w:rPr>
            </w:pPr>
          </w:p>
        </w:tc>
        <w:tc>
          <w:tcPr>
            <w:tcW w:w="1261" w:type="dxa"/>
          </w:tcPr>
          <w:p w14:paraId="03103930">
            <w:pPr>
              <w:spacing w:line="360" w:lineRule="auto"/>
              <w:rPr>
                <w:rFonts w:ascii="宋体" w:hAnsi="宋体" w:cs="仿宋_GB2312"/>
                <w:szCs w:val="21"/>
              </w:rPr>
            </w:pPr>
          </w:p>
        </w:tc>
        <w:tc>
          <w:tcPr>
            <w:tcW w:w="987" w:type="dxa"/>
          </w:tcPr>
          <w:p w14:paraId="6D765427">
            <w:pPr>
              <w:spacing w:line="360" w:lineRule="auto"/>
              <w:rPr>
                <w:rFonts w:ascii="宋体" w:hAnsi="宋体" w:cs="仿宋_GB2312"/>
                <w:szCs w:val="21"/>
              </w:rPr>
            </w:pPr>
          </w:p>
        </w:tc>
        <w:tc>
          <w:tcPr>
            <w:tcW w:w="667" w:type="dxa"/>
          </w:tcPr>
          <w:p w14:paraId="65D6F896">
            <w:pPr>
              <w:spacing w:line="360" w:lineRule="auto"/>
              <w:rPr>
                <w:rFonts w:ascii="宋体" w:hAnsi="宋体" w:cs="仿宋_GB2312"/>
                <w:szCs w:val="21"/>
              </w:rPr>
            </w:pPr>
          </w:p>
        </w:tc>
      </w:tr>
      <w:tr w14:paraId="1B1A84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3B636398">
            <w:pPr>
              <w:spacing w:line="360" w:lineRule="auto"/>
              <w:rPr>
                <w:rFonts w:ascii="宋体" w:hAnsi="宋体" w:cs="仿宋_GB2312"/>
                <w:szCs w:val="21"/>
              </w:rPr>
            </w:pPr>
          </w:p>
        </w:tc>
        <w:tc>
          <w:tcPr>
            <w:tcW w:w="1429" w:type="dxa"/>
          </w:tcPr>
          <w:p w14:paraId="0B23AD59">
            <w:pPr>
              <w:spacing w:line="360" w:lineRule="auto"/>
              <w:rPr>
                <w:rFonts w:ascii="宋体" w:hAnsi="宋体" w:cs="仿宋_GB2312"/>
                <w:szCs w:val="21"/>
              </w:rPr>
            </w:pPr>
          </w:p>
        </w:tc>
        <w:tc>
          <w:tcPr>
            <w:tcW w:w="928" w:type="dxa"/>
          </w:tcPr>
          <w:p w14:paraId="41AB59AF">
            <w:pPr>
              <w:spacing w:line="360" w:lineRule="auto"/>
              <w:rPr>
                <w:rFonts w:ascii="宋体" w:hAnsi="宋体" w:cs="仿宋_GB2312"/>
                <w:szCs w:val="21"/>
              </w:rPr>
            </w:pPr>
          </w:p>
        </w:tc>
        <w:tc>
          <w:tcPr>
            <w:tcW w:w="682" w:type="dxa"/>
          </w:tcPr>
          <w:p w14:paraId="60372A9A">
            <w:pPr>
              <w:spacing w:line="360" w:lineRule="auto"/>
              <w:rPr>
                <w:rFonts w:ascii="宋体" w:hAnsi="宋体" w:cs="仿宋_GB2312"/>
                <w:szCs w:val="21"/>
              </w:rPr>
            </w:pPr>
          </w:p>
        </w:tc>
        <w:tc>
          <w:tcPr>
            <w:tcW w:w="661" w:type="dxa"/>
          </w:tcPr>
          <w:p w14:paraId="66EAA08B">
            <w:pPr>
              <w:spacing w:line="360" w:lineRule="auto"/>
              <w:rPr>
                <w:rFonts w:ascii="宋体" w:hAnsi="宋体" w:cs="仿宋_GB2312"/>
                <w:szCs w:val="21"/>
              </w:rPr>
            </w:pPr>
          </w:p>
        </w:tc>
        <w:tc>
          <w:tcPr>
            <w:tcW w:w="1075" w:type="dxa"/>
          </w:tcPr>
          <w:p w14:paraId="250F92C3">
            <w:pPr>
              <w:spacing w:line="360" w:lineRule="auto"/>
              <w:rPr>
                <w:rFonts w:ascii="宋体" w:hAnsi="宋体" w:cs="仿宋_GB2312"/>
                <w:szCs w:val="21"/>
              </w:rPr>
            </w:pPr>
          </w:p>
        </w:tc>
        <w:tc>
          <w:tcPr>
            <w:tcW w:w="1261" w:type="dxa"/>
          </w:tcPr>
          <w:p w14:paraId="17249E8C">
            <w:pPr>
              <w:spacing w:line="360" w:lineRule="auto"/>
              <w:rPr>
                <w:rFonts w:ascii="宋体" w:hAnsi="宋体" w:cs="仿宋_GB2312"/>
                <w:szCs w:val="21"/>
              </w:rPr>
            </w:pPr>
          </w:p>
        </w:tc>
        <w:tc>
          <w:tcPr>
            <w:tcW w:w="987" w:type="dxa"/>
          </w:tcPr>
          <w:p w14:paraId="7CD60556">
            <w:pPr>
              <w:spacing w:line="360" w:lineRule="auto"/>
              <w:rPr>
                <w:rFonts w:ascii="宋体" w:hAnsi="宋体" w:cs="仿宋_GB2312"/>
                <w:szCs w:val="21"/>
              </w:rPr>
            </w:pPr>
          </w:p>
        </w:tc>
        <w:tc>
          <w:tcPr>
            <w:tcW w:w="667" w:type="dxa"/>
          </w:tcPr>
          <w:p w14:paraId="29650B21">
            <w:pPr>
              <w:spacing w:line="360" w:lineRule="auto"/>
              <w:rPr>
                <w:rFonts w:ascii="宋体" w:hAnsi="宋体" w:cs="仿宋_GB2312"/>
                <w:szCs w:val="21"/>
              </w:rPr>
            </w:pPr>
          </w:p>
        </w:tc>
      </w:tr>
      <w:tr w14:paraId="0DD7F3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77818847">
            <w:pPr>
              <w:spacing w:line="360" w:lineRule="auto"/>
              <w:rPr>
                <w:rFonts w:ascii="宋体" w:hAnsi="宋体" w:cs="仿宋_GB2312"/>
                <w:szCs w:val="21"/>
              </w:rPr>
            </w:pPr>
          </w:p>
        </w:tc>
        <w:tc>
          <w:tcPr>
            <w:tcW w:w="1429" w:type="dxa"/>
          </w:tcPr>
          <w:p w14:paraId="1F908AF2">
            <w:pPr>
              <w:spacing w:line="360" w:lineRule="auto"/>
              <w:rPr>
                <w:rFonts w:ascii="宋体" w:hAnsi="宋体" w:cs="仿宋_GB2312"/>
                <w:szCs w:val="21"/>
              </w:rPr>
            </w:pPr>
          </w:p>
        </w:tc>
        <w:tc>
          <w:tcPr>
            <w:tcW w:w="928" w:type="dxa"/>
          </w:tcPr>
          <w:p w14:paraId="05251351">
            <w:pPr>
              <w:spacing w:line="360" w:lineRule="auto"/>
              <w:rPr>
                <w:rFonts w:ascii="宋体" w:hAnsi="宋体" w:cs="仿宋_GB2312"/>
                <w:szCs w:val="21"/>
              </w:rPr>
            </w:pPr>
          </w:p>
        </w:tc>
        <w:tc>
          <w:tcPr>
            <w:tcW w:w="682" w:type="dxa"/>
          </w:tcPr>
          <w:p w14:paraId="5C128B07">
            <w:pPr>
              <w:spacing w:line="360" w:lineRule="auto"/>
              <w:rPr>
                <w:rFonts w:ascii="宋体" w:hAnsi="宋体" w:cs="仿宋_GB2312"/>
                <w:szCs w:val="21"/>
              </w:rPr>
            </w:pPr>
          </w:p>
        </w:tc>
        <w:tc>
          <w:tcPr>
            <w:tcW w:w="661" w:type="dxa"/>
          </w:tcPr>
          <w:p w14:paraId="02D13E43">
            <w:pPr>
              <w:spacing w:line="360" w:lineRule="auto"/>
              <w:rPr>
                <w:rFonts w:ascii="宋体" w:hAnsi="宋体" w:cs="仿宋_GB2312"/>
                <w:szCs w:val="21"/>
              </w:rPr>
            </w:pPr>
          </w:p>
        </w:tc>
        <w:tc>
          <w:tcPr>
            <w:tcW w:w="1075" w:type="dxa"/>
          </w:tcPr>
          <w:p w14:paraId="17381320">
            <w:pPr>
              <w:spacing w:line="360" w:lineRule="auto"/>
              <w:rPr>
                <w:rFonts w:ascii="宋体" w:hAnsi="宋体" w:cs="仿宋_GB2312"/>
                <w:szCs w:val="21"/>
              </w:rPr>
            </w:pPr>
          </w:p>
        </w:tc>
        <w:tc>
          <w:tcPr>
            <w:tcW w:w="1261" w:type="dxa"/>
          </w:tcPr>
          <w:p w14:paraId="7BD8806C">
            <w:pPr>
              <w:spacing w:line="360" w:lineRule="auto"/>
              <w:rPr>
                <w:rFonts w:ascii="宋体" w:hAnsi="宋体" w:cs="仿宋_GB2312"/>
                <w:szCs w:val="21"/>
              </w:rPr>
            </w:pPr>
          </w:p>
        </w:tc>
        <w:tc>
          <w:tcPr>
            <w:tcW w:w="987" w:type="dxa"/>
          </w:tcPr>
          <w:p w14:paraId="51C316CE">
            <w:pPr>
              <w:spacing w:line="360" w:lineRule="auto"/>
              <w:rPr>
                <w:rFonts w:ascii="宋体" w:hAnsi="宋体" w:cs="仿宋_GB2312"/>
                <w:szCs w:val="21"/>
              </w:rPr>
            </w:pPr>
          </w:p>
        </w:tc>
        <w:tc>
          <w:tcPr>
            <w:tcW w:w="667" w:type="dxa"/>
          </w:tcPr>
          <w:p w14:paraId="6837696A">
            <w:pPr>
              <w:spacing w:line="360" w:lineRule="auto"/>
              <w:rPr>
                <w:rFonts w:ascii="宋体" w:hAnsi="宋体" w:cs="仿宋_GB2312"/>
                <w:szCs w:val="21"/>
              </w:rPr>
            </w:pPr>
          </w:p>
        </w:tc>
      </w:tr>
      <w:tr w14:paraId="0714CA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650C3430">
            <w:pPr>
              <w:spacing w:line="360" w:lineRule="auto"/>
              <w:rPr>
                <w:rFonts w:ascii="宋体" w:hAnsi="宋体" w:cs="仿宋_GB2312"/>
                <w:szCs w:val="21"/>
              </w:rPr>
            </w:pPr>
          </w:p>
        </w:tc>
        <w:tc>
          <w:tcPr>
            <w:tcW w:w="1429" w:type="dxa"/>
          </w:tcPr>
          <w:p w14:paraId="2C129FE2">
            <w:pPr>
              <w:spacing w:line="360" w:lineRule="auto"/>
              <w:rPr>
                <w:rFonts w:ascii="宋体" w:hAnsi="宋体" w:cs="仿宋_GB2312"/>
                <w:szCs w:val="21"/>
              </w:rPr>
            </w:pPr>
          </w:p>
        </w:tc>
        <w:tc>
          <w:tcPr>
            <w:tcW w:w="928" w:type="dxa"/>
          </w:tcPr>
          <w:p w14:paraId="48D7AF93">
            <w:pPr>
              <w:spacing w:line="360" w:lineRule="auto"/>
              <w:rPr>
                <w:rFonts w:ascii="宋体" w:hAnsi="宋体" w:cs="仿宋_GB2312"/>
                <w:szCs w:val="21"/>
              </w:rPr>
            </w:pPr>
          </w:p>
        </w:tc>
        <w:tc>
          <w:tcPr>
            <w:tcW w:w="682" w:type="dxa"/>
          </w:tcPr>
          <w:p w14:paraId="340578DD">
            <w:pPr>
              <w:spacing w:line="360" w:lineRule="auto"/>
              <w:rPr>
                <w:rFonts w:ascii="宋体" w:hAnsi="宋体" w:cs="仿宋_GB2312"/>
                <w:szCs w:val="21"/>
              </w:rPr>
            </w:pPr>
          </w:p>
        </w:tc>
        <w:tc>
          <w:tcPr>
            <w:tcW w:w="661" w:type="dxa"/>
          </w:tcPr>
          <w:p w14:paraId="6A63C1F6">
            <w:pPr>
              <w:spacing w:line="360" w:lineRule="auto"/>
              <w:rPr>
                <w:rFonts w:ascii="宋体" w:hAnsi="宋体" w:cs="仿宋_GB2312"/>
                <w:szCs w:val="21"/>
              </w:rPr>
            </w:pPr>
          </w:p>
        </w:tc>
        <w:tc>
          <w:tcPr>
            <w:tcW w:w="1075" w:type="dxa"/>
          </w:tcPr>
          <w:p w14:paraId="386CACD9">
            <w:pPr>
              <w:spacing w:line="360" w:lineRule="auto"/>
              <w:rPr>
                <w:rFonts w:ascii="宋体" w:hAnsi="宋体" w:cs="仿宋_GB2312"/>
                <w:szCs w:val="21"/>
              </w:rPr>
            </w:pPr>
          </w:p>
        </w:tc>
        <w:tc>
          <w:tcPr>
            <w:tcW w:w="1261" w:type="dxa"/>
          </w:tcPr>
          <w:p w14:paraId="652A7DB0">
            <w:pPr>
              <w:spacing w:line="360" w:lineRule="auto"/>
              <w:rPr>
                <w:rFonts w:ascii="宋体" w:hAnsi="宋体" w:cs="仿宋_GB2312"/>
                <w:szCs w:val="21"/>
              </w:rPr>
            </w:pPr>
          </w:p>
        </w:tc>
        <w:tc>
          <w:tcPr>
            <w:tcW w:w="987" w:type="dxa"/>
          </w:tcPr>
          <w:p w14:paraId="0B2AA829">
            <w:pPr>
              <w:spacing w:line="360" w:lineRule="auto"/>
              <w:rPr>
                <w:rFonts w:ascii="宋体" w:hAnsi="宋体" w:cs="仿宋_GB2312"/>
                <w:szCs w:val="21"/>
              </w:rPr>
            </w:pPr>
          </w:p>
        </w:tc>
        <w:tc>
          <w:tcPr>
            <w:tcW w:w="667" w:type="dxa"/>
          </w:tcPr>
          <w:p w14:paraId="14D16783">
            <w:pPr>
              <w:spacing w:line="360" w:lineRule="auto"/>
              <w:rPr>
                <w:rFonts w:ascii="宋体" w:hAnsi="宋体" w:cs="仿宋_GB2312"/>
                <w:szCs w:val="21"/>
              </w:rPr>
            </w:pPr>
          </w:p>
        </w:tc>
      </w:tr>
      <w:tr w14:paraId="1C1E50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177F9791">
            <w:pPr>
              <w:spacing w:line="360" w:lineRule="auto"/>
              <w:rPr>
                <w:rFonts w:ascii="宋体" w:hAnsi="宋体" w:cs="仿宋_GB2312"/>
                <w:szCs w:val="21"/>
              </w:rPr>
            </w:pPr>
          </w:p>
        </w:tc>
        <w:tc>
          <w:tcPr>
            <w:tcW w:w="1429" w:type="dxa"/>
          </w:tcPr>
          <w:p w14:paraId="0B22314E">
            <w:pPr>
              <w:spacing w:line="360" w:lineRule="auto"/>
              <w:rPr>
                <w:rFonts w:ascii="宋体" w:hAnsi="宋体" w:cs="仿宋_GB2312"/>
                <w:szCs w:val="21"/>
              </w:rPr>
            </w:pPr>
          </w:p>
        </w:tc>
        <w:tc>
          <w:tcPr>
            <w:tcW w:w="928" w:type="dxa"/>
          </w:tcPr>
          <w:p w14:paraId="57F8AAA9">
            <w:pPr>
              <w:spacing w:line="360" w:lineRule="auto"/>
              <w:rPr>
                <w:rFonts w:ascii="宋体" w:hAnsi="宋体" w:cs="仿宋_GB2312"/>
                <w:szCs w:val="21"/>
              </w:rPr>
            </w:pPr>
          </w:p>
        </w:tc>
        <w:tc>
          <w:tcPr>
            <w:tcW w:w="682" w:type="dxa"/>
          </w:tcPr>
          <w:p w14:paraId="2A1536A0">
            <w:pPr>
              <w:spacing w:line="360" w:lineRule="auto"/>
              <w:rPr>
                <w:rFonts w:ascii="宋体" w:hAnsi="宋体" w:cs="仿宋_GB2312"/>
                <w:szCs w:val="21"/>
              </w:rPr>
            </w:pPr>
          </w:p>
        </w:tc>
        <w:tc>
          <w:tcPr>
            <w:tcW w:w="661" w:type="dxa"/>
          </w:tcPr>
          <w:p w14:paraId="14D971F8">
            <w:pPr>
              <w:spacing w:line="360" w:lineRule="auto"/>
              <w:rPr>
                <w:rFonts w:ascii="宋体" w:hAnsi="宋体" w:cs="仿宋_GB2312"/>
                <w:szCs w:val="21"/>
              </w:rPr>
            </w:pPr>
          </w:p>
        </w:tc>
        <w:tc>
          <w:tcPr>
            <w:tcW w:w="1075" w:type="dxa"/>
          </w:tcPr>
          <w:p w14:paraId="2863025A">
            <w:pPr>
              <w:spacing w:line="360" w:lineRule="auto"/>
              <w:rPr>
                <w:rFonts w:ascii="宋体" w:hAnsi="宋体" w:cs="仿宋_GB2312"/>
                <w:szCs w:val="21"/>
              </w:rPr>
            </w:pPr>
          </w:p>
        </w:tc>
        <w:tc>
          <w:tcPr>
            <w:tcW w:w="1261" w:type="dxa"/>
          </w:tcPr>
          <w:p w14:paraId="447B441D">
            <w:pPr>
              <w:spacing w:line="360" w:lineRule="auto"/>
              <w:rPr>
                <w:rFonts w:ascii="宋体" w:hAnsi="宋体" w:cs="仿宋_GB2312"/>
                <w:szCs w:val="21"/>
              </w:rPr>
            </w:pPr>
          </w:p>
        </w:tc>
        <w:tc>
          <w:tcPr>
            <w:tcW w:w="987" w:type="dxa"/>
          </w:tcPr>
          <w:p w14:paraId="303C0801">
            <w:pPr>
              <w:spacing w:line="360" w:lineRule="auto"/>
              <w:rPr>
                <w:rFonts w:ascii="宋体" w:hAnsi="宋体" w:cs="仿宋_GB2312"/>
                <w:szCs w:val="21"/>
              </w:rPr>
            </w:pPr>
          </w:p>
        </w:tc>
        <w:tc>
          <w:tcPr>
            <w:tcW w:w="667" w:type="dxa"/>
          </w:tcPr>
          <w:p w14:paraId="1B636395">
            <w:pPr>
              <w:spacing w:line="360" w:lineRule="auto"/>
              <w:rPr>
                <w:rFonts w:ascii="宋体" w:hAnsi="宋体" w:cs="仿宋_GB2312"/>
                <w:szCs w:val="21"/>
              </w:rPr>
            </w:pPr>
          </w:p>
        </w:tc>
      </w:tr>
      <w:tr w14:paraId="01405B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0E33AA77">
            <w:pPr>
              <w:spacing w:line="360" w:lineRule="auto"/>
              <w:rPr>
                <w:rFonts w:ascii="宋体" w:hAnsi="宋体" w:cs="仿宋_GB2312"/>
                <w:szCs w:val="21"/>
              </w:rPr>
            </w:pPr>
          </w:p>
        </w:tc>
        <w:tc>
          <w:tcPr>
            <w:tcW w:w="1429" w:type="dxa"/>
          </w:tcPr>
          <w:p w14:paraId="1749AD58">
            <w:pPr>
              <w:spacing w:line="360" w:lineRule="auto"/>
              <w:rPr>
                <w:rFonts w:ascii="宋体" w:hAnsi="宋体" w:cs="仿宋_GB2312"/>
                <w:szCs w:val="21"/>
              </w:rPr>
            </w:pPr>
          </w:p>
        </w:tc>
        <w:tc>
          <w:tcPr>
            <w:tcW w:w="928" w:type="dxa"/>
          </w:tcPr>
          <w:p w14:paraId="3EA61A94">
            <w:pPr>
              <w:spacing w:line="360" w:lineRule="auto"/>
              <w:rPr>
                <w:rFonts w:ascii="宋体" w:hAnsi="宋体" w:cs="仿宋_GB2312"/>
                <w:szCs w:val="21"/>
              </w:rPr>
            </w:pPr>
          </w:p>
        </w:tc>
        <w:tc>
          <w:tcPr>
            <w:tcW w:w="682" w:type="dxa"/>
          </w:tcPr>
          <w:p w14:paraId="0DAD9494">
            <w:pPr>
              <w:spacing w:line="360" w:lineRule="auto"/>
              <w:rPr>
                <w:rFonts w:ascii="宋体" w:hAnsi="宋体" w:cs="仿宋_GB2312"/>
                <w:szCs w:val="21"/>
              </w:rPr>
            </w:pPr>
          </w:p>
        </w:tc>
        <w:tc>
          <w:tcPr>
            <w:tcW w:w="661" w:type="dxa"/>
          </w:tcPr>
          <w:p w14:paraId="7B1B59E0">
            <w:pPr>
              <w:spacing w:line="360" w:lineRule="auto"/>
              <w:rPr>
                <w:rFonts w:ascii="宋体" w:hAnsi="宋体" w:cs="仿宋_GB2312"/>
                <w:szCs w:val="21"/>
              </w:rPr>
            </w:pPr>
          </w:p>
        </w:tc>
        <w:tc>
          <w:tcPr>
            <w:tcW w:w="1075" w:type="dxa"/>
          </w:tcPr>
          <w:p w14:paraId="347E0AE4">
            <w:pPr>
              <w:spacing w:line="360" w:lineRule="auto"/>
              <w:rPr>
                <w:rFonts w:ascii="宋体" w:hAnsi="宋体" w:cs="仿宋_GB2312"/>
                <w:szCs w:val="21"/>
              </w:rPr>
            </w:pPr>
          </w:p>
        </w:tc>
        <w:tc>
          <w:tcPr>
            <w:tcW w:w="1261" w:type="dxa"/>
          </w:tcPr>
          <w:p w14:paraId="061295C1">
            <w:pPr>
              <w:spacing w:line="360" w:lineRule="auto"/>
              <w:rPr>
                <w:rFonts w:ascii="宋体" w:hAnsi="宋体" w:cs="仿宋_GB2312"/>
                <w:szCs w:val="21"/>
              </w:rPr>
            </w:pPr>
          </w:p>
        </w:tc>
        <w:tc>
          <w:tcPr>
            <w:tcW w:w="987" w:type="dxa"/>
          </w:tcPr>
          <w:p w14:paraId="514F749C">
            <w:pPr>
              <w:spacing w:line="360" w:lineRule="auto"/>
              <w:rPr>
                <w:rFonts w:ascii="宋体" w:hAnsi="宋体" w:cs="仿宋_GB2312"/>
                <w:szCs w:val="21"/>
              </w:rPr>
            </w:pPr>
          </w:p>
        </w:tc>
        <w:tc>
          <w:tcPr>
            <w:tcW w:w="667" w:type="dxa"/>
          </w:tcPr>
          <w:p w14:paraId="19115ABB">
            <w:pPr>
              <w:spacing w:line="360" w:lineRule="auto"/>
              <w:rPr>
                <w:rFonts w:ascii="宋体" w:hAnsi="宋体" w:cs="仿宋_GB2312"/>
                <w:szCs w:val="21"/>
              </w:rPr>
            </w:pPr>
          </w:p>
        </w:tc>
      </w:tr>
      <w:tr w14:paraId="2FC8C8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38C1FCED">
            <w:pPr>
              <w:spacing w:line="360" w:lineRule="auto"/>
              <w:rPr>
                <w:rFonts w:ascii="宋体" w:hAnsi="宋体" w:cs="仿宋_GB2312"/>
                <w:szCs w:val="21"/>
              </w:rPr>
            </w:pPr>
          </w:p>
        </w:tc>
        <w:tc>
          <w:tcPr>
            <w:tcW w:w="1429" w:type="dxa"/>
          </w:tcPr>
          <w:p w14:paraId="75B01CA9">
            <w:pPr>
              <w:spacing w:line="360" w:lineRule="auto"/>
              <w:rPr>
                <w:rFonts w:ascii="宋体" w:hAnsi="宋体" w:cs="仿宋_GB2312"/>
                <w:szCs w:val="21"/>
              </w:rPr>
            </w:pPr>
          </w:p>
        </w:tc>
        <w:tc>
          <w:tcPr>
            <w:tcW w:w="928" w:type="dxa"/>
          </w:tcPr>
          <w:p w14:paraId="249DBC00">
            <w:pPr>
              <w:spacing w:line="360" w:lineRule="auto"/>
              <w:rPr>
                <w:rFonts w:ascii="宋体" w:hAnsi="宋体" w:cs="仿宋_GB2312"/>
                <w:szCs w:val="21"/>
              </w:rPr>
            </w:pPr>
          </w:p>
        </w:tc>
        <w:tc>
          <w:tcPr>
            <w:tcW w:w="682" w:type="dxa"/>
          </w:tcPr>
          <w:p w14:paraId="35029AD4">
            <w:pPr>
              <w:spacing w:line="360" w:lineRule="auto"/>
              <w:rPr>
                <w:rFonts w:ascii="宋体" w:hAnsi="宋体" w:cs="仿宋_GB2312"/>
                <w:szCs w:val="21"/>
              </w:rPr>
            </w:pPr>
          </w:p>
        </w:tc>
        <w:tc>
          <w:tcPr>
            <w:tcW w:w="661" w:type="dxa"/>
          </w:tcPr>
          <w:p w14:paraId="74E61052">
            <w:pPr>
              <w:spacing w:line="360" w:lineRule="auto"/>
              <w:rPr>
                <w:rFonts w:ascii="宋体" w:hAnsi="宋体" w:cs="仿宋_GB2312"/>
                <w:szCs w:val="21"/>
              </w:rPr>
            </w:pPr>
          </w:p>
        </w:tc>
        <w:tc>
          <w:tcPr>
            <w:tcW w:w="1075" w:type="dxa"/>
          </w:tcPr>
          <w:p w14:paraId="37F361D1">
            <w:pPr>
              <w:spacing w:line="360" w:lineRule="auto"/>
              <w:rPr>
                <w:rFonts w:ascii="宋体" w:hAnsi="宋体" w:cs="仿宋_GB2312"/>
                <w:szCs w:val="21"/>
              </w:rPr>
            </w:pPr>
          </w:p>
        </w:tc>
        <w:tc>
          <w:tcPr>
            <w:tcW w:w="1261" w:type="dxa"/>
          </w:tcPr>
          <w:p w14:paraId="0C9D59C4">
            <w:pPr>
              <w:spacing w:line="360" w:lineRule="auto"/>
              <w:rPr>
                <w:rFonts w:ascii="宋体" w:hAnsi="宋体" w:cs="仿宋_GB2312"/>
                <w:szCs w:val="21"/>
              </w:rPr>
            </w:pPr>
          </w:p>
        </w:tc>
        <w:tc>
          <w:tcPr>
            <w:tcW w:w="987" w:type="dxa"/>
          </w:tcPr>
          <w:p w14:paraId="61F09CF1">
            <w:pPr>
              <w:spacing w:line="360" w:lineRule="auto"/>
              <w:rPr>
                <w:rFonts w:ascii="宋体" w:hAnsi="宋体" w:cs="仿宋_GB2312"/>
                <w:szCs w:val="21"/>
              </w:rPr>
            </w:pPr>
          </w:p>
        </w:tc>
        <w:tc>
          <w:tcPr>
            <w:tcW w:w="667" w:type="dxa"/>
          </w:tcPr>
          <w:p w14:paraId="2F7E4A0D">
            <w:pPr>
              <w:spacing w:line="360" w:lineRule="auto"/>
              <w:rPr>
                <w:rFonts w:ascii="宋体" w:hAnsi="宋体" w:cs="仿宋_GB2312"/>
                <w:szCs w:val="21"/>
              </w:rPr>
            </w:pPr>
          </w:p>
        </w:tc>
      </w:tr>
      <w:tr w14:paraId="4F0DD1E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73" w:type="dxa"/>
          </w:tcPr>
          <w:p w14:paraId="0DBD684D">
            <w:pPr>
              <w:spacing w:line="360" w:lineRule="auto"/>
              <w:rPr>
                <w:rFonts w:ascii="宋体" w:hAnsi="宋体" w:cs="仿宋_GB2312"/>
                <w:szCs w:val="21"/>
              </w:rPr>
            </w:pPr>
          </w:p>
        </w:tc>
        <w:tc>
          <w:tcPr>
            <w:tcW w:w="1429" w:type="dxa"/>
          </w:tcPr>
          <w:p w14:paraId="3C35C5BD">
            <w:pPr>
              <w:spacing w:line="360" w:lineRule="auto"/>
              <w:rPr>
                <w:rFonts w:ascii="宋体" w:hAnsi="宋体" w:cs="仿宋_GB2312"/>
                <w:szCs w:val="21"/>
              </w:rPr>
            </w:pPr>
          </w:p>
        </w:tc>
        <w:tc>
          <w:tcPr>
            <w:tcW w:w="928" w:type="dxa"/>
          </w:tcPr>
          <w:p w14:paraId="7187183F">
            <w:pPr>
              <w:spacing w:line="360" w:lineRule="auto"/>
              <w:rPr>
                <w:rFonts w:ascii="宋体" w:hAnsi="宋体" w:cs="仿宋_GB2312"/>
                <w:szCs w:val="21"/>
              </w:rPr>
            </w:pPr>
          </w:p>
        </w:tc>
        <w:tc>
          <w:tcPr>
            <w:tcW w:w="682" w:type="dxa"/>
          </w:tcPr>
          <w:p w14:paraId="715626B0">
            <w:pPr>
              <w:spacing w:line="360" w:lineRule="auto"/>
              <w:rPr>
                <w:rFonts w:ascii="宋体" w:hAnsi="宋体" w:cs="仿宋_GB2312"/>
                <w:szCs w:val="21"/>
              </w:rPr>
            </w:pPr>
          </w:p>
        </w:tc>
        <w:tc>
          <w:tcPr>
            <w:tcW w:w="661" w:type="dxa"/>
          </w:tcPr>
          <w:p w14:paraId="5EF9258A">
            <w:pPr>
              <w:spacing w:line="360" w:lineRule="auto"/>
              <w:rPr>
                <w:rFonts w:ascii="宋体" w:hAnsi="宋体" w:cs="仿宋_GB2312"/>
                <w:szCs w:val="21"/>
              </w:rPr>
            </w:pPr>
          </w:p>
        </w:tc>
        <w:tc>
          <w:tcPr>
            <w:tcW w:w="1075" w:type="dxa"/>
          </w:tcPr>
          <w:p w14:paraId="455716F7">
            <w:pPr>
              <w:spacing w:line="360" w:lineRule="auto"/>
              <w:rPr>
                <w:rFonts w:ascii="宋体" w:hAnsi="宋体" w:cs="仿宋_GB2312"/>
                <w:szCs w:val="21"/>
              </w:rPr>
            </w:pPr>
          </w:p>
        </w:tc>
        <w:tc>
          <w:tcPr>
            <w:tcW w:w="1261" w:type="dxa"/>
          </w:tcPr>
          <w:p w14:paraId="225A2ECB">
            <w:pPr>
              <w:spacing w:line="360" w:lineRule="auto"/>
              <w:rPr>
                <w:rFonts w:ascii="宋体" w:hAnsi="宋体" w:cs="仿宋_GB2312"/>
                <w:szCs w:val="21"/>
              </w:rPr>
            </w:pPr>
          </w:p>
        </w:tc>
        <w:tc>
          <w:tcPr>
            <w:tcW w:w="987" w:type="dxa"/>
          </w:tcPr>
          <w:p w14:paraId="2024DA40">
            <w:pPr>
              <w:spacing w:line="360" w:lineRule="auto"/>
              <w:rPr>
                <w:rFonts w:ascii="宋体" w:hAnsi="宋体" w:cs="仿宋_GB2312"/>
                <w:szCs w:val="21"/>
              </w:rPr>
            </w:pPr>
          </w:p>
        </w:tc>
        <w:tc>
          <w:tcPr>
            <w:tcW w:w="667" w:type="dxa"/>
          </w:tcPr>
          <w:p w14:paraId="6325437A">
            <w:pPr>
              <w:spacing w:line="360" w:lineRule="auto"/>
              <w:rPr>
                <w:rFonts w:ascii="宋体" w:hAnsi="宋体" w:cs="仿宋_GB2312"/>
                <w:szCs w:val="21"/>
              </w:rPr>
            </w:pPr>
          </w:p>
        </w:tc>
      </w:tr>
    </w:tbl>
    <w:p w14:paraId="60B705AF">
      <w:pPr>
        <w:spacing w:line="360" w:lineRule="auto"/>
        <w:rPr>
          <w:rFonts w:ascii="宋体" w:hAnsi="宋体" w:cs="仿宋_GB2312"/>
          <w:szCs w:val="21"/>
        </w:rPr>
      </w:pPr>
    </w:p>
    <w:p w14:paraId="45D8E178">
      <w:pPr>
        <w:spacing w:line="360" w:lineRule="auto"/>
        <w:rPr>
          <w:rFonts w:ascii="宋体" w:hAnsi="宋体" w:cs="仿宋_GB2312"/>
          <w:szCs w:val="21"/>
        </w:rPr>
      </w:pPr>
      <w:r>
        <w:rPr>
          <w:rFonts w:ascii="宋体" w:hAnsi="宋体" w:cs="仿宋_GB2312"/>
          <w:szCs w:val="21"/>
        </w:rPr>
        <w:br w:type="page"/>
      </w:r>
      <w:r>
        <w:rPr>
          <w:rFonts w:hint="eastAsia" w:ascii="宋体" w:hAnsi="宋体" w:cs="仿宋_GB2312"/>
          <w:szCs w:val="21"/>
        </w:rPr>
        <w:t>附</w:t>
      </w:r>
      <w:bookmarkStart w:id="665" w:name="_Toc267261699"/>
      <w:bookmarkStart w:id="666" w:name="_Toc296944567"/>
      <w:bookmarkStart w:id="667" w:name="_Toc296346729"/>
      <w:bookmarkStart w:id="668" w:name="_Toc296891056"/>
      <w:bookmarkStart w:id="669" w:name="_Toc296891268"/>
      <w:bookmarkStart w:id="670" w:name="_Toc296503228"/>
      <w:bookmarkStart w:id="671" w:name="_Toc296347227"/>
      <w:r>
        <w:rPr>
          <w:rFonts w:hint="eastAsia" w:ascii="宋体" w:hAnsi="宋体" w:cs="仿宋_GB2312"/>
          <w:szCs w:val="21"/>
        </w:rPr>
        <w:t>件6：</w:t>
      </w:r>
      <w:bookmarkEnd w:id="665"/>
      <w:bookmarkEnd w:id="666"/>
      <w:bookmarkEnd w:id="667"/>
      <w:bookmarkEnd w:id="668"/>
      <w:bookmarkEnd w:id="669"/>
      <w:bookmarkEnd w:id="670"/>
      <w:bookmarkEnd w:id="671"/>
    </w:p>
    <w:p w14:paraId="2C5360DA">
      <w:pPr>
        <w:spacing w:line="360" w:lineRule="auto"/>
        <w:jc w:val="center"/>
        <w:rPr>
          <w:rFonts w:ascii="宋体" w:hAnsi="宋体" w:cs="仿宋_GB2312"/>
          <w:szCs w:val="21"/>
        </w:rPr>
      </w:pPr>
      <w:r>
        <w:rPr>
          <w:rFonts w:hint="eastAsia" w:ascii="宋体" w:hAnsi="宋体" w:cs="仿宋_GB2312"/>
          <w:szCs w:val="21"/>
        </w:rPr>
        <w:t>承包人主要施工管理人员表</w:t>
      </w:r>
    </w:p>
    <w:tbl>
      <w:tblPr>
        <w:tblStyle w:val="47"/>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595"/>
        <w:gridCol w:w="1209"/>
        <w:gridCol w:w="967"/>
        <w:gridCol w:w="967"/>
        <w:gridCol w:w="3625"/>
      </w:tblGrid>
      <w:tr w14:paraId="546CB8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29FBF1B5">
            <w:pPr>
              <w:keepNext/>
              <w:spacing w:after="120" w:line="360" w:lineRule="auto"/>
              <w:ind w:left="63" w:right="63"/>
              <w:rPr>
                <w:rFonts w:ascii="宋体" w:hAnsi="宋体" w:cs="仿宋_GB2312"/>
                <w:kern w:val="0"/>
                <w:szCs w:val="21"/>
              </w:rPr>
            </w:pPr>
            <w:r>
              <w:rPr>
                <w:rFonts w:hint="eastAsia" w:ascii="宋体" w:hAnsi="宋体" w:cs="仿宋_GB2312"/>
                <w:kern w:val="0"/>
                <w:szCs w:val="21"/>
              </w:rPr>
              <w:t>名    称</w:t>
            </w:r>
          </w:p>
        </w:tc>
        <w:tc>
          <w:tcPr>
            <w:tcW w:w="1209" w:type="dxa"/>
            <w:vAlign w:val="center"/>
          </w:tcPr>
          <w:p w14:paraId="1F8D8608">
            <w:pPr>
              <w:keepNext/>
              <w:spacing w:after="120" w:line="360" w:lineRule="auto"/>
              <w:ind w:left="63" w:right="63"/>
              <w:rPr>
                <w:rFonts w:ascii="宋体" w:hAnsi="宋体" w:cs="仿宋_GB2312"/>
                <w:kern w:val="0"/>
                <w:szCs w:val="21"/>
              </w:rPr>
            </w:pPr>
            <w:r>
              <w:rPr>
                <w:rFonts w:hint="eastAsia" w:ascii="宋体" w:hAnsi="宋体" w:cs="仿宋_GB2312"/>
                <w:kern w:val="0"/>
                <w:szCs w:val="21"/>
              </w:rPr>
              <w:t>姓名</w:t>
            </w:r>
          </w:p>
        </w:tc>
        <w:tc>
          <w:tcPr>
            <w:tcW w:w="967" w:type="dxa"/>
            <w:vAlign w:val="center"/>
          </w:tcPr>
          <w:p w14:paraId="2DDFA3F1">
            <w:pPr>
              <w:keepNext/>
              <w:spacing w:after="120" w:line="360" w:lineRule="auto"/>
              <w:ind w:left="63" w:right="63"/>
              <w:rPr>
                <w:rFonts w:ascii="宋体" w:hAnsi="宋体" w:cs="仿宋_GB2312"/>
                <w:kern w:val="0"/>
                <w:szCs w:val="21"/>
              </w:rPr>
            </w:pPr>
            <w:r>
              <w:rPr>
                <w:rFonts w:hint="eastAsia" w:ascii="宋体" w:hAnsi="宋体" w:cs="仿宋_GB2312"/>
                <w:kern w:val="0"/>
                <w:szCs w:val="21"/>
              </w:rPr>
              <w:t>职务</w:t>
            </w:r>
          </w:p>
        </w:tc>
        <w:tc>
          <w:tcPr>
            <w:tcW w:w="967" w:type="dxa"/>
            <w:vAlign w:val="center"/>
          </w:tcPr>
          <w:p w14:paraId="23C9AA1F">
            <w:pPr>
              <w:keepNext/>
              <w:spacing w:after="120" w:line="360" w:lineRule="auto"/>
              <w:ind w:left="63" w:right="63"/>
              <w:rPr>
                <w:rFonts w:ascii="宋体" w:hAnsi="宋体" w:cs="仿宋_GB2312"/>
                <w:kern w:val="0"/>
                <w:szCs w:val="21"/>
              </w:rPr>
            </w:pPr>
            <w:r>
              <w:rPr>
                <w:rFonts w:hint="eastAsia" w:ascii="宋体" w:hAnsi="宋体" w:cs="仿宋_GB2312"/>
                <w:kern w:val="0"/>
                <w:szCs w:val="21"/>
              </w:rPr>
              <w:t>职称</w:t>
            </w:r>
          </w:p>
        </w:tc>
        <w:tc>
          <w:tcPr>
            <w:tcW w:w="3625" w:type="dxa"/>
            <w:vAlign w:val="center"/>
          </w:tcPr>
          <w:p w14:paraId="0739C8F2">
            <w:pPr>
              <w:keepNext/>
              <w:spacing w:after="120" w:line="360" w:lineRule="auto"/>
              <w:ind w:left="63" w:right="63"/>
              <w:rPr>
                <w:rFonts w:ascii="宋体" w:hAnsi="宋体" w:cs="仿宋_GB2312"/>
                <w:kern w:val="0"/>
                <w:szCs w:val="21"/>
              </w:rPr>
            </w:pPr>
            <w:r>
              <w:rPr>
                <w:rFonts w:hint="eastAsia" w:ascii="宋体" w:hAnsi="宋体" w:cs="仿宋_GB2312"/>
                <w:kern w:val="0"/>
                <w:szCs w:val="21"/>
              </w:rPr>
              <w:t>主要资历、经验及承担过的项目</w:t>
            </w:r>
          </w:p>
        </w:tc>
      </w:tr>
      <w:tr w14:paraId="22A6D2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vAlign w:val="center"/>
          </w:tcPr>
          <w:p w14:paraId="1954C429">
            <w:pPr>
              <w:keepNext/>
              <w:spacing w:after="120" w:line="360" w:lineRule="auto"/>
              <w:ind w:left="63" w:right="63"/>
              <w:rPr>
                <w:rFonts w:ascii="宋体" w:hAnsi="宋体" w:cs="仿宋_GB2312"/>
                <w:kern w:val="0"/>
                <w:szCs w:val="21"/>
              </w:rPr>
            </w:pPr>
            <w:r>
              <w:rPr>
                <w:rFonts w:hint="eastAsia" w:ascii="宋体" w:hAnsi="宋体" w:cs="仿宋_GB2312"/>
                <w:kern w:val="0"/>
                <w:szCs w:val="21"/>
              </w:rPr>
              <w:t>一、总部人员</w:t>
            </w:r>
          </w:p>
        </w:tc>
      </w:tr>
      <w:tr w14:paraId="7D742F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5E9C4E93">
            <w:pPr>
              <w:keepNext/>
              <w:spacing w:after="120" w:line="360" w:lineRule="auto"/>
              <w:ind w:left="63" w:right="63"/>
              <w:rPr>
                <w:rFonts w:ascii="宋体" w:hAnsi="宋体" w:cs="仿宋_GB2312"/>
                <w:kern w:val="0"/>
                <w:szCs w:val="21"/>
              </w:rPr>
            </w:pPr>
            <w:r>
              <w:rPr>
                <w:rFonts w:hint="eastAsia" w:ascii="宋体" w:hAnsi="宋体" w:cs="仿宋_GB2312"/>
                <w:kern w:val="0"/>
                <w:szCs w:val="21"/>
              </w:rPr>
              <w:t>项目主管</w:t>
            </w:r>
          </w:p>
        </w:tc>
        <w:tc>
          <w:tcPr>
            <w:tcW w:w="1209" w:type="dxa"/>
            <w:vAlign w:val="center"/>
          </w:tcPr>
          <w:p w14:paraId="33C27266">
            <w:pPr>
              <w:keepNext/>
              <w:spacing w:after="120" w:line="360" w:lineRule="auto"/>
              <w:ind w:left="63" w:right="63"/>
              <w:rPr>
                <w:rFonts w:ascii="宋体" w:hAnsi="宋体" w:cs="仿宋_GB2312"/>
                <w:kern w:val="0"/>
                <w:szCs w:val="21"/>
              </w:rPr>
            </w:pPr>
          </w:p>
        </w:tc>
        <w:tc>
          <w:tcPr>
            <w:tcW w:w="967" w:type="dxa"/>
            <w:vAlign w:val="center"/>
          </w:tcPr>
          <w:p w14:paraId="3987F72F">
            <w:pPr>
              <w:keepNext/>
              <w:spacing w:after="120" w:line="360" w:lineRule="auto"/>
              <w:ind w:left="63" w:right="63"/>
              <w:rPr>
                <w:rFonts w:ascii="宋体" w:hAnsi="宋体" w:cs="仿宋_GB2312"/>
                <w:kern w:val="0"/>
                <w:szCs w:val="21"/>
              </w:rPr>
            </w:pPr>
          </w:p>
        </w:tc>
        <w:tc>
          <w:tcPr>
            <w:tcW w:w="967" w:type="dxa"/>
            <w:vAlign w:val="center"/>
          </w:tcPr>
          <w:p w14:paraId="3D33E992">
            <w:pPr>
              <w:keepNext/>
              <w:spacing w:after="120" w:line="360" w:lineRule="auto"/>
              <w:ind w:left="63" w:right="63"/>
              <w:rPr>
                <w:rFonts w:ascii="宋体" w:hAnsi="宋体" w:cs="仿宋_GB2312"/>
                <w:kern w:val="0"/>
                <w:szCs w:val="21"/>
              </w:rPr>
            </w:pPr>
          </w:p>
        </w:tc>
        <w:tc>
          <w:tcPr>
            <w:tcW w:w="3625" w:type="dxa"/>
            <w:vAlign w:val="center"/>
          </w:tcPr>
          <w:p w14:paraId="38FC2ACC">
            <w:pPr>
              <w:keepNext/>
              <w:spacing w:after="120" w:line="360" w:lineRule="auto"/>
              <w:ind w:left="63" w:right="63"/>
              <w:rPr>
                <w:rFonts w:ascii="宋体" w:hAnsi="宋体" w:cs="仿宋_GB2312"/>
                <w:kern w:val="0"/>
                <w:szCs w:val="21"/>
              </w:rPr>
            </w:pPr>
          </w:p>
        </w:tc>
      </w:tr>
      <w:tr w14:paraId="5976115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1C4C4358">
            <w:pPr>
              <w:keepNext/>
              <w:spacing w:after="120" w:line="360" w:lineRule="auto"/>
              <w:ind w:left="63" w:right="63"/>
              <w:rPr>
                <w:rFonts w:ascii="宋体" w:hAnsi="宋体" w:cs="仿宋_GB2312"/>
                <w:kern w:val="0"/>
                <w:szCs w:val="21"/>
              </w:rPr>
            </w:pPr>
          </w:p>
        </w:tc>
        <w:tc>
          <w:tcPr>
            <w:tcW w:w="1209" w:type="dxa"/>
            <w:vAlign w:val="center"/>
          </w:tcPr>
          <w:p w14:paraId="10272355">
            <w:pPr>
              <w:keepNext/>
              <w:spacing w:after="120" w:line="360" w:lineRule="auto"/>
              <w:ind w:left="63" w:right="63"/>
              <w:rPr>
                <w:rFonts w:ascii="宋体" w:hAnsi="宋体" w:cs="仿宋_GB2312"/>
                <w:kern w:val="0"/>
                <w:szCs w:val="21"/>
              </w:rPr>
            </w:pPr>
          </w:p>
        </w:tc>
        <w:tc>
          <w:tcPr>
            <w:tcW w:w="967" w:type="dxa"/>
            <w:vAlign w:val="center"/>
          </w:tcPr>
          <w:p w14:paraId="722DCA60">
            <w:pPr>
              <w:keepNext/>
              <w:spacing w:after="120" w:line="360" w:lineRule="auto"/>
              <w:ind w:left="63" w:right="63"/>
              <w:rPr>
                <w:rFonts w:ascii="宋体" w:hAnsi="宋体" w:cs="仿宋_GB2312"/>
                <w:kern w:val="0"/>
                <w:szCs w:val="21"/>
              </w:rPr>
            </w:pPr>
          </w:p>
        </w:tc>
        <w:tc>
          <w:tcPr>
            <w:tcW w:w="967" w:type="dxa"/>
            <w:vAlign w:val="center"/>
          </w:tcPr>
          <w:p w14:paraId="7E127B2C">
            <w:pPr>
              <w:keepNext/>
              <w:spacing w:after="120" w:line="360" w:lineRule="auto"/>
              <w:ind w:left="63" w:right="63"/>
              <w:rPr>
                <w:rFonts w:ascii="宋体" w:hAnsi="宋体" w:cs="仿宋_GB2312"/>
                <w:kern w:val="0"/>
                <w:szCs w:val="21"/>
              </w:rPr>
            </w:pPr>
          </w:p>
        </w:tc>
        <w:tc>
          <w:tcPr>
            <w:tcW w:w="3625" w:type="dxa"/>
            <w:vAlign w:val="center"/>
          </w:tcPr>
          <w:p w14:paraId="719B6D4A">
            <w:pPr>
              <w:keepNext/>
              <w:spacing w:after="120" w:line="360" w:lineRule="auto"/>
              <w:ind w:left="63" w:right="63"/>
              <w:rPr>
                <w:rFonts w:ascii="宋体" w:hAnsi="宋体" w:cs="仿宋_GB2312"/>
                <w:kern w:val="0"/>
                <w:szCs w:val="21"/>
              </w:rPr>
            </w:pPr>
          </w:p>
        </w:tc>
      </w:tr>
      <w:tr w14:paraId="133E1B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00C5995E">
            <w:pPr>
              <w:keepNext/>
              <w:spacing w:after="120" w:line="360" w:lineRule="auto"/>
              <w:ind w:left="63" w:right="63"/>
              <w:rPr>
                <w:rFonts w:ascii="宋体" w:hAnsi="宋体" w:cs="仿宋_GB2312"/>
                <w:kern w:val="0"/>
                <w:szCs w:val="21"/>
              </w:rPr>
            </w:pPr>
            <w:r>
              <w:rPr>
                <w:rFonts w:hint="eastAsia" w:ascii="宋体" w:hAnsi="宋体" w:cs="仿宋_GB2312"/>
                <w:kern w:val="0"/>
                <w:szCs w:val="21"/>
              </w:rPr>
              <w:t>其他人员</w:t>
            </w:r>
          </w:p>
        </w:tc>
        <w:tc>
          <w:tcPr>
            <w:tcW w:w="1209" w:type="dxa"/>
            <w:vAlign w:val="center"/>
          </w:tcPr>
          <w:p w14:paraId="3AA8F5CF">
            <w:pPr>
              <w:keepNext/>
              <w:spacing w:after="120" w:line="360" w:lineRule="auto"/>
              <w:ind w:left="63" w:right="63"/>
              <w:rPr>
                <w:rFonts w:ascii="宋体" w:hAnsi="宋体" w:cs="仿宋_GB2312"/>
                <w:kern w:val="0"/>
                <w:szCs w:val="21"/>
              </w:rPr>
            </w:pPr>
          </w:p>
        </w:tc>
        <w:tc>
          <w:tcPr>
            <w:tcW w:w="967" w:type="dxa"/>
            <w:vAlign w:val="center"/>
          </w:tcPr>
          <w:p w14:paraId="560F7B20">
            <w:pPr>
              <w:keepNext/>
              <w:spacing w:after="120" w:line="360" w:lineRule="auto"/>
              <w:ind w:left="63" w:right="63"/>
              <w:rPr>
                <w:rFonts w:ascii="宋体" w:hAnsi="宋体" w:cs="仿宋_GB2312"/>
                <w:kern w:val="0"/>
                <w:szCs w:val="21"/>
              </w:rPr>
            </w:pPr>
          </w:p>
        </w:tc>
        <w:tc>
          <w:tcPr>
            <w:tcW w:w="967" w:type="dxa"/>
            <w:vAlign w:val="center"/>
          </w:tcPr>
          <w:p w14:paraId="70A78D7D">
            <w:pPr>
              <w:keepNext/>
              <w:spacing w:after="120" w:line="360" w:lineRule="auto"/>
              <w:ind w:left="63" w:right="63"/>
              <w:rPr>
                <w:rFonts w:ascii="宋体" w:hAnsi="宋体" w:cs="仿宋_GB2312"/>
                <w:kern w:val="0"/>
                <w:szCs w:val="21"/>
              </w:rPr>
            </w:pPr>
          </w:p>
        </w:tc>
        <w:tc>
          <w:tcPr>
            <w:tcW w:w="3625" w:type="dxa"/>
            <w:vAlign w:val="center"/>
          </w:tcPr>
          <w:p w14:paraId="4A362B36">
            <w:pPr>
              <w:keepNext/>
              <w:spacing w:after="120" w:line="360" w:lineRule="auto"/>
              <w:ind w:left="63" w:right="63"/>
              <w:rPr>
                <w:rFonts w:ascii="宋体" w:hAnsi="宋体" w:cs="仿宋_GB2312"/>
                <w:kern w:val="0"/>
                <w:szCs w:val="21"/>
              </w:rPr>
            </w:pPr>
          </w:p>
        </w:tc>
      </w:tr>
      <w:tr w14:paraId="38E778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4CBDF634">
            <w:pPr>
              <w:keepNext/>
              <w:spacing w:after="120" w:line="360" w:lineRule="auto"/>
              <w:ind w:left="63" w:right="63"/>
              <w:rPr>
                <w:rFonts w:ascii="宋体" w:hAnsi="宋体" w:cs="仿宋_GB2312"/>
                <w:kern w:val="0"/>
                <w:szCs w:val="21"/>
              </w:rPr>
            </w:pPr>
          </w:p>
        </w:tc>
        <w:tc>
          <w:tcPr>
            <w:tcW w:w="1209" w:type="dxa"/>
            <w:vAlign w:val="center"/>
          </w:tcPr>
          <w:p w14:paraId="78E3409C">
            <w:pPr>
              <w:keepNext/>
              <w:spacing w:after="120" w:line="360" w:lineRule="auto"/>
              <w:ind w:left="63" w:right="63"/>
              <w:rPr>
                <w:rFonts w:ascii="宋体" w:hAnsi="宋体" w:cs="仿宋_GB2312"/>
                <w:kern w:val="0"/>
                <w:szCs w:val="21"/>
              </w:rPr>
            </w:pPr>
          </w:p>
        </w:tc>
        <w:tc>
          <w:tcPr>
            <w:tcW w:w="967" w:type="dxa"/>
            <w:vAlign w:val="center"/>
          </w:tcPr>
          <w:p w14:paraId="30D5F156">
            <w:pPr>
              <w:keepNext/>
              <w:spacing w:after="120" w:line="360" w:lineRule="auto"/>
              <w:ind w:left="63" w:right="63"/>
              <w:rPr>
                <w:rFonts w:ascii="宋体" w:hAnsi="宋体" w:cs="仿宋_GB2312"/>
                <w:kern w:val="0"/>
                <w:szCs w:val="21"/>
              </w:rPr>
            </w:pPr>
          </w:p>
        </w:tc>
        <w:tc>
          <w:tcPr>
            <w:tcW w:w="967" w:type="dxa"/>
            <w:vAlign w:val="center"/>
          </w:tcPr>
          <w:p w14:paraId="2AE150A5">
            <w:pPr>
              <w:keepNext/>
              <w:spacing w:after="120" w:line="360" w:lineRule="auto"/>
              <w:ind w:left="63" w:right="63"/>
              <w:rPr>
                <w:rFonts w:ascii="宋体" w:hAnsi="宋体" w:cs="仿宋_GB2312"/>
                <w:kern w:val="0"/>
                <w:szCs w:val="21"/>
              </w:rPr>
            </w:pPr>
          </w:p>
        </w:tc>
        <w:tc>
          <w:tcPr>
            <w:tcW w:w="3625" w:type="dxa"/>
            <w:vAlign w:val="center"/>
          </w:tcPr>
          <w:p w14:paraId="187FB45D">
            <w:pPr>
              <w:keepNext/>
              <w:spacing w:after="120" w:line="360" w:lineRule="auto"/>
              <w:ind w:left="63" w:right="63"/>
              <w:rPr>
                <w:rFonts w:ascii="宋体" w:hAnsi="宋体" w:cs="仿宋_GB2312"/>
                <w:kern w:val="0"/>
                <w:szCs w:val="21"/>
              </w:rPr>
            </w:pPr>
          </w:p>
        </w:tc>
      </w:tr>
      <w:tr w14:paraId="1B8CBB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vAlign w:val="center"/>
          </w:tcPr>
          <w:p w14:paraId="62EAFA97">
            <w:pPr>
              <w:keepNext/>
              <w:spacing w:after="120" w:line="360" w:lineRule="auto"/>
              <w:ind w:left="63" w:right="63"/>
              <w:rPr>
                <w:rFonts w:ascii="宋体" w:hAnsi="宋体" w:cs="仿宋_GB2312"/>
                <w:kern w:val="0"/>
                <w:szCs w:val="21"/>
              </w:rPr>
            </w:pPr>
            <w:r>
              <w:rPr>
                <w:rFonts w:hint="eastAsia" w:ascii="宋体" w:hAnsi="宋体" w:cs="仿宋_GB2312"/>
                <w:kern w:val="0"/>
                <w:szCs w:val="21"/>
              </w:rPr>
              <w:t>二、现场人员</w:t>
            </w:r>
          </w:p>
        </w:tc>
      </w:tr>
      <w:tr w14:paraId="3DB53B4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359F6CD4">
            <w:pPr>
              <w:keepNext/>
              <w:spacing w:after="120" w:line="360" w:lineRule="auto"/>
              <w:ind w:left="63" w:right="63"/>
              <w:rPr>
                <w:rFonts w:ascii="宋体" w:hAnsi="宋体" w:cs="仿宋_GB2312"/>
                <w:kern w:val="0"/>
                <w:szCs w:val="21"/>
              </w:rPr>
            </w:pPr>
            <w:r>
              <w:rPr>
                <w:rFonts w:hint="eastAsia" w:ascii="宋体" w:hAnsi="宋体" w:cs="仿宋_GB2312"/>
                <w:kern w:val="0"/>
                <w:szCs w:val="21"/>
              </w:rPr>
              <w:t>项目经理</w:t>
            </w:r>
          </w:p>
        </w:tc>
        <w:tc>
          <w:tcPr>
            <w:tcW w:w="1209" w:type="dxa"/>
            <w:vAlign w:val="center"/>
          </w:tcPr>
          <w:p w14:paraId="4B5F3713">
            <w:pPr>
              <w:keepNext/>
              <w:spacing w:after="120" w:line="360" w:lineRule="auto"/>
              <w:ind w:left="63" w:right="63"/>
              <w:rPr>
                <w:rFonts w:ascii="宋体" w:hAnsi="宋体" w:cs="仿宋_GB2312"/>
                <w:kern w:val="0"/>
                <w:szCs w:val="21"/>
              </w:rPr>
            </w:pPr>
          </w:p>
        </w:tc>
        <w:tc>
          <w:tcPr>
            <w:tcW w:w="967" w:type="dxa"/>
            <w:vAlign w:val="center"/>
          </w:tcPr>
          <w:p w14:paraId="3572B547">
            <w:pPr>
              <w:keepNext/>
              <w:spacing w:after="120" w:line="360" w:lineRule="auto"/>
              <w:ind w:left="63" w:right="63"/>
              <w:rPr>
                <w:rFonts w:ascii="宋体" w:hAnsi="宋体" w:cs="仿宋_GB2312"/>
                <w:kern w:val="0"/>
                <w:szCs w:val="21"/>
              </w:rPr>
            </w:pPr>
          </w:p>
        </w:tc>
        <w:tc>
          <w:tcPr>
            <w:tcW w:w="967" w:type="dxa"/>
            <w:vAlign w:val="center"/>
          </w:tcPr>
          <w:p w14:paraId="39F06AD4">
            <w:pPr>
              <w:keepNext/>
              <w:spacing w:after="120" w:line="360" w:lineRule="auto"/>
              <w:ind w:left="63" w:right="63"/>
              <w:rPr>
                <w:rFonts w:ascii="宋体" w:hAnsi="宋体" w:cs="仿宋_GB2312"/>
                <w:kern w:val="0"/>
                <w:szCs w:val="21"/>
              </w:rPr>
            </w:pPr>
          </w:p>
        </w:tc>
        <w:tc>
          <w:tcPr>
            <w:tcW w:w="3625" w:type="dxa"/>
            <w:vAlign w:val="center"/>
          </w:tcPr>
          <w:p w14:paraId="195F50E3">
            <w:pPr>
              <w:keepNext/>
              <w:spacing w:after="120" w:line="360" w:lineRule="auto"/>
              <w:ind w:left="63" w:right="63"/>
              <w:rPr>
                <w:rFonts w:ascii="宋体" w:hAnsi="宋体" w:cs="仿宋_GB2312"/>
                <w:kern w:val="0"/>
                <w:szCs w:val="21"/>
              </w:rPr>
            </w:pPr>
          </w:p>
        </w:tc>
      </w:tr>
      <w:tr w14:paraId="50466D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1EB44BAE">
            <w:pPr>
              <w:keepNext/>
              <w:spacing w:after="120" w:line="360" w:lineRule="auto"/>
              <w:ind w:left="63" w:right="63"/>
              <w:rPr>
                <w:rFonts w:ascii="宋体" w:hAnsi="宋体" w:cs="仿宋_GB2312"/>
                <w:kern w:val="0"/>
                <w:szCs w:val="21"/>
              </w:rPr>
            </w:pPr>
            <w:r>
              <w:rPr>
                <w:rFonts w:hint="eastAsia" w:ascii="宋体" w:hAnsi="宋体" w:cs="仿宋_GB2312"/>
                <w:kern w:val="0"/>
                <w:szCs w:val="21"/>
              </w:rPr>
              <w:t>项目副经理</w:t>
            </w:r>
          </w:p>
        </w:tc>
        <w:tc>
          <w:tcPr>
            <w:tcW w:w="1209" w:type="dxa"/>
            <w:vAlign w:val="center"/>
          </w:tcPr>
          <w:p w14:paraId="60E43AC9">
            <w:pPr>
              <w:keepNext/>
              <w:spacing w:after="120" w:line="360" w:lineRule="auto"/>
              <w:ind w:left="63" w:right="63"/>
              <w:rPr>
                <w:rFonts w:ascii="宋体" w:hAnsi="宋体" w:cs="仿宋_GB2312"/>
                <w:kern w:val="0"/>
                <w:szCs w:val="21"/>
              </w:rPr>
            </w:pPr>
          </w:p>
        </w:tc>
        <w:tc>
          <w:tcPr>
            <w:tcW w:w="967" w:type="dxa"/>
            <w:vAlign w:val="center"/>
          </w:tcPr>
          <w:p w14:paraId="112832DB">
            <w:pPr>
              <w:keepNext/>
              <w:spacing w:after="120" w:line="360" w:lineRule="auto"/>
              <w:ind w:left="63" w:right="63"/>
              <w:rPr>
                <w:rFonts w:ascii="宋体" w:hAnsi="宋体" w:cs="仿宋_GB2312"/>
                <w:kern w:val="0"/>
                <w:szCs w:val="21"/>
              </w:rPr>
            </w:pPr>
          </w:p>
        </w:tc>
        <w:tc>
          <w:tcPr>
            <w:tcW w:w="967" w:type="dxa"/>
            <w:vAlign w:val="center"/>
          </w:tcPr>
          <w:p w14:paraId="3939F143">
            <w:pPr>
              <w:keepNext/>
              <w:spacing w:after="120" w:line="360" w:lineRule="auto"/>
              <w:ind w:left="63" w:right="63"/>
              <w:rPr>
                <w:rFonts w:ascii="宋体" w:hAnsi="宋体" w:cs="仿宋_GB2312"/>
                <w:kern w:val="0"/>
                <w:szCs w:val="21"/>
              </w:rPr>
            </w:pPr>
          </w:p>
        </w:tc>
        <w:tc>
          <w:tcPr>
            <w:tcW w:w="3625" w:type="dxa"/>
            <w:vAlign w:val="center"/>
          </w:tcPr>
          <w:p w14:paraId="7EB28DEE">
            <w:pPr>
              <w:keepNext/>
              <w:spacing w:after="120" w:line="360" w:lineRule="auto"/>
              <w:ind w:left="63" w:right="63"/>
              <w:rPr>
                <w:rFonts w:ascii="宋体" w:hAnsi="宋体" w:cs="仿宋_GB2312"/>
                <w:kern w:val="0"/>
                <w:szCs w:val="21"/>
              </w:rPr>
            </w:pPr>
          </w:p>
        </w:tc>
      </w:tr>
      <w:tr w14:paraId="28C924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01C5540F">
            <w:pPr>
              <w:keepNext/>
              <w:spacing w:after="120" w:line="360" w:lineRule="auto"/>
              <w:ind w:left="63" w:right="63"/>
              <w:rPr>
                <w:rFonts w:ascii="宋体" w:hAnsi="宋体" w:cs="仿宋_GB2312"/>
                <w:kern w:val="0"/>
                <w:szCs w:val="21"/>
              </w:rPr>
            </w:pPr>
            <w:r>
              <w:rPr>
                <w:rFonts w:hint="eastAsia" w:ascii="宋体" w:hAnsi="宋体" w:cs="仿宋_GB2312"/>
                <w:kern w:val="0"/>
                <w:szCs w:val="21"/>
              </w:rPr>
              <w:t>技术负责人</w:t>
            </w:r>
          </w:p>
        </w:tc>
        <w:tc>
          <w:tcPr>
            <w:tcW w:w="1209" w:type="dxa"/>
            <w:vAlign w:val="center"/>
          </w:tcPr>
          <w:p w14:paraId="5421F2C1">
            <w:pPr>
              <w:keepNext/>
              <w:spacing w:after="120" w:line="360" w:lineRule="auto"/>
              <w:ind w:left="63" w:right="63"/>
              <w:rPr>
                <w:rFonts w:ascii="宋体" w:hAnsi="宋体" w:cs="仿宋_GB2312"/>
                <w:kern w:val="0"/>
                <w:szCs w:val="21"/>
              </w:rPr>
            </w:pPr>
          </w:p>
        </w:tc>
        <w:tc>
          <w:tcPr>
            <w:tcW w:w="967" w:type="dxa"/>
            <w:vAlign w:val="center"/>
          </w:tcPr>
          <w:p w14:paraId="36FB7763">
            <w:pPr>
              <w:keepNext/>
              <w:spacing w:after="120" w:line="360" w:lineRule="auto"/>
              <w:ind w:left="63" w:right="63"/>
              <w:rPr>
                <w:rFonts w:ascii="宋体" w:hAnsi="宋体" w:cs="仿宋_GB2312"/>
                <w:kern w:val="0"/>
                <w:szCs w:val="21"/>
              </w:rPr>
            </w:pPr>
          </w:p>
        </w:tc>
        <w:tc>
          <w:tcPr>
            <w:tcW w:w="967" w:type="dxa"/>
            <w:vAlign w:val="center"/>
          </w:tcPr>
          <w:p w14:paraId="6D6E78C2">
            <w:pPr>
              <w:keepNext/>
              <w:spacing w:after="120" w:line="360" w:lineRule="auto"/>
              <w:ind w:left="63" w:right="63"/>
              <w:rPr>
                <w:rFonts w:ascii="宋体" w:hAnsi="宋体" w:cs="仿宋_GB2312"/>
                <w:kern w:val="0"/>
                <w:szCs w:val="21"/>
              </w:rPr>
            </w:pPr>
          </w:p>
        </w:tc>
        <w:tc>
          <w:tcPr>
            <w:tcW w:w="3625" w:type="dxa"/>
            <w:vAlign w:val="center"/>
          </w:tcPr>
          <w:p w14:paraId="4154E1EC">
            <w:pPr>
              <w:keepNext/>
              <w:spacing w:after="120" w:line="360" w:lineRule="auto"/>
              <w:ind w:left="63" w:right="63"/>
              <w:rPr>
                <w:rFonts w:ascii="宋体" w:hAnsi="宋体" w:cs="仿宋_GB2312"/>
                <w:kern w:val="0"/>
                <w:szCs w:val="21"/>
              </w:rPr>
            </w:pPr>
          </w:p>
        </w:tc>
      </w:tr>
      <w:tr w14:paraId="72BC8B1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320D9519">
            <w:pPr>
              <w:keepNext/>
              <w:spacing w:after="120" w:line="360" w:lineRule="auto"/>
              <w:ind w:left="63" w:right="63"/>
              <w:rPr>
                <w:rFonts w:ascii="宋体" w:hAnsi="宋体" w:cs="仿宋_GB2312"/>
                <w:kern w:val="0"/>
                <w:szCs w:val="21"/>
              </w:rPr>
            </w:pPr>
            <w:r>
              <w:rPr>
                <w:rFonts w:hint="eastAsia" w:ascii="宋体" w:hAnsi="宋体" w:cs="仿宋_GB2312"/>
                <w:kern w:val="0"/>
                <w:szCs w:val="21"/>
              </w:rPr>
              <w:t>造价管理</w:t>
            </w:r>
          </w:p>
        </w:tc>
        <w:tc>
          <w:tcPr>
            <w:tcW w:w="1209" w:type="dxa"/>
            <w:vAlign w:val="center"/>
          </w:tcPr>
          <w:p w14:paraId="2E564BFF">
            <w:pPr>
              <w:keepNext/>
              <w:spacing w:after="120" w:line="360" w:lineRule="auto"/>
              <w:ind w:left="63" w:right="63"/>
              <w:rPr>
                <w:rFonts w:ascii="宋体" w:hAnsi="宋体" w:cs="仿宋_GB2312"/>
                <w:kern w:val="0"/>
                <w:szCs w:val="21"/>
              </w:rPr>
            </w:pPr>
          </w:p>
        </w:tc>
        <w:tc>
          <w:tcPr>
            <w:tcW w:w="967" w:type="dxa"/>
            <w:vAlign w:val="center"/>
          </w:tcPr>
          <w:p w14:paraId="517CBE3F">
            <w:pPr>
              <w:keepNext/>
              <w:spacing w:after="120" w:line="360" w:lineRule="auto"/>
              <w:ind w:left="63" w:right="63"/>
              <w:rPr>
                <w:rFonts w:ascii="宋体" w:hAnsi="宋体" w:cs="仿宋_GB2312"/>
                <w:kern w:val="0"/>
                <w:szCs w:val="21"/>
              </w:rPr>
            </w:pPr>
          </w:p>
        </w:tc>
        <w:tc>
          <w:tcPr>
            <w:tcW w:w="967" w:type="dxa"/>
            <w:vAlign w:val="center"/>
          </w:tcPr>
          <w:p w14:paraId="1849620B">
            <w:pPr>
              <w:keepNext/>
              <w:spacing w:after="120" w:line="360" w:lineRule="auto"/>
              <w:ind w:left="63" w:right="63"/>
              <w:rPr>
                <w:rFonts w:ascii="宋体" w:hAnsi="宋体" w:cs="仿宋_GB2312"/>
                <w:kern w:val="0"/>
                <w:szCs w:val="21"/>
              </w:rPr>
            </w:pPr>
          </w:p>
        </w:tc>
        <w:tc>
          <w:tcPr>
            <w:tcW w:w="3625" w:type="dxa"/>
            <w:vAlign w:val="center"/>
          </w:tcPr>
          <w:p w14:paraId="45443CFE">
            <w:pPr>
              <w:keepNext/>
              <w:spacing w:after="120" w:line="360" w:lineRule="auto"/>
              <w:ind w:left="63" w:right="63"/>
              <w:rPr>
                <w:rFonts w:ascii="宋体" w:hAnsi="宋体" w:cs="仿宋_GB2312"/>
                <w:kern w:val="0"/>
                <w:szCs w:val="21"/>
              </w:rPr>
            </w:pPr>
          </w:p>
        </w:tc>
      </w:tr>
      <w:tr w14:paraId="20E450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03847216">
            <w:pPr>
              <w:keepNext/>
              <w:spacing w:after="120" w:line="360" w:lineRule="auto"/>
              <w:ind w:left="63" w:right="63"/>
              <w:rPr>
                <w:rFonts w:ascii="宋体" w:hAnsi="宋体" w:cs="仿宋_GB2312"/>
                <w:kern w:val="0"/>
                <w:szCs w:val="21"/>
              </w:rPr>
            </w:pPr>
            <w:r>
              <w:rPr>
                <w:rFonts w:hint="eastAsia" w:ascii="宋体" w:hAnsi="宋体" w:cs="仿宋_GB2312"/>
                <w:kern w:val="0"/>
                <w:szCs w:val="21"/>
              </w:rPr>
              <w:t>质量管理</w:t>
            </w:r>
          </w:p>
        </w:tc>
        <w:tc>
          <w:tcPr>
            <w:tcW w:w="1209" w:type="dxa"/>
            <w:vAlign w:val="center"/>
          </w:tcPr>
          <w:p w14:paraId="7F873236">
            <w:pPr>
              <w:keepNext/>
              <w:spacing w:after="120" w:line="360" w:lineRule="auto"/>
              <w:ind w:left="63" w:right="63"/>
              <w:rPr>
                <w:rFonts w:ascii="宋体" w:hAnsi="宋体" w:cs="仿宋_GB2312"/>
                <w:kern w:val="0"/>
                <w:szCs w:val="21"/>
              </w:rPr>
            </w:pPr>
          </w:p>
        </w:tc>
        <w:tc>
          <w:tcPr>
            <w:tcW w:w="967" w:type="dxa"/>
            <w:vAlign w:val="center"/>
          </w:tcPr>
          <w:p w14:paraId="6423D31A">
            <w:pPr>
              <w:keepNext/>
              <w:spacing w:after="120" w:line="360" w:lineRule="auto"/>
              <w:ind w:left="63" w:right="63"/>
              <w:rPr>
                <w:rFonts w:ascii="宋体" w:hAnsi="宋体" w:cs="仿宋_GB2312"/>
                <w:kern w:val="0"/>
                <w:szCs w:val="21"/>
              </w:rPr>
            </w:pPr>
          </w:p>
        </w:tc>
        <w:tc>
          <w:tcPr>
            <w:tcW w:w="967" w:type="dxa"/>
            <w:vAlign w:val="center"/>
          </w:tcPr>
          <w:p w14:paraId="443911D0">
            <w:pPr>
              <w:keepNext/>
              <w:spacing w:after="120" w:line="360" w:lineRule="auto"/>
              <w:ind w:left="63" w:right="63"/>
              <w:rPr>
                <w:rFonts w:ascii="宋体" w:hAnsi="宋体" w:cs="仿宋_GB2312"/>
                <w:kern w:val="0"/>
                <w:szCs w:val="21"/>
              </w:rPr>
            </w:pPr>
          </w:p>
        </w:tc>
        <w:tc>
          <w:tcPr>
            <w:tcW w:w="3625" w:type="dxa"/>
            <w:vAlign w:val="center"/>
          </w:tcPr>
          <w:p w14:paraId="716D5E38">
            <w:pPr>
              <w:keepNext/>
              <w:spacing w:after="120" w:line="360" w:lineRule="auto"/>
              <w:ind w:left="63" w:right="63"/>
              <w:rPr>
                <w:rFonts w:ascii="宋体" w:hAnsi="宋体" w:cs="仿宋_GB2312"/>
                <w:kern w:val="0"/>
                <w:szCs w:val="21"/>
              </w:rPr>
            </w:pPr>
          </w:p>
        </w:tc>
      </w:tr>
      <w:tr w14:paraId="55FF47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0187CE5E">
            <w:pPr>
              <w:keepNext/>
              <w:spacing w:after="120" w:line="360" w:lineRule="auto"/>
              <w:ind w:left="63" w:right="63"/>
              <w:rPr>
                <w:rFonts w:ascii="宋体" w:hAnsi="宋体" w:cs="仿宋_GB2312"/>
                <w:kern w:val="0"/>
                <w:szCs w:val="21"/>
              </w:rPr>
            </w:pPr>
            <w:r>
              <w:rPr>
                <w:rFonts w:hint="eastAsia" w:ascii="宋体" w:hAnsi="宋体" w:cs="仿宋_GB2312"/>
                <w:kern w:val="0"/>
                <w:szCs w:val="21"/>
              </w:rPr>
              <w:t>材料管理</w:t>
            </w:r>
          </w:p>
        </w:tc>
        <w:tc>
          <w:tcPr>
            <w:tcW w:w="1209" w:type="dxa"/>
            <w:vAlign w:val="center"/>
          </w:tcPr>
          <w:p w14:paraId="4B2B7AF4">
            <w:pPr>
              <w:keepNext/>
              <w:spacing w:after="120" w:line="360" w:lineRule="auto"/>
              <w:ind w:left="63" w:right="63"/>
              <w:rPr>
                <w:rFonts w:ascii="宋体" w:hAnsi="宋体" w:cs="仿宋_GB2312"/>
                <w:kern w:val="0"/>
                <w:szCs w:val="21"/>
              </w:rPr>
            </w:pPr>
          </w:p>
        </w:tc>
        <w:tc>
          <w:tcPr>
            <w:tcW w:w="967" w:type="dxa"/>
            <w:vAlign w:val="center"/>
          </w:tcPr>
          <w:p w14:paraId="72266C3F">
            <w:pPr>
              <w:keepNext/>
              <w:spacing w:after="120" w:line="360" w:lineRule="auto"/>
              <w:ind w:left="63" w:right="63"/>
              <w:rPr>
                <w:rFonts w:ascii="宋体" w:hAnsi="宋体" w:cs="仿宋_GB2312"/>
                <w:kern w:val="0"/>
                <w:szCs w:val="21"/>
              </w:rPr>
            </w:pPr>
          </w:p>
        </w:tc>
        <w:tc>
          <w:tcPr>
            <w:tcW w:w="967" w:type="dxa"/>
            <w:vAlign w:val="center"/>
          </w:tcPr>
          <w:p w14:paraId="4857668F">
            <w:pPr>
              <w:keepNext/>
              <w:spacing w:after="120" w:line="360" w:lineRule="auto"/>
              <w:ind w:left="63" w:right="63"/>
              <w:rPr>
                <w:rFonts w:ascii="宋体" w:hAnsi="宋体" w:cs="仿宋_GB2312"/>
                <w:kern w:val="0"/>
                <w:szCs w:val="21"/>
              </w:rPr>
            </w:pPr>
          </w:p>
        </w:tc>
        <w:tc>
          <w:tcPr>
            <w:tcW w:w="3625" w:type="dxa"/>
            <w:vAlign w:val="center"/>
          </w:tcPr>
          <w:p w14:paraId="362D0740">
            <w:pPr>
              <w:keepNext/>
              <w:spacing w:after="120" w:line="360" w:lineRule="auto"/>
              <w:ind w:left="63" w:right="63"/>
              <w:rPr>
                <w:rFonts w:ascii="宋体" w:hAnsi="宋体" w:cs="仿宋_GB2312"/>
                <w:kern w:val="0"/>
                <w:szCs w:val="21"/>
              </w:rPr>
            </w:pPr>
          </w:p>
        </w:tc>
      </w:tr>
      <w:tr w14:paraId="416D20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32A72E8D">
            <w:pPr>
              <w:keepNext/>
              <w:spacing w:after="120" w:line="360" w:lineRule="auto"/>
              <w:ind w:left="63" w:right="63"/>
              <w:rPr>
                <w:rFonts w:ascii="宋体" w:hAnsi="宋体" w:cs="仿宋_GB2312"/>
                <w:kern w:val="0"/>
                <w:szCs w:val="21"/>
              </w:rPr>
            </w:pPr>
            <w:r>
              <w:rPr>
                <w:rFonts w:hint="eastAsia" w:ascii="宋体" w:hAnsi="宋体" w:cs="仿宋_GB2312"/>
                <w:kern w:val="0"/>
                <w:szCs w:val="21"/>
              </w:rPr>
              <w:t>计划管理</w:t>
            </w:r>
          </w:p>
        </w:tc>
        <w:tc>
          <w:tcPr>
            <w:tcW w:w="1209" w:type="dxa"/>
            <w:vAlign w:val="center"/>
          </w:tcPr>
          <w:p w14:paraId="21AA682B">
            <w:pPr>
              <w:keepNext/>
              <w:spacing w:after="120" w:line="360" w:lineRule="auto"/>
              <w:ind w:left="63" w:right="63"/>
              <w:rPr>
                <w:rFonts w:ascii="宋体" w:hAnsi="宋体" w:cs="仿宋_GB2312"/>
                <w:kern w:val="0"/>
                <w:szCs w:val="21"/>
              </w:rPr>
            </w:pPr>
          </w:p>
        </w:tc>
        <w:tc>
          <w:tcPr>
            <w:tcW w:w="967" w:type="dxa"/>
            <w:vAlign w:val="center"/>
          </w:tcPr>
          <w:p w14:paraId="45247BBC">
            <w:pPr>
              <w:keepNext/>
              <w:spacing w:after="120" w:line="360" w:lineRule="auto"/>
              <w:ind w:left="63" w:right="63"/>
              <w:rPr>
                <w:rFonts w:ascii="宋体" w:hAnsi="宋体" w:cs="仿宋_GB2312"/>
                <w:kern w:val="0"/>
                <w:szCs w:val="21"/>
              </w:rPr>
            </w:pPr>
          </w:p>
        </w:tc>
        <w:tc>
          <w:tcPr>
            <w:tcW w:w="967" w:type="dxa"/>
            <w:vAlign w:val="center"/>
          </w:tcPr>
          <w:p w14:paraId="4F1B9EC3">
            <w:pPr>
              <w:keepNext/>
              <w:spacing w:after="120" w:line="360" w:lineRule="auto"/>
              <w:ind w:left="63" w:right="63"/>
              <w:rPr>
                <w:rFonts w:ascii="宋体" w:hAnsi="宋体" w:cs="仿宋_GB2312"/>
                <w:kern w:val="0"/>
                <w:szCs w:val="21"/>
              </w:rPr>
            </w:pPr>
          </w:p>
        </w:tc>
        <w:tc>
          <w:tcPr>
            <w:tcW w:w="3625" w:type="dxa"/>
            <w:vAlign w:val="center"/>
          </w:tcPr>
          <w:p w14:paraId="766A5D8B">
            <w:pPr>
              <w:keepNext/>
              <w:spacing w:after="120" w:line="360" w:lineRule="auto"/>
              <w:ind w:left="63" w:right="63"/>
              <w:rPr>
                <w:rFonts w:ascii="宋体" w:hAnsi="宋体" w:cs="仿宋_GB2312"/>
                <w:kern w:val="0"/>
                <w:szCs w:val="21"/>
              </w:rPr>
            </w:pPr>
          </w:p>
        </w:tc>
      </w:tr>
      <w:tr w14:paraId="2FF0CB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0C97DCFD">
            <w:pPr>
              <w:keepNext/>
              <w:spacing w:after="120" w:line="360" w:lineRule="auto"/>
              <w:ind w:left="63" w:right="63"/>
              <w:rPr>
                <w:rFonts w:ascii="宋体" w:hAnsi="宋体" w:cs="仿宋_GB2312"/>
                <w:kern w:val="0"/>
                <w:szCs w:val="21"/>
              </w:rPr>
            </w:pPr>
            <w:r>
              <w:rPr>
                <w:rFonts w:hint="eastAsia" w:ascii="宋体" w:hAnsi="宋体" w:cs="仿宋_GB2312"/>
                <w:kern w:val="0"/>
                <w:szCs w:val="21"/>
              </w:rPr>
              <w:t>安全管理</w:t>
            </w:r>
          </w:p>
        </w:tc>
        <w:tc>
          <w:tcPr>
            <w:tcW w:w="1209" w:type="dxa"/>
            <w:vAlign w:val="center"/>
          </w:tcPr>
          <w:p w14:paraId="7AEC7C43">
            <w:pPr>
              <w:keepNext/>
              <w:spacing w:after="120" w:line="360" w:lineRule="auto"/>
              <w:ind w:left="63" w:right="63"/>
              <w:rPr>
                <w:rFonts w:ascii="宋体" w:hAnsi="宋体" w:cs="仿宋_GB2312"/>
                <w:kern w:val="0"/>
                <w:szCs w:val="21"/>
              </w:rPr>
            </w:pPr>
          </w:p>
        </w:tc>
        <w:tc>
          <w:tcPr>
            <w:tcW w:w="967" w:type="dxa"/>
            <w:vAlign w:val="center"/>
          </w:tcPr>
          <w:p w14:paraId="2BB35F05">
            <w:pPr>
              <w:keepNext/>
              <w:spacing w:after="120" w:line="360" w:lineRule="auto"/>
              <w:ind w:left="63" w:right="63"/>
              <w:rPr>
                <w:rFonts w:ascii="宋体" w:hAnsi="宋体" w:cs="仿宋_GB2312"/>
                <w:kern w:val="0"/>
                <w:szCs w:val="21"/>
              </w:rPr>
            </w:pPr>
          </w:p>
        </w:tc>
        <w:tc>
          <w:tcPr>
            <w:tcW w:w="967" w:type="dxa"/>
            <w:vAlign w:val="center"/>
          </w:tcPr>
          <w:p w14:paraId="0ED5E3EF">
            <w:pPr>
              <w:keepNext/>
              <w:spacing w:after="120" w:line="360" w:lineRule="auto"/>
              <w:ind w:left="63" w:right="63"/>
              <w:rPr>
                <w:rFonts w:ascii="宋体" w:hAnsi="宋体" w:cs="仿宋_GB2312"/>
                <w:kern w:val="0"/>
                <w:szCs w:val="21"/>
              </w:rPr>
            </w:pPr>
          </w:p>
        </w:tc>
        <w:tc>
          <w:tcPr>
            <w:tcW w:w="3625" w:type="dxa"/>
            <w:vAlign w:val="center"/>
          </w:tcPr>
          <w:p w14:paraId="7A1E431B">
            <w:pPr>
              <w:keepNext/>
              <w:spacing w:after="120" w:line="360" w:lineRule="auto"/>
              <w:ind w:left="63" w:right="63"/>
              <w:rPr>
                <w:rFonts w:ascii="宋体" w:hAnsi="宋体" w:cs="仿宋_GB2312"/>
                <w:kern w:val="0"/>
                <w:szCs w:val="21"/>
              </w:rPr>
            </w:pPr>
          </w:p>
        </w:tc>
      </w:tr>
      <w:tr w14:paraId="2A105E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restart"/>
            <w:vAlign w:val="center"/>
          </w:tcPr>
          <w:p w14:paraId="03BCE3EF">
            <w:pPr>
              <w:keepNext/>
              <w:spacing w:after="120" w:line="360" w:lineRule="auto"/>
              <w:ind w:left="63" w:right="63"/>
              <w:rPr>
                <w:rFonts w:ascii="宋体" w:hAnsi="宋体" w:cs="仿宋_GB2312"/>
                <w:kern w:val="0"/>
                <w:szCs w:val="21"/>
              </w:rPr>
            </w:pPr>
            <w:r>
              <w:rPr>
                <w:rFonts w:hint="eastAsia" w:ascii="宋体" w:hAnsi="宋体" w:cs="仿宋_GB2312"/>
                <w:kern w:val="0"/>
                <w:szCs w:val="21"/>
              </w:rPr>
              <w:t>其他人员</w:t>
            </w:r>
          </w:p>
        </w:tc>
        <w:tc>
          <w:tcPr>
            <w:tcW w:w="1209" w:type="dxa"/>
            <w:vAlign w:val="center"/>
          </w:tcPr>
          <w:p w14:paraId="7F0B563B">
            <w:pPr>
              <w:keepNext/>
              <w:spacing w:after="120" w:line="360" w:lineRule="auto"/>
              <w:ind w:left="63" w:right="63"/>
              <w:rPr>
                <w:rFonts w:ascii="宋体" w:hAnsi="宋体" w:cs="仿宋_GB2312"/>
                <w:kern w:val="0"/>
                <w:szCs w:val="21"/>
              </w:rPr>
            </w:pPr>
          </w:p>
        </w:tc>
        <w:tc>
          <w:tcPr>
            <w:tcW w:w="967" w:type="dxa"/>
            <w:vAlign w:val="center"/>
          </w:tcPr>
          <w:p w14:paraId="4E027F4E">
            <w:pPr>
              <w:keepNext/>
              <w:spacing w:after="120" w:line="360" w:lineRule="auto"/>
              <w:ind w:left="63" w:right="63"/>
              <w:rPr>
                <w:rFonts w:ascii="宋体" w:hAnsi="宋体" w:cs="仿宋_GB2312"/>
                <w:kern w:val="0"/>
                <w:szCs w:val="21"/>
              </w:rPr>
            </w:pPr>
          </w:p>
        </w:tc>
        <w:tc>
          <w:tcPr>
            <w:tcW w:w="967" w:type="dxa"/>
            <w:vAlign w:val="center"/>
          </w:tcPr>
          <w:p w14:paraId="6FE12EF8">
            <w:pPr>
              <w:keepNext/>
              <w:spacing w:after="120" w:line="360" w:lineRule="auto"/>
              <w:ind w:left="63" w:right="63"/>
              <w:rPr>
                <w:rFonts w:ascii="宋体" w:hAnsi="宋体" w:cs="仿宋_GB2312"/>
                <w:kern w:val="0"/>
                <w:szCs w:val="21"/>
              </w:rPr>
            </w:pPr>
          </w:p>
        </w:tc>
        <w:tc>
          <w:tcPr>
            <w:tcW w:w="3625" w:type="dxa"/>
            <w:vAlign w:val="center"/>
          </w:tcPr>
          <w:p w14:paraId="07C7B2BA">
            <w:pPr>
              <w:keepNext/>
              <w:spacing w:after="120" w:line="360" w:lineRule="auto"/>
              <w:ind w:left="63" w:right="63"/>
              <w:rPr>
                <w:rFonts w:ascii="宋体" w:hAnsi="宋体" w:cs="仿宋_GB2312"/>
                <w:kern w:val="0"/>
                <w:szCs w:val="21"/>
              </w:rPr>
            </w:pPr>
          </w:p>
        </w:tc>
      </w:tr>
      <w:tr w14:paraId="46F146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2AFBBD50">
            <w:pPr>
              <w:keepNext/>
              <w:spacing w:after="120" w:line="360" w:lineRule="auto"/>
              <w:ind w:left="63" w:right="63"/>
              <w:rPr>
                <w:rFonts w:ascii="宋体" w:hAnsi="宋体" w:cs="仿宋_GB2312"/>
                <w:kern w:val="0"/>
                <w:szCs w:val="21"/>
              </w:rPr>
            </w:pPr>
          </w:p>
        </w:tc>
        <w:tc>
          <w:tcPr>
            <w:tcW w:w="1209" w:type="dxa"/>
            <w:vAlign w:val="center"/>
          </w:tcPr>
          <w:p w14:paraId="708AF4E8">
            <w:pPr>
              <w:keepNext/>
              <w:spacing w:after="120" w:line="360" w:lineRule="auto"/>
              <w:ind w:left="63" w:right="63"/>
              <w:rPr>
                <w:rFonts w:ascii="宋体" w:hAnsi="宋体" w:cs="仿宋_GB2312"/>
                <w:kern w:val="0"/>
                <w:szCs w:val="21"/>
              </w:rPr>
            </w:pPr>
          </w:p>
        </w:tc>
        <w:tc>
          <w:tcPr>
            <w:tcW w:w="967" w:type="dxa"/>
            <w:vAlign w:val="center"/>
          </w:tcPr>
          <w:p w14:paraId="6EF7A276">
            <w:pPr>
              <w:keepNext/>
              <w:spacing w:after="120" w:line="360" w:lineRule="auto"/>
              <w:ind w:left="63" w:right="63"/>
              <w:rPr>
                <w:rFonts w:ascii="宋体" w:hAnsi="宋体" w:cs="仿宋_GB2312"/>
                <w:kern w:val="0"/>
                <w:szCs w:val="21"/>
              </w:rPr>
            </w:pPr>
          </w:p>
        </w:tc>
        <w:tc>
          <w:tcPr>
            <w:tcW w:w="967" w:type="dxa"/>
            <w:vAlign w:val="center"/>
          </w:tcPr>
          <w:p w14:paraId="0CDC2D62">
            <w:pPr>
              <w:keepNext/>
              <w:spacing w:after="120" w:line="360" w:lineRule="auto"/>
              <w:ind w:left="63" w:right="63"/>
              <w:rPr>
                <w:rFonts w:ascii="宋体" w:hAnsi="宋体" w:cs="仿宋_GB2312"/>
                <w:kern w:val="0"/>
                <w:szCs w:val="21"/>
              </w:rPr>
            </w:pPr>
          </w:p>
        </w:tc>
        <w:tc>
          <w:tcPr>
            <w:tcW w:w="3625" w:type="dxa"/>
            <w:vAlign w:val="center"/>
          </w:tcPr>
          <w:p w14:paraId="130ADDF7">
            <w:pPr>
              <w:keepNext/>
              <w:spacing w:after="120" w:line="360" w:lineRule="auto"/>
              <w:ind w:left="63" w:right="63"/>
              <w:rPr>
                <w:rFonts w:ascii="宋体" w:hAnsi="宋体" w:cs="仿宋_GB2312"/>
                <w:kern w:val="0"/>
                <w:szCs w:val="21"/>
              </w:rPr>
            </w:pPr>
          </w:p>
        </w:tc>
      </w:tr>
      <w:tr w14:paraId="66B931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142E61ED">
            <w:pPr>
              <w:keepNext/>
              <w:spacing w:after="120" w:line="360" w:lineRule="auto"/>
              <w:ind w:left="63" w:right="63"/>
              <w:rPr>
                <w:rFonts w:ascii="宋体" w:hAnsi="宋体" w:cs="仿宋_GB2312"/>
                <w:kern w:val="0"/>
                <w:szCs w:val="21"/>
              </w:rPr>
            </w:pPr>
          </w:p>
        </w:tc>
        <w:tc>
          <w:tcPr>
            <w:tcW w:w="1209" w:type="dxa"/>
            <w:vAlign w:val="center"/>
          </w:tcPr>
          <w:p w14:paraId="71396E19">
            <w:pPr>
              <w:keepNext/>
              <w:spacing w:after="120" w:line="360" w:lineRule="auto"/>
              <w:ind w:left="63" w:right="63"/>
              <w:rPr>
                <w:rFonts w:ascii="宋体" w:hAnsi="宋体" w:cs="仿宋_GB2312"/>
                <w:kern w:val="0"/>
                <w:szCs w:val="21"/>
              </w:rPr>
            </w:pPr>
          </w:p>
        </w:tc>
        <w:tc>
          <w:tcPr>
            <w:tcW w:w="967" w:type="dxa"/>
            <w:vAlign w:val="center"/>
          </w:tcPr>
          <w:p w14:paraId="2CD584DE">
            <w:pPr>
              <w:keepNext/>
              <w:spacing w:after="120" w:line="360" w:lineRule="auto"/>
              <w:ind w:left="63" w:right="63"/>
              <w:rPr>
                <w:rFonts w:ascii="宋体" w:hAnsi="宋体" w:cs="仿宋_GB2312"/>
                <w:kern w:val="0"/>
                <w:szCs w:val="21"/>
              </w:rPr>
            </w:pPr>
          </w:p>
        </w:tc>
        <w:tc>
          <w:tcPr>
            <w:tcW w:w="967" w:type="dxa"/>
            <w:vAlign w:val="center"/>
          </w:tcPr>
          <w:p w14:paraId="3A1AFB50">
            <w:pPr>
              <w:keepNext/>
              <w:spacing w:after="120" w:line="360" w:lineRule="auto"/>
              <w:ind w:left="63" w:right="63"/>
              <w:rPr>
                <w:rFonts w:ascii="宋体" w:hAnsi="宋体" w:cs="仿宋_GB2312"/>
                <w:kern w:val="0"/>
                <w:szCs w:val="21"/>
              </w:rPr>
            </w:pPr>
          </w:p>
        </w:tc>
        <w:tc>
          <w:tcPr>
            <w:tcW w:w="3625" w:type="dxa"/>
            <w:vAlign w:val="center"/>
          </w:tcPr>
          <w:p w14:paraId="4B74A762">
            <w:pPr>
              <w:keepNext/>
              <w:spacing w:after="120" w:line="360" w:lineRule="auto"/>
              <w:ind w:left="63" w:right="63"/>
              <w:rPr>
                <w:rFonts w:ascii="宋体" w:hAnsi="宋体" w:cs="仿宋_GB2312"/>
                <w:kern w:val="0"/>
                <w:szCs w:val="21"/>
              </w:rPr>
            </w:pPr>
          </w:p>
        </w:tc>
      </w:tr>
      <w:tr w14:paraId="5049A0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00281492">
            <w:pPr>
              <w:keepNext/>
              <w:spacing w:after="120" w:line="360" w:lineRule="auto"/>
              <w:ind w:left="63" w:right="63"/>
              <w:rPr>
                <w:rFonts w:ascii="宋体" w:hAnsi="宋体" w:cs="仿宋_GB2312"/>
                <w:kern w:val="0"/>
                <w:szCs w:val="21"/>
              </w:rPr>
            </w:pPr>
          </w:p>
        </w:tc>
        <w:tc>
          <w:tcPr>
            <w:tcW w:w="1209" w:type="dxa"/>
            <w:vAlign w:val="center"/>
          </w:tcPr>
          <w:p w14:paraId="093ABB27">
            <w:pPr>
              <w:keepNext/>
              <w:spacing w:after="120" w:line="360" w:lineRule="auto"/>
              <w:ind w:left="63" w:right="63"/>
              <w:rPr>
                <w:rFonts w:ascii="宋体" w:hAnsi="宋体" w:cs="仿宋_GB2312"/>
                <w:kern w:val="0"/>
                <w:szCs w:val="21"/>
              </w:rPr>
            </w:pPr>
          </w:p>
        </w:tc>
        <w:tc>
          <w:tcPr>
            <w:tcW w:w="967" w:type="dxa"/>
            <w:vAlign w:val="center"/>
          </w:tcPr>
          <w:p w14:paraId="4A3FB520">
            <w:pPr>
              <w:keepNext/>
              <w:spacing w:after="120" w:line="360" w:lineRule="auto"/>
              <w:ind w:left="63" w:right="63"/>
              <w:rPr>
                <w:rFonts w:ascii="宋体" w:hAnsi="宋体" w:cs="仿宋_GB2312"/>
                <w:kern w:val="0"/>
                <w:szCs w:val="21"/>
              </w:rPr>
            </w:pPr>
          </w:p>
        </w:tc>
        <w:tc>
          <w:tcPr>
            <w:tcW w:w="967" w:type="dxa"/>
            <w:vAlign w:val="center"/>
          </w:tcPr>
          <w:p w14:paraId="68D55A0E">
            <w:pPr>
              <w:keepNext/>
              <w:spacing w:after="120" w:line="360" w:lineRule="auto"/>
              <w:ind w:left="63" w:right="63"/>
              <w:rPr>
                <w:rFonts w:ascii="宋体" w:hAnsi="宋体" w:cs="仿宋_GB2312"/>
                <w:kern w:val="0"/>
                <w:szCs w:val="21"/>
              </w:rPr>
            </w:pPr>
          </w:p>
        </w:tc>
        <w:tc>
          <w:tcPr>
            <w:tcW w:w="3625" w:type="dxa"/>
            <w:vAlign w:val="center"/>
          </w:tcPr>
          <w:p w14:paraId="543DBFE3">
            <w:pPr>
              <w:keepNext/>
              <w:spacing w:after="120" w:line="360" w:lineRule="auto"/>
              <w:ind w:left="63" w:right="63"/>
              <w:rPr>
                <w:rFonts w:ascii="宋体" w:hAnsi="宋体" w:cs="仿宋_GB2312"/>
                <w:kern w:val="0"/>
                <w:szCs w:val="21"/>
              </w:rPr>
            </w:pPr>
          </w:p>
        </w:tc>
      </w:tr>
      <w:tr w14:paraId="34C09D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0C9A86A6">
            <w:pPr>
              <w:keepNext/>
              <w:spacing w:after="120" w:line="360" w:lineRule="auto"/>
              <w:ind w:left="63" w:right="63"/>
              <w:rPr>
                <w:rFonts w:ascii="宋体" w:hAnsi="宋体" w:cs="仿宋_GB2312"/>
                <w:kern w:val="0"/>
                <w:szCs w:val="21"/>
              </w:rPr>
            </w:pPr>
          </w:p>
        </w:tc>
        <w:tc>
          <w:tcPr>
            <w:tcW w:w="1209" w:type="dxa"/>
            <w:vAlign w:val="center"/>
          </w:tcPr>
          <w:p w14:paraId="0DDC80D1">
            <w:pPr>
              <w:keepNext/>
              <w:spacing w:after="120" w:line="360" w:lineRule="auto"/>
              <w:ind w:left="63" w:right="63"/>
              <w:rPr>
                <w:rFonts w:ascii="宋体" w:hAnsi="宋体" w:cs="仿宋_GB2312"/>
                <w:kern w:val="0"/>
                <w:szCs w:val="21"/>
              </w:rPr>
            </w:pPr>
          </w:p>
        </w:tc>
        <w:tc>
          <w:tcPr>
            <w:tcW w:w="967" w:type="dxa"/>
            <w:vAlign w:val="center"/>
          </w:tcPr>
          <w:p w14:paraId="54783C47">
            <w:pPr>
              <w:keepNext/>
              <w:spacing w:after="120" w:line="360" w:lineRule="auto"/>
              <w:ind w:left="63" w:right="63"/>
              <w:rPr>
                <w:rFonts w:ascii="宋体" w:hAnsi="宋体" w:cs="仿宋_GB2312"/>
                <w:kern w:val="0"/>
                <w:szCs w:val="21"/>
              </w:rPr>
            </w:pPr>
          </w:p>
        </w:tc>
        <w:tc>
          <w:tcPr>
            <w:tcW w:w="967" w:type="dxa"/>
            <w:vAlign w:val="center"/>
          </w:tcPr>
          <w:p w14:paraId="3E5C865C">
            <w:pPr>
              <w:keepNext/>
              <w:spacing w:after="120" w:line="360" w:lineRule="auto"/>
              <w:ind w:left="63" w:right="63"/>
              <w:rPr>
                <w:rFonts w:ascii="宋体" w:hAnsi="宋体" w:cs="仿宋_GB2312"/>
                <w:kern w:val="0"/>
                <w:szCs w:val="21"/>
              </w:rPr>
            </w:pPr>
          </w:p>
        </w:tc>
        <w:tc>
          <w:tcPr>
            <w:tcW w:w="3625" w:type="dxa"/>
            <w:vAlign w:val="center"/>
          </w:tcPr>
          <w:p w14:paraId="379753DD">
            <w:pPr>
              <w:keepNext/>
              <w:spacing w:after="120" w:line="360" w:lineRule="auto"/>
              <w:ind w:left="63" w:right="63"/>
              <w:rPr>
                <w:rFonts w:ascii="宋体" w:hAnsi="宋体" w:cs="仿宋_GB2312"/>
                <w:kern w:val="0"/>
                <w:szCs w:val="21"/>
              </w:rPr>
            </w:pPr>
          </w:p>
        </w:tc>
      </w:tr>
    </w:tbl>
    <w:p w14:paraId="37EE3A70">
      <w:pPr>
        <w:spacing w:line="360" w:lineRule="auto"/>
        <w:rPr>
          <w:rFonts w:ascii="宋体" w:hAnsi="宋体" w:cs="仿宋_GB2312"/>
          <w:szCs w:val="21"/>
        </w:rPr>
      </w:pPr>
    </w:p>
    <w:p w14:paraId="11C7D7A9">
      <w:pPr>
        <w:spacing w:line="360" w:lineRule="auto"/>
        <w:rPr>
          <w:rFonts w:ascii="宋体" w:hAnsi="宋体" w:cs="仿宋_GB2312"/>
          <w:szCs w:val="21"/>
        </w:rPr>
      </w:pPr>
    </w:p>
    <w:p w14:paraId="3EAAEE61">
      <w:pPr>
        <w:spacing w:line="360" w:lineRule="auto"/>
        <w:rPr>
          <w:rFonts w:ascii="宋体" w:hAnsi="宋体" w:cs="仿宋_GB2312"/>
          <w:szCs w:val="21"/>
        </w:rPr>
      </w:pPr>
      <w:r>
        <w:rPr>
          <w:rFonts w:hint="eastAsia" w:ascii="宋体" w:hAnsi="宋体" w:cs="仿宋_GB2312"/>
          <w:szCs w:val="21"/>
        </w:rPr>
        <w:t>附</w:t>
      </w:r>
      <w:bookmarkStart w:id="672" w:name="_Toc296944568"/>
      <w:bookmarkStart w:id="673" w:name="_Toc296503229"/>
      <w:bookmarkStart w:id="674" w:name="_Toc296891269"/>
      <w:bookmarkStart w:id="675" w:name="_Toc296891057"/>
      <w:bookmarkStart w:id="676" w:name="_Toc296347228"/>
      <w:bookmarkStart w:id="677" w:name="_Toc296346730"/>
      <w:r>
        <w:rPr>
          <w:rFonts w:hint="eastAsia" w:ascii="宋体" w:hAnsi="宋体" w:cs="仿宋_GB2312"/>
          <w:szCs w:val="21"/>
        </w:rPr>
        <w:t>件7：</w:t>
      </w:r>
      <w:bookmarkEnd w:id="672"/>
      <w:bookmarkEnd w:id="673"/>
      <w:bookmarkEnd w:id="674"/>
      <w:bookmarkEnd w:id="675"/>
      <w:bookmarkEnd w:id="676"/>
      <w:bookmarkEnd w:id="677"/>
    </w:p>
    <w:p w14:paraId="2A463A13">
      <w:pPr>
        <w:spacing w:line="360" w:lineRule="auto"/>
        <w:jc w:val="center"/>
        <w:rPr>
          <w:rFonts w:ascii="宋体" w:hAnsi="宋体" w:cs="仿宋_GB2312"/>
          <w:szCs w:val="21"/>
        </w:rPr>
      </w:pPr>
      <w:r>
        <w:rPr>
          <w:rFonts w:hint="eastAsia" w:ascii="宋体" w:hAnsi="宋体" w:cs="仿宋_GB2312"/>
          <w:szCs w:val="21"/>
        </w:rPr>
        <w:t>分包人主要施工管理人员表</w:t>
      </w:r>
    </w:p>
    <w:tbl>
      <w:tblPr>
        <w:tblStyle w:val="47"/>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595"/>
        <w:gridCol w:w="1209"/>
        <w:gridCol w:w="967"/>
        <w:gridCol w:w="967"/>
        <w:gridCol w:w="3625"/>
      </w:tblGrid>
      <w:tr w14:paraId="063649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0C646018">
            <w:pPr>
              <w:keepNext/>
              <w:spacing w:after="120" w:line="360" w:lineRule="auto"/>
              <w:ind w:left="63" w:right="63"/>
              <w:rPr>
                <w:rFonts w:ascii="宋体" w:hAnsi="宋体" w:cs="仿宋_GB2312"/>
                <w:kern w:val="0"/>
                <w:szCs w:val="21"/>
              </w:rPr>
            </w:pPr>
            <w:r>
              <w:rPr>
                <w:rFonts w:hint="eastAsia" w:ascii="宋体" w:hAnsi="宋体" w:cs="仿宋_GB2312"/>
                <w:kern w:val="0"/>
                <w:szCs w:val="21"/>
              </w:rPr>
              <w:t>名    称</w:t>
            </w:r>
          </w:p>
        </w:tc>
        <w:tc>
          <w:tcPr>
            <w:tcW w:w="1209" w:type="dxa"/>
            <w:vAlign w:val="center"/>
          </w:tcPr>
          <w:p w14:paraId="0BFACF9C">
            <w:pPr>
              <w:keepNext/>
              <w:spacing w:after="120" w:line="360" w:lineRule="auto"/>
              <w:ind w:left="63" w:right="63"/>
              <w:rPr>
                <w:rFonts w:ascii="宋体" w:hAnsi="宋体" w:cs="仿宋_GB2312"/>
                <w:kern w:val="0"/>
                <w:szCs w:val="21"/>
              </w:rPr>
            </w:pPr>
            <w:r>
              <w:rPr>
                <w:rFonts w:hint="eastAsia" w:ascii="宋体" w:hAnsi="宋体" w:cs="仿宋_GB2312"/>
                <w:kern w:val="0"/>
                <w:szCs w:val="21"/>
              </w:rPr>
              <w:t>姓名</w:t>
            </w:r>
          </w:p>
        </w:tc>
        <w:tc>
          <w:tcPr>
            <w:tcW w:w="967" w:type="dxa"/>
            <w:vAlign w:val="center"/>
          </w:tcPr>
          <w:p w14:paraId="6A7FCC68">
            <w:pPr>
              <w:keepNext/>
              <w:spacing w:after="120" w:line="360" w:lineRule="auto"/>
              <w:ind w:left="63" w:right="63"/>
              <w:rPr>
                <w:rFonts w:ascii="宋体" w:hAnsi="宋体" w:cs="仿宋_GB2312"/>
                <w:kern w:val="0"/>
                <w:szCs w:val="21"/>
              </w:rPr>
            </w:pPr>
            <w:r>
              <w:rPr>
                <w:rFonts w:hint="eastAsia" w:ascii="宋体" w:hAnsi="宋体" w:cs="仿宋_GB2312"/>
                <w:kern w:val="0"/>
                <w:szCs w:val="21"/>
              </w:rPr>
              <w:t>职务</w:t>
            </w:r>
          </w:p>
        </w:tc>
        <w:tc>
          <w:tcPr>
            <w:tcW w:w="967" w:type="dxa"/>
            <w:vAlign w:val="center"/>
          </w:tcPr>
          <w:p w14:paraId="21E61234">
            <w:pPr>
              <w:keepNext/>
              <w:spacing w:after="120" w:line="360" w:lineRule="auto"/>
              <w:ind w:left="63" w:right="63"/>
              <w:rPr>
                <w:rFonts w:ascii="宋体" w:hAnsi="宋体" w:cs="仿宋_GB2312"/>
                <w:kern w:val="0"/>
                <w:szCs w:val="21"/>
              </w:rPr>
            </w:pPr>
            <w:r>
              <w:rPr>
                <w:rFonts w:hint="eastAsia" w:ascii="宋体" w:hAnsi="宋体" w:cs="仿宋_GB2312"/>
                <w:kern w:val="0"/>
                <w:szCs w:val="21"/>
              </w:rPr>
              <w:t>职称</w:t>
            </w:r>
          </w:p>
        </w:tc>
        <w:tc>
          <w:tcPr>
            <w:tcW w:w="3625" w:type="dxa"/>
            <w:vAlign w:val="center"/>
          </w:tcPr>
          <w:p w14:paraId="4A17CF52">
            <w:pPr>
              <w:keepNext/>
              <w:spacing w:after="120" w:line="360" w:lineRule="auto"/>
              <w:ind w:left="63" w:right="63"/>
              <w:rPr>
                <w:rFonts w:ascii="宋体" w:hAnsi="宋体" w:cs="仿宋_GB2312"/>
                <w:kern w:val="0"/>
                <w:szCs w:val="21"/>
              </w:rPr>
            </w:pPr>
            <w:r>
              <w:rPr>
                <w:rFonts w:hint="eastAsia" w:ascii="宋体" w:hAnsi="宋体" w:cs="仿宋_GB2312"/>
                <w:kern w:val="0"/>
                <w:szCs w:val="21"/>
              </w:rPr>
              <w:t>主要资历、经验及承担过的项目</w:t>
            </w:r>
          </w:p>
        </w:tc>
      </w:tr>
      <w:tr w14:paraId="6EF87A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vAlign w:val="center"/>
          </w:tcPr>
          <w:p w14:paraId="23E9FB75">
            <w:pPr>
              <w:keepNext/>
              <w:spacing w:after="120" w:line="360" w:lineRule="auto"/>
              <w:ind w:left="63" w:right="63"/>
              <w:rPr>
                <w:rFonts w:ascii="宋体" w:hAnsi="宋体" w:cs="仿宋_GB2312"/>
                <w:kern w:val="0"/>
                <w:szCs w:val="21"/>
              </w:rPr>
            </w:pPr>
            <w:r>
              <w:rPr>
                <w:rFonts w:hint="eastAsia" w:ascii="宋体" w:hAnsi="宋体" w:cs="仿宋_GB2312"/>
                <w:kern w:val="0"/>
                <w:szCs w:val="21"/>
              </w:rPr>
              <w:t>一、总部人员</w:t>
            </w:r>
          </w:p>
        </w:tc>
      </w:tr>
      <w:tr w14:paraId="457AFB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1C63950D">
            <w:pPr>
              <w:keepNext/>
              <w:spacing w:after="120" w:line="360" w:lineRule="auto"/>
              <w:ind w:left="63" w:right="63"/>
              <w:rPr>
                <w:rFonts w:ascii="宋体" w:hAnsi="宋体" w:cs="仿宋_GB2312"/>
                <w:kern w:val="0"/>
                <w:szCs w:val="21"/>
              </w:rPr>
            </w:pPr>
            <w:r>
              <w:rPr>
                <w:rFonts w:hint="eastAsia" w:ascii="宋体" w:hAnsi="宋体" w:cs="仿宋_GB2312"/>
                <w:kern w:val="0"/>
                <w:szCs w:val="21"/>
              </w:rPr>
              <w:t>项目主管</w:t>
            </w:r>
          </w:p>
        </w:tc>
        <w:tc>
          <w:tcPr>
            <w:tcW w:w="1209" w:type="dxa"/>
            <w:vAlign w:val="center"/>
          </w:tcPr>
          <w:p w14:paraId="6E4F9241">
            <w:pPr>
              <w:keepNext/>
              <w:spacing w:after="120" w:line="360" w:lineRule="auto"/>
              <w:ind w:left="63" w:right="63"/>
              <w:rPr>
                <w:rFonts w:ascii="宋体" w:hAnsi="宋体" w:cs="仿宋_GB2312"/>
                <w:kern w:val="0"/>
                <w:szCs w:val="21"/>
              </w:rPr>
            </w:pPr>
          </w:p>
        </w:tc>
        <w:tc>
          <w:tcPr>
            <w:tcW w:w="967" w:type="dxa"/>
            <w:vAlign w:val="center"/>
          </w:tcPr>
          <w:p w14:paraId="04D34DDD">
            <w:pPr>
              <w:keepNext/>
              <w:spacing w:after="120" w:line="360" w:lineRule="auto"/>
              <w:ind w:left="63" w:right="63"/>
              <w:rPr>
                <w:rFonts w:ascii="宋体" w:hAnsi="宋体" w:cs="仿宋_GB2312"/>
                <w:kern w:val="0"/>
                <w:szCs w:val="21"/>
              </w:rPr>
            </w:pPr>
          </w:p>
        </w:tc>
        <w:tc>
          <w:tcPr>
            <w:tcW w:w="967" w:type="dxa"/>
            <w:vAlign w:val="center"/>
          </w:tcPr>
          <w:p w14:paraId="1A9BBC9C">
            <w:pPr>
              <w:keepNext/>
              <w:spacing w:after="120" w:line="360" w:lineRule="auto"/>
              <w:ind w:left="63" w:right="63"/>
              <w:rPr>
                <w:rFonts w:ascii="宋体" w:hAnsi="宋体" w:cs="仿宋_GB2312"/>
                <w:kern w:val="0"/>
                <w:szCs w:val="21"/>
              </w:rPr>
            </w:pPr>
          </w:p>
        </w:tc>
        <w:tc>
          <w:tcPr>
            <w:tcW w:w="3625" w:type="dxa"/>
            <w:vAlign w:val="center"/>
          </w:tcPr>
          <w:p w14:paraId="00CC833A">
            <w:pPr>
              <w:keepNext/>
              <w:spacing w:after="120" w:line="360" w:lineRule="auto"/>
              <w:ind w:left="63" w:right="63"/>
              <w:rPr>
                <w:rFonts w:ascii="宋体" w:hAnsi="宋体" w:cs="仿宋_GB2312"/>
                <w:kern w:val="0"/>
                <w:szCs w:val="21"/>
              </w:rPr>
            </w:pPr>
          </w:p>
        </w:tc>
      </w:tr>
      <w:tr w14:paraId="1F14F4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3B861F7D">
            <w:pPr>
              <w:keepNext/>
              <w:spacing w:after="120" w:line="360" w:lineRule="auto"/>
              <w:ind w:left="63" w:right="63"/>
              <w:rPr>
                <w:rFonts w:ascii="宋体" w:hAnsi="宋体" w:cs="仿宋_GB2312"/>
                <w:kern w:val="0"/>
                <w:szCs w:val="21"/>
              </w:rPr>
            </w:pPr>
          </w:p>
        </w:tc>
        <w:tc>
          <w:tcPr>
            <w:tcW w:w="1209" w:type="dxa"/>
            <w:vAlign w:val="center"/>
          </w:tcPr>
          <w:p w14:paraId="126B9EF3">
            <w:pPr>
              <w:keepNext/>
              <w:spacing w:after="120" w:line="360" w:lineRule="auto"/>
              <w:ind w:left="63" w:right="63"/>
              <w:rPr>
                <w:rFonts w:ascii="宋体" w:hAnsi="宋体" w:cs="仿宋_GB2312"/>
                <w:kern w:val="0"/>
                <w:szCs w:val="21"/>
              </w:rPr>
            </w:pPr>
          </w:p>
        </w:tc>
        <w:tc>
          <w:tcPr>
            <w:tcW w:w="967" w:type="dxa"/>
            <w:vAlign w:val="center"/>
          </w:tcPr>
          <w:p w14:paraId="1F9994ED">
            <w:pPr>
              <w:keepNext/>
              <w:spacing w:after="120" w:line="360" w:lineRule="auto"/>
              <w:ind w:left="63" w:right="63"/>
              <w:rPr>
                <w:rFonts w:ascii="宋体" w:hAnsi="宋体" w:cs="仿宋_GB2312"/>
                <w:kern w:val="0"/>
                <w:szCs w:val="21"/>
              </w:rPr>
            </w:pPr>
          </w:p>
        </w:tc>
        <w:tc>
          <w:tcPr>
            <w:tcW w:w="967" w:type="dxa"/>
            <w:vAlign w:val="center"/>
          </w:tcPr>
          <w:p w14:paraId="23FA7849">
            <w:pPr>
              <w:keepNext/>
              <w:spacing w:after="120" w:line="360" w:lineRule="auto"/>
              <w:ind w:left="63" w:right="63"/>
              <w:rPr>
                <w:rFonts w:ascii="宋体" w:hAnsi="宋体" w:cs="仿宋_GB2312"/>
                <w:kern w:val="0"/>
                <w:szCs w:val="21"/>
              </w:rPr>
            </w:pPr>
          </w:p>
        </w:tc>
        <w:tc>
          <w:tcPr>
            <w:tcW w:w="3625" w:type="dxa"/>
            <w:vAlign w:val="center"/>
          </w:tcPr>
          <w:p w14:paraId="69FB8A1F">
            <w:pPr>
              <w:keepNext/>
              <w:spacing w:after="120" w:line="360" w:lineRule="auto"/>
              <w:ind w:left="63" w:right="63"/>
              <w:rPr>
                <w:rFonts w:ascii="宋体" w:hAnsi="宋体" w:cs="仿宋_GB2312"/>
                <w:kern w:val="0"/>
                <w:szCs w:val="21"/>
              </w:rPr>
            </w:pPr>
          </w:p>
        </w:tc>
      </w:tr>
      <w:tr w14:paraId="34D740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6AC04C18">
            <w:pPr>
              <w:keepNext/>
              <w:spacing w:after="120" w:line="360" w:lineRule="auto"/>
              <w:ind w:left="63" w:right="63"/>
              <w:rPr>
                <w:rFonts w:ascii="宋体" w:hAnsi="宋体" w:cs="仿宋_GB2312"/>
                <w:kern w:val="0"/>
                <w:szCs w:val="21"/>
              </w:rPr>
            </w:pPr>
            <w:r>
              <w:rPr>
                <w:rFonts w:hint="eastAsia" w:ascii="宋体" w:hAnsi="宋体" w:cs="仿宋_GB2312"/>
                <w:kern w:val="0"/>
                <w:szCs w:val="21"/>
              </w:rPr>
              <w:t>其他人员</w:t>
            </w:r>
          </w:p>
        </w:tc>
        <w:tc>
          <w:tcPr>
            <w:tcW w:w="1209" w:type="dxa"/>
            <w:vAlign w:val="center"/>
          </w:tcPr>
          <w:p w14:paraId="5C24C395">
            <w:pPr>
              <w:keepNext/>
              <w:spacing w:after="120" w:line="360" w:lineRule="auto"/>
              <w:ind w:left="63" w:right="63"/>
              <w:rPr>
                <w:rFonts w:ascii="宋体" w:hAnsi="宋体" w:cs="仿宋_GB2312"/>
                <w:kern w:val="0"/>
                <w:szCs w:val="21"/>
              </w:rPr>
            </w:pPr>
          </w:p>
        </w:tc>
        <w:tc>
          <w:tcPr>
            <w:tcW w:w="967" w:type="dxa"/>
            <w:vAlign w:val="center"/>
          </w:tcPr>
          <w:p w14:paraId="6448BEC4">
            <w:pPr>
              <w:keepNext/>
              <w:spacing w:after="120" w:line="360" w:lineRule="auto"/>
              <w:ind w:left="63" w:right="63"/>
              <w:rPr>
                <w:rFonts w:ascii="宋体" w:hAnsi="宋体" w:cs="仿宋_GB2312"/>
                <w:kern w:val="0"/>
                <w:szCs w:val="21"/>
              </w:rPr>
            </w:pPr>
          </w:p>
        </w:tc>
        <w:tc>
          <w:tcPr>
            <w:tcW w:w="967" w:type="dxa"/>
            <w:vAlign w:val="center"/>
          </w:tcPr>
          <w:p w14:paraId="04BA1287">
            <w:pPr>
              <w:keepNext/>
              <w:spacing w:after="120" w:line="360" w:lineRule="auto"/>
              <w:ind w:left="63" w:right="63"/>
              <w:rPr>
                <w:rFonts w:ascii="宋体" w:hAnsi="宋体" w:cs="仿宋_GB2312"/>
                <w:kern w:val="0"/>
                <w:szCs w:val="21"/>
              </w:rPr>
            </w:pPr>
          </w:p>
        </w:tc>
        <w:tc>
          <w:tcPr>
            <w:tcW w:w="3625" w:type="dxa"/>
            <w:vAlign w:val="center"/>
          </w:tcPr>
          <w:p w14:paraId="39BED947">
            <w:pPr>
              <w:keepNext/>
              <w:spacing w:after="120" w:line="360" w:lineRule="auto"/>
              <w:ind w:left="63" w:right="63"/>
              <w:rPr>
                <w:rFonts w:ascii="宋体" w:hAnsi="宋体" w:cs="仿宋_GB2312"/>
                <w:kern w:val="0"/>
                <w:szCs w:val="21"/>
              </w:rPr>
            </w:pPr>
          </w:p>
        </w:tc>
      </w:tr>
      <w:tr w14:paraId="761F58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4A05DCF6">
            <w:pPr>
              <w:keepNext/>
              <w:spacing w:after="120" w:line="360" w:lineRule="auto"/>
              <w:ind w:left="63" w:right="63"/>
              <w:rPr>
                <w:rFonts w:ascii="宋体" w:hAnsi="宋体" w:cs="仿宋_GB2312"/>
                <w:kern w:val="0"/>
                <w:szCs w:val="21"/>
              </w:rPr>
            </w:pPr>
          </w:p>
        </w:tc>
        <w:tc>
          <w:tcPr>
            <w:tcW w:w="1209" w:type="dxa"/>
            <w:vAlign w:val="center"/>
          </w:tcPr>
          <w:p w14:paraId="4EC3ADB3">
            <w:pPr>
              <w:keepNext/>
              <w:spacing w:after="120" w:line="360" w:lineRule="auto"/>
              <w:ind w:left="63" w:right="63"/>
              <w:rPr>
                <w:rFonts w:ascii="宋体" w:hAnsi="宋体" w:cs="仿宋_GB2312"/>
                <w:kern w:val="0"/>
                <w:szCs w:val="21"/>
              </w:rPr>
            </w:pPr>
          </w:p>
        </w:tc>
        <w:tc>
          <w:tcPr>
            <w:tcW w:w="967" w:type="dxa"/>
            <w:vAlign w:val="center"/>
          </w:tcPr>
          <w:p w14:paraId="5EDF1C3E">
            <w:pPr>
              <w:keepNext/>
              <w:spacing w:after="120" w:line="360" w:lineRule="auto"/>
              <w:ind w:left="63" w:right="63"/>
              <w:rPr>
                <w:rFonts w:ascii="宋体" w:hAnsi="宋体" w:cs="仿宋_GB2312"/>
                <w:kern w:val="0"/>
                <w:szCs w:val="21"/>
              </w:rPr>
            </w:pPr>
          </w:p>
        </w:tc>
        <w:tc>
          <w:tcPr>
            <w:tcW w:w="967" w:type="dxa"/>
            <w:vAlign w:val="center"/>
          </w:tcPr>
          <w:p w14:paraId="2A9353DC">
            <w:pPr>
              <w:keepNext/>
              <w:spacing w:after="120" w:line="360" w:lineRule="auto"/>
              <w:ind w:left="63" w:right="63"/>
              <w:rPr>
                <w:rFonts w:ascii="宋体" w:hAnsi="宋体" w:cs="仿宋_GB2312"/>
                <w:kern w:val="0"/>
                <w:szCs w:val="21"/>
              </w:rPr>
            </w:pPr>
          </w:p>
        </w:tc>
        <w:tc>
          <w:tcPr>
            <w:tcW w:w="3625" w:type="dxa"/>
            <w:vAlign w:val="center"/>
          </w:tcPr>
          <w:p w14:paraId="362D0FA0">
            <w:pPr>
              <w:keepNext/>
              <w:spacing w:after="120" w:line="360" w:lineRule="auto"/>
              <w:ind w:left="63" w:right="63"/>
              <w:rPr>
                <w:rFonts w:ascii="宋体" w:hAnsi="宋体" w:cs="仿宋_GB2312"/>
                <w:kern w:val="0"/>
                <w:szCs w:val="21"/>
              </w:rPr>
            </w:pPr>
          </w:p>
        </w:tc>
      </w:tr>
      <w:tr w14:paraId="0E8FB2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8363" w:type="dxa"/>
            <w:gridSpan w:val="5"/>
            <w:vAlign w:val="center"/>
          </w:tcPr>
          <w:p w14:paraId="66854109">
            <w:pPr>
              <w:keepNext/>
              <w:spacing w:after="120" w:line="360" w:lineRule="auto"/>
              <w:ind w:left="63" w:right="63"/>
              <w:rPr>
                <w:rFonts w:ascii="宋体" w:hAnsi="宋体" w:cs="仿宋_GB2312"/>
                <w:kern w:val="0"/>
                <w:szCs w:val="21"/>
              </w:rPr>
            </w:pPr>
            <w:r>
              <w:rPr>
                <w:rFonts w:hint="eastAsia" w:ascii="宋体" w:hAnsi="宋体" w:cs="仿宋_GB2312"/>
                <w:kern w:val="0"/>
                <w:szCs w:val="21"/>
              </w:rPr>
              <w:t>二、现场人员</w:t>
            </w:r>
          </w:p>
        </w:tc>
      </w:tr>
      <w:tr w14:paraId="27A489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5C62EE07">
            <w:pPr>
              <w:keepNext/>
              <w:spacing w:after="120" w:line="360" w:lineRule="auto"/>
              <w:ind w:left="63" w:right="63"/>
              <w:rPr>
                <w:rFonts w:ascii="宋体" w:hAnsi="宋体" w:cs="仿宋_GB2312"/>
                <w:kern w:val="0"/>
                <w:szCs w:val="21"/>
              </w:rPr>
            </w:pPr>
            <w:r>
              <w:rPr>
                <w:rFonts w:hint="eastAsia" w:ascii="宋体" w:hAnsi="宋体" w:cs="仿宋_GB2312"/>
                <w:kern w:val="0"/>
                <w:szCs w:val="21"/>
              </w:rPr>
              <w:t>项目经理</w:t>
            </w:r>
          </w:p>
        </w:tc>
        <w:tc>
          <w:tcPr>
            <w:tcW w:w="1209" w:type="dxa"/>
            <w:vAlign w:val="center"/>
          </w:tcPr>
          <w:p w14:paraId="284D484C">
            <w:pPr>
              <w:keepNext/>
              <w:spacing w:after="120" w:line="360" w:lineRule="auto"/>
              <w:ind w:left="63" w:right="63"/>
              <w:rPr>
                <w:rFonts w:ascii="宋体" w:hAnsi="宋体" w:cs="仿宋_GB2312"/>
                <w:kern w:val="0"/>
                <w:szCs w:val="21"/>
              </w:rPr>
            </w:pPr>
          </w:p>
        </w:tc>
        <w:tc>
          <w:tcPr>
            <w:tcW w:w="967" w:type="dxa"/>
            <w:vAlign w:val="center"/>
          </w:tcPr>
          <w:p w14:paraId="69E362B9">
            <w:pPr>
              <w:keepNext/>
              <w:spacing w:after="120" w:line="360" w:lineRule="auto"/>
              <w:ind w:left="63" w:right="63"/>
              <w:rPr>
                <w:rFonts w:ascii="宋体" w:hAnsi="宋体" w:cs="仿宋_GB2312"/>
                <w:kern w:val="0"/>
                <w:szCs w:val="21"/>
              </w:rPr>
            </w:pPr>
          </w:p>
        </w:tc>
        <w:tc>
          <w:tcPr>
            <w:tcW w:w="967" w:type="dxa"/>
            <w:vAlign w:val="center"/>
          </w:tcPr>
          <w:p w14:paraId="006E3504">
            <w:pPr>
              <w:keepNext/>
              <w:spacing w:after="120" w:line="360" w:lineRule="auto"/>
              <w:ind w:left="63" w:right="63"/>
              <w:rPr>
                <w:rFonts w:ascii="宋体" w:hAnsi="宋体" w:cs="仿宋_GB2312"/>
                <w:kern w:val="0"/>
                <w:szCs w:val="21"/>
              </w:rPr>
            </w:pPr>
          </w:p>
        </w:tc>
        <w:tc>
          <w:tcPr>
            <w:tcW w:w="3625" w:type="dxa"/>
            <w:vAlign w:val="center"/>
          </w:tcPr>
          <w:p w14:paraId="08347CC5">
            <w:pPr>
              <w:keepNext/>
              <w:spacing w:after="120" w:line="360" w:lineRule="auto"/>
              <w:ind w:left="63" w:right="63"/>
              <w:rPr>
                <w:rFonts w:ascii="宋体" w:hAnsi="宋体" w:cs="仿宋_GB2312"/>
                <w:kern w:val="0"/>
                <w:szCs w:val="21"/>
              </w:rPr>
            </w:pPr>
          </w:p>
        </w:tc>
      </w:tr>
      <w:tr w14:paraId="3DC0E5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731134D0">
            <w:pPr>
              <w:keepNext/>
              <w:spacing w:after="120" w:line="360" w:lineRule="auto"/>
              <w:ind w:left="63" w:right="63"/>
              <w:rPr>
                <w:rFonts w:ascii="宋体" w:hAnsi="宋体" w:cs="仿宋_GB2312"/>
                <w:kern w:val="0"/>
                <w:szCs w:val="21"/>
              </w:rPr>
            </w:pPr>
            <w:r>
              <w:rPr>
                <w:rFonts w:hint="eastAsia" w:ascii="宋体" w:hAnsi="宋体" w:cs="仿宋_GB2312"/>
                <w:kern w:val="0"/>
                <w:szCs w:val="21"/>
              </w:rPr>
              <w:t>项目副经理</w:t>
            </w:r>
          </w:p>
        </w:tc>
        <w:tc>
          <w:tcPr>
            <w:tcW w:w="1209" w:type="dxa"/>
            <w:vAlign w:val="center"/>
          </w:tcPr>
          <w:p w14:paraId="4B4321CE">
            <w:pPr>
              <w:keepNext/>
              <w:spacing w:after="120" w:line="360" w:lineRule="auto"/>
              <w:ind w:left="63" w:right="63"/>
              <w:rPr>
                <w:rFonts w:ascii="宋体" w:hAnsi="宋体" w:cs="仿宋_GB2312"/>
                <w:kern w:val="0"/>
                <w:szCs w:val="21"/>
              </w:rPr>
            </w:pPr>
          </w:p>
        </w:tc>
        <w:tc>
          <w:tcPr>
            <w:tcW w:w="967" w:type="dxa"/>
            <w:vAlign w:val="center"/>
          </w:tcPr>
          <w:p w14:paraId="6B1B4BB6">
            <w:pPr>
              <w:keepNext/>
              <w:spacing w:after="120" w:line="360" w:lineRule="auto"/>
              <w:ind w:left="63" w:right="63"/>
              <w:rPr>
                <w:rFonts w:ascii="宋体" w:hAnsi="宋体" w:cs="仿宋_GB2312"/>
                <w:kern w:val="0"/>
                <w:szCs w:val="21"/>
              </w:rPr>
            </w:pPr>
          </w:p>
        </w:tc>
        <w:tc>
          <w:tcPr>
            <w:tcW w:w="967" w:type="dxa"/>
            <w:vAlign w:val="center"/>
          </w:tcPr>
          <w:p w14:paraId="4A19F22E">
            <w:pPr>
              <w:keepNext/>
              <w:spacing w:after="120" w:line="360" w:lineRule="auto"/>
              <w:ind w:left="63" w:right="63"/>
              <w:rPr>
                <w:rFonts w:ascii="宋体" w:hAnsi="宋体" w:cs="仿宋_GB2312"/>
                <w:kern w:val="0"/>
                <w:szCs w:val="21"/>
              </w:rPr>
            </w:pPr>
          </w:p>
        </w:tc>
        <w:tc>
          <w:tcPr>
            <w:tcW w:w="3625" w:type="dxa"/>
            <w:vAlign w:val="center"/>
          </w:tcPr>
          <w:p w14:paraId="29377530">
            <w:pPr>
              <w:keepNext/>
              <w:spacing w:after="120" w:line="360" w:lineRule="auto"/>
              <w:ind w:left="63" w:right="63"/>
              <w:rPr>
                <w:rFonts w:ascii="宋体" w:hAnsi="宋体" w:cs="仿宋_GB2312"/>
                <w:kern w:val="0"/>
                <w:szCs w:val="21"/>
              </w:rPr>
            </w:pPr>
          </w:p>
        </w:tc>
      </w:tr>
      <w:tr w14:paraId="621CE4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6AC1BBEB">
            <w:pPr>
              <w:keepNext/>
              <w:spacing w:after="120" w:line="360" w:lineRule="auto"/>
              <w:ind w:left="63" w:right="63"/>
              <w:rPr>
                <w:rFonts w:ascii="宋体" w:hAnsi="宋体" w:cs="仿宋_GB2312"/>
                <w:kern w:val="0"/>
                <w:szCs w:val="21"/>
              </w:rPr>
            </w:pPr>
            <w:r>
              <w:rPr>
                <w:rFonts w:hint="eastAsia" w:ascii="宋体" w:hAnsi="宋体" w:cs="仿宋_GB2312"/>
                <w:kern w:val="0"/>
                <w:szCs w:val="21"/>
              </w:rPr>
              <w:t>技术负责人</w:t>
            </w:r>
          </w:p>
        </w:tc>
        <w:tc>
          <w:tcPr>
            <w:tcW w:w="1209" w:type="dxa"/>
            <w:vAlign w:val="center"/>
          </w:tcPr>
          <w:p w14:paraId="5E21939F">
            <w:pPr>
              <w:keepNext/>
              <w:spacing w:after="120" w:line="360" w:lineRule="auto"/>
              <w:ind w:left="63" w:right="63"/>
              <w:rPr>
                <w:rFonts w:ascii="宋体" w:hAnsi="宋体" w:cs="仿宋_GB2312"/>
                <w:kern w:val="0"/>
                <w:szCs w:val="21"/>
              </w:rPr>
            </w:pPr>
          </w:p>
        </w:tc>
        <w:tc>
          <w:tcPr>
            <w:tcW w:w="967" w:type="dxa"/>
            <w:vAlign w:val="center"/>
          </w:tcPr>
          <w:p w14:paraId="46BE73BE">
            <w:pPr>
              <w:keepNext/>
              <w:spacing w:after="120" w:line="360" w:lineRule="auto"/>
              <w:ind w:left="63" w:right="63"/>
              <w:rPr>
                <w:rFonts w:ascii="宋体" w:hAnsi="宋体" w:cs="仿宋_GB2312"/>
                <w:kern w:val="0"/>
                <w:szCs w:val="21"/>
              </w:rPr>
            </w:pPr>
          </w:p>
        </w:tc>
        <w:tc>
          <w:tcPr>
            <w:tcW w:w="967" w:type="dxa"/>
            <w:vAlign w:val="center"/>
          </w:tcPr>
          <w:p w14:paraId="3540A345">
            <w:pPr>
              <w:keepNext/>
              <w:spacing w:after="120" w:line="360" w:lineRule="auto"/>
              <w:ind w:left="63" w:right="63"/>
              <w:rPr>
                <w:rFonts w:ascii="宋体" w:hAnsi="宋体" w:cs="仿宋_GB2312"/>
                <w:kern w:val="0"/>
                <w:szCs w:val="21"/>
              </w:rPr>
            </w:pPr>
          </w:p>
        </w:tc>
        <w:tc>
          <w:tcPr>
            <w:tcW w:w="3625" w:type="dxa"/>
            <w:vAlign w:val="center"/>
          </w:tcPr>
          <w:p w14:paraId="69E8482A">
            <w:pPr>
              <w:keepNext/>
              <w:spacing w:after="120" w:line="360" w:lineRule="auto"/>
              <w:ind w:left="63" w:right="63"/>
              <w:rPr>
                <w:rFonts w:ascii="宋体" w:hAnsi="宋体" w:cs="仿宋_GB2312"/>
                <w:kern w:val="0"/>
                <w:szCs w:val="21"/>
              </w:rPr>
            </w:pPr>
          </w:p>
        </w:tc>
      </w:tr>
      <w:tr w14:paraId="0CD84C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569FF8FA">
            <w:pPr>
              <w:keepNext/>
              <w:spacing w:after="120" w:line="360" w:lineRule="auto"/>
              <w:ind w:left="63" w:right="63"/>
              <w:rPr>
                <w:rFonts w:ascii="宋体" w:hAnsi="宋体" w:cs="仿宋_GB2312"/>
                <w:kern w:val="0"/>
                <w:szCs w:val="21"/>
              </w:rPr>
            </w:pPr>
            <w:r>
              <w:rPr>
                <w:rFonts w:hint="eastAsia" w:ascii="宋体" w:hAnsi="宋体" w:cs="仿宋_GB2312"/>
                <w:kern w:val="0"/>
                <w:szCs w:val="21"/>
              </w:rPr>
              <w:t>造价管理</w:t>
            </w:r>
          </w:p>
        </w:tc>
        <w:tc>
          <w:tcPr>
            <w:tcW w:w="1209" w:type="dxa"/>
            <w:vAlign w:val="center"/>
          </w:tcPr>
          <w:p w14:paraId="756DF9DD">
            <w:pPr>
              <w:keepNext/>
              <w:spacing w:after="120" w:line="360" w:lineRule="auto"/>
              <w:ind w:left="63" w:right="63"/>
              <w:rPr>
                <w:rFonts w:ascii="宋体" w:hAnsi="宋体" w:cs="仿宋_GB2312"/>
                <w:kern w:val="0"/>
                <w:szCs w:val="21"/>
              </w:rPr>
            </w:pPr>
          </w:p>
        </w:tc>
        <w:tc>
          <w:tcPr>
            <w:tcW w:w="967" w:type="dxa"/>
            <w:vAlign w:val="center"/>
          </w:tcPr>
          <w:p w14:paraId="69F1BA51">
            <w:pPr>
              <w:keepNext/>
              <w:spacing w:after="120" w:line="360" w:lineRule="auto"/>
              <w:ind w:left="63" w:right="63"/>
              <w:rPr>
                <w:rFonts w:ascii="宋体" w:hAnsi="宋体" w:cs="仿宋_GB2312"/>
                <w:kern w:val="0"/>
                <w:szCs w:val="21"/>
              </w:rPr>
            </w:pPr>
          </w:p>
        </w:tc>
        <w:tc>
          <w:tcPr>
            <w:tcW w:w="967" w:type="dxa"/>
            <w:vAlign w:val="center"/>
          </w:tcPr>
          <w:p w14:paraId="2EE06EBD">
            <w:pPr>
              <w:keepNext/>
              <w:spacing w:after="120" w:line="360" w:lineRule="auto"/>
              <w:ind w:left="63" w:right="63"/>
              <w:rPr>
                <w:rFonts w:ascii="宋体" w:hAnsi="宋体" w:cs="仿宋_GB2312"/>
                <w:kern w:val="0"/>
                <w:szCs w:val="21"/>
              </w:rPr>
            </w:pPr>
          </w:p>
        </w:tc>
        <w:tc>
          <w:tcPr>
            <w:tcW w:w="3625" w:type="dxa"/>
            <w:vAlign w:val="center"/>
          </w:tcPr>
          <w:p w14:paraId="1C1A4217">
            <w:pPr>
              <w:keepNext/>
              <w:spacing w:after="120" w:line="360" w:lineRule="auto"/>
              <w:ind w:left="63" w:right="63"/>
              <w:rPr>
                <w:rFonts w:ascii="宋体" w:hAnsi="宋体" w:cs="仿宋_GB2312"/>
                <w:kern w:val="0"/>
                <w:szCs w:val="21"/>
              </w:rPr>
            </w:pPr>
          </w:p>
        </w:tc>
      </w:tr>
      <w:tr w14:paraId="7C39EB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446571E2">
            <w:pPr>
              <w:keepNext/>
              <w:spacing w:after="120" w:line="360" w:lineRule="auto"/>
              <w:ind w:left="63" w:right="63"/>
              <w:rPr>
                <w:rFonts w:ascii="宋体" w:hAnsi="宋体" w:cs="仿宋_GB2312"/>
                <w:kern w:val="0"/>
                <w:szCs w:val="21"/>
              </w:rPr>
            </w:pPr>
            <w:r>
              <w:rPr>
                <w:rFonts w:hint="eastAsia" w:ascii="宋体" w:hAnsi="宋体" w:cs="仿宋_GB2312"/>
                <w:kern w:val="0"/>
                <w:szCs w:val="21"/>
              </w:rPr>
              <w:t>质量管理</w:t>
            </w:r>
          </w:p>
        </w:tc>
        <w:tc>
          <w:tcPr>
            <w:tcW w:w="1209" w:type="dxa"/>
            <w:vAlign w:val="center"/>
          </w:tcPr>
          <w:p w14:paraId="6287894D">
            <w:pPr>
              <w:keepNext/>
              <w:spacing w:after="120" w:line="360" w:lineRule="auto"/>
              <w:ind w:left="63" w:right="63"/>
              <w:rPr>
                <w:rFonts w:ascii="宋体" w:hAnsi="宋体" w:cs="仿宋_GB2312"/>
                <w:kern w:val="0"/>
                <w:szCs w:val="21"/>
              </w:rPr>
            </w:pPr>
          </w:p>
        </w:tc>
        <w:tc>
          <w:tcPr>
            <w:tcW w:w="967" w:type="dxa"/>
            <w:vAlign w:val="center"/>
          </w:tcPr>
          <w:p w14:paraId="18697E15">
            <w:pPr>
              <w:keepNext/>
              <w:spacing w:after="120" w:line="360" w:lineRule="auto"/>
              <w:ind w:left="63" w:right="63"/>
              <w:rPr>
                <w:rFonts w:ascii="宋体" w:hAnsi="宋体" w:cs="仿宋_GB2312"/>
                <w:kern w:val="0"/>
                <w:szCs w:val="21"/>
              </w:rPr>
            </w:pPr>
          </w:p>
        </w:tc>
        <w:tc>
          <w:tcPr>
            <w:tcW w:w="967" w:type="dxa"/>
            <w:vAlign w:val="center"/>
          </w:tcPr>
          <w:p w14:paraId="385CDF04">
            <w:pPr>
              <w:keepNext/>
              <w:spacing w:after="120" w:line="360" w:lineRule="auto"/>
              <w:ind w:left="63" w:right="63"/>
              <w:rPr>
                <w:rFonts w:ascii="宋体" w:hAnsi="宋体" w:cs="仿宋_GB2312"/>
                <w:kern w:val="0"/>
                <w:szCs w:val="21"/>
              </w:rPr>
            </w:pPr>
          </w:p>
        </w:tc>
        <w:tc>
          <w:tcPr>
            <w:tcW w:w="3625" w:type="dxa"/>
            <w:vAlign w:val="center"/>
          </w:tcPr>
          <w:p w14:paraId="082F4305">
            <w:pPr>
              <w:keepNext/>
              <w:spacing w:after="120" w:line="360" w:lineRule="auto"/>
              <w:ind w:left="63" w:right="63"/>
              <w:rPr>
                <w:rFonts w:ascii="宋体" w:hAnsi="宋体" w:cs="仿宋_GB2312"/>
                <w:kern w:val="0"/>
                <w:szCs w:val="21"/>
              </w:rPr>
            </w:pPr>
          </w:p>
        </w:tc>
      </w:tr>
      <w:tr w14:paraId="09A344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69D9CE8C">
            <w:pPr>
              <w:keepNext/>
              <w:spacing w:after="120" w:line="360" w:lineRule="auto"/>
              <w:ind w:left="63" w:right="63"/>
              <w:rPr>
                <w:rFonts w:ascii="宋体" w:hAnsi="宋体" w:cs="仿宋_GB2312"/>
                <w:kern w:val="0"/>
                <w:szCs w:val="21"/>
              </w:rPr>
            </w:pPr>
            <w:r>
              <w:rPr>
                <w:rFonts w:hint="eastAsia" w:ascii="宋体" w:hAnsi="宋体" w:cs="仿宋_GB2312"/>
                <w:kern w:val="0"/>
                <w:szCs w:val="21"/>
              </w:rPr>
              <w:t>材料管理</w:t>
            </w:r>
          </w:p>
        </w:tc>
        <w:tc>
          <w:tcPr>
            <w:tcW w:w="1209" w:type="dxa"/>
            <w:vAlign w:val="center"/>
          </w:tcPr>
          <w:p w14:paraId="373548BE">
            <w:pPr>
              <w:keepNext/>
              <w:spacing w:after="120" w:line="360" w:lineRule="auto"/>
              <w:ind w:left="63" w:right="63"/>
              <w:rPr>
                <w:rFonts w:ascii="宋体" w:hAnsi="宋体" w:cs="仿宋_GB2312"/>
                <w:kern w:val="0"/>
                <w:szCs w:val="21"/>
              </w:rPr>
            </w:pPr>
          </w:p>
        </w:tc>
        <w:tc>
          <w:tcPr>
            <w:tcW w:w="967" w:type="dxa"/>
            <w:vAlign w:val="center"/>
          </w:tcPr>
          <w:p w14:paraId="5F9DA41C">
            <w:pPr>
              <w:keepNext/>
              <w:spacing w:after="120" w:line="360" w:lineRule="auto"/>
              <w:ind w:left="63" w:right="63"/>
              <w:rPr>
                <w:rFonts w:ascii="宋体" w:hAnsi="宋体" w:cs="仿宋_GB2312"/>
                <w:kern w:val="0"/>
                <w:szCs w:val="21"/>
              </w:rPr>
            </w:pPr>
          </w:p>
        </w:tc>
        <w:tc>
          <w:tcPr>
            <w:tcW w:w="967" w:type="dxa"/>
            <w:vAlign w:val="center"/>
          </w:tcPr>
          <w:p w14:paraId="415DBAF4">
            <w:pPr>
              <w:keepNext/>
              <w:spacing w:after="120" w:line="360" w:lineRule="auto"/>
              <w:ind w:left="63" w:right="63"/>
              <w:rPr>
                <w:rFonts w:ascii="宋体" w:hAnsi="宋体" w:cs="仿宋_GB2312"/>
                <w:kern w:val="0"/>
                <w:szCs w:val="21"/>
              </w:rPr>
            </w:pPr>
          </w:p>
        </w:tc>
        <w:tc>
          <w:tcPr>
            <w:tcW w:w="3625" w:type="dxa"/>
            <w:vAlign w:val="center"/>
          </w:tcPr>
          <w:p w14:paraId="4FEFE5B4">
            <w:pPr>
              <w:keepNext/>
              <w:spacing w:after="120" w:line="360" w:lineRule="auto"/>
              <w:ind w:left="63" w:right="63"/>
              <w:rPr>
                <w:rFonts w:ascii="宋体" w:hAnsi="宋体" w:cs="仿宋_GB2312"/>
                <w:kern w:val="0"/>
                <w:szCs w:val="21"/>
              </w:rPr>
            </w:pPr>
          </w:p>
        </w:tc>
      </w:tr>
      <w:tr w14:paraId="2EA86C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5B115E86">
            <w:pPr>
              <w:keepNext/>
              <w:spacing w:after="120" w:line="360" w:lineRule="auto"/>
              <w:ind w:left="63" w:right="63"/>
              <w:rPr>
                <w:rFonts w:ascii="宋体" w:hAnsi="宋体" w:cs="仿宋_GB2312"/>
                <w:kern w:val="0"/>
                <w:szCs w:val="21"/>
              </w:rPr>
            </w:pPr>
            <w:r>
              <w:rPr>
                <w:rFonts w:hint="eastAsia" w:ascii="宋体" w:hAnsi="宋体" w:cs="仿宋_GB2312"/>
                <w:kern w:val="0"/>
                <w:szCs w:val="21"/>
              </w:rPr>
              <w:t>计划管理</w:t>
            </w:r>
          </w:p>
        </w:tc>
        <w:tc>
          <w:tcPr>
            <w:tcW w:w="1209" w:type="dxa"/>
            <w:vAlign w:val="center"/>
          </w:tcPr>
          <w:p w14:paraId="5D70FD97">
            <w:pPr>
              <w:keepNext/>
              <w:spacing w:after="120" w:line="360" w:lineRule="auto"/>
              <w:ind w:left="63" w:right="63"/>
              <w:rPr>
                <w:rFonts w:ascii="宋体" w:hAnsi="宋体" w:cs="仿宋_GB2312"/>
                <w:kern w:val="0"/>
                <w:szCs w:val="21"/>
              </w:rPr>
            </w:pPr>
          </w:p>
        </w:tc>
        <w:tc>
          <w:tcPr>
            <w:tcW w:w="967" w:type="dxa"/>
            <w:vAlign w:val="center"/>
          </w:tcPr>
          <w:p w14:paraId="5FD07228">
            <w:pPr>
              <w:keepNext/>
              <w:spacing w:after="120" w:line="360" w:lineRule="auto"/>
              <w:ind w:left="63" w:right="63"/>
              <w:rPr>
                <w:rFonts w:ascii="宋体" w:hAnsi="宋体" w:cs="仿宋_GB2312"/>
                <w:kern w:val="0"/>
                <w:szCs w:val="21"/>
              </w:rPr>
            </w:pPr>
          </w:p>
        </w:tc>
        <w:tc>
          <w:tcPr>
            <w:tcW w:w="967" w:type="dxa"/>
            <w:vAlign w:val="center"/>
          </w:tcPr>
          <w:p w14:paraId="1BDCCE5B">
            <w:pPr>
              <w:keepNext/>
              <w:spacing w:after="120" w:line="360" w:lineRule="auto"/>
              <w:ind w:left="63" w:right="63"/>
              <w:rPr>
                <w:rFonts w:ascii="宋体" w:hAnsi="宋体" w:cs="仿宋_GB2312"/>
                <w:kern w:val="0"/>
                <w:szCs w:val="21"/>
              </w:rPr>
            </w:pPr>
          </w:p>
        </w:tc>
        <w:tc>
          <w:tcPr>
            <w:tcW w:w="3625" w:type="dxa"/>
            <w:vAlign w:val="center"/>
          </w:tcPr>
          <w:p w14:paraId="373C0263">
            <w:pPr>
              <w:keepNext/>
              <w:spacing w:after="120" w:line="360" w:lineRule="auto"/>
              <w:ind w:left="63" w:right="63"/>
              <w:rPr>
                <w:rFonts w:ascii="宋体" w:hAnsi="宋体" w:cs="仿宋_GB2312"/>
                <w:kern w:val="0"/>
                <w:szCs w:val="21"/>
              </w:rPr>
            </w:pPr>
          </w:p>
        </w:tc>
      </w:tr>
      <w:tr w14:paraId="40199F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Align w:val="center"/>
          </w:tcPr>
          <w:p w14:paraId="59BB5330">
            <w:pPr>
              <w:keepNext/>
              <w:spacing w:after="120" w:line="360" w:lineRule="auto"/>
              <w:ind w:left="63" w:right="63"/>
              <w:rPr>
                <w:rFonts w:ascii="宋体" w:hAnsi="宋体" w:cs="仿宋_GB2312"/>
                <w:kern w:val="0"/>
                <w:szCs w:val="21"/>
              </w:rPr>
            </w:pPr>
            <w:r>
              <w:rPr>
                <w:rFonts w:hint="eastAsia" w:ascii="宋体" w:hAnsi="宋体" w:cs="仿宋_GB2312"/>
                <w:kern w:val="0"/>
                <w:szCs w:val="21"/>
              </w:rPr>
              <w:t>安全管理</w:t>
            </w:r>
          </w:p>
        </w:tc>
        <w:tc>
          <w:tcPr>
            <w:tcW w:w="1209" w:type="dxa"/>
            <w:vAlign w:val="center"/>
          </w:tcPr>
          <w:p w14:paraId="1798CAD9">
            <w:pPr>
              <w:keepNext/>
              <w:spacing w:after="120" w:line="360" w:lineRule="auto"/>
              <w:ind w:left="63" w:right="63"/>
              <w:rPr>
                <w:rFonts w:ascii="宋体" w:hAnsi="宋体" w:cs="仿宋_GB2312"/>
                <w:kern w:val="0"/>
                <w:szCs w:val="21"/>
              </w:rPr>
            </w:pPr>
          </w:p>
        </w:tc>
        <w:tc>
          <w:tcPr>
            <w:tcW w:w="967" w:type="dxa"/>
            <w:vAlign w:val="center"/>
          </w:tcPr>
          <w:p w14:paraId="0A3AB558">
            <w:pPr>
              <w:keepNext/>
              <w:spacing w:after="120" w:line="360" w:lineRule="auto"/>
              <w:ind w:left="63" w:right="63"/>
              <w:rPr>
                <w:rFonts w:ascii="宋体" w:hAnsi="宋体" w:cs="仿宋_GB2312"/>
                <w:kern w:val="0"/>
                <w:szCs w:val="21"/>
              </w:rPr>
            </w:pPr>
          </w:p>
        </w:tc>
        <w:tc>
          <w:tcPr>
            <w:tcW w:w="967" w:type="dxa"/>
            <w:vAlign w:val="center"/>
          </w:tcPr>
          <w:p w14:paraId="5DCF1FE5">
            <w:pPr>
              <w:keepNext/>
              <w:spacing w:after="120" w:line="360" w:lineRule="auto"/>
              <w:ind w:left="63" w:right="63"/>
              <w:rPr>
                <w:rFonts w:ascii="宋体" w:hAnsi="宋体" w:cs="仿宋_GB2312"/>
                <w:kern w:val="0"/>
                <w:szCs w:val="21"/>
              </w:rPr>
            </w:pPr>
          </w:p>
        </w:tc>
        <w:tc>
          <w:tcPr>
            <w:tcW w:w="3625" w:type="dxa"/>
            <w:vAlign w:val="center"/>
          </w:tcPr>
          <w:p w14:paraId="4CB1C44D">
            <w:pPr>
              <w:keepNext/>
              <w:spacing w:after="120" w:line="360" w:lineRule="auto"/>
              <w:ind w:left="63" w:right="63"/>
              <w:rPr>
                <w:rFonts w:ascii="宋体" w:hAnsi="宋体" w:cs="仿宋_GB2312"/>
                <w:kern w:val="0"/>
                <w:szCs w:val="21"/>
              </w:rPr>
            </w:pPr>
          </w:p>
        </w:tc>
      </w:tr>
      <w:tr w14:paraId="6641C8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restart"/>
            <w:vAlign w:val="center"/>
          </w:tcPr>
          <w:p w14:paraId="749EBFC2">
            <w:pPr>
              <w:keepNext/>
              <w:spacing w:after="120" w:line="360" w:lineRule="auto"/>
              <w:ind w:left="63" w:right="63"/>
              <w:rPr>
                <w:rFonts w:ascii="宋体" w:hAnsi="宋体" w:cs="仿宋_GB2312"/>
                <w:kern w:val="0"/>
                <w:szCs w:val="21"/>
              </w:rPr>
            </w:pPr>
            <w:r>
              <w:rPr>
                <w:rFonts w:hint="eastAsia" w:ascii="宋体" w:hAnsi="宋体" w:cs="仿宋_GB2312"/>
                <w:kern w:val="0"/>
                <w:szCs w:val="21"/>
              </w:rPr>
              <w:t>其他人员</w:t>
            </w:r>
          </w:p>
        </w:tc>
        <w:tc>
          <w:tcPr>
            <w:tcW w:w="1209" w:type="dxa"/>
            <w:vAlign w:val="center"/>
          </w:tcPr>
          <w:p w14:paraId="30C6FBCB">
            <w:pPr>
              <w:keepNext/>
              <w:spacing w:after="120" w:line="360" w:lineRule="auto"/>
              <w:ind w:left="63" w:right="63"/>
              <w:rPr>
                <w:rFonts w:ascii="宋体" w:hAnsi="宋体" w:cs="仿宋_GB2312"/>
                <w:kern w:val="0"/>
                <w:szCs w:val="21"/>
              </w:rPr>
            </w:pPr>
          </w:p>
        </w:tc>
        <w:tc>
          <w:tcPr>
            <w:tcW w:w="967" w:type="dxa"/>
            <w:vAlign w:val="center"/>
          </w:tcPr>
          <w:p w14:paraId="79816A75">
            <w:pPr>
              <w:keepNext/>
              <w:spacing w:after="120" w:line="360" w:lineRule="auto"/>
              <w:ind w:left="63" w:right="63"/>
              <w:rPr>
                <w:rFonts w:ascii="宋体" w:hAnsi="宋体" w:cs="仿宋_GB2312"/>
                <w:kern w:val="0"/>
                <w:szCs w:val="21"/>
              </w:rPr>
            </w:pPr>
          </w:p>
        </w:tc>
        <w:tc>
          <w:tcPr>
            <w:tcW w:w="967" w:type="dxa"/>
            <w:vAlign w:val="center"/>
          </w:tcPr>
          <w:p w14:paraId="6F6344DF">
            <w:pPr>
              <w:keepNext/>
              <w:spacing w:after="120" w:line="360" w:lineRule="auto"/>
              <w:ind w:left="63" w:right="63"/>
              <w:rPr>
                <w:rFonts w:ascii="宋体" w:hAnsi="宋体" w:cs="仿宋_GB2312"/>
                <w:kern w:val="0"/>
                <w:szCs w:val="21"/>
              </w:rPr>
            </w:pPr>
          </w:p>
        </w:tc>
        <w:tc>
          <w:tcPr>
            <w:tcW w:w="3625" w:type="dxa"/>
            <w:vAlign w:val="center"/>
          </w:tcPr>
          <w:p w14:paraId="40DF5A52">
            <w:pPr>
              <w:keepNext/>
              <w:spacing w:after="120" w:line="360" w:lineRule="auto"/>
              <w:ind w:left="63" w:right="63"/>
              <w:rPr>
                <w:rFonts w:ascii="宋体" w:hAnsi="宋体" w:cs="仿宋_GB2312"/>
                <w:kern w:val="0"/>
                <w:szCs w:val="21"/>
              </w:rPr>
            </w:pPr>
          </w:p>
        </w:tc>
      </w:tr>
      <w:tr w14:paraId="2328DB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257468FA">
            <w:pPr>
              <w:keepNext/>
              <w:spacing w:after="120" w:line="360" w:lineRule="auto"/>
              <w:ind w:left="63" w:right="63"/>
              <w:rPr>
                <w:rFonts w:ascii="宋体" w:hAnsi="宋体" w:cs="仿宋_GB2312"/>
                <w:kern w:val="0"/>
                <w:szCs w:val="21"/>
              </w:rPr>
            </w:pPr>
          </w:p>
        </w:tc>
        <w:tc>
          <w:tcPr>
            <w:tcW w:w="1209" w:type="dxa"/>
            <w:vAlign w:val="center"/>
          </w:tcPr>
          <w:p w14:paraId="6B333315">
            <w:pPr>
              <w:keepNext/>
              <w:spacing w:after="120" w:line="360" w:lineRule="auto"/>
              <w:ind w:left="63" w:right="63"/>
              <w:rPr>
                <w:rFonts w:ascii="宋体" w:hAnsi="宋体" w:cs="仿宋_GB2312"/>
                <w:kern w:val="0"/>
                <w:szCs w:val="21"/>
              </w:rPr>
            </w:pPr>
          </w:p>
        </w:tc>
        <w:tc>
          <w:tcPr>
            <w:tcW w:w="967" w:type="dxa"/>
            <w:vAlign w:val="center"/>
          </w:tcPr>
          <w:p w14:paraId="3B634688">
            <w:pPr>
              <w:keepNext/>
              <w:spacing w:after="120" w:line="360" w:lineRule="auto"/>
              <w:ind w:left="63" w:right="63"/>
              <w:rPr>
                <w:rFonts w:ascii="宋体" w:hAnsi="宋体" w:cs="仿宋_GB2312"/>
                <w:kern w:val="0"/>
                <w:szCs w:val="21"/>
              </w:rPr>
            </w:pPr>
          </w:p>
        </w:tc>
        <w:tc>
          <w:tcPr>
            <w:tcW w:w="967" w:type="dxa"/>
            <w:vAlign w:val="center"/>
          </w:tcPr>
          <w:p w14:paraId="4C9D905D">
            <w:pPr>
              <w:keepNext/>
              <w:spacing w:after="120" w:line="360" w:lineRule="auto"/>
              <w:ind w:left="63" w:right="63"/>
              <w:rPr>
                <w:rFonts w:ascii="宋体" w:hAnsi="宋体" w:cs="仿宋_GB2312"/>
                <w:kern w:val="0"/>
                <w:szCs w:val="21"/>
              </w:rPr>
            </w:pPr>
          </w:p>
        </w:tc>
        <w:tc>
          <w:tcPr>
            <w:tcW w:w="3625" w:type="dxa"/>
            <w:vAlign w:val="center"/>
          </w:tcPr>
          <w:p w14:paraId="5D7F9BD8">
            <w:pPr>
              <w:keepNext/>
              <w:spacing w:after="120" w:line="360" w:lineRule="auto"/>
              <w:ind w:left="63" w:right="63"/>
              <w:rPr>
                <w:rFonts w:ascii="宋体" w:hAnsi="宋体" w:cs="仿宋_GB2312"/>
                <w:kern w:val="0"/>
                <w:szCs w:val="21"/>
              </w:rPr>
            </w:pPr>
          </w:p>
        </w:tc>
      </w:tr>
      <w:tr w14:paraId="029BF1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6A277539">
            <w:pPr>
              <w:keepNext/>
              <w:spacing w:after="120" w:line="360" w:lineRule="auto"/>
              <w:ind w:left="63" w:right="63"/>
              <w:rPr>
                <w:rFonts w:ascii="宋体" w:hAnsi="宋体" w:cs="仿宋_GB2312"/>
                <w:kern w:val="0"/>
                <w:szCs w:val="21"/>
              </w:rPr>
            </w:pPr>
          </w:p>
        </w:tc>
        <w:tc>
          <w:tcPr>
            <w:tcW w:w="1209" w:type="dxa"/>
            <w:vAlign w:val="center"/>
          </w:tcPr>
          <w:p w14:paraId="63AE2DB5">
            <w:pPr>
              <w:keepNext/>
              <w:spacing w:after="120" w:line="360" w:lineRule="auto"/>
              <w:ind w:left="63" w:right="63"/>
              <w:rPr>
                <w:rFonts w:ascii="宋体" w:hAnsi="宋体" w:cs="仿宋_GB2312"/>
                <w:kern w:val="0"/>
                <w:szCs w:val="21"/>
              </w:rPr>
            </w:pPr>
          </w:p>
        </w:tc>
        <w:tc>
          <w:tcPr>
            <w:tcW w:w="967" w:type="dxa"/>
            <w:vAlign w:val="center"/>
          </w:tcPr>
          <w:p w14:paraId="6E6580AC">
            <w:pPr>
              <w:keepNext/>
              <w:spacing w:after="120" w:line="360" w:lineRule="auto"/>
              <w:ind w:left="63" w:right="63"/>
              <w:rPr>
                <w:rFonts w:ascii="宋体" w:hAnsi="宋体" w:cs="仿宋_GB2312"/>
                <w:kern w:val="0"/>
                <w:szCs w:val="21"/>
              </w:rPr>
            </w:pPr>
          </w:p>
        </w:tc>
        <w:tc>
          <w:tcPr>
            <w:tcW w:w="967" w:type="dxa"/>
            <w:vAlign w:val="center"/>
          </w:tcPr>
          <w:p w14:paraId="1E1B8CD0">
            <w:pPr>
              <w:keepNext/>
              <w:spacing w:after="120" w:line="360" w:lineRule="auto"/>
              <w:ind w:left="63" w:right="63"/>
              <w:rPr>
                <w:rFonts w:ascii="宋体" w:hAnsi="宋体" w:cs="仿宋_GB2312"/>
                <w:kern w:val="0"/>
                <w:szCs w:val="21"/>
              </w:rPr>
            </w:pPr>
          </w:p>
        </w:tc>
        <w:tc>
          <w:tcPr>
            <w:tcW w:w="3625" w:type="dxa"/>
            <w:vAlign w:val="center"/>
          </w:tcPr>
          <w:p w14:paraId="60A7E183">
            <w:pPr>
              <w:keepNext/>
              <w:spacing w:after="120" w:line="360" w:lineRule="auto"/>
              <w:ind w:left="63" w:right="63"/>
              <w:rPr>
                <w:rFonts w:ascii="宋体" w:hAnsi="宋体" w:cs="仿宋_GB2312"/>
                <w:kern w:val="0"/>
                <w:szCs w:val="21"/>
              </w:rPr>
            </w:pPr>
          </w:p>
        </w:tc>
      </w:tr>
      <w:tr w14:paraId="269C10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0FED39AF">
            <w:pPr>
              <w:keepNext/>
              <w:spacing w:after="120" w:line="360" w:lineRule="auto"/>
              <w:ind w:left="63" w:right="63"/>
              <w:rPr>
                <w:rFonts w:ascii="宋体" w:hAnsi="宋体" w:cs="仿宋_GB2312"/>
                <w:kern w:val="0"/>
                <w:szCs w:val="21"/>
              </w:rPr>
            </w:pPr>
          </w:p>
        </w:tc>
        <w:tc>
          <w:tcPr>
            <w:tcW w:w="1209" w:type="dxa"/>
            <w:vAlign w:val="center"/>
          </w:tcPr>
          <w:p w14:paraId="7EB0F294">
            <w:pPr>
              <w:keepNext/>
              <w:spacing w:after="120" w:line="360" w:lineRule="auto"/>
              <w:ind w:left="63" w:right="63"/>
              <w:rPr>
                <w:rFonts w:ascii="宋体" w:hAnsi="宋体" w:cs="仿宋_GB2312"/>
                <w:kern w:val="0"/>
                <w:szCs w:val="21"/>
              </w:rPr>
            </w:pPr>
          </w:p>
        </w:tc>
        <w:tc>
          <w:tcPr>
            <w:tcW w:w="967" w:type="dxa"/>
            <w:vAlign w:val="center"/>
          </w:tcPr>
          <w:p w14:paraId="4D36B316">
            <w:pPr>
              <w:keepNext/>
              <w:spacing w:after="120" w:line="360" w:lineRule="auto"/>
              <w:ind w:left="63" w:right="63"/>
              <w:rPr>
                <w:rFonts w:ascii="宋体" w:hAnsi="宋体" w:cs="仿宋_GB2312"/>
                <w:kern w:val="0"/>
                <w:szCs w:val="21"/>
              </w:rPr>
            </w:pPr>
          </w:p>
        </w:tc>
        <w:tc>
          <w:tcPr>
            <w:tcW w:w="967" w:type="dxa"/>
            <w:vAlign w:val="center"/>
          </w:tcPr>
          <w:p w14:paraId="7B56A823">
            <w:pPr>
              <w:keepNext/>
              <w:spacing w:after="120" w:line="360" w:lineRule="auto"/>
              <w:ind w:left="63" w:right="63"/>
              <w:rPr>
                <w:rFonts w:ascii="宋体" w:hAnsi="宋体" w:cs="仿宋_GB2312"/>
                <w:kern w:val="0"/>
                <w:szCs w:val="21"/>
              </w:rPr>
            </w:pPr>
          </w:p>
        </w:tc>
        <w:tc>
          <w:tcPr>
            <w:tcW w:w="3625" w:type="dxa"/>
            <w:vAlign w:val="center"/>
          </w:tcPr>
          <w:p w14:paraId="686780BF">
            <w:pPr>
              <w:keepNext/>
              <w:spacing w:after="120" w:line="360" w:lineRule="auto"/>
              <w:ind w:left="63" w:right="63"/>
              <w:rPr>
                <w:rFonts w:ascii="宋体" w:hAnsi="宋体" w:cs="仿宋_GB2312"/>
                <w:kern w:val="0"/>
                <w:szCs w:val="21"/>
              </w:rPr>
            </w:pPr>
          </w:p>
        </w:tc>
      </w:tr>
      <w:tr w14:paraId="23FEC1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1595" w:type="dxa"/>
            <w:vMerge w:val="continue"/>
            <w:vAlign w:val="center"/>
          </w:tcPr>
          <w:p w14:paraId="30B504EF">
            <w:pPr>
              <w:keepNext/>
              <w:spacing w:after="120" w:line="360" w:lineRule="auto"/>
              <w:ind w:left="63" w:right="63"/>
              <w:rPr>
                <w:rFonts w:ascii="宋体" w:hAnsi="宋体" w:cs="仿宋_GB2312"/>
                <w:kern w:val="0"/>
                <w:szCs w:val="21"/>
              </w:rPr>
            </w:pPr>
          </w:p>
        </w:tc>
        <w:tc>
          <w:tcPr>
            <w:tcW w:w="1209" w:type="dxa"/>
            <w:vAlign w:val="center"/>
          </w:tcPr>
          <w:p w14:paraId="537C9FE5">
            <w:pPr>
              <w:keepNext/>
              <w:spacing w:after="120" w:line="360" w:lineRule="auto"/>
              <w:ind w:left="63" w:right="63"/>
              <w:rPr>
                <w:rFonts w:ascii="宋体" w:hAnsi="宋体" w:cs="仿宋_GB2312"/>
                <w:kern w:val="0"/>
                <w:szCs w:val="21"/>
              </w:rPr>
            </w:pPr>
          </w:p>
        </w:tc>
        <w:tc>
          <w:tcPr>
            <w:tcW w:w="967" w:type="dxa"/>
            <w:vAlign w:val="center"/>
          </w:tcPr>
          <w:p w14:paraId="39082A26">
            <w:pPr>
              <w:keepNext/>
              <w:spacing w:after="120" w:line="360" w:lineRule="auto"/>
              <w:ind w:left="63" w:right="63"/>
              <w:rPr>
                <w:rFonts w:ascii="宋体" w:hAnsi="宋体" w:cs="仿宋_GB2312"/>
                <w:kern w:val="0"/>
                <w:szCs w:val="21"/>
              </w:rPr>
            </w:pPr>
          </w:p>
        </w:tc>
        <w:tc>
          <w:tcPr>
            <w:tcW w:w="967" w:type="dxa"/>
            <w:vAlign w:val="center"/>
          </w:tcPr>
          <w:p w14:paraId="261EA1D4">
            <w:pPr>
              <w:keepNext/>
              <w:spacing w:after="120" w:line="360" w:lineRule="auto"/>
              <w:ind w:left="63" w:right="63"/>
              <w:rPr>
                <w:rFonts w:ascii="宋体" w:hAnsi="宋体" w:cs="仿宋_GB2312"/>
                <w:kern w:val="0"/>
                <w:szCs w:val="21"/>
              </w:rPr>
            </w:pPr>
          </w:p>
        </w:tc>
        <w:tc>
          <w:tcPr>
            <w:tcW w:w="3625" w:type="dxa"/>
            <w:vAlign w:val="center"/>
          </w:tcPr>
          <w:p w14:paraId="573810D6">
            <w:pPr>
              <w:keepNext/>
              <w:spacing w:after="120" w:line="360" w:lineRule="auto"/>
              <w:ind w:left="63" w:right="63"/>
              <w:rPr>
                <w:rFonts w:ascii="宋体" w:hAnsi="宋体" w:cs="仿宋_GB2312"/>
                <w:kern w:val="0"/>
                <w:szCs w:val="21"/>
              </w:rPr>
            </w:pPr>
          </w:p>
        </w:tc>
      </w:tr>
    </w:tbl>
    <w:p w14:paraId="4072F263">
      <w:pPr>
        <w:spacing w:line="360" w:lineRule="auto"/>
        <w:rPr>
          <w:rFonts w:ascii="宋体" w:hAnsi="宋体" w:cs="仿宋_GB2312"/>
          <w:szCs w:val="21"/>
        </w:rPr>
      </w:pPr>
      <w:bookmarkStart w:id="678" w:name="_Toc267261701"/>
    </w:p>
    <w:p w14:paraId="21B6D348">
      <w:pPr>
        <w:spacing w:line="360" w:lineRule="auto"/>
        <w:rPr>
          <w:rFonts w:ascii="宋体" w:hAnsi="宋体" w:cs="仿宋_GB2312"/>
          <w:szCs w:val="21"/>
        </w:rPr>
      </w:pPr>
      <w:r>
        <w:rPr>
          <w:rFonts w:ascii="宋体" w:hAnsi="宋体" w:cs="仿宋_GB2312"/>
          <w:szCs w:val="21"/>
        </w:rPr>
        <w:br w:type="page"/>
      </w:r>
      <w:r>
        <w:rPr>
          <w:rFonts w:hint="eastAsia" w:ascii="宋体" w:hAnsi="宋体" w:cs="仿宋_GB2312"/>
          <w:szCs w:val="21"/>
        </w:rPr>
        <w:t>附</w:t>
      </w:r>
      <w:bookmarkStart w:id="679" w:name="_Toc296346732"/>
      <w:bookmarkStart w:id="680" w:name="_Toc296503231"/>
      <w:bookmarkStart w:id="681" w:name="_Toc296891271"/>
      <w:bookmarkStart w:id="682" w:name="_Toc296347230"/>
      <w:bookmarkStart w:id="683" w:name="_Toc296944570"/>
      <w:bookmarkStart w:id="684" w:name="_Toc296891059"/>
      <w:r>
        <w:rPr>
          <w:rFonts w:hint="eastAsia" w:ascii="宋体" w:hAnsi="宋体" w:cs="仿宋_GB2312"/>
          <w:szCs w:val="21"/>
        </w:rPr>
        <w:t>件8：</w:t>
      </w:r>
    </w:p>
    <w:bookmarkEnd w:id="678"/>
    <w:bookmarkEnd w:id="679"/>
    <w:bookmarkEnd w:id="680"/>
    <w:bookmarkEnd w:id="681"/>
    <w:bookmarkEnd w:id="682"/>
    <w:bookmarkEnd w:id="683"/>
    <w:bookmarkEnd w:id="684"/>
    <w:p w14:paraId="22D61819">
      <w:pPr>
        <w:spacing w:before="156" w:beforeLines="50" w:after="156" w:afterLines="50" w:line="360" w:lineRule="auto"/>
        <w:jc w:val="center"/>
        <w:rPr>
          <w:rFonts w:ascii="宋体" w:hAnsi="宋体" w:cs="仿宋_GB2312"/>
          <w:szCs w:val="21"/>
        </w:rPr>
      </w:pPr>
      <w:r>
        <w:rPr>
          <w:rFonts w:hint="eastAsia" w:ascii="宋体" w:hAnsi="宋体" w:cs="仿宋_GB2312"/>
          <w:szCs w:val="21"/>
        </w:rPr>
        <w:t>履约担保</w:t>
      </w:r>
    </w:p>
    <w:p w14:paraId="5238D4E2">
      <w:pPr>
        <w:spacing w:line="360" w:lineRule="auto"/>
        <w:rPr>
          <w:rFonts w:ascii="宋体" w:hAnsi="宋体" w:cs="仿宋_GB2312"/>
          <w:szCs w:val="21"/>
        </w:rPr>
      </w:pPr>
      <w:r>
        <w:rPr>
          <w:rFonts w:hint="eastAsia" w:ascii="宋体" w:hAnsi="宋体" w:cs="仿宋_GB2312"/>
          <w:szCs w:val="21"/>
          <w:u w:val="single"/>
        </w:rPr>
        <w:tab/>
      </w:r>
      <w:r>
        <w:rPr>
          <w:rFonts w:hint="eastAsia" w:ascii="宋体" w:hAnsi="宋体" w:cs="仿宋_GB2312"/>
          <w:szCs w:val="21"/>
        </w:rPr>
        <w:t>（发包人名称）：</w:t>
      </w:r>
    </w:p>
    <w:p w14:paraId="58C8B32D">
      <w:pPr>
        <w:spacing w:line="360" w:lineRule="auto"/>
        <w:rPr>
          <w:rFonts w:ascii="宋体" w:hAnsi="宋体" w:cs="仿宋_GB2312"/>
          <w:szCs w:val="21"/>
        </w:rPr>
      </w:pPr>
    </w:p>
    <w:p w14:paraId="20B3F278">
      <w:pPr>
        <w:spacing w:line="360" w:lineRule="auto"/>
        <w:ind w:firstLine="420" w:firstLineChars="200"/>
        <w:rPr>
          <w:rFonts w:ascii="宋体" w:hAnsi="宋体" w:cs="仿宋_GB2312"/>
          <w:szCs w:val="21"/>
        </w:rPr>
      </w:pPr>
      <w:r>
        <w:rPr>
          <w:rFonts w:hint="eastAsia" w:ascii="宋体" w:hAnsi="宋体" w:cs="仿宋_GB2312"/>
          <w:szCs w:val="21"/>
        </w:rPr>
        <w:t xml:space="preserve">鉴于（发包人名称，以下简称“发包人”）与（承包人名称）（以下称“承包人”）于年月日就（工程名称）施工及有关事项协商一致共同签订《建设工程施工合同》。我方愿意无条件地、不可撤销地就承包人履行与你方签订的合同，向你方提供连带责任担保。 </w:t>
      </w:r>
    </w:p>
    <w:p w14:paraId="46C5EED7">
      <w:pPr>
        <w:spacing w:line="360" w:lineRule="auto"/>
        <w:ind w:firstLine="420" w:firstLineChars="200"/>
        <w:rPr>
          <w:rFonts w:ascii="宋体" w:hAnsi="宋体" w:cs="仿宋_GB2312"/>
          <w:szCs w:val="21"/>
        </w:rPr>
      </w:pPr>
      <w:r>
        <w:rPr>
          <w:rFonts w:hint="eastAsia" w:ascii="宋体" w:hAnsi="宋体" w:cs="仿宋_GB2312"/>
          <w:szCs w:val="21"/>
        </w:rPr>
        <w:t>1. 担保金额人民币（大写）元（¥）。</w:t>
      </w:r>
    </w:p>
    <w:p w14:paraId="0D09A731">
      <w:pPr>
        <w:spacing w:line="360" w:lineRule="auto"/>
        <w:ind w:firstLine="420" w:firstLineChars="200"/>
        <w:rPr>
          <w:rFonts w:ascii="宋体" w:hAnsi="宋体" w:cs="仿宋_GB2312"/>
          <w:szCs w:val="21"/>
        </w:rPr>
      </w:pPr>
      <w:r>
        <w:rPr>
          <w:rFonts w:hint="eastAsia" w:ascii="宋体" w:hAnsi="宋体" w:cs="仿宋_GB2312"/>
          <w:szCs w:val="21"/>
        </w:rPr>
        <w:t>2. 担保有效期自你方与承包人签订的合同生效之日起至你方签发或应签发工程接收证书之日止。</w:t>
      </w:r>
    </w:p>
    <w:p w14:paraId="7963F0ED">
      <w:pPr>
        <w:spacing w:line="360" w:lineRule="auto"/>
        <w:ind w:firstLine="420" w:firstLineChars="200"/>
        <w:rPr>
          <w:rFonts w:ascii="宋体" w:hAnsi="宋体" w:cs="仿宋_GB2312"/>
          <w:szCs w:val="21"/>
        </w:rPr>
      </w:pPr>
      <w:r>
        <w:rPr>
          <w:rFonts w:hint="eastAsia" w:ascii="宋体" w:hAnsi="宋体" w:cs="仿宋_GB2312"/>
          <w:szCs w:val="21"/>
        </w:rPr>
        <w:t>3. 在本担保有效期内，因承包人违反合同约定的义务给你方造成经济损失时，我方在收到你方以书面形式提出的在担保金额内的赔偿要求后，在7天内无条件支付。</w:t>
      </w:r>
    </w:p>
    <w:p w14:paraId="2982DAD3">
      <w:pPr>
        <w:spacing w:line="360" w:lineRule="auto"/>
        <w:ind w:firstLine="420" w:firstLineChars="200"/>
        <w:rPr>
          <w:rFonts w:ascii="宋体" w:hAnsi="宋体" w:cs="仿宋_GB2312"/>
          <w:szCs w:val="21"/>
        </w:rPr>
      </w:pPr>
      <w:r>
        <w:rPr>
          <w:rFonts w:hint="eastAsia" w:ascii="宋体" w:hAnsi="宋体" w:cs="仿宋_GB2312"/>
          <w:szCs w:val="21"/>
        </w:rPr>
        <w:t>4. 你方和承包人按合同约定变更合同时，我方承担本担保规定的义务不变。</w:t>
      </w:r>
    </w:p>
    <w:p w14:paraId="0A80912E">
      <w:pPr>
        <w:spacing w:line="360" w:lineRule="auto"/>
        <w:ind w:firstLine="420" w:firstLineChars="200"/>
        <w:rPr>
          <w:rFonts w:ascii="宋体" w:hAnsi="宋体" w:cs="仿宋_GB2312"/>
          <w:szCs w:val="21"/>
        </w:rPr>
      </w:pPr>
      <w:r>
        <w:rPr>
          <w:rFonts w:hint="eastAsia" w:ascii="宋体" w:hAnsi="宋体" w:cs="仿宋_GB2312"/>
          <w:szCs w:val="21"/>
        </w:rPr>
        <w:t>5. 因本保函发生的纠纷，可由双方协商解决，协商不成的，任何一方均可提请仲裁委员会仲裁。</w:t>
      </w:r>
    </w:p>
    <w:p w14:paraId="5CA956CF">
      <w:pPr>
        <w:spacing w:line="360" w:lineRule="auto"/>
        <w:ind w:firstLine="420" w:firstLineChars="200"/>
        <w:rPr>
          <w:rFonts w:ascii="宋体" w:hAnsi="宋体" w:cs="仿宋_GB2312"/>
          <w:szCs w:val="21"/>
        </w:rPr>
      </w:pPr>
      <w:r>
        <w:rPr>
          <w:rFonts w:hint="eastAsia" w:ascii="宋体" w:hAnsi="宋体" w:cs="仿宋_GB2312"/>
          <w:szCs w:val="21"/>
        </w:rPr>
        <w:t>6. 本保函自我方法定代表人（或其授权代理人）签字并加盖公章之日起生效。</w:t>
      </w:r>
    </w:p>
    <w:p w14:paraId="1671BEC1">
      <w:pPr>
        <w:spacing w:line="360" w:lineRule="auto"/>
        <w:rPr>
          <w:rFonts w:ascii="宋体" w:hAnsi="宋体" w:cs="仿宋_GB2312"/>
          <w:szCs w:val="21"/>
        </w:rPr>
      </w:pPr>
    </w:p>
    <w:p w14:paraId="41E5A62A">
      <w:pPr>
        <w:spacing w:line="360" w:lineRule="auto"/>
        <w:rPr>
          <w:rFonts w:ascii="宋体" w:hAnsi="宋体" w:cs="仿宋_GB2312"/>
          <w:szCs w:val="21"/>
        </w:rPr>
      </w:pPr>
      <w:r>
        <w:rPr>
          <w:rFonts w:hint="eastAsia" w:ascii="宋体" w:hAnsi="宋体" w:cs="仿宋_GB2312"/>
          <w:szCs w:val="21"/>
        </w:rPr>
        <w:t>担 保 人：（盖单位章）</w:t>
      </w:r>
    </w:p>
    <w:p w14:paraId="559233C2">
      <w:pPr>
        <w:spacing w:line="360" w:lineRule="auto"/>
        <w:rPr>
          <w:rFonts w:ascii="宋体" w:hAnsi="宋体" w:cs="仿宋_GB2312"/>
          <w:szCs w:val="21"/>
        </w:rPr>
      </w:pPr>
      <w:r>
        <w:rPr>
          <w:rFonts w:hint="eastAsia" w:ascii="宋体" w:hAnsi="宋体" w:cs="仿宋_GB2312"/>
          <w:szCs w:val="21"/>
        </w:rPr>
        <w:t>法定代表人或其委托代理人：（签字）</w:t>
      </w:r>
    </w:p>
    <w:p w14:paraId="0831E8E4">
      <w:pPr>
        <w:spacing w:line="360" w:lineRule="auto"/>
        <w:rPr>
          <w:rFonts w:ascii="宋体" w:hAnsi="宋体" w:cs="仿宋_GB2312"/>
          <w:szCs w:val="21"/>
        </w:rPr>
      </w:pPr>
      <w:r>
        <w:rPr>
          <w:rFonts w:hint="eastAsia" w:ascii="宋体" w:hAnsi="宋体" w:cs="仿宋_GB2312"/>
          <w:szCs w:val="21"/>
        </w:rPr>
        <w:t>地    址：</w:t>
      </w:r>
    </w:p>
    <w:p w14:paraId="44BD0EF4">
      <w:pPr>
        <w:spacing w:line="360" w:lineRule="auto"/>
        <w:rPr>
          <w:rFonts w:ascii="宋体" w:hAnsi="宋体" w:cs="仿宋_GB2312"/>
          <w:szCs w:val="21"/>
        </w:rPr>
      </w:pPr>
      <w:r>
        <w:rPr>
          <w:rFonts w:hint="eastAsia" w:ascii="宋体" w:hAnsi="宋体" w:cs="仿宋_GB2312"/>
          <w:szCs w:val="21"/>
        </w:rPr>
        <w:t>邮政编码：</w:t>
      </w:r>
    </w:p>
    <w:p w14:paraId="3C3CFB00">
      <w:pPr>
        <w:spacing w:line="360" w:lineRule="auto"/>
        <w:rPr>
          <w:rFonts w:ascii="宋体" w:hAnsi="宋体" w:cs="仿宋_GB2312"/>
          <w:szCs w:val="21"/>
          <w:u w:val="single"/>
        </w:rPr>
      </w:pPr>
      <w:r>
        <w:rPr>
          <w:rFonts w:hint="eastAsia" w:ascii="宋体" w:hAnsi="宋体" w:cs="仿宋_GB2312"/>
          <w:szCs w:val="21"/>
        </w:rPr>
        <w:t>电    话：</w:t>
      </w:r>
    </w:p>
    <w:p w14:paraId="3FC3EDF3">
      <w:pPr>
        <w:spacing w:line="360" w:lineRule="auto"/>
        <w:rPr>
          <w:rFonts w:ascii="宋体" w:hAnsi="宋体" w:cs="仿宋_GB2312"/>
          <w:szCs w:val="21"/>
        </w:rPr>
      </w:pPr>
      <w:r>
        <w:rPr>
          <w:rFonts w:hint="eastAsia" w:ascii="宋体" w:hAnsi="宋体" w:cs="仿宋_GB2312"/>
          <w:szCs w:val="21"/>
        </w:rPr>
        <w:t>传    真：</w:t>
      </w:r>
    </w:p>
    <w:p w14:paraId="2DCCD161">
      <w:pPr>
        <w:spacing w:line="360" w:lineRule="auto"/>
        <w:jc w:val="left"/>
        <w:rPr>
          <w:rFonts w:ascii="宋体" w:hAnsi="宋体" w:cs="仿宋_GB2312"/>
          <w:szCs w:val="21"/>
          <w:u w:val="single"/>
        </w:rPr>
      </w:pPr>
    </w:p>
    <w:p w14:paraId="6743FECD">
      <w:pPr>
        <w:spacing w:line="360" w:lineRule="auto"/>
        <w:ind w:left="1329" w:hanging="1329" w:hangingChars="633"/>
        <w:rPr>
          <w:rFonts w:ascii="宋体" w:hAnsi="宋体" w:cs="仿宋_GB2312"/>
          <w:szCs w:val="21"/>
        </w:rPr>
      </w:pPr>
      <w:r>
        <w:rPr>
          <w:rFonts w:hint="eastAsia" w:ascii="宋体" w:hAnsi="宋体" w:cs="仿宋_GB2312"/>
          <w:szCs w:val="21"/>
        </w:rPr>
        <w:t>年  月   日</w:t>
      </w:r>
    </w:p>
    <w:p w14:paraId="2B2F9C34">
      <w:pPr>
        <w:spacing w:line="360" w:lineRule="auto"/>
        <w:ind w:left="1329" w:hanging="1329" w:hangingChars="633"/>
        <w:rPr>
          <w:rFonts w:ascii="宋体" w:hAnsi="宋体" w:cs="仿宋_GB2312"/>
          <w:szCs w:val="21"/>
        </w:rPr>
      </w:pPr>
    </w:p>
    <w:p w14:paraId="6775C439">
      <w:pPr>
        <w:spacing w:line="360" w:lineRule="auto"/>
        <w:ind w:left="1329" w:hanging="1329" w:hangingChars="633"/>
        <w:rPr>
          <w:rFonts w:ascii="宋体" w:hAnsi="宋体" w:cs="仿宋_GB2312"/>
          <w:szCs w:val="21"/>
        </w:rPr>
      </w:pPr>
      <w:r>
        <w:rPr>
          <w:rFonts w:ascii="宋体" w:hAnsi="宋体" w:cs="仿宋_GB2312"/>
          <w:szCs w:val="21"/>
        </w:rPr>
        <w:br w:type="page"/>
      </w:r>
    </w:p>
    <w:p w14:paraId="1095BC4F">
      <w:pPr>
        <w:spacing w:line="360" w:lineRule="auto"/>
        <w:rPr>
          <w:rFonts w:ascii="宋体" w:hAnsi="宋体" w:cs="仿宋_GB2312"/>
          <w:szCs w:val="21"/>
        </w:rPr>
      </w:pPr>
      <w:r>
        <w:rPr>
          <w:rFonts w:hint="eastAsia" w:ascii="宋体" w:hAnsi="宋体" w:cs="仿宋_GB2312"/>
          <w:szCs w:val="21"/>
        </w:rPr>
        <w:t>附</w:t>
      </w:r>
      <w:bookmarkStart w:id="685" w:name="_Toc296347231"/>
      <w:bookmarkStart w:id="686" w:name="_Toc296346733"/>
      <w:bookmarkStart w:id="687" w:name="_Toc296944571"/>
      <w:bookmarkStart w:id="688" w:name="_Toc296891272"/>
      <w:bookmarkStart w:id="689" w:name="_Toc267261702"/>
      <w:bookmarkStart w:id="690" w:name="_Toc296503232"/>
      <w:bookmarkStart w:id="691" w:name="_Toc296891060"/>
      <w:r>
        <w:rPr>
          <w:rFonts w:hint="eastAsia" w:ascii="宋体" w:hAnsi="宋体" w:cs="仿宋_GB2312"/>
          <w:szCs w:val="21"/>
        </w:rPr>
        <w:t>件9 ：</w:t>
      </w:r>
    </w:p>
    <w:bookmarkEnd w:id="685"/>
    <w:bookmarkEnd w:id="686"/>
    <w:bookmarkEnd w:id="687"/>
    <w:bookmarkEnd w:id="688"/>
    <w:bookmarkEnd w:id="689"/>
    <w:bookmarkEnd w:id="690"/>
    <w:bookmarkEnd w:id="691"/>
    <w:p w14:paraId="3436EC0D">
      <w:pPr>
        <w:spacing w:before="156" w:beforeLines="50" w:after="156" w:afterLines="50" w:line="360" w:lineRule="auto"/>
        <w:jc w:val="center"/>
        <w:rPr>
          <w:rFonts w:ascii="宋体" w:hAnsi="宋体" w:cs="仿宋_GB2312"/>
          <w:szCs w:val="21"/>
        </w:rPr>
      </w:pPr>
      <w:r>
        <w:rPr>
          <w:rFonts w:hint="eastAsia" w:ascii="宋体" w:hAnsi="宋体" w:cs="仿宋_GB2312"/>
          <w:szCs w:val="21"/>
        </w:rPr>
        <w:t>预付款担保</w:t>
      </w:r>
    </w:p>
    <w:p w14:paraId="18A7C665">
      <w:pPr>
        <w:spacing w:line="360" w:lineRule="auto"/>
        <w:rPr>
          <w:rFonts w:ascii="宋体" w:hAnsi="宋体" w:cs="仿宋_GB2312"/>
          <w:szCs w:val="21"/>
        </w:rPr>
      </w:pP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rPr>
        <w:t xml:space="preserve"> （发包人名称）：</w:t>
      </w:r>
    </w:p>
    <w:p w14:paraId="55E9683F">
      <w:pPr>
        <w:spacing w:line="360" w:lineRule="auto"/>
        <w:ind w:firstLine="420" w:firstLineChars="200"/>
        <w:rPr>
          <w:rFonts w:ascii="宋体" w:hAnsi="宋体" w:cs="仿宋_GB2312"/>
          <w:szCs w:val="21"/>
        </w:rPr>
      </w:pPr>
      <w:r>
        <w:rPr>
          <w:rFonts w:hint="eastAsia" w:ascii="宋体" w:hAnsi="宋体" w:cs="仿宋_GB2312"/>
          <w:szCs w:val="21"/>
        </w:rPr>
        <w:t>根据（承包人名称）（以下称“承包人”）与（发包人名称）（以下简称“发包人”）于年月日签订的（工程名称）《建设工程施工合同》，承包人按约定的金额向你方提交一份预付款担保，即有权得到你方支付相等金额的预付款。我方愿意就你方提供给承包人的预付款为承包人提供连带责任担保。</w:t>
      </w:r>
    </w:p>
    <w:p w14:paraId="6AC418BA">
      <w:pPr>
        <w:spacing w:line="360" w:lineRule="auto"/>
        <w:ind w:firstLine="420" w:firstLineChars="200"/>
        <w:rPr>
          <w:rFonts w:ascii="宋体" w:hAnsi="宋体" w:cs="仿宋_GB2312"/>
          <w:szCs w:val="21"/>
        </w:rPr>
      </w:pPr>
      <w:r>
        <w:rPr>
          <w:rFonts w:hint="eastAsia" w:ascii="宋体" w:hAnsi="宋体" w:cs="仿宋_GB2312"/>
          <w:szCs w:val="21"/>
        </w:rPr>
        <w:t>1. 担保金额人民币（大写）元（¥）。</w:t>
      </w:r>
    </w:p>
    <w:p w14:paraId="6E88777E">
      <w:pPr>
        <w:spacing w:line="360" w:lineRule="auto"/>
        <w:ind w:firstLine="420" w:firstLineChars="200"/>
        <w:rPr>
          <w:rFonts w:ascii="宋体" w:hAnsi="宋体" w:cs="仿宋_GB2312"/>
          <w:szCs w:val="21"/>
        </w:rPr>
      </w:pPr>
      <w:r>
        <w:rPr>
          <w:rFonts w:hint="eastAsia" w:ascii="宋体" w:hAnsi="宋体" w:cs="仿宋_GB2312"/>
          <w:szCs w:val="21"/>
        </w:rPr>
        <w:t>2. 担保有效期自预付款支付给承包人起生效，至你方签发的进度款支付证书说明已完全扣清止。</w:t>
      </w:r>
    </w:p>
    <w:p w14:paraId="61155225">
      <w:pPr>
        <w:spacing w:line="360" w:lineRule="auto"/>
        <w:ind w:firstLine="420" w:firstLineChars="200"/>
        <w:rPr>
          <w:rFonts w:ascii="宋体" w:hAnsi="宋体" w:cs="仿宋_GB2312"/>
          <w:szCs w:val="21"/>
        </w:rPr>
      </w:pPr>
      <w:r>
        <w:rPr>
          <w:rFonts w:hint="eastAsia" w:ascii="宋体" w:hAnsi="宋体" w:cs="仿宋_GB2312"/>
          <w:szCs w:val="21"/>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01495E8E">
      <w:pPr>
        <w:spacing w:line="360" w:lineRule="auto"/>
        <w:ind w:firstLine="420" w:firstLineChars="200"/>
        <w:rPr>
          <w:rFonts w:ascii="宋体" w:hAnsi="宋体" w:cs="仿宋_GB2312"/>
          <w:szCs w:val="21"/>
        </w:rPr>
      </w:pPr>
      <w:r>
        <w:rPr>
          <w:rFonts w:hint="eastAsia" w:ascii="宋体" w:hAnsi="宋体" w:cs="仿宋_GB2312"/>
          <w:szCs w:val="21"/>
        </w:rPr>
        <w:t>4. 你方和承包人按合同约定变更合同时，我方承担本保函规定的义务不变。</w:t>
      </w:r>
    </w:p>
    <w:p w14:paraId="46F175C8">
      <w:pPr>
        <w:spacing w:line="360" w:lineRule="auto"/>
        <w:ind w:firstLine="420" w:firstLineChars="200"/>
        <w:jc w:val="left"/>
        <w:rPr>
          <w:rFonts w:ascii="宋体" w:hAnsi="宋体" w:cs="仿宋_GB2312"/>
          <w:szCs w:val="21"/>
        </w:rPr>
      </w:pPr>
      <w:r>
        <w:rPr>
          <w:rFonts w:hint="eastAsia" w:ascii="宋体" w:hAnsi="宋体" w:cs="仿宋_GB2312"/>
          <w:szCs w:val="21"/>
        </w:rPr>
        <w:t>5. 因本保函发生的纠纷，可由双方协商解决，协商不成的，任何一方均可提请仲裁委员会仲裁。</w:t>
      </w:r>
    </w:p>
    <w:p w14:paraId="165CED9F">
      <w:pPr>
        <w:spacing w:line="360" w:lineRule="auto"/>
        <w:ind w:firstLine="420" w:firstLineChars="200"/>
        <w:jc w:val="left"/>
        <w:rPr>
          <w:rFonts w:ascii="宋体" w:hAnsi="宋体" w:cs="仿宋_GB2312"/>
          <w:szCs w:val="21"/>
        </w:rPr>
      </w:pPr>
      <w:r>
        <w:rPr>
          <w:rFonts w:hint="eastAsia" w:ascii="宋体" w:hAnsi="宋体" w:cs="仿宋_GB2312"/>
          <w:szCs w:val="21"/>
        </w:rPr>
        <w:t>6. 本保函自我方法定代表人（或其授权代理人）签字并加盖公章之日起生效。</w:t>
      </w:r>
    </w:p>
    <w:p w14:paraId="2EA7DB91">
      <w:pPr>
        <w:spacing w:line="360" w:lineRule="auto"/>
        <w:rPr>
          <w:rFonts w:ascii="宋体" w:hAnsi="宋体" w:cs="仿宋_GB2312"/>
          <w:szCs w:val="21"/>
        </w:rPr>
      </w:pPr>
    </w:p>
    <w:p w14:paraId="1249E4D7">
      <w:pPr>
        <w:spacing w:line="360" w:lineRule="auto"/>
        <w:rPr>
          <w:rFonts w:ascii="宋体" w:hAnsi="宋体" w:cs="仿宋_GB2312"/>
          <w:szCs w:val="21"/>
        </w:rPr>
      </w:pPr>
      <w:r>
        <w:rPr>
          <w:rFonts w:hint="eastAsia" w:ascii="宋体" w:hAnsi="宋体" w:cs="仿宋_GB2312"/>
          <w:szCs w:val="21"/>
        </w:rPr>
        <w:t>担保人：（盖单位章）</w:t>
      </w:r>
    </w:p>
    <w:p w14:paraId="52F42E0C">
      <w:pPr>
        <w:spacing w:line="360" w:lineRule="auto"/>
        <w:rPr>
          <w:rFonts w:ascii="宋体" w:hAnsi="宋体" w:cs="仿宋_GB2312"/>
          <w:szCs w:val="21"/>
        </w:rPr>
      </w:pPr>
      <w:r>
        <w:rPr>
          <w:rFonts w:hint="eastAsia" w:ascii="宋体" w:hAnsi="宋体" w:cs="仿宋_GB2312"/>
          <w:szCs w:val="21"/>
        </w:rPr>
        <w:t>法定代表人或其委托代理人：（签字）</w:t>
      </w:r>
    </w:p>
    <w:p w14:paraId="3D001AFD">
      <w:pPr>
        <w:spacing w:line="360" w:lineRule="auto"/>
        <w:rPr>
          <w:rFonts w:ascii="宋体" w:hAnsi="宋体" w:cs="仿宋_GB2312"/>
          <w:szCs w:val="21"/>
        </w:rPr>
      </w:pPr>
      <w:r>
        <w:rPr>
          <w:rFonts w:hint="eastAsia" w:ascii="宋体" w:hAnsi="宋体" w:cs="仿宋_GB2312"/>
          <w:szCs w:val="21"/>
        </w:rPr>
        <w:t>地    址：</w:t>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p>
    <w:p w14:paraId="12D1E39D">
      <w:pPr>
        <w:spacing w:line="360" w:lineRule="auto"/>
        <w:rPr>
          <w:rFonts w:ascii="宋体" w:hAnsi="宋体" w:cs="仿宋_GB2312"/>
          <w:szCs w:val="21"/>
          <w:u w:val="single"/>
        </w:rPr>
      </w:pPr>
      <w:r>
        <w:rPr>
          <w:rFonts w:hint="eastAsia" w:ascii="宋体" w:hAnsi="宋体" w:cs="仿宋_GB2312"/>
          <w:szCs w:val="21"/>
        </w:rPr>
        <w:t>邮政编码：</w:t>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p>
    <w:p w14:paraId="07E87FD5">
      <w:pPr>
        <w:spacing w:line="360" w:lineRule="auto"/>
        <w:rPr>
          <w:rFonts w:ascii="宋体" w:hAnsi="宋体" w:cs="仿宋_GB2312"/>
          <w:szCs w:val="21"/>
          <w:u w:val="single"/>
        </w:rPr>
      </w:pPr>
      <w:r>
        <w:rPr>
          <w:rFonts w:hint="eastAsia" w:ascii="宋体" w:hAnsi="宋体" w:cs="仿宋_GB2312"/>
          <w:szCs w:val="21"/>
        </w:rPr>
        <w:t>电    话：</w:t>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p>
    <w:p w14:paraId="5524A81B">
      <w:pPr>
        <w:spacing w:line="360" w:lineRule="auto"/>
        <w:rPr>
          <w:rFonts w:ascii="宋体" w:hAnsi="宋体" w:cs="仿宋_GB2312"/>
          <w:szCs w:val="21"/>
          <w:u w:val="single"/>
        </w:rPr>
      </w:pPr>
      <w:r>
        <w:rPr>
          <w:rFonts w:hint="eastAsia" w:ascii="宋体" w:hAnsi="宋体" w:cs="仿宋_GB2312"/>
          <w:szCs w:val="21"/>
        </w:rPr>
        <w:t>传    真：</w:t>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r>
        <w:rPr>
          <w:rFonts w:hint="eastAsia" w:ascii="宋体" w:hAnsi="宋体" w:cs="仿宋_GB2312"/>
          <w:szCs w:val="21"/>
          <w:u w:val="single"/>
        </w:rPr>
        <w:tab/>
      </w:r>
    </w:p>
    <w:p w14:paraId="323F1073">
      <w:pPr>
        <w:spacing w:line="360" w:lineRule="auto"/>
        <w:rPr>
          <w:rFonts w:ascii="宋体" w:hAnsi="宋体" w:cs="仿宋_GB2312"/>
          <w:szCs w:val="21"/>
        </w:rPr>
      </w:pPr>
      <w:r>
        <w:rPr>
          <w:rFonts w:hint="eastAsia" w:ascii="宋体" w:hAnsi="宋体" w:cs="仿宋_GB2312"/>
          <w:szCs w:val="21"/>
        </w:rPr>
        <w:t>年月日</w:t>
      </w:r>
    </w:p>
    <w:p w14:paraId="7B770867">
      <w:pPr>
        <w:spacing w:line="360" w:lineRule="auto"/>
        <w:rPr>
          <w:rFonts w:ascii="宋体" w:hAnsi="宋体" w:cs="仿宋_GB2312"/>
          <w:szCs w:val="21"/>
        </w:rPr>
      </w:pPr>
    </w:p>
    <w:p w14:paraId="78DFEA4D">
      <w:pPr>
        <w:spacing w:line="360" w:lineRule="auto"/>
        <w:rPr>
          <w:rFonts w:ascii="宋体" w:hAnsi="宋体" w:cs="仿宋_GB2312"/>
          <w:b/>
          <w:szCs w:val="21"/>
        </w:rPr>
      </w:pPr>
      <w:r>
        <w:rPr>
          <w:rFonts w:hint="eastAsia" w:ascii="宋体" w:hAnsi="宋体" w:cs="仿宋_GB2312"/>
          <w:b/>
          <w:szCs w:val="21"/>
        </w:rPr>
        <w:br w:type="page"/>
      </w:r>
      <w:r>
        <w:rPr>
          <w:rFonts w:hint="eastAsia" w:ascii="宋体" w:hAnsi="宋体" w:cs="仿宋_GB2312"/>
          <w:szCs w:val="21"/>
        </w:rPr>
        <w:t>附</w:t>
      </w:r>
      <w:bookmarkStart w:id="692" w:name="_Toc296944572"/>
      <w:bookmarkStart w:id="693" w:name="_Toc296891273"/>
      <w:bookmarkStart w:id="694" w:name="_Toc296346734"/>
      <w:bookmarkStart w:id="695" w:name="_Toc296503233"/>
      <w:bookmarkStart w:id="696" w:name="_Toc296347232"/>
      <w:bookmarkStart w:id="697" w:name="_Toc296891061"/>
      <w:r>
        <w:rPr>
          <w:rFonts w:hint="eastAsia" w:ascii="宋体" w:hAnsi="宋体" w:cs="仿宋_GB2312"/>
          <w:szCs w:val="21"/>
        </w:rPr>
        <w:t xml:space="preserve">件10:  </w:t>
      </w:r>
      <w:bookmarkEnd w:id="692"/>
      <w:bookmarkEnd w:id="693"/>
      <w:bookmarkEnd w:id="694"/>
      <w:bookmarkEnd w:id="695"/>
      <w:bookmarkEnd w:id="696"/>
      <w:bookmarkEnd w:id="697"/>
      <w:r>
        <w:rPr>
          <w:rFonts w:hint="eastAsia" w:ascii="宋体" w:hAnsi="宋体" w:cs="仿宋_GB2312"/>
          <w:szCs w:val="21"/>
        </w:rPr>
        <w:t xml:space="preserve">                              支付担保</w:t>
      </w:r>
    </w:p>
    <w:p w14:paraId="31AEAC55">
      <w:pPr>
        <w:spacing w:line="360" w:lineRule="auto"/>
        <w:jc w:val="left"/>
        <w:rPr>
          <w:rFonts w:ascii="宋体" w:hAnsi="宋体" w:cs="仿宋_GB2312"/>
          <w:szCs w:val="21"/>
        </w:rPr>
      </w:pPr>
      <w:r>
        <w:rPr>
          <w:rFonts w:hint="eastAsia" w:ascii="宋体" w:hAnsi="宋体" w:cs="仿宋_GB2312"/>
          <w:szCs w:val="21"/>
        </w:rPr>
        <w:t>（承包人）：</w:t>
      </w:r>
    </w:p>
    <w:p w14:paraId="2F9CB7CE">
      <w:pPr>
        <w:spacing w:line="360" w:lineRule="auto"/>
        <w:jc w:val="left"/>
        <w:rPr>
          <w:rFonts w:ascii="宋体" w:hAnsi="宋体" w:cs="仿宋_GB2312"/>
          <w:szCs w:val="21"/>
        </w:rPr>
      </w:pPr>
    </w:p>
    <w:p w14:paraId="3C0EC397">
      <w:pPr>
        <w:spacing w:line="360" w:lineRule="auto"/>
        <w:ind w:firstLine="420" w:firstLineChars="200"/>
        <w:jc w:val="left"/>
        <w:rPr>
          <w:rFonts w:ascii="宋体" w:hAnsi="宋体" w:cs="仿宋_GB2312"/>
          <w:szCs w:val="21"/>
        </w:rPr>
      </w:pPr>
      <w:r>
        <w:rPr>
          <w:rFonts w:hint="eastAsia" w:ascii="宋体" w:hAnsi="宋体" w:cs="仿宋_GB2312"/>
          <w:szCs w:val="21"/>
        </w:rPr>
        <w:t>鉴于你方作为承包人已经与（发包人名称）（以下称“发包人”）于年月日签订了（工程名称）《建设工程施工合同》（以下称“主合同”），应发包人的申请，我方愿就发包人履行主合同约定的工程款支付义务以保证的方式向你方提供如下担保：</w:t>
      </w:r>
    </w:p>
    <w:p w14:paraId="717742FE">
      <w:pPr>
        <w:spacing w:line="360" w:lineRule="auto"/>
        <w:ind w:firstLine="420" w:firstLineChars="200"/>
        <w:jc w:val="left"/>
        <w:rPr>
          <w:rFonts w:ascii="宋体" w:hAnsi="宋体" w:cs="仿宋_GB2312"/>
          <w:szCs w:val="21"/>
        </w:rPr>
      </w:pPr>
      <w:r>
        <w:rPr>
          <w:rFonts w:hint="eastAsia" w:ascii="宋体" w:hAnsi="宋体" w:cs="仿宋_GB2312"/>
          <w:szCs w:val="21"/>
        </w:rPr>
        <w:t>一、保证的范围及保证金额</w:t>
      </w:r>
    </w:p>
    <w:p w14:paraId="025BFCF1">
      <w:pPr>
        <w:spacing w:line="360" w:lineRule="auto"/>
        <w:ind w:firstLine="420" w:firstLineChars="200"/>
        <w:jc w:val="left"/>
        <w:rPr>
          <w:rFonts w:ascii="宋体" w:hAnsi="宋体" w:cs="仿宋_GB2312"/>
          <w:szCs w:val="21"/>
        </w:rPr>
      </w:pPr>
      <w:r>
        <w:rPr>
          <w:rFonts w:hint="eastAsia" w:ascii="宋体" w:hAnsi="宋体" w:cs="仿宋_GB2312"/>
          <w:szCs w:val="21"/>
        </w:rPr>
        <w:t>1. 我方的保证范围是主合同约定的工程款。</w:t>
      </w:r>
    </w:p>
    <w:p w14:paraId="2F9A5828">
      <w:pPr>
        <w:spacing w:line="360" w:lineRule="auto"/>
        <w:ind w:firstLine="420" w:firstLineChars="200"/>
        <w:jc w:val="left"/>
        <w:rPr>
          <w:rFonts w:ascii="宋体" w:hAnsi="宋体" w:cs="仿宋_GB2312"/>
          <w:szCs w:val="21"/>
        </w:rPr>
      </w:pPr>
      <w:r>
        <w:rPr>
          <w:rFonts w:hint="eastAsia" w:ascii="宋体" w:hAnsi="宋体" w:cs="仿宋_GB2312"/>
          <w:szCs w:val="21"/>
        </w:rPr>
        <w:t>2. 本保函所称主合同约定的工程款是指主合同约定的除工程质量保证金以外的合同价款。</w:t>
      </w:r>
    </w:p>
    <w:p w14:paraId="0268144E">
      <w:pPr>
        <w:spacing w:line="360" w:lineRule="auto"/>
        <w:ind w:firstLine="420" w:firstLineChars="200"/>
        <w:jc w:val="left"/>
        <w:rPr>
          <w:rFonts w:ascii="宋体" w:hAnsi="宋体" w:cs="仿宋_GB2312"/>
          <w:szCs w:val="21"/>
        </w:rPr>
      </w:pPr>
      <w:r>
        <w:rPr>
          <w:rFonts w:hint="eastAsia" w:ascii="宋体" w:hAnsi="宋体" w:cs="仿宋_GB2312"/>
          <w:szCs w:val="21"/>
        </w:rPr>
        <w:t>3. 我方保证的金额是主合同约定的工程款的%，数额最高不超过人民币元（大写：）。</w:t>
      </w:r>
    </w:p>
    <w:p w14:paraId="30C9EB03">
      <w:pPr>
        <w:spacing w:line="360" w:lineRule="auto"/>
        <w:ind w:firstLine="420" w:firstLineChars="200"/>
        <w:jc w:val="left"/>
        <w:rPr>
          <w:rFonts w:ascii="宋体" w:hAnsi="宋体" w:cs="仿宋_GB2312"/>
          <w:szCs w:val="21"/>
        </w:rPr>
      </w:pPr>
      <w:r>
        <w:rPr>
          <w:rFonts w:hint="eastAsia" w:ascii="宋体" w:hAnsi="宋体" w:cs="仿宋_GB2312"/>
          <w:szCs w:val="21"/>
        </w:rPr>
        <w:t>二、保证的方式及保证期间</w:t>
      </w:r>
    </w:p>
    <w:p w14:paraId="0A423D56">
      <w:pPr>
        <w:spacing w:line="360" w:lineRule="auto"/>
        <w:ind w:firstLine="420" w:firstLineChars="200"/>
        <w:jc w:val="left"/>
        <w:rPr>
          <w:rFonts w:ascii="宋体" w:hAnsi="宋体" w:cs="仿宋_GB2312"/>
          <w:szCs w:val="21"/>
        </w:rPr>
      </w:pPr>
      <w:r>
        <w:rPr>
          <w:rFonts w:hint="eastAsia" w:ascii="宋体" w:hAnsi="宋体" w:cs="仿宋_GB2312"/>
          <w:szCs w:val="21"/>
        </w:rPr>
        <w:t>1. 我方保证的方式为：连带责任保证。</w:t>
      </w:r>
    </w:p>
    <w:p w14:paraId="789336D7">
      <w:pPr>
        <w:spacing w:line="360" w:lineRule="auto"/>
        <w:ind w:firstLine="420" w:firstLineChars="200"/>
        <w:jc w:val="left"/>
        <w:rPr>
          <w:rFonts w:ascii="宋体" w:hAnsi="宋体" w:cs="仿宋_GB2312"/>
          <w:szCs w:val="21"/>
        </w:rPr>
      </w:pPr>
      <w:r>
        <w:rPr>
          <w:rFonts w:hint="eastAsia" w:ascii="宋体" w:hAnsi="宋体" w:cs="仿宋_GB2312"/>
          <w:szCs w:val="21"/>
        </w:rPr>
        <w:t>2. 我方保证的期间为：自本合同生效之日起至主合同约定的工程款支付完毕之日后日内。</w:t>
      </w:r>
    </w:p>
    <w:p w14:paraId="7091213B">
      <w:pPr>
        <w:spacing w:line="360" w:lineRule="auto"/>
        <w:ind w:firstLine="420" w:firstLineChars="200"/>
        <w:jc w:val="left"/>
        <w:rPr>
          <w:rFonts w:ascii="宋体" w:hAnsi="宋体" w:cs="仿宋_GB2312"/>
          <w:szCs w:val="21"/>
        </w:rPr>
      </w:pPr>
      <w:r>
        <w:rPr>
          <w:rFonts w:hint="eastAsia" w:ascii="宋体" w:hAnsi="宋体" w:cs="仿宋_GB2312"/>
          <w:szCs w:val="21"/>
        </w:rPr>
        <w:t>3. 你方与发包人协议变更工程款支付日期的，经我方书面同意后，保证期间按照变更后的支付日期做相应调整。</w:t>
      </w:r>
    </w:p>
    <w:p w14:paraId="7E30B4F1">
      <w:pPr>
        <w:spacing w:line="360" w:lineRule="auto"/>
        <w:ind w:firstLine="420" w:firstLineChars="200"/>
        <w:jc w:val="left"/>
        <w:rPr>
          <w:rFonts w:ascii="宋体" w:hAnsi="宋体" w:cs="仿宋_GB2312"/>
          <w:szCs w:val="21"/>
        </w:rPr>
      </w:pPr>
      <w:r>
        <w:rPr>
          <w:rFonts w:hint="eastAsia" w:ascii="宋体" w:hAnsi="宋体" w:cs="仿宋_GB2312"/>
          <w:szCs w:val="21"/>
        </w:rPr>
        <w:t>三、承担保证责任的形式</w:t>
      </w:r>
    </w:p>
    <w:p w14:paraId="1DEB58D9">
      <w:pPr>
        <w:spacing w:line="360" w:lineRule="auto"/>
        <w:ind w:firstLine="420" w:firstLineChars="200"/>
        <w:jc w:val="left"/>
        <w:rPr>
          <w:rFonts w:ascii="宋体" w:hAnsi="宋体" w:cs="仿宋_GB2312"/>
          <w:szCs w:val="21"/>
        </w:rPr>
      </w:pPr>
      <w:r>
        <w:rPr>
          <w:rFonts w:hint="eastAsia" w:ascii="宋体" w:hAnsi="宋体" w:cs="仿宋_GB2312"/>
          <w:szCs w:val="21"/>
        </w:rPr>
        <w:t>我方承担保证责任的形式是代为支付。发包人未按主合同约定向你方支付工程款的，由我方在保证金额内代为支付。</w:t>
      </w:r>
    </w:p>
    <w:p w14:paraId="0EB61D0F">
      <w:pPr>
        <w:spacing w:line="360" w:lineRule="auto"/>
        <w:ind w:firstLine="420" w:firstLineChars="200"/>
        <w:jc w:val="left"/>
        <w:rPr>
          <w:rFonts w:ascii="宋体" w:hAnsi="宋体" w:cs="仿宋_GB2312"/>
          <w:szCs w:val="21"/>
        </w:rPr>
      </w:pPr>
      <w:r>
        <w:rPr>
          <w:rFonts w:hint="eastAsia" w:ascii="宋体" w:hAnsi="宋体" w:cs="仿宋_GB2312"/>
          <w:szCs w:val="21"/>
        </w:rPr>
        <w:t>四、代偿的安排</w:t>
      </w:r>
    </w:p>
    <w:p w14:paraId="67881C14">
      <w:pPr>
        <w:spacing w:line="360" w:lineRule="auto"/>
        <w:ind w:firstLine="420" w:firstLineChars="200"/>
        <w:jc w:val="left"/>
        <w:rPr>
          <w:rFonts w:ascii="宋体" w:hAnsi="宋体" w:cs="仿宋_GB2312"/>
          <w:szCs w:val="21"/>
        </w:rPr>
      </w:pPr>
      <w:r>
        <w:rPr>
          <w:rFonts w:hint="eastAsia" w:ascii="宋体" w:hAnsi="宋体" w:cs="仿宋_GB2312"/>
          <w:szCs w:val="21"/>
        </w:rPr>
        <w:t>1. 你方要求我方承担保证责任的，应向我方发出书面索赔通知及发包人未支付主合同约定工程款的证明材料。索赔通知应写明要求索赔的金额，支付款项应到达的账号。</w:t>
      </w:r>
    </w:p>
    <w:p w14:paraId="4C427612">
      <w:pPr>
        <w:spacing w:line="360" w:lineRule="auto"/>
        <w:ind w:firstLine="420" w:firstLineChars="200"/>
        <w:jc w:val="left"/>
        <w:rPr>
          <w:rFonts w:ascii="宋体" w:hAnsi="宋体" w:cs="仿宋_GB2312"/>
          <w:szCs w:val="21"/>
        </w:rPr>
      </w:pPr>
      <w:r>
        <w:rPr>
          <w:rFonts w:hint="eastAsia" w:ascii="宋体" w:hAnsi="宋体" w:cs="仿宋_GB2312"/>
          <w:szCs w:val="21"/>
        </w:rPr>
        <w:t>2. 在出现你方与发包人因工程质量发生争议，发包人拒绝向你方支付工程款的情形时，你方要求我方履行保证责任代为支付的，需提供符合相应条件要求的工程质量检测机构出具的质量说明材料。</w:t>
      </w:r>
    </w:p>
    <w:p w14:paraId="796B0BF6">
      <w:pPr>
        <w:spacing w:line="360" w:lineRule="auto"/>
        <w:ind w:firstLine="420" w:firstLineChars="200"/>
        <w:jc w:val="left"/>
        <w:rPr>
          <w:rFonts w:ascii="宋体" w:hAnsi="宋体" w:cs="仿宋_GB2312"/>
          <w:szCs w:val="21"/>
        </w:rPr>
      </w:pPr>
      <w:r>
        <w:rPr>
          <w:rFonts w:hint="eastAsia" w:ascii="宋体" w:hAnsi="宋体" w:cs="仿宋_GB2312"/>
          <w:szCs w:val="21"/>
        </w:rPr>
        <w:t>3. 我方收到你方的书面索赔通知及相应的证明材料后７天内无条件支付。</w:t>
      </w:r>
    </w:p>
    <w:p w14:paraId="26C3E4F3">
      <w:pPr>
        <w:spacing w:line="360" w:lineRule="auto"/>
        <w:ind w:firstLine="420" w:firstLineChars="200"/>
        <w:jc w:val="left"/>
        <w:rPr>
          <w:rFonts w:ascii="宋体" w:hAnsi="宋体" w:cs="仿宋_GB2312"/>
          <w:szCs w:val="21"/>
        </w:rPr>
      </w:pPr>
      <w:r>
        <w:rPr>
          <w:rFonts w:hint="eastAsia" w:ascii="宋体" w:hAnsi="宋体" w:cs="仿宋_GB2312"/>
          <w:szCs w:val="21"/>
        </w:rPr>
        <w:t>五、保证责任的解除</w:t>
      </w:r>
    </w:p>
    <w:p w14:paraId="3773520A">
      <w:pPr>
        <w:spacing w:line="360" w:lineRule="auto"/>
        <w:ind w:firstLine="420" w:firstLineChars="200"/>
        <w:jc w:val="left"/>
        <w:rPr>
          <w:rFonts w:ascii="宋体" w:hAnsi="宋体" w:cs="仿宋_GB2312"/>
          <w:szCs w:val="21"/>
        </w:rPr>
      </w:pPr>
      <w:r>
        <w:rPr>
          <w:rFonts w:hint="eastAsia" w:ascii="宋体" w:hAnsi="宋体" w:cs="仿宋_GB2312"/>
          <w:szCs w:val="21"/>
        </w:rPr>
        <w:t>1. 在本保函承诺的保证期间内，你方未书面向我方主张保证责任的，自保证期间届满次日起，我方保证责任解除。</w:t>
      </w:r>
    </w:p>
    <w:p w14:paraId="28A0B540">
      <w:pPr>
        <w:spacing w:line="360" w:lineRule="auto"/>
        <w:ind w:firstLine="420" w:firstLineChars="200"/>
        <w:jc w:val="left"/>
        <w:rPr>
          <w:rFonts w:ascii="宋体" w:hAnsi="宋体" w:cs="仿宋_GB2312"/>
          <w:szCs w:val="21"/>
        </w:rPr>
      </w:pPr>
      <w:r>
        <w:rPr>
          <w:rFonts w:hint="eastAsia" w:ascii="宋体" w:hAnsi="宋体" w:cs="仿宋_GB2312"/>
          <w:szCs w:val="21"/>
        </w:rPr>
        <w:t>2. 发包人按主合同约定履行了工程款的全部支付义务的，自本保函承诺的保证期间届满次日起，我方保证责任解除。</w:t>
      </w:r>
    </w:p>
    <w:p w14:paraId="63900E90">
      <w:pPr>
        <w:spacing w:line="360" w:lineRule="auto"/>
        <w:ind w:firstLine="420" w:firstLineChars="200"/>
        <w:jc w:val="left"/>
        <w:rPr>
          <w:rFonts w:ascii="宋体" w:hAnsi="宋体" w:cs="仿宋_GB2312"/>
          <w:szCs w:val="21"/>
        </w:rPr>
      </w:pPr>
      <w:r>
        <w:rPr>
          <w:rFonts w:hint="eastAsia" w:ascii="宋体" w:hAnsi="宋体" w:cs="仿宋_GB2312"/>
          <w:szCs w:val="21"/>
        </w:rPr>
        <w:t>3. 我方按照本保函向你方履行保证责任所支付金额达到本保函保证金额时，自我方向你方支付（支付款项从我方账户划出）之日起，保证责任即解除。</w:t>
      </w:r>
    </w:p>
    <w:p w14:paraId="485B7FFD">
      <w:pPr>
        <w:spacing w:line="360" w:lineRule="auto"/>
        <w:ind w:firstLine="420" w:firstLineChars="200"/>
        <w:jc w:val="left"/>
        <w:rPr>
          <w:rFonts w:ascii="宋体" w:hAnsi="宋体" w:cs="仿宋_GB2312"/>
          <w:szCs w:val="21"/>
        </w:rPr>
      </w:pPr>
      <w:r>
        <w:rPr>
          <w:rFonts w:hint="eastAsia" w:ascii="宋体" w:hAnsi="宋体" w:cs="仿宋_GB2312"/>
          <w:szCs w:val="21"/>
        </w:rPr>
        <w:t>4. 按照法律法规的规定或出现应解除我方保证责任的其他情形的，我方在本保函项下的保证责任亦解除。</w:t>
      </w:r>
    </w:p>
    <w:p w14:paraId="51ED94B2">
      <w:pPr>
        <w:spacing w:line="360" w:lineRule="auto"/>
        <w:ind w:firstLine="420" w:firstLineChars="200"/>
        <w:jc w:val="left"/>
        <w:rPr>
          <w:rFonts w:ascii="宋体" w:hAnsi="宋体" w:cs="仿宋_GB2312"/>
          <w:szCs w:val="21"/>
        </w:rPr>
      </w:pPr>
      <w:r>
        <w:rPr>
          <w:rFonts w:hint="eastAsia" w:ascii="宋体" w:hAnsi="宋体" w:cs="仿宋_GB2312"/>
          <w:szCs w:val="21"/>
        </w:rPr>
        <w:t>5. 我方解除保证责任后，你方应自我方保证责任解除之日起个工作日内，将本保函原件返还我方。</w:t>
      </w:r>
    </w:p>
    <w:p w14:paraId="3DB442F3">
      <w:pPr>
        <w:spacing w:line="360" w:lineRule="auto"/>
        <w:ind w:firstLine="420" w:firstLineChars="200"/>
        <w:jc w:val="left"/>
        <w:rPr>
          <w:rFonts w:ascii="宋体" w:hAnsi="宋体" w:cs="仿宋_GB2312"/>
          <w:szCs w:val="21"/>
        </w:rPr>
      </w:pPr>
      <w:r>
        <w:rPr>
          <w:rFonts w:hint="eastAsia" w:ascii="宋体" w:hAnsi="宋体" w:cs="仿宋_GB2312"/>
          <w:szCs w:val="21"/>
        </w:rPr>
        <w:t>六、免责条款</w:t>
      </w:r>
    </w:p>
    <w:p w14:paraId="43926E3E">
      <w:pPr>
        <w:spacing w:line="360" w:lineRule="auto"/>
        <w:ind w:firstLine="420" w:firstLineChars="200"/>
        <w:jc w:val="left"/>
        <w:rPr>
          <w:rFonts w:ascii="宋体" w:hAnsi="宋体" w:cs="仿宋_GB2312"/>
          <w:szCs w:val="21"/>
        </w:rPr>
      </w:pPr>
      <w:r>
        <w:rPr>
          <w:rFonts w:hint="eastAsia" w:ascii="宋体" w:hAnsi="宋体" w:cs="仿宋_GB2312"/>
          <w:szCs w:val="21"/>
        </w:rPr>
        <w:t>1. 因你方违约致使发包人不能履行义务的，我方不承担保证责任。</w:t>
      </w:r>
    </w:p>
    <w:p w14:paraId="09F0D67E">
      <w:pPr>
        <w:spacing w:line="360" w:lineRule="auto"/>
        <w:ind w:firstLine="420" w:firstLineChars="200"/>
        <w:jc w:val="left"/>
        <w:rPr>
          <w:rFonts w:ascii="宋体" w:hAnsi="宋体" w:cs="仿宋_GB2312"/>
          <w:szCs w:val="21"/>
        </w:rPr>
      </w:pPr>
      <w:r>
        <w:rPr>
          <w:rFonts w:hint="eastAsia" w:ascii="宋体" w:hAnsi="宋体" w:cs="仿宋_GB2312"/>
          <w:szCs w:val="21"/>
        </w:rPr>
        <w:t>2. 依照法律法规的规定或你方与发包人的另行约定，免除发包人部分或全部义务的，我方亦免除其相应的保证责任。</w:t>
      </w:r>
    </w:p>
    <w:p w14:paraId="7355F18B">
      <w:pPr>
        <w:spacing w:line="360" w:lineRule="auto"/>
        <w:ind w:firstLine="420" w:firstLineChars="200"/>
        <w:jc w:val="left"/>
        <w:rPr>
          <w:rFonts w:ascii="宋体" w:hAnsi="宋体" w:cs="仿宋_GB2312"/>
          <w:szCs w:val="21"/>
        </w:rPr>
      </w:pPr>
      <w:r>
        <w:rPr>
          <w:rFonts w:hint="eastAsia" w:ascii="宋体" w:hAnsi="宋体" w:cs="仿宋_GB2312"/>
          <w:szCs w:val="21"/>
        </w:rPr>
        <w:t>3. 你方与发包人协议变更主合同的，如加重发包人责任致使我方保证责任加重的，需征得我方书面同意，否则我方不再承担因此而加重部分的保证责任，但主合同第10条〔变更〕约定的变更不受本款限制。</w:t>
      </w:r>
    </w:p>
    <w:p w14:paraId="5C437929">
      <w:pPr>
        <w:spacing w:line="360" w:lineRule="auto"/>
        <w:ind w:firstLine="420" w:firstLineChars="200"/>
        <w:jc w:val="left"/>
        <w:rPr>
          <w:rFonts w:ascii="宋体" w:hAnsi="宋体" w:cs="仿宋_GB2312"/>
          <w:szCs w:val="21"/>
        </w:rPr>
      </w:pPr>
      <w:r>
        <w:rPr>
          <w:rFonts w:hint="eastAsia" w:ascii="宋体" w:hAnsi="宋体" w:cs="仿宋_GB2312"/>
          <w:szCs w:val="21"/>
        </w:rPr>
        <w:t>4. 因不可抗力造成发包人不能履行义务的，我方不承担保证责任。</w:t>
      </w:r>
    </w:p>
    <w:p w14:paraId="2E6937FD">
      <w:pPr>
        <w:spacing w:line="360" w:lineRule="auto"/>
        <w:ind w:firstLine="420" w:firstLineChars="200"/>
        <w:jc w:val="left"/>
        <w:rPr>
          <w:rFonts w:ascii="宋体" w:hAnsi="宋体" w:cs="仿宋_GB2312"/>
          <w:szCs w:val="21"/>
        </w:rPr>
      </w:pPr>
      <w:r>
        <w:rPr>
          <w:rFonts w:hint="eastAsia" w:ascii="宋体" w:hAnsi="宋体" w:cs="仿宋_GB2312"/>
          <w:szCs w:val="21"/>
        </w:rPr>
        <w:t>七、争议解决</w:t>
      </w:r>
    </w:p>
    <w:p w14:paraId="64211364">
      <w:pPr>
        <w:spacing w:after="120" w:line="360" w:lineRule="auto"/>
        <w:ind w:firstLine="420" w:firstLineChars="200"/>
        <w:rPr>
          <w:rFonts w:ascii="宋体" w:hAnsi="宋体" w:cs="仿宋_GB2312"/>
          <w:szCs w:val="21"/>
        </w:rPr>
      </w:pPr>
      <w:r>
        <w:rPr>
          <w:rFonts w:hint="eastAsia" w:ascii="宋体" w:hAnsi="宋体" w:cs="仿宋_GB2312"/>
          <w:szCs w:val="21"/>
        </w:rPr>
        <w:t>因本保函或本保函相关事项发生的纠纷，可由双方协商解决，协商不成的，按下列第种方式解决：</w:t>
      </w:r>
    </w:p>
    <w:p w14:paraId="5558D337">
      <w:pPr>
        <w:spacing w:line="360" w:lineRule="auto"/>
        <w:ind w:firstLine="420" w:firstLineChars="200"/>
        <w:jc w:val="left"/>
        <w:rPr>
          <w:rFonts w:ascii="宋体" w:hAnsi="宋体" w:cs="仿宋_GB2312"/>
          <w:szCs w:val="21"/>
        </w:rPr>
      </w:pPr>
      <w:r>
        <w:rPr>
          <w:rFonts w:hint="eastAsia" w:ascii="宋体" w:hAnsi="宋体" w:cs="仿宋_GB2312"/>
          <w:szCs w:val="21"/>
        </w:rPr>
        <w:t>（1）向仲裁委员会申请仲裁；</w:t>
      </w:r>
    </w:p>
    <w:p w14:paraId="62AEF69B">
      <w:pPr>
        <w:spacing w:line="360" w:lineRule="auto"/>
        <w:ind w:firstLine="420" w:firstLineChars="200"/>
        <w:jc w:val="left"/>
        <w:rPr>
          <w:rFonts w:ascii="宋体" w:hAnsi="宋体" w:cs="仿宋_GB2312"/>
          <w:szCs w:val="21"/>
        </w:rPr>
      </w:pPr>
      <w:r>
        <w:rPr>
          <w:rFonts w:hint="eastAsia" w:ascii="宋体" w:hAnsi="宋体" w:cs="仿宋_GB2312"/>
          <w:szCs w:val="21"/>
        </w:rPr>
        <w:t>（2）向人民法院起诉。</w:t>
      </w:r>
    </w:p>
    <w:p w14:paraId="2C265943">
      <w:pPr>
        <w:spacing w:line="360" w:lineRule="auto"/>
        <w:ind w:firstLine="420" w:firstLineChars="200"/>
        <w:jc w:val="left"/>
        <w:rPr>
          <w:rFonts w:ascii="宋体" w:hAnsi="宋体" w:cs="仿宋_GB2312"/>
          <w:szCs w:val="21"/>
        </w:rPr>
      </w:pPr>
      <w:r>
        <w:rPr>
          <w:rFonts w:hint="eastAsia" w:ascii="宋体" w:hAnsi="宋体" w:cs="仿宋_GB2312"/>
          <w:szCs w:val="21"/>
        </w:rPr>
        <w:t>八、保函的生效</w:t>
      </w:r>
    </w:p>
    <w:p w14:paraId="5BED74CA">
      <w:pPr>
        <w:spacing w:line="360" w:lineRule="auto"/>
        <w:ind w:firstLine="420" w:firstLineChars="200"/>
        <w:jc w:val="left"/>
        <w:rPr>
          <w:rFonts w:ascii="宋体" w:hAnsi="宋体" w:cs="仿宋_GB2312"/>
          <w:szCs w:val="21"/>
        </w:rPr>
      </w:pPr>
      <w:r>
        <w:rPr>
          <w:rFonts w:hint="eastAsia" w:ascii="宋体" w:hAnsi="宋体" w:cs="仿宋_GB2312"/>
          <w:szCs w:val="21"/>
        </w:rPr>
        <w:t>本保函自我方法定代表人（或其授权代理人）签字并加盖公章之日起生效。</w:t>
      </w:r>
    </w:p>
    <w:p w14:paraId="4023A0DD">
      <w:pPr>
        <w:spacing w:line="360" w:lineRule="auto"/>
        <w:ind w:right="600"/>
        <w:jc w:val="left"/>
        <w:rPr>
          <w:rFonts w:ascii="宋体" w:hAnsi="宋体" w:cs="仿宋_GB2312"/>
          <w:szCs w:val="21"/>
        </w:rPr>
      </w:pPr>
      <w:r>
        <w:rPr>
          <w:rFonts w:hint="eastAsia" w:ascii="宋体" w:hAnsi="宋体" w:cs="仿宋_GB2312"/>
          <w:szCs w:val="21"/>
        </w:rPr>
        <w:t>担保人：（盖章）</w:t>
      </w:r>
    </w:p>
    <w:p w14:paraId="5E2F9C36">
      <w:pPr>
        <w:spacing w:line="360" w:lineRule="auto"/>
        <w:ind w:right="1200"/>
        <w:rPr>
          <w:rFonts w:ascii="宋体" w:hAnsi="宋体" w:cs="仿宋_GB2312"/>
          <w:szCs w:val="21"/>
        </w:rPr>
      </w:pPr>
      <w:r>
        <w:rPr>
          <w:rFonts w:hint="eastAsia" w:ascii="宋体" w:hAnsi="宋体" w:cs="仿宋_GB2312"/>
          <w:szCs w:val="21"/>
        </w:rPr>
        <w:t>法定代表人或委托代理人：（签字）</w:t>
      </w:r>
    </w:p>
    <w:p w14:paraId="4B6BD1C4">
      <w:pPr>
        <w:spacing w:line="360" w:lineRule="auto"/>
        <w:jc w:val="left"/>
        <w:rPr>
          <w:rFonts w:ascii="宋体" w:hAnsi="宋体" w:cs="仿宋_GB2312"/>
          <w:szCs w:val="21"/>
        </w:rPr>
      </w:pPr>
      <w:r>
        <w:rPr>
          <w:rFonts w:hint="eastAsia" w:ascii="宋体" w:hAnsi="宋体" w:cs="仿宋_GB2312"/>
          <w:szCs w:val="21"/>
        </w:rPr>
        <w:t>地    址：</w:t>
      </w:r>
    </w:p>
    <w:p w14:paraId="4F187A33">
      <w:pPr>
        <w:spacing w:line="360" w:lineRule="auto"/>
        <w:jc w:val="left"/>
        <w:rPr>
          <w:rFonts w:ascii="宋体" w:hAnsi="宋体" w:cs="仿宋_GB2312"/>
          <w:szCs w:val="21"/>
        </w:rPr>
      </w:pPr>
      <w:r>
        <w:rPr>
          <w:rFonts w:hint="eastAsia" w:ascii="宋体" w:hAnsi="宋体" w:cs="仿宋_GB2312"/>
          <w:szCs w:val="21"/>
        </w:rPr>
        <w:t>邮政编码：</w:t>
      </w:r>
    </w:p>
    <w:p w14:paraId="7F5C9C48">
      <w:pPr>
        <w:spacing w:line="360" w:lineRule="auto"/>
        <w:jc w:val="left"/>
        <w:rPr>
          <w:rFonts w:ascii="宋体" w:hAnsi="宋体" w:cs="仿宋_GB2312"/>
          <w:szCs w:val="21"/>
        </w:rPr>
      </w:pPr>
      <w:r>
        <w:rPr>
          <w:rFonts w:hint="eastAsia" w:ascii="宋体" w:hAnsi="宋体" w:cs="仿宋_GB2312"/>
          <w:szCs w:val="21"/>
        </w:rPr>
        <w:t>传    真：</w:t>
      </w:r>
    </w:p>
    <w:p w14:paraId="4730C6FC">
      <w:pPr>
        <w:spacing w:line="360" w:lineRule="auto"/>
        <w:ind w:right="150" w:firstLine="420" w:firstLineChars="200"/>
        <w:jc w:val="left"/>
        <w:rPr>
          <w:rFonts w:ascii="宋体" w:hAnsi="宋体" w:cs="仿宋_GB2312"/>
          <w:szCs w:val="21"/>
        </w:rPr>
      </w:pPr>
      <w:r>
        <w:rPr>
          <w:rFonts w:hint="eastAsia" w:ascii="宋体" w:hAnsi="宋体" w:cs="仿宋_GB2312"/>
          <w:szCs w:val="21"/>
        </w:rPr>
        <w:t>年  月  日</w:t>
      </w:r>
    </w:p>
    <w:p w14:paraId="52F05DAB">
      <w:pPr>
        <w:spacing w:line="360" w:lineRule="auto"/>
        <w:ind w:right="150" w:firstLine="420" w:firstLineChars="200"/>
        <w:jc w:val="left"/>
        <w:rPr>
          <w:rFonts w:ascii="宋体" w:hAnsi="宋体" w:cs="仿宋_GB2312"/>
          <w:szCs w:val="21"/>
        </w:rPr>
      </w:pPr>
    </w:p>
    <w:p w14:paraId="3451D6DA">
      <w:pPr>
        <w:spacing w:line="360" w:lineRule="auto"/>
        <w:ind w:right="150" w:firstLine="420" w:firstLineChars="200"/>
        <w:jc w:val="left"/>
        <w:rPr>
          <w:rFonts w:ascii="宋体" w:hAnsi="宋体" w:cs="仿宋_GB2312"/>
          <w:szCs w:val="21"/>
        </w:rPr>
      </w:pPr>
    </w:p>
    <w:p w14:paraId="2AD517DB">
      <w:pPr>
        <w:spacing w:line="360" w:lineRule="auto"/>
        <w:ind w:right="150" w:firstLine="420" w:firstLineChars="200"/>
        <w:jc w:val="left"/>
        <w:rPr>
          <w:rFonts w:ascii="宋体" w:hAnsi="宋体" w:cs="仿宋_GB2312"/>
          <w:szCs w:val="21"/>
        </w:rPr>
      </w:pPr>
    </w:p>
    <w:p w14:paraId="3CC1A12A">
      <w:pPr>
        <w:spacing w:line="360" w:lineRule="auto"/>
        <w:ind w:right="150" w:firstLine="420" w:firstLineChars="200"/>
        <w:jc w:val="left"/>
        <w:rPr>
          <w:rFonts w:ascii="宋体" w:hAnsi="宋体" w:cs="仿宋_GB2312"/>
          <w:szCs w:val="21"/>
        </w:rPr>
      </w:pPr>
    </w:p>
    <w:p w14:paraId="5B1A0F61">
      <w:pPr>
        <w:spacing w:line="360" w:lineRule="auto"/>
        <w:ind w:right="150" w:firstLine="420" w:firstLineChars="200"/>
        <w:jc w:val="left"/>
        <w:rPr>
          <w:rFonts w:ascii="宋体" w:hAnsi="宋体" w:cs="仿宋_GB2312"/>
          <w:szCs w:val="21"/>
        </w:rPr>
      </w:pPr>
    </w:p>
    <w:p w14:paraId="7D89357B">
      <w:pPr>
        <w:spacing w:line="360" w:lineRule="auto"/>
        <w:ind w:right="150" w:firstLine="420" w:firstLineChars="200"/>
        <w:jc w:val="left"/>
        <w:rPr>
          <w:rFonts w:ascii="宋体" w:hAnsi="宋体" w:cs="仿宋_GB2312"/>
          <w:szCs w:val="21"/>
        </w:rPr>
      </w:pPr>
    </w:p>
    <w:p w14:paraId="0591E958">
      <w:pPr>
        <w:pStyle w:val="63"/>
      </w:pPr>
    </w:p>
    <w:p w14:paraId="007C76CA">
      <w:pPr>
        <w:spacing w:line="360" w:lineRule="auto"/>
        <w:ind w:right="150" w:firstLine="420" w:firstLineChars="200"/>
        <w:jc w:val="left"/>
        <w:rPr>
          <w:rFonts w:ascii="宋体" w:hAnsi="宋体" w:cs="仿宋_GB2312"/>
          <w:szCs w:val="21"/>
        </w:rPr>
      </w:pPr>
      <w:r>
        <w:rPr>
          <w:rFonts w:hint="eastAsia" w:ascii="宋体" w:hAnsi="宋体" w:cs="仿宋_GB2312"/>
          <w:szCs w:val="21"/>
        </w:rPr>
        <w:t>附件11：</w:t>
      </w:r>
    </w:p>
    <w:p w14:paraId="19EB5C07">
      <w:pPr>
        <w:spacing w:before="156" w:beforeLines="50" w:after="156" w:afterLines="50" w:line="360" w:lineRule="auto"/>
        <w:jc w:val="center"/>
        <w:rPr>
          <w:rFonts w:ascii="宋体" w:hAnsi="宋体" w:cs="仿宋_GB2312"/>
          <w:szCs w:val="21"/>
        </w:rPr>
      </w:pPr>
      <w:r>
        <w:rPr>
          <w:rFonts w:hint="eastAsia" w:ascii="宋体" w:hAnsi="宋体" w:cs="仿宋_GB2312"/>
          <w:szCs w:val="21"/>
        </w:rPr>
        <w:t>11-1：材料暂估价表</w:t>
      </w:r>
    </w:p>
    <w:tbl>
      <w:tblPr>
        <w:tblStyle w:val="47"/>
        <w:tblW w:w="9831"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17"/>
        <w:gridCol w:w="2513"/>
        <w:gridCol w:w="1250"/>
        <w:gridCol w:w="1033"/>
        <w:gridCol w:w="1246"/>
        <w:gridCol w:w="1306"/>
        <w:gridCol w:w="1566"/>
      </w:tblGrid>
      <w:tr w14:paraId="610609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271440F2">
            <w:pPr>
              <w:keepNext/>
              <w:spacing w:after="120" w:line="360" w:lineRule="auto"/>
              <w:ind w:left="63" w:right="63"/>
              <w:rPr>
                <w:rFonts w:ascii="宋体" w:hAnsi="宋体" w:cs="仿宋_GB2312"/>
                <w:kern w:val="0"/>
                <w:szCs w:val="21"/>
              </w:rPr>
            </w:pPr>
            <w:r>
              <w:rPr>
                <w:rFonts w:hint="eastAsia" w:ascii="宋体" w:hAnsi="宋体" w:cs="仿宋_GB2312"/>
                <w:kern w:val="0"/>
                <w:szCs w:val="21"/>
              </w:rPr>
              <w:t>序号</w:t>
            </w:r>
          </w:p>
        </w:tc>
        <w:tc>
          <w:tcPr>
            <w:tcW w:w="2513" w:type="dxa"/>
          </w:tcPr>
          <w:p w14:paraId="3EFB4653">
            <w:pPr>
              <w:keepNext/>
              <w:spacing w:after="120" w:line="360" w:lineRule="auto"/>
              <w:ind w:left="63" w:right="63"/>
              <w:rPr>
                <w:rFonts w:ascii="宋体" w:hAnsi="宋体" w:cs="仿宋_GB2312"/>
                <w:kern w:val="0"/>
                <w:szCs w:val="21"/>
              </w:rPr>
            </w:pPr>
            <w:r>
              <w:rPr>
                <w:rFonts w:hint="eastAsia" w:ascii="宋体" w:hAnsi="宋体" w:cs="仿宋_GB2312"/>
                <w:kern w:val="0"/>
                <w:szCs w:val="21"/>
              </w:rPr>
              <w:t>名称</w:t>
            </w:r>
          </w:p>
        </w:tc>
        <w:tc>
          <w:tcPr>
            <w:tcW w:w="1250" w:type="dxa"/>
          </w:tcPr>
          <w:p w14:paraId="4E82B1C2">
            <w:pPr>
              <w:keepNext/>
              <w:spacing w:after="120" w:line="360" w:lineRule="auto"/>
              <w:ind w:left="63" w:right="63"/>
              <w:rPr>
                <w:rFonts w:ascii="宋体" w:hAnsi="宋体" w:cs="仿宋_GB2312"/>
                <w:kern w:val="0"/>
                <w:szCs w:val="21"/>
              </w:rPr>
            </w:pPr>
            <w:r>
              <w:rPr>
                <w:rFonts w:hint="eastAsia" w:ascii="宋体" w:hAnsi="宋体" w:cs="仿宋_GB2312"/>
                <w:kern w:val="0"/>
                <w:szCs w:val="21"/>
              </w:rPr>
              <w:t>单位</w:t>
            </w:r>
          </w:p>
        </w:tc>
        <w:tc>
          <w:tcPr>
            <w:tcW w:w="1033" w:type="dxa"/>
          </w:tcPr>
          <w:p w14:paraId="671EEC76">
            <w:pPr>
              <w:keepNext/>
              <w:spacing w:after="120" w:line="360" w:lineRule="auto"/>
              <w:ind w:left="63" w:right="63"/>
              <w:rPr>
                <w:rFonts w:ascii="宋体" w:hAnsi="宋体" w:cs="仿宋_GB2312"/>
                <w:kern w:val="0"/>
                <w:szCs w:val="21"/>
              </w:rPr>
            </w:pPr>
            <w:r>
              <w:rPr>
                <w:rFonts w:hint="eastAsia" w:ascii="宋体" w:hAnsi="宋体" w:cs="仿宋_GB2312"/>
                <w:kern w:val="0"/>
                <w:szCs w:val="21"/>
              </w:rPr>
              <w:t>数量</w:t>
            </w:r>
          </w:p>
        </w:tc>
        <w:tc>
          <w:tcPr>
            <w:tcW w:w="1246" w:type="dxa"/>
          </w:tcPr>
          <w:p w14:paraId="669AEBB8">
            <w:pPr>
              <w:keepNext/>
              <w:spacing w:after="120" w:line="360" w:lineRule="auto"/>
              <w:ind w:left="63" w:right="63"/>
              <w:rPr>
                <w:rFonts w:ascii="宋体" w:hAnsi="宋体" w:cs="仿宋_GB2312"/>
                <w:kern w:val="0"/>
                <w:szCs w:val="21"/>
              </w:rPr>
            </w:pPr>
            <w:r>
              <w:rPr>
                <w:rFonts w:hint="eastAsia" w:ascii="宋体" w:hAnsi="宋体" w:cs="仿宋_GB2312"/>
                <w:kern w:val="0"/>
                <w:szCs w:val="21"/>
              </w:rPr>
              <w:t>单价（元）</w:t>
            </w:r>
          </w:p>
        </w:tc>
        <w:tc>
          <w:tcPr>
            <w:tcW w:w="1306" w:type="dxa"/>
          </w:tcPr>
          <w:p w14:paraId="506DEF3A">
            <w:pPr>
              <w:keepNext/>
              <w:spacing w:after="120" w:line="360" w:lineRule="auto"/>
              <w:ind w:left="63" w:right="63"/>
              <w:rPr>
                <w:rFonts w:ascii="宋体" w:hAnsi="宋体" w:cs="仿宋_GB2312"/>
                <w:kern w:val="0"/>
                <w:szCs w:val="21"/>
              </w:rPr>
            </w:pPr>
            <w:r>
              <w:rPr>
                <w:rFonts w:hint="eastAsia" w:ascii="宋体" w:hAnsi="宋体" w:cs="仿宋_GB2312"/>
                <w:kern w:val="0"/>
                <w:szCs w:val="21"/>
              </w:rPr>
              <w:t>合价（元）</w:t>
            </w:r>
          </w:p>
        </w:tc>
        <w:tc>
          <w:tcPr>
            <w:tcW w:w="1566" w:type="dxa"/>
          </w:tcPr>
          <w:p w14:paraId="20D0A48A">
            <w:pPr>
              <w:keepNext/>
              <w:spacing w:after="120" w:line="360" w:lineRule="auto"/>
              <w:ind w:left="63" w:right="63"/>
              <w:rPr>
                <w:rFonts w:ascii="宋体" w:hAnsi="宋体" w:cs="仿宋_GB2312"/>
                <w:kern w:val="0"/>
                <w:szCs w:val="21"/>
              </w:rPr>
            </w:pPr>
            <w:r>
              <w:rPr>
                <w:rFonts w:hint="eastAsia" w:ascii="宋体" w:hAnsi="宋体" w:cs="仿宋_GB2312"/>
                <w:kern w:val="0"/>
                <w:szCs w:val="21"/>
              </w:rPr>
              <w:t>备注</w:t>
            </w:r>
          </w:p>
        </w:tc>
      </w:tr>
      <w:tr w14:paraId="64B5BBA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5BE1088C">
            <w:pPr>
              <w:keepNext/>
              <w:spacing w:after="120" w:line="360" w:lineRule="auto"/>
              <w:ind w:left="63" w:right="63"/>
              <w:rPr>
                <w:rFonts w:ascii="宋体" w:hAnsi="宋体" w:cs="仿宋_GB2312"/>
                <w:kern w:val="0"/>
                <w:szCs w:val="21"/>
              </w:rPr>
            </w:pPr>
          </w:p>
        </w:tc>
        <w:tc>
          <w:tcPr>
            <w:tcW w:w="2513" w:type="dxa"/>
          </w:tcPr>
          <w:p w14:paraId="5B404417">
            <w:pPr>
              <w:keepNext/>
              <w:spacing w:after="120" w:line="360" w:lineRule="auto"/>
              <w:ind w:left="63" w:right="63"/>
              <w:rPr>
                <w:rFonts w:ascii="宋体" w:hAnsi="宋体" w:cs="仿宋_GB2312"/>
                <w:kern w:val="0"/>
                <w:szCs w:val="21"/>
              </w:rPr>
            </w:pPr>
          </w:p>
        </w:tc>
        <w:tc>
          <w:tcPr>
            <w:tcW w:w="1250" w:type="dxa"/>
          </w:tcPr>
          <w:p w14:paraId="3418A0D8">
            <w:pPr>
              <w:keepNext/>
              <w:spacing w:after="120" w:line="360" w:lineRule="auto"/>
              <w:ind w:left="63" w:right="63"/>
              <w:rPr>
                <w:rFonts w:ascii="宋体" w:hAnsi="宋体" w:cs="仿宋_GB2312"/>
                <w:kern w:val="0"/>
                <w:szCs w:val="21"/>
              </w:rPr>
            </w:pPr>
          </w:p>
        </w:tc>
        <w:tc>
          <w:tcPr>
            <w:tcW w:w="1033" w:type="dxa"/>
          </w:tcPr>
          <w:p w14:paraId="32488CAC">
            <w:pPr>
              <w:keepNext/>
              <w:spacing w:after="120" w:line="360" w:lineRule="auto"/>
              <w:ind w:left="63" w:right="63"/>
              <w:rPr>
                <w:rFonts w:ascii="宋体" w:hAnsi="宋体" w:cs="仿宋_GB2312"/>
                <w:kern w:val="0"/>
                <w:szCs w:val="21"/>
              </w:rPr>
            </w:pPr>
          </w:p>
        </w:tc>
        <w:tc>
          <w:tcPr>
            <w:tcW w:w="1246" w:type="dxa"/>
          </w:tcPr>
          <w:p w14:paraId="1683E7F2">
            <w:pPr>
              <w:keepNext/>
              <w:spacing w:after="120" w:line="360" w:lineRule="auto"/>
              <w:ind w:left="63" w:right="63"/>
              <w:rPr>
                <w:rFonts w:ascii="宋体" w:hAnsi="宋体" w:cs="仿宋_GB2312"/>
                <w:kern w:val="0"/>
                <w:szCs w:val="21"/>
              </w:rPr>
            </w:pPr>
          </w:p>
        </w:tc>
        <w:tc>
          <w:tcPr>
            <w:tcW w:w="1306" w:type="dxa"/>
          </w:tcPr>
          <w:p w14:paraId="3EB263BF">
            <w:pPr>
              <w:keepNext/>
              <w:spacing w:after="120" w:line="360" w:lineRule="auto"/>
              <w:ind w:left="63" w:right="63"/>
              <w:rPr>
                <w:rFonts w:ascii="宋体" w:hAnsi="宋体" w:cs="仿宋_GB2312"/>
                <w:kern w:val="0"/>
                <w:szCs w:val="21"/>
              </w:rPr>
            </w:pPr>
          </w:p>
        </w:tc>
        <w:tc>
          <w:tcPr>
            <w:tcW w:w="1566" w:type="dxa"/>
          </w:tcPr>
          <w:p w14:paraId="121BFFC0">
            <w:pPr>
              <w:keepNext/>
              <w:spacing w:after="120" w:line="360" w:lineRule="auto"/>
              <w:ind w:left="63" w:right="63"/>
              <w:rPr>
                <w:rFonts w:ascii="宋体" w:hAnsi="宋体" w:cs="仿宋_GB2312"/>
                <w:kern w:val="0"/>
                <w:szCs w:val="21"/>
              </w:rPr>
            </w:pPr>
          </w:p>
        </w:tc>
      </w:tr>
      <w:tr w14:paraId="5A4DC5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50C3FE83">
            <w:pPr>
              <w:keepNext/>
              <w:spacing w:after="120" w:line="360" w:lineRule="auto"/>
              <w:ind w:left="63" w:right="63"/>
              <w:rPr>
                <w:rFonts w:ascii="宋体" w:hAnsi="宋体" w:cs="仿宋_GB2312"/>
                <w:kern w:val="0"/>
                <w:szCs w:val="21"/>
              </w:rPr>
            </w:pPr>
          </w:p>
        </w:tc>
        <w:tc>
          <w:tcPr>
            <w:tcW w:w="2513" w:type="dxa"/>
          </w:tcPr>
          <w:p w14:paraId="42EA3D2D">
            <w:pPr>
              <w:keepNext/>
              <w:spacing w:after="120" w:line="360" w:lineRule="auto"/>
              <w:ind w:left="63" w:right="63"/>
              <w:rPr>
                <w:rFonts w:ascii="宋体" w:hAnsi="宋体" w:cs="仿宋_GB2312"/>
                <w:kern w:val="0"/>
                <w:szCs w:val="21"/>
              </w:rPr>
            </w:pPr>
          </w:p>
        </w:tc>
        <w:tc>
          <w:tcPr>
            <w:tcW w:w="1250" w:type="dxa"/>
          </w:tcPr>
          <w:p w14:paraId="04DA82E4">
            <w:pPr>
              <w:keepNext/>
              <w:spacing w:after="120" w:line="360" w:lineRule="auto"/>
              <w:ind w:left="63" w:right="63"/>
              <w:rPr>
                <w:rFonts w:ascii="宋体" w:hAnsi="宋体" w:cs="仿宋_GB2312"/>
                <w:kern w:val="0"/>
                <w:szCs w:val="21"/>
              </w:rPr>
            </w:pPr>
          </w:p>
        </w:tc>
        <w:tc>
          <w:tcPr>
            <w:tcW w:w="1033" w:type="dxa"/>
          </w:tcPr>
          <w:p w14:paraId="1F55BF34">
            <w:pPr>
              <w:keepNext/>
              <w:spacing w:after="120" w:line="360" w:lineRule="auto"/>
              <w:ind w:left="63" w:right="63"/>
              <w:rPr>
                <w:rFonts w:ascii="宋体" w:hAnsi="宋体" w:cs="仿宋_GB2312"/>
                <w:kern w:val="0"/>
                <w:szCs w:val="21"/>
              </w:rPr>
            </w:pPr>
          </w:p>
        </w:tc>
        <w:tc>
          <w:tcPr>
            <w:tcW w:w="1246" w:type="dxa"/>
          </w:tcPr>
          <w:p w14:paraId="38E61918">
            <w:pPr>
              <w:keepNext/>
              <w:spacing w:after="120" w:line="360" w:lineRule="auto"/>
              <w:ind w:left="63" w:right="63"/>
              <w:rPr>
                <w:rFonts w:ascii="宋体" w:hAnsi="宋体" w:cs="仿宋_GB2312"/>
                <w:kern w:val="0"/>
                <w:szCs w:val="21"/>
              </w:rPr>
            </w:pPr>
          </w:p>
        </w:tc>
        <w:tc>
          <w:tcPr>
            <w:tcW w:w="1306" w:type="dxa"/>
          </w:tcPr>
          <w:p w14:paraId="32D0B6DE">
            <w:pPr>
              <w:keepNext/>
              <w:spacing w:after="120" w:line="360" w:lineRule="auto"/>
              <w:ind w:left="63" w:right="63"/>
              <w:rPr>
                <w:rFonts w:ascii="宋体" w:hAnsi="宋体" w:cs="仿宋_GB2312"/>
                <w:kern w:val="0"/>
                <w:szCs w:val="21"/>
              </w:rPr>
            </w:pPr>
          </w:p>
        </w:tc>
        <w:tc>
          <w:tcPr>
            <w:tcW w:w="1566" w:type="dxa"/>
          </w:tcPr>
          <w:p w14:paraId="1A048D55">
            <w:pPr>
              <w:keepNext/>
              <w:spacing w:after="120" w:line="360" w:lineRule="auto"/>
              <w:ind w:left="63" w:right="63"/>
              <w:rPr>
                <w:rFonts w:ascii="宋体" w:hAnsi="宋体" w:cs="仿宋_GB2312"/>
                <w:kern w:val="0"/>
                <w:szCs w:val="21"/>
              </w:rPr>
            </w:pPr>
          </w:p>
        </w:tc>
      </w:tr>
      <w:tr w14:paraId="26CB4E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781CC815">
            <w:pPr>
              <w:keepNext/>
              <w:spacing w:after="120" w:line="360" w:lineRule="auto"/>
              <w:ind w:left="63" w:right="63"/>
              <w:rPr>
                <w:rFonts w:ascii="宋体" w:hAnsi="宋体" w:cs="仿宋_GB2312"/>
                <w:kern w:val="0"/>
                <w:szCs w:val="21"/>
              </w:rPr>
            </w:pPr>
          </w:p>
        </w:tc>
        <w:tc>
          <w:tcPr>
            <w:tcW w:w="2513" w:type="dxa"/>
          </w:tcPr>
          <w:p w14:paraId="2F5B3939">
            <w:pPr>
              <w:keepNext/>
              <w:spacing w:after="120" w:line="360" w:lineRule="auto"/>
              <w:ind w:left="63" w:right="63"/>
              <w:rPr>
                <w:rFonts w:ascii="宋体" w:hAnsi="宋体" w:cs="仿宋_GB2312"/>
                <w:kern w:val="0"/>
                <w:szCs w:val="21"/>
              </w:rPr>
            </w:pPr>
          </w:p>
        </w:tc>
        <w:tc>
          <w:tcPr>
            <w:tcW w:w="1250" w:type="dxa"/>
          </w:tcPr>
          <w:p w14:paraId="5D1A9AD4">
            <w:pPr>
              <w:keepNext/>
              <w:spacing w:after="120" w:line="360" w:lineRule="auto"/>
              <w:ind w:left="63" w:right="63"/>
              <w:rPr>
                <w:rFonts w:ascii="宋体" w:hAnsi="宋体" w:cs="仿宋_GB2312"/>
                <w:kern w:val="0"/>
                <w:szCs w:val="21"/>
              </w:rPr>
            </w:pPr>
          </w:p>
        </w:tc>
        <w:tc>
          <w:tcPr>
            <w:tcW w:w="1033" w:type="dxa"/>
          </w:tcPr>
          <w:p w14:paraId="778E353D">
            <w:pPr>
              <w:keepNext/>
              <w:spacing w:after="120" w:line="360" w:lineRule="auto"/>
              <w:ind w:left="63" w:right="63"/>
              <w:rPr>
                <w:rFonts w:ascii="宋体" w:hAnsi="宋体" w:cs="仿宋_GB2312"/>
                <w:kern w:val="0"/>
                <w:szCs w:val="21"/>
              </w:rPr>
            </w:pPr>
          </w:p>
        </w:tc>
        <w:tc>
          <w:tcPr>
            <w:tcW w:w="1246" w:type="dxa"/>
          </w:tcPr>
          <w:p w14:paraId="38E4B51B">
            <w:pPr>
              <w:keepNext/>
              <w:spacing w:after="120" w:line="360" w:lineRule="auto"/>
              <w:ind w:left="63" w:right="63"/>
              <w:rPr>
                <w:rFonts w:ascii="宋体" w:hAnsi="宋体" w:cs="仿宋_GB2312"/>
                <w:kern w:val="0"/>
                <w:szCs w:val="21"/>
              </w:rPr>
            </w:pPr>
          </w:p>
        </w:tc>
        <w:tc>
          <w:tcPr>
            <w:tcW w:w="1306" w:type="dxa"/>
          </w:tcPr>
          <w:p w14:paraId="0115E45B">
            <w:pPr>
              <w:keepNext/>
              <w:spacing w:after="120" w:line="360" w:lineRule="auto"/>
              <w:ind w:left="63" w:right="63"/>
              <w:rPr>
                <w:rFonts w:ascii="宋体" w:hAnsi="宋体" w:cs="仿宋_GB2312"/>
                <w:kern w:val="0"/>
                <w:szCs w:val="21"/>
              </w:rPr>
            </w:pPr>
          </w:p>
        </w:tc>
        <w:tc>
          <w:tcPr>
            <w:tcW w:w="1566" w:type="dxa"/>
          </w:tcPr>
          <w:p w14:paraId="474910FA">
            <w:pPr>
              <w:keepNext/>
              <w:spacing w:after="120" w:line="360" w:lineRule="auto"/>
              <w:ind w:left="63" w:right="63"/>
              <w:rPr>
                <w:rFonts w:ascii="宋体" w:hAnsi="宋体" w:cs="仿宋_GB2312"/>
                <w:kern w:val="0"/>
                <w:szCs w:val="21"/>
              </w:rPr>
            </w:pPr>
          </w:p>
        </w:tc>
      </w:tr>
      <w:tr w14:paraId="1F3A2D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0AFB8764">
            <w:pPr>
              <w:keepNext/>
              <w:spacing w:after="120" w:line="360" w:lineRule="auto"/>
              <w:ind w:left="63" w:right="63"/>
              <w:rPr>
                <w:rFonts w:ascii="宋体" w:hAnsi="宋体" w:cs="仿宋_GB2312"/>
                <w:kern w:val="0"/>
                <w:szCs w:val="21"/>
              </w:rPr>
            </w:pPr>
          </w:p>
        </w:tc>
        <w:tc>
          <w:tcPr>
            <w:tcW w:w="2513" w:type="dxa"/>
          </w:tcPr>
          <w:p w14:paraId="6319A2E4">
            <w:pPr>
              <w:keepNext/>
              <w:spacing w:after="120" w:line="360" w:lineRule="auto"/>
              <w:ind w:left="63" w:right="63"/>
              <w:rPr>
                <w:rFonts w:ascii="宋体" w:hAnsi="宋体" w:cs="仿宋_GB2312"/>
                <w:kern w:val="0"/>
                <w:szCs w:val="21"/>
              </w:rPr>
            </w:pPr>
          </w:p>
        </w:tc>
        <w:tc>
          <w:tcPr>
            <w:tcW w:w="1250" w:type="dxa"/>
          </w:tcPr>
          <w:p w14:paraId="480F4734">
            <w:pPr>
              <w:keepNext/>
              <w:spacing w:after="120" w:line="360" w:lineRule="auto"/>
              <w:ind w:left="63" w:right="63"/>
              <w:rPr>
                <w:rFonts w:ascii="宋体" w:hAnsi="宋体" w:cs="仿宋_GB2312"/>
                <w:kern w:val="0"/>
                <w:szCs w:val="21"/>
              </w:rPr>
            </w:pPr>
          </w:p>
        </w:tc>
        <w:tc>
          <w:tcPr>
            <w:tcW w:w="1033" w:type="dxa"/>
          </w:tcPr>
          <w:p w14:paraId="7FB85218">
            <w:pPr>
              <w:keepNext/>
              <w:spacing w:after="120" w:line="360" w:lineRule="auto"/>
              <w:ind w:left="63" w:right="63"/>
              <w:rPr>
                <w:rFonts w:ascii="宋体" w:hAnsi="宋体" w:cs="仿宋_GB2312"/>
                <w:kern w:val="0"/>
                <w:szCs w:val="21"/>
              </w:rPr>
            </w:pPr>
          </w:p>
        </w:tc>
        <w:tc>
          <w:tcPr>
            <w:tcW w:w="1246" w:type="dxa"/>
          </w:tcPr>
          <w:p w14:paraId="4BA92CA8">
            <w:pPr>
              <w:keepNext/>
              <w:spacing w:after="120" w:line="360" w:lineRule="auto"/>
              <w:ind w:left="63" w:right="63"/>
              <w:rPr>
                <w:rFonts w:ascii="宋体" w:hAnsi="宋体" w:cs="仿宋_GB2312"/>
                <w:kern w:val="0"/>
                <w:szCs w:val="21"/>
              </w:rPr>
            </w:pPr>
          </w:p>
        </w:tc>
        <w:tc>
          <w:tcPr>
            <w:tcW w:w="1306" w:type="dxa"/>
          </w:tcPr>
          <w:p w14:paraId="1A8A7C14">
            <w:pPr>
              <w:keepNext/>
              <w:spacing w:after="120" w:line="360" w:lineRule="auto"/>
              <w:ind w:left="63" w:right="63"/>
              <w:rPr>
                <w:rFonts w:ascii="宋体" w:hAnsi="宋体" w:cs="仿宋_GB2312"/>
                <w:kern w:val="0"/>
                <w:szCs w:val="21"/>
              </w:rPr>
            </w:pPr>
          </w:p>
        </w:tc>
        <w:tc>
          <w:tcPr>
            <w:tcW w:w="1566" w:type="dxa"/>
          </w:tcPr>
          <w:p w14:paraId="3B98783C">
            <w:pPr>
              <w:keepNext/>
              <w:spacing w:after="120" w:line="360" w:lineRule="auto"/>
              <w:ind w:left="63" w:right="63"/>
              <w:rPr>
                <w:rFonts w:ascii="宋体" w:hAnsi="宋体" w:cs="仿宋_GB2312"/>
                <w:kern w:val="0"/>
                <w:szCs w:val="21"/>
              </w:rPr>
            </w:pPr>
          </w:p>
        </w:tc>
      </w:tr>
      <w:tr w14:paraId="380A8A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64B0661C">
            <w:pPr>
              <w:keepNext/>
              <w:spacing w:after="120" w:line="360" w:lineRule="auto"/>
              <w:ind w:left="63" w:right="63"/>
              <w:rPr>
                <w:rFonts w:ascii="宋体" w:hAnsi="宋体" w:cs="仿宋_GB2312"/>
                <w:kern w:val="0"/>
                <w:szCs w:val="21"/>
              </w:rPr>
            </w:pPr>
          </w:p>
        </w:tc>
        <w:tc>
          <w:tcPr>
            <w:tcW w:w="2513" w:type="dxa"/>
          </w:tcPr>
          <w:p w14:paraId="56A71612">
            <w:pPr>
              <w:keepNext/>
              <w:spacing w:after="120" w:line="360" w:lineRule="auto"/>
              <w:ind w:left="63" w:right="63"/>
              <w:rPr>
                <w:rFonts w:ascii="宋体" w:hAnsi="宋体" w:cs="仿宋_GB2312"/>
                <w:kern w:val="0"/>
                <w:szCs w:val="21"/>
              </w:rPr>
            </w:pPr>
          </w:p>
        </w:tc>
        <w:tc>
          <w:tcPr>
            <w:tcW w:w="1250" w:type="dxa"/>
          </w:tcPr>
          <w:p w14:paraId="69E30B6D">
            <w:pPr>
              <w:keepNext/>
              <w:spacing w:after="120" w:line="360" w:lineRule="auto"/>
              <w:ind w:left="63" w:right="63"/>
              <w:rPr>
                <w:rFonts w:ascii="宋体" w:hAnsi="宋体" w:cs="仿宋_GB2312"/>
                <w:kern w:val="0"/>
                <w:szCs w:val="21"/>
              </w:rPr>
            </w:pPr>
          </w:p>
        </w:tc>
        <w:tc>
          <w:tcPr>
            <w:tcW w:w="1033" w:type="dxa"/>
          </w:tcPr>
          <w:p w14:paraId="388D090D">
            <w:pPr>
              <w:keepNext/>
              <w:spacing w:after="120" w:line="360" w:lineRule="auto"/>
              <w:ind w:left="63" w:right="63"/>
              <w:rPr>
                <w:rFonts w:ascii="宋体" w:hAnsi="宋体" w:cs="仿宋_GB2312"/>
                <w:kern w:val="0"/>
                <w:szCs w:val="21"/>
              </w:rPr>
            </w:pPr>
          </w:p>
        </w:tc>
        <w:tc>
          <w:tcPr>
            <w:tcW w:w="1246" w:type="dxa"/>
          </w:tcPr>
          <w:p w14:paraId="16C65019">
            <w:pPr>
              <w:keepNext/>
              <w:spacing w:after="120" w:line="360" w:lineRule="auto"/>
              <w:ind w:left="63" w:right="63"/>
              <w:rPr>
                <w:rFonts w:ascii="宋体" w:hAnsi="宋体" w:cs="仿宋_GB2312"/>
                <w:kern w:val="0"/>
                <w:szCs w:val="21"/>
              </w:rPr>
            </w:pPr>
          </w:p>
        </w:tc>
        <w:tc>
          <w:tcPr>
            <w:tcW w:w="1306" w:type="dxa"/>
          </w:tcPr>
          <w:p w14:paraId="32C0BFCE">
            <w:pPr>
              <w:keepNext/>
              <w:spacing w:after="120" w:line="360" w:lineRule="auto"/>
              <w:ind w:left="63" w:right="63"/>
              <w:rPr>
                <w:rFonts w:ascii="宋体" w:hAnsi="宋体" w:cs="仿宋_GB2312"/>
                <w:kern w:val="0"/>
                <w:szCs w:val="21"/>
              </w:rPr>
            </w:pPr>
          </w:p>
        </w:tc>
        <w:tc>
          <w:tcPr>
            <w:tcW w:w="1566" w:type="dxa"/>
          </w:tcPr>
          <w:p w14:paraId="52DC9583">
            <w:pPr>
              <w:keepNext/>
              <w:spacing w:after="120" w:line="360" w:lineRule="auto"/>
              <w:ind w:left="63" w:right="63"/>
              <w:rPr>
                <w:rFonts w:ascii="宋体" w:hAnsi="宋体" w:cs="仿宋_GB2312"/>
                <w:kern w:val="0"/>
                <w:szCs w:val="21"/>
              </w:rPr>
            </w:pPr>
          </w:p>
        </w:tc>
      </w:tr>
      <w:tr w14:paraId="618A8A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5A90ED2C">
            <w:pPr>
              <w:keepNext/>
              <w:spacing w:after="120" w:line="360" w:lineRule="auto"/>
              <w:ind w:left="63" w:right="63"/>
              <w:rPr>
                <w:rFonts w:ascii="宋体" w:hAnsi="宋体" w:cs="仿宋_GB2312"/>
                <w:kern w:val="0"/>
                <w:szCs w:val="21"/>
              </w:rPr>
            </w:pPr>
          </w:p>
        </w:tc>
        <w:tc>
          <w:tcPr>
            <w:tcW w:w="2513" w:type="dxa"/>
          </w:tcPr>
          <w:p w14:paraId="0E40EE91">
            <w:pPr>
              <w:keepNext/>
              <w:spacing w:after="120" w:line="360" w:lineRule="auto"/>
              <w:ind w:left="63" w:right="63"/>
              <w:rPr>
                <w:rFonts w:ascii="宋体" w:hAnsi="宋体" w:cs="仿宋_GB2312"/>
                <w:kern w:val="0"/>
                <w:szCs w:val="21"/>
              </w:rPr>
            </w:pPr>
          </w:p>
        </w:tc>
        <w:tc>
          <w:tcPr>
            <w:tcW w:w="1250" w:type="dxa"/>
          </w:tcPr>
          <w:p w14:paraId="5A6E7415">
            <w:pPr>
              <w:keepNext/>
              <w:spacing w:after="120" w:line="360" w:lineRule="auto"/>
              <w:ind w:left="63" w:right="63"/>
              <w:rPr>
                <w:rFonts w:ascii="宋体" w:hAnsi="宋体" w:cs="仿宋_GB2312"/>
                <w:kern w:val="0"/>
                <w:szCs w:val="21"/>
              </w:rPr>
            </w:pPr>
          </w:p>
        </w:tc>
        <w:tc>
          <w:tcPr>
            <w:tcW w:w="1033" w:type="dxa"/>
          </w:tcPr>
          <w:p w14:paraId="2984263D">
            <w:pPr>
              <w:keepNext/>
              <w:spacing w:after="120" w:line="360" w:lineRule="auto"/>
              <w:ind w:left="63" w:right="63"/>
              <w:rPr>
                <w:rFonts w:ascii="宋体" w:hAnsi="宋体" w:cs="仿宋_GB2312"/>
                <w:kern w:val="0"/>
                <w:szCs w:val="21"/>
              </w:rPr>
            </w:pPr>
          </w:p>
        </w:tc>
        <w:tc>
          <w:tcPr>
            <w:tcW w:w="1246" w:type="dxa"/>
          </w:tcPr>
          <w:p w14:paraId="28B04475">
            <w:pPr>
              <w:keepNext/>
              <w:spacing w:after="120" w:line="360" w:lineRule="auto"/>
              <w:ind w:left="63" w:right="63"/>
              <w:rPr>
                <w:rFonts w:ascii="宋体" w:hAnsi="宋体" w:cs="仿宋_GB2312"/>
                <w:kern w:val="0"/>
                <w:szCs w:val="21"/>
              </w:rPr>
            </w:pPr>
          </w:p>
        </w:tc>
        <w:tc>
          <w:tcPr>
            <w:tcW w:w="1306" w:type="dxa"/>
          </w:tcPr>
          <w:p w14:paraId="4C7E10EF">
            <w:pPr>
              <w:keepNext/>
              <w:spacing w:after="120" w:line="360" w:lineRule="auto"/>
              <w:ind w:left="63" w:right="63"/>
              <w:rPr>
                <w:rFonts w:ascii="宋体" w:hAnsi="宋体" w:cs="仿宋_GB2312"/>
                <w:kern w:val="0"/>
                <w:szCs w:val="21"/>
              </w:rPr>
            </w:pPr>
          </w:p>
        </w:tc>
        <w:tc>
          <w:tcPr>
            <w:tcW w:w="1566" w:type="dxa"/>
          </w:tcPr>
          <w:p w14:paraId="58D0BF61">
            <w:pPr>
              <w:keepNext/>
              <w:spacing w:after="120" w:line="360" w:lineRule="auto"/>
              <w:ind w:left="63" w:right="63"/>
              <w:rPr>
                <w:rFonts w:ascii="宋体" w:hAnsi="宋体" w:cs="仿宋_GB2312"/>
                <w:kern w:val="0"/>
                <w:szCs w:val="21"/>
              </w:rPr>
            </w:pPr>
          </w:p>
        </w:tc>
      </w:tr>
      <w:tr w14:paraId="0D3DBB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256EF936">
            <w:pPr>
              <w:keepNext/>
              <w:spacing w:after="120" w:line="360" w:lineRule="auto"/>
              <w:ind w:left="63" w:right="63"/>
              <w:rPr>
                <w:rFonts w:ascii="宋体" w:hAnsi="宋体" w:cs="仿宋_GB2312"/>
                <w:kern w:val="0"/>
                <w:szCs w:val="21"/>
              </w:rPr>
            </w:pPr>
          </w:p>
        </w:tc>
        <w:tc>
          <w:tcPr>
            <w:tcW w:w="2513" w:type="dxa"/>
          </w:tcPr>
          <w:p w14:paraId="6E3C3060">
            <w:pPr>
              <w:keepNext/>
              <w:spacing w:after="120" w:line="360" w:lineRule="auto"/>
              <w:ind w:left="63" w:right="63"/>
              <w:rPr>
                <w:rFonts w:ascii="宋体" w:hAnsi="宋体" w:cs="仿宋_GB2312"/>
                <w:kern w:val="0"/>
                <w:szCs w:val="21"/>
              </w:rPr>
            </w:pPr>
          </w:p>
        </w:tc>
        <w:tc>
          <w:tcPr>
            <w:tcW w:w="1250" w:type="dxa"/>
          </w:tcPr>
          <w:p w14:paraId="0DD07036">
            <w:pPr>
              <w:keepNext/>
              <w:spacing w:after="120" w:line="360" w:lineRule="auto"/>
              <w:ind w:left="63" w:right="63"/>
              <w:rPr>
                <w:rFonts w:ascii="宋体" w:hAnsi="宋体" w:cs="仿宋_GB2312"/>
                <w:kern w:val="0"/>
                <w:szCs w:val="21"/>
              </w:rPr>
            </w:pPr>
          </w:p>
        </w:tc>
        <w:tc>
          <w:tcPr>
            <w:tcW w:w="1033" w:type="dxa"/>
          </w:tcPr>
          <w:p w14:paraId="067540BD">
            <w:pPr>
              <w:keepNext/>
              <w:spacing w:after="120" w:line="360" w:lineRule="auto"/>
              <w:ind w:left="63" w:right="63"/>
              <w:rPr>
                <w:rFonts w:ascii="宋体" w:hAnsi="宋体" w:cs="仿宋_GB2312"/>
                <w:kern w:val="0"/>
                <w:szCs w:val="21"/>
              </w:rPr>
            </w:pPr>
          </w:p>
        </w:tc>
        <w:tc>
          <w:tcPr>
            <w:tcW w:w="1246" w:type="dxa"/>
          </w:tcPr>
          <w:p w14:paraId="481E785E">
            <w:pPr>
              <w:keepNext/>
              <w:spacing w:after="120" w:line="360" w:lineRule="auto"/>
              <w:ind w:left="63" w:right="63"/>
              <w:rPr>
                <w:rFonts w:ascii="宋体" w:hAnsi="宋体" w:cs="仿宋_GB2312"/>
                <w:kern w:val="0"/>
                <w:szCs w:val="21"/>
              </w:rPr>
            </w:pPr>
          </w:p>
        </w:tc>
        <w:tc>
          <w:tcPr>
            <w:tcW w:w="1306" w:type="dxa"/>
          </w:tcPr>
          <w:p w14:paraId="13293851">
            <w:pPr>
              <w:keepNext/>
              <w:spacing w:after="120" w:line="360" w:lineRule="auto"/>
              <w:ind w:left="63" w:right="63"/>
              <w:rPr>
                <w:rFonts w:ascii="宋体" w:hAnsi="宋体" w:cs="仿宋_GB2312"/>
                <w:kern w:val="0"/>
                <w:szCs w:val="21"/>
              </w:rPr>
            </w:pPr>
          </w:p>
        </w:tc>
        <w:tc>
          <w:tcPr>
            <w:tcW w:w="1566" w:type="dxa"/>
          </w:tcPr>
          <w:p w14:paraId="77175A4F">
            <w:pPr>
              <w:keepNext/>
              <w:spacing w:after="120" w:line="360" w:lineRule="auto"/>
              <w:ind w:left="63" w:right="63"/>
              <w:rPr>
                <w:rFonts w:ascii="宋体" w:hAnsi="宋体" w:cs="仿宋_GB2312"/>
                <w:kern w:val="0"/>
                <w:szCs w:val="21"/>
              </w:rPr>
            </w:pPr>
          </w:p>
        </w:tc>
      </w:tr>
      <w:tr w14:paraId="20B096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13834D01">
            <w:pPr>
              <w:keepNext/>
              <w:spacing w:after="120" w:line="360" w:lineRule="auto"/>
              <w:ind w:left="63" w:right="63"/>
              <w:rPr>
                <w:rFonts w:ascii="宋体" w:hAnsi="宋体" w:cs="仿宋_GB2312"/>
                <w:kern w:val="0"/>
                <w:szCs w:val="21"/>
              </w:rPr>
            </w:pPr>
          </w:p>
        </w:tc>
        <w:tc>
          <w:tcPr>
            <w:tcW w:w="2513" w:type="dxa"/>
          </w:tcPr>
          <w:p w14:paraId="188BE148">
            <w:pPr>
              <w:keepNext/>
              <w:spacing w:after="120" w:line="360" w:lineRule="auto"/>
              <w:ind w:left="63" w:right="63"/>
              <w:rPr>
                <w:rFonts w:ascii="宋体" w:hAnsi="宋体" w:cs="仿宋_GB2312"/>
                <w:kern w:val="0"/>
                <w:szCs w:val="21"/>
              </w:rPr>
            </w:pPr>
          </w:p>
        </w:tc>
        <w:tc>
          <w:tcPr>
            <w:tcW w:w="1250" w:type="dxa"/>
          </w:tcPr>
          <w:p w14:paraId="6664A3A1">
            <w:pPr>
              <w:keepNext/>
              <w:spacing w:after="120" w:line="360" w:lineRule="auto"/>
              <w:ind w:left="63" w:right="63"/>
              <w:rPr>
                <w:rFonts w:ascii="宋体" w:hAnsi="宋体" w:cs="仿宋_GB2312"/>
                <w:kern w:val="0"/>
                <w:szCs w:val="21"/>
              </w:rPr>
            </w:pPr>
          </w:p>
        </w:tc>
        <w:tc>
          <w:tcPr>
            <w:tcW w:w="1033" w:type="dxa"/>
          </w:tcPr>
          <w:p w14:paraId="7E3CB477">
            <w:pPr>
              <w:keepNext/>
              <w:spacing w:after="120" w:line="360" w:lineRule="auto"/>
              <w:ind w:left="63" w:right="63"/>
              <w:rPr>
                <w:rFonts w:ascii="宋体" w:hAnsi="宋体" w:cs="仿宋_GB2312"/>
                <w:kern w:val="0"/>
                <w:szCs w:val="21"/>
              </w:rPr>
            </w:pPr>
          </w:p>
        </w:tc>
        <w:tc>
          <w:tcPr>
            <w:tcW w:w="1246" w:type="dxa"/>
          </w:tcPr>
          <w:p w14:paraId="582684DE">
            <w:pPr>
              <w:keepNext/>
              <w:spacing w:after="120" w:line="360" w:lineRule="auto"/>
              <w:ind w:left="63" w:right="63"/>
              <w:rPr>
                <w:rFonts w:ascii="宋体" w:hAnsi="宋体" w:cs="仿宋_GB2312"/>
                <w:kern w:val="0"/>
                <w:szCs w:val="21"/>
              </w:rPr>
            </w:pPr>
          </w:p>
        </w:tc>
        <w:tc>
          <w:tcPr>
            <w:tcW w:w="1306" w:type="dxa"/>
          </w:tcPr>
          <w:p w14:paraId="3C2A74F8">
            <w:pPr>
              <w:keepNext/>
              <w:spacing w:after="120" w:line="360" w:lineRule="auto"/>
              <w:ind w:left="63" w:right="63"/>
              <w:rPr>
                <w:rFonts w:ascii="宋体" w:hAnsi="宋体" w:cs="仿宋_GB2312"/>
                <w:kern w:val="0"/>
                <w:szCs w:val="21"/>
              </w:rPr>
            </w:pPr>
          </w:p>
        </w:tc>
        <w:tc>
          <w:tcPr>
            <w:tcW w:w="1566" w:type="dxa"/>
          </w:tcPr>
          <w:p w14:paraId="0D5256C5">
            <w:pPr>
              <w:keepNext/>
              <w:spacing w:after="120" w:line="360" w:lineRule="auto"/>
              <w:ind w:left="63" w:right="63"/>
              <w:rPr>
                <w:rFonts w:ascii="宋体" w:hAnsi="宋体" w:cs="仿宋_GB2312"/>
                <w:kern w:val="0"/>
                <w:szCs w:val="21"/>
              </w:rPr>
            </w:pPr>
          </w:p>
        </w:tc>
      </w:tr>
      <w:tr w14:paraId="3FE26A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776CB5F2">
            <w:pPr>
              <w:keepNext/>
              <w:spacing w:after="120" w:line="360" w:lineRule="auto"/>
              <w:ind w:left="63" w:right="63"/>
              <w:rPr>
                <w:rFonts w:ascii="宋体" w:hAnsi="宋体" w:cs="仿宋_GB2312"/>
                <w:kern w:val="0"/>
                <w:szCs w:val="21"/>
              </w:rPr>
            </w:pPr>
          </w:p>
        </w:tc>
        <w:tc>
          <w:tcPr>
            <w:tcW w:w="2513" w:type="dxa"/>
          </w:tcPr>
          <w:p w14:paraId="091FF2BA">
            <w:pPr>
              <w:keepNext/>
              <w:spacing w:after="120" w:line="360" w:lineRule="auto"/>
              <w:ind w:left="63" w:right="63"/>
              <w:rPr>
                <w:rFonts w:ascii="宋体" w:hAnsi="宋体" w:cs="仿宋_GB2312"/>
                <w:kern w:val="0"/>
                <w:szCs w:val="21"/>
              </w:rPr>
            </w:pPr>
          </w:p>
        </w:tc>
        <w:tc>
          <w:tcPr>
            <w:tcW w:w="1250" w:type="dxa"/>
          </w:tcPr>
          <w:p w14:paraId="58AD846F">
            <w:pPr>
              <w:keepNext/>
              <w:spacing w:after="120" w:line="360" w:lineRule="auto"/>
              <w:ind w:left="63" w:right="63"/>
              <w:rPr>
                <w:rFonts w:ascii="宋体" w:hAnsi="宋体" w:cs="仿宋_GB2312"/>
                <w:kern w:val="0"/>
                <w:szCs w:val="21"/>
              </w:rPr>
            </w:pPr>
          </w:p>
        </w:tc>
        <w:tc>
          <w:tcPr>
            <w:tcW w:w="1033" w:type="dxa"/>
          </w:tcPr>
          <w:p w14:paraId="3FC0675A">
            <w:pPr>
              <w:keepNext/>
              <w:spacing w:after="120" w:line="360" w:lineRule="auto"/>
              <w:ind w:left="63" w:right="63"/>
              <w:rPr>
                <w:rFonts w:ascii="宋体" w:hAnsi="宋体" w:cs="仿宋_GB2312"/>
                <w:kern w:val="0"/>
                <w:szCs w:val="21"/>
              </w:rPr>
            </w:pPr>
          </w:p>
        </w:tc>
        <w:tc>
          <w:tcPr>
            <w:tcW w:w="1246" w:type="dxa"/>
          </w:tcPr>
          <w:p w14:paraId="1C5705A7">
            <w:pPr>
              <w:keepNext/>
              <w:spacing w:after="120" w:line="360" w:lineRule="auto"/>
              <w:ind w:left="63" w:right="63"/>
              <w:rPr>
                <w:rFonts w:ascii="宋体" w:hAnsi="宋体" w:cs="仿宋_GB2312"/>
                <w:kern w:val="0"/>
                <w:szCs w:val="21"/>
              </w:rPr>
            </w:pPr>
          </w:p>
        </w:tc>
        <w:tc>
          <w:tcPr>
            <w:tcW w:w="1306" w:type="dxa"/>
          </w:tcPr>
          <w:p w14:paraId="79D9E0ED">
            <w:pPr>
              <w:keepNext/>
              <w:spacing w:after="120" w:line="360" w:lineRule="auto"/>
              <w:ind w:left="63" w:right="63"/>
              <w:rPr>
                <w:rFonts w:ascii="宋体" w:hAnsi="宋体" w:cs="仿宋_GB2312"/>
                <w:kern w:val="0"/>
                <w:szCs w:val="21"/>
              </w:rPr>
            </w:pPr>
          </w:p>
        </w:tc>
        <w:tc>
          <w:tcPr>
            <w:tcW w:w="1566" w:type="dxa"/>
          </w:tcPr>
          <w:p w14:paraId="3CDE5D68">
            <w:pPr>
              <w:keepNext/>
              <w:spacing w:after="120" w:line="360" w:lineRule="auto"/>
              <w:ind w:left="63" w:right="63"/>
              <w:rPr>
                <w:rFonts w:ascii="宋体" w:hAnsi="宋体" w:cs="仿宋_GB2312"/>
                <w:kern w:val="0"/>
                <w:szCs w:val="21"/>
              </w:rPr>
            </w:pPr>
          </w:p>
        </w:tc>
      </w:tr>
      <w:tr w14:paraId="6B675B2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209BADBA">
            <w:pPr>
              <w:keepNext/>
              <w:spacing w:after="120" w:line="360" w:lineRule="auto"/>
              <w:ind w:left="63" w:right="63"/>
              <w:rPr>
                <w:rFonts w:ascii="宋体" w:hAnsi="宋体" w:cs="仿宋_GB2312"/>
                <w:kern w:val="0"/>
                <w:szCs w:val="21"/>
              </w:rPr>
            </w:pPr>
          </w:p>
        </w:tc>
        <w:tc>
          <w:tcPr>
            <w:tcW w:w="2513" w:type="dxa"/>
          </w:tcPr>
          <w:p w14:paraId="107B6324">
            <w:pPr>
              <w:keepNext/>
              <w:spacing w:after="120" w:line="360" w:lineRule="auto"/>
              <w:ind w:left="63" w:right="63"/>
              <w:rPr>
                <w:rFonts w:ascii="宋体" w:hAnsi="宋体" w:cs="仿宋_GB2312"/>
                <w:kern w:val="0"/>
                <w:szCs w:val="21"/>
              </w:rPr>
            </w:pPr>
          </w:p>
        </w:tc>
        <w:tc>
          <w:tcPr>
            <w:tcW w:w="1250" w:type="dxa"/>
          </w:tcPr>
          <w:p w14:paraId="68B911D2">
            <w:pPr>
              <w:keepNext/>
              <w:spacing w:after="120" w:line="360" w:lineRule="auto"/>
              <w:ind w:left="63" w:right="63"/>
              <w:rPr>
                <w:rFonts w:ascii="宋体" w:hAnsi="宋体" w:cs="仿宋_GB2312"/>
                <w:kern w:val="0"/>
                <w:szCs w:val="21"/>
              </w:rPr>
            </w:pPr>
          </w:p>
        </w:tc>
        <w:tc>
          <w:tcPr>
            <w:tcW w:w="1033" w:type="dxa"/>
          </w:tcPr>
          <w:p w14:paraId="43F355E3">
            <w:pPr>
              <w:keepNext/>
              <w:spacing w:after="120" w:line="360" w:lineRule="auto"/>
              <w:ind w:left="63" w:right="63"/>
              <w:rPr>
                <w:rFonts w:ascii="宋体" w:hAnsi="宋体" w:cs="仿宋_GB2312"/>
                <w:kern w:val="0"/>
                <w:szCs w:val="21"/>
              </w:rPr>
            </w:pPr>
          </w:p>
        </w:tc>
        <w:tc>
          <w:tcPr>
            <w:tcW w:w="1246" w:type="dxa"/>
          </w:tcPr>
          <w:p w14:paraId="5316951F">
            <w:pPr>
              <w:keepNext/>
              <w:spacing w:after="120" w:line="360" w:lineRule="auto"/>
              <w:ind w:left="63" w:right="63"/>
              <w:rPr>
                <w:rFonts w:ascii="宋体" w:hAnsi="宋体" w:cs="仿宋_GB2312"/>
                <w:kern w:val="0"/>
                <w:szCs w:val="21"/>
              </w:rPr>
            </w:pPr>
          </w:p>
        </w:tc>
        <w:tc>
          <w:tcPr>
            <w:tcW w:w="1306" w:type="dxa"/>
          </w:tcPr>
          <w:p w14:paraId="29A82D9A">
            <w:pPr>
              <w:keepNext/>
              <w:spacing w:after="120" w:line="360" w:lineRule="auto"/>
              <w:ind w:left="63" w:right="63"/>
              <w:rPr>
                <w:rFonts w:ascii="宋体" w:hAnsi="宋体" w:cs="仿宋_GB2312"/>
                <w:kern w:val="0"/>
                <w:szCs w:val="21"/>
              </w:rPr>
            </w:pPr>
          </w:p>
        </w:tc>
        <w:tc>
          <w:tcPr>
            <w:tcW w:w="1566" w:type="dxa"/>
          </w:tcPr>
          <w:p w14:paraId="3D901CF9">
            <w:pPr>
              <w:keepNext/>
              <w:spacing w:after="120" w:line="360" w:lineRule="auto"/>
              <w:ind w:left="63" w:right="63"/>
              <w:rPr>
                <w:rFonts w:ascii="宋体" w:hAnsi="宋体" w:cs="仿宋_GB2312"/>
                <w:kern w:val="0"/>
                <w:szCs w:val="21"/>
              </w:rPr>
            </w:pPr>
          </w:p>
        </w:tc>
      </w:tr>
      <w:tr w14:paraId="510E32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09AFEDF0">
            <w:pPr>
              <w:keepNext/>
              <w:spacing w:after="120" w:line="360" w:lineRule="auto"/>
              <w:ind w:left="63" w:right="63"/>
              <w:rPr>
                <w:rFonts w:ascii="宋体" w:hAnsi="宋体" w:cs="仿宋_GB2312"/>
                <w:kern w:val="0"/>
                <w:szCs w:val="21"/>
              </w:rPr>
            </w:pPr>
          </w:p>
        </w:tc>
        <w:tc>
          <w:tcPr>
            <w:tcW w:w="2513" w:type="dxa"/>
          </w:tcPr>
          <w:p w14:paraId="7E2FF52C">
            <w:pPr>
              <w:keepNext/>
              <w:spacing w:after="120" w:line="360" w:lineRule="auto"/>
              <w:ind w:left="63" w:right="63"/>
              <w:rPr>
                <w:rFonts w:ascii="宋体" w:hAnsi="宋体" w:cs="仿宋_GB2312"/>
                <w:kern w:val="0"/>
                <w:szCs w:val="21"/>
              </w:rPr>
            </w:pPr>
          </w:p>
        </w:tc>
        <w:tc>
          <w:tcPr>
            <w:tcW w:w="1250" w:type="dxa"/>
          </w:tcPr>
          <w:p w14:paraId="3B1CCA48">
            <w:pPr>
              <w:keepNext/>
              <w:spacing w:after="120" w:line="360" w:lineRule="auto"/>
              <w:ind w:left="63" w:right="63"/>
              <w:rPr>
                <w:rFonts w:ascii="宋体" w:hAnsi="宋体" w:cs="仿宋_GB2312"/>
                <w:kern w:val="0"/>
                <w:szCs w:val="21"/>
              </w:rPr>
            </w:pPr>
          </w:p>
        </w:tc>
        <w:tc>
          <w:tcPr>
            <w:tcW w:w="1033" w:type="dxa"/>
          </w:tcPr>
          <w:p w14:paraId="1FF4CD41">
            <w:pPr>
              <w:keepNext/>
              <w:spacing w:after="120" w:line="360" w:lineRule="auto"/>
              <w:ind w:left="63" w:right="63"/>
              <w:rPr>
                <w:rFonts w:ascii="宋体" w:hAnsi="宋体" w:cs="仿宋_GB2312"/>
                <w:kern w:val="0"/>
                <w:szCs w:val="21"/>
              </w:rPr>
            </w:pPr>
          </w:p>
        </w:tc>
        <w:tc>
          <w:tcPr>
            <w:tcW w:w="1246" w:type="dxa"/>
          </w:tcPr>
          <w:p w14:paraId="7579E09A">
            <w:pPr>
              <w:keepNext/>
              <w:spacing w:after="120" w:line="360" w:lineRule="auto"/>
              <w:ind w:left="63" w:right="63"/>
              <w:rPr>
                <w:rFonts w:ascii="宋体" w:hAnsi="宋体" w:cs="仿宋_GB2312"/>
                <w:kern w:val="0"/>
                <w:szCs w:val="21"/>
              </w:rPr>
            </w:pPr>
          </w:p>
        </w:tc>
        <w:tc>
          <w:tcPr>
            <w:tcW w:w="1306" w:type="dxa"/>
          </w:tcPr>
          <w:p w14:paraId="59A5E3C1">
            <w:pPr>
              <w:keepNext/>
              <w:spacing w:after="120" w:line="360" w:lineRule="auto"/>
              <w:ind w:left="63" w:right="63"/>
              <w:rPr>
                <w:rFonts w:ascii="宋体" w:hAnsi="宋体" w:cs="仿宋_GB2312"/>
                <w:kern w:val="0"/>
                <w:szCs w:val="21"/>
              </w:rPr>
            </w:pPr>
          </w:p>
        </w:tc>
        <w:tc>
          <w:tcPr>
            <w:tcW w:w="1566" w:type="dxa"/>
          </w:tcPr>
          <w:p w14:paraId="11EE2D65">
            <w:pPr>
              <w:keepNext/>
              <w:spacing w:after="120" w:line="360" w:lineRule="auto"/>
              <w:ind w:left="63" w:right="63"/>
              <w:rPr>
                <w:rFonts w:ascii="宋体" w:hAnsi="宋体" w:cs="仿宋_GB2312"/>
                <w:kern w:val="0"/>
                <w:szCs w:val="21"/>
              </w:rPr>
            </w:pPr>
          </w:p>
        </w:tc>
      </w:tr>
      <w:tr w14:paraId="431675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59BB1628">
            <w:pPr>
              <w:keepNext/>
              <w:spacing w:after="120" w:line="360" w:lineRule="auto"/>
              <w:ind w:left="63" w:right="63"/>
              <w:rPr>
                <w:rFonts w:ascii="宋体" w:hAnsi="宋体" w:cs="仿宋_GB2312"/>
                <w:kern w:val="0"/>
                <w:szCs w:val="21"/>
              </w:rPr>
            </w:pPr>
          </w:p>
        </w:tc>
        <w:tc>
          <w:tcPr>
            <w:tcW w:w="2513" w:type="dxa"/>
          </w:tcPr>
          <w:p w14:paraId="0CB5EB20">
            <w:pPr>
              <w:keepNext/>
              <w:spacing w:after="120" w:line="360" w:lineRule="auto"/>
              <w:ind w:left="63" w:right="63"/>
              <w:rPr>
                <w:rFonts w:ascii="宋体" w:hAnsi="宋体" w:cs="仿宋_GB2312"/>
                <w:kern w:val="0"/>
                <w:szCs w:val="21"/>
              </w:rPr>
            </w:pPr>
          </w:p>
        </w:tc>
        <w:tc>
          <w:tcPr>
            <w:tcW w:w="1250" w:type="dxa"/>
          </w:tcPr>
          <w:p w14:paraId="55DBD45C">
            <w:pPr>
              <w:keepNext/>
              <w:spacing w:after="120" w:line="360" w:lineRule="auto"/>
              <w:ind w:left="63" w:right="63"/>
              <w:rPr>
                <w:rFonts w:ascii="宋体" w:hAnsi="宋体" w:cs="仿宋_GB2312"/>
                <w:kern w:val="0"/>
                <w:szCs w:val="21"/>
              </w:rPr>
            </w:pPr>
          </w:p>
        </w:tc>
        <w:tc>
          <w:tcPr>
            <w:tcW w:w="1033" w:type="dxa"/>
          </w:tcPr>
          <w:p w14:paraId="69891C2D">
            <w:pPr>
              <w:keepNext/>
              <w:spacing w:after="120" w:line="360" w:lineRule="auto"/>
              <w:ind w:left="63" w:right="63"/>
              <w:rPr>
                <w:rFonts w:ascii="宋体" w:hAnsi="宋体" w:cs="仿宋_GB2312"/>
                <w:kern w:val="0"/>
                <w:szCs w:val="21"/>
              </w:rPr>
            </w:pPr>
          </w:p>
        </w:tc>
        <w:tc>
          <w:tcPr>
            <w:tcW w:w="1246" w:type="dxa"/>
          </w:tcPr>
          <w:p w14:paraId="26693BA4">
            <w:pPr>
              <w:keepNext/>
              <w:spacing w:after="120" w:line="360" w:lineRule="auto"/>
              <w:ind w:left="63" w:right="63"/>
              <w:rPr>
                <w:rFonts w:ascii="宋体" w:hAnsi="宋体" w:cs="仿宋_GB2312"/>
                <w:kern w:val="0"/>
                <w:szCs w:val="21"/>
              </w:rPr>
            </w:pPr>
          </w:p>
        </w:tc>
        <w:tc>
          <w:tcPr>
            <w:tcW w:w="1306" w:type="dxa"/>
          </w:tcPr>
          <w:p w14:paraId="39E01D78">
            <w:pPr>
              <w:keepNext/>
              <w:spacing w:after="120" w:line="360" w:lineRule="auto"/>
              <w:ind w:left="63" w:right="63"/>
              <w:rPr>
                <w:rFonts w:ascii="宋体" w:hAnsi="宋体" w:cs="仿宋_GB2312"/>
                <w:kern w:val="0"/>
                <w:szCs w:val="21"/>
              </w:rPr>
            </w:pPr>
          </w:p>
        </w:tc>
        <w:tc>
          <w:tcPr>
            <w:tcW w:w="1566" w:type="dxa"/>
          </w:tcPr>
          <w:p w14:paraId="31CB8923">
            <w:pPr>
              <w:keepNext/>
              <w:spacing w:after="120" w:line="360" w:lineRule="auto"/>
              <w:ind w:left="63" w:right="63"/>
              <w:rPr>
                <w:rFonts w:ascii="宋体" w:hAnsi="宋体" w:cs="仿宋_GB2312"/>
                <w:kern w:val="0"/>
                <w:szCs w:val="21"/>
              </w:rPr>
            </w:pPr>
          </w:p>
        </w:tc>
      </w:tr>
      <w:tr w14:paraId="15A20A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0A02C65A">
            <w:pPr>
              <w:keepNext/>
              <w:spacing w:after="120" w:line="360" w:lineRule="auto"/>
              <w:ind w:left="63" w:right="63"/>
              <w:rPr>
                <w:rFonts w:ascii="宋体" w:hAnsi="宋体" w:cs="仿宋_GB2312"/>
                <w:kern w:val="0"/>
                <w:szCs w:val="21"/>
              </w:rPr>
            </w:pPr>
          </w:p>
        </w:tc>
        <w:tc>
          <w:tcPr>
            <w:tcW w:w="2513" w:type="dxa"/>
          </w:tcPr>
          <w:p w14:paraId="34AF6672">
            <w:pPr>
              <w:keepNext/>
              <w:spacing w:after="120" w:line="360" w:lineRule="auto"/>
              <w:ind w:left="63" w:right="63"/>
              <w:rPr>
                <w:rFonts w:ascii="宋体" w:hAnsi="宋体" w:cs="仿宋_GB2312"/>
                <w:kern w:val="0"/>
                <w:szCs w:val="21"/>
              </w:rPr>
            </w:pPr>
          </w:p>
        </w:tc>
        <w:tc>
          <w:tcPr>
            <w:tcW w:w="1250" w:type="dxa"/>
          </w:tcPr>
          <w:p w14:paraId="4B59331E">
            <w:pPr>
              <w:keepNext/>
              <w:spacing w:after="120" w:line="360" w:lineRule="auto"/>
              <w:ind w:left="63" w:right="63"/>
              <w:rPr>
                <w:rFonts w:ascii="宋体" w:hAnsi="宋体" w:cs="仿宋_GB2312"/>
                <w:kern w:val="0"/>
                <w:szCs w:val="21"/>
              </w:rPr>
            </w:pPr>
          </w:p>
        </w:tc>
        <w:tc>
          <w:tcPr>
            <w:tcW w:w="1033" w:type="dxa"/>
          </w:tcPr>
          <w:p w14:paraId="11B130A8">
            <w:pPr>
              <w:keepNext/>
              <w:spacing w:after="120" w:line="360" w:lineRule="auto"/>
              <w:ind w:left="63" w:right="63"/>
              <w:rPr>
                <w:rFonts w:ascii="宋体" w:hAnsi="宋体" w:cs="仿宋_GB2312"/>
                <w:kern w:val="0"/>
                <w:szCs w:val="21"/>
              </w:rPr>
            </w:pPr>
          </w:p>
        </w:tc>
        <w:tc>
          <w:tcPr>
            <w:tcW w:w="1246" w:type="dxa"/>
          </w:tcPr>
          <w:p w14:paraId="2273A362">
            <w:pPr>
              <w:keepNext/>
              <w:spacing w:after="120" w:line="360" w:lineRule="auto"/>
              <w:ind w:left="63" w:right="63"/>
              <w:rPr>
                <w:rFonts w:ascii="宋体" w:hAnsi="宋体" w:cs="仿宋_GB2312"/>
                <w:kern w:val="0"/>
                <w:szCs w:val="21"/>
              </w:rPr>
            </w:pPr>
          </w:p>
        </w:tc>
        <w:tc>
          <w:tcPr>
            <w:tcW w:w="1306" w:type="dxa"/>
          </w:tcPr>
          <w:p w14:paraId="660027B7">
            <w:pPr>
              <w:keepNext/>
              <w:spacing w:after="120" w:line="360" w:lineRule="auto"/>
              <w:ind w:left="63" w:right="63"/>
              <w:rPr>
                <w:rFonts w:ascii="宋体" w:hAnsi="宋体" w:cs="仿宋_GB2312"/>
                <w:kern w:val="0"/>
                <w:szCs w:val="21"/>
              </w:rPr>
            </w:pPr>
          </w:p>
        </w:tc>
        <w:tc>
          <w:tcPr>
            <w:tcW w:w="1566" w:type="dxa"/>
          </w:tcPr>
          <w:p w14:paraId="4BB041C9">
            <w:pPr>
              <w:keepNext/>
              <w:spacing w:after="120" w:line="360" w:lineRule="auto"/>
              <w:ind w:left="63" w:right="63"/>
              <w:rPr>
                <w:rFonts w:ascii="宋体" w:hAnsi="宋体" w:cs="仿宋_GB2312"/>
                <w:kern w:val="0"/>
                <w:szCs w:val="21"/>
              </w:rPr>
            </w:pPr>
          </w:p>
        </w:tc>
      </w:tr>
      <w:tr w14:paraId="3C64E1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751E1EE4">
            <w:pPr>
              <w:keepNext/>
              <w:spacing w:after="120" w:line="360" w:lineRule="auto"/>
              <w:ind w:left="63" w:right="63"/>
              <w:rPr>
                <w:rFonts w:ascii="宋体" w:hAnsi="宋体" w:cs="仿宋_GB2312"/>
                <w:kern w:val="0"/>
                <w:szCs w:val="21"/>
              </w:rPr>
            </w:pPr>
          </w:p>
        </w:tc>
        <w:tc>
          <w:tcPr>
            <w:tcW w:w="2513" w:type="dxa"/>
          </w:tcPr>
          <w:p w14:paraId="3BBF2F4A">
            <w:pPr>
              <w:keepNext/>
              <w:spacing w:after="120" w:line="360" w:lineRule="auto"/>
              <w:ind w:left="63" w:right="63"/>
              <w:rPr>
                <w:rFonts w:ascii="宋体" w:hAnsi="宋体" w:cs="仿宋_GB2312"/>
                <w:kern w:val="0"/>
                <w:szCs w:val="21"/>
              </w:rPr>
            </w:pPr>
          </w:p>
        </w:tc>
        <w:tc>
          <w:tcPr>
            <w:tcW w:w="1250" w:type="dxa"/>
          </w:tcPr>
          <w:p w14:paraId="123E6D5A">
            <w:pPr>
              <w:keepNext/>
              <w:spacing w:after="120" w:line="360" w:lineRule="auto"/>
              <w:ind w:left="63" w:right="63"/>
              <w:rPr>
                <w:rFonts w:ascii="宋体" w:hAnsi="宋体" w:cs="仿宋_GB2312"/>
                <w:kern w:val="0"/>
                <w:szCs w:val="21"/>
              </w:rPr>
            </w:pPr>
          </w:p>
        </w:tc>
        <w:tc>
          <w:tcPr>
            <w:tcW w:w="1033" w:type="dxa"/>
          </w:tcPr>
          <w:p w14:paraId="0C8B3F3F">
            <w:pPr>
              <w:keepNext/>
              <w:spacing w:after="120" w:line="360" w:lineRule="auto"/>
              <w:ind w:left="63" w:right="63"/>
              <w:rPr>
                <w:rFonts w:ascii="宋体" w:hAnsi="宋体" w:cs="仿宋_GB2312"/>
                <w:kern w:val="0"/>
                <w:szCs w:val="21"/>
              </w:rPr>
            </w:pPr>
          </w:p>
        </w:tc>
        <w:tc>
          <w:tcPr>
            <w:tcW w:w="1246" w:type="dxa"/>
          </w:tcPr>
          <w:p w14:paraId="18DAEA9B">
            <w:pPr>
              <w:keepNext/>
              <w:spacing w:after="120" w:line="360" w:lineRule="auto"/>
              <w:ind w:left="63" w:right="63"/>
              <w:rPr>
                <w:rFonts w:ascii="宋体" w:hAnsi="宋体" w:cs="仿宋_GB2312"/>
                <w:kern w:val="0"/>
                <w:szCs w:val="21"/>
              </w:rPr>
            </w:pPr>
          </w:p>
        </w:tc>
        <w:tc>
          <w:tcPr>
            <w:tcW w:w="1306" w:type="dxa"/>
          </w:tcPr>
          <w:p w14:paraId="01B42E02">
            <w:pPr>
              <w:keepNext/>
              <w:spacing w:after="120" w:line="360" w:lineRule="auto"/>
              <w:ind w:left="63" w:right="63"/>
              <w:rPr>
                <w:rFonts w:ascii="宋体" w:hAnsi="宋体" w:cs="仿宋_GB2312"/>
                <w:kern w:val="0"/>
                <w:szCs w:val="21"/>
              </w:rPr>
            </w:pPr>
          </w:p>
        </w:tc>
        <w:tc>
          <w:tcPr>
            <w:tcW w:w="1566" w:type="dxa"/>
          </w:tcPr>
          <w:p w14:paraId="7755791C">
            <w:pPr>
              <w:keepNext/>
              <w:spacing w:after="120" w:line="360" w:lineRule="auto"/>
              <w:ind w:left="63" w:right="63"/>
              <w:rPr>
                <w:rFonts w:ascii="宋体" w:hAnsi="宋体" w:cs="仿宋_GB2312"/>
                <w:kern w:val="0"/>
                <w:szCs w:val="21"/>
              </w:rPr>
            </w:pPr>
          </w:p>
        </w:tc>
      </w:tr>
      <w:tr w14:paraId="113D5C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1A0A709C">
            <w:pPr>
              <w:keepNext/>
              <w:spacing w:after="120" w:line="360" w:lineRule="auto"/>
              <w:ind w:left="63" w:right="63"/>
              <w:rPr>
                <w:rFonts w:ascii="宋体" w:hAnsi="宋体" w:cs="仿宋_GB2312"/>
                <w:kern w:val="0"/>
                <w:szCs w:val="21"/>
              </w:rPr>
            </w:pPr>
          </w:p>
        </w:tc>
        <w:tc>
          <w:tcPr>
            <w:tcW w:w="2513" w:type="dxa"/>
          </w:tcPr>
          <w:p w14:paraId="363FCE63">
            <w:pPr>
              <w:keepNext/>
              <w:spacing w:after="120" w:line="360" w:lineRule="auto"/>
              <w:ind w:left="63" w:right="63"/>
              <w:rPr>
                <w:rFonts w:ascii="宋体" w:hAnsi="宋体" w:cs="仿宋_GB2312"/>
                <w:kern w:val="0"/>
                <w:szCs w:val="21"/>
              </w:rPr>
            </w:pPr>
          </w:p>
        </w:tc>
        <w:tc>
          <w:tcPr>
            <w:tcW w:w="1250" w:type="dxa"/>
          </w:tcPr>
          <w:p w14:paraId="034A9DCA">
            <w:pPr>
              <w:keepNext/>
              <w:spacing w:after="120" w:line="360" w:lineRule="auto"/>
              <w:ind w:left="63" w:right="63"/>
              <w:rPr>
                <w:rFonts w:ascii="宋体" w:hAnsi="宋体" w:cs="仿宋_GB2312"/>
                <w:kern w:val="0"/>
                <w:szCs w:val="21"/>
              </w:rPr>
            </w:pPr>
          </w:p>
        </w:tc>
        <w:tc>
          <w:tcPr>
            <w:tcW w:w="1033" w:type="dxa"/>
          </w:tcPr>
          <w:p w14:paraId="05ABE3EC">
            <w:pPr>
              <w:keepNext/>
              <w:spacing w:after="120" w:line="360" w:lineRule="auto"/>
              <w:ind w:left="63" w:right="63"/>
              <w:rPr>
                <w:rFonts w:ascii="宋体" w:hAnsi="宋体" w:cs="仿宋_GB2312"/>
                <w:kern w:val="0"/>
                <w:szCs w:val="21"/>
              </w:rPr>
            </w:pPr>
          </w:p>
        </w:tc>
        <w:tc>
          <w:tcPr>
            <w:tcW w:w="1246" w:type="dxa"/>
          </w:tcPr>
          <w:p w14:paraId="2D5828BC">
            <w:pPr>
              <w:keepNext/>
              <w:spacing w:after="120" w:line="360" w:lineRule="auto"/>
              <w:ind w:left="63" w:right="63"/>
              <w:rPr>
                <w:rFonts w:ascii="宋体" w:hAnsi="宋体" w:cs="仿宋_GB2312"/>
                <w:kern w:val="0"/>
                <w:szCs w:val="21"/>
              </w:rPr>
            </w:pPr>
          </w:p>
        </w:tc>
        <w:tc>
          <w:tcPr>
            <w:tcW w:w="1306" w:type="dxa"/>
          </w:tcPr>
          <w:p w14:paraId="46397F87">
            <w:pPr>
              <w:keepNext/>
              <w:spacing w:after="120" w:line="360" w:lineRule="auto"/>
              <w:ind w:left="63" w:right="63"/>
              <w:rPr>
                <w:rFonts w:ascii="宋体" w:hAnsi="宋体" w:cs="仿宋_GB2312"/>
                <w:kern w:val="0"/>
                <w:szCs w:val="21"/>
              </w:rPr>
            </w:pPr>
          </w:p>
        </w:tc>
        <w:tc>
          <w:tcPr>
            <w:tcW w:w="1566" w:type="dxa"/>
          </w:tcPr>
          <w:p w14:paraId="4F76889F">
            <w:pPr>
              <w:keepNext/>
              <w:spacing w:after="120" w:line="360" w:lineRule="auto"/>
              <w:ind w:left="63" w:right="63"/>
              <w:rPr>
                <w:rFonts w:ascii="宋体" w:hAnsi="宋体" w:cs="仿宋_GB2312"/>
                <w:kern w:val="0"/>
                <w:szCs w:val="21"/>
              </w:rPr>
            </w:pPr>
          </w:p>
        </w:tc>
      </w:tr>
      <w:tr w14:paraId="63600A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4882ADEF">
            <w:pPr>
              <w:keepNext/>
              <w:spacing w:after="120" w:line="360" w:lineRule="auto"/>
              <w:ind w:left="63" w:right="63"/>
              <w:rPr>
                <w:rFonts w:ascii="宋体" w:hAnsi="宋体" w:cs="仿宋_GB2312"/>
                <w:kern w:val="0"/>
                <w:szCs w:val="21"/>
              </w:rPr>
            </w:pPr>
          </w:p>
        </w:tc>
        <w:tc>
          <w:tcPr>
            <w:tcW w:w="2513" w:type="dxa"/>
          </w:tcPr>
          <w:p w14:paraId="0361DED9">
            <w:pPr>
              <w:keepNext/>
              <w:spacing w:after="120" w:line="360" w:lineRule="auto"/>
              <w:ind w:left="63" w:right="63"/>
              <w:rPr>
                <w:rFonts w:ascii="宋体" w:hAnsi="宋体" w:cs="仿宋_GB2312"/>
                <w:kern w:val="0"/>
                <w:szCs w:val="21"/>
              </w:rPr>
            </w:pPr>
          </w:p>
        </w:tc>
        <w:tc>
          <w:tcPr>
            <w:tcW w:w="1250" w:type="dxa"/>
          </w:tcPr>
          <w:p w14:paraId="790E595A">
            <w:pPr>
              <w:keepNext/>
              <w:spacing w:after="120" w:line="360" w:lineRule="auto"/>
              <w:ind w:left="63" w:right="63"/>
              <w:rPr>
                <w:rFonts w:ascii="宋体" w:hAnsi="宋体" w:cs="仿宋_GB2312"/>
                <w:kern w:val="0"/>
                <w:szCs w:val="21"/>
              </w:rPr>
            </w:pPr>
          </w:p>
        </w:tc>
        <w:tc>
          <w:tcPr>
            <w:tcW w:w="1033" w:type="dxa"/>
          </w:tcPr>
          <w:p w14:paraId="3D4B20D0">
            <w:pPr>
              <w:keepNext/>
              <w:spacing w:after="120" w:line="360" w:lineRule="auto"/>
              <w:ind w:left="63" w:right="63"/>
              <w:rPr>
                <w:rFonts w:ascii="宋体" w:hAnsi="宋体" w:cs="仿宋_GB2312"/>
                <w:kern w:val="0"/>
                <w:szCs w:val="21"/>
              </w:rPr>
            </w:pPr>
          </w:p>
        </w:tc>
        <w:tc>
          <w:tcPr>
            <w:tcW w:w="1246" w:type="dxa"/>
          </w:tcPr>
          <w:p w14:paraId="6A52BEBF">
            <w:pPr>
              <w:keepNext/>
              <w:spacing w:after="120" w:line="360" w:lineRule="auto"/>
              <w:ind w:left="63" w:right="63"/>
              <w:rPr>
                <w:rFonts w:ascii="宋体" w:hAnsi="宋体" w:cs="仿宋_GB2312"/>
                <w:kern w:val="0"/>
                <w:szCs w:val="21"/>
              </w:rPr>
            </w:pPr>
          </w:p>
        </w:tc>
        <w:tc>
          <w:tcPr>
            <w:tcW w:w="1306" w:type="dxa"/>
          </w:tcPr>
          <w:p w14:paraId="13DEE8F0">
            <w:pPr>
              <w:keepNext/>
              <w:spacing w:after="120" w:line="360" w:lineRule="auto"/>
              <w:ind w:left="63" w:right="63"/>
              <w:rPr>
                <w:rFonts w:ascii="宋体" w:hAnsi="宋体" w:cs="仿宋_GB2312"/>
                <w:kern w:val="0"/>
                <w:szCs w:val="21"/>
              </w:rPr>
            </w:pPr>
          </w:p>
        </w:tc>
        <w:tc>
          <w:tcPr>
            <w:tcW w:w="1566" w:type="dxa"/>
          </w:tcPr>
          <w:p w14:paraId="686EF740">
            <w:pPr>
              <w:keepNext/>
              <w:spacing w:after="120" w:line="360" w:lineRule="auto"/>
              <w:ind w:left="63" w:right="63"/>
              <w:rPr>
                <w:rFonts w:ascii="宋体" w:hAnsi="宋体" w:cs="仿宋_GB2312"/>
                <w:kern w:val="0"/>
                <w:szCs w:val="21"/>
              </w:rPr>
            </w:pPr>
          </w:p>
        </w:tc>
      </w:tr>
      <w:tr w14:paraId="24C472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5EC01B30">
            <w:pPr>
              <w:keepNext/>
              <w:spacing w:after="120" w:line="360" w:lineRule="auto"/>
              <w:ind w:left="63" w:right="63"/>
              <w:rPr>
                <w:rFonts w:ascii="宋体" w:hAnsi="宋体" w:cs="仿宋_GB2312"/>
                <w:kern w:val="0"/>
                <w:szCs w:val="21"/>
              </w:rPr>
            </w:pPr>
          </w:p>
        </w:tc>
        <w:tc>
          <w:tcPr>
            <w:tcW w:w="2513" w:type="dxa"/>
          </w:tcPr>
          <w:p w14:paraId="00A0687B">
            <w:pPr>
              <w:keepNext/>
              <w:spacing w:after="120" w:line="360" w:lineRule="auto"/>
              <w:ind w:left="63" w:right="63"/>
              <w:rPr>
                <w:rFonts w:ascii="宋体" w:hAnsi="宋体" w:cs="仿宋_GB2312"/>
                <w:kern w:val="0"/>
                <w:szCs w:val="21"/>
              </w:rPr>
            </w:pPr>
          </w:p>
        </w:tc>
        <w:tc>
          <w:tcPr>
            <w:tcW w:w="1250" w:type="dxa"/>
          </w:tcPr>
          <w:p w14:paraId="0BDBC864">
            <w:pPr>
              <w:keepNext/>
              <w:spacing w:after="120" w:line="360" w:lineRule="auto"/>
              <w:ind w:left="63" w:right="63"/>
              <w:rPr>
                <w:rFonts w:ascii="宋体" w:hAnsi="宋体" w:cs="仿宋_GB2312"/>
                <w:kern w:val="0"/>
                <w:szCs w:val="21"/>
              </w:rPr>
            </w:pPr>
          </w:p>
        </w:tc>
        <w:tc>
          <w:tcPr>
            <w:tcW w:w="1033" w:type="dxa"/>
          </w:tcPr>
          <w:p w14:paraId="709EF609">
            <w:pPr>
              <w:keepNext/>
              <w:spacing w:after="120" w:line="360" w:lineRule="auto"/>
              <w:ind w:left="63" w:right="63"/>
              <w:rPr>
                <w:rFonts w:ascii="宋体" w:hAnsi="宋体" w:cs="仿宋_GB2312"/>
                <w:kern w:val="0"/>
                <w:szCs w:val="21"/>
              </w:rPr>
            </w:pPr>
          </w:p>
        </w:tc>
        <w:tc>
          <w:tcPr>
            <w:tcW w:w="1246" w:type="dxa"/>
          </w:tcPr>
          <w:p w14:paraId="67524529">
            <w:pPr>
              <w:keepNext/>
              <w:spacing w:after="120" w:line="360" w:lineRule="auto"/>
              <w:ind w:left="63" w:right="63"/>
              <w:rPr>
                <w:rFonts w:ascii="宋体" w:hAnsi="宋体" w:cs="仿宋_GB2312"/>
                <w:kern w:val="0"/>
                <w:szCs w:val="21"/>
              </w:rPr>
            </w:pPr>
          </w:p>
        </w:tc>
        <w:tc>
          <w:tcPr>
            <w:tcW w:w="1306" w:type="dxa"/>
          </w:tcPr>
          <w:p w14:paraId="62A91919">
            <w:pPr>
              <w:keepNext/>
              <w:spacing w:after="120" w:line="360" w:lineRule="auto"/>
              <w:ind w:left="63" w:right="63"/>
              <w:rPr>
                <w:rFonts w:ascii="宋体" w:hAnsi="宋体" w:cs="仿宋_GB2312"/>
                <w:kern w:val="0"/>
                <w:szCs w:val="21"/>
              </w:rPr>
            </w:pPr>
          </w:p>
        </w:tc>
        <w:tc>
          <w:tcPr>
            <w:tcW w:w="1566" w:type="dxa"/>
          </w:tcPr>
          <w:p w14:paraId="0D8C6A39">
            <w:pPr>
              <w:keepNext/>
              <w:spacing w:after="120" w:line="360" w:lineRule="auto"/>
              <w:ind w:left="63" w:right="63"/>
              <w:rPr>
                <w:rFonts w:ascii="宋体" w:hAnsi="宋体" w:cs="仿宋_GB2312"/>
                <w:kern w:val="0"/>
                <w:szCs w:val="21"/>
              </w:rPr>
            </w:pPr>
          </w:p>
        </w:tc>
      </w:tr>
      <w:tr w14:paraId="7701D6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7" w:type="dxa"/>
          </w:tcPr>
          <w:p w14:paraId="131A5D6F">
            <w:pPr>
              <w:keepNext/>
              <w:spacing w:after="120" w:line="360" w:lineRule="auto"/>
              <w:ind w:left="63" w:right="63"/>
              <w:rPr>
                <w:rFonts w:ascii="宋体" w:hAnsi="宋体" w:cs="仿宋_GB2312"/>
                <w:kern w:val="0"/>
                <w:szCs w:val="21"/>
              </w:rPr>
            </w:pPr>
          </w:p>
        </w:tc>
        <w:tc>
          <w:tcPr>
            <w:tcW w:w="2513" w:type="dxa"/>
          </w:tcPr>
          <w:p w14:paraId="7A2C5B02">
            <w:pPr>
              <w:keepNext/>
              <w:spacing w:after="120" w:line="360" w:lineRule="auto"/>
              <w:ind w:left="63" w:right="63"/>
              <w:rPr>
                <w:rFonts w:ascii="宋体" w:hAnsi="宋体" w:cs="仿宋_GB2312"/>
                <w:kern w:val="0"/>
                <w:szCs w:val="21"/>
              </w:rPr>
            </w:pPr>
          </w:p>
        </w:tc>
        <w:tc>
          <w:tcPr>
            <w:tcW w:w="1250" w:type="dxa"/>
          </w:tcPr>
          <w:p w14:paraId="35338489">
            <w:pPr>
              <w:keepNext/>
              <w:spacing w:after="120" w:line="360" w:lineRule="auto"/>
              <w:ind w:left="63" w:right="63"/>
              <w:rPr>
                <w:rFonts w:ascii="宋体" w:hAnsi="宋体" w:cs="仿宋_GB2312"/>
                <w:kern w:val="0"/>
                <w:szCs w:val="21"/>
              </w:rPr>
            </w:pPr>
          </w:p>
        </w:tc>
        <w:tc>
          <w:tcPr>
            <w:tcW w:w="1033" w:type="dxa"/>
          </w:tcPr>
          <w:p w14:paraId="170A9B06">
            <w:pPr>
              <w:keepNext/>
              <w:spacing w:after="120" w:line="360" w:lineRule="auto"/>
              <w:ind w:left="63" w:right="63"/>
              <w:rPr>
                <w:rFonts w:ascii="宋体" w:hAnsi="宋体" w:cs="仿宋_GB2312"/>
                <w:kern w:val="0"/>
                <w:szCs w:val="21"/>
              </w:rPr>
            </w:pPr>
          </w:p>
        </w:tc>
        <w:tc>
          <w:tcPr>
            <w:tcW w:w="1246" w:type="dxa"/>
          </w:tcPr>
          <w:p w14:paraId="7C85DB51">
            <w:pPr>
              <w:keepNext/>
              <w:spacing w:after="120" w:line="360" w:lineRule="auto"/>
              <w:ind w:left="63" w:right="63"/>
              <w:rPr>
                <w:rFonts w:ascii="宋体" w:hAnsi="宋体" w:cs="仿宋_GB2312"/>
                <w:kern w:val="0"/>
                <w:szCs w:val="21"/>
              </w:rPr>
            </w:pPr>
          </w:p>
        </w:tc>
        <w:tc>
          <w:tcPr>
            <w:tcW w:w="1306" w:type="dxa"/>
          </w:tcPr>
          <w:p w14:paraId="679713C5">
            <w:pPr>
              <w:keepNext/>
              <w:spacing w:after="120" w:line="360" w:lineRule="auto"/>
              <w:ind w:left="63" w:right="63"/>
              <w:rPr>
                <w:rFonts w:ascii="宋体" w:hAnsi="宋体" w:cs="仿宋_GB2312"/>
                <w:kern w:val="0"/>
                <w:szCs w:val="21"/>
              </w:rPr>
            </w:pPr>
          </w:p>
        </w:tc>
        <w:tc>
          <w:tcPr>
            <w:tcW w:w="1566" w:type="dxa"/>
          </w:tcPr>
          <w:p w14:paraId="6105C9CC">
            <w:pPr>
              <w:keepNext/>
              <w:spacing w:after="120" w:line="360" w:lineRule="auto"/>
              <w:ind w:left="63" w:right="63"/>
              <w:rPr>
                <w:rFonts w:ascii="宋体" w:hAnsi="宋体" w:cs="仿宋_GB2312"/>
                <w:kern w:val="0"/>
                <w:szCs w:val="21"/>
              </w:rPr>
            </w:pPr>
          </w:p>
        </w:tc>
      </w:tr>
    </w:tbl>
    <w:p w14:paraId="21EA04C1">
      <w:pPr>
        <w:spacing w:before="156" w:beforeLines="50" w:after="156" w:afterLines="50" w:line="360" w:lineRule="auto"/>
        <w:rPr>
          <w:rFonts w:ascii="宋体" w:hAnsi="宋体" w:cs="仿宋_GB2312"/>
          <w:szCs w:val="21"/>
        </w:rPr>
      </w:pPr>
    </w:p>
    <w:p w14:paraId="408A0B43">
      <w:pPr>
        <w:spacing w:before="156" w:beforeLines="50" w:after="156" w:afterLines="50" w:line="360" w:lineRule="auto"/>
        <w:jc w:val="center"/>
        <w:rPr>
          <w:rFonts w:ascii="宋体" w:hAnsi="宋体" w:cs="仿宋_GB2312"/>
          <w:szCs w:val="21"/>
        </w:rPr>
      </w:pPr>
    </w:p>
    <w:p w14:paraId="44769AC0">
      <w:pPr>
        <w:spacing w:before="156" w:beforeLines="50" w:after="156" w:afterLines="50" w:line="360" w:lineRule="auto"/>
        <w:jc w:val="center"/>
        <w:rPr>
          <w:rFonts w:ascii="宋体" w:hAnsi="宋体" w:cs="仿宋_GB2312"/>
          <w:szCs w:val="21"/>
        </w:rPr>
      </w:pPr>
      <w:r>
        <w:rPr>
          <w:rFonts w:hint="eastAsia" w:ascii="宋体" w:hAnsi="宋体" w:cs="仿宋_GB2312"/>
          <w:szCs w:val="21"/>
        </w:rPr>
        <w:t>11-2：工程设备暂估价表</w:t>
      </w:r>
    </w:p>
    <w:tbl>
      <w:tblPr>
        <w:tblStyle w:val="47"/>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16"/>
        <w:gridCol w:w="2231"/>
        <w:gridCol w:w="785"/>
        <w:gridCol w:w="1199"/>
        <w:gridCol w:w="1246"/>
        <w:gridCol w:w="1306"/>
        <w:gridCol w:w="1567"/>
      </w:tblGrid>
      <w:tr w14:paraId="5FB018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7BE4A08A">
            <w:pPr>
              <w:keepNext/>
              <w:spacing w:after="120" w:line="360" w:lineRule="auto"/>
              <w:ind w:left="63" w:right="63"/>
              <w:rPr>
                <w:rFonts w:ascii="宋体" w:hAnsi="宋体" w:cs="仿宋_GB2312"/>
                <w:kern w:val="0"/>
                <w:szCs w:val="21"/>
              </w:rPr>
            </w:pPr>
            <w:r>
              <w:rPr>
                <w:rFonts w:hint="eastAsia" w:ascii="宋体" w:hAnsi="宋体" w:cs="仿宋_GB2312"/>
                <w:kern w:val="0"/>
                <w:szCs w:val="21"/>
              </w:rPr>
              <w:t>序号</w:t>
            </w:r>
          </w:p>
        </w:tc>
        <w:tc>
          <w:tcPr>
            <w:tcW w:w="2231" w:type="dxa"/>
          </w:tcPr>
          <w:p w14:paraId="7A9AC840">
            <w:pPr>
              <w:keepNext/>
              <w:spacing w:after="120" w:line="360" w:lineRule="auto"/>
              <w:ind w:left="63" w:right="63"/>
              <w:rPr>
                <w:rFonts w:ascii="宋体" w:hAnsi="宋体" w:cs="仿宋_GB2312"/>
                <w:kern w:val="0"/>
                <w:szCs w:val="21"/>
              </w:rPr>
            </w:pPr>
            <w:r>
              <w:rPr>
                <w:rFonts w:hint="eastAsia" w:ascii="宋体" w:hAnsi="宋体" w:cs="仿宋_GB2312"/>
                <w:kern w:val="0"/>
                <w:szCs w:val="21"/>
              </w:rPr>
              <w:t>名称</w:t>
            </w:r>
          </w:p>
        </w:tc>
        <w:tc>
          <w:tcPr>
            <w:tcW w:w="785" w:type="dxa"/>
          </w:tcPr>
          <w:p w14:paraId="273B33E3">
            <w:pPr>
              <w:keepNext/>
              <w:spacing w:after="120" w:line="360" w:lineRule="auto"/>
              <w:ind w:left="63" w:right="63"/>
              <w:rPr>
                <w:rFonts w:ascii="宋体" w:hAnsi="宋体" w:cs="仿宋_GB2312"/>
                <w:kern w:val="0"/>
                <w:szCs w:val="21"/>
              </w:rPr>
            </w:pPr>
            <w:r>
              <w:rPr>
                <w:rFonts w:hint="eastAsia" w:ascii="宋体" w:hAnsi="宋体" w:cs="仿宋_GB2312"/>
                <w:kern w:val="0"/>
                <w:szCs w:val="21"/>
              </w:rPr>
              <w:t>单位</w:t>
            </w:r>
          </w:p>
        </w:tc>
        <w:tc>
          <w:tcPr>
            <w:tcW w:w="1199" w:type="dxa"/>
          </w:tcPr>
          <w:p w14:paraId="4B26FAA7">
            <w:pPr>
              <w:keepNext/>
              <w:spacing w:after="120" w:line="360" w:lineRule="auto"/>
              <w:ind w:left="63" w:right="63"/>
              <w:rPr>
                <w:rFonts w:ascii="宋体" w:hAnsi="宋体" w:cs="仿宋_GB2312"/>
                <w:kern w:val="0"/>
                <w:szCs w:val="21"/>
              </w:rPr>
            </w:pPr>
            <w:r>
              <w:rPr>
                <w:rFonts w:hint="eastAsia" w:ascii="宋体" w:hAnsi="宋体" w:cs="仿宋_GB2312"/>
                <w:kern w:val="0"/>
                <w:szCs w:val="21"/>
              </w:rPr>
              <w:t>数量</w:t>
            </w:r>
          </w:p>
        </w:tc>
        <w:tc>
          <w:tcPr>
            <w:tcW w:w="1246" w:type="dxa"/>
          </w:tcPr>
          <w:p w14:paraId="0531024E">
            <w:pPr>
              <w:keepNext/>
              <w:spacing w:after="120" w:line="360" w:lineRule="auto"/>
              <w:ind w:left="63" w:right="63"/>
              <w:rPr>
                <w:rFonts w:ascii="宋体" w:hAnsi="宋体" w:cs="仿宋_GB2312"/>
                <w:kern w:val="0"/>
                <w:szCs w:val="21"/>
              </w:rPr>
            </w:pPr>
            <w:r>
              <w:rPr>
                <w:rFonts w:hint="eastAsia" w:ascii="宋体" w:hAnsi="宋体" w:cs="仿宋_GB2312"/>
                <w:kern w:val="0"/>
                <w:szCs w:val="21"/>
              </w:rPr>
              <w:t>单价（元）</w:t>
            </w:r>
          </w:p>
        </w:tc>
        <w:tc>
          <w:tcPr>
            <w:tcW w:w="1306" w:type="dxa"/>
          </w:tcPr>
          <w:p w14:paraId="0FCA4A08">
            <w:pPr>
              <w:keepNext/>
              <w:spacing w:after="120" w:line="360" w:lineRule="auto"/>
              <w:ind w:left="63" w:right="63"/>
              <w:rPr>
                <w:rFonts w:ascii="宋体" w:hAnsi="宋体" w:cs="仿宋_GB2312"/>
                <w:kern w:val="0"/>
                <w:szCs w:val="21"/>
              </w:rPr>
            </w:pPr>
            <w:r>
              <w:rPr>
                <w:rFonts w:hint="eastAsia" w:ascii="宋体" w:hAnsi="宋体" w:cs="仿宋_GB2312"/>
                <w:kern w:val="0"/>
                <w:szCs w:val="21"/>
              </w:rPr>
              <w:t>合价（元）</w:t>
            </w:r>
          </w:p>
        </w:tc>
        <w:tc>
          <w:tcPr>
            <w:tcW w:w="1567" w:type="dxa"/>
          </w:tcPr>
          <w:p w14:paraId="68F9581E">
            <w:pPr>
              <w:keepNext/>
              <w:spacing w:after="120" w:line="360" w:lineRule="auto"/>
              <w:ind w:left="63" w:right="63"/>
              <w:rPr>
                <w:rFonts w:ascii="宋体" w:hAnsi="宋体" w:cs="仿宋_GB2312"/>
                <w:kern w:val="0"/>
                <w:szCs w:val="21"/>
              </w:rPr>
            </w:pPr>
            <w:r>
              <w:rPr>
                <w:rFonts w:hint="eastAsia" w:ascii="宋体" w:hAnsi="宋体" w:cs="仿宋_GB2312"/>
                <w:kern w:val="0"/>
                <w:szCs w:val="21"/>
              </w:rPr>
              <w:t>备注</w:t>
            </w:r>
          </w:p>
        </w:tc>
      </w:tr>
      <w:tr w14:paraId="4E5AE3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3668E2A6">
            <w:pPr>
              <w:keepNext/>
              <w:spacing w:after="120" w:line="360" w:lineRule="auto"/>
              <w:ind w:left="63" w:right="63"/>
              <w:rPr>
                <w:rFonts w:ascii="宋体" w:hAnsi="宋体" w:cs="仿宋_GB2312"/>
                <w:kern w:val="0"/>
                <w:szCs w:val="21"/>
              </w:rPr>
            </w:pPr>
          </w:p>
        </w:tc>
        <w:tc>
          <w:tcPr>
            <w:tcW w:w="2231" w:type="dxa"/>
          </w:tcPr>
          <w:p w14:paraId="5BE637A8">
            <w:pPr>
              <w:keepNext/>
              <w:spacing w:after="120" w:line="360" w:lineRule="auto"/>
              <w:ind w:left="63" w:right="63"/>
              <w:rPr>
                <w:rFonts w:ascii="宋体" w:hAnsi="宋体" w:cs="仿宋_GB2312"/>
                <w:kern w:val="0"/>
                <w:szCs w:val="21"/>
              </w:rPr>
            </w:pPr>
          </w:p>
        </w:tc>
        <w:tc>
          <w:tcPr>
            <w:tcW w:w="785" w:type="dxa"/>
          </w:tcPr>
          <w:p w14:paraId="476B77DB">
            <w:pPr>
              <w:keepNext/>
              <w:spacing w:after="120" w:line="360" w:lineRule="auto"/>
              <w:ind w:left="63" w:right="63"/>
              <w:rPr>
                <w:rFonts w:ascii="宋体" w:hAnsi="宋体" w:cs="仿宋_GB2312"/>
                <w:kern w:val="0"/>
                <w:szCs w:val="21"/>
              </w:rPr>
            </w:pPr>
          </w:p>
        </w:tc>
        <w:tc>
          <w:tcPr>
            <w:tcW w:w="1199" w:type="dxa"/>
          </w:tcPr>
          <w:p w14:paraId="77EB0C16">
            <w:pPr>
              <w:keepNext/>
              <w:spacing w:after="120" w:line="360" w:lineRule="auto"/>
              <w:ind w:left="63" w:right="63"/>
              <w:rPr>
                <w:rFonts w:ascii="宋体" w:hAnsi="宋体" w:cs="仿宋_GB2312"/>
                <w:kern w:val="0"/>
                <w:szCs w:val="21"/>
              </w:rPr>
            </w:pPr>
          </w:p>
        </w:tc>
        <w:tc>
          <w:tcPr>
            <w:tcW w:w="1246" w:type="dxa"/>
          </w:tcPr>
          <w:p w14:paraId="344EBFA0">
            <w:pPr>
              <w:keepNext/>
              <w:spacing w:after="120" w:line="360" w:lineRule="auto"/>
              <w:ind w:left="63" w:right="63"/>
              <w:rPr>
                <w:rFonts w:ascii="宋体" w:hAnsi="宋体" w:cs="仿宋_GB2312"/>
                <w:kern w:val="0"/>
                <w:szCs w:val="21"/>
              </w:rPr>
            </w:pPr>
          </w:p>
        </w:tc>
        <w:tc>
          <w:tcPr>
            <w:tcW w:w="1306" w:type="dxa"/>
          </w:tcPr>
          <w:p w14:paraId="5C402847">
            <w:pPr>
              <w:keepNext/>
              <w:spacing w:after="120" w:line="360" w:lineRule="auto"/>
              <w:ind w:left="63" w:right="63"/>
              <w:rPr>
                <w:rFonts w:ascii="宋体" w:hAnsi="宋体" w:cs="仿宋_GB2312"/>
                <w:kern w:val="0"/>
                <w:szCs w:val="21"/>
              </w:rPr>
            </w:pPr>
          </w:p>
        </w:tc>
        <w:tc>
          <w:tcPr>
            <w:tcW w:w="1567" w:type="dxa"/>
          </w:tcPr>
          <w:p w14:paraId="3217FD03">
            <w:pPr>
              <w:keepNext/>
              <w:spacing w:after="120" w:line="360" w:lineRule="auto"/>
              <w:ind w:left="63" w:right="63"/>
              <w:rPr>
                <w:rFonts w:ascii="宋体" w:hAnsi="宋体" w:cs="仿宋_GB2312"/>
                <w:kern w:val="0"/>
                <w:szCs w:val="21"/>
              </w:rPr>
            </w:pPr>
          </w:p>
        </w:tc>
      </w:tr>
      <w:tr w14:paraId="0D78B2D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2C7C3A43">
            <w:pPr>
              <w:keepNext/>
              <w:spacing w:after="120" w:line="360" w:lineRule="auto"/>
              <w:ind w:left="63" w:right="63"/>
              <w:rPr>
                <w:rFonts w:ascii="宋体" w:hAnsi="宋体" w:cs="仿宋_GB2312"/>
                <w:kern w:val="0"/>
                <w:szCs w:val="21"/>
              </w:rPr>
            </w:pPr>
          </w:p>
        </w:tc>
        <w:tc>
          <w:tcPr>
            <w:tcW w:w="2231" w:type="dxa"/>
          </w:tcPr>
          <w:p w14:paraId="377C14E3">
            <w:pPr>
              <w:keepNext/>
              <w:spacing w:after="120" w:line="360" w:lineRule="auto"/>
              <w:ind w:left="63" w:right="63"/>
              <w:rPr>
                <w:rFonts w:ascii="宋体" w:hAnsi="宋体" w:cs="仿宋_GB2312"/>
                <w:kern w:val="0"/>
                <w:szCs w:val="21"/>
              </w:rPr>
            </w:pPr>
          </w:p>
        </w:tc>
        <w:tc>
          <w:tcPr>
            <w:tcW w:w="785" w:type="dxa"/>
          </w:tcPr>
          <w:p w14:paraId="408E7A8A">
            <w:pPr>
              <w:keepNext/>
              <w:spacing w:after="120" w:line="360" w:lineRule="auto"/>
              <w:ind w:left="63" w:right="63"/>
              <w:rPr>
                <w:rFonts w:ascii="宋体" w:hAnsi="宋体" w:cs="仿宋_GB2312"/>
                <w:kern w:val="0"/>
                <w:szCs w:val="21"/>
              </w:rPr>
            </w:pPr>
          </w:p>
        </w:tc>
        <w:tc>
          <w:tcPr>
            <w:tcW w:w="1199" w:type="dxa"/>
          </w:tcPr>
          <w:p w14:paraId="67742C5E">
            <w:pPr>
              <w:keepNext/>
              <w:spacing w:after="120" w:line="360" w:lineRule="auto"/>
              <w:ind w:left="63" w:right="63"/>
              <w:rPr>
                <w:rFonts w:ascii="宋体" w:hAnsi="宋体" w:cs="仿宋_GB2312"/>
                <w:kern w:val="0"/>
                <w:szCs w:val="21"/>
              </w:rPr>
            </w:pPr>
          </w:p>
        </w:tc>
        <w:tc>
          <w:tcPr>
            <w:tcW w:w="1246" w:type="dxa"/>
          </w:tcPr>
          <w:p w14:paraId="33B960C1">
            <w:pPr>
              <w:keepNext/>
              <w:spacing w:after="120" w:line="360" w:lineRule="auto"/>
              <w:ind w:left="63" w:right="63"/>
              <w:rPr>
                <w:rFonts w:ascii="宋体" w:hAnsi="宋体" w:cs="仿宋_GB2312"/>
                <w:kern w:val="0"/>
                <w:szCs w:val="21"/>
              </w:rPr>
            </w:pPr>
          </w:p>
        </w:tc>
        <w:tc>
          <w:tcPr>
            <w:tcW w:w="1306" w:type="dxa"/>
          </w:tcPr>
          <w:p w14:paraId="615F78AF">
            <w:pPr>
              <w:keepNext/>
              <w:spacing w:after="120" w:line="360" w:lineRule="auto"/>
              <w:ind w:left="63" w:right="63"/>
              <w:rPr>
                <w:rFonts w:ascii="宋体" w:hAnsi="宋体" w:cs="仿宋_GB2312"/>
                <w:kern w:val="0"/>
                <w:szCs w:val="21"/>
              </w:rPr>
            </w:pPr>
          </w:p>
        </w:tc>
        <w:tc>
          <w:tcPr>
            <w:tcW w:w="1567" w:type="dxa"/>
          </w:tcPr>
          <w:p w14:paraId="3D0A03C4">
            <w:pPr>
              <w:keepNext/>
              <w:spacing w:after="120" w:line="360" w:lineRule="auto"/>
              <w:ind w:left="63" w:right="63"/>
              <w:rPr>
                <w:rFonts w:ascii="宋体" w:hAnsi="宋体" w:cs="仿宋_GB2312"/>
                <w:kern w:val="0"/>
                <w:szCs w:val="21"/>
              </w:rPr>
            </w:pPr>
          </w:p>
        </w:tc>
      </w:tr>
      <w:tr w14:paraId="18B656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17172905">
            <w:pPr>
              <w:keepNext/>
              <w:spacing w:after="120" w:line="360" w:lineRule="auto"/>
              <w:ind w:left="63" w:right="63"/>
              <w:rPr>
                <w:rFonts w:ascii="宋体" w:hAnsi="宋体" w:cs="仿宋_GB2312"/>
                <w:kern w:val="0"/>
                <w:szCs w:val="21"/>
              </w:rPr>
            </w:pPr>
          </w:p>
        </w:tc>
        <w:tc>
          <w:tcPr>
            <w:tcW w:w="2231" w:type="dxa"/>
          </w:tcPr>
          <w:p w14:paraId="2B75B361">
            <w:pPr>
              <w:keepNext/>
              <w:spacing w:after="120" w:line="360" w:lineRule="auto"/>
              <w:ind w:left="63" w:right="63"/>
              <w:rPr>
                <w:rFonts w:ascii="宋体" w:hAnsi="宋体" w:cs="仿宋_GB2312"/>
                <w:kern w:val="0"/>
                <w:szCs w:val="21"/>
              </w:rPr>
            </w:pPr>
          </w:p>
        </w:tc>
        <w:tc>
          <w:tcPr>
            <w:tcW w:w="785" w:type="dxa"/>
          </w:tcPr>
          <w:p w14:paraId="30B2F8E6">
            <w:pPr>
              <w:keepNext/>
              <w:spacing w:after="120" w:line="360" w:lineRule="auto"/>
              <w:ind w:left="63" w:right="63"/>
              <w:rPr>
                <w:rFonts w:ascii="宋体" w:hAnsi="宋体" w:cs="仿宋_GB2312"/>
                <w:kern w:val="0"/>
                <w:szCs w:val="21"/>
              </w:rPr>
            </w:pPr>
          </w:p>
        </w:tc>
        <w:tc>
          <w:tcPr>
            <w:tcW w:w="1199" w:type="dxa"/>
          </w:tcPr>
          <w:p w14:paraId="6A2FAE3D">
            <w:pPr>
              <w:keepNext/>
              <w:spacing w:after="120" w:line="360" w:lineRule="auto"/>
              <w:ind w:left="63" w:right="63"/>
              <w:rPr>
                <w:rFonts w:ascii="宋体" w:hAnsi="宋体" w:cs="仿宋_GB2312"/>
                <w:kern w:val="0"/>
                <w:szCs w:val="21"/>
              </w:rPr>
            </w:pPr>
          </w:p>
        </w:tc>
        <w:tc>
          <w:tcPr>
            <w:tcW w:w="1246" w:type="dxa"/>
          </w:tcPr>
          <w:p w14:paraId="3184A4FA">
            <w:pPr>
              <w:keepNext/>
              <w:spacing w:after="120" w:line="360" w:lineRule="auto"/>
              <w:ind w:left="63" w:right="63"/>
              <w:rPr>
                <w:rFonts w:ascii="宋体" w:hAnsi="宋体" w:cs="仿宋_GB2312"/>
                <w:kern w:val="0"/>
                <w:szCs w:val="21"/>
              </w:rPr>
            </w:pPr>
          </w:p>
        </w:tc>
        <w:tc>
          <w:tcPr>
            <w:tcW w:w="1306" w:type="dxa"/>
          </w:tcPr>
          <w:p w14:paraId="435BF48F">
            <w:pPr>
              <w:keepNext/>
              <w:spacing w:after="120" w:line="360" w:lineRule="auto"/>
              <w:ind w:left="63" w:right="63"/>
              <w:rPr>
                <w:rFonts w:ascii="宋体" w:hAnsi="宋体" w:cs="仿宋_GB2312"/>
                <w:kern w:val="0"/>
                <w:szCs w:val="21"/>
              </w:rPr>
            </w:pPr>
          </w:p>
        </w:tc>
        <w:tc>
          <w:tcPr>
            <w:tcW w:w="1567" w:type="dxa"/>
          </w:tcPr>
          <w:p w14:paraId="3EC12FBA">
            <w:pPr>
              <w:keepNext/>
              <w:spacing w:after="120" w:line="360" w:lineRule="auto"/>
              <w:ind w:left="63" w:right="63"/>
              <w:rPr>
                <w:rFonts w:ascii="宋体" w:hAnsi="宋体" w:cs="仿宋_GB2312"/>
                <w:kern w:val="0"/>
                <w:szCs w:val="21"/>
              </w:rPr>
            </w:pPr>
          </w:p>
        </w:tc>
      </w:tr>
      <w:tr w14:paraId="525CE4D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75756D7C">
            <w:pPr>
              <w:keepNext/>
              <w:spacing w:after="120" w:line="360" w:lineRule="auto"/>
              <w:ind w:left="63" w:right="63"/>
              <w:rPr>
                <w:rFonts w:ascii="宋体" w:hAnsi="宋体" w:cs="仿宋_GB2312"/>
                <w:kern w:val="0"/>
                <w:szCs w:val="21"/>
              </w:rPr>
            </w:pPr>
          </w:p>
        </w:tc>
        <w:tc>
          <w:tcPr>
            <w:tcW w:w="2231" w:type="dxa"/>
          </w:tcPr>
          <w:p w14:paraId="6C20C12E">
            <w:pPr>
              <w:keepNext/>
              <w:spacing w:after="120" w:line="360" w:lineRule="auto"/>
              <w:ind w:left="63" w:right="63"/>
              <w:rPr>
                <w:rFonts w:ascii="宋体" w:hAnsi="宋体" w:cs="仿宋_GB2312"/>
                <w:kern w:val="0"/>
                <w:szCs w:val="21"/>
              </w:rPr>
            </w:pPr>
          </w:p>
        </w:tc>
        <w:tc>
          <w:tcPr>
            <w:tcW w:w="785" w:type="dxa"/>
          </w:tcPr>
          <w:p w14:paraId="263EF844">
            <w:pPr>
              <w:keepNext/>
              <w:spacing w:after="120" w:line="360" w:lineRule="auto"/>
              <w:ind w:left="63" w:right="63"/>
              <w:rPr>
                <w:rFonts w:ascii="宋体" w:hAnsi="宋体" w:cs="仿宋_GB2312"/>
                <w:kern w:val="0"/>
                <w:szCs w:val="21"/>
              </w:rPr>
            </w:pPr>
          </w:p>
        </w:tc>
        <w:tc>
          <w:tcPr>
            <w:tcW w:w="1199" w:type="dxa"/>
          </w:tcPr>
          <w:p w14:paraId="70EF02A5">
            <w:pPr>
              <w:keepNext/>
              <w:spacing w:after="120" w:line="360" w:lineRule="auto"/>
              <w:ind w:left="63" w:right="63"/>
              <w:rPr>
                <w:rFonts w:ascii="宋体" w:hAnsi="宋体" w:cs="仿宋_GB2312"/>
                <w:kern w:val="0"/>
                <w:szCs w:val="21"/>
              </w:rPr>
            </w:pPr>
          </w:p>
        </w:tc>
        <w:tc>
          <w:tcPr>
            <w:tcW w:w="1246" w:type="dxa"/>
          </w:tcPr>
          <w:p w14:paraId="4EC39ED4">
            <w:pPr>
              <w:keepNext/>
              <w:spacing w:after="120" w:line="360" w:lineRule="auto"/>
              <w:ind w:left="63" w:right="63"/>
              <w:rPr>
                <w:rFonts w:ascii="宋体" w:hAnsi="宋体" w:cs="仿宋_GB2312"/>
                <w:kern w:val="0"/>
                <w:szCs w:val="21"/>
              </w:rPr>
            </w:pPr>
          </w:p>
        </w:tc>
        <w:tc>
          <w:tcPr>
            <w:tcW w:w="1306" w:type="dxa"/>
          </w:tcPr>
          <w:p w14:paraId="32446E29">
            <w:pPr>
              <w:keepNext/>
              <w:spacing w:after="120" w:line="360" w:lineRule="auto"/>
              <w:ind w:left="63" w:right="63"/>
              <w:rPr>
                <w:rFonts w:ascii="宋体" w:hAnsi="宋体" w:cs="仿宋_GB2312"/>
                <w:kern w:val="0"/>
                <w:szCs w:val="21"/>
              </w:rPr>
            </w:pPr>
          </w:p>
        </w:tc>
        <w:tc>
          <w:tcPr>
            <w:tcW w:w="1567" w:type="dxa"/>
          </w:tcPr>
          <w:p w14:paraId="38B98A2A">
            <w:pPr>
              <w:keepNext/>
              <w:spacing w:after="120" w:line="360" w:lineRule="auto"/>
              <w:ind w:left="63" w:right="63"/>
              <w:rPr>
                <w:rFonts w:ascii="宋体" w:hAnsi="宋体" w:cs="仿宋_GB2312"/>
                <w:kern w:val="0"/>
                <w:szCs w:val="21"/>
              </w:rPr>
            </w:pPr>
          </w:p>
        </w:tc>
      </w:tr>
      <w:tr w14:paraId="62E1DD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78C6237C">
            <w:pPr>
              <w:keepNext/>
              <w:spacing w:after="120" w:line="360" w:lineRule="auto"/>
              <w:ind w:left="63" w:right="63"/>
              <w:rPr>
                <w:rFonts w:ascii="宋体" w:hAnsi="宋体" w:cs="仿宋_GB2312"/>
                <w:kern w:val="0"/>
                <w:szCs w:val="21"/>
              </w:rPr>
            </w:pPr>
          </w:p>
        </w:tc>
        <w:tc>
          <w:tcPr>
            <w:tcW w:w="2231" w:type="dxa"/>
          </w:tcPr>
          <w:p w14:paraId="347B4BA2">
            <w:pPr>
              <w:keepNext/>
              <w:spacing w:after="120" w:line="360" w:lineRule="auto"/>
              <w:ind w:left="63" w:right="63"/>
              <w:rPr>
                <w:rFonts w:ascii="宋体" w:hAnsi="宋体" w:cs="仿宋_GB2312"/>
                <w:kern w:val="0"/>
                <w:szCs w:val="21"/>
              </w:rPr>
            </w:pPr>
          </w:p>
        </w:tc>
        <w:tc>
          <w:tcPr>
            <w:tcW w:w="785" w:type="dxa"/>
          </w:tcPr>
          <w:p w14:paraId="314DA53B">
            <w:pPr>
              <w:keepNext/>
              <w:spacing w:after="120" w:line="360" w:lineRule="auto"/>
              <w:ind w:left="63" w:right="63"/>
              <w:rPr>
                <w:rFonts w:ascii="宋体" w:hAnsi="宋体" w:cs="仿宋_GB2312"/>
                <w:kern w:val="0"/>
                <w:szCs w:val="21"/>
              </w:rPr>
            </w:pPr>
          </w:p>
        </w:tc>
        <w:tc>
          <w:tcPr>
            <w:tcW w:w="1199" w:type="dxa"/>
          </w:tcPr>
          <w:p w14:paraId="7D86F2C5">
            <w:pPr>
              <w:keepNext/>
              <w:spacing w:after="120" w:line="360" w:lineRule="auto"/>
              <w:ind w:left="63" w:right="63"/>
              <w:rPr>
                <w:rFonts w:ascii="宋体" w:hAnsi="宋体" w:cs="仿宋_GB2312"/>
                <w:kern w:val="0"/>
                <w:szCs w:val="21"/>
              </w:rPr>
            </w:pPr>
          </w:p>
        </w:tc>
        <w:tc>
          <w:tcPr>
            <w:tcW w:w="1246" w:type="dxa"/>
          </w:tcPr>
          <w:p w14:paraId="381AA2E5">
            <w:pPr>
              <w:keepNext/>
              <w:spacing w:after="120" w:line="360" w:lineRule="auto"/>
              <w:ind w:left="63" w:right="63"/>
              <w:rPr>
                <w:rFonts w:ascii="宋体" w:hAnsi="宋体" w:cs="仿宋_GB2312"/>
                <w:kern w:val="0"/>
                <w:szCs w:val="21"/>
              </w:rPr>
            </w:pPr>
          </w:p>
        </w:tc>
        <w:tc>
          <w:tcPr>
            <w:tcW w:w="1306" w:type="dxa"/>
          </w:tcPr>
          <w:p w14:paraId="173F28C0">
            <w:pPr>
              <w:keepNext/>
              <w:spacing w:after="120" w:line="360" w:lineRule="auto"/>
              <w:ind w:left="63" w:right="63"/>
              <w:rPr>
                <w:rFonts w:ascii="宋体" w:hAnsi="宋体" w:cs="仿宋_GB2312"/>
                <w:kern w:val="0"/>
                <w:szCs w:val="21"/>
              </w:rPr>
            </w:pPr>
          </w:p>
        </w:tc>
        <w:tc>
          <w:tcPr>
            <w:tcW w:w="1567" w:type="dxa"/>
          </w:tcPr>
          <w:p w14:paraId="7129C73D">
            <w:pPr>
              <w:keepNext/>
              <w:spacing w:after="120" w:line="360" w:lineRule="auto"/>
              <w:ind w:left="63" w:right="63"/>
              <w:rPr>
                <w:rFonts w:ascii="宋体" w:hAnsi="宋体" w:cs="仿宋_GB2312"/>
                <w:kern w:val="0"/>
                <w:szCs w:val="21"/>
              </w:rPr>
            </w:pPr>
          </w:p>
        </w:tc>
      </w:tr>
      <w:tr w14:paraId="05F1DB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0FB2A886">
            <w:pPr>
              <w:keepNext/>
              <w:spacing w:after="120" w:line="360" w:lineRule="auto"/>
              <w:ind w:left="63" w:right="63"/>
              <w:rPr>
                <w:rFonts w:ascii="宋体" w:hAnsi="宋体" w:cs="仿宋_GB2312"/>
                <w:kern w:val="0"/>
                <w:szCs w:val="21"/>
              </w:rPr>
            </w:pPr>
          </w:p>
        </w:tc>
        <w:tc>
          <w:tcPr>
            <w:tcW w:w="2231" w:type="dxa"/>
          </w:tcPr>
          <w:p w14:paraId="4E569B91">
            <w:pPr>
              <w:keepNext/>
              <w:spacing w:after="120" w:line="360" w:lineRule="auto"/>
              <w:ind w:left="63" w:right="63"/>
              <w:rPr>
                <w:rFonts w:ascii="宋体" w:hAnsi="宋体" w:cs="仿宋_GB2312"/>
                <w:kern w:val="0"/>
                <w:szCs w:val="21"/>
              </w:rPr>
            </w:pPr>
          </w:p>
        </w:tc>
        <w:tc>
          <w:tcPr>
            <w:tcW w:w="785" w:type="dxa"/>
          </w:tcPr>
          <w:p w14:paraId="015AD915">
            <w:pPr>
              <w:keepNext/>
              <w:spacing w:after="120" w:line="360" w:lineRule="auto"/>
              <w:ind w:left="63" w:right="63"/>
              <w:rPr>
                <w:rFonts w:ascii="宋体" w:hAnsi="宋体" w:cs="仿宋_GB2312"/>
                <w:kern w:val="0"/>
                <w:szCs w:val="21"/>
              </w:rPr>
            </w:pPr>
          </w:p>
        </w:tc>
        <w:tc>
          <w:tcPr>
            <w:tcW w:w="1199" w:type="dxa"/>
          </w:tcPr>
          <w:p w14:paraId="53629A6B">
            <w:pPr>
              <w:keepNext/>
              <w:spacing w:after="120" w:line="360" w:lineRule="auto"/>
              <w:ind w:left="63" w:right="63"/>
              <w:rPr>
                <w:rFonts w:ascii="宋体" w:hAnsi="宋体" w:cs="仿宋_GB2312"/>
                <w:kern w:val="0"/>
                <w:szCs w:val="21"/>
              </w:rPr>
            </w:pPr>
          </w:p>
        </w:tc>
        <w:tc>
          <w:tcPr>
            <w:tcW w:w="1246" w:type="dxa"/>
          </w:tcPr>
          <w:p w14:paraId="6EA9F7C4">
            <w:pPr>
              <w:keepNext/>
              <w:spacing w:after="120" w:line="360" w:lineRule="auto"/>
              <w:ind w:left="63" w:right="63"/>
              <w:rPr>
                <w:rFonts w:ascii="宋体" w:hAnsi="宋体" w:cs="仿宋_GB2312"/>
                <w:kern w:val="0"/>
                <w:szCs w:val="21"/>
              </w:rPr>
            </w:pPr>
          </w:p>
        </w:tc>
        <w:tc>
          <w:tcPr>
            <w:tcW w:w="1306" w:type="dxa"/>
          </w:tcPr>
          <w:p w14:paraId="16FBAF7B">
            <w:pPr>
              <w:keepNext/>
              <w:spacing w:after="120" w:line="360" w:lineRule="auto"/>
              <w:ind w:left="63" w:right="63"/>
              <w:rPr>
                <w:rFonts w:ascii="宋体" w:hAnsi="宋体" w:cs="仿宋_GB2312"/>
                <w:kern w:val="0"/>
                <w:szCs w:val="21"/>
              </w:rPr>
            </w:pPr>
          </w:p>
        </w:tc>
        <w:tc>
          <w:tcPr>
            <w:tcW w:w="1567" w:type="dxa"/>
          </w:tcPr>
          <w:p w14:paraId="65488FE7">
            <w:pPr>
              <w:keepNext/>
              <w:spacing w:after="120" w:line="360" w:lineRule="auto"/>
              <w:ind w:left="63" w:right="63"/>
              <w:rPr>
                <w:rFonts w:ascii="宋体" w:hAnsi="宋体" w:cs="仿宋_GB2312"/>
                <w:kern w:val="0"/>
                <w:szCs w:val="21"/>
              </w:rPr>
            </w:pPr>
          </w:p>
        </w:tc>
      </w:tr>
      <w:tr w14:paraId="1BA01C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6990D3E8">
            <w:pPr>
              <w:keepNext/>
              <w:spacing w:after="120" w:line="360" w:lineRule="auto"/>
              <w:ind w:left="63" w:right="63"/>
              <w:rPr>
                <w:rFonts w:ascii="宋体" w:hAnsi="宋体" w:cs="仿宋_GB2312"/>
                <w:kern w:val="0"/>
                <w:szCs w:val="21"/>
              </w:rPr>
            </w:pPr>
          </w:p>
        </w:tc>
        <w:tc>
          <w:tcPr>
            <w:tcW w:w="2231" w:type="dxa"/>
          </w:tcPr>
          <w:p w14:paraId="1EB30A31">
            <w:pPr>
              <w:keepNext/>
              <w:spacing w:after="120" w:line="360" w:lineRule="auto"/>
              <w:ind w:left="63" w:right="63"/>
              <w:rPr>
                <w:rFonts w:ascii="宋体" w:hAnsi="宋体" w:cs="仿宋_GB2312"/>
                <w:kern w:val="0"/>
                <w:szCs w:val="21"/>
              </w:rPr>
            </w:pPr>
          </w:p>
        </w:tc>
        <w:tc>
          <w:tcPr>
            <w:tcW w:w="785" w:type="dxa"/>
          </w:tcPr>
          <w:p w14:paraId="0933816A">
            <w:pPr>
              <w:keepNext/>
              <w:spacing w:after="120" w:line="360" w:lineRule="auto"/>
              <w:ind w:left="63" w:right="63"/>
              <w:rPr>
                <w:rFonts w:ascii="宋体" w:hAnsi="宋体" w:cs="仿宋_GB2312"/>
                <w:kern w:val="0"/>
                <w:szCs w:val="21"/>
              </w:rPr>
            </w:pPr>
          </w:p>
        </w:tc>
        <w:tc>
          <w:tcPr>
            <w:tcW w:w="1199" w:type="dxa"/>
          </w:tcPr>
          <w:p w14:paraId="026D631F">
            <w:pPr>
              <w:keepNext/>
              <w:spacing w:after="120" w:line="360" w:lineRule="auto"/>
              <w:ind w:left="63" w:right="63"/>
              <w:rPr>
                <w:rFonts w:ascii="宋体" w:hAnsi="宋体" w:cs="仿宋_GB2312"/>
                <w:kern w:val="0"/>
                <w:szCs w:val="21"/>
              </w:rPr>
            </w:pPr>
          </w:p>
        </w:tc>
        <w:tc>
          <w:tcPr>
            <w:tcW w:w="1246" w:type="dxa"/>
          </w:tcPr>
          <w:p w14:paraId="32BDCB2A">
            <w:pPr>
              <w:keepNext/>
              <w:spacing w:after="120" w:line="360" w:lineRule="auto"/>
              <w:ind w:left="63" w:right="63"/>
              <w:rPr>
                <w:rFonts w:ascii="宋体" w:hAnsi="宋体" w:cs="仿宋_GB2312"/>
                <w:kern w:val="0"/>
                <w:szCs w:val="21"/>
              </w:rPr>
            </w:pPr>
          </w:p>
        </w:tc>
        <w:tc>
          <w:tcPr>
            <w:tcW w:w="1306" w:type="dxa"/>
          </w:tcPr>
          <w:p w14:paraId="399C0105">
            <w:pPr>
              <w:keepNext/>
              <w:spacing w:after="120" w:line="360" w:lineRule="auto"/>
              <w:ind w:left="63" w:right="63"/>
              <w:rPr>
                <w:rFonts w:ascii="宋体" w:hAnsi="宋体" w:cs="仿宋_GB2312"/>
                <w:kern w:val="0"/>
                <w:szCs w:val="21"/>
              </w:rPr>
            </w:pPr>
          </w:p>
        </w:tc>
        <w:tc>
          <w:tcPr>
            <w:tcW w:w="1567" w:type="dxa"/>
          </w:tcPr>
          <w:p w14:paraId="626C17D5">
            <w:pPr>
              <w:keepNext/>
              <w:spacing w:after="120" w:line="360" w:lineRule="auto"/>
              <w:ind w:left="63" w:right="63"/>
              <w:rPr>
                <w:rFonts w:ascii="宋体" w:hAnsi="宋体" w:cs="仿宋_GB2312"/>
                <w:kern w:val="0"/>
                <w:szCs w:val="21"/>
              </w:rPr>
            </w:pPr>
          </w:p>
        </w:tc>
      </w:tr>
      <w:tr w14:paraId="0B697CC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19EF2B96">
            <w:pPr>
              <w:keepNext/>
              <w:spacing w:after="120" w:line="360" w:lineRule="auto"/>
              <w:ind w:left="63" w:right="63"/>
              <w:rPr>
                <w:rFonts w:ascii="宋体" w:hAnsi="宋体" w:cs="仿宋_GB2312"/>
                <w:kern w:val="0"/>
                <w:szCs w:val="21"/>
              </w:rPr>
            </w:pPr>
          </w:p>
        </w:tc>
        <w:tc>
          <w:tcPr>
            <w:tcW w:w="2231" w:type="dxa"/>
          </w:tcPr>
          <w:p w14:paraId="6C724D5D">
            <w:pPr>
              <w:keepNext/>
              <w:spacing w:after="120" w:line="360" w:lineRule="auto"/>
              <w:ind w:left="63" w:right="63"/>
              <w:rPr>
                <w:rFonts w:ascii="宋体" w:hAnsi="宋体" w:cs="仿宋_GB2312"/>
                <w:kern w:val="0"/>
                <w:szCs w:val="21"/>
              </w:rPr>
            </w:pPr>
          </w:p>
        </w:tc>
        <w:tc>
          <w:tcPr>
            <w:tcW w:w="785" w:type="dxa"/>
          </w:tcPr>
          <w:p w14:paraId="4745995F">
            <w:pPr>
              <w:keepNext/>
              <w:spacing w:after="120" w:line="360" w:lineRule="auto"/>
              <w:ind w:left="63" w:right="63"/>
              <w:rPr>
                <w:rFonts w:ascii="宋体" w:hAnsi="宋体" w:cs="仿宋_GB2312"/>
                <w:kern w:val="0"/>
                <w:szCs w:val="21"/>
              </w:rPr>
            </w:pPr>
          </w:p>
        </w:tc>
        <w:tc>
          <w:tcPr>
            <w:tcW w:w="1199" w:type="dxa"/>
          </w:tcPr>
          <w:p w14:paraId="20BE7386">
            <w:pPr>
              <w:keepNext/>
              <w:spacing w:after="120" w:line="360" w:lineRule="auto"/>
              <w:ind w:left="63" w:right="63"/>
              <w:rPr>
                <w:rFonts w:ascii="宋体" w:hAnsi="宋体" w:cs="仿宋_GB2312"/>
                <w:kern w:val="0"/>
                <w:szCs w:val="21"/>
              </w:rPr>
            </w:pPr>
          </w:p>
        </w:tc>
        <w:tc>
          <w:tcPr>
            <w:tcW w:w="1246" w:type="dxa"/>
          </w:tcPr>
          <w:p w14:paraId="573A20E5">
            <w:pPr>
              <w:keepNext/>
              <w:spacing w:after="120" w:line="360" w:lineRule="auto"/>
              <w:ind w:left="63" w:right="63"/>
              <w:rPr>
                <w:rFonts w:ascii="宋体" w:hAnsi="宋体" w:cs="仿宋_GB2312"/>
                <w:kern w:val="0"/>
                <w:szCs w:val="21"/>
              </w:rPr>
            </w:pPr>
          </w:p>
        </w:tc>
        <w:tc>
          <w:tcPr>
            <w:tcW w:w="1306" w:type="dxa"/>
          </w:tcPr>
          <w:p w14:paraId="7C056D6B">
            <w:pPr>
              <w:keepNext/>
              <w:spacing w:after="120" w:line="360" w:lineRule="auto"/>
              <w:ind w:left="63" w:right="63"/>
              <w:rPr>
                <w:rFonts w:ascii="宋体" w:hAnsi="宋体" w:cs="仿宋_GB2312"/>
                <w:kern w:val="0"/>
                <w:szCs w:val="21"/>
              </w:rPr>
            </w:pPr>
          </w:p>
        </w:tc>
        <w:tc>
          <w:tcPr>
            <w:tcW w:w="1567" w:type="dxa"/>
          </w:tcPr>
          <w:p w14:paraId="5D08F3C7">
            <w:pPr>
              <w:keepNext/>
              <w:spacing w:after="120" w:line="360" w:lineRule="auto"/>
              <w:ind w:left="63" w:right="63"/>
              <w:rPr>
                <w:rFonts w:ascii="宋体" w:hAnsi="宋体" w:cs="仿宋_GB2312"/>
                <w:kern w:val="0"/>
                <w:szCs w:val="21"/>
              </w:rPr>
            </w:pPr>
          </w:p>
        </w:tc>
      </w:tr>
      <w:tr w14:paraId="688097F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4100CC7B">
            <w:pPr>
              <w:keepNext/>
              <w:spacing w:after="120" w:line="360" w:lineRule="auto"/>
              <w:ind w:left="63" w:right="63"/>
              <w:rPr>
                <w:rFonts w:ascii="宋体" w:hAnsi="宋体" w:cs="仿宋_GB2312"/>
                <w:kern w:val="0"/>
                <w:szCs w:val="21"/>
              </w:rPr>
            </w:pPr>
          </w:p>
        </w:tc>
        <w:tc>
          <w:tcPr>
            <w:tcW w:w="2231" w:type="dxa"/>
          </w:tcPr>
          <w:p w14:paraId="4578EF34">
            <w:pPr>
              <w:keepNext/>
              <w:spacing w:after="120" w:line="360" w:lineRule="auto"/>
              <w:ind w:left="63" w:right="63"/>
              <w:rPr>
                <w:rFonts w:ascii="宋体" w:hAnsi="宋体" w:cs="仿宋_GB2312"/>
                <w:kern w:val="0"/>
                <w:szCs w:val="21"/>
              </w:rPr>
            </w:pPr>
          </w:p>
        </w:tc>
        <w:tc>
          <w:tcPr>
            <w:tcW w:w="785" w:type="dxa"/>
          </w:tcPr>
          <w:p w14:paraId="337E2FA7">
            <w:pPr>
              <w:keepNext/>
              <w:spacing w:after="120" w:line="360" w:lineRule="auto"/>
              <w:ind w:left="63" w:right="63"/>
              <w:rPr>
                <w:rFonts w:ascii="宋体" w:hAnsi="宋体" w:cs="仿宋_GB2312"/>
                <w:kern w:val="0"/>
                <w:szCs w:val="21"/>
              </w:rPr>
            </w:pPr>
          </w:p>
        </w:tc>
        <w:tc>
          <w:tcPr>
            <w:tcW w:w="1199" w:type="dxa"/>
          </w:tcPr>
          <w:p w14:paraId="0F2151C7">
            <w:pPr>
              <w:keepNext/>
              <w:spacing w:after="120" w:line="360" w:lineRule="auto"/>
              <w:ind w:left="63" w:right="63"/>
              <w:rPr>
                <w:rFonts w:ascii="宋体" w:hAnsi="宋体" w:cs="仿宋_GB2312"/>
                <w:kern w:val="0"/>
                <w:szCs w:val="21"/>
              </w:rPr>
            </w:pPr>
          </w:p>
        </w:tc>
        <w:tc>
          <w:tcPr>
            <w:tcW w:w="1246" w:type="dxa"/>
          </w:tcPr>
          <w:p w14:paraId="611E494C">
            <w:pPr>
              <w:keepNext/>
              <w:spacing w:after="120" w:line="360" w:lineRule="auto"/>
              <w:ind w:left="63" w:right="63"/>
              <w:rPr>
                <w:rFonts w:ascii="宋体" w:hAnsi="宋体" w:cs="仿宋_GB2312"/>
                <w:kern w:val="0"/>
                <w:szCs w:val="21"/>
              </w:rPr>
            </w:pPr>
          </w:p>
        </w:tc>
        <w:tc>
          <w:tcPr>
            <w:tcW w:w="1306" w:type="dxa"/>
          </w:tcPr>
          <w:p w14:paraId="3E7ACEC4">
            <w:pPr>
              <w:keepNext/>
              <w:spacing w:after="120" w:line="360" w:lineRule="auto"/>
              <w:ind w:left="63" w:right="63"/>
              <w:rPr>
                <w:rFonts w:ascii="宋体" w:hAnsi="宋体" w:cs="仿宋_GB2312"/>
                <w:kern w:val="0"/>
                <w:szCs w:val="21"/>
              </w:rPr>
            </w:pPr>
          </w:p>
        </w:tc>
        <w:tc>
          <w:tcPr>
            <w:tcW w:w="1567" w:type="dxa"/>
          </w:tcPr>
          <w:p w14:paraId="27B8CA6E">
            <w:pPr>
              <w:keepNext/>
              <w:spacing w:after="120" w:line="360" w:lineRule="auto"/>
              <w:ind w:left="63" w:right="63"/>
              <w:rPr>
                <w:rFonts w:ascii="宋体" w:hAnsi="宋体" w:cs="仿宋_GB2312"/>
                <w:kern w:val="0"/>
                <w:szCs w:val="21"/>
              </w:rPr>
            </w:pPr>
          </w:p>
        </w:tc>
      </w:tr>
      <w:tr w14:paraId="7CFF25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65500622">
            <w:pPr>
              <w:keepNext/>
              <w:spacing w:after="120" w:line="360" w:lineRule="auto"/>
              <w:ind w:left="63" w:right="63"/>
              <w:rPr>
                <w:rFonts w:ascii="宋体" w:hAnsi="宋体" w:cs="仿宋_GB2312"/>
                <w:kern w:val="0"/>
                <w:szCs w:val="21"/>
              </w:rPr>
            </w:pPr>
          </w:p>
        </w:tc>
        <w:tc>
          <w:tcPr>
            <w:tcW w:w="2231" w:type="dxa"/>
          </w:tcPr>
          <w:p w14:paraId="1CCEA5A4">
            <w:pPr>
              <w:keepNext/>
              <w:spacing w:after="120" w:line="360" w:lineRule="auto"/>
              <w:ind w:left="63" w:right="63"/>
              <w:rPr>
                <w:rFonts w:ascii="宋体" w:hAnsi="宋体" w:cs="仿宋_GB2312"/>
                <w:kern w:val="0"/>
                <w:szCs w:val="21"/>
              </w:rPr>
            </w:pPr>
          </w:p>
        </w:tc>
        <w:tc>
          <w:tcPr>
            <w:tcW w:w="785" w:type="dxa"/>
          </w:tcPr>
          <w:p w14:paraId="7FE5CE2F">
            <w:pPr>
              <w:keepNext/>
              <w:spacing w:after="120" w:line="360" w:lineRule="auto"/>
              <w:ind w:left="63" w:right="63"/>
              <w:rPr>
                <w:rFonts w:ascii="宋体" w:hAnsi="宋体" w:cs="仿宋_GB2312"/>
                <w:kern w:val="0"/>
                <w:szCs w:val="21"/>
              </w:rPr>
            </w:pPr>
          </w:p>
        </w:tc>
        <w:tc>
          <w:tcPr>
            <w:tcW w:w="1199" w:type="dxa"/>
          </w:tcPr>
          <w:p w14:paraId="49DE498B">
            <w:pPr>
              <w:keepNext/>
              <w:spacing w:after="120" w:line="360" w:lineRule="auto"/>
              <w:ind w:left="63" w:right="63"/>
              <w:rPr>
                <w:rFonts w:ascii="宋体" w:hAnsi="宋体" w:cs="仿宋_GB2312"/>
                <w:kern w:val="0"/>
                <w:szCs w:val="21"/>
              </w:rPr>
            </w:pPr>
          </w:p>
        </w:tc>
        <w:tc>
          <w:tcPr>
            <w:tcW w:w="1246" w:type="dxa"/>
          </w:tcPr>
          <w:p w14:paraId="39025D1C">
            <w:pPr>
              <w:keepNext/>
              <w:spacing w:after="120" w:line="360" w:lineRule="auto"/>
              <w:ind w:left="63" w:right="63"/>
              <w:rPr>
                <w:rFonts w:ascii="宋体" w:hAnsi="宋体" w:cs="仿宋_GB2312"/>
                <w:kern w:val="0"/>
                <w:szCs w:val="21"/>
              </w:rPr>
            </w:pPr>
          </w:p>
        </w:tc>
        <w:tc>
          <w:tcPr>
            <w:tcW w:w="1306" w:type="dxa"/>
          </w:tcPr>
          <w:p w14:paraId="15A575B9">
            <w:pPr>
              <w:keepNext/>
              <w:spacing w:after="120" w:line="360" w:lineRule="auto"/>
              <w:ind w:left="63" w:right="63"/>
              <w:rPr>
                <w:rFonts w:ascii="宋体" w:hAnsi="宋体" w:cs="仿宋_GB2312"/>
                <w:kern w:val="0"/>
                <w:szCs w:val="21"/>
              </w:rPr>
            </w:pPr>
          </w:p>
        </w:tc>
        <w:tc>
          <w:tcPr>
            <w:tcW w:w="1567" w:type="dxa"/>
          </w:tcPr>
          <w:p w14:paraId="35C9B9CF">
            <w:pPr>
              <w:keepNext/>
              <w:spacing w:after="120" w:line="360" w:lineRule="auto"/>
              <w:ind w:left="63" w:right="63"/>
              <w:rPr>
                <w:rFonts w:ascii="宋体" w:hAnsi="宋体" w:cs="仿宋_GB2312"/>
                <w:kern w:val="0"/>
                <w:szCs w:val="21"/>
              </w:rPr>
            </w:pPr>
          </w:p>
        </w:tc>
      </w:tr>
      <w:tr w14:paraId="5ED446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243B34BB">
            <w:pPr>
              <w:keepNext/>
              <w:spacing w:after="120" w:line="360" w:lineRule="auto"/>
              <w:ind w:left="63" w:right="63"/>
              <w:rPr>
                <w:rFonts w:ascii="宋体" w:hAnsi="宋体" w:cs="仿宋_GB2312"/>
                <w:kern w:val="0"/>
                <w:szCs w:val="21"/>
              </w:rPr>
            </w:pPr>
          </w:p>
        </w:tc>
        <w:tc>
          <w:tcPr>
            <w:tcW w:w="2231" w:type="dxa"/>
          </w:tcPr>
          <w:p w14:paraId="6D4DD8D4">
            <w:pPr>
              <w:keepNext/>
              <w:spacing w:after="120" w:line="360" w:lineRule="auto"/>
              <w:ind w:left="63" w:right="63"/>
              <w:rPr>
                <w:rFonts w:ascii="宋体" w:hAnsi="宋体" w:cs="仿宋_GB2312"/>
                <w:kern w:val="0"/>
                <w:szCs w:val="21"/>
              </w:rPr>
            </w:pPr>
          </w:p>
        </w:tc>
        <w:tc>
          <w:tcPr>
            <w:tcW w:w="785" w:type="dxa"/>
          </w:tcPr>
          <w:p w14:paraId="0F861372">
            <w:pPr>
              <w:keepNext/>
              <w:spacing w:after="120" w:line="360" w:lineRule="auto"/>
              <w:ind w:left="63" w:right="63"/>
              <w:rPr>
                <w:rFonts w:ascii="宋体" w:hAnsi="宋体" w:cs="仿宋_GB2312"/>
                <w:kern w:val="0"/>
                <w:szCs w:val="21"/>
              </w:rPr>
            </w:pPr>
          </w:p>
        </w:tc>
        <w:tc>
          <w:tcPr>
            <w:tcW w:w="1199" w:type="dxa"/>
          </w:tcPr>
          <w:p w14:paraId="705759D1">
            <w:pPr>
              <w:keepNext/>
              <w:spacing w:after="120" w:line="360" w:lineRule="auto"/>
              <w:ind w:left="63" w:right="63"/>
              <w:rPr>
                <w:rFonts w:ascii="宋体" w:hAnsi="宋体" w:cs="仿宋_GB2312"/>
                <w:kern w:val="0"/>
                <w:szCs w:val="21"/>
              </w:rPr>
            </w:pPr>
          </w:p>
        </w:tc>
        <w:tc>
          <w:tcPr>
            <w:tcW w:w="1246" w:type="dxa"/>
          </w:tcPr>
          <w:p w14:paraId="00CA52D0">
            <w:pPr>
              <w:keepNext/>
              <w:spacing w:after="120" w:line="360" w:lineRule="auto"/>
              <w:ind w:left="63" w:right="63"/>
              <w:rPr>
                <w:rFonts w:ascii="宋体" w:hAnsi="宋体" w:cs="仿宋_GB2312"/>
                <w:kern w:val="0"/>
                <w:szCs w:val="21"/>
              </w:rPr>
            </w:pPr>
          </w:p>
        </w:tc>
        <w:tc>
          <w:tcPr>
            <w:tcW w:w="1306" w:type="dxa"/>
          </w:tcPr>
          <w:p w14:paraId="03A6C240">
            <w:pPr>
              <w:keepNext/>
              <w:spacing w:after="120" w:line="360" w:lineRule="auto"/>
              <w:ind w:left="63" w:right="63"/>
              <w:rPr>
                <w:rFonts w:ascii="宋体" w:hAnsi="宋体" w:cs="仿宋_GB2312"/>
                <w:kern w:val="0"/>
                <w:szCs w:val="21"/>
              </w:rPr>
            </w:pPr>
          </w:p>
        </w:tc>
        <w:tc>
          <w:tcPr>
            <w:tcW w:w="1567" w:type="dxa"/>
          </w:tcPr>
          <w:p w14:paraId="369D7EA1">
            <w:pPr>
              <w:keepNext/>
              <w:spacing w:after="120" w:line="360" w:lineRule="auto"/>
              <w:ind w:left="63" w:right="63"/>
              <w:rPr>
                <w:rFonts w:ascii="宋体" w:hAnsi="宋体" w:cs="仿宋_GB2312"/>
                <w:kern w:val="0"/>
                <w:szCs w:val="21"/>
              </w:rPr>
            </w:pPr>
          </w:p>
        </w:tc>
      </w:tr>
      <w:tr w14:paraId="1C070DE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72127D7D">
            <w:pPr>
              <w:keepNext/>
              <w:spacing w:after="120" w:line="360" w:lineRule="auto"/>
              <w:ind w:left="63" w:right="63"/>
              <w:rPr>
                <w:rFonts w:ascii="宋体" w:hAnsi="宋体" w:cs="仿宋_GB2312"/>
                <w:kern w:val="0"/>
                <w:szCs w:val="21"/>
              </w:rPr>
            </w:pPr>
          </w:p>
        </w:tc>
        <w:tc>
          <w:tcPr>
            <w:tcW w:w="2231" w:type="dxa"/>
          </w:tcPr>
          <w:p w14:paraId="4D41F5BB">
            <w:pPr>
              <w:keepNext/>
              <w:spacing w:after="120" w:line="360" w:lineRule="auto"/>
              <w:ind w:left="63" w:right="63"/>
              <w:rPr>
                <w:rFonts w:ascii="宋体" w:hAnsi="宋体" w:cs="仿宋_GB2312"/>
                <w:kern w:val="0"/>
                <w:szCs w:val="21"/>
              </w:rPr>
            </w:pPr>
          </w:p>
        </w:tc>
        <w:tc>
          <w:tcPr>
            <w:tcW w:w="785" w:type="dxa"/>
          </w:tcPr>
          <w:p w14:paraId="740707AF">
            <w:pPr>
              <w:keepNext/>
              <w:spacing w:after="120" w:line="360" w:lineRule="auto"/>
              <w:ind w:left="63" w:right="63"/>
              <w:rPr>
                <w:rFonts w:ascii="宋体" w:hAnsi="宋体" w:cs="仿宋_GB2312"/>
                <w:kern w:val="0"/>
                <w:szCs w:val="21"/>
              </w:rPr>
            </w:pPr>
          </w:p>
        </w:tc>
        <w:tc>
          <w:tcPr>
            <w:tcW w:w="1199" w:type="dxa"/>
          </w:tcPr>
          <w:p w14:paraId="33E7DD53">
            <w:pPr>
              <w:keepNext/>
              <w:spacing w:after="120" w:line="360" w:lineRule="auto"/>
              <w:ind w:left="63" w:right="63"/>
              <w:rPr>
                <w:rFonts w:ascii="宋体" w:hAnsi="宋体" w:cs="仿宋_GB2312"/>
                <w:kern w:val="0"/>
                <w:szCs w:val="21"/>
              </w:rPr>
            </w:pPr>
          </w:p>
        </w:tc>
        <w:tc>
          <w:tcPr>
            <w:tcW w:w="1246" w:type="dxa"/>
          </w:tcPr>
          <w:p w14:paraId="10E57056">
            <w:pPr>
              <w:keepNext/>
              <w:spacing w:after="120" w:line="360" w:lineRule="auto"/>
              <w:ind w:left="63" w:right="63"/>
              <w:rPr>
                <w:rFonts w:ascii="宋体" w:hAnsi="宋体" w:cs="仿宋_GB2312"/>
                <w:kern w:val="0"/>
                <w:szCs w:val="21"/>
              </w:rPr>
            </w:pPr>
          </w:p>
        </w:tc>
        <w:tc>
          <w:tcPr>
            <w:tcW w:w="1306" w:type="dxa"/>
          </w:tcPr>
          <w:p w14:paraId="770DC3B0">
            <w:pPr>
              <w:keepNext/>
              <w:spacing w:after="120" w:line="360" w:lineRule="auto"/>
              <w:ind w:left="63" w:right="63"/>
              <w:rPr>
                <w:rFonts w:ascii="宋体" w:hAnsi="宋体" w:cs="仿宋_GB2312"/>
                <w:kern w:val="0"/>
                <w:szCs w:val="21"/>
              </w:rPr>
            </w:pPr>
          </w:p>
        </w:tc>
        <w:tc>
          <w:tcPr>
            <w:tcW w:w="1567" w:type="dxa"/>
          </w:tcPr>
          <w:p w14:paraId="0B6CE57B">
            <w:pPr>
              <w:keepNext/>
              <w:spacing w:after="120" w:line="360" w:lineRule="auto"/>
              <w:ind w:left="63" w:right="63"/>
              <w:rPr>
                <w:rFonts w:ascii="宋体" w:hAnsi="宋体" w:cs="仿宋_GB2312"/>
                <w:kern w:val="0"/>
                <w:szCs w:val="21"/>
              </w:rPr>
            </w:pPr>
          </w:p>
        </w:tc>
      </w:tr>
      <w:tr w14:paraId="3DD9AB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10E7B2FE">
            <w:pPr>
              <w:keepNext/>
              <w:spacing w:after="120" w:line="360" w:lineRule="auto"/>
              <w:ind w:left="63" w:right="63"/>
              <w:rPr>
                <w:rFonts w:ascii="宋体" w:hAnsi="宋体" w:cs="仿宋_GB2312"/>
                <w:kern w:val="0"/>
                <w:szCs w:val="21"/>
              </w:rPr>
            </w:pPr>
          </w:p>
        </w:tc>
        <w:tc>
          <w:tcPr>
            <w:tcW w:w="2231" w:type="dxa"/>
          </w:tcPr>
          <w:p w14:paraId="5B976420">
            <w:pPr>
              <w:keepNext/>
              <w:spacing w:after="120" w:line="360" w:lineRule="auto"/>
              <w:ind w:left="63" w:right="63"/>
              <w:rPr>
                <w:rFonts w:ascii="宋体" w:hAnsi="宋体" w:cs="仿宋_GB2312"/>
                <w:kern w:val="0"/>
                <w:szCs w:val="21"/>
              </w:rPr>
            </w:pPr>
          </w:p>
        </w:tc>
        <w:tc>
          <w:tcPr>
            <w:tcW w:w="785" w:type="dxa"/>
          </w:tcPr>
          <w:p w14:paraId="324AAAC1">
            <w:pPr>
              <w:keepNext/>
              <w:spacing w:after="120" w:line="360" w:lineRule="auto"/>
              <w:ind w:left="63" w:right="63"/>
              <w:rPr>
                <w:rFonts w:ascii="宋体" w:hAnsi="宋体" w:cs="仿宋_GB2312"/>
                <w:kern w:val="0"/>
                <w:szCs w:val="21"/>
              </w:rPr>
            </w:pPr>
          </w:p>
        </w:tc>
        <w:tc>
          <w:tcPr>
            <w:tcW w:w="1199" w:type="dxa"/>
          </w:tcPr>
          <w:p w14:paraId="41BF86D2">
            <w:pPr>
              <w:keepNext/>
              <w:spacing w:after="120" w:line="360" w:lineRule="auto"/>
              <w:ind w:left="63" w:right="63"/>
              <w:rPr>
                <w:rFonts w:ascii="宋体" w:hAnsi="宋体" w:cs="仿宋_GB2312"/>
                <w:kern w:val="0"/>
                <w:szCs w:val="21"/>
              </w:rPr>
            </w:pPr>
          </w:p>
        </w:tc>
        <w:tc>
          <w:tcPr>
            <w:tcW w:w="1246" w:type="dxa"/>
          </w:tcPr>
          <w:p w14:paraId="427DF945">
            <w:pPr>
              <w:keepNext/>
              <w:spacing w:after="120" w:line="360" w:lineRule="auto"/>
              <w:ind w:left="63" w:right="63"/>
              <w:rPr>
                <w:rFonts w:ascii="宋体" w:hAnsi="宋体" w:cs="仿宋_GB2312"/>
                <w:kern w:val="0"/>
                <w:szCs w:val="21"/>
              </w:rPr>
            </w:pPr>
          </w:p>
        </w:tc>
        <w:tc>
          <w:tcPr>
            <w:tcW w:w="1306" w:type="dxa"/>
          </w:tcPr>
          <w:p w14:paraId="184121BA">
            <w:pPr>
              <w:keepNext/>
              <w:spacing w:after="120" w:line="360" w:lineRule="auto"/>
              <w:ind w:left="63" w:right="63"/>
              <w:rPr>
                <w:rFonts w:ascii="宋体" w:hAnsi="宋体" w:cs="仿宋_GB2312"/>
                <w:kern w:val="0"/>
                <w:szCs w:val="21"/>
              </w:rPr>
            </w:pPr>
          </w:p>
        </w:tc>
        <w:tc>
          <w:tcPr>
            <w:tcW w:w="1567" w:type="dxa"/>
          </w:tcPr>
          <w:p w14:paraId="0ED91A35">
            <w:pPr>
              <w:keepNext/>
              <w:spacing w:after="120" w:line="360" w:lineRule="auto"/>
              <w:ind w:left="63" w:right="63"/>
              <w:rPr>
                <w:rFonts w:ascii="宋体" w:hAnsi="宋体" w:cs="仿宋_GB2312"/>
                <w:kern w:val="0"/>
                <w:szCs w:val="21"/>
              </w:rPr>
            </w:pPr>
          </w:p>
        </w:tc>
      </w:tr>
      <w:tr w14:paraId="703B14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6A519D01">
            <w:pPr>
              <w:keepNext/>
              <w:spacing w:after="120" w:line="360" w:lineRule="auto"/>
              <w:ind w:left="63" w:right="63"/>
              <w:rPr>
                <w:rFonts w:ascii="宋体" w:hAnsi="宋体" w:cs="仿宋_GB2312"/>
                <w:kern w:val="0"/>
                <w:szCs w:val="21"/>
              </w:rPr>
            </w:pPr>
          </w:p>
        </w:tc>
        <w:tc>
          <w:tcPr>
            <w:tcW w:w="2231" w:type="dxa"/>
          </w:tcPr>
          <w:p w14:paraId="17677375">
            <w:pPr>
              <w:keepNext/>
              <w:spacing w:after="120" w:line="360" w:lineRule="auto"/>
              <w:ind w:left="63" w:right="63"/>
              <w:rPr>
                <w:rFonts w:ascii="宋体" w:hAnsi="宋体" w:cs="仿宋_GB2312"/>
                <w:kern w:val="0"/>
                <w:szCs w:val="21"/>
              </w:rPr>
            </w:pPr>
          </w:p>
        </w:tc>
        <w:tc>
          <w:tcPr>
            <w:tcW w:w="785" w:type="dxa"/>
          </w:tcPr>
          <w:p w14:paraId="59B34386">
            <w:pPr>
              <w:keepNext/>
              <w:spacing w:after="120" w:line="360" w:lineRule="auto"/>
              <w:ind w:left="63" w:right="63"/>
              <w:rPr>
                <w:rFonts w:ascii="宋体" w:hAnsi="宋体" w:cs="仿宋_GB2312"/>
                <w:kern w:val="0"/>
                <w:szCs w:val="21"/>
              </w:rPr>
            </w:pPr>
          </w:p>
        </w:tc>
        <w:tc>
          <w:tcPr>
            <w:tcW w:w="1199" w:type="dxa"/>
          </w:tcPr>
          <w:p w14:paraId="7F5654B3">
            <w:pPr>
              <w:keepNext/>
              <w:spacing w:after="120" w:line="360" w:lineRule="auto"/>
              <w:ind w:left="63" w:right="63"/>
              <w:rPr>
                <w:rFonts w:ascii="宋体" w:hAnsi="宋体" w:cs="仿宋_GB2312"/>
                <w:kern w:val="0"/>
                <w:szCs w:val="21"/>
              </w:rPr>
            </w:pPr>
          </w:p>
        </w:tc>
        <w:tc>
          <w:tcPr>
            <w:tcW w:w="1246" w:type="dxa"/>
          </w:tcPr>
          <w:p w14:paraId="21E346DD">
            <w:pPr>
              <w:keepNext/>
              <w:spacing w:after="120" w:line="360" w:lineRule="auto"/>
              <w:ind w:left="63" w:right="63"/>
              <w:rPr>
                <w:rFonts w:ascii="宋体" w:hAnsi="宋体" w:cs="仿宋_GB2312"/>
                <w:kern w:val="0"/>
                <w:szCs w:val="21"/>
              </w:rPr>
            </w:pPr>
          </w:p>
        </w:tc>
        <w:tc>
          <w:tcPr>
            <w:tcW w:w="1306" w:type="dxa"/>
          </w:tcPr>
          <w:p w14:paraId="03EA08EE">
            <w:pPr>
              <w:keepNext/>
              <w:spacing w:after="120" w:line="360" w:lineRule="auto"/>
              <w:ind w:left="63" w:right="63"/>
              <w:rPr>
                <w:rFonts w:ascii="宋体" w:hAnsi="宋体" w:cs="仿宋_GB2312"/>
                <w:kern w:val="0"/>
                <w:szCs w:val="21"/>
              </w:rPr>
            </w:pPr>
          </w:p>
        </w:tc>
        <w:tc>
          <w:tcPr>
            <w:tcW w:w="1567" w:type="dxa"/>
          </w:tcPr>
          <w:p w14:paraId="6A590C39">
            <w:pPr>
              <w:keepNext/>
              <w:spacing w:after="120" w:line="360" w:lineRule="auto"/>
              <w:ind w:left="63" w:right="63"/>
              <w:rPr>
                <w:rFonts w:ascii="宋体" w:hAnsi="宋体" w:cs="仿宋_GB2312"/>
                <w:kern w:val="0"/>
                <w:szCs w:val="21"/>
              </w:rPr>
            </w:pPr>
          </w:p>
        </w:tc>
      </w:tr>
      <w:tr w14:paraId="1E1D2BF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53BB10B9">
            <w:pPr>
              <w:keepNext/>
              <w:spacing w:after="120" w:line="360" w:lineRule="auto"/>
              <w:ind w:left="63" w:right="63"/>
              <w:rPr>
                <w:rFonts w:ascii="宋体" w:hAnsi="宋体" w:cs="仿宋_GB2312"/>
                <w:kern w:val="0"/>
                <w:szCs w:val="21"/>
              </w:rPr>
            </w:pPr>
          </w:p>
        </w:tc>
        <w:tc>
          <w:tcPr>
            <w:tcW w:w="2231" w:type="dxa"/>
          </w:tcPr>
          <w:p w14:paraId="20A53E13">
            <w:pPr>
              <w:keepNext/>
              <w:spacing w:after="120" w:line="360" w:lineRule="auto"/>
              <w:ind w:left="63" w:right="63"/>
              <w:rPr>
                <w:rFonts w:ascii="宋体" w:hAnsi="宋体" w:cs="仿宋_GB2312"/>
                <w:kern w:val="0"/>
                <w:szCs w:val="21"/>
              </w:rPr>
            </w:pPr>
          </w:p>
        </w:tc>
        <w:tc>
          <w:tcPr>
            <w:tcW w:w="785" w:type="dxa"/>
          </w:tcPr>
          <w:p w14:paraId="5B644FB6">
            <w:pPr>
              <w:keepNext/>
              <w:spacing w:after="120" w:line="360" w:lineRule="auto"/>
              <w:ind w:left="63" w:right="63"/>
              <w:rPr>
                <w:rFonts w:ascii="宋体" w:hAnsi="宋体" w:cs="仿宋_GB2312"/>
                <w:kern w:val="0"/>
                <w:szCs w:val="21"/>
              </w:rPr>
            </w:pPr>
          </w:p>
        </w:tc>
        <w:tc>
          <w:tcPr>
            <w:tcW w:w="1199" w:type="dxa"/>
          </w:tcPr>
          <w:p w14:paraId="31D74BB6">
            <w:pPr>
              <w:keepNext/>
              <w:spacing w:after="120" w:line="360" w:lineRule="auto"/>
              <w:ind w:left="63" w:right="63"/>
              <w:rPr>
                <w:rFonts w:ascii="宋体" w:hAnsi="宋体" w:cs="仿宋_GB2312"/>
                <w:kern w:val="0"/>
                <w:szCs w:val="21"/>
              </w:rPr>
            </w:pPr>
          </w:p>
        </w:tc>
        <w:tc>
          <w:tcPr>
            <w:tcW w:w="1246" w:type="dxa"/>
          </w:tcPr>
          <w:p w14:paraId="7627EB2C">
            <w:pPr>
              <w:keepNext/>
              <w:spacing w:after="120" w:line="360" w:lineRule="auto"/>
              <w:ind w:left="63" w:right="63"/>
              <w:rPr>
                <w:rFonts w:ascii="宋体" w:hAnsi="宋体" w:cs="仿宋_GB2312"/>
                <w:kern w:val="0"/>
                <w:szCs w:val="21"/>
              </w:rPr>
            </w:pPr>
          </w:p>
        </w:tc>
        <w:tc>
          <w:tcPr>
            <w:tcW w:w="1306" w:type="dxa"/>
          </w:tcPr>
          <w:p w14:paraId="1F6206A9">
            <w:pPr>
              <w:keepNext/>
              <w:spacing w:after="120" w:line="360" w:lineRule="auto"/>
              <w:ind w:left="63" w:right="63"/>
              <w:rPr>
                <w:rFonts w:ascii="宋体" w:hAnsi="宋体" w:cs="仿宋_GB2312"/>
                <w:kern w:val="0"/>
                <w:szCs w:val="21"/>
              </w:rPr>
            </w:pPr>
          </w:p>
        </w:tc>
        <w:tc>
          <w:tcPr>
            <w:tcW w:w="1567" w:type="dxa"/>
          </w:tcPr>
          <w:p w14:paraId="4A13F3F0">
            <w:pPr>
              <w:keepNext/>
              <w:spacing w:after="120" w:line="360" w:lineRule="auto"/>
              <w:ind w:left="63" w:right="63"/>
              <w:rPr>
                <w:rFonts w:ascii="宋体" w:hAnsi="宋体" w:cs="仿宋_GB2312"/>
                <w:kern w:val="0"/>
                <w:szCs w:val="21"/>
              </w:rPr>
            </w:pPr>
          </w:p>
        </w:tc>
      </w:tr>
      <w:tr w14:paraId="3C63A5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18FB48D1">
            <w:pPr>
              <w:keepNext/>
              <w:spacing w:after="120" w:line="360" w:lineRule="auto"/>
              <w:ind w:left="63" w:right="63"/>
              <w:rPr>
                <w:rFonts w:ascii="宋体" w:hAnsi="宋体" w:cs="仿宋_GB2312"/>
                <w:kern w:val="0"/>
                <w:szCs w:val="21"/>
              </w:rPr>
            </w:pPr>
          </w:p>
        </w:tc>
        <w:tc>
          <w:tcPr>
            <w:tcW w:w="2231" w:type="dxa"/>
          </w:tcPr>
          <w:p w14:paraId="67514ED9">
            <w:pPr>
              <w:keepNext/>
              <w:spacing w:after="120" w:line="360" w:lineRule="auto"/>
              <w:ind w:left="63" w:right="63"/>
              <w:rPr>
                <w:rFonts w:ascii="宋体" w:hAnsi="宋体" w:cs="仿宋_GB2312"/>
                <w:kern w:val="0"/>
                <w:szCs w:val="21"/>
              </w:rPr>
            </w:pPr>
          </w:p>
        </w:tc>
        <w:tc>
          <w:tcPr>
            <w:tcW w:w="785" w:type="dxa"/>
          </w:tcPr>
          <w:p w14:paraId="511EED29">
            <w:pPr>
              <w:keepNext/>
              <w:spacing w:after="120" w:line="360" w:lineRule="auto"/>
              <w:ind w:left="63" w:right="63"/>
              <w:rPr>
                <w:rFonts w:ascii="宋体" w:hAnsi="宋体" w:cs="仿宋_GB2312"/>
                <w:kern w:val="0"/>
                <w:szCs w:val="21"/>
              </w:rPr>
            </w:pPr>
          </w:p>
        </w:tc>
        <w:tc>
          <w:tcPr>
            <w:tcW w:w="1199" w:type="dxa"/>
          </w:tcPr>
          <w:p w14:paraId="01367D2D">
            <w:pPr>
              <w:keepNext/>
              <w:spacing w:after="120" w:line="360" w:lineRule="auto"/>
              <w:ind w:left="63" w:right="63"/>
              <w:rPr>
                <w:rFonts w:ascii="宋体" w:hAnsi="宋体" w:cs="仿宋_GB2312"/>
                <w:kern w:val="0"/>
                <w:szCs w:val="21"/>
              </w:rPr>
            </w:pPr>
          </w:p>
        </w:tc>
        <w:tc>
          <w:tcPr>
            <w:tcW w:w="1246" w:type="dxa"/>
          </w:tcPr>
          <w:p w14:paraId="46FCF97E">
            <w:pPr>
              <w:keepNext/>
              <w:spacing w:after="120" w:line="360" w:lineRule="auto"/>
              <w:ind w:left="63" w:right="63"/>
              <w:rPr>
                <w:rFonts w:ascii="宋体" w:hAnsi="宋体" w:cs="仿宋_GB2312"/>
                <w:kern w:val="0"/>
                <w:szCs w:val="21"/>
              </w:rPr>
            </w:pPr>
          </w:p>
        </w:tc>
        <w:tc>
          <w:tcPr>
            <w:tcW w:w="1306" w:type="dxa"/>
          </w:tcPr>
          <w:p w14:paraId="1215C435">
            <w:pPr>
              <w:keepNext/>
              <w:spacing w:after="120" w:line="360" w:lineRule="auto"/>
              <w:ind w:left="63" w:right="63"/>
              <w:rPr>
                <w:rFonts w:ascii="宋体" w:hAnsi="宋体" w:cs="仿宋_GB2312"/>
                <w:kern w:val="0"/>
                <w:szCs w:val="21"/>
              </w:rPr>
            </w:pPr>
          </w:p>
        </w:tc>
        <w:tc>
          <w:tcPr>
            <w:tcW w:w="1567" w:type="dxa"/>
          </w:tcPr>
          <w:p w14:paraId="2FBF3F43">
            <w:pPr>
              <w:keepNext/>
              <w:spacing w:after="120" w:line="360" w:lineRule="auto"/>
              <w:ind w:left="63" w:right="63"/>
              <w:rPr>
                <w:rFonts w:ascii="宋体" w:hAnsi="宋体" w:cs="仿宋_GB2312"/>
                <w:kern w:val="0"/>
                <w:szCs w:val="21"/>
              </w:rPr>
            </w:pPr>
          </w:p>
        </w:tc>
      </w:tr>
    </w:tbl>
    <w:p w14:paraId="31D31FC1">
      <w:pPr>
        <w:spacing w:line="360" w:lineRule="auto"/>
        <w:rPr>
          <w:rFonts w:ascii="宋体" w:hAnsi="宋体" w:cs="仿宋_GB2312"/>
          <w:szCs w:val="21"/>
        </w:rPr>
      </w:pPr>
    </w:p>
    <w:p w14:paraId="2C3095D8">
      <w:pPr>
        <w:spacing w:before="156" w:beforeLines="50" w:after="156" w:afterLines="50" w:line="360" w:lineRule="auto"/>
        <w:rPr>
          <w:rFonts w:ascii="宋体" w:hAnsi="宋体" w:cs="仿宋_GB2312"/>
          <w:szCs w:val="21"/>
        </w:rPr>
      </w:pPr>
    </w:p>
    <w:p w14:paraId="6BFE6C41">
      <w:pPr>
        <w:spacing w:before="156" w:beforeLines="50" w:after="156" w:afterLines="50" w:line="360" w:lineRule="auto"/>
        <w:rPr>
          <w:rFonts w:ascii="宋体" w:hAnsi="宋体" w:cs="仿宋_GB2312"/>
          <w:szCs w:val="21"/>
        </w:rPr>
      </w:pPr>
    </w:p>
    <w:p w14:paraId="339E5360">
      <w:pPr>
        <w:spacing w:before="156" w:beforeLines="50" w:after="156" w:afterLines="50" w:line="360" w:lineRule="auto"/>
        <w:rPr>
          <w:rFonts w:ascii="宋体" w:hAnsi="宋体" w:cs="仿宋_GB2312"/>
          <w:szCs w:val="21"/>
        </w:rPr>
      </w:pPr>
    </w:p>
    <w:p w14:paraId="66B62094">
      <w:pPr>
        <w:spacing w:before="156" w:beforeLines="50" w:after="156" w:afterLines="50" w:line="360" w:lineRule="auto"/>
        <w:rPr>
          <w:rFonts w:ascii="宋体" w:hAnsi="宋体" w:cs="仿宋_GB2312"/>
          <w:szCs w:val="21"/>
        </w:rPr>
      </w:pPr>
    </w:p>
    <w:p w14:paraId="23A6736F">
      <w:pPr>
        <w:spacing w:before="156" w:beforeLines="50" w:after="156" w:afterLines="50" w:line="360" w:lineRule="auto"/>
        <w:jc w:val="center"/>
        <w:rPr>
          <w:rFonts w:ascii="宋体" w:hAnsi="宋体" w:cs="仿宋_GB2312"/>
          <w:szCs w:val="21"/>
        </w:rPr>
      </w:pPr>
      <w:r>
        <w:rPr>
          <w:rFonts w:hint="eastAsia" w:ascii="宋体" w:hAnsi="宋体" w:cs="仿宋_GB2312"/>
          <w:szCs w:val="21"/>
        </w:rPr>
        <w:t>11-3：专业工程暂估价表</w:t>
      </w:r>
    </w:p>
    <w:tbl>
      <w:tblPr>
        <w:tblStyle w:val="47"/>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16"/>
        <w:gridCol w:w="2231"/>
        <w:gridCol w:w="785"/>
        <w:gridCol w:w="1058"/>
        <w:gridCol w:w="1559"/>
        <w:gridCol w:w="1559"/>
        <w:gridCol w:w="1567"/>
      </w:tblGrid>
      <w:tr w14:paraId="7DB731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770CE7CD">
            <w:pPr>
              <w:keepNext/>
              <w:spacing w:after="120" w:line="360" w:lineRule="auto"/>
              <w:ind w:left="63" w:right="63"/>
              <w:rPr>
                <w:rFonts w:ascii="宋体" w:hAnsi="宋体" w:cs="仿宋_GB2312"/>
                <w:kern w:val="0"/>
                <w:szCs w:val="21"/>
              </w:rPr>
            </w:pPr>
            <w:r>
              <w:rPr>
                <w:rFonts w:hint="eastAsia" w:ascii="宋体" w:hAnsi="宋体" w:cs="仿宋_GB2312"/>
                <w:kern w:val="0"/>
                <w:szCs w:val="21"/>
              </w:rPr>
              <w:t>序号</w:t>
            </w:r>
          </w:p>
        </w:tc>
        <w:tc>
          <w:tcPr>
            <w:tcW w:w="2231" w:type="dxa"/>
          </w:tcPr>
          <w:p w14:paraId="54B2DE7C">
            <w:pPr>
              <w:keepNext/>
              <w:spacing w:after="120" w:line="360" w:lineRule="auto"/>
              <w:ind w:left="63" w:right="63"/>
              <w:rPr>
                <w:rFonts w:ascii="宋体" w:hAnsi="宋体" w:cs="仿宋_GB2312"/>
                <w:kern w:val="0"/>
                <w:szCs w:val="21"/>
              </w:rPr>
            </w:pPr>
            <w:r>
              <w:rPr>
                <w:rFonts w:hint="eastAsia" w:ascii="宋体" w:hAnsi="宋体" w:cs="仿宋_GB2312"/>
                <w:kern w:val="0"/>
                <w:szCs w:val="21"/>
              </w:rPr>
              <w:t>名称</w:t>
            </w:r>
          </w:p>
        </w:tc>
        <w:tc>
          <w:tcPr>
            <w:tcW w:w="785" w:type="dxa"/>
          </w:tcPr>
          <w:p w14:paraId="23B8F36C">
            <w:pPr>
              <w:keepNext/>
              <w:spacing w:after="120" w:line="360" w:lineRule="auto"/>
              <w:ind w:left="63" w:right="63"/>
              <w:rPr>
                <w:rFonts w:ascii="宋体" w:hAnsi="宋体" w:cs="仿宋_GB2312"/>
                <w:kern w:val="0"/>
                <w:szCs w:val="21"/>
              </w:rPr>
            </w:pPr>
            <w:r>
              <w:rPr>
                <w:rFonts w:hint="eastAsia" w:ascii="宋体" w:hAnsi="宋体" w:cs="仿宋_GB2312"/>
                <w:kern w:val="0"/>
                <w:szCs w:val="21"/>
              </w:rPr>
              <w:t>单位</w:t>
            </w:r>
          </w:p>
        </w:tc>
        <w:tc>
          <w:tcPr>
            <w:tcW w:w="1058" w:type="dxa"/>
          </w:tcPr>
          <w:p w14:paraId="131DB0F4">
            <w:pPr>
              <w:keepNext/>
              <w:spacing w:after="120" w:line="360" w:lineRule="auto"/>
              <w:ind w:left="63" w:right="63"/>
              <w:rPr>
                <w:rFonts w:ascii="宋体" w:hAnsi="宋体" w:cs="仿宋_GB2312"/>
                <w:kern w:val="0"/>
                <w:szCs w:val="21"/>
              </w:rPr>
            </w:pPr>
            <w:r>
              <w:rPr>
                <w:rFonts w:hint="eastAsia" w:ascii="宋体" w:hAnsi="宋体" w:cs="仿宋_GB2312"/>
                <w:kern w:val="0"/>
                <w:szCs w:val="21"/>
              </w:rPr>
              <w:t>数量</w:t>
            </w:r>
          </w:p>
        </w:tc>
        <w:tc>
          <w:tcPr>
            <w:tcW w:w="1559" w:type="dxa"/>
          </w:tcPr>
          <w:p w14:paraId="19EBACDA">
            <w:pPr>
              <w:keepNext/>
              <w:spacing w:after="120" w:line="360" w:lineRule="auto"/>
              <w:ind w:left="63" w:right="63"/>
              <w:rPr>
                <w:rFonts w:ascii="宋体" w:hAnsi="宋体" w:cs="仿宋_GB2312"/>
                <w:kern w:val="0"/>
                <w:szCs w:val="21"/>
              </w:rPr>
            </w:pPr>
            <w:r>
              <w:rPr>
                <w:rFonts w:hint="eastAsia" w:ascii="宋体" w:hAnsi="宋体" w:cs="仿宋_GB2312"/>
                <w:kern w:val="0"/>
                <w:szCs w:val="21"/>
              </w:rPr>
              <w:t>单价（元）</w:t>
            </w:r>
          </w:p>
        </w:tc>
        <w:tc>
          <w:tcPr>
            <w:tcW w:w="1559" w:type="dxa"/>
          </w:tcPr>
          <w:p w14:paraId="4E008052">
            <w:pPr>
              <w:keepNext/>
              <w:spacing w:after="120" w:line="360" w:lineRule="auto"/>
              <w:ind w:left="63" w:right="63"/>
              <w:rPr>
                <w:rFonts w:ascii="宋体" w:hAnsi="宋体" w:cs="仿宋_GB2312"/>
                <w:kern w:val="0"/>
                <w:szCs w:val="21"/>
              </w:rPr>
            </w:pPr>
            <w:r>
              <w:rPr>
                <w:rFonts w:hint="eastAsia" w:ascii="宋体" w:hAnsi="宋体" w:cs="仿宋_GB2312"/>
                <w:kern w:val="0"/>
                <w:szCs w:val="21"/>
              </w:rPr>
              <w:t>合价（元）</w:t>
            </w:r>
          </w:p>
        </w:tc>
        <w:tc>
          <w:tcPr>
            <w:tcW w:w="1567" w:type="dxa"/>
          </w:tcPr>
          <w:p w14:paraId="5994955D">
            <w:pPr>
              <w:keepNext/>
              <w:spacing w:after="120" w:line="360" w:lineRule="auto"/>
              <w:ind w:left="63" w:right="63"/>
              <w:rPr>
                <w:rFonts w:ascii="宋体" w:hAnsi="宋体" w:cs="仿宋_GB2312"/>
                <w:kern w:val="0"/>
                <w:szCs w:val="21"/>
              </w:rPr>
            </w:pPr>
            <w:r>
              <w:rPr>
                <w:rFonts w:hint="eastAsia" w:ascii="宋体" w:hAnsi="宋体" w:cs="仿宋_GB2312"/>
                <w:kern w:val="0"/>
                <w:szCs w:val="21"/>
              </w:rPr>
              <w:t>备注</w:t>
            </w:r>
          </w:p>
        </w:tc>
      </w:tr>
      <w:tr w14:paraId="42F0EC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121B14F0">
            <w:pPr>
              <w:keepNext/>
              <w:spacing w:after="120" w:line="360" w:lineRule="auto"/>
              <w:ind w:left="63" w:right="63"/>
              <w:rPr>
                <w:rFonts w:ascii="宋体" w:hAnsi="宋体" w:cs="仿宋_GB2312"/>
                <w:kern w:val="0"/>
                <w:szCs w:val="21"/>
              </w:rPr>
            </w:pPr>
          </w:p>
        </w:tc>
        <w:tc>
          <w:tcPr>
            <w:tcW w:w="2231" w:type="dxa"/>
          </w:tcPr>
          <w:p w14:paraId="447AF470">
            <w:pPr>
              <w:keepNext/>
              <w:spacing w:after="120" w:line="360" w:lineRule="auto"/>
              <w:ind w:left="63" w:right="63"/>
              <w:rPr>
                <w:rFonts w:ascii="宋体" w:hAnsi="宋体" w:cs="仿宋_GB2312"/>
                <w:kern w:val="0"/>
                <w:szCs w:val="21"/>
              </w:rPr>
            </w:pPr>
          </w:p>
        </w:tc>
        <w:tc>
          <w:tcPr>
            <w:tcW w:w="785" w:type="dxa"/>
          </w:tcPr>
          <w:p w14:paraId="6754532D">
            <w:pPr>
              <w:keepNext/>
              <w:spacing w:after="120" w:line="360" w:lineRule="auto"/>
              <w:ind w:left="63" w:right="63"/>
              <w:rPr>
                <w:rFonts w:ascii="宋体" w:hAnsi="宋体" w:cs="仿宋_GB2312"/>
                <w:kern w:val="0"/>
                <w:szCs w:val="21"/>
              </w:rPr>
            </w:pPr>
          </w:p>
        </w:tc>
        <w:tc>
          <w:tcPr>
            <w:tcW w:w="1058" w:type="dxa"/>
          </w:tcPr>
          <w:p w14:paraId="6BE566BA">
            <w:pPr>
              <w:keepNext/>
              <w:spacing w:after="120" w:line="360" w:lineRule="auto"/>
              <w:ind w:left="63" w:right="63"/>
              <w:rPr>
                <w:rFonts w:ascii="宋体" w:hAnsi="宋体" w:cs="仿宋_GB2312"/>
                <w:kern w:val="0"/>
                <w:szCs w:val="21"/>
              </w:rPr>
            </w:pPr>
          </w:p>
        </w:tc>
        <w:tc>
          <w:tcPr>
            <w:tcW w:w="1559" w:type="dxa"/>
          </w:tcPr>
          <w:p w14:paraId="5915FC3B">
            <w:pPr>
              <w:keepNext/>
              <w:spacing w:after="120" w:line="360" w:lineRule="auto"/>
              <w:ind w:left="63" w:right="63"/>
              <w:rPr>
                <w:rFonts w:ascii="宋体" w:hAnsi="宋体" w:cs="仿宋_GB2312"/>
                <w:kern w:val="0"/>
                <w:szCs w:val="21"/>
              </w:rPr>
            </w:pPr>
          </w:p>
        </w:tc>
        <w:tc>
          <w:tcPr>
            <w:tcW w:w="1559" w:type="dxa"/>
          </w:tcPr>
          <w:p w14:paraId="02492669">
            <w:pPr>
              <w:keepNext/>
              <w:spacing w:after="120" w:line="360" w:lineRule="auto"/>
              <w:ind w:left="63" w:right="63"/>
              <w:rPr>
                <w:rFonts w:ascii="宋体" w:hAnsi="宋体" w:cs="仿宋_GB2312"/>
                <w:kern w:val="0"/>
                <w:szCs w:val="21"/>
              </w:rPr>
            </w:pPr>
          </w:p>
        </w:tc>
        <w:tc>
          <w:tcPr>
            <w:tcW w:w="1567" w:type="dxa"/>
          </w:tcPr>
          <w:p w14:paraId="5FFFCD75">
            <w:pPr>
              <w:keepNext/>
              <w:spacing w:after="120" w:line="360" w:lineRule="auto"/>
              <w:ind w:left="63" w:right="63"/>
              <w:rPr>
                <w:rFonts w:ascii="宋体" w:hAnsi="宋体" w:cs="仿宋_GB2312"/>
                <w:kern w:val="0"/>
                <w:szCs w:val="21"/>
              </w:rPr>
            </w:pPr>
          </w:p>
        </w:tc>
      </w:tr>
      <w:tr w14:paraId="1148AD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431A899F">
            <w:pPr>
              <w:keepNext/>
              <w:spacing w:after="120" w:line="360" w:lineRule="auto"/>
              <w:ind w:left="63" w:right="63"/>
              <w:rPr>
                <w:rFonts w:ascii="宋体" w:hAnsi="宋体" w:cs="仿宋_GB2312"/>
                <w:kern w:val="0"/>
                <w:szCs w:val="21"/>
              </w:rPr>
            </w:pPr>
          </w:p>
        </w:tc>
        <w:tc>
          <w:tcPr>
            <w:tcW w:w="2231" w:type="dxa"/>
          </w:tcPr>
          <w:p w14:paraId="4532E6E5">
            <w:pPr>
              <w:keepNext/>
              <w:spacing w:after="120" w:line="360" w:lineRule="auto"/>
              <w:ind w:left="63" w:right="63"/>
              <w:rPr>
                <w:rFonts w:ascii="宋体" w:hAnsi="宋体" w:cs="仿宋_GB2312"/>
                <w:kern w:val="0"/>
                <w:szCs w:val="21"/>
              </w:rPr>
            </w:pPr>
          </w:p>
        </w:tc>
        <w:tc>
          <w:tcPr>
            <w:tcW w:w="785" w:type="dxa"/>
          </w:tcPr>
          <w:p w14:paraId="13F21804">
            <w:pPr>
              <w:keepNext/>
              <w:spacing w:after="120" w:line="360" w:lineRule="auto"/>
              <w:ind w:left="63" w:right="63"/>
              <w:rPr>
                <w:rFonts w:ascii="宋体" w:hAnsi="宋体" w:cs="仿宋_GB2312"/>
                <w:kern w:val="0"/>
                <w:szCs w:val="21"/>
              </w:rPr>
            </w:pPr>
          </w:p>
        </w:tc>
        <w:tc>
          <w:tcPr>
            <w:tcW w:w="1058" w:type="dxa"/>
          </w:tcPr>
          <w:p w14:paraId="72D11E4B">
            <w:pPr>
              <w:keepNext/>
              <w:spacing w:after="120" w:line="360" w:lineRule="auto"/>
              <w:ind w:left="63" w:right="63"/>
              <w:rPr>
                <w:rFonts w:ascii="宋体" w:hAnsi="宋体" w:cs="仿宋_GB2312"/>
                <w:kern w:val="0"/>
                <w:szCs w:val="21"/>
              </w:rPr>
            </w:pPr>
          </w:p>
        </w:tc>
        <w:tc>
          <w:tcPr>
            <w:tcW w:w="1559" w:type="dxa"/>
          </w:tcPr>
          <w:p w14:paraId="52DE619C">
            <w:pPr>
              <w:keepNext/>
              <w:spacing w:after="120" w:line="360" w:lineRule="auto"/>
              <w:ind w:left="63" w:right="63"/>
              <w:rPr>
                <w:rFonts w:ascii="宋体" w:hAnsi="宋体" w:cs="仿宋_GB2312"/>
                <w:kern w:val="0"/>
                <w:szCs w:val="21"/>
              </w:rPr>
            </w:pPr>
          </w:p>
        </w:tc>
        <w:tc>
          <w:tcPr>
            <w:tcW w:w="1559" w:type="dxa"/>
          </w:tcPr>
          <w:p w14:paraId="3B3EC725">
            <w:pPr>
              <w:keepNext/>
              <w:spacing w:after="120" w:line="360" w:lineRule="auto"/>
              <w:ind w:left="63" w:right="63"/>
              <w:rPr>
                <w:rFonts w:ascii="宋体" w:hAnsi="宋体" w:cs="仿宋_GB2312"/>
                <w:kern w:val="0"/>
                <w:szCs w:val="21"/>
              </w:rPr>
            </w:pPr>
          </w:p>
        </w:tc>
        <w:tc>
          <w:tcPr>
            <w:tcW w:w="1567" w:type="dxa"/>
          </w:tcPr>
          <w:p w14:paraId="6C381A9E">
            <w:pPr>
              <w:keepNext/>
              <w:spacing w:after="120" w:line="360" w:lineRule="auto"/>
              <w:ind w:left="63" w:right="63"/>
              <w:rPr>
                <w:rFonts w:ascii="宋体" w:hAnsi="宋体" w:cs="仿宋_GB2312"/>
                <w:kern w:val="0"/>
                <w:szCs w:val="21"/>
              </w:rPr>
            </w:pPr>
          </w:p>
        </w:tc>
      </w:tr>
      <w:tr w14:paraId="05AFD3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3A34ECAF">
            <w:pPr>
              <w:keepNext/>
              <w:spacing w:after="120" w:line="360" w:lineRule="auto"/>
              <w:ind w:left="63" w:right="63"/>
              <w:rPr>
                <w:rFonts w:ascii="宋体" w:hAnsi="宋体" w:cs="仿宋_GB2312"/>
                <w:kern w:val="0"/>
                <w:szCs w:val="21"/>
              </w:rPr>
            </w:pPr>
          </w:p>
        </w:tc>
        <w:tc>
          <w:tcPr>
            <w:tcW w:w="2231" w:type="dxa"/>
          </w:tcPr>
          <w:p w14:paraId="27EDE6B1">
            <w:pPr>
              <w:keepNext/>
              <w:spacing w:after="120" w:line="360" w:lineRule="auto"/>
              <w:ind w:left="63" w:right="63"/>
              <w:rPr>
                <w:rFonts w:ascii="宋体" w:hAnsi="宋体" w:cs="仿宋_GB2312"/>
                <w:kern w:val="0"/>
                <w:szCs w:val="21"/>
              </w:rPr>
            </w:pPr>
          </w:p>
        </w:tc>
        <w:tc>
          <w:tcPr>
            <w:tcW w:w="785" w:type="dxa"/>
          </w:tcPr>
          <w:p w14:paraId="608704A4">
            <w:pPr>
              <w:keepNext/>
              <w:spacing w:after="120" w:line="360" w:lineRule="auto"/>
              <w:ind w:left="63" w:right="63"/>
              <w:rPr>
                <w:rFonts w:ascii="宋体" w:hAnsi="宋体" w:cs="仿宋_GB2312"/>
                <w:kern w:val="0"/>
                <w:szCs w:val="21"/>
              </w:rPr>
            </w:pPr>
          </w:p>
        </w:tc>
        <w:tc>
          <w:tcPr>
            <w:tcW w:w="1058" w:type="dxa"/>
          </w:tcPr>
          <w:p w14:paraId="254A5646">
            <w:pPr>
              <w:keepNext/>
              <w:spacing w:after="120" w:line="360" w:lineRule="auto"/>
              <w:ind w:left="63" w:right="63"/>
              <w:rPr>
                <w:rFonts w:ascii="宋体" w:hAnsi="宋体" w:cs="仿宋_GB2312"/>
                <w:kern w:val="0"/>
                <w:szCs w:val="21"/>
              </w:rPr>
            </w:pPr>
          </w:p>
        </w:tc>
        <w:tc>
          <w:tcPr>
            <w:tcW w:w="1559" w:type="dxa"/>
          </w:tcPr>
          <w:p w14:paraId="04644A24">
            <w:pPr>
              <w:keepNext/>
              <w:spacing w:after="120" w:line="360" w:lineRule="auto"/>
              <w:ind w:left="63" w:right="63"/>
              <w:rPr>
                <w:rFonts w:ascii="宋体" w:hAnsi="宋体" w:cs="仿宋_GB2312"/>
                <w:kern w:val="0"/>
                <w:szCs w:val="21"/>
              </w:rPr>
            </w:pPr>
          </w:p>
        </w:tc>
        <w:tc>
          <w:tcPr>
            <w:tcW w:w="1559" w:type="dxa"/>
          </w:tcPr>
          <w:p w14:paraId="2F111033">
            <w:pPr>
              <w:keepNext/>
              <w:spacing w:after="120" w:line="360" w:lineRule="auto"/>
              <w:ind w:left="63" w:right="63"/>
              <w:rPr>
                <w:rFonts w:ascii="宋体" w:hAnsi="宋体" w:cs="仿宋_GB2312"/>
                <w:kern w:val="0"/>
                <w:szCs w:val="21"/>
              </w:rPr>
            </w:pPr>
          </w:p>
        </w:tc>
        <w:tc>
          <w:tcPr>
            <w:tcW w:w="1567" w:type="dxa"/>
          </w:tcPr>
          <w:p w14:paraId="64062811">
            <w:pPr>
              <w:keepNext/>
              <w:spacing w:after="120" w:line="360" w:lineRule="auto"/>
              <w:ind w:left="63" w:right="63"/>
              <w:rPr>
                <w:rFonts w:ascii="宋体" w:hAnsi="宋体" w:cs="仿宋_GB2312"/>
                <w:kern w:val="0"/>
                <w:szCs w:val="21"/>
              </w:rPr>
            </w:pPr>
          </w:p>
        </w:tc>
      </w:tr>
      <w:tr w14:paraId="40DB0B9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15C9F169">
            <w:pPr>
              <w:keepNext/>
              <w:spacing w:after="120" w:line="360" w:lineRule="auto"/>
              <w:ind w:left="63" w:right="63"/>
              <w:rPr>
                <w:rFonts w:ascii="宋体" w:hAnsi="宋体" w:cs="仿宋_GB2312"/>
                <w:kern w:val="0"/>
                <w:szCs w:val="21"/>
              </w:rPr>
            </w:pPr>
          </w:p>
        </w:tc>
        <w:tc>
          <w:tcPr>
            <w:tcW w:w="2231" w:type="dxa"/>
          </w:tcPr>
          <w:p w14:paraId="49DD3E83">
            <w:pPr>
              <w:keepNext/>
              <w:spacing w:after="120" w:line="360" w:lineRule="auto"/>
              <w:ind w:left="63" w:right="63"/>
              <w:rPr>
                <w:rFonts w:ascii="宋体" w:hAnsi="宋体" w:cs="仿宋_GB2312"/>
                <w:kern w:val="0"/>
                <w:szCs w:val="21"/>
              </w:rPr>
            </w:pPr>
          </w:p>
        </w:tc>
        <w:tc>
          <w:tcPr>
            <w:tcW w:w="785" w:type="dxa"/>
          </w:tcPr>
          <w:p w14:paraId="03921467">
            <w:pPr>
              <w:keepNext/>
              <w:spacing w:after="120" w:line="360" w:lineRule="auto"/>
              <w:ind w:left="63" w:right="63"/>
              <w:rPr>
                <w:rFonts w:ascii="宋体" w:hAnsi="宋体" w:cs="仿宋_GB2312"/>
                <w:kern w:val="0"/>
                <w:szCs w:val="21"/>
              </w:rPr>
            </w:pPr>
          </w:p>
        </w:tc>
        <w:tc>
          <w:tcPr>
            <w:tcW w:w="1058" w:type="dxa"/>
          </w:tcPr>
          <w:p w14:paraId="61E657F0">
            <w:pPr>
              <w:keepNext/>
              <w:spacing w:after="120" w:line="360" w:lineRule="auto"/>
              <w:ind w:left="63" w:right="63"/>
              <w:rPr>
                <w:rFonts w:ascii="宋体" w:hAnsi="宋体" w:cs="仿宋_GB2312"/>
                <w:kern w:val="0"/>
                <w:szCs w:val="21"/>
              </w:rPr>
            </w:pPr>
          </w:p>
        </w:tc>
        <w:tc>
          <w:tcPr>
            <w:tcW w:w="1559" w:type="dxa"/>
          </w:tcPr>
          <w:p w14:paraId="2DA39087">
            <w:pPr>
              <w:keepNext/>
              <w:spacing w:after="120" w:line="360" w:lineRule="auto"/>
              <w:ind w:left="63" w:right="63"/>
              <w:rPr>
                <w:rFonts w:ascii="宋体" w:hAnsi="宋体" w:cs="仿宋_GB2312"/>
                <w:kern w:val="0"/>
                <w:szCs w:val="21"/>
              </w:rPr>
            </w:pPr>
          </w:p>
        </w:tc>
        <w:tc>
          <w:tcPr>
            <w:tcW w:w="1559" w:type="dxa"/>
          </w:tcPr>
          <w:p w14:paraId="3B240902">
            <w:pPr>
              <w:keepNext/>
              <w:spacing w:after="120" w:line="360" w:lineRule="auto"/>
              <w:ind w:left="63" w:right="63"/>
              <w:rPr>
                <w:rFonts w:ascii="宋体" w:hAnsi="宋体" w:cs="仿宋_GB2312"/>
                <w:kern w:val="0"/>
                <w:szCs w:val="21"/>
              </w:rPr>
            </w:pPr>
          </w:p>
        </w:tc>
        <w:tc>
          <w:tcPr>
            <w:tcW w:w="1567" w:type="dxa"/>
          </w:tcPr>
          <w:p w14:paraId="2FEA19FD">
            <w:pPr>
              <w:keepNext/>
              <w:spacing w:after="120" w:line="360" w:lineRule="auto"/>
              <w:ind w:left="63" w:right="63"/>
              <w:rPr>
                <w:rFonts w:ascii="宋体" w:hAnsi="宋体" w:cs="仿宋_GB2312"/>
                <w:kern w:val="0"/>
                <w:szCs w:val="21"/>
              </w:rPr>
            </w:pPr>
          </w:p>
        </w:tc>
      </w:tr>
      <w:tr w14:paraId="3A3076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32688070">
            <w:pPr>
              <w:keepNext/>
              <w:spacing w:after="120" w:line="360" w:lineRule="auto"/>
              <w:ind w:left="63" w:right="63"/>
              <w:rPr>
                <w:rFonts w:ascii="宋体" w:hAnsi="宋体" w:cs="仿宋_GB2312"/>
                <w:kern w:val="0"/>
                <w:szCs w:val="21"/>
              </w:rPr>
            </w:pPr>
          </w:p>
        </w:tc>
        <w:tc>
          <w:tcPr>
            <w:tcW w:w="2231" w:type="dxa"/>
          </w:tcPr>
          <w:p w14:paraId="694BD02B">
            <w:pPr>
              <w:keepNext/>
              <w:spacing w:after="120" w:line="360" w:lineRule="auto"/>
              <w:ind w:left="63" w:right="63"/>
              <w:rPr>
                <w:rFonts w:ascii="宋体" w:hAnsi="宋体" w:cs="仿宋_GB2312"/>
                <w:kern w:val="0"/>
                <w:szCs w:val="21"/>
              </w:rPr>
            </w:pPr>
          </w:p>
        </w:tc>
        <w:tc>
          <w:tcPr>
            <w:tcW w:w="785" w:type="dxa"/>
          </w:tcPr>
          <w:p w14:paraId="7B23EDD6">
            <w:pPr>
              <w:keepNext/>
              <w:spacing w:after="120" w:line="360" w:lineRule="auto"/>
              <w:ind w:left="63" w:right="63"/>
              <w:rPr>
                <w:rFonts w:ascii="宋体" w:hAnsi="宋体" w:cs="仿宋_GB2312"/>
                <w:kern w:val="0"/>
                <w:szCs w:val="21"/>
              </w:rPr>
            </w:pPr>
          </w:p>
        </w:tc>
        <w:tc>
          <w:tcPr>
            <w:tcW w:w="1058" w:type="dxa"/>
          </w:tcPr>
          <w:p w14:paraId="08762100">
            <w:pPr>
              <w:keepNext/>
              <w:spacing w:after="120" w:line="360" w:lineRule="auto"/>
              <w:ind w:left="63" w:right="63"/>
              <w:rPr>
                <w:rFonts w:ascii="宋体" w:hAnsi="宋体" w:cs="仿宋_GB2312"/>
                <w:kern w:val="0"/>
                <w:szCs w:val="21"/>
              </w:rPr>
            </w:pPr>
          </w:p>
        </w:tc>
        <w:tc>
          <w:tcPr>
            <w:tcW w:w="1559" w:type="dxa"/>
          </w:tcPr>
          <w:p w14:paraId="2D8EEA38">
            <w:pPr>
              <w:keepNext/>
              <w:spacing w:after="120" w:line="360" w:lineRule="auto"/>
              <w:ind w:left="63" w:right="63"/>
              <w:rPr>
                <w:rFonts w:ascii="宋体" w:hAnsi="宋体" w:cs="仿宋_GB2312"/>
                <w:kern w:val="0"/>
                <w:szCs w:val="21"/>
              </w:rPr>
            </w:pPr>
          </w:p>
        </w:tc>
        <w:tc>
          <w:tcPr>
            <w:tcW w:w="1559" w:type="dxa"/>
          </w:tcPr>
          <w:p w14:paraId="202BED3E">
            <w:pPr>
              <w:keepNext/>
              <w:spacing w:after="120" w:line="360" w:lineRule="auto"/>
              <w:ind w:left="63" w:right="63"/>
              <w:rPr>
                <w:rFonts w:ascii="宋体" w:hAnsi="宋体" w:cs="仿宋_GB2312"/>
                <w:kern w:val="0"/>
                <w:szCs w:val="21"/>
              </w:rPr>
            </w:pPr>
          </w:p>
        </w:tc>
        <w:tc>
          <w:tcPr>
            <w:tcW w:w="1567" w:type="dxa"/>
          </w:tcPr>
          <w:p w14:paraId="49D2628A">
            <w:pPr>
              <w:keepNext/>
              <w:spacing w:after="120" w:line="360" w:lineRule="auto"/>
              <w:ind w:left="63" w:right="63"/>
              <w:rPr>
                <w:rFonts w:ascii="宋体" w:hAnsi="宋体" w:cs="仿宋_GB2312"/>
                <w:kern w:val="0"/>
                <w:szCs w:val="21"/>
              </w:rPr>
            </w:pPr>
          </w:p>
        </w:tc>
      </w:tr>
      <w:tr w14:paraId="0852B5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5E8C7D6E">
            <w:pPr>
              <w:keepNext/>
              <w:spacing w:after="120" w:line="360" w:lineRule="auto"/>
              <w:ind w:left="63" w:right="63"/>
              <w:rPr>
                <w:rFonts w:ascii="宋体" w:hAnsi="宋体" w:cs="仿宋_GB2312"/>
                <w:kern w:val="0"/>
                <w:szCs w:val="21"/>
              </w:rPr>
            </w:pPr>
          </w:p>
        </w:tc>
        <w:tc>
          <w:tcPr>
            <w:tcW w:w="2231" w:type="dxa"/>
          </w:tcPr>
          <w:p w14:paraId="4AD68EE7">
            <w:pPr>
              <w:keepNext/>
              <w:spacing w:after="120" w:line="360" w:lineRule="auto"/>
              <w:ind w:left="63" w:right="63"/>
              <w:rPr>
                <w:rFonts w:ascii="宋体" w:hAnsi="宋体" w:cs="仿宋_GB2312"/>
                <w:kern w:val="0"/>
                <w:szCs w:val="21"/>
              </w:rPr>
            </w:pPr>
          </w:p>
        </w:tc>
        <w:tc>
          <w:tcPr>
            <w:tcW w:w="785" w:type="dxa"/>
          </w:tcPr>
          <w:p w14:paraId="4064601E">
            <w:pPr>
              <w:keepNext/>
              <w:spacing w:after="120" w:line="360" w:lineRule="auto"/>
              <w:ind w:left="63" w:right="63"/>
              <w:rPr>
                <w:rFonts w:ascii="宋体" w:hAnsi="宋体" w:cs="仿宋_GB2312"/>
                <w:kern w:val="0"/>
                <w:szCs w:val="21"/>
              </w:rPr>
            </w:pPr>
          </w:p>
        </w:tc>
        <w:tc>
          <w:tcPr>
            <w:tcW w:w="1058" w:type="dxa"/>
          </w:tcPr>
          <w:p w14:paraId="6483246A">
            <w:pPr>
              <w:keepNext/>
              <w:spacing w:after="120" w:line="360" w:lineRule="auto"/>
              <w:ind w:left="63" w:right="63"/>
              <w:rPr>
                <w:rFonts w:ascii="宋体" w:hAnsi="宋体" w:cs="仿宋_GB2312"/>
                <w:kern w:val="0"/>
                <w:szCs w:val="21"/>
              </w:rPr>
            </w:pPr>
          </w:p>
        </w:tc>
        <w:tc>
          <w:tcPr>
            <w:tcW w:w="1559" w:type="dxa"/>
          </w:tcPr>
          <w:p w14:paraId="12FF9D78">
            <w:pPr>
              <w:keepNext/>
              <w:spacing w:after="120" w:line="360" w:lineRule="auto"/>
              <w:ind w:left="63" w:right="63"/>
              <w:rPr>
                <w:rFonts w:ascii="宋体" w:hAnsi="宋体" w:cs="仿宋_GB2312"/>
                <w:kern w:val="0"/>
                <w:szCs w:val="21"/>
              </w:rPr>
            </w:pPr>
          </w:p>
        </w:tc>
        <w:tc>
          <w:tcPr>
            <w:tcW w:w="1559" w:type="dxa"/>
          </w:tcPr>
          <w:p w14:paraId="78385F0D">
            <w:pPr>
              <w:keepNext/>
              <w:spacing w:after="120" w:line="360" w:lineRule="auto"/>
              <w:ind w:left="63" w:right="63"/>
              <w:rPr>
                <w:rFonts w:ascii="宋体" w:hAnsi="宋体" w:cs="仿宋_GB2312"/>
                <w:kern w:val="0"/>
                <w:szCs w:val="21"/>
              </w:rPr>
            </w:pPr>
          </w:p>
        </w:tc>
        <w:tc>
          <w:tcPr>
            <w:tcW w:w="1567" w:type="dxa"/>
          </w:tcPr>
          <w:p w14:paraId="053240C6">
            <w:pPr>
              <w:keepNext/>
              <w:spacing w:after="120" w:line="360" w:lineRule="auto"/>
              <w:ind w:left="63" w:right="63"/>
              <w:rPr>
                <w:rFonts w:ascii="宋体" w:hAnsi="宋体" w:cs="仿宋_GB2312"/>
                <w:kern w:val="0"/>
                <w:szCs w:val="21"/>
              </w:rPr>
            </w:pPr>
          </w:p>
        </w:tc>
      </w:tr>
      <w:tr w14:paraId="7FA08F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4687A219">
            <w:pPr>
              <w:keepNext/>
              <w:spacing w:after="120" w:line="360" w:lineRule="auto"/>
              <w:ind w:left="63" w:right="63"/>
              <w:rPr>
                <w:rFonts w:ascii="宋体" w:hAnsi="宋体" w:cs="仿宋_GB2312"/>
                <w:kern w:val="0"/>
                <w:szCs w:val="21"/>
              </w:rPr>
            </w:pPr>
          </w:p>
        </w:tc>
        <w:tc>
          <w:tcPr>
            <w:tcW w:w="2231" w:type="dxa"/>
          </w:tcPr>
          <w:p w14:paraId="784F2D4B">
            <w:pPr>
              <w:keepNext/>
              <w:spacing w:after="120" w:line="360" w:lineRule="auto"/>
              <w:ind w:left="63" w:right="63"/>
              <w:rPr>
                <w:rFonts w:ascii="宋体" w:hAnsi="宋体" w:cs="仿宋_GB2312"/>
                <w:kern w:val="0"/>
                <w:szCs w:val="21"/>
              </w:rPr>
            </w:pPr>
          </w:p>
        </w:tc>
        <w:tc>
          <w:tcPr>
            <w:tcW w:w="785" w:type="dxa"/>
          </w:tcPr>
          <w:p w14:paraId="2E016B93">
            <w:pPr>
              <w:keepNext/>
              <w:spacing w:after="120" w:line="360" w:lineRule="auto"/>
              <w:ind w:left="63" w:right="63"/>
              <w:rPr>
                <w:rFonts w:ascii="宋体" w:hAnsi="宋体" w:cs="仿宋_GB2312"/>
                <w:kern w:val="0"/>
                <w:szCs w:val="21"/>
              </w:rPr>
            </w:pPr>
          </w:p>
        </w:tc>
        <w:tc>
          <w:tcPr>
            <w:tcW w:w="1058" w:type="dxa"/>
          </w:tcPr>
          <w:p w14:paraId="42CA9679">
            <w:pPr>
              <w:keepNext/>
              <w:spacing w:after="120" w:line="360" w:lineRule="auto"/>
              <w:ind w:left="63" w:right="63"/>
              <w:rPr>
                <w:rFonts w:ascii="宋体" w:hAnsi="宋体" w:cs="仿宋_GB2312"/>
                <w:kern w:val="0"/>
                <w:szCs w:val="21"/>
              </w:rPr>
            </w:pPr>
          </w:p>
        </w:tc>
        <w:tc>
          <w:tcPr>
            <w:tcW w:w="1559" w:type="dxa"/>
          </w:tcPr>
          <w:p w14:paraId="713A5858">
            <w:pPr>
              <w:keepNext/>
              <w:spacing w:after="120" w:line="360" w:lineRule="auto"/>
              <w:ind w:left="63" w:right="63"/>
              <w:rPr>
                <w:rFonts w:ascii="宋体" w:hAnsi="宋体" w:cs="仿宋_GB2312"/>
                <w:kern w:val="0"/>
                <w:szCs w:val="21"/>
              </w:rPr>
            </w:pPr>
          </w:p>
        </w:tc>
        <w:tc>
          <w:tcPr>
            <w:tcW w:w="1559" w:type="dxa"/>
          </w:tcPr>
          <w:p w14:paraId="4E57F7C0">
            <w:pPr>
              <w:keepNext/>
              <w:spacing w:after="120" w:line="360" w:lineRule="auto"/>
              <w:ind w:left="63" w:right="63"/>
              <w:rPr>
                <w:rFonts w:ascii="宋体" w:hAnsi="宋体" w:cs="仿宋_GB2312"/>
                <w:kern w:val="0"/>
                <w:szCs w:val="21"/>
              </w:rPr>
            </w:pPr>
          </w:p>
        </w:tc>
        <w:tc>
          <w:tcPr>
            <w:tcW w:w="1567" w:type="dxa"/>
          </w:tcPr>
          <w:p w14:paraId="00C72824">
            <w:pPr>
              <w:keepNext/>
              <w:spacing w:after="120" w:line="360" w:lineRule="auto"/>
              <w:ind w:left="63" w:right="63"/>
              <w:rPr>
                <w:rFonts w:ascii="宋体" w:hAnsi="宋体" w:cs="仿宋_GB2312"/>
                <w:kern w:val="0"/>
                <w:szCs w:val="21"/>
              </w:rPr>
            </w:pPr>
          </w:p>
        </w:tc>
      </w:tr>
      <w:tr w14:paraId="6C7887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3D2F1A3D">
            <w:pPr>
              <w:keepNext/>
              <w:spacing w:after="120" w:line="360" w:lineRule="auto"/>
              <w:ind w:left="63" w:right="63"/>
              <w:rPr>
                <w:rFonts w:ascii="宋体" w:hAnsi="宋体" w:cs="仿宋_GB2312"/>
                <w:kern w:val="0"/>
                <w:szCs w:val="21"/>
              </w:rPr>
            </w:pPr>
          </w:p>
        </w:tc>
        <w:tc>
          <w:tcPr>
            <w:tcW w:w="2231" w:type="dxa"/>
          </w:tcPr>
          <w:p w14:paraId="39773AC1">
            <w:pPr>
              <w:keepNext/>
              <w:spacing w:after="120" w:line="360" w:lineRule="auto"/>
              <w:ind w:left="63" w:right="63"/>
              <w:rPr>
                <w:rFonts w:ascii="宋体" w:hAnsi="宋体" w:cs="仿宋_GB2312"/>
                <w:kern w:val="0"/>
                <w:szCs w:val="21"/>
              </w:rPr>
            </w:pPr>
          </w:p>
        </w:tc>
        <w:tc>
          <w:tcPr>
            <w:tcW w:w="785" w:type="dxa"/>
          </w:tcPr>
          <w:p w14:paraId="14BE5A1D">
            <w:pPr>
              <w:keepNext/>
              <w:spacing w:after="120" w:line="360" w:lineRule="auto"/>
              <w:ind w:left="63" w:right="63"/>
              <w:rPr>
                <w:rFonts w:ascii="宋体" w:hAnsi="宋体" w:cs="仿宋_GB2312"/>
                <w:kern w:val="0"/>
                <w:szCs w:val="21"/>
              </w:rPr>
            </w:pPr>
          </w:p>
        </w:tc>
        <w:tc>
          <w:tcPr>
            <w:tcW w:w="1058" w:type="dxa"/>
          </w:tcPr>
          <w:p w14:paraId="519E23D9">
            <w:pPr>
              <w:keepNext/>
              <w:spacing w:after="120" w:line="360" w:lineRule="auto"/>
              <w:ind w:left="63" w:right="63"/>
              <w:rPr>
                <w:rFonts w:ascii="宋体" w:hAnsi="宋体" w:cs="仿宋_GB2312"/>
                <w:kern w:val="0"/>
                <w:szCs w:val="21"/>
              </w:rPr>
            </w:pPr>
          </w:p>
        </w:tc>
        <w:tc>
          <w:tcPr>
            <w:tcW w:w="1559" w:type="dxa"/>
          </w:tcPr>
          <w:p w14:paraId="437CE244">
            <w:pPr>
              <w:keepNext/>
              <w:spacing w:after="120" w:line="360" w:lineRule="auto"/>
              <w:ind w:left="63" w:right="63"/>
              <w:rPr>
                <w:rFonts w:ascii="宋体" w:hAnsi="宋体" w:cs="仿宋_GB2312"/>
                <w:kern w:val="0"/>
                <w:szCs w:val="21"/>
              </w:rPr>
            </w:pPr>
          </w:p>
        </w:tc>
        <w:tc>
          <w:tcPr>
            <w:tcW w:w="1559" w:type="dxa"/>
          </w:tcPr>
          <w:p w14:paraId="6CF2157A">
            <w:pPr>
              <w:keepNext/>
              <w:spacing w:after="120" w:line="360" w:lineRule="auto"/>
              <w:ind w:left="63" w:right="63"/>
              <w:rPr>
                <w:rFonts w:ascii="宋体" w:hAnsi="宋体" w:cs="仿宋_GB2312"/>
                <w:kern w:val="0"/>
                <w:szCs w:val="21"/>
              </w:rPr>
            </w:pPr>
          </w:p>
        </w:tc>
        <w:tc>
          <w:tcPr>
            <w:tcW w:w="1567" w:type="dxa"/>
          </w:tcPr>
          <w:p w14:paraId="72095BFF">
            <w:pPr>
              <w:keepNext/>
              <w:spacing w:after="120" w:line="360" w:lineRule="auto"/>
              <w:ind w:left="63" w:right="63"/>
              <w:rPr>
                <w:rFonts w:ascii="宋体" w:hAnsi="宋体" w:cs="仿宋_GB2312"/>
                <w:kern w:val="0"/>
                <w:szCs w:val="21"/>
              </w:rPr>
            </w:pPr>
          </w:p>
        </w:tc>
      </w:tr>
      <w:tr w14:paraId="5025D9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08F8538D">
            <w:pPr>
              <w:keepNext/>
              <w:spacing w:after="120" w:line="360" w:lineRule="auto"/>
              <w:ind w:left="63" w:right="63"/>
              <w:rPr>
                <w:rFonts w:ascii="宋体" w:hAnsi="宋体" w:cs="仿宋_GB2312"/>
                <w:kern w:val="0"/>
                <w:szCs w:val="21"/>
              </w:rPr>
            </w:pPr>
          </w:p>
        </w:tc>
        <w:tc>
          <w:tcPr>
            <w:tcW w:w="2231" w:type="dxa"/>
          </w:tcPr>
          <w:p w14:paraId="0786FDBE">
            <w:pPr>
              <w:keepNext/>
              <w:spacing w:after="120" w:line="360" w:lineRule="auto"/>
              <w:ind w:left="63" w:right="63"/>
              <w:rPr>
                <w:rFonts w:ascii="宋体" w:hAnsi="宋体" w:cs="仿宋_GB2312"/>
                <w:kern w:val="0"/>
                <w:szCs w:val="21"/>
              </w:rPr>
            </w:pPr>
          </w:p>
        </w:tc>
        <w:tc>
          <w:tcPr>
            <w:tcW w:w="785" w:type="dxa"/>
          </w:tcPr>
          <w:p w14:paraId="679EAFB6">
            <w:pPr>
              <w:keepNext/>
              <w:spacing w:after="120" w:line="360" w:lineRule="auto"/>
              <w:ind w:left="63" w:right="63"/>
              <w:rPr>
                <w:rFonts w:ascii="宋体" w:hAnsi="宋体" w:cs="仿宋_GB2312"/>
                <w:kern w:val="0"/>
                <w:szCs w:val="21"/>
              </w:rPr>
            </w:pPr>
          </w:p>
        </w:tc>
        <w:tc>
          <w:tcPr>
            <w:tcW w:w="1058" w:type="dxa"/>
          </w:tcPr>
          <w:p w14:paraId="30A93D6F">
            <w:pPr>
              <w:keepNext/>
              <w:spacing w:after="120" w:line="360" w:lineRule="auto"/>
              <w:ind w:left="63" w:right="63"/>
              <w:rPr>
                <w:rFonts w:ascii="宋体" w:hAnsi="宋体" w:cs="仿宋_GB2312"/>
                <w:kern w:val="0"/>
                <w:szCs w:val="21"/>
              </w:rPr>
            </w:pPr>
          </w:p>
        </w:tc>
        <w:tc>
          <w:tcPr>
            <w:tcW w:w="1559" w:type="dxa"/>
          </w:tcPr>
          <w:p w14:paraId="7B3B6BF4">
            <w:pPr>
              <w:keepNext/>
              <w:spacing w:after="120" w:line="360" w:lineRule="auto"/>
              <w:ind w:left="63" w:right="63"/>
              <w:rPr>
                <w:rFonts w:ascii="宋体" w:hAnsi="宋体" w:cs="仿宋_GB2312"/>
                <w:kern w:val="0"/>
                <w:szCs w:val="21"/>
              </w:rPr>
            </w:pPr>
          </w:p>
        </w:tc>
        <w:tc>
          <w:tcPr>
            <w:tcW w:w="1559" w:type="dxa"/>
          </w:tcPr>
          <w:p w14:paraId="69234DCD">
            <w:pPr>
              <w:keepNext/>
              <w:spacing w:after="120" w:line="360" w:lineRule="auto"/>
              <w:ind w:left="63" w:right="63"/>
              <w:rPr>
                <w:rFonts w:ascii="宋体" w:hAnsi="宋体" w:cs="仿宋_GB2312"/>
                <w:kern w:val="0"/>
                <w:szCs w:val="21"/>
              </w:rPr>
            </w:pPr>
          </w:p>
        </w:tc>
        <w:tc>
          <w:tcPr>
            <w:tcW w:w="1567" w:type="dxa"/>
          </w:tcPr>
          <w:p w14:paraId="1D7DE10B">
            <w:pPr>
              <w:keepNext/>
              <w:spacing w:after="120" w:line="360" w:lineRule="auto"/>
              <w:ind w:left="63" w:right="63"/>
              <w:rPr>
                <w:rFonts w:ascii="宋体" w:hAnsi="宋体" w:cs="仿宋_GB2312"/>
                <w:kern w:val="0"/>
                <w:szCs w:val="21"/>
              </w:rPr>
            </w:pPr>
          </w:p>
        </w:tc>
      </w:tr>
      <w:tr w14:paraId="332301D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1FE78472">
            <w:pPr>
              <w:keepNext/>
              <w:spacing w:after="120" w:line="360" w:lineRule="auto"/>
              <w:ind w:left="63" w:right="63"/>
              <w:rPr>
                <w:rFonts w:ascii="宋体" w:hAnsi="宋体" w:cs="仿宋_GB2312"/>
                <w:kern w:val="0"/>
                <w:szCs w:val="21"/>
              </w:rPr>
            </w:pPr>
          </w:p>
        </w:tc>
        <w:tc>
          <w:tcPr>
            <w:tcW w:w="2231" w:type="dxa"/>
          </w:tcPr>
          <w:p w14:paraId="1F3314B1">
            <w:pPr>
              <w:keepNext/>
              <w:spacing w:after="120" w:line="360" w:lineRule="auto"/>
              <w:ind w:left="63" w:right="63"/>
              <w:rPr>
                <w:rFonts w:ascii="宋体" w:hAnsi="宋体" w:cs="仿宋_GB2312"/>
                <w:kern w:val="0"/>
                <w:szCs w:val="21"/>
              </w:rPr>
            </w:pPr>
          </w:p>
        </w:tc>
        <w:tc>
          <w:tcPr>
            <w:tcW w:w="785" w:type="dxa"/>
          </w:tcPr>
          <w:p w14:paraId="1C406AAC">
            <w:pPr>
              <w:keepNext/>
              <w:spacing w:after="120" w:line="360" w:lineRule="auto"/>
              <w:ind w:left="63" w:right="63"/>
              <w:rPr>
                <w:rFonts w:ascii="宋体" w:hAnsi="宋体" w:cs="仿宋_GB2312"/>
                <w:kern w:val="0"/>
                <w:szCs w:val="21"/>
              </w:rPr>
            </w:pPr>
          </w:p>
        </w:tc>
        <w:tc>
          <w:tcPr>
            <w:tcW w:w="1058" w:type="dxa"/>
          </w:tcPr>
          <w:p w14:paraId="6B2FB49F">
            <w:pPr>
              <w:keepNext/>
              <w:spacing w:after="120" w:line="360" w:lineRule="auto"/>
              <w:ind w:left="63" w:right="63"/>
              <w:rPr>
                <w:rFonts w:ascii="宋体" w:hAnsi="宋体" w:cs="仿宋_GB2312"/>
                <w:kern w:val="0"/>
                <w:szCs w:val="21"/>
              </w:rPr>
            </w:pPr>
          </w:p>
        </w:tc>
        <w:tc>
          <w:tcPr>
            <w:tcW w:w="1559" w:type="dxa"/>
          </w:tcPr>
          <w:p w14:paraId="32D82E65">
            <w:pPr>
              <w:keepNext/>
              <w:spacing w:after="120" w:line="360" w:lineRule="auto"/>
              <w:ind w:left="63" w:right="63"/>
              <w:rPr>
                <w:rFonts w:ascii="宋体" w:hAnsi="宋体" w:cs="仿宋_GB2312"/>
                <w:kern w:val="0"/>
                <w:szCs w:val="21"/>
              </w:rPr>
            </w:pPr>
          </w:p>
        </w:tc>
        <w:tc>
          <w:tcPr>
            <w:tcW w:w="1559" w:type="dxa"/>
          </w:tcPr>
          <w:p w14:paraId="68398778">
            <w:pPr>
              <w:keepNext/>
              <w:spacing w:after="120" w:line="360" w:lineRule="auto"/>
              <w:ind w:left="63" w:right="63"/>
              <w:rPr>
                <w:rFonts w:ascii="宋体" w:hAnsi="宋体" w:cs="仿宋_GB2312"/>
                <w:kern w:val="0"/>
                <w:szCs w:val="21"/>
              </w:rPr>
            </w:pPr>
          </w:p>
        </w:tc>
        <w:tc>
          <w:tcPr>
            <w:tcW w:w="1567" w:type="dxa"/>
          </w:tcPr>
          <w:p w14:paraId="20A09247">
            <w:pPr>
              <w:keepNext/>
              <w:spacing w:after="120" w:line="360" w:lineRule="auto"/>
              <w:ind w:left="63" w:right="63"/>
              <w:rPr>
                <w:rFonts w:ascii="宋体" w:hAnsi="宋体" w:cs="仿宋_GB2312"/>
                <w:kern w:val="0"/>
                <w:szCs w:val="21"/>
              </w:rPr>
            </w:pPr>
          </w:p>
        </w:tc>
      </w:tr>
      <w:tr w14:paraId="0ABC456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7E3C3959">
            <w:pPr>
              <w:keepNext/>
              <w:spacing w:after="120" w:line="360" w:lineRule="auto"/>
              <w:ind w:left="63" w:right="63"/>
              <w:rPr>
                <w:rFonts w:ascii="宋体" w:hAnsi="宋体" w:cs="仿宋_GB2312"/>
                <w:kern w:val="0"/>
                <w:szCs w:val="21"/>
              </w:rPr>
            </w:pPr>
          </w:p>
        </w:tc>
        <w:tc>
          <w:tcPr>
            <w:tcW w:w="2231" w:type="dxa"/>
          </w:tcPr>
          <w:p w14:paraId="53441C18">
            <w:pPr>
              <w:keepNext/>
              <w:spacing w:after="120" w:line="360" w:lineRule="auto"/>
              <w:ind w:left="63" w:right="63"/>
              <w:rPr>
                <w:rFonts w:ascii="宋体" w:hAnsi="宋体" w:cs="仿宋_GB2312"/>
                <w:kern w:val="0"/>
                <w:szCs w:val="21"/>
              </w:rPr>
            </w:pPr>
          </w:p>
        </w:tc>
        <w:tc>
          <w:tcPr>
            <w:tcW w:w="785" w:type="dxa"/>
          </w:tcPr>
          <w:p w14:paraId="5950EC20">
            <w:pPr>
              <w:keepNext/>
              <w:spacing w:after="120" w:line="360" w:lineRule="auto"/>
              <w:ind w:left="63" w:right="63"/>
              <w:rPr>
                <w:rFonts w:ascii="宋体" w:hAnsi="宋体" w:cs="仿宋_GB2312"/>
                <w:kern w:val="0"/>
                <w:szCs w:val="21"/>
              </w:rPr>
            </w:pPr>
          </w:p>
        </w:tc>
        <w:tc>
          <w:tcPr>
            <w:tcW w:w="1058" w:type="dxa"/>
          </w:tcPr>
          <w:p w14:paraId="6D1D095F">
            <w:pPr>
              <w:keepNext/>
              <w:spacing w:after="120" w:line="360" w:lineRule="auto"/>
              <w:ind w:left="63" w:right="63"/>
              <w:rPr>
                <w:rFonts w:ascii="宋体" w:hAnsi="宋体" w:cs="仿宋_GB2312"/>
                <w:kern w:val="0"/>
                <w:szCs w:val="21"/>
              </w:rPr>
            </w:pPr>
          </w:p>
        </w:tc>
        <w:tc>
          <w:tcPr>
            <w:tcW w:w="1559" w:type="dxa"/>
          </w:tcPr>
          <w:p w14:paraId="66107692">
            <w:pPr>
              <w:keepNext/>
              <w:spacing w:after="120" w:line="360" w:lineRule="auto"/>
              <w:ind w:left="63" w:right="63"/>
              <w:rPr>
                <w:rFonts w:ascii="宋体" w:hAnsi="宋体" w:cs="仿宋_GB2312"/>
                <w:kern w:val="0"/>
                <w:szCs w:val="21"/>
              </w:rPr>
            </w:pPr>
          </w:p>
        </w:tc>
        <w:tc>
          <w:tcPr>
            <w:tcW w:w="1559" w:type="dxa"/>
          </w:tcPr>
          <w:p w14:paraId="2A888933">
            <w:pPr>
              <w:keepNext/>
              <w:spacing w:after="120" w:line="360" w:lineRule="auto"/>
              <w:ind w:left="63" w:right="63"/>
              <w:rPr>
                <w:rFonts w:ascii="宋体" w:hAnsi="宋体" w:cs="仿宋_GB2312"/>
                <w:kern w:val="0"/>
                <w:szCs w:val="21"/>
              </w:rPr>
            </w:pPr>
          </w:p>
        </w:tc>
        <w:tc>
          <w:tcPr>
            <w:tcW w:w="1567" w:type="dxa"/>
          </w:tcPr>
          <w:p w14:paraId="084026D1">
            <w:pPr>
              <w:keepNext/>
              <w:spacing w:after="120" w:line="360" w:lineRule="auto"/>
              <w:ind w:left="63" w:right="63"/>
              <w:rPr>
                <w:rFonts w:ascii="宋体" w:hAnsi="宋体" w:cs="仿宋_GB2312"/>
                <w:kern w:val="0"/>
                <w:szCs w:val="21"/>
              </w:rPr>
            </w:pPr>
          </w:p>
        </w:tc>
      </w:tr>
      <w:tr w14:paraId="1E70A7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7891A7CC">
            <w:pPr>
              <w:keepNext/>
              <w:spacing w:after="120" w:line="360" w:lineRule="auto"/>
              <w:ind w:left="63" w:right="63"/>
              <w:rPr>
                <w:rFonts w:ascii="宋体" w:hAnsi="宋体" w:cs="仿宋_GB2312"/>
                <w:kern w:val="0"/>
                <w:szCs w:val="21"/>
              </w:rPr>
            </w:pPr>
          </w:p>
        </w:tc>
        <w:tc>
          <w:tcPr>
            <w:tcW w:w="2231" w:type="dxa"/>
          </w:tcPr>
          <w:p w14:paraId="79267C7C">
            <w:pPr>
              <w:keepNext/>
              <w:spacing w:after="120" w:line="360" w:lineRule="auto"/>
              <w:ind w:left="63" w:right="63"/>
              <w:rPr>
                <w:rFonts w:ascii="宋体" w:hAnsi="宋体" w:cs="仿宋_GB2312"/>
                <w:kern w:val="0"/>
                <w:szCs w:val="21"/>
              </w:rPr>
            </w:pPr>
          </w:p>
        </w:tc>
        <w:tc>
          <w:tcPr>
            <w:tcW w:w="785" w:type="dxa"/>
          </w:tcPr>
          <w:p w14:paraId="5D8267EF">
            <w:pPr>
              <w:keepNext/>
              <w:spacing w:after="120" w:line="360" w:lineRule="auto"/>
              <w:ind w:left="63" w:right="63"/>
              <w:rPr>
                <w:rFonts w:ascii="宋体" w:hAnsi="宋体" w:cs="仿宋_GB2312"/>
                <w:kern w:val="0"/>
                <w:szCs w:val="21"/>
              </w:rPr>
            </w:pPr>
          </w:p>
        </w:tc>
        <w:tc>
          <w:tcPr>
            <w:tcW w:w="1058" w:type="dxa"/>
          </w:tcPr>
          <w:p w14:paraId="01C9A1E4">
            <w:pPr>
              <w:keepNext/>
              <w:spacing w:after="120" w:line="360" w:lineRule="auto"/>
              <w:ind w:left="63" w:right="63"/>
              <w:rPr>
                <w:rFonts w:ascii="宋体" w:hAnsi="宋体" w:cs="仿宋_GB2312"/>
                <w:kern w:val="0"/>
                <w:szCs w:val="21"/>
              </w:rPr>
            </w:pPr>
          </w:p>
        </w:tc>
        <w:tc>
          <w:tcPr>
            <w:tcW w:w="1559" w:type="dxa"/>
          </w:tcPr>
          <w:p w14:paraId="4EB2FA72">
            <w:pPr>
              <w:keepNext/>
              <w:spacing w:after="120" w:line="360" w:lineRule="auto"/>
              <w:ind w:left="63" w:right="63"/>
              <w:rPr>
                <w:rFonts w:ascii="宋体" w:hAnsi="宋体" w:cs="仿宋_GB2312"/>
                <w:kern w:val="0"/>
                <w:szCs w:val="21"/>
              </w:rPr>
            </w:pPr>
          </w:p>
        </w:tc>
        <w:tc>
          <w:tcPr>
            <w:tcW w:w="1559" w:type="dxa"/>
          </w:tcPr>
          <w:p w14:paraId="243331D3">
            <w:pPr>
              <w:keepNext/>
              <w:spacing w:after="120" w:line="360" w:lineRule="auto"/>
              <w:ind w:left="63" w:right="63"/>
              <w:rPr>
                <w:rFonts w:ascii="宋体" w:hAnsi="宋体" w:cs="仿宋_GB2312"/>
                <w:kern w:val="0"/>
                <w:szCs w:val="21"/>
              </w:rPr>
            </w:pPr>
          </w:p>
        </w:tc>
        <w:tc>
          <w:tcPr>
            <w:tcW w:w="1567" w:type="dxa"/>
          </w:tcPr>
          <w:p w14:paraId="037C92CA">
            <w:pPr>
              <w:keepNext/>
              <w:spacing w:after="120" w:line="360" w:lineRule="auto"/>
              <w:ind w:left="63" w:right="63"/>
              <w:rPr>
                <w:rFonts w:ascii="宋体" w:hAnsi="宋体" w:cs="仿宋_GB2312"/>
                <w:kern w:val="0"/>
                <w:szCs w:val="21"/>
              </w:rPr>
            </w:pPr>
          </w:p>
        </w:tc>
      </w:tr>
      <w:tr w14:paraId="5CAEF7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0491B04B">
            <w:pPr>
              <w:keepNext/>
              <w:spacing w:after="120" w:line="360" w:lineRule="auto"/>
              <w:ind w:left="63" w:right="63"/>
              <w:rPr>
                <w:rFonts w:ascii="宋体" w:hAnsi="宋体" w:cs="仿宋_GB2312"/>
                <w:kern w:val="0"/>
                <w:szCs w:val="21"/>
              </w:rPr>
            </w:pPr>
          </w:p>
        </w:tc>
        <w:tc>
          <w:tcPr>
            <w:tcW w:w="2231" w:type="dxa"/>
          </w:tcPr>
          <w:p w14:paraId="3C2CE7EC">
            <w:pPr>
              <w:keepNext/>
              <w:spacing w:after="120" w:line="360" w:lineRule="auto"/>
              <w:ind w:left="63" w:right="63"/>
              <w:rPr>
                <w:rFonts w:ascii="宋体" w:hAnsi="宋体" w:cs="仿宋_GB2312"/>
                <w:kern w:val="0"/>
                <w:szCs w:val="21"/>
              </w:rPr>
            </w:pPr>
          </w:p>
        </w:tc>
        <w:tc>
          <w:tcPr>
            <w:tcW w:w="785" w:type="dxa"/>
          </w:tcPr>
          <w:p w14:paraId="52DAC876">
            <w:pPr>
              <w:keepNext/>
              <w:spacing w:after="120" w:line="360" w:lineRule="auto"/>
              <w:ind w:left="63" w:right="63"/>
              <w:rPr>
                <w:rFonts w:ascii="宋体" w:hAnsi="宋体" w:cs="仿宋_GB2312"/>
                <w:kern w:val="0"/>
                <w:szCs w:val="21"/>
              </w:rPr>
            </w:pPr>
          </w:p>
        </w:tc>
        <w:tc>
          <w:tcPr>
            <w:tcW w:w="1058" w:type="dxa"/>
          </w:tcPr>
          <w:p w14:paraId="59103464">
            <w:pPr>
              <w:keepNext/>
              <w:spacing w:after="120" w:line="360" w:lineRule="auto"/>
              <w:ind w:left="63" w:right="63"/>
              <w:rPr>
                <w:rFonts w:ascii="宋体" w:hAnsi="宋体" w:cs="仿宋_GB2312"/>
                <w:kern w:val="0"/>
                <w:szCs w:val="21"/>
              </w:rPr>
            </w:pPr>
          </w:p>
        </w:tc>
        <w:tc>
          <w:tcPr>
            <w:tcW w:w="1559" w:type="dxa"/>
          </w:tcPr>
          <w:p w14:paraId="489A7B83">
            <w:pPr>
              <w:keepNext/>
              <w:spacing w:after="120" w:line="360" w:lineRule="auto"/>
              <w:ind w:left="63" w:right="63"/>
              <w:rPr>
                <w:rFonts w:ascii="宋体" w:hAnsi="宋体" w:cs="仿宋_GB2312"/>
                <w:kern w:val="0"/>
                <w:szCs w:val="21"/>
              </w:rPr>
            </w:pPr>
          </w:p>
        </w:tc>
        <w:tc>
          <w:tcPr>
            <w:tcW w:w="1559" w:type="dxa"/>
          </w:tcPr>
          <w:p w14:paraId="7F02AC36">
            <w:pPr>
              <w:keepNext/>
              <w:spacing w:after="120" w:line="360" w:lineRule="auto"/>
              <w:ind w:left="63" w:right="63"/>
              <w:rPr>
                <w:rFonts w:ascii="宋体" w:hAnsi="宋体" w:cs="仿宋_GB2312"/>
                <w:kern w:val="0"/>
                <w:szCs w:val="21"/>
              </w:rPr>
            </w:pPr>
          </w:p>
        </w:tc>
        <w:tc>
          <w:tcPr>
            <w:tcW w:w="1567" w:type="dxa"/>
          </w:tcPr>
          <w:p w14:paraId="63A435A7">
            <w:pPr>
              <w:keepNext/>
              <w:spacing w:after="120" w:line="360" w:lineRule="auto"/>
              <w:ind w:left="63" w:right="63"/>
              <w:rPr>
                <w:rFonts w:ascii="宋体" w:hAnsi="宋体" w:cs="仿宋_GB2312"/>
                <w:kern w:val="0"/>
                <w:szCs w:val="21"/>
              </w:rPr>
            </w:pPr>
          </w:p>
        </w:tc>
      </w:tr>
      <w:tr w14:paraId="45EBDB1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634B512B">
            <w:pPr>
              <w:keepNext/>
              <w:spacing w:after="120" w:line="360" w:lineRule="auto"/>
              <w:ind w:left="63" w:right="63"/>
              <w:rPr>
                <w:rFonts w:ascii="宋体" w:hAnsi="宋体" w:cs="仿宋_GB2312"/>
                <w:kern w:val="0"/>
                <w:szCs w:val="21"/>
              </w:rPr>
            </w:pPr>
          </w:p>
        </w:tc>
        <w:tc>
          <w:tcPr>
            <w:tcW w:w="2231" w:type="dxa"/>
          </w:tcPr>
          <w:p w14:paraId="5B43E1ED">
            <w:pPr>
              <w:keepNext/>
              <w:spacing w:after="120" w:line="360" w:lineRule="auto"/>
              <w:ind w:left="63" w:right="63"/>
              <w:rPr>
                <w:rFonts w:ascii="宋体" w:hAnsi="宋体" w:cs="仿宋_GB2312"/>
                <w:kern w:val="0"/>
                <w:szCs w:val="21"/>
              </w:rPr>
            </w:pPr>
          </w:p>
        </w:tc>
        <w:tc>
          <w:tcPr>
            <w:tcW w:w="785" w:type="dxa"/>
          </w:tcPr>
          <w:p w14:paraId="444486BE">
            <w:pPr>
              <w:keepNext/>
              <w:spacing w:after="120" w:line="360" w:lineRule="auto"/>
              <w:ind w:left="63" w:right="63"/>
              <w:rPr>
                <w:rFonts w:ascii="宋体" w:hAnsi="宋体" w:cs="仿宋_GB2312"/>
                <w:kern w:val="0"/>
                <w:szCs w:val="21"/>
              </w:rPr>
            </w:pPr>
          </w:p>
        </w:tc>
        <w:tc>
          <w:tcPr>
            <w:tcW w:w="1058" w:type="dxa"/>
          </w:tcPr>
          <w:p w14:paraId="4D734E07">
            <w:pPr>
              <w:keepNext/>
              <w:spacing w:after="120" w:line="360" w:lineRule="auto"/>
              <w:ind w:left="63" w:right="63"/>
              <w:rPr>
                <w:rFonts w:ascii="宋体" w:hAnsi="宋体" w:cs="仿宋_GB2312"/>
                <w:kern w:val="0"/>
                <w:szCs w:val="21"/>
              </w:rPr>
            </w:pPr>
          </w:p>
        </w:tc>
        <w:tc>
          <w:tcPr>
            <w:tcW w:w="1559" w:type="dxa"/>
          </w:tcPr>
          <w:p w14:paraId="136B3404">
            <w:pPr>
              <w:keepNext/>
              <w:spacing w:after="120" w:line="360" w:lineRule="auto"/>
              <w:ind w:left="63" w:right="63"/>
              <w:rPr>
                <w:rFonts w:ascii="宋体" w:hAnsi="宋体" w:cs="仿宋_GB2312"/>
                <w:kern w:val="0"/>
                <w:szCs w:val="21"/>
              </w:rPr>
            </w:pPr>
          </w:p>
        </w:tc>
        <w:tc>
          <w:tcPr>
            <w:tcW w:w="1559" w:type="dxa"/>
          </w:tcPr>
          <w:p w14:paraId="68AFBF50">
            <w:pPr>
              <w:keepNext/>
              <w:spacing w:after="120" w:line="360" w:lineRule="auto"/>
              <w:ind w:left="63" w:right="63"/>
              <w:rPr>
                <w:rFonts w:ascii="宋体" w:hAnsi="宋体" w:cs="仿宋_GB2312"/>
                <w:kern w:val="0"/>
                <w:szCs w:val="21"/>
              </w:rPr>
            </w:pPr>
          </w:p>
        </w:tc>
        <w:tc>
          <w:tcPr>
            <w:tcW w:w="1567" w:type="dxa"/>
          </w:tcPr>
          <w:p w14:paraId="4DE2798D">
            <w:pPr>
              <w:keepNext/>
              <w:spacing w:after="120" w:line="360" w:lineRule="auto"/>
              <w:ind w:left="63" w:right="63"/>
              <w:rPr>
                <w:rFonts w:ascii="宋体" w:hAnsi="宋体" w:cs="仿宋_GB2312"/>
                <w:kern w:val="0"/>
                <w:szCs w:val="21"/>
              </w:rPr>
            </w:pPr>
          </w:p>
        </w:tc>
      </w:tr>
      <w:tr w14:paraId="6D3D1A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1285104D">
            <w:pPr>
              <w:keepNext/>
              <w:spacing w:after="120" w:line="360" w:lineRule="auto"/>
              <w:ind w:left="63" w:right="63"/>
              <w:rPr>
                <w:rFonts w:ascii="宋体" w:hAnsi="宋体" w:cs="仿宋_GB2312"/>
                <w:kern w:val="0"/>
                <w:szCs w:val="21"/>
              </w:rPr>
            </w:pPr>
          </w:p>
        </w:tc>
        <w:tc>
          <w:tcPr>
            <w:tcW w:w="2231" w:type="dxa"/>
          </w:tcPr>
          <w:p w14:paraId="40F71B49">
            <w:pPr>
              <w:keepNext/>
              <w:spacing w:after="120" w:line="360" w:lineRule="auto"/>
              <w:ind w:left="63" w:right="63"/>
              <w:rPr>
                <w:rFonts w:ascii="宋体" w:hAnsi="宋体" w:cs="仿宋_GB2312"/>
                <w:kern w:val="0"/>
                <w:szCs w:val="21"/>
              </w:rPr>
            </w:pPr>
          </w:p>
        </w:tc>
        <w:tc>
          <w:tcPr>
            <w:tcW w:w="785" w:type="dxa"/>
          </w:tcPr>
          <w:p w14:paraId="15799932">
            <w:pPr>
              <w:keepNext/>
              <w:spacing w:after="120" w:line="360" w:lineRule="auto"/>
              <w:ind w:left="63" w:right="63"/>
              <w:rPr>
                <w:rFonts w:ascii="宋体" w:hAnsi="宋体" w:cs="仿宋_GB2312"/>
                <w:kern w:val="0"/>
                <w:szCs w:val="21"/>
              </w:rPr>
            </w:pPr>
          </w:p>
        </w:tc>
        <w:tc>
          <w:tcPr>
            <w:tcW w:w="1058" w:type="dxa"/>
          </w:tcPr>
          <w:p w14:paraId="3711DFBE">
            <w:pPr>
              <w:keepNext/>
              <w:spacing w:after="120" w:line="360" w:lineRule="auto"/>
              <w:ind w:left="63" w:right="63"/>
              <w:rPr>
                <w:rFonts w:ascii="宋体" w:hAnsi="宋体" w:cs="仿宋_GB2312"/>
                <w:kern w:val="0"/>
                <w:szCs w:val="21"/>
              </w:rPr>
            </w:pPr>
          </w:p>
        </w:tc>
        <w:tc>
          <w:tcPr>
            <w:tcW w:w="1559" w:type="dxa"/>
          </w:tcPr>
          <w:p w14:paraId="4C0FDBDF">
            <w:pPr>
              <w:keepNext/>
              <w:spacing w:after="120" w:line="360" w:lineRule="auto"/>
              <w:ind w:left="63" w:right="63"/>
              <w:rPr>
                <w:rFonts w:ascii="宋体" w:hAnsi="宋体" w:cs="仿宋_GB2312"/>
                <w:kern w:val="0"/>
                <w:szCs w:val="21"/>
              </w:rPr>
            </w:pPr>
          </w:p>
        </w:tc>
        <w:tc>
          <w:tcPr>
            <w:tcW w:w="1559" w:type="dxa"/>
          </w:tcPr>
          <w:p w14:paraId="5F607EEC">
            <w:pPr>
              <w:keepNext/>
              <w:spacing w:after="120" w:line="360" w:lineRule="auto"/>
              <w:ind w:left="63" w:right="63"/>
              <w:rPr>
                <w:rFonts w:ascii="宋体" w:hAnsi="宋体" w:cs="仿宋_GB2312"/>
                <w:kern w:val="0"/>
                <w:szCs w:val="21"/>
              </w:rPr>
            </w:pPr>
          </w:p>
        </w:tc>
        <w:tc>
          <w:tcPr>
            <w:tcW w:w="1567" w:type="dxa"/>
          </w:tcPr>
          <w:p w14:paraId="5ACE58B0">
            <w:pPr>
              <w:keepNext/>
              <w:spacing w:after="120" w:line="360" w:lineRule="auto"/>
              <w:ind w:left="63" w:right="63"/>
              <w:rPr>
                <w:rFonts w:ascii="宋体" w:hAnsi="宋体" w:cs="仿宋_GB2312"/>
                <w:kern w:val="0"/>
                <w:szCs w:val="21"/>
              </w:rPr>
            </w:pPr>
          </w:p>
        </w:tc>
      </w:tr>
      <w:tr w14:paraId="598A21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5C251FD8">
            <w:pPr>
              <w:keepNext/>
              <w:spacing w:after="120" w:line="360" w:lineRule="auto"/>
              <w:ind w:left="63" w:right="63"/>
              <w:rPr>
                <w:rFonts w:ascii="宋体" w:hAnsi="宋体" w:cs="仿宋_GB2312"/>
                <w:kern w:val="0"/>
                <w:szCs w:val="21"/>
              </w:rPr>
            </w:pPr>
          </w:p>
        </w:tc>
        <w:tc>
          <w:tcPr>
            <w:tcW w:w="2231" w:type="dxa"/>
          </w:tcPr>
          <w:p w14:paraId="4CA3EB2E">
            <w:pPr>
              <w:keepNext/>
              <w:spacing w:after="120" w:line="360" w:lineRule="auto"/>
              <w:ind w:left="63" w:right="63"/>
              <w:rPr>
                <w:rFonts w:ascii="宋体" w:hAnsi="宋体" w:cs="仿宋_GB2312"/>
                <w:kern w:val="0"/>
                <w:szCs w:val="21"/>
              </w:rPr>
            </w:pPr>
          </w:p>
        </w:tc>
        <w:tc>
          <w:tcPr>
            <w:tcW w:w="785" w:type="dxa"/>
          </w:tcPr>
          <w:p w14:paraId="21134C09">
            <w:pPr>
              <w:keepNext/>
              <w:spacing w:after="120" w:line="360" w:lineRule="auto"/>
              <w:ind w:left="63" w:right="63"/>
              <w:rPr>
                <w:rFonts w:ascii="宋体" w:hAnsi="宋体" w:cs="仿宋_GB2312"/>
                <w:kern w:val="0"/>
                <w:szCs w:val="21"/>
              </w:rPr>
            </w:pPr>
          </w:p>
        </w:tc>
        <w:tc>
          <w:tcPr>
            <w:tcW w:w="1058" w:type="dxa"/>
          </w:tcPr>
          <w:p w14:paraId="46BB5719">
            <w:pPr>
              <w:keepNext/>
              <w:spacing w:after="120" w:line="360" w:lineRule="auto"/>
              <w:ind w:left="63" w:right="63"/>
              <w:rPr>
                <w:rFonts w:ascii="宋体" w:hAnsi="宋体" w:cs="仿宋_GB2312"/>
                <w:kern w:val="0"/>
                <w:szCs w:val="21"/>
              </w:rPr>
            </w:pPr>
          </w:p>
        </w:tc>
        <w:tc>
          <w:tcPr>
            <w:tcW w:w="1559" w:type="dxa"/>
          </w:tcPr>
          <w:p w14:paraId="77E0336B">
            <w:pPr>
              <w:keepNext/>
              <w:spacing w:after="120" w:line="360" w:lineRule="auto"/>
              <w:ind w:left="63" w:right="63"/>
              <w:rPr>
                <w:rFonts w:ascii="宋体" w:hAnsi="宋体" w:cs="仿宋_GB2312"/>
                <w:kern w:val="0"/>
                <w:szCs w:val="21"/>
              </w:rPr>
            </w:pPr>
          </w:p>
        </w:tc>
        <w:tc>
          <w:tcPr>
            <w:tcW w:w="1559" w:type="dxa"/>
          </w:tcPr>
          <w:p w14:paraId="2E40C27F">
            <w:pPr>
              <w:keepNext/>
              <w:spacing w:after="120" w:line="360" w:lineRule="auto"/>
              <w:ind w:left="63" w:right="63"/>
              <w:rPr>
                <w:rFonts w:ascii="宋体" w:hAnsi="宋体" w:cs="仿宋_GB2312"/>
                <w:kern w:val="0"/>
                <w:szCs w:val="21"/>
              </w:rPr>
            </w:pPr>
          </w:p>
        </w:tc>
        <w:tc>
          <w:tcPr>
            <w:tcW w:w="1567" w:type="dxa"/>
          </w:tcPr>
          <w:p w14:paraId="3161D399">
            <w:pPr>
              <w:keepNext/>
              <w:spacing w:after="120" w:line="360" w:lineRule="auto"/>
              <w:ind w:left="63" w:right="63"/>
              <w:rPr>
                <w:rFonts w:ascii="宋体" w:hAnsi="宋体" w:cs="仿宋_GB2312"/>
                <w:kern w:val="0"/>
                <w:szCs w:val="21"/>
              </w:rPr>
            </w:pPr>
          </w:p>
        </w:tc>
      </w:tr>
      <w:tr w14:paraId="23F7B1E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5E7D144D">
            <w:pPr>
              <w:keepNext/>
              <w:spacing w:after="120" w:line="360" w:lineRule="auto"/>
              <w:ind w:left="63" w:right="63"/>
              <w:rPr>
                <w:rFonts w:ascii="宋体" w:hAnsi="宋体" w:cs="仿宋_GB2312"/>
                <w:kern w:val="0"/>
                <w:szCs w:val="21"/>
              </w:rPr>
            </w:pPr>
          </w:p>
        </w:tc>
        <w:tc>
          <w:tcPr>
            <w:tcW w:w="2231" w:type="dxa"/>
          </w:tcPr>
          <w:p w14:paraId="1DE3B628">
            <w:pPr>
              <w:keepNext/>
              <w:spacing w:after="120" w:line="360" w:lineRule="auto"/>
              <w:ind w:left="63" w:right="63"/>
              <w:rPr>
                <w:rFonts w:ascii="宋体" w:hAnsi="宋体" w:cs="仿宋_GB2312"/>
                <w:kern w:val="0"/>
                <w:szCs w:val="21"/>
              </w:rPr>
            </w:pPr>
          </w:p>
        </w:tc>
        <w:tc>
          <w:tcPr>
            <w:tcW w:w="785" w:type="dxa"/>
          </w:tcPr>
          <w:p w14:paraId="438B5593">
            <w:pPr>
              <w:keepNext/>
              <w:spacing w:after="120" w:line="360" w:lineRule="auto"/>
              <w:ind w:left="63" w:right="63"/>
              <w:rPr>
                <w:rFonts w:ascii="宋体" w:hAnsi="宋体" w:cs="仿宋_GB2312"/>
                <w:kern w:val="0"/>
                <w:szCs w:val="21"/>
              </w:rPr>
            </w:pPr>
          </w:p>
        </w:tc>
        <w:tc>
          <w:tcPr>
            <w:tcW w:w="1058" w:type="dxa"/>
          </w:tcPr>
          <w:p w14:paraId="2276B088">
            <w:pPr>
              <w:keepNext/>
              <w:spacing w:after="120" w:line="360" w:lineRule="auto"/>
              <w:ind w:left="63" w:right="63"/>
              <w:rPr>
                <w:rFonts w:ascii="宋体" w:hAnsi="宋体" w:cs="仿宋_GB2312"/>
                <w:kern w:val="0"/>
                <w:szCs w:val="21"/>
              </w:rPr>
            </w:pPr>
          </w:p>
        </w:tc>
        <w:tc>
          <w:tcPr>
            <w:tcW w:w="1559" w:type="dxa"/>
          </w:tcPr>
          <w:p w14:paraId="5746408A">
            <w:pPr>
              <w:keepNext/>
              <w:spacing w:after="120" w:line="360" w:lineRule="auto"/>
              <w:ind w:left="63" w:right="63"/>
              <w:rPr>
                <w:rFonts w:ascii="宋体" w:hAnsi="宋体" w:cs="仿宋_GB2312"/>
                <w:kern w:val="0"/>
                <w:szCs w:val="21"/>
              </w:rPr>
            </w:pPr>
          </w:p>
        </w:tc>
        <w:tc>
          <w:tcPr>
            <w:tcW w:w="1559" w:type="dxa"/>
          </w:tcPr>
          <w:p w14:paraId="7A54506E">
            <w:pPr>
              <w:keepNext/>
              <w:spacing w:after="120" w:line="360" w:lineRule="auto"/>
              <w:ind w:left="63" w:right="63"/>
              <w:rPr>
                <w:rFonts w:ascii="宋体" w:hAnsi="宋体" w:cs="仿宋_GB2312"/>
                <w:kern w:val="0"/>
                <w:szCs w:val="21"/>
              </w:rPr>
            </w:pPr>
          </w:p>
        </w:tc>
        <w:tc>
          <w:tcPr>
            <w:tcW w:w="1567" w:type="dxa"/>
          </w:tcPr>
          <w:p w14:paraId="05C86C60">
            <w:pPr>
              <w:keepNext/>
              <w:spacing w:after="120" w:line="360" w:lineRule="auto"/>
              <w:ind w:left="63" w:right="63"/>
              <w:rPr>
                <w:rFonts w:ascii="宋体" w:hAnsi="宋体" w:cs="仿宋_GB2312"/>
                <w:kern w:val="0"/>
                <w:szCs w:val="21"/>
              </w:rPr>
            </w:pPr>
          </w:p>
        </w:tc>
      </w:tr>
      <w:tr w14:paraId="66DE1F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916" w:type="dxa"/>
          </w:tcPr>
          <w:p w14:paraId="119F170D">
            <w:pPr>
              <w:keepNext/>
              <w:spacing w:after="120" w:line="360" w:lineRule="auto"/>
              <w:ind w:left="63" w:right="63"/>
              <w:rPr>
                <w:rFonts w:ascii="宋体" w:hAnsi="宋体" w:cs="仿宋_GB2312"/>
                <w:kern w:val="0"/>
                <w:szCs w:val="21"/>
              </w:rPr>
            </w:pPr>
          </w:p>
        </w:tc>
        <w:tc>
          <w:tcPr>
            <w:tcW w:w="2231" w:type="dxa"/>
          </w:tcPr>
          <w:p w14:paraId="520AD74F">
            <w:pPr>
              <w:keepNext/>
              <w:spacing w:after="120" w:line="360" w:lineRule="auto"/>
              <w:ind w:left="63" w:right="63"/>
              <w:rPr>
                <w:rFonts w:ascii="宋体" w:hAnsi="宋体" w:cs="仿宋_GB2312"/>
                <w:kern w:val="0"/>
                <w:szCs w:val="21"/>
              </w:rPr>
            </w:pPr>
          </w:p>
        </w:tc>
        <w:tc>
          <w:tcPr>
            <w:tcW w:w="785" w:type="dxa"/>
          </w:tcPr>
          <w:p w14:paraId="2DDB6346">
            <w:pPr>
              <w:keepNext/>
              <w:spacing w:after="120" w:line="360" w:lineRule="auto"/>
              <w:ind w:left="63" w:right="63"/>
              <w:rPr>
                <w:rFonts w:ascii="宋体" w:hAnsi="宋体" w:cs="仿宋_GB2312"/>
                <w:kern w:val="0"/>
                <w:szCs w:val="21"/>
              </w:rPr>
            </w:pPr>
          </w:p>
        </w:tc>
        <w:tc>
          <w:tcPr>
            <w:tcW w:w="1058" w:type="dxa"/>
          </w:tcPr>
          <w:p w14:paraId="5E8B92F0">
            <w:pPr>
              <w:keepNext/>
              <w:spacing w:after="120" w:line="360" w:lineRule="auto"/>
              <w:ind w:left="63" w:right="63"/>
              <w:rPr>
                <w:rFonts w:ascii="宋体" w:hAnsi="宋体" w:cs="仿宋_GB2312"/>
                <w:kern w:val="0"/>
                <w:szCs w:val="21"/>
              </w:rPr>
            </w:pPr>
          </w:p>
        </w:tc>
        <w:tc>
          <w:tcPr>
            <w:tcW w:w="1559" w:type="dxa"/>
          </w:tcPr>
          <w:p w14:paraId="385F56FC">
            <w:pPr>
              <w:keepNext/>
              <w:spacing w:after="120" w:line="360" w:lineRule="auto"/>
              <w:ind w:left="63" w:right="63"/>
              <w:rPr>
                <w:rFonts w:ascii="宋体" w:hAnsi="宋体" w:cs="仿宋_GB2312"/>
                <w:kern w:val="0"/>
                <w:szCs w:val="21"/>
              </w:rPr>
            </w:pPr>
          </w:p>
        </w:tc>
        <w:tc>
          <w:tcPr>
            <w:tcW w:w="1559" w:type="dxa"/>
          </w:tcPr>
          <w:p w14:paraId="4C1BF016">
            <w:pPr>
              <w:keepNext/>
              <w:spacing w:after="120" w:line="360" w:lineRule="auto"/>
              <w:ind w:left="63" w:right="63"/>
              <w:rPr>
                <w:rFonts w:ascii="宋体" w:hAnsi="宋体" w:cs="仿宋_GB2312"/>
                <w:kern w:val="0"/>
                <w:szCs w:val="21"/>
              </w:rPr>
            </w:pPr>
          </w:p>
        </w:tc>
        <w:tc>
          <w:tcPr>
            <w:tcW w:w="1567" w:type="dxa"/>
          </w:tcPr>
          <w:p w14:paraId="60CBBB8F">
            <w:pPr>
              <w:keepNext/>
              <w:spacing w:after="120" w:line="360" w:lineRule="auto"/>
              <w:ind w:left="63" w:right="63"/>
              <w:rPr>
                <w:rFonts w:ascii="宋体" w:hAnsi="宋体" w:cs="仿宋_GB2312"/>
                <w:kern w:val="0"/>
                <w:szCs w:val="21"/>
              </w:rPr>
            </w:pPr>
          </w:p>
        </w:tc>
      </w:tr>
    </w:tbl>
    <w:p w14:paraId="22E07C66">
      <w:pPr>
        <w:ind w:firstLine="420" w:firstLineChars="200"/>
        <w:jc w:val="left"/>
      </w:pPr>
    </w:p>
    <w:p w14:paraId="19618C6B"/>
    <w:p w14:paraId="77D8861E"/>
    <w:p w14:paraId="279BFDCA"/>
    <w:p w14:paraId="3F247817"/>
    <w:p w14:paraId="765504D7"/>
    <w:p w14:paraId="3A1F26BC">
      <w:pPr>
        <w:spacing w:line="440" w:lineRule="exact"/>
        <w:jc w:val="center"/>
        <w:outlineLvl w:val="0"/>
        <w:rPr>
          <w:rFonts w:ascii="宋体" w:hAnsi="宋体" w:cs="宋体"/>
          <w:b/>
          <w:szCs w:val="24"/>
        </w:rPr>
      </w:pPr>
      <w:bookmarkStart w:id="698" w:name="_Toc21904"/>
      <w:r>
        <w:rPr>
          <w:rFonts w:hint="eastAsia" w:ascii="宋体" w:hAnsi="宋体" w:cs="宋体"/>
          <w:b/>
          <w:szCs w:val="24"/>
        </w:rPr>
        <w:t>第四章  技术规范</w:t>
      </w:r>
      <w:bookmarkEnd w:id="121"/>
      <w:bookmarkEnd w:id="122"/>
      <w:bookmarkEnd w:id="123"/>
      <w:bookmarkEnd w:id="124"/>
      <w:bookmarkEnd w:id="125"/>
      <w:bookmarkEnd w:id="126"/>
      <w:bookmarkEnd w:id="127"/>
      <w:r>
        <w:rPr>
          <w:rFonts w:hint="eastAsia" w:ascii="宋体" w:hAnsi="宋体" w:cs="宋体"/>
          <w:b/>
          <w:szCs w:val="24"/>
        </w:rPr>
        <w:t>及采购需求</w:t>
      </w:r>
      <w:bookmarkEnd w:id="698"/>
    </w:p>
    <w:p w14:paraId="45DB8663">
      <w:pPr>
        <w:pStyle w:val="63"/>
        <w:ind w:firstLine="0"/>
        <w:rPr>
          <w:b/>
        </w:rPr>
      </w:pPr>
      <w:r>
        <w:rPr>
          <w:rFonts w:hint="eastAsia"/>
          <w:b/>
        </w:rPr>
        <w:t>技术规范</w:t>
      </w:r>
    </w:p>
    <w:p w14:paraId="07976DFD">
      <w:pPr>
        <w:ind w:firstLine="420" w:firstLineChars="200"/>
        <w:rPr>
          <w:rFonts w:ascii="宋体" w:hAnsi="宋体"/>
        </w:rPr>
      </w:pPr>
      <w:r>
        <w:rPr>
          <w:rFonts w:hint="eastAsia" w:ascii="宋体" w:hAnsi="宋体"/>
        </w:rPr>
        <w:t>1、本工程完成必须符合国家和地方现行相关质量评定标准和施工技术规范、施工图设计要求。</w:t>
      </w:r>
    </w:p>
    <w:p w14:paraId="36FE70CA">
      <w:pPr>
        <w:ind w:firstLine="420" w:firstLineChars="200"/>
        <w:rPr>
          <w:rFonts w:ascii="宋体" w:hAnsi="宋体"/>
        </w:rPr>
      </w:pPr>
      <w:r>
        <w:rPr>
          <w:rFonts w:hint="eastAsia" w:ascii="宋体" w:hAnsi="宋体"/>
        </w:rPr>
        <w:t>2、本工程的材料检验和质量、工艺试验按国家、地方现行相关规定执行。</w:t>
      </w:r>
    </w:p>
    <w:p w14:paraId="417FC812">
      <w:pPr>
        <w:spacing w:line="440" w:lineRule="exact"/>
        <w:jc w:val="center"/>
        <w:outlineLvl w:val="0"/>
        <w:rPr>
          <w:rFonts w:ascii="宋体" w:hAnsi="宋体" w:cs="宋体"/>
          <w:b/>
          <w:szCs w:val="24"/>
        </w:rPr>
      </w:pPr>
      <w:bookmarkStart w:id="699" w:name="_Toc13702"/>
      <w:bookmarkStart w:id="700" w:name="_Toc486588880"/>
      <w:bookmarkStart w:id="701" w:name="_Toc481666752"/>
      <w:bookmarkStart w:id="702" w:name="_Toc481666278"/>
      <w:bookmarkStart w:id="703" w:name="_Toc486588541"/>
      <w:bookmarkStart w:id="704" w:name="_Toc486588386"/>
      <w:bookmarkStart w:id="705" w:name="_Toc486587995"/>
      <w:bookmarkStart w:id="706" w:name="_Toc486588779"/>
      <w:r>
        <w:rPr>
          <w:rFonts w:hint="eastAsia" w:ascii="宋体" w:hAnsi="宋体" w:cs="宋体"/>
          <w:b/>
          <w:szCs w:val="24"/>
        </w:rPr>
        <w:t>第五章  图纸和技术资料</w:t>
      </w:r>
      <w:bookmarkEnd w:id="699"/>
      <w:bookmarkEnd w:id="700"/>
      <w:bookmarkEnd w:id="701"/>
      <w:bookmarkEnd w:id="702"/>
      <w:bookmarkEnd w:id="703"/>
      <w:bookmarkEnd w:id="704"/>
      <w:bookmarkEnd w:id="705"/>
      <w:bookmarkEnd w:id="706"/>
    </w:p>
    <w:p w14:paraId="7794B91E">
      <w:pPr>
        <w:spacing w:line="440" w:lineRule="exact"/>
        <w:ind w:firstLine="420"/>
        <w:rPr>
          <w:rFonts w:ascii="宋体" w:hAnsi="宋体"/>
        </w:rPr>
      </w:pPr>
      <w:r>
        <w:rPr>
          <w:rFonts w:ascii="宋体" w:hAnsi="宋体"/>
        </w:rPr>
        <w:t>1</w:t>
      </w:r>
      <w:r>
        <w:rPr>
          <w:rFonts w:hint="eastAsia" w:ascii="宋体" w:hAnsi="宋体"/>
        </w:rPr>
        <w:t>.</w:t>
      </w:r>
      <w:r>
        <w:rPr>
          <w:rFonts w:ascii="宋体" w:hAnsi="宋体"/>
        </w:rPr>
        <w:t>1</w:t>
      </w:r>
      <w:r>
        <w:rPr>
          <w:rFonts w:hint="eastAsia" w:ascii="宋体" w:hAnsi="宋体"/>
        </w:rPr>
        <w:t>、采购人将提供给每个供应商一份本工程平面图，作为竞争性磋商文件附件。</w:t>
      </w:r>
    </w:p>
    <w:p w14:paraId="3F704442">
      <w:pPr>
        <w:spacing w:line="440" w:lineRule="exact"/>
        <w:ind w:firstLine="420"/>
        <w:rPr>
          <w:rFonts w:ascii="宋体" w:hAnsi="宋体"/>
        </w:rPr>
      </w:pPr>
      <w:r>
        <w:rPr>
          <w:rFonts w:hint="eastAsia" w:ascii="宋体" w:hAnsi="宋体"/>
        </w:rPr>
        <w:t>1.2、采购人如有图纸变更等其他技术资料也将给各供应商提供一份。</w:t>
      </w:r>
    </w:p>
    <w:p w14:paraId="7A0A9D66">
      <w:pPr>
        <w:spacing w:line="440" w:lineRule="exact"/>
        <w:jc w:val="center"/>
        <w:rPr>
          <w:rFonts w:ascii="宋体" w:hAnsi="宋体"/>
          <w:b/>
        </w:rPr>
      </w:pPr>
    </w:p>
    <w:p w14:paraId="5A20C097">
      <w:pPr>
        <w:spacing w:line="440" w:lineRule="exact"/>
        <w:jc w:val="center"/>
        <w:rPr>
          <w:rFonts w:ascii="宋体" w:hAnsi="宋体"/>
          <w:b/>
        </w:rPr>
      </w:pPr>
    </w:p>
    <w:p w14:paraId="54F94396">
      <w:pPr>
        <w:spacing w:line="440" w:lineRule="exact"/>
        <w:jc w:val="center"/>
        <w:rPr>
          <w:rFonts w:ascii="宋体" w:hAnsi="宋体"/>
          <w:b/>
        </w:rPr>
      </w:pPr>
    </w:p>
    <w:p w14:paraId="0DE60817">
      <w:pPr>
        <w:spacing w:line="440" w:lineRule="exact"/>
        <w:jc w:val="center"/>
        <w:outlineLvl w:val="0"/>
        <w:rPr>
          <w:rFonts w:ascii="宋体" w:hAnsi="宋体" w:cs="宋体"/>
          <w:b/>
          <w:szCs w:val="24"/>
        </w:rPr>
      </w:pPr>
      <w:bookmarkStart w:id="707" w:name="_Toc486587996"/>
      <w:bookmarkStart w:id="708" w:name="_Toc486588780"/>
      <w:bookmarkStart w:id="709" w:name="_Toc486588881"/>
      <w:bookmarkStart w:id="710" w:name="_Toc481666279"/>
      <w:bookmarkStart w:id="711" w:name="_Toc486588542"/>
      <w:bookmarkStart w:id="712" w:name="_Toc486588387"/>
      <w:bookmarkStart w:id="713" w:name="_Toc481666753"/>
      <w:bookmarkStart w:id="714" w:name="_Toc7169"/>
      <w:r>
        <w:rPr>
          <w:rFonts w:hint="eastAsia" w:ascii="宋体" w:hAnsi="宋体" w:cs="宋体"/>
          <w:b/>
          <w:szCs w:val="24"/>
        </w:rPr>
        <w:t>第六章  工程量清单</w:t>
      </w:r>
      <w:bookmarkEnd w:id="707"/>
      <w:bookmarkEnd w:id="708"/>
      <w:bookmarkEnd w:id="709"/>
      <w:bookmarkEnd w:id="710"/>
      <w:bookmarkEnd w:id="711"/>
      <w:bookmarkEnd w:id="712"/>
      <w:bookmarkEnd w:id="713"/>
      <w:bookmarkEnd w:id="714"/>
    </w:p>
    <w:p w14:paraId="08ECD7D4">
      <w:pPr>
        <w:autoSpaceDE w:val="0"/>
        <w:autoSpaceDN w:val="0"/>
        <w:adjustRightInd w:val="0"/>
        <w:spacing w:line="440" w:lineRule="exact"/>
        <w:ind w:firstLine="420" w:firstLineChars="200"/>
        <w:rPr>
          <w:rFonts w:ascii="宋体" w:hAnsi="宋体"/>
          <w:lang w:val="zh-CN"/>
        </w:rPr>
      </w:pPr>
      <w:r>
        <w:rPr>
          <w:rFonts w:ascii="宋体" w:hAnsi="宋体"/>
          <w:lang w:val="zh-CN"/>
        </w:rPr>
        <w:t>1.1</w:t>
      </w:r>
      <w:r>
        <w:rPr>
          <w:rFonts w:hint="eastAsia" w:ascii="宋体" w:hAnsi="宋体"/>
          <w:lang w:val="zh-CN"/>
        </w:rPr>
        <w:t>、《建设工程工程量清单计价规范》GB50500-2013、《通用安装工程工程量计算规范》GB50856-2013有关规定编制，具体详见工程量清单总说明。</w:t>
      </w:r>
    </w:p>
    <w:p w14:paraId="582A50C0">
      <w:pPr>
        <w:spacing w:line="440" w:lineRule="exact"/>
        <w:jc w:val="center"/>
        <w:rPr>
          <w:rFonts w:ascii="宋体" w:hAnsi="宋体"/>
          <w:b/>
        </w:rPr>
      </w:pPr>
    </w:p>
    <w:p w14:paraId="0000DA4B">
      <w:pPr>
        <w:spacing w:line="440" w:lineRule="exact"/>
        <w:jc w:val="center"/>
        <w:outlineLvl w:val="0"/>
        <w:rPr>
          <w:rFonts w:ascii="宋体" w:hAnsi="宋体" w:cs="宋体"/>
          <w:b/>
          <w:szCs w:val="24"/>
        </w:rPr>
      </w:pPr>
      <w:bookmarkStart w:id="715" w:name="_Toc486588543"/>
      <w:bookmarkStart w:id="716" w:name="_Toc486588781"/>
      <w:bookmarkStart w:id="717" w:name="_Toc486588388"/>
      <w:bookmarkStart w:id="718" w:name="_Toc481666280"/>
      <w:bookmarkStart w:id="719" w:name="_Toc486588882"/>
      <w:bookmarkStart w:id="720" w:name="_Toc32491"/>
      <w:bookmarkStart w:id="721" w:name="_Toc486587997"/>
      <w:bookmarkStart w:id="722" w:name="_Toc481666754"/>
      <w:r>
        <w:rPr>
          <w:rFonts w:hint="eastAsia" w:ascii="宋体" w:hAnsi="宋体" w:cs="宋体"/>
          <w:b/>
          <w:szCs w:val="24"/>
        </w:rPr>
        <w:t>第七章  响应文件格式</w:t>
      </w:r>
      <w:bookmarkEnd w:id="715"/>
      <w:bookmarkEnd w:id="716"/>
      <w:bookmarkEnd w:id="717"/>
      <w:bookmarkEnd w:id="718"/>
      <w:bookmarkEnd w:id="719"/>
      <w:bookmarkEnd w:id="720"/>
      <w:bookmarkEnd w:id="721"/>
      <w:bookmarkEnd w:id="722"/>
    </w:p>
    <w:p w14:paraId="1F35CB86">
      <w:pPr>
        <w:spacing w:line="440" w:lineRule="exact"/>
        <w:jc w:val="center"/>
        <w:rPr>
          <w:rFonts w:ascii="宋体" w:hAnsi="宋体"/>
          <w:b/>
        </w:rPr>
      </w:pPr>
    </w:p>
    <w:p w14:paraId="47219936">
      <w:pPr>
        <w:spacing w:line="440" w:lineRule="exact"/>
        <w:jc w:val="center"/>
        <w:rPr>
          <w:rFonts w:ascii="宋体" w:hAnsi="宋体"/>
          <w:b/>
        </w:rPr>
      </w:pPr>
    </w:p>
    <w:p w14:paraId="72549A2C">
      <w:pPr>
        <w:spacing w:line="440" w:lineRule="exact"/>
        <w:jc w:val="center"/>
        <w:rPr>
          <w:rFonts w:ascii="宋体" w:hAnsi="宋体"/>
          <w:b/>
        </w:rPr>
      </w:pPr>
      <w:r>
        <w:rPr>
          <w:rFonts w:ascii="宋体" w:hAnsi="宋体"/>
          <w:b/>
        </w:rPr>
        <w:br w:type="page"/>
      </w:r>
    </w:p>
    <w:p w14:paraId="55137CD1">
      <w:pPr>
        <w:spacing w:line="440" w:lineRule="exact"/>
        <w:rPr>
          <w:rFonts w:ascii="宋体" w:hAnsi="宋体"/>
          <w:u w:val="single"/>
        </w:rPr>
      </w:pPr>
      <w:r>
        <w:rPr>
          <w:rFonts w:hint="eastAsia" w:ascii="宋体" w:hAnsi="宋体"/>
          <w:u w:val="single"/>
        </w:rPr>
        <w:t>响应文件封面示例</w:t>
      </w:r>
    </w:p>
    <w:p w14:paraId="33ECC081">
      <w:pPr>
        <w:jc w:val="right"/>
        <w:rPr>
          <w:rFonts w:ascii="宋体" w:hAnsi="宋体"/>
          <w:b/>
        </w:rPr>
      </w:pPr>
    </w:p>
    <w:p w14:paraId="01E37D4F">
      <w:pPr>
        <w:jc w:val="center"/>
        <w:rPr>
          <w:rFonts w:ascii="宋体" w:hAnsi="宋体"/>
          <w:b/>
        </w:rPr>
      </w:pPr>
    </w:p>
    <w:p w14:paraId="7B268581">
      <w:pPr>
        <w:spacing w:line="720" w:lineRule="auto"/>
        <w:jc w:val="center"/>
        <w:rPr>
          <w:rFonts w:ascii="宋体" w:hAnsi="宋体" w:cs="宋体"/>
          <w:b/>
          <w:bCs/>
          <w:sz w:val="24"/>
          <w:u w:val="single"/>
        </w:rPr>
      </w:pPr>
      <w:r>
        <w:rPr>
          <w:rFonts w:hint="eastAsia" w:ascii="宋体" w:hAnsi="宋体" w:cs="宋体"/>
          <w:b/>
          <w:bCs/>
          <w:sz w:val="24"/>
          <w:u w:val="single"/>
        </w:rPr>
        <w:t>（项目名称）</w:t>
      </w:r>
    </w:p>
    <w:p w14:paraId="5B900023">
      <w:pPr>
        <w:spacing w:line="300" w:lineRule="exact"/>
        <w:jc w:val="center"/>
        <w:rPr>
          <w:rFonts w:ascii="宋体" w:hAnsi="宋体" w:cs="宋体"/>
          <w:b/>
          <w:bCs/>
          <w:sz w:val="24"/>
        </w:rPr>
      </w:pPr>
      <w:r>
        <w:rPr>
          <w:rFonts w:hint="eastAsia" w:ascii="宋体" w:hAnsi="宋体" w:cs="宋体"/>
          <w:b/>
          <w:bCs/>
          <w:sz w:val="24"/>
        </w:rPr>
        <w:t>响应文件</w:t>
      </w:r>
    </w:p>
    <w:p w14:paraId="53721A23">
      <w:pPr>
        <w:spacing w:line="720" w:lineRule="auto"/>
        <w:rPr>
          <w:rFonts w:ascii="宋体" w:hAnsi="宋体" w:cs="宋体"/>
          <w:sz w:val="24"/>
        </w:rPr>
      </w:pPr>
    </w:p>
    <w:p w14:paraId="39B34151">
      <w:pPr>
        <w:spacing w:line="720" w:lineRule="auto"/>
        <w:rPr>
          <w:rFonts w:ascii="宋体" w:hAnsi="宋体" w:cs="宋体"/>
          <w:sz w:val="24"/>
        </w:rPr>
      </w:pPr>
      <w:r>
        <w:rPr>
          <w:rFonts w:hint="eastAsia" w:ascii="宋体" w:hAnsi="宋体" w:cs="宋体"/>
          <w:sz w:val="24"/>
        </w:rPr>
        <w:t>供应商：（盖章）</w:t>
      </w:r>
    </w:p>
    <w:p w14:paraId="42C5BA87">
      <w:pPr>
        <w:spacing w:line="720" w:lineRule="auto"/>
        <w:rPr>
          <w:rFonts w:ascii="宋体" w:hAnsi="宋体" w:cs="宋体"/>
          <w:sz w:val="24"/>
        </w:rPr>
      </w:pPr>
      <w:r>
        <w:rPr>
          <w:rFonts w:hint="eastAsia" w:ascii="宋体" w:hAnsi="宋体" w:cs="宋体"/>
          <w:sz w:val="24"/>
        </w:rPr>
        <w:t>法定代表人：（盖章）</w:t>
      </w:r>
    </w:p>
    <w:p w14:paraId="5ADBF2F1">
      <w:pPr>
        <w:spacing w:line="720" w:lineRule="auto"/>
        <w:rPr>
          <w:rFonts w:ascii="宋体" w:hAnsi="宋体" w:cs="宋体"/>
          <w:sz w:val="24"/>
        </w:rPr>
      </w:pPr>
      <w:r>
        <w:rPr>
          <w:rFonts w:hint="eastAsia" w:ascii="宋体" w:hAnsi="宋体" w:cs="宋体"/>
          <w:sz w:val="24"/>
        </w:rPr>
        <w:t>单位地址：</w:t>
      </w:r>
    </w:p>
    <w:p w14:paraId="5717D121">
      <w:pPr>
        <w:spacing w:line="720" w:lineRule="auto"/>
        <w:rPr>
          <w:rFonts w:ascii="宋体" w:hAnsi="宋体" w:cs="宋体"/>
          <w:sz w:val="24"/>
        </w:rPr>
      </w:pPr>
      <w:r>
        <w:rPr>
          <w:rFonts w:hint="eastAsia" w:ascii="宋体" w:hAnsi="宋体" w:cs="宋体"/>
          <w:sz w:val="24"/>
        </w:rPr>
        <w:t>邮政编码：</w:t>
      </w:r>
    </w:p>
    <w:p w14:paraId="18F99B38">
      <w:pPr>
        <w:spacing w:line="720" w:lineRule="auto"/>
        <w:rPr>
          <w:rFonts w:ascii="宋体" w:hAnsi="宋体" w:cs="宋体"/>
          <w:sz w:val="24"/>
        </w:rPr>
      </w:pPr>
      <w:r>
        <w:rPr>
          <w:rFonts w:hint="eastAsia" w:ascii="宋体" w:hAnsi="宋体" w:cs="宋体"/>
          <w:sz w:val="24"/>
        </w:rPr>
        <w:t>联系人：</w:t>
      </w:r>
    </w:p>
    <w:p w14:paraId="2A9E1A03">
      <w:pPr>
        <w:spacing w:line="720" w:lineRule="auto"/>
        <w:rPr>
          <w:rFonts w:ascii="宋体" w:hAnsi="宋体" w:cs="宋体"/>
          <w:sz w:val="24"/>
        </w:rPr>
      </w:pPr>
      <w:r>
        <w:rPr>
          <w:rFonts w:hint="eastAsia" w:ascii="宋体" w:hAnsi="宋体" w:cs="宋体"/>
          <w:sz w:val="24"/>
        </w:rPr>
        <w:t>联系电话：</w:t>
      </w:r>
    </w:p>
    <w:p w14:paraId="0433699D">
      <w:pPr>
        <w:spacing w:line="720" w:lineRule="auto"/>
        <w:rPr>
          <w:rFonts w:ascii="宋体" w:hAnsi="宋体" w:cs="宋体"/>
          <w:sz w:val="24"/>
        </w:rPr>
      </w:pPr>
    </w:p>
    <w:p w14:paraId="73527F7E">
      <w:pPr>
        <w:spacing w:line="720" w:lineRule="auto"/>
        <w:ind w:firstLine="2" w:firstLineChars="1"/>
        <w:jc w:val="center"/>
        <w:rPr>
          <w:rFonts w:ascii="宋体" w:hAnsi="宋体" w:cs="宋体"/>
          <w:sz w:val="24"/>
        </w:rPr>
      </w:pPr>
      <w:r>
        <w:rPr>
          <w:rFonts w:hint="eastAsia" w:ascii="宋体" w:hAnsi="宋体" w:cs="宋体"/>
          <w:sz w:val="24"/>
        </w:rPr>
        <w:t>年  月  日</w:t>
      </w:r>
    </w:p>
    <w:p w14:paraId="4424C037">
      <w:pPr>
        <w:rPr>
          <w:rFonts w:ascii="宋体" w:hAnsi="宋体"/>
        </w:rPr>
      </w:pPr>
    </w:p>
    <w:p w14:paraId="5867932E">
      <w:pPr>
        <w:spacing w:before="120" w:after="120" w:line="360" w:lineRule="auto"/>
        <w:ind w:firstLine="643"/>
        <w:jc w:val="center"/>
        <w:outlineLvl w:val="1"/>
        <w:rPr>
          <w:rFonts w:cs="仿宋" w:asciiTheme="minorEastAsia" w:hAnsiTheme="minorEastAsia"/>
          <w:sz w:val="24"/>
          <w:szCs w:val="24"/>
        </w:rPr>
      </w:pPr>
      <w:r>
        <w:rPr>
          <w:rFonts w:ascii="宋体" w:hAnsi="宋体"/>
        </w:rPr>
        <w:br w:type="page"/>
      </w:r>
      <w:bookmarkStart w:id="723" w:name="_Toc22214"/>
      <w:bookmarkStart w:id="724" w:name="_Toc131679063"/>
      <w:bookmarkStart w:id="725" w:name="_Toc19188"/>
      <w:bookmarkStart w:id="726" w:name="_Toc21563"/>
      <w:bookmarkStart w:id="727" w:name="_Toc83546621"/>
      <w:r>
        <w:rPr>
          <w:rFonts w:hint="eastAsia" w:cs="仿宋" w:asciiTheme="minorEastAsia" w:hAnsiTheme="minorEastAsia"/>
          <w:b/>
          <w:sz w:val="24"/>
          <w:szCs w:val="24"/>
        </w:rPr>
        <w:t>（第一部分）资格证明文件</w:t>
      </w:r>
      <w:bookmarkEnd w:id="723"/>
      <w:bookmarkEnd w:id="724"/>
      <w:bookmarkEnd w:id="725"/>
      <w:bookmarkEnd w:id="726"/>
      <w:bookmarkEnd w:id="727"/>
    </w:p>
    <w:p w14:paraId="29DB7E80">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供应商应按下列顺序排序资格审查文件：</w:t>
      </w:r>
    </w:p>
    <w:p w14:paraId="44E3DBF3">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（一）供应商营业执照（电子文件）；</w:t>
      </w:r>
    </w:p>
    <w:p w14:paraId="3D4BBC3C">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（二）提供法定代表人身份证明或法定代表人授权委托书；（电子文件）</w:t>
      </w:r>
    </w:p>
    <w:p w14:paraId="61BC31BB">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（三）提供供应商有效的资质证书、有效的安全生产许可证、项目负责人注册建造师证书</w:t>
      </w:r>
      <w:r>
        <w:rPr>
          <w:rFonts w:hint="eastAsia" w:cs="仿宋" w:asciiTheme="minorEastAsia" w:hAnsiTheme="minorEastAsia"/>
          <w:sz w:val="24"/>
          <w:szCs w:val="24"/>
          <w:highlight w:val="none"/>
        </w:rPr>
        <w:t>及安全生产考核证书</w:t>
      </w:r>
      <w:r>
        <w:rPr>
          <w:rFonts w:hint="eastAsia" w:cs="仿宋" w:asciiTheme="minorEastAsia" w:hAnsiTheme="minorEastAsia"/>
          <w:sz w:val="24"/>
          <w:szCs w:val="24"/>
        </w:rPr>
        <w:t>（电子文件），项目负责人</w:t>
      </w:r>
      <w:r>
        <w:rPr>
          <w:rFonts w:hint="eastAsia" w:asciiTheme="minorEastAsia" w:hAnsiTheme="minorEastAsia"/>
          <w:sz w:val="24"/>
          <w:szCs w:val="24"/>
        </w:rPr>
        <w:t>未担任其他在建项目承诺（自拟）</w:t>
      </w:r>
    </w:p>
    <w:p w14:paraId="4D84E11E">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（四）有良好的商业信誉和健全的财务会计制度的相关证明材料（电子文件）</w:t>
      </w:r>
    </w:p>
    <w:p w14:paraId="30EA2BF8">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（五）履行合同所必需的设备和专业技术能力的书面声明（电子文件）；</w:t>
      </w:r>
    </w:p>
    <w:p w14:paraId="36394ED9">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（六）依法缴纳税收和社会保障资金的良好记录的证明材料；（电子文件）</w:t>
      </w:r>
    </w:p>
    <w:p w14:paraId="0ED7E48A">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（七）政府采购活动前三年内，在经营活动中没有重大违法记录的书面声明（电子文件）</w:t>
      </w:r>
    </w:p>
    <w:p w14:paraId="46246E01">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（八）供应商无关联关系书面声明函（电子文件）</w:t>
      </w:r>
    </w:p>
    <w:p w14:paraId="0D2E0572">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（九）《中小企业声明函》（电子文件）</w:t>
      </w:r>
    </w:p>
    <w:p w14:paraId="336F7E94">
      <w:pPr>
        <w:tabs>
          <w:tab w:val="center" w:pos="4153"/>
          <w:tab w:val="right" w:pos="8306"/>
        </w:tabs>
        <w:snapToGrid w:val="0"/>
        <w:spacing w:line="360" w:lineRule="auto"/>
        <w:ind w:firstLine="600" w:firstLineChars="250"/>
        <w:rPr>
          <w:rFonts w:cs="仿宋" w:asciiTheme="minorEastAsia" w:hAnsiTheme="minorEastAsia"/>
          <w:sz w:val="24"/>
          <w:szCs w:val="24"/>
        </w:rPr>
      </w:pPr>
      <w:r>
        <w:rPr>
          <w:rFonts w:hint="eastAsia" w:cs="仿宋" w:asciiTheme="minorEastAsia" w:hAnsiTheme="minorEastAsia"/>
          <w:sz w:val="24"/>
          <w:szCs w:val="24"/>
        </w:rPr>
        <w:t>(十) 磋商保证金缴纳凭证（电子文件）</w:t>
      </w:r>
    </w:p>
    <w:p w14:paraId="7EADA3C1">
      <w:pPr>
        <w:tabs>
          <w:tab w:val="center" w:pos="4832"/>
          <w:tab w:val="left" w:pos="7140"/>
        </w:tabs>
        <w:jc w:val="center"/>
        <w:rPr>
          <w:rFonts w:ascii="宋体" w:hAnsi="宋体"/>
          <w:bCs/>
        </w:rPr>
      </w:pPr>
    </w:p>
    <w:p w14:paraId="489C95FB">
      <w:pPr>
        <w:rPr>
          <w:rFonts w:ascii="宋体" w:hAnsi="宋体"/>
        </w:rPr>
      </w:pPr>
    </w:p>
    <w:p w14:paraId="45C3E5D7">
      <w:pPr>
        <w:spacing w:line="360" w:lineRule="auto"/>
        <w:jc w:val="center"/>
        <w:rPr>
          <w:rFonts w:cs="仿宋" w:asciiTheme="minorEastAsia" w:hAnsiTheme="minorEastAsia"/>
          <w:sz w:val="24"/>
          <w:szCs w:val="24"/>
        </w:rPr>
      </w:pPr>
      <w:r>
        <w:rPr>
          <w:rFonts w:ascii="宋体" w:hAnsi="宋体"/>
          <w:b/>
        </w:rPr>
        <w:br w:type="page"/>
      </w:r>
      <w:r>
        <w:rPr>
          <w:rFonts w:hint="eastAsia" w:cs="仿宋" w:asciiTheme="minorEastAsia" w:hAnsiTheme="minorEastAsia"/>
          <w:b/>
          <w:sz w:val="24"/>
          <w:szCs w:val="24"/>
        </w:rPr>
        <w:t>1、提供合法有效的营业执照</w:t>
      </w:r>
    </w:p>
    <w:p w14:paraId="0846E332">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提供供应商的营业执照复印件并加盖供应商公章。</w:t>
      </w:r>
    </w:p>
    <w:p w14:paraId="3F8CA984">
      <w:pPr>
        <w:keepNext/>
        <w:keepLines/>
        <w:spacing w:line="360" w:lineRule="auto"/>
        <w:rPr>
          <w:rFonts w:cs="仿宋" w:asciiTheme="minorEastAsia" w:hAnsiTheme="minorEastAsia"/>
          <w:sz w:val="24"/>
          <w:szCs w:val="24"/>
        </w:rPr>
      </w:pPr>
    </w:p>
    <w:p w14:paraId="7A6FCEED">
      <w:pPr>
        <w:keepNext/>
        <w:keepLines/>
        <w:spacing w:line="360" w:lineRule="auto"/>
        <w:jc w:val="center"/>
        <w:rPr>
          <w:rFonts w:cs="仿宋" w:asciiTheme="minorEastAsia" w:hAnsiTheme="minorEastAsia"/>
          <w:b/>
          <w:sz w:val="24"/>
          <w:szCs w:val="24"/>
        </w:rPr>
      </w:pPr>
      <w:r>
        <w:rPr>
          <w:rFonts w:hint="eastAsia" w:cs="仿宋" w:asciiTheme="minorEastAsia" w:hAnsiTheme="minorEastAsia"/>
          <w:b/>
          <w:sz w:val="24"/>
          <w:szCs w:val="24"/>
        </w:rPr>
        <w:t>2、法定代表人授权委托书或法定代表人身份证明；</w:t>
      </w:r>
    </w:p>
    <w:p w14:paraId="69729B88">
      <w:pPr>
        <w:keepNext/>
        <w:keepLines/>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2.1、</w:t>
      </w:r>
      <w:r>
        <w:rPr>
          <w:rFonts w:cs="仿宋" w:asciiTheme="minorEastAsia" w:hAnsiTheme="minorEastAsia"/>
          <w:b/>
          <w:bCs/>
          <w:sz w:val="24"/>
          <w:szCs w:val="24"/>
        </w:rPr>
        <w:t>法定代表人授权委托书</w:t>
      </w:r>
    </w:p>
    <w:p w14:paraId="3070CB31">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本授权委托书声明：我</w:t>
      </w:r>
      <w:r>
        <w:rPr>
          <w:rFonts w:hint="eastAsia" w:cs="仿宋" w:asciiTheme="minorEastAsia" w:hAnsiTheme="minorEastAsia"/>
          <w:sz w:val="24"/>
          <w:szCs w:val="24"/>
          <w:u w:val="single"/>
        </w:rPr>
        <w:t>（姓名）</w:t>
      </w:r>
      <w:r>
        <w:rPr>
          <w:rFonts w:hint="eastAsia" w:cs="仿宋" w:asciiTheme="minorEastAsia" w:hAnsiTheme="minorEastAsia"/>
          <w:sz w:val="24"/>
          <w:szCs w:val="24"/>
        </w:rPr>
        <w:t>系</w:t>
      </w:r>
      <w:r>
        <w:rPr>
          <w:rFonts w:hint="eastAsia" w:cs="仿宋" w:asciiTheme="minorEastAsia" w:hAnsiTheme="minorEastAsia"/>
          <w:sz w:val="24"/>
          <w:szCs w:val="24"/>
          <w:u w:val="single"/>
        </w:rPr>
        <w:t xml:space="preserve"> （供应商名称）</w:t>
      </w:r>
      <w:r>
        <w:rPr>
          <w:rFonts w:hint="eastAsia" w:cs="仿宋" w:asciiTheme="minorEastAsia" w:hAnsiTheme="minorEastAsia"/>
          <w:sz w:val="24"/>
          <w:szCs w:val="24"/>
        </w:rPr>
        <w:t>的法人代表人，现授权委托</w:t>
      </w:r>
      <w:r>
        <w:rPr>
          <w:rFonts w:hint="eastAsia" w:cs="仿宋" w:asciiTheme="minorEastAsia" w:hAnsiTheme="minorEastAsia"/>
          <w:sz w:val="24"/>
          <w:szCs w:val="24"/>
          <w:u w:val="single"/>
        </w:rPr>
        <w:t xml:space="preserve">   （供应商名称）  </w:t>
      </w:r>
      <w:r>
        <w:rPr>
          <w:rFonts w:hint="eastAsia" w:cs="仿宋" w:asciiTheme="minorEastAsia" w:hAnsiTheme="minorEastAsia"/>
          <w:sz w:val="24"/>
          <w:szCs w:val="24"/>
        </w:rPr>
        <w:t>的</w:t>
      </w:r>
      <w:r>
        <w:rPr>
          <w:rFonts w:hint="eastAsia" w:cs="仿宋" w:asciiTheme="minorEastAsia" w:hAnsiTheme="minorEastAsia"/>
          <w:sz w:val="24"/>
          <w:szCs w:val="24"/>
          <w:u w:val="single"/>
        </w:rPr>
        <w:t>（姓名）</w:t>
      </w:r>
      <w:r>
        <w:rPr>
          <w:rFonts w:hint="eastAsia" w:cs="仿宋" w:asciiTheme="minorEastAsia" w:hAnsiTheme="minorEastAsia"/>
          <w:sz w:val="24"/>
          <w:szCs w:val="24"/>
        </w:rPr>
        <w:t>为我公司代理人，以本公司的名义参加</w:t>
      </w:r>
      <w:r>
        <w:rPr>
          <w:rFonts w:hint="eastAsia" w:cs="仿宋" w:asciiTheme="minorEastAsia" w:hAnsiTheme="minorEastAsia"/>
          <w:sz w:val="24"/>
          <w:szCs w:val="24"/>
          <w:u w:val="single"/>
        </w:rPr>
        <w:t>（采购人）</w:t>
      </w:r>
      <w:r>
        <w:rPr>
          <w:rFonts w:hint="eastAsia" w:cs="仿宋" w:asciiTheme="minorEastAsia" w:hAnsiTheme="minorEastAsia"/>
          <w:sz w:val="24"/>
          <w:szCs w:val="24"/>
        </w:rPr>
        <w:t>的</w:t>
      </w:r>
      <w:r>
        <w:rPr>
          <w:rFonts w:hint="eastAsia" w:cs="仿宋" w:asciiTheme="minorEastAsia" w:hAnsiTheme="minorEastAsia"/>
          <w:sz w:val="24"/>
          <w:szCs w:val="24"/>
          <w:u w:val="single"/>
        </w:rPr>
        <w:t xml:space="preserve"> 项目名称  、项目编号:        </w:t>
      </w:r>
      <w:r>
        <w:rPr>
          <w:rFonts w:hint="eastAsia" w:cs="仿宋" w:asciiTheme="minorEastAsia" w:hAnsiTheme="minorEastAsia"/>
          <w:sz w:val="24"/>
          <w:szCs w:val="24"/>
        </w:rPr>
        <w:t>的投标活动。代理人在参加整个项目采购活动、合同签署过程中所签署的一切文件和处理与之有关的一切事物，我单位均予以承认。</w:t>
      </w:r>
    </w:p>
    <w:p w14:paraId="4C0E0067">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代理人：              性别：         年龄：       </w:t>
      </w:r>
    </w:p>
    <w:p w14:paraId="2210049E">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单  位：              部门：         职务：       </w:t>
      </w:r>
    </w:p>
    <w:p w14:paraId="6A8DBD08">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联系电话：            邮箱：                   </w:t>
      </w:r>
    </w:p>
    <w:p w14:paraId="2627ECC9">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代理人无转委权。特此委托。</w:t>
      </w:r>
    </w:p>
    <w:p w14:paraId="60B48C65">
      <w:pPr>
        <w:spacing w:line="360" w:lineRule="auto"/>
        <w:ind w:firstLine="482"/>
        <w:rPr>
          <w:rFonts w:cs="仿宋" w:asciiTheme="minorEastAsia" w:hAnsiTheme="minorEastAsia"/>
          <w:b/>
          <w:bCs/>
          <w:sz w:val="24"/>
          <w:szCs w:val="24"/>
        </w:rPr>
      </w:pPr>
      <w:r>
        <w:rPr>
          <w:rFonts w:hint="eastAsia" w:cs="仿宋" w:asciiTheme="minorEastAsia" w:hAnsiTheme="minorEastAsia"/>
          <w:b/>
          <w:bCs/>
          <w:sz w:val="24"/>
          <w:szCs w:val="24"/>
        </w:rPr>
        <w:t>授权人身份证复印件（正反面）：</w:t>
      </w:r>
    </w:p>
    <w:p w14:paraId="114B76EC">
      <w:pPr>
        <w:spacing w:line="360" w:lineRule="auto"/>
        <w:ind w:firstLine="480"/>
        <w:rPr>
          <w:rFonts w:cs="仿宋" w:asciiTheme="minorEastAsia" w:hAnsiTheme="minorEastAsia"/>
          <w:sz w:val="24"/>
          <w:szCs w:val="24"/>
        </w:rPr>
      </w:pPr>
    </w:p>
    <w:p w14:paraId="39192B19">
      <w:pPr>
        <w:spacing w:line="360" w:lineRule="auto"/>
        <w:ind w:firstLine="482"/>
        <w:rPr>
          <w:rFonts w:cs="仿宋" w:asciiTheme="minorEastAsia" w:hAnsiTheme="minorEastAsia"/>
          <w:b/>
          <w:bCs/>
          <w:sz w:val="24"/>
          <w:szCs w:val="24"/>
        </w:rPr>
      </w:pPr>
      <w:r>
        <w:rPr>
          <w:rFonts w:hint="eastAsia" w:cs="仿宋" w:asciiTheme="minorEastAsia" w:hAnsiTheme="minorEastAsia"/>
          <w:b/>
          <w:bCs/>
          <w:sz w:val="24"/>
          <w:szCs w:val="24"/>
        </w:rPr>
        <w:t>被授权人身份证复印件（正反面）：</w:t>
      </w:r>
    </w:p>
    <w:p w14:paraId="67737009">
      <w:pPr>
        <w:spacing w:line="360" w:lineRule="auto"/>
        <w:ind w:firstLine="480"/>
        <w:rPr>
          <w:rFonts w:cs="仿宋" w:asciiTheme="minorEastAsia" w:hAnsiTheme="minorEastAsia"/>
          <w:sz w:val="24"/>
          <w:szCs w:val="24"/>
        </w:rPr>
      </w:pPr>
    </w:p>
    <w:p w14:paraId="3A570C52">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27B7C6B2">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法定代表人 (盖章)：</w:t>
      </w:r>
    </w:p>
    <w:p w14:paraId="268F46ED">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授权代理人(签字)：</w:t>
      </w:r>
    </w:p>
    <w:p w14:paraId="5CD31938">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日期：        年    月    日</w:t>
      </w:r>
    </w:p>
    <w:p w14:paraId="0EC151EF">
      <w:pPr>
        <w:spacing w:line="360" w:lineRule="auto"/>
        <w:ind w:firstLine="480"/>
        <w:rPr>
          <w:rFonts w:cs="仿宋" w:asciiTheme="minorEastAsia" w:hAnsiTheme="minorEastAsia"/>
          <w:sz w:val="24"/>
          <w:szCs w:val="24"/>
        </w:rPr>
      </w:pPr>
    </w:p>
    <w:p w14:paraId="691909B1">
      <w:pPr>
        <w:spacing w:line="360" w:lineRule="auto"/>
        <w:ind w:firstLine="480"/>
        <w:rPr>
          <w:rFonts w:cs="仿宋" w:asciiTheme="minorEastAsia" w:hAnsiTheme="minorEastAsia"/>
          <w:sz w:val="24"/>
          <w:szCs w:val="24"/>
        </w:rPr>
      </w:pPr>
    </w:p>
    <w:p w14:paraId="3655BEC7">
      <w:pPr>
        <w:spacing w:line="360" w:lineRule="auto"/>
        <w:ind w:firstLine="482"/>
        <w:rPr>
          <w:rFonts w:cs="仿宋" w:asciiTheme="minorEastAsia" w:hAnsiTheme="minorEastAsia"/>
          <w:b/>
          <w:sz w:val="24"/>
          <w:szCs w:val="24"/>
        </w:rPr>
      </w:pPr>
    </w:p>
    <w:p w14:paraId="429F21B0">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注：1、法定代表人本人作为公司代理人前来参与投标的，不提供此项证明文件。</w:t>
      </w:r>
    </w:p>
    <w:p w14:paraId="6C76999B">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    2、授权书上应当附有授权人和被授权人的居民身份证复印件（正反面）。</w:t>
      </w:r>
    </w:p>
    <w:p w14:paraId="502943BC">
      <w:pPr>
        <w:keepNext/>
        <w:keepLines/>
        <w:spacing w:line="360" w:lineRule="auto"/>
        <w:jc w:val="center"/>
        <w:rPr>
          <w:rFonts w:cs="仿宋" w:asciiTheme="minorEastAsia" w:hAnsiTheme="minorEastAsia"/>
          <w:sz w:val="24"/>
          <w:szCs w:val="24"/>
        </w:rPr>
      </w:pPr>
      <w:r>
        <w:rPr>
          <w:rFonts w:cs="仿宋" w:asciiTheme="minorEastAsia" w:hAnsiTheme="minorEastAsia"/>
          <w:sz w:val="24"/>
          <w:szCs w:val="24"/>
        </w:rPr>
        <w:br w:type="page"/>
      </w:r>
      <w:r>
        <w:rPr>
          <w:rFonts w:hint="eastAsia" w:cs="仿宋" w:asciiTheme="minorEastAsia" w:hAnsiTheme="minorEastAsia"/>
          <w:b/>
          <w:bCs/>
          <w:sz w:val="24"/>
          <w:szCs w:val="24"/>
        </w:rPr>
        <w:t>2.2、</w:t>
      </w:r>
      <w:r>
        <w:rPr>
          <w:rFonts w:cs="仿宋" w:asciiTheme="minorEastAsia" w:hAnsiTheme="minorEastAsia"/>
          <w:b/>
          <w:bCs/>
          <w:sz w:val="24"/>
          <w:szCs w:val="24"/>
        </w:rPr>
        <w:t>法定代表人身份证明书</w:t>
      </w:r>
    </w:p>
    <w:p w14:paraId="4484E386">
      <w:pPr>
        <w:spacing w:line="360" w:lineRule="auto"/>
        <w:ind w:firstLine="480"/>
        <w:rPr>
          <w:rFonts w:cs="仿宋" w:asciiTheme="minorEastAsia" w:hAnsiTheme="minorEastAsia"/>
          <w:sz w:val="24"/>
          <w:szCs w:val="24"/>
        </w:rPr>
      </w:pPr>
    </w:p>
    <w:p w14:paraId="2F7EE64A">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企业名称：                                                   </w:t>
      </w:r>
    </w:p>
    <w:p w14:paraId="5AA2D773">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企业类型：                                                   </w:t>
      </w:r>
    </w:p>
    <w:p w14:paraId="75F1FA53">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地    址：                                                   </w:t>
      </w:r>
    </w:p>
    <w:p w14:paraId="169306A4">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营业期限：                                                   </w:t>
      </w:r>
    </w:p>
    <w:p w14:paraId="057FFEC5">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成立时间：                                                   </w:t>
      </w:r>
    </w:p>
    <w:p w14:paraId="7BFDA754">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姓名：                  性别：            年龄：             </w:t>
      </w:r>
    </w:p>
    <w:p w14:paraId="6A39A3F1">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 xml:space="preserve">职务：                </w:t>
      </w:r>
    </w:p>
    <w:p w14:paraId="6F334B9D">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系</w:t>
      </w:r>
      <w:r>
        <w:rPr>
          <w:rFonts w:hint="eastAsia" w:cs="仿宋" w:asciiTheme="minorEastAsia" w:hAnsiTheme="minorEastAsia"/>
          <w:sz w:val="24"/>
          <w:szCs w:val="24"/>
          <w:u w:val="single"/>
        </w:rPr>
        <w:t xml:space="preserve">        （供应商名称）          </w:t>
      </w:r>
      <w:r>
        <w:rPr>
          <w:rFonts w:hint="eastAsia" w:cs="仿宋" w:asciiTheme="minorEastAsia" w:hAnsiTheme="minorEastAsia"/>
          <w:sz w:val="24"/>
          <w:szCs w:val="24"/>
        </w:rPr>
        <w:t>的法定代表人。</w:t>
      </w:r>
    </w:p>
    <w:p w14:paraId="0F9BF6DF">
      <w:pPr>
        <w:spacing w:line="360" w:lineRule="auto"/>
        <w:ind w:firstLine="480"/>
        <w:rPr>
          <w:rFonts w:cs="仿宋" w:asciiTheme="minorEastAsia" w:hAnsiTheme="minorEastAsia"/>
          <w:sz w:val="24"/>
          <w:szCs w:val="24"/>
        </w:rPr>
      </w:pPr>
    </w:p>
    <w:p w14:paraId="777C70BD">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特此证明。</w:t>
      </w:r>
    </w:p>
    <w:p w14:paraId="6F15BC00">
      <w:pPr>
        <w:spacing w:line="360" w:lineRule="auto"/>
        <w:ind w:firstLine="480"/>
        <w:rPr>
          <w:rFonts w:cs="仿宋" w:asciiTheme="minorEastAsia" w:hAnsiTheme="minorEastAsia"/>
          <w:sz w:val="24"/>
          <w:szCs w:val="24"/>
        </w:rPr>
      </w:pPr>
    </w:p>
    <w:p w14:paraId="1A99E86D">
      <w:pPr>
        <w:spacing w:line="360" w:lineRule="auto"/>
        <w:ind w:firstLine="482"/>
        <w:rPr>
          <w:rFonts w:cs="仿宋" w:asciiTheme="minorEastAsia" w:hAnsiTheme="minorEastAsia"/>
          <w:b/>
          <w:bCs/>
          <w:sz w:val="24"/>
          <w:szCs w:val="24"/>
        </w:rPr>
      </w:pPr>
      <w:r>
        <w:rPr>
          <w:rFonts w:hint="eastAsia" w:cs="仿宋" w:asciiTheme="minorEastAsia" w:hAnsiTheme="minorEastAsia"/>
          <w:b/>
          <w:bCs/>
          <w:sz w:val="24"/>
          <w:szCs w:val="24"/>
        </w:rPr>
        <w:t>法定代表人身份证复印件（正反面）：</w:t>
      </w:r>
    </w:p>
    <w:p w14:paraId="69FBF248">
      <w:pPr>
        <w:spacing w:line="360" w:lineRule="auto"/>
        <w:ind w:firstLine="480"/>
        <w:rPr>
          <w:rFonts w:cs="仿宋" w:asciiTheme="minorEastAsia" w:hAnsiTheme="minorEastAsia"/>
          <w:sz w:val="24"/>
          <w:szCs w:val="24"/>
        </w:rPr>
      </w:pPr>
    </w:p>
    <w:p w14:paraId="69092E60">
      <w:pPr>
        <w:spacing w:line="360" w:lineRule="auto"/>
        <w:ind w:firstLine="480"/>
        <w:rPr>
          <w:rFonts w:cs="仿宋" w:asciiTheme="minorEastAsia" w:hAnsiTheme="minorEastAsia"/>
          <w:sz w:val="24"/>
          <w:szCs w:val="24"/>
        </w:rPr>
      </w:pPr>
    </w:p>
    <w:p w14:paraId="2F9E3D1B">
      <w:pPr>
        <w:spacing w:line="360" w:lineRule="auto"/>
        <w:ind w:firstLine="480"/>
        <w:rPr>
          <w:rFonts w:cs="仿宋" w:asciiTheme="minorEastAsia" w:hAnsiTheme="minorEastAsia"/>
          <w:sz w:val="24"/>
          <w:szCs w:val="24"/>
        </w:rPr>
      </w:pPr>
    </w:p>
    <w:p w14:paraId="412FE12D">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1C073196">
      <w:pPr>
        <w:spacing w:line="360" w:lineRule="auto"/>
        <w:ind w:firstLine="480"/>
        <w:rPr>
          <w:rFonts w:cs="仿宋" w:asciiTheme="minorEastAsia" w:hAnsiTheme="minorEastAsia"/>
          <w:sz w:val="24"/>
          <w:szCs w:val="24"/>
        </w:rPr>
      </w:pPr>
    </w:p>
    <w:p w14:paraId="777FDE9D">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日  期：  年    月   日</w:t>
      </w:r>
    </w:p>
    <w:p w14:paraId="6A5F7CF4">
      <w:pPr>
        <w:spacing w:line="360" w:lineRule="auto"/>
        <w:ind w:firstLine="480"/>
        <w:rPr>
          <w:rFonts w:cs="仿宋" w:asciiTheme="minorEastAsia" w:hAnsiTheme="minorEastAsia"/>
          <w:sz w:val="24"/>
          <w:szCs w:val="24"/>
        </w:rPr>
      </w:pPr>
    </w:p>
    <w:p w14:paraId="33AE4433">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注：本证明书为法定代表人本人作为公司代理人参与投标的，提供此项证明书。</w:t>
      </w:r>
    </w:p>
    <w:p w14:paraId="161A4787">
      <w:pPr>
        <w:spacing w:line="360" w:lineRule="auto"/>
        <w:ind w:firstLine="480"/>
        <w:rPr>
          <w:rFonts w:cs="仿宋" w:asciiTheme="minorEastAsia" w:hAnsiTheme="minorEastAsia"/>
          <w:sz w:val="24"/>
          <w:szCs w:val="24"/>
        </w:rPr>
      </w:pPr>
    </w:p>
    <w:p w14:paraId="3FDF1EA8">
      <w:pPr>
        <w:pStyle w:val="12"/>
        <w:spacing w:line="360" w:lineRule="auto"/>
        <w:ind w:firstLine="480"/>
        <w:rPr>
          <w:rFonts w:cs="仿宋" w:asciiTheme="minorEastAsia" w:hAnsiTheme="minorEastAsia" w:eastAsiaTheme="minorEastAsia"/>
          <w:szCs w:val="24"/>
        </w:rPr>
      </w:pPr>
    </w:p>
    <w:p w14:paraId="3E537CDB">
      <w:pPr>
        <w:keepNext/>
        <w:keepLines/>
        <w:spacing w:line="360" w:lineRule="auto"/>
        <w:ind w:left="629"/>
        <w:jc w:val="center"/>
        <w:rPr>
          <w:rFonts w:cs="仿宋" w:asciiTheme="minorEastAsia" w:hAnsiTheme="minorEastAsia"/>
          <w:sz w:val="24"/>
          <w:szCs w:val="24"/>
        </w:rPr>
      </w:pPr>
      <w:r>
        <w:rPr>
          <w:rFonts w:cs="仿宋" w:asciiTheme="minorEastAsia" w:hAnsiTheme="minorEastAsia"/>
          <w:sz w:val="24"/>
          <w:szCs w:val="24"/>
        </w:rPr>
        <w:br w:type="page"/>
      </w:r>
    </w:p>
    <w:p w14:paraId="52D30392">
      <w:pPr>
        <w:tabs>
          <w:tab w:val="center" w:pos="4153"/>
          <w:tab w:val="right" w:pos="8306"/>
        </w:tabs>
        <w:snapToGrid w:val="0"/>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3. 提供供应商有效的资质证书、有效的安全生产许可证、项目负责人注册建造师证书及安全生产考核证书（电子文件），项目负责人未担任其他在建项目承诺（自拟）</w:t>
      </w:r>
    </w:p>
    <w:p w14:paraId="13B32F74">
      <w:pPr>
        <w:tabs>
          <w:tab w:val="center" w:pos="4153"/>
          <w:tab w:val="right" w:pos="8306"/>
        </w:tabs>
        <w:snapToGrid w:val="0"/>
        <w:spacing w:line="360" w:lineRule="auto"/>
        <w:jc w:val="center"/>
        <w:rPr>
          <w:rFonts w:cs="仿宋" w:asciiTheme="minorEastAsia" w:hAnsiTheme="minorEastAsia"/>
          <w:b/>
          <w:bCs/>
          <w:sz w:val="24"/>
          <w:szCs w:val="24"/>
        </w:rPr>
      </w:pPr>
    </w:p>
    <w:p w14:paraId="7CE6D3BD">
      <w:pPr>
        <w:tabs>
          <w:tab w:val="center" w:pos="4153"/>
          <w:tab w:val="right" w:pos="8306"/>
        </w:tabs>
        <w:snapToGrid w:val="0"/>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4、有良好的商业信誉和健全的财务会计制度的相关证明材料</w:t>
      </w:r>
    </w:p>
    <w:p w14:paraId="7DE11A55">
      <w:pPr>
        <w:tabs>
          <w:tab w:val="center" w:pos="4153"/>
          <w:tab w:val="right" w:pos="8306"/>
        </w:tabs>
        <w:snapToGrid w:val="0"/>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须提供相关证明材料，财务会计制度提供参加本次政府采购活动前一个月的会计报表或202</w:t>
      </w:r>
      <w:r>
        <w:rPr>
          <w:rFonts w:hint="eastAsia" w:cs="仿宋" w:asciiTheme="minorEastAsia" w:hAnsiTheme="minorEastAsia"/>
          <w:sz w:val="24"/>
          <w:szCs w:val="24"/>
          <w:lang w:val="en-US" w:eastAsia="zh-CN"/>
        </w:rPr>
        <w:t>3</w:t>
      </w:r>
      <w:r>
        <w:rPr>
          <w:rFonts w:hint="eastAsia" w:cs="仿宋" w:asciiTheme="minorEastAsia" w:hAnsiTheme="minorEastAsia"/>
          <w:sz w:val="24"/>
          <w:szCs w:val="24"/>
        </w:rPr>
        <w:t>年财务审计报告,成立不满一个月不需提供；</w:t>
      </w:r>
    </w:p>
    <w:p w14:paraId="3AB6CFFE">
      <w:pPr>
        <w:spacing w:line="360" w:lineRule="auto"/>
        <w:rPr>
          <w:rFonts w:cs="仿宋" w:asciiTheme="minorEastAsia" w:hAnsiTheme="minorEastAsia"/>
          <w:b/>
          <w:bCs/>
          <w:sz w:val="24"/>
          <w:szCs w:val="24"/>
        </w:rPr>
      </w:pPr>
    </w:p>
    <w:p w14:paraId="1B16E2A8">
      <w:pPr>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5、履行合同所必需的设备和专业技术能力的书面声明</w:t>
      </w:r>
    </w:p>
    <w:p w14:paraId="793B35CF">
      <w:pPr>
        <w:tabs>
          <w:tab w:val="center" w:pos="4153"/>
          <w:tab w:val="right" w:pos="8306"/>
        </w:tabs>
        <w:snapToGrid w:val="0"/>
        <w:spacing w:line="360" w:lineRule="auto"/>
        <w:rPr>
          <w:rFonts w:cs="仿宋" w:asciiTheme="minorEastAsia" w:hAnsiTheme="minorEastAsia"/>
          <w:b/>
          <w:bCs/>
          <w:sz w:val="24"/>
          <w:szCs w:val="24"/>
        </w:rPr>
      </w:pPr>
    </w:p>
    <w:p w14:paraId="592CCDC1">
      <w:r>
        <w:rPr>
          <w:rFonts w:hint="eastAsia" w:cs="仿宋" w:asciiTheme="minorEastAsia" w:hAnsiTheme="minorEastAsia"/>
          <w:sz w:val="24"/>
          <w:szCs w:val="24"/>
        </w:rPr>
        <w:t>致：</w:t>
      </w:r>
      <w:r>
        <w:rPr>
          <w:rFonts w:cs="仿宋" w:asciiTheme="minorEastAsia" w:hAnsiTheme="minorEastAsia"/>
          <w:sz w:val="24"/>
          <w:szCs w:val="24"/>
        </w:rPr>
        <w:t xml:space="preserve"> </w:t>
      </w:r>
      <w:r>
        <w:rPr>
          <w:rFonts w:hint="eastAsia" w:cs="仿宋" w:asciiTheme="minorEastAsia" w:hAnsiTheme="minorEastAsia"/>
          <w:sz w:val="24"/>
          <w:szCs w:val="24"/>
        </w:rPr>
        <w:t>新疆锐智时代建设工程项目管理有限公司</w:t>
      </w:r>
    </w:p>
    <w:p w14:paraId="702E8E19">
      <w:pPr>
        <w:tabs>
          <w:tab w:val="center" w:pos="4153"/>
          <w:tab w:val="right" w:pos="8306"/>
        </w:tabs>
        <w:snapToGrid w:val="0"/>
        <w:spacing w:line="360" w:lineRule="auto"/>
        <w:rPr>
          <w:rFonts w:cs="仿宋" w:asciiTheme="minorEastAsia" w:hAnsiTheme="minorEastAsia"/>
          <w:sz w:val="24"/>
          <w:szCs w:val="24"/>
        </w:rPr>
      </w:pPr>
    </w:p>
    <w:p w14:paraId="2DF17A96">
      <w:pPr>
        <w:tabs>
          <w:tab w:val="center" w:pos="4153"/>
          <w:tab w:val="right" w:pos="8306"/>
        </w:tabs>
        <w:snapToGrid w:val="0"/>
        <w:spacing w:line="360" w:lineRule="auto"/>
        <w:rPr>
          <w:rFonts w:cs="仿宋" w:asciiTheme="minorEastAsia" w:hAnsiTheme="minorEastAsia"/>
          <w:sz w:val="24"/>
          <w:szCs w:val="24"/>
        </w:rPr>
      </w:pPr>
      <w:r>
        <w:rPr>
          <w:rFonts w:hint="eastAsia" w:cs="仿宋" w:asciiTheme="minorEastAsia" w:hAnsiTheme="minorEastAsia"/>
          <w:sz w:val="24"/>
          <w:szCs w:val="24"/>
        </w:rPr>
        <w:t>本单位作为本次采购项目的供应商，郑重承诺具备以下条件：</w:t>
      </w:r>
    </w:p>
    <w:p w14:paraId="53B991D1">
      <w:pPr>
        <w:tabs>
          <w:tab w:val="center" w:pos="4153"/>
          <w:tab w:val="right" w:pos="8306"/>
        </w:tabs>
        <w:snapToGrid w:val="0"/>
        <w:spacing w:line="360" w:lineRule="auto"/>
        <w:rPr>
          <w:rFonts w:cs="仿宋" w:asciiTheme="minorEastAsia" w:hAnsiTheme="minorEastAsia"/>
          <w:sz w:val="24"/>
          <w:szCs w:val="24"/>
        </w:rPr>
      </w:pPr>
      <w:r>
        <w:rPr>
          <w:rFonts w:hint="eastAsia" w:cs="仿宋" w:asciiTheme="minorEastAsia" w:hAnsiTheme="minorEastAsia"/>
          <w:sz w:val="24"/>
          <w:szCs w:val="24"/>
        </w:rPr>
        <w:t>（1）具有良好的商业信誉和健全的财务会计制度；</w:t>
      </w:r>
      <w:bookmarkStart w:id="728" w:name="_Toc10522_WPSOffice_Level1"/>
    </w:p>
    <w:p w14:paraId="2ADEACEE">
      <w:pPr>
        <w:tabs>
          <w:tab w:val="center" w:pos="4153"/>
          <w:tab w:val="right" w:pos="8306"/>
        </w:tabs>
        <w:snapToGrid w:val="0"/>
        <w:spacing w:line="360" w:lineRule="auto"/>
        <w:rPr>
          <w:rFonts w:cs="仿宋" w:asciiTheme="minorEastAsia" w:hAnsiTheme="minorEastAsia"/>
          <w:sz w:val="24"/>
          <w:szCs w:val="24"/>
        </w:rPr>
      </w:pPr>
      <w:r>
        <w:rPr>
          <w:rFonts w:hint="eastAsia" w:cs="仿宋" w:asciiTheme="minorEastAsia" w:hAnsiTheme="minorEastAsia"/>
          <w:sz w:val="24"/>
          <w:szCs w:val="24"/>
        </w:rPr>
        <w:t>（2）具有履行合同所必需的</w:t>
      </w:r>
      <w:bookmarkEnd w:id="728"/>
      <w:r>
        <w:rPr>
          <w:rFonts w:hint="eastAsia" w:cs="仿宋" w:asciiTheme="minorEastAsia" w:hAnsiTheme="minorEastAsia"/>
          <w:sz w:val="24"/>
          <w:szCs w:val="24"/>
        </w:rPr>
        <w:t>设备和专业技术能力；</w:t>
      </w:r>
    </w:p>
    <w:p w14:paraId="16C0BA64">
      <w:pPr>
        <w:tabs>
          <w:tab w:val="center" w:pos="4153"/>
          <w:tab w:val="right" w:pos="8306"/>
        </w:tabs>
        <w:snapToGrid w:val="0"/>
        <w:spacing w:line="360" w:lineRule="auto"/>
        <w:rPr>
          <w:rFonts w:cs="仿宋" w:asciiTheme="minorEastAsia" w:hAnsiTheme="minorEastAsia"/>
          <w:sz w:val="24"/>
          <w:szCs w:val="24"/>
        </w:rPr>
      </w:pPr>
    </w:p>
    <w:p w14:paraId="098739BE">
      <w:pPr>
        <w:tabs>
          <w:tab w:val="center" w:pos="4153"/>
          <w:tab w:val="right" w:pos="8306"/>
        </w:tabs>
        <w:snapToGrid w:val="0"/>
        <w:spacing w:line="360" w:lineRule="auto"/>
        <w:rPr>
          <w:rFonts w:cs="仿宋" w:asciiTheme="minorEastAsia" w:hAnsiTheme="minorEastAsia"/>
          <w:sz w:val="24"/>
          <w:szCs w:val="24"/>
        </w:rPr>
      </w:pPr>
      <w:r>
        <w:rPr>
          <w:rFonts w:hint="eastAsia" w:cs="仿宋" w:asciiTheme="minorEastAsia" w:hAnsiTheme="minorEastAsia"/>
          <w:sz w:val="24"/>
          <w:szCs w:val="24"/>
        </w:rPr>
        <w:t>本单位对上述承诺的真实性负责，如有虚假，将依法承担法律责任。</w:t>
      </w:r>
    </w:p>
    <w:p w14:paraId="51CE081C">
      <w:pPr>
        <w:tabs>
          <w:tab w:val="center" w:pos="4153"/>
          <w:tab w:val="right" w:pos="8306"/>
        </w:tabs>
        <w:snapToGrid w:val="0"/>
        <w:spacing w:line="360" w:lineRule="auto"/>
        <w:rPr>
          <w:rFonts w:cs="仿宋" w:asciiTheme="minorEastAsia" w:hAnsiTheme="minorEastAsia"/>
          <w:sz w:val="24"/>
          <w:szCs w:val="24"/>
        </w:rPr>
      </w:pPr>
    </w:p>
    <w:p w14:paraId="4878FA3B">
      <w:pPr>
        <w:tabs>
          <w:tab w:val="center" w:pos="4153"/>
          <w:tab w:val="right" w:pos="8306"/>
        </w:tabs>
        <w:snapToGrid w:val="0"/>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特此承诺。</w:t>
      </w:r>
    </w:p>
    <w:p w14:paraId="0ED20D4B">
      <w:pPr>
        <w:tabs>
          <w:tab w:val="center" w:pos="4153"/>
          <w:tab w:val="right" w:pos="8306"/>
        </w:tabs>
        <w:snapToGrid w:val="0"/>
        <w:spacing w:line="360" w:lineRule="auto"/>
        <w:ind w:firstLine="480" w:firstLineChars="200"/>
        <w:rPr>
          <w:rFonts w:cs="仿宋" w:asciiTheme="minorEastAsia" w:hAnsiTheme="minorEastAsia"/>
          <w:sz w:val="24"/>
          <w:szCs w:val="24"/>
        </w:rPr>
      </w:pPr>
    </w:p>
    <w:p w14:paraId="1D5A0DA0">
      <w:pPr>
        <w:tabs>
          <w:tab w:val="center" w:pos="4153"/>
          <w:tab w:val="right" w:pos="8306"/>
        </w:tabs>
        <w:snapToGrid w:val="0"/>
        <w:spacing w:line="360" w:lineRule="auto"/>
        <w:ind w:firstLine="480" w:firstLineChars="200"/>
        <w:rPr>
          <w:rFonts w:cs="仿宋" w:asciiTheme="minorEastAsia" w:hAnsiTheme="minorEastAsia"/>
          <w:sz w:val="24"/>
          <w:szCs w:val="24"/>
        </w:rPr>
      </w:pPr>
    </w:p>
    <w:p w14:paraId="58D76395">
      <w:pPr>
        <w:spacing w:line="360" w:lineRule="auto"/>
        <w:rPr>
          <w:rFonts w:cs="仿宋" w:asciiTheme="minorEastAsia" w:hAnsiTheme="minorEastAsia"/>
          <w:sz w:val="24"/>
          <w:szCs w:val="24"/>
        </w:rPr>
      </w:pPr>
      <w:r>
        <w:rPr>
          <w:rFonts w:hint="eastAsia" w:cs="仿宋" w:asciiTheme="minorEastAsia" w:hAnsiTheme="minorEastAsia"/>
          <w:sz w:val="24"/>
          <w:szCs w:val="24"/>
        </w:rPr>
        <w:t>供应商名称（盖章）：</w:t>
      </w:r>
    </w:p>
    <w:p w14:paraId="0092F850">
      <w:pPr>
        <w:adjustRightInd w:val="0"/>
        <w:snapToGrid w:val="0"/>
        <w:spacing w:line="360" w:lineRule="auto"/>
        <w:rPr>
          <w:rFonts w:cs="仿宋" w:asciiTheme="minorEastAsia" w:hAnsiTheme="minorEastAsia"/>
          <w:sz w:val="24"/>
          <w:szCs w:val="24"/>
          <w:u w:val="single"/>
        </w:rPr>
      </w:pPr>
      <w:r>
        <w:rPr>
          <w:rFonts w:hint="eastAsia" w:cs="仿宋" w:asciiTheme="minorEastAsia" w:hAnsiTheme="minorEastAsia"/>
          <w:sz w:val="24"/>
          <w:szCs w:val="24"/>
        </w:rPr>
        <w:t>法定代表人或授权代理人(签字或盖章)：</w:t>
      </w:r>
    </w:p>
    <w:p w14:paraId="2DB52C1C">
      <w:pPr>
        <w:tabs>
          <w:tab w:val="center" w:pos="4153"/>
          <w:tab w:val="right" w:pos="8306"/>
        </w:tabs>
        <w:snapToGrid w:val="0"/>
        <w:spacing w:line="360" w:lineRule="auto"/>
        <w:rPr>
          <w:rFonts w:cs="仿宋" w:asciiTheme="minorEastAsia" w:hAnsiTheme="minorEastAsia"/>
          <w:sz w:val="24"/>
          <w:szCs w:val="24"/>
        </w:rPr>
      </w:pPr>
      <w:r>
        <w:rPr>
          <w:rFonts w:hint="eastAsia" w:cs="仿宋" w:asciiTheme="minorEastAsia" w:hAnsiTheme="minorEastAsia"/>
          <w:sz w:val="24"/>
          <w:szCs w:val="24"/>
        </w:rPr>
        <w:t>日期：   年   月   日</w:t>
      </w:r>
    </w:p>
    <w:p w14:paraId="1D811F00">
      <w:pPr>
        <w:pStyle w:val="12"/>
        <w:spacing w:line="360" w:lineRule="auto"/>
        <w:ind w:firstLine="480"/>
        <w:rPr>
          <w:rFonts w:asciiTheme="minorEastAsia" w:hAnsiTheme="minorEastAsia" w:eastAsiaTheme="minorEastAsia"/>
          <w:szCs w:val="24"/>
        </w:rPr>
      </w:pPr>
    </w:p>
    <w:p w14:paraId="20284D58">
      <w:pPr>
        <w:tabs>
          <w:tab w:val="center" w:pos="4153"/>
          <w:tab w:val="right" w:pos="8306"/>
        </w:tabs>
        <w:snapToGrid w:val="0"/>
        <w:spacing w:line="360" w:lineRule="auto"/>
        <w:rPr>
          <w:rFonts w:cs="仿宋" w:asciiTheme="minorEastAsia" w:hAnsiTheme="minorEastAsia"/>
          <w:b/>
          <w:bCs/>
          <w:sz w:val="24"/>
          <w:szCs w:val="24"/>
        </w:rPr>
      </w:pPr>
    </w:p>
    <w:p w14:paraId="30A53B20">
      <w:pPr>
        <w:tabs>
          <w:tab w:val="center" w:pos="4153"/>
          <w:tab w:val="right" w:pos="8306"/>
        </w:tabs>
        <w:snapToGrid w:val="0"/>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6、依法缴纳税收和社会保障资金的良好记录的证明材料</w:t>
      </w:r>
    </w:p>
    <w:p w14:paraId="358A1206">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提供参加本次政府采购活动前六个月内（至少一个月）依法缴纳税收和社会保障资金的相关材料；</w:t>
      </w:r>
    </w:p>
    <w:p w14:paraId="5ACBC988">
      <w:pPr>
        <w:pStyle w:val="12"/>
        <w:spacing w:line="360" w:lineRule="auto"/>
        <w:ind w:firstLine="480"/>
        <w:rPr>
          <w:rFonts w:asciiTheme="minorEastAsia" w:hAnsiTheme="minorEastAsia" w:eastAsiaTheme="minorEastAsia"/>
          <w:szCs w:val="24"/>
        </w:rPr>
      </w:pPr>
    </w:p>
    <w:p w14:paraId="5519799C">
      <w:pPr>
        <w:pStyle w:val="12"/>
        <w:spacing w:line="360" w:lineRule="auto"/>
        <w:ind w:firstLine="480"/>
        <w:rPr>
          <w:rFonts w:asciiTheme="minorEastAsia" w:hAnsiTheme="minorEastAsia" w:eastAsiaTheme="minorEastAsia"/>
          <w:szCs w:val="24"/>
        </w:rPr>
      </w:pPr>
    </w:p>
    <w:p w14:paraId="7CF5B914">
      <w:pPr>
        <w:spacing w:line="360" w:lineRule="auto"/>
        <w:jc w:val="center"/>
        <w:rPr>
          <w:rFonts w:cs="仿宋" w:asciiTheme="minorEastAsia" w:hAnsiTheme="minorEastAsia"/>
          <w:b/>
          <w:bCs/>
          <w:sz w:val="24"/>
          <w:szCs w:val="24"/>
        </w:rPr>
      </w:pPr>
    </w:p>
    <w:p w14:paraId="31E4A943">
      <w:pPr>
        <w:spacing w:line="360" w:lineRule="auto"/>
        <w:jc w:val="center"/>
        <w:rPr>
          <w:rFonts w:cs="仿宋" w:asciiTheme="minorEastAsia" w:hAnsiTheme="minorEastAsia"/>
          <w:sz w:val="24"/>
          <w:szCs w:val="24"/>
        </w:rPr>
      </w:pPr>
      <w:r>
        <w:rPr>
          <w:rFonts w:hint="eastAsia" w:cs="仿宋" w:asciiTheme="minorEastAsia" w:hAnsiTheme="minorEastAsia"/>
          <w:b/>
          <w:bCs/>
          <w:sz w:val="24"/>
          <w:szCs w:val="24"/>
        </w:rPr>
        <w:t>7、政府采购活动前</w:t>
      </w:r>
      <w:bookmarkStart w:id="729" w:name="_Toc16914_WPSOffice_Level1"/>
      <w:r>
        <w:rPr>
          <w:rFonts w:hint="eastAsia" w:cs="仿宋" w:asciiTheme="minorEastAsia" w:hAnsiTheme="minorEastAsia"/>
          <w:b/>
          <w:bCs/>
          <w:sz w:val="24"/>
          <w:szCs w:val="24"/>
        </w:rPr>
        <w:t>三年内，在经</w:t>
      </w:r>
      <w:bookmarkEnd w:id="729"/>
      <w:r>
        <w:rPr>
          <w:rFonts w:hint="eastAsia" w:cs="仿宋" w:asciiTheme="minorEastAsia" w:hAnsiTheme="minorEastAsia"/>
          <w:b/>
          <w:bCs/>
          <w:sz w:val="24"/>
          <w:szCs w:val="24"/>
        </w:rPr>
        <w:t>营活动中没有重大违法记录的书面声明；</w:t>
      </w:r>
    </w:p>
    <w:p w14:paraId="22DA8550">
      <w:pPr>
        <w:spacing w:line="360" w:lineRule="auto"/>
        <w:rPr>
          <w:rFonts w:cs="仿宋" w:asciiTheme="minorEastAsia" w:hAnsiTheme="minorEastAsia"/>
          <w:bCs/>
          <w:sz w:val="24"/>
          <w:szCs w:val="24"/>
        </w:rPr>
      </w:pPr>
    </w:p>
    <w:p w14:paraId="14C9D98A">
      <w:pPr>
        <w:spacing w:line="360" w:lineRule="auto"/>
        <w:rPr>
          <w:rFonts w:cs="仿宋" w:asciiTheme="minorEastAsia" w:hAnsiTheme="minorEastAsia"/>
          <w:bCs/>
          <w:sz w:val="24"/>
          <w:szCs w:val="24"/>
        </w:rPr>
      </w:pPr>
      <w:r>
        <w:rPr>
          <w:rFonts w:hint="eastAsia" w:cs="仿宋" w:asciiTheme="minorEastAsia" w:hAnsiTheme="minorEastAsia"/>
          <w:bCs/>
          <w:sz w:val="24"/>
          <w:szCs w:val="24"/>
        </w:rPr>
        <w:t xml:space="preserve">我单位郑重声明： </w:t>
      </w:r>
    </w:p>
    <w:p w14:paraId="68C4B866">
      <w:pPr>
        <w:spacing w:line="360" w:lineRule="auto"/>
        <w:ind w:firstLine="480" w:firstLineChars="200"/>
        <w:rPr>
          <w:rFonts w:cs="仿宋" w:asciiTheme="minorEastAsia" w:hAnsiTheme="minorEastAsia"/>
          <w:bCs/>
          <w:sz w:val="24"/>
          <w:szCs w:val="24"/>
        </w:rPr>
      </w:pPr>
      <w:r>
        <w:rPr>
          <w:rFonts w:hint="eastAsia" w:cs="仿宋" w:asciiTheme="minorEastAsia" w:hAnsiTheme="minorEastAsia"/>
          <w:bCs/>
          <w:sz w:val="24"/>
          <w:szCs w:val="24"/>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1088B074">
      <w:pPr>
        <w:spacing w:line="360" w:lineRule="auto"/>
        <w:ind w:firstLine="480" w:firstLineChars="200"/>
        <w:rPr>
          <w:rFonts w:cs="仿宋" w:asciiTheme="minorEastAsia" w:hAnsiTheme="minorEastAsia"/>
          <w:bCs/>
          <w:sz w:val="24"/>
          <w:szCs w:val="24"/>
        </w:rPr>
      </w:pPr>
      <w:r>
        <w:rPr>
          <w:rFonts w:hint="eastAsia" w:cs="仿宋" w:asciiTheme="minorEastAsia" w:hAnsiTheme="minorEastAsia"/>
          <w:bCs/>
          <w:sz w:val="24"/>
          <w:szCs w:val="24"/>
        </w:rPr>
        <w:t xml:space="preserve">如我公司声明与实际不符，我公司将承担因此引起的一切后果。 </w:t>
      </w:r>
    </w:p>
    <w:p w14:paraId="5F638B77">
      <w:pPr>
        <w:tabs>
          <w:tab w:val="center" w:pos="4153"/>
          <w:tab w:val="right" w:pos="8306"/>
        </w:tabs>
        <w:snapToGrid w:val="0"/>
        <w:spacing w:line="360" w:lineRule="auto"/>
        <w:ind w:firstLine="480" w:firstLineChars="200"/>
        <w:rPr>
          <w:rFonts w:cs="仿宋" w:asciiTheme="minorEastAsia" w:hAnsiTheme="minorEastAsia"/>
          <w:sz w:val="24"/>
          <w:szCs w:val="24"/>
        </w:rPr>
      </w:pPr>
    </w:p>
    <w:p w14:paraId="32B60B00">
      <w:pPr>
        <w:tabs>
          <w:tab w:val="center" w:pos="4153"/>
          <w:tab w:val="right" w:pos="8306"/>
        </w:tabs>
        <w:snapToGrid w:val="0"/>
        <w:spacing w:line="360" w:lineRule="auto"/>
        <w:ind w:firstLine="480" w:firstLineChars="200"/>
        <w:rPr>
          <w:rFonts w:cs="仿宋" w:asciiTheme="minorEastAsia" w:hAnsiTheme="minorEastAsia"/>
          <w:sz w:val="24"/>
          <w:szCs w:val="24"/>
        </w:rPr>
      </w:pPr>
    </w:p>
    <w:p w14:paraId="35CA30E2">
      <w:pPr>
        <w:tabs>
          <w:tab w:val="center" w:pos="4153"/>
          <w:tab w:val="right" w:pos="8306"/>
        </w:tabs>
        <w:snapToGrid w:val="0"/>
        <w:spacing w:line="360" w:lineRule="auto"/>
        <w:ind w:firstLine="480" w:firstLineChars="200"/>
        <w:rPr>
          <w:rFonts w:cs="仿宋" w:asciiTheme="minorEastAsia" w:hAnsiTheme="minorEastAsia"/>
          <w:sz w:val="24"/>
          <w:szCs w:val="24"/>
        </w:rPr>
      </w:pPr>
    </w:p>
    <w:p w14:paraId="3B46B731">
      <w:pPr>
        <w:spacing w:line="360" w:lineRule="auto"/>
        <w:rPr>
          <w:rFonts w:cs="仿宋" w:asciiTheme="minorEastAsia" w:hAnsiTheme="minorEastAsia"/>
          <w:sz w:val="24"/>
          <w:szCs w:val="24"/>
        </w:rPr>
      </w:pPr>
      <w:r>
        <w:rPr>
          <w:rFonts w:hint="eastAsia" w:cs="仿宋" w:asciiTheme="minorEastAsia" w:hAnsiTheme="minorEastAsia"/>
          <w:sz w:val="24"/>
          <w:szCs w:val="24"/>
        </w:rPr>
        <w:t>供应商名称（盖章）：</w:t>
      </w:r>
    </w:p>
    <w:p w14:paraId="7AF37D3B">
      <w:pPr>
        <w:adjustRightInd w:val="0"/>
        <w:snapToGrid w:val="0"/>
        <w:spacing w:line="360" w:lineRule="auto"/>
        <w:rPr>
          <w:rFonts w:cs="仿宋" w:asciiTheme="minorEastAsia" w:hAnsiTheme="minorEastAsia"/>
          <w:sz w:val="24"/>
          <w:szCs w:val="24"/>
          <w:u w:val="single"/>
        </w:rPr>
      </w:pPr>
      <w:r>
        <w:rPr>
          <w:rFonts w:hint="eastAsia" w:cs="仿宋" w:asciiTheme="minorEastAsia" w:hAnsiTheme="minorEastAsia"/>
          <w:sz w:val="24"/>
          <w:szCs w:val="24"/>
        </w:rPr>
        <w:t>法定代表人或授权代理人(签字或盖章)：</w:t>
      </w:r>
    </w:p>
    <w:p w14:paraId="131D7338">
      <w:pPr>
        <w:tabs>
          <w:tab w:val="center" w:pos="4153"/>
          <w:tab w:val="right" w:pos="8306"/>
        </w:tabs>
        <w:snapToGrid w:val="0"/>
        <w:spacing w:line="360" w:lineRule="auto"/>
        <w:rPr>
          <w:rFonts w:cs="仿宋" w:asciiTheme="minorEastAsia" w:hAnsiTheme="minorEastAsia"/>
          <w:sz w:val="24"/>
          <w:szCs w:val="24"/>
        </w:rPr>
      </w:pPr>
      <w:r>
        <w:rPr>
          <w:rFonts w:hint="eastAsia" w:cs="仿宋" w:asciiTheme="minorEastAsia" w:hAnsiTheme="minorEastAsia"/>
          <w:sz w:val="24"/>
          <w:szCs w:val="24"/>
        </w:rPr>
        <w:t>日期：   年   月   日</w:t>
      </w:r>
    </w:p>
    <w:p w14:paraId="090C3570">
      <w:pPr>
        <w:pStyle w:val="12"/>
        <w:spacing w:line="360" w:lineRule="auto"/>
        <w:ind w:firstLine="480"/>
        <w:rPr>
          <w:rFonts w:cs="仿宋" w:asciiTheme="minorEastAsia" w:hAnsiTheme="minorEastAsia" w:eastAsiaTheme="minorEastAsia"/>
          <w:szCs w:val="24"/>
        </w:rPr>
      </w:pPr>
    </w:p>
    <w:p w14:paraId="48B91311">
      <w:pPr>
        <w:spacing w:line="360" w:lineRule="auto"/>
        <w:rPr>
          <w:rFonts w:asciiTheme="minorEastAsia" w:hAnsiTheme="minorEastAsia"/>
          <w:sz w:val="24"/>
          <w:szCs w:val="24"/>
        </w:rPr>
      </w:pPr>
    </w:p>
    <w:p w14:paraId="3B86A2C7">
      <w:pPr>
        <w:pStyle w:val="46"/>
        <w:spacing w:line="360" w:lineRule="auto"/>
        <w:ind w:left="420" w:firstLine="480"/>
        <w:rPr>
          <w:rFonts w:asciiTheme="minorEastAsia" w:hAnsiTheme="minorEastAsia"/>
          <w:sz w:val="24"/>
          <w:szCs w:val="24"/>
        </w:rPr>
      </w:pPr>
    </w:p>
    <w:p w14:paraId="1D71420A">
      <w:pPr>
        <w:tabs>
          <w:tab w:val="center" w:pos="4153"/>
          <w:tab w:val="right" w:pos="8306"/>
        </w:tabs>
        <w:snapToGrid w:val="0"/>
        <w:spacing w:line="360" w:lineRule="auto"/>
        <w:rPr>
          <w:rFonts w:cs="仿宋" w:asciiTheme="minorEastAsia" w:hAnsiTheme="minorEastAsia"/>
          <w:sz w:val="24"/>
          <w:szCs w:val="24"/>
        </w:rPr>
      </w:pPr>
    </w:p>
    <w:p w14:paraId="13926545">
      <w:pPr>
        <w:pStyle w:val="12"/>
        <w:spacing w:line="360" w:lineRule="auto"/>
        <w:ind w:firstLine="480"/>
        <w:rPr>
          <w:rFonts w:cs="仿宋" w:asciiTheme="minorEastAsia" w:hAnsiTheme="minorEastAsia" w:eastAsiaTheme="minorEastAsia"/>
          <w:szCs w:val="24"/>
        </w:rPr>
      </w:pPr>
    </w:p>
    <w:p w14:paraId="31A32295">
      <w:pPr>
        <w:pStyle w:val="12"/>
        <w:spacing w:line="360" w:lineRule="auto"/>
        <w:ind w:firstLine="480"/>
        <w:rPr>
          <w:rFonts w:cs="仿宋" w:asciiTheme="minorEastAsia" w:hAnsiTheme="minorEastAsia" w:eastAsiaTheme="minorEastAsia"/>
          <w:szCs w:val="24"/>
        </w:rPr>
      </w:pPr>
    </w:p>
    <w:p w14:paraId="76D470A6">
      <w:pPr>
        <w:pStyle w:val="12"/>
        <w:spacing w:line="360" w:lineRule="auto"/>
        <w:ind w:firstLine="480"/>
        <w:rPr>
          <w:rFonts w:cs="仿宋" w:asciiTheme="minorEastAsia" w:hAnsiTheme="minorEastAsia" w:eastAsiaTheme="minorEastAsia"/>
          <w:szCs w:val="24"/>
        </w:rPr>
      </w:pPr>
    </w:p>
    <w:p w14:paraId="6AC98A49">
      <w:pPr>
        <w:pStyle w:val="12"/>
        <w:spacing w:line="360" w:lineRule="auto"/>
        <w:ind w:firstLine="480"/>
        <w:rPr>
          <w:rFonts w:cs="仿宋" w:asciiTheme="minorEastAsia" w:hAnsiTheme="minorEastAsia" w:eastAsiaTheme="minorEastAsia"/>
          <w:szCs w:val="24"/>
        </w:rPr>
      </w:pPr>
    </w:p>
    <w:p w14:paraId="7C15DFBA">
      <w:pPr>
        <w:pStyle w:val="12"/>
        <w:spacing w:line="360" w:lineRule="auto"/>
        <w:ind w:firstLine="480"/>
        <w:rPr>
          <w:rFonts w:cs="仿宋" w:asciiTheme="minorEastAsia" w:hAnsiTheme="minorEastAsia" w:eastAsiaTheme="minorEastAsia"/>
          <w:szCs w:val="24"/>
        </w:rPr>
      </w:pPr>
    </w:p>
    <w:p w14:paraId="245CD80A">
      <w:pPr>
        <w:pStyle w:val="12"/>
        <w:spacing w:line="360" w:lineRule="auto"/>
        <w:ind w:firstLine="480"/>
        <w:rPr>
          <w:rFonts w:cs="仿宋" w:asciiTheme="minorEastAsia" w:hAnsiTheme="minorEastAsia" w:eastAsiaTheme="minorEastAsia"/>
          <w:szCs w:val="24"/>
        </w:rPr>
      </w:pPr>
    </w:p>
    <w:p w14:paraId="370F243F">
      <w:pPr>
        <w:pStyle w:val="12"/>
        <w:spacing w:line="360" w:lineRule="auto"/>
        <w:ind w:firstLine="480"/>
        <w:rPr>
          <w:rFonts w:cs="仿宋" w:asciiTheme="minorEastAsia" w:hAnsiTheme="minorEastAsia" w:eastAsiaTheme="minorEastAsia"/>
          <w:szCs w:val="24"/>
        </w:rPr>
      </w:pPr>
    </w:p>
    <w:p w14:paraId="03F117DE">
      <w:pPr>
        <w:pStyle w:val="12"/>
        <w:spacing w:line="360" w:lineRule="auto"/>
        <w:ind w:firstLine="480"/>
        <w:rPr>
          <w:rFonts w:cs="仿宋" w:asciiTheme="minorEastAsia" w:hAnsiTheme="minorEastAsia" w:eastAsiaTheme="minorEastAsia"/>
          <w:szCs w:val="24"/>
        </w:rPr>
      </w:pPr>
    </w:p>
    <w:p w14:paraId="1B9381D9">
      <w:pPr>
        <w:spacing w:line="360" w:lineRule="auto"/>
        <w:rPr>
          <w:rFonts w:asciiTheme="minorEastAsia" w:hAnsiTheme="minorEastAsia"/>
          <w:sz w:val="24"/>
          <w:szCs w:val="24"/>
        </w:rPr>
      </w:pPr>
    </w:p>
    <w:p w14:paraId="58D26609">
      <w:pPr>
        <w:pStyle w:val="12"/>
        <w:spacing w:line="360" w:lineRule="auto"/>
        <w:ind w:firstLine="480"/>
        <w:rPr>
          <w:rFonts w:cs="仿宋" w:asciiTheme="minorEastAsia" w:hAnsiTheme="minorEastAsia" w:eastAsiaTheme="minorEastAsia"/>
          <w:szCs w:val="24"/>
        </w:rPr>
      </w:pPr>
    </w:p>
    <w:p w14:paraId="3B2803BC">
      <w:pPr>
        <w:pStyle w:val="12"/>
        <w:spacing w:line="360" w:lineRule="auto"/>
        <w:ind w:firstLine="480"/>
        <w:rPr>
          <w:rFonts w:cs="仿宋" w:asciiTheme="minorEastAsia" w:hAnsiTheme="minorEastAsia" w:eastAsiaTheme="minorEastAsia"/>
          <w:szCs w:val="24"/>
        </w:rPr>
      </w:pPr>
    </w:p>
    <w:p w14:paraId="5BF97262">
      <w:pPr>
        <w:pStyle w:val="12"/>
        <w:spacing w:line="360" w:lineRule="auto"/>
        <w:ind w:firstLine="480"/>
        <w:rPr>
          <w:rFonts w:cs="仿宋" w:asciiTheme="minorEastAsia" w:hAnsiTheme="minorEastAsia" w:eastAsiaTheme="minorEastAsia"/>
          <w:szCs w:val="24"/>
        </w:rPr>
      </w:pPr>
    </w:p>
    <w:p w14:paraId="6C6602D9">
      <w:pPr>
        <w:pStyle w:val="12"/>
        <w:spacing w:line="360" w:lineRule="auto"/>
        <w:ind w:firstLine="480"/>
        <w:rPr>
          <w:rFonts w:cs="仿宋" w:asciiTheme="minorEastAsia" w:hAnsiTheme="minorEastAsia" w:eastAsiaTheme="minorEastAsia"/>
          <w:szCs w:val="24"/>
        </w:rPr>
      </w:pPr>
    </w:p>
    <w:p w14:paraId="64B300C8">
      <w:pPr>
        <w:tabs>
          <w:tab w:val="center" w:pos="4153"/>
          <w:tab w:val="right" w:pos="8306"/>
        </w:tabs>
        <w:snapToGrid w:val="0"/>
        <w:spacing w:line="360" w:lineRule="auto"/>
        <w:ind w:firstLine="482" w:firstLineChars="200"/>
        <w:jc w:val="center"/>
        <w:rPr>
          <w:rFonts w:cs="仿宋" w:asciiTheme="minorEastAsia" w:hAnsiTheme="minorEastAsia"/>
          <w:b/>
          <w:bCs/>
          <w:sz w:val="24"/>
          <w:szCs w:val="24"/>
        </w:rPr>
      </w:pPr>
      <w:r>
        <w:rPr>
          <w:rFonts w:hint="eastAsia" w:cs="仿宋" w:asciiTheme="minorEastAsia" w:hAnsiTheme="minorEastAsia"/>
          <w:b/>
          <w:bCs/>
          <w:sz w:val="24"/>
          <w:szCs w:val="24"/>
        </w:rPr>
        <w:t>8、供应商无关联关系书面声明函（格式）</w:t>
      </w:r>
    </w:p>
    <w:p w14:paraId="077D11A9">
      <w:pPr>
        <w:tabs>
          <w:tab w:val="center" w:pos="4153"/>
          <w:tab w:val="right" w:pos="8306"/>
        </w:tabs>
        <w:snapToGrid w:val="0"/>
        <w:spacing w:line="360" w:lineRule="auto"/>
        <w:ind w:firstLine="482" w:firstLineChars="200"/>
        <w:jc w:val="center"/>
        <w:rPr>
          <w:rFonts w:cs="仿宋" w:asciiTheme="minorEastAsia" w:hAnsiTheme="minorEastAsia"/>
          <w:b/>
          <w:bCs/>
          <w:sz w:val="24"/>
          <w:szCs w:val="24"/>
        </w:rPr>
      </w:pPr>
    </w:p>
    <w:p w14:paraId="7C45FB64">
      <w:pPr>
        <w:spacing w:line="360" w:lineRule="auto"/>
        <w:rPr>
          <w:rFonts w:cs="仿宋" w:asciiTheme="minorEastAsia" w:hAnsiTheme="minorEastAsia"/>
          <w:sz w:val="24"/>
          <w:szCs w:val="24"/>
        </w:rPr>
      </w:pPr>
      <w:r>
        <w:rPr>
          <w:rFonts w:hint="eastAsia" w:cs="仿宋" w:asciiTheme="minorEastAsia" w:hAnsiTheme="minorEastAsia"/>
          <w:sz w:val="24"/>
          <w:szCs w:val="24"/>
        </w:rPr>
        <w:t>新疆锐智时代建设工程项目管理有限公司：</w:t>
      </w:r>
    </w:p>
    <w:p w14:paraId="0BFAEA6F">
      <w:pPr>
        <w:tabs>
          <w:tab w:val="center" w:pos="4153"/>
          <w:tab w:val="right" w:pos="8306"/>
        </w:tabs>
        <w:snapToGrid w:val="0"/>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我单位郑重声明：与采购人不存在利害关系，与本单位负责人为同一人或者与本单位存在控股关系、管理关系的其他关联供应商未参与</w:t>
      </w:r>
      <w:r>
        <w:rPr>
          <w:rFonts w:hint="eastAsia" w:cs="仿宋" w:asciiTheme="minorEastAsia" w:hAnsiTheme="minorEastAsia"/>
          <w:b/>
          <w:bCs/>
          <w:sz w:val="24"/>
          <w:szCs w:val="24"/>
          <w:u w:val="single"/>
        </w:rPr>
        <w:t xml:space="preserve">(项目名称) </w:t>
      </w:r>
      <w:r>
        <w:rPr>
          <w:rFonts w:hint="eastAsia" w:cs="仿宋" w:asciiTheme="minorEastAsia" w:hAnsiTheme="minorEastAsia"/>
          <w:sz w:val="24"/>
          <w:szCs w:val="24"/>
        </w:rPr>
        <w:t>同一合同项下的磋商。我单位不是为该整体项目或其中分项目前期工作提供过设计、编制、监理、检测、管理等服务的法人及附属单位；</w:t>
      </w:r>
    </w:p>
    <w:p w14:paraId="3D1A7F63">
      <w:pPr>
        <w:tabs>
          <w:tab w:val="center" w:pos="4153"/>
          <w:tab w:val="right" w:pos="8306"/>
        </w:tabs>
        <w:snapToGrid w:val="0"/>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我单位保证上述声明真实、有效、可查。</w:t>
      </w:r>
    </w:p>
    <w:p w14:paraId="26B9CF38">
      <w:pPr>
        <w:tabs>
          <w:tab w:val="center" w:pos="4153"/>
          <w:tab w:val="right" w:pos="8306"/>
        </w:tabs>
        <w:snapToGrid w:val="0"/>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特此声明。</w:t>
      </w:r>
    </w:p>
    <w:p w14:paraId="7BFF51F9">
      <w:pPr>
        <w:tabs>
          <w:tab w:val="center" w:pos="4153"/>
          <w:tab w:val="right" w:pos="8306"/>
        </w:tabs>
        <w:snapToGrid w:val="0"/>
        <w:spacing w:line="360" w:lineRule="auto"/>
        <w:ind w:firstLine="480" w:firstLineChars="200"/>
        <w:rPr>
          <w:rFonts w:cs="仿宋" w:asciiTheme="minorEastAsia" w:hAnsiTheme="minorEastAsia"/>
          <w:sz w:val="24"/>
          <w:szCs w:val="24"/>
        </w:rPr>
      </w:pPr>
    </w:p>
    <w:p w14:paraId="1DE712F8">
      <w:pPr>
        <w:tabs>
          <w:tab w:val="center" w:pos="4153"/>
          <w:tab w:val="right" w:pos="8306"/>
        </w:tabs>
        <w:snapToGrid w:val="0"/>
        <w:spacing w:line="360" w:lineRule="auto"/>
        <w:ind w:firstLine="480" w:firstLineChars="200"/>
        <w:rPr>
          <w:rFonts w:cs="仿宋" w:asciiTheme="minorEastAsia" w:hAnsiTheme="minorEastAsia"/>
          <w:sz w:val="24"/>
          <w:szCs w:val="24"/>
        </w:rPr>
      </w:pPr>
    </w:p>
    <w:p w14:paraId="6B8AF07F">
      <w:pPr>
        <w:spacing w:line="360" w:lineRule="auto"/>
        <w:rPr>
          <w:rFonts w:cs="仿宋" w:asciiTheme="minorEastAsia" w:hAnsiTheme="minorEastAsia"/>
          <w:sz w:val="24"/>
          <w:szCs w:val="24"/>
        </w:rPr>
      </w:pPr>
      <w:r>
        <w:rPr>
          <w:rFonts w:hint="eastAsia" w:cs="仿宋" w:asciiTheme="minorEastAsia" w:hAnsiTheme="minorEastAsia"/>
          <w:sz w:val="24"/>
          <w:szCs w:val="24"/>
        </w:rPr>
        <w:t>供应商名称（盖章）：</w:t>
      </w:r>
    </w:p>
    <w:p w14:paraId="18D9DB0E">
      <w:pPr>
        <w:adjustRightInd w:val="0"/>
        <w:snapToGrid w:val="0"/>
        <w:spacing w:line="360" w:lineRule="auto"/>
        <w:rPr>
          <w:rFonts w:cs="仿宋" w:asciiTheme="minorEastAsia" w:hAnsiTheme="minorEastAsia"/>
          <w:sz w:val="24"/>
          <w:szCs w:val="24"/>
          <w:u w:val="single"/>
        </w:rPr>
      </w:pPr>
      <w:r>
        <w:rPr>
          <w:rFonts w:hint="eastAsia" w:cs="仿宋" w:asciiTheme="minorEastAsia" w:hAnsiTheme="minorEastAsia"/>
          <w:sz w:val="24"/>
          <w:szCs w:val="24"/>
        </w:rPr>
        <w:t>法定代表人或授权代理人(签字或盖章)：</w:t>
      </w:r>
    </w:p>
    <w:p w14:paraId="79C3F4CB">
      <w:pPr>
        <w:tabs>
          <w:tab w:val="center" w:pos="4153"/>
          <w:tab w:val="right" w:pos="8306"/>
        </w:tabs>
        <w:snapToGrid w:val="0"/>
        <w:spacing w:line="360" w:lineRule="auto"/>
        <w:rPr>
          <w:rFonts w:cs="仿宋" w:asciiTheme="minorEastAsia" w:hAnsiTheme="minorEastAsia"/>
          <w:sz w:val="24"/>
          <w:szCs w:val="24"/>
        </w:rPr>
      </w:pPr>
      <w:r>
        <w:rPr>
          <w:rFonts w:hint="eastAsia" w:cs="仿宋" w:asciiTheme="minorEastAsia" w:hAnsiTheme="minorEastAsia"/>
          <w:sz w:val="24"/>
          <w:szCs w:val="24"/>
        </w:rPr>
        <w:t>日期：   年   月   日</w:t>
      </w:r>
    </w:p>
    <w:p w14:paraId="0051E160">
      <w:pPr>
        <w:tabs>
          <w:tab w:val="center" w:pos="4153"/>
          <w:tab w:val="right" w:pos="8306"/>
        </w:tabs>
        <w:snapToGrid w:val="0"/>
        <w:spacing w:line="360" w:lineRule="auto"/>
        <w:rPr>
          <w:rFonts w:cs="仿宋" w:asciiTheme="minorEastAsia" w:hAnsiTheme="minorEastAsia"/>
          <w:sz w:val="24"/>
          <w:szCs w:val="24"/>
        </w:rPr>
      </w:pPr>
    </w:p>
    <w:p w14:paraId="585000D5">
      <w:pPr>
        <w:tabs>
          <w:tab w:val="center" w:pos="4153"/>
          <w:tab w:val="right" w:pos="8306"/>
        </w:tabs>
        <w:snapToGrid w:val="0"/>
        <w:spacing w:line="360" w:lineRule="auto"/>
        <w:rPr>
          <w:rFonts w:cs="仿宋" w:asciiTheme="minorEastAsia" w:hAnsiTheme="minorEastAsia"/>
          <w:sz w:val="24"/>
          <w:szCs w:val="24"/>
        </w:rPr>
      </w:pPr>
    </w:p>
    <w:p w14:paraId="6DD83E4F">
      <w:pPr>
        <w:spacing w:line="360" w:lineRule="auto"/>
        <w:ind w:left="630"/>
        <w:jc w:val="center"/>
        <w:rPr>
          <w:rFonts w:cs="仿宋" w:asciiTheme="minorEastAsia" w:hAnsiTheme="minorEastAsia"/>
          <w:sz w:val="24"/>
          <w:szCs w:val="24"/>
        </w:rPr>
      </w:pPr>
    </w:p>
    <w:p w14:paraId="3982FEB1">
      <w:pPr>
        <w:spacing w:line="360" w:lineRule="auto"/>
        <w:ind w:left="630"/>
        <w:jc w:val="center"/>
        <w:rPr>
          <w:rFonts w:cs="仿宋" w:asciiTheme="minorEastAsia" w:hAnsiTheme="minorEastAsia"/>
          <w:sz w:val="24"/>
          <w:szCs w:val="24"/>
        </w:rPr>
      </w:pPr>
    </w:p>
    <w:p w14:paraId="07E36B4F">
      <w:pPr>
        <w:spacing w:line="360" w:lineRule="auto"/>
        <w:ind w:left="630"/>
        <w:jc w:val="center"/>
        <w:rPr>
          <w:rFonts w:cs="仿宋" w:asciiTheme="minorEastAsia" w:hAnsiTheme="minorEastAsia"/>
          <w:sz w:val="24"/>
          <w:szCs w:val="24"/>
        </w:rPr>
      </w:pPr>
    </w:p>
    <w:p w14:paraId="5C1E89D6">
      <w:pPr>
        <w:spacing w:line="360" w:lineRule="auto"/>
        <w:ind w:left="630"/>
        <w:jc w:val="center"/>
        <w:rPr>
          <w:rFonts w:cs="仿宋" w:asciiTheme="minorEastAsia" w:hAnsiTheme="minorEastAsia"/>
          <w:sz w:val="24"/>
          <w:szCs w:val="24"/>
        </w:rPr>
      </w:pPr>
    </w:p>
    <w:p w14:paraId="557EEA56">
      <w:pPr>
        <w:pStyle w:val="12"/>
        <w:spacing w:line="360" w:lineRule="auto"/>
        <w:ind w:firstLine="480"/>
        <w:rPr>
          <w:rFonts w:cs="仿宋" w:asciiTheme="minorEastAsia" w:hAnsiTheme="minorEastAsia" w:eastAsiaTheme="minorEastAsia"/>
          <w:szCs w:val="24"/>
        </w:rPr>
      </w:pPr>
    </w:p>
    <w:p w14:paraId="71625C69">
      <w:pPr>
        <w:spacing w:line="360" w:lineRule="auto"/>
        <w:rPr>
          <w:rFonts w:cs="仿宋" w:asciiTheme="minorEastAsia" w:hAnsiTheme="minorEastAsia"/>
          <w:sz w:val="24"/>
          <w:szCs w:val="24"/>
        </w:rPr>
      </w:pPr>
    </w:p>
    <w:p w14:paraId="62166469">
      <w:pPr>
        <w:pStyle w:val="12"/>
        <w:spacing w:line="360" w:lineRule="auto"/>
        <w:ind w:firstLine="480"/>
        <w:rPr>
          <w:rFonts w:cs="仿宋" w:asciiTheme="minorEastAsia" w:hAnsiTheme="minorEastAsia" w:eastAsiaTheme="minorEastAsia"/>
          <w:szCs w:val="24"/>
        </w:rPr>
      </w:pPr>
    </w:p>
    <w:p w14:paraId="2A1170E7">
      <w:pPr>
        <w:spacing w:line="360" w:lineRule="auto"/>
        <w:rPr>
          <w:rFonts w:cs="仿宋" w:asciiTheme="minorEastAsia" w:hAnsiTheme="minorEastAsia"/>
          <w:sz w:val="24"/>
          <w:szCs w:val="24"/>
        </w:rPr>
      </w:pPr>
    </w:p>
    <w:p w14:paraId="6971D53A">
      <w:pPr>
        <w:pStyle w:val="12"/>
        <w:spacing w:line="360" w:lineRule="auto"/>
        <w:ind w:firstLine="480"/>
        <w:rPr>
          <w:rFonts w:cs="仿宋" w:asciiTheme="minorEastAsia" w:hAnsiTheme="minorEastAsia" w:eastAsiaTheme="minorEastAsia"/>
          <w:szCs w:val="24"/>
        </w:rPr>
      </w:pPr>
    </w:p>
    <w:p w14:paraId="11D3CBD0">
      <w:pPr>
        <w:spacing w:line="360" w:lineRule="auto"/>
        <w:rPr>
          <w:rFonts w:cs="仿宋" w:asciiTheme="minorEastAsia" w:hAnsiTheme="minorEastAsia"/>
          <w:sz w:val="24"/>
          <w:szCs w:val="24"/>
        </w:rPr>
      </w:pPr>
    </w:p>
    <w:p w14:paraId="02989914">
      <w:pPr>
        <w:pStyle w:val="12"/>
        <w:spacing w:line="360" w:lineRule="auto"/>
        <w:ind w:firstLine="480"/>
        <w:rPr>
          <w:rFonts w:cs="仿宋" w:asciiTheme="minorEastAsia" w:hAnsiTheme="minorEastAsia" w:eastAsiaTheme="minorEastAsia"/>
          <w:szCs w:val="24"/>
        </w:rPr>
      </w:pPr>
    </w:p>
    <w:p w14:paraId="27A25169">
      <w:pPr>
        <w:spacing w:line="360" w:lineRule="auto"/>
        <w:rPr>
          <w:rFonts w:asciiTheme="minorEastAsia" w:hAnsiTheme="minorEastAsia"/>
          <w:sz w:val="24"/>
          <w:szCs w:val="24"/>
        </w:rPr>
      </w:pPr>
    </w:p>
    <w:p w14:paraId="69600F57">
      <w:pPr>
        <w:spacing w:line="360" w:lineRule="auto"/>
        <w:ind w:left="630"/>
        <w:jc w:val="center"/>
        <w:rPr>
          <w:rFonts w:cs="仿宋" w:asciiTheme="minorEastAsia" w:hAnsiTheme="minorEastAsia"/>
          <w:sz w:val="24"/>
          <w:szCs w:val="24"/>
        </w:rPr>
      </w:pPr>
    </w:p>
    <w:p w14:paraId="44ACE47D">
      <w:pPr>
        <w:tabs>
          <w:tab w:val="center" w:pos="4153"/>
          <w:tab w:val="right" w:pos="8306"/>
        </w:tabs>
        <w:snapToGrid w:val="0"/>
        <w:spacing w:line="360" w:lineRule="auto"/>
        <w:rPr>
          <w:rFonts w:cs="仿宋" w:asciiTheme="minorEastAsia" w:hAnsiTheme="minorEastAsia"/>
          <w:sz w:val="24"/>
          <w:szCs w:val="24"/>
        </w:rPr>
      </w:pPr>
    </w:p>
    <w:p w14:paraId="6D9EAC26">
      <w:pPr>
        <w:autoSpaceDE w:val="0"/>
        <w:autoSpaceDN w:val="0"/>
        <w:adjustRightInd w:val="0"/>
        <w:spacing w:line="360" w:lineRule="auto"/>
        <w:jc w:val="center"/>
        <w:rPr>
          <w:rFonts w:ascii="宋体"/>
          <w:b/>
          <w:kern w:val="0"/>
          <w:sz w:val="24"/>
          <w:szCs w:val="24"/>
        </w:rPr>
      </w:pPr>
      <w:r>
        <w:rPr>
          <w:rFonts w:hint="eastAsia" w:cs="仿宋" w:asciiTheme="minorEastAsia" w:hAnsiTheme="minorEastAsia"/>
          <w:b/>
          <w:bCs/>
          <w:sz w:val="24"/>
          <w:szCs w:val="24"/>
        </w:rPr>
        <w:t>9、</w:t>
      </w:r>
      <w:r>
        <w:rPr>
          <w:rFonts w:hint="eastAsia" w:ascii="宋体" w:hAnsi="宋体"/>
          <w:b/>
          <w:kern w:val="0"/>
          <w:sz w:val="24"/>
          <w:szCs w:val="24"/>
        </w:rPr>
        <w:t>中小企业声明函</w:t>
      </w:r>
      <w:r>
        <w:rPr>
          <w:rFonts w:ascii="宋体" w:hAnsi="宋体"/>
          <w:b/>
          <w:kern w:val="0"/>
          <w:sz w:val="24"/>
          <w:szCs w:val="24"/>
        </w:rPr>
        <w:t>（</w:t>
      </w:r>
      <w:r>
        <w:rPr>
          <w:rFonts w:hint="eastAsia" w:ascii="宋体" w:hAnsi="宋体"/>
          <w:b/>
          <w:kern w:val="0"/>
          <w:sz w:val="24"/>
          <w:szCs w:val="24"/>
        </w:rPr>
        <w:t>工程、</w:t>
      </w:r>
      <w:r>
        <w:rPr>
          <w:rFonts w:ascii="宋体" w:hAnsi="宋体"/>
          <w:b/>
          <w:kern w:val="0"/>
          <w:sz w:val="24"/>
          <w:szCs w:val="24"/>
        </w:rPr>
        <w:t>服务）</w:t>
      </w:r>
    </w:p>
    <w:p w14:paraId="145EEA97">
      <w:pPr>
        <w:spacing w:line="360" w:lineRule="auto"/>
        <w:rPr>
          <w:rFonts w:ascii="宋体" w:hAnsi="宋体"/>
          <w:kern w:val="0"/>
          <w:sz w:val="24"/>
          <w:szCs w:val="24"/>
        </w:rPr>
      </w:pPr>
      <w:r>
        <w:rPr>
          <w:rFonts w:hint="eastAsia" w:ascii="宋体" w:hAnsi="宋体"/>
          <w:kern w:val="0"/>
          <w:sz w:val="24"/>
          <w:szCs w:val="24"/>
        </w:rPr>
        <w:t xml:space="preserve">    </w:t>
      </w:r>
      <w:r>
        <w:rPr>
          <w:rFonts w:ascii="宋体" w:hAnsi="宋体"/>
          <w:kern w:val="0"/>
          <w:sz w:val="24"/>
          <w:szCs w:val="24"/>
        </w:rPr>
        <w:t>本公司</w:t>
      </w:r>
      <w:r>
        <w:rPr>
          <w:rFonts w:hint="eastAsia" w:ascii="宋体" w:hAnsi="宋体"/>
          <w:kern w:val="0"/>
          <w:sz w:val="24"/>
          <w:szCs w:val="24"/>
          <w:u w:val="single"/>
        </w:rPr>
        <w:t xml:space="preserve">        </w:t>
      </w:r>
      <w:r>
        <w:rPr>
          <w:rFonts w:ascii="宋体" w:hAnsi="宋体"/>
          <w:kern w:val="0"/>
          <w:sz w:val="24"/>
          <w:szCs w:val="24"/>
        </w:rPr>
        <w:t>郑重声明，根据《政府采购促进中小企业发展管理办法》（财库</w:t>
      </w:r>
      <w:r>
        <w:rPr>
          <w:rFonts w:hint="eastAsia" w:ascii="宋体" w:hAnsi="宋体"/>
          <w:kern w:val="0"/>
          <w:sz w:val="24"/>
          <w:szCs w:val="24"/>
        </w:rPr>
        <w:t>﹝</w:t>
      </w:r>
      <w:r>
        <w:rPr>
          <w:rFonts w:ascii="宋体" w:hAnsi="宋体"/>
          <w:kern w:val="0"/>
          <w:sz w:val="24"/>
          <w:szCs w:val="24"/>
        </w:rPr>
        <w:t>2020</w:t>
      </w:r>
      <w:r>
        <w:rPr>
          <w:rFonts w:hint="eastAsia" w:ascii="宋体" w:hAnsi="宋体"/>
          <w:kern w:val="0"/>
          <w:sz w:val="24"/>
          <w:szCs w:val="24"/>
        </w:rPr>
        <w:t>﹞</w:t>
      </w:r>
      <w:r>
        <w:rPr>
          <w:rFonts w:ascii="宋体" w:hAnsi="宋体"/>
          <w:kern w:val="0"/>
          <w:sz w:val="24"/>
          <w:szCs w:val="24"/>
        </w:rPr>
        <w:t>46 号）的规定，本公司</w:t>
      </w:r>
      <w:r>
        <w:rPr>
          <w:rFonts w:hint="eastAsia" w:ascii="宋体" w:hAnsi="宋体"/>
          <w:kern w:val="0"/>
          <w:sz w:val="24"/>
          <w:szCs w:val="24"/>
          <w:u w:val="single"/>
        </w:rPr>
        <w:t xml:space="preserve">          </w:t>
      </w:r>
      <w:r>
        <w:rPr>
          <w:rFonts w:ascii="宋体" w:hAnsi="宋体"/>
          <w:kern w:val="0"/>
          <w:sz w:val="24"/>
          <w:szCs w:val="24"/>
        </w:rPr>
        <w:t>参加</w:t>
      </w:r>
      <w:r>
        <w:rPr>
          <w:rFonts w:ascii="宋体" w:hAnsi="宋体"/>
          <w:kern w:val="0"/>
          <w:sz w:val="24"/>
          <w:szCs w:val="24"/>
          <w:u w:val="single"/>
        </w:rPr>
        <w:t>（单位名称）</w:t>
      </w:r>
      <w:r>
        <w:rPr>
          <w:rFonts w:ascii="宋体" w:hAnsi="宋体"/>
          <w:kern w:val="0"/>
          <w:sz w:val="24"/>
          <w:szCs w:val="24"/>
        </w:rPr>
        <w:t>的</w:t>
      </w:r>
      <w:r>
        <w:rPr>
          <w:rFonts w:hint="eastAsia"/>
          <w:b/>
          <w:sz w:val="24"/>
          <w:szCs w:val="24"/>
          <w:u w:val="single"/>
          <w:lang w:eastAsia="zh-CN"/>
        </w:rPr>
        <w:t>乌鲁木齐市天山区教育局碱泉街幼儿园工程-10KV配电工程</w:t>
      </w:r>
      <w:r>
        <w:rPr>
          <w:rFonts w:ascii="宋体" w:hAnsi="宋体"/>
          <w:kern w:val="0"/>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5E81F610">
      <w:pPr>
        <w:spacing w:line="360" w:lineRule="auto"/>
        <w:rPr>
          <w:rFonts w:ascii="宋体" w:hAnsi="宋体"/>
          <w:kern w:val="0"/>
          <w:sz w:val="24"/>
          <w:szCs w:val="24"/>
        </w:rPr>
      </w:pPr>
      <w:r>
        <w:rPr>
          <w:rFonts w:hint="eastAsia" w:ascii="宋体" w:hAnsi="宋体"/>
          <w:kern w:val="0"/>
          <w:sz w:val="24"/>
          <w:szCs w:val="24"/>
        </w:rPr>
        <w:t>1、</w:t>
      </w:r>
      <w:r>
        <w:rPr>
          <w:rFonts w:hint="eastAsia"/>
          <w:b/>
          <w:sz w:val="24"/>
          <w:szCs w:val="24"/>
          <w:u w:val="single"/>
          <w:lang w:eastAsia="zh-CN"/>
        </w:rPr>
        <w:t>乌鲁木齐市天山区教育局碱泉街幼儿园工程-10KV配电工程</w:t>
      </w:r>
      <w:r>
        <w:rPr>
          <w:rFonts w:ascii="宋体" w:hAnsi="宋体"/>
          <w:kern w:val="0"/>
          <w:sz w:val="24"/>
          <w:szCs w:val="24"/>
        </w:rPr>
        <w:t>，属于</w:t>
      </w:r>
      <w:r>
        <w:rPr>
          <w:rFonts w:hint="eastAsia" w:ascii="宋体" w:hAnsi="宋体"/>
          <w:kern w:val="0"/>
          <w:sz w:val="24"/>
          <w:szCs w:val="24"/>
          <w:u w:val="single"/>
        </w:rPr>
        <w:t xml:space="preserve"> </w:t>
      </w:r>
      <w:r>
        <w:rPr>
          <w:rFonts w:hint="eastAsia" w:ascii="宋体" w:hAnsi="宋体"/>
          <w:b/>
          <w:kern w:val="0"/>
          <w:sz w:val="24"/>
          <w:szCs w:val="24"/>
          <w:u w:val="single"/>
        </w:rPr>
        <w:t xml:space="preserve">建筑行业 </w:t>
      </w:r>
      <w:r>
        <w:rPr>
          <w:rFonts w:ascii="宋体" w:hAnsi="宋体"/>
          <w:kern w:val="0"/>
          <w:sz w:val="24"/>
          <w:szCs w:val="24"/>
        </w:rPr>
        <w:t>；承建（承接）企业为</w:t>
      </w:r>
      <w:r>
        <w:rPr>
          <w:rFonts w:ascii="宋体" w:hAnsi="宋体"/>
          <w:kern w:val="0"/>
          <w:sz w:val="24"/>
          <w:szCs w:val="24"/>
          <w:u w:val="single"/>
        </w:rPr>
        <w:t>（企业名称）</w:t>
      </w:r>
      <w:r>
        <w:rPr>
          <w:rFonts w:ascii="宋体" w:hAnsi="宋体"/>
          <w:kern w:val="0"/>
          <w:sz w:val="24"/>
          <w:szCs w:val="24"/>
        </w:rPr>
        <w:t>，从业人员</w:t>
      </w:r>
      <w:r>
        <w:rPr>
          <w:rFonts w:hint="eastAsia" w:ascii="宋体" w:hAnsi="宋体"/>
          <w:kern w:val="0"/>
          <w:sz w:val="24"/>
          <w:szCs w:val="24"/>
          <w:u w:val="single"/>
        </w:rPr>
        <w:t xml:space="preserve">   </w:t>
      </w:r>
      <w:r>
        <w:rPr>
          <w:rFonts w:ascii="宋体" w:hAnsi="宋体"/>
          <w:kern w:val="0"/>
          <w:sz w:val="24"/>
          <w:szCs w:val="24"/>
        </w:rPr>
        <w:t>人，营业收入为</w:t>
      </w:r>
      <w:r>
        <w:rPr>
          <w:rFonts w:hint="eastAsia" w:ascii="宋体" w:hAnsi="宋体"/>
          <w:kern w:val="0"/>
          <w:sz w:val="24"/>
          <w:szCs w:val="24"/>
          <w:u w:val="single"/>
        </w:rPr>
        <w:t xml:space="preserve">   </w:t>
      </w:r>
      <w:r>
        <w:rPr>
          <w:rFonts w:ascii="宋体" w:hAnsi="宋体"/>
          <w:kern w:val="0"/>
          <w:sz w:val="24"/>
          <w:szCs w:val="24"/>
        </w:rPr>
        <w:t>万元，资产总额为</w:t>
      </w:r>
      <w:r>
        <w:rPr>
          <w:rFonts w:hint="eastAsia" w:ascii="宋体" w:hAnsi="宋体"/>
          <w:kern w:val="0"/>
          <w:sz w:val="24"/>
          <w:szCs w:val="24"/>
          <w:u w:val="single"/>
        </w:rPr>
        <w:t xml:space="preserve">   </w:t>
      </w:r>
      <w:r>
        <w:rPr>
          <w:rFonts w:ascii="宋体" w:hAnsi="宋体"/>
          <w:kern w:val="0"/>
          <w:sz w:val="24"/>
          <w:szCs w:val="24"/>
        </w:rPr>
        <w:t>万元，属于</w:t>
      </w:r>
      <w:r>
        <w:rPr>
          <w:rFonts w:ascii="宋体" w:hAnsi="宋体"/>
          <w:kern w:val="0"/>
          <w:sz w:val="24"/>
          <w:szCs w:val="24"/>
          <w:u w:val="single"/>
        </w:rPr>
        <w:t>（中型企业、小型企业、微型企业）</w:t>
      </w:r>
      <w:r>
        <w:rPr>
          <w:rFonts w:ascii="宋体" w:hAnsi="宋体"/>
          <w:kern w:val="0"/>
          <w:sz w:val="24"/>
          <w:szCs w:val="24"/>
        </w:rPr>
        <w:t>；</w:t>
      </w:r>
    </w:p>
    <w:p w14:paraId="1E3C6C03">
      <w:pPr>
        <w:spacing w:line="360" w:lineRule="auto"/>
        <w:rPr>
          <w:rFonts w:ascii="宋体" w:hAnsi="宋体"/>
          <w:kern w:val="0"/>
          <w:sz w:val="24"/>
          <w:szCs w:val="24"/>
        </w:rPr>
      </w:pPr>
      <w:r>
        <w:rPr>
          <w:rFonts w:ascii="宋体" w:hAnsi="宋体"/>
          <w:kern w:val="0"/>
          <w:sz w:val="24"/>
          <w:szCs w:val="24"/>
        </w:rPr>
        <w:t>……</w:t>
      </w:r>
    </w:p>
    <w:p w14:paraId="7060817A">
      <w:pPr>
        <w:spacing w:line="360" w:lineRule="auto"/>
        <w:rPr>
          <w:rFonts w:ascii="宋体" w:hAnsi="宋体"/>
          <w:kern w:val="0"/>
          <w:sz w:val="24"/>
          <w:szCs w:val="24"/>
        </w:rPr>
      </w:pPr>
      <w:r>
        <w:rPr>
          <w:rFonts w:hint="eastAsia" w:ascii="宋体" w:hAnsi="宋体"/>
          <w:kern w:val="0"/>
          <w:sz w:val="24"/>
          <w:szCs w:val="24"/>
        </w:rPr>
        <w:t xml:space="preserve">    </w:t>
      </w:r>
      <w:r>
        <w:rPr>
          <w:rFonts w:ascii="宋体" w:hAnsi="宋体"/>
          <w:kern w:val="0"/>
          <w:sz w:val="24"/>
          <w:szCs w:val="24"/>
        </w:rPr>
        <w:t>以上企业，不属于大企业的分支机构，不存在控股股东为大企业的情形，也不存在与大企业的负责人为同一人的情形。</w:t>
      </w:r>
    </w:p>
    <w:p w14:paraId="160A8689">
      <w:pPr>
        <w:spacing w:line="360" w:lineRule="auto"/>
        <w:rPr>
          <w:rFonts w:ascii="宋体" w:hAnsi="宋体"/>
          <w:kern w:val="0"/>
          <w:sz w:val="24"/>
          <w:szCs w:val="24"/>
        </w:rPr>
      </w:pPr>
      <w:r>
        <w:rPr>
          <w:rFonts w:hint="eastAsia" w:ascii="宋体" w:hAnsi="宋体"/>
          <w:kern w:val="0"/>
          <w:sz w:val="24"/>
          <w:szCs w:val="24"/>
        </w:rPr>
        <w:t xml:space="preserve">    </w:t>
      </w:r>
      <w:r>
        <w:rPr>
          <w:rFonts w:ascii="宋体" w:hAnsi="宋体"/>
          <w:kern w:val="0"/>
          <w:sz w:val="24"/>
          <w:szCs w:val="24"/>
        </w:rPr>
        <w:t>本企业对上述声明内容的真实性负责。如有虚假，将依法承担相应责任。</w:t>
      </w:r>
    </w:p>
    <w:p w14:paraId="0C5BA8E3">
      <w:pPr>
        <w:tabs>
          <w:tab w:val="left" w:pos="4995"/>
        </w:tabs>
        <w:spacing w:line="360" w:lineRule="auto"/>
        <w:rPr>
          <w:rFonts w:ascii="宋体" w:hAnsi="宋体"/>
          <w:kern w:val="0"/>
          <w:sz w:val="24"/>
          <w:szCs w:val="24"/>
        </w:rPr>
      </w:pPr>
      <w:r>
        <w:rPr>
          <w:rFonts w:ascii="宋体" w:hAnsi="宋体"/>
          <w:kern w:val="0"/>
          <w:sz w:val="24"/>
          <w:szCs w:val="24"/>
        </w:rPr>
        <w:tab/>
      </w:r>
    </w:p>
    <w:p w14:paraId="5DEB2E03">
      <w:pPr>
        <w:spacing w:line="360" w:lineRule="auto"/>
        <w:rPr>
          <w:rFonts w:ascii="宋体" w:hAnsi="宋体"/>
          <w:kern w:val="0"/>
          <w:sz w:val="24"/>
          <w:szCs w:val="24"/>
        </w:rPr>
      </w:pPr>
      <w:r>
        <w:rPr>
          <w:rFonts w:ascii="宋体" w:hAnsi="宋体"/>
          <w:kern w:val="0"/>
          <w:sz w:val="24"/>
          <w:szCs w:val="24"/>
        </w:rPr>
        <w:t>企业名称（盖章）：</w:t>
      </w:r>
    </w:p>
    <w:p w14:paraId="61AF49A6">
      <w:pPr>
        <w:spacing w:line="360" w:lineRule="auto"/>
        <w:rPr>
          <w:rFonts w:ascii="宋体" w:hAnsi="宋体"/>
          <w:kern w:val="0"/>
          <w:sz w:val="24"/>
          <w:szCs w:val="24"/>
        </w:rPr>
      </w:pPr>
    </w:p>
    <w:p w14:paraId="6CA3366D">
      <w:pPr>
        <w:spacing w:line="360" w:lineRule="auto"/>
        <w:rPr>
          <w:rFonts w:ascii="宋体" w:hAnsi="宋体"/>
          <w:kern w:val="0"/>
          <w:sz w:val="24"/>
          <w:szCs w:val="24"/>
        </w:rPr>
      </w:pPr>
      <w:r>
        <w:rPr>
          <w:rFonts w:ascii="宋体" w:hAnsi="宋体"/>
          <w:kern w:val="0"/>
          <w:sz w:val="24"/>
          <w:szCs w:val="24"/>
        </w:rPr>
        <w:t>日期：</w:t>
      </w:r>
    </w:p>
    <w:p w14:paraId="52D4FDF0">
      <w:pPr>
        <w:autoSpaceDE w:val="0"/>
        <w:autoSpaceDN w:val="0"/>
        <w:adjustRightInd w:val="0"/>
        <w:spacing w:line="360" w:lineRule="auto"/>
        <w:jc w:val="left"/>
        <w:rPr>
          <w:rFonts w:ascii="宋体"/>
          <w:kern w:val="0"/>
          <w:sz w:val="24"/>
          <w:szCs w:val="24"/>
        </w:rPr>
      </w:pPr>
    </w:p>
    <w:p w14:paraId="17B325FD">
      <w:pPr>
        <w:autoSpaceDE w:val="0"/>
        <w:autoSpaceDN w:val="0"/>
        <w:adjustRightInd w:val="0"/>
        <w:spacing w:line="360" w:lineRule="auto"/>
        <w:jc w:val="left"/>
        <w:rPr>
          <w:rFonts w:ascii="宋体"/>
          <w:kern w:val="0"/>
          <w:sz w:val="24"/>
          <w:szCs w:val="24"/>
        </w:rPr>
      </w:pPr>
    </w:p>
    <w:p w14:paraId="4B85662E">
      <w:pPr>
        <w:autoSpaceDE w:val="0"/>
        <w:autoSpaceDN w:val="0"/>
        <w:adjustRightInd w:val="0"/>
        <w:spacing w:line="360" w:lineRule="auto"/>
        <w:jc w:val="left"/>
        <w:rPr>
          <w:rFonts w:ascii="宋体"/>
          <w:kern w:val="0"/>
          <w:sz w:val="24"/>
          <w:szCs w:val="24"/>
        </w:rPr>
      </w:pPr>
      <w:r>
        <w:rPr>
          <w:rFonts w:hint="eastAsia" w:ascii="宋体" w:hAnsi="宋体"/>
          <w:kern w:val="0"/>
          <w:sz w:val="24"/>
          <w:szCs w:val="24"/>
        </w:rPr>
        <w:t>说明：</w:t>
      </w:r>
    </w:p>
    <w:p w14:paraId="35EF5DB0">
      <w:pPr>
        <w:autoSpaceDE w:val="0"/>
        <w:autoSpaceDN w:val="0"/>
        <w:adjustRightInd w:val="0"/>
        <w:spacing w:line="360" w:lineRule="auto"/>
        <w:jc w:val="left"/>
        <w:rPr>
          <w:rFonts w:ascii="宋体"/>
          <w:kern w:val="0"/>
          <w:sz w:val="24"/>
          <w:szCs w:val="24"/>
        </w:rPr>
      </w:pPr>
      <w:r>
        <w:rPr>
          <w:rFonts w:ascii="宋体" w:hAnsi="宋体"/>
          <w:kern w:val="0"/>
          <w:sz w:val="24"/>
          <w:szCs w:val="24"/>
        </w:rPr>
        <w:t>1</w:t>
      </w:r>
      <w:r>
        <w:rPr>
          <w:rFonts w:hint="eastAsia" w:ascii="宋体" w:hAnsi="宋体"/>
          <w:kern w:val="0"/>
          <w:sz w:val="24"/>
          <w:szCs w:val="24"/>
        </w:rPr>
        <w:t>、填写前请认真阅读《工业和信息化部、国家统计局、国家发展和改革委员会、财政部关于印发中小企业划型标准规定的通知》（工信部联企业</w:t>
      </w:r>
      <w:r>
        <w:rPr>
          <w:rFonts w:ascii="宋体" w:hAnsi="宋体"/>
          <w:kern w:val="0"/>
          <w:sz w:val="24"/>
          <w:szCs w:val="24"/>
        </w:rPr>
        <w:t xml:space="preserve">[2011]300 </w:t>
      </w:r>
      <w:r>
        <w:rPr>
          <w:rFonts w:hint="eastAsia" w:ascii="宋体" w:hAnsi="宋体"/>
          <w:kern w:val="0"/>
          <w:sz w:val="24"/>
          <w:szCs w:val="24"/>
        </w:rPr>
        <w:t>号）和《财政部工业和信息化部关于印发</w:t>
      </w:r>
      <w:r>
        <w:rPr>
          <w:rFonts w:ascii="宋体" w:hAnsi="宋体"/>
          <w:kern w:val="0"/>
          <w:sz w:val="24"/>
          <w:szCs w:val="24"/>
        </w:rPr>
        <w:t>《政府采购促进中小企业发展管理办法》(</w:t>
      </w:r>
      <w:r>
        <w:rPr>
          <w:rFonts w:hint="eastAsia" w:ascii="宋体" w:hAnsi="宋体"/>
          <w:kern w:val="0"/>
          <w:sz w:val="24"/>
          <w:szCs w:val="24"/>
        </w:rPr>
        <w:t>财库</w:t>
      </w:r>
      <w:r>
        <w:rPr>
          <w:rFonts w:ascii="宋体" w:hAnsi="宋体"/>
          <w:kern w:val="0"/>
          <w:sz w:val="24"/>
          <w:szCs w:val="24"/>
        </w:rPr>
        <w:t>[20</w:t>
      </w:r>
      <w:r>
        <w:rPr>
          <w:rFonts w:hint="eastAsia" w:ascii="宋体" w:hAnsi="宋体"/>
          <w:kern w:val="0"/>
          <w:sz w:val="24"/>
          <w:szCs w:val="24"/>
        </w:rPr>
        <w:t>20</w:t>
      </w:r>
      <w:r>
        <w:rPr>
          <w:rFonts w:ascii="宋体" w:hAnsi="宋体"/>
          <w:kern w:val="0"/>
          <w:sz w:val="24"/>
          <w:szCs w:val="24"/>
        </w:rPr>
        <w:t>]</w:t>
      </w:r>
      <w:r>
        <w:rPr>
          <w:rFonts w:hint="eastAsia" w:ascii="宋体" w:hAnsi="宋体"/>
          <w:kern w:val="0"/>
          <w:sz w:val="24"/>
          <w:szCs w:val="24"/>
        </w:rPr>
        <w:t>46号</w:t>
      </w:r>
      <w:r>
        <w:rPr>
          <w:rFonts w:ascii="宋体" w:hAnsi="宋体"/>
          <w:kern w:val="0"/>
          <w:sz w:val="24"/>
          <w:szCs w:val="24"/>
        </w:rPr>
        <w:t>)</w:t>
      </w:r>
      <w:r>
        <w:rPr>
          <w:rFonts w:hint="eastAsia" w:ascii="宋体" w:hAnsi="宋体"/>
          <w:kern w:val="0"/>
          <w:sz w:val="24"/>
          <w:szCs w:val="24"/>
        </w:rPr>
        <w:t>相关规定。</w:t>
      </w:r>
    </w:p>
    <w:p w14:paraId="4089E7B9">
      <w:pPr>
        <w:spacing w:line="360" w:lineRule="auto"/>
        <w:jc w:val="left"/>
        <w:rPr>
          <w:rFonts w:cs="仿宋" w:asciiTheme="minorEastAsia" w:hAnsiTheme="minorEastAsia"/>
          <w:sz w:val="24"/>
          <w:szCs w:val="24"/>
        </w:rPr>
      </w:pPr>
      <w:r>
        <w:rPr>
          <w:rFonts w:ascii="宋体" w:hAnsi="宋体"/>
          <w:kern w:val="0"/>
          <w:sz w:val="24"/>
          <w:szCs w:val="24"/>
        </w:rPr>
        <w:t>2</w:t>
      </w:r>
      <w:r>
        <w:rPr>
          <w:rFonts w:hint="eastAsia" w:ascii="宋体" w:hAnsi="宋体"/>
          <w:kern w:val="0"/>
          <w:sz w:val="24"/>
          <w:szCs w:val="24"/>
        </w:rPr>
        <w:t>、从业人员、营业收入、资产总额填报上一年度数据，无上一年度数据的新成立企业可不填报。</w:t>
      </w:r>
    </w:p>
    <w:p w14:paraId="7F42A387">
      <w:pPr>
        <w:tabs>
          <w:tab w:val="center" w:pos="4832"/>
          <w:tab w:val="left" w:pos="7140"/>
        </w:tabs>
        <w:jc w:val="center"/>
        <w:rPr>
          <w:rFonts w:ascii="宋体" w:hAnsi="宋体" w:cs="宋体"/>
          <w:b/>
          <w:szCs w:val="24"/>
        </w:rPr>
      </w:pPr>
    </w:p>
    <w:p w14:paraId="397AF05D">
      <w:pPr>
        <w:tabs>
          <w:tab w:val="center" w:pos="4832"/>
          <w:tab w:val="left" w:pos="7140"/>
        </w:tabs>
        <w:jc w:val="center"/>
        <w:rPr>
          <w:rFonts w:ascii="宋体" w:hAnsi="宋体" w:cs="宋体"/>
          <w:b/>
          <w:szCs w:val="24"/>
        </w:rPr>
      </w:pPr>
    </w:p>
    <w:p w14:paraId="12907B47">
      <w:pPr>
        <w:tabs>
          <w:tab w:val="center" w:pos="4832"/>
          <w:tab w:val="left" w:pos="7140"/>
        </w:tabs>
        <w:jc w:val="center"/>
        <w:rPr>
          <w:rFonts w:ascii="宋体" w:hAnsi="宋体" w:cs="宋体"/>
          <w:b/>
          <w:szCs w:val="24"/>
        </w:rPr>
      </w:pPr>
    </w:p>
    <w:p w14:paraId="6FB1B400">
      <w:pPr>
        <w:tabs>
          <w:tab w:val="center" w:pos="4832"/>
          <w:tab w:val="left" w:pos="7140"/>
        </w:tabs>
        <w:jc w:val="center"/>
        <w:rPr>
          <w:rFonts w:ascii="宋体" w:hAnsi="宋体" w:cs="宋体"/>
          <w:b/>
          <w:szCs w:val="24"/>
        </w:rPr>
      </w:pPr>
    </w:p>
    <w:p w14:paraId="4191341B">
      <w:pPr>
        <w:widowControl/>
        <w:jc w:val="left"/>
        <w:rPr>
          <w:rFonts w:ascii="宋体" w:hAnsi="宋体" w:cs="宋体"/>
          <w:b/>
          <w:szCs w:val="24"/>
        </w:rPr>
      </w:pPr>
      <w:r>
        <w:rPr>
          <w:rFonts w:ascii="宋体" w:hAnsi="宋体" w:cs="宋体"/>
          <w:b/>
          <w:szCs w:val="24"/>
        </w:rPr>
        <w:br w:type="page"/>
      </w:r>
    </w:p>
    <w:p w14:paraId="52A3D43B">
      <w:pPr>
        <w:tabs>
          <w:tab w:val="center" w:pos="4832"/>
          <w:tab w:val="left" w:pos="7140"/>
        </w:tabs>
        <w:jc w:val="center"/>
        <w:rPr>
          <w:rFonts w:ascii="宋体" w:hAnsi="宋体" w:cs="宋体"/>
          <w:b/>
          <w:szCs w:val="24"/>
        </w:rPr>
      </w:pPr>
    </w:p>
    <w:p w14:paraId="71191192">
      <w:pPr>
        <w:tabs>
          <w:tab w:val="left" w:pos="3495"/>
        </w:tabs>
        <w:spacing w:line="360" w:lineRule="auto"/>
        <w:ind w:firstLine="482" w:firstLineChars="200"/>
        <w:jc w:val="center"/>
        <w:rPr>
          <w:rFonts w:cs="仿宋" w:asciiTheme="minorEastAsia" w:hAnsiTheme="minorEastAsia"/>
          <w:b/>
          <w:sz w:val="24"/>
          <w:szCs w:val="24"/>
        </w:rPr>
      </w:pPr>
      <w:r>
        <w:rPr>
          <w:rFonts w:hint="eastAsia" w:cs="仿宋" w:asciiTheme="minorEastAsia" w:hAnsiTheme="minorEastAsia"/>
          <w:b/>
          <w:sz w:val="24"/>
          <w:szCs w:val="24"/>
        </w:rPr>
        <w:t>9-1监狱企业声明函</w:t>
      </w:r>
    </w:p>
    <w:p w14:paraId="1D32F11B">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（监狱企业适用）</w:t>
      </w:r>
    </w:p>
    <w:p w14:paraId="2392033E">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本公司郑重声明，根据《关于政府采购支持监狱企业发展有关问题的通知》（财库[2014]68号）的规定，本公司为监狱企业。</w:t>
      </w:r>
    </w:p>
    <w:p w14:paraId="2E5980C0">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本公司参加______单位的______项目采购活动，采购活动提供本企业（填写制造的货物，由本企业承担工程、提供服务）。</w:t>
      </w:r>
    </w:p>
    <w:p w14:paraId="51E3AD0A">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本条所称货物不包括使用大型企业注册商标的货物和服务。</w:t>
      </w:r>
    </w:p>
    <w:p w14:paraId="4BE94856">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本公司对上述声明的真实性负责。如有虚假，将依法承担相应责任。</w:t>
      </w:r>
    </w:p>
    <w:p w14:paraId="4EAC7966">
      <w:pPr>
        <w:tabs>
          <w:tab w:val="left" w:pos="3975"/>
        </w:tabs>
        <w:spacing w:line="360" w:lineRule="auto"/>
        <w:ind w:firstLine="480" w:firstLineChars="200"/>
        <w:rPr>
          <w:rFonts w:cs="仿宋" w:asciiTheme="minorEastAsia" w:hAnsiTheme="minorEastAsia"/>
          <w:sz w:val="24"/>
          <w:szCs w:val="24"/>
        </w:rPr>
      </w:pPr>
    </w:p>
    <w:p w14:paraId="7A6CA939">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436434DE">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法定代表人或授权代理人(签字或盖章)：</w:t>
      </w:r>
    </w:p>
    <w:p w14:paraId="133E415C">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日期：</w:t>
      </w:r>
    </w:p>
    <w:p w14:paraId="34B764E5">
      <w:pPr>
        <w:tabs>
          <w:tab w:val="left" w:pos="3975"/>
        </w:tabs>
        <w:spacing w:line="360" w:lineRule="auto"/>
        <w:ind w:firstLine="480" w:firstLineChars="200"/>
        <w:rPr>
          <w:rFonts w:cs="仿宋" w:asciiTheme="minorEastAsia" w:hAnsiTheme="minorEastAsia"/>
          <w:sz w:val="24"/>
          <w:szCs w:val="24"/>
        </w:rPr>
      </w:pPr>
    </w:p>
    <w:p w14:paraId="2B6ADDF6">
      <w:pPr>
        <w:tabs>
          <w:tab w:val="left" w:pos="3975"/>
        </w:tabs>
        <w:spacing w:line="360" w:lineRule="auto"/>
        <w:ind w:firstLine="482" w:firstLineChars="200"/>
        <w:jc w:val="center"/>
        <w:rPr>
          <w:rFonts w:cs="仿宋" w:asciiTheme="minorEastAsia" w:hAnsiTheme="minorEastAsia"/>
          <w:b/>
          <w:bCs/>
          <w:sz w:val="24"/>
          <w:szCs w:val="24"/>
        </w:rPr>
      </w:pPr>
      <w:r>
        <w:rPr>
          <w:rFonts w:hint="eastAsia" w:cs="仿宋" w:asciiTheme="minorEastAsia" w:hAnsiTheme="minorEastAsia"/>
          <w:b/>
          <w:bCs/>
          <w:sz w:val="24"/>
          <w:szCs w:val="24"/>
        </w:rPr>
        <w:t>9-2残疾人福利性单位声明函</w:t>
      </w:r>
    </w:p>
    <w:p w14:paraId="02BF09AC">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（残疾人福利性单位适用）</w:t>
      </w:r>
    </w:p>
    <w:p w14:paraId="1D5A994D">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417B5FB">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 xml:space="preserve">本单位对上述声明的真实性负责。如有虚假，将依法承担相应责任。                               </w:t>
      </w:r>
    </w:p>
    <w:p w14:paraId="08D27265">
      <w:pPr>
        <w:tabs>
          <w:tab w:val="left" w:pos="3975"/>
        </w:tabs>
        <w:spacing w:line="360" w:lineRule="auto"/>
        <w:ind w:firstLine="480" w:firstLineChars="200"/>
        <w:rPr>
          <w:rFonts w:cs="仿宋" w:asciiTheme="minorEastAsia" w:hAnsiTheme="minorEastAsia"/>
          <w:sz w:val="24"/>
          <w:szCs w:val="24"/>
        </w:rPr>
      </w:pPr>
    </w:p>
    <w:p w14:paraId="10D29CAB">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138641F7">
      <w:pPr>
        <w:tabs>
          <w:tab w:val="left" w:pos="3975"/>
        </w:tabs>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法定代表人或授权代理人(签字或盖章)：</w:t>
      </w:r>
    </w:p>
    <w:p w14:paraId="04519632">
      <w:pPr>
        <w:ind w:left="630"/>
        <w:rPr>
          <w:rFonts w:cs="仿宋" w:asciiTheme="minorEastAsia" w:hAnsiTheme="minorEastAsia"/>
          <w:sz w:val="24"/>
          <w:szCs w:val="24"/>
        </w:rPr>
      </w:pPr>
      <w:r>
        <w:rPr>
          <w:rFonts w:hint="eastAsia" w:cs="仿宋" w:asciiTheme="minorEastAsia" w:hAnsiTheme="minorEastAsia"/>
          <w:sz w:val="24"/>
          <w:szCs w:val="24"/>
        </w:rPr>
        <w:t xml:space="preserve">                                      日  期：</w:t>
      </w:r>
    </w:p>
    <w:p w14:paraId="435104D1">
      <w:pPr>
        <w:ind w:left="630"/>
        <w:rPr>
          <w:rFonts w:cs="仿宋" w:asciiTheme="minorEastAsia" w:hAnsiTheme="minorEastAsia"/>
          <w:sz w:val="24"/>
          <w:szCs w:val="24"/>
        </w:rPr>
      </w:pPr>
    </w:p>
    <w:p w14:paraId="37F5A9B5">
      <w:pPr>
        <w:tabs>
          <w:tab w:val="center" w:pos="4832"/>
          <w:tab w:val="left" w:pos="7140"/>
        </w:tabs>
        <w:jc w:val="center"/>
        <w:rPr>
          <w:rFonts w:ascii="宋体" w:hAnsi="宋体" w:cs="宋体"/>
          <w:b/>
          <w:szCs w:val="24"/>
        </w:rPr>
      </w:pPr>
    </w:p>
    <w:p w14:paraId="71009AFB">
      <w:pPr>
        <w:tabs>
          <w:tab w:val="center" w:pos="4832"/>
          <w:tab w:val="left" w:pos="7140"/>
        </w:tabs>
        <w:rPr>
          <w:rStyle w:val="265"/>
          <w:rFonts w:ascii="宋体" w:hAnsi="宋体"/>
          <w:color w:val="auto"/>
          <w:szCs w:val="21"/>
        </w:rPr>
      </w:pPr>
      <w:r>
        <w:rPr>
          <w:rFonts w:ascii="宋体" w:hAnsi="宋体"/>
          <w:b/>
        </w:rPr>
        <w:br w:type="page"/>
      </w:r>
    </w:p>
    <w:p w14:paraId="1C8D3F83">
      <w:pPr>
        <w:autoSpaceDE w:val="0"/>
        <w:autoSpaceDN w:val="0"/>
        <w:adjustRightInd w:val="0"/>
        <w:spacing w:line="360" w:lineRule="auto"/>
        <w:jc w:val="center"/>
        <w:rPr>
          <w:rFonts w:cs="仿宋" w:asciiTheme="minorEastAsia" w:hAnsiTheme="minorEastAsia"/>
          <w:b/>
          <w:bCs/>
          <w:sz w:val="24"/>
          <w:szCs w:val="24"/>
        </w:rPr>
      </w:pPr>
      <w:bookmarkStart w:id="730" w:name="_Toc25663"/>
      <w:bookmarkStart w:id="731" w:name="_Toc131679064"/>
      <w:bookmarkStart w:id="732" w:name="_Toc3554"/>
      <w:bookmarkStart w:id="733" w:name="_Toc24536"/>
      <w:bookmarkStart w:id="734" w:name="_Toc12559"/>
      <w:bookmarkStart w:id="735" w:name="_Toc24213"/>
      <w:r>
        <w:rPr>
          <w:rFonts w:hint="eastAsia" w:cs="仿宋" w:asciiTheme="minorEastAsia" w:hAnsiTheme="minorEastAsia"/>
          <w:b/>
          <w:bCs/>
          <w:sz w:val="24"/>
          <w:szCs w:val="24"/>
        </w:rPr>
        <w:t>10、磋商保证金缴纳凭证</w:t>
      </w:r>
    </w:p>
    <w:p w14:paraId="1351B996">
      <w:pPr>
        <w:spacing w:line="360" w:lineRule="auto"/>
        <w:jc w:val="left"/>
        <w:rPr>
          <w:rFonts w:cs="仿宋" w:asciiTheme="minorEastAsia" w:hAnsiTheme="minorEastAsia"/>
          <w:sz w:val="24"/>
          <w:szCs w:val="24"/>
        </w:rPr>
      </w:pPr>
      <w:r>
        <w:rPr>
          <w:rFonts w:hint="eastAsia" w:cs="仿宋" w:asciiTheme="minorEastAsia" w:hAnsiTheme="minorEastAsia"/>
          <w:sz w:val="24"/>
          <w:szCs w:val="24"/>
        </w:rPr>
        <w:t>附：磋商保证金缴纳凭证复印件加盖供应商单位公章</w:t>
      </w:r>
    </w:p>
    <w:p w14:paraId="71C7CFB5">
      <w:pPr>
        <w:spacing w:line="360" w:lineRule="auto"/>
        <w:jc w:val="center"/>
        <w:rPr>
          <w:rFonts w:cs="仿宋" w:asciiTheme="minorEastAsia" w:hAnsiTheme="minorEastAsia"/>
          <w:sz w:val="24"/>
          <w:szCs w:val="24"/>
        </w:rPr>
      </w:pPr>
    </w:p>
    <w:p w14:paraId="6BBFA41B">
      <w:pPr>
        <w:spacing w:line="360" w:lineRule="auto"/>
        <w:jc w:val="center"/>
        <w:rPr>
          <w:rFonts w:cs="仿宋" w:asciiTheme="minorEastAsia" w:hAnsiTheme="minorEastAsia"/>
          <w:sz w:val="24"/>
          <w:szCs w:val="24"/>
        </w:rPr>
      </w:pPr>
    </w:p>
    <w:p w14:paraId="3DC1149C">
      <w:pPr>
        <w:spacing w:line="360" w:lineRule="auto"/>
        <w:jc w:val="center"/>
        <w:rPr>
          <w:rFonts w:cs="仿宋" w:asciiTheme="minorEastAsia" w:hAnsiTheme="minorEastAsia"/>
          <w:sz w:val="24"/>
          <w:szCs w:val="24"/>
        </w:rPr>
      </w:pPr>
    </w:p>
    <w:p w14:paraId="7E08684F">
      <w:pPr>
        <w:spacing w:line="360" w:lineRule="auto"/>
        <w:jc w:val="center"/>
        <w:rPr>
          <w:rFonts w:cs="仿宋" w:asciiTheme="minorEastAsia" w:hAnsiTheme="minorEastAsia"/>
          <w:sz w:val="24"/>
          <w:szCs w:val="24"/>
        </w:rPr>
      </w:pPr>
    </w:p>
    <w:p w14:paraId="2BC5DC86">
      <w:pPr>
        <w:spacing w:line="360" w:lineRule="auto"/>
        <w:jc w:val="center"/>
        <w:rPr>
          <w:rFonts w:cs="仿宋" w:asciiTheme="minorEastAsia" w:hAnsiTheme="minorEastAsia"/>
          <w:sz w:val="24"/>
          <w:szCs w:val="24"/>
        </w:rPr>
      </w:pPr>
    </w:p>
    <w:p w14:paraId="2A5A2A8A">
      <w:pPr>
        <w:spacing w:line="360" w:lineRule="auto"/>
        <w:jc w:val="center"/>
        <w:rPr>
          <w:rFonts w:cs="仿宋" w:asciiTheme="minorEastAsia" w:hAnsiTheme="minorEastAsia"/>
          <w:sz w:val="24"/>
          <w:szCs w:val="24"/>
        </w:rPr>
      </w:pPr>
    </w:p>
    <w:p w14:paraId="5F0D7F89">
      <w:pPr>
        <w:spacing w:line="360" w:lineRule="auto"/>
        <w:jc w:val="center"/>
        <w:rPr>
          <w:rFonts w:cs="仿宋" w:asciiTheme="minorEastAsia" w:hAnsiTheme="minorEastAsia"/>
          <w:sz w:val="24"/>
          <w:szCs w:val="24"/>
        </w:rPr>
      </w:pPr>
    </w:p>
    <w:p w14:paraId="62616B42">
      <w:pPr>
        <w:spacing w:line="360" w:lineRule="auto"/>
        <w:jc w:val="center"/>
        <w:rPr>
          <w:rFonts w:cs="仿宋" w:asciiTheme="minorEastAsia" w:hAnsiTheme="minorEastAsia"/>
          <w:sz w:val="24"/>
          <w:szCs w:val="24"/>
        </w:rPr>
      </w:pPr>
    </w:p>
    <w:p w14:paraId="4768B300">
      <w:pPr>
        <w:spacing w:line="360" w:lineRule="auto"/>
        <w:jc w:val="center"/>
        <w:rPr>
          <w:rFonts w:cs="仿宋" w:asciiTheme="minorEastAsia" w:hAnsiTheme="minorEastAsia"/>
          <w:sz w:val="24"/>
          <w:szCs w:val="24"/>
        </w:rPr>
      </w:pPr>
    </w:p>
    <w:p w14:paraId="333D33D2">
      <w:pPr>
        <w:spacing w:line="360" w:lineRule="auto"/>
        <w:jc w:val="center"/>
        <w:rPr>
          <w:rFonts w:cs="仿宋" w:asciiTheme="minorEastAsia" w:hAnsiTheme="minorEastAsia"/>
          <w:sz w:val="24"/>
          <w:szCs w:val="24"/>
        </w:rPr>
      </w:pPr>
    </w:p>
    <w:p w14:paraId="3E659AB0">
      <w:pPr>
        <w:spacing w:line="360" w:lineRule="auto"/>
        <w:jc w:val="center"/>
        <w:rPr>
          <w:rFonts w:cs="仿宋" w:asciiTheme="minorEastAsia" w:hAnsiTheme="minorEastAsia"/>
          <w:sz w:val="24"/>
          <w:szCs w:val="24"/>
        </w:rPr>
      </w:pPr>
    </w:p>
    <w:p w14:paraId="1428DD93">
      <w:pPr>
        <w:spacing w:line="360" w:lineRule="auto"/>
        <w:jc w:val="center"/>
        <w:rPr>
          <w:rFonts w:cs="仿宋" w:asciiTheme="minorEastAsia" w:hAnsiTheme="minorEastAsia"/>
          <w:sz w:val="24"/>
          <w:szCs w:val="24"/>
        </w:rPr>
      </w:pPr>
    </w:p>
    <w:p w14:paraId="2757E975">
      <w:pPr>
        <w:spacing w:line="360" w:lineRule="auto"/>
        <w:jc w:val="center"/>
        <w:rPr>
          <w:rFonts w:cs="仿宋" w:asciiTheme="minorEastAsia" w:hAnsiTheme="minorEastAsia"/>
          <w:sz w:val="24"/>
          <w:szCs w:val="24"/>
        </w:rPr>
      </w:pPr>
    </w:p>
    <w:p w14:paraId="405EEC96">
      <w:pPr>
        <w:spacing w:line="360" w:lineRule="auto"/>
        <w:jc w:val="center"/>
        <w:rPr>
          <w:rFonts w:cs="仿宋" w:asciiTheme="minorEastAsia" w:hAnsiTheme="minorEastAsia"/>
          <w:sz w:val="24"/>
          <w:szCs w:val="24"/>
        </w:rPr>
      </w:pPr>
    </w:p>
    <w:p w14:paraId="6428A7FC">
      <w:pPr>
        <w:spacing w:line="360" w:lineRule="auto"/>
        <w:jc w:val="center"/>
        <w:rPr>
          <w:rFonts w:cs="仿宋" w:asciiTheme="minorEastAsia" w:hAnsiTheme="minorEastAsia"/>
          <w:sz w:val="24"/>
          <w:szCs w:val="24"/>
        </w:rPr>
      </w:pPr>
    </w:p>
    <w:p w14:paraId="1A3EE0AD">
      <w:pPr>
        <w:spacing w:line="360" w:lineRule="auto"/>
        <w:jc w:val="center"/>
        <w:rPr>
          <w:rFonts w:cs="仿宋" w:asciiTheme="minorEastAsia" w:hAnsiTheme="minorEastAsia"/>
          <w:sz w:val="24"/>
          <w:szCs w:val="24"/>
        </w:rPr>
      </w:pPr>
    </w:p>
    <w:p w14:paraId="72A03F09">
      <w:pPr>
        <w:spacing w:line="360" w:lineRule="auto"/>
        <w:jc w:val="center"/>
        <w:rPr>
          <w:rFonts w:cs="仿宋" w:asciiTheme="minorEastAsia" w:hAnsiTheme="minorEastAsia"/>
          <w:sz w:val="24"/>
          <w:szCs w:val="24"/>
        </w:rPr>
      </w:pPr>
    </w:p>
    <w:p w14:paraId="0AC01A35">
      <w:pPr>
        <w:spacing w:line="360" w:lineRule="auto"/>
        <w:jc w:val="center"/>
        <w:rPr>
          <w:rFonts w:cs="仿宋" w:asciiTheme="minorEastAsia" w:hAnsiTheme="minorEastAsia"/>
          <w:sz w:val="24"/>
          <w:szCs w:val="24"/>
        </w:rPr>
      </w:pPr>
    </w:p>
    <w:p w14:paraId="2F26F4B9">
      <w:pPr>
        <w:spacing w:line="360" w:lineRule="auto"/>
        <w:jc w:val="center"/>
        <w:rPr>
          <w:rFonts w:cs="仿宋" w:asciiTheme="minorEastAsia" w:hAnsiTheme="minorEastAsia"/>
          <w:sz w:val="24"/>
          <w:szCs w:val="24"/>
        </w:rPr>
      </w:pPr>
    </w:p>
    <w:p w14:paraId="1113AAEF">
      <w:pPr>
        <w:spacing w:line="360" w:lineRule="auto"/>
        <w:jc w:val="center"/>
        <w:rPr>
          <w:rFonts w:cs="仿宋" w:asciiTheme="minorEastAsia" w:hAnsiTheme="minorEastAsia"/>
          <w:sz w:val="24"/>
          <w:szCs w:val="24"/>
        </w:rPr>
      </w:pPr>
    </w:p>
    <w:p w14:paraId="3EF9694D">
      <w:pPr>
        <w:spacing w:line="360" w:lineRule="auto"/>
        <w:jc w:val="center"/>
        <w:rPr>
          <w:rFonts w:cs="仿宋" w:asciiTheme="minorEastAsia" w:hAnsiTheme="minorEastAsia"/>
          <w:sz w:val="24"/>
          <w:szCs w:val="24"/>
        </w:rPr>
      </w:pPr>
    </w:p>
    <w:p w14:paraId="55EB2D09">
      <w:pPr>
        <w:spacing w:line="360" w:lineRule="auto"/>
        <w:jc w:val="center"/>
        <w:rPr>
          <w:rFonts w:cs="仿宋" w:asciiTheme="minorEastAsia" w:hAnsiTheme="minorEastAsia"/>
          <w:sz w:val="24"/>
          <w:szCs w:val="24"/>
        </w:rPr>
      </w:pPr>
    </w:p>
    <w:p w14:paraId="38200C21">
      <w:pPr>
        <w:spacing w:line="360" w:lineRule="auto"/>
        <w:jc w:val="center"/>
        <w:rPr>
          <w:rFonts w:cs="仿宋" w:asciiTheme="minorEastAsia" w:hAnsiTheme="minorEastAsia"/>
          <w:sz w:val="24"/>
          <w:szCs w:val="24"/>
        </w:rPr>
      </w:pPr>
    </w:p>
    <w:p w14:paraId="476C1B06">
      <w:pPr>
        <w:spacing w:line="360" w:lineRule="auto"/>
        <w:jc w:val="center"/>
        <w:rPr>
          <w:rFonts w:cs="仿宋" w:asciiTheme="minorEastAsia" w:hAnsiTheme="minorEastAsia"/>
          <w:sz w:val="24"/>
          <w:szCs w:val="24"/>
        </w:rPr>
      </w:pPr>
    </w:p>
    <w:p w14:paraId="22256B0E">
      <w:pPr>
        <w:spacing w:line="360" w:lineRule="auto"/>
        <w:jc w:val="center"/>
        <w:rPr>
          <w:rFonts w:cs="仿宋" w:asciiTheme="minorEastAsia" w:hAnsiTheme="minorEastAsia"/>
          <w:sz w:val="24"/>
          <w:szCs w:val="24"/>
        </w:rPr>
      </w:pPr>
    </w:p>
    <w:p w14:paraId="4382A668">
      <w:pPr>
        <w:spacing w:line="360" w:lineRule="auto"/>
        <w:jc w:val="center"/>
        <w:rPr>
          <w:rFonts w:cs="仿宋" w:asciiTheme="minorEastAsia" w:hAnsiTheme="minorEastAsia"/>
          <w:sz w:val="24"/>
          <w:szCs w:val="24"/>
        </w:rPr>
      </w:pPr>
    </w:p>
    <w:p w14:paraId="0E1CFF5D">
      <w:pPr>
        <w:spacing w:line="360" w:lineRule="auto"/>
        <w:jc w:val="center"/>
        <w:rPr>
          <w:rFonts w:cs="仿宋" w:asciiTheme="minorEastAsia" w:hAnsiTheme="minorEastAsia"/>
          <w:sz w:val="24"/>
          <w:szCs w:val="24"/>
        </w:rPr>
      </w:pPr>
    </w:p>
    <w:p w14:paraId="6DA6F82F">
      <w:pPr>
        <w:spacing w:line="360" w:lineRule="auto"/>
        <w:jc w:val="center"/>
        <w:rPr>
          <w:rFonts w:cs="仿宋" w:asciiTheme="minorEastAsia" w:hAnsiTheme="minorEastAsia"/>
          <w:sz w:val="24"/>
          <w:szCs w:val="24"/>
        </w:rPr>
      </w:pPr>
    </w:p>
    <w:p w14:paraId="6C439318"/>
    <w:p w14:paraId="2EAD9925">
      <w:pPr>
        <w:pStyle w:val="3"/>
        <w:spacing w:before="0" w:after="0" w:line="360" w:lineRule="auto"/>
        <w:outlineLvl w:val="1"/>
        <w:rPr>
          <w:rFonts w:cs="仿宋" w:asciiTheme="minorEastAsia" w:hAnsiTheme="minorEastAsia" w:eastAsiaTheme="minorEastAsia"/>
          <w:color w:val="auto"/>
          <w:sz w:val="24"/>
          <w:szCs w:val="24"/>
        </w:rPr>
      </w:pPr>
      <w:bookmarkStart w:id="736" w:name="_Toc16989"/>
      <w:r>
        <w:rPr>
          <w:rFonts w:hint="eastAsia" w:cs="仿宋" w:asciiTheme="minorEastAsia" w:hAnsiTheme="minorEastAsia" w:eastAsiaTheme="minorEastAsia"/>
          <w:color w:val="auto"/>
          <w:sz w:val="24"/>
          <w:szCs w:val="24"/>
        </w:rPr>
        <w:t>（第二部分）</w:t>
      </w:r>
      <w:r>
        <w:rPr>
          <w:rFonts w:cs="仿宋" w:asciiTheme="minorEastAsia" w:hAnsiTheme="minorEastAsia" w:eastAsiaTheme="minorEastAsia"/>
          <w:color w:val="auto"/>
          <w:sz w:val="24"/>
          <w:szCs w:val="24"/>
        </w:rPr>
        <w:t>报价文件</w:t>
      </w:r>
      <w:bookmarkEnd w:id="730"/>
      <w:bookmarkEnd w:id="731"/>
      <w:bookmarkEnd w:id="732"/>
      <w:bookmarkEnd w:id="733"/>
      <w:bookmarkEnd w:id="734"/>
      <w:bookmarkEnd w:id="735"/>
      <w:bookmarkEnd w:id="736"/>
    </w:p>
    <w:p w14:paraId="3C4E8C80">
      <w:pPr>
        <w:snapToGrid w:val="0"/>
        <w:spacing w:line="360" w:lineRule="auto"/>
        <w:jc w:val="center"/>
        <w:rPr>
          <w:rFonts w:cs="仿宋" w:asciiTheme="minorEastAsia" w:hAnsiTheme="minorEastAsia"/>
          <w:b/>
          <w:sz w:val="24"/>
          <w:szCs w:val="24"/>
        </w:rPr>
      </w:pPr>
      <w:r>
        <w:rPr>
          <w:rFonts w:hint="eastAsia" w:cs="仿宋" w:asciiTheme="minorEastAsia" w:hAnsiTheme="minorEastAsia"/>
          <w:b/>
          <w:sz w:val="24"/>
          <w:szCs w:val="24"/>
        </w:rPr>
        <w:t>一、报价一览表</w:t>
      </w:r>
    </w:p>
    <w:tbl>
      <w:tblPr>
        <w:tblStyle w:val="47"/>
        <w:tblpPr w:leftFromText="180" w:rightFromText="180" w:vertAnchor="text" w:horzAnchor="margin" w:tblpXSpec="center" w:tblpY="225"/>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8"/>
        <w:gridCol w:w="2475"/>
        <w:gridCol w:w="1365"/>
        <w:gridCol w:w="3458"/>
      </w:tblGrid>
      <w:tr w14:paraId="4EB90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5BEFE531">
            <w:pPr>
              <w:snapToGrid w:val="0"/>
              <w:spacing w:line="360" w:lineRule="auto"/>
              <w:jc w:val="center"/>
              <w:rPr>
                <w:rFonts w:cs="仿宋" w:asciiTheme="minorEastAsia" w:hAnsiTheme="minorEastAsia"/>
                <w:sz w:val="24"/>
                <w:szCs w:val="24"/>
              </w:rPr>
            </w:pPr>
            <w:r>
              <w:rPr>
                <w:rFonts w:hint="eastAsia" w:cs="仿宋" w:asciiTheme="minorEastAsia" w:hAnsiTheme="minorEastAsia"/>
                <w:sz w:val="24"/>
                <w:szCs w:val="24"/>
              </w:rPr>
              <w:t>供应商名称</w:t>
            </w:r>
          </w:p>
        </w:tc>
        <w:tc>
          <w:tcPr>
            <w:tcW w:w="7298" w:type="dxa"/>
            <w:gridSpan w:val="3"/>
            <w:vAlign w:val="center"/>
          </w:tcPr>
          <w:p w14:paraId="258E4354">
            <w:pPr>
              <w:snapToGrid w:val="0"/>
              <w:spacing w:line="360" w:lineRule="auto"/>
              <w:rPr>
                <w:rFonts w:cs="仿宋" w:asciiTheme="minorEastAsia" w:hAnsiTheme="minorEastAsia"/>
                <w:sz w:val="24"/>
                <w:szCs w:val="24"/>
              </w:rPr>
            </w:pPr>
          </w:p>
        </w:tc>
      </w:tr>
      <w:tr w14:paraId="6CBDD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5C357730">
            <w:pPr>
              <w:snapToGrid w:val="0"/>
              <w:spacing w:line="360" w:lineRule="auto"/>
              <w:jc w:val="center"/>
              <w:rPr>
                <w:rFonts w:cs="仿宋" w:asciiTheme="minorEastAsia" w:hAnsiTheme="minorEastAsia"/>
                <w:sz w:val="24"/>
                <w:szCs w:val="24"/>
              </w:rPr>
            </w:pPr>
            <w:r>
              <w:rPr>
                <w:rFonts w:hint="eastAsia" w:cs="仿宋" w:asciiTheme="minorEastAsia" w:hAnsiTheme="minorEastAsia"/>
                <w:sz w:val="24"/>
                <w:szCs w:val="24"/>
              </w:rPr>
              <w:t xml:space="preserve">项目编号: </w:t>
            </w:r>
          </w:p>
        </w:tc>
        <w:tc>
          <w:tcPr>
            <w:tcW w:w="7298" w:type="dxa"/>
            <w:gridSpan w:val="3"/>
            <w:vAlign w:val="center"/>
          </w:tcPr>
          <w:p w14:paraId="5DD7CE6D">
            <w:pPr>
              <w:snapToGrid w:val="0"/>
              <w:spacing w:line="360" w:lineRule="auto"/>
              <w:rPr>
                <w:rFonts w:cs="仿宋" w:asciiTheme="minorEastAsia" w:hAnsiTheme="minorEastAsia"/>
                <w:sz w:val="24"/>
                <w:szCs w:val="24"/>
              </w:rPr>
            </w:pPr>
          </w:p>
        </w:tc>
      </w:tr>
      <w:tr w14:paraId="302D8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2C450166">
            <w:pPr>
              <w:snapToGrid w:val="0"/>
              <w:spacing w:line="360" w:lineRule="auto"/>
              <w:jc w:val="center"/>
              <w:rPr>
                <w:rFonts w:cs="仿宋" w:asciiTheme="minorEastAsia" w:hAnsiTheme="minorEastAsia"/>
                <w:sz w:val="24"/>
                <w:szCs w:val="24"/>
              </w:rPr>
            </w:pPr>
            <w:r>
              <w:rPr>
                <w:rFonts w:hint="eastAsia" w:cs="仿宋" w:asciiTheme="minorEastAsia" w:hAnsiTheme="minorEastAsia"/>
                <w:sz w:val="24"/>
                <w:szCs w:val="24"/>
              </w:rPr>
              <w:t>项目名称</w:t>
            </w:r>
          </w:p>
        </w:tc>
        <w:tc>
          <w:tcPr>
            <w:tcW w:w="7298" w:type="dxa"/>
            <w:gridSpan w:val="3"/>
            <w:vAlign w:val="center"/>
          </w:tcPr>
          <w:p w14:paraId="7FDC28A8">
            <w:pPr>
              <w:snapToGrid w:val="0"/>
              <w:spacing w:line="360" w:lineRule="auto"/>
              <w:rPr>
                <w:rFonts w:cs="仿宋" w:asciiTheme="minorEastAsia" w:hAnsiTheme="minorEastAsia"/>
                <w:sz w:val="24"/>
                <w:szCs w:val="24"/>
              </w:rPr>
            </w:pPr>
          </w:p>
        </w:tc>
      </w:tr>
      <w:tr w14:paraId="3E56A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vAlign w:val="center"/>
          </w:tcPr>
          <w:p w14:paraId="22AE5085">
            <w:pPr>
              <w:snapToGrid w:val="0"/>
              <w:spacing w:line="360" w:lineRule="auto"/>
              <w:jc w:val="center"/>
              <w:rPr>
                <w:rFonts w:cs="仿宋" w:asciiTheme="minorEastAsia" w:hAnsiTheme="minorEastAsia"/>
                <w:sz w:val="24"/>
                <w:szCs w:val="24"/>
              </w:rPr>
            </w:pPr>
            <w:r>
              <w:rPr>
                <w:rFonts w:hint="eastAsia" w:cs="仿宋" w:asciiTheme="minorEastAsia" w:hAnsiTheme="minorEastAsia"/>
                <w:sz w:val="24"/>
                <w:szCs w:val="24"/>
              </w:rPr>
              <w:t>法定代表人</w:t>
            </w:r>
          </w:p>
        </w:tc>
        <w:tc>
          <w:tcPr>
            <w:tcW w:w="2475" w:type="dxa"/>
            <w:vAlign w:val="center"/>
          </w:tcPr>
          <w:p w14:paraId="57BF7CF2">
            <w:pPr>
              <w:snapToGrid w:val="0"/>
              <w:spacing w:line="360" w:lineRule="auto"/>
              <w:rPr>
                <w:rFonts w:cs="仿宋" w:asciiTheme="minorEastAsia" w:hAnsiTheme="minorEastAsia"/>
                <w:sz w:val="24"/>
                <w:szCs w:val="24"/>
              </w:rPr>
            </w:pPr>
          </w:p>
        </w:tc>
        <w:tc>
          <w:tcPr>
            <w:tcW w:w="1365" w:type="dxa"/>
            <w:vAlign w:val="center"/>
          </w:tcPr>
          <w:p w14:paraId="0F0D1534">
            <w:pPr>
              <w:snapToGrid w:val="0"/>
              <w:spacing w:line="360" w:lineRule="auto"/>
              <w:rPr>
                <w:rFonts w:cs="仿宋" w:asciiTheme="minorEastAsia" w:hAnsiTheme="minorEastAsia"/>
                <w:sz w:val="24"/>
                <w:szCs w:val="24"/>
              </w:rPr>
            </w:pPr>
            <w:r>
              <w:rPr>
                <w:rFonts w:hint="eastAsia" w:cs="仿宋" w:asciiTheme="minorEastAsia" w:hAnsiTheme="minorEastAsia"/>
                <w:sz w:val="24"/>
                <w:szCs w:val="24"/>
              </w:rPr>
              <w:t>联系电话</w:t>
            </w:r>
          </w:p>
        </w:tc>
        <w:tc>
          <w:tcPr>
            <w:tcW w:w="3458" w:type="dxa"/>
            <w:vAlign w:val="center"/>
          </w:tcPr>
          <w:p w14:paraId="017B9310">
            <w:pPr>
              <w:snapToGrid w:val="0"/>
              <w:spacing w:line="360" w:lineRule="auto"/>
              <w:rPr>
                <w:rFonts w:cs="仿宋" w:asciiTheme="minorEastAsia" w:hAnsiTheme="minorEastAsia"/>
                <w:sz w:val="24"/>
                <w:szCs w:val="24"/>
              </w:rPr>
            </w:pPr>
          </w:p>
        </w:tc>
      </w:tr>
      <w:tr w14:paraId="5B6DC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9" w:hRule="atLeast"/>
        </w:trPr>
        <w:tc>
          <w:tcPr>
            <w:tcW w:w="1988" w:type="dxa"/>
            <w:tcBorders>
              <w:bottom w:val="single" w:color="auto" w:sz="4" w:space="0"/>
            </w:tcBorders>
            <w:vAlign w:val="center"/>
          </w:tcPr>
          <w:p w14:paraId="0355B4D8">
            <w:pPr>
              <w:snapToGrid w:val="0"/>
              <w:spacing w:line="360" w:lineRule="auto"/>
              <w:jc w:val="center"/>
              <w:rPr>
                <w:rFonts w:cs="仿宋" w:asciiTheme="minorEastAsia" w:hAnsiTheme="minorEastAsia"/>
                <w:sz w:val="24"/>
                <w:szCs w:val="24"/>
              </w:rPr>
            </w:pPr>
            <w:r>
              <w:rPr>
                <w:rFonts w:hint="eastAsia" w:cs="仿宋" w:asciiTheme="minorEastAsia" w:hAnsiTheme="minorEastAsia"/>
                <w:sz w:val="24"/>
                <w:szCs w:val="24"/>
              </w:rPr>
              <w:t>法人授权代表</w:t>
            </w:r>
          </w:p>
        </w:tc>
        <w:tc>
          <w:tcPr>
            <w:tcW w:w="2475" w:type="dxa"/>
            <w:tcBorders>
              <w:bottom w:val="single" w:color="auto" w:sz="4" w:space="0"/>
            </w:tcBorders>
            <w:vAlign w:val="center"/>
          </w:tcPr>
          <w:p w14:paraId="3F6CE000">
            <w:pPr>
              <w:snapToGrid w:val="0"/>
              <w:spacing w:line="360" w:lineRule="auto"/>
              <w:rPr>
                <w:rFonts w:cs="仿宋" w:asciiTheme="minorEastAsia" w:hAnsiTheme="minorEastAsia"/>
                <w:sz w:val="24"/>
                <w:szCs w:val="24"/>
              </w:rPr>
            </w:pPr>
          </w:p>
        </w:tc>
        <w:tc>
          <w:tcPr>
            <w:tcW w:w="1365" w:type="dxa"/>
            <w:tcBorders>
              <w:bottom w:val="single" w:color="auto" w:sz="4" w:space="0"/>
            </w:tcBorders>
            <w:vAlign w:val="center"/>
          </w:tcPr>
          <w:p w14:paraId="257A4CB4">
            <w:pPr>
              <w:snapToGrid w:val="0"/>
              <w:spacing w:line="360" w:lineRule="auto"/>
              <w:rPr>
                <w:rFonts w:cs="仿宋" w:asciiTheme="minorEastAsia" w:hAnsiTheme="minorEastAsia"/>
                <w:sz w:val="24"/>
                <w:szCs w:val="24"/>
              </w:rPr>
            </w:pPr>
            <w:r>
              <w:rPr>
                <w:rFonts w:hint="eastAsia" w:cs="仿宋" w:asciiTheme="minorEastAsia" w:hAnsiTheme="minorEastAsia"/>
                <w:sz w:val="24"/>
                <w:szCs w:val="24"/>
              </w:rPr>
              <w:t>联系电话</w:t>
            </w:r>
          </w:p>
        </w:tc>
        <w:tc>
          <w:tcPr>
            <w:tcW w:w="3458" w:type="dxa"/>
            <w:tcBorders>
              <w:bottom w:val="single" w:color="auto" w:sz="4" w:space="0"/>
            </w:tcBorders>
            <w:vAlign w:val="center"/>
          </w:tcPr>
          <w:p w14:paraId="1B41E209">
            <w:pPr>
              <w:snapToGrid w:val="0"/>
              <w:spacing w:line="360" w:lineRule="auto"/>
              <w:rPr>
                <w:rFonts w:cs="仿宋" w:asciiTheme="minorEastAsia" w:hAnsiTheme="minorEastAsia"/>
                <w:sz w:val="24"/>
                <w:szCs w:val="24"/>
              </w:rPr>
            </w:pPr>
          </w:p>
        </w:tc>
      </w:tr>
      <w:tr w14:paraId="5200C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7" w:hRule="atLeast"/>
        </w:trPr>
        <w:tc>
          <w:tcPr>
            <w:tcW w:w="1988" w:type="dxa"/>
            <w:tcBorders>
              <w:top w:val="single" w:color="auto" w:sz="4" w:space="0"/>
              <w:left w:val="single" w:color="auto" w:sz="4" w:space="0"/>
              <w:bottom w:val="single" w:color="auto" w:sz="4" w:space="0"/>
              <w:right w:val="single" w:color="auto" w:sz="4" w:space="0"/>
            </w:tcBorders>
            <w:vAlign w:val="center"/>
          </w:tcPr>
          <w:p w14:paraId="209B370F">
            <w:pPr>
              <w:snapToGrid w:val="0"/>
              <w:spacing w:line="360" w:lineRule="auto"/>
              <w:jc w:val="center"/>
              <w:rPr>
                <w:rFonts w:cs="仿宋" w:asciiTheme="minorEastAsia" w:hAnsiTheme="minorEastAsia"/>
                <w:sz w:val="24"/>
                <w:szCs w:val="24"/>
              </w:rPr>
            </w:pPr>
            <w:r>
              <w:rPr>
                <w:rFonts w:hint="eastAsia" w:cs="仿宋" w:asciiTheme="minorEastAsia" w:hAnsiTheme="minorEastAsia"/>
                <w:sz w:val="24"/>
                <w:szCs w:val="24"/>
              </w:rPr>
              <w:t>投标总报价</w:t>
            </w:r>
          </w:p>
        </w:tc>
        <w:tc>
          <w:tcPr>
            <w:tcW w:w="7298" w:type="dxa"/>
            <w:gridSpan w:val="3"/>
            <w:tcBorders>
              <w:top w:val="single" w:color="auto" w:sz="4" w:space="0"/>
              <w:left w:val="single" w:color="auto" w:sz="4" w:space="0"/>
              <w:bottom w:val="single" w:color="auto" w:sz="4" w:space="0"/>
              <w:right w:val="single" w:color="auto" w:sz="4" w:space="0"/>
            </w:tcBorders>
            <w:vAlign w:val="center"/>
          </w:tcPr>
          <w:p w14:paraId="64701923">
            <w:pPr>
              <w:snapToGrid w:val="0"/>
              <w:spacing w:line="360" w:lineRule="auto"/>
              <w:rPr>
                <w:rFonts w:cs="仿宋" w:asciiTheme="minorEastAsia" w:hAnsiTheme="minorEastAsia"/>
                <w:bCs/>
                <w:sz w:val="24"/>
                <w:szCs w:val="24"/>
              </w:rPr>
            </w:pPr>
            <w:r>
              <w:rPr>
                <w:rFonts w:hint="eastAsia" w:cs="仿宋" w:asciiTheme="minorEastAsia" w:hAnsiTheme="minorEastAsia"/>
                <w:bCs/>
                <w:sz w:val="24"/>
                <w:szCs w:val="24"/>
              </w:rPr>
              <w:t>￥：（元）</w:t>
            </w:r>
          </w:p>
          <w:p w14:paraId="2D9D8385">
            <w:pPr>
              <w:snapToGrid w:val="0"/>
              <w:spacing w:line="360" w:lineRule="auto"/>
              <w:rPr>
                <w:rFonts w:cs="仿宋" w:asciiTheme="minorEastAsia" w:hAnsiTheme="minorEastAsia"/>
                <w:bCs/>
                <w:sz w:val="24"/>
                <w:szCs w:val="24"/>
              </w:rPr>
            </w:pPr>
            <w:r>
              <w:rPr>
                <w:rFonts w:hint="eastAsia" w:cs="仿宋" w:asciiTheme="minorEastAsia" w:hAnsiTheme="minorEastAsia"/>
                <w:bCs/>
                <w:sz w:val="24"/>
                <w:szCs w:val="24"/>
              </w:rPr>
              <w:t>人民币（大写）：</w:t>
            </w:r>
          </w:p>
        </w:tc>
      </w:tr>
      <w:tr w14:paraId="12A27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trPr>
        <w:tc>
          <w:tcPr>
            <w:tcW w:w="1988" w:type="dxa"/>
            <w:tcBorders>
              <w:top w:val="single" w:color="auto" w:sz="4" w:space="0"/>
              <w:left w:val="single" w:color="auto" w:sz="4" w:space="0"/>
              <w:bottom w:val="single" w:color="auto" w:sz="4" w:space="0"/>
              <w:right w:val="single" w:color="auto" w:sz="4" w:space="0"/>
            </w:tcBorders>
            <w:vAlign w:val="center"/>
          </w:tcPr>
          <w:p w14:paraId="68F90E56">
            <w:pPr>
              <w:snapToGrid w:val="0"/>
              <w:spacing w:line="360" w:lineRule="auto"/>
              <w:jc w:val="center"/>
              <w:rPr>
                <w:rFonts w:cs="仿宋" w:asciiTheme="minorEastAsia" w:hAnsiTheme="minorEastAsia"/>
                <w:color w:val="000000" w:themeColor="text1"/>
                <w:sz w:val="24"/>
                <w:szCs w:val="24"/>
                <w14:textFill>
                  <w14:solidFill>
                    <w14:schemeClr w14:val="tx1"/>
                  </w14:solidFill>
                </w14:textFill>
              </w:rPr>
            </w:pPr>
            <w:r>
              <w:rPr>
                <w:rFonts w:hint="eastAsia" w:cs="仿宋" w:asciiTheme="minorEastAsia" w:hAnsiTheme="minorEastAsia"/>
                <w:color w:val="000000" w:themeColor="text1"/>
                <w:sz w:val="24"/>
                <w:szCs w:val="24"/>
                <w14:textFill>
                  <w14:solidFill>
                    <w14:schemeClr w14:val="tx1"/>
                  </w14:solidFill>
                </w14:textFill>
              </w:rPr>
              <w:t>工期</w:t>
            </w:r>
          </w:p>
        </w:tc>
        <w:tc>
          <w:tcPr>
            <w:tcW w:w="7298" w:type="dxa"/>
            <w:gridSpan w:val="3"/>
            <w:tcBorders>
              <w:top w:val="single" w:color="auto" w:sz="4" w:space="0"/>
              <w:left w:val="single" w:color="auto" w:sz="4" w:space="0"/>
              <w:bottom w:val="single" w:color="auto" w:sz="4" w:space="0"/>
              <w:right w:val="single" w:color="auto" w:sz="4" w:space="0"/>
            </w:tcBorders>
            <w:vAlign w:val="center"/>
          </w:tcPr>
          <w:p w14:paraId="6F02E71E">
            <w:pPr>
              <w:snapToGrid w:val="0"/>
              <w:spacing w:line="360" w:lineRule="auto"/>
              <w:ind w:right="105" w:rightChars="50"/>
              <w:rPr>
                <w:rFonts w:cs="仿宋" w:asciiTheme="minorEastAsia" w:hAnsiTheme="minorEastAsia"/>
                <w:color w:val="000000" w:themeColor="text1"/>
                <w:sz w:val="24"/>
                <w:szCs w:val="24"/>
                <w14:textFill>
                  <w14:solidFill>
                    <w14:schemeClr w14:val="tx1"/>
                  </w14:solidFill>
                </w14:textFill>
              </w:rPr>
            </w:pPr>
            <w:r>
              <w:rPr>
                <w:rFonts w:hint="eastAsia" w:cs="仿宋" w:asciiTheme="minorEastAsia" w:hAnsiTheme="minorEastAsia"/>
                <w:color w:val="000000" w:themeColor="text1"/>
                <w:sz w:val="24"/>
                <w:szCs w:val="24"/>
                <w14:textFill>
                  <w14:solidFill>
                    <w14:schemeClr w14:val="tx1"/>
                  </w14:solidFill>
                </w14:textFill>
              </w:rPr>
              <w:t>自合同签订，分别满足进场条件后，</w:t>
            </w:r>
            <w:r>
              <w:rPr>
                <w:rFonts w:hint="eastAsia" w:ascii="宋体" w:hAnsi="宋体"/>
                <w:sz w:val="24"/>
                <w:szCs w:val="24"/>
                <w:u w:val="single"/>
              </w:rPr>
              <w:t xml:space="preserve">   </w:t>
            </w:r>
            <w:r>
              <w:rPr>
                <w:rFonts w:hint="eastAsia" w:ascii="宋体" w:hAnsi="宋体"/>
                <w:sz w:val="24"/>
                <w:szCs w:val="24"/>
              </w:rPr>
              <w:t xml:space="preserve"> </w:t>
            </w:r>
            <w:r>
              <w:rPr>
                <w:rFonts w:hint="eastAsia" w:cs="仿宋" w:asciiTheme="minorEastAsia" w:hAnsiTheme="minorEastAsia"/>
                <w:color w:val="000000" w:themeColor="text1"/>
                <w:sz w:val="24"/>
                <w:szCs w:val="24"/>
                <w14:textFill>
                  <w14:solidFill>
                    <w14:schemeClr w14:val="tx1"/>
                  </w14:solidFill>
                </w14:textFill>
              </w:rPr>
              <w:t>个日历日内完成（其中临时用电</w:t>
            </w:r>
            <w:r>
              <w:rPr>
                <w:rFonts w:hint="eastAsia" w:ascii="宋体" w:hAnsi="宋体"/>
                <w:sz w:val="24"/>
                <w:szCs w:val="24"/>
                <w:u w:val="single"/>
              </w:rPr>
              <w:t xml:space="preserve">   </w:t>
            </w:r>
            <w:r>
              <w:rPr>
                <w:rFonts w:hint="eastAsia" w:ascii="宋体" w:hAnsi="宋体"/>
                <w:sz w:val="24"/>
                <w:szCs w:val="24"/>
              </w:rPr>
              <w:t xml:space="preserve"> </w:t>
            </w:r>
            <w:r>
              <w:rPr>
                <w:rFonts w:hint="eastAsia" w:cs="仿宋" w:asciiTheme="minorEastAsia" w:hAnsiTheme="minorEastAsia"/>
                <w:color w:val="000000" w:themeColor="text1"/>
                <w:sz w:val="24"/>
                <w:szCs w:val="24"/>
                <w14:textFill>
                  <w14:solidFill>
                    <w14:schemeClr w14:val="tx1"/>
                  </w14:solidFill>
                </w14:textFill>
              </w:rPr>
              <w:t>个日历日内完成；正式用电</w:t>
            </w:r>
            <w:r>
              <w:rPr>
                <w:rFonts w:hint="eastAsia" w:ascii="宋体" w:hAnsi="宋体"/>
                <w:sz w:val="24"/>
                <w:szCs w:val="24"/>
                <w:u w:val="single"/>
              </w:rPr>
              <w:t xml:space="preserve">   </w:t>
            </w:r>
            <w:r>
              <w:rPr>
                <w:rFonts w:hint="eastAsia" w:ascii="宋体" w:hAnsi="宋体"/>
                <w:sz w:val="24"/>
                <w:szCs w:val="24"/>
              </w:rPr>
              <w:t xml:space="preserve"> </w:t>
            </w:r>
            <w:r>
              <w:rPr>
                <w:rFonts w:hint="eastAsia" w:cs="仿宋" w:asciiTheme="minorEastAsia" w:hAnsiTheme="minorEastAsia"/>
                <w:color w:val="000000" w:themeColor="text1"/>
                <w:sz w:val="24"/>
                <w:szCs w:val="24"/>
                <w14:textFill>
                  <w14:solidFill>
                    <w14:schemeClr w14:val="tx1"/>
                  </w14:solidFill>
                </w14:textFill>
              </w:rPr>
              <w:t>个日历日内完成）。</w:t>
            </w:r>
          </w:p>
        </w:tc>
      </w:tr>
      <w:tr w14:paraId="02160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2" w:hRule="atLeast"/>
        </w:trPr>
        <w:tc>
          <w:tcPr>
            <w:tcW w:w="1988" w:type="dxa"/>
            <w:tcBorders>
              <w:top w:val="single" w:color="auto" w:sz="4" w:space="0"/>
              <w:left w:val="single" w:color="auto" w:sz="4" w:space="0"/>
              <w:bottom w:val="single" w:color="auto" w:sz="4" w:space="0"/>
              <w:right w:val="single" w:color="auto" w:sz="4" w:space="0"/>
            </w:tcBorders>
            <w:vAlign w:val="center"/>
          </w:tcPr>
          <w:p w14:paraId="761D1D05">
            <w:pPr>
              <w:snapToGrid w:val="0"/>
              <w:spacing w:line="360" w:lineRule="auto"/>
              <w:jc w:val="center"/>
              <w:rPr>
                <w:rFonts w:cs="仿宋" w:asciiTheme="minorEastAsia" w:hAnsiTheme="minorEastAsia"/>
                <w:sz w:val="24"/>
                <w:szCs w:val="24"/>
              </w:rPr>
            </w:pPr>
            <w:r>
              <w:rPr>
                <w:rFonts w:hint="eastAsia" w:cs="仿宋" w:asciiTheme="minorEastAsia" w:hAnsiTheme="minorEastAsia"/>
                <w:sz w:val="24"/>
                <w:szCs w:val="24"/>
              </w:rPr>
              <w:t>质量等级</w:t>
            </w:r>
          </w:p>
        </w:tc>
        <w:tc>
          <w:tcPr>
            <w:tcW w:w="7298" w:type="dxa"/>
            <w:gridSpan w:val="3"/>
            <w:tcBorders>
              <w:top w:val="single" w:color="auto" w:sz="4" w:space="0"/>
              <w:left w:val="single" w:color="auto" w:sz="4" w:space="0"/>
              <w:bottom w:val="single" w:color="auto" w:sz="4" w:space="0"/>
              <w:right w:val="single" w:color="auto" w:sz="4" w:space="0"/>
            </w:tcBorders>
            <w:vAlign w:val="center"/>
          </w:tcPr>
          <w:p w14:paraId="7865AF7D">
            <w:pPr>
              <w:snapToGrid w:val="0"/>
              <w:spacing w:line="360" w:lineRule="auto"/>
              <w:ind w:right="105" w:rightChars="50"/>
              <w:rPr>
                <w:rFonts w:cs="仿宋" w:asciiTheme="minorEastAsia" w:hAnsiTheme="minorEastAsia"/>
                <w:sz w:val="24"/>
                <w:szCs w:val="24"/>
              </w:rPr>
            </w:pPr>
            <w:r>
              <w:rPr>
                <w:rFonts w:hint="eastAsia" w:cs="仿宋" w:asciiTheme="minorEastAsia" w:hAnsiTheme="minorEastAsia"/>
                <w:sz w:val="24"/>
                <w:szCs w:val="24"/>
              </w:rPr>
              <w:t>合格</w:t>
            </w:r>
          </w:p>
        </w:tc>
      </w:tr>
    </w:tbl>
    <w:p w14:paraId="135A73E7">
      <w:pPr>
        <w:snapToGrid w:val="0"/>
        <w:spacing w:line="360" w:lineRule="auto"/>
        <w:ind w:right="105" w:rightChars="50"/>
        <w:rPr>
          <w:rFonts w:cs="仿宋" w:asciiTheme="minorEastAsia" w:hAnsiTheme="minorEastAsia"/>
          <w:sz w:val="24"/>
          <w:szCs w:val="24"/>
        </w:rPr>
      </w:pPr>
    </w:p>
    <w:p w14:paraId="59E79C5C">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09294693">
      <w:pPr>
        <w:snapToGrid w:val="0"/>
        <w:spacing w:line="360" w:lineRule="auto"/>
        <w:ind w:right="105" w:rightChars="50" w:firstLine="480" w:firstLineChars="200"/>
        <w:rPr>
          <w:rFonts w:cs="仿宋" w:asciiTheme="minorEastAsia" w:hAnsiTheme="minorEastAsia"/>
          <w:sz w:val="24"/>
          <w:szCs w:val="24"/>
        </w:rPr>
      </w:pPr>
      <w:r>
        <w:rPr>
          <w:rFonts w:hint="eastAsia" w:cs="仿宋" w:asciiTheme="minorEastAsia" w:hAnsiTheme="minorEastAsia"/>
          <w:sz w:val="24"/>
          <w:szCs w:val="24"/>
        </w:rPr>
        <w:t>法定代表人或授权代理人(签字或盖章)：</w:t>
      </w:r>
    </w:p>
    <w:p w14:paraId="4B8BC998">
      <w:pPr>
        <w:autoSpaceDE w:val="0"/>
        <w:autoSpaceDN w:val="0"/>
        <w:adjustRightInd w:val="0"/>
        <w:spacing w:line="360" w:lineRule="auto"/>
        <w:jc w:val="left"/>
        <w:rPr>
          <w:rFonts w:cs="仿宋" w:asciiTheme="minorEastAsia" w:hAnsiTheme="minorEastAsia"/>
          <w:sz w:val="24"/>
          <w:szCs w:val="24"/>
        </w:rPr>
      </w:pPr>
      <w:r>
        <w:rPr>
          <w:rFonts w:hint="eastAsia" w:cs="仿宋" w:asciiTheme="minorEastAsia" w:hAnsiTheme="minorEastAsia"/>
          <w:sz w:val="24"/>
          <w:szCs w:val="24"/>
        </w:rPr>
        <w:t>注：</w:t>
      </w:r>
      <w:r>
        <w:rPr>
          <w:rFonts w:cs="仿宋" w:asciiTheme="minorEastAsia" w:hAnsiTheme="minorEastAsia"/>
          <w:sz w:val="24"/>
          <w:szCs w:val="24"/>
        </w:rPr>
        <w:t>1.</w:t>
      </w:r>
      <w:r>
        <w:rPr>
          <w:rFonts w:hint="eastAsia" w:cs="仿宋" w:asciiTheme="minorEastAsia" w:hAnsiTheme="minorEastAsia"/>
          <w:sz w:val="24"/>
          <w:szCs w:val="24"/>
        </w:rPr>
        <w:t>表中大小写不一致时，以大写为准。</w:t>
      </w:r>
    </w:p>
    <w:p w14:paraId="7623216A">
      <w:pPr>
        <w:autoSpaceDE w:val="0"/>
        <w:autoSpaceDN w:val="0"/>
        <w:adjustRightInd w:val="0"/>
        <w:spacing w:line="360" w:lineRule="auto"/>
        <w:ind w:firstLine="480" w:firstLineChars="200"/>
        <w:jc w:val="left"/>
        <w:rPr>
          <w:rFonts w:cs="仿宋" w:asciiTheme="minorEastAsia" w:hAnsiTheme="minorEastAsia"/>
          <w:sz w:val="24"/>
          <w:szCs w:val="24"/>
        </w:rPr>
      </w:pPr>
      <w:r>
        <w:rPr>
          <w:rFonts w:cs="仿宋" w:asciiTheme="minorEastAsia" w:hAnsiTheme="minorEastAsia"/>
          <w:sz w:val="24"/>
          <w:szCs w:val="24"/>
        </w:rPr>
        <w:t>2.</w:t>
      </w:r>
      <w:r>
        <w:rPr>
          <w:rFonts w:hint="eastAsia" w:cs="仿宋" w:asciiTheme="minorEastAsia" w:hAnsiTheme="minorEastAsia"/>
          <w:sz w:val="24"/>
          <w:szCs w:val="24"/>
        </w:rPr>
        <w:t>投标报价为完成本次采购项目的所有内容的一切相关费用。</w:t>
      </w:r>
    </w:p>
    <w:p w14:paraId="4961A9CC">
      <w:pPr>
        <w:autoSpaceDE w:val="0"/>
        <w:autoSpaceDN w:val="0"/>
        <w:adjustRightInd w:val="0"/>
        <w:spacing w:line="360" w:lineRule="auto"/>
        <w:ind w:firstLine="480" w:firstLineChars="200"/>
        <w:jc w:val="left"/>
        <w:rPr>
          <w:rFonts w:cs="仿宋" w:asciiTheme="minorEastAsia" w:hAnsiTheme="minorEastAsia"/>
          <w:sz w:val="24"/>
          <w:szCs w:val="24"/>
        </w:rPr>
      </w:pPr>
      <w:r>
        <w:rPr>
          <w:rFonts w:hint="eastAsia" w:cs="仿宋" w:asciiTheme="minorEastAsia" w:hAnsiTheme="minorEastAsia"/>
          <w:sz w:val="24"/>
          <w:szCs w:val="24"/>
        </w:rPr>
        <w:t>3</w:t>
      </w:r>
      <w:r>
        <w:rPr>
          <w:rFonts w:cs="仿宋" w:asciiTheme="minorEastAsia" w:hAnsiTheme="minorEastAsia"/>
          <w:sz w:val="24"/>
          <w:szCs w:val="24"/>
        </w:rPr>
        <w:t>.</w:t>
      </w:r>
      <w:r>
        <w:rPr>
          <w:rFonts w:hint="eastAsia" w:cs="仿宋" w:asciiTheme="minorEastAsia" w:hAnsiTheme="minorEastAsia"/>
          <w:sz w:val="24"/>
          <w:szCs w:val="24"/>
        </w:rPr>
        <w:t>本表中“投标总报价”须为工程量清单总报价的合计，如不一致，以《开标一览表》为准。</w:t>
      </w:r>
    </w:p>
    <w:p w14:paraId="65D55608">
      <w:pPr>
        <w:autoSpaceDE w:val="0"/>
        <w:autoSpaceDN w:val="0"/>
        <w:adjustRightInd w:val="0"/>
        <w:spacing w:line="360" w:lineRule="auto"/>
        <w:jc w:val="left"/>
        <w:rPr>
          <w:rFonts w:cs="宋体" w:asciiTheme="minorEastAsia" w:hAnsiTheme="minorEastAsia"/>
          <w:kern w:val="0"/>
          <w:szCs w:val="24"/>
        </w:rPr>
      </w:pPr>
    </w:p>
    <w:p w14:paraId="37CDBF4B">
      <w:pPr>
        <w:autoSpaceDE w:val="0"/>
        <w:autoSpaceDN w:val="0"/>
        <w:adjustRightInd w:val="0"/>
        <w:spacing w:line="360" w:lineRule="auto"/>
        <w:jc w:val="left"/>
        <w:rPr>
          <w:rFonts w:cs="宋体" w:asciiTheme="minorEastAsia" w:hAnsiTheme="minorEastAsia"/>
          <w:kern w:val="0"/>
          <w:szCs w:val="24"/>
        </w:rPr>
      </w:pPr>
    </w:p>
    <w:p w14:paraId="2760D53B">
      <w:pPr>
        <w:autoSpaceDE w:val="0"/>
        <w:autoSpaceDN w:val="0"/>
        <w:adjustRightInd w:val="0"/>
        <w:spacing w:line="360" w:lineRule="auto"/>
        <w:jc w:val="left"/>
        <w:rPr>
          <w:rFonts w:cs="宋体" w:asciiTheme="minorEastAsia" w:hAnsiTheme="minorEastAsia"/>
          <w:kern w:val="0"/>
          <w:sz w:val="24"/>
          <w:szCs w:val="24"/>
        </w:rPr>
      </w:pPr>
    </w:p>
    <w:p w14:paraId="1D9EB146">
      <w:pPr>
        <w:widowControl/>
        <w:jc w:val="left"/>
        <w:rPr>
          <w:rFonts w:ascii="宋体" w:hAnsi="宋体"/>
          <w:b/>
        </w:rPr>
      </w:pPr>
      <w:r>
        <w:rPr>
          <w:rFonts w:ascii="宋体" w:hAnsi="宋体"/>
          <w:b/>
        </w:rPr>
        <w:br w:type="page"/>
      </w:r>
    </w:p>
    <w:p w14:paraId="6BF67159">
      <w:pPr>
        <w:jc w:val="center"/>
        <w:rPr>
          <w:rFonts w:ascii="宋体" w:hAnsi="宋体"/>
          <w:b/>
        </w:rPr>
      </w:pPr>
    </w:p>
    <w:p w14:paraId="006790EC">
      <w:pPr>
        <w:jc w:val="center"/>
        <w:rPr>
          <w:b/>
          <w:bCs/>
          <w:sz w:val="30"/>
          <w:szCs w:val="30"/>
        </w:rPr>
      </w:pPr>
      <w:r>
        <w:rPr>
          <w:rFonts w:hint="eastAsia" w:cs="仿宋" w:asciiTheme="minorEastAsia" w:hAnsiTheme="minorEastAsia"/>
          <w:b/>
          <w:sz w:val="24"/>
          <w:szCs w:val="24"/>
        </w:rPr>
        <w:t>明细报价表（工程量清单）</w:t>
      </w:r>
    </w:p>
    <w:p w14:paraId="7D644D82">
      <w:pPr>
        <w:rPr>
          <w:rFonts w:ascii="宋体" w:hAnsi="宋体"/>
          <w:sz w:val="24"/>
          <w:szCs w:val="24"/>
        </w:rPr>
      </w:pPr>
      <w:r>
        <w:rPr>
          <w:rFonts w:hint="eastAsia" w:ascii="宋体" w:hAnsi="宋体"/>
          <w:sz w:val="24"/>
          <w:szCs w:val="24"/>
        </w:rPr>
        <w:t>1、总说明</w:t>
      </w:r>
    </w:p>
    <w:p w14:paraId="4593C3E8">
      <w:pPr>
        <w:rPr>
          <w:rFonts w:ascii="宋体" w:hAnsi="宋体"/>
          <w:sz w:val="24"/>
          <w:szCs w:val="24"/>
        </w:rPr>
      </w:pPr>
      <w:r>
        <w:rPr>
          <w:rFonts w:hint="eastAsia" w:ascii="宋体" w:hAnsi="宋体"/>
          <w:sz w:val="24"/>
          <w:szCs w:val="24"/>
        </w:rPr>
        <w:t>2、建设项目投标报价汇总表</w:t>
      </w:r>
    </w:p>
    <w:p w14:paraId="25EC37ED">
      <w:pPr>
        <w:rPr>
          <w:rFonts w:ascii="宋体" w:hAnsi="宋体"/>
          <w:sz w:val="24"/>
          <w:szCs w:val="24"/>
        </w:rPr>
      </w:pPr>
      <w:r>
        <w:rPr>
          <w:rFonts w:hint="eastAsia" w:ascii="宋体" w:hAnsi="宋体"/>
          <w:sz w:val="24"/>
          <w:szCs w:val="24"/>
        </w:rPr>
        <w:t>3、单项工程投标报价汇总表</w:t>
      </w:r>
    </w:p>
    <w:p w14:paraId="7D9EA91B">
      <w:pPr>
        <w:rPr>
          <w:rFonts w:ascii="宋体" w:hAnsi="宋体"/>
          <w:sz w:val="24"/>
          <w:szCs w:val="24"/>
        </w:rPr>
      </w:pPr>
      <w:r>
        <w:rPr>
          <w:rFonts w:hint="eastAsia" w:ascii="宋体" w:hAnsi="宋体"/>
          <w:sz w:val="24"/>
          <w:szCs w:val="24"/>
        </w:rPr>
        <w:t>4、单位工程投标报价汇总表</w:t>
      </w:r>
    </w:p>
    <w:p w14:paraId="6FFB869E">
      <w:pPr>
        <w:rPr>
          <w:rFonts w:ascii="宋体" w:hAnsi="宋体"/>
          <w:sz w:val="24"/>
          <w:szCs w:val="24"/>
        </w:rPr>
      </w:pPr>
      <w:r>
        <w:rPr>
          <w:rFonts w:hint="eastAsia" w:ascii="宋体" w:hAnsi="宋体"/>
          <w:sz w:val="24"/>
          <w:szCs w:val="24"/>
        </w:rPr>
        <w:t>5、分部分项工程和单价措施项目清单与计价表</w:t>
      </w:r>
    </w:p>
    <w:p w14:paraId="068A96D4">
      <w:pPr>
        <w:rPr>
          <w:rFonts w:ascii="宋体" w:hAnsi="宋体"/>
          <w:sz w:val="24"/>
          <w:szCs w:val="24"/>
        </w:rPr>
      </w:pPr>
      <w:r>
        <w:rPr>
          <w:rFonts w:hint="eastAsia" w:ascii="宋体" w:hAnsi="宋体"/>
          <w:sz w:val="24"/>
          <w:szCs w:val="24"/>
        </w:rPr>
        <w:t>6、综合单价分析表</w:t>
      </w:r>
    </w:p>
    <w:p w14:paraId="6B280A84">
      <w:pPr>
        <w:rPr>
          <w:rFonts w:ascii="宋体" w:hAnsi="宋体"/>
          <w:sz w:val="24"/>
          <w:szCs w:val="24"/>
        </w:rPr>
      </w:pPr>
      <w:r>
        <w:rPr>
          <w:rFonts w:hint="eastAsia" w:ascii="宋体" w:hAnsi="宋体"/>
          <w:sz w:val="24"/>
          <w:szCs w:val="24"/>
        </w:rPr>
        <w:t>7、总价措施项目清单与计价表</w:t>
      </w:r>
    </w:p>
    <w:p w14:paraId="7445FACF">
      <w:pPr>
        <w:rPr>
          <w:rFonts w:ascii="宋体" w:hAnsi="宋体"/>
          <w:sz w:val="24"/>
          <w:szCs w:val="24"/>
        </w:rPr>
      </w:pPr>
      <w:r>
        <w:rPr>
          <w:rFonts w:hint="eastAsia" w:ascii="宋体" w:hAnsi="宋体"/>
          <w:sz w:val="24"/>
          <w:szCs w:val="24"/>
        </w:rPr>
        <w:t>8、其他项目清单与计价汇总表</w:t>
      </w:r>
    </w:p>
    <w:p w14:paraId="74317581">
      <w:pPr>
        <w:rPr>
          <w:rFonts w:ascii="宋体" w:hAnsi="宋体"/>
          <w:sz w:val="24"/>
          <w:szCs w:val="24"/>
        </w:rPr>
      </w:pPr>
      <w:r>
        <w:rPr>
          <w:rFonts w:hint="eastAsia" w:ascii="宋体" w:hAnsi="宋体"/>
          <w:sz w:val="24"/>
          <w:szCs w:val="24"/>
        </w:rPr>
        <w:t>8.1、暂列金额明细表</w:t>
      </w:r>
    </w:p>
    <w:p w14:paraId="4CBF18B8">
      <w:pPr>
        <w:rPr>
          <w:rFonts w:ascii="宋体" w:hAnsi="宋体"/>
          <w:sz w:val="24"/>
          <w:szCs w:val="24"/>
        </w:rPr>
      </w:pPr>
      <w:r>
        <w:rPr>
          <w:rFonts w:hint="eastAsia" w:ascii="宋体" w:hAnsi="宋体"/>
          <w:sz w:val="24"/>
          <w:szCs w:val="24"/>
        </w:rPr>
        <w:t>8.2、材料（工程设备）暂估单价及调整表</w:t>
      </w:r>
    </w:p>
    <w:p w14:paraId="66A0778A">
      <w:pPr>
        <w:rPr>
          <w:rFonts w:ascii="宋体" w:hAnsi="宋体"/>
          <w:sz w:val="24"/>
          <w:szCs w:val="24"/>
        </w:rPr>
      </w:pPr>
      <w:r>
        <w:rPr>
          <w:rFonts w:hint="eastAsia" w:ascii="宋体" w:hAnsi="宋体"/>
          <w:sz w:val="24"/>
          <w:szCs w:val="24"/>
        </w:rPr>
        <w:t>8.3、专业工程暂估价及结算价表</w:t>
      </w:r>
    </w:p>
    <w:p w14:paraId="76CDD90D">
      <w:pPr>
        <w:rPr>
          <w:rFonts w:ascii="宋体" w:hAnsi="宋体"/>
          <w:sz w:val="24"/>
          <w:szCs w:val="24"/>
        </w:rPr>
      </w:pPr>
      <w:r>
        <w:rPr>
          <w:rFonts w:hint="eastAsia" w:ascii="宋体" w:hAnsi="宋体"/>
          <w:sz w:val="24"/>
          <w:szCs w:val="24"/>
        </w:rPr>
        <w:t>8.4、计日工表</w:t>
      </w:r>
    </w:p>
    <w:p w14:paraId="4B800A36">
      <w:pPr>
        <w:rPr>
          <w:rFonts w:ascii="宋体" w:hAnsi="宋体"/>
          <w:sz w:val="24"/>
          <w:szCs w:val="24"/>
        </w:rPr>
      </w:pPr>
      <w:r>
        <w:rPr>
          <w:rFonts w:hint="eastAsia" w:ascii="宋体" w:hAnsi="宋体"/>
          <w:sz w:val="24"/>
          <w:szCs w:val="24"/>
        </w:rPr>
        <w:t>8.5、总承包服务费计价表</w:t>
      </w:r>
    </w:p>
    <w:p w14:paraId="367FED6E">
      <w:pPr>
        <w:rPr>
          <w:rFonts w:ascii="宋体" w:hAnsi="宋体"/>
          <w:sz w:val="24"/>
          <w:szCs w:val="24"/>
        </w:rPr>
      </w:pPr>
      <w:r>
        <w:rPr>
          <w:rFonts w:hint="eastAsia" w:ascii="宋体" w:hAnsi="宋体"/>
          <w:sz w:val="24"/>
          <w:szCs w:val="24"/>
        </w:rPr>
        <w:t>8.6、规费、税金项目计价表</w:t>
      </w:r>
    </w:p>
    <w:p w14:paraId="1955EDC1">
      <w:pPr>
        <w:rPr>
          <w:rFonts w:ascii="宋体" w:hAnsi="宋体"/>
          <w:sz w:val="24"/>
          <w:szCs w:val="24"/>
        </w:rPr>
      </w:pPr>
      <w:r>
        <w:rPr>
          <w:rFonts w:hint="eastAsia" w:ascii="宋体" w:hAnsi="宋体"/>
          <w:sz w:val="24"/>
          <w:szCs w:val="24"/>
        </w:rPr>
        <w:t>9、发包人提供材料和工程设备一览表</w:t>
      </w:r>
    </w:p>
    <w:p w14:paraId="5179D274">
      <w:pPr>
        <w:rPr>
          <w:rFonts w:ascii="宋体" w:hAnsi="宋体"/>
          <w:sz w:val="24"/>
          <w:szCs w:val="24"/>
        </w:rPr>
      </w:pPr>
      <w:r>
        <w:rPr>
          <w:rFonts w:hint="eastAsia" w:ascii="宋体" w:hAnsi="宋体"/>
          <w:sz w:val="24"/>
          <w:szCs w:val="24"/>
        </w:rPr>
        <w:t>10、承包人提供主要材料和工程设备一览表</w:t>
      </w:r>
    </w:p>
    <w:p w14:paraId="4A57FC6D">
      <w:pPr>
        <w:rPr>
          <w:rFonts w:ascii="宋体" w:hAnsi="宋体"/>
          <w:sz w:val="24"/>
          <w:szCs w:val="24"/>
        </w:rPr>
      </w:pPr>
      <w:r>
        <w:rPr>
          <w:rFonts w:hint="eastAsia" w:ascii="宋体" w:hAnsi="宋体"/>
          <w:sz w:val="24"/>
          <w:szCs w:val="24"/>
        </w:rPr>
        <w:t>11、扬尘污染防治措施增加费计取明细表</w:t>
      </w:r>
    </w:p>
    <w:p w14:paraId="2133B694">
      <w:pPr>
        <w:rPr>
          <w:rFonts w:ascii="宋体" w:hAnsi="宋体"/>
          <w:sz w:val="24"/>
          <w:szCs w:val="24"/>
        </w:rPr>
      </w:pPr>
      <w:r>
        <w:rPr>
          <w:rFonts w:hint="eastAsia" w:ascii="宋体" w:hAnsi="宋体"/>
          <w:sz w:val="24"/>
          <w:szCs w:val="24"/>
        </w:rPr>
        <w:t>12、投标报价需要的其他资料</w:t>
      </w:r>
    </w:p>
    <w:p w14:paraId="288CD33F">
      <w:pPr>
        <w:jc w:val="center"/>
        <w:rPr>
          <w:rFonts w:ascii="宋体" w:hAnsi="宋体"/>
          <w:b/>
          <w:sz w:val="24"/>
          <w:szCs w:val="24"/>
        </w:rPr>
      </w:pPr>
    </w:p>
    <w:p w14:paraId="27392FD2">
      <w:pPr>
        <w:jc w:val="center"/>
        <w:rPr>
          <w:rFonts w:ascii="宋体" w:hAnsi="宋体"/>
          <w:b/>
          <w:sz w:val="24"/>
          <w:szCs w:val="24"/>
        </w:rPr>
      </w:pPr>
    </w:p>
    <w:p w14:paraId="769B6C84">
      <w:pPr>
        <w:jc w:val="center"/>
        <w:rPr>
          <w:rFonts w:ascii="宋体" w:hAnsi="宋体"/>
          <w:b/>
          <w:sz w:val="24"/>
          <w:szCs w:val="24"/>
        </w:rPr>
      </w:pPr>
    </w:p>
    <w:p w14:paraId="2C607ED0">
      <w:pPr>
        <w:jc w:val="center"/>
        <w:rPr>
          <w:rFonts w:ascii="宋体" w:hAnsi="宋体"/>
          <w:b/>
          <w:sz w:val="24"/>
          <w:szCs w:val="24"/>
        </w:rPr>
      </w:pPr>
    </w:p>
    <w:p w14:paraId="35BAE6E5">
      <w:pPr>
        <w:jc w:val="center"/>
        <w:rPr>
          <w:rFonts w:ascii="宋体" w:hAnsi="宋体"/>
          <w:b/>
          <w:sz w:val="24"/>
          <w:szCs w:val="24"/>
        </w:rPr>
      </w:pPr>
    </w:p>
    <w:p w14:paraId="1791E3F7">
      <w:pPr>
        <w:pStyle w:val="63"/>
        <w:rPr>
          <w:sz w:val="24"/>
          <w:szCs w:val="24"/>
        </w:rPr>
      </w:pPr>
    </w:p>
    <w:p w14:paraId="1BC8F301">
      <w:pPr>
        <w:pStyle w:val="63"/>
        <w:rPr>
          <w:sz w:val="24"/>
          <w:szCs w:val="24"/>
        </w:rPr>
      </w:pPr>
    </w:p>
    <w:p w14:paraId="1194636E">
      <w:pPr>
        <w:pStyle w:val="63"/>
        <w:rPr>
          <w:sz w:val="24"/>
          <w:szCs w:val="24"/>
        </w:rPr>
      </w:pPr>
    </w:p>
    <w:p w14:paraId="2468F221">
      <w:pPr>
        <w:pStyle w:val="63"/>
        <w:rPr>
          <w:sz w:val="24"/>
          <w:szCs w:val="24"/>
        </w:rPr>
      </w:pPr>
    </w:p>
    <w:p w14:paraId="4B0AA640">
      <w:pPr>
        <w:pStyle w:val="63"/>
        <w:rPr>
          <w:sz w:val="24"/>
          <w:szCs w:val="24"/>
        </w:rPr>
      </w:pPr>
    </w:p>
    <w:p w14:paraId="78049488">
      <w:pPr>
        <w:pStyle w:val="63"/>
        <w:rPr>
          <w:sz w:val="24"/>
          <w:szCs w:val="24"/>
        </w:rPr>
      </w:pPr>
    </w:p>
    <w:p w14:paraId="18F31983">
      <w:pPr>
        <w:pStyle w:val="63"/>
        <w:rPr>
          <w:sz w:val="24"/>
          <w:szCs w:val="24"/>
        </w:rPr>
      </w:pPr>
    </w:p>
    <w:p w14:paraId="6325733E">
      <w:pPr>
        <w:pStyle w:val="63"/>
        <w:rPr>
          <w:sz w:val="24"/>
          <w:szCs w:val="24"/>
        </w:rPr>
      </w:pPr>
    </w:p>
    <w:p w14:paraId="796F4072">
      <w:pPr>
        <w:pStyle w:val="63"/>
        <w:rPr>
          <w:sz w:val="24"/>
          <w:szCs w:val="24"/>
        </w:rPr>
      </w:pPr>
    </w:p>
    <w:p w14:paraId="57545BC5">
      <w:pPr>
        <w:pStyle w:val="63"/>
        <w:rPr>
          <w:sz w:val="24"/>
          <w:szCs w:val="24"/>
        </w:rPr>
      </w:pPr>
    </w:p>
    <w:p w14:paraId="5A1AA3FA">
      <w:pPr>
        <w:pStyle w:val="63"/>
        <w:rPr>
          <w:sz w:val="24"/>
          <w:szCs w:val="24"/>
        </w:rPr>
      </w:pPr>
    </w:p>
    <w:p w14:paraId="56C930CB">
      <w:pPr>
        <w:pStyle w:val="63"/>
        <w:rPr>
          <w:sz w:val="24"/>
          <w:szCs w:val="24"/>
        </w:rPr>
      </w:pPr>
    </w:p>
    <w:p w14:paraId="67DCEF39">
      <w:pPr>
        <w:pStyle w:val="63"/>
        <w:rPr>
          <w:sz w:val="24"/>
          <w:szCs w:val="24"/>
        </w:rPr>
      </w:pPr>
    </w:p>
    <w:p w14:paraId="3BED7358">
      <w:pPr>
        <w:pStyle w:val="63"/>
        <w:rPr>
          <w:sz w:val="24"/>
          <w:szCs w:val="24"/>
        </w:rPr>
      </w:pPr>
    </w:p>
    <w:p w14:paraId="4937F8B1">
      <w:pPr>
        <w:pStyle w:val="63"/>
        <w:rPr>
          <w:sz w:val="24"/>
          <w:szCs w:val="24"/>
        </w:rPr>
      </w:pPr>
    </w:p>
    <w:p w14:paraId="2EF5BF07">
      <w:pPr>
        <w:pStyle w:val="63"/>
        <w:rPr>
          <w:sz w:val="24"/>
          <w:szCs w:val="24"/>
        </w:rPr>
      </w:pPr>
    </w:p>
    <w:p w14:paraId="2A8A88EB">
      <w:pPr>
        <w:pStyle w:val="63"/>
        <w:rPr>
          <w:sz w:val="24"/>
          <w:szCs w:val="24"/>
        </w:rPr>
      </w:pPr>
    </w:p>
    <w:p w14:paraId="7320F4B2">
      <w:pPr>
        <w:pStyle w:val="63"/>
        <w:rPr>
          <w:sz w:val="24"/>
          <w:szCs w:val="24"/>
        </w:rPr>
      </w:pPr>
    </w:p>
    <w:p w14:paraId="19EC6D61">
      <w:pPr>
        <w:pStyle w:val="63"/>
        <w:rPr>
          <w:sz w:val="24"/>
          <w:szCs w:val="24"/>
        </w:rPr>
      </w:pPr>
    </w:p>
    <w:p w14:paraId="017FBBE2">
      <w:pPr>
        <w:pStyle w:val="63"/>
        <w:rPr>
          <w:sz w:val="24"/>
          <w:szCs w:val="24"/>
        </w:rPr>
      </w:pPr>
    </w:p>
    <w:p w14:paraId="16F4FBEE">
      <w:pPr>
        <w:pStyle w:val="63"/>
        <w:rPr>
          <w:sz w:val="24"/>
          <w:szCs w:val="24"/>
        </w:rPr>
      </w:pPr>
    </w:p>
    <w:p w14:paraId="28B9B8F4">
      <w:pPr>
        <w:pStyle w:val="63"/>
        <w:rPr>
          <w:sz w:val="24"/>
          <w:szCs w:val="24"/>
        </w:rPr>
      </w:pPr>
    </w:p>
    <w:p w14:paraId="70F2235E">
      <w:pPr>
        <w:tabs>
          <w:tab w:val="center" w:pos="4832"/>
          <w:tab w:val="left" w:pos="7140"/>
        </w:tabs>
        <w:jc w:val="center"/>
        <w:outlineLvl w:val="1"/>
        <w:rPr>
          <w:rFonts w:ascii="宋体" w:hAnsi="宋体" w:cs="宋体"/>
          <w:b/>
          <w:sz w:val="24"/>
          <w:szCs w:val="24"/>
        </w:rPr>
      </w:pPr>
      <w:bookmarkStart w:id="737" w:name="_Toc8252"/>
      <w:bookmarkStart w:id="738" w:name="_Toc1877"/>
      <w:bookmarkStart w:id="739" w:name="_Toc16181"/>
      <w:bookmarkStart w:id="740" w:name="_Toc7203"/>
      <w:bookmarkStart w:id="741" w:name="_Toc131679065"/>
      <w:bookmarkStart w:id="742" w:name="_Toc27460"/>
      <w:bookmarkStart w:id="743" w:name="_Toc15438"/>
      <w:r>
        <w:rPr>
          <w:rFonts w:hint="eastAsia" w:cs="仿宋" w:asciiTheme="minorEastAsia" w:hAnsiTheme="minorEastAsia" w:eastAsiaTheme="minorEastAsia"/>
          <w:b/>
          <w:sz w:val="24"/>
          <w:szCs w:val="24"/>
        </w:rPr>
        <w:t>（第三部分）</w:t>
      </w:r>
      <w:r>
        <w:rPr>
          <w:rFonts w:cs="仿宋" w:asciiTheme="minorEastAsia" w:hAnsiTheme="minorEastAsia" w:eastAsiaTheme="minorEastAsia"/>
          <w:b/>
          <w:sz w:val="24"/>
          <w:szCs w:val="24"/>
        </w:rPr>
        <w:t>商务技术部分</w:t>
      </w:r>
      <w:bookmarkEnd w:id="737"/>
      <w:bookmarkEnd w:id="738"/>
      <w:bookmarkEnd w:id="739"/>
      <w:bookmarkEnd w:id="740"/>
      <w:bookmarkEnd w:id="741"/>
      <w:bookmarkEnd w:id="742"/>
      <w:bookmarkEnd w:id="743"/>
    </w:p>
    <w:p w14:paraId="3570349C">
      <w:pPr>
        <w:jc w:val="center"/>
        <w:rPr>
          <w:rFonts w:ascii="宋体" w:hAnsi="宋体"/>
          <w:b/>
          <w:sz w:val="24"/>
          <w:szCs w:val="24"/>
        </w:rPr>
      </w:pPr>
    </w:p>
    <w:p w14:paraId="2683700A">
      <w:pPr>
        <w:ind w:left="630"/>
        <w:rPr>
          <w:rFonts w:ascii="宋体" w:hAnsi="宋体"/>
          <w:sz w:val="24"/>
          <w:szCs w:val="24"/>
        </w:rPr>
      </w:pPr>
      <w:r>
        <w:rPr>
          <w:rFonts w:hint="eastAsia" w:ascii="宋体" w:hAnsi="宋体"/>
          <w:sz w:val="24"/>
          <w:szCs w:val="24"/>
        </w:rPr>
        <w:t>（一）投标承诺书（一）（二）</w:t>
      </w:r>
    </w:p>
    <w:p w14:paraId="6BE95651">
      <w:pPr>
        <w:ind w:left="630"/>
        <w:rPr>
          <w:rFonts w:ascii="宋体" w:hAnsi="宋体"/>
          <w:sz w:val="24"/>
          <w:szCs w:val="24"/>
        </w:rPr>
      </w:pPr>
      <w:r>
        <w:rPr>
          <w:rFonts w:hint="eastAsia" w:ascii="宋体" w:hAnsi="宋体"/>
          <w:sz w:val="24"/>
          <w:szCs w:val="24"/>
        </w:rPr>
        <w:t>（二）法定代表人诚信投标承诺书</w:t>
      </w:r>
    </w:p>
    <w:p w14:paraId="3C60A9A6">
      <w:pPr>
        <w:ind w:left="630"/>
        <w:rPr>
          <w:rFonts w:ascii="宋体" w:hAnsi="宋体"/>
          <w:sz w:val="24"/>
          <w:szCs w:val="24"/>
        </w:rPr>
      </w:pPr>
      <w:r>
        <w:rPr>
          <w:rFonts w:hint="eastAsia" w:ascii="宋体" w:hAnsi="宋体"/>
          <w:sz w:val="24"/>
          <w:szCs w:val="24"/>
        </w:rPr>
        <w:t>（三）企业业绩一览表</w:t>
      </w:r>
    </w:p>
    <w:p w14:paraId="6CAC1846">
      <w:pPr>
        <w:ind w:left="630"/>
        <w:rPr>
          <w:rFonts w:ascii="宋体" w:hAnsi="宋体"/>
          <w:sz w:val="24"/>
          <w:szCs w:val="24"/>
        </w:rPr>
      </w:pPr>
      <w:r>
        <w:rPr>
          <w:rFonts w:hint="eastAsia" w:ascii="宋体" w:hAnsi="宋体"/>
          <w:sz w:val="24"/>
          <w:szCs w:val="24"/>
        </w:rPr>
        <w:t>（四）项目团队成员一览表</w:t>
      </w:r>
    </w:p>
    <w:p w14:paraId="156FA5D9">
      <w:pPr>
        <w:ind w:left="630"/>
        <w:rPr>
          <w:rFonts w:ascii="宋体" w:hAnsi="宋体"/>
          <w:sz w:val="24"/>
          <w:szCs w:val="24"/>
        </w:rPr>
      </w:pPr>
      <w:r>
        <w:rPr>
          <w:rFonts w:hint="eastAsia" w:ascii="宋体" w:hAnsi="宋体"/>
          <w:sz w:val="24"/>
          <w:szCs w:val="24"/>
        </w:rPr>
        <w:t>（五）商务条款偏离表</w:t>
      </w:r>
    </w:p>
    <w:p w14:paraId="23372531">
      <w:pPr>
        <w:ind w:left="630"/>
        <w:rPr>
          <w:rFonts w:ascii="宋体" w:hAnsi="宋体"/>
          <w:sz w:val="24"/>
          <w:szCs w:val="24"/>
        </w:rPr>
      </w:pPr>
      <w:r>
        <w:rPr>
          <w:rFonts w:hint="eastAsia" w:ascii="宋体" w:hAnsi="宋体"/>
          <w:sz w:val="24"/>
          <w:szCs w:val="24"/>
        </w:rPr>
        <w:t>（六）技术（服务）条款偏离表</w:t>
      </w:r>
    </w:p>
    <w:p w14:paraId="7A915A42">
      <w:pPr>
        <w:ind w:left="630"/>
        <w:rPr>
          <w:rFonts w:ascii="宋体" w:hAnsi="宋体"/>
          <w:sz w:val="24"/>
          <w:szCs w:val="24"/>
        </w:rPr>
      </w:pPr>
      <w:r>
        <w:rPr>
          <w:rFonts w:hint="eastAsia" w:ascii="宋体" w:hAnsi="宋体"/>
          <w:sz w:val="24"/>
          <w:szCs w:val="24"/>
        </w:rPr>
        <w:t>（七）工程项目售后服务方案</w:t>
      </w:r>
    </w:p>
    <w:p w14:paraId="1497BBD9">
      <w:pPr>
        <w:ind w:left="630"/>
        <w:rPr>
          <w:rFonts w:ascii="宋体" w:hAnsi="宋体"/>
          <w:sz w:val="24"/>
          <w:szCs w:val="24"/>
        </w:rPr>
      </w:pPr>
      <w:r>
        <w:rPr>
          <w:rFonts w:hint="eastAsia" w:ascii="宋体" w:hAnsi="宋体"/>
          <w:sz w:val="24"/>
          <w:szCs w:val="24"/>
        </w:rPr>
        <w:t>（八）施工方案</w:t>
      </w:r>
    </w:p>
    <w:p w14:paraId="5A72EA6B">
      <w:pPr>
        <w:ind w:left="630"/>
        <w:rPr>
          <w:rFonts w:ascii="宋体" w:hAnsi="宋体"/>
          <w:sz w:val="24"/>
          <w:szCs w:val="24"/>
        </w:rPr>
      </w:pPr>
      <w:r>
        <w:rPr>
          <w:rFonts w:hint="eastAsia" w:ascii="宋体" w:hAnsi="宋体"/>
          <w:sz w:val="24"/>
          <w:szCs w:val="24"/>
        </w:rPr>
        <w:t>（九）供应商认为有必要提交的其他材料</w:t>
      </w:r>
    </w:p>
    <w:p w14:paraId="59300B29">
      <w:pPr>
        <w:ind w:left="630"/>
        <w:rPr>
          <w:rFonts w:ascii="宋体" w:hAnsi="宋体"/>
          <w:sz w:val="24"/>
          <w:szCs w:val="24"/>
        </w:rPr>
      </w:pPr>
    </w:p>
    <w:p w14:paraId="6443FA75">
      <w:pPr>
        <w:ind w:left="630"/>
        <w:rPr>
          <w:rFonts w:ascii="宋体" w:hAnsi="宋体"/>
          <w:sz w:val="24"/>
          <w:szCs w:val="24"/>
        </w:rPr>
      </w:pPr>
    </w:p>
    <w:p w14:paraId="19557A2C">
      <w:pPr>
        <w:ind w:left="630"/>
        <w:rPr>
          <w:rFonts w:ascii="宋体" w:hAnsi="宋体"/>
          <w:sz w:val="24"/>
          <w:szCs w:val="24"/>
        </w:rPr>
      </w:pPr>
    </w:p>
    <w:p w14:paraId="56C1FF87">
      <w:pPr>
        <w:ind w:left="630"/>
        <w:rPr>
          <w:rFonts w:ascii="宋体" w:hAnsi="宋体"/>
          <w:sz w:val="24"/>
          <w:szCs w:val="24"/>
        </w:rPr>
      </w:pPr>
      <w:r>
        <w:rPr>
          <w:rFonts w:hint="eastAsia" w:ascii="宋体" w:hAnsi="宋体"/>
          <w:sz w:val="24"/>
          <w:szCs w:val="24"/>
        </w:rPr>
        <w:t xml:space="preserve">  </w:t>
      </w:r>
    </w:p>
    <w:p w14:paraId="3E2631BE">
      <w:pPr>
        <w:ind w:firstLine="630"/>
        <w:rPr>
          <w:rFonts w:ascii="宋体" w:hAnsi="宋体"/>
          <w:sz w:val="24"/>
          <w:szCs w:val="24"/>
        </w:rPr>
      </w:pPr>
    </w:p>
    <w:p w14:paraId="3FE726AB">
      <w:pPr>
        <w:spacing w:line="440" w:lineRule="exact"/>
        <w:jc w:val="center"/>
        <w:rPr>
          <w:rFonts w:ascii="宋体" w:hAnsi="宋体"/>
          <w:sz w:val="24"/>
          <w:szCs w:val="24"/>
        </w:rPr>
      </w:pPr>
      <w:r>
        <w:rPr>
          <w:rFonts w:ascii="宋体" w:hAnsi="宋体"/>
          <w:sz w:val="24"/>
          <w:szCs w:val="24"/>
        </w:rPr>
        <w:br w:type="page"/>
      </w:r>
    </w:p>
    <w:p w14:paraId="36059D21">
      <w:pPr>
        <w:ind w:left="630"/>
        <w:jc w:val="center"/>
        <w:rPr>
          <w:rFonts w:ascii="宋体" w:hAnsi="宋体"/>
          <w:b/>
          <w:sz w:val="24"/>
          <w:szCs w:val="24"/>
        </w:rPr>
      </w:pPr>
      <w:r>
        <w:rPr>
          <w:rFonts w:hint="eastAsia" w:ascii="宋体" w:hAnsi="宋体"/>
          <w:b/>
          <w:sz w:val="24"/>
          <w:szCs w:val="24"/>
        </w:rPr>
        <w:t>（一）投标承诺书（一）</w:t>
      </w:r>
    </w:p>
    <w:p w14:paraId="691A563C">
      <w:pPr>
        <w:spacing w:line="360" w:lineRule="auto"/>
        <w:ind w:left="484" w:leftChars="1" w:hanging="482" w:hangingChars="201"/>
        <w:rPr>
          <w:rFonts w:ascii="宋体" w:hAnsi="宋体"/>
          <w:sz w:val="24"/>
          <w:szCs w:val="24"/>
          <w:u w:val="single"/>
        </w:rPr>
      </w:pPr>
      <w:r>
        <w:rPr>
          <w:rFonts w:hint="eastAsia" w:ascii="宋体" w:hAnsi="宋体"/>
          <w:sz w:val="24"/>
          <w:szCs w:val="24"/>
        </w:rPr>
        <w:t>采购人：</w:t>
      </w:r>
    </w:p>
    <w:p w14:paraId="4C0D0100">
      <w:pPr>
        <w:spacing w:line="360" w:lineRule="auto"/>
        <w:ind w:firstLine="420"/>
        <w:rPr>
          <w:rFonts w:ascii="宋体" w:hAnsi="宋体"/>
          <w:sz w:val="24"/>
          <w:szCs w:val="24"/>
        </w:rPr>
      </w:pPr>
      <w:r>
        <w:rPr>
          <w:rFonts w:hint="eastAsia" w:ascii="宋体" w:hAnsi="宋体"/>
          <w:sz w:val="24"/>
          <w:szCs w:val="24"/>
        </w:rPr>
        <w:t>1、根据已收到</w:t>
      </w:r>
      <w:r>
        <w:rPr>
          <w:rFonts w:hint="eastAsia" w:ascii="宋体" w:hAnsi="宋体"/>
          <w:sz w:val="24"/>
          <w:szCs w:val="24"/>
          <w:u w:val="single"/>
        </w:rPr>
        <w:t xml:space="preserve"> </w:t>
      </w:r>
      <w:r>
        <w:rPr>
          <w:rFonts w:hint="eastAsia" w:ascii="宋体" w:hAnsi="宋体"/>
          <w:sz w:val="24"/>
          <w:szCs w:val="24"/>
          <w:u w:val="single"/>
          <w:lang w:eastAsia="zh-CN"/>
        </w:rPr>
        <w:t>乌鲁木齐市天山区教育局碱泉街幼儿园工程-10KV配电工程</w:t>
      </w:r>
      <w:r>
        <w:rPr>
          <w:rFonts w:hint="eastAsia" w:ascii="宋体" w:hAnsi="宋体"/>
          <w:sz w:val="24"/>
          <w:szCs w:val="24"/>
          <w:u w:val="single"/>
        </w:rPr>
        <w:t xml:space="preserve"> </w:t>
      </w:r>
      <w:r>
        <w:rPr>
          <w:rFonts w:hint="eastAsia" w:ascii="宋体" w:hAnsi="宋体"/>
          <w:sz w:val="24"/>
          <w:szCs w:val="24"/>
        </w:rPr>
        <w:t>的工程的采购文件，我单位经考察现场和研究贵方的采购文件后，将接受该工程采购文件中各条款内容并且以响应文件中所报投标价格承包本采购范围内的工程。</w:t>
      </w:r>
    </w:p>
    <w:p w14:paraId="5FFAD409">
      <w:pPr>
        <w:spacing w:line="360" w:lineRule="auto"/>
        <w:ind w:firstLine="420"/>
        <w:rPr>
          <w:rFonts w:ascii="宋体" w:hAnsi="宋体"/>
          <w:sz w:val="24"/>
          <w:szCs w:val="24"/>
        </w:rPr>
      </w:pPr>
      <w:r>
        <w:rPr>
          <w:rFonts w:hint="eastAsia" w:ascii="宋体" w:hAnsi="宋体"/>
          <w:sz w:val="24"/>
          <w:szCs w:val="24"/>
        </w:rPr>
        <w:t>2、如果我方成交，非业主原因，我方保证将在下列日期内组织施工。</w:t>
      </w:r>
    </w:p>
    <w:p w14:paraId="5A33D94F">
      <w:pPr>
        <w:spacing w:line="360" w:lineRule="auto"/>
        <w:ind w:firstLine="480" w:firstLineChars="200"/>
        <w:rPr>
          <w:rFonts w:asciiTheme="minorEastAsia" w:hAnsiTheme="minorEastAsia"/>
          <w:sz w:val="24"/>
          <w:szCs w:val="24"/>
          <w:u w:val="single"/>
        </w:rPr>
      </w:pPr>
      <w:r>
        <w:rPr>
          <w:rFonts w:hint="eastAsia" w:ascii="宋体" w:hAnsi="宋体"/>
          <w:sz w:val="24"/>
          <w:szCs w:val="24"/>
        </w:rPr>
        <w:t>工期要求：自合同签订，分别满足进场条件后，</w:t>
      </w:r>
      <w:r>
        <w:rPr>
          <w:rFonts w:hint="eastAsia" w:ascii="宋体" w:hAnsi="宋体"/>
          <w:sz w:val="24"/>
          <w:szCs w:val="24"/>
          <w:u w:val="single"/>
        </w:rPr>
        <w:t xml:space="preserve">   </w:t>
      </w:r>
      <w:r>
        <w:rPr>
          <w:rFonts w:hint="eastAsia" w:ascii="宋体" w:hAnsi="宋体"/>
          <w:sz w:val="24"/>
          <w:szCs w:val="24"/>
        </w:rPr>
        <w:t xml:space="preserve"> 个日历日内完成（其中临时用电</w:t>
      </w:r>
      <w:r>
        <w:rPr>
          <w:rFonts w:hint="eastAsia" w:ascii="宋体" w:hAnsi="宋体"/>
          <w:sz w:val="24"/>
          <w:szCs w:val="24"/>
          <w:u w:val="single"/>
        </w:rPr>
        <w:t xml:space="preserve">   </w:t>
      </w:r>
      <w:r>
        <w:rPr>
          <w:rFonts w:hint="eastAsia" w:ascii="宋体" w:hAnsi="宋体"/>
          <w:sz w:val="24"/>
          <w:szCs w:val="24"/>
        </w:rPr>
        <w:t xml:space="preserve"> 个日历日内完成；正式用电</w:t>
      </w:r>
      <w:r>
        <w:rPr>
          <w:rFonts w:hint="eastAsia" w:ascii="宋体" w:hAnsi="宋体"/>
          <w:sz w:val="24"/>
          <w:szCs w:val="24"/>
          <w:u w:val="single"/>
        </w:rPr>
        <w:t xml:space="preserve">   </w:t>
      </w:r>
      <w:r>
        <w:rPr>
          <w:rFonts w:hint="eastAsia" w:ascii="宋体" w:hAnsi="宋体"/>
          <w:sz w:val="24"/>
          <w:szCs w:val="24"/>
        </w:rPr>
        <w:t xml:space="preserve"> 个日历日内完成）。</w:t>
      </w:r>
    </w:p>
    <w:p w14:paraId="702F9444">
      <w:pPr>
        <w:spacing w:line="360" w:lineRule="auto"/>
        <w:ind w:firstLine="480" w:firstLineChars="200"/>
        <w:rPr>
          <w:rFonts w:ascii="宋体" w:hAnsi="宋体"/>
          <w:sz w:val="24"/>
          <w:szCs w:val="24"/>
        </w:rPr>
      </w:pPr>
      <w:r>
        <w:rPr>
          <w:rFonts w:hint="eastAsia" w:ascii="宋体" w:hAnsi="宋体"/>
          <w:sz w:val="24"/>
          <w:szCs w:val="24"/>
        </w:rPr>
        <w:t>3、如果我方成交，非业主原因，我方保证将按下列质量等级完成本工程。</w:t>
      </w:r>
    </w:p>
    <w:p w14:paraId="420D1F01">
      <w:pPr>
        <w:spacing w:line="360" w:lineRule="auto"/>
        <w:ind w:firstLine="480" w:firstLineChars="200"/>
        <w:rPr>
          <w:rFonts w:ascii="宋体" w:hAnsi="宋体"/>
          <w:sz w:val="24"/>
          <w:szCs w:val="24"/>
          <w:u w:val="single"/>
        </w:rPr>
      </w:pPr>
      <w:r>
        <w:rPr>
          <w:rFonts w:hint="eastAsia" w:ascii="宋体" w:hAnsi="宋体"/>
          <w:sz w:val="24"/>
          <w:szCs w:val="24"/>
        </w:rPr>
        <w:t>质量等级：</w:t>
      </w:r>
      <w:r>
        <w:rPr>
          <w:rFonts w:hint="eastAsia" w:ascii="宋体" w:hAnsi="宋体"/>
          <w:sz w:val="24"/>
          <w:szCs w:val="24"/>
          <w:u w:val="single"/>
        </w:rPr>
        <w:t>合格</w:t>
      </w:r>
    </w:p>
    <w:p w14:paraId="3370C7AB">
      <w:pPr>
        <w:spacing w:line="360" w:lineRule="auto"/>
        <w:ind w:firstLine="420"/>
        <w:rPr>
          <w:rFonts w:ascii="宋体" w:hAnsi="宋体"/>
          <w:sz w:val="24"/>
          <w:szCs w:val="24"/>
        </w:rPr>
      </w:pPr>
      <w:r>
        <w:rPr>
          <w:rFonts w:hint="eastAsia" w:ascii="宋体" w:hAnsi="宋体"/>
          <w:sz w:val="24"/>
          <w:szCs w:val="24"/>
        </w:rPr>
        <w:t>4、如果我方成交，我方将按采购文件规定的时间内签订承包合同。如果我方违约，除磋商保证金外，我方还将以成交价</w:t>
      </w:r>
      <w:r>
        <w:rPr>
          <w:rFonts w:hint="eastAsia" w:ascii="宋体" w:hAnsi="宋体"/>
          <w:sz w:val="24"/>
          <w:szCs w:val="24"/>
          <w:u w:val="single"/>
        </w:rPr>
        <w:t xml:space="preserve">   </w:t>
      </w:r>
      <w:r>
        <w:rPr>
          <w:rFonts w:hint="eastAsia" w:ascii="宋体" w:hAnsi="宋体"/>
          <w:sz w:val="24"/>
          <w:szCs w:val="24"/>
        </w:rPr>
        <w:t xml:space="preserve"> %作为赔偿金，同时贵方有权终止我方成交并选择其它成交人候选人。</w:t>
      </w:r>
    </w:p>
    <w:p w14:paraId="245BB6C8">
      <w:pPr>
        <w:spacing w:line="360" w:lineRule="auto"/>
        <w:ind w:firstLine="420"/>
        <w:rPr>
          <w:rFonts w:ascii="宋体" w:hAnsi="宋体"/>
          <w:sz w:val="24"/>
          <w:szCs w:val="24"/>
        </w:rPr>
      </w:pPr>
      <w:r>
        <w:rPr>
          <w:rFonts w:hint="eastAsia" w:ascii="宋体" w:hAnsi="宋体"/>
          <w:sz w:val="24"/>
          <w:szCs w:val="24"/>
        </w:rPr>
        <w:t>5、贵方的采购文件、成交通知书、我方的响应文件将构成约束双方的合同一部分。</w:t>
      </w:r>
    </w:p>
    <w:p w14:paraId="2AA37971">
      <w:pPr>
        <w:spacing w:line="360" w:lineRule="auto"/>
        <w:ind w:firstLine="420"/>
        <w:rPr>
          <w:rFonts w:ascii="宋体" w:hAnsi="宋体"/>
          <w:sz w:val="24"/>
          <w:szCs w:val="24"/>
        </w:rPr>
      </w:pPr>
      <w:r>
        <w:rPr>
          <w:rFonts w:hint="eastAsia" w:ascii="宋体" w:hAnsi="宋体"/>
          <w:sz w:val="24"/>
          <w:szCs w:val="24"/>
        </w:rPr>
        <w:t>6、如果我方未成交，贵方没有必要对我方做出任何解释和说明，我方将充分尊重和理解贵方的选择。</w:t>
      </w:r>
    </w:p>
    <w:p w14:paraId="1FFBC486">
      <w:pPr>
        <w:rPr>
          <w:rFonts w:ascii="宋体" w:hAnsi="宋体"/>
          <w:sz w:val="24"/>
          <w:szCs w:val="24"/>
        </w:rPr>
      </w:pPr>
    </w:p>
    <w:p w14:paraId="1565DE26">
      <w:pPr>
        <w:rPr>
          <w:rFonts w:ascii="宋体" w:hAnsi="宋体"/>
          <w:sz w:val="24"/>
          <w:szCs w:val="24"/>
        </w:rPr>
      </w:pPr>
    </w:p>
    <w:p w14:paraId="3FF1434B">
      <w:pPr>
        <w:rPr>
          <w:rFonts w:ascii="宋体" w:hAnsi="宋体"/>
          <w:sz w:val="24"/>
          <w:szCs w:val="24"/>
        </w:rPr>
      </w:pPr>
    </w:p>
    <w:p w14:paraId="0304CFAE">
      <w:pPr>
        <w:rPr>
          <w:rFonts w:ascii="宋体" w:hAnsi="宋体"/>
          <w:sz w:val="24"/>
          <w:szCs w:val="24"/>
        </w:rPr>
      </w:pPr>
    </w:p>
    <w:p w14:paraId="5098EEE5">
      <w:pPr>
        <w:rPr>
          <w:rFonts w:ascii="宋体" w:hAnsi="宋体"/>
          <w:sz w:val="24"/>
          <w:szCs w:val="24"/>
        </w:rPr>
      </w:pPr>
    </w:p>
    <w:p w14:paraId="756487D6">
      <w:pPr>
        <w:rPr>
          <w:rFonts w:ascii="宋体" w:hAnsi="宋体"/>
          <w:sz w:val="24"/>
          <w:szCs w:val="24"/>
        </w:rPr>
      </w:pPr>
    </w:p>
    <w:p w14:paraId="2F57B8B1">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4DC38789">
      <w:pPr>
        <w:spacing w:line="500" w:lineRule="exact"/>
        <w:ind w:firstLine="480" w:firstLineChars="200"/>
        <w:rPr>
          <w:rFonts w:ascii="宋体" w:hAnsi="宋体"/>
          <w:sz w:val="24"/>
          <w:szCs w:val="24"/>
        </w:rPr>
      </w:pPr>
      <w:r>
        <w:rPr>
          <w:rFonts w:hint="eastAsia" w:cs="仿宋" w:asciiTheme="minorEastAsia" w:hAnsiTheme="minorEastAsia"/>
          <w:sz w:val="24"/>
          <w:szCs w:val="24"/>
        </w:rPr>
        <w:t>法定代表人或授权代理人(签字或盖章)：</w:t>
      </w:r>
    </w:p>
    <w:p w14:paraId="4258F5DA">
      <w:pPr>
        <w:rPr>
          <w:rFonts w:ascii="宋体" w:hAnsi="宋体"/>
          <w:sz w:val="24"/>
          <w:szCs w:val="24"/>
        </w:rPr>
      </w:pPr>
    </w:p>
    <w:p w14:paraId="436AF5CA">
      <w:pPr>
        <w:rPr>
          <w:rFonts w:ascii="宋体" w:hAnsi="宋体"/>
          <w:sz w:val="24"/>
          <w:szCs w:val="24"/>
        </w:rPr>
      </w:pPr>
    </w:p>
    <w:p w14:paraId="7D4E1E69">
      <w:pPr>
        <w:rPr>
          <w:rFonts w:ascii="宋体" w:hAnsi="宋体"/>
          <w:sz w:val="24"/>
          <w:szCs w:val="24"/>
        </w:rPr>
      </w:pPr>
    </w:p>
    <w:p w14:paraId="14F8763B">
      <w:pPr>
        <w:wordWrap w:val="0"/>
        <w:jc w:val="right"/>
        <w:rPr>
          <w:rFonts w:ascii="宋体" w:hAnsi="宋体"/>
          <w:sz w:val="24"/>
          <w:szCs w:val="24"/>
        </w:rPr>
      </w:pPr>
      <w:r>
        <w:rPr>
          <w:rFonts w:hint="eastAsia" w:ascii="宋体" w:hAnsi="宋体"/>
          <w:sz w:val="24"/>
          <w:szCs w:val="24"/>
        </w:rPr>
        <w:t>日期：   年   月   日</w:t>
      </w:r>
    </w:p>
    <w:p w14:paraId="4571FCB3">
      <w:pPr>
        <w:ind w:left="630"/>
        <w:rPr>
          <w:rFonts w:ascii="宋体" w:hAnsi="宋体"/>
          <w:sz w:val="24"/>
          <w:szCs w:val="24"/>
        </w:rPr>
      </w:pPr>
    </w:p>
    <w:p w14:paraId="7A2C26F3">
      <w:pPr>
        <w:ind w:left="630"/>
        <w:rPr>
          <w:rFonts w:ascii="宋体" w:hAnsi="宋体"/>
          <w:sz w:val="24"/>
          <w:szCs w:val="24"/>
        </w:rPr>
      </w:pPr>
    </w:p>
    <w:p w14:paraId="72082B89">
      <w:pPr>
        <w:ind w:left="630"/>
        <w:rPr>
          <w:rFonts w:ascii="宋体" w:hAnsi="宋体"/>
          <w:sz w:val="24"/>
          <w:szCs w:val="24"/>
        </w:rPr>
      </w:pPr>
    </w:p>
    <w:p w14:paraId="704A7BE6">
      <w:pPr>
        <w:ind w:left="630"/>
        <w:rPr>
          <w:rFonts w:ascii="宋体" w:hAnsi="宋体"/>
          <w:sz w:val="24"/>
          <w:szCs w:val="24"/>
        </w:rPr>
      </w:pPr>
    </w:p>
    <w:p w14:paraId="63A1C9C3">
      <w:pPr>
        <w:ind w:left="630"/>
        <w:rPr>
          <w:rFonts w:ascii="宋体" w:hAnsi="宋体"/>
          <w:sz w:val="24"/>
          <w:szCs w:val="24"/>
        </w:rPr>
      </w:pPr>
    </w:p>
    <w:p w14:paraId="43CA26DC">
      <w:pPr>
        <w:ind w:left="630"/>
        <w:rPr>
          <w:rFonts w:ascii="宋体" w:hAnsi="宋体"/>
          <w:sz w:val="24"/>
          <w:szCs w:val="24"/>
        </w:rPr>
      </w:pPr>
    </w:p>
    <w:p w14:paraId="25DA08A8">
      <w:pPr>
        <w:ind w:left="630"/>
        <w:rPr>
          <w:rFonts w:ascii="宋体" w:hAnsi="宋体"/>
          <w:sz w:val="24"/>
          <w:szCs w:val="24"/>
        </w:rPr>
      </w:pPr>
    </w:p>
    <w:p w14:paraId="5A298108">
      <w:pPr>
        <w:ind w:left="630"/>
        <w:rPr>
          <w:rFonts w:ascii="宋体" w:hAnsi="宋体"/>
          <w:sz w:val="24"/>
          <w:szCs w:val="24"/>
        </w:rPr>
      </w:pPr>
    </w:p>
    <w:p w14:paraId="338D1BA9">
      <w:pPr>
        <w:widowControl/>
        <w:jc w:val="left"/>
        <w:rPr>
          <w:rFonts w:ascii="宋体" w:hAnsi="宋体"/>
          <w:sz w:val="24"/>
          <w:szCs w:val="24"/>
        </w:rPr>
      </w:pPr>
      <w:r>
        <w:rPr>
          <w:rFonts w:ascii="宋体" w:hAnsi="宋体"/>
          <w:sz w:val="24"/>
          <w:szCs w:val="24"/>
        </w:rPr>
        <w:br w:type="page"/>
      </w:r>
    </w:p>
    <w:p w14:paraId="650938C0">
      <w:pPr>
        <w:ind w:left="630"/>
        <w:rPr>
          <w:rFonts w:ascii="宋体" w:hAnsi="宋体"/>
          <w:sz w:val="24"/>
          <w:szCs w:val="24"/>
        </w:rPr>
      </w:pPr>
    </w:p>
    <w:p w14:paraId="40E655D3">
      <w:pPr>
        <w:ind w:left="630"/>
        <w:jc w:val="center"/>
        <w:rPr>
          <w:rFonts w:ascii="宋体" w:hAnsi="宋体"/>
          <w:b/>
          <w:sz w:val="24"/>
          <w:szCs w:val="24"/>
        </w:rPr>
      </w:pPr>
      <w:r>
        <w:rPr>
          <w:rFonts w:hint="eastAsia" w:ascii="宋体" w:hAnsi="宋体"/>
          <w:b/>
          <w:sz w:val="24"/>
          <w:szCs w:val="24"/>
        </w:rPr>
        <w:t>投标承诺书（二）</w:t>
      </w:r>
    </w:p>
    <w:p w14:paraId="239927F2">
      <w:pPr>
        <w:spacing w:line="360" w:lineRule="auto"/>
        <w:ind w:left="499" w:leftChars="-49" w:hanging="602" w:hangingChars="251"/>
        <w:rPr>
          <w:rFonts w:ascii="宋体" w:hAnsi="宋体"/>
          <w:sz w:val="24"/>
          <w:szCs w:val="24"/>
          <w:u w:val="single"/>
        </w:rPr>
      </w:pPr>
      <w:r>
        <w:rPr>
          <w:rFonts w:hint="eastAsia" w:ascii="宋体" w:hAnsi="宋体"/>
          <w:sz w:val="24"/>
          <w:szCs w:val="24"/>
        </w:rPr>
        <w:t>采购人：</w:t>
      </w:r>
    </w:p>
    <w:p w14:paraId="2FBCEF99">
      <w:pPr>
        <w:spacing w:line="360" w:lineRule="auto"/>
        <w:ind w:left="424" w:leftChars="202"/>
        <w:rPr>
          <w:rFonts w:ascii="宋体" w:hAnsi="宋体"/>
          <w:sz w:val="24"/>
          <w:szCs w:val="24"/>
          <w:u w:val="single"/>
        </w:rPr>
      </w:pPr>
    </w:p>
    <w:p w14:paraId="1261BBA6">
      <w:pPr>
        <w:spacing w:line="360" w:lineRule="auto"/>
        <w:ind w:left="424" w:leftChars="202"/>
        <w:rPr>
          <w:rFonts w:ascii="宋体" w:hAnsi="宋体"/>
          <w:sz w:val="24"/>
          <w:szCs w:val="24"/>
        </w:rPr>
      </w:pPr>
      <w:r>
        <w:rPr>
          <w:rFonts w:hint="eastAsia" w:ascii="宋体" w:hAnsi="宋体"/>
          <w:sz w:val="24"/>
          <w:szCs w:val="24"/>
        </w:rPr>
        <w:t>如果我方成交，施工项目负责人为：</w:t>
      </w:r>
    </w:p>
    <w:p w14:paraId="2B136832">
      <w:pPr>
        <w:spacing w:line="360" w:lineRule="auto"/>
        <w:ind w:left="424" w:leftChars="202"/>
        <w:rPr>
          <w:rFonts w:ascii="宋体" w:hAnsi="宋体"/>
          <w:sz w:val="24"/>
          <w:szCs w:val="24"/>
        </w:rPr>
      </w:pPr>
    </w:p>
    <w:tbl>
      <w:tblPr>
        <w:tblStyle w:val="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5"/>
        <w:gridCol w:w="2390"/>
        <w:gridCol w:w="2396"/>
        <w:gridCol w:w="2390"/>
      </w:tblGrid>
      <w:tr w14:paraId="65E78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trPr>
        <w:tc>
          <w:tcPr>
            <w:tcW w:w="2395" w:type="dxa"/>
          </w:tcPr>
          <w:p w14:paraId="0AF6F900">
            <w:pPr>
              <w:rPr>
                <w:rFonts w:ascii="宋体" w:hAnsi="宋体"/>
                <w:sz w:val="24"/>
                <w:szCs w:val="24"/>
              </w:rPr>
            </w:pPr>
            <w:r>
              <w:rPr>
                <w:rFonts w:hint="eastAsia" w:ascii="宋体" w:hAnsi="宋体"/>
                <w:sz w:val="24"/>
                <w:szCs w:val="24"/>
              </w:rPr>
              <w:t>姓名</w:t>
            </w:r>
          </w:p>
        </w:tc>
        <w:tc>
          <w:tcPr>
            <w:tcW w:w="2390" w:type="dxa"/>
          </w:tcPr>
          <w:p w14:paraId="4302BAAA">
            <w:pPr>
              <w:rPr>
                <w:rFonts w:ascii="宋体" w:hAnsi="宋体"/>
                <w:sz w:val="24"/>
                <w:szCs w:val="24"/>
              </w:rPr>
            </w:pPr>
          </w:p>
        </w:tc>
        <w:tc>
          <w:tcPr>
            <w:tcW w:w="2396" w:type="dxa"/>
          </w:tcPr>
          <w:p w14:paraId="65627227">
            <w:pPr>
              <w:rPr>
                <w:rFonts w:ascii="宋体" w:hAnsi="宋体"/>
                <w:sz w:val="24"/>
                <w:szCs w:val="24"/>
              </w:rPr>
            </w:pPr>
            <w:r>
              <w:rPr>
                <w:rFonts w:hint="eastAsia" w:ascii="宋体" w:hAnsi="宋体"/>
                <w:sz w:val="24"/>
                <w:szCs w:val="24"/>
              </w:rPr>
              <w:t>职称</w:t>
            </w:r>
          </w:p>
        </w:tc>
        <w:tc>
          <w:tcPr>
            <w:tcW w:w="2390" w:type="dxa"/>
          </w:tcPr>
          <w:p w14:paraId="3944E0A2">
            <w:pPr>
              <w:rPr>
                <w:rFonts w:ascii="宋体" w:hAnsi="宋体"/>
                <w:sz w:val="24"/>
                <w:szCs w:val="24"/>
              </w:rPr>
            </w:pPr>
          </w:p>
        </w:tc>
      </w:tr>
      <w:tr w14:paraId="75D9A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2395" w:type="dxa"/>
          </w:tcPr>
          <w:p w14:paraId="4651FC54">
            <w:pPr>
              <w:rPr>
                <w:rFonts w:ascii="宋体" w:hAnsi="宋体"/>
                <w:sz w:val="24"/>
                <w:szCs w:val="24"/>
              </w:rPr>
            </w:pPr>
            <w:r>
              <w:rPr>
                <w:rFonts w:hint="eastAsia" w:ascii="宋体" w:hAnsi="宋体"/>
                <w:sz w:val="24"/>
                <w:szCs w:val="24"/>
              </w:rPr>
              <w:t>项目负责人等级</w:t>
            </w:r>
          </w:p>
        </w:tc>
        <w:tc>
          <w:tcPr>
            <w:tcW w:w="2390" w:type="dxa"/>
          </w:tcPr>
          <w:p w14:paraId="7D401CEB">
            <w:pPr>
              <w:rPr>
                <w:rFonts w:ascii="宋体" w:hAnsi="宋体"/>
                <w:sz w:val="24"/>
                <w:szCs w:val="24"/>
              </w:rPr>
            </w:pPr>
          </w:p>
        </w:tc>
        <w:tc>
          <w:tcPr>
            <w:tcW w:w="2396" w:type="dxa"/>
          </w:tcPr>
          <w:p w14:paraId="6FA4C567">
            <w:pPr>
              <w:rPr>
                <w:rFonts w:ascii="宋体" w:hAnsi="宋体"/>
                <w:sz w:val="24"/>
                <w:szCs w:val="24"/>
              </w:rPr>
            </w:pPr>
            <w:r>
              <w:rPr>
                <w:rFonts w:hint="eastAsia" w:ascii="宋体" w:hAnsi="宋体"/>
                <w:sz w:val="24"/>
                <w:szCs w:val="24"/>
              </w:rPr>
              <w:t>证书编号</w:t>
            </w:r>
          </w:p>
        </w:tc>
        <w:tc>
          <w:tcPr>
            <w:tcW w:w="2390" w:type="dxa"/>
          </w:tcPr>
          <w:p w14:paraId="399A8D1A">
            <w:pPr>
              <w:rPr>
                <w:rFonts w:ascii="宋体" w:hAnsi="宋体"/>
                <w:sz w:val="24"/>
                <w:szCs w:val="24"/>
              </w:rPr>
            </w:pPr>
          </w:p>
        </w:tc>
      </w:tr>
      <w:tr w14:paraId="29CF33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60" w:hRule="atLeast"/>
        </w:trPr>
        <w:tc>
          <w:tcPr>
            <w:tcW w:w="2395" w:type="dxa"/>
          </w:tcPr>
          <w:p w14:paraId="59EDB4E6">
            <w:pPr>
              <w:rPr>
                <w:rFonts w:ascii="宋体" w:hAnsi="宋体"/>
                <w:sz w:val="24"/>
                <w:szCs w:val="24"/>
              </w:rPr>
            </w:pPr>
            <w:r>
              <w:rPr>
                <w:rFonts w:hint="eastAsia" w:ascii="宋体" w:hAnsi="宋体"/>
                <w:sz w:val="24"/>
                <w:szCs w:val="24"/>
              </w:rPr>
              <w:t>身份证号码</w:t>
            </w:r>
          </w:p>
        </w:tc>
        <w:tc>
          <w:tcPr>
            <w:tcW w:w="7176" w:type="dxa"/>
            <w:gridSpan w:val="3"/>
          </w:tcPr>
          <w:p w14:paraId="444F6A80">
            <w:pPr>
              <w:rPr>
                <w:rFonts w:ascii="宋体" w:hAnsi="宋体"/>
                <w:sz w:val="24"/>
                <w:szCs w:val="24"/>
              </w:rPr>
            </w:pPr>
          </w:p>
        </w:tc>
      </w:tr>
    </w:tbl>
    <w:p w14:paraId="05D09154">
      <w:pPr>
        <w:rPr>
          <w:rFonts w:ascii="宋体" w:hAnsi="宋体"/>
          <w:sz w:val="24"/>
          <w:szCs w:val="24"/>
        </w:rPr>
      </w:pPr>
    </w:p>
    <w:p w14:paraId="5501219E">
      <w:pPr>
        <w:ind w:firstLine="480" w:firstLineChars="200"/>
        <w:rPr>
          <w:rFonts w:ascii="宋体" w:hAnsi="宋体"/>
          <w:sz w:val="24"/>
          <w:szCs w:val="24"/>
          <w:u w:val="single"/>
        </w:rPr>
      </w:pPr>
      <w:r>
        <w:rPr>
          <w:rFonts w:hint="eastAsia" w:ascii="宋体" w:hAnsi="宋体"/>
          <w:sz w:val="24"/>
          <w:szCs w:val="24"/>
        </w:rPr>
        <w:t>成交后，若由于特殊原因须更换施工项目负责人时，我方将以资质、业绩以及信誉不低于此项目经理的人员替换，并报业主审查。经审查通过后，方可更换。若未经业主批准，我方擅自更换施工项目负责人，我方愿以合同价的1%作为赔偿金。</w:t>
      </w:r>
    </w:p>
    <w:p w14:paraId="591ACC64">
      <w:pPr>
        <w:rPr>
          <w:rFonts w:ascii="宋体" w:hAnsi="宋体"/>
          <w:sz w:val="24"/>
          <w:szCs w:val="24"/>
        </w:rPr>
      </w:pPr>
    </w:p>
    <w:p w14:paraId="5BDEB164">
      <w:pPr>
        <w:rPr>
          <w:rFonts w:ascii="宋体" w:hAnsi="宋体" w:cs="宋体"/>
          <w:sz w:val="24"/>
          <w:szCs w:val="24"/>
        </w:rPr>
      </w:pPr>
      <w:r>
        <w:rPr>
          <w:rFonts w:ascii="宋体" w:hAnsi="宋体" w:cs="宋体"/>
          <w:sz w:val="24"/>
          <w:szCs w:val="24"/>
        </w:rPr>
        <mc:AlternateContent>
          <mc:Choice Requires="wps">
            <w:drawing>
              <wp:anchor distT="0" distB="0" distL="114300" distR="114300" simplePos="0" relativeHeight="251660288" behindDoc="0" locked="0" layoutInCell="1" allowOverlap="1">
                <wp:simplePos x="0" y="0"/>
                <wp:positionH relativeFrom="column">
                  <wp:posOffset>2760980</wp:posOffset>
                </wp:positionH>
                <wp:positionV relativeFrom="paragraph">
                  <wp:posOffset>149225</wp:posOffset>
                </wp:positionV>
                <wp:extent cx="2583815" cy="1704340"/>
                <wp:effectExtent l="0" t="0" r="0" b="0"/>
                <wp:wrapNone/>
                <wp:docPr id="5" name="Text Box 5"/>
                <wp:cNvGraphicFramePr/>
                <a:graphic xmlns:a="http://schemas.openxmlformats.org/drawingml/2006/main">
                  <a:graphicData uri="http://schemas.microsoft.com/office/word/2010/wordprocessingShape">
                    <wps:wsp>
                      <wps:cNvSpPr txBox="1">
                        <a:spLocks noChangeArrowheads="1"/>
                      </wps:cNvSpPr>
                      <wps:spPr bwMode="auto">
                        <a:xfrm>
                          <a:off x="0" y="0"/>
                          <a:ext cx="2583815" cy="1704340"/>
                        </a:xfrm>
                        <a:prstGeom prst="rect">
                          <a:avLst/>
                        </a:prstGeom>
                        <a:solidFill>
                          <a:srgbClr val="FFFFFF"/>
                        </a:solidFill>
                        <a:ln w="9525" cap="rnd">
                          <a:solidFill>
                            <a:srgbClr val="000000"/>
                          </a:solidFill>
                          <a:prstDash val="sysDot"/>
                          <a:miter lim="800000"/>
                        </a:ln>
                        <a:effectLst/>
                      </wps:spPr>
                      <wps:txbx>
                        <w:txbxContent>
                          <w:p w14:paraId="1EF8AD9B">
                            <w:pPr>
                              <w:jc w:val="center"/>
                              <w:rPr>
                                <w:rFonts w:ascii="宋体" w:hAnsi="宋体"/>
                                <w:sz w:val="24"/>
                              </w:rPr>
                            </w:pPr>
                          </w:p>
                          <w:p w14:paraId="7B24F58D">
                            <w:pPr>
                              <w:jc w:val="center"/>
                              <w:rPr>
                                <w:rFonts w:ascii="宋体" w:hAnsi="宋体"/>
                                <w:sz w:val="24"/>
                              </w:rPr>
                            </w:pPr>
                          </w:p>
                          <w:p w14:paraId="0154C895">
                            <w:pPr>
                              <w:jc w:val="center"/>
                              <w:rPr>
                                <w:rFonts w:ascii="宋体" w:hAnsi="宋体"/>
                                <w:sz w:val="24"/>
                              </w:rPr>
                            </w:pPr>
                          </w:p>
                          <w:p w14:paraId="1F536996">
                            <w:pPr>
                              <w:jc w:val="center"/>
                              <w:rPr>
                                <w:rFonts w:ascii="宋体" w:hAnsi="宋体"/>
                                <w:szCs w:val="21"/>
                              </w:rPr>
                            </w:pPr>
                            <w:r>
                              <w:rPr>
                                <w:rFonts w:hint="eastAsia" w:ascii="宋体" w:hAnsi="宋体"/>
                                <w:szCs w:val="21"/>
                              </w:rPr>
                              <w:t>项目负责人身份证复印件（反面）</w:t>
                            </w:r>
                          </w:p>
                        </w:txbxContent>
                      </wps:txbx>
                      <wps:bodyPr rot="0" vert="horz" wrap="square" lIns="91440" tIns="45720" rIns="91440" bIns="45720" anchor="t" anchorCtr="0" upright="1">
                        <a:noAutofit/>
                      </wps:bodyPr>
                    </wps:wsp>
                  </a:graphicData>
                </a:graphic>
              </wp:anchor>
            </w:drawing>
          </mc:Choice>
          <mc:Fallback>
            <w:pict>
              <v:shape id="Text Box 5" o:spid="_x0000_s1026" o:spt="202" type="#_x0000_t202" style="position:absolute;left:0pt;margin-left:217.4pt;margin-top:11.75pt;height:134.2pt;width:203.45pt;z-index:251660288;mso-width-relative:page;mso-height-relative:page;" fillcolor="#FFFFFF" filled="t" stroked="t" coordsize="21600,21600" o:gfxdata="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AAAAAGRycy9QSwECFAAUAAAACACHTuJAir4+CtsAAAAKAQAADwAA&#10;AAAAAAABACAAAAAiAAAAZHJzL2Rvd25yZXYueG1sUEsBAhQAFAAAAAgAh07iQP0gd+tMAgAAuQQA&#10;AA4AAAAAAAAAAQAgAAAAKgEAAGRycy9lMm9Eb2MueG1sUEsFBgAAAAAGAAYAWQEAAOgFAAAAAA==&#10;">
                <v:fill on="t" focussize="0,0"/>
                <v:stroke color="#000000" miterlimit="8" joinstyle="miter" dashstyle="1 1" endcap="round"/>
                <v:imagedata o:title=""/>
                <o:lock v:ext="edit" aspectratio="f"/>
                <v:textbox>
                  <w:txbxContent>
                    <w:p w14:paraId="1EF8AD9B">
                      <w:pPr>
                        <w:jc w:val="center"/>
                        <w:rPr>
                          <w:rFonts w:ascii="宋体" w:hAnsi="宋体"/>
                          <w:sz w:val="24"/>
                        </w:rPr>
                      </w:pPr>
                    </w:p>
                    <w:p w14:paraId="7B24F58D">
                      <w:pPr>
                        <w:jc w:val="center"/>
                        <w:rPr>
                          <w:rFonts w:ascii="宋体" w:hAnsi="宋体"/>
                          <w:sz w:val="24"/>
                        </w:rPr>
                      </w:pPr>
                    </w:p>
                    <w:p w14:paraId="0154C895">
                      <w:pPr>
                        <w:jc w:val="center"/>
                        <w:rPr>
                          <w:rFonts w:ascii="宋体" w:hAnsi="宋体"/>
                          <w:sz w:val="24"/>
                        </w:rPr>
                      </w:pPr>
                    </w:p>
                    <w:p w14:paraId="1F536996">
                      <w:pPr>
                        <w:jc w:val="center"/>
                        <w:rPr>
                          <w:rFonts w:ascii="宋体" w:hAnsi="宋体"/>
                          <w:szCs w:val="21"/>
                        </w:rPr>
                      </w:pPr>
                      <w:r>
                        <w:rPr>
                          <w:rFonts w:hint="eastAsia" w:ascii="宋体" w:hAnsi="宋体"/>
                          <w:szCs w:val="21"/>
                        </w:rPr>
                        <w:t>项目负责人身份证复印件（反面）</w:t>
                      </w:r>
                    </w:p>
                  </w:txbxContent>
                </v:textbox>
              </v:shape>
            </w:pict>
          </mc:Fallback>
        </mc:AlternateContent>
      </w:r>
      <w:r>
        <w:rPr>
          <w:rFonts w:ascii="宋体" w:hAnsi="宋体" w:cs="宋体"/>
          <w:sz w:val="24"/>
          <w:szCs w:val="24"/>
        </w:rPr>
        <mc:AlternateContent>
          <mc:Choice Requires="wps">
            <w:drawing>
              <wp:anchor distT="0" distB="0" distL="114300" distR="114300" simplePos="0" relativeHeight="251661312" behindDoc="0" locked="0" layoutInCell="1" allowOverlap="1">
                <wp:simplePos x="0" y="0"/>
                <wp:positionH relativeFrom="column">
                  <wp:posOffset>24765</wp:posOffset>
                </wp:positionH>
                <wp:positionV relativeFrom="paragraph">
                  <wp:posOffset>149225</wp:posOffset>
                </wp:positionV>
                <wp:extent cx="2583815" cy="1704340"/>
                <wp:effectExtent l="0" t="0" r="0" b="0"/>
                <wp:wrapNone/>
                <wp:docPr id="4" name="Text Box 6"/>
                <wp:cNvGraphicFramePr/>
                <a:graphic xmlns:a="http://schemas.openxmlformats.org/drawingml/2006/main">
                  <a:graphicData uri="http://schemas.microsoft.com/office/word/2010/wordprocessingShape">
                    <wps:wsp>
                      <wps:cNvSpPr txBox="1">
                        <a:spLocks noChangeArrowheads="1"/>
                      </wps:cNvSpPr>
                      <wps:spPr bwMode="auto">
                        <a:xfrm>
                          <a:off x="0" y="0"/>
                          <a:ext cx="2583815" cy="1704340"/>
                        </a:xfrm>
                        <a:prstGeom prst="rect">
                          <a:avLst/>
                        </a:prstGeom>
                        <a:solidFill>
                          <a:srgbClr val="FFFFFF"/>
                        </a:solidFill>
                        <a:ln w="9525" cap="rnd">
                          <a:solidFill>
                            <a:srgbClr val="000000"/>
                          </a:solidFill>
                          <a:prstDash val="sysDot"/>
                          <a:miter lim="800000"/>
                        </a:ln>
                        <a:effectLst/>
                      </wps:spPr>
                      <wps:txbx>
                        <w:txbxContent>
                          <w:p w14:paraId="6812CEDB">
                            <w:pPr>
                              <w:jc w:val="center"/>
                              <w:rPr>
                                <w:rFonts w:ascii="宋体" w:hAnsi="宋体"/>
                                <w:sz w:val="24"/>
                              </w:rPr>
                            </w:pPr>
                          </w:p>
                          <w:p w14:paraId="16DC60A0">
                            <w:pPr>
                              <w:jc w:val="center"/>
                              <w:rPr>
                                <w:rFonts w:ascii="宋体" w:hAnsi="宋体"/>
                                <w:sz w:val="24"/>
                              </w:rPr>
                            </w:pPr>
                          </w:p>
                          <w:p w14:paraId="51466266">
                            <w:pPr>
                              <w:jc w:val="center"/>
                              <w:rPr>
                                <w:rFonts w:ascii="宋体" w:hAnsi="宋体"/>
                                <w:sz w:val="24"/>
                              </w:rPr>
                            </w:pPr>
                          </w:p>
                          <w:p w14:paraId="24A325A7">
                            <w:pPr>
                              <w:jc w:val="center"/>
                              <w:rPr>
                                <w:rFonts w:ascii="宋体" w:hAnsi="宋体"/>
                                <w:szCs w:val="21"/>
                              </w:rPr>
                            </w:pPr>
                            <w:r>
                              <w:rPr>
                                <w:rFonts w:hint="eastAsia" w:ascii="宋体" w:hAnsi="宋体"/>
                                <w:szCs w:val="21"/>
                              </w:rPr>
                              <w:t>项目负责人身份证复印件（正面）</w:t>
                            </w:r>
                          </w:p>
                        </w:txbxContent>
                      </wps:txbx>
                      <wps:bodyPr rot="0" vert="horz" wrap="square" lIns="91440" tIns="45720" rIns="91440" bIns="45720" anchor="t" anchorCtr="0" upright="1">
                        <a:noAutofit/>
                      </wps:bodyPr>
                    </wps:wsp>
                  </a:graphicData>
                </a:graphic>
              </wp:anchor>
            </w:drawing>
          </mc:Choice>
          <mc:Fallback>
            <w:pict>
              <v:shape id="Text Box 6" o:spid="_x0000_s1026" o:spt="202" type="#_x0000_t202" style="position:absolute;left:0pt;margin-left:1.95pt;margin-top:11.75pt;height:134.2pt;width:203.45pt;z-index:251661312;mso-width-relative:page;mso-height-relative:page;" fillcolor="#FFFFFF" filled="t" stroked="t" coordsize="21600,21600" o:gfxdata="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HfZ/K3YAAAACAEAAA8AAAAA&#10;AAAAAQAgAAAAIgAAAGRycy9kb3ducmV2LnhtbFBLAQIUABQAAAAIAIdO4kBvKt//TQIAALkEAAAO&#10;AAAAAAAAAAEAIAAAACcBAABkcnMvZTJvRG9jLnhtbFBLBQYAAAAABgAGAFkBAADmBQAAAAA=&#10;">
                <v:fill on="t" focussize="0,0"/>
                <v:stroke color="#000000" miterlimit="8" joinstyle="miter" dashstyle="1 1" endcap="round"/>
                <v:imagedata o:title=""/>
                <o:lock v:ext="edit" aspectratio="f"/>
                <v:textbox>
                  <w:txbxContent>
                    <w:p w14:paraId="6812CEDB">
                      <w:pPr>
                        <w:jc w:val="center"/>
                        <w:rPr>
                          <w:rFonts w:ascii="宋体" w:hAnsi="宋体"/>
                          <w:sz w:val="24"/>
                        </w:rPr>
                      </w:pPr>
                    </w:p>
                    <w:p w14:paraId="16DC60A0">
                      <w:pPr>
                        <w:jc w:val="center"/>
                        <w:rPr>
                          <w:rFonts w:ascii="宋体" w:hAnsi="宋体"/>
                          <w:sz w:val="24"/>
                        </w:rPr>
                      </w:pPr>
                    </w:p>
                    <w:p w14:paraId="51466266">
                      <w:pPr>
                        <w:jc w:val="center"/>
                        <w:rPr>
                          <w:rFonts w:ascii="宋体" w:hAnsi="宋体"/>
                          <w:sz w:val="24"/>
                        </w:rPr>
                      </w:pPr>
                    </w:p>
                    <w:p w14:paraId="24A325A7">
                      <w:pPr>
                        <w:jc w:val="center"/>
                        <w:rPr>
                          <w:rFonts w:ascii="宋体" w:hAnsi="宋体"/>
                          <w:szCs w:val="21"/>
                        </w:rPr>
                      </w:pPr>
                      <w:r>
                        <w:rPr>
                          <w:rFonts w:hint="eastAsia" w:ascii="宋体" w:hAnsi="宋体"/>
                          <w:szCs w:val="21"/>
                        </w:rPr>
                        <w:t>项目负责人身份证复印件（正面）</w:t>
                      </w:r>
                    </w:p>
                  </w:txbxContent>
                </v:textbox>
              </v:shape>
            </w:pict>
          </mc:Fallback>
        </mc:AlternateContent>
      </w:r>
    </w:p>
    <w:p w14:paraId="2646B9C5">
      <w:pPr>
        <w:rPr>
          <w:rFonts w:ascii="宋体" w:hAnsi="宋体" w:cs="宋体"/>
          <w:sz w:val="24"/>
          <w:szCs w:val="24"/>
        </w:rPr>
      </w:pPr>
    </w:p>
    <w:p w14:paraId="43614585">
      <w:pPr>
        <w:rPr>
          <w:rFonts w:ascii="宋体" w:hAnsi="宋体" w:cs="宋体"/>
          <w:sz w:val="24"/>
          <w:szCs w:val="24"/>
        </w:rPr>
      </w:pPr>
    </w:p>
    <w:p w14:paraId="58994D89">
      <w:pPr>
        <w:rPr>
          <w:rFonts w:ascii="宋体" w:hAnsi="宋体" w:cs="宋体"/>
          <w:sz w:val="24"/>
          <w:szCs w:val="24"/>
        </w:rPr>
      </w:pPr>
    </w:p>
    <w:p w14:paraId="5D75507B">
      <w:pPr>
        <w:rPr>
          <w:rFonts w:ascii="宋体" w:hAnsi="宋体" w:cs="宋体"/>
          <w:sz w:val="24"/>
          <w:szCs w:val="24"/>
        </w:rPr>
      </w:pPr>
    </w:p>
    <w:p w14:paraId="6746B2D1">
      <w:pPr>
        <w:rPr>
          <w:rFonts w:ascii="宋体" w:hAnsi="宋体" w:cs="宋体"/>
          <w:sz w:val="24"/>
          <w:szCs w:val="24"/>
        </w:rPr>
      </w:pPr>
    </w:p>
    <w:p w14:paraId="00DC5684">
      <w:pPr>
        <w:rPr>
          <w:rFonts w:ascii="宋体" w:hAnsi="宋体" w:cs="宋体"/>
          <w:sz w:val="24"/>
          <w:szCs w:val="24"/>
        </w:rPr>
      </w:pPr>
    </w:p>
    <w:p w14:paraId="73C20570">
      <w:pPr>
        <w:rPr>
          <w:rFonts w:ascii="宋体" w:hAnsi="宋体" w:cs="宋体"/>
          <w:sz w:val="24"/>
          <w:szCs w:val="24"/>
        </w:rPr>
      </w:pPr>
    </w:p>
    <w:p w14:paraId="3299D92E">
      <w:pPr>
        <w:rPr>
          <w:rFonts w:ascii="宋体" w:hAnsi="宋体" w:cs="宋体"/>
          <w:sz w:val="24"/>
          <w:szCs w:val="24"/>
        </w:rPr>
      </w:pPr>
    </w:p>
    <w:p w14:paraId="64976E29">
      <w:pPr>
        <w:rPr>
          <w:rFonts w:ascii="宋体" w:hAnsi="宋体" w:cs="宋体"/>
          <w:sz w:val="24"/>
          <w:szCs w:val="24"/>
        </w:rPr>
      </w:pPr>
    </w:p>
    <w:p w14:paraId="065EAE8B">
      <w:pPr>
        <w:rPr>
          <w:rFonts w:ascii="宋体" w:hAnsi="宋体" w:cs="宋体"/>
          <w:sz w:val="24"/>
          <w:szCs w:val="24"/>
        </w:rPr>
      </w:pPr>
    </w:p>
    <w:p w14:paraId="2174BA7D">
      <w:pPr>
        <w:rPr>
          <w:rFonts w:ascii="宋体" w:hAnsi="宋体"/>
          <w:sz w:val="24"/>
          <w:szCs w:val="24"/>
        </w:rPr>
      </w:pPr>
    </w:p>
    <w:p w14:paraId="29EA7458">
      <w:pPr>
        <w:rPr>
          <w:rFonts w:ascii="宋体" w:hAnsi="宋体"/>
          <w:sz w:val="24"/>
          <w:szCs w:val="24"/>
        </w:rPr>
      </w:pPr>
    </w:p>
    <w:p w14:paraId="19B7619F">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716E61A4">
      <w:pPr>
        <w:spacing w:line="500" w:lineRule="exact"/>
        <w:ind w:firstLine="480" w:firstLineChars="200"/>
        <w:rPr>
          <w:rFonts w:ascii="宋体" w:hAnsi="宋体"/>
          <w:sz w:val="24"/>
          <w:szCs w:val="24"/>
        </w:rPr>
      </w:pPr>
      <w:r>
        <w:rPr>
          <w:rFonts w:hint="eastAsia" w:cs="仿宋" w:asciiTheme="minorEastAsia" w:hAnsiTheme="minorEastAsia"/>
          <w:sz w:val="24"/>
          <w:szCs w:val="24"/>
        </w:rPr>
        <w:t>法定代表人或授权代理人(签字或盖章)：</w:t>
      </w:r>
    </w:p>
    <w:p w14:paraId="30E7EA22">
      <w:pPr>
        <w:rPr>
          <w:rFonts w:ascii="宋体" w:hAnsi="宋体"/>
          <w:sz w:val="24"/>
          <w:szCs w:val="24"/>
        </w:rPr>
      </w:pPr>
    </w:p>
    <w:p w14:paraId="2FED8AFB">
      <w:pPr>
        <w:rPr>
          <w:rFonts w:ascii="宋体" w:hAnsi="宋体"/>
          <w:sz w:val="24"/>
          <w:szCs w:val="24"/>
        </w:rPr>
      </w:pPr>
    </w:p>
    <w:p w14:paraId="3FF5A374">
      <w:pPr>
        <w:rPr>
          <w:rFonts w:ascii="宋体" w:hAnsi="宋体"/>
          <w:sz w:val="24"/>
          <w:szCs w:val="24"/>
        </w:rPr>
      </w:pPr>
    </w:p>
    <w:p w14:paraId="274B6BC4">
      <w:pPr>
        <w:ind w:left="630"/>
        <w:rPr>
          <w:rFonts w:ascii="宋体" w:hAnsi="宋体"/>
          <w:sz w:val="24"/>
          <w:szCs w:val="24"/>
        </w:rPr>
      </w:pPr>
      <w:r>
        <w:rPr>
          <w:rFonts w:hint="eastAsia" w:ascii="宋体" w:hAnsi="宋体"/>
          <w:sz w:val="24"/>
          <w:szCs w:val="24"/>
        </w:rPr>
        <w:t>日期：   年   月   日</w:t>
      </w:r>
    </w:p>
    <w:p w14:paraId="2967F306">
      <w:pPr>
        <w:ind w:left="630"/>
        <w:rPr>
          <w:rFonts w:ascii="宋体" w:hAnsi="宋体"/>
          <w:sz w:val="24"/>
          <w:szCs w:val="24"/>
        </w:rPr>
      </w:pPr>
    </w:p>
    <w:p w14:paraId="45F27386">
      <w:pPr>
        <w:ind w:left="630"/>
        <w:rPr>
          <w:rFonts w:ascii="宋体" w:hAnsi="宋体"/>
          <w:sz w:val="24"/>
          <w:szCs w:val="24"/>
        </w:rPr>
      </w:pPr>
    </w:p>
    <w:p w14:paraId="74889C71">
      <w:pPr>
        <w:widowControl/>
        <w:jc w:val="left"/>
        <w:rPr>
          <w:rFonts w:ascii="宋体" w:hAnsi="宋体"/>
          <w:sz w:val="24"/>
          <w:szCs w:val="24"/>
        </w:rPr>
      </w:pPr>
      <w:r>
        <w:rPr>
          <w:rFonts w:ascii="宋体" w:hAnsi="宋体"/>
          <w:sz w:val="24"/>
          <w:szCs w:val="24"/>
        </w:rPr>
        <w:br w:type="page"/>
      </w:r>
    </w:p>
    <w:p w14:paraId="50800BE8">
      <w:pPr>
        <w:ind w:left="630"/>
        <w:rPr>
          <w:rFonts w:ascii="宋体" w:hAnsi="宋体"/>
          <w:sz w:val="24"/>
          <w:szCs w:val="24"/>
        </w:rPr>
      </w:pPr>
    </w:p>
    <w:p w14:paraId="1F72F018">
      <w:pPr>
        <w:rPr>
          <w:rFonts w:ascii="宋体" w:hAnsi="宋体"/>
          <w:sz w:val="24"/>
          <w:szCs w:val="24"/>
        </w:rPr>
      </w:pPr>
    </w:p>
    <w:p w14:paraId="65AD9A61">
      <w:pPr>
        <w:ind w:left="630"/>
        <w:jc w:val="center"/>
        <w:rPr>
          <w:rFonts w:ascii="宋体" w:hAnsi="宋体"/>
          <w:b/>
          <w:sz w:val="24"/>
          <w:szCs w:val="24"/>
        </w:rPr>
      </w:pPr>
      <w:r>
        <w:rPr>
          <w:rFonts w:hint="eastAsia" w:ascii="宋体" w:hAnsi="宋体"/>
          <w:b/>
          <w:sz w:val="24"/>
          <w:szCs w:val="24"/>
        </w:rPr>
        <w:t>（二）法定代表人诚信投标承诺书</w:t>
      </w:r>
    </w:p>
    <w:p w14:paraId="5C5A605F">
      <w:pPr>
        <w:pStyle w:val="276"/>
        <w:ind w:firstLine="0" w:firstLineChars="0"/>
        <w:rPr>
          <w:rFonts w:hint="default" w:cs="仿宋" w:asciiTheme="minorEastAsia" w:hAnsiTheme="minorEastAsia" w:eastAsiaTheme="minorEastAsia"/>
          <w:b/>
          <w:color w:val="auto"/>
          <w:szCs w:val="24"/>
          <w:lang w:eastAsia="zh-CN"/>
        </w:rPr>
      </w:pPr>
      <w:r>
        <w:rPr>
          <w:rFonts w:cs="仿宋" w:asciiTheme="minorEastAsia" w:hAnsiTheme="minorEastAsia" w:eastAsiaTheme="minorEastAsia"/>
          <w:b/>
          <w:color w:val="auto"/>
          <w:szCs w:val="24"/>
          <w:lang w:eastAsia="zh-CN"/>
        </w:rPr>
        <w:t>本人以企业法定代表人的身份郑重承诺：</w:t>
      </w:r>
    </w:p>
    <w:p w14:paraId="2522AD2B">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将遵循公开、公平、公正和诚信信用的原则参加（</w:t>
      </w:r>
      <w:r>
        <w:rPr>
          <w:rFonts w:hint="eastAsia" w:cs="仿宋" w:asciiTheme="minorEastAsia" w:hAnsiTheme="minorEastAsia"/>
          <w:spacing w:val="4"/>
          <w:sz w:val="24"/>
          <w:szCs w:val="24"/>
          <w:u w:val="single"/>
        </w:rPr>
        <w:t xml:space="preserve">  项目、采购编号  </w:t>
      </w:r>
      <w:r>
        <w:rPr>
          <w:rFonts w:hint="eastAsia" w:cs="仿宋" w:asciiTheme="minorEastAsia" w:hAnsiTheme="minorEastAsia"/>
          <w:spacing w:val="4"/>
          <w:sz w:val="24"/>
          <w:szCs w:val="24"/>
        </w:rPr>
        <w:t>）的投标；</w:t>
      </w:r>
    </w:p>
    <w:p w14:paraId="07356B8A">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一、杜绝以收取管理费等形式的一切挂靠、违法转包、分包行为；并选派有丰富经验、无不良行为记录的在项目管理人员、技术人员，严格按磋商文件及合同等要求保证拟派人员的到岗率。</w:t>
      </w:r>
    </w:p>
    <w:p w14:paraId="173A50C1">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二、磋商文件所提供的一切材料都是真实、有效、合法的。</w:t>
      </w:r>
    </w:p>
    <w:p w14:paraId="2D34D4EF">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三、不与其他供应商相互串通磋商响应报价，不排挤其他供应商的公平竞争，不损害采购人或其他供应商的合法权益。</w:t>
      </w:r>
    </w:p>
    <w:p w14:paraId="019D8B1E">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四、不与采购人或采购机构串通投标，不损害国家利益，社会公共利益或其他人的合法权益。</w:t>
      </w:r>
    </w:p>
    <w:p w14:paraId="5614156F">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五、不向采购人或者评标委员会成员行贿以牟取成交。</w:t>
      </w:r>
    </w:p>
    <w:p w14:paraId="63D7638B">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六、不以其他人名义投标或者以其他方式弄虚作假，骗取成交。</w:t>
      </w:r>
    </w:p>
    <w:p w14:paraId="1A60DCB3">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七、不在开标后进行虚假恶意投诉。</w:t>
      </w:r>
    </w:p>
    <w:p w14:paraId="3348B7DE">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八、我单位没有被政府机关列入失信被执行人名单、重大税收违法案件当事人名单、政府采购严重违法失信行为记录名单及其他不符合《中华人民共和国政府采购法》第二十二条规定条件的情形。</w:t>
      </w:r>
    </w:p>
    <w:p w14:paraId="55942268">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 xml:space="preserve">九、没有被财政部门限制参加政府采购活动或曾被财政部门限制参加政府采购活动但已不在限制期内。    </w:t>
      </w:r>
    </w:p>
    <w:p w14:paraId="1D401D06">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十、参与本项目政府采购活动3年内没有重大违法记录情况。</w:t>
      </w:r>
    </w:p>
    <w:p w14:paraId="56823050">
      <w:pPr>
        <w:spacing w:line="360" w:lineRule="auto"/>
        <w:ind w:firstLine="496" w:firstLineChars="200"/>
        <w:rPr>
          <w:rFonts w:cs="仿宋" w:asciiTheme="minorEastAsia" w:hAnsiTheme="minorEastAsia"/>
          <w:spacing w:val="4"/>
          <w:sz w:val="24"/>
          <w:szCs w:val="24"/>
        </w:rPr>
      </w:pPr>
      <w:r>
        <w:rPr>
          <w:rFonts w:hint="eastAsia" w:cs="仿宋" w:asciiTheme="minorEastAsia" w:hAnsiTheme="minorEastAsia"/>
          <w:spacing w:val="4"/>
          <w:sz w:val="24"/>
          <w:szCs w:val="24"/>
        </w:rPr>
        <w:t>本公司若有违反本承诺内容的行为，愿意承担法律责任，包括不限于：愿意接受相关行政主管部门作出的处罚；给采购人造成损失的，依法承担相应的赔偿责任。</w:t>
      </w:r>
    </w:p>
    <w:p w14:paraId="29174E66">
      <w:pPr>
        <w:snapToGrid w:val="0"/>
        <w:spacing w:line="360" w:lineRule="auto"/>
        <w:rPr>
          <w:rFonts w:cs="仿宋" w:asciiTheme="minorEastAsia" w:hAnsiTheme="minorEastAsia"/>
          <w:b/>
          <w:sz w:val="24"/>
          <w:szCs w:val="24"/>
        </w:rPr>
      </w:pPr>
    </w:p>
    <w:p w14:paraId="06600593">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584F2A06">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法定代表人或授权代理人(签字或盖章)：</w:t>
      </w:r>
    </w:p>
    <w:p w14:paraId="7DC7BD4B">
      <w:pPr>
        <w:ind w:left="630"/>
        <w:rPr>
          <w:rFonts w:cs="仿宋" w:asciiTheme="minorEastAsia" w:hAnsiTheme="minorEastAsia"/>
          <w:sz w:val="24"/>
          <w:szCs w:val="24"/>
        </w:rPr>
      </w:pPr>
      <w:r>
        <w:rPr>
          <w:rFonts w:hint="eastAsia" w:cs="仿宋" w:asciiTheme="minorEastAsia" w:hAnsiTheme="minorEastAsia"/>
          <w:sz w:val="24"/>
          <w:szCs w:val="24"/>
        </w:rPr>
        <w:t>日期：        年    月    日</w:t>
      </w:r>
    </w:p>
    <w:p w14:paraId="1B2F619E">
      <w:pPr>
        <w:ind w:left="630"/>
        <w:rPr>
          <w:rFonts w:cs="仿宋" w:asciiTheme="minorEastAsia" w:hAnsiTheme="minorEastAsia"/>
          <w:sz w:val="24"/>
          <w:szCs w:val="24"/>
        </w:rPr>
      </w:pPr>
    </w:p>
    <w:p w14:paraId="37A3C3EB">
      <w:pPr>
        <w:ind w:left="630"/>
        <w:rPr>
          <w:rFonts w:cs="仿宋" w:asciiTheme="minorEastAsia" w:hAnsiTheme="minorEastAsia"/>
          <w:sz w:val="24"/>
          <w:szCs w:val="24"/>
        </w:rPr>
      </w:pPr>
    </w:p>
    <w:p w14:paraId="4DA71150">
      <w:pPr>
        <w:ind w:left="630"/>
        <w:rPr>
          <w:rFonts w:cs="仿宋" w:asciiTheme="minorEastAsia" w:hAnsiTheme="minorEastAsia"/>
          <w:sz w:val="24"/>
          <w:szCs w:val="24"/>
        </w:rPr>
      </w:pPr>
    </w:p>
    <w:p w14:paraId="21ABA874">
      <w:pPr>
        <w:ind w:left="630"/>
        <w:rPr>
          <w:rFonts w:cs="仿宋" w:asciiTheme="minorEastAsia" w:hAnsiTheme="minorEastAsia"/>
          <w:sz w:val="24"/>
          <w:szCs w:val="24"/>
        </w:rPr>
      </w:pPr>
    </w:p>
    <w:p w14:paraId="386D6C41">
      <w:pPr>
        <w:ind w:left="630"/>
        <w:rPr>
          <w:rFonts w:cs="仿宋" w:asciiTheme="minorEastAsia" w:hAnsiTheme="minorEastAsia"/>
          <w:sz w:val="24"/>
          <w:szCs w:val="24"/>
        </w:rPr>
      </w:pPr>
    </w:p>
    <w:p w14:paraId="323C0883">
      <w:pPr>
        <w:pStyle w:val="63"/>
      </w:pPr>
    </w:p>
    <w:p w14:paraId="27CA7AA5">
      <w:pPr>
        <w:pStyle w:val="63"/>
      </w:pPr>
    </w:p>
    <w:p w14:paraId="3498B0DF">
      <w:pPr>
        <w:ind w:left="630"/>
        <w:jc w:val="center"/>
        <w:rPr>
          <w:rFonts w:ascii="宋体" w:hAnsi="宋体"/>
          <w:b/>
          <w:sz w:val="24"/>
          <w:szCs w:val="24"/>
        </w:rPr>
      </w:pPr>
      <w:r>
        <w:rPr>
          <w:rFonts w:hint="eastAsia" w:ascii="宋体" w:hAnsi="宋体"/>
          <w:b/>
          <w:sz w:val="24"/>
          <w:szCs w:val="24"/>
        </w:rPr>
        <w:t>（三）企业业绩一览表</w:t>
      </w:r>
    </w:p>
    <w:p w14:paraId="4294CA6C">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lang w:bidi="ar"/>
        </w:rPr>
        <w:t xml:space="preserve">项目名称： </w:t>
      </w:r>
    </w:p>
    <w:p w14:paraId="331CB002">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lang w:bidi="ar"/>
        </w:rPr>
        <w:t xml:space="preserve">项目编号: </w:t>
      </w:r>
    </w:p>
    <w:tbl>
      <w:tblPr>
        <w:tblStyle w:val="47"/>
        <w:tblW w:w="98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3546"/>
        <w:gridCol w:w="1303"/>
        <w:gridCol w:w="1374"/>
        <w:gridCol w:w="1292"/>
        <w:gridCol w:w="1701"/>
      </w:tblGrid>
      <w:tr w14:paraId="5098F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3" w:hRule="atLeast"/>
        </w:trPr>
        <w:tc>
          <w:tcPr>
            <w:tcW w:w="673" w:type="dxa"/>
            <w:vAlign w:val="center"/>
          </w:tcPr>
          <w:p w14:paraId="27DD9A50">
            <w:pPr>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序号</w:t>
            </w:r>
          </w:p>
        </w:tc>
        <w:tc>
          <w:tcPr>
            <w:tcW w:w="3546" w:type="dxa"/>
            <w:vAlign w:val="center"/>
          </w:tcPr>
          <w:p w14:paraId="60BD940C">
            <w:pPr>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项目名称</w:t>
            </w:r>
          </w:p>
        </w:tc>
        <w:tc>
          <w:tcPr>
            <w:tcW w:w="1303" w:type="dxa"/>
            <w:vAlign w:val="center"/>
          </w:tcPr>
          <w:p w14:paraId="6E15B812">
            <w:pPr>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签订时间</w:t>
            </w:r>
          </w:p>
        </w:tc>
        <w:tc>
          <w:tcPr>
            <w:tcW w:w="1374" w:type="dxa"/>
            <w:vAlign w:val="center"/>
          </w:tcPr>
          <w:p w14:paraId="03253724">
            <w:pPr>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联系人及联系电话</w:t>
            </w:r>
          </w:p>
        </w:tc>
        <w:tc>
          <w:tcPr>
            <w:tcW w:w="1292" w:type="dxa"/>
            <w:vAlign w:val="center"/>
          </w:tcPr>
          <w:p w14:paraId="3AD476AF">
            <w:pPr>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完成</w:t>
            </w:r>
          </w:p>
          <w:p w14:paraId="6637314F">
            <w:pPr>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情况</w:t>
            </w:r>
          </w:p>
        </w:tc>
        <w:tc>
          <w:tcPr>
            <w:tcW w:w="1701" w:type="dxa"/>
            <w:vAlign w:val="center"/>
          </w:tcPr>
          <w:p w14:paraId="6443613F">
            <w:pPr>
              <w:spacing w:line="360" w:lineRule="auto"/>
              <w:jc w:val="center"/>
              <w:rPr>
                <w:rFonts w:cs="仿宋" w:asciiTheme="minorEastAsia" w:hAnsiTheme="minorEastAsia"/>
                <w:b/>
                <w:bCs/>
                <w:sz w:val="24"/>
                <w:szCs w:val="24"/>
              </w:rPr>
            </w:pPr>
            <w:r>
              <w:rPr>
                <w:rFonts w:hint="eastAsia" w:cs="仿宋" w:asciiTheme="minorEastAsia" w:hAnsiTheme="minorEastAsia"/>
                <w:b/>
                <w:bCs/>
                <w:sz w:val="24"/>
                <w:szCs w:val="24"/>
              </w:rPr>
              <w:t>响应文件对应页码</w:t>
            </w:r>
          </w:p>
        </w:tc>
      </w:tr>
      <w:tr w14:paraId="221B5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 w:type="dxa"/>
          </w:tcPr>
          <w:p w14:paraId="1CA7B7B4">
            <w:pPr>
              <w:snapToGrid w:val="0"/>
              <w:spacing w:line="360" w:lineRule="auto"/>
              <w:rPr>
                <w:rFonts w:cs="仿宋" w:asciiTheme="minorEastAsia" w:hAnsiTheme="minorEastAsia"/>
                <w:sz w:val="24"/>
                <w:szCs w:val="24"/>
              </w:rPr>
            </w:pPr>
          </w:p>
        </w:tc>
        <w:tc>
          <w:tcPr>
            <w:tcW w:w="3546" w:type="dxa"/>
          </w:tcPr>
          <w:p w14:paraId="59D39F8F">
            <w:pPr>
              <w:snapToGrid w:val="0"/>
              <w:spacing w:line="360" w:lineRule="auto"/>
              <w:rPr>
                <w:rFonts w:cs="仿宋" w:asciiTheme="minorEastAsia" w:hAnsiTheme="minorEastAsia"/>
                <w:sz w:val="24"/>
                <w:szCs w:val="24"/>
              </w:rPr>
            </w:pPr>
          </w:p>
        </w:tc>
        <w:tc>
          <w:tcPr>
            <w:tcW w:w="1303" w:type="dxa"/>
          </w:tcPr>
          <w:p w14:paraId="433AC2AD">
            <w:pPr>
              <w:snapToGrid w:val="0"/>
              <w:spacing w:line="360" w:lineRule="auto"/>
              <w:rPr>
                <w:rFonts w:cs="仿宋" w:asciiTheme="minorEastAsia" w:hAnsiTheme="minorEastAsia"/>
                <w:sz w:val="24"/>
                <w:szCs w:val="24"/>
              </w:rPr>
            </w:pPr>
          </w:p>
        </w:tc>
        <w:tc>
          <w:tcPr>
            <w:tcW w:w="1374" w:type="dxa"/>
          </w:tcPr>
          <w:p w14:paraId="7D28625D">
            <w:pPr>
              <w:snapToGrid w:val="0"/>
              <w:spacing w:line="360" w:lineRule="auto"/>
              <w:rPr>
                <w:rFonts w:cs="仿宋" w:asciiTheme="minorEastAsia" w:hAnsiTheme="minorEastAsia"/>
                <w:sz w:val="24"/>
                <w:szCs w:val="24"/>
              </w:rPr>
            </w:pPr>
          </w:p>
        </w:tc>
        <w:tc>
          <w:tcPr>
            <w:tcW w:w="1292" w:type="dxa"/>
          </w:tcPr>
          <w:p w14:paraId="5DCC6852">
            <w:pPr>
              <w:snapToGrid w:val="0"/>
              <w:spacing w:line="360" w:lineRule="auto"/>
              <w:rPr>
                <w:rFonts w:cs="仿宋" w:asciiTheme="minorEastAsia" w:hAnsiTheme="minorEastAsia"/>
                <w:sz w:val="24"/>
                <w:szCs w:val="24"/>
              </w:rPr>
            </w:pPr>
          </w:p>
        </w:tc>
        <w:tc>
          <w:tcPr>
            <w:tcW w:w="1701" w:type="dxa"/>
          </w:tcPr>
          <w:p w14:paraId="6CCA0892">
            <w:pPr>
              <w:snapToGrid w:val="0"/>
              <w:spacing w:line="360" w:lineRule="auto"/>
              <w:rPr>
                <w:rFonts w:cs="仿宋" w:asciiTheme="minorEastAsia" w:hAnsiTheme="minorEastAsia"/>
                <w:sz w:val="24"/>
                <w:szCs w:val="24"/>
              </w:rPr>
            </w:pPr>
          </w:p>
        </w:tc>
      </w:tr>
      <w:tr w14:paraId="58C11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 w:type="dxa"/>
          </w:tcPr>
          <w:p w14:paraId="79BC9702">
            <w:pPr>
              <w:snapToGrid w:val="0"/>
              <w:spacing w:line="360" w:lineRule="auto"/>
              <w:rPr>
                <w:rFonts w:cs="仿宋" w:asciiTheme="minorEastAsia" w:hAnsiTheme="minorEastAsia"/>
                <w:sz w:val="24"/>
                <w:szCs w:val="24"/>
              </w:rPr>
            </w:pPr>
          </w:p>
        </w:tc>
        <w:tc>
          <w:tcPr>
            <w:tcW w:w="3546" w:type="dxa"/>
          </w:tcPr>
          <w:p w14:paraId="622DE0F6">
            <w:pPr>
              <w:snapToGrid w:val="0"/>
              <w:spacing w:line="360" w:lineRule="auto"/>
              <w:rPr>
                <w:rFonts w:cs="仿宋" w:asciiTheme="minorEastAsia" w:hAnsiTheme="minorEastAsia"/>
                <w:sz w:val="24"/>
                <w:szCs w:val="24"/>
              </w:rPr>
            </w:pPr>
          </w:p>
        </w:tc>
        <w:tc>
          <w:tcPr>
            <w:tcW w:w="1303" w:type="dxa"/>
          </w:tcPr>
          <w:p w14:paraId="60A41ADB">
            <w:pPr>
              <w:snapToGrid w:val="0"/>
              <w:spacing w:line="360" w:lineRule="auto"/>
              <w:rPr>
                <w:rFonts w:cs="仿宋" w:asciiTheme="minorEastAsia" w:hAnsiTheme="minorEastAsia"/>
                <w:sz w:val="24"/>
                <w:szCs w:val="24"/>
              </w:rPr>
            </w:pPr>
          </w:p>
        </w:tc>
        <w:tc>
          <w:tcPr>
            <w:tcW w:w="1374" w:type="dxa"/>
          </w:tcPr>
          <w:p w14:paraId="1755171F">
            <w:pPr>
              <w:snapToGrid w:val="0"/>
              <w:spacing w:line="360" w:lineRule="auto"/>
              <w:rPr>
                <w:rFonts w:cs="仿宋" w:asciiTheme="minorEastAsia" w:hAnsiTheme="minorEastAsia"/>
                <w:sz w:val="24"/>
                <w:szCs w:val="24"/>
              </w:rPr>
            </w:pPr>
          </w:p>
        </w:tc>
        <w:tc>
          <w:tcPr>
            <w:tcW w:w="1292" w:type="dxa"/>
          </w:tcPr>
          <w:p w14:paraId="656A745E">
            <w:pPr>
              <w:snapToGrid w:val="0"/>
              <w:spacing w:line="360" w:lineRule="auto"/>
              <w:rPr>
                <w:rFonts w:cs="仿宋" w:asciiTheme="minorEastAsia" w:hAnsiTheme="minorEastAsia"/>
                <w:sz w:val="24"/>
                <w:szCs w:val="24"/>
              </w:rPr>
            </w:pPr>
          </w:p>
        </w:tc>
        <w:tc>
          <w:tcPr>
            <w:tcW w:w="1701" w:type="dxa"/>
          </w:tcPr>
          <w:p w14:paraId="4AC8807C">
            <w:pPr>
              <w:snapToGrid w:val="0"/>
              <w:spacing w:line="360" w:lineRule="auto"/>
              <w:rPr>
                <w:rFonts w:cs="仿宋" w:asciiTheme="minorEastAsia" w:hAnsiTheme="minorEastAsia"/>
                <w:sz w:val="24"/>
                <w:szCs w:val="24"/>
              </w:rPr>
            </w:pPr>
          </w:p>
        </w:tc>
      </w:tr>
      <w:tr w14:paraId="1159D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 w:type="dxa"/>
          </w:tcPr>
          <w:p w14:paraId="3FCE752D">
            <w:pPr>
              <w:snapToGrid w:val="0"/>
              <w:spacing w:line="360" w:lineRule="auto"/>
              <w:rPr>
                <w:rFonts w:cs="仿宋" w:asciiTheme="minorEastAsia" w:hAnsiTheme="minorEastAsia"/>
                <w:sz w:val="24"/>
                <w:szCs w:val="24"/>
              </w:rPr>
            </w:pPr>
          </w:p>
        </w:tc>
        <w:tc>
          <w:tcPr>
            <w:tcW w:w="3546" w:type="dxa"/>
          </w:tcPr>
          <w:p w14:paraId="5888E4BC">
            <w:pPr>
              <w:snapToGrid w:val="0"/>
              <w:spacing w:line="360" w:lineRule="auto"/>
              <w:rPr>
                <w:rFonts w:cs="仿宋" w:asciiTheme="minorEastAsia" w:hAnsiTheme="minorEastAsia"/>
                <w:sz w:val="24"/>
                <w:szCs w:val="24"/>
              </w:rPr>
            </w:pPr>
          </w:p>
        </w:tc>
        <w:tc>
          <w:tcPr>
            <w:tcW w:w="1303" w:type="dxa"/>
          </w:tcPr>
          <w:p w14:paraId="7244FB90">
            <w:pPr>
              <w:snapToGrid w:val="0"/>
              <w:spacing w:line="360" w:lineRule="auto"/>
              <w:rPr>
                <w:rFonts w:cs="仿宋" w:asciiTheme="minorEastAsia" w:hAnsiTheme="minorEastAsia"/>
                <w:sz w:val="24"/>
                <w:szCs w:val="24"/>
              </w:rPr>
            </w:pPr>
          </w:p>
        </w:tc>
        <w:tc>
          <w:tcPr>
            <w:tcW w:w="1374" w:type="dxa"/>
          </w:tcPr>
          <w:p w14:paraId="5336F489">
            <w:pPr>
              <w:snapToGrid w:val="0"/>
              <w:spacing w:line="360" w:lineRule="auto"/>
              <w:rPr>
                <w:rFonts w:cs="仿宋" w:asciiTheme="minorEastAsia" w:hAnsiTheme="minorEastAsia"/>
                <w:sz w:val="24"/>
                <w:szCs w:val="24"/>
              </w:rPr>
            </w:pPr>
          </w:p>
        </w:tc>
        <w:tc>
          <w:tcPr>
            <w:tcW w:w="1292" w:type="dxa"/>
          </w:tcPr>
          <w:p w14:paraId="2F5BA59D">
            <w:pPr>
              <w:snapToGrid w:val="0"/>
              <w:spacing w:line="360" w:lineRule="auto"/>
              <w:rPr>
                <w:rFonts w:cs="仿宋" w:asciiTheme="minorEastAsia" w:hAnsiTheme="minorEastAsia"/>
                <w:sz w:val="24"/>
                <w:szCs w:val="24"/>
              </w:rPr>
            </w:pPr>
          </w:p>
        </w:tc>
        <w:tc>
          <w:tcPr>
            <w:tcW w:w="1701" w:type="dxa"/>
          </w:tcPr>
          <w:p w14:paraId="674E20F0">
            <w:pPr>
              <w:snapToGrid w:val="0"/>
              <w:spacing w:line="360" w:lineRule="auto"/>
              <w:rPr>
                <w:rFonts w:cs="仿宋" w:asciiTheme="minorEastAsia" w:hAnsiTheme="minorEastAsia"/>
                <w:sz w:val="24"/>
                <w:szCs w:val="24"/>
              </w:rPr>
            </w:pPr>
          </w:p>
        </w:tc>
      </w:tr>
      <w:tr w14:paraId="7F778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 w:type="dxa"/>
          </w:tcPr>
          <w:p w14:paraId="3BA3F7FD">
            <w:pPr>
              <w:snapToGrid w:val="0"/>
              <w:spacing w:line="360" w:lineRule="auto"/>
              <w:rPr>
                <w:rFonts w:cs="仿宋" w:asciiTheme="minorEastAsia" w:hAnsiTheme="minorEastAsia"/>
                <w:sz w:val="24"/>
                <w:szCs w:val="24"/>
              </w:rPr>
            </w:pPr>
          </w:p>
        </w:tc>
        <w:tc>
          <w:tcPr>
            <w:tcW w:w="3546" w:type="dxa"/>
          </w:tcPr>
          <w:p w14:paraId="779410E5">
            <w:pPr>
              <w:snapToGrid w:val="0"/>
              <w:spacing w:line="360" w:lineRule="auto"/>
              <w:rPr>
                <w:rFonts w:cs="仿宋" w:asciiTheme="minorEastAsia" w:hAnsiTheme="minorEastAsia"/>
                <w:sz w:val="24"/>
                <w:szCs w:val="24"/>
              </w:rPr>
            </w:pPr>
          </w:p>
        </w:tc>
        <w:tc>
          <w:tcPr>
            <w:tcW w:w="1303" w:type="dxa"/>
          </w:tcPr>
          <w:p w14:paraId="27128301">
            <w:pPr>
              <w:snapToGrid w:val="0"/>
              <w:spacing w:line="360" w:lineRule="auto"/>
              <w:rPr>
                <w:rFonts w:cs="仿宋" w:asciiTheme="minorEastAsia" w:hAnsiTheme="minorEastAsia"/>
                <w:sz w:val="24"/>
                <w:szCs w:val="24"/>
              </w:rPr>
            </w:pPr>
          </w:p>
        </w:tc>
        <w:tc>
          <w:tcPr>
            <w:tcW w:w="1374" w:type="dxa"/>
          </w:tcPr>
          <w:p w14:paraId="67BE6A98">
            <w:pPr>
              <w:snapToGrid w:val="0"/>
              <w:spacing w:line="360" w:lineRule="auto"/>
              <w:rPr>
                <w:rFonts w:cs="仿宋" w:asciiTheme="minorEastAsia" w:hAnsiTheme="minorEastAsia"/>
                <w:sz w:val="24"/>
                <w:szCs w:val="24"/>
              </w:rPr>
            </w:pPr>
          </w:p>
        </w:tc>
        <w:tc>
          <w:tcPr>
            <w:tcW w:w="1292" w:type="dxa"/>
          </w:tcPr>
          <w:p w14:paraId="14310C74">
            <w:pPr>
              <w:snapToGrid w:val="0"/>
              <w:spacing w:line="360" w:lineRule="auto"/>
              <w:rPr>
                <w:rFonts w:cs="仿宋" w:asciiTheme="minorEastAsia" w:hAnsiTheme="minorEastAsia"/>
                <w:sz w:val="24"/>
                <w:szCs w:val="24"/>
              </w:rPr>
            </w:pPr>
          </w:p>
        </w:tc>
        <w:tc>
          <w:tcPr>
            <w:tcW w:w="1701" w:type="dxa"/>
          </w:tcPr>
          <w:p w14:paraId="3F85AD23">
            <w:pPr>
              <w:snapToGrid w:val="0"/>
              <w:spacing w:line="360" w:lineRule="auto"/>
              <w:rPr>
                <w:rFonts w:cs="仿宋" w:asciiTheme="minorEastAsia" w:hAnsiTheme="minorEastAsia"/>
                <w:sz w:val="24"/>
                <w:szCs w:val="24"/>
              </w:rPr>
            </w:pPr>
          </w:p>
        </w:tc>
      </w:tr>
      <w:tr w14:paraId="391A0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 w:type="dxa"/>
          </w:tcPr>
          <w:p w14:paraId="7E78FC68">
            <w:pPr>
              <w:snapToGrid w:val="0"/>
              <w:spacing w:line="360" w:lineRule="auto"/>
              <w:rPr>
                <w:rFonts w:cs="仿宋" w:asciiTheme="minorEastAsia" w:hAnsiTheme="minorEastAsia"/>
                <w:sz w:val="24"/>
                <w:szCs w:val="24"/>
              </w:rPr>
            </w:pPr>
          </w:p>
        </w:tc>
        <w:tc>
          <w:tcPr>
            <w:tcW w:w="3546" w:type="dxa"/>
          </w:tcPr>
          <w:p w14:paraId="4D869EEC">
            <w:pPr>
              <w:snapToGrid w:val="0"/>
              <w:spacing w:line="360" w:lineRule="auto"/>
              <w:rPr>
                <w:rFonts w:cs="仿宋" w:asciiTheme="minorEastAsia" w:hAnsiTheme="minorEastAsia"/>
                <w:sz w:val="24"/>
                <w:szCs w:val="24"/>
              </w:rPr>
            </w:pPr>
          </w:p>
        </w:tc>
        <w:tc>
          <w:tcPr>
            <w:tcW w:w="1303" w:type="dxa"/>
          </w:tcPr>
          <w:p w14:paraId="71BC7B0B">
            <w:pPr>
              <w:snapToGrid w:val="0"/>
              <w:spacing w:line="360" w:lineRule="auto"/>
              <w:rPr>
                <w:rFonts w:cs="仿宋" w:asciiTheme="minorEastAsia" w:hAnsiTheme="minorEastAsia"/>
                <w:sz w:val="24"/>
                <w:szCs w:val="24"/>
              </w:rPr>
            </w:pPr>
          </w:p>
        </w:tc>
        <w:tc>
          <w:tcPr>
            <w:tcW w:w="1374" w:type="dxa"/>
          </w:tcPr>
          <w:p w14:paraId="66D6FEAB">
            <w:pPr>
              <w:snapToGrid w:val="0"/>
              <w:spacing w:line="360" w:lineRule="auto"/>
              <w:rPr>
                <w:rFonts w:cs="仿宋" w:asciiTheme="minorEastAsia" w:hAnsiTheme="minorEastAsia"/>
                <w:sz w:val="24"/>
                <w:szCs w:val="24"/>
              </w:rPr>
            </w:pPr>
          </w:p>
        </w:tc>
        <w:tc>
          <w:tcPr>
            <w:tcW w:w="1292" w:type="dxa"/>
          </w:tcPr>
          <w:p w14:paraId="162ED1FD">
            <w:pPr>
              <w:snapToGrid w:val="0"/>
              <w:spacing w:line="360" w:lineRule="auto"/>
              <w:rPr>
                <w:rFonts w:cs="仿宋" w:asciiTheme="minorEastAsia" w:hAnsiTheme="minorEastAsia"/>
                <w:sz w:val="24"/>
                <w:szCs w:val="24"/>
              </w:rPr>
            </w:pPr>
          </w:p>
        </w:tc>
        <w:tc>
          <w:tcPr>
            <w:tcW w:w="1701" w:type="dxa"/>
          </w:tcPr>
          <w:p w14:paraId="7D2568CA">
            <w:pPr>
              <w:snapToGrid w:val="0"/>
              <w:spacing w:line="360" w:lineRule="auto"/>
              <w:rPr>
                <w:rFonts w:cs="仿宋" w:asciiTheme="minorEastAsia" w:hAnsiTheme="minorEastAsia"/>
                <w:sz w:val="24"/>
                <w:szCs w:val="24"/>
              </w:rPr>
            </w:pPr>
          </w:p>
        </w:tc>
      </w:tr>
      <w:tr w14:paraId="19509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 w:type="dxa"/>
          </w:tcPr>
          <w:p w14:paraId="1D37CFF5">
            <w:pPr>
              <w:snapToGrid w:val="0"/>
              <w:spacing w:line="360" w:lineRule="auto"/>
              <w:rPr>
                <w:rFonts w:cs="仿宋" w:asciiTheme="minorEastAsia" w:hAnsiTheme="minorEastAsia"/>
                <w:sz w:val="24"/>
                <w:szCs w:val="24"/>
              </w:rPr>
            </w:pPr>
          </w:p>
        </w:tc>
        <w:tc>
          <w:tcPr>
            <w:tcW w:w="3546" w:type="dxa"/>
          </w:tcPr>
          <w:p w14:paraId="26A3035C">
            <w:pPr>
              <w:snapToGrid w:val="0"/>
              <w:spacing w:line="360" w:lineRule="auto"/>
              <w:rPr>
                <w:rFonts w:cs="仿宋" w:asciiTheme="minorEastAsia" w:hAnsiTheme="minorEastAsia"/>
                <w:sz w:val="24"/>
                <w:szCs w:val="24"/>
              </w:rPr>
            </w:pPr>
          </w:p>
        </w:tc>
        <w:tc>
          <w:tcPr>
            <w:tcW w:w="1303" w:type="dxa"/>
          </w:tcPr>
          <w:p w14:paraId="698360AD">
            <w:pPr>
              <w:snapToGrid w:val="0"/>
              <w:spacing w:line="360" w:lineRule="auto"/>
              <w:rPr>
                <w:rFonts w:cs="仿宋" w:asciiTheme="minorEastAsia" w:hAnsiTheme="minorEastAsia"/>
                <w:sz w:val="24"/>
                <w:szCs w:val="24"/>
              </w:rPr>
            </w:pPr>
          </w:p>
        </w:tc>
        <w:tc>
          <w:tcPr>
            <w:tcW w:w="1374" w:type="dxa"/>
          </w:tcPr>
          <w:p w14:paraId="1C456F8B">
            <w:pPr>
              <w:snapToGrid w:val="0"/>
              <w:spacing w:line="360" w:lineRule="auto"/>
              <w:rPr>
                <w:rFonts w:cs="仿宋" w:asciiTheme="minorEastAsia" w:hAnsiTheme="minorEastAsia"/>
                <w:sz w:val="24"/>
                <w:szCs w:val="24"/>
              </w:rPr>
            </w:pPr>
          </w:p>
        </w:tc>
        <w:tc>
          <w:tcPr>
            <w:tcW w:w="1292" w:type="dxa"/>
          </w:tcPr>
          <w:p w14:paraId="33A063B7">
            <w:pPr>
              <w:snapToGrid w:val="0"/>
              <w:spacing w:line="360" w:lineRule="auto"/>
              <w:rPr>
                <w:rFonts w:cs="仿宋" w:asciiTheme="minorEastAsia" w:hAnsiTheme="minorEastAsia"/>
                <w:sz w:val="24"/>
                <w:szCs w:val="24"/>
              </w:rPr>
            </w:pPr>
          </w:p>
        </w:tc>
        <w:tc>
          <w:tcPr>
            <w:tcW w:w="1701" w:type="dxa"/>
          </w:tcPr>
          <w:p w14:paraId="25A527A4">
            <w:pPr>
              <w:snapToGrid w:val="0"/>
              <w:spacing w:line="360" w:lineRule="auto"/>
              <w:rPr>
                <w:rFonts w:cs="仿宋" w:asciiTheme="minorEastAsia" w:hAnsiTheme="minorEastAsia"/>
                <w:sz w:val="24"/>
                <w:szCs w:val="24"/>
              </w:rPr>
            </w:pPr>
          </w:p>
        </w:tc>
      </w:tr>
      <w:tr w14:paraId="0DC7B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3" w:type="dxa"/>
          </w:tcPr>
          <w:p w14:paraId="7FCC4E55">
            <w:pPr>
              <w:snapToGrid w:val="0"/>
              <w:spacing w:line="360" w:lineRule="auto"/>
              <w:rPr>
                <w:rFonts w:cs="仿宋" w:asciiTheme="minorEastAsia" w:hAnsiTheme="minorEastAsia"/>
                <w:sz w:val="24"/>
                <w:szCs w:val="24"/>
              </w:rPr>
            </w:pPr>
          </w:p>
        </w:tc>
        <w:tc>
          <w:tcPr>
            <w:tcW w:w="3546" w:type="dxa"/>
          </w:tcPr>
          <w:p w14:paraId="661C0FF2">
            <w:pPr>
              <w:snapToGrid w:val="0"/>
              <w:spacing w:line="360" w:lineRule="auto"/>
              <w:rPr>
                <w:rFonts w:cs="仿宋" w:asciiTheme="minorEastAsia" w:hAnsiTheme="minorEastAsia"/>
                <w:sz w:val="24"/>
                <w:szCs w:val="24"/>
              </w:rPr>
            </w:pPr>
          </w:p>
        </w:tc>
        <w:tc>
          <w:tcPr>
            <w:tcW w:w="1303" w:type="dxa"/>
          </w:tcPr>
          <w:p w14:paraId="49434773">
            <w:pPr>
              <w:snapToGrid w:val="0"/>
              <w:spacing w:line="360" w:lineRule="auto"/>
              <w:rPr>
                <w:rFonts w:cs="仿宋" w:asciiTheme="minorEastAsia" w:hAnsiTheme="minorEastAsia"/>
                <w:sz w:val="24"/>
                <w:szCs w:val="24"/>
              </w:rPr>
            </w:pPr>
          </w:p>
        </w:tc>
        <w:tc>
          <w:tcPr>
            <w:tcW w:w="1374" w:type="dxa"/>
          </w:tcPr>
          <w:p w14:paraId="17B7466A">
            <w:pPr>
              <w:snapToGrid w:val="0"/>
              <w:spacing w:line="360" w:lineRule="auto"/>
              <w:rPr>
                <w:rFonts w:cs="仿宋" w:asciiTheme="minorEastAsia" w:hAnsiTheme="minorEastAsia"/>
                <w:sz w:val="24"/>
                <w:szCs w:val="24"/>
              </w:rPr>
            </w:pPr>
          </w:p>
        </w:tc>
        <w:tc>
          <w:tcPr>
            <w:tcW w:w="1292" w:type="dxa"/>
          </w:tcPr>
          <w:p w14:paraId="17F545F7">
            <w:pPr>
              <w:snapToGrid w:val="0"/>
              <w:spacing w:line="360" w:lineRule="auto"/>
              <w:rPr>
                <w:rFonts w:cs="仿宋" w:asciiTheme="minorEastAsia" w:hAnsiTheme="minorEastAsia"/>
                <w:sz w:val="24"/>
                <w:szCs w:val="24"/>
              </w:rPr>
            </w:pPr>
          </w:p>
        </w:tc>
        <w:tc>
          <w:tcPr>
            <w:tcW w:w="1701" w:type="dxa"/>
          </w:tcPr>
          <w:p w14:paraId="6C0C71F4">
            <w:pPr>
              <w:snapToGrid w:val="0"/>
              <w:spacing w:line="360" w:lineRule="auto"/>
              <w:rPr>
                <w:rFonts w:cs="仿宋" w:asciiTheme="minorEastAsia" w:hAnsiTheme="minorEastAsia"/>
                <w:sz w:val="24"/>
                <w:szCs w:val="24"/>
              </w:rPr>
            </w:pPr>
          </w:p>
        </w:tc>
      </w:tr>
    </w:tbl>
    <w:p w14:paraId="22211881">
      <w:pPr>
        <w:spacing w:before="120" w:line="360" w:lineRule="auto"/>
        <w:rPr>
          <w:rFonts w:cs="仿宋" w:asciiTheme="minorEastAsia" w:hAnsiTheme="minorEastAsia"/>
          <w:sz w:val="24"/>
          <w:szCs w:val="24"/>
          <w:lang w:val="zh-CN" w:bidi="ar"/>
        </w:rPr>
      </w:pPr>
      <w:r>
        <w:rPr>
          <w:rFonts w:hint="eastAsia" w:cs="仿宋" w:asciiTheme="minorEastAsia" w:hAnsiTheme="minorEastAsia"/>
          <w:sz w:val="24"/>
          <w:szCs w:val="24"/>
          <w:lang w:val="zh-CN" w:bidi="ar"/>
        </w:rPr>
        <w:t>注：</w:t>
      </w:r>
      <w:r>
        <w:rPr>
          <w:rFonts w:hint="eastAsia" w:cs="仿宋" w:asciiTheme="minorEastAsia" w:hAnsiTheme="minorEastAsia"/>
          <w:sz w:val="24"/>
          <w:szCs w:val="24"/>
          <w:lang w:bidi="ar"/>
        </w:rPr>
        <w:t>1.</w:t>
      </w:r>
      <w:r>
        <w:rPr>
          <w:rFonts w:hint="eastAsia" w:cs="仿宋" w:asciiTheme="minorEastAsia" w:hAnsiTheme="minorEastAsia"/>
          <w:sz w:val="24"/>
          <w:szCs w:val="24"/>
          <w:lang w:val="zh-CN" w:bidi="ar"/>
        </w:rPr>
        <w:t>请按照上述表格</w:t>
      </w:r>
      <w:r>
        <w:rPr>
          <w:rFonts w:hint="eastAsia" w:cs="仿宋" w:asciiTheme="minorEastAsia" w:hAnsiTheme="minorEastAsia"/>
          <w:sz w:val="24"/>
          <w:szCs w:val="24"/>
          <w:lang w:bidi="ar"/>
        </w:rPr>
        <w:t>顺</w:t>
      </w:r>
      <w:r>
        <w:rPr>
          <w:rFonts w:hint="eastAsia" w:cs="仿宋" w:asciiTheme="minorEastAsia" w:hAnsiTheme="minorEastAsia"/>
          <w:sz w:val="24"/>
          <w:szCs w:val="24"/>
          <w:lang w:val="zh-CN" w:bidi="ar"/>
        </w:rPr>
        <w:t>序提供相关证明材料，提供中标通知书、施工合同及竣工验收表复印件（须能够体现服务内容：提供合同首页、服务内容页、</w:t>
      </w:r>
      <w:r>
        <w:rPr>
          <w:rFonts w:hint="eastAsia" w:cs="仿宋" w:asciiTheme="minorEastAsia" w:hAnsiTheme="minorEastAsia"/>
          <w:sz w:val="24"/>
          <w:szCs w:val="24"/>
          <w:lang w:bidi="ar"/>
        </w:rPr>
        <w:t>双方签字盖章页、日期页等）</w:t>
      </w:r>
      <w:r>
        <w:rPr>
          <w:rFonts w:hint="eastAsia" w:cs="仿宋" w:asciiTheme="minorEastAsia" w:hAnsiTheme="minorEastAsia"/>
          <w:sz w:val="24"/>
          <w:szCs w:val="24"/>
          <w:lang w:val="zh-CN" w:bidi="ar"/>
        </w:rPr>
        <w:t>。案例具体要求详见评分表要求。按照上述表格序号按序提供相关材料。</w:t>
      </w:r>
    </w:p>
    <w:p w14:paraId="7F3A5C9F">
      <w:pPr>
        <w:spacing w:before="120" w:line="360" w:lineRule="auto"/>
        <w:rPr>
          <w:rFonts w:cs="仿宋" w:asciiTheme="minorEastAsia" w:hAnsiTheme="minorEastAsia"/>
          <w:sz w:val="24"/>
          <w:szCs w:val="24"/>
          <w:lang w:val="zh-CN" w:bidi="ar"/>
        </w:rPr>
      </w:pPr>
      <w:r>
        <w:rPr>
          <w:rFonts w:hint="eastAsia" w:cs="仿宋" w:asciiTheme="minorEastAsia" w:hAnsiTheme="minorEastAsia"/>
          <w:b/>
          <w:bCs/>
          <w:sz w:val="24"/>
          <w:szCs w:val="24"/>
        </w:rPr>
        <w:t>合同复印件要求清晰可见，能够体现上述内容，不满足要求的视同为无效业绩。</w:t>
      </w:r>
    </w:p>
    <w:p w14:paraId="709E2ABF">
      <w:pPr>
        <w:spacing w:before="120" w:line="360" w:lineRule="auto"/>
        <w:ind w:firstLine="480" w:firstLineChars="200"/>
        <w:rPr>
          <w:rFonts w:cs="仿宋" w:asciiTheme="minorEastAsia" w:hAnsiTheme="minorEastAsia"/>
          <w:sz w:val="24"/>
          <w:szCs w:val="24"/>
          <w:lang w:val="zh-CN" w:bidi="ar"/>
        </w:rPr>
      </w:pPr>
      <w:r>
        <w:rPr>
          <w:rFonts w:hint="eastAsia" w:cs="仿宋" w:asciiTheme="minorEastAsia" w:hAnsiTheme="minorEastAsia"/>
          <w:sz w:val="24"/>
          <w:szCs w:val="24"/>
          <w:lang w:bidi="ar"/>
        </w:rPr>
        <w:t>2.</w:t>
      </w:r>
      <w:r>
        <w:rPr>
          <w:rFonts w:hint="eastAsia" w:cs="仿宋" w:asciiTheme="minorEastAsia" w:hAnsiTheme="minorEastAsia"/>
          <w:sz w:val="24"/>
          <w:szCs w:val="24"/>
          <w:lang w:val="zh-CN" w:bidi="ar"/>
        </w:rPr>
        <w:t>成交后，</w:t>
      </w:r>
      <w:r>
        <w:rPr>
          <w:rFonts w:hint="eastAsia" w:cs="仿宋" w:asciiTheme="minorEastAsia" w:hAnsiTheme="minorEastAsia"/>
          <w:sz w:val="24"/>
          <w:szCs w:val="24"/>
          <w:lang w:bidi="ar"/>
        </w:rPr>
        <w:t>采购人</w:t>
      </w:r>
      <w:r>
        <w:rPr>
          <w:rFonts w:hint="eastAsia" w:cs="仿宋" w:asciiTheme="minorEastAsia" w:hAnsiTheme="minorEastAsia"/>
          <w:sz w:val="24"/>
          <w:szCs w:val="24"/>
          <w:lang w:val="zh-CN" w:bidi="ar"/>
        </w:rPr>
        <w:t>将根据提供的联系人及联系方式进行尽职调查，如有需要成交单位需提供原件备查。</w:t>
      </w:r>
    </w:p>
    <w:p w14:paraId="35CF0BBD">
      <w:pPr>
        <w:spacing w:line="360" w:lineRule="auto"/>
        <w:ind w:firstLine="482" w:firstLineChars="200"/>
        <w:rPr>
          <w:rFonts w:cs="仿宋" w:asciiTheme="minorEastAsia" w:hAnsiTheme="minorEastAsia"/>
          <w:b/>
          <w:sz w:val="24"/>
          <w:szCs w:val="24"/>
          <w:lang w:val="zh-CN"/>
        </w:rPr>
      </w:pPr>
      <w:r>
        <w:rPr>
          <w:rFonts w:hint="eastAsia" w:cs="仿宋" w:asciiTheme="minorEastAsia" w:hAnsiTheme="minorEastAsia"/>
          <w:b/>
          <w:sz w:val="24"/>
          <w:szCs w:val="24"/>
          <w:lang w:val="zh-CN" w:bidi="ar"/>
        </w:rPr>
        <w:t>我公司承诺：以上业绩均真实有效。若有虚假，同意按无效标处理。</w:t>
      </w:r>
    </w:p>
    <w:p w14:paraId="7E6FC746">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044A2B92">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法定代表人或授权代理人(签字或盖章)：</w:t>
      </w:r>
    </w:p>
    <w:p w14:paraId="66C96528">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日期：        年    月    日</w:t>
      </w:r>
    </w:p>
    <w:p w14:paraId="3CDF0432">
      <w:pPr>
        <w:spacing w:line="360" w:lineRule="auto"/>
        <w:ind w:firstLine="560"/>
        <w:rPr>
          <w:rFonts w:cs="仿宋" w:asciiTheme="minorEastAsia" w:hAnsiTheme="minorEastAsia"/>
          <w:b/>
          <w:sz w:val="24"/>
          <w:szCs w:val="24"/>
        </w:rPr>
      </w:pPr>
      <w:r>
        <w:rPr>
          <w:rFonts w:hint="eastAsia" w:cs="仿宋" w:asciiTheme="minorEastAsia" w:hAnsiTheme="minorEastAsia"/>
          <w:b/>
          <w:sz w:val="24"/>
          <w:szCs w:val="24"/>
          <w:lang w:bidi="ar"/>
        </w:rPr>
        <w:t>合同提供内容示例（所有合同复印件须清晰、否则按无效资料处理，其风险及结果由供应商自行承担）：</w:t>
      </w:r>
    </w:p>
    <w:p w14:paraId="741A6116">
      <w:pPr>
        <w:ind w:left="630"/>
        <w:rPr>
          <w:rFonts w:ascii="宋体" w:hAnsi="宋体"/>
          <w:sz w:val="24"/>
          <w:szCs w:val="24"/>
        </w:rPr>
      </w:pPr>
    </w:p>
    <w:p w14:paraId="458D1BAF">
      <w:pPr>
        <w:ind w:left="630"/>
        <w:rPr>
          <w:rFonts w:ascii="宋体" w:hAnsi="宋体"/>
          <w:sz w:val="24"/>
          <w:szCs w:val="24"/>
        </w:rPr>
      </w:pPr>
    </w:p>
    <w:p w14:paraId="0794BE7A">
      <w:pPr>
        <w:ind w:left="630"/>
        <w:rPr>
          <w:rFonts w:ascii="宋体" w:hAnsi="宋体"/>
          <w:sz w:val="24"/>
          <w:szCs w:val="24"/>
        </w:rPr>
      </w:pPr>
    </w:p>
    <w:p w14:paraId="6157B047">
      <w:pPr>
        <w:ind w:left="630"/>
        <w:rPr>
          <w:rFonts w:ascii="宋体" w:hAnsi="宋体"/>
          <w:sz w:val="24"/>
          <w:szCs w:val="24"/>
        </w:rPr>
      </w:pPr>
    </w:p>
    <w:p w14:paraId="2ADB1F40">
      <w:pPr>
        <w:rPr>
          <w:rFonts w:ascii="宋体" w:hAnsi="宋体"/>
          <w:sz w:val="24"/>
          <w:szCs w:val="24"/>
        </w:rPr>
      </w:pPr>
    </w:p>
    <w:p w14:paraId="554267F7">
      <w:pPr>
        <w:jc w:val="center"/>
        <w:rPr>
          <w:rFonts w:ascii="宋体" w:hAnsi="宋体"/>
          <w:b/>
          <w:sz w:val="24"/>
          <w:szCs w:val="24"/>
        </w:rPr>
      </w:pPr>
      <w:r>
        <w:rPr>
          <w:rFonts w:hint="eastAsia" w:ascii="宋体" w:hAnsi="宋体"/>
          <w:b/>
          <w:sz w:val="24"/>
          <w:szCs w:val="24"/>
        </w:rPr>
        <w:t>（四）项目团队成员一览表</w:t>
      </w:r>
    </w:p>
    <w:p w14:paraId="7A4958B1">
      <w:pPr>
        <w:tabs>
          <w:tab w:val="center" w:pos="4832"/>
          <w:tab w:val="left" w:pos="7140"/>
        </w:tabs>
        <w:jc w:val="center"/>
        <w:rPr>
          <w:rFonts w:ascii="宋体" w:hAnsi="宋体" w:cs="宋体"/>
          <w:b/>
          <w:sz w:val="24"/>
          <w:szCs w:val="24"/>
        </w:rPr>
      </w:pPr>
      <w:r>
        <w:rPr>
          <w:rFonts w:hint="eastAsia" w:ascii="宋体" w:hAnsi="宋体" w:cs="宋体"/>
          <w:b/>
          <w:sz w:val="24"/>
          <w:szCs w:val="24"/>
        </w:rPr>
        <w:t>项目负责人简历表</w:t>
      </w:r>
    </w:p>
    <w:tbl>
      <w:tblPr>
        <w:tblStyle w:val="4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0"/>
        <w:gridCol w:w="1568"/>
        <w:gridCol w:w="1230"/>
        <w:gridCol w:w="353"/>
        <w:gridCol w:w="1582"/>
        <w:gridCol w:w="1583"/>
        <w:gridCol w:w="1056"/>
      </w:tblGrid>
      <w:tr w14:paraId="05E3B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1880" w:type="dxa"/>
            <w:vAlign w:val="center"/>
          </w:tcPr>
          <w:p w14:paraId="6E7997B9">
            <w:pPr>
              <w:rPr>
                <w:rFonts w:ascii="宋体" w:hAnsi="宋体" w:cs="宋体"/>
                <w:sz w:val="24"/>
                <w:szCs w:val="24"/>
              </w:rPr>
            </w:pPr>
            <w:r>
              <w:rPr>
                <w:rFonts w:hint="eastAsia" w:ascii="宋体" w:hAnsi="宋体" w:cs="宋体"/>
                <w:sz w:val="24"/>
                <w:szCs w:val="24"/>
              </w:rPr>
              <w:t>姓名</w:t>
            </w:r>
          </w:p>
        </w:tc>
        <w:tc>
          <w:tcPr>
            <w:tcW w:w="2798" w:type="dxa"/>
            <w:gridSpan w:val="2"/>
            <w:vAlign w:val="center"/>
          </w:tcPr>
          <w:p w14:paraId="702B86C9">
            <w:pPr>
              <w:rPr>
                <w:rFonts w:ascii="宋体" w:hAnsi="宋体" w:cs="宋体"/>
                <w:sz w:val="24"/>
                <w:szCs w:val="24"/>
              </w:rPr>
            </w:pPr>
          </w:p>
        </w:tc>
        <w:tc>
          <w:tcPr>
            <w:tcW w:w="1935" w:type="dxa"/>
            <w:gridSpan w:val="2"/>
            <w:vAlign w:val="center"/>
          </w:tcPr>
          <w:p w14:paraId="33B9502D">
            <w:pPr>
              <w:rPr>
                <w:rFonts w:ascii="宋体" w:hAnsi="宋体" w:cs="宋体"/>
                <w:sz w:val="24"/>
                <w:szCs w:val="24"/>
              </w:rPr>
            </w:pPr>
            <w:r>
              <w:rPr>
                <w:rFonts w:hint="eastAsia" w:ascii="宋体" w:hAnsi="宋体" w:cs="宋体"/>
                <w:sz w:val="24"/>
                <w:szCs w:val="24"/>
              </w:rPr>
              <w:t>性别</w:t>
            </w:r>
          </w:p>
        </w:tc>
        <w:tc>
          <w:tcPr>
            <w:tcW w:w="2639" w:type="dxa"/>
            <w:gridSpan w:val="2"/>
          </w:tcPr>
          <w:p w14:paraId="2DCADFE2">
            <w:pPr>
              <w:rPr>
                <w:rFonts w:ascii="宋体" w:hAnsi="宋体" w:cs="宋体"/>
                <w:sz w:val="24"/>
                <w:szCs w:val="24"/>
              </w:rPr>
            </w:pPr>
          </w:p>
        </w:tc>
      </w:tr>
      <w:tr w14:paraId="167C6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1880" w:type="dxa"/>
            <w:vAlign w:val="center"/>
          </w:tcPr>
          <w:p w14:paraId="745957C2">
            <w:pPr>
              <w:rPr>
                <w:rFonts w:ascii="宋体" w:hAnsi="宋体" w:cs="宋体"/>
                <w:sz w:val="24"/>
                <w:szCs w:val="24"/>
              </w:rPr>
            </w:pPr>
            <w:r>
              <w:rPr>
                <w:rFonts w:hint="eastAsia" w:ascii="宋体" w:hAnsi="宋体" w:cs="宋体"/>
                <w:sz w:val="24"/>
                <w:szCs w:val="24"/>
              </w:rPr>
              <w:t>职称</w:t>
            </w:r>
          </w:p>
        </w:tc>
        <w:tc>
          <w:tcPr>
            <w:tcW w:w="2798" w:type="dxa"/>
            <w:gridSpan w:val="2"/>
            <w:vAlign w:val="center"/>
          </w:tcPr>
          <w:p w14:paraId="141C5A86">
            <w:pPr>
              <w:rPr>
                <w:rFonts w:ascii="宋体" w:hAnsi="宋体" w:cs="宋体"/>
                <w:sz w:val="24"/>
                <w:szCs w:val="24"/>
              </w:rPr>
            </w:pPr>
          </w:p>
        </w:tc>
        <w:tc>
          <w:tcPr>
            <w:tcW w:w="1935" w:type="dxa"/>
            <w:gridSpan w:val="2"/>
            <w:vAlign w:val="center"/>
          </w:tcPr>
          <w:p w14:paraId="750241EC">
            <w:pPr>
              <w:rPr>
                <w:rFonts w:ascii="宋体" w:hAnsi="宋体" w:cs="宋体"/>
                <w:sz w:val="24"/>
                <w:szCs w:val="24"/>
              </w:rPr>
            </w:pPr>
            <w:r>
              <w:rPr>
                <w:rFonts w:hint="eastAsia" w:ascii="宋体" w:hAnsi="宋体" w:cs="宋体"/>
                <w:sz w:val="24"/>
                <w:szCs w:val="24"/>
              </w:rPr>
              <w:t>学历</w:t>
            </w:r>
          </w:p>
        </w:tc>
        <w:tc>
          <w:tcPr>
            <w:tcW w:w="2639" w:type="dxa"/>
            <w:gridSpan w:val="2"/>
          </w:tcPr>
          <w:p w14:paraId="43C6E253">
            <w:pPr>
              <w:rPr>
                <w:rFonts w:ascii="宋体" w:hAnsi="宋体" w:cs="宋体"/>
                <w:sz w:val="24"/>
                <w:szCs w:val="24"/>
              </w:rPr>
            </w:pPr>
          </w:p>
        </w:tc>
      </w:tr>
      <w:tr w14:paraId="46F38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1880" w:type="dxa"/>
            <w:vAlign w:val="center"/>
          </w:tcPr>
          <w:p w14:paraId="41B8E67B">
            <w:pPr>
              <w:rPr>
                <w:rFonts w:ascii="宋体" w:hAnsi="宋体" w:cs="宋体"/>
                <w:sz w:val="24"/>
                <w:szCs w:val="24"/>
              </w:rPr>
            </w:pPr>
            <w:r>
              <w:rPr>
                <w:rFonts w:hint="eastAsia" w:ascii="宋体" w:hAnsi="宋体" w:cs="宋体"/>
                <w:sz w:val="24"/>
                <w:szCs w:val="24"/>
              </w:rPr>
              <w:t>参加工作时间</w:t>
            </w:r>
          </w:p>
        </w:tc>
        <w:tc>
          <w:tcPr>
            <w:tcW w:w="2798" w:type="dxa"/>
            <w:gridSpan w:val="2"/>
            <w:vAlign w:val="center"/>
          </w:tcPr>
          <w:p w14:paraId="0509E76C">
            <w:pPr>
              <w:rPr>
                <w:rFonts w:ascii="宋体" w:hAnsi="宋体" w:cs="宋体"/>
                <w:sz w:val="24"/>
                <w:szCs w:val="24"/>
              </w:rPr>
            </w:pPr>
          </w:p>
        </w:tc>
        <w:tc>
          <w:tcPr>
            <w:tcW w:w="1935" w:type="dxa"/>
            <w:gridSpan w:val="2"/>
            <w:vAlign w:val="center"/>
          </w:tcPr>
          <w:p w14:paraId="71742B5C">
            <w:pPr>
              <w:rPr>
                <w:rFonts w:ascii="宋体" w:hAnsi="宋体" w:cs="宋体"/>
                <w:sz w:val="24"/>
                <w:szCs w:val="24"/>
              </w:rPr>
            </w:pPr>
            <w:r>
              <w:rPr>
                <w:rFonts w:hint="eastAsia" w:ascii="宋体" w:hAnsi="宋体" w:cs="宋体"/>
                <w:sz w:val="24"/>
                <w:szCs w:val="24"/>
              </w:rPr>
              <w:t>从事项目管理工作年限</w:t>
            </w:r>
          </w:p>
        </w:tc>
        <w:tc>
          <w:tcPr>
            <w:tcW w:w="2639" w:type="dxa"/>
            <w:gridSpan w:val="2"/>
          </w:tcPr>
          <w:p w14:paraId="7AB3962E">
            <w:pPr>
              <w:rPr>
                <w:rFonts w:ascii="宋体" w:hAnsi="宋体" w:cs="宋体"/>
                <w:sz w:val="24"/>
                <w:szCs w:val="24"/>
              </w:rPr>
            </w:pPr>
          </w:p>
        </w:tc>
      </w:tr>
      <w:tr w14:paraId="58CB9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1880" w:type="dxa"/>
            <w:vAlign w:val="center"/>
          </w:tcPr>
          <w:p w14:paraId="0F7A8DC9">
            <w:pPr>
              <w:rPr>
                <w:rFonts w:ascii="宋体" w:hAnsi="宋体" w:cs="宋体"/>
                <w:sz w:val="24"/>
                <w:szCs w:val="24"/>
              </w:rPr>
            </w:pPr>
            <w:r>
              <w:rPr>
                <w:rFonts w:hint="eastAsia" w:ascii="宋体" w:hAnsi="宋体" w:cs="宋体"/>
                <w:sz w:val="24"/>
                <w:szCs w:val="24"/>
              </w:rPr>
              <w:t>专业</w:t>
            </w:r>
          </w:p>
        </w:tc>
        <w:tc>
          <w:tcPr>
            <w:tcW w:w="2798" w:type="dxa"/>
            <w:gridSpan w:val="2"/>
            <w:vAlign w:val="center"/>
          </w:tcPr>
          <w:p w14:paraId="70549366">
            <w:pPr>
              <w:rPr>
                <w:rFonts w:ascii="宋体" w:hAnsi="宋体" w:cs="宋体"/>
                <w:sz w:val="24"/>
                <w:szCs w:val="24"/>
              </w:rPr>
            </w:pPr>
          </w:p>
        </w:tc>
        <w:tc>
          <w:tcPr>
            <w:tcW w:w="1935" w:type="dxa"/>
            <w:gridSpan w:val="2"/>
            <w:vAlign w:val="center"/>
          </w:tcPr>
          <w:p w14:paraId="7CD98A44">
            <w:pPr>
              <w:rPr>
                <w:rFonts w:ascii="宋体" w:hAnsi="宋体" w:cs="宋体"/>
                <w:sz w:val="24"/>
                <w:szCs w:val="24"/>
              </w:rPr>
            </w:pPr>
            <w:r>
              <w:rPr>
                <w:rFonts w:hint="eastAsia" w:ascii="宋体" w:hAnsi="宋体" w:cs="宋体"/>
                <w:sz w:val="24"/>
                <w:szCs w:val="24"/>
              </w:rPr>
              <w:t>毕业学校</w:t>
            </w:r>
          </w:p>
        </w:tc>
        <w:tc>
          <w:tcPr>
            <w:tcW w:w="2639" w:type="dxa"/>
            <w:gridSpan w:val="2"/>
          </w:tcPr>
          <w:p w14:paraId="54C835FF">
            <w:pPr>
              <w:rPr>
                <w:rFonts w:ascii="宋体" w:hAnsi="宋体" w:cs="宋体"/>
                <w:sz w:val="24"/>
                <w:szCs w:val="24"/>
              </w:rPr>
            </w:pPr>
          </w:p>
        </w:tc>
      </w:tr>
      <w:tr w14:paraId="48E9BF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880" w:type="dxa"/>
            <w:vAlign w:val="center"/>
          </w:tcPr>
          <w:p w14:paraId="5B03752B">
            <w:pPr>
              <w:rPr>
                <w:rFonts w:ascii="宋体" w:hAnsi="宋体" w:cs="宋体"/>
                <w:sz w:val="24"/>
                <w:szCs w:val="24"/>
              </w:rPr>
            </w:pPr>
            <w:r>
              <w:rPr>
                <w:rFonts w:hint="eastAsia" w:ascii="宋体" w:hAnsi="宋体" w:cs="宋体"/>
                <w:sz w:val="24"/>
                <w:szCs w:val="24"/>
              </w:rPr>
              <w:t>身份证号码</w:t>
            </w:r>
          </w:p>
        </w:tc>
        <w:tc>
          <w:tcPr>
            <w:tcW w:w="2798" w:type="dxa"/>
            <w:gridSpan w:val="2"/>
            <w:vAlign w:val="center"/>
          </w:tcPr>
          <w:p w14:paraId="2D55849B">
            <w:pPr>
              <w:rPr>
                <w:rFonts w:ascii="宋体" w:hAnsi="宋体" w:cs="宋体"/>
                <w:sz w:val="24"/>
                <w:szCs w:val="24"/>
              </w:rPr>
            </w:pPr>
          </w:p>
        </w:tc>
        <w:tc>
          <w:tcPr>
            <w:tcW w:w="1935" w:type="dxa"/>
            <w:gridSpan w:val="2"/>
            <w:vAlign w:val="center"/>
          </w:tcPr>
          <w:p w14:paraId="0162158A">
            <w:pPr>
              <w:rPr>
                <w:rFonts w:ascii="宋体" w:hAnsi="宋体" w:cs="宋体"/>
                <w:sz w:val="24"/>
                <w:szCs w:val="24"/>
              </w:rPr>
            </w:pPr>
            <w:r>
              <w:rPr>
                <w:rFonts w:hint="eastAsia" w:ascii="宋体" w:hAnsi="宋体" w:cs="宋体"/>
                <w:sz w:val="24"/>
                <w:szCs w:val="24"/>
              </w:rPr>
              <w:t>在公司担任职务</w:t>
            </w:r>
          </w:p>
        </w:tc>
        <w:tc>
          <w:tcPr>
            <w:tcW w:w="2639" w:type="dxa"/>
            <w:gridSpan w:val="2"/>
          </w:tcPr>
          <w:p w14:paraId="6743F63F">
            <w:pPr>
              <w:rPr>
                <w:rFonts w:ascii="宋体" w:hAnsi="宋体" w:cs="宋体"/>
                <w:sz w:val="24"/>
                <w:szCs w:val="24"/>
              </w:rPr>
            </w:pPr>
          </w:p>
        </w:tc>
      </w:tr>
      <w:tr w14:paraId="0FD2F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880" w:type="dxa"/>
            <w:vAlign w:val="center"/>
          </w:tcPr>
          <w:p w14:paraId="229C267B">
            <w:pPr>
              <w:rPr>
                <w:rFonts w:ascii="宋体" w:hAnsi="宋体" w:cs="宋体"/>
                <w:sz w:val="24"/>
                <w:szCs w:val="24"/>
              </w:rPr>
            </w:pPr>
            <w:r>
              <w:rPr>
                <w:rFonts w:hint="eastAsia" w:ascii="宋体" w:hAnsi="宋体" w:cs="宋体"/>
                <w:sz w:val="24"/>
                <w:szCs w:val="24"/>
              </w:rPr>
              <w:t>执业资格</w:t>
            </w:r>
          </w:p>
        </w:tc>
        <w:tc>
          <w:tcPr>
            <w:tcW w:w="2798" w:type="dxa"/>
            <w:gridSpan w:val="2"/>
            <w:vAlign w:val="center"/>
          </w:tcPr>
          <w:p w14:paraId="04E8A480">
            <w:pPr>
              <w:rPr>
                <w:rFonts w:ascii="宋体" w:hAnsi="宋体" w:cs="宋体"/>
                <w:sz w:val="24"/>
                <w:szCs w:val="24"/>
              </w:rPr>
            </w:pPr>
          </w:p>
        </w:tc>
        <w:tc>
          <w:tcPr>
            <w:tcW w:w="1935" w:type="dxa"/>
            <w:gridSpan w:val="2"/>
            <w:vAlign w:val="center"/>
          </w:tcPr>
          <w:p w14:paraId="1605424C">
            <w:pPr>
              <w:rPr>
                <w:rFonts w:ascii="宋体" w:hAnsi="宋体" w:cs="宋体"/>
                <w:sz w:val="24"/>
                <w:szCs w:val="24"/>
              </w:rPr>
            </w:pPr>
            <w:r>
              <w:rPr>
                <w:rFonts w:hint="eastAsia" w:ascii="宋体" w:hAnsi="宋体" w:cs="宋体"/>
                <w:sz w:val="24"/>
                <w:szCs w:val="24"/>
              </w:rPr>
              <w:t>证书编号</w:t>
            </w:r>
          </w:p>
        </w:tc>
        <w:tc>
          <w:tcPr>
            <w:tcW w:w="2639" w:type="dxa"/>
            <w:gridSpan w:val="2"/>
          </w:tcPr>
          <w:p w14:paraId="3E93AE8C">
            <w:pPr>
              <w:rPr>
                <w:rFonts w:ascii="宋体" w:hAnsi="宋体" w:cs="宋体"/>
                <w:sz w:val="24"/>
                <w:szCs w:val="24"/>
              </w:rPr>
            </w:pPr>
          </w:p>
        </w:tc>
      </w:tr>
      <w:tr w14:paraId="10D53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1880" w:type="dxa"/>
            <w:vAlign w:val="center"/>
          </w:tcPr>
          <w:p w14:paraId="7CAFFC89">
            <w:pPr>
              <w:rPr>
                <w:rFonts w:ascii="宋体" w:hAnsi="宋体" w:cs="宋体"/>
                <w:sz w:val="24"/>
                <w:szCs w:val="24"/>
              </w:rPr>
            </w:pPr>
            <w:r>
              <w:rPr>
                <w:rFonts w:hint="eastAsia" w:ascii="宋体" w:hAnsi="宋体" w:cs="宋体"/>
                <w:sz w:val="24"/>
                <w:szCs w:val="24"/>
              </w:rPr>
              <w:t>固定电话</w:t>
            </w:r>
          </w:p>
        </w:tc>
        <w:tc>
          <w:tcPr>
            <w:tcW w:w="2798" w:type="dxa"/>
            <w:gridSpan w:val="2"/>
            <w:vAlign w:val="center"/>
          </w:tcPr>
          <w:p w14:paraId="67F165F3">
            <w:pPr>
              <w:rPr>
                <w:rFonts w:ascii="宋体" w:hAnsi="宋体" w:cs="宋体"/>
                <w:sz w:val="24"/>
                <w:szCs w:val="24"/>
              </w:rPr>
            </w:pPr>
          </w:p>
        </w:tc>
        <w:tc>
          <w:tcPr>
            <w:tcW w:w="1935" w:type="dxa"/>
            <w:gridSpan w:val="2"/>
            <w:vAlign w:val="center"/>
          </w:tcPr>
          <w:p w14:paraId="49D5CA82">
            <w:pPr>
              <w:rPr>
                <w:rFonts w:ascii="宋体" w:hAnsi="宋体" w:cs="宋体"/>
                <w:sz w:val="24"/>
                <w:szCs w:val="24"/>
              </w:rPr>
            </w:pPr>
            <w:r>
              <w:rPr>
                <w:rFonts w:hint="eastAsia" w:ascii="宋体" w:hAnsi="宋体" w:cs="宋体"/>
                <w:sz w:val="24"/>
                <w:szCs w:val="24"/>
              </w:rPr>
              <w:t>手机号码</w:t>
            </w:r>
          </w:p>
        </w:tc>
        <w:tc>
          <w:tcPr>
            <w:tcW w:w="2639" w:type="dxa"/>
            <w:gridSpan w:val="2"/>
          </w:tcPr>
          <w:p w14:paraId="0440B099">
            <w:pPr>
              <w:rPr>
                <w:rFonts w:ascii="宋体" w:hAnsi="宋体" w:cs="宋体"/>
                <w:sz w:val="24"/>
                <w:szCs w:val="24"/>
              </w:rPr>
            </w:pPr>
          </w:p>
        </w:tc>
      </w:tr>
      <w:tr w14:paraId="2E14C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1880" w:type="dxa"/>
            <w:vMerge w:val="restart"/>
            <w:vAlign w:val="center"/>
          </w:tcPr>
          <w:p w14:paraId="60C09A3E">
            <w:pPr>
              <w:jc w:val="center"/>
              <w:rPr>
                <w:rFonts w:ascii="宋体" w:hAnsi="宋体" w:cs="宋体"/>
                <w:sz w:val="24"/>
                <w:szCs w:val="24"/>
              </w:rPr>
            </w:pPr>
            <w:r>
              <w:rPr>
                <w:rFonts w:hint="eastAsia" w:ascii="宋体" w:hAnsi="宋体"/>
                <w:sz w:val="24"/>
                <w:szCs w:val="24"/>
              </w:rPr>
              <w:t>近三年</w:t>
            </w:r>
            <w:r>
              <w:rPr>
                <w:rFonts w:hint="eastAsia" w:ascii="宋体" w:hAnsi="宋体" w:cs="宋体"/>
                <w:sz w:val="24"/>
                <w:szCs w:val="24"/>
              </w:rPr>
              <w:t>类似业绩</w:t>
            </w:r>
          </w:p>
        </w:tc>
        <w:tc>
          <w:tcPr>
            <w:tcW w:w="1568" w:type="dxa"/>
            <w:vAlign w:val="center"/>
          </w:tcPr>
          <w:p w14:paraId="2302D4B1">
            <w:pPr>
              <w:jc w:val="center"/>
              <w:rPr>
                <w:rFonts w:ascii="宋体" w:hAnsi="宋体" w:cs="宋体"/>
                <w:sz w:val="24"/>
                <w:szCs w:val="24"/>
              </w:rPr>
            </w:pPr>
            <w:r>
              <w:rPr>
                <w:rFonts w:hint="eastAsia" w:ascii="宋体" w:hAnsi="宋体" w:cs="宋体"/>
                <w:sz w:val="24"/>
                <w:szCs w:val="24"/>
              </w:rPr>
              <w:t>建设单位</w:t>
            </w:r>
          </w:p>
        </w:tc>
        <w:tc>
          <w:tcPr>
            <w:tcW w:w="1583" w:type="dxa"/>
            <w:gridSpan w:val="2"/>
            <w:vAlign w:val="center"/>
          </w:tcPr>
          <w:p w14:paraId="52E4E65D">
            <w:pPr>
              <w:jc w:val="center"/>
              <w:rPr>
                <w:rFonts w:ascii="宋体" w:hAnsi="宋体" w:cs="宋体"/>
                <w:sz w:val="24"/>
                <w:szCs w:val="24"/>
              </w:rPr>
            </w:pPr>
            <w:r>
              <w:rPr>
                <w:rFonts w:hint="eastAsia" w:ascii="宋体" w:hAnsi="宋体" w:cs="宋体"/>
                <w:sz w:val="24"/>
                <w:szCs w:val="24"/>
              </w:rPr>
              <w:t>项目名称</w:t>
            </w:r>
          </w:p>
        </w:tc>
        <w:tc>
          <w:tcPr>
            <w:tcW w:w="1582" w:type="dxa"/>
            <w:vAlign w:val="center"/>
          </w:tcPr>
          <w:p w14:paraId="45AB766D">
            <w:pPr>
              <w:jc w:val="center"/>
              <w:rPr>
                <w:rFonts w:ascii="宋体" w:hAnsi="宋体" w:cs="宋体"/>
                <w:sz w:val="24"/>
                <w:szCs w:val="24"/>
              </w:rPr>
            </w:pPr>
            <w:r>
              <w:rPr>
                <w:rFonts w:hint="eastAsia" w:ascii="宋体" w:hAnsi="宋体" w:cs="宋体"/>
                <w:sz w:val="24"/>
                <w:szCs w:val="24"/>
              </w:rPr>
              <w:t>建设规模</w:t>
            </w:r>
          </w:p>
        </w:tc>
        <w:tc>
          <w:tcPr>
            <w:tcW w:w="1583" w:type="dxa"/>
            <w:vAlign w:val="center"/>
          </w:tcPr>
          <w:p w14:paraId="03BFF0A3">
            <w:pPr>
              <w:jc w:val="center"/>
              <w:rPr>
                <w:rFonts w:ascii="宋体" w:hAnsi="宋体" w:cs="宋体"/>
                <w:sz w:val="24"/>
                <w:szCs w:val="24"/>
              </w:rPr>
            </w:pPr>
            <w:r>
              <w:rPr>
                <w:rFonts w:hint="eastAsia" w:ascii="宋体" w:hAnsi="宋体" w:cs="宋体"/>
                <w:sz w:val="24"/>
                <w:szCs w:val="24"/>
              </w:rPr>
              <w:t>建设时间</w:t>
            </w:r>
          </w:p>
        </w:tc>
        <w:tc>
          <w:tcPr>
            <w:tcW w:w="1056" w:type="dxa"/>
            <w:vAlign w:val="center"/>
          </w:tcPr>
          <w:p w14:paraId="7C932FCE">
            <w:pPr>
              <w:jc w:val="center"/>
              <w:rPr>
                <w:rFonts w:ascii="宋体" w:hAnsi="宋体" w:cs="宋体"/>
                <w:sz w:val="24"/>
                <w:szCs w:val="24"/>
              </w:rPr>
            </w:pPr>
            <w:r>
              <w:rPr>
                <w:rFonts w:hint="eastAsia" w:ascii="宋体" w:hAnsi="宋体" w:cs="宋体"/>
                <w:sz w:val="24"/>
                <w:szCs w:val="24"/>
              </w:rPr>
              <w:t>备注</w:t>
            </w:r>
          </w:p>
        </w:tc>
      </w:tr>
      <w:tr w14:paraId="024BC5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880" w:type="dxa"/>
            <w:vMerge w:val="continue"/>
            <w:vAlign w:val="center"/>
          </w:tcPr>
          <w:p w14:paraId="67418736">
            <w:pPr>
              <w:rPr>
                <w:rFonts w:ascii="宋体" w:hAnsi="宋体" w:cs="宋体"/>
                <w:sz w:val="24"/>
                <w:szCs w:val="24"/>
              </w:rPr>
            </w:pPr>
          </w:p>
        </w:tc>
        <w:tc>
          <w:tcPr>
            <w:tcW w:w="1568" w:type="dxa"/>
            <w:vAlign w:val="center"/>
          </w:tcPr>
          <w:p w14:paraId="67A18D5E">
            <w:pPr>
              <w:rPr>
                <w:rFonts w:ascii="宋体" w:hAnsi="宋体" w:cs="宋体"/>
                <w:sz w:val="24"/>
                <w:szCs w:val="24"/>
              </w:rPr>
            </w:pPr>
          </w:p>
        </w:tc>
        <w:tc>
          <w:tcPr>
            <w:tcW w:w="1583" w:type="dxa"/>
            <w:gridSpan w:val="2"/>
            <w:vAlign w:val="center"/>
          </w:tcPr>
          <w:p w14:paraId="2AF8F2A2">
            <w:pPr>
              <w:rPr>
                <w:rFonts w:ascii="宋体" w:hAnsi="宋体" w:cs="宋体"/>
                <w:sz w:val="24"/>
                <w:szCs w:val="24"/>
              </w:rPr>
            </w:pPr>
          </w:p>
        </w:tc>
        <w:tc>
          <w:tcPr>
            <w:tcW w:w="1582" w:type="dxa"/>
            <w:vAlign w:val="center"/>
          </w:tcPr>
          <w:p w14:paraId="05F55F56">
            <w:pPr>
              <w:rPr>
                <w:rFonts w:ascii="宋体" w:hAnsi="宋体" w:cs="宋体"/>
                <w:sz w:val="24"/>
                <w:szCs w:val="24"/>
              </w:rPr>
            </w:pPr>
          </w:p>
        </w:tc>
        <w:tc>
          <w:tcPr>
            <w:tcW w:w="1583" w:type="dxa"/>
            <w:vAlign w:val="center"/>
          </w:tcPr>
          <w:p w14:paraId="2FFBAD61">
            <w:pPr>
              <w:rPr>
                <w:rFonts w:ascii="宋体" w:hAnsi="宋体" w:cs="宋体"/>
                <w:sz w:val="24"/>
                <w:szCs w:val="24"/>
              </w:rPr>
            </w:pPr>
          </w:p>
        </w:tc>
        <w:tc>
          <w:tcPr>
            <w:tcW w:w="1056" w:type="dxa"/>
            <w:vAlign w:val="center"/>
          </w:tcPr>
          <w:p w14:paraId="2B82480F">
            <w:pPr>
              <w:rPr>
                <w:rFonts w:ascii="宋体" w:hAnsi="宋体" w:cs="宋体"/>
                <w:sz w:val="24"/>
                <w:szCs w:val="24"/>
              </w:rPr>
            </w:pPr>
          </w:p>
        </w:tc>
      </w:tr>
      <w:tr w14:paraId="697EF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880" w:type="dxa"/>
            <w:vMerge w:val="continue"/>
            <w:vAlign w:val="center"/>
          </w:tcPr>
          <w:p w14:paraId="38636CD4">
            <w:pPr>
              <w:rPr>
                <w:rFonts w:ascii="宋体" w:hAnsi="宋体" w:cs="宋体"/>
                <w:sz w:val="24"/>
                <w:szCs w:val="24"/>
              </w:rPr>
            </w:pPr>
          </w:p>
        </w:tc>
        <w:tc>
          <w:tcPr>
            <w:tcW w:w="1568" w:type="dxa"/>
            <w:vAlign w:val="center"/>
          </w:tcPr>
          <w:p w14:paraId="7D6EA1DE">
            <w:pPr>
              <w:rPr>
                <w:rFonts w:ascii="宋体" w:hAnsi="宋体" w:cs="宋体"/>
                <w:sz w:val="24"/>
                <w:szCs w:val="24"/>
              </w:rPr>
            </w:pPr>
          </w:p>
        </w:tc>
        <w:tc>
          <w:tcPr>
            <w:tcW w:w="1583" w:type="dxa"/>
            <w:gridSpan w:val="2"/>
            <w:vAlign w:val="center"/>
          </w:tcPr>
          <w:p w14:paraId="36B5CAB7">
            <w:pPr>
              <w:rPr>
                <w:rFonts w:ascii="宋体" w:hAnsi="宋体" w:cs="宋体"/>
                <w:sz w:val="24"/>
                <w:szCs w:val="24"/>
              </w:rPr>
            </w:pPr>
          </w:p>
        </w:tc>
        <w:tc>
          <w:tcPr>
            <w:tcW w:w="1582" w:type="dxa"/>
            <w:vAlign w:val="center"/>
          </w:tcPr>
          <w:p w14:paraId="01560480">
            <w:pPr>
              <w:rPr>
                <w:rFonts w:ascii="宋体" w:hAnsi="宋体" w:cs="宋体"/>
                <w:sz w:val="24"/>
                <w:szCs w:val="24"/>
              </w:rPr>
            </w:pPr>
          </w:p>
        </w:tc>
        <w:tc>
          <w:tcPr>
            <w:tcW w:w="1583" w:type="dxa"/>
            <w:vAlign w:val="center"/>
          </w:tcPr>
          <w:p w14:paraId="0A0786DA">
            <w:pPr>
              <w:rPr>
                <w:rFonts w:ascii="宋体" w:hAnsi="宋体" w:cs="宋体"/>
                <w:sz w:val="24"/>
                <w:szCs w:val="24"/>
              </w:rPr>
            </w:pPr>
          </w:p>
        </w:tc>
        <w:tc>
          <w:tcPr>
            <w:tcW w:w="1056" w:type="dxa"/>
            <w:vAlign w:val="center"/>
          </w:tcPr>
          <w:p w14:paraId="1E829F3E">
            <w:pPr>
              <w:rPr>
                <w:rFonts w:ascii="宋体" w:hAnsi="宋体" w:cs="宋体"/>
                <w:sz w:val="24"/>
                <w:szCs w:val="24"/>
              </w:rPr>
            </w:pPr>
          </w:p>
        </w:tc>
      </w:tr>
      <w:tr w14:paraId="7B156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880" w:type="dxa"/>
            <w:vMerge w:val="continue"/>
            <w:vAlign w:val="center"/>
          </w:tcPr>
          <w:p w14:paraId="45D4BA73">
            <w:pPr>
              <w:rPr>
                <w:rFonts w:ascii="宋体" w:hAnsi="宋体" w:cs="宋体"/>
                <w:sz w:val="24"/>
                <w:szCs w:val="24"/>
              </w:rPr>
            </w:pPr>
          </w:p>
        </w:tc>
        <w:tc>
          <w:tcPr>
            <w:tcW w:w="1568" w:type="dxa"/>
            <w:vAlign w:val="center"/>
          </w:tcPr>
          <w:p w14:paraId="535E9758">
            <w:pPr>
              <w:rPr>
                <w:rFonts w:ascii="宋体" w:hAnsi="宋体" w:cs="宋体"/>
                <w:sz w:val="24"/>
                <w:szCs w:val="24"/>
              </w:rPr>
            </w:pPr>
          </w:p>
        </w:tc>
        <w:tc>
          <w:tcPr>
            <w:tcW w:w="1583" w:type="dxa"/>
            <w:gridSpan w:val="2"/>
            <w:vAlign w:val="center"/>
          </w:tcPr>
          <w:p w14:paraId="099AE061">
            <w:pPr>
              <w:rPr>
                <w:rFonts w:ascii="宋体" w:hAnsi="宋体" w:cs="宋体"/>
                <w:sz w:val="24"/>
                <w:szCs w:val="24"/>
              </w:rPr>
            </w:pPr>
          </w:p>
        </w:tc>
        <w:tc>
          <w:tcPr>
            <w:tcW w:w="1582" w:type="dxa"/>
            <w:vAlign w:val="center"/>
          </w:tcPr>
          <w:p w14:paraId="0DB9016F">
            <w:pPr>
              <w:rPr>
                <w:rFonts w:ascii="宋体" w:hAnsi="宋体" w:cs="宋体"/>
                <w:sz w:val="24"/>
                <w:szCs w:val="24"/>
              </w:rPr>
            </w:pPr>
          </w:p>
        </w:tc>
        <w:tc>
          <w:tcPr>
            <w:tcW w:w="1583" w:type="dxa"/>
            <w:vAlign w:val="center"/>
          </w:tcPr>
          <w:p w14:paraId="527B81A3">
            <w:pPr>
              <w:rPr>
                <w:rFonts w:ascii="宋体" w:hAnsi="宋体" w:cs="宋体"/>
                <w:sz w:val="24"/>
                <w:szCs w:val="24"/>
              </w:rPr>
            </w:pPr>
          </w:p>
        </w:tc>
        <w:tc>
          <w:tcPr>
            <w:tcW w:w="1056" w:type="dxa"/>
            <w:vAlign w:val="center"/>
          </w:tcPr>
          <w:p w14:paraId="430D3833">
            <w:pPr>
              <w:rPr>
                <w:rFonts w:ascii="宋体" w:hAnsi="宋体" w:cs="宋体"/>
                <w:sz w:val="24"/>
                <w:szCs w:val="24"/>
              </w:rPr>
            </w:pPr>
          </w:p>
        </w:tc>
      </w:tr>
      <w:tr w14:paraId="04792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880" w:type="dxa"/>
            <w:vMerge w:val="continue"/>
            <w:vAlign w:val="center"/>
          </w:tcPr>
          <w:p w14:paraId="4108E7DB">
            <w:pPr>
              <w:rPr>
                <w:rFonts w:ascii="宋体" w:hAnsi="宋体" w:cs="宋体"/>
                <w:sz w:val="24"/>
                <w:szCs w:val="24"/>
              </w:rPr>
            </w:pPr>
          </w:p>
        </w:tc>
        <w:tc>
          <w:tcPr>
            <w:tcW w:w="1568" w:type="dxa"/>
            <w:vAlign w:val="center"/>
          </w:tcPr>
          <w:p w14:paraId="30F30DEA">
            <w:pPr>
              <w:rPr>
                <w:rFonts w:ascii="宋体" w:hAnsi="宋体" w:cs="宋体"/>
                <w:sz w:val="24"/>
                <w:szCs w:val="24"/>
              </w:rPr>
            </w:pPr>
          </w:p>
        </w:tc>
        <w:tc>
          <w:tcPr>
            <w:tcW w:w="1583" w:type="dxa"/>
            <w:gridSpan w:val="2"/>
            <w:vAlign w:val="center"/>
          </w:tcPr>
          <w:p w14:paraId="2C11EDFC">
            <w:pPr>
              <w:rPr>
                <w:rFonts w:ascii="宋体" w:hAnsi="宋体" w:cs="宋体"/>
                <w:sz w:val="24"/>
                <w:szCs w:val="24"/>
              </w:rPr>
            </w:pPr>
          </w:p>
        </w:tc>
        <w:tc>
          <w:tcPr>
            <w:tcW w:w="1582" w:type="dxa"/>
            <w:vAlign w:val="center"/>
          </w:tcPr>
          <w:p w14:paraId="485C3ED7">
            <w:pPr>
              <w:rPr>
                <w:rFonts w:ascii="宋体" w:hAnsi="宋体" w:cs="宋体"/>
                <w:sz w:val="24"/>
                <w:szCs w:val="24"/>
              </w:rPr>
            </w:pPr>
          </w:p>
        </w:tc>
        <w:tc>
          <w:tcPr>
            <w:tcW w:w="1583" w:type="dxa"/>
            <w:vAlign w:val="center"/>
          </w:tcPr>
          <w:p w14:paraId="4CE69CBC">
            <w:pPr>
              <w:rPr>
                <w:rFonts w:ascii="宋体" w:hAnsi="宋体" w:cs="宋体"/>
                <w:sz w:val="24"/>
                <w:szCs w:val="24"/>
              </w:rPr>
            </w:pPr>
          </w:p>
        </w:tc>
        <w:tc>
          <w:tcPr>
            <w:tcW w:w="1056" w:type="dxa"/>
            <w:vAlign w:val="center"/>
          </w:tcPr>
          <w:p w14:paraId="21987544">
            <w:pPr>
              <w:rPr>
                <w:rFonts w:ascii="宋体" w:hAnsi="宋体" w:cs="宋体"/>
                <w:sz w:val="24"/>
                <w:szCs w:val="24"/>
              </w:rPr>
            </w:pPr>
          </w:p>
        </w:tc>
      </w:tr>
      <w:tr w14:paraId="2C492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1880" w:type="dxa"/>
            <w:vMerge w:val="continue"/>
            <w:vAlign w:val="center"/>
          </w:tcPr>
          <w:p w14:paraId="39324E1D">
            <w:pPr>
              <w:rPr>
                <w:rFonts w:ascii="宋体" w:hAnsi="宋体" w:cs="宋体"/>
                <w:sz w:val="24"/>
                <w:szCs w:val="24"/>
              </w:rPr>
            </w:pPr>
          </w:p>
        </w:tc>
        <w:tc>
          <w:tcPr>
            <w:tcW w:w="1568" w:type="dxa"/>
            <w:vAlign w:val="center"/>
          </w:tcPr>
          <w:p w14:paraId="536148AF">
            <w:pPr>
              <w:rPr>
                <w:rFonts w:ascii="宋体" w:hAnsi="宋体" w:cs="宋体"/>
                <w:sz w:val="24"/>
                <w:szCs w:val="24"/>
              </w:rPr>
            </w:pPr>
          </w:p>
        </w:tc>
        <w:tc>
          <w:tcPr>
            <w:tcW w:w="1583" w:type="dxa"/>
            <w:gridSpan w:val="2"/>
            <w:vAlign w:val="center"/>
          </w:tcPr>
          <w:p w14:paraId="3AFDE112">
            <w:pPr>
              <w:rPr>
                <w:rFonts w:ascii="宋体" w:hAnsi="宋体" w:cs="宋体"/>
                <w:sz w:val="24"/>
                <w:szCs w:val="24"/>
              </w:rPr>
            </w:pPr>
          </w:p>
        </w:tc>
        <w:tc>
          <w:tcPr>
            <w:tcW w:w="1582" w:type="dxa"/>
            <w:vAlign w:val="center"/>
          </w:tcPr>
          <w:p w14:paraId="064B425D">
            <w:pPr>
              <w:rPr>
                <w:rFonts w:ascii="宋体" w:hAnsi="宋体" w:cs="宋体"/>
                <w:sz w:val="24"/>
                <w:szCs w:val="24"/>
              </w:rPr>
            </w:pPr>
          </w:p>
        </w:tc>
        <w:tc>
          <w:tcPr>
            <w:tcW w:w="1583" w:type="dxa"/>
            <w:vAlign w:val="center"/>
          </w:tcPr>
          <w:p w14:paraId="335C998E">
            <w:pPr>
              <w:rPr>
                <w:rFonts w:ascii="宋体" w:hAnsi="宋体" w:cs="宋体"/>
                <w:sz w:val="24"/>
                <w:szCs w:val="24"/>
              </w:rPr>
            </w:pPr>
          </w:p>
        </w:tc>
        <w:tc>
          <w:tcPr>
            <w:tcW w:w="1056" w:type="dxa"/>
            <w:vAlign w:val="center"/>
          </w:tcPr>
          <w:p w14:paraId="6D4572EF">
            <w:pPr>
              <w:rPr>
                <w:rFonts w:ascii="宋体" w:hAnsi="宋体" w:cs="宋体"/>
                <w:sz w:val="24"/>
                <w:szCs w:val="24"/>
              </w:rPr>
            </w:pPr>
          </w:p>
        </w:tc>
      </w:tr>
    </w:tbl>
    <w:p w14:paraId="51A9A81C">
      <w:pPr>
        <w:ind w:firstLine="480" w:firstLineChars="200"/>
        <w:rPr>
          <w:rFonts w:ascii="宋体" w:hAnsi="宋体" w:cs="宋体"/>
          <w:sz w:val="24"/>
          <w:szCs w:val="24"/>
        </w:rPr>
      </w:pPr>
      <w:r>
        <w:rPr>
          <w:rFonts w:hint="eastAsia" w:ascii="宋体" w:hAnsi="宋体" w:cs="宋体"/>
          <w:sz w:val="24"/>
          <w:szCs w:val="24"/>
        </w:rPr>
        <w:t>1、</w:t>
      </w:r>
      <w:r>
        <w:rPr>
          <w:rFonts w:hint="eastAsia" w:ascii="宋体" w:hAnsi="宋体"/>
          <w:bCs/>
          <w:sz w:val="24"/>
          <w:szCs w:val="24"/>
        </w:rPr>
        <w:t>项目负责人</w:t>
      </w:r>
      <w:r>
        <w:rPr>
          <w:rFonts w:hint="eastAsia" w:ascii="宋体" w:hAnsi="宋体" w:cs="宋体"/>
          <w:sz w:val="24"/>
          <w:szCs w:val="24"/>
        </w:rPr>
        <w:t>应附职称证书、注册证书、</w:t>
      </w:r>
      <w:r>
        <w:rPr>
          <w:rFonts w:hint="eastAsia" w:ascii="宋体" w:hAnsi="宋体"/>
          <w:bCs/>
          <w:sz w:val="24"/>
          <w:szCs w:val="24"/>
        </w:rPr>
        <w:t>学历证书</w:t>
      </w:r>
      <w:r>
        <w:rPr>
          <w:rFonts w:hint="eastAsia" w:ascii="宋体" w:hAnsi="宋体" w:cs="宋体"/>
          <w:sz w:val="24"/>
          <w:szCs w:val="24"/>
        </w:rPr>
        <w:t>复印件。</w:t>
      </w:r>
    </w:p>
    <w:p w14:paraId="3061462B">
      <w:pPr>
        <w:ind w:firstLine="480" w:firstLineChars="200"/>
        <w:rPr>
          <w:rFonts w:ascii="宋体" w:hAnsi="宋体"/>
          <w:sz w:val="24"/>
          <w:szCs w:val="24"/>
        </w:rPr>
      </w:pPr>
      <w:r>
        <w:rPr>
          <w:rFonts w:hint="eastAsia" w:ascii="宋体" w:hAnsi="宋体"/>
          <w:sz w:val="24"/>
          <w:szCs w:val="24"/>
        </w:rPr>
        <w:t>2、项目负责人近3年类似业绩应</w:t>
      </w:r>
      <w:r>
        <w:rPr>
          <w:rFonts w:hint="eastAsia" w:ascii="宋体" w:hAnsi="宋体" w:cs="宋体"/>
          <w:sz w:val="24"/>
          <w:szCs w:val="24"/>
        </w:rPr>
        <w:t>附</w:t>
      </w:r>
      <w:r>
        <w:rPr>
          <w:rFonts w:hint="eastAsia" w:ascii="宋体" w:hAnsi="宋体"/>
          <w:sz w:val="24"/>
          <w:szCs w:val="24"/>
        </w:rPr>
        <w:t>中标通知书或合同复印件。</w:t>
      </w:r>
    </w:p>
    <w:p w14:paraId="26A4FDBF">
      <w:pPr>
        <w:autoSpaceDE w:val="0"/>
        <w:autoSpaceDN w:val="0"/>
        <w:adjustRightInd w:val="0"/>
        <w:rPr>
          <w:rFonts w:ascii="宋体" w:hAnsi="宋体" w:cs="宋体"/>
          <w:sz w:val="24"/>
          <w:szCs w:val="24"/>
        </w:rPr>
      </w:pPr>
    </w:p>
    <w:p w14:paraId="1E0DB62B">
      <w:pPr>
        <w:autoSpaceDE w:val="0"/>
        <w:autoSpaceDN w:val="0"/>
        <w:adjustRightInd w:val="0"/>
        <w:rPr>
          <w:rFonts w:ascii="宋体" w:hAnsi="宋体" w:cs="宋体"/>
          <w:sz w:val="24"/>
          <w:szCs w:val="24"/>
          <w:lang w:val="zh-CN"/>
        </w:rPr>
      </w:pPr>
    </w:p>
    <w:p w14:paraId="348F3A9C">
      <w:pPr>
        <w:tabs>
          <w:tab w:val="center" w:pos="4832"/>
          <w:tab w:val="left" w:pos="7140"/>
        </w:tabs>
        <w:jc w:val="center"/>
        <w:rPr>
          <w:rFonts w:ascii="宋体" w:hAnsi="宋体" w:cs="宋体"/>
          <w:b/>
          <w:sz w:val="24"/>
          <w:szCs w:val="24"/>
        </w:rPr>
      </w:pPr>
      <w:bookmarkStart w:id="744" w:name="_Toc505078025"/>
      <w:r>
        <w:rPr>
          <w:rFonts w:hint="eastAsia" w:ascii="宋体" w:hAnsi="宋体" w:cs="宋体"/>
          <w:b/>
          <w:sz w:val="24"/>
          <w:szCs w:val="24"/>
        </w:rPr>
        <w:t>项目管理人员表</w:t>
      </w:r>
      <w:bookmarkEnd w:id="744"/>
    </w:p>
    <w:tbl>
      <w:tblPr>
        <w:tblStyle w:val="47"/>
        <w:tblW w:w="92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5"/>
        <w:gridCol w:w="1167"/>
        <w:gridCol w:w="1140"/>
        <w:gridCol w:w="1168"/>
        <w:gridCol w:w="1168"/>
        <w:gridCol w:w="1142"/>
        <w:gridCol w:w="1168"/>
        <w:gridCol w:w="1136"/>
      </w:tblGrid>
      <w:tr w14:paraId="51170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1165" w:type="dxa"/>
            <w:vAlign w:val="center"/>
          </w:tcPr>
          <w:p w14:paraId="5392FB25">
            <w:pPr>
              <w:jc w:val="center"/>
              <w:rPr>
                <w:rFonts w:ascii="宋体" w:hAnsi="宋体" w:cs="宋体"/>
                <w:sz w:val="24"/>
                <w:szCs w:val="24"/>
              </w:rPr>
            </w:pPr>
            <w:r>
              <w:rPr>
                <w:rFonts w:hint="eastAsia" w:ascii="宋体" w:hAnsi="宋体" w:cs="宋体"/>
                <w:sz w:val="24"/>
                <w:szCs w:val="24"/>
              </w:rPr>
              <w:t>姓名</w:t>
            </w:r>
          </w:p>
        </w:tc>
        <w:tc>
          <w:tcPr>
            <w:tcW w:w="1167" w:type="dxa"/>
            <w:vAlign w:val="center"/>
          </w:tcPr>
          <w:p w14:paraId="7E712FEF">
            <w:pPr>
              <w:jc w:val="center"/>
              <w:rPr>
                <w:rFonts w:ascii="宋体" w:hAnsi="宋体" w:cs="宋体"/>
                <w:sz w:val="24"/>
                <w:szCs w:val="24"/>
              </w:rPr>
            </w:pPr>
            <w:r>
              <w:rPr>
                <w:rFonts w:hint="eastAsia" w:ascii="宋体" w:hAnsi="宋体" w:cs="宋体"/>
                <w:sz w:val="24"/>
                <w:szCs w:val="24"/>
              </w:rPr>
              <w:t>身份证号码</w:t>
            </w:r>
          </w:p>
        </w:tc>
        <w:tc>
          <w:tcPr>
            <w:tcW w:w="1140" w:type="dxa"/>
            <w:vAlign w:val="center"/>
          </w:tcPr>
          <w:p w14:paraId="5E41CCC6">
            <w:pPr>
              <w:jc w:val="center"/>
              <w:rPr>
                <w:rFonts w:ascii="宋体" w:hAnsi="宋体" w:cs="宋体"/>
                <w:sz w:val="24"/>
                <w:szCs w:val="24"/>
              </w:rPr>
            </w:pPr>
            <w:r>
              <w:rPr>
                <w:rFonts w:hint="eastAsia" w:ascii="宋体" w:hAnsi="宋体" w:cs="宋体"/>
                <w:sz w:val="24"/>
                <w:szCs w:val="24"/>
              </w:rPr>
              <w:t>性别</w:t>
            </w:r>
          </w:p>
        </w:tc>
        <w:tc>
          <w:tcPr>
            <w:tcW w:w="1168" w:type="dxa"/>
            <w:vAlign w:val="center"/>
          </w:tcPr>
          <w:p w14:paraId="1F07919E">
            <w:pPr>
              <w:jc w:val="center"/>
              <w:rPr>
                <w:rFonts w:ascii="宋体" w:hAnsi="宋体" w:cs="宋体"/>
                <w:sz w:val="24"/>
                <w:szCs w:val="24"/>
              </w:rPr>
            </w:pPr>
            <w:r>
              <w:rPr>
                <w:rFonts w:hint="eastAsia" w:ascii="宋体" w:hAnsi="宋体" w:cs="宋体"/>
                <w:sz w:val="24"/>
                <w:szCs w:val="24"/>
              </w:rPr>
              <w:t>职称</w:t>
            </w:r>
          </w:p>
        </w:tc>
        <w:tc>
          <w:tcPr>
            <w:tcW w:w="1168" w:type="dxa"/>
            <w:vAlign w:val="center"/>
          </w:tcPr>
          <w:p w14:paraId="6B85D6ED">
            <w:pPr>
              <w:jc w:val="center"/>
              <w:rPr>
                <w:rFonts w:ascii="宋体" w:hAnsi="宋体" w:cs="宋体"/>
                <w:sz w:val="24"/>
                <w:szCs w:val="24"/>
              </w:rPr>
            </w:pPr>
            <w:r>
              <w:rPr>
                <w:rFonts w:hint="eastAsia" w:ascii="宋体" w:hAnsi="宋体" w:cs="宋体"/>
                <w:sz w:val="24"/>
                <w:szCs w:val="24"/>
              </w:rPr>
              <w:t>学历</w:t>
            </w:r>
          </w:p>
        </w:tc>
        <w:tc>
          <w:tcPr>
            <w:tcW w:w="1142" w:type="dxa"/>
            <w:vAlign w:val="center"/>
          </w:tcPr>
          <w:p w14:paraId="188383B8">
            <w:pPr>
              <w:jc w:val="center"/>
              <w:rPr>
                <w:rFonts w:ascii="宋体" w:hAnsi="宋体" w:cs="宋体"/>
                <w:sz w:val="24"/>
                <w:szCs w:val="24"/>
              </w:rPr>
            </w:pPr>
            <w:r>
              <w:rPr>
                <w:rFonts w:hint="eastAsia" w:ascii="宋体" w:hAnsi="宋体" w:cs="宋体"/>
                <w:sz w:val="24"/>
                <w:szCs w:val="24"/>
              </w:rPr>
              <w:t>专业</w:t>
            </w:r>
          </w:p>
        </w:tc>
        <w:tc>
          <w:tcPr>
            <w:tcW w:w="1168" w:type="dxa"/>
            <w:vAlign w:val="center"/>
          </w:tcPr>
          <w:p w14:paraId="499B4F7D">
            <w:pPr>
              <w:jc w:val="center"/>
              <w:rPr>
                <w:rFonts w:ascii="宋体" w:hAnsi="宋体" w:cs="宋体"/>
                <w:sz w:val="24"/>
                <w:szCs w:val="24"/>
              </w:rPr>
            </w:pPr>
            <w:r>
              <w:rPr>
                <w:rFonts w:hint="eastAsia" w:ascii="宋体" w:hAnsi="宋体" w:cs="宋体"/>
                <w:sz w:val="24"/>
                <w:szCs w:val="24"/>
              </w:rPr>
              <w:t>从事项目管理年限</w:t>
            </w:r>
          </w:p>
        </w:tc>
        <w:tc>
          <w:tcPr>
            <w:tcW w:w="1136" w:type="dxa"/>
            <w:vAlign w:val="center"/>
          </w:tcPr>
          <w:p w14:paraId="3BEB6599">
            <w:pPr>
              <w:jc w:val="center"/>
              <w:rPr>
                <w:rFonts w:ascii="宋体" w:hAnsi="宋体" w:cs="宋体"/>
                <w:sz w:val="24"/>
                <w:szCs w:val="24"/>
              </w:rPr>
            </w:pPr>
            <w:r>
              <w:rPr>
                <w:rFonts w:hint="eastAsia" w:ascii="宋体" w:hAnsi="宋体" w:cs="宋体"/>
                <w:sz w:val="24"/>
                <w:szCs w:val="24"/>
              </w:rPr>
              <w:t>备注</w:t>
            </w:r>
          </w:p>
        </w:tc>
      </w:tr>
      <w:tr w14:paraId="40FF7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1165" w:type="dxa"/>
          </w:tcPr>
          <w:p w14:paraId="7712FE4D">
            <w:pPr>
              <w:rPr>
                <w:rFonts w:ascii="宋体" w:hAnsi="宋体" w:cs="宋体"/>
                <w:sz w:val="24"/>
                <w:szCs w:val="24"/>
              </w:rPr>
            </w:pPr>
          </w:p>
        </w:tc>
        <w:tc>
          <w:tcPr>
            <w:tcW w:w="1167" w:type="dxa"/>
          </w:tcPr>
          <w:p w14:paraId="2B775AE6">
            <w:pPr>
              <w:rPr>
                <w:rFonts w:ascii="宋体" w:hAnsi="宋体" w:cs="宋体"/>
                <w:sz w:val="24"/>
                <w:szCs w:val="24"/>
              </w:rPr>
            </w:pPr>
          </w:p>
        </w:tc>
        <w:tc>
          <w:tcPr>
            <w:tcW w:w="1140" w:type="dxa"/>
          </w:tcPr>
          <w:p w14:paraId="581ABC59">
            <w:pPr>
              <w:rPr>
                <w:rFonts w:ascii="宋体" w:hAnsi="宋体" w:cs="宋体"/>
                <w:sz w:val="24"/>
                <w:szCs w:val="24"/>
              </w:rPr>
            </w:pPr>
          </w:p>
        </w:tc>
        <w:tc>
          <w:tcPr>
            <w:tcW w:w="1168" w:type="dxa"/>
          </w:tcPr>
          <w:p w14:paraId="4B23B4BE">
            <w:pPr>
              <w:rPr>
                <w:rFonts w:ascii="宋体" w:hAnsi="宋体" w:cs="宋体"/>
                <w:sz w:val="24"/>
                <w:szCs w:val="24"/>
              </w:rPr>
            </w:pPr>
          </w:p>
        </w:tc>
        <w:tc>
          <w:tcPr>
            <w:tcW w:w="1168" w:type="dxa"/>
          </w:tcPr>
          <w:p w14:paraId="0C2097E3">
            <w:pPr>
              <w:rPr>
                <w:rFonts w:ascii="宋体" w:hAnsi="宋体" w:cs="宋体"/>
                <w:sz w:val="24"/>
                <w:szCs w:val="24"/>
              </w:rPr>
            </w:pPr>
          </w:p>
        </w:tc>
        <w:tc>
          <w:tcPr>
            <w:tcW w:w="1142" w:type="dxa"/>
          </w:tcPr>
          <w:p w14:paraId="4367C732">
            <w:pPr>
              <w:rPr>
                <w:rFonts w:ascii="宋体" w:hAnsi="宋体" w:cs="宋体"/>
                <w:sz w:val="24"/>
                <w:szCs w:val="24"/>
              </w:rPr>
            </w:pPr>
          </w:p>
        </w:tc>
        <w:tc>
          <w:tcPr>
            <w:tcW w:w="1168" w:type="dxa"/>
          </w:tcPr>
          <w:p w14:paraId="0B988AC0">
            <w:pPr>
              <w:rPr>
                <w:rFonts w:ascii="宋体" w:hAnsi="宋体" w:cs="宋体"/>
                <w:sz w:val="24"/>
                <w:szCs w:val="24"/>
              </w:rPr>
            </w:pPr>
          </w:p>
        </w:tc>
        <w:tc>
          <w:tcPr>
            <w:tcW w:w="1136" w:type="dxa"/>
          </w:tcPr>
          <w:p w14:paraId="19FE098A">
            <w:pPr>
              <w:rPr>
                <w:rFonts w:ascii="宋体" w:hAnsi="宋体" w:cs="宋体"/>
                <w:sz w:val="24"/>
                <w:szCs w:val="24"/>
              </w:rPr>
            </w:pPr>
          </w:p>
        </w:tc>
      </w:tr>
      <w:tr w14:paraId="22842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9" w:hRule="atLeast"/>
          <w:jc w:val="center"/>
        </w:trPr>
        <w:tc>
          <w:tcPr>
            <w:tcW w:w="1165" w:type="dxa"/>
          </w:tcPr>
          <w:p w14:paraId="4577B74D">
            <w:pPr>
              <w:rPr>
                <w:rFonts w:ascii="宋体" w:hAnsi="宋体" w:cs="宋体"/>
                <w:sz w:val="24"/>
                <w:szCs w:val="24"/>
              </w:rPr>
            </w:pPr>
          </w:p>
        </w:tc>
        <w:tc>
          <w:tcPr>
            <w:tcW w:w="1167" w:type="dxa"/>
          </w:tcPr>
          <w:p w14:paraId="030542CD">
            <w:pPr>
              <w:rPr>
                <w:rFonts w:ascii="宋体" w:hAnsi="宋体" w:cs="宋体"/>
                <w:sz w:val="24"/>
                <w:szCs w:val="24"/>
              </w:rPr>
            </w:pPr>
          </w:p>
        </w:tc>
        <w:tc>
          <w:tcPr>
            <w:tcW w:w="1140" w:type="dxa"/>
          </w:tcPr>
          <w:p w14:paraId="18930971">
            <w:pPr>
              <w:rPr>
                <w:rFonts w:ascii="宋体" w:hAnsi="宋体" w:cs="宋体"/>
                <w:sz w:val="24"/>
                <w:szCs w:val="24"/>
              </w:rPr>
            </w:pPr>
          </w:p>
        </w:tc>
        <w:tc>
          <w:tcPr>
            <w:tcW w:w="1168" w:type="dxa"/>
          </w:tcPr>
          <w:p w14:paraId="386917CE">
            <w:pPr>
              <w:rPr>
                <w:rFonts w:ascii="宋体" w:hAnsi="宋体" w:cs="宋体"/>
                <w:sz w:val="24"/>
                <w:szCs w:val="24"/>
              </w:rPr>
            </w:pPr>
          </w:p>
        </w:tc>
        <w:tc>
          <w:tcPr>
            <w:tcW w:w="1168" w:type="dxa"/>
          </w:tcPr>
          <w:p w14:paraId="2B4A235D">
            <w:pPr>
              <w:rPr>
                <w:rFonts w:ascii="宋体" w:hAnsi="宋体" w:cs="宋体"/>
                <w:sz w:val="24"/>
                <w:szCs w:val="24"/>
              </w:rPr>
            </w:pPr>
          </w:p>
        </w:tc>
        <w:tc>
          <w:tcPr>
            <w:tcW w:w="1142" w:type="dxa"/>
          </w:tcPr>
          <w:p w14:paraId="227C5583">
            <w:pPr>
              <w:rPr>
                <w:rFonts w:ascii="宋体" w:hAnsi="宋体" w:cs="宋体"/>
                <w:sz w:val="24"/>
                <w:szCs w:val="24"/>
              </w:rPr>
            </w:pPr>
          </w:p>
        </w:tc>
        <w:tc>
          <w:tcPr>
            <w:tcW w:w="1168" w:type="dxa"/>
          </w:tcPr>
          <w:p w14:paraId="52D69897">
            <w:pPr>
              <w:rPr>
                <w:rFonts w:ascii="宋体" w:hAnsi="宋体" w:cs="宋体"/>
                <w:sz w:val="24"/>
                <w:szCs w:val="24"/>
              </w:rPr>
            </w:pPr>
          </w:p>
        </w:tc>
        <w:tc>
          <w:tcPr>
            <w:tcW w:w="1136" w:type="dxa"/>
          </w:tcPr>
          <w:p w14:paraId="7B7D82FF">
            <w:pPr>
              <w:rPr>
                <w:rFonts w:ascii="宋体" w:hAnsi="宋体" w:cs="宋体"/>
                <w:sz w:val="24"/>
                <w:szCs w:val="24"/>
              </w:rPr>
            </w:pPr>
          </w:p>
        </w:tc>
      </w:tr>
      <w:tr w14:paraId="7F7B6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165" w:type="dxa"/>
          </w:tcPr>
          <w:p w14:paraId="7ABC7F5E">
            <w:pPr>
              <w:rPr>
                <w:rFonts w:ascii="宋体" w:hAnsi="宋体" w:cs="宋体"/>
                <w:sz w:val="24"/>
                <w:szCs w:val="24"/>
              </w:rPr>
            </w:pPr>
          </w:p>
        </w:tc>
        <w:tc>
          <w:tcPr>
            <w:tcW w:w="1167" w:type="dxa"/>
          </w:tcPr>
          <w:p w14:paraId="62B5EE5B">
            <w:pPr>
              <w:rPr>
                <w:rFonts w:ascii="宋体" w:hAnsi="宋体" w:cs="宋体"/>
                <w:sz w:val="24"/>
                <w:szCs w:val="24"/>
              </w:rPr>
            </w:pPr>
          </w:p>
        </w:tc>
        <w:tc>
          <w:tcPr>
            <w:tcW w:w="1140" w:type="dxa"/>
          </w:tcPr>
          <w:p w14:paraId="6E5BC88C">
            <w:pPr>
              <w:rPr>
                <w:rFonts w:ascii="宋体" w:hAnsi="宋体" w:cs="宋体"/>
                <w:sz w:val="24"/>
                <w:szCs w:val="24"/>
              </w:rPr>
            </w:pPr>
          </w:p>
        </w:tc>
        <w:tc>
          <w:tcPr>
            <w:tcW w:w="1168" w:type="dxa"/>
          </w:tcPr>
          <w:p w14:paraId="0CAD1118">
            <w:pPr>
              <w:rPr>
                <w:rFonts w:ascii="宋体" w:hAnsi="宋体" w:cs="宋体"/>
                <w:sz w:val="24"/>
                <w:szCs w:val="24"/>
              </w:rPr>
            </w:pPr>
          </w:p>
        </w:tc>
        <w:tc>
          <w:tcPr>
            <w:tcW w:w="1168" w:type="dxa"/>
          </w:tcPr>
          <w:p w14:paraId="0E90026D">
            <w:pPr>
              <w:rPr>
                <w:rFonts w:ascii="宋体" w:hAnsi="宋体" w:cs="宋体"/>
                <w:sz w:val="24"/>
                <w:szCs w:val="24"/>
              </w:rPr>
            </w:pPr>
          </w:p>
        </w:tc>
        <w:tc>
          <w:tcPr>
            <w:tcW w:w="1142" w:type="dxa"/>
          </w:tcPr>
          <w:p w14:paraId="5180A682">
            <w:pPr>
              <w:rPr>
                <w:rFonts w:ascii="宋体" w:hAnsi="宋体" w:cs="宋体"/>
                <w:sz w:val="24"/>
                <w:szCs w:val="24"/>
              </w:rPr>
            </w:pPr>
          </w:p>
        </w:tc>
        <w:tc>
          <w:tcPr>
            <w:tcW w:w="1168" w:type="dxa"/>
          </w:tcPr>
          <w:p w14:paraId="369DD9DB">
            <w:pPr>
              <w:rPr>
                <w:rFonts w:ascii="宋体" w:hAnsi="宋体" w:cs="宋体"/>
                <w:sz w:val="24"/>
                <w:szCs w:val="24"/>
              </w:rPr>
            </w:pPr>
          </w:p>
        </w:tc>
        <w:tc>
          <w:tcPr>
            <w:tcW w:w="1136" w:type="dxa"/>
          </w:tcPr>
          <w:p w14:paraId="4F9EA2AD">
            <w:pPr>
              <w:rPr>
                <w:rFonts w:ascii="宋体" w:hAnsi="宋体" w:cs="宋体"/>
                <w:sz w:val="24"/>
                <w:szCs w:val="24"/>
              </w:rPr>
            </w:pPr>
          </w:p>
        </w:tc>
      </w:tr>
      <w:tr w14:paraId="630FE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165" w:type="dxa"/>
          </w:tcPr>
          <w:p w14:paraId="00BA5EDA">
            <w:pPr>
              <w:rPr>
                <w:rFonts w:ascii="宋体" w:hAnsi="宋体" w:cs="宋体"/>
                <w:sz w:val="24"/>
                <w:szCs w:val="24"/>
              </w:rPr>
            </w:pPr>
          </w:p>
        </w:tc>
        <w:tc>
          <w:tcPr>
            <w:tcW w:w="1167" w:type="dxa"/>
          </w:tcPr>
          <w:p w14:paraId="0BEC5D9F">
            <w:pPr>
              <w:rPr>
                <w:rFonts w:ascii="宋体" w:hAnsi="宋体" w:cs="宋体"/>
                <w:sz w:val="24"/>
                <w:szCs w:val="24"/>
              </w:rPr>
            </w:pPr>
          </w:p>
        </w:tc>
        <w:tc>
          <w:tcPr>
            <w:tcW w:w="1140" w:type="dxa"/>
          </w:tcPr>
          <w:p w14:paraId="688A8BB4">
            <w:pPr>
              <w:rPr>
                <w:rFonts w:ascii="宋体" w:hAnsi="宋体" w:cs="宋体"/>
                <w:sz w:val="24"/>
                <w:szCs w:val="24"/>
              </w:rPr>
            </w:pPr>
          </w:p>
        </w:tc>
        <w:tc>
          <w:tcPr>
            <w:tcW w:w="1168" w:type="dxa"/>
          </w:tcPr>
          <w:p w14:paraId="76D4F4DF">
            <w:pPr>
              <w:rPr>
                <w:rFonts w:ascii="宋体" w:hAnsi="宋体" w:cs="宋体"/>
                <w:sz w:val="24"/>
                <w:szCs w:val="24"/>
              </w:rPr>
            </w:pPr>
          </w:p>
        </w:tc>
        <w:tc>
          <w:tcPr>
            <w:tcW w:w="1168" w:type="dxa"/>
          </w:tcPr>
          <w:p w14:paraId="367E1C1F">
            <w:pPr>
              <w:rPr>
                <w:rFonts w:ascii="宋体" w:hAnsi="宋体" w:cs="宋体"/>
                <w:sz w:val="24"/>
                <w:szCs w:val="24"/>
              </w:rPr>
            </w:pPr>
          </w:p>
        </w:tc>
        <w:tc>
          <w:tcPr>
            <w:tcW w:w="1142" w:type="dxa"/>
          </w:tcPr>
          <w:p w14:paraId="3D8A9EDC">
            <w:pPr>
              <w:rPr>
                <w:rFonts w:ascii="宋体" w:hAnsi="宋体" w:cs="宋体"/>
                <w:sz w:val="24"/>
                <w:szCs w:val="24"/>
              </w:rPr>
            </w:pPr>
          </w:p>
        </w:tc>
        <w:tc>
          <w:tcPr>
            <w:tcW w:w="1168" w:type="dxa"/>
          </w:tcPr>
          <w:p w14:paraId="38C78E85">
            <w:pPr>
              <w:rPr>
                <w:rFonts w:ascii="宋体" w:hAnsi="宋体" w:cs="宋体"/>
                <w:sz w:val="24"/>
                <w:szCs w:val="24"/>
              </w:rPr>
            </w:pPr>
          </w:p>
        </w:tc>
        <w:tc>
          <w:tcPr>
            <w:tcW w:w="1136" w:type="dxa"/>
          </w:tcPr>
          <w:p w14:paraId="0ECB8242">
            <w:pPr>
              <w:rPr>
                <w:rFonts w:ascii="宋体" w:hAnsi="宋体" w:cs="宋体"/>
                <w:sz w:val="24"/>
                <w:szCs w:val="24"/>
              </w:rPr>
            </w:pPr>
          </w:p>
        </w:tc>
      </w:tr>
      <w:tr w14:paraId="467E4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1165" w:type="dxa"/>
          </w:tcPr>
          <w:p w14:paraId="352F9086">
            <w:pPr>
              <w:rPr>
                <w:rFonts w:ascii="宋体" w:hAnsi="宋体" w:cs="宋体"/>
                <w:sz w:val="24"/>
                <w:szCs w:val="24"/>
              </w:rPr>
            </w:pPr>
          </w:p>
        </w:tc>
        <w:tc>
          <w:tcPr>
            <w:tcW w:w="1167" w:type="dxa"/>
          </w:tcPr>
          <w:p w14:paraId="71660A1D">
            <w:pPr>
              <w:rPr>
                <w:rFonts w:ascii="宋体" w:hAnsi="宋体" w:cs="宋体"/>
                <w:sz w:val="24"/>
                <w:szCs w:val="24"/>
              </w:rPr>
            </w:pPr>
          </w:p>
        </w:tc>
        <w:tc>
          <w:tcPr>
            <w:tcW w:w="1140" w:type="dxa"/>
          </w:tcPr>
          <w:p w14:paraId="18EAEEEA">
            <w:pPr>
              <w:rPr>
                <w:rFonts w:ascii="宋体" w:hAnsi="宋体" w:cs="宋体"/>
                <w:sz w:val="24"/>
                <w:szCs w:val="24"/>
              </w:rPr>
            </w:pPr>
          </w:p>
        </w:tc>
        <w:tc>
          <w:tcPr>
            <w:tcW w:w="1168" w:type="dxa"/>
          </w:tcPr>
          <w:p w14:paraId="369BF6FB">
            <w:pPr>
              <w:rPr>
                <w:rFonts w:ascii="宋体" w:hAnsi="宋体" w:cs="宋体"/>
                <w:sz w:val="24"/>
                <w:szCs w:val="24"/>
              </w:rPr>
            </w:pPr>
          </w:p>
        </w:tc>
        <w:tc>
          <w:tcPr>
            <w:tcW w:w="1168" w:type="dxa"/>
          </w:tcPr>
          <w:p w14:paraId="3C79A6DD">
            <w:pPr>
              <w:rPr>
                <w:rFonts w:ascii="宋体" w:hAnsi="宋体" w:cs="宋体"/>
                <w:sz w:val="24"/>
                <w:szCs w:val="24"/>
              </w:rPr>
            </w:pPr>
          </w:p>
        </w:tc>
        <w:tc>
          <w:tcPr>
            <w:tcW w:w="1142" w:type="dxa"/>
          </w:tcPr>
          <w:p w14:paraId="4632233C">
            <w:pPr>
              <w:rPr>
                <w:rFonts w:ascii="宋体" w:hAnsi="宋体" w:cs="宋体"/>
                <w:sz w:val="24"/>
                <w:szCs w:val="24"/>
              </w:rPr>
            </w:pPr>
          </w:p>
        </w:tc>
        <w:tc>
          <w:tcPr>
            <w:tcW w:w="1168" w:type="dxa"/>
          </w:tcPr>
          <w:p w14:paraId="5D014F51">
            <w:pPr>
              <w:rPr>
                <w:rFonts w:ascii="宋体" w:hAnsi="宋体" w:cs="宋体"/>
                <w:sz w:val="24"/>
                <w:szCs w:val="24"/>
              </w:rPr>
            </w:pPr>
          </w:p>
        </w:tc>
        <w:tc>
          <w:tcPr>
            <w:tcW w:w="1136" w:type="dxa"/>
          </w:tcPr>
          <w:p w14:paraId="7798877E">
            <w:pPr>
              <w:rPr>
                <w:rFonts w:ascii="宋体" w:hAnsi="宋体" w:cs="宋体"/>
                <w:sz w:val="24"/>
                <w:szCs w:val="24"/>
              </w:rPr>
            </w:pPr>
          </w:p>
        </w:tc>
      </w:tr>
      <w:tr w14:paraId="71281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1165" w:type="dxa"/>
          </w:tcPr>
          <w:p w14:paraId="44B6F53B">
            <w:pPr>
              <w:rPr>
                <w:rFonts w:ascii="宋体" w:hAnsi="宋体" w:cs="宋体"/>
                <w:sz w:val="24"/>
                <w:szCs w:val="24"/>
              </w:rPr>
            </w:pPr>
          </w:p>
        </w:tc>
        <w:tc>
          <w:tcPr>
            <w:tcW w:w="1167" w:type="dxa"/>
          </w:tcPr>
          <w:p w14:paraId="116C0388">
            <w:pPr>
              <w:rPr>
                <w:rFonts w:ascii="宋体" w:hAnsi="宋体" w:cs="宋体"/>
                <w:sz w:val="24"/>
                <w:szCs w:val="24"/>
              </w:rPr>
            </w:pPr>
          </w:p>
        </w:tc>
        <w:tc>
          <w:tcPr>
            <w:tcW w:w="1140" w:type="dxa"/>
          </w:tcPr>
          <w:p w14:paraId="3F645AA5">
            <w:pPr>
              <w:rPr>
                <w:rFonts w:ascii="宋体" w:hAnsi="宋体" w:cs="宋体"/>
                <w:sz w:val="24"/>
                <w:szCs w:val="24"/>
              </w:rPr>
            </w:pPr>
          </w:p>
        </w:tc>
        <w:tc>
          <w:tcPr>
            <w:tcW w:w="1168" w:type="dxa"/>
          </w:tcPr>
          <w:p w14:paraId="642A4596">
            <w:pPr>
              <w:rPr>
                <w:rFonts w:ascii="宋体" w:hAnsi="宋体" w:cs="宋体"/>
                <w:sz w:val="24"/>
                <w:szCs w:val="24"/>
              </w:rPr>
            </w:pPr>
          </w:p>
        </w:tc>
        <w:tc>
          <w:tcPr>
            <w:tcW w:w="1168" w:type="dxa"/>
          </w:tcPr>
          <w:p w14:paraId="33B3CC93">
            <w:pPr>
              <w:rPr>
                <w:rFonts w:ascii="宋体" w:hAnsi="宋体" w:cs="宋体"/>
                <w:sz w:val="24"/>
                <w:szCs w:val="24"/>
              </w:rPr>
            </w:pPr>
          </w:p>
        </w:tc>
        <w:tc>
          <w:tcPr>
            <w:tcW w:w="1142" w:type="dxa"/>
          </w:tcPr>
          <w:p w14:paraId="6899EC09">
            <w:pPr>
              <w:rPr>
                <w:rFonts w:ascii="宋体" w:hAnsi="宋体" w:cs="宋体"/>
                <w:sz w:val="24"/>
                <w:szCs w:val="24"/>
              </w:rPr>
            </w:pPr>
          </w:p>
        </w:tc>
        <w:tc>
          <w:tcPr>
            <w:tcW w:w="1168" w:type="dxa"/>
          </w:tcPr>
          <w:p w14:paraId="3E7B6D06">
            <w:pPr>
              <w:rPr>
                <w:rFonts w:ascii="宋体" w:hAnsi="宋体" w:cs="宋体"/>
                <w:sz w:val="24"/>
                <w:szCs w:val="24"/>
              </w:rPr>
            </w:pPr>
          </w:p>
        </w:tc>
        <w:tc>
          <w:tcPr>
            <w:tcW w:w="1136" w:type="dxa"/>
          </w:tcPr>
          <w:p w14:paraId="5438D5AA">
            <w:pPr>
              <w:rPr>
                <w:rFonts w:ascii="宋体" w:hAnsi="宋体" w:cs="宋体"/>
                <w:sz w:val="24"/>
                <w:szCs w:val="24"/>
              </w:rPr>
            </w:pPr>
          </w:p>
        </w:tc>
      </w:tr>
      <w:tr w14:paraId="4EC85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1165" w:type="dxa"/>
          </w:tcPr>
          <w:p w14:paraId="7A9D061D">
            <w:pPr>
              <w:rPr>
                <w:rFonts w:ascii="宋体" w:hAnsi="宋体" w:cs="宋体"/>
                <w:sz w:val="24"/>
                <w:szCs w:val="24"/>
              </w:rPr>
            </w:pPr>
          </w:p>
        </w:tc>
        <w:tc>
          <w:tcPr>
            <w:tcW w:w="1167" w:type="dxa"/>
          </w:tcPr>
          <w:p w14:paraId="2F7DCF2E">
            <w:pPr>
              <w:rPr>
                <w:rFonts w:ascii="宋体" w:hAnsi="宋体" w:cs="宋体"/>
                <w:sz w:val="24"/>
                <w:szCs w:val="24"/>
              </w:rPr>
            </w:pPr>
          </w:p>
        </w:tc>
        <w:tc>
          <w:tcPr>
            <w:tcW w:w="1140" w:type="dxa"/>
          </w:tcPr>
          <w:p w14:paraId="4DE17672">
            <w:pPr>
              <w:rPr>
                <w:rFonts w:ascii="宋体" w:hAnsi="宋体" w:cs="宋体"/>
                <w:sz w:val="24"/>
                <w:szCs w:val="24"/>
              </w:rPr>
            </w:pPr>
          </w:p>
        </w:tc>
        <w:tc>
          <w:tcPr>
            <w:tcW w:w="1168" w:type="dxa"/>
          </w:tcPr>
          <w:p w14:paraId="320D8BF1">
            <w:pPr>
              <w:rPr>
                <w:rFonts w:ascii="宋体" w:hAnsi="宋体" w:cs="宋体"/>
                <w:sz w:val="24"/>
                <w:szCs w:val="24"/>
              </w:rPr>
            </w:pPr>
          </w:p>
        </w:tc>
        <w:tc>
          <w:tcPr>
            <w:tcW w:w="1168" w:type="dxa"/>
          </w:tcPr>
          <w:p w14:paraId="6730D41E">
            <w:pPr>
              <w:rPr>
                <w:rFonts w:ascii="宋体" w:hAnsi="宋体" w:cs="宋体"/>
                <w:sz w:val="24"/>
                <w:szCs w:val="24"/>
              </w:rPr>
            </w:pPr>
          </w:p>
        </w:tc>
        <w:tc>
          <w:tcPr>
            <w:tcW w:w="1142" w:type="dxa"/>
          </w:tcPr>
          <w:p w14:paraId="02AD04D1">
            <w:pPr>
              <w:rPr>
                <w:rFonts w:ascii="宋体" w:hAnsi="宋体" w:cs="宋体"/>
                <w:sz w:val="24"/>
                <w:szCs w:val="24"/>
              </w:rPr>
            </w:pPr>
          </w:p>
        </w:tc>
        <w:tc>
          <w:tcPr>
            <w:tcW w:w="1168" w:type="dxa"/>
          </w:tcPr>
          <w:p w14:paraId="647A6959">
            <w:pPr>
              <w:rPr>
                <w:rFonts w:ascii="宋体" w:hAnsi="宋体" w:cs="宋体"/>
                <w:sz w:val="24"/>
                <w:szCs w:val="24"/>
              </w:rPr>
            </w:pPr>
          </w:p>
        </w:tc>
        <w:tc>
          <w:tcPr>
            <w:tcW w:w="1136" w:type="dxa"/>
          </w:tcPr>
          <w:p w14:paraId="5C6B56D0">
            <w:pPr>
              <w:rPr>
                <w:rFonts w:ascii="宋体" w:hAnsi="宋体" w:cs="宋体"/>
                <w:sz w:val="24"/>
                <w:szCs w:val="24"/>
              </w:rPr>
            </w:pPr>
          </w:p>
        </w:tc>
      </w:tr>
    </w:tbl>
    <w:p w14:paraId="0997BDF7">
      <w:pPr>
        <w:ind w:firstLine="480" w:firstLineChars="200"/>
        <w:rPr>
          <w:rFonts w:ascii="宋体" w:hAnsi="宋体"/>
          <w:sz w:val="24"/>
          <w:szCs w:val="24"/>
        </w:rPr>
      </w:pPr>
      <w:r>
        <w:rPr>
          <w:rFonts w:hint="eastAsia" w:ascii="宋体" w:hAnsi="宋体"/>
          <w:sz w:val="24"/>
          <w:szCs w:val="24"/>
        </w:rPr>
        <w:t>1、项目管理人员应包括：技术负责人、安全员、质检员、施工员、资料员等需要配备的其他关键人员。</w:t>
      </w:r>
    </w:p>
    <w:p w14:paraId="68BF36FD">
      <w:pPr>
        <w:ind w:firstLine="480" w:firstLineChars="200"/>
        <w:rPr>
          <w:rFonts w:ascii="宋体" w:hAnsi="宋体"/>
          <w:sz w:val="24"/>
          <w:szCs w:val="24"/>
        </w:rPr>
      </w:pPr>
      <w:r>
        <w:rPr>
          <w:rFonts w:hint="eastAsia" w:ascii="宋体" w:hAnsi="宋体"/>
          <w:sz w:val="24"/>
          <w:szCs w:val="24"/>
        </w:rPr>
        <w:t>2、</w:t>
      </w:r>
      <w:r>
        <w:rPr>
          <w:rFonts w:hint="eastAsia" w:ascii="宋体" w:hAnsi="宋体" w:cs="宋体"/>
          <w:sz w:val="24"/>
          <w:szCs w:val="24"/>
        </w:rPr>
        <w:t>上述人员应附身份证、职称证书、注册证书复印件。</w:t>
      </w:r>
    </w:p>
    <w:p w14:paraId="0423D76B">
      <w:pPr>
        <w:ind w:left="630"/>
        <w:rPr>
          <w:rFonts w:ascii="宋体" w:hAnsi="宋体"/>
          <w:sz w:val="24"/>
          <w:szCs w:val="24"/>
        </w:rPr>
      </w:pPr>
    </w:p>
    <w:p w14:paraId="2CDFF77A">
      <w:pPr>
        <w:ind w:left="630"/>
        <w:jc w:val="center"/>
        <w:rPr>
          <w:rFonts w:ascii="宋体" w:hAnsi="宋体"/>
          <w:b/>
          <w:sz w:val="24"/>
          <w:szCs w:val="24"/>
        </w:rPr>
      </w:pPr>
      <w:r>
        <w:rPr>
          <w:rFonts w:hint="eastAsia" w:ascii="宋体" w:hAnsi="宋体"/>
          <w:b/>
          <w:sz w:val="24"/>
          <w:szCs w:val="24"/>
        </w:rPr>
        <w:t>（五）商务条款偏离表</w:t>
      </w:r>
    </w:p>
    <w:p w14:paraId="734BF808">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lang w:bidi="ar"/>
        </w:rPr>
        <w:t>项目名称：</w:t>
      </w:r>
    </w:p>
    <w:p w14:paraId="01D07FD6">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lang w:bidi="ar"/>
        </w:rPr>
        <w:t xml:space="preserve">项目编号: </w:t>
      </w:r>
    </w:p>
    <w:tbl>
      <w:tblPr>
        <w:tblStyle w:val="47"/>
        <w:tblW w:w="92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859"/>
        <w:gridCol w:w="1509"/>
        <w:gridCol w:w="1048"/>
        <w:gridCol w:w="1968"/>
        <w:gridCol w:w="1960"/>
      </w:tblGrid>
      <w:tr w14:paraId="43983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943" w:type="dxa"/>
            <w:tcBorders>
              <w:top w:val="single" w:color="auto" w:sz="4" w:space="0"/>
              <w:left w:val="single" w:color="auto" w:sz="4" w:space="0"/>
              <w:bottom w:val="single" w:color="auto" w:sz="4" w:space="0"/>
              <w:right w:val="single" w:color="auto" w:sz="4" w:space="0"/>
            </w:tcBorders>
            <w:shd w:val="clear" w:color="auto" w:fill="auto"/>
            <w:vAlign w:val="center"/>
          </w:tcPr>
          <w:p w14:paraId="4B9200F5">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序号</w:t>
            </w:r>
          </w:p>
        </w:tc>
        <w:tc>
          <w:tcPr>
            <w:tcW w:w="1859" w:type="dxa"/>
            <w:tcBorders>
              <w:top w:val="single" w:color="auto" w:sz="4" w:space="0"/>
              <w:left w:val="single" w:color="auto" w:sz="4" w:space="0"/>
              <w:bottom w:val="single" w:color="auto" w:sz="4" w:space="0"/>
              <w:right w:val="single" w:color="auto" w:sz="4" w:space="0"/>
            </w:tcBorders>
            <w:shd w:val="clear" w:color="auto" w:fill="auto"/>
            <w:vAlign w:val="center"/>
          </w:tcPr>
          <w:p w14:paraId="2BE7EC2C">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磋商文件要求</w:t>
            </w:r>
          </w:p>
        </w:tc>
        <w:tc>
          <w:tcPr>
            <w:tcW w:w="1509" w:type="dxa"/>
            <w:tcBorders>
              <w:top w:val="single" w:color="auto" w:sz="4" w:space="0"/>
              <w:left w:val="single" w:color="auto" w:sz="4" w:space="0"/>
              <w:bottom w:val="single" w:color="auto" w:sz="4" w:space="0"/>
              <w:right w:val="single" w:color="auto" w:sz="4" w:space="0"/>
            </w:tcBorders>
            <w:shd w:val="clear" w:color="auto" w:fill="auto"/>
            <w:vAlign w:val="center"/>
          </w:tcPr>
          <w:p w14:paraId="08CDFBBF">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磋商响应</w:t>
            </w:r>
          </w:p>
        </w:tc>
        <w:tc>
          <w:tcPr>
            <w:tcW w:w="1048" w:type="dxa"/>
            <w:tcBorders>
              <w:top w:val="single" w:color="auto" w:sz="4" w:space="0"/>
              <w:left w:val="single" w:color="auto" w:sz="4" w:space="0"/>
              <w:bottom w:val="single" w:color="auto" w:sz="4" w:space="0"/>
              <w:right w:val="single" w:color="auto" w:sz="4" w:space="0"/>
            </w:tcBorders>
            <w:shd w:val="clear" w:color="auto" w:fill="auto"/>
            <w:vAlign w:val="center"/>
          </w:tcPr>
          <w:p w14:paraId="12342CA8">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偏离</w:t>
            </w:r>
          </w:p>
        </w:tc>
        <w:tc>
          <w:tcPr>
            <w:tcW w:w="1968" w:type="dxa"/>
            <w:tcBorders>
              <w:top w:val="single" w:color="auto" w:sz="4" w:space="0"/>
              <w:left w:val="single" w:color="auto" w:sz="4" w:space="0"/>
              <w:bottom w:val="single" w:color="auto" w:sz="4" w:space="0"/>
              <w:right w:val="single" w:color="auto" w:sz="4" w:space="0"/>
            </w:tcBorders>
            <w:shd w:val="clear" w:color="auto" w:fill="auto"/>
            <w:vAlign w:val="center"/>
          </w:tcPr>
          <w:p w14:paraId="3074FBE4">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说明</w:t>
            </w:r>
          </w:p>
        </w:tc>
        <w:tc>
          <w:tcPr>
            <w:tcW w:w="1960" w:type="dxa"/>
            <w:tcBorders>
              <w:top w:val="single" w:color="auto" w:sz="4" w:space="0"/>
              <w:left w:val="single" w:color="auto" w:sz="4" w:space="0"/>
              <w:bottom w:val="single" w:color="auto" w:sz="4" w:space="0"/>
              <w:right w:val="single" w:color="auto" w:sz="4" w:space="0"/>
            </w:tcBorders>
            <w:shd w:val="clear" w:color="auto" w:fill="auto"/>
            <w:vAlign w:val="center"/>
          </w:tcPr>
          <w:p w14:paraId="6A7D362D">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对应页码</w:t>
            </w:r>
          </w:p>
        </w:tc>
      </w:tr>
      <w:tr w14:paraId="34821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943" w:type="dxa"/>
            <w:tcBorders>
              <w:top w:val="single" w:color="auto" w:sz="4" w:space="0"/>
              <w:left w:val="single" w:color="auto" w:sz="4" w:space="0"/>
              <w:bottom w:val="single" w:color="auto" w:sz="4" w:space="0"/>
              <w:right w:val="single" w:color="auto" w:sz="4" w:space="0"/>
            </w:tcBorders>
            <w:shd w:val="clear" w:color="auto" w:fill="auto"/>
          </w:tcPr>
          <w:p w14:paraId="7A9126B2">
            <w:pPr>
              <w:spacing w:line="360" w:lineRule="auto"/>
              <w:ind w:firstLine="480" w:firstLineChars="200"/>
              <w:rPr>
                <w:rFonts w:cs="仿宋" w:asciiTheme="minorEastAsia" w:hAnsiTheme="minorEastAsia"/>
                <w:sz w:val="24"/>
                <w:szCs w:val="24"/>
              </w:rPr>
            </w:pPr>
          </w:p>
        </w:tc>
        <w:tc>
          <w:tcPr>
            <w:tcW w:w="1859" w:type="dxa"/>
            <w:tcBorders>
              <w:top w:val="single" w:color="auto" w:sz="4" w:space="0"/>
              <w:left w:val="single" w:color="auto" w:sz="4" w:space="0"/>
              <w:bottom w:val="single" w:color="auto" w:sz="4" w:space="0"/>
              <w:right w:val="single" w:color="auto" w:sz="4" w:space="0"/>
            </w:tcBorders>
            <w:shd w:val="clear" w:color="auto" w:fill="auto"/>
          </w:tcPr>
          <w:p w14:paraId="5ECCAB8B">
            <w:pPr>
              <w:spacing w:line="360" w:lineRule="auto"/>
              <w:ind w:firstLine="480" w:firstLineChars="200"/>
              <w:rPr>
                <w:rFonts w:cs="仿宋" w:asciiTheme="minorEastAsia" w:hAnsiTheme="minorEastAsia"/>
                <w:sz w:val="24"/>
                <w:szCs w:val="24"/>
              </w:rPr>
            </w:pPr>
          </w:p>
        </w:tc>
        <w:tc>
          <w:tcPr>
            <w:tcW w:w="1509" w:type="dxa"/>
            <w:tcBorders>
              <w:top w:val="single" w:color="auto" w:sz="4" w:space="0"/>
              <w:left w:val="single" w:color="auto" w:sz="4" w:space="0"/>
              <w:bottom w:val="single" w:color="auto" w:sz="4" w:space="0"/>
              <w:right w:val="single" w:color="auto" w:sz="4" w:space="0"/>
            </w:tcBorders>
            <w:shd w:val="clear" w:color="auto" w:fill="auto"/>
          </w:tcPr>
          <w:p w14:paraId="1F0328C4">
            <w:pPr>
              <w:spacing w:line="360" w:lineRule="auto"/>
              <w:ind w:firstLine="480" w:firstLineChars="200"/>
              <w:rPr>
                <w:rFonts w:cs="仿宋" w:asciiTheme="minorEastAsia" w:hAnsiTheme="minorEastAsia"/>
                <w:sz w:val="24"/>
                <w:szCs w:val="24"/>
              </w:rPr>
            </w:pPr>
          </w:p>
        </w:tc>
        <w:tc>
          <w:tcPr>
            <w:tcW w:w="1048" w:type="dxa"/>
            <w:tcBorders>
              <w:top w:val="single" w:color="auto" w:sz="4" w:space="0"/>
              <w:left w:val="single" w:color="auto" w:sz="4" w:space="0"/>
              <w:bottom w:val="single" w:color="auto" w:sz="4" w:space="0"/>
              <w:right w:val="single" w:color="auto" w:sz="4" w:space="0"/>
            </w:tcBorders>
            <w:shd w:val="clear" w:color="auto" w:fill="auto"/>
          </w:tcPr>
          <w:p w14:paraId="02D001A9">
            <w:pPr>
              <w:spacing w:line="360" w:lineRule="auto"/>
              <w:ind w:firstLine="480" w:firstLineChars="200"/>
              <w:rPr>
                <w:rFonts w:cs="仿宋" w:asciiTheme="minorEastAsia" w:hAnsiTheme="minorEastAsia"/>
                <w:sz w:val="24"/>
                <w:szCs w:val="24"/>
              </w:rPr>
            </w:pPr>
          </w:p>
        </w:tc>
        <w:tc>
          <w:tcPr>
            <w:tcW w:w="1968" w:type="dxa"/>
            <w:tcBorders>
              <w:top w:val="single" w:color="auto" w:sz="4" w:space="0"/>
              <w:left w:val="single" w:color="auto" w:sz="4" w:space="0"/>
              <w:bottom w:val="single" w:color="auto" w:sz="4" w:space="0"/>
              <w:right w:val="single" w:color="auto" w:sz="4" w:space="0"/>
            </w:tcBorders>
            <w:shd w:val="clear" w:color="auto" w:fill="auto"/>
          </w:tcPr>
          <w:p w14:paraId="672FB7CA">
            <w:pPr>
              <w:spacing w:line="360" w:lineRule="auto"/>
              <w:ind w:firstLine="480" w:firstLineChars="200"/>
              <w:rPr>
                <w:rFonts w:cs="仿宋" w:asciiTheme="minorEastAsia" w:hAnsiTheme="minorEastAsia"/>
                <w:sz w:val="24"/>
                <w:szCs w:val="24"/>
              </w:rPr>
            </w:pPr>
          </w:p>
        </w:tc>
        <w:tc>
          <w:tcPr>
            <w:tcW w:w="1960" w:type="dxa"/>
            <w:tcBorders>
              <w:top w:val="single" w:color="auto" w:sz="4" w:space="0"/>
              <w:left w:val="single" w:color="auto" w:sz="4" w:space="0"/>
              <w:bottom w:val="single" w:color="auto" w:sz="4" w:space="0"/>
              <w:right w:val="single" w:color="auto" w:sz="4" w:space="0"/>
            </w:tcBorders>
            <w:shd w:val="clear" w:color="auto" w:fill="auto"/>
          </w:tcPr>
          <w:p w14:paraId="77518788">
            <w:pPr>
              <w:spacing w:line="360" w:lineRule="auto"/>
              <w:ind w:firstLine="480" w:firstLineChars="200"/>
              <w:rPr>
                <w:rFonts w:cs="仿宋" w:asciiTheme="minorEastAsia" w:hAnsiTheme="minorEastAsia"/>
                <w:sz w:val="24"/>
                <w:szCs w:val="24"/>
              </w:rPr>
            </w:pPr>
          </w:p>
        </w:tc>
      </w:tr>
      <w:tr w14:paraId="17D07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943" w:type="dxa"/>
            <w:tcBorders>
              <w:top w:val="single" w:color="auto" w:sz="4" w:space="0"/>
              <w:left w:val="single" w:color="auto" w:sz="4" w:space="0"/>
              <w:bottom w:val="single" w:color="auto" w:sz="4" w:space="0"/>
              <w:right w:val="single" w:color="auto" w:sz="4" w:space="0"/>
            </w:tcBorders>
            <w:shd w:val="clear" w:color="auto" w:fill="auto"/>
          </w:tcPr>
          <w:p w14:paraId="0D89E5A7">
            <w:pPr>
              <w:spacing w:line="360" w:lineRule="auto"/>
              <w:ind w:firstLine="480" w:firstLineChars="200"/>
              <w:rPr>
                <w:rFonts w:cs="仿宋" w:asciiTheme="minorEastAsia" w:hAnsiTheme="minorEastAsia"/>
                <w:sz w:val="24"/>
                <w:szCs w:val="24"/>
              </w:rPr>
            </w:pPr>
          </w:p>
        </w:tc>
        <w:tc>
          <w:tcPr>
            <w:tcW w:w="1859" w:type="dxa"/>
            <w:tcBorders>
              <w:top w:val="single" w:color="auto" w:sz="4" w:space="0"/>
              <w:left w:val="single" w:color="auto" w:sz="4" w:space="0"/>
              <w:bottom w:val="single" w:color="auto" w:sz="4" w:space="0"/>
              <w:right w:val="single" w:color="auto" w:sz="4" w:space="0"/>
            </w:tcBorders>
            <w:shd w:val="clear" w:color="auto" w:fill="auto"/>
          </w:tcPr>
          <w:p w14:paraId="3D027ADF">
            <w:pPr>
              <w:spacing w:line="360" w:lineRule="auto"/>
              <w:ind w:firstLine="480" w:firstLineChars="200"/>
              <w:rPr>
                <w:rFonts w:cs="仿宋" w:asciiTheme="minorEastAsia" w:hAnsiTheme="minorEastAsia"/>
                <w:sz w:val="24"/>
                <w:szCs w:val="24"/>
              </w:rPr>
            </w:pPr>
          </w:p>
        </w:tc>
        <w:tc>
          <w:tcPr>
            <w:tcW w:w="1509" w:type="dxa"/>
            <w:tcBorders>
              <w:top w:val="single" w:color="auto" w:sz="4" w:space="0"/>
              <w:left w:val="single" w:color="auto" w:sz="4" w:space="0"/>
              <w:bottom w:val="single" w:color="auto" w:sz="4" w:space="0"/>
              <w:right w:val="single" w:color="auto" w:sz="4" w:space="0"/>
            </w:tcBorders>
            <w:shd w:val="clear" w:color="auto" w:fill="auto"/>
          </w:tcPr>
          <w:p w14:paraId="251CD4D3">
            <w:pPr>
              <w:spacing w:line="360" w:lineRule="auto"/>
              <w:ind w:firstLine="480" w:firstLineChars="200"/>
              <w:rPr>
                <w:rFonts w:cs="仿宋" w:asciiTheme="minorEastAsia" w:hAnsiTheme="minorEastAsia"/>
                <w:sz w:val="24"/>
                <w:szCs w:val="24"/>
              </w:rPr>
            </w:pPr>
          </w:p>
        </w:tc>
        <w:tc>
          <w:tcPr>
            <w:tcW w:w="1048" w:type="dxa"/>
            <w:tcBorders>
              <w:top w:val="single" w:color="auto" w:sz="4" w:space="0"/>
              <w:left w:val="single" w:color="auto" w:sz="4" w:space="0"/>
              <w:bottom w:val="single" w:color="auto" w:sz="4" w:space="0"/>
              <w:right w:val="single" w:color="auto" w:sz="4" w:space="0"/>
            </w:tcBorders>
            <w:shd w:val="clear" w:color="auto" w:fill="auto"/>
          </w:tcPr>
          <w:p w14:paraId="1DD09D40">
            <w:pPr>
              <w:spacing w:line="360" w:lineRule="auto"/>
              <w:ind w:firstLine="480" w:firstLineChars="200"/>
              <w:rPr>
                <w:rFonts w:cs="仿宋" w:asciiTheme="minorEastAsia" w:hAnsiTheme="minorEastAsia"/>
                <w:sz w:val="24"/>
                <w:szCs w:val="24"/>
              </w:rPr>
            </w:pPr>
          </w:p>
        </w:tc>
        <w:tc>
          <w:tcPr>
            <w:tcW w:w="1968" w:type="dxa"/>
            <w:tcBorders>
              <w:top w:val="single" w:color="auto" w:sz="4" w:space="0"/>
              <w:left w:val="single" w:color="auto" w:sz="4" w:space="0"/>
              <w:bottom w:val="single" w:color="auto" w:sz="4" w:space="0"/>
              <w:right w:val="single" w:color="auto" w:sz="4" w:space="0"/>
            </w:tcBorders>
            <w:shd w:val="clear" w:color="auto" w:fill="auto"/>
          </w:tcPr>
          <w:p w14:paraId="0C5A09DA">
            <w:pPr>
              <w:spacing w:line="360" w:lineRule="auto"/>
              <w:ind w:firstLine="480" w:firstLineChars="200"/>
              <w:rPr>
                <w:rFonts w:cs="仿宋" w:asciiTheme="minorEastAsia" w:hAnsiTheme="minorEastAsia"/>
                <w:sz w:val="24"/>
                <w:szCs w:val="24"/>
              </w:rPr>
            </w:pPr>
          </w:p>
        </w:tc>
        <w:tc>
          <w:tcPr>
            <w:tcW w:w="1960" w:type="dxa"/>
            <w:tcBorders>
              <w:top w:val="single" w:color="auto" w:sz="4" w:space="0"/>
              <w:left w:val="single" w:color="auto" w:sz="4" w:space="0"/>
              <w:bottom w:val="single" w:color="auto" w:sz="4" w:space="0"/>
              <w:right w:val="single" w:color="auto" w:sz="4" w:space="0"/>
            </w:tcBorders>
            <w:shd w:val="clear" w:color="auto" w:fill="auto"/>
          </w:tcPr>
          <w:p w14:paraId="6060C07D">
            <w:pPr>
              <w:spacing w:line="360" w:lineRule="auto"/>
              <w:ind w:firstLine="480" w:firstLineChars="200"/>
              <w:rPr>
                <w:rFonts w:cs="仿宋" w:asciiTheme="minorEastAsia" w:hAnsiTheme="minorEastAsia"/>
                <w:sz w:val="24"/>
                <w:szCs w:val="24"/>
              </w:rPr>
            </w:pPr>
          </w:p>
        </w:tc>
      </w:tr>
      <w:tr w14:paraId="7532D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943" w:type="dxa"/>
            <w:tcBorders>
              <w:top w:val="single" w:color="auto" w:sz="4" w:space="0"/>
              <w:left w:val="single" w:color="auto" w:sz="4" w:space="0"/>
              <w:bottom w:val="single" w:color="auto" w:sz="4" w:space="0"/>
              <w:right w:val="single" w:color="auto" w:sz="4" w:space="0"/>
            </w:tcBorders>
            <w:shd w:val="clear" w:color="auto" w:fill="auto"/>
          </w:tcPr>
          <w:p w14:paraId="172DDA33">
            <w:pPr>
              <w:spacing w:line="360" w:lineRule="auto"/>
              <w:ind w:firstLine="480" w:firstLineChars="200"/>
              <w:rPr>
                <w:rFonts w:cs="仿宋" w:asciiTheme="minorEastAsia" w:hAnsiTheme="minorEastAsia"/>
                <w:sz w:val="24"/>
                <w:szCs w:val="24"/>
              </w:rPr>
            </w:pPr>
          </w:p>
        </w:tc>
        <w:tc>
          <w:tcPr>
            <w:tcW w:w="1859" w:type="dxa"/>
            <w:tcBorders>
              <w:top w:val="single" w:color="auto" w:sz="4" w:space="0"/>
              <w:left w:val="single" w:color="auto" w:sz="4" w:space="0"/>
              <w:bottom w:val="single" w:color="auto" w:sz="4" w:space="0"/>
              <w:right w:val="single" w:color="auto" w:sz="4" w:space="0"/>
            </w:tcBorders>
            <w:shd w:val="clear" w:color="auto" w:fill="auto"/>
          </w:tcPr>
          <w:p w14:paraId="0D4FDF4B">
            <w:pPr>
              <w:spacing w:line="360" w:lineRule="auto"/>
              <w:ind w:firstLine="480" w:firstLineChars="200"/>
              <w:rPr>
                <w:rFonts w:cs="仿宋" w:asciiTheme="minorEastAsia" w:hAnsiTheme="minorEastAsia"/>
                <w:sz w:val="24"/>
                <w:szCs w:val="24"/>
              </w:rPr>
            </w:pPr>
          </w:p>
        </w:tc>
        <w:tc>
          <w:tcPr>
            <w:tcW w:w="1509" w:type="dxa"/>
            <w:tcBorders>
              <w:top w:val="single" w:color="auto" w:sz="4" w:space="0"/>
              <w:left w:val="single" w:color="auto" w:sz="4" w:space="0"/>
              <w:bottom w:val="single" w:color="auto" w:sz="4" w:space="0"/>
              <w:right w:val="single" w:color="auto" w:sz="4" w:space="0"/>
            </w:tcBorders>
            <w:shd w:val="clear" w:color="auto" w:fill="auto"/>
          </w:tcPr>
          <w:p w14:paraId="41968283">
            <w:pPr>
              <w:spacing w:line="360" w:lineRule="auto"/>
              <w:ind w:firstLine="480" w:firstLineChars="200"/>
              <w:rPr>
                <w:rFonts w:cs="仿宋" w:asciiTheme="minorEastAsia" w:hAnsiTheme="minorEastAsia"/>
                <w:sz w:val="24"/>
                <w:szCs w:val="24"/>
              </w:rPr>
            </w:pPr>
          </w:p>
        </w:tc>
        <w:tc>
          <w:tcPr>
            <w:tcW w:w="1048" w:type="dxa"/>
            <w:tcBorders>
              <w:top w:val="single" w:color="auto" w:sz="4" w:space="0"/>
              <w:left w:val="single" w:color="auto" w:sz="4" w:space="0"/>
              <w:bottom w:val="single" w:color="auto" w:sz="4" w:space="0"/>
              <w:right w:val="single" w:color="auto" w:sz="4" w:space="0"/>
            </w:tcBorders>
            <w:shd w:val="clear" w:color="auto" w:fill="auto"/>
          </w:tcPr>
          <w:p w14:paraId="20490184">
            <w:pPr>
              <w:spacing w:line="360" w:lineRule="auto"/>
              <w:ind w:firstLine="480" w:firstLineChars="200"/>
              <w:rPr>
                <w:rFonts w:cs="仿宋" w:asciiTheme="minorEastAsia" w:hAnsiTheme="minorEastAsia"/>
                <w:sz w:val="24"/>
                <w:szCs w:val="24"/>
              </w:rPr>
            </w:pPr>
          </w:p>
        </w:tc>
        <w:tc>
          <w:tcPr>
            <w:tcW w:w="1968" w:type="dxa"/>
            <w:tcBorders>
              <w:top w:val="single" w:color="auto" w:sz="4" w:space="0"/>
              <w:left w:val="single" w:color="auto" w:sz="4" w:space="0"/>
              <w:bottom w:val="single" w:color="auto" w:sz="4" w:space="0"/>
              <w:right w:val="single" w:color="auto" w:sz="4" w:space="0"/>
            </w:tcBorders>
            <w:shd w:val="clear" w:color="auto" w:fill="auto"/>
          </w:tcPr>
          <w:p w14:paraId="48A07D2E">
            <w:pPr>
              <w:spacing w:line="360" w:lineRule="auto"/>
              <w:ind w:firstLine="480" w:firstLineChars="200"/>
              <w:rPr>
                <w:rFonts w:cs="仿宋" w:asciiTheme="minorEastAsia" w:hAnsiTheme="minorEastAsia"/>
                <w:sz w:val="24"/>
                <w:szCs w:val="24"/>
              </w:rPr>
            </w:pPr>
          </w:p>
        </w:tc>
        <w:tc>
          <w:tcPr>
            <w:tcW w:w="1960" w:type="dxa"/>
            <w:tcBorders>
              <w:top w:val="single" w:color="auto" w:sz="4" w:space="0"/>
              <w:left w:val="single" w:color="auto" w:sz="4" w:space="0"/>
              <w:bottom w:val="single" w:color="auto" w:sz="4" w:space="0"/>
              <w:right w:val="single" w:color="auto" w:sz="4" w:space="0"/>
            </w:tcBorders>
            <w:shd w:val="clear" w:color="auto" w:fill="auto"/>
          </w:tcPr>
          <w:p w14:paraId="74DA2080">
            <w:pPr>
              <w:spacing w:line="360" w:lineRule="auto"/>
              <w:ind w:firstLine="480" w:firstLineChars="200"/>
              <w:rPr>
                <w:rFonts w:cs="仿宋" w:asciiTheme="minorEastAsia" w:hAnsiTheme="minorEastAsia"/>
                <w:sz w:val="24"/>
                <w:szCs w:val="24"/>
              </w:rPr>
            </w:pPr>
          </w:p>
        </w:tc>
      </w:tr>
    </w:tbl>
    <w:p w14:paraId="2C123B8C">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lang w:bidi="ar"/>
        </w:rPr>
        <w:t xml:space="preserve">注： </w:t>
      </w:r>
    </w:p>
    <w:p w14:paraId="7B73AD3F">
      <w:pPr>
        <w:spacing w:line="360" w:lineRule="auto"/>
        <w:ind w:firstLine="480" w:firstLineChars="200"/>
        <w:rPr>
          <w:rFonts w:ascii="宋体" w:hAnsi="宋体" w:cs="宋体"/>
          <w:kern w:val="0"/>
          <w:sz w:val="24"/>
          <w:szCs w:val="24"/>
        </w:rPr>
      </w:pPr>
      <w:r>
        <w:rPr>
          <w:rFonts w:hint="eastAsia" w:ascii="浠垮畫" w:hAnsi="宋体" w:eastAsia="浠垮畫" w:cs="宋体"/>
          <w:kern w:val="0"/>
          <w:sz w:val="24"/>
          <w:szCs w:val="24"/>
        </w:rPr>
        <w:t xml:space="preserve">1. 供应商应仔细研读、对照磋商文件规定的要求，偏离部分必须在上表中填写，并说明偏离情况。如不填写视同全部满足磋商文件要求。 </w:t>
      </w:r>
    </w:p>
    <w:p w14:paraId="0C2E8FD4">
      <w:pPr>
        <w:widowControl/>
        <w:spacing w:line="360" w:lineRule="auto"/>
        <w:ind w:firstLine="480" w:firstLineChars="200"/>
        <w:jc w:val="left"/>
        <w:rPr>
          <w:rFonts w:ascii="宋体" w:hAnsi="宋体" w:cs="宋体"/>
          <w:kern w:val="0"/>
          <w:sz w:val="24"/>
          <w:szCs w:val="24"/>
        </w:rPr>
      </w:pPr>
      <w:r>
        <w:rPr>
          <w:rFonts w:hint="eastAsia" w:ascii="浠垮畫" w:hAnsi="宋体" w:eastAsia="浠垮畫" w:cs="宋体"/>
          <w:kern w:val="0"/>
          <w:sz w:val="24"/>
          <w:szCs w:val="24"/>
        </w:rPr>
        <w:t xml:space="preserve">2. 供应商承诺：除本表响应的偏离项目及内容外，其他所有项目及内容均完全与磋商文件的商务服务要求相同。 </w:t>
      </w:r>
    </w:p>
    <w:p w14:paraId="014985F8">
      <w:pPr>
        <w:widowControl/>
        <w:spacing w:line="360" w:lineRule="auto"/>
        <w:ind w:firstLine="480" w:firstLineChars="200"/>
        <w:jc w:val="left"/>
        <w:rPr>
          <w:rFonts w:ascii="宋体" w:hAnsi="宋体" w:cs="宋体"/>
          <w:kern w:val="0"/>
          <w:sz w:val="24"/>
          <w:szCs w:val="24"/>
        </w:rPr>
      </w:pPr>
      <w:r>
        <w:rPr>
          <w:rFonts w:hint="eastAsia" w:ascii="浠垮畫" w:hAnsi="宋体" w:eastAsia="浠垮畫" w:cs="宋体"/>
          <w:kern w:val="0"/>
          <w:sz w:val="24"/>
          <w:szCs w:val="24"/>
        </w:rPr>
        <w:t xml:space="preserve">3. 如供应商与要求完全一致，在上表中注明“完全响应，无偏离”。 </w:t>
      </w:r>
    </w:p>
    <w:p w14:paraId="546FB09C">
      <w:pPr>
        <w:spacing w:line="360" w:lineRule="auto"/>
        <w:ind w:firstLine="480" w:firstLineChars="200"/>
        <w:rPr>
          <w:rFonts w:cs="仿宋" w:asciiTheme="minorEastAsia" w:hAnsiTheme="minorEastAsia"/>
          <w:sz w:val="24"/>
          <w:szCs w:val="24"/>
          <w:lang w:bidi="ar"/>
        </w:rPr>
      </w:pPr>
      <w:r>
        <w:rPr>
          <w:rFonts w:hint="eastAsia" w:ascii="浠垮畫" w:hAnsi="宋体" w:eastAsia="浠垮畫" w:cs="宋体"/>
          <w:kern w:val="0"/>
          <w:sz w:val="24"/>
          <w:szCs w:val="24"/>
        </w:rPr>
        <w:t>4. 如有偏离，应注明“正偏离”或“负偏离”，并针对偏离项进行详细说明。</w:t>
      </w:r>
    </w:p>
    <w:p w14:paraId="1364E7E3">
      <w:pPr>
        <w:spacing w:line="360" w:lineRule="auto"/>
        <w:rPr>
          <w:rFonts w:asciiTheme="minorEastAsia" w:hAnsiTheme="minorEastAsia"/>
          <w:sz w:val="24"/>
          <w:szCs w:val="24"/>
        </w:rPr>
      </w:pPr>
    </w:p>
    <w:p w14:paraId="55E31B47">
      <w:pPr>
        <w:pStyle w:val="45"/>
        <w:spacing w:after="0" w:line="360" w:lineRule="auto"/>
        <w:ind w:firstLine="240"/>
        <w:rPr>
          <w:rFonts w:cs="仿宋" w:asciiTheme="minorEastAsia" w:hAnsiTheme="minorEastAsia"/>
          <w:sz w:val="24"/>
          <w:szCs w:val="24"/>
        </w:rPr>
      </w:pPr>
    </w:p>
    <w:p w14:paraId="75EC04EE">
      <w:pPr>
        <w:pStyle w:val="45"/>
        <w:spacing w:after="0" w:line="360" w:lineRule="auto"/>
        <w:ind w:firstLine="240"/>
        <w:rPr>
          <w:rFonts w:cs="仿宋" w:asciiTheme="minorEastAsia" w:hAnsiTheme="minorEastAsia"/>
          <w:sz w:val="24"/>
          <w:szCs w:val="24"/>
        </w:rPr>
      </w:pPr>
    </w:p>
    <w:p w14:paraId="7C90E671">
      <w:pPr>
        <w:spacing w:line="360" w:lineRule="auto"/>
        <w:rPr>
          <w:rFonts w:cs="仿宋" w:asciiTheme="minorEastAsia" w:hAnsiTheme="minorEastAsia"/>
          <w:sz w:val="24"/>
          <w:szCs w:val="24"/>
        </w:rPr>
      </w:pPr>
    </w:p>
    <w:p w14:paraId="125ED16B">
      <w:pPr>
        <w:spacing w:line="360" w:lineRule="auto"/>
        <w:rPr>
          <w:rFonts w:asciiTheme="minorEastAsia" w:hAnsiTheme="minorEastAsia"/>
          <w:sz w:val="24"/>
          <w:szCs w:val="24"/>
        </w:rPr>
      </w:pPr>
    </w:p>
    <w:p w14:paraId="0738E2DE">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25D123A2">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法定代表人或授权代理人(签字或盖章)：</w:t>
      </w:r>
    </w:p>
    <w:p w14:paraId="53066C84">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日期：        年    月    日</w:t>
      </w:r>
    </w:p>
    <w:p w14:paraId="36D4BF73">
      <w:pPr>
        <w:ind w:left="630"/>
        <w:rPr>
          <w:rFonts w:ascii="宋体" w:hAnsi="宋体"/>
          <w:sz w:val="24"/>
          <w:szCs w:val="24"/>
        </w:rPr>
      </w:pPr>
    </w:p>
    <w:p w14:paraId="178A6592">
      <w:pPr>
        <w:ind w:left="630"/>
        <w:rPr>
          <w:rFonts w:ascii="宋体" w:hAnsi="宋体"/>
          <w:sz w:val="24"/>
          <w:szCs w:val="24"/>
        </w:rPr>
      </w:pPr>
    </w:p>
    <w:p w14:paraId="4F540EB0">
      <w:pPr>
        <w:ind w:left="630"/>
        <w:rPr>
          <w:rFonts w:ascii="宋体" w:hAnsi="宋体"/>
          <w:sz w:val="24"/>
          <w:szCs w:val="24"/>
        </w:rPr>
      </w:pPr>
    </w:p>
    <w:p w14:paraId="547E58BD">
      <w:pPr>
        <w:ind w:left="630"/>
        <w:rPr>
          <w:rFonts w:ascii="宋体" w:hAnsi="宋体"/>
          <w:sz w:val="24"/>
          <w:szCs w:val="24"/>
        </w:rPr>
      </w:pPr>
    </w:p>
    <w:p w14:paraId="6AD8695A">
      <w:pPr>
        <w:ind w:left="630"/>
        <w:rPr>
          <w:rFonts w:ascii="宋体" w:hAnsi="宋体"/>
          <w:sz w:val="24"/>
          <w:szCs w:val="24"/>
        </w:rPr>
      </w:pPr>
    </w:p>
    <w:p w14:paraId="075930F9">
      <w:pPr>
        <w:ind w:left="630"/>
        <w:rPr>
          <w:rFonts w:ascii="宋体" w:hAnsi="宋体"/>
          <w:sz w:val="24"/>
          <w:szCs w:val="24"/>
        </w:rPr>
      </w:pPr>
    </w:p>
    <w:p w14:paraId="554981A7">
      <w:pPr>
        <w:ind w:left="630"/>
        <w:rPr>
          <w:rFonts w:ascii="宋体" w:hAnsi="宋体"/>
          <w:sz w:val="24"/>
          <w:szCs w:val="24"/>
        </w:rPr>
      </w:pPr>
    </w:p>
    <w:p w14:paraId="52B07872">
      <w:pPr>
        <w:ind w:left="630"/>
        <w:rPr>
          <w:rFonts w:ascii="宋体" w:hAnsi="宋体"/>
          <w:sz w:val="24"/>
          <w:szCs w:val="24"/>
        </w:rPr>
      </w:pPr>
    </w:p>
    <w:p w14:paraId="66FB022F">
      <w:pPr>
        <w:jc w:val="center"/>
        <w:rPr>
          <w:rFonts w:ascii="宋体" w:hAnsi="宋体"/>
          <w:b/>
          <w:sz w:val="24"/>
          <w:szCs w:val="24"/>
        </w:rPr>
      </w:pPr>
    </w:p>
    <w:p w14:paraId="0D3FE404">
      <w:pPr>
        <w:jc w:val="center"/>
        <w:rPr>
          <w:rFonts w:cs="仿宋" w:asciiTheme="minorEastAsia" w:hAnsiTheme="minorEastAsia"/>
          <w:b/>
          <w:sz w:val="24"/>
          <w:szCs w:val="24"/>
        </w:rPr>
      </w:pPr>
      <w:r>
        <w:rPr>
          <w:rFonts w:hint="eastAsia" w:ascii="宋体" w:hAnsi="宋体"/>
          <w:b/>
          <w:sz w:val="24"/>
          <w:szCs w:val="24"/>
        </w:rPr>
        <w:t>（六）</w:t>
      </w:r>
      <w:r>
        <w:rPr>
          <w:rFonts w:hint="eastAsia" w:cs="仿宋" w:asciiTheme="minorEastAsia" w:hAnsiTheme="minorEastAsia"/>
          <w:b/>
          <w:sz w:val="24"/>
          <w:szCs w:val="24"/>
        </w:rPr>
        <w:t>技术（服务）条款偏离表</w:t>
      </w:r>
    </w:p>
    <w:p w14:paraId="7EBB2606">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lang w:bidi="ar"/>
        </w:rPr>
        <w:t>项目名称：</w:t>
      </w:r>
    </w:p>
    <w:p w14:paraId="606194BF">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lang w:bidi="ar"/>
        </w:rPr>
        <w:t xml:space="preserve">项目编号: </w:t>
      </w:r>
    </w:p>
    <w:tbl>
      <w:tblPr>
        <w:tblStyle w:val="47"/>
        <w:tblW w:w="921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786"/>
        <w:gridCol w:w="1825"/>
        <w:gridCol w:w="1268"/>
        <w:gridCol w:w="2380"/>
        <w:gridCol w:w="1241"/>
      </w:tblGrid>
      <w:tr w14:paraId="52E76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2" w:hRule="atLeast"/>
        </w:trPr>
        <w:tc>
          <w:tcPr>
            <w:tcW w:w="718" w:type="dxa"/>
            <w:tcBorders>
              <w:top w:val="single" w:color="auto" w:sz="4" w:space="0"/>
              <w:left w:val="single" w:color="auto" w:sz="4" w:space="0"/>
              <w:bottom w:val="single" w:color="auto" w:sz="4" w:space="0"/>
              <w:right w:val="single" w:color="auto" w:sz="4" w:space="0"/>
            </w:tcBorders>
            <w:shd w:val="clear" w:color="auto" w:fill="auto"/>
            <w:vAlign w:val="center"/>
          </w:tcPr>
          <w:p w14:paraId="6D98C7FE">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序号</w:t>
            </w:r>
          </w:p>
        </w:tc>
        <w:tc>
          <w:tcPr>
            <w:tcW w:w="1786" w:type="dxa"/>
            <w:tcBorders>
              <w:top w:val="single" w:color="auto" w:sz="4" w:space="0"/>
              <w:left w:val="single" w:color="auto" w:sz="4" w:space="0"/>
              <w:bottom w:val="single" w:color="auto" w:sz="4" w:space="0"/>
              <w:right w:val="single" w:color="auto" w:sz="4" w:space="0"/>
            </w:tcBorders>
            <w:shd w:val="clear" w:color="auto" w:fill="auto"/>
            <w:vAlign w:val="center"/>
          </w:tcPr>
          <w:p w14:paraId="0F05195E">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磋商文件要求</w:t>
            </w:r>
          </w:p>
        </w:tc>
        <w:tc>
          <w:tcPr>
            <w:tcW w:w="1825" w:type="dxa"/>
            <w:tcBorders>
              <w:top w:val="single" w:color="auto" w:sz="4" w:space="0"/>
              <w:left w:val="single" w:color="auto" w:sz="4" w:space="0"/>
              <w:bottom w:val="single" w:color="auto" w:sz="4" w:space="0"/>
              <w:right w:val="single" w:color="auto" w:sz="4" w:space="0"/>
            </w:tcBorders>
            <w:shd w:val="clear" w:color="auto" w:fill="auto"/>
            <w:vAlign w:val="center"/>
          </w:tcPr>
          <w:p w14:paraId="4AB374D0">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磋商响应</w:t>
            </w:r>
          </w:p>
        </w:tc>
        <w:tc>
          <w:tcPr>
            <w:tcW w:w="1268" w:type="dxa"/>
            <w:tcBorders>
              <w:top w:val="single" w:color="auto" w:sz="4" w:space="0"/>
              <w:left w:val="single" w:color="auto" w:sz="4" w:space="0"/>
              <w:bottom w:val="single" w:color="auto" w:sz="4" w:space="0"/>
              <w:right w:val="single" w:color="auto" w:sz="4" w:space="0"/>
            </w:tcBorders>
            <w:shd w:val="clear" w:color="auto" w:fill="auto"/>
            <w:vAlign w:val="center"/>
          </w:tcPr>
          <w:p w14:paraId="5F5F1C76">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偏离</w:t>
            </w:r>
          </w:p>
        </w:tc>
        <w:tc>
          <w:tcPr>
            <w:tcW w:w="2380" w:type="dxa"/>
            <w:tcBorders>
              <w:top w:val="single" w:color="auto" w:sz="4" w:space="0"/>
              <w:left w:val="single" w:color="auto" w:sz="4" w:space="0"/>
              <w:bottom w:val="single" w:color="auto" w:sz="4" w:space="0"/>
              <w:right w:val="single" w:color="auto" w:sz="4" w:space="0"/>
            </w:tcBorders>
            <w:shd w:val="clear" w:color="auto" w:fill="auto"/>
            <w:vAlign w:val="center"/>
          </w:tcPr>
          <w:p w14:paraId="285A22DA">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说明</w:t>
            </w:r>
          </w:p>
        </w:tc>
        <w:tc>
          <w:tcPr>
            <w:tcW w:w="1241" w:type="dxa"/>
            <w:tcBorders>
              <w:top w:val="single" w:color="auto" w:sz="4" w:space="0"/>
              <w:left w:val="single" w:color="auto" w:sz="4" w:space="0"/>
              <w:bottom w:val="single" w:color="auto" w:sz="4" w:space="0"/>
              <w:right w:val="single" w:color="auto" w:sz="4" w:space="0"/>
            </w:tcBorders>
            <w:shd w:val="clear" w:color="auto" w:fill="auto"/>
            <w:vAlign w:val="center"/>
          </w:tcPr>
          <w:p w14:paraId="1AB6A339">
            <w:pPr>
              <w:spacing w:line="360" w:lineRule="auto"/>
              <w:jc w:val="center"/>
              <w:rPr>
                <w:rFonts w:cs="仿宋" w:asciiTheme="minorEastAsia" w:hAnsiTheme="minorEastAsia"/>
                <w:sz w:val="24"/>
                <w:szCs w:val="24"/>
              </w:rPr>
            </w:pPr>
            <w:r>
              <w:rPr>
                <w:rFonts w:hint="eastAsia" w:cs="仿宋" w:asciiTheme="minorEastAsia" w:hAnsiTheme="minorEastAsia"/>
                <w:sz w:val="24"/>
                <w:szCs w:val="24"/>
              </w:rPr>
              <w:t>对应页码</w:t>
            </w:r>
          </w:p>
        </w:tc>
      </w:tr>
      <w:tr w14:paraId="581A9D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0D74D968">
            <w:pPr>
              <w:spacing w:line="360" w:lineRule="auto"/>
              <w:rPr>
                <w:rFonts w:cs="仿宋" w:asciiTheme="minorEastAsia" w:hAnsiTheme="minorEastAsia"/>
                <w:sz w:val="24"/>
                <w:szCs w:val="24"/>
              </w:rPr>
            </w:pPr>
            <w:r>
              <w:rPr>
                <w:rFonts w:hint="eastAsia" w:cs="仿宋" w:asciiTheme="minorEastAsia" w:hAnsiTheme="minorEastAsia"/>
                <w:sz w:val="24"/>
                <w:szCs w:val="24"/>
              </w:rPr>
              <w:t>1</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79B4295B">
            <w:pPr>
              <w:spacing w:line="360" w:lineRule="auto"/>
              <w:ind w:firstLine="480" w:firstLineChars="200"/>
              <w:rPr>
                <w:rFonts w:cs="仿宋" w:asciiTheme="minorEastAsia" w:hAnsiTheme="minorEastAsia"/>
                <w:sz w:val="24"/>
                <w:szCs w:val="24"/>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20C0B18E">
            <w:pPr>
              <w:spacing w:line="360" w:lineRule="auto"/>
              <w:ind w:firstLine="480" w:firstLineChars="200"/>
              <w:rPr>
                <w:rFonts w:cs="仿宋" w:asciiTheme="minorEastAsia" w:hAnsiTheme="minorEastAsia"/>
                <w:sz w:val="24"/>
                <w:szCs w:val="24"/>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3C8510E0">
            <w:pPr>
              <w:spacing w:line="360" w:lineRule="auto"/>
              <w:ind w:firstLine="480" w:firstLineChars="200"/>
              <w:rPr>
                <w:rFonts w:cs="仿宋" w:asciiTheme="minorEastAsia" w:hAnsiTheme="minorEastAsia"/>
                <w:sz w:val="24"/>
                <w:szCs w:val="24"/>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4C59BD79">
            <w:pPr>
              <w:spacing w:line="360" w:lineRule="auto"/>
              <w:ind w:firstLine="480" w:firstLineChars="200"/>
              <w:rPr>
                <w:rFonts w:cs="仿宋" w:asciiTheme="minorEastAsia" w:hAnsiTheme="minorEastAsia"/>
                <w:sz w:val="24"/>
                <w:szCs w:val="24"/>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7FB5C4E3">
            <w:pPr>
              <w:spacing w:line="360" w:lineRule="auto"/>
              <w:ind w:firstLine="480" w:firstLineChars="200"/>
              <w:rPr>
                <w:rFonts w:cs="仿宋" w:asciiTheme="minorEastAsia" w:hAnsiTheme="minorEastAsia"/>
                <w:sz w:val="24"/>
                <w:szCs w:val="24"/>
              </w:rPr>
            </w:pPr>
          </w:p>
        </w:tc>
      </w:tr>
      <w:tr w14:paraId="1769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24E2BF58">
            <w:pPr>
              <w:spacing w:line="360" w:lineRule="auto"/>
              <w:rPr>
                <w:rFonts w:cs="仿宋" w:asciiTheme="minorEastAsia" w:hAnsiTheme="minorEastAsia"/>
                <w:sz w:val="24"/>
                <w:szCs w:val="24"/>
              </w:rPr>
            </w:pPr>
            <w:r>
              <w:rPr>
                <w:rFonts w:hint="eastAsia" w:cs="仿宋" w:asciiTheme="minorEastAsia" w:hAnsiTheme="minorEastAsia"/>
                <w:sz w:val="24"/>
                <w:szCs w:val="24"/>
              </w:rPr>
              <w:t>2</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56EC2989">
            <w:pPr>
              <w:spacing w:line="360" w:lineRule="auto"/>
              <w:ind w:firstLine="480" w:firstLineChars="200"/>
              <w:rPr>
                <w:rFonts w:cs="仿宋" w:asciiTheme="minorEastAsia" w:hAnsiTheme="minorEastAsia"/>
                <w:sz w:val="24"/>
                <w:szCs w:val="24"/>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11318433">
            <w:pPr>
              <w:spacing w:line="360" w:lineRule="auto"/>
              <w:ind w:firstLine="480" w:firstLineChars="200"/>
              <w:rPr>
                <w:rFonts w:cs="仿宋" w:asciiTheme="minorEastAsia" w:hAnsiTheme="minorEastAsia"/>
                <w:sz w:val="24"/>
                <w:szCs w:val="24"/>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640FAC8A">
            <w:pPr>
              <w:spacing w:line="360" w:lineRule="auto"/>
              <w:ind w:firstLine="480" w:firstLineChars="200"/>
              <w:rPr>
                <w:rFonts w:cs="仿宋" w:asciiTheme="minorEastAsia" w:hAnsiTheme="minorEastAsia"/>
                <w:sz w:val="24"/>
                <w:szCs w:val="24"/>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04A3F5FD">
            <w:pPr>
              <w:spacing w:line="360" w:lineRule="auto"/>
              <w:ind w:firstLine="480" w:firstLineChars="200"/>
              <w:rPr>
                <w:rFonts w:cs="仿宋" w:asciiTheme="minorEastAsia" w:hAnsiTheme="minorEastAsia"/>
                <w:sz w:val="24"/>
                <w:szCs w:val="24"/>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70EAB6AA">
            <w:pPr>
              <w:spacing w:line="360" w:lineRule="auto"/>
              <w:ind w:firstLine="480" w:firstLineChars="200"/>
              <w:rPr>
                <w:rFonts w:cs="仿宋" w:asciiTheme="minorEastAsia" w:hAnsiTheme="minorEastAsia"/>
                <w:sz w:val="24"/>
                <w:szCs w:val="24"/>
              </w:rPr>
            </w:pPr>
          </w:p>
        </w:tc>
      </w:tr>
      <w:tr w14:paraId="5659F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5AB4727B">
            <w:pPr>
              <w:spacing w:line="360" w:lineRule="auto"/>
              <w:rPr>
                <w:rFonts w:cs="仿宋" w:asciiTheme="minorEastAsia" w:hAnsiTheme="minorEastAsia"/>
                <w:sz w:val="24"/>
                <w:szCs w:val="24"/>
              </w:rPr>
            </w:pPr>
            <w:r>
              <w:rPr>
                <w:rFonts w:hint="eastAsia" w:cs="仿宋" w:asciiTheme="minorEastAsia" w:hAnsiTheme="minorEastAsia"/>
                <w:sz w:val="24"/>
                <w:szCs w:val="24"/>
              </w:rPr>
              <w:t>3</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57892307">
            <w:pPr>
              <w:spacing w:line="360" w:lineRule="auto"/>
              <w:ind w:firstLine="480" w:firstLineChars="200"/>
              <w:rPr>
                <w:rFonts w:cs="仿宋" w:asciiTheme="minorEastAsia" w:hAnsiTheme="minorEastAsia"/>
                <w:sz w:val="24"/>
                <w:szCs w:val="24"/>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3747293F">
            <w:pPr>
              <w:spacing w:line="360" w:lineRule="auto"/>
              <w:ind w:firstLine="480" w:firstLineChars="200"/>
              <w:rPr>
                <w:rFonts w:cs="仿宋" w:asciiTheme="minorEastAsia" w:hAnsiTheme="minorEastAsia"/>
                <w:sz w:val="24"/>
                <w:szCs w:val="24"/>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4089546F">
            <w:pPr>
              <w:spacing w:line="360" w:lineRule="auto"/>
              <w:ind w:firstLine="480" w:firstLineChars="200"/>
              <w:rPr>
                <w:rFonts w:cs="仿宋" w:asciiTheme="minorEastAsia" w:hAnsiTheme="minorEastAsia"/>
                <w:sz w:val="24"/>
                <w:szCs w:val="24"/>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599C1325">
            <w:pPr>
              <w:spacing w:line="360" w:lineRule="auto"/>
              <w:ind w:firstLine="480" w:firstLineChars="200"/>
              <w:rPr>
                <w:rFonts w:cs="仿宋" w:asciiTheme="minorEastAsia" w:hAnsiTheme="minorEastAsia"/>
                <w:sz w:val="24"/>
                <w:szCs w:val="24"/>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68F5BF19">
            <w:pPr>
              <w:spacing w:line="360" w:lineRule="auto"/>
              <w:ind w:firstLine="480" w:firstLineChars="200"/>
              <w:rPr>
                <w:rFonts w:cs="仿宋" w:asciiTheme="minorEastAsia" w:hAnsiTheme="minorEastAsia"/>
                <w:sz w:val="24"/>
                <w:szCs w:val="24"/>
              </w:rPr>
            </w:pPr>
          </w:p>
        </w:tc>
      </w:tr>
      <w:tr w14:paraId="0B34A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6F8F5CA7">
            <w:pPr>
              <w:spacing w:line="360" w:lineRule="auto"/>
              <w:rPr>
                <w:rFonts w:cs="仿宋" w:asciiTheme="minorEastAsia" w:hAnsiTheme="minorEastAsia"/>
                <w:sz w:val="24"/>
                <w:szCs w:val="24"/>
              </w:rPr>
            </w:pPr>
            <w:r>
              <w:rPr>
                <w:rFonts w:hint="eastAsia" w:cs="仿宋" w:asciiTheme="minorEastAsia" w:hAnsiTheme="minorEastAsia"/>
                <w:sz w:val="24"/>
                <w:szCs w:val="24"/>
              </w:rPr>
              <w:t>4</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60E5A558">
            <w:pPr>
              <w:spacing w:line="360" w:lineRule="auto"/>
              <w:ind w:firstLine="480" w:firstLineChars="200"/>
              <w:rPr>
                <w:rFonts w:cs="仿宋" w:asciiTheme="minorEastAsia" w:hAnsiTheme="minorEastAsia"/>
                <w:sz w:val="24"/>
                <w:szCs w:val="24"/>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3FEDAF8F">
            <w:pPr>
              <w:spacing w:line="360" w:lineRule="auto"/>
              <w:ind w:firstLine="480" w:firstLineChars="200"/>
              <w:rPr>
                <w:rFonts w:cs="仿宋" w:asciiTheme="minorEastAsia" w:hAnsiTheme="minorEastAsia"/>
                <w:sz w:val="24"/>
                <w:szCs w:val="24"/>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5CC279A3">
            <w:pPr>
              <w:spacing w:line="360" w:lineRule="auto"/>
              <w:ind w:firstLine="480" w:firstLineChars="200"/>
              <w:rPr>
                <w:rFonts w:cs="仿宋" w:asciiTheme="minorEastAsia" w:hAnsiTheme="minorEastAsia"/>
                <w:sz w:val="24"/>
                <w:szCs w:val="24"/>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42987D00">
            <w:pPr>
              <w:spacing w:line="360" w:lineRule="auto"/>
              <w:ind w:firstLine="480" w:firstLineChars="200"/>
              <w:rPr>
                <w:rFonts w:cs="仿宋" w:asciiTheme="minorEastAsia" w:hAnsiTheme="minorEastAsia"/>
                <w:sz w:val="24"/>
                <w:szCs w:val="24"/>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587700F2">
            <w:pPr>
              <w:spacing w:line="360" w:lineRule="auto"/>
              <w:ind w:firstLine="480" w:firstLineChars="200"/>
              <w:rPr>
                <w:rFonts w:cs="仿宋" w:asciiTheme="minorEastAsia" w:hAnsiTheme="minorEastAsia"/>
                <w:sz w:val="24"/>
                <w:szCs w:val="24"/>
              </w:rPr>
            </w:pPr>
          </w:p>
        </w:tc>
      </w:tr>
      <w:tr w14:paraId="0BB79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718" w:type="dxa"/>
            <w:tcBorders>
              <w:top w:val="single" w:color="auto" w:sz="4" w:space="0"/>
              <w:left w:val="single" w:color="auto" w:sz="4" w:space="0"/>
              <w:bottom w:val="single" w:color="auto" w:sz="4" w:space="0"/>
              <w:right w:val="single" w:color="auto" w:sz="4" w:space="0"/>
            </w:tcBorders>
            <w:shd w:val="clear" w:color="auto" w:fill="auto"/>
          </w:tcPr>
          <w:p w14:paraId="0E5AA2B4">
            <w:pPr>
              <w:spacing w:line="360" w:lineRule="auto"/>
              <w:rPr>
                <w:rFonts w:cs="仿宋" w:asciiTheme="minorEastAsia" w:hAnsiTheme="minorEastAsia"/>
                <w:sz w:val="24"/>
                <w:szCs w:val="24"/>
              </w:rPr>
            </w:pPr>
            <w:r>
              <w:rPr>
                <w:rFonts w:hint="eastAsia" w:cs="仿宋" w:asciiTheme="minorEastAsia" w:hAnsiTheme="minorEastAsia"/>
                <w:sz w:val="24"/>
                <w:szCs w:val="24"/>
              </w:rPr>
              <w:t>5</w:t>
            </w:r>
          </w:p>
        </w:tc>
        <w:tc>
          <w:tcPr>
            <w:tcW w:w="1786" w:type="dxa"/>
            <w:tcBorders>
              <w:top w:val="single" w:color="auto" w:sz="4" w:space="0"/>
              <w:left w:val="single" w:color="auto" w:sz="4" w:space="0"/>
              <w:bottom w:val="single" w:color="auto" w:sz="4" w:space="0"/>
              <w:right w:val="single" w:color="auto" w:sz="4" w:space="0"/>
            </w:tcBorders>
            <w:shd w:val="clear" w:color="auto" w:fill="auto"/>
          </w:tcPr>
          <w:p w14:paraId="16E5E1D8">
            <w:pPr>
              <w:spacing w:line="360" w:lineRule="auto"/>
              <w:ind w:firstLine="480" w:firstLineChars="200"/>
              <w:rPr>
                <w:rFonts w:cs="仿宋" w:asciiTheme="minorEastAsia" w:hAnsiTheme="minorEastAsia"/>
                <w:sz w:val="24"/>
                <w:szCs w:val="24"/>
              </w:rPr>
            </w:pPr>
          </w:p>
        </w:tc>
        <w:tc>
          <w:tcPr>
            <w:tcW w:w="1825" w:type="dxa"/>
            <w:tcBorders>
              <w:top w:val="single" w:color="auto" w:sz="4" w:space="0"/>
              <w:left w:val="single" w:color="auto" w:sz="4" w:space="0"/>
              <w:bottom w:val="single" w:color="auto" w:sz="4" w:space="0"/>
              <w:right w:val="single" w:color="auto" w:sz="4" w:space="0"/>
            </w:tcBorders>
            <w:shd w:val="clear" w:color="auto" w:fill="auto"/>
          </w:tcPr>
          <w:p w14:paraId="580E1F9E">
            <w:pPr>
              <w:spacing w:line="360" w:lineRule="auto"/>
              <w:ind w:firstLine="480" w:firstLineChars="200"/>
              <w:rPr>
                <w:rFonts w:cs="仿宋" w:asciiTheme="minorEastAsia" w:hAnsiTheme="minorEastAsia"/>
                <w:sz w:val="24"/>
                <w:szCs w:val="24"/>
              </w:rPr>
            </w:pPr>
          </w:p>
        </w:tc>
        <w:tc>
          <w:tcPr>
            <w:tcW w:w="1268" w:type="dxa"/>
            <w:tcBorders>
              <w:top w:val="single" w:color="auto" w:sz="4" w:space="0"/>
              <w:left w:val="single" w:color="auto" w:sz="4" w:space="0"/>
              <w:bottom w:val="single" w:color="auto" w:sz="4" w:space="0"/>
              <w:right w:val="single" w:color="auto" w:sz="4" w:space="0"/>
            </w:tcBorders>
            <w:shd w:val="clear" w:color="auto" w:fill="auto"/>
          </w:tcPr>
          <w:p w14:paraId="21A5A53B">
            <w:pPr>
              <w:spacing w:line="360" w:lineRule="auto"/>
              <w:ind w:firstLine="480" w:firstLineChars="200"/>
              <w:rPr>
                <w:rFonts w:cs="仿宋" w:asciiTheme="minorEastAsia" w:hAnsiTheme="minorEastAsia"/>
                <w:sz w:val="24"/>
                <w:szCs w:val="24"/>
              </w:rPr>
            </w:pPr>
          </w:p>
        </w:tc>
        <w:tc>
          <w:tcPr>
            <w:tcW w:w="2380" w:type="dxa"/>
            <w:tcBorders>
              <w:top w:val="single" w:color="auto" w:sz="4" w:space="0"/>
              <w:left w:val="single" w:color="auto" w:sz="4" w:space="0"/>
              <w:bottom w:val="single" w:color="auto" w:sz="4" w:space="0"/>
              <w:right w:val="single" w:color="auto" w:sz="4" w:space="0"/>
            </w:tcBorders>
            <w:shd w:val="clear" w:color="auto" w:fill="auto"/>
          </w:tcPr>
          <w:p w14:paraId="1D6D0F1E">
            <w:pPr>
              <w:spacing w:line="360" w:lineRule="auto"/>
              <w:ind w:firstLine="480" w:firstLineChars="200"/>
              <w:rPr>
                <w:rFonts w:cs="仿宋" w:asciiTheme="minorEastAsia" w:hAnsiTheme="minorEastAsia"/>
                <w:sz w:val="24"/>
                <w:szCs w:val="24"/>
              </w:rPr>
            </w:pPr>
          </w:p>
        </w:tc>
        <w:tc>
          <w:tcPr>
            <w:tcW w:w="1241" w:type="dxa"/>
            <w:tcBorders>
              <w:top w:val="single" w:color="auto" w:sz="4" w:space="0"/>
              <w:left w:val="single" w:color="auto" w:sz="4" w:space="0"/>
              <w:bottom w:val="single" w:color="auto" w:sz="4" w:space="0"/>
              <w:right w:val="single" w:color="auto" w:sz="4" w:space="0"/>
            </w:tcBorders>
            <w:shd w:val="clear" w:color="auto" w:fill="auto"/>
          </w:tcPr>
          <w:p w14:paraId="2CEDDFB2">
            <w:pPr>
              <w:spacing w:line="360" w:lineRule="auto"/>
              <w:ind w:firstLine="480" w:firstLineChars="200"/>
              <w:rPr>
                <w:rFonts w:cs="仿宋" w:asciiTheme="minorEastAsia" w:hAnsiTheme="minorEastAsia"/>
                <w:sz w:val="24"/>
                <w:szCs w:val="24"/>
              </w:rPr>
            </w:pPr>
          </w:p>
        </w:tc>
      </w:tr>
    </w:tbl>
    <w:p w14:paraId="466576B1">
      <w:pPr>
        <w:spacing w:line="360" w:lineRule="auto"/>
        <w:rPr>
          <w:rFonts w:cs="仿宋" w:asciiTheme="minorEastAsia" w:hAnsiTheme="minorEastAsia"/>
          <w:sz w:val="24"/>
          <w:szCs w:val="24"/>
        </w:rPr>
      </w:pPr>
    </w:p>
    <w:p w14:paraId="706C6913">
      <w:pPr>
        <w:spacing w:line="360" w:lineRule="auto"/>
        <w:ind w:firstLine="480" w:firstLineChars="200"/>
        <w:rPr>
          <w:rFonts w:ascii="宋体" w:hAnsi="宋体" w:cs="宋体"/>
          <w:kern w:val="0"/>
          <w:sz w:val="24"/>
          <w:szCs w:val="24"/>
        </w:rPr>
      </w:pPr>
      <w:r>
        <w:rPr>
          <w:rFonts w:hint="eastAsia" w:ascii="浠垮畫" w:hAnsi="宋体" w:eastAsia="浠垮畫" w:cs="宋体"/>
          <w:kern w:val="0"/>
          <w:sz w:val="24"/>
          <w:szCs w:val="24"/>
        </w:rPr>
        <w:t xml:space="preserve">1. 供应商应仔细研读、对照磋商文件规定的要求，偏离部分必须在上表中填写，并说明偏离情况。如不填写视同全部满足磋商文件要求。 </w:t>
      </w:r>
    </w:p>
    <w:p w14:paraId="4DF2E70B">
      <w:pPr>
        <w:widowControl/>
        <w:spacing w:line="360" w:lineRule="auto"/>
        <w:ind w:firstLine="480" w:firstLineChars="200"/>
        <w:jc w:val="left"/>
        <w:rPr>
          <w:rFonts w:ascii="宋体" w:hAnsi="宋体" w:cs="宋体"/>
          <w:kern w:val="0"/>
          <w:sz w:val="24"/>
          <w:szCs w:val="24"/>
        </w:rPr>
      </w:pPr>
      <w:r>
        <w:rPr>
          <w:rFonts w:hint="eastAsia" w:ascii="浠垮畫" w:hAnsi="宋体" w:eastAsia="浠垮畫" w:cs="宋体"/>
          <w:kern w:val="0"/>
          <w:sz w:val="24"/>
          <w:szCs w:val="24"/>
        </w:rPr>
        <w:t xml:space="preserve">2. 供应商承诺：除本表响应的偏离项目及内容外，其他所有项目及内容均完全与磋商文件的商务服务要求相同。 </w:t>
      </w:r>
    </w:p>
    <w:p w14:paraId="0134C554">
      <w:pPr>
        <w:widowControl/>
        <w:spacing w:line="360" w:lineRule="auto"/>
        <w:ind w:firstLine="480" w:firstLineChars="200"/>
        <w:jc w:val="left"/>
        <w:rPr>
          <w:rFonts w:ascii="宋体" w:hAnsi="宋体" w:cs="宋体"/>
          <w:kern w:val="0"/>
          <w:sz w:val="24"/>
          <w:szCs w:val="24"/>
        </w:rPr>
      </w:pPr>
      <w:r>
        <w:rPr>
          <w:rFonts w:hint="eastAsia" w:ascii="浠垮畫" w:hAnsi="宋体" w:eastAsia="浠垮畫" w:cs="宋体"/>
          <w:kern w:val="0"/>
          <w:sz w:val="24"/>
          <w:szCs w:val="24"/>
        </w:rPr>
        <w:t xml:space="preserve">3. 如供应商与要求完全一致，在上表中注明“完全响应，无偏离”。 </w:t>
      </w:r>
    </w:p>
    <w:p w14:paraId="4EAA9831">
      <w:pPr>
        <w:spacing w:line="360" w:lineRule="auto"/>
        <w:ind w:firstLine="475" w:firstLineChars="198"/>
        <w:jc w:val="left"/>
        <w:rPr>
          <w:rFonts w:ascii="宋体" w:hAnsi="宋体"/>
          <w:sz w:val="24"/>
          <w:szCs w:val="24"/>
        </w:rPr>
      </w:pPr>
      <w:r>
        <w:rPr>
          <w:rFonts w:hint="eastAsia" w:ascii="浠垮畫" w:hAnsi="宋体" w:eastAsia="浠垮畫" w:cs="宋体"/>
          <w:kern w:val="0"/>
          <w:sz w:val="24"/>
          <w:szCs w:val="24"/>
        </w:rPr>
        <w:t>4. 如有偏离，应注明“正偏离”或“负偏离”，并针对偏离项进行详细说明。</w:t>
      </w:r>
      <w:r>
        <w:rPr>
          <w:rFonts w:hint="eastAsia" w:ascii="宋体" w:hAnsi="宋体"/>
          <w:sz w:val="24"/>
          <w:szCs w:val="24"/>
        </w:rPr>
        <w:t xml:space="preserve"> </w:t>
      </w:r>
    </w:p>
    <w:p w14:paraId="33C860C6">
      <w:pPr>
        <w:widowControl/>
        <w:shd w:val="clear" w:color="auto" w:fill="FFFFFF"/>
        <w:snapToGrid w:val="0"/>
        <w:spacing w:line="360" w:lineRule="auto"/>
        <w:ind w:firstLine="480" w:firstLineChars="200"/>
        <w:jc w:val="left"/>
        <w:rPr>
          <w:rFonts w:ascii="宋体" w:hAnsi="宋体"/>
          <w:sz w:val="24"/>
          <w:szCs w:val="24"/>
        </w:rPr>
      </w:pPr>
    </w:p>
    <w:p w14:paraId="36656B26">
      <w:pPr>
        <w:pStyle w:val="45"/>
        <w:spacing w:after="0" w:line="360" w:lineRule="auto"/>
        <w:ind w:firstLine="0" w:firstLineChars="0"/>
        <w:rPr>
          <w:rFonts w:cs="仿宋" w:asciiTheme="minorEastAsia" w:hAnsiTheme="minorEastAsia"/>
          <w:sz w:val="24"/>
          <w:szCs w:val="24"/>
        </w:rPr>
      </w:pPr>
    </w:p>
    <w:p w14:paraId="2B305ED0">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供应商名称（盖章）：</w:t>
      </w:r>
    </w:p>
    <w:p w14:paraId="1DA428F0">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法定代表人或授权代理人(签字或盖章)：</w:t>
      </w:r>
    </w:p>
    <w:p w14:paraId="7AE8BF66">
      <w:pPr>
        <w:spacing w:line="360" w:lineRule="auto"/>
        <w:ind w:firstLine="480" w:firstLineChars="200"/>
        <w:rPr>
          <w:rFonts w:cs="仿宋" w:asciiTheme="minorEastAsia" w:hAnsiTheme="minorEastAsia"/>
          <w:sz w:val="24"/>
          <w:szCs w:val="24"/>
        </w:rPr>
      </w:pPr>
      <w:r>
        <w:rPr>
          <w:rFonts w:hint="eastAsia" w:cs="仿宋" w:asciiTheme="minorEastAsia" w:hAnsiTheme="minorEastAsia"/>
          <w:sz w:val="24"/>
          <w:szCs w:val="24"/>
        </w:rPr>
        <w:t>日期：        年    月    日</w:t>
      </w:r>
    </w:p>
    <w:p w14:paraId="1E5F0D02">
      <w:pPr>
        <w:ind w:left="630"/>
        <w:rPr>
          <w:rFonts w:ascii="宋体" w:hAnsi="宋体"/>
          <w:sz w:val="24"/>
          <w:szCs w:val="24"/>
        </w:rPr>
      </w:pPr>
    </w:p>
    <w:p w14:paraId="211E2243">
      <w:pPr>
        <w:ind w:left="630"/>
        <w:rPr>
          <w:rFonts w:ascii="宋体" w:hAnsi="宋体"/>
          <w:sz w:val="24"/>
          <w:szCs w:val="24"/>
        </w:rPr>
      </w:pPr>
    </w:p>
    <w:p w14:paraId="1F035658">
      <w:pPr>
        <w:ind w:left="630"/>
        <w:rPr>
          <w:rFonts w:ascii="宋体" w:hAnsi="宋体"/>
          <w:sz w:val="24"/>
          <w:szCs w:val="24"/>
        </w:rPr>
      </w:pPr>
    </w:p>
    <w:p w14:paraId="5132D2EF">
      <w:pPr>
        <w:ind w:left="630"/>
        <w:rPr>
          <w:rFonts w:ascii="宋体" w:hAnsi="宋体"/>
          <w:sz w:val="24"/>
          <w:szCs w:val="24"/>
        </w:rPr>
      </w:pPr>
    </w:p>
    <w:p w14:paraId="1685315E">
      <w:pPr>
        <w:widowControl/>
        <w:jc w:val="left"/>
        <w:rPr>
          <w:rFonts w:ascii="宋体" w:hAnsi="宋体"/>
          <w:sz w:val="24"/>
          <w:szCs w:val="24"/>
        </w:rPr>
      </w:pPr>
      <w:r>
        <w:rPr>
          <w:rFonts w:ascii="宋体" w:hAnsi="宋体"/>
          <w:sz w:val="24"/>
          <w:szCs w:val="24"/>
        </w:rPr>
        <w:br w:type="page"/>
      </w:r>
    </w:p>
    <w:p w14:paraId="510AE208">
      <w:pPr>
        <w:ind w:left="630"/>
        <w:rPr>
          <w:rFonts w:ascii="宋体" w:hAnsi="宋体"/>
          <w:sz w:val="24"/>
          <w:szCs w:val="24"/>
        </w:rPr>
      </w:pPr>
    </w:p>
    <w:p w14:paraId="33F7A468">
      <w:pPr>
        <w:ind w:left="630"/>
        <w:jc w:val="center"/>
        <w:rPr>
          <w:rFonts w:ascii="宋体" w:hAnsi="宋体"/>
          <w:b/>
          <w:sz w:val="24"/>
          <w:szCs w:val="24"/>
        </w:rPr>
      </w:pPr>
    </w:p>
    <w:p w14:paraId="32DEADE0">
      <w:pPr>
        <w:jc w:val="center"/>
        <w:rPr>
          <w:rFonts w:ascii="宋体" w:hAnsi="宋体"/>
          <w:b/>
          <w:sz w:val="24"/>
          <w:szCs w:val="24"/>
        </w:rPr>
      </w:pPr>
      <w:r>
        <w:rPr>
          <w:rFonts w:hint="eastAsia" w:ascii="宋体" w:hAnsi="宋体"/>
          <w:b/>
          <w:sz w:val="24"/>
          <w:szCs w:val="24"/>
        </w:rPr>
        <w:t>（七）工程项目售后服务方案</w:t>
      </w:r>
    </w:p>
    <w:p w14:paraId="582A46FC">
      <w:pPr>
        <w:ind w:left="630"/>
        <w:rPr>
          <w:rFonts w:ascii="宋体" w:hAnsi="宋体" w:cs="宋体"/>
          <w:sz w:val="24"/>
          <w:szCs w:val="21"/>
        </w:rPr>
      </w:pPr>
      <w:r>
        <w:rPr>
          <w:rFonts w:hint="eastAsia" w:ascii="宋体" w:hAnsi="宋体" w:cs="宋体"/>
          <w:sz w:val="24"/>
          <w:szCs w:val="21"/>
        </w:rPr>
        <w:t>1、服务方案承诺；</w:t>
      </w:r>
    </w:p>
    <w:p w14:paraId="20A3F243">
      <w:pPr>
        <w:ind w:left="630"/>
        <w:rPr>
          <w:rFonts w:ascii="宋体" w:hAnsi="宋体" w:cs="宋体"/>
          <w:sz w:val="24"/>
          <w:szCs w:val="21"/>
        </w:rPr>
      </w:pPr>
      <w:r>
        <w:rPr>
          <w:rFonts w:hint="eastAsia" w:ascii="宋体" w:hAnsi="宋体" w:cs="宋体"/>
          <w:sz w:val="24"/>
          <w:szCs w:val="21"/>
        </w:rPr>
        <w:t>2、响应时间；</w:t>
      </w:r>
    </w:p>
    <w:p w14:paraId="138F28AB">
      <w:pPr>
        <w:ind w:left="630"/>
        <w:rPr>
          <w:rFonts w:ascii="宋体" w:hAnsi="宋体" w:cs="宋体"/>
          <w:sz w:val="24"/>
          <w:szCs w:val="21"/>
        </w:rPr>
      </w:pPr>
      <w:r>
        <w:rPr>
          <w:rFonts w:hint="eastAsia" w:ascii="宋体" w:hAnsi="宋体" w:cs="宋体"/>
          <w:sz w:val="24"/>
          <w:szCs w:val="21"/>
        </w:rPr>
        <w:t>3、服务流程</w:t>
      </w:r>
    </w:p>
    <w:p w14:paraId="534DF29F">
      <w:pPr>
        <w:ind w:left="630"/>
        <w:rPr>
          <w:rFonts w:ascii="宋体" w:hAnsi="宋体" w:cs="宋体"/>
          <w:sz w:val="24"/>
          <w:szCs w:val="21"/>
        </w:rPr>
      </w:pPr>
      <w:r>
        <w:rPr>
          <w:rFonts w:hint="eastAsia" w:ascii="宋体" w:hAnsi="宋体" w:cs="宋体"/>
          <w:sz w:val="24"/>
          <w:szCs w:val="21"/>
        </w:rPr>
        <w:t>4、应急预案；</w:t>
      </w:r>
    </w:p>
    <w:p w14:paraId="6F6D2BDC">
      <w:pPr>
        <w:ind w:left="630"/>
        <w:rPr>
          <w:rFonts w:cs="仿宋" w:asciiTheme="minorEastAsia" w:hAnsiTheme="minorEastAsia"/>
          <w:sz w:val="32"/>
          <w:szCs w:val="24"/>
        </w:rPr>
      </w:pPr>
      <w:r>
        <w:rPr>
          <w:rFonts w:hint="eastAsia" w:ascii="宋体" w:hAnsi="宋体" w:cs="宋体"/>
          <w:sz w:val="24"/>
          <w:szCs w:val="21"/>
        </w:rPr>
        <w:t>5、服务记录。</w:t>
      </w:r>
    </w:p>
    <w:p w14:paraId="5D02672E">
      <w:pPr>
        <w:ind w:left="630"/>
        <w:rPr>
          <w:rFonts w:cs="仿宋" w:asciiTheme="minorEastAsia" w:hAnsiTheme="minorEastAsia"/>
          <w:sz w:val="24"/>
          <w:szCs w:val="24"/>
        </w:rPr>
      </w:pPr>
    </w:p>
    <w:p w14:paraId="77CBC240">
      <w:pPr>
        <w:ind w:left="630"/>
        <w:rPr>
          <w:rFonts w:cs="仿宋" w:asciiTheme="minorEastAsia" w:hAnsiTheme="minorEastAsia"/>
          <w:sz w:val="24"/>
          <w:szCs w:val="24"/>
        </w:rPr>
      </w:pPr>
    </w:p>
    <w:p w14:paraId="2441E9F8">
      <w:pPr>
        <w:ind w:left="630"/>
        <w:rPr>
          <w:rFonts w:cs="仿宋" w:asciiTheme="minorEastAsia" w:hAnsiTheme="minorEastAsia"/>
          <w:sz w:val="24"/>
          <w:szCs w:val="24"/>
        </w:rPr>
      </w:pPr>
    </w:p>
    <w:p w14:paraId="38C7E2E9">
      <w:pPr>
        <w:ind w:left="630"/>
        <w:rPr>
          <w:rFonts w:cs="仿宋" w:asciiTheme="minorEastAsia" w:hAnsiTheme="minorEastAsia"/>
          <w:sz w:val="24"/>
          <w:szCs w:val="24"/>
        </w:rPr>
      </w:pPr>
    </w:p>
    <w:p w14:paraId="2538CA43">
      <w:pPr>
        <w:ind w:left="630"/>
        <w:jc w:val="center"/>
        <w:rPr>
          <w:rFonts w:cs="仿宋" w:asciiTheme="minorEastAsia" w:hAnsiTheme="minorEastAsia"/>
          <w:sz w:val="24"/>
          <w:szCs w:val="24"/>
        </w:rPr>
      </w:pPr>
    </w:p>
    <w:p w14:paraId="04230DC1">
      <w:pPr>
        <w:ind w:left="630"/>
        <w:jc w:val="center"/>
        <w:rPr>
          <w:rFonts w:ascii="宋体" w:hAnsi="宋体"/>
          <w:b/>
          <w:sz w:val="24"/>
          <w:szCs w:val="24"/>
        </w:rPr>
      </w:pPr>
    </w:p>
    <w:p w14:paraId="7866D08B">
      <w:pPr>
        <w:ind w:left="630"/>
        <w:jc w:val="center"/>
        <w:rPr>
          <w:rFonts w:ascii="宋体" w:hAnsi="宋体"/>
          <w:b/>
          <w:sz w:val="24"/>
          <w:szCs w:val="24"/>
        </w:rPr>
      </w:pPr>
    </w:p>
    <w:p w14:paraId="759DF6C8">
      <w:pPr>
        <w:ind w:left="630"/>
        <w:jc w:val="center"/>
        <w:rPr>
          <w:rFonts w:ascii="宋体" w:hAnsi="宋体"/>
          <w:b/>
          <w:sz w:val="24"/>
          <w:szCs w:val="24"/>
        </w:rPr>
      </w:pPr>
    </w:p>
    <w:p w14:paraId="32B4EF6D">
      <w:pPr>
        <w:ind w:left="630"/>
        <w:jc w:val="center"/>
        <w:rPr>
          <w:rFonts w:ascii="宋体" w:hAnsi="宋体"/>
          <w:b/>
          <w:sz w:val="24"/>
          <w:szCs w:val="24"/>
        </w:rPr>
      </w:pPr>
    </w:p>
    <w:p w14:paraId="17FADE28">
      <w:pPr>
        <w:ind w:left="630"/>
        <w:jc w:val="center"/>
        <w:rPr>
          <w:rFonts w:ascii="宋体" w:hAnsi="宋体"/>
          <w:b/>
          <w:sz w:val="24"/>
          <w:szCs w:val="24"/>
        </w:rPr>
      </w:pPr>
    </w:p>
    <w:p w14:paraId="277A11A5">
      <w:pPr>
        <w:ind w:left="630"/>
        <w:jc w:val="center"/>
        <w:rPr>
          <w:rFonts w:ascii="宋体" w:hAnsi="宋体"/>
          <w:b/>
          <w:sz w:val="24"/>
          <w:szCs w:val="24"/>
        </w:rPr>
      </w:pPr>
    </w:p>
    <w:p w14:paraId="50061F38">
      <w:pPr>
        <w:ind w:left="630"/>
        <w:jc w:val="center"/>
        <w:rPr>
          <w:rFonts w:ascii="宋体" w:hAnsi="宋体"/>
          <w:b/>
          <w:sz w:val="24"/>
          <w:szCs w:val="24"/>
        </w:rPr>
      </w:pPr>
    </w:p>
    <w:p w14:paraId="19D41805">
      <w:pPr>
        <w:ind w:left="630"/>
        <w:jc w:val="center"/>
        <w:rPr>
          <w:rFonts w:ascii="宋体" w:hAnsi="宋体"/>
          <w:b/>
          <w:sz w:val="24"/>
          <w:szCs w:val="24"/>
        </w:rPr>
      </w:pPr>
    </w:p>
    <w:p w14:paraId="14644CCE">
      <w:pPr>
        <w:ind w:left="630"/>
        <w:jc w:val="center"/>
        <w:rPr>
          <w:rFonts w:ascii="宋体" w:hAnsi="宋体"/>
          <w:b/>
          <w:sz w:val="24"/>
          <w:szCs w:val="24"/>
        </w:rPr>
      </w:pPr>
    </w:p>
    <w:p w14:paraId="5ED6E2D7">
      <w:pPr>
        <w:ind w:left="630"/>
        <w:jc w:val="center"/>
        <w:rPr>
          <w:rFonts w:ascii="宋体" w:hAnsi="宋体"/>
          <w:b/>
          <w:sz w:val="24"/>
          <w:szCs w:val="24"/>
        </w:rPr>
      </w:pPr>
    </w:p>
    <w:p w14:paraId="7797ED85">
      <w:pPr>
        <w:ind w:left="630"/>
        <w:jc w:val="center"/>
        <w:rPr>
          <w:rFonts w:ascii="宋体" w:hAnsi="宋体"/>
          <w:b/>
          <w:sz w:val="24"/>
          <w:szCs w:val="24"/>
        </w:rPr>
      </w:pPr>
    </w:p>
    <w:p w14:paraId="34ED280C">
      <w:pPr>
        <w:ind w:left="630"/>
        <w:jc w:val="center"/>
        <w:rPr>
          <w:rFonts w:ascii="宋体" w:hAnsi="宋体"/>
          <w:b/>
          <w:sz w:val="24"/>
          <w:szCs w:val="24"/>
        </w:rPr>
      </w:pPr>
    </w:p>
    <w:p w14:paraId="34B3E76C">
      <w:pPr>
        <w:ind w:left="630"/>
        <w:jc w:val="center"/>
        <w:rPr>
          <w:rFonts w:ascii="宋体" w:hAnsi="宋体"/>
          <w:b/>
          <w:sz w:val="24"/>
          <w:szCs w:val="24"/>
        </w:rPr>
      </w:pPr>
    </w:p>
    <w:p w14:paraId="44471478">
      <w:pPr>
        <w:ind w:left="630"/>
        <w:jc w:val="center"/>
        <w:rPr>
          <w:rFonts w:ascii="宋体" w:hAnsi="宋体"/>
          <w:b/>
          <w:sz w:val="24"/>
          <w:szCs w:val="24"/>
        </w:rPr>
      </w:pPr>
    </w:p>
    <w:p w14:paraId="1A3DFE20">
      <w:pPr>
        <w:ind w:left="630"/>
        <w:jc w:val="center"/>
        <w:rPr>
          <w:rFonts w:ascii="宋体" w:hAnsi="宋体"/>
          <w:b/>
          <w:sz w:val="24"/>
          <w:szCs w:val="24"/>
        </w:rPr>
      </w:pPr>
    </w:p>
    <w:p w14:paraId="1B2BC602">
      <w:pPr>
        <w:ind w:left="630"/>
        <w:jc w:val="center"/>
        <w:rPr>
          <w:rFonts w:ascii="宋体" w:hAnsi="宋体"/>
          <w:b/>
          <w:sz w:val="24"/>
          <w:szCs w:val="24"/>
        </w:rPr>
      </w:pPr>
    </w:p>
    <w:p w14:paraId="3EE58C05">
      <w:pPr>
        <w:ind w:left="630"/>
        <w:jc w:val="center"/>
        <w:rPr>
          <w:rFonts w:ascii="宋体" w:hAnsi="宋体"/>
          <w:b/>
          <w:sz w:val="24"/>
          <w:szCs w:val="24"/>
        </w:rPr>
      </w:pPr>
    </w:p>
    <w:p w14:paraId="3EBC3584">
      <w:pPr>
        <w:ind w:left="630"/>
        <w:jc w:val="center"/>
        <w:rPr>
          <w:rFonts w:ascii="宋体" w:hAnsi="宋体"/>
          <w:b/>
          <w:sz w:val="24"/>
          <w:szCs w:val="24"/>
        </w:rPr>
      </w:pPr>
    </w:p>
    <w:p w14:paraId="21F2B782">
      <w:pPr>
        <w:ind w:left="630"/>
        <w:jc w:val="center"/>
        <w:rPr>
          <w:rFonts w:ascii="宋体" w:hAnsi="宋体"/>
          <w:b/>
          <w:sz w:val="24"/>
          <w:szCs w:val="24"/>
        </w:rPr>
      </w:pPr>
    </w:p>
    <w:p w14:paraId="0C50A69D">
      <w:pPr>
        <w:ind w:left="630"/>
        <w:jc w:val="center"/>
        <w:rPr>
          <w:rFonts w:ascii="宋体" w:hAnsi="宋体"/>
          <w:b/>
          <w:sz w:val="24"/>
          <w:szCs w:val="24"/>
        </w:rPr>
      </w:pPr>
    </w:p>
    <w:p w14:paraId="2D6C53A6">
      <w:pPr>
        <w:ind w:left="630"/>
        <w:jc w:val="center"/>
        <w:rPr>
          <w:rFonts w:ascii="宋体" w:hAnsi="宋体"/>
          <w:b/>
          <w:sz w:val="24"/>
          <w:szCs w:val="24"/>
        </w:rPr>
      </w:pPr>
    </w:p>
    <w:p w14:paraId="57859F4D">
      <w:pPr>
        <w:ind w:left="630"/>
        <w:jc w:val="center"/>
        <w:rPr>
          <w:rFonts w:ascii="宋体" w:hAnsi="宋体"/>
          <w:b/>
          <w:sz w:val="24"/>
          <w:szCs w:val="24"/>
        </w:rPr>
      </w:pPr>
    </w:p>
    <w:p w14:paraId="66C82993">
      <w:pPr>
        <w:ind w:left="630"/>
        <w:jc w:val="center"/>
        <w:rPr>
          <w:rFonts w:ascii="宋体" w:hAnsi="宋体"/>
          <w:b/>
          <w:sz w:val="24"/>
          <w:szCs w:val="24"/>
        </w:rPr>
      </w:pPr>
    </w:p>
    <w:p w14:paraId="4FD7DF8A">
      <w:pPr>
        <w:ind w:left="630"/>
        <w:jc w:val="center"/>
        <w:rPr>
          <w:rFonts w:ascii="宋体" w:hAnsi="宋体"/>
          <w:b/>
          <w:sz w:val="24"/>
          <w:szCs w:val="24"/>
        </w:rPr>
      </w:pPr>
    </w:p>
    <w:p w14:paraId="0019F191">
      <w:pPr>
        <w:ind w:left="630"/>
        <w:jc w:val="center"/>
        <w:rPr>
          <w:rFonts w:ascii="宋体" w:hAnsi="宋体"/>
          <w:b/>
          <w:sz w:val="24"/>
          <w:szCs w:val="24"/>
        </w:rPr>
      </w:pPr>
    </w:p>
    <w:p w14:paraId="29E643AA">
      <w:pPr>
        <w:ind w:left="630"/>
        <w:jc w:val="center"/>
        <w:rPr>
          <w:rFonts w:ascii="宋体" w:hAnsi="宋体"/>
          <w:b/>
          <w:sz w:val="24"/>
          <w:szCs w:val="24"/>
        </w:rPr>
      </w:pPr>
    </w:p>
    <w:p w14:paraId="35421A67">
      <w:pPr>
        <w:ind w:left="630"/>
        <w:jc w:val="center"/>
        <w:rPr>
          <w:rFonts w:ascii="宋体" w:hAnsi="宋体"/>
          <w:b/>
          <w:sz w:val="24"/>
          <w:szCs w:val="24"/>
        </w:rPr>
      </w:pPr>
    </w:p>
    <w:p w14:paraId="41EDF9AA">
      <w:pPr>
        <w:ind w:left="630"/>
        <w:jc w:val="center"/>
        <w:rPr>
          <w:rFonts w:ascii="宋体" w:hAnsi="宋体"/>
          <w:b/>
          <w:sz w:val="24"/>
          <w:szCs w:val="24"/>
        </w:rPr>
      </w:pPr>
    </w:p>
    <w:p w14:paraId="4399C750">
      <w:pPr>
        <w:ind w:left="630"/>
        <w:jc w:val="center"/>
        <w:rPr>
          <w:rFonts w:ascii="宋体" w:hAnsi="宋体"/>
          <w:b/>
          <w:sz w:val="24"/>
          <w:szCs w:val="24"/>
        </w:rPr>
      </w:pPr>
    </w:p>
    <w:p w14:paraId="75286A0A">
      <w:pPr>
        <w:rPr>
          <w:rFonts w:ascii="宋体" w:hAnsi="宋体"/>
          <w:b/>
          <w:sz w:val="24"/>
          <w:szCs w:val="24"/>
        </w:rPr>
      </w:pPr>
    </w:p>
    <w:p w14:paraId="0E2BDB00">
      <w:pPr>
        <w:ind w:left="630"/>
        <w:jc w:val="center"/>
        <w:rPr>
          <w:rFonts w:ascii="宋体" w:hAnsi="宋体"/>
          <w:b/>
          <w:sz w:val="24"/>
          <w:szCs w:val="24"/>
        </w:rPr>
      </w:pPr>
    </w:p>
    <w:p w14:paraId="7FCA1BC6">
      <w:pPr>
        <w:widowControl/>
        <w:jc w:val="left"/>
        <w:rPr>
          <w:rFonts w:ascii="宋体" w:hAnsi="宋体"/>
          <w:b/>
          <w:sz w:val="24"/>
          <w:szCs w:val="24"/>
        </w:rPr>
      </w:pPr>
      <w:r>
        <w:rPr>
          <w:rFonts w:ascii="宋体" w:hAnsi="宋体"/>
          <w:b/>
          <w:sz w:val="24"/>
          <w:szCs w:val="24"/>
        </w:rPr>
        <w:br w:type="page"/>
      </w:r>
    </w:p>
    <w:p w14:paraId="03F90011">
      <w:pPr>
        <w:ind w:left="630"/>
        <w:jc w:val="center"/>
        <w:rPr>
          <w:rFonts w:ascii="宋体" w:hAnsi="宋体"/>
          <w:b/>
          <w:sz w:val="24"/>
          <w:szCs w:val="24"/>
        </w:rPr>
      </w:pPr>
      <w:r>
        <w:rPr>
          <w:rFonts w:hint="eastAsia" w:ascii="宋体" w:hAnsi="宋体"/>
          <w:b/>
          <w:sz w:val="24"/>
          <w:szCs w:val="24"/>
        </w:rPr>
        <w:t>（八）施工方案</w:t>
      </w:r>
    </w:p>
    <w:p w14:paraId="0244CBDF">
      <w:pPr>
        <w:spacing w:line="360" w:lineRule="auto"/>
        <w:ind w:left="629"/>
        <w:rPr>
          <w:rFonts w:ascii="宋体" w:hAnsi="宋体"/>
          <w:sz w:val="24"/>
          <w:szCs w:val="24"/>
        </w:rPr>
      </w:pPr>
      <w:r>
        <w:rPr>
          <w:rFonts w:hint="eastAsia" w:ascii="宋体" w:hAnsi="宋体"/>
          <w:sz w:val="24"/>
          <w:szCs w:val="24"/>
        </w:rPr>
        <w:t>1、工程概况及特点</w:t>
      </w:r>
    </w:p>
    <w:p w14:paraId="481A692A">
      <w:pPr>
        <w:spacing w:line="360" w:lineRule="auto"/>
        <w:ind w:left="629"/>
        <w:rPr>
          <w:rFonts w:ascii="宋体" w:hAnsi="宋体"/>
          <w:sz w:val="24"/>
          <w:szCs w:val="24"/>
        </w:rPr>
      </w:pPr>
      <w:r>
        <w:rPr>
          <w:rFonts w:hint="eastAsia" w:ascii="宋体" w:hAnsi="宋体"/>
          <w:sz w:val="24"/>
          <w:szCs w:val="24"/>
        </w:rPr>
        <w:t>2、施工方案</w:t>
      </w:r>
    </w:p>
    <w:p w14:paraId="08CCC833">
      <w:pPr>
        <w:spacing w:line="360" w:lineRule="auto"/>
        <w:ind w:left="629"/>
        <w:rPr>
          <w:rFonts w:ascii="宋体" w:hAnsi="宋体"/>
          <w:sz w:val="24"/>
          <w:szCs w:val="24"/>
        </w:rPr>
      </w:pPr>
      <w:r>
        <w:rPr>
          <w:rFonts w:hint="eastAsia" w:ascii="宋体" w:hAnsi="宋体"/>
          <w:sz w:val="24"/>
          <w:szCs w:val="24"/>
        </w:rPr>
        <w:t>3、施工进度、施工平面布置方案</w:t>
      </w:r>
    </w:p>
    <w:p w14:paraId="6FCCFC0A">
      <w:pPr>
        <w:spacing w:line="360" w:lineRule="auto"/>
        <w:ind w:left="629"/>
        <w:rPr>
          <w:rFonts w:ascii="宋体" w:hAnsi="宋体"/>
          <w:sz w:val="24"/>
          <w:szCs w:val="24"/>
        </w:rPr>
      </w:pPr>
      <w:r>
        <w:rPr>
          <w:rFonts w:hint="eastAsia" w:ascii="宋体" w:hAnsi="宋体"/>
          <w:sz w:val="24"/>
          <w:szCs w:val="24"/>
        </w:rPr>
        <w:t>4、劳动力、材料机械设备用量方案</w:t>
      </w:r>
    </w:p>
    <w:p w14:paraId="52BCC378">
      <w:pPr>
        <w:spacing w:line="360" w:lineRule="auto"/>
        <w:ind w:left="629"/>
        <w:rPr>
          <w:rFonts w:ascii="宋体" w:hAnsi="宋体"/>
          <w:sz w:val="24"/>
          <w:szCs w:val="24"/>
        </w:rPr>
      </w:pPr>
      <w:r>
        <w:rPr>
          <w:rFonts w:hint="eastAsia" w:ascii="宋体" w:hAnsi="宋体"/>
          <w:sz w:val="24"/>
          <w:szCs w:val="24"/>
        </w:rPr>
        <w:t>5、质量、工期、安全保证等措施</w:t>
      </w:r>
    </w:p>
    <w:p w14:paraId="19975B83">
      <w:pPr>
        <w:spacing w:line="360" w:lineRule="auto"/>
        <w:ind w:left="629"/>
        <w:rPr>
          <w:rFonts w:ascii="宋体" w:hAnsi="宋体"/>
          <w:sz w:val="24"/>
          <w:szCs w:val="24"/>
        </w:rPr>
      </w:pPr>
      <w:r>
        <w:rPr>
          <w:rFonts w:hint="eastAsia" w:ascii="宋体" w:hAnsi="宋体"/>
          <w:sz w:val="24"/>
          <w:szCs w:val="24"/>
        </w:rPr>
        <w:t>6、现场文明施工措施</w:t>
      </w:r>
    </w:p>
    <w:p w14:paraId="59540596">
      <w:pPr>
        <w:spacing w:line="360" w:lineRule="auto"/>
        <w:ind w:left="629"/>
        <w:jc w:val="left"/>
        <w:rPr>
          <w:rFonts w:ascii="宋体" w:hAnsi="宋体"/>
          <w:b/>
          <w:sz w:val="24"/>
          <w:szCs w:val="24"/>
        </w:rPr>
      </w:pPr>
      <w:r>
        <w:rPr>
          <w:rFonts w:hint="eastAsia" w:ascii="宋体" w:hAnsi="宋体"/>
          <w:b/>
          <w:sz w:val="24"/>
          <w:szCs w:val="24"/>
        </w:rPr>
        <w:t>注：施工方案目录仅为参考，供应商可自行编制。</w:t>
      </w:r>
    </w:p>
    <w:p w14:paraId="2BBD4316">
      <w:pPr>
        <w:spacing w:line="360" w:lineRule="auto"/>
        <w:ind w:left="629"/>
        <w:jc w:val="center"/>
        <w:rPr>
          <w:rFonts w:ascii="宋体" w:hAnsi="宋体"/>
          <w:b/>
          <w:sz w:val="24"/>
          <w:szCs w:val="24"/>
        </w:rPr>
      </w:pPr>
    </w:p>
    <w:p w14:paraId="77B9DE0B">
      <w:pPr>
        <w:spacing w:line="360" w:lineRule="auto"/>
        <w:ind w:left="629"/>
        <w:jc w:val="center"/>
        <w:rPr>
          <w:rFonts w:ascii="宋体" w:hAnsi="宋体"/>
          <w:b/>
          <w:sz w:val="24"/>
          <w:szCs w:val="24"/>
        </w:rPr>
      </w:pPr>
    </w:p>
    <w:p w14:paraId="36EFC73E">
      <w:pPr>
        <w:ind w:left="630"/>
        <w:jc w:val="center"/>
        <w:rPr>
          <w:rFonts w:ascii="宋体" w:hAnsi="宋体"/>
          <w:b/>
          <w:sz w:val="24"/>
          <w:szCs w:val="24"/>
        </w:rPr>
      </w:pPr>
    </w:p>
    <w:p w14:paraId="2BB61BE5">
      <w:pPr>
        <w:ind w:left="630"/>
        <w:jc w:val="center"/>
        <w:rPr>
          <w:rFonts w:ascii="宋体" w:hAnsi="宋体"/>
          <w:b/>
          <w:sz w:val="24"/>
          <w:szCs w:val="24"/>
        </w:rPr>
      </w:pPr>
    </w:p>
    <w:p w14:paraId="7AB8A942">
      <w:pPr>
        <w:ind w:left="630"/>
        <w:jc w:val="center"/>
        <w:rPr>
          <w:rFonts w:ascii="宋体" w:hAnsi="宋体"/>
          <w:b/>
          <w:sz w:val="24"/>
          <w:szCs w:val="24"/>
        </w:rPr>
      </w:pPr>
    </w:p>
    <w:p w14:paraId="2ED4FA89">
      <w:pPr>
        <w:ind w:left="630"/>
        <w:jc w:val="center"/>
        <w:rPr>
          <w:rFonts w:ascii="宋体" w:hAnsi="宋体"/>
          <w:b/>
          <w:sz w:val="24"/>
          <w:szCs w:val="24"/>
        </w:rPr>
      </w:pPr>
    </w:p>
    <w:p w14:paraId="46165FD6">
      <w:pPr>
        <w:ind w:left="630"/>
        <w:jc w:val="center"/>
        <w:rPr>
          <w:rFonts w:ascii="宋体" w:hAnsi="宋体"/>
          <w:b/>
          <w:sz w:val="24"/>
          <w:szCs w:val="24"/>
        </w:rPr>
      </w:pPr>
    </w:p>
    <w:p w14:paraId="6642A4CE">
      <w:pPr>
        <w:ind w:left="630"/>
        <w:jc w:val="center"/>
        <w:rPr>
          <w:rFonts w:ascii="宋体" w:hAnsi="宋体"/>
          <w:b/>
          <w:sz w:val="24"/>
          <w:szCs w:val="24"/>
        </w:rPr>
      </w:pPr>
    </w:p>
    <w:p w14:paraId="0A302968">
      <w:pPr>
        <w:ind w:left="630"/>
        <w:jc w:val="center"/>
        <w:rPr>
          <w:rFonts w:ascii="宋体" w:hAnsi="宋体"/>
          <w:b/>
          <w:sz w:val="24"/>
          <w:szCs w:val="24"/>
        </w:rPr>
      </w:pPr>
    </w:p>
    <w:p w14:paraId="73E9637B">
      <w:pPr>
        <w:ind w:left="630"/>
        <w:jc w:val="center"/>
        <w:rPr>
          <w:rFonts w:ascii="宋体" w:hAnsi="宋体"/>
          <w:b/>
          <w:sz w:val="24"/>
          <w:szCs w:val="24"/>
        </w:rPr>
      </w:pPr>
    </w:p>
    <w:p w14:paraId="1ADB2F86">
      <w:pPr>
        <w:ind w:left="630"/>
        <w:jc w:val="center"/>
        <w:rPr>
          <w:rFonts w:ascii="宋体" w:hAnsi="宋体"/>
          <w:b/>
          <w:sz w:val="24"/>
          <w:szCs w:val="24"/>
        </w:rPr>
      </w:pPr>
    </w:p>
    <w:p w14:paraId="35FA2A6A">
      <w:pPr>
        <w:ind w:left="630"/>
        <w:jc w:val="center"/>
        <w:rPr>
          <w:rFonts w:ascii="宋体" w:hAnsi="宋体"/>
          <w:b/>
          <w:sz w:val="24"/>
          <w:szCs w:val="24"/>
        </w:rPr>
      </w:pPr>
    </w:p>
    <w:p w14:paraId="21A874FC">
      <w:pPr>
        <w:ind w:left="630"/>
        <w:jc w:val="center"/>
        <w:rPr>
          <w:rFonts w:ascii="宋体" w:hAnsi="宋体"/>
          <w:b/>
          <w:sz w:val="24"/>
          <w:szCs w:val="24"/>
        </w:rPr>
      </w:pPr>
    </w:p>
    <w:p w14:paraId="3F04A18B">
      <w:pPr>
        <w:ind w:left="630"/>
        <w:jc w:val="center"/>
        <w:rPr>
          <w:rFonts w:ascii="宋体" w:hAnsi="宋体"/>
          <w:b/>
          <w:sz w:val="24"/>
          <w:szCs w:val="24"/>
        </w:rPr>
      </w:pPr>
    </w:p>
    <w:p w14:paraId="546381D7">
      <w:pPr>
        <w:ind w:left="630"/>
        <w:jc w:val="center"/>
        <w:rPr>
          <w:rFonts w:ascii="宋体" w:hAnsi="宋体"/>
          <w:b/>
          <w:sz w:val="24"/>
          <w:szCs w:val="24"/>
        </w:rPr>
      </w:pPr>
    </w:p>
    <w:p w14:paraId="633CFC5E">
      <w:pPr>
        <w:ind w:left="630"/>
        <w:jc w:val="center"/>
        <w:rPr>
          <w:rFonts w:ascii="宋体" w:hAnsi="宋体"/>
          <w:b/>
          <w:sz w:val="24"/>
          <w:szCs w:val="24"/>
        </w:rPr>
      </w:pPr>
    </w:p>
    <w:p w14:paraId="5BBD55BE">
      <w:pPr>
        <w:ind w:left="630"/>
        <w:jc w:val="center"/>
        <w:rPr>
          <w:rFonts w:ascii="宋体" w:hAnsi="宋体"/>
          <w:b/>
          <w:sz w:val="24"/>
          <w:szCs w:val="24"/>
        </w:rPr>
      </w:pPr>
    </w:p>
    <w:p w14:paraId="4329312A">
      <w:pPr>
        <w:ind w:left="630"/>
        <w:jc w:val="center"/>
        <w:rPr>
          <w:rFonts w:ascii="宋体" w:hAnsi="宋体"/>
          <w:b/>
          <w:sz w:val="24"/>
          <w:szCs w:val="24"/>
        </w:rPr>
      </w:pPr>
    </w:p>
    <w:p w14:paraId="4FF1E195">
      <w:pPr>
        <w:ind w:left="630"/>
        <w:jc w:val="center"/>
        <w:rPr>
          <w:rFonts w:ascii="宋体" w:hAnsi="宋体"/>
          <w:b/>
          <w:sz w:val="24"/>
          <w:szCs w:val="24"/>
        </w:rPr>
      </w:pPr>
    </w:p>
    <w:p w14:paraId="56EBF9C7">
      <w:pPr>
        <w:ind w:left="630"/>
        <w:jc w:val="center"/>
        <w:rPr>
          <w:rFonts w:ascii="宋体" w:hAnsi="宋体"/>
          <w:b/>
          <w:sz w:val="24"/>
          <w:szCs w:val="24"/>
        </w:rPr>
      </w:pPr>
    </w:p>
    <w:p w14:paraId="7DAAE718">
      <w:pPr>
        <w:ind w:left="630"/>
        <w:jc w:val="center"/>
        <w:rPr>
          <w:rFonts w:ascii="宋体" w:hAnsi="宋体"/>
          <w:b/>
          <w:sz w:val="24"/>
          <w:szCs w:val="24"/>
        </w:rPr>
      </w:pPr>
    </w:p>
    <w:p w14:paraId="7ABB57E0">
      <w:pPr>
        <w:ind w:left="630"/>
        <w:jc w:val="center"/>
        <w:rPr>
          <w:rFonts w:ascii="宋体" w:hAnsi="宋体"/>
          <w:b/>
          <w:sz w:val="24"/>
          <w:szCs w:val="24"/>
        </w:rPr>
      </w:pPr>
    </w:p>
    <w:p w14:paraId="5EC3BE37">
      <w:pPr>
        <w:widowControl/>
        <w:jc w:val="left"/>
        <w:rPr>
          <w:rFonts w:ascii="宋体" w:hAnsi="宋体"/>
          <w:b/>
          <w:sz w:val="24"/>
          <w:szCs w:val="24"/>
        </w:rPr>
      </w:pPr>
      <w:r>
        <w:rPr>
          <w:rFonts w:ascii="宋体" w:hAnsi="宋体"/>
          <w:b/>
          <w:sz w:val="24"/>
          <w:szCs w:val="24"/>
        </w:rPr>
        <w:br w:type="page"/>
      </w:r>
    </w:p>
    <w:p w14:paraId="2214CDDB">
      <w:pPr>
        <w:ind w:left="630"/>
        <w:jc w:val="center"/>
        <w:rPr>
          <w:rFonts w:ascii="宋体" w:hAnsi="宋体"/>
          <w:b/>
          <w:sz w:val="24"/>
          <w:szCs w:val="24"/>
        </w:rPr>
      </w:pPr>
    </w:p>
    <w:p w14:paraId="7CE15079">
      <w:pPr>
        <w:ind w:left="630"/>
        <w:jc w:val="center"/>
        <w:rPr>
          <w:rFonts w:ascii="宋体" w:hAnsi="宋体"/>
          <w:b/>
          <w:sz w:val="24"/>
          <w:szCs w:val="24"/>
        </w:rPr>
      </w:pPr>
      <w:r>
        <w:rPr>
          <w:rFonts w:hint="eastAsia" w:ascii="宋体" w:hAnsi="宋体"/>
          <w:b/>
          <w:sz w:val="24"/>
          <w:szCs w:val="24"/>
        </w:rPr>
        <w:t>（九）供应商认为有必要提交的其他材料</w:t>
      </w:r>
    </w:p>
    <w:p w14:paraId="6EF88FB1">
      <w:pPr>
        <w:spacing w:line="360" w:lineRule="auto"/>
        <w:rPr>
          <w:rFonts w:cs="仿宋" w:asciiTheme="minorEastAsia" w:hAnsiTheme="minorEastAsia"/>
          <w:sz w:val="24"/>
          <w:szCs w:val="24"/>
        </w:rPr>
      </w:pPr>
      <w:r>
        <w:rPr>
          <w:rFonts w:hint="eastAsia" w:cs="仿宋" w:asciiTheme="minorEastAsia" w:hAnsiTheme="minorEastAsia"/>
          <w:sz w:val="24"/>
          <w:szCs w:val="24"/>
        </w:rPr>
        <w:t>供应商应提交的其它资料应包括：</w:t>
      </w:r>
    </w:p>
    <w:p w14:paraId="2D75FC0A">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（1）其他增值优惠承诺；</w:t>
      </w:r>
    </w:p>
    <w:p w14:paraId="3303784E">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（2）评分细则提及或供应商认为需要提供的其他说明和资料。</w:t>
      </w:r>
    </w:p>
    <w:p w14:paraId="3633BEFC">
      <w:pPr>
        <w:spacing w:line="360" w:lineRule="auto"/>
        <w:ind w:firstLine="480"/>
        <w:rPr>
          <w:rFonts w:cs="仿宋" w:asciiTheme="minorEastAsia" w:hAnsiTheme="minorEastAsia"/>
          <w:sz w:val="24"/>
          <w:szCs w:val="24"/>
        </w:rPr>
      </w:pPr>
      <w:r>
        <w:rPr>
          <w:rFonts w:hint="eastAsia" w:cs="仿宋" w:asciiTheme="minorEastAsia" w:hAnsiTheme="minorEastAsia"/>
          <w:sz w:val="24"/>
          <w:szCs w:val="24"/>
        </w:rPr>
        <w:t>（3）</w:t>
      </w:r>
      <w:r>
        <w:rPr>
          <w:rFonts w:hint="eastAsia" w:cs="仿宋" w:asciiTheme="minorEastAsia" w:hAnsiTheme="minorEastAsia"/>
          <w:sz w:val="24"/>
          <w:szCs w:val="24"/>
          <w:lang w:bidi="ar"/>
        </w:rPr>
        <w:t>磋商</w:t>
      </w:r>
      <w:r>
        <w:rPr>
          <w:rFonts w:hint="eastAsia" w:cs="仿宋" w:asciiTheme="minorEastAsia" w:hAnsiTheme="minorEastAsia"/>
          <w:sz w:val="24"/>
          <w:szCs w:val="24"/>
        </w:rPr>
        <w:t>文件要求提供的其它资料等；</w:t>
      </w:r>
    </w:p>
    <w:p w14:paraId="78FEF0BA">
      <w:pPr>
        <w:ind w:firstLine="480" w:firstLineChars="200"/>
        <w:rPr>
          <w:rFonts w:ascii="宋体" w:hAnsi="宋体"/>
          <w:b/>
          <w:sz w:val="24"/>
          <w:szCs w:val="24"/>
        </w:rPr>
      </w:pPr>
      <w:r>
        <w:rPr>
          <w:rFonts w:hint="eastAsia" w:cs="仿宋" w:asciiTheme="minorEastAsia" w:hAnsiTheme="minorEastAsia"/>
          <w:sz w:val="24"/>
          <w:szCs w:val="24"/>
        </w:rPr>
        <w:t>（4）...</w:t>
      </w:r>
    </w:p>
    <w:p w14:paraId="3CBCE3FA">
      <w:pPr>
        <w:adjustRightInd w:val="0"/>
        <w:ind w:firstLine="482" w:firstLineChars="200"/>
        <w:rPr>
          <w:rFonts w:ascii="宋体" w:hAnsi="宋体"/>
          <w:b/>
          <w:sz w:val="24"/>
          <w:szCs w:val="24"/>
        </w:rPr>
      </w:pPr>
    </w:p>
    <w:p w14:paraId="10901D9F">
      <w:pPr>
        <w:autoSpaceDE w:val="0"/>
        <w:autoSpaceDN w:val="0"/>
        <w:adjustRightInd w:val="0"/>
        <w:ind w:firstLine="420" w:firstLineChars="200"/>
        <w:rPr>
          <w:rFonts w:ascii="宋体" w:hAnsi="宋体"/>
        </w:rPr>
      </w:pPr>
    </w:p>
    <w:p w14:paraId="0C463A39"/>
    <w:sectPr>
      <w:headerReference r:id="rId10" w:type="first"/>
      <w:footerReference r:id="rId13" w:type="first"/>
      <w:headerReference r:id="rId8" w:type="default"/>
      <w:footerReference r:id="rId11" w:type="default"/>
      <w:headerReference r:id="rId9" w:type="even"/>
      <w:footerReference r:id="rId12" w:type="even"/>
      <w:pgSz w:w="11906" w:h="16838"/>
      <w:pgMar w:top="1135" w:right="991" w:bottom="993" w:left="1218"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
    <w:altName w:val="Times New Roman"/>
    <w:panose1 w:val="00000000000000000000"/>
    <w:charset w:val="00"/>
    <w:family w:val="auto"/>
    <w:pitch w:val="default"/>
    <w:sig w:usb0="00000000" w:usb1="00000000" w:usb2="00000000" w:usb3="00000000" w:csb0="00000001" w:csb1="00000000"/>
  </w:font>
  <w:font w:name="??">
    <w:altName w:val="Times New Roman"/>
    <w:panose1 w:val="00000000000000000000"/>
    <w:charset w:val="00"/>
    <w:family w:val="roman"/>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003F01FF" w:csb1="00000000"/>
  </w:font>
  <w:font w:name="Cambria">
    <w:panose1 w:val="02040503050406030204"/>
    <w:charset w:val="00"/>
    <w:family w:val="roman"/>
    <w:pitch w:val="default"/>
    <w:sig w:usb0="E00002FF" w:usb1="400004FF" w:usb2="00000000" w:usb3="00000000" w:csb0="2000019F" w:csb1="00000000"/>
  </w:font>
  <w:font w:name="monospace">
    <w:altName w:val="Courier New"/>
    <w:panose1 w:val="00000000000000000000"/>
    <w:charset w:val="00"/>
    <w:family w:val="auto"/>
    <w:pitch w:val="default"/>
    <w:sig w:usb0="00000000" w:usb1="00000000" w:usb2="00000000" w:usb3="00000000" w:csb0="00000001" w:csb1="00000000"/>
  </w:font>
  <w:font w:name="Trebuchet MS">
    <w:panose1 w:val="020B0603020202020204"/>
    <w:charset w:val="00"/>
    <w:family w:val="swiss"/>
    <w:pitch w:val="default"/>
    <w:sig w:usb0="00000287" w:usb1="00000000" w:usb2="00000000" w:usb3="00000000" w:csb0="200000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新宋体">
    <w:panose1 w:val="02010609030101010101"/>
    <w:charset w:val="86"/>
    <w:family w:val="modern"/>
    <w:pitch w:val="default"/>
    <w:sig w:usb0="00000003" w:usb1="288F0000" w:usb2="00000006" w:usb3="00000000" w:csb0="00040001" w:csb1="00000000"/>
  </w:font>
  <w:font w:name="浠垮畫">
    <w:altName w:val="宋体"/>
    <w:panose1 w:val="00000000000000000000"/>
    <w:charset w:val="86"/>
    <w:family w:val="roma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B358AD">
    <w:pPr>
      <w:pStyle w:val="29"/>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97E95D">
    <w:pPr>
      <w:pStyle w:val="29"/>
      <w:framePr w:wrap="around" w:vAnchor="text" w:hAnchor="margin" w:xAlign="center" w:y="1"/>
      <w:rPr>
        <w:rStyle w:val="51"/>
      </w:rPr>
    </w:pPr>
    <w:r>
      <w:fldChar w:fldCharType="begin"/>
    </w:r>
    <w:r>
      <w:rPr>
        <w:rStyle w:val="51"/>
      </w:rPr>
      <w:instrText xml:space="preserve">PAGE  </w:instrText>
    </w:r>
    <w:r>
      <w:fldChar w:fldCharType="separate"/>
    </w:r>
    <w:r>
      <w:rPr>
        <w:rStyle w:val="51"/>
      </w:rPr>
      <w:t>2</w:t>
    </w:r>
    <w:r>
      <w:fldChar w:fldCharType="end"/>
    </w:r>
  </w:p>
  <w:p w14:paraId="53A119A4">
    <w:pPr>
      <w:pStyle w:val="2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6F5D8">
    <w:pPr>
      <w:pStyle w:val="29"/>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2218B">
    <w:pPr>
      <w:pStyle w:val="29"/>
      <w:jc w:val="right"/>
      <w:rPr>
        <w:rFonts w:asciiTheme="minorEastAsia" w:hAnsiTheme="minorEastAsia" w:eastAsiaTheme="minorEastAsia"/>
        <w:sz w:val="30"/>
      </w:rPr>
    </w:pPr>
    <w:r>
      <w:rPr>
        <w:sz w:val="3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3FC2D3">
                          <w:pPr>
                            <w:pStyle w:val="29"/>
                            <w:jc w:val="right"/>
                          </w:pPr>
                          <w:r>
                            <w:rPr>
                              <w:rFonts w:asciiTheme="minorEastAsia" w:hAnsiTheme="minorEastAsia" w:eastAsiaTheme="minorEastAsia"/>
                              <w:sz w:val="30"/>
                            </w:rPr>
                            <w:fldChar w:fldCharType="begin"/>
                          </w:r>
                          <w:r>
                            <w:rPr>
                              <w:rFonts w:asciiTheme="minorEastAsia" w:hAnsiTheme="minorEastAsia" w:eastAsiaTheme="minorEastAsia"/>
                              <w:sz w:val="30"/>
                            </w:rPr>
                            <w:instrText xml:space="preserve"> PAGE   \* MERGEFORMAT </w:instrText>
                          </w:r>
                          <w:r>
                            <w:rPr>
                              <w:rFonts w:asciiTheme="minorEastAsia" w:hAnsiTheme="minorEastAsia" w:eastAsiaTheme="minorEastAsia"/>
                              <w:sz w:val="30"/>
                            </w:rPr>
                            <w:fldChar w:fldCharType="separate"/>
                          </w:r>
                          <w:r>
                            <w:rPr>
                              <w:rFonts w:asciiTheme="minorEastAsia" w:hAnsiTheme="minorEastAsia" w:eastAsiaTheme="minorEastAsia"/>
                              <w:sz w:val="30"/>
                              <w:lang w:val="zh-CN"/>
                            </w:rPr>
                            <w:t>2</w:t>
                          </w:r>
                          <w:r>
                            <w:rPr>
                              <w:rFonts w:asciiTheme="minorEastAsia" w:hAnsiTheme="minorEastAsia" w:eastAsiaTheme="minorEastAsia"/>
                              <w:sz w:val="30"/>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33FC2D3">
                    <w:pPr>
                      <w:pStyle w:val="29"/>
                      <w:jc w:val="right"/>
                    </w:pPr>
                    <w:r>
                      <w:rPr>
                        <w:rFonts w:asciiTheme="minorEastAsia" w:hAnsiTheme="minorEastAsia" w:eastAsiaTheme="minorEastAsia"/>
                        <w:sz w:val="30"/>
                      </w:rPr>
                      <w:fldChar w:fldCharType="begin"/>
                    </w:r>
                    <w:r>
                      <w:rPr>
                        <w:rFonts w:asciiTheme="minorEastAsia" w:hAnsiTheme="minorEastAsia" w:eastAsiaTheme="minorEastAsia"/>
                        <w:sz w:val="30"/>
                      </w:rPr>
                      <w:instrText xml:space="preserve"> PAGE   \* MERGEFORMAT </w:instrText>
                    </w:r>
                    <w:r>
                      <w:rPr>
                        <w:rFonts w:asciiTheme="minorEastAsia" w:hAnsiTheme="minorEastAsia" w:eastAsiaTheme="minorEastAsia"/>
                        <w:sz w:val="30"/>
                      </w:rPr>
                      <w:fldChar w:fldCharType="separate"/>
                    </w:r>
                    <w:r>
                      <w:rPr>
                        <w:rFonts w:asciiTheme="minorEastAsia" w:hAnsiTheme="minorEastAsia" w:eastAsiaTheme="minorEastAsia"/>
                        <w:sz w:val="30"/>
                        <w:lang w:val="zh-CN"/>
                      </w:rPr>
                      <w:t>2</w:t>
                    </w:r>
                    <w:r>
                      <w:rPr>
                        <w:rFonts w:asciiTheme="minorEastAsia" w:hAnsiTheme="minorEastAsia" w:eastAsiaTheme="minorEastAsia"/>
                        <w:sz w:val="30"/>
                      </w:rPr>
                      <w:fldChar w:fldCharType="end"/>
                    </w:r>
                  </w:p>
                </w:txbxContent>
              </v:textbox>
            </v:shape>
          </w:pict>
        </mc:Fallback>
      </mc:AlternateContent>
    </w:r>
  </w:p>
  <w:p w14:paraId="426819A0">
    <w:pPr>
      <w:pStyle w:val="2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D2D797">
    <w:pPr>
      <w:pStyle w:val="29"/>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FF97A8">
    <w:pPr>
      <w:pStyle w:val="2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81AF8">
    <w:pPr>
      <w:pStyle w:val="30"/>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1E2053">
    <w:pPr>
      <w:pStyle w:val="30"/>
      <w:pBdr>
        <w:bottom w:val="single" w:color="auto" w:sz="6" w:space="15"/>
      </w:pBdr>
      <w:tabs>
        <w:tab w:val="left" w:pos="3720"/>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8CE11B">
    <w:pPr>
      <w:pStyle w:val="30"/>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B4FD5">
    <w:pPr>
      <w:pStyle w:val="3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81B4C">
    <w:pPr>
      <w:pStyle w:val="3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9"/>
    <w:multiLevelType w:val="singleLevel"/>
    <w:tmpl w:val="FFFFFF89"/>
    <w:lvl w:ilvl="0" w:tentative="0">
      <w:start w:val="1"/>
      <w:numFmt w:val="bullet"/>
      <w:pStyle w:val="14"/>
      <w:lvlText w:val=""/>
      <w:lvlJc w:val="left"/>
      <w:pPr>
        <w:tabs>
          <w:tab w:val="left" w:pos="360"/>
        </w:tabs>
        <w:ind w:left="360" w:hanging="360" w:hangingChars="200"/>
      </w:pPr>
      <w:rPr>
        <w:rFonts w:hint="default" w:ascii="Wingdings" w:hAnsi="Wingdings"/>
      </w:rPr>
    </w:lvl>
  </w:abstractNum>
  <w:abstractNum w:abstractNumId="1">
    <w:nsid w:val="3B2E20DD"/>
    <w:multiLevelType w:val="multilevel"/>
    <w:tmpl w:val="3B2E20DD"/>
    <w:lvl w:ilvl="0" w:tentative="0">
      <w:start w:val="1"/>
      <w:numFmt w:val="decimalEnclosedCircle"/>
      <w:lvlText w:val="%1"/>
      <w:lvlJc w:val="left"/>
      <w:pPr>
        <w:ind w:left="786" w:hanging="360"/>
      </w:pPr>
      <w:rPr>
        <w:rFonts w:ascii="Calibri" w:hAnsi="Calibri" w:eastAsia="宋体" w:cs="Times New Roman"/>
      </w:rPr>
    </w:lvl>
    <w:lvl w:ilvl="1" w:tentative="0">
      <w:start w:val="2"/>
      <w:numFmt w:val="decimalEnclosedCircle"/>
      <w:lvlText w:val="%2"/>
      <w:lvlJc w:val="left"/>
      <w:pPr>
        <w:ind w:left="786" w:hanging="360"/>
      </w:pPr>
      <w:rPr>
        <w:rFonts w:hint="default"/>
      </w:rPr>
    </w:lvl>
    <w:lvl w:ilvl="2" w:tentative="0">
      <w:start w:val="1"/>
      <w:numFmt w:val="lowerRoman"/>
      <w:lvlText w:val="%3."/>
      <w:lvlJc w:val="right"/>
      <w:pPr>
        <w:ind w:left="1686" w:hanging="420"/>
      </w:pPr>
    </w:lvl>
    <w:lvl w:ilvl="3" w:tentative="0">
      <w:start w:val="1"/>
      <w:numFmt w:val="decimal"/>
      <w:lvlText w:val="%4."/>
      <w:lvlJc w:val="left"/>
      <w:pPr>
        <w:ind w:left="2106" w:hanging="420"/>
      </w:pPr>
    </w:lvl>
    <w:lvl w:ilvl="4" w:tentative="0">
      <w:start w:val="1"/>
      <w:numFmt w:val="lowerLetter"/>
      <w:lvlText w:val="%5)"/>
      <w:lvlJc w:val="left"/>
      <w:pPr>
        <w:ind w:left="2526" w:hanging="420"/>
      </w:pPr>
    </w:lvl>
    <w:lvl w:ilvl="5" w:tentative="0">
      <w:start w:val="1"/>
      <w:numFmt w:val="lowerRoman"/>
      <w:lvlText w:val="%6."/>
      <w:lvlJc w:val="right"/>
      <w:pPr>
        <w:ind w:left="2946" w:hanging="420"/>
      </w:pPr>
    </w:lvl>
    <w:lvl w:ilvl="6" w:tentative="0">
      <w:start w:val="1"/>
      <w:numFmt w:val="decimal"/>
      <w:lvlText w:val="%7."/>
      <w:lvlJc w:val="left"/>
      <w:pPr>
        <w:ind w:left="3366" w:hanging="420"/>
      </w:pPr>
    </w:lvl>
    <w:lvl w:ilvl="7" w:tentative="0">
      <w:start w:val="1"/>
      <w:numFmt w:val="lowerLetter"/>
      <w:lvlText w:val="%8)"/>
      <w:lvlJc w:val="left"/>
      <w:pPr>
        <w:ind w:left="3786" w:hanging="420"/>
      </w:pPr>
    </w:lvl>
    <w:lvl w:ilvl="8" w:tentative="0">
      <w:start w:val="1"/>
      <w:numFmt w:val="lowerRoman"/>
      <w:lvlText w:val="%9."/>
      <w:lvlJc w:val="right"/>
      <w:pPr>
        <w:ind w:left="4206"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5MDQwMmM2YWQ0NzU0ZjBiYzM0ZDAwY2Y1OTQ4MWUifQ=="/>
  </w:docVars>
  <w:rsids>
    <w:rsidRoot w:val="00731ED3"/>
    <w:rsid w:val="00001EE4"/>
    <w:rsid w:val="000064C2"/>
    <w:rsid w:val="000113C4"/>
    <w:rsid w:val="00013718"/>
    <w:rsid w:val="000137DE"/>
    <w:rsid w:val="000140C2"/>
    <w:rsid w:val="000151BB"/>
    <w:rsid w:val="00017A1A"/>
    <w:rsid w:val="00024114"/>
    <w:rsid w:val="00024867"/>
    <w:rsid w:val="0002569C"/>
    <w:rsid w:val="00030DA1"/>
    <w:rsid w:val="000350AF"/>
    <w:rsid w:val="00036E10"/>
    <w:rsid w:val="00037AC8"/>
    <w:rsid w:val="00041F48"/>
    <w:rsid w:val="00045E76"/>
    <w:rsid w:val="0004625B"/>
    <w:rsid w:val="00047704"/>
    <w:rsid w:val="000479C5"/>
    <w:rsid w:val="00050661"/>
    <w:rsid w:val="00050F68"/>
    <w:rsid w:val="00060FEA"/>
    <w:rsid w:val="00061C7E"/>
    <w:rsid w:val="00063847"/>
    <w:rsid w:val="000659C6"/>
    <w:rsid w:val="00066218"/>
    <w:rsid w:val="0006740C"/>
    <w:rsid w:val="00067DAD"/>
    <w:rsid w:val="00067E95"/>
    <w:rsid w:val="00071F98"/>
    <w:rsid w:val="000732C7"/>
    <w:rsid w:val="00073ACE"/>
    <w:rsid w:val="000742D3"/>
    <w:rsid w:val="00074447"/>
    <w:rsid w:val="00076A14"/>
    <w:rsid w:val="00076F21"/>
    <w:rsid w:val="000770C3"/>
    <w:rsid w:val="00083BDA"/>
    <w:rsid w:val="00083EE6"/>
    <w:rsid w:val="000969A8"/>
    <w:rsid w:val="000A11D0"/>
    <w:rsid w:val="000A197A"/>
    <w:rsid w:val="000A1C87"/>
    <w:rsid w:val="000A40FF"/>
    <w:rsid w:val="000B179C"/>
    <w:rsid w:val="000B1B09"/>
    <w:rsid w:val="000B1D73"/>
    <w:rsid w:val="000C0D5F"/>
    <w:rsid w:val="000C1300"/>
    <w:rsid w:val="000C5526"/>
    <w:rsid w:val="000D2670"/>
    <w:rsid w:val="000D638B"/>
    <w:rsid w:val="000E32D4"/>
    <w:rsid w:val="000E3F7C"/>
    <w:rsid w:val="000E6A4B"/>
    <w:rsid w:val="000F1248"/>
    <w:rsid w:val="000F542F"/>
    <w:rsid w:val="00100B67"/>
    <w:rsid w:val="00121F74"/>
    <w:rsid w:val="001226FE"/>
    <w:rsid w:val="00125E88"/>
    <w:rsid w:val="00127A8F"/>
    <w:rsid w:val="00135C5F"/>
    <w:rsid w:val="001366B0"/>
    <w:rsid w:val="001452B7"/>
    <w:rsid w:val="0015127E"/>
    <w:rsid w:val="00152106"/>
    <w:rsid w:val="0015240C"/>
    <w:rsid w:val="00162934"/>
    <w:rsid w:val="00166CA8"/>
    <w:rsid w:val="0016756F"/>
    <w:rsid w:val="00171D57"/>
    <w:rsid w:val="00173015"/>
    <w:rsid w:val="0018325A"/>
    <w:rsid w:val="001874AA"/>
    <w:rsid w:val="00190B2B"/>
    <w:rsid w:val="00190E67"/>
    <w:rsid w:val="001979F8"/>
    <w:rsid w:val="001A3FED"/>
    <w:rsid w:val="001A6244"/>
    <w:rsid w:val="001B1D32"/>
    <w:rsid w:val="001B26D6"/>
    <w:rsid w:val="001B4F7F"/>
    <w:rsid w:val="001B513D"/>
    <w:rsid w:val="001C517F"/>
    <w:rsid w:val="001C55A1"/>
    <w:rsid w:val="001C60D7"/>
    <w:rsid w:val="001D5133"/>
    <w:rsid w:val="001D676F"/>
    <w:rsid w:val="001E5B3C"/>
    <w:rsid w:val="001F0CD1"/>
    <w:rsid w:val="001F3A0E"/>
    <w:rsid w:val="001F3C99"/>
    <w:rsid w:val="001F40C7"/>
    <w:rsid w:val="001F6C13"/>
    <w:rsid w:val="002019CA"/>
    <w:rsid w:val="00203961"/>
    <w:rsid w:val="00205413"/>
    <w:rsid w:val="002107D3"/>
    <w:rsid w:val="00210D7A"/>
    <w:rsid w:val="00212EE9"/>
    <w:rsid w:val="00216378"/>
    <w:rsid w:val="002165B9"/>
    <w:rsid w:val="00217E3B"/>
    <w:rsid w:val="002225B0"/>
    <w:rsid w:val="00222704"/>
    <w:rsid w:val="00222BD7"/>
    <w:rsid w:val="00224002"/>
    <w:rsid w:val="00225C98"/>
    <w:rsid w:val="00226870"/>
    <w:rsid w:val="00232DB9"/>
    <w:rsid w:val="00235D5E"/>
    <w:rsid w:val="00236C5D"/>
    <w:rsid w:val="002409F2"/>
    <w:rsid w:val="00242109"/>
    <w:rsid w:val="002423DC"/>
    <w:rsid w:val="00242E95"/>
    <w:rsid w:val="0024717E"/>
    <w:rsid w:val="00263F60"/>
    <w:rsid w:val="002641ED"/>
    <w:rsid w:val="00266702"/>
    <w:rsid w:val="002726EC"/>
    <w:rsid w:val="00273F74"/>
    <w:rsid w:val="002756E1"/>
    <w:rsid w:val="0027648A"/>
    <w:rsid w:val="00277E35"/>
    <w:rsid w:val="00280228"/>
    <w:rsid w:val="00283CDD"/>
    <w:rsid w:val="00284232"/>
    <w:rsid w:val="002917C5"/>
    <w:rsid w:val="002A74A4"/>
    <w:rsid w:val="002B1B31"/>
    <w:rsid w:val="002B24EC"/>
    <w:rsid w:val="002C1F25"/>
    <w:rsid w:val="002C2CE4"/>
    <w:rsid w:val="002C50A0"/>
    <w:rsid w:val="002C55DA"/>
    <w:rsid w:val="002D5761"/>
    <w:rsid w:val="002D67D2"/>
    <w:rsid w:val="002F0556"/>
    <w:rsid w:val="002F1080"/>
    <w:rsid w:val="002F4FF0"/>
    <w:rsid w:val="00302D6C"/>
    <w:rsid w:val="003103C2"/>
    <w:rsid w:val="003103DB"/>
    <w:rsid w:val="00320031"/>
    <w:rsid w:val="0032204F"/>
    <w:rsid w:val="003225EE"/>
    <w:rsid w:val="00322D0F"/>
    <w:rsid w:val="0033019D"/>
    <w:rsid w:val="00332F0C"/>
    <w:rsid w:val="0034028E"/>
    <w:rsid w:val="00340915"/>
    <w:rsid w:val="00342F4F"/>
    <w:rsid w:val="0034429F"/>
    <w:rsid w:val="00356255"/>
    <w:rsid w:val="003569B6"/>
    <w:rsid w:val="00371EEA"/>
    <w:rsid w:val="003726FE"/>
    <w:rsid w:val="00374B0C"/>
    <w:rsid w:val="00375495"/>
    <w:rsid w:val="0037762C"/>
    <w:rsid w:val="0038076B"/>
    <w:rsid w:val="003851B5"/>
    <w:rsid w:val="003854F0"/>
    <w:rsid w:val="00390764"/>
    <w:rsid w:val="00390FA9"/>
    <w:rsid w:val="003A0594"/>
    <w:rsid w:val="003A1124"/>
    <w:rsid w:val="003A5A01"/>
    <w:rsid w:val="003A6DE2"/>
    <w:rsid w:val="003B20B8"/>
    <w:rsid w:val="003B7066"/>
    <w:rsid w:val="003C4727"/>
    <w:rsid w:val="003C6B27"/>
    <w:rsid w:val="003D032D"/>
    <w:rsid w:val="003D0D05"/>
    <w:rsid w:val="003D4A83"/>
    <w:rsid w:val="003D7F25"/>
    <w:rsid w:val="003D7FFD"/>
    <w:rsid w:val="003E1A9C"/>
    <w:rsid w:val="003E7BCC"/>
    <w:rsid w:val="003F0BB9"/>
    <w:rsid w:val="004074C4"/>
    <w:rsid w:val="00410E5C"/>
    <w:rsid w:val="004121AC"/>
    <w:rsid w:val="0041223A"/>
    <w:rsid w:val="004210EA"/>
    <w:rsid w:val="004224F2"/>
    <w:rsid w:val="0043078D"/>
    <w:rsid w:val="00430CC0"/>
    <w:rsid w:val="00431050"/>
    <w:rsid w:val="00431C34"/>
    <w:rsid w:val="00434970"/>
    <w:rsid w:val="004409E2"/>
    <w:rsid w:val="00441D63"/>
    <w:rsid w:val="00442189"/>
    <w:rsid w:val="00442D15"/>
    <w:rsid w:val="00447B80"/>
    <w:rsid w:val="00450DF9"/>
    <w:rsid w:val="00452700"/>
    <w:rsid w:val="0045278A"/>
    <w:rsid w:val="00454A64"/>
    <w:rsid w:val="00457105"/>
    <w:rsid w:val="00464902"/>
    <w:rsid w:val="00470E5C"/>
    <w:rsid w:val="0048029D"/>
    <w:rsid w:val="00486CDD"/>
    <w:rsid w:val="00493272"/>
    <w:rsid w:val="00497D2E"/>
    <w:rsid w:val="004B756B"/>
    <w:rsid w:val="004C190F"/>
    <w:rsid w:val="004C19ED"/>
    <w:rsid w:val="004C578D"/>
    <w:rsid w:val="004C74E1"/>
    <w:rsid w:val="004D2B21"/>
    <w:rsid w:val="004D51DE"/>
    <w:rsid w:val="004D5444"/>
    <w:rsid w:val="004E4856"/>
    <w:rsid w:val="004F1243"/>
    <w:rsid w:val="004F3A22"/>
    <w:rsid w:val="004F5A0A"/>
    <w:rsid w:val="004F6F06"/>
    <w:rsid w:val="005040CC"/>
    <w:rsid w:val="00512113"/>
    <w:rsid w:val="00512884"/>
    <w:rsid w:val="00514FA7"/>
    <w:rsid w:val="00520A17"/>
    <w:rsid w:val="005218C8"/>
    <w:rsid w:val="00526251"/>
    <w:rsid w:val="00526C61"/>
    <w:rsid w:val="00530567"/>
    <w:rsid w:val="00530651"/>
    <w:rsid w:val="00531115"/>
    <w:rsid w:val="0053184E"/>
    <w:rsid w:val="00533230"/>
    <w:rsid w:val="00535992"/>
    <w:rsid w:val="00537F21"/>
    <w:rsid w:val="00542F4B"/>
    <w:rsid w:val="00547D3B"/>
    <w:rsid w:val="00550A5C"/>
    <w:rsid w:val="00551C0E"/>
    <w:rsid w:val="00552A3D"/>
    <w:rsid w:val="00553B38"/>
    <w:rsid w:val="00555A5D"/>
    <w:rsid w:val="00560428"/>
    <w:rsid w:val="005618BA"/>
    <w:rsid w:val="00561DAD"/>
    <w:rsid w:val="00565E7B"/>
    <w:rsid w:val="00566114"/>
    <w:rsid w:val="00566CB9"/>
    <w:rsid w:val="005715B1"/>
    <w:rsid w:val="00573779"/>
    <w:rsid w:val="00587662"/>
    <w:rsid w:val="00592C73"/>
    <w:rsid w:val="005955D3"/>
    <w:rsid w:val="00597ADA"/>
    <w:rsid w:val="005A03DB"/>
    <w:rsid w:val="005A503F"/>
    <w:rsid w:val="005A6DC6"/>
    <w:rsid w:val="005B3726"/>
    <w:rsid w:val="005B3BA1"/>
    <w:rsid w:val="005B75F8"/>
    <w:rsid w:val="005C7FBF"/>
    <w:rsid w:val="005D7D62"/>
    <w:rsid w:val="005E1BF1"/>
    <w:rsid w:val="005E3053"/>
    <w:rsid w:val="005E4412"/>
    <w:rsid w:val="005E452B"/>
    <w:rsid w:val="005F119F"/>
    <w:rsid w:val="005F14B1"/>
    <w:rsid w:val="005F1F89"/>
    <w:rsid w:val="005F3466"/>
    <w:rsid w:val="005F53A1"/>
    <w:rsid w:val="005F6C65"/>
    <w:rsid w:val="005F76A8"/>
    <w:rsid w:val="00600BD9"/>
    <w:rsid w:val="00601B5C"/>
    <w:rsid w:val="00606735"/>
    <w:rsid w:val="00610E38"/>
    <w:rsid w:val="00624114"/>
    <w:rsid w:val="00634698"/>
    <w:rsid w:val="00635C26"/>
    <w:rsid w:val="006523EA"/>
    <w:rsid w:val="00652583"/>
    <w:rsid w:val="00655D1E"/>
    <w:rsid w:val="006608C6"/>
    <w:rsid w:val="006640FF"/>
    <w:rsid w:val="006673BE"/>
    <w:rsid w:val="00675535"/>
    <w:rsid w:val="006758B9"/>
    <w:rsid w:val="00677ECF"/>
    <w:rsid w:val="00682A0E"/>
    <w:rsid w:val="006860D6"/>
    <w:rsid w:val="00691B3B"/>
    <w:rsid w:val="006953E7"/>
    <w:rsid w:val="00695C05"/>
    <w:rsid w:val="006963F9"/>
    <w:rsid w:val="006A2F32"/>
    <w:rsid w:val="006B3FC8"/>
    <w:rsid w:val="006B6381"/>
    <w:rsid w:val="006C0E3C"/>
    <w:rsid w:val="006C60FC"/>
    <w:rsid w:val="006C6334"/>
    <w:rsid w:val="006D06A7"/>
    <w:rsid w:val="006D2C6C"/>
    <w:rsid w:val="006D37E0"/>
    <w:rsid w:val="006D57BA"/>
    <w:rsid w:val="006D7011"/>
    <w:rsid w:val="006E64E9"/>
    <w:rsid w:val="006E7EF3"/>
    <w:rsid w:val="006F0814"/>
    <w:rsid w:val="006F32EA"/>
    <w:rsid w:val="006F3A6E"/>
    <w:rsid w:val="006F3E72"/>
    <w:rsid w:val="006F69B5"/>
    <w:rsid w:val="00700B7A"/>
    <w:rsid w:val="00702A04"/>
    <w:rsid w:val="007035C9"/>
    <w:rsid w:val="0070693C"/>
    <w:rsid w:val="007079F2"/>
    <w:rsid w:val="007116C6"/>
    <w:rsid w:val="007124D4"/>
    <w:rsid w:val="00713433"/>
    <w:rsid w:val="00721F5F"/>
    <w:rsid w:val="00730647"/>
    <w:rsid w:val="00731ED3"/>
    <w:rsid w:val="007351E9"/>
    <w:rsid w:val="007360E9"/>
    <w:rsid w:val="007403A4"/>
    <w:rsid w:val="00740BB4"/>
    <w:rsid w:val="00742796"/>
    <w:rsid w:val="0074629F"/>
    <w:rsid w:val="00746520"/>
    <w:rsid w:val="00746D66"/>
    <w:rsid w:val="00747EF7"/>
    <w:rsid w:val="00754290"/>
    <w:rsid w:val="00755863"/>
    <w:rsid w:val="0075652D"/>
    <w:rsid w:val="00756A93"/>
    <w:rsid w:val="007656A0"/>
    <w:rsid w:val="0077607D"/>
    <w:rsid w:val="007868CA"/>
    <w:rsid w:val="00790AC6"/>
    <w:rsid w:val="007A0CF3"/>
    <w:rsid w:val="007A3020"/>
    <w:rsid w:val="007A5762"/>
    <w:rsid w:val="007B19ED"/>
    <w:rsid w:val="007B3158"/>
    <w:rsid w:val="007B42C6"/>
    <w:rsid w:val="007B63CE"/>
    <w:rsid w:val="007C2056"/>
    <w:rsid w:val="007C4B37"/>
    <w:rsid w:val="007C6C3F"/>
    <w:rsid w:val="007C7485"/>
    <w:rsid w:val="007D2EA8"/>
    <w:rsid w:val="007D59C3"/>
    <w:rsid w:val="007E21F4"/>
    <w:rsid w:val="007E5F9E"/>
    <w:rsid w:val="007F608E"/>
    <w:rsid w:val="008038FD"/>
    <w:rsid w:val="0080464B"/>
    <w:rsid w:val="00806029"/>
    <w:rsid w:val="00806645"/>
    <w:rsid w:val="0080761E"/>
    <w:rsid w:val="00812B3D"/>
    <w:rsid w:val="008141A7"/>
    <w:rsid w:val="008235D2"/>
    <w:rsid w:val="00823F24"/>
    <w:rsid w:val="00827547"/>
    <w:rsid w:val="00830970"/>
    <w:rsid w:val="00830D3E"/>
    <w:rsid w:val="00831EC4"/>
    <w:rsid w:val="00845FD5"/>
    <w:rsid w:val="00847438"/>
    <w:rsid w:val="00851194"/>
    <w:rsid w:val="00851685"/>
    <w:rsid w:val="00857D9E"/>
    <w:rsid w:val="0086077F"/>
    <w:rsid w:val="0086087F"/>
    <w:rsid w:val="008622F3"/>
    <w:rsid w:val="0086735D"/>
    <w:rsid w:val="00877DF3"/>
    <w:rsid w:val="0088055B"/>
    <w:rsid w:val="00882836"/>
    <w:rsid w:val="00885050"/>
    <w:rsid w:val="00885B68"/>
    <w:rsid w:val="0088615F"/>
    <w:rsid w:val="0088753F"/>
    <w:rsid w:val="008900DA"/>
    <w:rsid w:val="00891A66"/>
    <w:rsid w:val="008925E8"/>
    <w:rsid w:val="00892D29"/>
    <w:rsid w:val="008A02F8"/>
    <w:rsid w:val="008A1422"/>
    <w:rsid w:val="008A1616"/>
    <w:rsid w:val="008A24C6"/>
    <w:rsid w:val="008A2600"/>
    <w:rsid w:val="008A38BB"/>
    <w:rsid w:val="008A4187"/>
    <w:rsid w:val="008B0834"/>
    <w:rsid w:val="008B37FF"/>
    <w:rsid w:val="008B53B8"/>
    <w:rsid w:val="008B53EE"/>
    <w:rsid w:val="008B62BC"/>
    <w:rsid w:val="008B6D5A"/>
    <w:rsid w:val="008C1583"/>
    <w:rsid w:val="008C2BFF"/>
    <w:rsid w:val="008C397D"/>
    <w:rsid w:val="008C39F1"/>
    <w:rsid w:val="008C3FCA"/>
    <w:rsid w:val="008C51D6"/>
    <w:rsid w:val="008C6A24"/>
    <w:rsid w:val="008D081E"/>
    <w:rsid w:val="008D2E41"/>
    <w:rsid w:val="008D367B"/>
    <w:rsid w:val="008D60A0"/>
    <w:rsid w:val="008D78C2"/>
    <w:rsid w:val="008E062C"/>
    <w:rsid w:val="008F056B"/>
    <w:rsid w:val="008F0A41"/>
    <w:rsid w:val="009076A9"/>
    <w:rsid w:val="009124B2"/>
    <w:rsid w:val="009142AD"/>
    <w:rsid w:val="009146EE"/>
    <w:rsid w:val="00915120"/>
    <w:rsid w:val="00916357"/>
    <w:rsid w:val="00917C49"/>
    <w:rsid w:val="00926EE3"/>
    <w:rsid w:val="009303C7"/>
    <w:rsid w:val="00932159"/>
    <w:rsid w:val="00933633"/>
    <w:rsid w:val="00941F79"/>
    <w:rsid w:val="009476FE"/>
    <w:rsid w:val="00951B22"/>
    <w:rsid w:val="0095399E"/>
    <w:rsid w:val="009625F9"/>
    <w:rsid w:val="00970351"/>
    <w:rsid w:val="0097053A"/>
    <w:rsid w:val="0097529B"/>
    <w:rsid w:val="00975523"/>
    <w:rsid w:val="00976ADA"/>
    <w:rsid w:val="0098289C"/>
    <w:rsid w:val="00984981"/>
    <w:rsid w:val="0098605B"/>
    <w:rsid w:val="00991E27"/>
    <w:rsid w:val="00991E4A"/>
    <w:rsid w:val="00995DF1"/>
    <w:rsid w:val="009A2842"/>
    <w:rsid w:val="009A360C"/>
    <w:rsid w:val="009A38DB"/>
    <w:rsid w:val="009A3DA3"/>
    <w:rsid w:val="009A4F02"/>
    <w:rsid w:val="009A7DB7"/>
    <w:rsid w:val="009B0701"/>
    <w:rsid w:val="009C68E1"/>
    <w:rsid w:val="009C7378"/>
    <w:rsid w:val="009D1CFE"/>
    <w:rsid w:val="009D314A"/>
    <w:rsid w:val="009D66A0"/>
    <w:rsid w:val="009D7320"/>
    <w:rsid w:val="009E6922"/>
    <w:rsid w:val="009F0887"/>
    <w:rsid w:val="009F2EFD"/>
    <w:rsid w:val="009F4D9C"/>
    <w:rsid w:val="009F4FDD"/>
    <w:rsid w:val="00A061D5"/>
    <w:rsid w:val="00A121BF"/>
    <w:rsid w:val="00A17C6F"/>
    <w:rsid w:val="00A215FD"/>
    <w:rsid w:val="00A21887"/>
    <w:rsid w:val="00A239EB"/>
    <w:rsid w:val="00A321FB"/>
    <w:rsid w:val="00A36BEC"/>
    <w:rsid w:val="00A36E25"/>
    <w:rsid w:val="00A4292C"/>
    <w:rsid w:val="00A50A01"/>
    <w:rsid w:val="00A70ACE"/>
    <w:rsid w:val="00A71746"/>
    <w:rsid w:val="00A7328E"/>
    <w:rsid w:val="00A734DB"/>
    <w:rsid w:val="00A77337"/>
    <w:rsid w:val="00A837D2"/>
    <w:rsid w:val="00A83FA3"/>
    <w:rsid w:val="00A84189"/>
    <w:rsid w:val="00A867C1"/>
    <w:rsid w:val="00A87672"/>
    <w:rsid w:val="00A93162"/>
    <w:rsid w:val="00AB1499"/>
    <w:rsid w:val="00AB3033"/>
    <w:rsid w:val="00AB5300"/>
    <w:rsid w:val="00AC39B2"/>
    <w:rsid w:val="00AC4FBF"/>
    <w:rsid w:val="00AC6BF5"/>
    <w:rsid w:val="00AD1451"/>
    <w:rsid w:val="00AD2F46"/>
    <w:rsid w:val="00AD62AD"/>
    <w:rsid w:val="00AD67F5"/>
    <w:rsid w:val="00AD6DAA"/>
    <w:rsid w:val="00AE332D"/>
    <w:rsid w:val="00AE3F58"/>
    <w:rsid w:val="00AF1701"/>
    <w:rsid w:val="00AF1E65"/>
    <w:rsid w:val="00B033FD"/>
    <w:rsid w:val="00B034B6"/>
    <w:rsid w:val="00B038CF"/>
    <w:rsid w:val="00B07AAC"/>
    <w:rsid w:val="00B10BB4"/>
    <w:rsid w:val="00B1287C"/>
    <w:rsid w:val="00B31A93"/>
    <w:rsid w:val="00B32B0F"/>
    <w:rsid w:val="00B3736C"/>
    <w:rsid w:val="00B3767B"/>
    <w:rsid w:val="00B41987"/>
    <w:rsid w:val="00B43521"/>
    <w:rsid w:val="00B43EEA"/>
    <w:rsid w:val="00B44BBF"/>
    <w:rsid w:val="00B45298"/>
    <w:rsid w:val="00B51114"/>
    <w:rsid w:val="00B53E4F"/>
    <w:rsid w:val="00B56172"/>
    <w:rsid w:val="00B56D13"/>
    <w:rsid w:val="00B6039B"/>
    <w:rsid w:val="00B621A3"/>
    <w:rsid w:val="00B74764"/>
    <w:rsid w:val="00B75616"/>
    <w:rsid w:val="00B83A45"/>
    <w:rsid w:val="00B85BD2"/>
    <w:rsid w:val="00B90C2A"/>
    <w:rsid w:val="00B91721"/>
    <w:rsid w:val="00B93C8B"/>
    <w:rsid w:val="00B95597"/>
    <w:rsid w:val="00BA4465"/>
    <w:rsid w:val="00BA7435"/>
    <w:rsid w:val="00BB19BD"/>
    <w:rsid w:val="00BB249A"/>
    <w:rsid w:val="00BB34EF"/>
    <w:rsid w:val="00BC2ED7"/>
    <w:rsid w:val="00BC583E"/>
    <w:rsid w:val="00BD1AA8"/>
    <w:rsid w:val="00BD23EE"/>
    <w:rsid w:val="00BD3A0A"/>
    <w:rsid w:val="00BD4BBE"/>
    <w:rsid w:val="00BD712E"/>
    <w:rsid w:val="00BE066E"/>
    <w:rsid w:val="00BE096F"/>
    <w:rsid w:val="00BE45EE"/>
    <w:rsid w:val="00BF49CE"/>
    <w:rsid w:val="00BF53ED"/>
    <w:rsid w:val="00C011E6"/>
    <w:rsid w:val="00C06A12"/>
    <w:rsid w:val="00C106DB"/>
    <w:rsid w:val="00C1693E"/>
    <w:rsid w:val="00C17C98"/>
    <w:rsid w:val="00C24B3D"/>
    <w:rsid w:val="00C25858"/>
    <w:rsid w:val="00C27568"/>
    <w:rsid w:val="00C277EB"/>
    <w:rsid w:val="00C35F28"/>
    <w:rsid w:val="00C44853"/>
    <w:rsid w:val="00C4678A"/>
    <w:rsid w:val="00C47702"/>
    <w:rsid w:val="00C509A8"/>
    <w:rsid w:val="00C5549F"/>
    <w:rsid w:val="00C5669B"/>
    <w:rsid w:val="00C57EE8"/>
    <w:rsid w:val="00C611AF"/>
    <w:rsid w:val="00C65C43"/>
    <w:rsid w:val="00C6634D"/>
    <w:rsid w:val="00C7154D"/>
    <w:rsid w:val="00C72E00"/>
    <w:rsid w:val="00C75212"/>
    <w:rsid w:val="00C75629"/>
    <w:rsid w:val="00C758F3"/>
    <w:rsid w:val="00C77978"/>
    <w:rsid w:val="00C77E31"/>
    <w:rsid w:val="00C77F97"/>
    <w:rsid w:val="00C8097D"/>
    <w:rsid w:val="00C854D8"/>
    <w:rsid w:val="00C8735D"/>
    <w:rsid w:val="00C90E7B"/>
    <w:rsid w:val="00C9567A"/>
    <w:rsid w:val="00CA0EEE"/>
    <w:rsid w:val="00CB6544"/>
    <w:rsid w:val="00CC0AD2"/>
    <w:rsid w:val="00CC0B4E"/>
    <w:rsid w:val="00CC255F"/>
    <w:rsid w:val="00CC590E"/>
    <w:rsid w:val="00CC6461"/>
    <w:rsid w:val="00CC777A"/>
    <w:rsid w:val="00CD1C03"/>
    <w:rsid w:val="00CD3B99"/>
    <w:rsid w:val="00CD55FC"/>
    <w:rsid w:val="00CD5FB1"/>
    <w:rsid w:val="00CD7E48"/>
    <w:rsid w:val="00CE0DA3"/>
    <w:rsid w:val="00CE455B"/>
    <w:rsid w:val="00CE516E"/>
    <w:rsid w:val="00CE7DFC"/>
    <w:rsid w:val="00CF09AE"/>
    <w:rsid w:val="00CF24F5"/>
    <w:rsid w:val="00CF3EC1"/>
    <w:rsid w:val="00CF5D81"/>
    <w:rsid w:val="00D00124"/>
    <w:rsid w:val="00D126AD"/>
    <w:rsid w:val="00D447B3"/>
    <w:rsid w:val="00D473BB"/>
    <w:rsid w:val="00D702DE"/>
    <w:rsid w:val="00D74699"/>
    <w:rsid w:val="00D80408"/>
    <w:rsid w:val="00D8088E"/>
    <w:rsid w:val="00D8207C"/>
    <w:rsid w:val="00D835AD"/>
    <w:rsid w:val="00D84EED"/>
    <w:rsid w:val="00D85A5A"/>
    <w:rsid w:val="00D90B65"/>
    <w:rsid w:val="00D90B66"/>
    <w:rsid w:val="00D91852"/>
    <w:rsid w:val="00D934D6"/>
    <w:rsid w:val="00D93936"/>
    <w:rsid w:val="00D96866"/>
    <w:rsid w:val="00DA56E4"/>
    <w:rsid w:val="00DA5F34"/>
    <w:rsid w:val="00DB036D"/>
    <w:rsid w:val="00DB414B"/>
    <w:rsid w:val="00DB5A17"/>
    <w:rsid w:val="00DB7B9A"/>
    <w:rsid w:val="00DC0ACE"/>
    <w:rsid w:val="00DC199F"/>
    <w:rsid w:val="00DC3EDF"/>
    <w:rsid w:val="00DD2CD6"/>
    <w:rsid w:val="00DE03EA"/>
    <w:rsid w:val="00DE1A47"/>
    <w:rsid w:val="00DE1C90"/>
    <w:rsid w:val="00DE50A8"/>
    <w:rsid w:val="00DF0307"/>
    <w:rsid w:val="00DF41A5"/>
    <w:rsid w:val="00E021EC"/>
    <w:rsid w:val="00E0317C"/>
    <w:rsid w:val="00E05450"/>
    <w:rsid w:val="00E05FFD"/>
    <w:rsid w:val="00E11A76"/>
    <w:rsid w:val="00E144BB"/>
    <w:rsid w:val="00E14C65"/>
    <w:rsid w:val="00E15BF7"/>
    <w:rsid w:val="00E16A09"/>
    <w:rsid w:val="00E3063C"/>
    <w:rsid w:val="00E33DA8"/>
    <w:rsid w:val="00E37C2F"/>
    <w:rsid w:val="00E411BD"/>
    <w:rsid w:val="00E42082"/>
    <w:rsid w:val="00E47850"/>
    <w:rsid w:val="00E50807"/>
    <w:rsid w:val="00E52D27"/>
    <w:rsid w:val="00E54EEA"/>
    <w:rsid w:val="00E54FE2"/>
    <w:rsid w:val="00E56087"/>
    <w:rsid w:val="00E571FE"/>
    <w:rsid w:val="00E61040"/>
    <w:rsid w:val="00E6141C"/>
    <w:rsid w:val="00E71C79"/>
    <w:rsid w:val="00E72B5A"/>
    <w:rsid w:val="00E74F4F"/>
    <w:rsid w:val="00E7518B"/>
    <w:rsid w:val="00E75517"/>
    <w:rsid w:val="00E77C25"/>
    <w:rsid w:val="00E80C9A"/>
    <w:rsid w:val="00E858B7"/>
    <w:rsid w:val="00E90BFB"/>
    <w:rsid w:val="00E95465"/>
    <w:rsid w:val="00EA1A00"/>
    <w:rsid w:val="00EB1A4B"/>
    <w:rsid w:val="00EB36CD"/>
    <w:rsid w:val="00EC006F"/>
    <w:rsid w:val="00EC2E7C"/>
    <w:rsid w:val="00EC2F09"/>
    <w:rsid w:val="00ED0B17"/>
    <w:rsid w:val="00ED4401"/>
    <w:rsid w:val="00EE1CC3"/>
    <w:rsid w:val="00EE5D83"/>
    <w:rsid w:val="00EF521F"/>
    <w:rsid w:val="00F020CD"/>
    <w:rsid w:val="00F06421"/>
    <w:rsid w:val="00F0790A"/>
    <w:rsid w:val="00F11BF1"/>
    <w:rsid w:val="00F158E7"/>
    <w:rsid w:val="00F15B85"/>
    <w:rsid w:val="00F1654C"/>
    <w:rsid w:val="00F173BE"/>
    <w:rsid w:val="00F224E6"/>
    <w:rsid w:val="00F22BEB"/>
    <w:rsid w:val="00F246C9"/>
    <w:rsid w:val="00F24FDD"/>
    <w:rsid w:val="00F26177"/>
    <w:rsid w:val="00F339D1"/>
    <w:rsid w:val="00F3434B"/>
    <w:rsid w:val="00F37EF4"/>
    <w:rsid w:val="00F40A09"/>
    <w:rsid w:val="00F46D3B"/>
    <w:rsid w:val="00F528F4"/>
    <w:rsid w:val="00F537FB"/>
    <w:rsid w:val="00F54106"/>
    <w:rsid w:val="00F617C9"/>
    <w:rsid w:val="00F65C18"/>
    <w:rsid w:val="00F666E9"/>
    <w:rsid w:val="00F70C3F"/>
    <w:rsid w:val="00F710BA"/>
    <w:rsid w:val="00F7296E"/>
    <w:rsid w:val="00F75976"/>
    <w:rsid w:val="00F776FD"/>
    <w:rsid w:val="00F82E5A"/>
    <w:rsid w:val="00FA05B8"/>
    <w:rsid w:val="00FA1A02"/>
    <w:rsid w:val="00FA4FDD"/>
    <w:rsid w:val="00FD5606"/>
    <w:rsid w:val="00FE08AE"/>
    <w:rsid w:val="00FE0BCB"/>
    <w:rsid w:val="00FE2C2E"/>
    <w:rsid w:val="00FE380F"/>
    <w:rsid w:val="00FE38F3"/>
    <w:rsid w:val="00FE5DFB"/>
    <w:rsid w:val="00FF2D65"/>
    <w:rsid w:val="00FF3525"/>
    <w:rsid w:val="00FF37C8"/>
    <w:rsid w:val="00FF3AA7"/>
    <w:rsid w:val="00FF4392"/>
    <w:rsid w:val="05C572F7"/>
    <w:rsid w:val="06B01930"/>
    <w:rsid w:val="084604D1"/>
    <w:rsid w:val="08F85DF1"/>
    <w:rsid w:val="0B2A06EE"/>
    <w:rsid w:val="0BE43E2A"/>
    <w:rsid w:val="0D2A42A8"/>
    <w:rsid w:val="12716B31"/>
    <w:rsid w:val="12E54456"/>
    <w:rsid w:val="1666200B"/>
    <w:rsid w:val="188449CB"/>
    <w:rsid w:val="1F0B3750"/>
    <w:rsid w:val="2446522A"/>
    <w:rsid w:val="245C67FB"/>
    <w:rsid w:val="248E702A"/>
    <w:rsid w:val="26392D14"/>
    <w:rsid w:val="26C71DC7"/>
    <w:rsid w:val="27454636"/>
    <w:rsid w:val="28C05C1F"/>
    <w:rsid w:val="29E20017"/>
    <w:rsid w:val="2A6D4381"/>
    <w:rsid w:val="2CB85572"/>
    <w:rsid w:val="2DFB0D16"/>
    <w:rsid w:val="331876B9"/>
    <w:rsid w:val="34E25218"/>
    <w:rsid w:val="379D2F5B"/>
    <w:rsid w:val="396957EB"/>
    <w:rsid w:val="3A5111D3"/>
    <w:rsid w:val="3A7A7584"/>
    <w:rsid w:val="3FEA59B1"/>
    <w:rsid w:val="42F22CB2"/>
    <w:rsid w:val="4379487C"/>
    <w:rsid w:val="4A185BD4"/>
    <w:rsid w:val="51E57E6B"/>
    <w:rsid w:val="51FD48CA"/>
    <w:rsid w:val="52E8557B"/>
    <w:rsid w:val="54F00716"/>
    <w:rsid w:val="568959D8"/>
    <w:rsid w:val="571921A6"/>
    <w:rsid w:val="5AA769C3"/>
    <w:rsid w:val="62570027"/>
    <w:rsid w:val="625B7B17"/>
    <w:rsid w:val="62612C54"/>
    <w:rsid w:val="6B0C0485"/>
    <w:rsid w:val="6B5F35A7"/>
    <w:rsid w:val="6C4C1DC1"/>
    <w:rsid w:val="700E3190"/>
    <w:rsid w:val="70B36D70"/>
    <w:rsid w:val="70EB475C"/>
    <w:rsid w:val="727671FC"/>
    <w:rsid w:val="7530273D"/>
    <w:rsid w:val="755A3C5E"/>
    <w:rsid w:val="75660855"/>
    <w:rsid w:val="75994786"/>
    <w:rsid w:val="79543E80"/>
    <w:rsid w:val="79E61F64"/>
    <w:rsid w:val="7A545120"/>
    <w:rsid w:val="7C354ADD"/>
    <w:rsid w:val="7C4A361C"/>
    <w:rsid w:val="7DA55D0B"/>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ocked="1"/>
    <w:lsdException w:qFormat="1" w:unhideWhenUsed="0" w:uiPriority="0" w:semiHidden="0" w:name="heading 5" w:locked="1"/>
    <w:lsdException w:qFormat="1" w:unhideWhenUsed="0" w:uiPriority="0" w:semiHidden="0" w:name="heading 6" w:locked="1"/>
    <w:lsdException w:qFormat="1" w:unhideWhenUsed="0" w:uiPriority="0" w:semiHidden="0" w:name="heading 7" w:locked="1"/>
    <w:lsdException w:qFormat="1" w:unhideWhenUsed="0" w:uiPriority="0" w:semiHidden="0" w:name="heading 8" w:locked="1"/>
    <w:lsdException w:qFormat="1" w:unhideWhenUsed="0" w:uiPriority="0" w:semiHidden="0" w:name="heading 9" w:locked="1"/>
    <w:lsdException w:uiPriority="99" w:name="index 1" w:locked="1"/>
    <w:lsdException w:uiPriority="99" w:name="index 2" w:locked="1"/>
    <w:lsdException w:uiPriority="99" w:name="index 3" w:locked="1"/>
    <w:lsdException w:qFormat="1" w:unhideWhenUsed="0" w:uiPriority="0" w:semiHidden="0"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iPriority="99" w:name="footnote text" w:locked="1"/>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ocked="1"/>
    <w:lsdException w:qFormat="1" w:unhideWhenUsed="0" w:uiPriority="0" w:semiHidden="0" w:name="caption" w:locked="1"/>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semiHidden="0" w:name="annotation reference"/>
    <w:lsdException w:uiPriority="99" w:name="line number" w:locked="1"/>
    <w:lsdException w:qFormat="1" w:unhideWhenUsed="0" w:uiPriority="0"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0" w:semiHidden="0" w:name="List" w:locked="1"/>
    <w:lsdException w:qFormat="1" w:uiPriority="99" w:semiHidden="0" w:name="List Bullet" w:locked="1"/>
    <w:lsdException w:uiPriority="99" w:name="List Number" w:locked="1"/>
    <w:lsdException w:qFormat="1"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ocked="1"/>
    <w:lsdException w:uiPriority="99" w:name="Closing" w:locked="1"/>
    <w:lsdException w:uiPriority="99" w:name="Signature" w:locked="1"/>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ocked="1"/>
    <w:lsdException w:qFormat="1" w:unhideWhenUsed="0" w:uiPriority="0" w:semiHidden="0" w:name="List Continue 2"/>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ocked="1"/>
    <w:lsdException w:uiPriority="99" w:name="Salutation" w:locked="1"/>
    <w:lsdException w:qFormat="1" w:unhideWhenUsed="0" w:uiPriority="0" w:semiHidden="0" w:name="Date" w:locked="1"/>
    <w:lsdException w:qFormat="1" w:uiPriority="0" w:semiHidden="0" w:name="Body Text First Indent" w:locked="1"/>
    <w:lsdException w:qFormat="1" w:uiPriority="99" w:name="Body Text First Indent 2" w:locked="1"/>
    <w:lsdException w:uiPriority="99" w:name="Note Heading" w:locked="1"/>
    <w:lsdException w:qFormat="1" w:unhideWhenUsed="0" w:uiPriority="0" w:semiHidden="0" w:name="Body Text 2" w:locked="1"/>
    <w:lsdException w:qFormat="1" w:unhideWhenUsed="0" w:uiPriority="0" w:semiHidden="0" w:name="Body Text 3" w:locked="1"/>
    <w:lsdException w:qFormat="1" w:unhideWhenUsed="0" w:uiPriority="99" w:semiHidden="0" w:name="Body Text Indent 2"/>
    <w:lsdException w:qFormat="1" w:unhideWhenUsed="0" w:uiPriority="0"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ocked="1"/>
    <w:lsdException w:uiPriority="99" w:name="E-mail Signature" w:locked="1"/>
    <w:lsdException w:qFormat="1" w:unhideWhenUsed="0" w:uiPriority="99" w:semiHidden="0" w:name="Normal (Web)"/>
    <w:lsdException w:qFormat="1" w:unhideWhenUsed="0" w:uiPriority="99" w:semiHidden="0" w:name="HTML Acronym"/>
    <w:lsdException w:uiPriority="99" w:name="HTML Address" w:locked="1"/>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0" w:semiHidden="0" w:name="HTML Preformatted" w:locked="1"/>
    <w:lsdException w:qFormat="1" w:unhideWhenUsed="0" w:uiPriority="99" w:semiHidden="0" w:name="HTML Sample"/>
    <w:lsdException w:uiPriority="99" w:name="HTML Typewriter" w:locked="1"/>
    <w:lsdException w:qFormat="1" w:unhideWhenUsed="0" w:uiPriority="99" w:semiHidden="0" w:name="HTML Variable"/>
    <w:lsdException w:qFormat="1" w:uiPriority="99" w:name="Normal Table"/>
    <w:lsdException w:qFormat="1" w:unhideWhenUsed="0" w:uiPriority="0"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0" w:semiHidden="0" w:name="Balloon Text"/>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64"/>
    <w:qFormat/>
    <w:uiPriority w:val="0"/>
    <w:pPr>
      <w:keepNext/>
      <w:widowControl/>
      <w:spacing w:before="340" w:after="330" w:line="576" w:lineRule="auto"/>
      <w:jc w:val="center"/>
      <w:outlineLvl w:val="0"/>
    </w:pPr>
    <w:rPr>
      <w:rFonts w:ascii="???" w:hAnsi="???" w:cs="Arial"/>
      <w:b/>
      <w:bCs/>
      <w:color w:val="020000"/>
      <w:kern w:val="36"/>
      <w:sz w:val="44"/>
      <w:szCs w:val="44"/>
    </w:rPr>
  </w:style>
  <w:style w:type="paragraph" w:styleId="3">
    <w:name w:val="heading 2"/>
    <w:basedOn w:val="1"/>
    <w:next w:val="1"/>
    <w:link w:val="65"/>
    <w:qFormat/>
    <w:uiPriority w:val="0"/>
    <w:pPr>
      <w:keepNext/>
      <w:widowControl/>
      <w:spacing w:before="260" w:after="260" w:line="412" w:lineRule="auto"/>
      <w:outlineLvl w:val="1"/>
    </w:pPr>
    <w:rPr>
      <w:rFonts w:ascii="???" w:hAnsi="???" w:cs="Arial"/>
      <w:b/>
      <w:bCs/>
      <w:color w:val="020000"/>
      <w:kern w:val="0"/>
      <w:sz w:val="32"/>
      <w:szCs w:val="32"/>
    </w:rPr>
  </w:style>
  <w:style w:type="paragraph" w:styleId="4">
    <w:name w:val="heading 3"/>
    <w:basedOn w:val="1"/>
    <w:next w:val="1"/>
    <w:link w:val="66"/>
    <w:qFormat/>
    <w:uiPriority w:val="0"/>
    <w:pPr>
      <w:keepNext/>
      <w:widowControl/>
      <w:spacing w:before="260" w:after="260" w:line="412" w:lineRule="auto"/>
      <w:outlineLvl w:val="2"/>
    </w:pPr>
    <w:rPr>
      <w:rFonts w:ascii="??" w:hAnsi="??" w:cs="Arial"/>
      <w:b/>
      <w:bCs/>
      <w:color w:val="000000"/>
      <w:kern w:val="0"/>
      <w:sz w:val="32"/>
      <w:szCs w:val="32"/>
    </w:rPr>
  </w:style>
  <w:style w:type="paragraph" w:styleId="5">
    <w:name w:val="heading 4"/>
    <w:basedOn w:val="1"/>
    <w:next w:val="1"/>
    <w:link w:val="157"/>
    <w:qFormat/>
    <w:locked/>
    <w:uiPriority w:val="0"/>
    <w:pPr>
      <w:keepNext/>
      <w:keepLines/>
      <w:widowControl/>
      <w:tabs>
        <w:tab w:val="left" w:pos="864"/>
      </w:tabs>
      <w:spacing w:before="280" w:after="290" w:line="372" w:lineRule="auto"/>
      <w:ind w:left="864" w:hanging="864"/>
      <w:jc w:val="left"/>
      <w:outlineLvl w:val="3"/>
    </w:pPr>
    <w:rPr>
      <w:rFonts w:ascii="Arial" w:hAnsi="Arial" w:eastAsia="黑体"/>
      <w:b/>
      <w:kern w:val="0"/>
      <w:sz w:val="28"/>
      <w:szCs w:val="20"/>
    </w:rPr>
  </w:style>
  <w:style w:type="paragraph" w:styleId="6">
    <w:name w:val="heading 5"/>
    <w:basedOn w:val="1"/>
    <w:next w:val="1"/>
    <w:link w:val="158"/>
    <w:qFormat/>
    <w:locked/>
    <w:uiPriority w:val="0"/>
    <w:pPr>
      <w:keepNext/>
      <w:keepLines/>
      <w:widowControl/>
      <w:tabs>
        <w:tab w:val="left" w:pos="1008"/>
      </w:tabs>
      <w:spacing w:before="280" w:after="290" w:line="372" w:lineRule="auto"/>
      <w:ind w:left="1008" w:hanging="1008"/>
      <w:jc w:val="left"/>
      <w:outlineLvl w:val="4"/>
    </w:pPr>
    <w:rPr>
      <w:rFonts w:ascii="Times New Roman" w:hAnsi="Times New Roman" w:eastAsia="Arial Unicode MS"/>
      <w:b/>
      <w:kern w:val="0"/>
      <w:sz w:val="28"/>
      <w:szCs w:val="20"/>
    </w:rPr>
  </w:style>
  <w:style w:type="paragraph" w:styleId="7">
    <w:name w:val="heading 6"/>
    <w:basedOn w:val="1"/>
    <w:next w:val="1"/>
    <w:link w:val="159"/>
    <w:qFormat/>
    <w:locked/>
    <w:uiPriority w:val="0"/>
    <w:pPr>
      <w:keepNext/>
      <w:keepLines/>
      <w:widowControl/>
      <w:tabs>
        <w:tab w:val="left" w:pos="1152"/>
      </w:tabs>
      <w:spacing w:before="240" w:after="64" w:line="317" w:lineRule="auto"/>
      <w:ind w:left="1152" w:hanging="1152"/>
      <w:jc w:val="left"/>
      <w:outlineLvl w:val="5"/>
    </w:pPr>
    <w:rPr>
      <w:rFonts w:ascii="Arial" w:hAnsi="Arial" w:eastAsia="黑体"/>
      <w:b/>
      <w:kern w:val="0"/>
      <w:sz w:val="24"/>
      <w:szCs w:val="20"/>
    </w:rPr>
  </w:style>
  <w:style w:type="paragraph" w:styleId="8">
    <w:name w:val="heading 7"/>
    <w:basedOn w:val="1"/>
    <w:next w:val="1"/>
    <w:link w:val="160"/>
    <w:qFormat/>
    <w:locked/>
    <w:uiPriority w:val="0"/>
    <w:pPr>
      <w:keepNext/>
      <w:keepLines/>
      <w:widowControl/>
      <w:tabs>
        <w:tab w:val="left" w:pos="1296"/>
      </w:tabs>
      <w:spacing w:before="240" w:after="64" w:line="317" w:lineRule="auto"/>
      <w:ind w:left="1296" w:hanging="1296"/>
      <w:jc w:val="left"/>
      <w:outlineLvl w:val="6"/>
    </w:pPr>
    <w:rPr>
      <w:rFonts w:ascii="Times New Roman" w:hAnsi="Times New Roman"/>
      <w:b/>
      <w:kern w:val="0"/>
      <w:sz w:val="24"/>
      <w:szCs w:val="20"/>
    </w:rPr>
  </w:style>
  <w:style w:type="paragraph" w:styleId="9">
    <w:name w:val="heading 8"/>
    <w:basedOn w:val="1"/>
    <w:next w:val="1"/>
    <w:link w:val="161"/>
    <w:qFormat/>
    <w:locked/>
    <w:uiPriority w:val="0"/>
    <w:pPr>
      <w:keepNext/>
      <w:keepLines/>
      <w:widowControl/>
      <w:tabs>
        <w:tab w:val="left" w:pos="1440"/>
      </w:tabs>
      <w:spacing w:before="240" w:after="64" w:line="317" w:lineRule="auto"/>
      <w:ind w:left="1440" w:hanging="1440"/>
      <w:jc w:val="left"/>
      <w:outlineLvl w:val="7"/>
    </w:pPr>
    <w:rPr>
      <w:rFonts w:ascii="Arial" w:hAnsi="Arial" w:eastAsia="黑体"/>
      <w:kern w:val="0"/>
      <w:sz w:val="24"/>
      <w:szCs w:val="20"/>
    </w:rPr>
  </w:style>
  <w:style w:type="paragraph" w:styleId="10">
    <w:name w:val="heading 9"/>
    <w:basedOn w:val="1"/>
    <w:next w:val="1"/>
    <w:link w:val="162"/>
    <w:qFormat/>
    <w:locked/>
    <w:uiPriority w:val="0"/>
    <w:pPr>
      <w:keepNext/>
      <w:keepLines/>
      <w:widowControl/>
      <w:tabs>
        <w:tab w:val="left" w:pos="1584"/>
      </w:tabs>
      <w:spacing w:before="240" w:after="64" w:line="317" w:lineRule="auto"/>
      <w:ind w:left="1584" w:hanging="1584"/>
      <w:jc w:val="left"/>
      <w:outlineLvl w:val="8"/>
    </w:pPr>
    <w:rPr>
      <w:rFonts w:ascii="Arial" w:hAnsi="Arial" w:eastAsia="黑体"/>
      <w:kern w:val="0"/>
      <w:szCs w:val="20"/>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39"/>
    <w:pPr>
      <w:ind w:left="2520" w:leftChars="1200"/>
    </w:pPr>
    <w:rPr>
      <w:rFonts w:ascii="Times New Roman" w:hAnsi="Times New Roman"/>
      <w:szCs w:val="24"/>
    </w:rPr>
  </w:style>
  <w:style w:type="paragraph" w:styleId="12">
    <w:name w:val="Normal Indent"/>
    <w:basedOn w:val="1"/>
    <w:link w:val="117"/>
    <w:qFormat/>
    <w:uiPriority w:val="0"/>
    <w:pPr>
      <w:ind w:firstLine="420" w:firstLineChars="200"/>
    </w:pPr>
    <w:rPr>
      <w:rFonts w:ascii="Times New Roman" w:hAnsi="Times New Roman"/>
      <w:kern w:val="0"/>
      <w:sz w:val="24"/>
      <w:szCs w:val="20"/>
    </w:rPr>
  </w:style>
  <w:style w:type="paragraph" w:styleId="13">
    <w:name w:val="caption"/>
    <w:basedOn w:val="1"/>
    <w:next w:val="1"/>
    <w:qFormat/>
    <w:locked/>
    <w:uiPriority w:val="0"/>
    <w:rPr>
      <w:rFonts w:ascii="Cambria" w:hAnsi="Cambria" w:eastAsia="黑体"/>
      <w:sz w:val="20"/>
      <w:szCs w:val="20"/>
    </w:rPr>
  </w:style>
  <w:style w:type="paragraph" w:styleId="14">
    <w:name w:val="List Bullet"/>
    <w:basedOn w:val="1"/>
    <w:unhideWhenUsed/>
    <w:qFormat/>
    <w:locked/>
    <w:uiPriority w:val="99"/>
    <w:pPr>
      <w:numPr>
        <w:ilvl w:val="0"/>
        <w:numId w:val="1"/>
      </w:numPr>
      <w:contextualSpacing/>
    </w:pPr>
  </w:style>
  <w:style w:type="paragraph" w:styleId="15">
    <w:name w:val="Document Map"/>
    <w:basedOn w:val="1"/>
    <w:link w:val="136"/>
    <w:qFormat/>
    <w:uiPriority w:val="99"/>
    <w:rPr>
      <w:rFonts w:ascii="宋体"/>
      <w:kern w:val="0"/>
      <w:sz w:val="18"/>
      <w:szCs w:val="20"/>
    </w:rPr>
  </w:style>
  <w:style w:type="paragraph" w:styleId="16">
    <w:name w:val="annotation text"/>
    <w:basedOn w:val="1"/>
    <w:link w:val="155"/>
    <w:qFormat/>
    <w:uiPriority w:val="0"/>
    <w:pPr>
      <w:jc w:val="left"/>
    </w:pPr>
  </w:style>
  <w:style w:type="paragraph" w:styleId="17">
    <w:name w:val="Body Text 3"/>
    <w:basedOn w:val="1"/>
    <w:link w:val="164"/>
    <w:qFormat/>
    <w:locked/>
    <w:uiPriority w:val="0"/>
    <w:pPr>
      <w:spacing w:line="440" w:lineRule="exact"/>
    </w:pPr>
    <w:rPr>
      <w:rFonts w:ascii="Times New Roman" w:hAnsi="Times New Roman"/>
      <w:color w:val="000000"/>
      <w:szCs w:val="20"/>
    </w:rPr>
  </w:style>
  <w:style w:type="paragraph" w:styleId="18">
    <w:name w:val="Body Text"/>
    <w:basedOn w:val="1"/>
    <w:link w:val="139"/>
    <w:qFormat/>
    <w:uiPriority w:val="0"/>
    <w:pPr>
      <w:spacing w:after="120"/>
    </w:pPr>
    <w:rPr>
      <w:kern w:val="0"/>
      <w:sz w:val="24"/>
      <w:szCs w:val="20"/>
    </w:rPr>
  </w:style>
  <w:style w:type="paragraph" w:styleId="19">
    <w:name w:val="Body Text Indent"/>
    <w:basedOn w:val="1"/>
    <w:link w:val="69"/>
    <w:qFormat/>
    <w:uiPriority w:val="0"/>
    <w:pPr>
      <w:widowControl/>
      <w:spacing w:after="120"/>
      <w:ind w:left="420"/>
    </w:pPr>
    <w:rPr>
      <w:rFonts w:ascii="??" w:hAnsi="??" w:cs="Arial"/>
      <w:kern w:val="0"/>
      <w:sz w:val="24"/>
      <w:szCs w:val="24"/>
    </w:rPr>
  </w:style>
  <w:style w:type="paragraph" w:styleId="20">
    <w:name w:val="List 2"/>
    <w:basedOn w:val="1"/>
    <w:semiHidden/>
    <w:unhideWhenUsed/>
    <w:qFormat/>
    <w:locked/>
    <w:uiPriority w:val="99"/>
    <w:pPr>
      <w:ind w:left="100" w:leftChars="200" w:hanging="200" w:hangingChars="200"/>
      <w:contextualSpacing/>
    </w:pPr>
  </w:style>
  <w:style w:type="paragraph" w:styleId="21">
    <w:name w:val="index 4"/>
    <w:basedOn w:val="1"/>
    <w:next w:val="1"/>
    <w:qFormat/>
    <w:locked/>
    <w:uiPriority w:val="0"/>
    <w:pPr>
      <w:ind w:left="600" w:leftChars="600"/>
    </w:pPr>
    <w:rPr>
      <w:rFonts w:ascii="Times New Roman" w:hAnsi="Times New Roman"/>
      <w:szCs w:val="24"/>
    </w:rPr>
  </w:style>
  <w:style w:type="paragraph" w:styleId="22">
    <w:name w:val="toc 5"/>
    <w:basedOn w:val="1"/>
    <w:next w:val="1"/>
    <w:qFormat/>
    <w:uiPriority w:val="39"/>
    <w:pPr>
      <w:ind w:left="1680" w:leftChars="800"/>
    </w:pPr>
    <w:rPr>
      <w:rFonts w:ascii="Times New Roman" w:hAnsi="Times New Roman"/>
      <w:szCs w:val="24"/>
    </w:rPr>
  </w:style>
  <w:style w:type="paragraph" w:styleId="23">
    <w:name w:val="toc 3"/>
    <w:basedOn w:val="1"/>
    <w:next w:val="1"/>
    <w:qFormat/>
    <w:uiPriority w:val="39"/>
    <w:pPr>
      <w:ind w:left="840" w:leftChars="400"/>
    </w:pPr>
    <w:rPr>
      <w:rFonts w:ascii="Times New Roman" w:hAnsi="Times New Roman"/>
      <w:szCs w:val="24"/>
    </w:rPr>
  </w:style>
  <w:style w:type="paragraph" w:styleId="24">
    <w:name w:val="Plain Text"/>
    <w:basedOn w:val="1"/>
    <w:link w:val="166"/>
    <w:qFormat/>
    <w:locked/>
    <w:uiPriority w:val="0"/>
    <w:rPr>
      <w:rFonts w:ascii="宋体" w:hAnsi="Courier New"/>
    </w:rPr>
  </w:style>
  <w:style w:type="paragraph" w:styleId="25">
    <w:name w:val="toc 8"/>
    <w:basedOn w:val="1"/>
    <w:next w:val="1"/>
    <w:qFormat/>
    <w:uiPriority w:val="39"/>
    <w:pPr>
      <w:ind w:left="2940" w:leftChars="1400"/>
    </w:pPr>
    <w:rPr>
      <w:rFonts w:ascii="Times New Roman" w:hAnsi="Times New Roman"/>
      <w:szCs w:val="24"/>
    </w:rPr>
  </w:style>
  <w:style w:type="paragraph" w:styleId="26">
    <w:name w:val="Date"/>
    <w:basedOn w:val="1"/>
    <w:next w:val="1"/>
    <w:link w:val="173"/>
    <w:qFormat/>
    <w:locked/>
    <w:uiPriority w:val="0"/>
    <w:pPr>
      <w:ind w:left="100" w:leftChars="2500"/>
    </w:pPr>
    <w:rPr>
      <w:rFonts w:ascii="宋体"/>
      <w:sz w:val="28"/>
    </w:rPr>
  </w:style>
  <w:style w:type="paragraph" w:styleId="27">
    <w:name w:val="Body Text Indent 2"/>
    <w:basedOn w:val="1"/>
    <w:link w:val="132"/>
    <w:qFormat/>
    <w:uiPriority w:val="99"/>
    <w:pPr>
      <w:spacing w:before="100" w:beforeAutospacing="1" w:after="100" w:afterAutospacing="1" w:line="360" w:lineRule="auto"/>
      <w:ind w:firstLine="420"/>
    </w:pPr>
    <w:rPr>
      <w:rFonts w:ascii="宋体"/>
      <w:kern w:val="0"/>
      <w:sz w:val="24"/>
      <w:szCs w:val="20"/>
    </w:rPr>
  </w:style>
  <w:style w:type="paragraph" w:styleId="28">
    <w:name w:val="Balloon Text"/>
    <w:basedOn w:val="1"/>
    <w:link w:val="81"/>
    <w:qFormat/>
    <w:uiPriority w:val="0"/>
    <w:rPr>
      <w:sz w:val="18"/>
      <w:szCs w:val="18"/>
    </w:rPr>
  </w:style>
  <w:style w:type="paragraph" w:styleId="29">
    <w:name w:val="footer"/>
    <w:basedOn w:val="1"/>
    <w:link w:val="68"/>
    <w:qFormat/>
    <w:uiPriority w:val="99"/>
    <w:pPr>
      <w:tabs>
        <w:tab w:val="center" w:pos="4153"/>
        <w:tab w:val="right" w:pos="8306"/>
      </w:tabs>
      <w:snapToGrid w:val="0"/>
      <w:jc w:val="left"/>
    </w:pPr>
    <w:rPr>
      <w:sz w:val="18"/>
      <w:szCs w:val="18"/>
    </w:rPr>
  </w:style>
  <w:style w:type="paragraph" w:styleId="30">
    <w:name w:val="header"/>
    <w:basedOn w:val="1"/>
    <w:link w:val="67"/>
    <w:qFormat/>
    <w:uiPriority w:val="99"/>
    <w:pPr>
      <w:pBdr>
        <w:bottom w:val="single" w:color="auto" w:sz="6" w:space="1"/>
      </w:pBdr>
      <w:tabs>
        <w:tab w:val="center" w:pos="4153"/>
        <w:tab w:val="right" w:pos="8306"/>
      </w:tabs>
      <w:snapToGrid w:val="0"/>
      <w:jc w:val="center"/>
    </w:pPr>
    <w:rPr>
      <w:sz w:val="18"/>
      <w:szCs w:val="18"/>
    </w:rPr>
  </w:style>
  <w:style w:type="paragraph" w:styleId="31">
    <w:name w:val="toc 1"/>
    <w:basedOn w:val="1"/>
    <w:next w:val="1"/>
    <w:qFormat/>
    <w:uiPriority w:val="39"/>
    <w:rPr>
      <w:rFonts w:ascii="Times New Roman" w:hAnsi="Times New Roman"/>
      <w:szCs w:val="24"/>
    </w:rPr>
  </w:style>
  <w:style w:type="paragraph" w:styleId="32">
    <w:name w:val="toc 4"/>
    <w:basedOn w:val="1"/>
    <w:next w:val="1"/>
    <w:qFormat/>
    <w:uiPriority w:val="39"/>
    <w:pPr>
      <w:ind w:left="1260" w:leftChars="600"/>
    </w:pPr>
    <w:rPr>
      <w:rFonts w:ascii="Times New Roman" w:hAnsi="Times New Roman"/>
      <w:szCs w:val="24"/>
    </w:rPr>
  </w:style>
  <w:style w:type="paragraph" w:styleId="33">
    <w:name w:val="Subtitle"/>
    <w:basedOn w:val="1"/>
    <w:next w:val="1"/>
    <w:link w:val="183"/>
    <w:qFormat/>
    <w:locked/>
    <w:uiPriority w:val="0"/>
    <w:pPr>
      <w:spacing w:before="240" w:after="60" w:line="312" w:lineRule="auto"/>
      <w:jc w:val="center"/>
      <w:outlineLvl w:val="1"/>
    </w:pPr>
    <w:rPr>
      <w:rFonts w:ascii="Cambria" w:hAnsi="Cambria"/>
      <w:b/>
      <w:bCs/>
      <w:kern w:val="28"/>
      <w:sz w:val="32"/>
      <w:szCs w:val="32"/>
    </w:rPr>
  </w:style>
  <w:style w:type="paragraph" w:styleId="34">
    <w:name w:val="List"/>
    <w:basedOn w:val="1"/>
    <w:qFormat/>
    <w:locked/>
    <w:uiPriority w:val="0"/>
    <w:pPr>
      <w:autoSpaceDE w:val="0"/>
      <w:autoSpaceDN w:val="0"/>
      <w:adjustRightInd w:val="0"/>
      <w:ind w:left="360" w:hanging="360"/>
      <w:jc w:val="left"/>
      <w:textAlignment w:val="baseline"/>
    </w:pPr>
    <w:rPr>
      <w:rFonts w:ascii="Times New Roman" w:hAnsi="Times New Roman"/>
      <w:kern w:val="0"/>
      <w:sz w:val="20"/>
      <w:szCs w:val="20"/>
    </w:rPr>
  </w:style>
  <w:style w:type="paragraph" w:styleId="35">
    <w:name w:val="toc 6"/>
    <w:basedOn w:val="1"/>
    <w:next w:val="1"/>
    <w:qFormat/>
    <w:uiPriority w:val="39"/>
    <w:pPr>
      <w:ind w:left="2100" w:leftChars="1000"/>
    </w:pPr>
    <w:rPr>
      <w:rFonts w:ascii="Times New Roman" w:hAnsi="Times New Roman"/>
      <w:szCs w:val="24"/>
    </w:rPr>
  </w:style>
  <w:style w:type="paragraph" w:styleId="36">
    <w:name w:val="Body Text Indent 3"/>
    <w:basedOn w:val="1"/>
    <w:link w:val="134"/>
    <w:qFormat/>
    <w:uiPriority w:val="0"/>
    <w:pPr>
      <w:spacing w:line="440" w:lineRule="exact"/>
      <w:ind w:firstLine="412" w:firstLineChars="200"/>
    </w:pPr>
    <w:rPr>
      <w:rFonts w:ascii="宋体"/>
      <w:kern w:val="0"/>
      <w:sz w:val="20"/>
      <w:szCs w:val="20"/>
    </w:rPr>
  </w:style>
  <w:style w:type="paragraph" w:styleId="37">
    <w:name w:val="toc 2"/>
    <w:basedOn w:val="1"/>
    <w:next w:val="1"/>
    <w:qFormat/>
    <w:uiPriority w:val="39"/>
    <w:pPr>
      <w:ind w:left="420" w:leftChars="200"/>
    </w:pPr>
    <w:rPr>
      <w:rFonts w:ascii="Times New Roman" w:hAnsi="Times New Roman"/>
      <w:szCs w:val="24"/>
    </w:rPr>
  </w:style>
  <w:style w:type="paragraph" w:styleId="38">
    <w:name w:val="toc 9"/>
    <w:basedOn w:val="1"/>
    <w:next w:val="1"/>
    <w:qFormat/>
    <w:uiPriority w:val="39"/>
    <w:pPr>
      <w:ind w:left="3360" w:leftChars="1600"/>
    </w:pPr>
    <w:rPr>
      <w:rFonts w:ascii="Times New Roman" w:hAnsi="Times New Roman"/>
      <w:szCs w:val="24"/>
    </w:rPr>
  </w:style>
  <w:style w:type="paragraph" w:styleId="39">
    <w:name w:val="Body Text 2"/>
    <w:basedOn w:val="1"/>
    <w:link w:val="163"/>
    <w:qFormat/>
    <w:locked/>
    <w:uiPriority w:val="0"/>
    <w:rPr>
      <w:rFonts w:ascii="宋体" w:hAnsi="宋体"/>
      <w:sz w:val="18"/>
      <w:szCs w:val="20"/>
    </w:rPr>
  </w:style>
  <w:style w:type="paragraph" w:styleId="40">
    <w:name w:val="List Continue 2"/>
    <w:basedOn w:val="1"/>
    <w:qFormat/>
    <w:uiPriority w:val="0"/>
    <w:pPr>
      <w:spacing w:after="120"/>
      <w:ind w:left="840" w:leftChars="400"/>
    </w:pPr>
    <w:rPr>
      <w:rFonts w:ascii="Times New Roman" w:hAnsi="Times New Roman"/>
      <w:szCs w:val="24"/>
    </w:rPr>
  </w:style>
  <w:style w:type="paragraph" w:styleId="41">
    <w:name w:val="HTML Preformatted"/>
    <w:basedOn w:val="1"/>
    <w:link w:val="171"/>
    <w:qFormat/>
    <w:locked/>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paragraph" w:styleId="42">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43">
    <w:name w:val="Title"/>
    <w:basedOn w:val="1"/>
    <w:next w:val="1"/>
    <w:link w:val="181"/>
    <w:qFormat/>
    <w:locked/>
    <w:uiPriority w:val="0"/>
    <w:pPr>
      <w:spacing w:before="240" w:after="60"/>
      <w:jc w:val="center"/>
      <w:outlineLvl w:val="0"/>
    </w:pPr>
    <w:rPr>
      <w:rFonts w:ascii="Cambria" w:hAnsi="Cambria"/>
      <w:b/>
      <w:bCs/>
      <w:sz w:val="32"/>
      <w:szCs w:val="32"/>
    </w:rPr>
  </w:style>
  <w:style w:type="paragraph" w:styleId="44">
    <w:name w:val="annotation subject"/>
    <w:basedOn w:val="16"/>
    <w:next w:val="16"/>
    <w:link w:val="156"/>
    <w:qFormat/>
    <w:uiPriority w:val="0"/>
    <w:rPr>
      <w:b/>
      <w:bCs/>
    </w:rPr>
  </w:style>
  <w:style w:type="paragraph" w:styleId="45">
    <w:name w:val="Body Text First Indent"/>
    <w:basedOn w:val="18"/>
    <w:link w:val="277"/>
    <w:unhideWhenUsed/>
    <w:qFormat/>
    <w:locked/>
    <w:uiPriority w:val="0"/>
    <w:pPr>
      <w:ind w:firstLine="420" w:firstLineChars="100"/>
    </w:pPr>
    <w:rPr>
      <w:rFonts w:asciiTheme="minorHAnsi" w:hAnsiTheme="minorHAnsi" w:eastAsiaTheme="minorEastAsia" w:cstheme="minorBidi"/>
      <w:kern w:val="2"/>
      <w:sz w:val="21"/>
      <w:szCs w:val="22"/>
    </w:rPr>
  </w:style>
  <w:style w:type="paragraph" w:styleId="46">
    <w:name w:val="Body Text First Indent 2"/>
    <w:basedOn w:val="19"/>
    <w:link w:val="275"/>
    <w:semiHidden/>
    <w:unhideWhenUsed/>
    <w:qFormat/>
    <w:locked/>
    <w:uiPriority w:val="99"/>
    <w:pPr>
      <w:widowControl w:val="0"/>
      <w:ind w:left="200" w:leftChars="200" w:firstLine="420" w:firstLineChars="200"/>
    </w:pPr>
    <w:rPr>
      <w:rFonts w:ascii="Calibri" w:hAnsi="Calibri" w:cs="Times New Roman"/>
      <w:kern w:val="2"/>
      <w:sz w:val="21"/>
      <w:szCs w:val="22"/>
    </w:rPr>
  </w:style>
  <w:style w:type="table" w:styleId="48">
    <w:name w:val="Table Grid"/>
    <w:basedOn w:val="47"/>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50">
    <w:name w:val="Strong"/>
    <w:basedOn w:val="49"/>
    <w:qFormat/>
    <w:uiPriority w:val="0"/>
    <w:rPr>
      <w:rFonts w:cs="Times New Roman"/>
      <w:b/>
    </w:rPr>
  </w:style>
  <w:style w:type="character" w:styleId="51">
    <w:name w:val="page number"/>
    <w:basedOn w:val="49"/>
    <w:qFormat/>
    <w:uiPriority w:val="0"/>
    <w:rPr>
      <w:rFonts w:cs="Times New Roman"/>
    </w:rPr>
  </w:style>
  <w:style w:type="character" w:styleId="52">
    <w:name w:val="FollowedHyperlink"/>
    <w:basedOn w:val="49"/>
    <w:qFormat/>
    <w:uiPriority w:val="99"/>
    <w:rPr>
      <w:rFonts w:cs="Times New Roman"/>
      <w:color w:val="555555"/>
      <w:u w:val="none"/>
    </w:rPr>
  </w:style>
  <w:style w:type="character" w:styleId="53">
    <w:name w:val="Emphasis"/>
    <w:basedOn w:val="49"/>
    <w:qFormat/>
    <w:uiPriority w:val="0"/>
    <w:rPr>
      <w:rFonts w:cs="Times New Roman"/>
      <w:i/>
    </w:rPr>
  </w:style>
  <w:style w:type="character" w:styleId="54">
    <w:name w:val="HTML Definition"/>
    <w:basedOn w:val="49"/>
    <w:qFormat/>
    <w:uiPriority w:val="99"/>
    <w:rPr>
      <w:rFonts w:cs="Times New Roman"/>
    </w:rPr>
  </w:style>
  <w:style w:type="character" w:styleId="55">
    <w:name w:val="HTML Acronym"/>
    <w:basedOn w:val="49"/>
    <w:qFormat/>
    <w:uiPriority w:val="99"/>
    <w:rPr>
      <w:rFonts w:cs="Times New Roman"/>
    </w:rPr>
  </w:style>
  <w:style w:type="character" w:styleId="56">
    <w:name w:val="HTML Variable"/>
    <w:basedOn w:val="49"/>
    <w:qFormat/>
    <w:uiPriority w:val="99"/>
    <w:rPr>
      <w:rFonts w:cs="Times New Roman"/>
    </w:rPr>
  </w:style>
  <w:style w:type="character" w:styleId="57">
    <w:name w:val="Hyperlink"/>
    <w:basedOn w:val="49"/>
    <w:qFormat/>
    <w:uiPriority w:val="99"/>
    <w:rPr>
      <w:rFonts w:cs="Times New Roman"/>
      <w:color w:val="555555"/>
      <w:u w:val="none"/>
    </w:rPr>
  </w:style>
  <w:style w:type="character" w:styleId="58">
    <w:name w:val="HTML Code"/>
    <w:basedOn w:val="49"/>
    <w:qFormat/>
    <w:uiPriority w:val="99"/>
    <w:rPr>
      <w:rFonts w:ascii="monospace" w:hAnsi="monospace" w:cs="Times New Roman"/>
      <w:sz w:val="24"/>
    </w:rPr>
  </w:style>
  <w:style w:type="character" w:styleId="59">
    <w:name w:val="annotation reference"/>
    <w:basedOn w:val="49"/>
    <w:qFormat/>
    <w:uiPriority w:val="99"/>
    <w:rPr>
      <w:rFonts w:cs="Times New Roman"/>
      <w:sz w:val="21"/>
      <w:szCs w:val="21"/>
    </w:rPr>
  </w:style>
  <w:style w:type="character" w:styleId="60">
    <w:name w:val="HTML Cite"/>
    <w:basedOn w:val="49"/>
    <w:qFormat/>
    <w:uiPriority w:val="99"/>
    <w:rPr>
      <w:rFonts w:cs="Times New Roman"/>
    </w:rPr>
  </w:style>
  <w:style w:type="character" w:styleId="61">
    <w:name w:val="HTML Keyboard"/>
    <w:basedOn w:val="49"/>
    <w:qFormat/>
    <w:uiPriority w:val="99"/>
    <w:rPr>
      <w:rFonts w:ascii="monospace" w:hAnsi="monospace" w:cs="Times New Roman"/>
      <w:sz w:val="24"/>
    </w:rPr>
  </w:style>
  <w:style w:type="character" w:styleId="62">
    <w:name w:val="HTML Sample"/>
    <w:basedOn w:val="49"/>
    <w:qFormat/>
    <w:uiPriority w:val="99"/>
    <w:rPr>
      <w:rFonts w:ascii="monospace" w:hAnsi="monospace" w:cs="Times New Roman"/>
      <w:sz w:val="24"/>
    </w:rPr>
  </w:style>
  <w:style w:type="paragraph" w:customStyle="1" w:styleId="63">
    <w:name w:val="样式 首行缩进:  2 字符"/>
    <w:basedOn w:val="1"/>
    <w:qFormat/>
    <w:uiPriority w:val="99"/>
    <w:pPr>
      <w:ind w:firstLine="560"/>
    </w:pPr>
    <w:rPr>
      <w:szCs w:val="21"/>
    </w:rPr>
  </w:style>
  <w:style w:type="character" w:customStyle="1" w:styleId="64">
    <w:name w:val="标题 1 Char"/>
    <w:basedOn w:val="49"/>
    <w:link w:val="2"/>
    <w:qFormat/>
    <w:locked/>
    <w:uiPriority w:val="0"/>
    <w:rPr>
      <w:rFonts w:ascii="???" w:hAnsi="???" w:eastAsia="宋体" w:cs="Arial"/>
      <w:b/>
      <w:bCs/>
      <w:color w:val="020000"/>
      <w:kern w:val="36"/>
      <w:sz w:val="44"/>
      <w:szCs w:val="44"/>
    </w:rPr>
  </w:style>
  <w:style w:type="character" w:customStyle="1" w:styleId="65">
    <w:name w:val="标题 2 Char"/>
    <w:basedOn w:val="49"/>
    <w:link w:val="3"/>
    <w:qFormat/>
    <w:locked/>
    <w:uiPriority w:val="99"/>
    <w:rPr>
      <w:rFonts w:ascii="???" w:hAnsi="???" w:eastAsia="宋体" w:cs="Arial"/>
      <w:b/>
      <w:bCs/>
      <w:color w:val="020000"/>
      <w:kern w:val="0"/>
      <w:sz w:val="32"/>
      <w:szCs w:val="32"/>
    </w:rPr>
  </w:style>
  <w:style w:type="character" w:customStyle="1" w:styleId="66">
    <w:name w:val="标题 3 Char"/>
    <w:basedOn w:val="49"/>
    <w:link w:val="4"/>
    <w:qFormat/>
    <w:locked/>
    <w:uiPriority w:val="0"/>
    <w:rPr>
      <w:rFonts w:ascii="??" w:hAnsi="??" w:eastAsia="宋体" w:cs="Arial"/>
      <w:b/>
      <w:bCs/>
      <w:color w:val="000000"/>
      <w:kern w:val="0"/>
      <w:sz w:val="32"/>
      <w:szCs w:val="32"/>
    </w:rPr>
  </w:style>
  <w:style w:type="character" w:customStyle="1" w:styleId="67">
    <w:name w:val="页眉 Char"/>
    <w:basedOn w:val="49"/>
    <w:link w:val="30"/>
    <w:qFormat/>
    <w:locked/>
    <w:uiPriority w:val="99"/>
    <w:rPr>
      <w:rFonts w:cs="Times New Roman"/>
      <w:sz w:val="18"/>
      <w:szCs w:val="18"/>
    </w:rPr>
  </w:style>
  <w:style w:type="character" w:customStyle="1" w:styleId="68">
    <w:name w:val="页脚 Char"/>
    <w:basedOn w:val="49"/>
    <w:link w:val="29"/>
    <w:qFormat/>
    <w:locked/>
    <w:uiPriority w:val="99"/>
    <w:rPr>
      <w:rFonts w:cs="Times New Roman"/>
      <w:sz w:val="18"/>
      <w:szCs w:val="18"/>
    </w:rPr>
  </w:style>
  <w:style w:type="character" w:customStyle="1" w:styleId="69">
    <w:name w:val="正文文本缩进 Char"/>
    <w:basedOn w:val="49"/>
    <w:link w:val="19"/>
    <w:qFormat/>
    <w:locked/>
    <w:uiPriority w:val="0"/>
    <w:rPr>
      <w:rFonts w:ascii="??" w:hAnsi="??" w:eastAsia="宋体" w:cs="Arial"/>
      <w:kern w:val="0"/>
      <w:sz w:val="24"/>
      <w:szCs w:val="24"/>
    </w:rPr>
  </w:style>
  <w:style w:type="paragraph" w:styleId="70">
    <w:name w:val="List Paragraph"/>
    <w:basedOn w:val="1"/>
    <w:qFormat/>
    <w:uiPriority w:val="99"/>
    <w:pPr>
      <w:ind w:firstLine="420" w:firstLineChars="200"/>
    </w:pPr>
  </w:style>
  <w:style w:type="character" w:customStyle="1" w:styleId="71">
    <w:name w:val="标题 2 Char Char"/>
    <w:qFormat/>
    <w:uiPriority w:val="99"/>
    <w:rPr>
      <w:rFonts w:ascii="Arial" w:hAnsi="Arial" w:eastAsia="黑体"/>
      <w:b/>
      <w:kern w:val="2"/>
      <w:sz w:val="32"/>
      <w:lang w:val="en-US" w:eastAsia="zh-CN"/>
    </w:rPr>
  </w:style>
  <w:style w:type="character" w:customStyle="1" w:styleId="72">
    <w:name w:val="2charchar"/>
    <w:basedOn w:val="49"/>
    <w:qFormat/>
    <w:uiPriority w:val="99"/>
    <w:rPr>
      <w:rFonts w:cs="Times New Roman"/>
    </w:rPr>
  </w:style>
  <w:style w:type="paragraph" w:customStyle="1" w:styleId="73">
    <w:name w:val="表格文字"/>
    <w:basedOn w:val="1"/>
    <w:qFormat/>
    <w:uiPriority w:val="99"/>
    <w:pPr>
      <w:adjustRightInd w:val="0"/>
      <w:spacing w:line="420" w:lineRule="atLeast"/>
      <w:jc w:val="left"/>
    </w:pPr>
    <w:rPr>
      <w:rFonts w:ascii="Times New Roman" w:hAnsi="Times New Roman"/>
      <w:kern w:val="0"/>
      <w:szCs w:val="20"/>
    </w:rPr>
  </w:style>
  <w:style w:type="paragraph" w:customStyle="1" w:styleId="74">
    <w:name w:val="z-窗体顶端1"/>
    <w:basedOn w:val="1"/>
    <w:next w:val="1"/>
    <w:link w:val="75"/>
    <w:semiHidden/>
    <w:qFormat/>
    <w:uiPriority w:val="99"/>
    <w:pPr>
      <w:widowControl/>
      <w:pBdr>
        <w:bottom w:val="single" w:color="auto" w:sz="6" w:space="1"/>
      </w:pBdr>
      <w:jc w:val="center"/>
    </w:pPr>
    <w:rPr>
      <w:rFonts w:ascii="Arial" w:hAnsi="Arial" w:cs="Arial"/>
      <w:vanish/>
      <w:kern w:val="0"/>
      <w:sz w:val="16"/>
      <w:szCs w:val="16"/>
    </w:rPr>
  </w:style>
  <w:style w:type="character" w:customStyle="1" w:styleId="75">
    <w:name w:val="z-窗体顶端 Char"/>
    <w:basedOn w:val="49"/>
    <w:link w:val="74"/>
    <w:semiHidden/>
    <w:qFormat/>
    <w:locked/>
    <w:uiPriority w:val="99"/>
    <w:rPr>
      <w:rFonts w:ascii="Arial" w:hAnsi="Arial" w:eastAsia="宋体" w:cs="Arial"/>
      <w:vanish/>
      <w:kern w:val="0"/>
      <w:sz w:val="16"/>
      <w:szCs w:val="16"/>
    </w:rPr>
  </w:style>
  <w:style w:type="paragraph" w:customStyle="1" w:styleId="76">
    <w:name w:val="z-窗体底端1"/>
    <w:basedOn w:val="1"/>
    <w:next w:val="1"/>
    <w:link w:val="77"/>
    <w:semiHidden/>
    <w:qFormat/>
    <w:uiPriority w:val="99"/>
    <w:pPr>
      <w:widowControl/>
      <w:pBdr>
        <w:top w:val="single" w:color="auto" w:sz="6" w:space="1"/>
      </w:pBdr>
      <w:jc w:val="center"/>
    </w:pPr>
    <w:rPr>
      <w:rFonts w:ascii="Arial" w:hAnsi="Arial" w:cs="Arial"/>
      <w:vanish/>
      <w:kern w:val="0"/>
      <w:sz w:val="16"/>
      <w:szCs w:val="16"/>
    </w:rPr>
  </w:style>
  <w:style w:type="character" w:customStyle="1" w:styleId="77">
    <w:name w:val="z-窗体底端 Char"/>
    <w:basedOn w:val="49"/>
    <w:link w:val="76"/>
    <w:semiHidden/>
    <w:qFormat/>
    <w:locked/>
    <w:uiPriority w:val="99"/>
    <w:rPr>
      <w:rFonts w:ascii="Arial" w:hAnsi="Arial" w:eastAsia="宋体" w:cs="Arial"/>
      <w:vanish/>
      <w:kern w:val="0"/>
      <w:sz w:val="16"/>
      <w:szCs w:val="16"/>
    </w:rPr>
  </w:style>
  <w:style w:type="paragraph" w:customStyle="1" w:styleId="78">
    <w:name w:val="hu正文"/>
    <w:basedOn w:val="1"/>
    <w:link w:val="79"/>
    <w:qFormat/>
    <w:uiPriority w:val="99"/>
    <w:pPr>
      <w:spacing w:before="156" w:after="156" w:line="300" w:lineRule="auto"/>
      <w:ind w:firstLine="480" w:firstLineChars="200"/>
    </w:pPr>
    <w:rPr>
      <w:rFonts w:ascii="Times New Roman" w:hAnsi="Times New Roman"/>
      <w:kern w:val="0"/>
      <w:sz w:val="24"/>
      <w:szCs w:val="20"/>
    </w:rPr>
  </w:style>
  <w:style w:type="character" w:customStyle="1" w:styleId="79">
    <w:name w:val="hu正文 Char"/>
    <w:link w:val="78"/>
    <w:qFormat/>
    <w:locked/>
    <w:uiPriority w:val="99"/>
    <w:rPr>
      <w:rFonts w:ascii="Times New Roman" w:hAnsi="Times New Roman" w:eastAsia="宋体"/>
      <w:kern w:val="0"/>
      <w:sz w:val="24"/>
    </w:rPr>
  </w:style>
  <w:style w:type="paragraph" w:styleId="80">
    <w:name w:val="No Spacing"/>
    <w:qFormat/>
    <w:uiPriority w:val="1"/>
    <w:pPr>
      <w:widowControl w:val="0"/>
      <w:jc w:val="both"/>
    </w:pPr>
    <w:rPr>
      <w:rFonts w:ascii="Calibri" w:hAnsi="Calibri" w:eastAsia="宋体" w:cs="Times New Roman"/>
      <w:kern w:val="2"/>
      <w:sz w:val="21"/>
      <w:szCs w:val="22"/>
      <w:lang w:val="en-US" w:eastAsia="zh-CN" w:bidi="ar-SA"/>
    </w:rPr>
  </w:style>
  <w:style w:type="character" w:customStyle="1" w:styleId="81">
    <w:name w:val="批注框文本 Char"/>
    <w:basedOn w:val="49"/>
    <w:link w:val="28"/>
    <w:qFormat/>
    <w:locked/>
    <w:uiPriority w:val="0"/>
    <w:rPr>
      <w:rFonts w:cs="Times New Roman"/>
      <w:sz w:val="18"/>
      <w:szCs w:val="18"/>
    </w:rPr>
  </w:style>
  <w:style w:type="character" w:customStyle="1" w:styleId="82">
    <w:name w:val="ui-bz-bg-hover1"/>
    <w:basedOn w:val="49"/>
    <w:qFormat/>
    <w:uiPriority w:val="99"/>
    <w:rPr>
      <w:rFonts w:cs="Times New Roman"/>
    </w:rPr>
  </w:style>
  <w:style w:type="character" w:customStyle="1" w:styleId="83">
    <w:name w:val="批注框文本 Char1"/>
    <w:qFormat/>
    <w:uiPriority w:val="0"/>
    <w:rPr>
      <w:rFonts w:ascii="Times New Roman" w:hAnsi="Times New Roman" w:eastAsia="宋体"/>
      <w:sz w:val="18"/>
    </w:rPr>
  </w:style>
  <w:style w:type="character" w:customStyle="1" w:styleId="84">
    <w:name w:val="bds_nopic"/>
    <w:basedOn w:val="49"/>
    <w:qFormat/>
    <w:uiPriority w:val="99"/>
    <w:rPr>
      <w:rFonts w:cs="Times New Roman"/>
    </w:rPr>
  </w:style>
  <w:style w:type="character" w:customStyle="1" w:styleId="85">
    <w:name w:val="tip12"/>
    <w:qFormat/>
    <w:uiPriority w:val="99"/>
    <w:rPr>
      <w:vanish/>
      <w:color w:val="FF0000"/>
      <w:sz w:val="18"/>
    </w:rPr>
  </w:style>
  <w:style w:type="character" w:customStyle="1" w:styleId="86">
    <w:name w:val="Body Text Indent 3 Char"/>
    <w:qFormat/>
    <w:locked/>
    <w:uiPriority w:val="99"/>
    <w:rPr>
      <w:rFonts w:ascii="宋体" w:eastAsia="宋体"/>
    </w:rPr>
  </w:style>
  <w:style w:type="character" w:customStyle="1" w:styleId="87">
    <w:name w:val="HTML Markup"/>
    <w:qFormat/>
    <w:uiPriority w:val="99"/>
    <w:rPr>
      <w:vanish/>
      <w:color w:val="FF0000"/>
    </w:rPr>
  </w:style>
  <w:style w:type="character" w:customStyle="1" w:styleId="88">
    <w:name w:val="tip7"/>
    <w:qFormat/>
    <w:uiPriority w:val="99"/>
    <w:rPr>
      <w:vanish/>
      <w:color w:val="FF0000"/>
      <w:sz w:val="18"/>
    </w:rPr>
  </w:style>
  <w:style w:type="character" w:customStyle="1" w:styleId="89">
    <w:name w:val="f-star"/>
    <w:qFormat/>
    <w:uiPriority w:val="99"/>
    <w:rPr>
      <w:color w:val="999999"/>
      <w:sz w:val="21"/>
    </w:rPr>
  </w:style>
  <w:style w:type="character" w:customStyle="1" w:styleId="90">
    <w:name w:val="Document Map Char1"/>
    <w:qFormat/>
    <w:uiPriority w:val="99"/>
    <w:rPr>
      <w:rFonts w:ascii="Times New Roman" w:hAnsi="Times New Roman"/>
      <w:kern w:val="2"/>
      <w:sz w:val="2"/>
    </w:rPr>
  </w:style>
  <w:style w:type="character" w:customStyle="1" w:styleId="91">
    <w:name w:val="my-class2"/>
    <w:basedOn w:val="49"/>
    <w:qFormat/>
    <w:uiPriority w:val="99"/>
    <w:rPr>
      <w:rFonts w:cs="Times New Roman"/>
    </w:rPr>
  </w:style>
  <w:style w:type="character" w:customStyle="1" w:styleId="92">
    <w:name w:val="no52"/>
    <w:basedOn w:val="49"/>
    <w:qFormat/>
    <w:uiPriority w:val="99"/>
    <w:rPr>
      <w:rFonts w:cs="Times New Roman"/>
    </w:rPr>
  </w:style>
  <w:style w:type="character" w:customStyle="1" w:styleId="93">
    <w:name w:val="no4"/>
    <w:basedOn w:val="49"/>
    <w:qFormat/>
    <w:uiPriority w:val="99"/>
    <w:rPr>
      <w:rFonts w:cs="Times New Roman"/>
    </w:rPr>
  </w:style>
  <w:style w:type="character" w:customStyle="1" w:styleId="94">
    <w:name w:val="my-notice"/>
    <w:basedOn w:val="49"/>
    <w:qFormat/>
    <w:uiPriority w:val="99"/>
    <w:rPr>
      <w:rFonts w:cs="Times New Roman"/>
    </w:rPr>
  </w:style>
  <w:style w:type="character" w:customStyle="1" w:styleId="95">
    <w:name w:val="ico-jiang"/>
    <w:basedOn w:val="49"/>
    <w:qFormat/>
    <w:uiPriority w:val="99"/>
    <w:rPr>
      <w:rFonts w:cs="Times New Roman"/>
    </w:rPr>
  </w:style>
  <w:style w:type="character" w:customStyle="1" w:styleId="96">
    <w:name w:val="ico-jiang2"/>
    <w:basedOn w:val="49"/>
    <w:qFormat/>
    <w:uiPriority w:val="99"/>
    <w:rPr>
      <w:rFonts w:cs="Times New Roman"/>
    </w:rPr>
  </w:style>
  <w:style w:type="character" w:customStyle="1" w:styleId="97">
    <w:name w:val="bds_more1"/>
    <w:qFormat/>
    <w:uiPriority w:val="99"/>
    <w:rPr>
      <w:rFonts w:ascii="宋体" w:hAnsi="宋体" w:eastAsia="宋体"/>
    </w:rPr>
  </w:style>
  <w:style w:type="character" w:customStyle="1" w:styleId="98">
    <w:name w:val="Body Text Indent 2 Char"/>
    <w:qFormat/>
    <w:locked/>
    <w:uiPriority w:val="99"/>
    <w:rPr>
      <w:rFonts w:ascii="宋体" w:eastAsia="宋体"/>
      <w:sz w:val="24"/>
    </w:rPr>
  </w:style>
  <w:style w:type="character" w:customStyle="1" w:styleId="99">
    <w:name w:val="org_name"/>
    <w:basedOn w:val="49"/>
    <w:qFormat/>
    <w:uiPriority w:val="99"/>
    <w:rPr>
      <w:rFonts w:cs="Times New Roman"/>
    </w:rPr>
  </w:style>
  <w:style w:type="character" w:customStyle="1" w:styleId="100">
    <w:name w:val="org_name2"/>
    <w:basedOn w:val="49"/>
    <w:qFormat/>
    <w:uiPriority w:val="99"/>
    <w:rPr>
      <w:rFonts w:cs="Times New Roman"/>
    </w:rPr>
  </w:style>
  <w:style w:type="character" w:customStyle="1" w:styleId="101">
    <w:name w:val="tip10"/>
    <w:qFormat/>
    <w:uiPriority w:val="99"/>
    <w:rPr>
      <w:vanish/>
      <w:color w:val="FF0000"/>
      <w:sz w:val="18"/>
    </w:rPr>
  </w:style>
  <w:style w:type="character" w:customStyle="1" w:styleId="102">
    <w:name w:val="orange"/>
    <w:qFormat/>
    <w:uiPriority w:val="99"/>
    <w:rPr>
      <w:color w:val="3FB58F"/>
    </w:rPr>
  </w:style>
  <w:style w:type="character" w:customStyle="1" w:styleId="103">
    <w:name w:val="bds_more"/>
    <w:basedOn w:val="49"/>
    <w:qFormat/>
    <w:uiPriority w:val="99"/>
    <w:rPr>
      <w:rFonts w:cs="Times New Roman"/>
    </w:rPr>
  </w:style>
  <w:style w:type="character" w:customStyle="1" w:styleId="104">
    <w:name w:val="t-tag"/>
    <w:qFormat/>
    <w:uiPriority w:val="99"/>
    <w:rPr>
      <w:color w:val="FFFFFF"/>
      <w:sz w:val="18"/>
      <w:shd w:val="clear" w:color="auto" w:fill="FE8833"/>
    </w:rPr>
  </w:style>
  <w:style w:type="character" w:customStyle="1" w:styleId="105">
    <w:name w:val="top-icon"/>
    <w:basedOn w:val="49"/>
    <w:qFormat/>
    <w:uiPriority w:val="99"/>
    <w:rPr>
      <w:rFonts w:cs="Times New Roman"/>
    </w:rPr>
  </w:style>
  <w:style w:type="character" w:customStyle="1" w:styleId="106">
    <w:name w:val="Body Text Char"/>
    <w:qFormat/>
    <w:locked/>
    <w:uiPriority w:val="99"/>
    <w:rPr>
      <w:sz w:val="24"/>
    </w:rPr>
  </w:style>
  <w:style w:type="character" w:customStyle="1" w:styleId="107">
    <w:name w:val="no72"/>
    <w:basedOn w:val="49"/>
    <w:qFormat/>
    <w:uiPriority w:val="99"/>
    <w:rPr>
      <w:rFonts w:cs="Times New Roman"/>
    </w:rPr>
  </w:style>
  <w:style w:type="character" w:customStyle="1" w:styleId="108">
    <w:name w:val="bds_nopic2"/>
    <w:basedOn w:val="49"/>
    <w:qFormat/>
    <w:uiPriority w:val="99"/>
    <w:rPr>
      <w:rFonts w:cs="Times New Roman"/>
    </w:rPr>
  </w:style>
  <w:style w:type="character" w:customStyle="1" w:styleId="109">
    <w:name w:val="Document Map Char"/>
    <w:qFormat/>
    <w:uiPriority w:val="99"/>
    <w:rPr>
      <w:rFonts w:ascii="宋体"/>
      <w:sz w:val="18"/>
    </w:rPr>
  </w:style>
  <w:style w:type="character" w:customStyle="1" w:styleId="110">
    <w:name w:val="no6"/>
    <w:basedOn w:val="49"/>
    <w:qFormat/>
    <w:uiPriority w:val="99"/>
    <w:rPr>
      <w:rFonts w:cs="Times New Roman"/>
    </w:rPr>
  </w:style>
  <w:style w:type="character" w:customStyle="1" w:styleId="111">
    <w:name w:val="tip"/>
    <w:qFormat/>
    <w:uiPriority w:val="99"/>
    <w:rPr>
      <w:vanish/>
      <w:color w:val="FF0000"/>
      <w:sz w:val="18"/>
    </w:rPr>
  </w:style>
  <w:style w:type="character" w:customStyle="1" w:styleId="112">
    <w:name w:val="apple-converted-space"/>
    <w:basedOn w:val="49"/>
    <w:qFormat/>
    <w:uiPriority w:val="99"/>
    <w:rPr>
      <w:rFonts w:cs="Times New Roman"/>
    </w:rPr>
  </w:style>
  <w:style w:type="character" w:customStyle="1" w:styleId="113">
    <w:name w:val="bds_more2"/>
    <w:basedOn w:val="49"/>
    <w:qFormat/>
    <w:uiPriority w:val="99"/>
    <w:rPr>
      <w:rFonts w:cs="Times New Roman"/>
    </w:rPr>
  </w:style>
  <w:style w:type="character" w:customStyle="1" w:styleId="114">
    <w:name w:val="my-class"/>
    <w:basedOn w:val="49"/>
    <w:qFormat/>
    <w:uiPriority w:val="99"/>
    <w:rPr>
      <w:rFonts w:cs="Times New Roman"/>
    </w:rPr>
  </w:style>
  <w:style w:type="character" w:customStyle="1" w:styleId="115">
    <w:name w:val="ui-bz-bg-hover"/>
    <w:qFormat/>
    <w:uiPriority w:val="99"/>
    <w:rPr>
      <w:shd w:val="clear" w:color="auto" w:fill="000000"/>
    </w:rPr>
  </w:style>
  <w:style w:type="character" w:customStyle="1" w:styleId="116">
    <w:name w:val="no7"/>
    <w:basedOn w:val="49"/>
    <w:qFormat/>
    <w:uiPriority w:val="99"/>
    <w:rPr>
      <w:rFonts w:cs="Times New Roman"/>
    </w:rPr>
  </w:style>
  <w:style w:type="character" w:customStyle="1" w:styleId="117">
    <w:name w:val="正文缩进 Char"/>
    <w:link w:val="12"/>
    <w:qFormat/>
    <w:locked/>
    <w:uiPriority w:val="99"/>
    <w:rPr>
      <w:rFonts w:ascii="Times New Roman" w:hAnsi="Times New Roman" w:eastAsia="宋体"/>
      <w:sz w:val="24"/>
    </w:rPr>
  </w:style>
  <w:style w:type="character" w:customStyle="1" w:styleId="118">
    <w:name w:val="ico-jiang1"/>
    <w:basedOn w:val="49"/>
    <w:qFormat/>
    <w:uiPriority w:val="99"/>
    <w:rPr>
      <w:rFonts w:cs="Times New Roman"/>
    </w:rPr>
  </w:style>
  <w:style w:type="character" w:customStyle="1" w:styleId="119">
    <w:name w:val="no62"/>
    <w:basedOn w:val="49"/>
    <w:qFormat/>
    <w:uiPriority w:val="99"/>
    <w:rPr>
      <w:rFonts w:cs="Times New Roman"/>
    </w:rPr>
  </w:style>
  <w:style w:type="character" w:customStyle="1" w:styleId="120">
    <w:name w:val="orange5"/>
    <w:qFormat/>
    <w:uiPriority w:val="99"/>
    <w:rPr>
      <w:color w:val="3FB58F"/>
    </w:rPr>
  </w:style>
  <w:style w:type="character" w:customStyle="1" w:styleId="121">
    <w:name w:val="bds_more4"/>
    <w:basedOn w:val="49"/>
    <w:qFormat/>
    <w:uiPriority w:val="99"/>
    <w:rPr>
      <w:rFonts w:cs="Times New Roman"/>
    </w:rPr>
  </w:style>
  <w:style w:type="character" w:customStyle="1" w:styleId="122">
    <w:name w:val="no5"/>
    <w:basedOn w:val="49"/>
    <w:qFormat/>
    <w:uiPriority w:val="99"/>
    <w:rPr>
      <w:rFonts w:cs="Times New Roman"/>
    </w:rPr>
  </w:style>
  <w:style w:type="character" w:customStyle="1" w:styleId="123">
    <w:name w:val="bds_more3"/>
    <w:basedOn w:val="49"/>
    <w:qFormat/>
    <w:uiPriority w:val="99"/>
    <w:rPr>
      <w:rFonts w:cs="Times New Roman"/>
    </w:rPr>
  </w:style>
  <w:style w:type="character" w:customStyle="1" w:styleId="124">
    <w:name w:val="no42"/>
    <w:basedOn w:val="49"/>
    <w:qFormat/>
    <w:uiPriority w:val="99"/>
    <w:rPr>
      <w:rFonts w:cs="Times New Roman"/>
    </w:rPr>
  </w:style>
  <w:style w:type="character" w:customStyle="1" w:styleId="125">
    <w:name w:val="bds_nopic1"/>
    <w:basedOn w:val="49"/>
    <w:qFormat/>
    <w:uiPriority w:val="99"/>
    <w:rPr>
      <w:rFonts w:cs="Times New Roman"/>
    </w:rPr>
  </w:style>
  <w:style w:type="character" w:customStyle="1" w:styleId="126">
    <w:name w:val="my-notice1"/>
    <w:basedOn w:val="49"/>
    <w:qFormat/>
    <w:uiPriority w:val="99"/>
    <w:rPr>
      <w:rFonts w:cs="Times New Roman"/>
    </w:rPr>
  </w:style>
  <w:style w:type="character" w:customStyle="1" w:styleId="127">
    <w:name w:val="orange6"/>
    <w:qFormat/>
    <w:uiPriority w:val="99"/>
    <w:rPr>
      <w:color w:val="3FB58F"/>
    </w:rPr>
  </w:style>
  <w:style w:type="character" w:customStyle="1" w:styleId="128">
    <w:name w:val="Document Map Char2"/>
    <w:qFormat/>
    <w:locked/>
    <w:uiPriority w:val="99"/>
    <w:rPr>
      <w:rFonts w:ascii="宋体"/>
      <w:sz w:val="18"/>
    </w:rPr>
  </w:style>
  <w:style w:type="character" w:customStyle="1" w:styleId="129">
    <w:name w:val="ico-jiang3"/>
    <w:basedOn w:val="49"/>
    <w:qFormat/>
    <w:uiPriority w:val="99"/>
    <w:rPr>
      <w:rFonts w:cs="Times New Roman"/>
    </w:rPr>
  </w:style>
  <w:style w:type="character" w:customStyle="1" w:styleId="130">
    <w:name w:val="tip13"/>
    <w:qFormat/>
    <w:uiPriority w:val="99"/>
    <w:rPr>
      <w:vanish/>
      <w:color w:val="FF0000"/>
      <w:sz w:val="18"/>
    </w:rPr>
  </w:style>
  <w:style w:type="character" w:customStyle="1" w:styleId="131">
    <w:name w:val="Body Text Indent 2 Char1"/>
    <w:basedOn w:val="49"/>
    <w:semiHidden/>
    <w:qFormat/>
    <w:locked/>
    <w:uiPriority w:val="99"/>
    <w:rPr>
      <w:rFonts w:cs="Times New Roman"/>
    </w:rPr>
  </w:style>
  <w:style w:type="character" w:customStyle="1" w:styleId="132">
    <w:name w:val="正文文本缩进 2 Char"/>
    <w:basedOn w:val="49"/>
    <w:link w:val="27"/>
    <w:qFormat/>
    <w:locked/>
    <w:uiPriority w:val="99"/>
    <w:rPr>
      <w:rFonts w:cs="Times New Roman"/>
    </w:rPr>
  </w:style>
  <w:style w:type="character" w:customStyle="1" w:styleId="133">
    <w:name w:val="Body Text Indent 3 Char1"/>
    <w:basedOn w:val="49"/>
    <w:semiHidden/>
    <w:qFormat/>
    <w:locked/>
    <w:uiPriority w:val="99"/>
    <w:rPr>
      <w:rFonts w:cs="Times New Roman"/>
      <w:sz w:val="16"/>
      <w:szCs w:val="16"/>
    </w:rPr>
  </w:style>
  <w:style w:type="character" w:customStyle="1" w:styleId="134">
    <w:name w:val="正文文本缩进 3 Char"/>
    <w:basedOn w:val="49"/>
    <w:link w:val="36"/>
    <w:qFormat/>
    <w:locked/>
    <w:uiPriority w:val="0"/>
    <w:rPr>
      <w:rFonts w:cs="Times New Roman"/>
      <w:sz w:val="16"/>
      <w:szCs w:val="16"/>
    </w:rPr>
  </w:style>
  <w:style w:type="character" w:customStyle="1" w:styleId="135">
    <w:name w:val="Document Map Char3"/>
    <w:basedOn w:val="49"/>
    <w:semiHidden/>
    <w:qFormat/>
    <w:locked/>
    <w:uiPriority w:val="99"/>
    <w:rPr>
      <w:rFonts w:ascii="Times New Roman" w:hAnsi="Times New Roman" w:cs="Times New Roman"/>
      <w:sz w:val="2"/>
    </w:rPr>
  </w:style>
  <w:style w:type="character" w:customStyle="1" w:styleId="136">
    <w:name w:val="文档结构图 Char"/>
    <w:basedOn w:val="49"/>
    <w:link w:val="15"/>
    <w:qFormat/>
    <w:locked/>
    <w:uiPriority w:val="99"/>
    <w:rPr>
      <w:rFonts w:ascii="宋体" w:eastAsia="宋体" w:cs="Times New Roman"/>
      <w:sz w:val="18"/>
      <w:szCs w:val="18"/>
    </w:rPr>
  </w:style>
  <w:style w:type="paragraph" w:customStyle="1" w:styleId="137">
    <w:name w:val="_Style 1"/>
    <w:basedOn w:val="1"/>
    <w:qFormat/>
    <w:uiPriority w:val="99"/>
    <w:pPr>
      <w:ind w:firstLine="420" w:firstLineChars="200"/>
    </w:pPr>
    <w:rPr>
      <w:rFonts w:ascii="Times New Roman" w:hAnsi="Times New Roman"/>
      <w:szCs w:val="24"/>
    </w:rPr>
  </w:style>
  <w:style w:type="character" w:customStyle="1" w:styleId="138">
    <w:name w:val="Body Text Char1"/>
    <w:basedOn w:val="49"/>
    <w:semiHidden/>
    <w:qFormat/>
    <w:locked/>
    <w:uiPriority w:val="99"/>
    <w:rPr>
      <w:rFonts w:cs="Times New Roman"/>
    </w:rPr>
  </w:style>
  <w:style w:type="character" w:customStyle="1" w:styleId="139">
    <w:name w:val="正文文本 Char"/>
    <w:basedOn w:val="49"/>
    <w:link w:val="18"/>
    <w:qFormat/>
    <w:locked/>
    <w:uiPriority w:val="99"/>
    <w:rPr>
      <w:rFonts w:cs="Times New Roman"/>
    </w:rPr>
  </w:style>
  <w:style w:type="paragraph" w:customStyle="1" w:styleId="140">
    <w:name w:val="_Style 21"/>
    <w:basedOn w:val="1"/>
    <w:qFormat/>
    <w:uiPriority w:val="99"/>
    <w:rPr>
      <w:rFonts w:ascii="Times New Roman" w:hAnsi="Times New Roman"/>
      <w:szCs w:val="20"/>
    </w:rPr>
  </w:style>
  <w:style w:type="paragraph" w:customStyle="1" w:styleId="141">
    <w:name w:val="p0"/>
    <w:basedOn w:val="1"/>
    <w:qFormat/>
    <w:uiPriority w:val="99"/>
    <w:pPr>
      <w:widowControl/>
    </w:pPr>
    <w:rPr>
      <w:rFonts w:ascii="Times New Roman" w:hAnsi="Times New Roman"/>
      <w:kern w:val="0"/>
      <w:szCs w:val="21"/>
    </w:rPr>
  </w:style>
  <w:style w:type="paragraph" w:customStyle="1" w:styleId="142">
    <w:name w:val="xl37"/>
    <w:basedOn w:val="1"/>
    <w:qFormat/>
    <w:uiPriority w:val="0"/>
    <w:pPr>
      <w:widowControl/>
      <w:pBdr>
        <w:left w:val="single" w:color="auto" w:sz="8" w:space="0"/>
        <w:right w:val="single" w:color="auto" w:sz="4" w:space="0"/>
      </w:pBdr>
      <w:spacing w:before="100" w:beforeAutospacing="1" w:after="100" w:afterAutospacing="1"/>
      <w:jc w:val="center"/>
      <w:textAlignment w:val="center"/>
    </w:pPr>
    <w:rPr>
      <w:rFonts w:ascii="宋体" w:hAnsi="宋体"/>
      <w:kern w:val="0"/>
      <w:sz w:val="18"/>
      <w:szCs w:val="18"/>
    </w:rPr>
  </w:style>
  <w:style w:type="paragraph" w:customStyle="1" w:styleId="143">
    <w:name w:val="xl25"/>
    <w:basedOn w:val="1"/>
    <w:qFormat/>
    <w:uiPriority w:val="0"/>
    <w:pPr>
      <w:widowControl/>
      <w:spacing w:before="100" w:beforeAutospacing="1" w:after="100" w:afterAutospacing="1"/>
      <w:textAlignment w:val="center"/>
    </w:pPr>
    <w:rPr>
      <w:rFonts w:ascii="宋体" w:hAnsi="宋体"/>
      <w:kern w:val="0"/>
      <w:sz w:val="18"/>
      <w:szCs w:val="18"/>
    </w:rPr>
  </w:style>
  <w:style w:type="paragraph" w:customStyle="1" w:styleId="144">
    <w:name w:val="样式 样式 样式 样式 内容 + 首行缩进:  2 字符18 + 首行缩进:  5.71 厘米 + 首行缩进:  8.04 厘米..."/>
    <w:basedOn w:val="1"/>
    <w:qFormat/>
    <w:uiPriority w:val="99"/>
    <w:pPr>
      <w:widowControl/>
      <w:spacing w:line="360" w:lineRule="auto"/>
      <w:ind w:firstLine="425" w:firstLineChars="177"/>
      <w:jc w:val="left"/>
    </w:pPr>
    <w:rPr>
      <w:rFonts w:ascii="Trebuchet MS" w:hAnsi="Trebuchet MS"/>
      <w:color w:val="404040"/>
      <w:kern w:val="0"/>
      <w:sz w:val="24"/>
      <w:szCs w:val="20"/>
      <w:lang w:eastAsia="en-US"/>
    </w:rPr>
  </w:style>
  <w:style w:type="paragraph" w:customStyle="1" w:styleId="145">
    <w:name w:val="无间隔1"/>
    <w:qFormat/>
    <w:uiPriority w:val="0"/>
    <w:pPr>
      <w:widowControl w:val="0"/>
      <w:spacing w:line="360" w:lineRule="auto"/>
      <w:jc w:val="center"/>
    </w:pPr>
    <w:rPr>
      <w:rFonts w:ascii="Times New Roman" w:hAnsi="Times New Roman" w:eastAsia="宋体" w:cs="Times New Roman"/>
      <w:b/>
      <w:color w:val="000000"/>
      <w:kern w:val="2"/>
      <w:sz w:val="21"/>
      <w:szCs w:val="21"/>
      <w:lang w:val="zh-CN" w:eastAsia="zh-CN" w:bidi="ar-SA"/>
    </w:rPr>
  </w:style>
  <w:style w:type="paragraph" w:customStyle="1" w:styleId="146">
    <w:name w:val="列出段落11"/>
    <w:basedOn w:val="1"/>
    <w:qFormat/>
    <w:uiPriority w:val="99"/>
    <w:pPr>
      <w:ind w:firstLine="420" w:firstLineChars="200"/>
    </w:pPr>
    <w:rPr>
      <w:rFonts w:ascii="Times New Roman" w:hAnsi="Times New Roman"/>
      <w:szCs w:val="24"/>
    </w:rPr>
  </w:style>
  <w:style w:type="paragraph" w:customStyle="1" w:styleId="147">
    <w:name w:val="_Style 2"/>
    <w:basedOn w:val="1"/>
    <w:qFormat/>
    <w:uiPriority w:val="99"/>
    <w:pPr>
      <w:ind w:firstLine="420" w:firstLineChars="200"/>
    </w:pPr>
  </w:style>
  <w:style w:type="paragraph" w:customStyle="1" w:styleId="148">
    <w:name w:val="txt14"/>
    <w:basedOn w:val="1"/>
    <w:qFormat/>
    <w:uiPriority w:val="99"/>
    <w:pPr>
      <w:widowControl/>
      <w:spacing w:before="100" w:beforeAutospacing="1" w:after="100" w:afterAutospacing="1"/>
      <w:jc w:val="left"/>
    </w:pPr>
    <w:rPr>
      <w:rFonts w:ascii="宋体" w:hAnsi="宋体"/>
      <w:color w:val="000000"/>
      <w:kern w:val="0"/>
      <w:szCs w:val="21"/>
    </w:rPr>
  </w:style>
  <w:style w:type="paragraph" w:customStyle="1" w:styleId="149">
    <w:name w:val="_Style 11"/>
    <w:basedOn w:val="1"/>
    <w:qFormat/>
    <w:uiPriority w:val="0"/>
    <w:rPr>
      <w:rFonts w:ascii="Times New Roman" w:hAnsi="Times New Roman"/>
      <w:szCs w:val="24"/>
    </w:rPr>
  </w:style>
  <w:style w:type="paragraph" w:customStyle="1" w:styleId="150">
    <w:name w:val="Char"/>
    <w:basedOn w:val="1"/>
    <w:qFormat/>
    <w:uiPriority w:val="0"/>
    <w:rPr>
      <w:rFonts w:ascii="Times New Roman" w:hAnsi="Times New Roman"/>
      <w:szCs w:val="21"/>
    </w:rPr>
  </w:style>
  <w:style w:type="paragraph" w:customStyle="1" w:styleId="151">
    <w:name w:val="列出段落1"/>
    <w:basedOn w:val="1"/>
    <w:qFormat/>
    <w:uiPriority w:val="0"/>
    <w:pPr>
      <w:ind w:firstLine="420" w:firstLineChars="200"/>
    </w:pPr>
    <w:rPr>
      <w:rFonts w:ascii="Times New Roman" w:hAnsi="Times New Roman"/>
      <w:szCs w:val="24"/>
    </w:rPr>
  </w:style>
  <w:style w:type="paragraph" w:customStyle="1" w:styleId="152">
    <w:name w:val="列出段落2"/>
    <w:basedOn w:val="1"/>
    <w:qFormat/>
    <w:uiPriority w:val="99"/>
    <w:pPr>
      <w:ind w:firstLine="420" w:firstLineChars="200"/>
    </w:pPr>
    <w:rPr>
      <w:rFonts w:ascii="Times New Roman" w:hAnsi="Times New Roman"/>
      <w:szCs w:val="24"/>
    </w:rPr>
  </w:style>
  <w:style w:type="paragraph" w:customStyle="1" w:styleId="153">
    <w:name w:val="TOC 标题1"/>
    <w:basedOn w:val="2"/>
    <w:next w:val="1"/>
    <w:qFormat/>
    <w:uiPriority w:val="0"/>
    <w:pPr>
      <w:keepLines/>
      <w:spacing w:before="480" w:after="0" w:line="276" w:lineRule="auto"/>
      <w:jc w:val="left"/>
      <w:outlineLvl w:val="9"/>
    </w:pPr>
    <w:rPr>
      <w:rFonts w:ascii="Cambria" w:hAnsi="Cambria" w:cs="Times New Roman"/>
      <w:color w:val="365F91"/>
      <w:kern w:val="0"/>
      <w:sz w:val="28"/>
      <w:szCs w:val="28"/>
    </w:rPr>
  </w:style>
  <w:style w:type="paragraph" w:customStyle="1" w:styleId="154">
    <w:name w:val="正文文本缩进 31"/>
    <w:basedOn w:val="1"/>
    <w:qFormat/>
    <w:uiPriority w:val="0"/>
    <w:pPr>
      <w:spacing w:line="440" w:lineRule="exact"/>
      <w:ind w:firstLine="412" w:firstLineChars="200"/>
    </w:pPr>
    <w:rPr>
      <w:rFonts w:ascii="宋体" w:hAnsi="宋体"/>
      <w:kern w:val="0"/>
      <w:sz w:val="20"/>
      <w:szCs w:val="20"/>
    </w:rPr>
  </w:style>
  <w:style w:type="character" w:customStyle="1" w:styleId="155">
    <w:name w:val="批注文字 Char"/>
    <w:basedOn w:val="49"/>
    <w:link w:val="16"/>
    <w:qFormat/>
    <w:locked/>
    <w:uiPriority w:val="0"/>
    <w:rPr>
      <w:rFonts w:cs="Times New Roman"/>
    </w:rPr>
  </w:style>
  <w:style w:type="character" w:customStyle="1" w:styleId="156">
    <w:name w:val="批注主题 Char"/>
    <w:basedOn w:val="155"/>
    <w:link w:val="44"/>
    <w:qFormat/>
    <w:locked/>
    <w:uiPriority w:val="0"/>
    <w:rPr>
      <w:rFonts w:cs="Times New Roman"/>
      <w:b/>
      <w:bCs/>
    </w:rPr>
  </w:style>
  <w:style w:type="character" w:customStyle="1" w:styleId="157">
    <w:name w:val="标题 4 Char"/>
    <w:basedOn w:val="49"/>
    <w:link w:val="5"/>
    <w:qFormat/>
    <w:uiPriority w:val="0"/>
    <w:rPr>
      <w:rFonts w:ascii="Arial" w:hAnsi="Arial" w:eastAsia="黑体"/>
      <w:b/>
      <w:kern w:val="0"/>
      <w:sz w:val="28"/>
      <w:szCs w:val="20"/>
    </w:rPr>
  </w:style>
  <w:style w:type="character" w:customStyle="1" w:styleId="158">
    <w:name w:val="标题 5 Char"/>
    <w:basedOn w:val="49"/>
    <w:link w:val="6"/>
    <w:qFormat/>
    <w:uiPriority w:val="0"/>
    <w:rPr>
      <w:rFonts w:ascii="Times New Roman" w:hAnsi="Times New Roman" w:eastAsia="Arial Unicode MS"/>
      <w:b/>
      <w:kern w:val="0"/>
      <w:sz w:val="28"/>
      <w:szCs w:val="20"/>
    </w:rPr>
  </w:style>
  <w:style w:type="character" w:customStyle="1" w:styleId="159">
    <w:name w:val="标题 6 Char"/>
    <w:basedOn w:val="49"/>
    <w:link w:val="7"/>
    <w:qFormat/>
    <w:uiPriority w:val="0"/>
    <w:rPr>
      <w:rFonts w:ascii="Arial" w:hAnsi="Arial" w:eastAsia="黑体"/>
      <w:b/>
      <w:kern w:val="0"/>
      <w:sz w:val="24"/>
      <w:szCs w:val="20"/>
    </w:rPr>
  </w:style>
  <w:style w:type="character" w:customStyle="1" w:styleId="160">
    <w:name w:val="标题 7 Char"/>
    <w:basedOn w:val="49"/>
    <w:link w:val="8"/>
    <w:qFormat/>
    <w:uiPriority w:val="0"/>
    <w:rPr>
      <w:rFonts w:ascii="Times New Roman" w:hAnsi="Times New Roman"/>
      <w:b/>
      <w:kern w:val="0"/>
      <w:sz w:val="24"/>
      <w:szCs w:val="20"/>
    </w:rPr>
  </w:style>
  <w:style w:type="character" w:customStyle="1" w:styleId="161">
    <w:name w:val="标题 8 Char"/>
    <w:basedOn w:val="49"/>
    <w:link w:val="9"/>
    <w:qFormat/>
    <w:uiPriority w:val="0"/>
    <w:rPr>
      <w:rFonts w:ascii="Arial" w:hAnsi="Arial" w:eastAsia="黑体"/>
      <w:kern w:val="0"/>
      <w:sz w:val="24"/>
      <w:szCs w:val="20"/>
    </w:rPr>
  </w:style>
  <w:style w:type="character" w:customStyle="1" w:styleId="162">
    <w:name w:val="标题 9 Char"/>
    <w:basedOn w:val="49"/>
    <w:link w:val="10"/>
    <w:qFormat/>
    <w:uiPriority w:val="0"/>
    <w:rPr>
      <w:rFonts w:ascii="Arial" w:hAnsi="Arial" w:eastAsia="黑体"/>
      <w:kern w:val="0"/>
      <w:szCs w:val="20"/>
    </w:rPr>
  </w:style>
  <w:style w:type="character" w:customStyle="1" w:styleId="163">
    <w:name w:val="正文文本 2 Char"/>
    <w:basedOn w:val="49"/>
    <w:link w:val="39"/>
    <w:qFormat/>
    <w:uiPriority w:val="0"/>
    <w:rPr>
      <w:rFonts w:ascii="宋体" w:hAnsi="宋体"/>
      <w:sz w:val="18"/>
      <w:szCs w:val="20"/>
    </w:rPr>
  </w:style>
  <w:style w:type="character" w:customStyle="1" w:styleId="164">
    <w:name w:val="正文文本 3 Char"/>
    <w:basedOn w:val="49"/>
    <w:link w:val="17"/>
    <w:qFormat/>
    <w:uiPriority w:val="0"/>
    <w:rPr>
      <w:rFonts w:ascii="Times New Roman" w:hAnsi="Times New Roman"/>
      <w:color w:val="000000"/>
      <w:szCs w:val="20"/>
    </w:rPr>
  </w:style>
  <w:style w:type="paragraph" w:customStyle="1" w:styleId="165">
    <w:name w:val="Char2"/>
    <w:basedOn w:val="1"/>
    <w:qFormat/>
    <w:uiPriority w:val="0"/>
    <w:pPr>
      <w:tabs>
        <w:tab w:val="left" w:pos="360"/>
      </w:tabs>
      <w:snapToGrid w:val="0"/>
      <w:spacing w:line="360" w:lineRule="auto"/>
    </w:pPr>
    <w:rPr>
      <w:rFonts w:ascii="Times New Roman" w:hAnsi="Times New Roman" w:eastAsia="仿宋_GB2312" w:cs="宋体"/>
      <w:sz w:val="24"/>
      <w:szCs w:val="24"/>
    </w:rPr>
  </w:style>
  <w:style w:type="character" w:customStyle="1" w:styleId="166">
    <w:name w:val="纯文本 Char"/>
    <w:link w:val="24"/>
    <w:qFormat/>
    <w:uiPriority w:val="0"/>
    <w:rPr>
      <w:rFonts w:ascii="宋体" w:hAnsi="Courier New"/>
    </w:rPr>
  </w:style>
  <w:style w:type="character" w:customStyle="1" w:styleId="167">
    <w:name w:val="纯文本 Char1"/>
    <w:basedOn w:val="49"/>
    <w:semiHidden/>
    <w:qFormat/>
    <w:uiPriority w:val="99"/>
    <w:rPr>
      <w:rFonts w:ascii="宋体" w:hAnsi="Courier New" w:cs="Courier New"/>
      <w:szCs w:val="21"/>
    </w:rPr>
  </w:style>
  <w:style w:type="paragraph" w:customStyle="1" w:styleId="168">
    <w:name w:val="样式 标题 2 + Times New Roman 四号 非加粗 段前: 5 磅 段后: 0 磅 行距: 固定值 20..."/>
    <w:basedOn w:val="3"/>
    <w:qFormat/>
    <w:uiPriority w:val="0"/>
    <w:pPr>
      <w:keepLines/>
      <w:widowControl w:val="0"/>
      <w:spacing w:before="100" w:after="0" w:line="400" w:lineRule="exact"/>
    </w:pPr>
    <w:rPr>
      <w:rFonts w:ascii="Times New Roman" w:hAnsi="Times New Roman" w:eastAsia="黑体" w:cs="宋体"/>
      <w:b w:val="0"/>
      <w:bCs w:val="0"/>
      <w:color w:val="auto"/>
      <w:kern w:val="2"/>
      <w:sz w:val="28"/>
      <w:szCs w:val="20"/>
    </w:rPr>
  </w:style>
  <w:style w:type="paragraph" w:customStyle="1" w:styleId="169">
    <w:name w:val="?y??"/>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70">
    <w:name w:val="WPS Plain"/>
    <w:qFormat/>
    <w:uiPriority w:val="0"/>
    <w:rPr>
      <w:rFonts w:ascii="Times New Roman" w:hAnsi="Times New Roman" w:eastAsia="宋体" w:cs="Times New Roman"/>
      <w:lang w:val="en-US" w:eastAsia="zh-CN" w:bidi="ar-SA"/>
    </w:rPr>
  </w:style>
  <w:style w:type="character" w:customStyle="1" w:styleId="171">
    <w:name w:val="HTML 预设格式 Char"/>
    <w:basedOn w:val="49"/>
    <w:link w:val="41"/>
    <w:qFormat/>
    <w:uiPriority w:val="0"/>
    <w:rPr>
      <w:rFonts w:ascii="Arial" w:hAnsi="Arial" w:cs="Arial"/>
      <w:kern w:val="0"/>
      <w:sz w:val="24"/>
      <w:szCs w:val="24"/>
    </w:rPr>
  </w:style>
  <w:style w:type="paragraph" w:customStyle="1" w:styleId="172">
    <w:name w:val="样式 标题 3 + (中文) 黑体 小四 非加粗 段前: 7.8 磅 段后: 0 磅 行距: 固定值 20 磅"/>
    <w:basedOn w:val="4"/>
    <w:qFormat/>
    <w:uiPriority w:val="0"/>
    <w:pPr>
      <w:keepLines/>
      <w:widowControl w:val="0"/>
      <w:spacing w:before="0" w:after="0" w:line="400" w:lineRule="exact"/>
    </w:pPr>
    <w:rPr>
      <w:rFonts w:ascii="Times New Roman" w:hAnsi="Times New Roman" w:eastAsia="黑体" w:cs="Times New Roman"/>
      <w:b w:val="0"/>
      <w:bCs w:val="0"/>
      <w:color w:val="auto"/>
      <w:kern w:val="2"/>
      <w:sz w:val="24"/>
      <w:szCs w:val="20"/>
    </w:rPr>
  </w:style>
  <w:style w:type="character" w:customStyle="1" w:styleId="173">
    <w:name w:val="日期 Char"/>
    <w:link w:val="26"/>
    <w:qFormat/>
    <w:uiPriority w:val="0"/>
    <w:rPr>
      <w:rFonts w:ascii="宋体"/>
      <w:sz w:val="28"/>
    </w:rPr>
  </w:style>
  <w:style w:type="character" w:customStyle="1" w:styleId="174">
    <w:name w:val="日期 Char1"/>
    <w:basedOn w:val="49"/>
    <w:qFormat/>
    <w:uiPriority w:val="0"/>
  </w:style>
  <w:style w:type="character" w:customStyle="1" w:styleId="175">
    <w:name w:val="标题4 Char Char"/>
    <w:link w:val="176"/>
    <w:qFormat/>
    <w:uiPriority w:val="0"/>
    <w:rPr>
      <w:rFonts w:ascii="Arial" w:hAnsi="Arial"/>
      <w:b/>
      <w:bCs/>
      <w:sz w:val="24"/>
      <w:szCs w:val="32"/>
    </w:rPr>
  </w:style>
  <w:style w:type="paragraph" w:customStyle="1" w:styleId="176">
    <w:name w:val="标题4"/>
    <w:basedOn w:val="3"/>
    <w:next w:val="21"/>
    <w:link w:val="175"/>
    <w:qFormat/>
    <w:uiPriority w:val="0"/>
    <w:pPr>
      <w:keepLines/>
      <w:widowControl w:val="0"/>
      <w:spacing w:line="413" w:lineRule="auto"/>
    </w:pPr>
    <w:rPr>
      <w:rFonts w:ascii="Arial" w:hAnsi="Arial" w:cs="Times New Roman"/>
      <w:color w:val="auto"/>
      <w:kern w:val="2"/>
      <w:sz w:val="24"/>
    </w:rPr>
  </w:style>
  <w:style w:type="character" w:customStyle="1" w:styleId="177">
    <w:name w:val="明显引用 Char"/>
    <w:link w:val="178"/>
    <w:qFormat/>
    <w:uiPriority w:val="0"/>
    <w:rPr>
      <w:b/>
      <w:bCs/>
      <w:i/>
      <w:iCs/>
      <w:color w:val="4F81BD"/>
    </w:rPr>
  </w:style>
  <w:style w:type="paragraph" w:styleId="178">
    <w:name w:val="Intense Quote"/>
    <w:basedOn w:val="1"/>
    <w:next w:val="1"/>
    <w:link w:val="177"/>
    <w:qFormat/>
    <w:uiPriority w:val="0"/>
    <w:pPr>
      <w:pBdr>
        <w:bottom w:val="single" w:color="4F81BD" w:sz="4" w:space="4"/>
      </w:pBdr>
      <w:spacing w:before="200" w:after="280"/>
      <w:ind w:left="936" w:right="936"/>
    </w:pPr>
    <w:rPr>
      <w:b/>
      <w:bCs/>
      <w:i/>
      <w:iCs/>
      <w:color w:val="4F81BD"/>
    </w:rPr>
  </w:style>
  <w:style w:type="character" w:customStyle="1" w:styleId="179">
    <w:name w:val="明显引用 Char1"/>
    <w:basedOn w:val="49"/>
    <w:qFormat/>
    <w:uiPriority w:val="30"/>
    <w:rPr>
      <w:b/>
      <w:bCs/>
      <w:i/>
      <w:iCs/>
      <w:color w:val="4F81BD" w:themeColor="accent1"/>
      <w14:textFill>
        <w14:solidFill>
          <w14:schemeClr w14:val="accent1"/>
        </w14:solidFill>
      </w14:textFill>
    </w:rPr>
  </w:style>
  <w:style w:type="character" w:customStyle="1" w:styleId="180">
    <w:name w:val="书籍标题1"/>
    <w:qFormat/>
    <w:uiPriority w:val="0"/>
    <w:rPr>
      <w:b/>
      <w:bCs/>
      <w:smallCaps/>
      <w:spacing w:val="5"/>
    </w:rPr>
  </w:style>
  <w:style w:type="character" w:customStyle="1" w:styleId="181">
    <w:name w:val="标题 Char"/>
    <w:link w:val="43"/>
    <w:qFormat/>
    <w:uiPriority w:val="0"/>
    <w:rPr>
      <w:rFonts w:ascii="Cambria" w:hAnsi="Cambria"/>
      <w:b/>
      <w:bCs/>
      <w:sz w:val="32"/>
      <w:szCs w:val="32"/>
    </w:rPr>
  </w:style>
  <w:style w:type="character" w:customStyle="1" w:styleId="182">
    <w:name w:val="标题 Char1"/>
    <w:basedOn w:val="49"/>
    <w:qFormat/>
    <w:uiPriority w:val="10"/>
    <w:rPr>
      <w:rFonts w:asciiTheme="majorHAnsi" w:hAnsiTheme="majorHAnsi" w:cstheme="majorBidi"/>
      <w:b/>
      <w:bCs/>
      <w:sz w:val="32"/>
      <w:szCs w:val="32"/>
    </w:rPr>
  </w:style>
  <w:style w:type="character" w:customStyle="1" w:styleId="183">
    <w:name w:val="副标题 Char"/>
    <w:link w:val="33"/>
    <w:qFormat/>
    <w:uiPriority w:val="0"/>
    <w:rPr>
      <w:rFonts w:ascii="Cambria" w:hAnsi="Cambria"/>
      <w:b/>
      <w:bCs/>
      <w:kern w:val="28"/>
      <w:sz w:val="32"/>
      <w:szCs w:val="32"/>
    </w:rPr>
  </w:style>
  <w:style w:type="character" w:customStyle="1" w:styleId="184">
    <w:name w:val="副标题 Char1"/>
    <w:basedOn w:val="49"/>
    <w:qFormat/>
    <w:uiPriority w:val="11"/>
    <w:rPr>
      <w:rFonts w:asciiTheme="majorHAnsi" w:hAnsiTheme="majorHAnsi" w:cstheme="majorBidi"/>
      <w:b/>
      <w:bCs/>
      <w:kern w:val="28"/>
      <w:sz w:val="32"/>
      <w:szCs w:val="32"/>
    </w:rPr>
  </w:style>
  <w:style w:type="character" w:customStyle="1" w:styleId="185">
    <w:name w:val="明显强调1"/>
    <w:qFormat/>
    <w:uiPriority w:val="0"/>
    <w:rPr>
      <w:b/>
      <w:bCs/>
      <w:i/>
      <w:iCs/>
      <w:color w:val="4F81BD"/>
    </w:rPr>
  </w:style>
  <w:style w:type="character" w:customStyle="1" w:styleId="186">
    <w:name w:val="标题5 Char Char"/>
    <w:link w:val="187"/>
    <w:qFormat/>
    <w:uiPriority w:val="0"/>
    <w:rPr>
      <w:rFonts w:ascii="Arial" w:hAnsi="Arial"/>
      <w:b/>
      <w:bCs/>
      <w:sz w:val="24"/>
      <w:szCs w:val="32"/>
    </w:rPr>
  </w:style>
  <w:style w:type="paragraph" w:customStyle="1" w:styleId="187">
    <w:name w:val="标题5"/>
    <w:basedOn w:val="4"/>
    <w:link w:val="186"/>
    <w:qFormat/>
    <w:uiPriority w:val="0"/>
    <w:pPr>
      <w:keepLines/>
      <w:widowControl w:val="0"/>
      <w:spacing w:line="413" w:lineRule="auto"/>
    </w:pPr>
    <w:rPr>
      <w:rFonts w:ascii="Arial" w:hAnsi="Arial" w:cs="Times New Roman"/>
      <w:color w:val="auto"/>
      <w:kern w:val="2"/>
      <w:sz w:val="24"/>
    </w:rPr>
  </w:style>
  <w:style w:type="character" w:customStyle="1" w:styleId="188">
    <w:name w:val="textcontents"/>
    <w:qFormat/>
    <w:uiPriority w:val="0"/>
    <w:rPr>
      <w:rFonts w:cs="Times New Roman"/>
    </w:rPr>
  </w:style>
  <w:style w:type="character" w:customStyle="1" w:styleId="189">
    <w:name w:val="不明显强调1"/>
    <w:qFormat/>
    <w:uiPriority w:val="0"/>
    <w:rPr>
      <w:i/>
      <w:iCs/>
      <w:color w:val="808080"/>
    </w:rPr>
  </w:style>
  <w:style w:type="character" w:customStyle="1" w:styleId="190">
    <w:name w:val="不明显参考1"/>
    <w:qFormat/>
    <w:uiPriority w:val="0"/>
    <w:rPr>
      <w:smallCaps/>
      <w:color w:val="C0504D"/>
      <w:u w:val="single"/>
    </w:rPr>
  </w:style>
  <w:style w:type="character" w:customStyle="1" w:styleId="191">
    <w:name w:val="正文文本 Char1"/>
    <w:qFormat/>
    <w:uiPriority w:val="0"/>
    <w:rPr>
      <w:kern w:val="2"/>
      <w:sz w:val="21"/>
      <w:szCs w:val="22"/>
    </w:rPr>
  </w:style>
  <w:style w:type="character" w:customStyle="1" w:styleId="192">
    <w:name w:val="批注主题 Char1"/>
    <w:qFormat/>
    <w:uiPriority w:val="0"/>
    <w:rPr>
      <w:b/>
      <w:bCs/>
      <w:kern w:val="2"/>
      <w:sz w:val="21"/>
      <w:szCs w:val="22"/>
    </w:rPr>
  </w:style>
  <w:style w:type="character" w:customStyle="1" w:styleId="193">
    <w:name w:val="批注文字 Char Char"/>
    <w:qFormat/>
    <w:uiPriority w:val="0"/>
    <w:rPr>
      <w:rFonts w:ascii="宋体" w:hAnsi="Times New Roman" w:eastAsia="宋体" w:cs="Times New Roman"/>
      <w:sz w:val="28"/>
      <w:szCs w:val="20"/>
    </w:rPr>
  </w:style>
  <w:style w:type="character" w:customStyle="1" w:styleId="194">
    <w:name w:val="明显参考1"/>
    <w:qFormat/>
    <w:uiPriority w:val="0"/>
    <w:rPr>
      <w:b/>
      <w:bCs/>
      <w:smallCaps/>
      <w:color w:val="C0504D"/>
      <w:spacing w:val="5"/>
      <w:u w:val="single"/>
    </w:rPr>
  </w:style>
  <w:style w:type="character" w:customStyle="1" w:styleId="195">
    <w:name w:val="引用 Char"/>
    <w:link w:val="196"/>
    <w:qFormat/>
    <w:uiPriority w:val="0"/>
    <w:rPr>
      <w:i/>
      <w:iCs/>
      <w:color w:val="000000"/>
    </w:rPr>
  </w:style>
  <w:style w:type="paragraph" w:styleId="196">
    <w:name w:val="Quote"/>
    <w:basedOn w:val="1"/>
    <w:next w:val="1"/>
    <w:link w:val="195"/>
    <w:qFormat/>
    <w:uiPriority w:val="0"/>
    <w:rPr>
      <w:i/>
      <w:iCs/>
      <w:color w:val="000000"/>
    </w:rPr>
  </w:style>
  <w:style w:type="character" w:customStyle="1" w:styleId="197">
    <w:name w:val="引用 Char1"/>
    <w:basedOn w:val="49"/>
    <w:qFormat/>
    <w:uiPriority w:val="29"/>
    <w:rPr>
      <w:i/>
      <w:iCs/>
      <w:color w:val="000000" w:themeColor="text1"/>
      <w14:textFill>
        <w14:solidFill>
          <w14:schemeClr w14:val="tx1"/>
        </w14:solidFill>
      </w14:textFill>
    </w:rPr>
  </w:style>
  <w:style w:type="character" w:customStyle="1" w:styleId="198">
    <w:name w:val="文档结构图 Char1"/>
    <w:qFormat/>
    <w:uiPriority w:val="0"/>
    <w:rPr>
      <w:rFonts w:ascii="宋体"/>
      <w:kern w:val="2"/>
      <w:sz w:val="18"/>
      <w:szCs w:val="18"/>
    </w:rPr>
  </w:style>
  <w:style w:type="paragraph" w:customStyle="1" w:styleId="199">
    <w:name w:val="修订1"/>
    <w:qFormat/>
    <w:uiPriority w:val="99"/>
    <w:rPr>
      <w:rFonts w:ascii="Times New Roman" w:hAnsi="Times New Roman" w:eastAsia="宋体" w:cs="Times New Roman"/>
      <w:kern w:val="2"/>
      <w:sz w:val="21"/>
      <w:szCs w:val="24"/>
      <w:lang w:val="en-US" w:eastAsia="zh-CN" w:bidi="ar-SA"/>
    </w:rPr>
  </w:style>
  <w:style w:type="paragraph" w:customStyle="1" w:styleId="200">
    <w:name w:val="flNote"/>
    <w:basedOn w:val="1"/>
    <w:qFormat/>
    <w:uiPriority w:val="0"/>
    <w:pPr>
      <w:adjustRightInd w:val="0"/>
      <w:spacing w:before="320" w:after="160" w:line="360" w:lineRule="atLeast"/>
      <w:jc w:val="center"/>
      <w:textAlignment w:val="baseline"/>
    </w:pPr>
    <w:rPr>
      <w:rFonts w:ascii="Arial" w:hAnsi="Times New Roman" w:eastAsia="黑体"/>
      <w:kern w:val="0"/>
      <w:sz w:val="30"/>
      <w:szCs w:val="20"/>
    </w:rPr>
  </w:style>
  <w:style w:type="paragraph" w:customStyle="1" w:styleId="201">
    <w:name w:val="空半行"/>
    <w:basedOn w:val="1"/>
    <w:qFormat/>
    <w:uiPriority w:val="0"/>
    <w:pPr>
      <w:adjustRightInd w:val="0"/>
      <w:spacing w:line="120" w:lineRule="exact"/>
      <w:textAlignment w:val="baseline"/>
    </w:pPr>
    <w:rPr>
      <w:rFonts w:ascii="Times New Roman" w:hAnsi="Times New Roman" w:eastAsia="仿宋_GB2312"/>
      <w:color w:val="FFFFFF"/>
      <w:kern w:val="0"/>
      <w:sz w:val="30"/>
      <w:szCs w:val="20"/>
    </w:rPr>
  </w:style>
  <w:style w:type="character" w:customStyle="1" w:styleId="202">
    <w:name w:val="Intense Quote Char"/>
    <w:link w:val="203"/>
    <w:qFormat/>
    <w:locked/>
    <w:uiPriority w:val="0"/>
    <w:rPr>
      <w:b/>
      <w:bCs/>
      <w:i/>
      <w:iCs/>
      <w:color w:val="4F81BD"/>
      <w:sz w:val="22"/>
    </w:rPr>
  </w:style>
  <w:style w:type="paragraph" w:customStyle="1" w:styleId="203">
    <w:name w:val="明显引用1"/>
    <w:basedOn w:val="1"/>
    <w:next w:val="1"/>
    <w:link w:val="202"/>
    <w:qFormat/>
    <w:uiPriority w:val="0"/>
    <w:pPr>
      <w:pBdr>
        <w:bottom w:val="single" w:color="4F81BD" w:sz="4" w:space="4"/>
      </w:pBdr>
      <w:spacing w:before="200" w:after="280"/>
      <w:ind w:left="936" w:right="936"/>
    </w:pPr>
    <w:rPr>
      <w:b/>
      <w:bCs/>
      <w:i/>
      <w:iCs/>
      <w:color w:val="4F81BD"/>
      <w:sz w:val="22"/>
    </w:rPr>
  </w:style>
  <w:style w:type="character" w:customStyle="1" w:styleId="204">
    <w:name w:val="书籍标题111"/>
    <w:qFormat/>
    <w:uiPriority w:val="0"/>
    <w:rPr>
      <w:b/>
      <w:bCs/>
      <w:smallCaps/>
      <w:spacing w:val="5"/>
    </w:rPr>
  </w:style>
  <w:style w:type="character" w:customStyle="1" w:styleId="205">
    <w:name w:val="明显强调111"/>
    <w:qFormat/>
    <w:uiPriority w:val="0"/>
    <w:rPr>
      <w:b/>
      <w:bCs/>
      <w:i/>
      <w:iCs/>
      <w:color w:val="4F81BD"/>
    </w:rPr>
  </w:style>
  <w:style w:type="character" w:customStyle="1" w:styleId="206">
    <w:name w:val="不明显强调111"/>
    <w:qFormat/>
    <w:uiPriority w:val="0"/>
    <w:rPr>
      <w:i/>
      <w:iCs/>
      <w:color w:val="808080"/>
    </w:rPr>
  </w:style>
  <w:style w:type="character" w:customStyle="1" w:styleId="207">
    <w:name w:val="不明显参考111"/>
    <w:qFormat/>
    <w:uiPriority w:val="0"/>
    <w:rPr>
      <w:smallCaps/>
      <w:color w:val="auto"/>
      <w:u w:val="single"/>
    </w:rPr>
  </w:style>
  <w:style w:type="character" w:customStyle="1" w:styleId="208">
    <w:name w:val="明显参考111"/>
    <w:qFormat/>
    <w:uiPriority w:val="0"/>
    <w:rPr>
      <w:b/>
      <w:bCs/>
      <w:smallCaps/>
      <w:color w:val="auto"/>
      <w:spacing w:val="5"/>
      <w:u w:val="single"/>
    </w:rPr>
  </w:style>
  <w:style w:type="character" w:customStyle="1" w:styleId="209">
    <w:name w:val="Quote Char"/>
    <w:link w:val="210"/>
    <w:qFormat/>
    <w:locked/>
    <w:uiPriority w:val="0"/>
    <w:rPr>
      <w:i/>
      <w:iCs/>
      <w:color w:val="000000"/>
      <w:sz w:val="22"/>
    </w:rPr>
  </w:style>
  <w:style w:type="paragraph" w:customStyle="1" w:styleId="210">
    <w:name w:val="引用1"/>
    <w:basedOn w:val="1"/>
    <w:next w:val="1"/>
    <w:link w:val="209"/>
    <w:qFormat/>
    <w:uiPriority w:val="0"/>
    <w:rPr>
      <w:i/>
      <w:iCs/>
      <w:color w:val="000000"/>
      <w:sz w:val="22"/>
    </w:rPr>
  </w:style>
  <w:style w:type="character" w:customStyle="1" w:styleId="211">
    <w:name w:val="Subtitle Char1"/>
    <w:qFormat/>
    <w:locked/>
    <w:uiPriority w:val="0"/>
    <w:rPr>
      <w:rFonts w:ascii="Cambria" w:hAnsi="Cambria" w:cs="Cambria"/>
      <w:b/>
      <w:bCs/>
      <w:kern w:val="28"/>
      <w:sz w:val="32"/>
      <w:szCs w:val="32"/>
    </w:rPr>
  </w:style>
  <w:style w:type="character" w:customStyle="1" w:styleId="212">
    <w:name w:val="Title Char1"/>
    <w:qFormat/>
    <w:locked/>
    <w:uiPriority w:val="0"/>
    <w:rPr>
      <w:rFonts w:ascii="Cambria" w:hAnsi="Cambria" w:cs="Cambria"/>
      <w:b/>
      <w:bCs/>
      <w:sz w:val="32"/>
      <w:szCs w:val="32"/>
    </w:rPr>
  </w:style>
  <w:style w:type="character" w:customStyle="1" w:styleId="213">
    <w:name w:val="Intense Quote Char1"/>
    <w:qFormat/>
    <w:locked/>
    <w:uiPriority w:val="0"/>
    <w:rPr>
      <w:b/>
      <w:bCs/>
      <w:i/>
      <w:iCs/>
      <w:color w:val="4F81BD"/>
      <w:sz w:val="21"/>
      <w:szCs w:val="21"/>
    </w:rPr>
  </w:style>
  <w:style w:type="character" w:customStyle="1" w:styleId="214">
    <w:name w:val="Quote Char1"/>
    <w:qFormat/>
    <w:locked/>
    <w:uiPriority w:val="0"/>
    <w:rPr>
      <w:i/>
      <w:iCs/>
      <w:color w:val="000000"/>
      <w:sz w:val="21"/>
      <w:szCs w:val="21"/>
    </w:rPr>
  </w:style>
  <w:style w:type="paragraph" w:customStyle="1" w:styleId="215">
    <w:name w:val="修订111"/>
    <w:qFormat/>
    <w:uiPriority w:val="99"/>
    <w:rPr>
      <w:rFonts w:ascii="Times New Roman" w:hAnsi="Times New Roman" w:eastAsia="宋体" w:cs="Times New Roman"/>
      <w:kern w:val="2"/>
      <w:sz w:val="21"/>
      <w:szCs w:val="21"/>
      <w:lang w:val="en-US" w:eastAsia="zh-CN" w:bidi="ar-SA"/>
    </w:rPr>
  </w:style>
  <w:style w:type="paragraph" w:customStyle="1" w:styleId="216">
    <w:name w:val="TOC 标题111"/>
    <w:basedOn w:val="2"/>
    <w:next w:val="1"/>
    <w:qFormat/>
    <w:uiPriority w:val="0"/>
    <w:pPr>
      <w:keepLines/>
      <w:widowControl w:val="0"/>
      <w:tabs>
        <w:tab w:val="left" w:pos="432"/>
      </w:tabs>
      <w:jc w:val="both"/>
      <w:outlineLvl w:val="9"/>
    </w:pPr>
    <w:rPr>
      <w:rFonts w:ascii="Calibri" w:hAnsi="Calibri" w:cs="Calibri"/>
      <w:color w:val="auto"/>
      <w:kern w:val="44"/>
    </w:rPr>
  </w:style>
  <w:style w:type="paragraph" w:customStyle="1" w:styleId="217">
    <w:name w:val="wumii-segment"/>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218">
    <w:name w:val="卷标题 Char"/>
    <w:qFormat/>
    <w:uiPriority w:val="0"/>
    <w:rPr>
      <w:rFonts w:ascii="Times New Roman" w:hAnsi="Times New Roman" w:eastAsia="宋体" w:cs="Times New Roman"/>
      <w:kern w:val="44"/>
      <w:sz w:val="44"/>
      <w:szCs w:val="44"/>
    </w:rPr>
  </w:style>
  <w:style w:type="character" w:customStyle="1" w:styleId="219">
    <w:name w:val="H2 Char"/>
    <w:qFormat/>
    <w:uiPriority w:val="0"/>
    <w:rPr>
      <w:rFonts w:ascii="Arial" w:hAnsi="Arial" w:eastAsia="宋体" w:cs="Times New Roman"/>
      <w:sz w:val="28"/>
      <w:szCs w:val="24"/>
    </w:rPr>
  </w:style>
  <w:style w:type="character" w:customStyle="1" w:styleId="220">
    <w:name w:val="h3 Char"/>
    <w:qFormat/>
    <w:uiPriority w:val="0"/>
    <w:rPr>
      <w:rFonts w:ascii="Times New Roman" w:hAnsi="Times New Roman" w:eastAsia="宋体" w:cs="Times New Roman"/>
      <w:sz w:val="24"/>
      <w:szCs w:val="32"/>
    </w:rPr>
  </w:style>
  <w:style w:type="paragraph" w:customStyle="1" w:styleId="221">
    <w:name w:val="Char Char Char"/>
    <w:basedOn w:val="1"/>
    <w:qFormat/>
    <w:uiPriority w:val="0"/>
    <w:rPr>
      <w:rFonts w:ascii="Times New Roman" w:hAnsi="Times New Roman"/>
      <w:szCs w:val="24"/>
    </w:rPr>
  </w:style>
  <w:style w:type="character" w:customStyle="1" w:styleId="222">
    <w:name w:val="Char Char6"/>
    <w:qFormat/>
    <w:locked/>
    <w:uiPriority w:val="0"/>
    <w:rPr>
      <w:rFonts w:eastAsia="宋体"/>
      <w:kern w:val="2"/>
      <w:sz w:val="18"/>
      <w:lang w:val="en-US" w:eastAsia="zh-CN" w:bidi="ar-SA"/>
    </w:rPr>
  </w:style>
  <w:style w:type="paragraph" w:customStyle="1" w:styleId="223">
    <w:name w:val="Default Text"/>
    <w:basedOn w:val="1"/>
    <w:qFormat/>
    <w:uiPriority w:val="0"/>
    <w:pPr>
      <w:widowControl/>
      <w:overflowPunct w:val="0"/>
      <w:autoSpaceDE w:val="0"/>
      <w:autoSpaceDN w:val="0"/>
      <w:adjustRightInd w:val="0"/>
      <w:jc w:val="left"/>
      <w:textAlignment w:val="baseline"/>
    </w:pPr>
    <w:rPr>
      <w:rFonts w:ascii="Times New Roman" w:hAnsi="Times New Roman"/>
      <w:kern w:val="0"/>
      <w:sz w:val="24"/>
      <w:szCs w:val="20"/>
    </w:rPr>
  </w:style>
  <w:style w:type="character" w:customStyle="1" w:styleId="224">
    <w:name w:val="Char Char19"/>
    <w:qFormat/>
    <w:uiPriority w:val="0"/>
    <w:rPr>
      <w:rFonts w:eastAsia="宋体"/>
      <w:b/>
      <w:bCs/>
      <w:kern w:val="44"/>
      <w:sz w:val="44"/>
      <w:szCs w:val="44"/>
      <w:lang w:val="en-US" w:eastAsia="zh-CN" w:bidi="ar-SA"/>
    </w:rPr>
  </w:style>
  <w:style w:type="paragraph" w:customStyle="1" w:styleId="225">
    <w:name w:val="明显引用2"/>
    <w:basedOn w:val="1"/>
    <w:next w:val="1"/>
    <w:qFormat/>
    <w:uiPriority w:val="0"/>
    <w:pPr>
      <w:pBdr>
        <w:bottom w:val="single" w:color="4F81BD" w:sz="4" w:space="4"/>
      </w:pBdr>
      <w:spacing w:before="200" w:after="280"/>
      <w:ind w:left="936" w:right="936"/>
    </w:pPr>
    <w:rPr>
      <w:b/>
      <w:bCs/>
      <w:i/>
      <w:iCs/>
      <w:color w:val="4F81BD"/>
      <w:sz w:val="22"/>
    </w:rPr>
  </w:style>
  <w:style w:type="character" w:customStyle="1" w:styleId="226">
    <w:name w:val="书籍标题2"/>
    <w:qFormat/>
    <w:uiPriority w:val="0"/>
    <w:rPr>
      <w:b/>
      <w:bCs/>
      <w:smallCaps/>
      <w:spacing w:val="5"/>
    </w:rPr>
  </w:style>
  <w:style w:type="character" w:customStyle="1" w:styleId="227">
    <w:name w:val="明显强调2"/>
    <w:qFormat/>
    <w:uiPriority w:val="0"/>
    <w:rPr>
      <w:b/>
      <w:bCs/>
      <w:i/>
      <w:iCs/>
      <w:color w:val="4F81BD"/>
    </w:rPr>
  </w:style>
  <w:style w:type="character" w:customStyle="1" w:styleId="228">
    <w:name w:val="不明显强调2"/>
    <w:qFormat/>
    <w:uiPriority w:val="0"/>
    <w:rPr>
      <w:i/>
      <w:iCs/>
      <w:color w:val="808080"/>
    </w:rPr>
  </w:style>
  <w:style w:type="character" w:customStyle="1" w:styleId="229">
    <w:name w:val="不明显参考2"/>
    <w:qFormat/>
    <w:uiPriority w:val="0"/>
    <w:rPr>
      <w:smallCaps/>
      <w:color w:val="auto"/>
      <w:u w:val="single"/>
    </w:rPr>
  </w:style>
  <w:style w:type="character" w:customStyle="1" w:styleId="230">
    <w:name w:val="明显参考2"/>
    <w:qFormat/>
    <w:uiPriority w:val="0"/>
    <w:rPr>
      <w:b/>
      <w:bCs/>
      <w:smallCaps/>
      <w:color w:val="auto"/>
      <w:spacing w:val="5"/>
      <w:u w:val="single"/>
    </w:rPr>
  </w:style>
  <w:style w:type="paragraph" w:customStyle="1" w:styleId="231">
    <w:name w:val="引用2"/>
    <w:basedOn w:val="1"/>
    <w:next w:val="1"/>
    <w:qFormat/>
    <w:uiPriority w:val="0"/>
    <w:rPr>
      <w:i/>
      <w:iCs/>
      <w:color w:val="000000"/>
      <w:sz w:val="22"/>
    </w:rPr>
  </w:style>
  <w:style w:type="paragraph" w:customStyle="1" w:styleId="232">
    <w:name w:val="无间隔2"/>
    <w:qFormat/>
    <w:uiPriority w:val="0"/>
    <w:pPr>
      <w:widowControl w:val="0"/>
      <w:jc w:val="both"/>
    </w:pPr>
    <w:rPr>
      <w:rFonts w:ascii="Calibri" w:hAnsi="Calibri" w:eastAsia="宋体" w:cs="Calibri"/>
      <w:kern w:val="2"/>
      <w:sz w:val="21"/>
      <w:szCs w:val="21"/>
      <w:lang w:val="en-US" w:eastAsia="zh-CN" w:bidi="ar-SA"/>
    </w:rPr>
  </w:style>
  <w:style w:type="paragraph" w:customStyle="1" w:styleId="233">
    <w:name w:val="列出段落3"/>
    <w:basedOn w:val="1"/>
    <w:qFormat/>
    <w:uiPriority w:val="0"/>
    <w:pPr>
      <w:ind w:firstLine="420" w:firstLineChars="200"/>
    </w:pPr>
    <w:rPr>
      <w:rFonts w:cs="Calibri"/>
      <w:szCs w:val="21"/>
    </w:rPr>
  </w:style>
  <w:style w:type="paragraph" w:customStyle="1" w:styleId="234">
    <w:name w:val="修订2"/>
    <w:qFormat/>
    <w:uiPriority w:val="0"/>
    <w:rPr>
      <w:rFonts w:ascii="Times New Roman" w:hAnsi="Times New Roman" w:eastAsia="宋体" w:cs="Times New Roman"/>
      <w:kern w:val="2"/>
      <w:sz w:val="21"/>
      <w:szCs w:val="21"/>
      <w:lang w:val="en-US" w:eastAsia="zh-CN" w:bidi="ar-SA"/>
    </w:rPr>
  </w:style>
  <w:style w:type="paragraph" w:customStyle="1" w:styleId="235">
    <w:name w:val="TOC 标题2"/>
    <w:basedOn w:val="2"/>
    <w:next w:val="1"/>
    <w:qFormat/>
    <w:uiPriority w:val="0"/>
    <w:pPr>
      <w:keepLines/>
      <w:widowControl w:val="0"/>
      <w:jc w:val="both"/>
      <w:outlineLvl w:val="9"/>
    </w:pPr>
    <w:rPr>
      <w:rFonts w:ascii="Calibri" w:hAnsi="Calibri" w:cs="Calibri"/>
      <w:color w:val="auto"/>
      <w:kern w:val="44"/>
    </w:rPr>
  </w:style>
  <w:style w:type="paragraph" w:customStyle="1" w:styleId="236">
    <w:name w:val="Char Char Char Char Char Char"/>
    <w:basedOn w:val="15"/>
    <w:qFormat/>
    <w:uiPriority w:val="0"/>
    <w:pPr>
      <w:shd w:val="clear" w:color="auto" w:fill="000080"/>
      <w:adjustRightInd w:val="0"/>
      <w:spacing w:line="436" w:lineRule="exact"/>
      <w:ind w:left="357"/>
      <w:jc w:val="left"/>
      <w:outlineLvl w:val="3"/>
    </w:pPr>
    <w:rPr>
      <w:rFonts w:ascii="Tahoma" w:hAnsi="Tahoma"/>
      <w:b/>
      <w:kern w:val="2"/>
      <w:sz w:val="24"/>
      <w:szCs w:val="24"/>
    </w:rPr>
  </w:style>
  <w:style w:type="character" w:customStyle="1" w:styleId="237">
    <w:name w:val="charchar19"/>
    <w:qFormat/>
    <w:uiPriority w:val="0"/>
    <w:rPr>
      <w:rFonts w:hint="default" w:ascii="Cambria" w:hAnsi="Cambria" w:eastAsia="Cambria" w:cs="Cambria"/>
      <w:b/>
      <w:i/>
      <w:color w:val="4F81BD"/>
    </w:rPr>
  </w:style>
  <w:style w:type="character" w:customStyle="1" w:styleId="238">
    <w:name w:val="charchar7"/>
    <w:qFormat/>
    <w:uiPriority w:val="0"/>
    <w:rPr>
      <w:rFonts w:hint="default" w:ascii="Calibri" w:hAnsi="Calibri" w:cs="Calibri"/>
    </w:rPr>
  </w:style>
  <w:style w:type="character" w:customStyle="1" w:styleId="239">
    <w:name w:val="char"/>
    <w:qFormat/>
    <w:uiPriority w:val="0"/>
    <w:rPr>
      <w:rFonts w:hint="default" w:ascii="Calibri" w:hAnsi="Calibri" w:cs="Calibri"/>
      <w:i/>
      <w:color w:val="000000"/>
    </w:rPr>
  </w:style>
  <w:style w:type="character" w:customStyle="1" w:styleId="240">
    <w:name w:val="charchar11"/>
    <w:qFormat/>
    <w:uiPriority w:val="0"/>
    <w:rPr>
      <w:rFonts w:hint="default" w:ascii="Calibri" w:hAnsi="Calibri" w:cs="Calibri"/>
    </w:rPr>
  </w:style>
  <w:style w:type="character" w:customStyle="1" w:styleId="241">
    <w:name w:val="charchar12"/>
    <w:qFormat/>
    <w:uiPriority w:val="0"/>
    <w:rPr>
      <w:rFonts w:hint="default" w:ascii="Calibri" w:hAnsi="Calibri" w:cs="Calibri"/>
    </w:rPr>
  </w:style>
  <w:style w:type="character" w:customStyle="1" w:styleId="242">
    <w:name w:val="charchar16"/>
    <w:qFormat/>
    <w:uiPriority w:val="0"/>
    <w:rPr>
      <w:rFonts w:hint="default" w:ascii="Cambria" w:hAnsi="Cambria" w:eastAsia="Cambria" w:cs="Cambria"/>
      <w:i/>
      <w:color w:val="404040"/>
    </w:rPr>
  </w:style>
  <w:style w:type="character" w:customStyle="1" w:styleId="243">
    <w:name w:val="charchar3"/>
    <w:qFormat/>
    <w:uiPriority w:val="0"/>
    <w:rPr>
      <w:rFonts w:hint="default" w:ascii="Calibri" w:hAnsi="Calibri" w:cs="Calibri"/>
      <w:color w:val="000000"/>
    </w:rPr>
  </w:style>
  <w:style w:type="character" w:customStyle="1" w:styleId="244">
    <w:name w:val="charchar8"/>
    <w:qFormat/>
    <w:uiPriority w:val="0"/>
    <w:rPr>
      <w:rFonts w:hint="default" w:ascii="Calibri" w:hAnsi="Calibri" w:cs="Calibri"/>
    </w:rPr>
  </w:style>
  <w:style w:type="character" w:customStyle="1" w:styleId="245">
    <w:name w:val="charchar10"/>
    <w:qFormat/>
    <w:uiPriority w:val="0"/>
    <w:rPr>
      <w:rFonts w:hint="default" w:ascii="Calibri" w:hAnsi="Calibri" w:cs="Calibri"/>
    </w:rPr>
  </w:style>
  <w:style w:type="character" w:customStyle="1" w:styleId="246">
    <w:name w:val="charchar18"/>
    <w:qFormat/>
    <w:uiPriority w:val="0"/>
    <w:rPr>
      <w:rFonts w:hint="default" w:ascii="Cambria" w:hAnsi="Cambria" w:eastAsia="Cambria" w:cs="Cambria"/>
      <w:color w:val="243F60"/>
    </w:rPr>
  </w:style>
  <w:style w:type="character" w:customStyle="1" w:styleId="247">
    <w:name w:val="charchar5"/>
    <w:qFormat/>
    <w:uiPriority w:val="0"/>
    <w:rPr>
      <w:rFonts w:hint="eastAsia" w:ascii="宋体" w:hAnsi="宋体" w:eastAsia="宋体" w:cs="宋体"/>
    </w:rPr>
  </w:style>
  <w:style w:type="character" w:customStyle="1" w:styleId="248">
    <w:name w:val="charchar15"/>
    <w:qFormat/>
    <w:uiPriority w:val="0"/>
    <w:rPr>
      <w:rFonts w:hint="default" w:ascii="Cambria" w:hAnsi="Cambria" w:eastAsia="Cambria" w:cs="Cambria"/>
      <w:color w:val="4F81BD"/>
    </w:rPr>
  </w:style>
  <w:style w:type="character" w:customStyle="1" w:styleId="249">
    <w:name w:val="charchar4"/>
    <w:qFormat/>
    <w:uiPriority w:val="0"/>
    <w:rPr>
      <w:rFonts w:hint="eastAsia" w:ascii="宋体" w:hAnsi="宋体" w:eastAsia="宋体" w:cs="宋体"/>
    </w:rPr>
  </w:style>
  <w:style w:type="character" w:customStyle="1" w:styleId="250">
    <w:name w:val="char0"/>
    <w:qFormat/>
    <w:uiPriority w:val="0"/>
    <w:rPr>
      <w:rFonts w:hint="default" w:ascii="Calibri" w:hAnsi="Calibri" w:cs="Calibri"/>
      <w:b/>
      <w:i/>
      <w:color w:val="4F81BD"/>
    </w:rPr>
  </w:style>
  <w:style w:type="character" w:customStyle="1" w:styleId="251">
    <w:name w:val="charchar9"/>
    <w:qFormat/>
    <w:uiPriority w:val="0"/>
    <w:rPr>
      <w:rFonts w:hint="default" w:ascii="Calibri" w:hAnsi="Calibri" w:cs="Calibri"/>
    </w:rPr>
  </w:style>
  <w:style w:type="character" w:customStyle="1" w:styleId="252">
    <w:name w:val="charchar22"/>
    <w:qFormat/>
    <w:uiPriority w:val="0"/>
    <w:rPr>
      <w:rFonts w:hint="eastAsia" w:ascii="新宋体" w:hAnsi="新宋体" w:eastAsia="新宋体" w:cs="新宋体"/>
      <w:b/>
    </w:rPr>
  </w:style>
  <w:style w:type="character" w:customStyle="1" w:styleId="253">
    <w:name w:val="charchar1"/>
    <w:qFormat/>
    <w:uiPriority w:val="0"/>
    <w:rPr>
      <w:rFonts w:hint="default" w:ascii="Cambria" w:hAnsi="Cambria" w:eastAsia="Cambria" w:cs="Cambria"/>
      <w:color w:val="17365D"/>
      <w:spacing w:val="5"/>
    </w:rPr>
  </w:style>
  <w:style w:type="character" w:customStyle="1" w:styleId="254">
    <w:name w:val="charchar20"/>
    <w:qFormat/>
    <w:uiPriority w:val="0"/>
    <w:rPr>
      <w:rFonts w:hint="eastAsia" w:ascii="新宋体" w:hAnsi="新宋体" w:eastAsia="新宋体" w:cs="新宋体"/>
      <w:b/>
      <w:snapToGrid w:val="0"/>
    </w:rPr>
  </w:style>
  <w:style w:type="character" w:customStyle="1" w:styleId="255">
    <w:name w:val="charchar14"/>
    <w:qFormat/>
    <w:uiPriority w:val="0"/>
    <w:rPr>
      <w:rFonts w:hint="default" w:ascii="Cambria" w:hAnsi="Cambria" w:eastAsia="Cambria" w:cs="Cambria"/>
      <w:i/>
      <w:color w:val="404040"/>
    </w:rPr>
  </w:style>
  <w:style w:type="character" w:customStyle="1" w:styleId="256">
    <w:name w:val="charchar2"/>
    <w:qFormat/>
    <w:uiPriority w:val="0"/>
    <w:rPr>
      <w:rFonts w:hint="default" w:ascii="Calibri" w:hAnsi="Calibri" w:cs="Calibri"/>
      <w:b/>
    </w:rPr>
  </w:style>
  <w:style w:type="character" w:customStyle="1" w:styleId="257">
    <w:name w:val="charchar21"/>
    <w:qFormat/>
    <w:uiPriority w:val="0"/>
    <w:rPr>
      <w:rFonts w:hint="eastAsia" w:ascii="新宋体" w:hAnsi="新宋体" w:eastAsia="新宋体" w:cs="新宋体"/>
      <w:b/>
    </w:rPr>
  </w:style>
  <w:style w:type="character" w:customStyle="1" w:styleId="258">
    <w:name w:val="charchar6"/>
    <w:qFormat/>
    <w:uiPriority w:val="0"/>
    <w:rPr>
      <w:rFonts w:hint="eastAsia" w:ascii="宋体" w:hAnsi="宋体" w:eastAsia="宋体" w:cs="宋体"/>
      <w:b/>
    </w:rPr>
  </w:style>
  <w:style w:type="character" w:customStyle="1" w:styleId="259">
    <w:name w:val="charchar13"/>
    <w:qFormat/>
    <w:uiPriority w:val="0"/>
    <w:rPr>
      <w:rFonts w:hint="eastAsia" w:ascii="宋体" w:hAnsi="宋体" w:eastAsia="宋体" w:cs="宋体"/>
    </w:rPr>
  </w:style>
  <w:style w:type="character" w:customStyle="1" w:styleId="260">
    <w:name w:val="charchar17"/>
    <w:qFormat/>
    <w:uiPriority w:val="0"/>
    <w:rPr>
      <w:rFonts w:hint="default" w:ascii="Cambria" w:hAnsi="Cambria" w:eastAsia="Cambria" w:cs="Cambria"/>
      <w:i/>
      <w:color w:val="243F60"/>
    </w:rPr>
  </w:style>
  <w:style w:type="character" w:customStyle="1" w:styleId="261">
    <w:name w:val="charchar"/>
    <w:qFormat/>
    <w:uiPriority w:val="0"/>
    <w:rPr>
      <w:rFonts w:hint="default" w:ascii="Cambria" w:hAnsi="Cambria" w:eastAsia="Cambria" w:cs="Cambria"/>
      <w:i/>
      <w:color w:val="4F81BD"/>
      <w:spacing w:val="15"/>
    </w:rPr>
  </w:style>
  <w:style w:type="character" w:customStyle="1" w:styleId="262">
    <w:name w:val="页眉 Char1"/>
    <w:semiHidden/>
    <w:qFormat/>
    <w:uiPriority w:val="99"/>
    <w:rPr>
      <w:rFonts w:ascii="Calibri" w:hAnsi="Calibri" w:eastAsia="宋体" w:cs="Times New Roman"/>
      <w:sz w:val="18"/>
      <w:szCs w:val="18"/>
    </w:rPr>
  </w:style>
  <w:style w:type="character" w:customStyle="1" w:styleId="263">
    <w:name w:val="批注文字 Char1"/>
    <w:semiHidden/>
    <w:qFormat/>
    <w:uiPriority w:val="99"/>
    <w:rPr>
      <w:kern w:val="2"/>
      <w:sz w:val="21"/>
    </w:rPr>
  </w:style>
  <w:style w:type="paragraph" w:customStyle="1" w:styleId="264">
    <w:name w:val="_Style 6"/>
    <w:basedOn w:val="2"/>
    <w:next w:val="1"/>
    <w:qFormat/>
    <w:uiPriority w:val="0"/>
    <w:pPr>
      <w:keepLines/>
      <w:widowControl w:val="0"/>
      <w:spacing w:before="0" w:after="0"/>
      <w:jc w:val="both"/>
      <w:outlineLvl w:val="9"/>
    </w:pPr>
    <w:rPr>
      <w:rFonts w:ascii="Calibri" w:hAnsi="Calibri" w:cs="黑体"/>
      <w:color w:val="auto"/>
      <w:kern w:val="44"/>
    </w:rPr>
  </w:style>
  <w:style w:type="character" w:customStyle="1" w:styleId="265">
    <w:name w:val="15"/>
    <w:basedOn w:val="49"/>
    <w:qFormat/>
    <w:uiPriority w:val="0"/>
    <w:rPr>
      <w:rFonts w:hint="default" w:ascii="Calibri" w:hAnsi="Calibri" w:cs="Times New Roman"/>
      <w:color w:val="0000FF"/>
      <w:u w:val="single"/>
    </w:rPr>
  </w:style>
  <w:style w:type="character" w:customStyle="1" w:styleId="266">
    <w:name w:val="书籍标题11"/>
    <w:qFormat/>
    <w:uiPriority w:val="0"/>
    <w:rPr>
      <w:b/>
      <w:bCs/>
      <w:smallCaps/>
      <w:spacing w:val="5"/>
    </w:rPr>
  </w:style>
  <w:style w:type="character" w:customStyle="1" w:styleId="267">
    <w:name w:val="明显强调11"/>
    <w:qFormat/>
    <w:uiPriority w:val="0"/>
    <w:rPr>
      <w:b/>
      <w:bCs/>
      <w:i/>
      <w:iCs/>
      <w:color w:val="4F81BD"/>
    </w:rPr>
  </w:style>
  <w:style w:type="character" w:customStyle="1" w:styleId="268">
    <w:name w:val="不明显强调11"/>
    <w:qFormat/>
    <w:uiPriority w:val="0"/>
    <w:rPr>
      <w:i/>
      <w:iCs/>
      <w:color w:val="808080"/>
    </w:rPr>
  </w:style>
  <w:style w:type="character" w:customStyle="1" w:styleId="269">
    <w:name w:val="不明显参考11"/>
    <w:qFormat/>
    <w:uiPriority w:val="0"/>
    <w:rPr>
      <w:smallCaps/>
      <w:color w:val="auto"/>
      <w:u w:val="single"/>
    </w:rPr>
  </w:style>
  <w:style w:type="character" w:customStyle="1" w:styleId="270">
    <w:name w:val="明显参考11"/>
    <w:qFormat/>
    <w:uiPriority w:val="0"/>
    <w:rPr>
      <w:b/>
      <w:bCs/>
      <w:smallCaps/>
      <w:color w:val="auto"/>
      <w:spacing w:val="5"/>
      <w:u w:val="single"/>
    </w:rPr>
  </w:style>
  <w:style w:type="paragraph" w:customStyle="1" w:styleId="271">
    <w:name w:val="修订11"/>
    <w:qFormat/>
    <w:uiPriority w:val="0"/>
    <w:rPr>
      <w:rFonts w:ascii="Times New Roman" w:hAnsi="Times New Roman" w:eastAsia="宋体" w:cs="Times New Roman"/>
      <w:kern w:val="2"/>
      <w:sz w:val="21"/>
      <w:szCs w:val="21"/>
      <w:lang w:val="en-US" w:eastAsia="zh-CN" w:bidi="ar-SA"/>
    </w:rPr>
  </w:style>
  <w:style w:type="paragraph" w:customStyle="1" w:styleId="272">
    <w:name w:val="TOC 标题11"/>
    <w:basedOn w:val="2"/>
    <w:next w:val="1"/>
    <w:qFormat/>
    <w:uiPriority w:val="0"/>
    <w:pPr>
      <w:keepLines/>
      <w:widowControl w:val="0"/>
      <w:tabs>
        <w:tab w:val="left" w:pos="432"/>
      </w:tabs>
      <w:jc w:val="both"/>
      <w:outlineLvl w:val="9"/>
    </w:pPr>
    <w:rPr>
      <w:rFonts w:ascii="Calibri" w:hAnsi="Calibri" w:cs="Calibri"/>
      <w:color w:val="auto"/>
      <w:kern w:val="44"/>
    </w:rPr>
  </w:style>
  <w:style w:type="paragraph" w:customStyle="1" w:styleId="273">
    <w:name w:val="正文1"/>
    <w:qFormat/>
    <w:uiPriority w:val="0"/>
    <w:pPr>
      <w:jc w:val="both"/>
    </w:pPr>
    <w:rPr>
      <w:rFonts w:ascii="宋体" w:hAnsi="宋体" w:eastAsia="宋体" w:cs="宋体"/>
      <w:kern w:val="2"/>
      <w:sz w:val="21"/>
      <w:szCs w:val="21"/>
      <w:lang w:val="en-US" w:eastAsia="zh-CN" w:bidi="ar-SA"/>
    </w:rPr>
  </w:style>
  <w:style w:type="paragraph" w:customStyle="1" w:styleId="274">
    <w:name w:val="UserStyle_4"/>
    <w:basedOn w:val="1"/>
    <w:qFormat/>
    <w:uiPriority w:val="0"/>
    <w:pPr>
      <w:widowControl/>
      <w:jc w:val="left"/>
      <w:textAlignment w:val="baseline"/>
    </w:pPr>
    <w:rPr>
      <w:rFonts w:ascii="宋体" w:hAnsi="宋体"/>
      <w:kern w:val="0"/>
      <w:sz w:val="22"/>
      <w:lang w:eastAsia="en-US"/>
    </w:rPr>
  </w:style>
  <w:style w:type="character" w:customStyle="1" w:styleId="275">
    <w:name w:val="正文首行缩进 2 Char"/>
    <w:basedOn w:val="69"/>
    <w:link w:val="46"/>
    <w:semiHidden/>
    <w:qFormat/>
    <w:uiPriority w:val="99"/>
    <w:rPr>
      <w:rFonts w:ascii="Calibri" w:hAnsi="Calibri" w:eastAsia="宋体" w:cs="Arial"/>
      <w:kern w:val="2"/>
      <w:sz w:val="21"/>
      <w:szCs w:val="22"/>
    </w:rPr>
  </w:style>
  <w:style w:type="paragraph" w:customStyle="1" w:styleId="276">
    <w:name w:val="11正文"/>
    <w:basedOn w:val="1"/>
    <w:qFormat/>
    <w:uiPriority w:val="0"/>
    <w:pPr>
      <w:widowControl/>
      <w:tabs>
        <w:tab w:val="center" w:pos="4153"/>
        <w:tab w:val="right" w:pos="8306"/>
      </w:tabs>
      <w:spacing w:line="360" w:lineRule="auto"/>
      <w:ind w:firstLine="560" w:firstLineChars="200"/>
      <w:jc w:val="left"/>
      <w:textAlignment w:val="baseline"/>
    </w:pPr>
    <w:rPr>
      <w:rFonts w:hint="eastAsia" w:ascii="宋体" w:hAnsi="宋体"/>
      <w:color w:val="000000"/>
      <w:kern w:val="0"/>
      <w:sz w:val="24"/>
      <w:szCs w:val="28"/>
      <w:lang w:eastAsia="en-US"/>
    </w:rPr>
  </w:style>
  <w:style w:type="character" w:customStyle="1" w:styleId="277">
    <w:name w:val="正文首行缩进 Char"/>
    <w:basedOn w:val="139"/>
    <w:link w:val="45"/>
    <w:qFormat/>
    <w:uiPriority w:val="99"/>
    <w:rPr>
      <w:rFonts w:asciiTheme="minorHAnsi" w:hAnsiTheme="minorHAnsi" w:eastAsiaTheme="minorEastAsia" w:cstheme="minorBidi"/>
      <w:kern w:val="2"/>
      <w:sz w:val="21"/>
      <w:szCs w:val="22"/>
    </w:rPr>
  </w:style>
  <w:style w:type="character" w:customStyle="1" w:styleId="278">
    <w:name w:val="font01"/>
    <w:basedOn w:val="49"/>
    <w:qFormat/>
    <w:uiPriority w:val="0"/>
    <w:rPr>
      <w:rFonts w:hint="eastAsia" w:ascii="宋体" w:hAnsi="宋体" w:eastAsia="宋体" w:cs="宋体"/>
      <w:color w:val="000000"/>
      <w:sz w:val="22"/>
      <w:szCs w:val="22"/>
      <w:u w:val="none"/>
    </w:rPr>
  </w:style>
  <w:style w:type="paragraph" w:customStyle="1" w:styleId="279">
    <w:name w:val="正文2"/>
    <w:qFormat/>
    <w:uiPriority w:val="0"/>
    <w:pPr>
      <w:jc w:val="both"/>
    </w:pPr>
    <w:rPr>
      <w:rFonts w:ascii="Times New Roman" w:hAnsi="Times New Roman" w:eastAsia="宋体" w:cs="Times New Roman"/>
      <w:kern w:val="2"/>
      <w:sz w:val="21"/>
      <w:szCs w:val="21"/>
      <w:lang w:val="en-US" w:eastAsia="zh-CN" w:bidi="ar-SA"/>
    </w:rPr>
  </w:style>
  <w:style w:type="paragraph" w:customStyle="1" w:styleId="280">
    <w:name w:val="正文3"/>
    <w:qFormat/>
    <w:uiPriority w:val="0"/>
    <w:pPr>
      <w:jc w:val="both"/>
    </w:pPr>
    <w:rPr>
      <w:rFonts w:ascii="Times New Roman" w:hAnsi="Times New Roman" w:eastAsia="宋体" w:cs="Times New Roman"/>
      <w:kern w:val="2"/>
      <w:sz w:val="21"/>
      <w:szCs w:val="21"/>
      <w:lang w:val="en-US" w:eastAsia="zh-CN" w:bidi="ar-SA"/>
    </w:rPr>
  </w:style>
  <w:style w:type="paragraph" w:customStyle="1" w:styleId="281">
    <w:name w:val="Table Text"/>
    <w:basedOn w:val="1"/>
    <w:semiHidden/>
    <w:qFormat/>
    <w:uiPriority w:val="0"/>
    <w:rPr>
      <w:rFonts w:ascii="宋体" w:hAnsi="宋体" w:eastAsia="宋体" w:cs="宋体"/>
      <w:sz w:val="24"/>
      <w:szCs w:val="24"/>
      <w:lang w:val="en-US" w:eastAsia="en-US" w:bidi="ar-SA"/>
    </w:rPr>
  </w:style>
  <w:style w:type="table" w:customStyle="1" w:styleId="28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2.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8677C53-39E8-4191-B813-C15DD4058971}">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115</Pages>
  <Words>13996</Words>
  <Characters>15651</Characters>
  <Lines>741</Lines>
  <Paragraphs>208</Paragraphs>
  <TotalTime>1</TotalTime>
  <ScaleCrop>false</ScaleCrop>
  <LinksUpToDate>false</LinksUpToDate>
  <CharactersWithSpaces>15883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2021-04-30T04:19:00Z</dcterms:created>
  <dc:creator>PC;新疆锐智时代建设工程项目管理有限公司</dc:creator>
  <cp:lastModifiedBy>RZSD</cp:lastModifiedBy>
  <cp:lastPrinted>2023-09-13T03:49:00Z</cp:lastPrinted>
  <dcterms:modified xsi:type="dcterms:W3CDTF">2025-03-24T02:14:52Z</dcterms:modified>
  <cp:revision>199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487D672AB4F04851B5EF2F879E299470_13</vt:lpwstr>
  </property>
  <property fmtid="{D5CDD505-2E9C-101B-9397-08002B2CF9AE}" pid="4" name="KSOTemplateDocerSaveRecord">
    <vt:lpwstr>eyJoZGlkIjoiNTIyYzYzNTY1MzMxNjY3Y2I5NTdlYjIxOTk1OGRiMjciLCJ1c2VySWQiOiIzNTc3NDI5MTQifQ==</vt:lpwstr>
  </property>
</Properties>
</file>