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E60A87">
      <w:pPr>
        <w:pStyle w:val="21"/>
        <w:pageBreakBefore w:val="0"/>
        <w:widowControl w:val="0"/>
        <w:wordWrap/>
        <w:topLinePunct w:val="0"/>
        <w:bidi w:val="0"/>
        <w:rPr>
          <w:rFonts w:hint="eastAsia" w:ascii="宋体" w:hAnsi="宋体" w:eastAsia="宋体" w:cs="宋体"/>
          <w:color w:val="auto"/>
          <w:highlight w:val="none"/>
        </w:rPr>
      </w:pPr>
    </w:p>
    <w:p w14:paraId="2B093E7C">
      <w:pPr>
        <w:pStyle w:val="11"/>
        <w:pageBreakBefore w:val="0"/>
        <w:widowControl w:val="0"/>
        <w:wordWrap/>
        <w:topLinePunct w:val="0"/>
        <w:bidi w:val="0"/>
        <w:spacing w:line="720" w:lineRule="exact"/>
        <w:ind w:left="0" w:leftChars="0" w:firstLine="0" w:firstLineChars="0"/>
        <w:jc w:val="center"/>
        <w:rPr>
          <w:rFonts w:hint="eastAsia" w:hAnsi="宋体" w:cs="宋体"/>
          <w:b/>
          <w:color w:val="auto"/>
          <w:sz w:val="52"/>
          <w:szCs w:val="52"/>
          <w:highlight w:val="none"/>
          <w:lang w:eastAsia="zh-CN"/>
        </w:rPr>
      </w:pPr>
      <w:bookmarkStart w:id="0" w:name="_Toc21747"/>
      <w:bookmarkStart w:id="1" w:name="_Toc8020"/>
      <w:bookmarkStart w:id="2" w:name="_Toc32264"/>
      <w:bookmarkStart w:id="3" w:name="_Toc10372"/>
      <w:bookmarkStart w:id="4" w:name="_Toc26250"/>
      <w:bookmarkStart w:id="5" w:name="_Toc6954"/>
      <w:bookmarkStart w:id="6" w:name="_Toc23299"/>
      <w:bookmarkStart w:id="7" w:name="_Toc30017"/>
      <w:bookmarkStart w:id="8" w:name="_Toc13490"/>
      <w:bookmarkStart w:id="9" w:name="_Toc30059"/>
      <w:r>
        <w:rPr>
          <w:rFonts w:hint="eastAsia" w:hAnsi="宋体" w:cs="宋体"/>
          <w:b/>
          <w:color w:val="auto"/>
          <w:sz w:val="52"/>
          <w:szCs w:val="52"/>
          <w:highlight w:val="none"/>
          <w:lang w:eastAsia="zh-CN"/>
        </w:rPr>
        <w:t>吉木乃县人民医院建设项目-医疗</w:t>
      </w:r>
    </w:p>
    <w:p w14:paraId="1F32530D">
      <w:pPr>
        <w:pStyle w:val="11"/>
        <w:pageBreakBefore w:val="0"/>
        <w:widowControl w:val="0"/>
        <w:wordWrap/>
        <w:topLinePunct w:val="0"/>
        <w:bidi w:val="0"/>
        <w:spacing w:line="720" w:lineRule="exact"/>
        <w:ind w:left="0" w:leftChars="0" w:firstLine="0" w:firstLineChars="0"/>
        <w:jc w:val="center"/>
        <w:rPr>
          <w:rFonts w:hint="eastAsia" w:ascii="宋体" w:hAnsi="宋体" w:eastAsia="宋体" w:cs="宋体"/>
          <w:b/>
          <w:bCs/>
          <w:color w:val="auto"/>
          <w:sz w:val="52"/>
          <w:szCs w:val="52"/>
          <w:highlight w:val="none"/>
        </w:rPr>
      </w:pPr>
      <w:r>
        <w:rPr>
          <w:rFonts w:hint="eastAsia" w:hAnsi="宋体" w:cs="宋体"/>
          <w:b/>
          <w:color w:val="auto"/>
          <w:sz w:val="52"/>
          <w:szCs w:val="52"/>
          <w:highlight w:val="none"/>
          <w:lang w:eastAsia="zh-CN"/>
        </w:rPr>
        <w:t>设备采购（包七）</w:t>
      </w:r>
      <w:r>
        <w:rPr>
          <w:rFonts w:hint="eastAsia" w:ascii="宋体" w:hAnsi="宋体" w:eastAsia="宋体" w:cs="宋体"/>
          <w:b/>
          <w:bCs/>
          <w:color w:val="auto"/>
          <w:sz w:val="52"/>
          <w:szCs w:val="52"/>
          <w:highlight w:val="none"/>
        </w:rPr>
        <w:t>招标文件</w:t>
      </w:r>
      <w:bookmarkEnd w:id="0"/>
      <w:bookmarkEnd w:id="1"/>
      <w:bookmarkEnd w:id="2"/>
      <w:bookmarkEnd w:id="3"/>
      <w:bookmarkEnd w:id="4"/>
    </w:p>
    <w:p w14:paraId="42955913">
      <w:pPr>
        <w:pStyle w:val="11"/>
        <w:pageBreakBefore w:val="0"/>
        <w:widowControl w:val="0"/>
        <w:wordWrap/>
        <w:topLinePunct w:val="0"/>
        <w:bidi w:val="0"/>
        <w:spacing w:line="720" w:lineRule="exact"/>
        <w:ind w:left="0" w:leftChars="0" w:firstLine="0" w:firstLineChars="0"/>
        <w:jc w:val="center"/>
        <w:rPr>
          <w:rFonts w:hint="default" w:ascii="宋体" w:hAnsi="宋体" w:eastAsia="宋体" w:cs="宋体"/>
          <w:b/>
          <w:color w:val="auto"/>
          <w:sz w:val="32"/>
          <w:highlight w:val="none"/>
          <w:lang w:val="en-US" w:eastAsia="zh-CN"/>
        </w:rPr>
      </w:pPr>
      <w:r>
        <w:rPr>
          <w:rFonts w:hint="eastAsia" w:ascii="宋体" w:hAnsi="宋体" w:eastAsia="宋体" w:cs="宋体"/>
          <w:b/>
          <w:color w:val="auto"/>
          <w:sz w:val="32"/>
          <w:highlight w:val="none"/>
          <w:lang w:val="zh-CN" w:eastAsia="zh-CN"/>
        </w:rPr>
        <w:t>项目编号：</w:t>
      </w:r>
      <w:r>
        <w:rPr>
          <w:rFonts w:hint="eastAsia" w:hAnsi="宋体" w:cs="宋体"/>
          <w:b/>
          <w:color w:val="auto"/>
          <w:sz w:val="32"/>
          <w:highlight w:val="none"/>
          <w:lang w:val="zh-CN" w:eastAsia="zh-CN"/>
        </w:rPr>
        <w:t>JMNZFCG-XJLZB202503</w:t>
      </w:r>
    </w:p>
    <w:bookmarkEnd w:id="5"/>
    <w:bookmarkEnd w:id="6"/>
    <w:bookmarkEnd w:id="7"/>
    <w:bookmarkEnd w:id="8"/>
    <w:bookmarkEnd w:id="9"/>
    <w:p w14:paraId="587AA1A9">
      <w:pPr>
        <w:pStyle w:val="4"/>
        <w:pageBreakBefore w:val="0"/>
        <w:widowControl w:val="0"/>
        <w:wordWrap/>
        <w:topLinePunct w:val="0"/>
        <w:bidi w:val="0"/>
        <w:outlineLvl w:val="9"/>
        <w:rPr>
          <w:rFonts w:hint="eastAsia"/>
          <w:color w:val="auto"/>
          <w:highlight w:val="none"/>
        </w:rPr>
      </w:pPr>
    </w:p>
    <w:p w14:paraId="7EECBA73">
      <w:pPr>
        <w:pStyle w:val="11"/>
        <w:pageBreakBefore w:val="0"/>
        <w:widowControl w:val="0"/>
        <w:wordWrap/>
        <w:topLinePunct w:val="0"/>
        <w:bidi w:val="0"/>
        <w:spacing w:line="720" w:lineRule="exact"/>
        <w:ind w:firstLine="643" w:firstLineChars="200"/>
        <w:jc w:val="both"/>
        <w:rPr>
          <w:rFonts w:hint="eastAsia" w:ascii="宋体" w:hAnsi="宋体" w:eastAsia="宋体" w:cs="宋体"/>
          <w:b/>
          <w:color w:val="auto"/>
          <w:sz w:val="32"/>
          <w:highlight w:val="none"/>
        </w:rPr>
      </w:pPr>
    </w:p>
    <w:p w14:paraId="31751A55">
      <w:pPr>
        <w:pStyle w:val="5"/>
        <w:rPr>
          <w:rFonts w:hint="eastAsia"/>
        </w:rPr>
      </w:pPr>
    </w:p>
    <w:p w14:paraId="043B88B9">
      <w:pPr>
        <w:rPr>
          <w:rFonts w:hint="eastAsia"/>
        </w:rPr>
      </w:pPr>
    </w:p>
    <w:p w14:paraId="0232A247">
      <w:pPr>
        <w:pStyle w:val="28"/>
        <w:rPr>
          <w:rFonts w:hint="eastAsia"/>
        </w:rPr>
      </w:pPr>
    </w:p>
    <w:p w14:paraId="5709F251">
      <w:pPr>
        <w:rPr>
          <w:rFonts w:hint="eastAsia"/>
        </w:rPr>
      </w:pPr>
    </w:p>
    <w:p w14:paraId="67C196F7">
      <w:pPr>
        <w:pStyle w:val="28"/>
        <w:rPr>
          <w:rFonts w:hint="eastAsia"/>
        </w:rPr>
      </w:pPr>
    </w:p>
    <w:p w14:paraId="3C2ECFFD">
      <w:pPr>
        <w:pStyle w:val="28"/>
        <w:rPr>
          <w:rFonts w:hint="eastAsia"/>
        </w:rPr>
      </w:pPr>
    </w:p>
    <w:p w14:paraId="0680E0C0">
      <w:pPr>
        <w:pStyle w:val="5"/>
        <w:pageBreakBefore w:val="0"/>
        <w:widowControl w:val="0"/>
        <w:wordWrap/>
        <w:topLinePunct w:val="0"/>
        <w:bidi w:val="0"/>
        <w:outlineLvl w:val="9"/>
        <w:rPr>
          <w:rFonts w:hint="eastAsia"/>
          <w:color w:val="auto"/>
          <w:highlight w:val="none"/>
        </w:rPr>
      </w:pPr>
    </w:p>
    <w:p w14:paraId="7E0EE729">
      <w:pPr>
        <w:rPr>
          <w:rFonts w:hint="eastAsia"/>
          <w:color w:val="auto"/>
          <w:highlight w:val="none"/>
        </w:rPr>
      </w:pPr>
    </w:p>
    <w:p w14:paraId="16D02E25">
      <w:pPr>
        <w:pStyle w:val="28"/>
        <w:rPr>
          <w:rFonts w:hint="eastAsia"/>
        </w:rPr>
      </w:pPr>
    </w:p>
    <w:p w14:paraId="5A9A3B57">
      <w:pPr>
        <w:rPr>
          <w:rFonts w:hint="eastAsia"/>
          <w:color w:val="auto"/>
          <w:highlight w:val="none"/>
        </w:rPr>
      </w:pPr>
    </w:p>
    <w:p w14:paraId="0AAD94D3">
      <w:pPr>
        <w:pStyle w:val="28"/>
        <w:rPr>
          <w:rFonts w:hint="eastAsia"/>
          <w:color w:val="auto"/>
          <w:highlight w:val="none"/>
        </w:rPr>
      </w:pPr>
    </w:p>
    <w:p w14:paraId="27B8419F">
      <w:pPr>
        <w:pStyle w:val="28"/>
        <w:rPr>
          <w:rFonts w:hint="eastAsia"/>
          <w:color w:val="auto"/>
          <w:highlight w:val="none"/>
        </w:rPr>
      </w:pPr>
    </w:p>
    <w:p w14:paraId="35CFA92F">
      <w:pPr>
        <w:pStyle w:val="11"/>
        <w:pageBreakBefore w:val="0"/>
        <w:widowControl w:val="0"/>
        <w:wordWrap/>
        <w:topLinePunct w:val="0"/>
        <w:bidi w:val="0"/>
        <w:spacing w:line="720" w:lineRule="exact"/>
        <w:ind w:firstLine="1054" w:firstLineChars="328"/>
        <w:jc w:val="both"/>
        <w:rPr>
          <w:rFonts w:hint="eastAsia" w:ascii="宋体" w:hAnsi="宋体" w:eastAsia="宋体" w:cs="宋体"/>
          <w:b/>
          <w:color w:val="auto"/>
          <w:sz w:val="32"/>
          <w:highlight w:val="none"/>
        </w:rPr>
      </w:pPr>
    </w:p>
    <w:p w14:paraId="6FE6E965">
      <w:pPr>
        <w:pStyle w:val="11"/>
        <w:pageBreakBefore w:val="0"/>
        <w:widowControl w:val="0"/>
        <w:wordWrap/>
        <w:topLinePunct w:val="0"/>
        <w:bidi w:val="0"/>
        <w:spacing w:line="720" w:lineRule="exact"/>
        <w:ind w:firstLine="1054" w:firstLineChars="328"/>
        <w:jc w:val="both"/>
        <w:rPr>
          <w:rFonts w:hint="default" w:ascii="宋体" w:hAnsi="宋体" w:eastAsia="宋体" w:cs="宋体"/>
          <w:b/>
          <w:color w:val="auto"/>
          <w:sz w:val="32"/>
          <w:highlight w:val="none"/>
          <w:lang w:val="en-US" w:eastAsia="zh-CN"/>
        </w:rPr>
      </w:pPr>
      <w:r>
        <w:rPr>
          <w:rFonts w:hint="eastAsia" w:ascii="宋体" w:hAnsi="宋体" w:eastAsia="宋体" w:cs="宋体"/>
          <w:b/>
          <w:color w:val="auto"/>
          <w:sz w:val="32"/>
          <w:highlight w:val="none"/>
        </w:rPr>
        <w:t>采购人</w:t>
      </w:r>
      <w:r>
        <w:rPr>
          <w:rFonts w:hint="eastAsia" w:hAnsi="宋体" w:eastAsia="宋体" w:cs="宋体"/>
          <w:b/>
          <w:color w:val="auto"/>
          <w:sz w:val="32"/>
          <w:highlight w:val="none"/>
          <w:lang w:eastAsia="zh-CN"/>
        </w:rPr>
        <w:t>：</w:t>
      </w:r>
      <w:r>
        <w:rPr>
          <w:rFonts w:hint="eastAsia" w:hAnsi="宋体" w:cs="宋体"/>
          <w:b/>
          <w:color w:val="auto"/>
          <w:sz w:val="32"/>
          <w:highlight w:val="none"/>
          <w:lang w:val="en-US" w:eastAsia="zh-CN"/>
        </w:rPr>
        <w:t>吉木乃县人民医院</w:t>
      </w:r>
    </w:p>
    <w:p w14:paraId="7847C17B">
      <w:pPr>
        <w:pStyle w:val="11"/>
        <w:pageBreakBefore w:val="0"/>
        <w:widowControl w:val="0"/>
        <w:wordWrap/>
        <w:topLinePunct w:val="0"/>
        <w:bidi w:val="0"/>
        <w:spacing w:line="720" w:lineRule="exact"/>
        <w:ind w:firstLine="0" w:firstLineChars="0"/>
        <w:jc w:val="center"/>
        <w:outlineLvl w:val="0"/>
        <w:rPr>
          <w:rFonts w:hint="eastAsia" w:ascii="宋体" w:hAnsi="宋体" w:eastAsia="宋体" w:cs="宋体"/>
          <w:b/>
          <w:color w:val="auto"/>
          <w:sz w:val="32"/>
          <w:highlight w:val="none"/>
          <w:u w:val="single"/>
          <w:lang w:eastAsia="zh-CN"/>
        </w:rPr>
      </w:pPr>
      <w:r>
        <w:rPr>
          <w:rFonts w:hint="eastAsia" w:hAnsi="宋体" w:eastAsia="宋体" w:cs="宋体"/>
          <w:b/>
          <w:color w:val="auto"/>
          <w:sz w:val="32"/>
          <w:highlight w:val="none"/>
          <w:lang w:val="en-US" w:eastAsia="zh-CN"/>
        </w:rPr>
        <w:t xml:space="preserve">  </w:t>
      </w:r>
      <w:bookmarkStart w:id="10" w:name="_Toc10083"/>
      <w:bookmarkStart w:id="11" w:name="_Toc22603"/>
      <w:bookmarkStart w:id="12" w:name="_Toc26823"/>
      <w:bookmarkStart w:id="13" w:name="_Toc10887"/>
      <w:bookmarkStart w:id="14" w:name="_Toc2234"/>
      <w:r>
        <w:rPr>
          <w:rFonts w:hint="eastAsia" w:ascii="宋体" w:hAnsi="宋体" w:eastAsia="宋体" w:cs="宋体"/>
          <w:b/>
          <w:color w:val="auto"/>
          <w:sz w:val="32"/>
          <w:highlight w:val="none"/>
        </w:rPr>
        <w:t>采购代理机构：</w:t>
      </w:r>
      <w:bookmarkEnd w:id="10"/>
      <w:bookmarkEnd w:id="11"/>
      <w:bookmarkEnd w:id="12"/>
      <w:bookmarkEnd w:id="13"/>
      <w:bookmarkEnd w:id="14"/>
      <w:r>
        <w:rPr>
          <w:rFonts w:hint="eastAsia" w:hAnsi="宋体" w:cs="宋体"/>
          <w:b/>
          <w:color w:val="auto"/>
          <w:sz w:val="32"/>
          <w:highlight w:val="none"/>
          <w:lang w:eastAsia="zh-CN"/>
        </w:rPr>
        <w:t>新疆新建联项目管理咨询有限公司</w:t>
      </w:r>
    </w:p>
    <w:p w14:paraId="23B13B45">
      <w:pPr>
        <w:pStyle w:val="11"/>
        <w:pageBreakBefore w:val="0"/>
        <w:widowControl w:val="0"/>
        <w:wordWrap/>
        <w:topLinePunct w:val="0"/>
        <w:bidi w:val="0"/>
        <w:spacing w:line="720" w:lineRule="exact"/>
        <w:ind w:left="0" w:leftChars="0" w:firstLine="0" w:firstLineChars="0"/>
        <w:jc w:val="both"/>
        <w:rPr>
          <w:rFonts w:hint="eastAsia" w:ascii="宋体" w:hAnsi="宋体" w:eastAsia="宋体" w:cs="宋体"/>
          <w:b/>
          <w:color w:val="auto"/>
          <w:sz w:val="32"/>
          <w:highlight w:val="none"/>
        </w:rPr>
      </w:pPr>
    </w:p>
    <w:p w14:paraId="6A46375C">
      <w:pPr>
        <w:pStyle w:val="11"/>
        <w:pageBreakBefore w:val="0"/>
        <w:widowControl w:val="0"/>
        <w:wordWrap/>
        <w:topLinePunct w:val="0"/>
        <w:bidi w:val="0"/>
        <w:spacing w:line="720" w:lineRule="exact"/>
        <w:ind w:left="0" w:leftChars="0" w:firstLine="3213" w:firstLineChars="1000"/>
        <w:jc w:val="both"/>
        <w:rPr>
          <w:rFonts w:hint="default" w:ascii="宋体" w:hAnsi="宋体" w:eastAsia="宋体" w:cs="宋体"/>
          <w:bCs/>
          <w:color w:val="auto"/>
          <w:kern w:val="0"/>
          <w:sz w:val="36"/>
          <w:szCs w:val="36"/>
          <w:highlight w:val="none"/>
          <w:lang w:val="en-US" w:eastAsia="zh-CN"/>
        </w:rPr>
        <w:sectPr>
          <w:headerReference r:id="rId4" w:type="first"/>
          <w:footerReference r:id="rId6" w:type="first"/>
          <w:headerReference r:id="rId3" w:type="default"/>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宋体" w:hAnsi="宋体" w:eastAsia="宋体" w:cs="宋体"/>
          <w:b/>
          <w:color w:val="auto"/>
          <w:sz w:val="32"/>
          <w:highlight w:val="none"/>
        </w:rPr>
        <w:t>20</w:t>
      </w:r>
      <w:r>
        <w:rPr>
          <w:rFonts w:hint="eastAsia" w:hAnsi="宋体" w:eastAsia="宋体" w:cs="宋体"/>
          <w:b/>
          <w:color w:val="auto"/>
          <w:sz w:val="32"/>
          <w:highlight w:val="none"/>
          <w:lang w:val="en-US" w:eastAsia="zh-CN"/>
        </w:rPr>
        <w:t>2</w:t>
      </w:r>
      <w:r>
        <w:rPr>
          <w:rFonts w:hint="eastAsia" w:hAnsi="宋体" w:cs="宋体"/>
          <w:b/>
          <w:color w:val="auto"/>
          <w:sz w:val="32"/>
          <w:highlight w:val="none"/>
          <w:lang w:val="en-US" w:eastAsia="zh-CN"/>
        </w:rPr>
        <w:t>5</w:t>
      </w:r>
      <w:r>
        <w:rPr>
          <w:rFonts w:hint="eastAsia" w:ascii="宋体" w:hAnsi="宋体" w:eastAsia="宋体" w:cs="宋体"/>
          <w:b/>
          <w:color w:val="auto"/>
          <w:sz w:val="32"/>
          <w:highlight w:val="none"/>
        </w:rPr>
        <w:t>年</w:t>
      </w:r>
      <w:r>
        <w:rPr>
          <w:rFonts w:hint="eastAsia" w:hAnsi="宋体" w:eastAsia="宋体" w:cs="宋体"/>
          <w:b/>
          <w:color w:val="auto"/>
          <w:sz w:val="32"/>
          <w:highlight w:val="none"/>
          <w:lang w:val="en-US" w:eastAsia="zh-CN"/>
        </w:rPr>
        <w:t>0</w:t>
      </w:r>
      <w:r>
        <w:rPr>
          <w:rFonts w:hint="eastAsia" w:hAnsi="宋体" w:cs="宋体"/>
          <w:b/>
          <w:color w:val="auto"/>
          <w:sz w:val="32"/>
          <w:highlight w:val="none"/>
          <w:lang w:val="en-US" w:eastAsia="zh-CN"/>
        </w:rPr>
        <w:t>4</w:t>
      </w:r>
      <w:r>
        <w:rPr>
          <w:rFonts w:hint="eastAsia" w:hAnsi="宋体" w:eastAsia="宋体" w:cs="宋体"/>
          <w:b/>
          <w:color w:val="auto"/>
          <w:sz w:val="32"/>
          <w:highlight w:val="none"/>
          <w:lang w:val="en-US" w:eastAsia="zh-CN"/>
        </w:rPr>
        <w:t>月</w:t>
      </w:r>
    </w:p>
    <w:p w14:paraId="39DECAB1">
      <w:pPr>
        <w:pageBreakBefore w:val="0"/>
        <w:widowControl w:val="0"/>
        <w:wordWrap/>
        <w:topLinePunct w:val="0"/>
        <w:bidi w:val="0"/>
        <w:rPr>
          <w:rFonts w:hint="eastAsia" w:ascii="宋体" w:hAnsi="宋体" w:eastAsia="宋体" w:cs="宋体"/>
          <w:b/>
          <w:bCs/>
          <w:color w:val="auto"/>
          <w:sz w:val="28"/>
          <w:szCs w:val="28"/>
          <w:highlight w:val="none"/>
        </w:rPr>
      </w:pPr>
    </w:p>
    <w:p w14:paraId="3A565E1A">
      <w:pPr>
        <w:pageBreakBefore w:val="0"/>
        <w:widowControl w:val="0"/>
        <w:wordWrap/>
        <w:topLinePunct w:val="0"/>
        <w:autoSpaceDE w:val="0"/>
        <w:autoSpaceDN w:val="0"/>
        <w:bidi w:val="0"/>
        <w:adjustRightInd w:val="0"/>
        <w:spacing w:line="460" w:lineRule="exact"/>
        <w:jc w:val="center"/>
        <w:outlineLvl w:val="0"/>
        <w:rPr>
          <w:rFonts w:hint="eastAsia" w:ascii="宋体" w:hAnsi="宋体" w:eastAsia="宋体" w:cs="宋体"/>
          <w:bCs/>
          <w:color w:val="auto"/>
          <w:sz w:val="36"/>
          <w:szCs w:val="36"/>
          <w:highlight w:val="none"/>
        </w:rPr>
      </w:pPr>
      <w:r>
        <w:rPr>
          <w:rFonts w:hint="eastAsia" w:ascii="宋体" w:hAnsi="宋体" w:eastAsia="宋体" w:cs="宋体"/>
          <w:b/>
          <w:color w:val="auto"/>
          <w:sz w:val="52"/>
          <w:highlight w:val="none"/>
        </w:rPr>
        <w:t xml:space="preserve">  </w:t>
      </w:r>
      <w:bookmarkStart w:id="15" w:name="_Toc28433"/>
      <w:r>
        <w:rPr>
          <w:rFonts w:hint="eastAsia" w:ascii="宋体" w:hAnsi="宋体" w:eastAsia="宋体" w:cs="宋体"/>
          <w:bCs/>
          <w:color w:val="auto"/>
          <w:sz w:val="36"/>
          <w:szCs w:val="36"/>
          <w:highlight w:val="none"/>
          <w:lang w:val="en-US" w:eastAsia="zh-CN"/>
        </w:rPr>
        <w:t>公开采购招标</w:t>
      </w:r>
      <w:r>
        <w:rPr>
          <w:rFonts w:hint="eastAsia" w:ascii="宋体" w:hAnsi="宋体" w:eastAsia="宋体" w:cs="宋体"/>
          <w:bCs/>
          <w:color w:val="auto"/>
          <w:sz w:val="36"/>
          <w:szCs w:val="36"/>
          <w:highlight w:val="none"/>
        </w:rPr>
        <w:t>文件</w:t>
      </w:r>
      <w:bookmarkEnd w:id="15"/>
    </w:p>
    <w:p w14:paraId="63439429">
      <w:pPr>
        <w:pageBreakBefore w:val="0"/>
        <w:widowControl w:val="0"/>
        <w:wordWrap/>
        <w:topLinePunct w:val="0"/>
        <w:bidi w:val="0"/>
        <w:spacing w:line="460" w:lineRule="exact"/>
        <w:ind w:firstLine="420" w:firstLineChars="150"/>
        <w:rPr>
          <w:rFonts w:hint="eastAsia" w:ascii="宋体" w:hAnsi="宋体" w:eastAsia="宋体" w:cs="宋体"/>
          <w:bCs/>
          <w:color w:val="auto"/>
          <w:sz w:val="28"/>
          <w:szCs w:val="28"/>
          <w:highlight w:val="none"/>
          <w:lang w:val="zh-CN"/>
        </w:rPr>
      </w:pPr>
      <w:r>
        <w:rPr>
          <w:rFonts w:hint="eastAsia" w:ascii="宋体" w:hAnsi="宋体" w:eastAsia="宋体" w:cs="宋体"/>
          <w:bCs/>
          <w:color w:val="auto"/>
          <w:sz w:val="28"/>
          <w:szCs w:val="28"/>
          <w:highlight w:val="none"/>
          <w:lang w:val="zh-CN"/>
        </w:rPr>
        <w:t xml:space="preserve">  </w:t>
      </w:r>
    </w:p>
    <w:p w14:paraId="2B65AFC0">
      <w:pPr>
        <w:pageBreakBefore w:val="0"/>
        <w:widowControl w:val="0"/>
        <w:wordWrap/>
        <w:topLinePunct w:val="0"/>
        <w:bidi w:val="0"/>
        <w:spacing w:line="460" w:lineRule="exact"/>
        <w:ind w:firstLine="420" w:firstLineChars="150"/>
        <w:rPr>
          <w:rFonts w:hint="eastAsia" w:ascii="宋体" w:hAnsi="宋体" w:eastAsia="宋体" w:cs="宋体"/>
          <w:bCs/>
          <w:color w:val="auto"/>
          <w:sz w:val="28"/>
          <w:szCs w:val="28"/>
          <w:highlight w:val="none"/>
          <w:lang w:val="zh-CN"/>
        </w:rPr>
      </w:pPr>
    </w:p>
    <w:p w14:paraId="47BBE0F6">
      <w:pPr>
        <w:pStyle w:val="6"/>
        <w:pageBreakBefore w:val="0"/>
        <w:widowControl w:val="0"/>
        <w:wordWrap/>
        <w:topLinePunct w:val="0"/>
        <w:bidi w:val="0"/>
        <w:rPr>
          <w:rFonts w:hint="eastAsia" w:ascii="宋体" w:hAnsi="宋体" w:eastAsia="宋体" w:cs="宋体"/>
          <w:color w:val="auto"/>
          <w:highlight w:val="none"/>
          <w:lang w:val="zh-CN"/>
        </w:rPr>
      </w:pPr>
    </w:p>
    <w:p w14:paraId="6A6D8528">
      <w:pPr>
        <w:pageBreakBefore w:val="0"/>
        <w:widowControl w:val="0"/>
        <w:wordWrap/>
        <w:topLinePunct w:val="0"/>
        <w:bidi w:val="0"/>
        <w:spacing w:line="460" w:lineRule="exact"/>
        <w:jc w:val="left"/>
        <w:rPr>
          <w:rFonts w:hint="eastAsia" w:ascii="宋体" w:hAnsi="宋体" w:eastAsia="宋体" w:cs="宋体"/>
          <w:bCs/>
          <w:color w:val="auto"/>
          <w:sz w:val="28"/>
          <w:szCs w:val="28"/>
          <w:highlight w:val="none"/>
          <w:lang w:val="zh-CN"/>
        </w:rPr>
      </w:pPr>
    </w:p>
    <w:p w14:paraId="6873C4CC">
      <w:pPr>
        <w:pStyle w:val="21"/>
        <w:pageBreakBefore w:val="0"/>
        <w:widowControl w:val="0"/>
        <w:wordWrap/>
        <w:topLinePunct w:val="0"/>
        <w:bidi w:val="0"/>
        <w:ind w:left="0" w:leftChars="0" w:firstLine="0" w:firstLineChars="0"/>
        <w:rPr>
          <w:rFonts w:hint="default"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zh-CN"/>
        </w:rPr>
        <w:t>项目名称:</w:t>
      </w:r>
      <w:r>
        <w:rPr>
          <w:rFonts w:hint="eastAsia" w:ascii="宋体" w:hAnsi="宋体" w:cs="宋体"/>
          <w:bCs/>
          <w:color w:val="auto"/>
          <w:sz w:val="28"/>
          <w:szCs w:val="28"/>
          <w:highlight w:val="none"/>
          <w:lang w:val="zh-CN"/>
        </w:rPr>
        <w:t>吉木乃县人民医院建设项目-医疗设备采购（包七）</w:t>
      </w:r>
    </w:p>
    <w:p w14:paraId="51F26960">
      <w:pPr>
        <w:pStyle w:val="21"/>
        <w:pageBreakBefore w:val="0"/>
        <w:widowControl w:val="0"/>
        <w:wordWrap/>
        <w:topLinePunct w:val="0"/>
        <w:bidi w:val="0"/>
        <w:ind w:firstLine="540"/>
        <w:rPr>
          <w:rFonts w:hint="eastAsia" w:ascii="宋体" w:hAnsi="宋体" w:eastAsia="宋体" w:cs="宋体"/>
          <w:color w:val="auto"/>
          <w:kern w:val="0"/>
          <w:szCs w:val="21"/>
          <w:highlight w:val="none"/>
          <w:lang w:val="zh-CN"/>
        </w:rPr>
      </w:pPr>
    </w:p>
    <w:p w14:paraId="49411A2B">
      <w:pPr>
        <w:pageBreakBefore w:val="0"/>
        <w:widowControl w:val="0"/>
        <w:wordWrap/>
        <w:topLinePunct w:val="0"/>
        <w:bidi w:val="0"/>
        <w:spacing w:line="460" w:lineRule="exact"/>
        <w:jc w:val="left"/>
        <w:rPr>
          <w:rFonts w:hint="eastAsia" w:ascii="宋体" w:hAnsi="宋体" w:eastAsia="宋体" w:cs="宋体"/>
          <w:bCs/>
          <w:color w:val="auto"/>
          <w:sz w:val="28"/>
          <w:szCs w:val="28"/>
          <w:highlight w:val="none"/>
          <w:lang w:val="zh-CN"/>
        </w:rPr>
      </w:pPr>
      <w:r>
        <w:rPr>
          <w:rFonts w:hint="eastAsia" w:ascii="宋体" w:hAnsi="宋体" w:eastAsia="宋体" w:cs="宋体"/>
          <w:bCs/>
          <w:color w:val="auto"/>
          <w:sz w:val="28"/>
          <w:szCs w:val="28"/>
          <w:highlight w:val="none"/>
          <w:lang w:val="en-US" w:eastAsia="zh-CN"/>
        </w:rPr>
        <w:t>招标</w:t>
      </w:r>
      <w:r>
        <w:rPr>
          <w:rFonts w:hint="eastAsia" w:ascii="宋体" w:hAnsi="宋体" w:eastAsia="宋体" w:cs="宋体"/>
          <w:bCs/>
          <w:color w:val="auto"/>
          <w:sz w:val="28"/>
          <w:szCs w:val="28"/>
          <w:highlight w:val="none"/>
          <w:lang w:val="zh-CN"/>
        </w:rPr>
        <w:t>单位：</w:t>
      </w:r>
      <w:r>
        <w:rPr>
          <w:rFonts w:hint="eastAsia" w:ascii="宋体" w:hAnsi="宋体" w:cs="宋体"/>
          <w:bCs/>
          <w:color w:val="auto"/>
          <w:sz w:val="28"/>
          <w:szCs w:val="28"/>
          <w:highlight w:val="none"/>
          <w:lang w:val="zh-CN"/>
        </w:rPr>
        <w:t>吉木乃县人民医院</w:t>
      </w:r>
    </w:p>
    <w:p w14:paraId="644F63DD">
      <w:pPr>
        <w:pageBreakBefore w:val="0"/>
        <w:widowControl w:val="0"/>
        <w:wordWrap/>
        <w:topLinePunct w:val="0"/>
        <w:bidi w:val="0"/>
        <w:spacing w:line="460" w:lineRule="exact"/>
        <w:ind w:firstLine="560"/>
        <w:jc w:val="left"/>
        <w:rPr>
          <w:rFonts w:hint="eastAsia" w:ascii="宋体" w:hAnsi="宋体" w:eastAsia="宋体" w:cs="宋体"/>
          <w:bCs/>
          <w:color w:val="auto"/>
          <w:sz w:val="28"/>
          <w:szCs w:val="28"/>
          <w:highlight w:val="none"/>
          <w:lang w:val="zh-CN"/>
        </w:rPr>
      </w:pPr>
    </w:p>
    <w:p w14:paraId="55C79C27">
      <w:pPr>
        <w:pageBreakBefore w:val="0"/>
        <w:widowControl w:val="0"/>
        <w:wordWrap/>
        <w:topLinePunct w:val="0"/>
        <w:autoSpaceDE w:val="0"/>
        <w:autoSpaceDN w:val="0"/>
        <w:bidi w:val="0"/>
        <w:adjustRightInd w:val="0"/>
        <w:spacing w:line="460" w:lineRule="exact"/>
        <w:rPr>
          <w:rFonts w:hint="default"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zh-CN"/>
        </w:rPr>
        <w:t>联 系 人：阿黑哈提</w:t>
      </w:r>
      <w:r>
        <w:rPr>
          <w:rFonts w:hint="eastAsia" w:ascii="宋体" w:hAnsi="宋体" w:eastAsia="宋体" w:cs="宋体"/>
          <w:bCs/>
          <w:color w:val="auto"/>
          <w:sz w:val="28"/>
          <w:szCs w:val="28"/>
          <w:highlight w:val="none"/>
          <w:lang w:val="en-US" w:eastAsia="zh-CN"/>
        </w:rPr>
        <w:t xml:space="preserve"> </w:t>
      </w:r>
    </w:p>
    <w:p w14:paraId="3DF1BA7C">
      <w:pPr>
        <w:pStyle w:val="21"/>
        <w:pageBreakBefore w:val="0"/>
        <w:widowControl w:val="0"/>
        <w:wordWrap/>
        <w:topLinePunct w:val="0"/>
        <w:bidi w:val="0"/>
        <w:ind w:firstLine="540"/>
        <w:rPr>
          <w:rFonts w:hint="eastAsia" w:ascii="宋体" w:hAnsi="宋体" w:eastAsia="宋体" w:cs="宋体"/>
          <w:color w:val="auto"/>
          <w:highlight w:val="none"/>
        </w:rPr>
      </w:pPr>
    </w:p>
    <w:p w14:paraId="59C80779">
      <w:pPr>
        <w:pageBreakBefore w:val="0"/>
        <w:widowControl w:val="0"/>
        <w:wordWrap/>
        <w:topLinePunct w:val="0"/>
        <w:autoSpaceDE w:val="0"/>
        <w:autoSpaceDN w:val="0"/>
        <w:bidi w:val="0"/>
        <w:adjustRightInd w:val="0"/>
        <w:spacing w:line="460" w:lineRule="exact"/>
        <w:rPr>
          <w:rFonts w:hint="default" w:ascii="宋体" w:hAnsi="宋体" w:eastAsia="宋体" w:cs="宋体"/>
          <w:bCs/>
          <w:i/>
          <w:iCs/>
          <w:color w:val="auto"/>
          <w:sz w:val="28"/>
          <w:szCs w:val="28"/>
          <w:highlight w:val="none"/>
          <w:lang w:val="en-US" w:eastAsia="zh-CN"/>
        </w:rPr>
      </w:pPr>
      <w:r>
        <w:rPr>
          <w:rFonts w:hint="eastAsia" w:ascii="宋体" w:hAnsi="宋体" w:eastAsia="宋体" w:cs="宋体"/>
          <w:bCs/>
          <w:color w:val="auto"/>
          <w:sz w:val="28"/>
          <w:szCs w:val="28"/>
          <w:highlight w:val="none"/>
          <w:lang w:val="zh-CN"/>
        </w:rPr>
        <w:t>联系电话：</w:t>
      </w:r>
      <w:r>
        <w:rPr>
          <w:rFonts w:hint="eastAsia" w:ascii="宋体" w:hAnsi="宋体" w:eastAsia="宋体" w:cs="宋体"/>
          <w:bCs/>
          <w:color w:val="auto"/>
          <w:sz w:val="28"/>
          <w:szCs w:val="28"/>
          <w:highlight w:val="none"/>
          <w:lang w:val="en-US" w:eastAsia="zh-CN"/>
        </w:rPr>
        <w:t>18095948981</w:t>
      </w:r>
    </w:p>
    <w:p w14:paraId="0FC17C0A">
      <w:pPr>
        <w:pageBreakBefore w:val="0"/>
        <w:widowControl w:val="0"/>
        <w:wordWrap/>
        <w:topLinePunct w:val="0"/>
        <w:autoSpaceDE w:val="0"/>
        <w:autoSpaceDN w:val="0"/>
        <w:bidi w:val="0"/>
        <w:adjustRightInd w:val="0"/>
        <w:spacing w:line="460" w:lineRule="exact"/>
        <w:ind w:left="718" w:leftChars="342"/>
        <w:rPr>
          <w:rFonts w:hint="eastAsia" w:ascii="宋体" w:hAnsi="宋体" w:eastAsia="宋体" w:cs="宋体"/>
          <w:bCs/>
          <w:color w:val="auto"/>
          <w:sz w:val="28"/>
          <w:szCs w:val="28"/>
          <w:highlight w:val="none"/>
          <w:lang w:val="zh-CN"/>
        </w:rPr>
      </w:pPr>
    </w:p>
    <w:p w14:paraId="1E3CDBCF">
      <w:pPr>
        <w:pageBreakBefore w:val="0"/>
        <w:widowControl w:val="0"/>
        <w:wordWrap/>
        <w:topLinePunct w:val="0"/>
        <w:autoSpaceDE w:val="0"/>
        <w:autoSpaceDN w:val="0"/>
        <w:bidi w:val="0"/>
        <w:adjustRightInd w:val="0"/>
        <w:spacing w:line="460" w:lineRule="exact"/>
        <w:rPr>
          <w:rFonts w:hint="eastAsia" w:ascii="宋体" w:hAnsi="宋体" w:eastAsia="宋体" w:cs="宋体"/>
          <w:bCs/>
          <w:color w:val="auto"/>
          <w:sz w:val="28"/>
          <w:szCs w:val="28"/>
          <w:highlight w:val="none"/>
          <w:lang w:val="zh-CN"/>
        </w:rPr>
      </w:pPr>
      <w:r>
        <w:rPr>
          <w:rFonts w:hint="eastAsia" w:ascii="宋体" w:hAnsi="宋体" w:eastAsia="宋体" w:cs="宋体"/>
          <w:bCs/>
          <w:color w:val="auto"/>
          <w:sz w:val="28"/>
          <w:szCs w:val="28"/>
          <w:highlight w:val="none"/>
          <w:lang w:val="zh-CN"/>
        </w:rPr>
        <w:t xml:space="preserve">     </w:t>
      </w:r>
    </w:p>
    <w:p w14:paraId="46752E70">
      <w:pPr>
        <w:pageBreakBefore w:val="0"/>
        <w:widowControl w:val="0"/>
        <w:wordWrap/>
        <w:topLinePunct w:val="0"/>
        <w:autoSpaceDE w:val="0"/>
        <w:autoSpaceDN w:val="0"/>
        <w:bidi w:val="0"/>
        <w:adjustRightInd w:val="0"/>
        <w:spacing w:line="460" w:lineRule="exact"/>
        <w:jc w:val="left"/>
        <w:rPr>
          <w:rFonts w:hint="eastAsia" w:ascii="宋体" w:hAnsi="宋体" w:eastAsia="宋体" w:cs="宋体"/>
          <w:bCs/>
          <w:color w:val="auto"/>
          <w:sz w:val="30"/>
          <w:szCs w:val="30"/>
          <w:highlight w:val="none"/>
          <w:bdr w:val="single" w:color="auto" w:sz="4" w:space="0"/>
        </w:rPr>
      </w:pPr>
      <w:r>
        <w:rPr>
          <w:rFonts w:hint="eastAsia" w:ascii="宋体" w:hAnsi="宋体" w:eastAsia="宋体" w:cs="宋体"/>
          <w:bCs/>
          <w:color w:val="auto"/>
          <w:sz w:val="30"/>
          <w:szCs w:val="30"/>
          <w:highlight w:val="none"/>
          <w:bdr w:val="single" w:color="auto" w:sz="4" w:space="0"/>
        </w:rPr>
        <w:t xml:space="preserve">    </w:t>
      </w:r>
    </w:p>
    <w:p w14:paraId="41562F7D">
      <w:pPr>
        <w:pStyle w:val="6"/>
        <w:pageBreakBefore w:val="0"/>
        <w:widowControl w:val="0"/>
        <w:wordWrap/>
        <w:topLinePunct w:val="0"/>
        <w:bidi w:val="0"/>
        <w:rPr>
          <w:rFonts w:hint="eastAsia" w:ascii="宋体" w:hAnsi="宋体" w:eastAsia="宋体" w:cs="宋体"/>
          <w:color w:val="auto"/>
          <w:highlight w:val="none"/>
        </w:rPr>
      </w:pPr>
    </w:p>
    <w:p w14:paraId="6FBEF371">
      <w:pPr>
        <w:pageBreakBefore w:val="0"/>
        <w:widowControl w:val="0"/>
        <w:wordWrap/>
        <w:topLinePunct w:val="0"/>
        <w:autoSpaceDE w:val="0"/>
        <w:autoSpaceDN w:val="0"/>
        <w:bidi w:val="0"/>
        <w:adjustRightInd w:val="0"/>
        <w:spacing w:line="460" w:lineRule="exact"/>
        <w:rPr>
          <w:rFonts w:hint="eastAsia" w:ascii="宋体" w:hAnsi="宋体" w:eastAsia="宋体" w:cs="宋体"/>
          <w:bCs/>
          <w:color w:val="auto"/>
          <w:sz w:val="28"/>
          <w:szCs w:val="28"/>
          <w:highlight w:val="none"/>
        </w:rPr>
      </w:pPr>
    </w:p>
    <w:p w14:paraId="3D0C7836">
      <w:pPr>
        <w:pStyle w:val="4"/>
        <w:pageBreakBefore w:val="0"/>
        <w:widowControl w:val="0"/>
        <w:numPr>
          <w:ilvl w:val="0"/>
          <w:numId w:val="0"/>
        </w:numPr>
        <w:wordWrap/>
        <w:topLinePunct w:val="0"/>
        <w:bidi w:val="0"/>
        <w:outlineLvl w:val="9"/>
        <w:rPr>
          <w:rFonts w:hint="eastAsia" w:ascii="宋体" w:hAnsi="宋体" w:eastAsia="宋体" w:cs="宋体"/>
          <w:color w:val="auto"/>
          <w:highlight w:val="none"/>
        </w:rPr>
      </w:pPr>
    </w:p>
    <w:p w14:paraId="0638BD7E">
      <w:pPr>
        <w:pageBreakBefore w:val="0"/>
        <w:widowControl w:val="0"/>
        <w:wordWrap/>
        <w:topLinePunct w:val="0"/>
        <w:bidi w:val="0"/>
        <w:rPr>
          <w:rFonts w:hint="eastAsia" w:ascii="宋体" w:hAnsi="宋体" w:eastAsia="宋体" w:cs="宋体"/>
          <w:color w:val="auto"/>
          <w:highlight w:val="none"/>
        </w:rPr>
      </w:pPr>
    </w:p>
    <w:p w14:paraId="2638EA5E">
      <w:pPr>
        <w:pageBreakBefore w:val="0"/>
        <w:widowControl w:val="0"/>
        <w:wordWrap/>
        <w:topLinePunct w:val="0"/>
        <w:autoSpaceDE w:val="0"/>
        <w:autoSpaceDN w:val="0"/>
        <w:bidi w:val="0"/>
        <w:adjustRightInd w:val="0"/>
        <w:spacing w:line="400" w:lineRule="exact"/>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招标代理：</w:t>
      </w:r>
      <w:r>
        <w:rPr>
          <w:rFonts w:hint="eastAsia" w:ascii="宋体" w:hAnsi="宋体" w:cs="宋体"/>
          <w:bCs/>
          <w:color w:val="auto"/>
          <w:sz w:val="28"/>
          <w:szCs w:val="28"/>
          <w:highlight w:val="none"/>
          <w:lang w:val="en-US" w:eastAsia="zh-CN"/>
        </w:rPr>
        <w:t>新疆新建联项目管理咨询有限公司</w:t>
      </w:r>
    </w:p>
    <w:p w14:paraId="5DE57271">
      <w:pPr>
        <w:pageBreakBefore w:val="0"/>
        <w:widowControl w:val="0"/>
        <w:wordWrap/>
        <w:topLinePunct w:val="0"/>
        <w:autoSpaceDE w:val="0"/>
        <w:autoSpaceDN w:val="0"/>
        <w:bidi w:val="0"/>
        <w:adjustRightInd w:val="0"/>
        <w:spacing w:line="400" w:lineRule="exact"/>
        <w:ind w:firstLine="570"/>
        <w:rPr>
          <w:rFonts w:hint="eastAsia" w:ascii="宋体" w:hAnsi="宋体" w:eastAsia="宋体" w:cs="宋体"/>
          <w:bCs/>
          <w:color w:val="auto"/>
          <w:sz w:val="28"/>
          <w:szCs w:val="28"/>
          <w:highlight w:val="none"/>
        </w:rPr>
      </w:pPr>
    </w:p>
    <w:p w14:paraId="439EB783">
      <w:pPr>
        <w:pageBreakBefore w:val="0"/>
        <w:widowControl w:val="0"/>
        <w:wordWrap/>
        <w:topLinePunct w:val="0"/>
        <w:autoSpaceDE w:val="0"/>
        <w:autoSpaceDN w:val="0"/>
        <w:bidi w:val="0"/>
        <w:adjustRightInd w:val="0"/>
        <w:spacing w:line="400" w:lineRule="exact"/>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 xml:space="preserve">联 系 人：杨鹏 </w:t>
      </w:r>
    </w:p>
    <w:p w14:paraId="773DC0BE">
      <w:pPr>
        <w:pageBreakBefore w:val="0"/>
        <w:widowControl w:val="0"/>
        <w:wordWrap/>
        <w:topLinePunct w:val="0"/>
        <w:autoSpaceDE w:val="0"/>
        <w:autoSpaceDN w:val="0"/>
        <w:bidi w:val="0"/>
        <w:adjustRightInd w:val="0"/>
        <w:spacing w:line="400" w:lineRule="exact"/>
        <w:rPr>
          <w:rFonts w:hint="eastAsia" w:ascii="宋体" w:hAnsi="宋体" w:eastAsia="宋体" w:cs="宋体"/>
          <w:bCs/>
          <w:color w:val="auto"/>
          <w:sz w:val="28"/>
          <w:szCs w:val="28"/>
          <w:highlight w:val="none"/>
          <w:lang w:val="en-US" w:eastAsia="zh-CN"/>
        </w:rPr>
      </w:pPr>
    </w:p>
    <w:p w14:paraId="3E04AB58">
      <w:pPr>
        <w:pageBreakBefore w:val="0"/>
        <w:widowControl w:val="0"/>
        <w:wordWrap/>
        <w:topLinePunct w:val="0"/>
        <w:autoSpaceDE w:val="0"/>
        <w:autoSpaceDN w:val="0"/>
        <w:bidi w:val="0"/>
        <w:adjustRightInd w:val="0"/>
        <w:spacing w:line="400" w:lineRule="exact"/>
        <w:rPr>
          <w:rFonts w:hint="default"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联系电话：15276787839</w:t>
      </w:r>
    </w:p>
    <w:p w14:paraId="62AA01BB">
      <w:pPr>
        <w:pageBreakBefore w:val="0"/>
        <w:widowControl w:val="0"/>
        <w:wordWrap/>
        <w:topLinePunct w:val="0"/>
        <w:autoSpaceDE w:val="0"/>
        <w:autoSpaceDN w:val="0"/>
        <w:bidi w:val="0"/>
        <w:adjustRightInd w:val="0"/>
        <w:spacing w:line="400" w:lineRule="exact"/>
        <w:ind w:firstLine="840" w:firstLineChars="300"/>
        <w:rPr>
          <w:rFonts w:hint="eastAsia" w:ascii="宋体" w:hAnsi="宋体" w:eastAsia="宋体" w:cs="宋体"/>
          <w:bCs/>
          <w:color w:val="auto"/>
          <w:sz w:val="28"/>
          <w:szCs w:val="28"/>
          <w:highlight w:val="none"/>
        </w:rPr>
      </w:pPr>
    </w:p>
    <w:p w14:paraId="6390D7DF">
      <w:pPr>
        <w:pageBreakBefore w:val="0"/>
        <w:widowControl w:val="0"/>
        <w:wordWrap/>
        <w:topLinePunct w:val="0"/>
        <w:bidi w:val="0"/>
        <w:rPr>
          <w:rFonts w:hint="default"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地    址：</w:t>
      </w:r>
      <w:r>
        <w:rPr>
          <w:rFonts w:hint="eastAsia" w:ascii="宋体" w:hAnsi="宋体" w:eastAsia="宋体" w:cs="宋体"/>
          <w:bCs/>
          <w:color w:val="auto"/>
          <w:sz w:val="28"/>
          <w:szCs w:val="28"/>
          <w:highlight w:val="none"/>
          <w:lang w:val="en-US" w:eastAsia="zh-CN"/>
        </w:rPr>
        <w:t>阿勒泰市文化路6区</w:t>
      </w:r>
    </w:p>
    <w:p w14:paraId="727D5DBB">
      <w:pPr>
        <w:pageBreakBefore w:val="0"/>
        <w:widowControl w:val="0"/>
        <w:tabs>
          <w:tab w:val="left" w:pos="1541"/>
          <w:tab w:val="center" w:pos="4216"/>
        </w:tabs>
        <w:wordWrap/>
        <w:topLinePunct w:val="0"/>
        <w:bidi w:val="0"/>
        <w:jc w:val="center"/>
        <w:rPr>
          <w:rFonts w:hint="eastAsia" w:ascii="宋体" w:hAnsi="宋体" w:cs="黑体"/>
          <w:b/>
          <w:sz w:val="32"/>
          <w:szCs w:val="32"/>
          <w:highlight w:val="none"/>
        </w:rPr>
      </w:pPr>
    </w:p>
    <w:p w14:paraId="36B3DBCD">
      <w:pPr>
        <w:pageBreakBefore w:val="0"/>
        <w:widowControl w:val="0"/>
        <w:tabs>
          <w:tab w:val="left" w:pos="1541"/>
          <w:tab w:val="center" w:pos="4216"/>
        </w:tabs>
        <w:wordWrap/>
        <w:topLinePunct w:val="0"/>
        <w:bidi w:val="0"/>
        <w:jc w:val="center"/>
        <w:rPr>
          <w:rFonts w:hint="eastAsia" w:ascii="宋体" w:hAnsi="宋体" w:cs="黑体"/>
          <w:b/>
          <w:sz w:val="32"/>
          <w:szCs w:val="32"/>
          <w:highlight w:val="none"/>
        </w:rPr>
      </w:pPr>
    </w:p>
    <w:p w14:paraId="4E94A15F">
      <w:pPr>
        <w:pStyle w:val="28"/>
        <w:rPr>
          <w:rFonts w:hint="eastAsia" w:ascii="宋体" w:hAnsi="宋体" w:cs="黑体"/>
          <w:b/>
          <w:sz w:val="32"/>
          <w:szCs w:val="32"/>
          <w:highlight w:val="none"/>
        </w:rPr>
      </w:pPr>
    </w:p>
    <w:p w14:paraId="7817B9B1">
      <w:pPr>
        <w:pStyle w:val="28"/>
        <w:jc w:val="both"/>
        <w:rPr>
          <w:rFonts w:hint="eastAsia" w:ascii="宋体" w:hAnsi="宋体" w:cs="黑体"/>
          <w:b/>
          <w:sz w:val="32"/>
          <w:szCs w:val="32"/>
          <w:highlight w:val="none"/>
        </w:rPr>
      </w:pPr>
    </w:p>
    <w:p w14:paraId="18AFF7AD">
      <w:pPr>
        <w:pStyle w:val="3"/>
        <w:rPr>
          <w:rFonts w:hint="eastAsia"/>
        </w:rPr>
      </w:pPr>
    </w:p>
    <w:p w14:paraId="0B0FB191">
      <w:pPr>
        <w:pageBreakBefore w:val="0"/>
        <w:widowControl w:val="0"/>
        <w:tabs>
          <w:tab w:val="left" w:pos="1541"/>
          <w:tab w:val="center" w:pos="4216"/>
        </w:tabs>
        <w:wordWrap/>
        <w:topLinePunct w:val="0"/>
        <w:bidi w:val="0"/>
        <w:jc w:val="center"/>
        <w:rPr>
          <w:rFonts w:hint="eastAsia" w:ascii="宋体" w:hAnsi="宋体" w:cs="黑体"/>
          <w:b/>
          <w:sz w:val="32"/>
          <w:szCs w:val="32"/>
          <w:highlight w:val="none"/>
        </w:rPr>
      </w:pPr>
    </w:p>
    <w:p w14:paraId="190BFB61">
      <w:pPr>
        <w:pageBreakBefore w:val="0"/>
        <w:widowControl w:val="0"/>
        <w:tabs>
          <w:tab w:val="left" w:pos="1541"/>
          <w:tab w:val="center" w:pos="4216"/>
        </w:tabs>
        <w:wordWrap/>
        <w:topLinePunct w:val="0"/>
        <w:bidi w:val="0"/>
        <w:jc w:val="center"/>
        <w:rPr>
          <w:rFonts w:hint="eastAsia" w:ascii="宋体" w:hAnsi="宋体" w:cs="黑体"/>
          <w:b/>
          <w:sz w:val="32"/>
          <w:szCs w:val="32"/>
          <w:highlight w:val="none"/>
        </w:rPr>
      </w:pPr>
    </w:p>
    <w:p w14:paraId="554591C1">
      <w:pPr>
        <w:pageBreakBefore w:val="0"/>
        <w:widowControl w:val="0"/>
        <w:tabs>
          <w:tab w:val="left" w:pos="1541"/>
          <w:tab w:val="center" w:pos="4216"/>
        </w:tabs>
        <w:wordWrap/>
        <w:topLinePunct w:val="0"/>
        <w:bidi w:val="0"/>
        <w:jc w:val="center"/>
        <w:rPr>
          <w:rFonts w:hint="eastAsia" w:ascii="宋体" w:hAnsi="宋体" w:cs="黑体"/>
          <w:b/>
          <w:sz w:val="32"/>
          <w:szCs w:val="32"/>
          <w:highlight w:val="none"/>
        </w:rPr>
      </w:pPr>
    </w:p>
    <w:p w14:paraId="610747A4">
      <w:pPr>
        <w:pageBreakBefore w:val="0"/>
        <w:widowControl w:val="0"/>
        <w:tabs>
          <w:tab w:val="left" w:pos="1541"/>
          <w:tab w:val="center" w:pos="4216"/>
        </w:tabs>
        <w:wordWrap/>
        <w:topLinePunct w:val="0"/>
        <w:bidi w:val="0"/>
        <w:jc w:val="center"/>
        <w:rPr>
          <w:rFonts w:hint="eastAsia" w:ascii="宋体" w:hAnsi="宋体" w:cs="黑体"/>
          <w:b/>
          <w:sz w:val="32"/>
          <w:szCs w:val="32"/>
          <w:highlight w:val="none"/>
        </w:rPr>
      </w:pPr>
      <w:r>
        <w:rPr>
          <w:rFonts w:hint="eastAsia" w:ascii="宋体" w:hAnsi="宋体" w:cs="黑体"/>
          <w:b/>
          <w:sz w:val="32"/>
          <w:szCs w:val="32"/>
          <w:highlight w:val="none"/>
        </w:rPr>
        <w:t>目 录</w:t>
      </w:r>
    </w:p>
    <w:p w14:paraId="6EC1C4CA">
      <w:pPr>
        <w:spacing w:before="0" w:beforeLines="0" w:after="0" w:afterLines="0" w:line="240" w:lineRule="auto"/>
        <w:ind w:left="0" w:leftChars="0" w:right="0" w:rightChars="0" w:firstLine="0" w:firstLineChars="0"/>
        <w:jc w:val="center"/>
      </w:pPr>
    </w:p>
    <w:p w14:paraId="752285C3">
      <w:pPr>
        <w:pStyle w:val="29"/>
        <w:tabs>
          <w:tab w:val="right" w:leader="dot" w:pos="8312"/>
        </w:tabs>
      </w:pPr>
      <w:r>
        <w:fldChar w:fldCharType="begin"/>
      </w:r>
      <w:r>
        <w:instrText xml:space="preserve">TOC \o "1-1" \h \u </w:instrText>
      </w:r>
      <w:r>
        <w:fldChar w:fldCharType="separate"/>
      </w:r>
    </w:p>
    <w:p w14:paraId="35B98F11">
      <w:pPr>
        <w:pStyle w:val="29"/>
        <w:keepNext w:val="0"/>
        <w:keepLines w:val="0"/>
        <w:pageBreakBefore w:val="0"/>
        <w:widowControl/>
        <w:tabs>
          <w:tab w:val="right" w:leader="dot" w:pos="8312"/>
        </w:tabs>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_Toc18550 </w:instrText>
      </w:r>
      <w:r>
        <w:rPr>
          <w:rFonts w:hint="eastAsia" w:ascii="宋体" w:hAnsi="宋体" w:eastAsia="宋体" w:cs="宋体"/>
          <w:sz w:val="28"/>
          <w:szCs w:val="28"/>
        </w:rPr>
        <w:fldChar w:fldCharType="separate"/>
      </w:r>
      <w:r>
        <w:rPr>
          <w:rFonts w:hint="eastAsia" w:ascii="宋体" w:hAnsi="宋体" w:eastAsia="宋体" w:cs="宋体"/>
          <w:sz w:val="28"/>
          <w:szCs w:val="28"/>
          <w:highlight w:val="none"/>
        </w:rPr>
        <w:t>招标公告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_Toc18550 \h </w:instrText>
      </w:r>
      <w:r>
        <w:rPr>
          <w:rFonts w:hint="eastAsia" w:ascii="宋体" w:hAnsi="宋体" w:eastAsia="宋体" w:cs="宋体"/>
          <w:sz w:val="28"/>
          <w:szCs w:val="28"/>
        </w:rPr>
        <w:fldChar w:fldCharType="separate"/>
      </w:r>
      <w:r>
        <w:rPr>
          <w:rFonts w:hint="eastAsia" w:ascii="宋体" w:hAnsi="宋体" w:eastAsia="宋体" w:cs="宋体"/>
          <w:sz w:val="28"/>
          <w:szCs w:val="28"/>
        </w:rPr>
        <w:t>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4713C4B4">
      <w:pPr>
        <w:pStyle w:val="29"/>
        <w:keepNext w:val="0"/>
        <w:keepLines w:val="0"/>
        <w:pageBreakBefore w:val="0"/>
        <w:widowControl/>
        <w:tabs>
          <w:tab w:val="right" w:leader="dot" w:pos="8312"/>
        </w:tabs>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_Toc17321 </w:instrText>
      </w:r>
      <w:r>
        <w:rPr>
          <w:rFonts w:hint="eastAsia" w:ascii="宋体" w:hAnsi="宋体" w:eastAsia="宋体" w:cs="宋体"/>
          <w:sz w:val="28"/>
          <w:szCs w:val="28"/>
        </w:rPr>
        <w:fldChar w:fldCharType="separate"/>
      </w:r>
      <w:r>
        <w:rPr>
          <w:rFonts w:hint="eastAsia" w:ascii="宋体" w:hAnsi="宋体" w:eastAsia="宋体" w:cs="宋体"/>
          <w:bCs/>
          <w:w w:val="100"/>
          <w:sz w:val="28"/>
          <w:szCs w:val="28"/>
          <w:highlight w:val="none"/>
        </w:rPr>
        <w:t>第</w:t>
      </w:r>
      <w:r>
        <w:rPr>
          <w:rFonts w:hint="eastAsia" w:ascii="宋体" w:hAnsi="宋体" w:eastAsia="宋体" w:cs="宋体"/>
          <w:bCs/>
          <w:w w:val="100"/>
          <w:sz w:val="28"/>
          <w:szCs w:val="28"/>
          <w:highlight w:val="none"/>
          <w:lang w:val="en-US" w:eastAsia="zh-CN"/>
        </w:rPr>
        <w:t>一章</w:t>
      </w:r>
      <w:r>
        <w:rPr>
          <w:rFonts w:hint="eastAsia" w:ascii="宋体" w:hAnsi="宋体" w:eastAsia="宋体" w:cs="宋体"/>
          <w:bCs/>
          <w:w w:val="100"/>
          <w:sz w:val="28"/>
          <w:szCs w:val="28"/>
          <w:highlight w:val="none"/>
        </w:rPr>
        <w:t xml:space="preserve"> </w:t>
      </w:r>
      <w:r>
        <w:rPr>
          <w:rFonts w:hint="eastAsia" w:ascii="宋体" w:hAnsi="宋体" w:eastAsia="宋体" w:cs="宋体"/>
          <w:bCs/>
          <w:w w:val="100"/>
          <w:sz w:val="28"/>
          <w:szCs w:val="28"/>
          <w:highlight w:val="none"/>
          <w:lang w:eastAsia="zh-CN"/>
        </w:rPr>
        <w:t>供应商</w:t>
      </w:r>
      <w:r>
        <w:rPr>
          <w:rFonts w:hint="eastAsia" w:ascii="宋体" w:hAnsi="宋体" w:eastAsia="宋体" w:cs="宋体"/>
          <w:bCs/>
          <w:w w:val="100"/>
          <w:sz w:val="28"/>
          <w:szCs w:val="28"/>
          <w:highlight w:val="none"/>
        </w:rPr>
        <w:t>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_Toc17321 \h </w:instrText>
      </w:r>
      <w:r>
        <w:rPr>
          <w:rFonts w:hint="eastAsia" w:ascii="宋体" w:hAnsi="宋体" w:eastAsia="宋体" w:cs="宋体"/>
          <w:sz w:val="28"/>
          <w:szCs w:val="28"/>
        </w:rPr>
        <w:fldChar w:fldCharType="separate"/>
      </w:r>
      <w:r>
        <w:rPr>
          <w:rFonts w:hint="eastAsia" w:ascii="宋体" w:hAnsi="宋体" w:eastAsia="宋体" w:cs="宋体"/>
          <w:sz w:val="28"/>
          <w:szCs w:val="28"/>
        </w:rPr>
        <w:t>9</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239B4B94">
      <w:pPr>
        <w:pStyle w:val="29"/>
        <w:keepNext w:val="0"/>
        <w:keepLines w:val="0"/>
        <w:pageBreakBefore w:val="0"/>
        <w:widowControl/>
        <w:tabs>
          <w:tab w:val="right" w:leader="dot" w:pos="8312"/>
        </w:tabs>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_Toc20651 </w:instrText>
      </w:r>
      <w:r>
        <w:rPr>
          <w:rFonts w:hint="eastAsia" w:ascii="宋体" w:hAnsi="宋体" w:eastAsia="宋体" w:cs="宋体"/>
          <w:sz w:val="28"/>
          <w:szCs w:val="28"/>
        </w:rPr>
        <w:fldChar w:fldCharType="separate"/>
      </w:r>
      <w:r>
        <w:rPr>
          <w:rFonts w:hint="eastAsia" w:ascii="宋体" w:hAnsi="宋体" w:eastAsia="宋体" w:cs="宋体"/>
          <w:sz w:val="28"/>
          <w:szCs w:val="28"/>
          <w:highlight w:val="none"/>
        </w:rPr>
        <w:t>第二章 投标须知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_Toc20651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52BFDF9E">
      <w:pPr>
        <w:pStyle w:val="29"/>
        <w:keepNext w:val="0"/>
        <w:keepLines w:val="0"/>
        <w:pageBreakBefore w:val="0"/>
        <w:widowControl/>
        <w:tabs>
          <w:tab w:val="right" w:leader="dot" w:pos="8312"/>
        </w:tabs>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_Toc16855 </w:instrText>
      </w:r>
      <w:r>
        <w:rPr>
          <w:rFonts w:hint="eastAsia" w:ascii="宋体" w:hAnsi="宋体" w:eastAsia="宋体" w:cs="宋体"/>
          <w:sz w:val="28"/>
          <w:szCs w:val="28"/>
        </w:rPr>
        <w:fldChar w:fldCharType="separate"/>
      </w:r>
      <w:r>
        <w:rPr>
          <w:rFonts w:hint="eastAsia" w:ascii="宋体" w:hAnsi="宋体" w:eastAsia="宋体" w:cs="宋体"/>
          <w:sz w:val="28"/>
          <w:szCs w:val="28"/>
          <w:lang w:val="en-US" w:eastAsia="zh-CN"/>
        </w:rPr>
        <w:t xml:space="preserve">第三章 </w:t>
      </w:r>
      <w:r>
        <w:rPr>
          <w:rFonts w:hint="eastAsia" w:ascii="宋体" w:hAnsi="宋体" w:eastAsia="宋体" w:cs="宋体"/>
          <w:sz w:val="28"/>
          <w:szCs w:val="28"/>
          <w:highlight w:val="none"/>
          <w:lang w:val="en-US" w:eastAsia="zh-CN"/>
        </w:rPr>
        <w:t>采购需求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_Toc16855 \h </w:instrText>
      </w:r>
      <w:r>
        <w:rPr>
          <w:rFonts w:hint="eastAsia" w:ascii="宋体" w:hAnsi="宋体" w:eastAsia="宋体" w:cs="宋体"/>
          <w:sz w:val="28"/>
          <w:szCs w:val="28"/>
        </w:rPr>
        <w:fldChar w:fldCharType="separate"/>
      </w:r>
      <w:r>
        <w:rPr>
          <w:rFonts w:hint="eastAsia" w:ascii="宋体" w:hAnsi="宋体" w:eastAsia="宋体" w:cs="宋体"/>
          <w:sz w:val="28"/>
          <w:szCs w:val="28"/>
        </w:rPr>
        <w:t>43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4E306FF0">
      <w:pPr>
        <w:pStyle w:val="29"/>
        <w:keepNext w:val="0"/>
        <w:keepLines w:val="0"/>
        <w:pageBreakBefore w:val="0"/>
        <w:widowControl/>
        <w:tabs>
          <w:tab w:val="right" w:leader="dot" w:pos="8312"/>
        </w:tabs>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_Toc13557 </w:instrText>
      </w:r>
      <w:r>
        <w:rPr>
          <w:rFonts w:hint="eastAsia" w:ascii="宋体" w:hAnsi="宋体" w:eastAsia="宋体" w:cs="宋体"/>
          <w:sz w:val="28"/>
          <w:szCs w:val="28"/>
        </w:rPr>
        <w:fldChar w:fldCharType="separate"/>
      </w:r>
      <w:r>
        <w:rPr>
          <w:rFonts w:hint="eastAsia" w:ascii="宋体" w:hAnsi="宋体" w:eastAsia="宋体" w:cs="宋体"/>
          <w:bCs w:val="0"/>
          <w:sz w:val="28"/>
          <w:szCs w:val="28"/>
          <w:highlight w:val="none"/>
        </w:rPr>
        <w:t>第</w:t>
      </w:r>
      <w:r>
        <w:rPr>
          <w:rFonts w:hint="eastAsia" w:ascii="宋体" w:hAnsi="宋体" w:eastAsia="宋体" w:cs="宋体"/>
          <w:bCs w:val="0"/>
          <w:sz w:val="28"/>
          <w:szCs w:val="28"/>
          <w:highlight w:val="none"/>
          <w:lang w:val="en-US" w:eastAsia="zh-CN"/>
        </w:rPr>
        <w:t>四章</w:t>
      </w:r>
      <w:r>
        <w:rPr>
          <w:rFonts w:hint="eastAsia" w:ascii="宋体" w:hAnsi="宋体" w:eastAsia="宋体" w:cs="宋体"/>
          <w:bCs w:val="0"/>
          <w:sz w:val="28"/>
          <w:szCs w:val="28"/>
          <w:highlight w:val="none"/>
        </w:rPr>
        <w:t xml:space="preserve"> </w:t>
      </w:r>
      <w:r>
        <w:rPr>
          <w:rFonts w:hint="eastAsia" w:ascii="宋体" w:hAnsi="宋体" w:eastAsia="宋体" w:cs="宋体"/>
          <w:spacing w:val="-4"/>
          <w:sz w:val="28"/>
          <w:szCs w:val="28"/>
          <w:highlight w:val="none"/>
          <w:lang w:val="en-US" w:eastAsia="zh-CN"/>
        </w:rPr>
        <w:t>合同条款（仅供参考）</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_Toc13557 \h </w:instrText>
      </w:r>
      <w:r>
        <w:rPr>
          <w:rFonts w:hint="eastAsia" w:ascii="宋体" w:hAnsi="宋体" w:eastAsia="宋体" w:cs="宋体"/>
          <w:sz w:val="28"/>
          <w:szCs w:val="28"/>
        </w:rPr>
        <w:fldChar w:fldCharType="separate"/>
      </w:r>
      <w:r>
        <w:rPr>
          <w:rFonts w:hint="eastAsia" w:ascii="宋体" w:hAnsi="宋体" w:eastAsia="宋体" w:cs="宋体"/>
          <w:sz w:val="28"/>
          <w:szCs w:val="28"/>
        </w:rPr>
        <w:t>50</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756BAEAB">
      <w:pPr>
        <w:pStyle w:val="29"/>
        <w:keepNext w:val="0"/>
        <w:keepLines w:val="0"/>
        <w:pageBreakBefore w:val="0"/>
        <w:widowControl/>
        <w:tabs>
          <w:tab w:val="right" w:leader="dot" w:pos="8312"/>
        </w:tabs>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_Toc4164 </w:instrText>
      </w:r>
      <w:r>
        <w:rPr>
          <w:rFonts w:hint="eastAsia" w:ascii="宋体" w:hAnsi="宋体" w:eastAsia="宋体" w:cs="宋体"/>
          <w:sz w:val="28"/>
          <w:szCs w:val="28"/>
        </w:rPr>
        <w:fldChar w:fldCharType="separate"/>
      </w:r>
      <w:r>
        <w:rPr>
          <w:rFonts w:hint="eastAsia" w:ascii="宋体" w:hAnsi="宋体" w:eastAsia="宋体" w:cs="宋体"/>
          <w:sz w:val="28"/>
          <w:szCs w:val="28"/>
          <w:highlight w:val="none"/>
        </w:rPr>
        <w:t>第</w:t>
      </w:r>
      <w:r>
        <w:rPr>
          <w:rFonts w:hint="eastAsia" w:ascii="宋体" w:hAnsi="宋体" w:eastAsia="宋体" w:cs="宋体"/>
          <w:sz w:val="28"/>
          <w:szCs w:val="28"/>
          <w:highlight w:val="none"/>
          <w:lang w:val="en-US" w:eastAsia="zh-CN"/>
        </w:rPr>
        <w:t>五</w:t>
      </w:r>
      <w:r>
        <w:rPr>
          <w:rFonts w:hint="eastAsia" w:ascii="宋体" w:hAnsi="宋体" w:eastAsia="宋体" w:cs="宋体"/>
          <w:sz w:val="28"/>
          <w:szCs w:val="28"/>
          <w:highlight w:val="none"/>
        </w:rPr>
        <w:t>章 投标文件格式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_Toc4164 \h </w:instrText>
      </w:r>
      <w:r>
        <w:rPr>
          <w:rFonts w:hint="eastAsia" w:ascii="宋体" w:hAnsi="宋体" w:eastAsia="宋体" w:cs="宋体"/>
          <w:sz w:val="28"/>
          <w:szCs w:val="28"/>
        </w:rPr>
        <w:fldChar w:fldCharType="separate"/>
      </w:r>
      <w:r>
        <w:rPr>
          <w:rFonts w:hint="eastAsia" w:ascii="宋体" w:hAnsi="宋体" w:eastAsia="宋体" w:cs="宋体"/>
          <w:sz w:val="28"/>
          <w:szCs w:val="28"/>
        </w:rPr>
        <w:t>62</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10E06D1A">
      <w:pPr>
        <w:pStyle w:val="29"/>
        <w:tabs>
          <w:tab w:val="right" w:leader="dot" w:pos="8312"/>
        </w:tabs>
      </w:pPr>
    </w:p>
    <w:p w14:paraId="0666A3B8">
      <w:pPr>
        <w:pStyle w:val="29"/>
        <w:tabs>
          <w:tab w:val="right" w:leader="dot" w:pos="8312"/>
        </w:tabs>
      </w:pPr>
    </w:p>
    <w:p w14:paraId="65E55B5A">
      <w:pPr>
        <w:pStyle w:val="29"/>
        <w:tabs>
          <w:tab w:val="right" w:leader="dot" w:pos="8312"/>
        </w:tabs>
      </w:pPr>
    </w:p>
    <w:p w14:paraId="0FB94252">
      <w:pPr>
        <w:pStyle w:val="29"/>
        <w:tabs>
          <w:tab w:val="right" w:leader="dot" w:pos="8312"/>
        </w:tabs>
      </w:pPr>
    </w:p>
    <w:p w14:paraId="4E3924F2">
      <w:pPr>
        <w:pStyle w:val="29"/>
        <w:tabs>
          <w:tab w:val="right" w:leader="dot" w:pos="8312"/>
        </w:tabs>
      </w:pPr>
    </w:p>
    <w:p w14:paraId="55FBECDE">
      <w:pPr>
        <w:pStyle w:val="29"/>
        <w:tabs>
          <w:tab w:val="right" w:leader="dot" w:pos="8312"/>
        </w:tabs>
      </w:pPr>
    </w:p>
    <w:p w14:paraId="41717EF7">
      <w:pPr>
        <w:pStyle w:val="29"/>
        <w:tabs>
          <w:tab w:val="right" w:leader="dot" w:pos="8312"/>
        </w:tabs>
      </w:pPr>
    </w:p>
    <w:p w14:paraId="6203A9B6">
      <w:pPr>
        <w:pStyle w:val="29"/>
        <w:tabs>
          <w:tab w:val="right" w:leader="dot" w:pos="8312"/>
        </w:tabs>
      </w:pPr>
    </w:p>
    <w:p w14:paraId="336FFC18">
      <w:pPr>
        <w:pStyle w:val="29"/>
        <w:tabs>
          <w:tab w:val="right" w:leader="dot" w:pos="8312"/>
        </w:tabs>
      </w:pPr>
    </w:p>
    <w:p w14:paraId="087A0B27">
      <w:pPr>
        <w:pStyle w:val="29"/>
        <w:tabs>
          <w:tab w:val="right" w:leader="dot" w:pos="8312"/>
        </w:tabs>
      </w:pPr>
    </w:p>
    <w:p w14:paraId="71EF7282">
      <w:pPr>
        <w:pStyle w:val="29"/>
        <w:tabs>
          <w:tab w:val="right" w:leader="dot" w:pos="8312"/>
        </w:tabs>
      </w:pPr>
    </w:p>
    <w:p w14:paraId="05EBE91D">
      <w:pPr>
        <w:pStyle w:val="29"/>
        <w:tabs>
          <w:tab w:val="right" w:leader="dot" w:pos="8312"/>
        </w:tabs>
      </w:pPr>
    </w:p>
    <w:p w14:paraId="5896E1E2">
      <w:pPr>
        <w:pStyle w:val="29"/>
        <w:tabs>
          <w:tab w:val="right" w:leader="dot" w:pos="8312"/>
        </w:tabs>
      </w:pPr>
    </w:p>
    <w:p w14:paraId="0DD4C095">
      <w:pPr>
        <w:pStyle w:val="29"/>
        <w:tabs>
          <w:tab w:val="right" w:leader="dot" w:pos="8312"/>
        </w:tabs>
      </w:pPr>
    </w:p>
    <w:p w14:paraId="16A3DDB1">
      <w:pPr>
        <w:pStyle w:val="29"/>
        <w:tabs>
          <w:tab w:val="right" w:leader="dot" w:pos="8312"/>
        </w:tabs>
      </w:pPr>
    </w:p>
    <w:p w14:paraId="2EB28DF6">
      <w:pPr>
        <w:pStyle w:val="3"/>
        <w:jc w:val="center"/>
        <w:outlineLvl w:val="9"/>
        <w:rPr>
          <w:rFonts w:hint="eastAsia" w:ascii="宋体" w:hAnsi="宋体" w:cs="宋体"/>
          <w:b w:val="0"/>
          <w:bCs w:val="0"/>
          <w:color w:val="auto"/>
          <w:kern w:val="0"/>
          <w:sz w:val="24"/>
          <w:szCs w:val="24"/>
          <w:highlight w:val="none"/>
          <w:lang w:val="en-US" w:eastAsia="zh-CN" w:bidi="ar"/>
        </w:rPr>
      </w:pPr>
      <w:r>
        <w:fldChar w:fldCharType="end"/>
      </w:r>
      <w:bookmarkStart w:id="16" w:name="_Toc15384"/>
      <w:bookmarkStart w:id="17" w:name="_Toc20819"/>
      <w:bookmarkStart w:id="18" w:name="_Toc21610"/>
      <w:r>
        <w:rPr>
          <w:rFonts w:hint="eastAsia" w:ascii="宋体" w:hAnsi="宋体" w:eastAsia="宋体" w:cs="宋体"/>
          <w:b w:val="0"/>
          <w:color w:val="auto"/>
          <w:sz w:val="36"/>
          <w:szCs w:val="36"/>
          <w:highlight w:val="none"/>
        </w:rPr>
        <w:t xml:space="preserve"> </w:t>
      </w:r>
      <w:bookmarkEnd w:id="16"/>
      <w:bookmarkEnd w:id="17"/>
      <w:bookmarkEnd w:id="18"/>
      <w:bookmarkStart w:id="19" w:name="_Toc18550"/>
      <w:bookmarkStart w:id="20" w:name="_Toc2276"/>
      <w:r>
        <w:rPr>
          <w:rFonts w:hint="eastAsia" w:ascii="宋体" w:hAnsi="宋体" w:eastAsia="宋体" w:cs="宋体"/>
          <w:b/>
          <w:bCs w:val="0"/>
          <w:color w:val="auto"/>
          <w:sz w:val="36"/>
          <w:szCs w:val="36"/>
          <w:highlight w:val="none"/>
        </w:rPr>
        <w:t>招标公告</w:t>
      </w:r>
      <w:bookmarkEnd w:id="19"/>
      <w:bookmarkEnd w:id="20"/>
      <w:bookmarkStart w:id="21" w:name="_Hlt96839058"/>
      <w:bookmarkEnd w:id="21"/>
    </w:p>
    <w:p w14:paraId="10CD16B4">
      <w:pPr>
        <w:pStyle w:val="19"/>
        <w:keepNext w:val="0"/>
        <w:keepLines w:val="0"/>
        <w:pageBreakBefore w:val="0"/>
        <w:widowControl w:val="0"/>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cs="宋体"/>
          <w:b w:val="0"/>
          <w:bCs w:val="0"/>
          <w:color w:val="auto"/>
          <w:kern w:val="0"/>
          <w:sz w:val="24"/>
          <w:szCs w:val="24"/>
          <w:highlight w:val="none"/>
          <w:lang w:val="en-US" w:eastAsia="zh-CN" w:bidi="ar"/>
        </w:rPr>
      </w:pPr>
    </w:p>
    <w:p w14:paraId="40FBECD7">
      <w:pPr>
        <w:pStyle w:val="19"/>
        <w:keepNext w:val="0"/>
        <w:keepLines w:val="0"/>
        <w:pageBreakBefore w:val="0"/>
        <w:widowControl w:val="0"/>
        <w:suppressLineNumbers w:val="0"/>
        <w:kinsoku/>
        <w:wordWrap/>
        <w:overflowPunct/>
        <w:topLinePunct w:val="0"/>
        <w:autoSpaceDE/>
        <w:autoSpaceDN/>
        <w:bidi w:val="0"/>
        <w:adjustRightInd w:val="0"/>
        <w:snapToGrid w:val="0"/>
        <w:spacing w:line="240" w:lineRule="auto"/>
        <w:jc w:val="center"/>
        <w:textAlignment w:val="auto"/>
        <w:outlineLvl w:val="0"/>
        <w:rPr>
          <w:rFonts w:hint="default" w:ascii="宋体" w:hAnsi="宋体" w:eastAsia="宋体" w:cs="宋体"/>
          <w:b/>
          <w:bCs/>
          <w:color w:val="auto"/>
          <w:kern w:val="0"/>
          <w:sz w:val="32"/>
          <w:szCs w:val="32"/>
          <w:highlight w:val="none"/>
          <w:lang w:val="en-US" w:eastAsia="zh-CN" w:bidi="ar"/>
        </w:rPr>
      </w:pPr>
      <w:bookmarkStart w:id="22" w:name="_Toc27503"/>
      <w:bookmarkStart w:id="23" w:name="_Toc15336"/>
      <w:r>
        <w:rPr>
          <w:rFonts w:hint="eastAsia" w:ascii="宋体" w:hAnsi="宋体" w:cs="宋体"/>
          <w:b/>
          <w:bCs/>
          <w:color w:val="auto"/>
          <w:kern w:val="0"/>
          <w:sz w:val="32"/>
          <w:szCs w:val="32"/>
          <w:highlight w:val="none"/>
          <w:lang w:val="en-US" w:eastAsia="zh-CN" w:bidi="ar"/>
        </w:rPr>
        <w:t>吉木乃县人民医院建设项目-医疗设备采购（包七）</w:t>
      </w:r>
    </w:p>
    <w:p w14:paraId="269ACB5C">
      <w:pPr>
        <w:pStyle w:val="19"/>
        <w:keepNext w:val="0"/>
        <w:keepLines w:val="0"/>
        <w:pageBreakBefore w:val="0"/>
        <w:widowControl w:val="0"/>
        <w:suppressLineNumbers w:val="0"/>
        <w:kinsoku/>
        <w:wordWrap/>
        <w:overflowPunct/>
        <w:topLinePunct w:val="0"/>
        <w:autoSpaceDE/>
        <w:autoSpaceDN/>
        <w:bidi w:val="0"/>
        <w:adjustRightInd w:val="0"/>
        <w:snapToGrid w:val="0"/>
        <w:spacing w:line="240" w:lineRule="auto"/>
        <w:jc w:val="center"/>
        <w:textAlignment w:val="auto"/>
        <w:outlineLvl w:val="0"/>
        <w:rPr>
          <w:rFonts w:hint="eastAsia" w:ascii="宋体" w:hAnsi="宋体" w:eastAsia="宋体" w:cs="宋体"/>
          <w:b/>
          <w:bCs/>
          <w:color w:val="auto"/>
          <w:kern w:val="0"/>
          <w:sz w:val="30"/>
          <w:szCs w:val="30"/>
          <w:highlight w:val="none"/>
          <w:lang w:val="en-US" w:eastAsia="zh-CN" w:bidi="ar"/>
        </w:rPr>
      </w:pPr>
      <w:r>
        <w:rPr>
          <w:rFonts w:hint="eastAsia" w:ascii="宋体" w:hAnsi="宋体" w:eastAsia="宋体" w:cs="宋体"/>
          <w:b/>
          <w:bCs/>
          <w:color w:val="auto"/>
          <w:kern w:val="0"/>
          <w:sz w:val="30"/>
          <w:szCs w:val="30"/>
          <w:highlight w:val="none"/>
          <w:lang w:val="en-US" w:eastAsia="zh-CN" w:bidi="ar"/>
        </w:rPr>
        <w:t>公开招标公告</w:t>
      </w:r>
      <w:bookmarkEnd w:id="22"/>
      <w:bookmarkEnd w:id="23"/>
    </w:p>
    <w:tbl>
      <w:tblPr>
        <w:tblStyle w:val="23"/>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00"/>
      </w:tblGrid>
      <w:tr w14:paraId="6042D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9" w:hRule="atLeast"/>
          <w:jc w:val="center"/>
        </w:trPr>
        <w:tc>
          <w:tcPr>
            <w:tcW w:w="10000" w:type="dxa"/>
            <w:noWrap w:val="0"/>
            <w:vAlign w:val="top"/>
          </w:tcPr>
          <w:p w14:paraId="0850D3D3">
            <w:pPr>
              <w:pStyle w:val="19"/>
              <w:keepNext w:val="0"/>
              <w:keepLines w:val="0"/>
              <w:pageBreakBefore w:val="0"/>
              <w:widowControl w:val="0"/>
              <w:kinsoku/>
              <w:wordWrap/>
              <w:overflowPunct/>
              <w:topLinePunct w:val="0"/>
              <w:autoSpaceDE/>
              <w:autoSpaceDN/>
              <w:bidi w:val="0"/>
              <w:adjustRightInd/>
              <w:snapToGrid/>
              <w:spacing w:before="68" w:beforeAutospacing="0" w:after="136" w:afterAutospacing="0" w:line="42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项目概况   </w:t>
            </w:r>
          </w:p>
          <w:p w14:paraId="0A317505">
            <w:pPr>
              <w:pStyle w:val="19"/>
              <w:keepNext w:val="0"/>
              <w:keepLines w:val="0"/>
              <w:pageBreakBefore w:val="0"/>
              <w:widowControl w:val="0"/>
              <w:suppressLineNumbers w:val="0"/>
              <w:kinsoku/>
              <w:wordWrap/>
              <w:overflowPunct/>
              <w:topLinePunct w:val="0"/>
              <w:autoSpaceDE/>
              <w:autoSpaceDN/>
              <w:bidi w:val="0"/>
              <w:adjustRightInd w:val="0"/>
              <w:snapToGrid w:val="0"/>
              <w:spacing w:line="420" w:lineRule="exact"/>
              <w:ind w:firstLine="480" w:firstLineChars="200"/>
              <w:jc w:val="both"/>
              <w:textAlignment w:val="auto"/>
              <w:rPr>
                <w:rFonts w:hint="eastAsia" w:ascii="宋体" w:hAnsi="宋体" w:eastAsia="宋体" w:cs="宋体"/>
                <w:b/>
                <w:bCs/>
                <w:color w:val="auto"/>
                <w:kern w:val="0"/>
                <w:sz w:val="30"/>
                <w:szCs w:val="30"/>
                <w:highlight w:val="none"/>
                <w:vertAlign w:val="baseline"/>
                <w:lang w:val="en-US" w:eastAsia="zh-CN" w:bidi="ar"/>
              </w:rPr>
            </w:pPr>
            <w:r>
              <w:rPr>
                <w:rStyle w:val="30"/>
                <w:rFonts w:hint="eastAsia" w:ascii="宋体" w:hAnsi="宋体" w:eastAsia="宋体" w:cs="宋体"/>
                <w:color w:val="auto"/>
                <w:sz w:val="24"/>
                <w:szCs w:val="24"/>
                <w:highlight w:val="none"/>
              </w:rPr>
              <w:t>关于</w:t>
            </w:r>
            <w:r>
              <w:rPr>
                <w:rStyle w:val="30"/>
                <w:rFonts w:hint="eastAsia" w:ascii="宋体" w:hAnsi="宋体" w:cs="宋体"/>
                <w:color w:val="auto"/>
                <w:sz w:val="24"/>
                <w:szCs w:val="24"/>
                <w:highlight w:val="none"/>
                <w:lang w:eastAsia="zh-CN"/>
              </w:rPr>
              <w:t>吉木乃县人民医院建设项目-医疗设备采购（包七）</w:t>
            </w:r>
            <w:r>
              <w:rPr>
                <w:rFonts w:hint="eastAsia" w:ascii="宋体" w:hAnsi="宋体" w:eastAsia="宋体" w:cs="宋体"/>
                <w:color w:val="auto"/>
                <w:sz w:val="24"/>
                <w:szCs w:val="24"/>
                <w:highlight w:val="none"/>
              </w:rPr>
              <w:t>的潜在供应商应在</w:t>
            </w:r>
            <w:r>
              <w:rPr>
                <w:rStyle w:val="30"/>
                <w:rFonts w:hint="eastAsia" w:ascii="宋体" w:hAnsi="宋体" w:eastAsia="宋体" w:cs="宋体"/>
                <w:color w:val="auto"/>
                <w:sz w:val="24"/>
                <w:szCs w:val="24"/>
                <w:highlight w:val="none"/>
              </w:rPr>
              <w:t>新疆政府采购网（www.ccgp-xinjiang.gov.cn/）</w:t>
            </w:r>
            <w:r>
              <w:rPr>
                <w:rStyle w:val="30"/>
                <w:rFonts w:hint="eastAsia" w:ascii="宋体" w:hAnsi="宋体" w:eastAsia="宋体" w:cs="宋体"/>
                <w:color w:val="auto"/>
                <w:sz w:val="24"/>
                <w:szCs w:val="24"/>
                <w:highlight w:val="none"/>
                <w:lang w:val="en-US" w:eastAsia="zh-CN"/>
              </w:rPr>
              <w:t>线上</w:t>
            </w:r>
            <w:r>
              <w:rPr>
                <w:rStyle w:val="30"/>
                <w:rFonts w:hint="eastAsia" w:ascii="宋体" w:hAnsi="宋体" w:eastAsia="宋体" w:cs="宋体"/>
                <w:color w:val="auto"/>
                <w:sz w:val="24"/>
                <w:szCs w:val="24"/>
                <w:highlight w:val="none"/>
              </w:rPr>
              <w:t>获取下载招标文件</w:t>
            </w:r>
            <w:r>
              <w:rPr>
                <w:rFonts w:hint="eastAsia" w:ascii="宋体" w:hAnsi="宋体" w:eastAsia="宋体" w:cs="宋体"/>
                <w:color w:val="auto"/>
                <w:sz w:val="24"/>
                <w:szCs w:val="24"/>
                <w:highlight w:val="none"/>
              </w:rPr>
              <w:t>，并于</w:t>
            </w:r>
            <w:r>
              <w:rPr>
                <w:rStyle w:val="30"/>
                <w:rFonts w:hint="eastAsia" w:ascii="宋体" w:hAnsi="宋体" w:cs="宋体"/>
                <w:color w:val="auto"/>
                <w:sz w:val="24"/>
                <w:szCs w:val="24"/>
                <w:highlight w:val="none"/>
                <w:lang w:eastAsia="zh-CN"/>
              </w:rPr>
              <w:t>2025年5月8日</w:t>
            </w:r>
            <w:r>
              <w:rPr>
                <w:rStyle w:val="30"/>
                <w:rFonts w:hint="eastAsia" w:ascii="宋体" w:hAnsi="宋体" w:eastAsia="宋体" w:cs="宋体"/>
                <w:color w:val="auto"/>
                <w:sz w:val="24"/>
                <w:szCs w:val="24"/>
                <w:highlight w:val="none"/>
              </w:rPr>
              <w:t>1</w:t>
            </w:r>
            <w:r>
              <w:rPr>
                <w:rStyle w:val="30"/>
                <w:rFonts w:hint="eastAsia" w:ascii="宋体" w:hAnsi="宋体" w:cs="宋体"/>
                <w:color w:val="auto"/>
                <w:sz w:val="24"/>
                <w:szCs w:val="24"/>
                <w:highlight w:val="none"/>
                <w:lang w:val="en-US" w:eastAsia="zh-CN"/>
              </w:rPr>
              <w:t>0</w:t>
            </w:r>
            <w:r>
              <w:rPr>
                <w:rStyle w:val="30"/>
                <w:rFonts w:hint="eastAsia" w:ascii="宋体" w:hAnsi="宋体" w:eastAsia="宋体" w:cs="宋体"/>
                <w:color w:val="auto"/>
                <w:sz w:val="24"/>
                <w:szCs w:val="24"/>
                <w:highlight w:val="none"/>
              </w:rPr>
              <w:t>:</w:t>
            </w:r>
            <w:r>
              <w:rPr>
                <w:rStyle w:val="30"/>
                <w:rFonts w:hint="eastAsia" w:ascii="宋体" w:hAnsi="宋体" w:cs="宋体"/>
                <w:color w:val="auto"/>
                <w:sz w:val="24"/>
                <w:szCs w:val="24"/>
                <w:highlight w:val="none"/>
                <w:lang w:val="en-US" w:eastAsia="zh-CN"/>
              </w:rPr>
              <w:t>3</w:t>
            </w:r>
            <w:r>
              <w:rPr>
                <w:rStyle w:val="30"/>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rPr>
              <w:t>北京时间）前提交响应文件。</w:t>
            </w:r>
          </w:p>
        </w:tc>
      </w:tr>
    </w:tbl>
    <w:p w14:paraId="1368496E">
      <w:pPr>
        <w:pStyle w:val="3"/>
        <w:numPr>
          <w:ilvl w:val="0"/>
          <w:numId w:val="0"/>
        </w:numPr>
        <w:tabs>
          <w:tab w:val="left" w:pos="0"/>
        </w:tabs>
        <w:adjustRightInd w:val="0"/>
        <w:snapToGrid w:val="0"/>
        <w:spacing w:line="360" w:lineRule="auto"/>
        <w:rPr>
          <w:rFonts w:hint="eastAsia" w:ascii="宋体" w:hAnsi="宋体" w:eastAsia="宋体" w:cs="宋体"/>
          <w:b/>
          <w:color w:val="auto"/>
          <w:sz w:val="24"/>
          <w:szCs w:val="24"/>
          <w:highlight w:val="none"/>
        </w:rPr>
      </w:pPr>
      <w:bookmarkStart w:id="24" w:name="_Toc28359002"/>
      <w:bookmarkStart w:id="25" w:name="_Toc2445"/>
      <w:bookmarkStart w:id="26" w:name="_Toc35393790"/>
      <w:bookmarkStart w:id="27" w:name="_Toc30395"/>
      <w:bookmarkStart w:id="28" w:name="_Toc35393621"/>
      <w:bookmarkStart w:id="29" w:name="_Toc28359079"/>
      <w:bookmarkStart w:id="30" w:name="_Toc22515"/>
      <w:bookmarkStart w:id="31" w:name="_Toc14958"/>
      <w:bookmarkStart w:id="32" w:name="_Hlk24379207"/>
      <w:r>
        <w:rPr>
          <w:rFonts w:hint="eastAsia" w:ascii="宋体" w:hAnsi="宋体" w:eastAsia="宋体" w:cs="宋体"/>
          <w:b/>
          <w:color w:val="auto"/>
          <w:sz w:val="24"/>
          <w:szCs w:val="24"/>
          <w:highlight w:val="none"/>
        </w:rPr>
        <w:t>一、项目基本情况</w:t>
      </w:r>
      <w:bookmarkEnd w:id="24"/>
      <w:bookmarkEnd w:id="25"/>
      <w:bookmarkEnd w:id="26"/>
      <w:bookmarkEnd w:id="27"/>
      <w:bookmarkEnd w:id="28"/>
      <w:bookmarkEnd w:id="29"/>
      <w:bookmarkEnd w:id="30"/>
      <w:bookmarkEnd w:id="31"/>
    </w:p>
    <w:p w14:paraId="4E52B90D">
      <w:pPr>
        <w:adjustRightInd w:val="0"/>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1.项目编号：</w:t>
      </w:r>
      <w:r>
        <w:rPr>
          <w:rFonts w:hint="eastAsia" w:ascii="宋体" w:hAnsi="宋体" w:cs="宋体"/>
          <w:color w:val="auto"/>
          <w:sz w:val="24"/>
          <w:szCs w:val="24"/>
          <w:highlight w:val="none"/>
          <w:lang w:eastAsia="zh-CN"/>
        </w:rPr>
        <w:t>JMNZFCG-XJLZB202503</w:t>
      </w:r>
    </w:p>
    <w:p w14:paraId="1A3CF81B">
      <w:pPr>
        <w:adjustRightInd w:val="0"/>
        <w:snapToGrid w:val="0"/>
        <w:spacing w:line="360" w:lineRule="auto"/>
        <w:ind w:left="1439" w:leftChars="228" w:hanging="960" w:hangingChars="4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2.项目名称：</w:t>
      </w:r>
      <w:r>
        <w:rPr>
          <w:rFonts w:hint="eastAsia" w:ascii="宋体" w:hAnsi="宋体" w:cs="宋体"/>
          <w:color w:val="auto"/>
          <w:sz w:val="24"/>
          <w:szCs w:val="24"/>
          <w:highlight w:val="none"/>
          <w:lang w:eastAsia="zh-CN"/>
        </w:rPr>
        <w:t>吉木乃县人民医院建设项目-医疗设备采购（包七）</w:t>
      </w:r>
    </w:p>
    <w:bookmarkEnd w:id="32"/>
    <w:p w14:paraId="1045F078">
      <w:pPr>
        <w:adjustRightInd w:val="0"/>
        <w:snapToGrid w:val="0"/>
        <w:spacing w:line="360" w:lineRule="auto"/>
        <w:ind w:left="1439" w:leftChars="228" w:hanging="960" w:hangingChars="400"/>
        <w:rPr>
          <w:rFonts w:ascii="宋体" w:hAnsi="宋体" w:cs="宋体"/>
          <w:color w:val="auto"/>
          <w:sz w:val="24"/>
          <w:szCs w:val="24"/>
          <w:highlight w:val="none"/>
        </w:rPr>
      </w:pPr>
      <w:r>
        <w:rPr>
          <w:rFonts w:hint="eastAsia" w:ascii="宋体" w:hAnsi="宋体" w:cs="宋体"/>
          <w:color w:val="auto"/>
          <w:sz w:val="24"/>
          <w:szCs w:val="24"/>
          <w:highlight w:val="none"/>
        </w:rPr>
        <w:t>3.预算金额：</w:t>
      </w:r>
      <w:r>
        <w:rPr>
          <w:rFonts w:hint="eastAsia" w:ascii="宋体" w:hAnsi="宋体" w:cs="宋体"/>
          <w:color w:val="auto"/>
          <w:sz w:val="24"/>
          <w:szCs w:val="24"/>
          <w:highlight w:val="none"/>
          <w:lang w:eastAsia="zh-CN"/>
        </w:rPr>
        <w:t>2865000</w:t>
      </w:r>
      <w:r>
        <w:rPr>
          <w:rFonts w:hint="eastAsia" w:ascii="宋体" w:hAnsi="宋体" w:cs="宋体"/>
          <w:color w:val="auto"/>
          <w:sz w:val="24"/>
          <w:szCs w:val="24"/>
          <w:highlight w:val="none"/>
        </w:rPr>
        <w:t>.00元</w:t>
      </w:r>
    </w:p>
    <w:p w14:paraId="714A2BB3">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4.采购需求：采购吉木乃县人民医院建设项目</w:t>
      </w:r>
      <w:r>
        <w:rPr>
          <w:rFonts w:hint="eastAsia" w:ascii="宋体" w:hAnsi="宋体" w:cs="宋体"/>
          <w:color w:val="auto"/>
          <w:sz w:val="24"/>
          <w:szCs w:val="24"/>
          <w:highlight w:val="none"/>
          <w:lang w:val="en-US" w:eastAsia="zh-CN"/>
        </w:rPr>
        <w:t>医疗设备一批</w:t>
      </w:r>
      <w:r>
        <w:rPr>
          <w:rFonts w:hint="eastAsia" w:ascii="宋体" w:hAnsi="宋体" w:cs="宋体"/>
          <w:color w:val="auto"/>
          <w:sz w:val="24"/>
          <w:szCs w:val="24"/>
          <w:highlight w:val="none"/>
        </w:rPr>
        <w:t>。（详见招标文件）</w:t>
      </w:r>
    </w:p>
    <w:p w14:paraId="25F03427">
      <w:pPr>
        <w:adjustRightInd w:val="0"/>
        <w:snapToGrid w:val="0"/>
        <w:spacing w:line="360" w:lineRule="auto"/>
        <w:ind w:firstLine="480" w:firstLineChars="200"/>
        <w:rPr>
          <w:color w:val="auto"/>
          <w:highlight w:val="none"/>
        </w:rPr>
      </w:pPr>
      <w:r>
        <w:rPr>
          <w:rFonts w:hint="eastAsia" w:ascii="宋体" w:hAnsi="宋体" w:cs="宋体"/>
          <w:color w:val="auto"/>
          <w:sz w:val="24"/>
          <w:szCs w:val="24"/>
          <w:highlight w:val="none"/>
        </w:rPr>
        <w:t>5.合同履约期限：</w:t>
      </w:r>
      <w:r>
        <w:rPr>
          <w:rFonts w:hint="eastAsia" w:ascii="宋体" w:hAnsi="宋体" w:cs="宋体"/>
          <w:color w:val="auto"/>
          <w:sz w:val="24"/>
          <w:szCs w:val="24"/>
          <w:highlight w:val="none"/>
          <w:lang w:val="en-US" w:eastAsia="zh-CN"/>
        </w:rPr>
        <w:t>60</w:t>
      </w:r>
      <w:r>
        <w:rPr>
          <w:rFonts w:hint="eastAsia" w:ascii="宋体" w:hAnsi="宋体" w:cs="宋体"/>
          <w:color w:val="auto"/>
          <w:sz w:val="24"/>
          <w:szCs w:val="24"/>
          <w:highlight w:val="none"/>
        </w:rPr>
        <w:t>日历天（</w:t>
      </w:r>
      <w:r>
        <w:rPr>
          <w:rFonts w:hint="eastAsia" w:ascii="宋体" w:hAnsi="宋体" w:cs="宋体"/>
          <w:color w:val="auto"/>
          <w:sz w:val="24"/>
          <w:szCs w:val="24"/>
          <w:highlight w:val="none"/>
          <w:lang w:val="en-US" w:eastAsia="zh-CN"/>
        </w:rPr>
        <w:t>具体</w:t>
      </w:r>
      <w:r>
        <w:rPr>
          <w:rFonts w:hint="eastAsia" w:ascii="宋体" w:hAnsi="宋体" w:cs="宋体"/>
          <w:color w:val="auto"/>
          <w:sz w:val="24"/>
          <w:szCs w:val="24"/>
          <w:highlight w:val="none"/>
        </w:rPr>
        <w:t>以合同签订为准）。</w:t>
      </w:r>
    </w:p>
    <w:p w14:paraId="6D14632B">
      <w:pPr>
        <w:keepNext w:val="0"/>
        <w:keepLines w:val="0"/>
        <w:pageBreakBefore w:val="0"/>
        <w:widowControl w:val="0"/>
        <w:kinsoku/>
        <w:wordWrap/>
        <w:overflowPunct/>
        <w:topLinePunct w:val="0"/>
        <w:autoSpaceDE/>
        <w:autoSpaceDN/>
        <w:bidi w:val="0"/>
        <w:adjustRightInd/>
        <w:snapToGrid/>
        <w:spacing w:line="340" w:lineRule="exact"/>
        <w:ind w:firstLine="480" w:firstLineChars="200"/>
        <w:jc w:val="left"/>
        <w:textAlignment w:val="auto"/>
        <w:rPr>
          <w:rFonts w:hint="eastAsia" w:ascii="宋体" w:hAnsi="宋体" w:eastAsia="宋体" w:cs="宋体"/>
          <w:color w:val="0000FF"/>
          <w:kern w:val="0"/>
          <w:sz w:val="24"/>
          <w:szCs w:val="24"/>
          <w:highlight w:val="yellow"/>
          <w:lang w:val="en-US" w:eastAsia="zh-CN"/>
        </w:rPr>
      </w:pPr>
      <w:r>
        <w:rPr>
          <w:rFonts w:hint="eastAsia" w:ascii="宋体" w:hAnsi="宋体" w:cs="宋体"/>
          <w:color w:val="auto"/>
          <w:sz w:val="24"/>
          <w:szCs w:val="24"/>
          <w:highlight w:val="none"/>
        </w:rPr>
        <w:t>6.本项目不接受联合体投标。</w:t>
      </w:r>
    </w:p>
    <w:p w14:paraId="3A5C98EC">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left"/>
        <w:textAlignment w:val="auto"/>
        <w:outlineLvl w:val="0"/>
        <w:rPr>
          <w:rStyle w:val="25"/>
          <w:rFonts w:hint="eastAsia" w:ascii="宋体" w:hAnsi="宋体" w:eastAsia="宋体" w:cs="宋体"/>
          <w:color w:val="auto"/>
          <w:sz w:val="24"/>
          <w:szCs w:val="24"/>
          <w:highlight w:val="none"/>
        </w:rPr>
      </w:pPr>
      <w:bookmarkStart w:id="33" w:name="_Toc3519"/>
      <w:bookmarkStart w:id="34" w:name="_Toc16773"/>
      <w:bookmarkStart w:id="35" w:name="_Toc11347"/>
      <w:bookmarkStart w:id="36" w:name="_Toc13444"/>
      <w:r>
        <w:rPr>
          <w:rStyle w:val="25"/>
          <w:rFonts w:hint="eastAsia" w:ascii="宋体" w:hAnsi="宋体" w:eastAsia="宋体" w:cs="宋体"/>
          <w:color w:val="auto"/>
          <w:sz w:val="24"/>
          <w:szCs w:val="24"/>
          <w:highlight w:val="none"/>
          <w:lang w:val="en-US" w:eastAsia="zh-CN"/>
        </w:rPr>
        <w:t>二、</w:t>
      </w:r>
      <w:r>
        <w:rPr>
          <w:rStyle w:val="25"/>
          <w:rFonts w:hint="eastAsia" w:ascii="宋体" w:hAnsi="宋体" w:eastAsia="宋体" w:cs="宋体"/>
          <w:color w:val="auto"/>
          <w:sz w:val="24"/>
          <w:szCs w:val="24"/>
          <w:highlight w:val="none"/>
        </w:rPr>
        <w:t>申请人的资格要求：</w:t>
      </w:r>
      <w:bookmarkEnd w:id="33"/>
      <w:bookmarkEnd w:id="34"/>
      <w:bookmarkEnd w:id="35"/>
      <w:bookmarkEnd w:id="36"/>
    </w:p>
    <w:p w14:paraId="75228BBD">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bookmarkStart w:id="37" w:name="_Toc25311"/>
      <w:bookmarkStart w:id="38" w:name="_Toc17629"/>
      <w:bookmarkStart w:id="39" w:name="_Toc31388"/>
      <w:bookmarkStart w:id="40" w:name="_Toc19240"/>
      <w:r>
        <w:rPr>
          <w:rFonts w:hint="eastAsia" w:ascii="宋体" w:hAnsi="宋体" w:eastAsia="宋体" w:cs="宋体"/>
          <w:color w:val="auto"/>
          <w:kern w:val="2"/>
          <w:highlight w:val="none"/>
        </w:rPr>
        <w:t>1.满足《中华人民共和国政府采购法》第二十二条规定:</w:t>
      </w:r>
    </w:p>
    <w:p w14:paraId="437E5568">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（1）经年审合格（三证合一）的营业执照；</w:t>
      </w:r>
    </w:p>
    <w:p w14:paraId="0E14D3CB">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（2）提供授权委托书及授权委托人（指本单位）近 3 个月单位缴纳的个人社保明细及缴费凭证，成立不足三个月的按实际提供；提供税务机关出具的近 3 个月的完税证明或依法报税相关资料（新成立不足 3 个月的按实际情况发生提供，成立时间超过 3 个月的零申报的需提供依法报税资料）；</w:t>
      </w:r>
    </w:p>
    <w:p w14:paraId="656E1607">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3）近三年内（本项目投标截止期前）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加本次政府采购活动；</w:t>
      </w:r>
    </w:p>
    <w:p w14:paraId="0E97DED2">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（4）凡拟参加本次招标项目的投标单位须需提供</w:t>
      </w:r>
      <w:r>
        <w:rPr>
          <w:rFonts w:hint="eastAsia" w:ascii="宋体" w:hAnsi="宋体" w:cs="宋体"/>
          <w:color w:val="auto"/>
          <w:kern w:val="2"/>
          <w:highlight w:val="none"/>
          <w:lang w:eastAsia="zh-CN"/>
        </w:rPr>
        <w:t>2023年度或2024年度</w:t>
      </w:r>
      <w:r>
        <w:rPr>
          <w:rFonts w:hint="eastAsia" w:ascii="宋体" w:hAnsi="宋体" w:eastAsia="宋体" w:cs="宋体"/>
          <w:color w:val="auto"/>
          <w:kern w:val="2"/>
          <w:highlight w:val="none"/>
        </w:rPr>
        <w:t>第三方审计机构出具的审计报告（</w:t>
      </w:r>
      <w:r>
        <w:rPr>
          <w:rFonts w:hint="eastAsia" w:ascii="宋体" w:hAnsi="宋体" w:cs="宋体"/>
          <w:color w:val="auto"/>
          <w:kern w:val="2"/>
          <w:highlight w:val="none"/>
          <w:lang w:eastAsia="zh-CN"/>
        </w:rPr>
        <w:t>2024年4月</w:t>
      </w:r>
      <w:r>
        <w:rPr>
          <w:rFonts w:hint="eastAsia" w:ascii="宋体" w:hAnsi="宋体" w:eastAsia="宋体" w:cs="宋体"/>
          <w:color w:val="auto"/>
          <w:kern w:val="2"/>
          <w:highlight w:val="none"/>
        </w:rPr>
        <w:t>份后新成立的公司可不提供但需提供银行出具的近三个月的资信证明）</w:t>
      </w:r>
      <w:r>
        <w:rPr>
          <w:rFonts w:hint="eastAsia" w:ascii="宋体" w:hAnsi="宋体" w:eastAsia="宋体" w:cs="宋体"/>
          <w:color w:val="auto"/>
          <w:kern w:val="2"/>
          <w:highlight w:val="none"/>
          <w:lang w:val="en-US" w:eastAsia="zh-CN"/>
        </w:rPr>
        <w:t>和健全的财务会计制度</w:t>
      </w:r>
      <w:r>
        <w:rPr>
          <w:rFonts w:hint="eastAsia" w:ascii="宋体" w:hAnsi="宋体" w:eastAsia="宋体" w:cs="宋体"/>
          <w:color w:val="auto"/>
          <w:kern w:val="2"/>
          <w:highlight w:val="none"/>
        </w:rPr>
        <w:t>；</w:t>
      </w:r>
    </w:p>
    <w:p w14:paraId="26E862F4">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5）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p w14:paraId="268EBE38">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（6）本项目不接受联合体投标.</w:t>
      </w:r>
    </w:p>
    <w:p w14:paraId="347B287F">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2.落实政府采购政策需满足的资格要求：</w:t>
      </w:r>
      <w:r>
        <w:rPr>
          <w:rFonts w:hint="eastAsia" w:ascii="宋体" w:hAnsi="宋体" w:cs="宋体"/>
          <w:color w:val="auto"/>
          <w:kern w:val="2"/>
          <w:highlight w:val="none"/>
          <w:lang w:val="en-US" w:eastAsia="zh-CN"/>
        </w:rPr>
        <w:t>本项目不专门面向中小型企业</w:t>
      </w:r>
      <w:r>
        <w:rPr>
          <w:rFonts w:hint="eastAsia" w:ascii="宋体" w:hAnsi="宋体" w:eastAsia="宋体" w:cs="宋体"/>
          <w:color w:val="auto"/>
          <w:kern w:val="2"/>
          <w:highlight w:val="none"/>
        </w:rPr>
        <w:t>。</w:t>
      </w:r>
    </w:p>
    <w:p w14:paraId="729623F8">
      <w:pPr>
        <w:pStyle w:val="19"/>
        <w:wordWrap w:val="0"/>
        <w:adjustRightInd w:val="0"/>
        <w:snapToGrid w:val="0"/>
        <w:spacing w:before="0" w:beforeAutospacing="0" w:after="0" w:afterAutospacing="0" w:line="360" w:lineRule="auto"/>
        <w:ind w:firstLine="480" w:firstLineChars="200"/>
        <w:rPr>
          <w:rFonts w:hint="eastAsia" w:ascii="宋体" w:hAnsi="宋体" w:eastAsia="宋体" w:cs="宋体"/>
          <w:color w:val="auto"/>
          <w:kern w:val="2"/>
          <w:highlight w:val="none"/>
          <w:lang w:val="en-US" w:eastAsia="zh-CN"/>
        </w:rPr>
      </w:pPr>
      <w:r>
        <w:rPr>
          <w:rFonts w:hint="eastAsia" w:ascii="宋体" w:hAnsi="宋体" w:eastAsia="宋体" w:cs="宋体"/>
          <w:color w:val="auto"/>
          <w:kern w:val="2"/>
          <w:highlight w:val="none"/>
        </w:rPr>
        <w:t>3.本项目的特定资格要求：</w:t>
      </w:r>
      <w:r>
        <w:rPr>
          <w:rFonts w:hint="eastAsia" w:ascii="宋体" w:hAnsi="宋体" w:eastAsia="宋体" w:cs="宋体"/>
          <w:color w:val="auto"/>
          <w:kern w:val="2"/>
          <w:highlight w:val="none"/>
          <w:lang w:val="en-US" w:eastAsia="zh-CN"/>
        </w:rPr>
        <w:t>投标人为制造商的，提供《医疗器械生产许可证》；投标人为经销商的，投标货物若属于三类医疗器械，须提供《医疗器械经营企业许可证》，投标货物若属于二类医疗器械，提供《第二类医疗器械经营备案凭证》，投标货物若属于一类医疗器械，则无须提供此项；投标产品须在其经营范围内，所有证件必须在有效期内。投标货物属于《医疗器械监督管理条例》规定的第一类医疗器械产品应提供《第一类医疗器械备案凭证》，属于第二类、第三类医疗器械产品应取得《医疗器械注册证》(如有注册登记表应提供)，所有证件必须在有效期内</w:t>
      </w:r>
      <w:r>
        <w:rPr>
          <w:rFonts w:hint="eastAsia" w:ascii="宋体" w:hAnsi="宋体" w:cs="宋体"/>
          <w:color w:val="auto"/>
          <w:kern w:val="2"/>
          <w:highlight w:val="none"/>
          <w:lang w:val="en-US" w:eastAsia="zh-CN"/>
        </w:rPr>
        <w:t>。</w:t>
      </w:r>
    </w:p>
    <w:bookmarkEnd w:id="37"/>
    <w:bookmarkEnd w:id="38"/>
    <w:bookmarkEnd w:id="39"/>
    <w:bookmarkEnd w:id="40"/>
    <w:p w14:paraId="17FF4607">
      <w:pPr>
        <w:pStyle w:val="3"/>
        <w:numPr>
          <w:ilvl w:val="0"/>
          <w:numId w:val="0"/>
        </w:numPr>
        <w:tabs>
          <w:tab w:val="left" w:pos="0"/>
        </w:tabs>
        <w:adjustRightInd w:val="0"/>
        <w:snapToGrid w:val="0"/>
        <w:spacing w:line="360" w:lineRule="auto"/>
        <w:rPr>
          <w:rFonts w:hint="eastAsia" w:ascii="宋体" w:hAnsi="宋体" w:eastAsia="宋体" w:cs="宋体"/>
          <w:b/>
          <w:color w:val="auto"/>
          <w:sz w:val="24"/>
          <w:szCs w:val="24"/>
          <w:highlight w:val="none"/>
        </w:rPr>
      </w:pPr>
      <w:bookmarkStart w:id="41" w:name="_Toc22137"/>
      <w:bookmarkStart w:id="42" w:name="_Toc27566"/>
      <w:bookmarkStart w:id="43" w:name="_Toc6708"/>
      <w:bookmarkStart w:id="44" w:name="_Toc18538"/>
      <w:r>
        <w:rPr>
          <w:rFonts w:hint="eastAsia" w:ascii="宋体" w:hAnsi="宋体" w:eastAsia="宋体" w:cs="宋体"/>
          <w:b/>
          <w:color w:val="auto"/>
          <w:sz w:val="24"/>
          <w:szCs w:val="24"/>
          <w:highlight w:val="none"/>
        </w:rPr>
        <w:t>三、获取招标文件</w:t>
      </w:r>
      <w:bookmarkEnd w:id="41"/>
      <w:bookmarkEnd w:id="42"/>
      <w:bookmarkEnd w:id="43"/>
      <w:bookmarkEnd w:id="44"/>
    </w:p>
    <w:p w14:paraId="2656CBC5">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1.时间：</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12</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rPr>
        <w:t xml:space="preserve"> 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18</w:t>
      </w:r>
      <w:bookmarkStart w:id="209" w:name="_GoBack"/>
      <w:bookmarkEnd w:id="209"/>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，上午00：00～12：00，下午12：00～23：59（北京时间）</w:t>
      </w:r>
    </w:p>
    <w:p w14:paraId="07DBAA87">
      <w:pPr>
        <w:adjustRightInd w:val="0"/>
        <w:snapToGrid w:val="0"/>
        <w:spacing w:line="360" w:lineRule="auto"/>
        <w:ind w:firstLine="54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2.地点：政采云线上获取</w:t>
      </w:r>
    </w:p>
    <w:p w14:paraId="3EEEC75F">
      <w:pPr>
        <w:adjustRightInd w:val="0"/>
        <w:snapToGrid w:val="0"/>
        <w:spacing w:line="360" w:lineRule="auto"/>
        <w:ind w:firstLine="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3.方式：供应商登录政采云平台https://www.zcygov.cn/在线申请获取采购文件（进入“项目采购”应用，在获取采购文件菜单中选择项目，申请获取采购文件）</w:t>
      </w:r>
    </w:p>
    <w:p w14:paraId="2496642E">
      <w:pPr>
        <w:adjustRightInd w:val="0"/>
        <w:snapToGrid w:val="0"/>
        <w:spacing w:line="360" w:lineRule="auto"/>
        <w:ind w:firstLine="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4.售价：0元/份</w:t>
      </w:r>
    </w:p>
    <w:p w14:paraId="014B26D8">
      <w:pPr>
        <w:pStyle w:val="3"/>
        <w:numPr>
          <w:ilvl w:val="0"/>
          <w:numId w:val="0"/>
        </w:numPr>
        <w:tabs>
          <w:tab w:val="left" w:pos="0"/>
        </w:tabs>
        <w:adjustRightInd w:val="0"/>
        <w:snapToGrid w:val="0"/>
        <w:spacing w:line="360" w:lineRule="auto"/>
        <w:rPr>
          <w:rFonts w:hint="eastAsia" w:ascii="宋体" w:hAnsi="宋体" w:eastAsia="宋体" w:cs="宋体"/>
          <w:b/>
          <w:color w:val="auto"/>
          <w:sz w:val="24"/>
          <w:szCs w:val="24"/>
          <w:highlight w:val="none"/>
        </w:rPr>
      </w:pPr>
      <w:bookmarkStart w:id="45" w:name="_Toc28359082"/>
      <w:bookmarkStart w:id="46" w:name="_Toc28359005"/>
      <w:bookmarkStart w:id="47" w:name="_Toc35393624"/>
      <w:bookmarkStart w:id="48" w:name="_Toc16439"/>
      <w:bookmarkStart w:id="49" w:name="_Toc35393793"/>
      <w:bookmarkStart w:id="50" w:name="_Toc1079"/>
      <w:bookmarkStart w:id="51" w:name="_Toc19709"/>
      <w:bookmarkStart w:id="52" w:name="_Toc27229"/>
      <w:r>
        <w:rPr>
          <w:rFonts w:hint="eastAsia" w:ascii="宋体" w:hAnsi="宋体" w:eastAsia="宋体" w:cs="宋体"/>
          <w:b/>
          <w:color w:val="auto"/>
          <w:sz w:val="24"/>
          <w:szCs w:val="24"/>
          <w:highlight w:val="none"/>
        </w:rPr>
        <w:t>四、提交投标文件</w:t>
      </w:r>
      <w:bookmarkEnd w:id="45"/>
      <w:bookmarkEnd w:id="46"/>
      <w:r>
        <w:rPr>
          <w:rFonts w:hint="eastAsia" w:ascii="宋体" w:hAnsi="宋体" w:eastAsia="宋体" w:cs="宋体"/>
          <w:b/>
          <w:color w:val="auto"/>
          <w:sz w:val="24"/>
          <w:szCs w:val="24"/>
          <w:highlight w:val="none"/>
        </w:rPr>
        <w:t>截止时间、开标时间和地点</w:t>
      </w:r>
      <w:bookmarkEnd w:id="47"/>
      <w:bookmarkEnd w:id="48"/>
      <w:bookmarkEnd w:id="49"/>
      <w:bookmarkEnd w:id="50"/>
      <w:bookmarkEnd w:id="51"/>
      <w:bookmarkEnd w:id="52"/>
    </w:p>
    <w:p w14:paraId="766FC0B7">
      <w:pPr>
        <w:pStyle w:val="3"/>
        <w:numPr>
          <w:ilvl w:val="0"/>
          <w:numId w:val="0"/>
        </w:numPr>
        <w:tabs>
          <w:tab w:val="left" w:pos="0"/>
        </w:tabs>
        <w:adjustRightInd w:val="0"/>
        <w:snapToGrid w:val="0"/>
        <w:spacing w:line="360" w:lineRule="auto"/>
        <w:ind w:firstLine="482" w:firstLineChars="200"/>
        <w:rPr>
          <w:rFonts w:hint="eastAsia" w:ascii="宋体" w:hAnsi="宋体" w:eastAsia="宋体" w:cs="宋体"/>
          <w:color w:val="auto"/>
          <w:kern w:val="2"/>
          <w:sz w:val="24"/>
          <w:szCs w:val="24"/>
          <w:highlight w:val="none"/>
        </w:rPr>
      </w:pPr>
      <w:bookmarkStart w:id="53" w:name="_Toc24155"/>
      <w:bookmarkStart w:id="54" w:name="_Toc27673"/>
      <w:bookmarkStart w:id="55" w:name="_Toc7227"/>
      <w:bookmarkStart w:id="56" w:name="_Toc5571"/>
      <w:bookmarkStart w:id="57" w:name="_Toc35393625"/>
      <w:bookmarkStart w:id="58" w:name="_Toc28359084"/>
      <w:bookmarkStart w:id="59" w:name="_Toc28359007"/>
      <w:bookmarkStart w:id="60" w:name="_Toc35393794"/>
      <w:r>
        <w:rPr>
          <w:rFonts w:hint="eastAsia" w:ascii="宋体" w:hAnsi="宋体" w:eastAsia="宋体" w:cs="宋体"/>
          <w:bCs/>
          <w:color w:val="auto"/>
          <w:sz w:val="24"/>
          <w:szCs w:val="24"/>
          <w:highlight w:val="none"/>
          <w:shd w:val="clear" w:color="auto" w:fill="FFFFFF"/>
        </w:rPr>
        <w:t>提交投标文件截止时间：</w:t>
      </w:r>
      <w:r>
        <w:rPr>
          <w:rFonts w:hint="eastAsia" w:ascii="宋体" w:hAnsi="宋体" w:eastAsia="宋体" w:cs="宋体"/>
          <w:color w:val="auto"/>
          <w:kern w:val="2"/>
          <w:sz w:val="24"/>
          <w:szCs w:val="24"/>
          <w:highlight w:val="none"/>
          <w:lang w:eastAsia="zh-CN"/>
        </w:rPr>
        <w:t>2025年5月8日10点30分</w:t>
      </w:r>
      <w:r>
        <w:rPr>
          <w:rFonts w:hint="eastAsia" w:ascii="宋体" w:hAnsi="宋体" w:eastAsia="宋体" w:cs="宋体"/>
          <w:color w:val="auto"/>
          <w:kern w:val="2"/>
          <w:sz w:val="24"/>
          <w:szCs w:val="24"/>
          <w:highlight w:val="none"/>
        </w:rPr>
        <w:t>（北京时间）</w:t>
      </w:r>
      <w:bookmarkEnd w:id="53"/>
      <w:bookmarkEnd w:id="54"/>
      <w:bookmarkEnd w:id="55"/>
      <w:bookmarkEnd w:id="56"/>
    </w:p>
    <w:p w14:paraId="7E852B2E">
      <w:pPr>
        <w:pStyle w:val="3"/>
        <w:numPr>
          <w:ilvl w:val="0"/>
          <w:numId w:val="0"/>
        </w:numPr>
        <w:tabs>
          <w:tab w:val="left" w:pos="0"/>
        </w:tabs>
        <w:adjustRightInd w:val="0"/>
        <w:snapToGrid w:val="0"/>
        <w:spacing w:line="360" w:lineRule="auto"/>
        <w:ind w:firstLine="482" w:firstLineChars="200"/>
        <w:rPr>
          <w:rFonts w:hint="eastAsia" w:ascii="宋体" w:hAnsi="宋体" w:eastAsia="宋体" w:cs="宋体"/>
          <w:color w:val="auto"/>
          <w:kern w:val="2"/>
          <w:sz w:val="24"/>
          <w:szCs w:val="24"/>
          <w:highlight w:val="none"/>
        </w:rPr>
      </w:pPr>
      <w:bookmarkStart w:id="61" w:name="_Toc3371"/>
      <w:bookmarkStart w:id="62" w:name="_Toc30545"/>
      <w:bookmarkStart w:id="63" w:name="_Toc15866"/>
      <w:bookmarkStart w:id="64" w:name="_Toc18402"/>
      <w:r>
        <w:rPr>
          <w:rFonts w:hint="eastAsia" w:ascii="宋体" w:hAnsi="宋体" w:eastAsia="宋体" w:cs="宋体"/>
          <w:color w:val="auto"/>
          <w:kern w:val="2"/>
          <w:sz w:val="24"/>
          <w:szCs w:val="24"/>
          <w:highlight w:val="none"/>
        </w:rPr>
        <w:t>地点：</w:t>
      </w:r>
      <w:bookmarkEnd w:id="61"/>
      <w:bookmarkEnd w:id="62"/>
      <w:bookmarkEnd w:id="63"/>
      <w:bookmarkEnd w:id="64"/>
      <w:bookmarkStart w:id="65" w:name="_Toc26416"/>
      <w:bookmarkStart w:id="66" w:name="_Toc14823"/>
      <w:bookmarkStart w:id="67" w:name="_Toc32177"/>
      <w:bookmarkStart w:id="68" w:name="_Toc12087"/>
      <w:r>
        <w:rPr>
          <w:rFonts w:hint="eastAsia" w:ascii="宋体" w:hAnsi="宋体" w:eastAsia="宋体" w:cs="宋体"/>
          <w:color w:val="auto"/>
          <w:kern w:val="2"/>
          <w:sz w:val="24"/>
          <w:szCs w:val="24"/>
          <w:highlight w:val="none"/>
        </w:rPr>
        <w:t>政采云平台https://www.zcygov.cn/</w:t>
      </w:r>
    </w:p>
    <w:p w14:paraId="0DD5A19F">
      <w:pPr>
        <w:pStyle w:val="3"/>
        <w:numPr>
          <w:ilvl w:val="0"/>
          <w:numId w:val="0"/>
        </w:numPr>
        <w:tabs>
          <w:tab w:val="left" w:pos="0"/>
        </w:tabs>
        <w:adjustRightInd w:val="0"/>
        <w:snapToGrid w:val="0"/>
        <w:spacing w:line="360" w:lineRule="auto"/>
        <w:ind w:firstLine="482"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开标时间：</w:t>
      </w:r>
      <w:r>
        <w:rPr>
          <w:rFonts w:hint="eastAsia" w:ascii="宋体" w:hAnsi="宋体" w:eastAsia="宋体" w:cs="宋体"/>
          <w:color w:val="auto"/>
          <w:kern w:val="2"/>
          <w:sz w:val="24"/>
          <w:szCs w:val="24"/>
          <w:highlight w:val="none"/>
          <w:lang w:eastAsia="zh-CN"/>
        </w:rPr>
        <w:t>2025年5月8日10点30分</w:t>
      </w:r>
      <w:r>
        <w:rPr>
          <w:rFonts w:hint="eastAsia" w:ascii="宋体" w:hAnsi="宋体" w:eastAsia="宋体" w:cs="宋体"/>
          <w:color w:val="auto"/>
          <w:kern w:val="2"/>
          <w:sz w:val="24"/>
          <w:szCs w:val="24"/>
          <w:highlight w:val="none"/>
        </w:rPr>
        <w:t>（北京时间）</w:t>
      </w:r>
    </w:p>
    <w:p w14:paraId="187F0648">
      <w:pPr>
        <w:pStyle w:val="3"/>
        <w:numPr>
          <w:ilvl w:val="0"/>
          <w:numId w:val="0"/>
        </w:numPr>
        <w:tabs>
          <w:tab w:val="left" w:pos="0"/>
        </w:tabs>
        <w:adjustRightInd w:val="0"/>
        <w:snapToGrid w:val="0"/>
        <w:spacing w:line="360" w:lineRule="auto"/>
        <w:ind w:firstLine="482"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开标地点：政采云平台https://www.zcygov.cn/</w:t>
      </w:r>
    </w:p>
    <w:p w14:paraId="45ECD0FB">
      <w:pPr>
        <w:pStyle w:val="3"/>
        <w:numPr>
          <w:ilvl w:val="0"/>
          <w:numId w:val="0"/>
        </w:numPr>
        <w:tabs>
          <w:tab w:val="left" w:pos="0"/>
        </w:tabs>
        <w:adjustRightInd w:val="0"/>
        <w:snapToGrid w:val="0"/>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五、公告期限</w:t>
      </w:r>
      <w:bookmarkEnd w:id="57"/>
      <w:bookmarkEnd w:id="58"/>
      <w:bookmarkEnd w:id="59"/>
      <w:bookmarkEnd w:id="60"/>
      <w:bookmarkEnd w:id="65"/>
      <w:bookmarkEnd w:id="66"/>
      <w:bookmarkEnd w:id="67"/>
      <w:bookmarkEnd w:id="68"/>
    </w:p>
    <w:p w14:paraId="7D69DEA9">
      <w:pPr>
        <w:adjustRightInd w:val="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自本公告发布之日起5个工作日。</w:t>
      </w:r>
    </w:p>
    <w:p w14:paraId="2775E52A">
      <w:pPr>
        <w:pStyle w:val="3"/>
        <w:numPr>
          <w:ilvl w:val="0"/>
          <w:numId w:val="0"/>
        </w:numPr>
        <w:tabs>
          <w:tab w:val="left" w:pos="0"/>
        </w:tabs>
        <w:adjustRightInd w:val="0"/>
        <w:snapToGrid w:val="0"/>
        <w:spacing w:line="360" w:lineRule="auto"/>
        <w:rPr>
          <w:rFonts w:hint="eastAsia" w:ascii="宋体" w:hAnsi="宋体" w:eastAsia="宋体" w:cs="宋体"/>
          <w:b/>
          <w:color w:val="auto"/>
          <w:sz w:val="24"/>
          <w:szCs w:val="24"/>
          <w:highlight w:val="none"/>
        </w:rPr>
      </w:pPr>
      <w:bookmarkStart w:id="69" w:name="_Toc35393795"/>
      <w:bookmarkStart w:id="70" w:name="_Toc21697"/>
      <w:bookmarkStart w:id="71" w:name="_Toc35393626"/>
      <w:bookmarkStart w:id="72" w:name="_Toc28845"/>
      <w:bookmarkStart w:id="73" w:name="_Toc7505"/>
      <w:bookmarkStart w:id="74" w:name="_Toc326"/>
      <w:r>
        <w:rPr>
          <w:rFonts w:hint="eastAsia" w:ascii="宋体" w:hAnsi="宋体" w:eastAsia="宋体" w:cs="宋体"/>
          <w:b/>
          <w:color w:val="auto"/>
          <w:sz w:val="24"/>
          <w:szCs w:val="24"/>
          <w:highlight w:val="none"/>
        </w:rPr>
        <w:t>六、其他补充事宜</w:t>
      </w:r>
      <w:bookmarkEnd w:id="69"/>
      <w:bookmarkEnd w:id="70"/>
      <w:bookmarkEnd w:id="71"/>
      <w:bookmarkEnd w:id="72"/>
      <w:bookmarkEnd w:id="73"/>
      <w:bookmarkEnd w:id="74"/>
    </w:p>
    <w:p w14:paraId="72DBA379">
      <w:pPr>
        <w:adjustRightInd w:val="0"/>
        <w:snapToGrid w:val="0"/>
        <w:spacing w:line="360" w:lineRule="auto"/>
        <w:ind w:firstLine="480" w:firstLineChars="200"/>
        <w:rPr>
          <w:rFonts w:hint="eastAsia" w:ascii="宋体" w:hAnsi="宋体" w:eastAsia="宋体" w:cs="宋体"/>
          <w:bCs/>
          <w:snapToGrid w:val="0"/>
          <w:color w:val="auto"/>
          <w:kern w:val="0"/>
          <w:sz w:val="24"/>
          <w:szCs w:val="24"/>
          <w:highlight w:val="none"/>
          <w:shd w:val="clear" w:color="auto" w:fill="FFFFFF"/>
        </w:rPr>
      </w:pPr>
      <w:bookmarkStart w:id="75" w:name="_Toc28359085"/>
      <w:bookmarkStart w:id="76" w:name="_Toc35393627"/>
      <w:bookmarkStart w:id="77" w:name="_Toc35393796"/>
      <w:bookmarkStart w:id="78" w:name="_Toc17607"/>
      <w:bookmarkStart w:id="79" w:name="_Toc19072"/>
      <w:bookmarkStart w:id="80" w:name="_Toc31590"/>
      <w:bookmarkStart w:id="81" w:name="_Toc31053"/>
      <w:bookmarkStart w:id="82" w:name="_Toc28359008"/>
      <w:r>
        <w:rPr>
          <w:rFonts w:hint="eastAsia" w:ascii="宋体" w:hAnsi="宋体" w:eastAsia="宋体" w:cs="宋体"/>
          <w:bCs/>
          <w:snapToGrid w:val="0"/>
          <w:color w:val="auto"/>
          <w:kern w:val="0"/>
          <w:sz w:val="24"/>
          <w:szCs w:val="24"/>
          <w:highlight w:val="none"/>
          <w:shd w:val="clear" w:color="auto" w:fill="FFFFFF"/>
        </w:rPr>
        <w:t xml:space="preserve">1、本项目实行网上投标，采用电子投标文件。若供应商参与投标，自行承担投标一切费用；2、各供应商应在开标前应确保成为新疆维吾尔自治区政府采购网正式注册入库供应商，并完成CA数字证书申领。因未注册入库、未办理CA数字证书等原因造成无法投标或投标失败等后果由供应商自行承担；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4、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95763；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6、投标供应商应当在投标截止时间前，将生成的“电子加密投标文件”上传递交至“政府采购云平台”。投标截止时间以后上传递交的投标文件将被“政府采购云平台”拒收。  </w:t>
      </w:r>
    </w:p>
    <w:p w14:paraId="36998BDC">
      <w:pPr>
        <w:adjustRightInd w:val="0"/>
        <w:snapToGrid w:val="0"/>
        <w:spacing w:line="360" w:lineRule="auto"/>
        <w:ind w:firstLine="480" w:firstLineChars="200"/>
        <w:jc w:val="left"/>
        <w:rPr>
          <w:rFonts w:hint="eastAsia" w:ascii="宋体" w:hAnsi="宋体" w:eastAsia="宋体" w:cs="宋体"/>
          <w:bCs/>
          <w:snapToGrid w:val="0"/>
          <w:color w:val="auto"/>
          <w:kern w:val="0"/>
          <w:sz w:val="24"/>
          <w:szCs w:val="24"/>
          <w:highlight w:val="none"/>
          <w:shd w:val="clear" w:color="auto" w:fill="FFFFFF"/>
        </w:rPr>
      </w:pPr>
      <w:r>
        <w:rPr>
          <w:rFonts w:hint="eastAsia" w:ascii="宋体" w:hAnsi="宋体" w:eastAsia="宋体" w:cs="宋体"/>
          <w:bCs/>
          <w:snapToGrid w:val="0"/>
          <w:color w:val="auto"/>
          <w:kern w:val="0"/>
          <w:sz w:val="24"/>
          <w:szCs w:val="24"/>
          <w:highlight w:val="none"/>
          <w:shd w:val="clear" w:color="auto" w:fill="FFFFFF"/>
        </w:rPr>
        <w:t>特别提示：</w:t>
      </w:r>
    </w:p>
    <w:p w14:paraId="7710C84B">
      <w:pPr>
        <w:adjustRightInd w:val="0"/>
        <w:snapToGrid w:val="0"/>
        <w:spacing w:line="360" w:lineRule="auto"/>
        <w:ind w:firstLine="480" w:firstLineChars="200"/>
        <w:jc w:val="left"/>
        <w:rPr>
          <w:rFonts w:hint="eastAsia" w:ascii="宋体" w:hAnsi="宋体" w:eastAsia="宋体" w:cs="宋体"/>
          <w:bCs/>
          <w:snapToGrid w:val="0"/>
          <w:color w:val="auto"/>
          <w:kern w:val="0"/>
          <w:sz w:val="24"/>
          <w:szCs w:val="24"/>
          <w:highlight w:val="none"/>
          <w:shd w:val="clear" w:color="auto" w:fill="FFFFFF"/>
        </w:rPr>
      </w:pPr>
      <w:r>
        <w:rPr>
          <w:rFonts w:hint="eastAsia" w:ascii="宋体" w:hAnsi="宋体" w:eastAsia="宋体" w:cs="宋体"/>
          <w:bCs/>
          <w:snapToGrid w:val="0"/>
          <w:color w:val="auto"/>
          <w:kern w:val="0"/>
          <w:sz w:val="24"/>
          <w:szCs w:val="24"/>
          <w:highlight w:val="none"/>
          <w:shd w:val="clear" w:color="auto" w:fill="FFFFFF"/>
        </w:rPr>
        <w:t>1、超过200万元的货物和服务采购项目、超过400万元的工程采购项目中适宜由中小企业提供的，预留该部分采购项目预算总额的30%以上专门面向中小企业采购，其中预留给小微企业的比例不低于60%。</w:t>
      </w:r>
    </w:p>
    <w:p w14:paraId="75433012">
      <w:pPr>
        <w:adjustRightInd w:val="0"/>
        <w:snapToGrid w:val="0"/>
        <w:spacing w:line="360" w:lineRule="auto"/>
        <w:ind w:firstLine="480" w:firstLineChars="200"/>
        <w:jc w:val="left"/>
        <w:rPr>
          <w:rFonts w:hint="eastAsia" w:ascii="宋体" w:hAnsi="宋体" w:eastAsia="宋体" w:cs="宋体"/>
          <w:bCs/>
          <w:snapToGrid w:val="0"/>
          <w:color w:val="auto"/>
          <w:kern w:val="0"/>
          <w:sz w:val="24"/>
          <w:szCs w:val="24"/>
          <w:highlight w:val="none"/>
          <w:shd w:val="clear" w:color="auto" w:fill="FFFFFF"/>
        </w:rPr>
      </w:pPr>
      <w:r>
        <w:rPr>
          <w:rFonts w:hint="eastAsia" w:ascii="宋体" w:hAnsi="宋体" w:eastAsia="宋体" w:cs="宋体"/>
          <w:bCs/>
          <w:snapToGrid w:val="0"/>
          <w:color w:val="auto"/>
          <w:kern w:val="0"/>
          <w:sz w:val="24"/>
          <w:szCs w:val="24"/>
          <w:highlight w:val="none"/>
          <w:shd w:val="clear" w:color="auto" w:fill="FFFFFF"/>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893F9FC">
      <w:pPr>
        <w:adjustRightInd w:val="0"/>
        <w:snapToGrid w:val="0"/>
        <w:spacing w:line="360" w:lineRule="auto"/>
        <w:ind w:firstLine="480" w:firstLineChars="200"/>
        <w:jc w:val="left"/>
        <w:rPr>
          <w:rFonts w:hint="eastAsia" w:ascii="宋体" w:hAnsi="宋体" w:eastAsia="宋体" w:cs="宋体"/>
          <w:bCs/>
          <w:snapToGrid w:val="0"/>
          <w:color w:val="auto"/>
          <w:kern w:val="0"/>
          <w:sz w:val="24"/>
          <w:szCs w:val="24"/>
          <w:highlight w:val="none"/>
          <w:shd w:val="clear" w:color="auto" w:fill="FFFFFF"/>
        </w:rPr>
      </w:pPr>
      <w:r>
        <w:rPr>
          <w:rFonts w:hint="eastAsia" w:ascii="宋体" w:hAnsi="宋体" w:eastAsia="宋体" w:cs="宋体"/>
          <w:bCs/>
          <w:snapToGrid w:val="0"/>
          <w:color w:val="auto"/>
          <w:kern w:val="0"/>
          <w:sz w:val="24"/>
          <w:szCs w:val="24"/>
          <w:highlight w:val="none"/>
          <w:shd w:val="clear" w:color="auto" w:fill="FFFFFF"/>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80D5B78">
      <w:pPr>
        <w:adjustRightInd w:val="0"/>
        <w:snapToGrid w:val="0"/>
        <w:spacing w:line="360" w:lineRule="auto"/>
        <w:ind w:firstLine="482" w:firstLineChars="200"/>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七、对本次招标提出询问，请按以下方式联系</w:t>
      </w:r>
      <w:r>
        <w:rPr>
          <w:rFonts w:hint="eastAsia" w:ascii="宋体" w:hAnsi="宋体" w:eastAsia="宋体" w:cs="宋体"/>
          <w:color w:val="auto"/>
          <w:sz w:val="24"/>
          <w:szCs w:val="24"/>
          <w:highlight w:val="none"/>
        </w:rPr>
        <w:t>。</w:t>
      </w:r>
      <w:bookmarkEnd w:id="75"/>
      <w:bookmarkEnd w:id="76"/>
      <w:bookmarkEnd w:id="77"/>
      <w:bookmarkEnd w:id="78"/>
      <w:bookmarkEnd w:id="79"/>
      <w:bookmarkEnd w:id="80"/>
      <w:bookmarkEnd w:id="81"/>
      <w:bookmarkEnd w:id="82"/>
    </w:p>
    <w:p w14:paraId="0E4E38CF">
      <w:pPr>
        <w:pStyle w:val="3"/>
        <w:numPr>
          <w:ilvl w:val="0"/>
          <w:numId w:val="0"/>
        </w:numPr>
        <w:tabs>
          <w:tab w:val="left" w:pos="0"/>
        </w:tabs>
        <w:adjustRightInd w:val="0"/>
        <w:snapToGrid w:val="0"/>
        <w:spacing w:line="360" w:lineRule="auto"/>
        <w:ind w:firstLine="482" w:firstLineChars="200"/>
        <w:rPr>
          <w:rFonts w:hint="eastAsia" w:ascii="宋体" w:hAnsi="宋体" w:eastAsia="宋体" w:cs="宋体"/>
          <w:color w:val="auto"/>
          <w:sz w:val="24"/>
          <w:szCs w:val="24"/>
          <w:highlight w:val="none"/>
        </w:rPr>
      </w:pPr>
      <w:bookmarkStart w:id="83" w:name="_Toc35393806"/>
      <w:bookmarkStart w:id="84" w:name="_Toc28359019"/>
      <w:bookmarkStart w:id="85" w:name="_Toc14067"/>
      <w:bookmarkStart w:id="86" w:name="_Toc1037"/>
      <w:bookmarkStart w:id="87" w:name="_Toc27282"/>
      <w:bookmarkStart w:id="88" w:name="_Toc35393637"/>
      <w:bookmarkStart w:id="89" w:name="_Toc28359096"/>
      <w:bookmarkStart w:id="90" w:name="_Toc18800"/>
      <w:r>
        <w:rPr>
          <w:rFonts w:hint="eastAsia" w:ascii="宋体" w:hAnsi="宋体" w:eastAsia="宋体" w:cs="宋体"/>
          <w:color w:val="auto"/>
          <w:sz w:val="24"/>
          <w:szCs w:val="24"/>
          <w:highlight w:val="none"/>
        </w:rPr>
        <w:t>1.采购人信息</w:t>
      </w:r>
      <w:bookmarkEnd w:id="83"/>
      <w:bookmarkEnd w:id="84"/>
      <w:bookmarkEnd w:id="85"/>
      <w:bookmarkEnd w:id="86"/>
      <w:bookmarkEnd w:id="87"/>
      <w:bookmarkEnd w:id="88"/>
      <w:bookmarkEnd w:id="89"/>
      <w:bookmarkEnd w:id="90"/>
    </w:p>
    <w:p w14:paraId="5DAF99D9">
      <w:pPr>
        <w:adjustRightInd w:val="0"/>
        <w:snapToGrid w:val="0"/>
        <w:spacing w:line="360" w:lineRule="auto"/>
        <w:ind w:firstLine="660" w:firstLineChars="275"/>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吉木乃县人民医院</w:t>
      </w:r>
    </w:p>
    <w:p w14:paraId="0603ABC7">
      <w:pPr>
        <w:adjustRightInd w:val="0"/>
        <w:snapToGrid w:val="0"/>
        <w:spacing w:line="360" w:lineRule="auto"/>
        <w:ind w:firstLine="638" w:firstLineChars="266"/>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eastAsia="zh-CN"/>
        </w:rPr>
        <w:t>吉木乃县人民医院</w:t>
      </w:r>
    </w:p>
    <w:p w14:paraId="5FF6D4AA">
      <w:pPr>
        <w:adjustRightInd w:val="0"/>
        <w:snapToGrid w:val="0"/>
        <w:spacing w:line="360" w:lineRule="auto"/>
        <w:ind w:firstLine="638" w:firstLineChars="266"/>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eastAsia="zh-CN"/>
        </w:rPr>
        <w:t>18095948981</w:t>
      </w:r>
    </w:p>
    <w:p w14:paraId="56A88330">
      <w:pPr>
        <w:spacing w:line="360" w:lineRule="auto"/>
        <w:ind w:firstLine="480" w:firstLineChars="200"/>
        <w:rPr>
          <w:rFonts w:hint="eastAsia" w:ascii="宋体" w:hAnsi="宋体" w:eastAsia="宋体" w:cs="宋体"/>
          <w:bCs/>
          <w:color w:val="auto"/>
          <w:sz w:val="24"/>
          <w:szCs w:val="24"/>
          <w:highlight w:val="none"/>
          <w:shd w:val="clear" w:color="auto" w:fill="FFFFFF"/>
        </w:rPr>
      </w:pPr>
      <w:r>
        <w:rPr>
          <w:rFonts w:hint="eastAsia" w:ascii="宋体" w:hAnsi="宋体" w:eastAsia="宋体" w:cs="宋体"/>
          <w:bCs/>
          <w:color w:val="auto"/>
          <w:sz w:val="24"/>
          <w:szCs w:val="24"/>
          <w:highlight w:val="none"/>
          <w:shd w:val="clear" w:color="auto" w:fill="FFFFFF"/>
        </w:rPr>
        <w:t>2.采购代理机构信息</w:t>
      </w:r>
    </w:p>
    <w:p w14:paraId="4A8D6BD3">
      <w:pPr>
        <w:spacing w:line="360" w:lineRule="auto"/>
        <w:ind w:firstLine="480" w:firstLineChars="200"/>
        <w:rPr>
          <w:rFonts w:hint="eastAsia" w:ascii="宋体" w:hAnsi="宋体" w:eastAsia="宋体" w:cs="宋体"/>
          <w:bCs/>
          <w:color w:val="auto"/>
          <w:sz w:val="24"/>
          <w:szCs w:val="24"/>
          <w:highlight w:val="none"/>
          <w:shd w:val="clear" w:color="auto" w:fill="FFFFFF"/>
          <w:lang w:eastAsia="zh-CN"/>
        </w:rPr>
      </w:pPr>
      <w:r>
        <w:rPr>
          <w:rFonts w:hint="eastAsia" w:ascii="宋体" w:hAnsi="宋体" w:eastAsia="宋体" w:cs="宋体"/>
          <w:bCs/>
          <w:color w:val="auto"/>
          <w:sz w:val="24"/>
          <w:szCs w:val="24"/>
          <w:highlight w:val="none"/>
          <w:shd w:val="clear" w:color="auto" w:fill="FFFFFF"/>
        </w:rPr>
        <w:t>名 称：</w:t>
      </w:r>
      <w:r>
        <w:rPr>
          <w:rFonts w:hint="eastAsia" w:ascii="宋体" w:hAnsi="宋体" w:eastAsia="宋体" w:cs="宋体"/>
          <w:bCs/>
          <w:color w:val="auto"/>
          <w:sz w:val="24"/>
          <w:szCs w:val="24"/>
          <w:highlight w:val="none"/>
          <w:shd w:val="clear" w:color="auto" w:fill="FFFFFF"/>
          <w:lang w:eastAsia="zh-CN"/>
        </w:rPr>
        <w:t>新疆新建联项目管理咨询有限公司</w:t>
      </w:r>
    </w:p>
    <w:p w14:paraId="290C3F74">
      <w:pPr>
        <w:spacing w:line="360" w:lineRule="auto"/>
        <w:ind w:firstLine="480" w:firstLineChars="200"/>
        <w:rPr>
          <w:rFonts w:hint="eastAsia" w:ascii="宋体" w:hAnsi="宋体" w:eastAsia="宋体" w:cs="宋体"/>
          <w:bCs/>
          <w:color w:val="auto"/>
          <w:sz w:val="24"/>
          <w:szCs w:val="24"/>
          <w:highlight w:val="none"/>
          <w:shd w:val="clear" w:color="auto" w:fill="FFFFFF"/>
        </w:rPr>
      </w:pPr>
      <w:r>
        <w:rPr>
          <w:rFonts w:hint="eastAsia" w:ascii="宋体" w:hAnsi="宋体" w:eastAsia="宋体" w:cs="宋体"/>
          <w:bCs/>
          <w:color w:val="auto"/>
          <w:sz w:val="24"/>
          <w:szCs w:val="24"/>
          <w:highlight w:val="none"/>
          <w:shd w:val="clear" w:color="auto" w:fill="FFFFFF"/>
        </w:rPr>
        <w:t>地 址：</w:t>
      </w:r>
      <w:r>
        <w:rPr>
          <w:rFonts w:hint="eastAsia" w:ascii="宋体" w:hAnsi="宋体" w:eastAsia="宋体" w:cs="宋体"/>
          <w:b w:val="0"/>
          <w:bCs/>
          <w:i w:val="0"/>
          <w:caps w:val="0"/>
          <w:color w:val="auto"/>
          <w:spacing w:val="0"/>
          <w:kern w:val="2"/>
          <w:sz w:val="24"/>
          <w:szCs w:val="24"/>
          <w:highlight w:val="none"/>
          <w:shd w:val="clear" w:color="auto" w:fill="FFFFFF"/>
          <w:lang w:val="en-US" w:eastAsia="zh-CN" w:bidi="ar-SA"/>
        </w:rPr>
        <w:t>阿勒泰市文化路6区</w:t>
      </w:r>
    </w:p>
    <w:p w14:paraId="41D82440">
      <w:pPr>
        <w:spacing w:line="360" w:lineRule="auto"/>
        <w:ind w:firstLine="480" w:firstLineChars="200"/>
        <w:rPr>
          <w:rFonts w:hint="eastAsia" w:ascii="宋体" w:hAnsi="宋体" w:eastAsia="宋体" w:cs="宋体"/>
          <w:bCs/>
          <w:color w:val="auto"/>
          <w:sz w:val="24"/>
          <w:szCs w:val="24"/>
          <w:highlight w:val="none"/>
          <w:shd w:val="clear" w:color="auto" w:fill="FFFFFF"/>
          <w:lang w:val="en-US" w:eastAsia="zh-CN"/>
        </w:rPr>
      </w:pPr>
      <w:r>
        <w:rPr>
          <w:rFonts w:hint="eastAsia" w:ascii="宋体" w:hAnsi="宋体" w:eastAsia="宋体" w:cs="宋体"/>
          <w:bCs/>
          <w:color w:val="auto"/>
          <w:sz w:val="24"/>
          <w:szCs w:val="24"/>
          <w:highlight w:val="none"/>
          <w:shd w:val="clear" w:color="auto" w:fill="FFFFFF"/>
        </w:rPr>
        <w:t>联系方式：</w:t>
      </w:r>
      <w:r>
        <w:rPr>
          <w:rFonts w:hint="eastAsia" w:ascii="宋体" w:hAnsi="宋体" w:eastAsia="宋体" w:cs="宋体"/>
          <w:bCs/>
          <w:color w:val="auto"/>
          <w:sz w:val="24"/>
          <w:szCs w:val="24"/>
          <w:highlight w:val="none"/>
          <w:shd w:val="clear" w:color="auto" w:fill="FFFFFF"/>
          <w:lang w:val="en-US" w:eastAsia="zh-CN"/>
        </w:rPr>
        <w:t>15276787839</w:t>
      </w:r>
    </w:p>
    <w:p w14:paraId="342A947A">
      <w:pPr>
        <w:spacing w:line="360" w:lineRule="auto"/>
        <w:ind w:firstLine="480" w:firstLineChars="200"/>
        <w:rPr>
          <w:rFonts w:hint="eastAsia" w:ascii="宋体" w:hAnsi="宋体" w:eastAsia="宋体" w:cs="宋体"/>
          <w:bCs/>
          <w:color w:val="auto"/>
          <w:sz w:val="24"/>
          <w:szCs w:val="24"/>
          <w:highlight w:val="none"/>
          <w:shd w:val="clear" w:color="auto" w:fill="FFFFFF"/>
        </w:rPr>
      </w:pPr>
      <w:r>
        <w:rPr>
          <w:rFonts w:hint="eastAsia" w:ascii="宋体" w:hAnsi="宋体" w:eastAsia="宋体" w:cs="宋体"/>
          <w:bCs/>
          <w:color w:val="auto"/>
          <w:sz w:val="24"/>
          <w:szCs w:val="24"/>
          <w:highlight w:val="none"/>
          <w:shd w:val="clear" w:color="auto" w:fill="FFFFFF"/>
        </w:rPr>
        <w:t>3.项目联系方式</w:t>
      </w:r>
    </w:p>
    <w:p w14:paraId="7D9D3A89">
      <w:pPr>
        <w:spacing w:line="360" w:lineRule="auto"/>
        <w:ind w:firstLine="480" w:firstLineChars="200"/>
        <w:rPr>
          <w:rFonts w:hint="eastAsia" w:ascii="宋体" w:hAnsi="宋体" w:eastAsia="宋体" w:cs="宋体"/>
          <w:bCs/>
          <w:color w:val="auto"/>
          <w:sz w:val="24"/>
          <w:szCs w:val="24"/>
          <w:highlight w:val="none"/>
          <w:shd w:val="clear" w:color="auto" w:fill="FFFFFF"/>
        </w:rPr>
      </w:pPr>
      <w:r>
        <w:rPr>
          <w:rFonts w:hint="eastAsia" w:ascii="宋体" w:hAnsi="宋体" w:eastAsia="宋体" w:cs="宋体"/>
          <w:bCs/>
          <w:color w:val="auto"/>
          <w:sz w:val="24"/>
          <w:szCs w:val="24"/>
          <w:highlight w:val="none"/>
          <w:shd w:val="clear" w:color="auto" w:fill="FFFFFF"/>
        </w:rPr>
        <w:t>项目联系人：</w:t>
      </w:r>
      <w:r>
        <w:rPr>
          <w:rFonts w:hint="eastAsia" w:ascii="宋体" w:hAnsi="宋体" w:eastAsia="宋体" w:cs="宋体"/>
          <w:b w:val="0"/>
          <w:bCs/>
          <w:i w:val="0"/>
          <w:caps w:val="0"/>
          <w:color w:val="auto"/>
          <w:spacing w:val="0"/>
          <w:kern w:val="2"/>
          <w:sz w:val="24"/>
          <w:szCs w:val="24"/>
          <w:highlight w:val="none"/>
          <w:shd w:val="clear" w:color="auto" w:fill="FFFFFF"/>
          <w:lang w:val="en-US" w:eastAsia="zh-CN" w:bidi="ar-SA"/>
        </w:rPr>
        <w:t>杨鹏</w:t>
      </w:r>
    </w:p>
    <w:p w14:paraId="253BE432">
      <w:pPr>
        <w:spacing w:line="360" w:lineRule="auto"/>
        <w:ind w:firstLine="480" w:firstLineChars="200"/>
        <w:rPr>
          <w:rFonts w:hint="eastAsia" w:ascii="宋体" w:hAnsi="宋体" w:eastAsia="宋体" w:cs="宋体"/>
          <w:bCs/>
          <w:color w:val="auto"/>
          <w:sz w:val="24"/>
          <w:szCs w:val="24"/>
          <w:highlight w:val="none"/>
          <w:shd w:val="clear" w:color="auto" w:fill="FFFFFF"/>
        </w:rPr>
      </w:pPr>
      <w:r>
        <w:rPr>
          <w:rFonts w:hint="eastAsia" w:ascii="宋体" w:hAnsi="宋体" w:eastAsia="宋体" w:cs="宋体"/>
          <w:bCs/>
          <w:color w:val="auto"/>
          <w:sz w:val="24"/>
          <w:szCs w:val="24"/>
          <w:highlight w:val="none"/>
          <w:shd w:val="clear" w:color="auto" w:fill="FFFFFF"/>
        </w:rPr>
        <w:t>电 话：</w:t>
      </w:r>
      <w:r>
        <w:rPr>
          <w:rFonts w:hint="eastAsia" w:ascii="宋体" w:hAnsi="宋体" w:eastAsia="宋体" w:cs="宋体"/>
          <w:bCs/>
          <w:color w:val="auto"/>
          <w:sz w:val="24"/>
          <w:szCs w:val="24"/>
          <w:highlight w:val="none"/>
          <w:shd w:val="clear" w:color="auto" w:fill="FFFFFF"/>
          <w:lang w:val="en-US" w:eastAsia="zh-CN"/>
        </w:rPr>
        <w:t>15276787839</w:t>
      </w:r>
    </w:p>
    <w:p w14:paraId="66E03DE3">
      <w:pPr>
        <w:keepNext w:val="0"/>
        <w:keepLines w:val="0"/>
        <w:pageBreakBefore w:val="0"/>
        <w:widowControl w:val="0"/>
        <w:kinsoku/>
        <w:wordWrap/>
        <w:overflowPunct/>
        <w:topLinePunct w:val="0"/>
        <w:autoSpaceDE/>
        <w:autoSpaceDN/>
        <w:bidi w:val="0"/>
        <w:adjustRightInd/>
        <w:snapToGrid/>
        <w:spacing w:line="340" w:lineRule="exact"/>
        <w:ind w:firstLine="480" w:firstLineChars="200"/>
        <w:jc w:val="left"/>
        <w:textAlignment w:val="auto"/>
        <w:outlineLvl w:val="9"/>
        <w:rPr>
          <w:rFonts w:hint="eastAsia" w:ascii="宋体" w:hAnsi="宋体" w:eastAsia="宋体" w:cs="宋体"/>
          <w:color w:val="0000FF"/>
          <w:kern w:val="0"/>
          <w:sz w:val="24"/>
          <w:szCs w:val="24"/>
          <w:highlight w:val="none"/>
          <w:lang w:val="en-US" w:eastAsia="zh-CN"/>
        </w:rPr>
      </w:pPr>
      <w:r>
        <w:rPr>
          <w:rFonts w:hint="eastAsia" w:ascii="宋体" w:hAnsi="宋体" w:eastAsia="宋体" w:cs="宋体"/>
          <w:color w:val="0000FF"/>
          <w:kern w:val="0"/>
          <w:sz w:val="24"/>
          <w:szCs w:val="24"/>
          <w:highlight w:val="none"/>
          <w:lang w:val="en-US" w:eastAsia="zh-CN"/>
        </w:rPr>
        <w:t xml:space="preserve"> </w:t>
      </w:r>
    </w:p>
    <w:p w14:paraId="31E32940">
      <w:pPr>
        <w:keepNext w:val="0"/>
        <w:keepLines w:val="0"/>
        <w:pageBreakBefore w:val="0"/>
        <w:widowControl w:val="0"/>
        <w:kinsoku/>
        <w:wordWrap/>
        <w:overflowPunct/>
        <w:topLinePunct w:val="0"/>
        <w:autoSpaceDE/>
        <w:autoSpaceDN/>
        <w:bidi w:val="0"/>
        <w:adjustRightInd/>
        <w:snapToGrid/>
        <w:spacing w:line="340" w:lineRule="exact"/>
        <w:ind w:firstLine="480" w:firstLineChars="200"/>
        <w:jc w:val="left"/>
        <w:textAlignment w:val="auto"/>
        <w:outlineLvl w:val="9"/>
        <w:rPr>
          <w:rFonts w:hint="eastAsia" w:ascii="宋体" w:hAnsi="宋体" w:eastAsia="宋体" w:cs="宋体"/>
          <w:color w:val="0000FF"/>
          <w:kern w:val="0"/>
          <w:sz w:val="24"/>
          <w:szCs w:val="24"/>
          <w:highlight w:val="none"/>
          <w:lang w:val="en-US" w:eastAsia="zh-CN"/>
        </w:rPr>
      </w:pPr>
    </w:p>
    <w:p w14:paraId="4E5E72C3">
      <w:pPr>
        <w:pStyle w:val="4"/>
        <w:pageBreakBefore w:val="0"/>
        <w:widowControl w:val="0"/>
        <w:wordWrap/>
        <w:topLinePunct w:val="0"/>
        <w:bidi w:val="0"/>
        <w:outlineLvl w:val="9"/>
        <w:rPr>
          <w:rFonts w:hint="eastAsia" w:ascii="宋体" w:hAnsi="宋体" w:eastAsia="宋体" w:cs="宋体"/>
          <w:color w:val="auto"/>
          <w:kern w:val="0"/>
          <w:sz w:val="24"/>
          <w:szCs w:val="24"/>
          <w:highlight w:val="none"/>
          <w:lang w:val="en-US" w:eastAsia="zh-CN"/>
        </w:rPr>
      </w:pPr>
    </w:p>
    <w:p w14:paraId="6FB7C36E">
      <w:pPr>
        <w:rPr>
          <w:rFonts w:hint="eastAsia" w:ascii="宋体" w:hAnsi="宋体" w:eastAsia="宋体" w:cs="宋体"/>
          <w:color w:val="auto"/>
          <w:kern w:val="0"/>
          <w:sz w:val="24"/>
          <w:szCs w:val="24"/>
          <w:highlight w:val="none"/>
          <w:lang w:val="en-US" w:eastAsia="zh-CN"/>
        </w:rPr>
      </w:pPr>
    </w:p>
    <w:p w14:paraId="5D04DA9D">
      <w:pPr>
        <w:pStyle w:val="28"/>
        <w:rPr>
          <w:rFonts w:hint="eastAsia" w:ascii="宋体" w:hAnsi="宋体" w:eastAsia="宋体" w:cs="宋体"/>
          <w:color w:val="auto"/>
          <w:kern w:val="0"/>
          <w:sz w:val="24"/>
          <w:szCs w:val="24"/>
          <w:highlight w:val="none"/>
          <w:lang w:val="en-US" w:eastAsia="zh-CN"/>
        </w:rPr>
      </w:pPr>
    </w:p>
    <w:p w14:paraId="073FE505">
      <w:pPr>
        <w:pStyle w:val="28"/>
        <w:rPr>
          <w:rFonts w:hint="eastAsia" w:ascii="宋体" w:hAnsi="宋体" w:eastAsia="宋体" w:cs="宋体"/>
          <w:color w:val="auto"/>
          <w:kern w:val="0"/>
          <w:sz w:val="24"/>
          <w:szCs w:val="24"/>
          <w:highlight w:val="none"/>
          <w:lang w:val="en-US" w:eastAsia="zh-CN"/>
        </w:rPr>
      </w:pPr>
    </w:p>
    <w:p w14:paraId="0EE05EDF">
      <w:pPr>
        <w:pStyle w:val="28"/>
        <w:rPr>
          <w:rFonts w:hint="eastAsia" w:ascii="宋体" w:hAnsi="宋体" w:eastAsia="宋体" w:cs="宋体"/>
          <w:color w:val="auto"/>
          <w:kern w:val="0"/>
          <w:sz w:val="24"/>
          <w:szCs w:val="24"/>
          <w:highlight w:val="none"/>
          <w:lang w:val="en-US" w:eastAsia="zh-CN"/>
        </w:rPr>
      </w:pPr>
    </w:p>
    <w:p w14:paraId="64F08E4B">
      <w:pPr>
        <w:pStyle w:val="28"/>
        <w:rPr>
          <w:rFonts w:hint="eastAsia" w:ascii="宋体" w:hAnsi="宋体" w:eastAsia="宋体" w:cs="宋体"/>
          <w:color w:val="auto"/>
          <w:kern w:val="0"/>
          <w:sz w:val="24"/>
          <w:szCs w:val="24"/>
          <w:highlight w:val="none"/>
          <w:lang w:val="en-US" w:eastAsia="zh-CN"/>
        </w:rPr>
      </w:pPr>
    </w:p>
    <w:p w14:paraId="3A90D381">
      <w:pPr>
        <w:pStyle w:val="28"/>
        <w:rPr>
          <w:rFonts w:hint="eastAsia" w:ascii="宋体" w:hAnsi="宋体" w:eastAsia="宋体" w:cs="宋体"/>
          <w:color w:val="auto"/>
          <w:kern w:val="0"/>
          <w:sz w:val="24"/>
          <w:szCs w:val="24"/>
          <w:highlight w:val="none"/>
          <w:lang w:val="en-US" w:eastAsia="zh-CN"/>
        </w:rPr>
      </w:pPr>
    </w:p>
    <w:p w14:paraId="01FADCDA">
      <w:pPr>
        <w:pStyle w:val="28"/>
        <w:rPr>
          <w:rFonts w:hint="eastAsia" w:ascii="宋体" w:hAnsi="宋体" w:eastAsia="宋体" w:cs="宋体"/>
          <w:color w:val="auto"/>
          <w:kern w:val="0"/>
          <w:sz w:val="24"/>
          <w:szCs w:val="24"/>
          <w:highlight w:val="none"/>
          <w:lang w:val="en-US" w:eastAsia="zh-CN"/>
        </w:rPr>
      </w:pPr>
    </w:p>
    <w:p w14:paraId="5F1F4A9E">
      <w:pPr>
        <w:pStyle w:val="9"/>
        <w:rPr>
          <w:rFonts w:hint="eastAsia"/>
          <w:lang w:val="en-US" w:eastAsia="zh-CN"/>
        </w:rPr>
      </w:pPr>
    </w:p>
    <w:p w14:paraId="483A8526">
      <w:pPr>
        <w:rPr>
          <w:rFonts w:hint="eastAsia"/>
          <w:lang w:val="en-US" w:eastAsia="zh-CN"/>
        </w:rPr>
      </w:pPr>
    </w:p>
    <w:p w14:paraId="6533AEE7">
      <w:pPr>
        <w:pStyle w:val="2"/>
        <w:pageBreakBefore w:val="0"/>
        <w:widowControl w:val="0"/>
        <w:kinsoku/>
        <w:wordWrap/>
        <w:overflowPunct/>
        <w:topLinePunct w:val="0"/>
        <w:autoSpaceDE/>
        <w:autoSpaceDN/>
        <w:bidi w:val="0"/>
        <w:adjustRightInd/>
        <w:snapToGrid/>
        <w:spacing w:line="300" w:lineRule="exact"/>
        <w:jc w:val="center"/>
        <w:textAlignment w:val="auto"/>
        <w:outlineLvl w:val="9"/>
        <w:rPr>
          <w:rFonts w:hint="eastAsia" w:ascii="宋体" w:hAnsi="宋体" w:eastAsia="宋体" w:cs="宋体"/>
          <w:b/>
          <w:bCs/>
          <w:w w:val="78"/>
          <w:sz w:val="32"/>
          <w:szCs w:val="32"/>
          <w:highlight w:val="none"/>
        </w:rPr>
      </w:pPr>
    </w:p>
    <w:p w14:paraId="69D1EA39">
      <w:pPr>
        <w:rPr>
          <w:rFonts w:hint="eastAsia" w:ascii="宋体" w:hAnsi="宋体" w:eastAsia="宋体" w:cs="宋体"/>
          <w:b/>
          <w:bCs/>
          <w:w w:val="78"/>
          <w:sz w:val="32"/>
          <w:szCs w:val="32"/>
          <w:highlight w:val="none"/>
        </w:rPr>
      </w:pPr>
    </w:p>
    <w:p w14:paraId="47DDE911">
      <w:pPr>
        <w:pStyle w:val="28"/>
        <w:rPr>
          <w:rFonts w:hint="eastAsia" w:ascii="宋体" w:hAnsi="宋体" w:eastAsia="宋体" w:cs="宋体"/>
          <w:b/>
          <w:bCs/>
          <w:w w:val="78"/>
          <w:sz w:val="32"/>
          <w:szCs w:val="32"/>
          <w:highlight w:val="none"/>
        </w:rPr>
      </w:pPr>
    </w:p>
    <w:p w14:paraId="04C8848A">
      <w:pPr>
        <w:pStyle w:val="28"/>
        <w:rPr>
          <w:rFonts w:hint="eastAsia" w:ascii="宋体" w:hAnsi="宋体" w:eastAsia="宋体" w:cs="宋体"/>
          <w:b/>
          <w:bCs/>
          <w:w w:val="78"/>
          <w:sz w:val="32"/>
          <w:szCs w:val="32"/>
          <w:highlight w:val="none"/>
        </w:rPr>
      </w:pPr>
    </w:p>
    <w:p w14:paraId="7145BAEF">
      <w:pPr>
        <w:pStyle w:val="28"/>
        <w:rPr>
          <w:rFonts w:hint="eastAsia" w:ascii="宋体" w:hAnsi="宋体" w:eastAsia="宋体" w:cs="宋体"/>
          <w:b/>
          <w:bCs/>
          <w:w w:val="78"/>
          <w:sz w:val="32"/>
          <w:szCs w:val="32"/>
          <w:highlight w:val="none"/>
        </w:rPr>
      </w:pPr>
    </w:p>
    <w:p w14:paraId="24E01F7F">
      <w:pPr>
        <w:pStyle w:val="28"/>
        <w:rPr>
          <w:rFonts w:hint="eastAsia" w:ascii="宋体" w:hAnsi="宋体" w:eastAsia="宋体" w:cs="宋体"/>
          <w:b/>
          <w:bCs/>
          <w:w w:val="78"/>
          <w:sz w:val="32"/>
          <w:szCs w:val="32"/>
          <w:highlight w:val="none"/>
        </w:rPr>
      </w:pPr>
    </w:p>
    <w:p w14:paraId="6ACD4D83">
      <w:pPr>
        <w:pStyle w:val="28"/>
        <w:rPr>
          <w:rFonts w:hint="eastAsia" w:ascii="宋体" w:hAnsi="宋体" w:eastAsia="宋体" w:cs="宋体"/>
          <w:b/>
          <w:bCs/>
          <w:w w:val="78"/>
          <w:sz w:val="32"/>
          <w:szCs w:val="32"/>
          <w:highlight w:val="none"/>
        </w:rPr>
      </w:pPr>
    </w:p>
    <w:p w14:paraId="1EFA0F5B">
      <w:pPr>
        <w:pStyle w:val="28"/>
        <w:rPr>
          <w:rFonts w:hint="eastAsia" w:ascii="宋体" w:hAnsi="宋体" w:eastAsia="宋体" w:cs="宋体"/>
          <w:b/>
          <w:bCs/>
          <w:w w:val="78"/>
          <w:sz w:val="32"/>
          <w:szCs w:val="32"/>
          <w:highlight w:val="none"/>
        </w:rPr>
      </w:pPr>
    </w:p>
    <w:p w14:paraId="4C455103">
      <w:pPr>
        <w:pStyle w:val="28"/>
        <w:rPr>
          <w:rFonts w:hint="eastAsia" w:ascii="宋体" w:hAnsi="宋体" w:eastAsia="宋体" w:cs="宋体"/>
          <w:b/>
          <w:bCs/>
          <w:w w:val="78"/>
          <w:sz w:val="32"/>
          <w:szCs w:val="32"/>
          <w:highlight w:val="none"/>
        </w:rPr>
      </w:pPr>
    </w:p>
    <w:p w14:paraId="2C639F9C">
      <w:pPr>
        <w:pStyle w:val="28"/>
        <w:rPr>
          <w:rFonts w:hint="eastAsia" w:ascii="宋体" w:hAnsi="宋体" w:eastAsia="宋体" w:cs="宋体"/>
          <w:b/>
          <w:bCs/>
          <w:w w:val="78"/>
          <w:sz w:val="32"/>
          <w:szCs w:val="32"/>
          <w:highlight w:val="none"/>
        </w:rPr>
      </w:pPr>
    </w:p>
    <w:p w14:paraId="44F0D626">
      <w:pPr>
        <w:pStyle w:val="28"/>
        <w:rPr>
          <w:rFonts w:hint="eastAsia" w:ascii="宋体" w:hAnsi="宋体" w:eastAsia="宋体" w:cs="宋体"/>
          <w:b/>
          <w:bCs/>
          <w:w w:val="78"/>
          <w:sz w:val="32"/>
          <w:szCs w:val="32"/>
          <w:highlight w:val="none"/>
        </w:rPr>
      </w:pPr>
    </w:p>
    <w:p w14:paraId="73D9DA65">
      <w:pPr>
        <w:pStyle w:val="28"/>
        <w:rPr>
          <w:rFonts w:hint="eastAsia" w:ascii="宋体" w:hAnsi="宋体" w:eastAsia="宋体" w:cs="宋体"/>
          <w:b/>
          <w:bCs/>
          <w:w w:val="78"/>
          <w:sz w:val="32"/>
          <w:szCs w:val="32"/>
          <w:highlight w:val="none"/>
        </w:rPr>
      </w:pPr>
    </w:p>
    <w:p w14:paraId="665D6F06">
      <w:pPr>
        <w:pStyle w:val="2"/>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w w:val="100"/>
          <w:sz w:val="32"/>
          <w:szCs w:val="32"/>
          <w:highlight w:val="none"/>
        </w:rPr>
      </w:pPr>
      <w:bookmarkStart w:id="91" w:name="_Toc7369"/>
      <w:bookmarkStart w:id="92" w:name="_Toc6179"/>
      <w:bookmarkStart w:id="93" w:name="_Toc3032"/>
      <w:bookmarkStart w:id="94" w:name="_Toc26457"/>
      <w:bookmarkStart w:id="95" w:name="_Toc17321"/>
      <w:r>
        <w:rPr>
          <w:rFonts w:hint="eastAsia" w:ascii="宋体" w:hAnsi="宋体" w:eastAsia="宋体" w:cs="宋体"/>
          <w:b/>
          <w:bCs/>
          <w:w w:val="100"/>
          <w:sz w:val="32"/>
          <w:szCs w:val="32"/>
          <w:highlight w:val="none"/>
        </w:rPr>
        <w:t>第</w:t>
      </w:r>
      <w:r>
        <w:rPr>
          <w:rFonts w:hint="eastAsia" w:cs="宋体"/>
          <w:b/>
          <w:bCs/>
          <w:w w:val="100"/>
          <w:sz w:val="32"/>
          <w:szCs w:val="32"/>
          <w:highlight w:val="none"/>
          <w:lang w:val="en-US" w:eastAsia="zh-CN"/>
        </w:rPr>
        <w:t>一章</w:t>
      </w:r>
      <w:r>
        <w:rPr>
          <w:rFonts w:hint="eastAsia" w:ascii="宋体" w:hAnsi="宋体" w:eastAsia="宋体" w:cs="宋体"/>
          <w:b/>
          <w:bCs/>
          <w:w w:val="100"/>
          <w:sz w:val="32"/>
          <w:szCs w:val="32"/>
          <w:highlight w:val="none"/>
        </w:rPr>
        <w:t xml:space="preserve"> </w:t>
      </w:r>
      <w:r>
        <w:rPr>
          <w:rFonts w:hint="eastAsia" w:ascii="宋体" w:hAnsi="宋体" w:eastAsia="宋体" w:cs="宋体"/>
          <w:b/>
          <w:bCs/>
          <w:w w:val="100"/>
          <w:sz w:val="32"/>
          <w:szCs w:val="32"/>
          <w:highlight w:val="none"/>
          <w:lang w:eastAsia="zh-CN"/>
        </w:rPr>
        <w:t>供应商</w:t>
      </w:r>
      <w:r>
        <w:rPr>
          <w:rFonts w:hint="eastAsia" w:ascii="宋体" w:hAnsi="宋体" w:eastAsia="宋体" w:cs="宋体"/>
          <w:b/>
          <w:bCs/>
          <w:w w:val="100"/>
          <w:sz w:val="32"/>
          <w:szCs w:val="32"/>
          <w:highlight w:val="none"/>
        </w:rPr>
        <w:t>须知</w:t>
      </w:r>
      <w:bookmarkEnd w:id="91"/>
      <w:bookmarkEnd w:id="92"/>
      <w:bookmarkEnd w:id="93"/>
      <w:bookmarkEnd w:id="94"/>
      <w:bookmarkEnd w:id="95"/>
    </w:p>
    <w:p w14:paraId="5B7849EE">
      <w:pPr>
        <w:pStyle w:val="3"/>
        <w:pageBreakBefore w:val="0"/>
        <w:widowControl w:val="0"/>
        <w:kinsoku/>
        <w:wordWrap/>
        <w:overflowPunct/>
        <w:topLinePunct w:val="0"/>
        <w:autoSpaceDE/>
        <w:autoSpaceDN/>
        <w:bidi w:val="0"/>
        <w:adjustRightInd/>
        <w:snapToGrid/>
        <w:spacing w:line="300" w:lineRule="exact"/>
        <w:jc w:val="center"/>
        <w:textAlignment w:val="auto"/>
        <w:rPr>
          <w:rFonts w:hint="default" w:ascii="宋体" w:hAnsi="宋体" w:eastAsia="宋体" w:cs="宋体"/>
          <w:b/>
          <w:bCs/>
          <w:w w:val="100"/>
          <w:kern w:val="36"/>
          <w:sz w:val="24"/>
          <w:szCs w:val="24"/>
          <w:highlight w:val="none"/>
          <w:lang w:val="en-US" w:eastAsia="zh-CN" w:bidi="ar-SA"/>
        </w:rPr>
      </w:pPr>
      <w:bookmarkStart w:id="96" w:name="_Toc1078"/>
      <w:bookmarkStart w:id="97" w:name="_Toc7660"/>
      <w:bookmarkStart w:id="98" w:name="_Toc54082563"/>
      <w:bookmarkStart w:id="99" w:name="_Toc54082425"/>
      <w:bookmarkStart w:id="100" w:name="_Toc511"/>
      <w:r>
        <w:rPr>
          <w:rFonts w:hint="eastAsia" w:ascii="宋体" w:hAnsi="宋体" w:eastAsia="宋体" w:cs="宋体"/>
          <w:b/>
          <w:bCs/>
          <w:w w:val="100"/>
          <w:kern w:val="36"/>
          <w:sz w:val="24"/>
          <w:szCs w:val="24"/>
          <w:highlight w:val="none"/>
          <w:lang w:val="en-US" w:eastAsia="zh-CN" w:bidi="ar-SA"/>
        </w:rPr>
        <w:t>供应商须知前附表</w:t>
      </w:r>
      <w:bookmarkEnd w:id="96"/>
      <w:bookmarkEnd w:id="97"/>
      <w:bookmarkEnd w:id="98"/>
      <w:bookmarkEnd w:id="99"/>
      <w:bookmarkEnd w:id="100"/>
    </w:p>
    <w:tbl>
      <w:tblPr>
        <w:tblStyle w:val="22"/>
        <w:tblW w:w="10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86"/>
        <w:gridCol w:w="2416"/>
        <w:gridCol w:w="7056"/>
      </w:tblGrid>
      <w:tr w14:paraId="5C4FC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01" w:hRule="exact"/>
          <w:jc w:val="center"/>
        </w:trPr>
        <w:tc>
          <w:tcPr>
            <w:tcW w:w="786" w:type="dxa"/>
            <w:noWrap w:val="0"/>
            <w:vAlign w:val="center"/>
          </w:tcPr>
          <w:p w14:paraId="2677C5BD">
            <w:pPr>
              <w:pStyle w:val="31"/>
              <w:keepNext/>
              <w:keepLines w:val="0"/>
              <w:pageBreakBefore w:val="0"/>
              <w:widowControl w:val="0"/>
              <w:kinsoku/>
              <w:wordWrap/>
              <w:overflowPunct/>
              <w:topLinePunct w:val="0"/>
              <w:bidi w:val="0"/>
              <w:snapToGrid/>
              <w:ind w:left="9"/>
              <w:jc w:val="center"/>
              <w:textAlignment w:val="auto"/>
              <w:rPr>
                <w:b/>
                <w:color w:val="000000"/>
                <w:szCs w:val="21"/>
                <w:highlight w:val="none"/>
                <w:lang w:val="zh-CN"/>
              </w:rPr>
            </w:pPr>
            <w:r>
              <w:rPr>
                <w:rFonts w:hint="eastAsia"/>
                <w:b/>
                <w:color w:val="000000"/>
                <w:szCs w:val="21"/>
                <w:highlight w:val="none"/>
                <w:lang w:val="zh-CN"/>
              </w:rPr>
              <w:t>序号</w:t>
            </w:r>
          </w:p>
        </w:tc>
        <w:tc>
          <w:tcPr>
            <w:tcW w:w="2416" w:type="dxa"/>
            <w:noWrap w:val="0"/>
            <w:vAlign w:val="center"/>
          </w:tcPr>
          <w:p w14:paraId="0CE2CA43">
            <w:pPr>
              <w:pStyle w:val="31"/>
              <w:keepNext/>
              <w:keepLines w:val="0"/>
              <w:pageBreakBefore w:val="0"/>
              <w:widowControl w:val="0"/>
              <w:kinsoku/>
              <w:wordWrap/>
              <w:overflowPunct/>
              <w:topLinePunct w:val="0"/>
              <w:bidi w:val="0"/>
              <w:snapToGrid/>
              <w:ind w:left="38"/>
              <w:jc w:val="center"/>
              <w:textAlignment w:val="auto"/>
              <w:rPr>
                <w:b/>
                <w:color w:val="000000"/>
                <w:szCs w:val="21"/>
                <w:highlight w:val="none"/>
                <w:lang w:val="zh-CN"/>
              </w:rPr>
            </w:pPr>
            <w:r>
              <w:rPr>
                <w:rFonts w:hint="eastAsia"/>
                <w:b/>
                <w:color w:val="000000"/>
                <w:szCs w:val="21"/>
                <w:highlight w:val="none"/>
                <w:lang w:val="zh-CN"/>
              </w:rPr>
              <w:t>条款名称</w:t>
            </w:r>
          </w:p>
        </w:tc>
        <w:tc>
          <w:tcPr>
            <w:tcW w:w="7056" w:type="dxa"/>
            <w:noWrap w:val="0"/>
            <w:vAlign w:val="center"/>
          </w:tcPr>
          <w:p w14:paraId="083D2831">
            <w:pPr>
              <w:pStyle w:val="31"/>
              <w:keepNext/>
              <w:keepLines w:val="0"/>
              <w:pageBreakBefore w:val="0"/>
              <w:widowControl w:val="0"/>
              <w:kinsoku/>
              <w:wordWrap/>
              <w:overflowPunct/>
              <w:topLinePunct w:val="0"/>
              <w:bidi w:val="0"/>
              <w:snapToGrid/>
              <w:jc w:val="center"/>
              <w:textAlignment w:val="auto"/>
              <w:rPr>
                <w:b/>
                <w:color w:val="000000"/>
                <w:szCs w:val="21"/>
                <w:highlight w:val="none"/>
                <w:lang w:val="zh-CN"/>
              </w:rPr>
            </w:pPr>
            <w:r>
              <w:rPr>
                <w:rFonts w:hint="eastAsia"/>
                <w:b/>
                <w:color w:val="000000"/>
                <w:szCs w:val="21"/>
                <w:highlight w:val="none"/>
                <w:lang w:val="zh-CN"/>
              </w:rPr>
              <w:t>说明和要求</w:t>
            </w:r>
          </w:p>
        </w:tc>
      </w:tr>
      <w:tr w14:paraId="20615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84" w:hRule="atLeast"/>
          <w:jc w:val="center"/>
        </w:trPr>
        <w:tc>
          <w:tcPr>
            <w:tcW w:w="786" w:type="dxa"/>
            <w:noWrap w:val="0"/>
            <w:vAlign w:val="center"/>
          </w:tcPr>
          <w:p w14:paraId="1121437E">
            <w:pPr>
              <w:pStyle w:val="31"/>
              <w:keepNext/>
              <w:keepLines w:val="0"/>
              <w:pageBreakBefore w:val="0"/>
              <w:widowControl w:val="0"/>
              <w:tabs>
                <w:tab w:val="left" w:pos="1012"/>
              </w:tabs>
              <w:kinsoku/>
              <w:wordWrap/>
              <w:overflowPunct/>
              <w:topLinePunct w:val="0"/>
              <w:bidi w:val="0"/>
              <w:snapToGrid/>
              <w:jc w:val="center"/>
              <w:textAlignment w:val="auto"/>
              <w:rPr>
                <w:rFonts w:cs="Courier New"/>
                <w:b/>
                <w:color w:val="000000"/>
                <w:szCs w:val="21"/>
                <w:highlight w:val="none"/>
                <w:lang w:val="zh-CN"/>
              </w:rPr>
            </w:pPr>
            <w:r>
              <w:rPr>
                <w:rFonts w:cs="Courier New"/>
                <w:b/>
                <w:color w:val="000000"/>
                <w:szCs w:val="21"/>
                <w:highlight w:val="none"/>
                <w:lang w:val="zh-CN"/>
              </w:rPr>
              <w:t>1</w:t>
            </w:r>
          </w:p>
        </w:tc>
        <w:tc>
          <w:tcPr>
            <w:tcW w:w="2416" w:type="dxa"/>
            <w:noWrap w:val="0"/>
            <w:vAlign w:val="center"/>
          </w:tcPr>
          <w:p w14:paraId="3772310F">
            <w:pPr>
              <w:pStyle w:val="31"/>
              <w:keepNext/>
              <w:keepLines w:val="0"/>
              <w:pageBreakBefore w:val="0"/>
              <w:widowControl w:val="0"/>
              <w:kinsoku/>
              <w:wordWrap/>
              <w:overflowPunct/>
              <w:topLinePunct w:val="0"/>
              <w:bidi w:val="0"/>
              <w:snapToGrid/>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采购人</w:t>
            </w:r>
          </w:p>
        </w:tc>
        <w:tc>
          <w:tcPr>
            <w:tcW w:w="7056" w:type="dxa"/>
            <w:noWrap w:val="0"/>
            <w:vAlign w:val="center"/>
          </w:tcPr>
          <w:p w14:paraId="041F5BCE">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名  称：</w:t>
            </w:r>
            <w:r>
              <w:rPr>
                <w:rFonts w:hint="eastAsia" w:ascii="宋体" w:hAnsi="宋体" w:cs="宋体"/>
                <w:b w:val="0"/>
                <w:bCs/>
                <w:color w:val="000000"/>
                <w:kern w:val="2"/>
                <w:sz w:val="24"/>
                <w:szCs w:val="24"/>
                <w:highlight w:val="none"/>
                <w:lang w:val="en-US" w:eastAsia="zh-CN" w:bidi="ar-SA"/>
              </w:rPr>
              <w:t>吉木乃县人民医院</w:t>
            </w:r>
            <w:r>
              <w:rPr>
                <w:rFonts w:hint="eastAsia" w:ascii="宋体" w:hAnsi="宋体" w:eastAsia="宋体" w:cs="宋体"/>
                <w:b w:val="0"/>
                <w:bCs/>
                <w:color w:val="000000"/>
                <w:kern w:val="2"/>
                <w:sz w:val="24"/>
                <w:szCs w:val="24"/>
                <w:highlight w:val="none"/>
                <w:lang w:val="en-US" w:eastAsia="zh-CN" w:bidi="ar-SA"/>
              </w:rPr>
              <w:t xml:space="preserve">  </w:t>
            </w:r>
          </w:p>
          <w:p w14:paraId="4B13C8A6">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default"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地  址：</w:t>
            </w:r>
            <w:r>
              <w:rPr>
                <w:rFonts w:hint="eastAsia" w:ascii="宋体" w:hAnsi="宋体" w:cs="宋体"/>
                <w:b w:val="0"/>
                <w:bCs/>
                <w:color w:val="000000"/>
                <w:kern w:val="2"/>
                <w:sz w:val="24"/>
                <w:szCs w:val="24"/>
                <w:highlight w:val="none"/>
                <w:lang w:val="en-US" w:eastAsia="zh-CN" w:bidi="ar-SA"/>
              </w:rPr>
              <w:t>吉木乃县人民医院</w:t>
            </w:r>
          </w:p>
          <w:p w14:paraId="261D8001">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default"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zh-CN" w:eastAsia="zh-CN" w:bidi="ar-SA"/>
              </w:rPr>
              <w:t>联系人：</w:t>
            </w:r>
            <w:r>
              <w:rPr>
                <w:rFonts w:hint="eastAsia" w:ascii="宋体" w:hAnsi="宋体" w:cs="宋体"/>
                <w:color w:val="auto"/>
                <w:sz w:val="24"/>
                <w:highlight w:val="none"/>
                <w:lang w:val="en-US" w:eastAsia="zh-CN"/>
              </w:rPr>
              <w:t>阿黑哈提</w:t>
            </w:r>
          </w:p>
          <w:p w14:paraId="530B2703">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联系电话:</w:t>
            </w:r>
            <w:r>
              <w:rPr>
                <w:rFonts w:hint="eastAsia" w:ascii="宋体" w:hAnsi="宋体" w:cs="宋体"/>
                <w:color w:val="auto"/>
                <w:sz w:val="24"/>
                <w:highlight w:val="none"/>
                <w:lang w:eastAsia="zh-CN"/>
              </w:rPr>
              <w:t>18095948981</w:t>
            </w:r>
            <w:r>
              <w:rPr>
                <w:rFonts w:hint="eastAsia" w:ascii="宋体" w:hAnsi="宋体" w:eastAsia="宋体" w:cs="宋体"/>
                <w:color w:val="auto"/>
                <w:kern w:val="0"/>
                <w:sz w:val="24"/>
                <w:szCs w:val="24"/>
                <w:highlight w:val="none"/>
                <w:lang w:eastAsia="zh-CN"/>
              </w:rPr>
              <w:t xml:space="preserve"> </w:t>
            </w:r>
          </w:p>
        </w:tc>
      </w:tr>
      <w:tr w14:paraId="77C04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82" w:hRule="atLeast"/>
          <w:jc w:val="center"/>
        </w:trPr>
        <w:tc>
          <w:tcPr>
            <w:tcW w:w="786" w:type="dxa"/>
            <w:noWrap w:val="0"/>
            <w:vAlign w:val="center"/>
          </w:tcPr>
          <w:p w14:paraId="209D0461">
            <w:pPr>
              <w:pStyle w:val="31"/>
              <w:keepNext/>
              <w:keepLines w:val="0"/>
              <w:pageBreakBefore w:val="0"/>
              <w:widowControl w:val="0"/>
              <w:tabs>
                <w:tab w:val="left" w:pos="1012"/>
              </w:tabs>
              <w:kinsoku/>
              <w:wordWrap/>
              <w:overflowPunct/>
              <w:topLinePunct w:val="0"/>
              <w:bidi w:val="0"/>
              <w:snapToGrid/>
              <w:jc w:val="center"/>
              <w:textAlignment w:val="auto"/>
              <w:rPr>
                <w:rFonts w:cs="Courier New"/>
                <w:b/>
                <w:color w:val="000000"/>
                <w:szCs w:val="21"/>
                <w:highlight w:val="none"/>
                <w:lang w:val="zh-CN"/>
              </w:rPr>
            </w:pPr>
            <w:r>
              <w:rPr>
                <w:rFonts w:cs="Courier New"/>
                <w:b/>
                <w:color w:val="000000"/>
                <w:szCs w:val="21"/>
                <w:highlight w:val="none"/>
                <w:lang w:val="zh-CN"/>
              </w:rPr>
              <w:t>2</w:t>
            </w:r>
          </w:p>
        </w:tc>
        <w:tc>
          <w:tcPr>
            <w:tcW w:w="2416" w:type="dxa"/>
            <w:noWrap w:val="0"/>
            <w:vAlign w:val="center"/>
          </w:tcPr>
          <w:p w14:paraId="661484C2">
            <w:pPr>
              <w:pStyle w:val="31"/>
              <w:keepNext/>
              <w:keepLines w:val="0"/>
              <w:pageBreakBefore w:val="0"/>
              <w:widowControl w:val="0"/>
              <w:kinsoku/>
              <w:wordWrap/>
              <w:overflowPunct/>
              <w:topLinePunct w:val="0"/>
              <w:bidi w:val="0"/>
              <w:snapToGrid/>
              <w:ind w:left="38"/>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采购代理机构</w:t>
            </w:r>
          </w:p>
        </w:tc>
        <w:tc>
          <w:tcPr>
            <w:tcW w:w="7056" w:type="dxa"/>
            <w:noWrap w:val="0"/>
            <w:vAlign w:val="center"/>
          </w:tcPr>
          <w:p w14:paraId="6107A36C">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招标代理机构:</w:t>
            </w:r>
            <w:r>
              <w:rPr>
                <w:rFonts w:hint="eastAsia" w:ascii="宋体" w:hAnsi="宋体" w:cs="宋体"/>
                <w:color w:val="auto"/>
                <w:kern w:val="0"/>
                <w:sz w:val="24"/>
                <w:szCs w:val="24"/>
                <w:highlight w:val="none"/>
                <w:lang w:val="en-US" w:eastAsia="zh-CN"/>
              </w:rPr>
              <w:t>新疆新建联项目管理咨询有限公司</w:t>
            </w:r>
          </w:p>
          <w:p w14:paraId="3C42CABB">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联系人：</w:t>
            </w:r>
            <w:r>
              <w:rPr>
                <w:rFonts w:hint="eastAsia" w:ascii="宋体" w:hAnsi="宋体" w:eastAsia="宋体" w:cs="宋体"/>
                <w:b w:val="0"/>
                <w:bCs/>
                <w:i w:val="0"/>
                <w:caps w:val="0"/>
                <w:color w:val="auto"/>
                <w:spacing w:val="0"/>
                <w:kern w:val="2"/>
                <w:sz w:val="24"/>
                <w:szCs w:val="24"/>
                <w:highlight w:val="none"/>
                <w:shd w:val="clear" w:color="auto" w:fill="FFFFFF"/>
                <w:lang w:val="en-US" w:eastAsia="zh-CN" w:bidi="ar-SA"/>
              </w:rPr>
              <w:t>杨鹏</w:t>
            </w:r>
          </w:p>
          <w:p w14:paraId="7F79B59E">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联系电话：</w:t>
            </w:r>
            <w:r>
              <w:rPr>
                <w:rFonts w:hint="eastAsia" w:ascii="宋体" w:hAnsi="宋体" w:eastAsia="宋体" w:cs="宋体"/>
                <w:b w:val="0"/>
                <w:bCs/>
                <w:i w:val="0"/>
                <w:caps w:val="0"/>
                <w:color w:val="auto"/>
                <w:spacing w:val="0"/>
                <w:kern w:val="2"/>
                <w:sz w:val="24"/>
                <w:szCs w:val="24"/>
                <w:highlight w:val="none"/>
                <w:shd w:val="clear" w:color="auto" w:fill="FFFFFF"/>
                <w:lang w:val="en-US" w:eastAsia="zh-CN" w:bidi="ar-SA"/>
              </w:rPr>
              <w:t>15276787839</w:t>
            </w:r>
            <w:r>
              <w:rPr>
                <w:rFonts w:hint="eastAsia" w:ascii="宋体" w:hAnsi="宋体" w:eastAsia="宋体" w:cs="宋体"/>
                <w:color w:val="auto"/>
                <w:kern w:val="0"/>
                <w:sz w:val="24"/>
                <w:szCs w:val="24"/>
                <w:highlight w:val="none"/>
                <w:lang w:val="en-US" w:eastAsia="zh-CN"/>
              </w:rPr>
              <w:t xml:space="preserve"> </w:t>
            </w:r>
          </w:p>
          <w:p w14:paraId="4E8215EE">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联系地址：</w:t>
            </w:r>
            <w:r>
              <w:rPr>
                <w:rFonts w:hint="eastAsia" w:ascii="宋体" w:hAnsi="宋体" w:eastAsia="宋体" w:cs="宋体"/>
                <w:b w:val="0"/>
                <w:bCs/>
                <w:i w:val="0"/>
                <w:caps w:val="0"/>
                <w:color w:val="auto"/>
                <w:spacing w:val="0"/>
                <w:kern w:val="2"/>
                <w:sz w:val="24"/>
                <w:szCs w:val="24"/>
                <w:highlight w:val="none"/>
                <w:shd w:val="clear" w:color="auto" w:fill="FFFFFF"/>
                <w:lang w:val="en-US" w:eastAsia="zh-CN" w:bidi="ar-SA"/>
              </w:rPr>
              <w:t>阿勒泰市文化路6区</w:t>
            </w:r>
            <w:r>
              <w:rPr>
                <w:rFonts w:hint="eastAsia" w:ascii="宋体" w:hAnsi="宋体" w:eastAsia="宋体" w:cs="宋体"/>
                <w:b w:val="0"/>
                <w:bCs/>
                <w:color w:val="000000"/>
                <w:kern w:val="2"/>
                <w:sz w:val="24"/>
                <w:szCs w:val="24"/>
                <w:highlight w:val="none"/>
                <w:lang w:val="en-US" w:eastAsia="zh-CN" w:bidi="ar-SA"/>
              </w:rPr>
              <w:t xml:space="preserve">　  </w:t>
            </w:r>
          </w:p>
        </w:tc>
      </w:tr>
      <w:tr w14:paraId="3BC65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43" w:hRule="atLeast"/>
          <w:jc w:val="center"/>
        </w:trPr>
        <w:tc>
          <w:tcPr>
            <w:tcW w:w="786" w:type="dxa"/>
            <w:noWrap w:val="0"/>
            <w:vAlign w:val="center"/>
          </w:tcPr>
          <w:p w14:paraId="797029AA">
            <w:pPr>
              <w:pStyle w:val="31"/>
              <w:keepNext/>
              <w:keepLines w:val="0"/>
              <w:pageBreakBefore w:val="0"/>
              <w:widowControl w:val="0"/>
              <w:tabs>
                <w:tab w:val="left" w:pos="1012"/>
              </w:tabs>
              <w:kinsoku/>
              <w:wordWrap/>
              <w:overflowPunct/>
              <w:topLinePunct w:val="0"/>
              <w:bidi w:val="0"/>
              <w:snapToGrid/>
              <w:jc w:val="center"/>
              <w:textAlignment w:val="auto"/>
              <w:rPr>
                <w:rFonts w:cs="Courier New"/>
                <w:b/>
                <w:color w:val="000000"/>
                <w:szCs w:val="21"/>
                <w:highlight w:val="none"/>
                <w:lang w:val="zh-CN"/>
              </w:rPr>
            </w:pPr>
            <w:r>
              <w:rPr>
                <w:rFonts w:cs="Courier New"/>
                <w:b/>
                <w:color w:val="000000"/>
                <w:szCs w:val="21"/>
                <w:highlight w:val="none"/>
                <w:lang w:val="zh-CN"/>
              </w:rPr>
              <w:t>3</w:t>
            </w:r>
          </w:p>
        </w:tc>
        <w:tc>
          <w:tcPr>
            <w:tcW w:w="2416" w:type="dxa"/>
            <w:noWrap w:val="0"/>
            <w:vAlign w:val="center"/>
          </w:tcPr>
          <w:p w14:paraId="3027C9BA">
            <w:pPr>
              <w:pStyle w:val="31"/>
              <w:keepNext/>
              <w:keepLines w:val="0"/>
              <w:pageBreakBefore w:val="0"/>
              <w:widowControl w:val="0"/>
              <w:kinsoku/>
              <w:wordWrap/>
              <w:overflowPunct/>
              <w:topLinePunct w:val="0"/>
              <w:bidi w:val="0"/>
              <w:snapToGrid/>
              <w:ind w:left="38"/>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采购项目名称</w:t>
            </w:r>
          </w:p>
        </w:tc>
        <w:tc>
          <w:tcPr>
            <w:tcW w:w="7056" w:type="dxa"/>
            <w:noWrap w:val="0"/>
            <w:vAlign w:val="center"/>
          </w:tcPr>
          <w:p w14:paraId="526445DC">
            <w:pPr>
              <w:pStyle w:val="12"/>
              <w:keepNext/>
              <w:keepLines w:val="0"/>
              <w:pageBreakBefore w:val="0"/>
              <w:widowControl w:val="0"/>
              <w:kinsoku/>
              <w:wordWrap/>
              <w:overflowPunct/>
              <w:topLinePunct w:val="0"/>
              <w:bidi w:val="0"/>
              <w:snapToGrid/>
              <w:spacing w:line="360" w:lineRule="exact"/>
              <w:textAlignment w:val="auto"/>
              <w:outlineLvl w:val="9"/>
              <w:rPr>
                <w:rFonts w:hint="default" w:ascii="宋体" w:hAnsi="宋体" w:eastAsia="宋体" w:cs="宋体"/>
                <w:b w:val="0"/>
                <w:bCs/>
                <w:color w:val="0000FF"/>
                <w:kern w:val="2"/>
                <w:sz w:val="24"/>
                <w:szCs w:val="24"/>
                <w:highlight w:val="none"/>
                <w:lang w:val="en-US" w:eastAsia="zh-CN" w:bidi="ar-SA"/>
              </w:rPr>
            </w:pPr>
            <w:r>
              <w:rPr>
                <w:rFonts w:hint="eastAsia" w:ascii="宋体" w:hAnsi="宋体" w:cs="宋体"/>
                <w:b w:val="0"/>
                <w:bCs/>
                <w:color w:val="0000FF"/>
                <w:kern w:val="2"/>
                <w:sz w:val="24"/>
                <w:szCs w:val="24"/>
                <w:highlight w:val="none"/>
                <w:lang w:val="en-US" w:eastAsia="zh-CN" w:bidi="ar-SA"/>
              </w:rPr>
              <w:t>吉木乃县人民医院建设项目-医疗设备采购（包七）</w:t>
            </w:r>
          </w:p>
        </w:tc>
      </w:tr>
      <w:tr w14:paraId="19C13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19" w:hRule="exact"/>
          <w:jc w:val="center"/>
        </w:trPr>
        <w:tc>
          <w:tcPr>
            <w:tcW w:w="786" w:type="dxa"/>
            <w:noWrap w:val="0"/>
            <w:vAlign w:val="center"/>
          </w:tcPr>
          <w:p w14:paraId="78772703">
            <w:pPr>
              <w:pStyle w:val="31"/>
              <w:keepNext/>
              <w:keepLines w:val="0"/>
              <w:pageBreakBefore w:val="0"/>
              <w:widowControl w:val="0"/>
              <w:tabs>
                <w:tab w:val="left" w:pos="1012"/>
              </w:tabs>
              <w:kinsoku/>
              <w:wordWrap/>
              <w:overflowPunct/>
              <w:topLinePunct w:val="0"/>
              <w:bidi w:val="0"/>
              <w:snapToGrid/>
              <w:jc w:val="center"/>
              <w:textAlignment w:val="auto"/>
              <w:rPr>
                <w:rFonts w:hint="eastAsia" w:eastAsia="宋体" w:cs="Courier New"/>
                <w:b/>
                <w:color w:val="000000"/>
                <w:szCs w:val="21"/>
                <w:highlight w:val="none"/>
                <w:lang w:val="en-US" w:eastAsia="zh-CN"/>
              </w:rPr>
            </w:pPr>
            <w:r>
              <w:rPr>
                <w:rFonts w:hint="eastAsia" w:cs="Courier New"/>
                <w:b/>
                <w:color w:val="000000"/>
                <w:szCs w:val="21"/>
                <w:highlight w:val="none"/>
                <w:lang w:val="en-US" w:eastAsia="zh-CN"/>
              </w:rPr>
              <w:t>4</w:t>
            </w:r>
          </w:p>
        </w:tc>
        <w:tc>
          <w:tcPr>
            <w:tcW w:w="2416" w:type="dxa"/>
            <w:noWrap w:val="0"/>
            <w:vAlign w:val="center"/>
          </w:tcPr>
          <w:p w14:paraId="313E9704">
            <w:pPr>
              <w:pStyle w:val="31"/>
              <w:keepNext/>
              <w:keepLines w:val="0"/>
              <w:pageBreakBefore w:val="0"/>
              <w:widowControl w:val="0"/>
              <w:kinsoku/>
              <w:wordWrap/>
              <w:overflowPunct/>
              <w:topLinePunct w:val="0"/>
              <w:bidi w:val="0"/>
              <w:snapToGrid/>
              <w:ind w:left="38"/>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采购内容</w:t>
            </w:r>
          </w:p>
        </w:tc>
        <w:tc>
          <w:tcPr>
            <w:tcW w:w="7056" w:type="dxa"/>
            <w:noWrap w:val="0"/>
            <w:vAlign w:val="center"/>
          </w:tcPr>
          <w:p w14:paraId="3076A9A3">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default"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标项一：</w:t>
            </w:r>
          </w:p>
          <w:p w14:paraId="0114CE02">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标项名称：</w:t>
            </w:r>
            <w:r>
              <w:rPr>
                <w:rFonts w:hint="eastAsia" w:ascii="宋体" w:hAnsi="宋体" w:cs="宋体"/>
                <w:color w:val="auto"/>
                <w:kern w:val="0"/>
                <w:sz w:val="24"/>
                <w:szCs w:val="24"/>
                <w:highlight w:val="none"/>
                <w:lang w:val="en-US" w:eastAsia="zh-CN"/>
              </w:rPr>
              <w:t>吉木乃县人民医院建设项目-医疗设备采购（包七）</w:t>
            </w:r>
          </w:p>
          <w:p w14:paraId="20976B47">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数量：1批</w:t>
            </w:r>
          </w:p>
          <w:p w14:paraId="4B73DAFD">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预算金额（元）：</w:t>
            </w:r>
            <w:r>
              <w:rPr>
                <w:rFonts w:hint="eastAsia" w:ascii="宋体" w:hAnsi="宋体" w:cs="宋体"/>
                <w:color w:val="0000FF"/>
                <w:kern w:val="0"/>
                <w:sz w:val="24"/>
                <w:szCs w:val="24"/>
                <w:highlight w:val="none"/>
                <w:lang w:val="en-US" w:eastAsia="zh-CN"/>
              </w:rPr>
              <w:t xml:space="preserve">2865000.00 </w:t>
            </w:r>
          </w:p>
          <w:p w14:paraId="2F503923">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简要规格描述或项目基本概况介绍：采购医疗设备1批（详见第三章）。</w:t>
            </w:r>
          </w:p>
          <w:p w14:paraId="605F00E3">
            <w:pPr>
              <w:keepNext/>
              <w:keepLines w:val="0"/>
              <w:pageBreakBefore w:val="0"/>
              <w:widowControl w:val="0"/>
              <w:tabs>
                <w:tab w:val="left" w:pos="340"/>
              </w:tabs>
              <w:kinsoku/>
              <w:wordWrap/>
              <w:overflowPunct/>
              <w:topLinePunct w:val="0"/>
              <w:bidi w:val="0"/>
              <w:snapToGrid/>
              <w:spacing w:line="240" w:lineRule="auto"/>
              <w:ind w:right="220" w:rightChars="105"/>
              <w:textAlignment w:val="auto"/>
              <w:rPr>
                <w:rFonts w:hint="eastAsia" w:ascii="宋体" w:hAnsi="宋体" w:eastAsia="宋体" w:cs="宋体"/>
                <w:b w:val="0"/>
                <w:bCs/>
                <w:color w:val="000000"/>
                <w:spacing w:val="-8"/>
                <w:sz w:val="24"/>
                <w:szCs w:val="24"/>
                <w:highlight w:val="none"/>
                <w:lang w:eastAsia="zh-CN"/>
              </w:rPr>
            </w:pPr>
          </w:p>
        </w:tc>
      </w:tr>
      <w:tr w14:paraId="2A043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08" w:hRule="exact"/>
          <w:jc w:val="center"/>
        </w:trPr>
        <w:tc>
          <w:tcPr>
            <w:tcW w:w="786" w:type="dxa"/>
            <w:noWrap w:val="0"/>
            <w:vAlign w:val="center"/>
          </w:tcPr>
          <w:p w14:paraId="388CA8FC">
            <w:pPr>
              <w:pStyle w:val="31"/>
              <w:keepNext/>
              <w:keepLines w:val="0"/>
              <w:pageBreakBefore w:val="0"/>
              <w:widowControl w:val="0"/>
              <w:tabs>
                <w:tab w:val="left" w:pos="1012"/>
              </w:tabs>
              <w:kinsoku/>
              <w:wordWrap/>
              <w:overflowPunct/>
              <w:topLinePunct w:val="0"/>
              <w:bidi w:val="0"/>
              <w:snapToGrid/>
              <w:jc w:val="center"/>
              <w:textAlignment w:val="auto"/>
              <w:rPr>
                <w:rFonts w:hint="eastAsia" w:eastAsia="宋体" w:cs="Courier New"/>
                <w:b/>
                <w:color w:val="000000"/>
                <w:szCs w:val="21"/>
                <w:highlight w:val="none"/>
                <w:lang w:val="zh-CN" w:eastAsia="zh-CN"/>
              </w:rPr>
            </w:pPr>
            <w:r>
              <w:rPr>
                <w:rFonts w:hint="eastAsia" w:cs="Courier New"/>
                <w:b/>
                <w:color w:val="000000"/>
                <w:szCs w:val="21"/>
                <w:highlight w:val="none"/>
                <w:lang w:val="en-US" w:eastAsia="zh-CN"/>
              </w:rPr>
              <w:t>5</w:t>
            </w:r>
          </w:p>
        </w:tc>
        <w:tc>
          <w:tcPr>
            <w:tcW w:w="2416" w:type="dxa"/>
            <w:noWrap w:val="0"/>
            <w:vAlign w:val="center"/>
          </w:tcPr>
          <w:p w14:paraId="36F76859">
            <w:pPr>
              <w:pStyle w:val="31"/>
              <w:keepNext/>
              <w:keepLines w:val="0"/>
              <w:pageBreakBefore w:val="0"/>
              <w:widowControl w:val="0"/>
              <w:kinsoku/>
              <w:wordWrap/>
              <w:overflowPunct/>
              <w:topLinePunct w:val="0"/>
              <w:bidi w:val="0"/>
              <w:snapToGrid/>
              <w:ind w:left="38"/>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FF"/>
                <w:sz w:val="24"/>
                <w:szCs w:val="24"/>
                <w:highlight w:val="none"/>
                <w:lang w:val="zh-CN"/>
              </w:rPr>
              <w:t>采购项目编号</w:t>
            </w:r>
          </w:p>
        </w:tc>
        <w:tc>
          <w:tcPr>
            <w:tcW w:w="7056" w:type="dxa"/>
            <w:noWrap w:val="0"/>
            <w:vAlign w:val="center"/>
          </w:tcPr>
          <w:p w14:paraId="7CC11D73">
            <w:pPr>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b w:val="0"/>
                <w:bCs/>
                <w:color w:val="000000"/>
                <w:sz w:val="24"/>
                <w:szCs w:val="24"/>
                <w:highlight w:val="none"/>
                <w:lang w:val="en-US" w:eastAsia="zh-CN"/>
              </w:rPr>
            </w:pPr>
            <w:r>
              <w:rPr>
                <w:rFonts w:hint="eastAsia" w:ascii="宋体" w:hAnsi="宋体" w:cs="宋体"/>
                <w:color w:val="auto"/>
                <w:kern w:val="0"/>
                <w:sz w:val="24"/>
                <w:szCs w:val="24"/>
                <w:highlight w:val="none"/>
                <w:lang w:val="en-US" w:eastAsia="zh-CN"/>
              </w:rPr>
              <w:t>JMNZFCG-XJLZB202503</w:t>
            </w:r>
          </w:p>
        </w:tc>
      </w:tr>
      <w:tr w14:paraId="455E2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90" w:hRule="exact"/>
          <w:jc w:val="center"/>
        </w:trPr>
        <w:tc>
          <w:tcPr>
            <w:tcW w:w="786" w:type="dxa"/>
            <w:noWrap w:val="0"/>
            <w:vAlign w:val="center"/>
          </w:tcPr>
          <w:p w14:paraId="3DCF2E25">
            <w:pPr>
              <w:pStyle w:val="31"/>
              <w:keepNext/>
              <w:keepLines w:val="0"/>
              <w:pageBreakBefore w:val="0"/>
              <w:widowControl w:val="0"/>
              <w:tabs>
                <w:tab w:val="left" w:pos="1012"/>
              </w:tabs>
              <w:kinsoku/>
              <w:wordWrap/>
              <w:overflowPunct/>
              <w:topLinePunct w:val="0"/>
              <w:bidi w:val="0"/>
              <w:snapToGrid/>
              <w:jc w:val="center"/>
              <w:textAlignment w:val="auto"/>
              <w:rPr>
                <w:rFonts w:hint="eastAsia" w:eastAsia="宋体" w:cs="Courier New"/>
                <w:b/>
                <w:color w:val="000000"/>
                <w:szCs w:val="21"/>
                <w:highlight w:val="none"/>
                <w:lang w:val="zh-CN" w:eastAsia="zh-CN"/>
              </w:rPr>
            </w:pPr>
            <w:r>
              <w:rPr>
                <w:rFonts w:hint="eastAsia" w:cs="Courier New"/>
                <w:b/>
                <w:color w:val="000000"/>
                <w:szCs w:val="21"/>
                <w:highlight w:val="none"/>
                <w:lang w:val="en-US" w:eastAsia="zh-CN"/>
              </w:rPr>
              <w:t>6</w:t>
            </w:r>
          </w:p>
        </w:tc>
        <w:tc>
          <w:tcPr>
            <w:tcW w:w="2416" w:type="dxa"/>
            <w:noWrap w:val="0"/>
            <w:vAlign w:val="center"/>
          </w:tcPr>
          <w:p w14:paraId="717F5D4F">
            <w:pPr>
              <w:pStyle w:val="31"/>
              <w:keepNext/>
              <w:keepLines w:val="0"/>
              <w:pageBreakBefore w:val="0"/>
              <w:widowControl w:val="0"/>
              <w:kinsoku/>
              <w:wordWrap/>
              <w:overflowPunct/>
              <w:topLinePunct w:val="0"/>
              <w:bidi w:val="0"/>
              <w:snapToGrid/>
              <w:ind w:left="38"/>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资金来源</w:t>
            </w:r>
          </w:p>
        </w:tc>
        <w:tc>
          <w:tcPr>
            <w:tcW w:w="7056" w:type="dxa"/>
            <w:noWrap w:val="0"/>
            <w:vAlign w:val="center"/>
          </w:tcPr>
          <w:p w14:paraId="25CB5E44">
            <w:pPr>
              <w:pStyle w:val="31"/>
              <w:keepNext/>
              <w:keepLines w:val="0"/>
              <w:pageBreakBefore w:val="0"/>
              <w:widowControl w:val="0"/>
              <w:tabs>
                <w:tab w:val="left" w:pos="340"/>
              </w:tabs>
              <w:kinsoku/>
              <w:wordWrap/>
              <w:overflowPunct/>
              <w:topLinePunct w:val="0"/>
              <w:bidi w:val="0"/>
              <w:snapToGrid/>
              <w:ind w:right="220" w:rightChars="105"/>
              <w:textAlignment w:val="auto"/>
              <w:rPr>
                <w:rFonts w:hint="default" w:ascii="宋体" w:hAnsi="宋体" w:eastAsia="宋体" w:cs="宋体"/>
                <w:b w:val="0"/>
                <w:bCs/>
                <w:color w:val="000000"/>
                <w:sz w:val="24"/>
                <w:szCs w:val="24"/>
                <w:highlight w:val="none"/>
                <w:lang w:val="en-US" w:eastAsia="zh-CN"/>
              </w:rPr>
            </w:pPr>
            <w:r>
              <w:rPr>
                <w:rFonts w:hint="eastAsia" w:cs="宋体"/>
                <w:b w:val="0"/>
                <w:bCs/>
                <w:color w:val="000000"/>
                <w:sz w:val="24"/>
                <w:szCs w:val="24"/>
                <w:highlight w:val="none"/>
                <w:lang w:val="en-US" w:eastAsia="zh-CN"/>
              </w:rPr>
              <w:t>地方专项债券及地方财政资金</w:t>
            </w:r>
          </w:p>
        </w:tc>
      </w:tr>
      <w:tr w14:paraId="316BC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690" w:hRule="exact"/>
          <w:jc w:val="center"/>
        </w:trPr>
        <w:tc>
          <w:tcPr>
            <w:tcW w:w="786" w:type="dxa"/>
            <w:noWrap w:val="0"/>
            <w:vAlign w:val="center"/>
          </w:tcPr>
          <w:p w14:paraId="62D9F975">
            <w:pPr>
              <w:pStyle w:val="31"/>
              <w:keepNext/>
              <w:keepLines w:val="0"/>
              <w:pageBreakBefore w:val="0"/>
              <w:widowControl w:val="0"/>
              <w:tabs>
                <w:tab w:val="left" w:pos="1012"/>
              </w:tabs>
              <w:kinsoku/>
              <w:wordWrap/>
              <w:overflowPunct/>
              <w:topLinePunct w:val="0"/>
              <w:bidi w:val="0"/>
              <w:snapToGrid/>
              <w:jc w:val="center"/>
              <w:textAlignment w:val="auto"/>
              <w:rPr>
                <w:rFonts w:hint="eastAsia" w:eastAsia="宋体" w:cs="Courier New"/>
                <w:b/>
                <w:color w:val="000000"/>
                <w:szCs w:val="21"/>
                <w:highlight w:val="none"/>
                <w:lang w:val="zh-CN" w:eastAsia="zh-CN"/>
              </w:rPr>
            </w:pPr>
            <w:r>
              <w:rPr>
                <w:rFonts w:hint="eastAsia" w:cs="Courier New"/>
                <w:b/>
                <w:color w:val="000000"/>
                <w:szCs w:val="21"/>
                <w:highlight w:val="none"/>
                <w:lang w:val="en-US" w:eastAsia="zh-CN"/>
              </w:rPr>
              <w:t>7</w:t>
            </w:r>
          </w:p>
        </w:tc>
        <w:tc>
          <w:tcPr>
            <w:tcW w:w="2416" w:type="dxa"/>
            <w:noWrap w:val="0"/>
            <w:vAlign w:val="center"/>
          </w:tcPr>
          <w:p w14:paraId="6EA5F721">
            <w:pPr>
              <w:pStyle w:val="31"/>
              <w:keepNext/>
              <w:keepLines w:val="0"/>
              <w:pageBreakBefore w:val="0"/>
              <w:widowControl w:val="0"/>
              <w:kinsoku/>
              <w:wordWrap/>
              <w:overflowPunct/>
              <w:topLinePunct w:val="0"/>
              <w:bidi w:val="0"/>
              <w:snapToGrid/>
              <w:ind w:left="38"/>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采购预算额度</w:t>
            </w:r>
          </w:p>
        </w:tc>
        <w:tc>
          <w:tcPr>
            <w:tcW w:w="7056" w:type="dxa"/>
            <w:noWrap w:val="0"/>
            <w:vAlign w:val="center"/>
          </w:tcPr>
          <w:p w14:paraId="58F2C9BA">
            <w:pPr>
              <w:keepNext/>
              <w:keepLines w:val="0"/>
              <w:pageBreakBefore w:val="0"/>
              <w:widowControl w:val="0"/>
              <w:kinsoku/>
              <w:wordWrap/>
              <w:overflowPunct/>
              <w:topLinePunct w:val="0"/>
              <w:bidi w:val="0"/>
              <w:snapToGrid/>
              <w:spacing w:line="360" w:lineRule="exact"/>
              <w:jc w:val="left"/>
              <w:textAlignment w:val="auto"/>
              <w:outlineLvl w:val="9"/>
              <w:rPr>
                <w:rFonts w:hint="eastAsia" w:ascii="宋体" w:hAnsi="宋体" w:eastAsia="宋体" w:cs="宋体"/>
                <w:b w:val="0"/>
                <w:bCs/>
                <w:color w:val="000000"/>
                <w:spacing w:val="-4"/>
                <w:sz w:val="24"/>
                <w:szCs w:val="24"/>
                <w:highlight w:val="none"/>
                <w:lang w:eastAsia="zh-CN"/>
              </w:rPr>
            </w:pPr>
            <w:r>
              <w:rPr>
                <w:rFonts w:hint="eastAsia" w:ascii="宋体" w:hAnsi="宋体" w:eastAsia="宋体" w:cs="宋体"/>
                <w:b w:val="0"/>
                <w:bCs/>
                <w:color w:val="auto"/>
                <w:kern w:val="0"/>
                <w:sz w:val="24"/>
                <w:szCs w:val="24"/>
                <w:highlight w:val="none"/>
                <w:lang w:val="en-US" w:eastAsia="zh-CN" w:bidi="ar-SA"/>
              </w:rPr>
              <w:t>采购预算价：</w:t>
            </w:r>
            <w:r>
              <w:rPr>
                <w:rFonts w:hint="eastAsia" w:ascii="宋体" w:hAnsi="宋体" w:cs="宋体"/>
                <w:color w:val="0000FF"/>
                <w:kern w:val="0"/>
                <w:sz w:val="24"/>
                <w:szCs w:val="24"/>
                <w:highlight w:val="none"/>
                <w:lang w:val="en-US" w:eastAsia="zh-CN"/>
              </w:rPr>
              <w:t>2865000.00</w:t>
            </w:r>
            <w:r>
              <w:rPr>
                <w:rFonts w:hint="eastAsia" w:ascii="宋体" w:hAnsi="宋体" w:eastAsia="宋体" w:cs="宋体"/>
                <w:b w:val="0"/>
                <w:bCs/>
                <w:color w:val="auto"/>
                <w:kern w:val="0"/>
                <w:sz w:val="24"/>
                <w:szCs w:val="24"/>
                <w:highlight w:val="none"/>
                <w:lang w:val="en-US" w:eastAsia="zh-CN" w:bidi="ar-SA"/>
              </w:rPr>
              <w:t>元 (此采购预算为最高限价、如超过预算价的报价为无效报价）</w:t>
            </w:r>
            <w:r>
              <w:rPr>
                <w:rFonts w:hint="eastAsia" w:ascii="宋体" w:hAnsi="宋体" w:eastAsia="宋体" w:cs="宋体"/>
                <w:b w:val="0"/>
                <w:bCs/>
                <w:color w:val="000000"/>
                <w:spacing w:val="-4"/>
                <w:sz w:val="24"/>
                <w:szCs w:val="24"/>
                <w:highlight w:val="none"/>
                <w:lang w:eastAsia="zh-CN"/>
              </w:rPr>
              <w:t>。</w:t>
            </w:r>
          </w:p>
          <w:p w14:paraId="34554823">
            <w:pPr>
              <w:keepNext/>
              <w:keepLines w:val="0"/>
              <w:pageBreakBefore w:val="0"/>
              <w:widowControl w:val="0"/>
              <w:kinsoku/>
              <w:wordWrap/>
              <w:overflowPunct/>
              <w:topLinePunct w:val="0"/>
              <w:bidi w:val="0"/>
              <w:snapToGrid/>
              <w:spacing w:line="360" w:lineRule="exact"/>
              <w:jc w:val="left"/>
              <w:textAlignment w:val="auto"/>
              <w:outlineLvl w:val="9"/>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pacing w:val="-4"/>
                <w:sz w:val="24"/>
                <w:szCs w:val="24"/>
                <w:highlight w:val="none"/>
              </w:rPr>
              <w:t>在评标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敬请</w:t>
            </w:r>
            <w:r>
              <w:rPr>
                <w:rFonts w:hint="eastAsia" w:ascii="宋体" w:hAnsi="宋体" w:eastAsia="宋体" w:cs="宋体"/>
                <w:b w:val="0"/>
                <w:bCs/>
                <w:color w:val="000000"/>
                <w:spacing w:val="-4"/>
                <w:sz w:val="24"/>
                <w:szCs w:val="24"/>
                <w:highlight w:val="none"/>
                <w:lang w:val="en-US" w:eastAsia="zh-CN"/>
              </w:rPr>
              <w:t>投标</w:t>
            </w:r>
            <w:r>
              <w:rPr>
                <w:rFonts w:hint="eastAsia" w:ascii="宋体" w:hAnsi="宋体" w:eastAsia="宋体" w:cs="宋体"/>
                <w:b w:val="0"/>
                <w:bCs/>
                <w:color w:val="000000"/>
                <w:spacing w:val="-4"/>
                <w:sz w:val="24"/>
                <w:szCs w:val="24"/>
                <w:highlight w:val="none"/>
              </w:rPr>
              <w:t>人注意！</w:t>
            </w:r>
          </w:p>
        </w:tc>
      </w:tr>
      <w:tr w14:paraId="4A127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2" w:hRule="exact"/>
          <w:jc w:val="center"/>
        </w:trPr>
        <w:tc>
          <w:tcPr>
            <w:tcW w:w="786" w:type="dxa"/>
            <w:noWrap w:val="0"/>
            <w:vAlign w:val="center"/>
          </w:tcPr>
          <w:p w14:paraId="30BE74C0">
            <w:pPr>
              <w:pStyle w:val="31"/>
              <w:keepNext/>
              <w:keepLines w:val="0"/>
              <w:pageBreakBefore w:val="0"/>
              <w:widowControl w:val="0"/>
              <w:tabs>
                <w:tab w:val="left" w:pos="1012"/>
              </w:tabs>
              <w:kinsoku/>
              <w:wordWrap/>
              <w:overflowPunct/>
              <w:topLinePunct w:val="0"/>
              <w:bidi w:val="0"/>
              <w:snapToGrid/>
              <w:jc w:val="center"/>
              <w:textAlignment w:val="auto"/>
              <w:rPr>
                <w:rFonts w:hint="eastAsia" w:eastAsia="宋体" w:cs="Courier New"/>
                <w:b/>
                <w:color w:val="000000"/>
                <w:szCs w:val="21"/>
                <w:highlight w:val="none"/>
                <w:lang w:val="zh-CN" w:eastAsia="zh-CN"/>
              </w:rPr>
            </w:pPr>
            <w:r>
              <w:rPr>
                <w:rFonts w:hint="eastAsia" w:cs="Courier New"/>
                <w:b/>
                <w:color w:val="000000"/>
                <w:szCs w:val="21"/>
                <w:highlight w:val="none"/>
                <w:lang w:val="en-US" w:eastAsia="zh-CN"/>
              </w:rPr>
              <w:t>8</w:t>
            </w:r>
          </w:p>
        </w:tc>
        <w:tc>
          <w:tcPr>
            <w:tcW w:w="2416" w:type="dxa"/>
            <w:noWrap w:val="0"/>
            <w:vAlign w:val="center"/>
          </w:tcPr>
          <w:p w14:paraId="3C3197FC">
            <w:pPr>
              <w:pStyle w:val="31"/>
              <w:keepNext/>
              <w:keepLines w:val="0"/>
              <w:pageBreakBefore w:val="0"/>
              <w:widowControl w:val="0"/>
              <w:kinsoku/>
              <w:wordWrap/>
              <w:overflowPunct/>
              <w:topLinePunct w:val="0"/>
              <w:bidi w:val="0"/>
              <w:snapToGrid/>
              <w:ind w:left="38"/>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采购方式</w:t>
            </w:r>
          </w:p>
        </w:tc>
        <w:tc>
          <w:tcPr>
            <w:tcW w:w="7056" w:type="dxa"/>
            <w:noWrap w:val="0"/>
            <w:vAlign w:val="center"/>
          </w:tcPr>
          <w:p w14:paraId="42795022">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公开招标</w:t>
            </w:r>
          </w:p>
        </w:tc>
      </w:tr>
      <w:tr w14:paraId="013D6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786" w:type="dxa"/>
            <w:noWrap w:val="0"/>
            <w:vAlign w:val="center"/>
          </w:tcPr>
          <w:p w14:paraId="35308279">
            <w:pPr>
              <w:pStyle w:val="31"/>
              <w:keepNext/>
              <w:keepLines w:val="0"/>
              <w:pageBreakBefore w:val="0"/>
              <w:widowControl w:val="0"/>
              <w:tabs>
                <w:tab w:val="left" w:pos="1012"/>
              </w:tabs>
              <w:kinsoku/>
              <w:wordWrap/>
              <w:overflowPunct/>
              <w:topLinePunct w:val="0"/>
              <w:bidi w:val="0"/>
              <w:snapToGrid/>
              <w:jc w:val="center"/>
              <w:textAlignment w:val="auto"/>
              <w:rPr>
                <w:rFonts w:hint="eastAsia" w:eastAsia="宋体" w:cs="Courier New"/>
                <w:b/>
                <w:color w:val="000000"/>
                <w:szCs w:val="21"/>
                <w:highlight w:val="none"/>
                <w:lang w:val="zh-CN" w:eastAsia="zh-CN"/>
              </w:rPr>
            </w:pPr>
            <w:r>
              <w:rPr>
                <w:rFonts w:hint="eastAsia" w:cs="Courier New"/>
                <w:b/>
                <w:color w:val="000000"/>
                <w:szCs w:val="21"/>
                <w:highlight w:val="none"/>
                <w:lang w:val="en-US" w:eastAsia="zh-CN"/>
              </w:rPr>
              <w:t>9</w:t>
            </w:r>
          </w:p>
        </w:tc>
        <w:tc>
          <w:tcPr>
            <w:tcW w:w="2416" w:type="dxa"/>
            <w:noWrap w:val="0"/>
            <w:vAlign w:val="center"/>
          </w:tcPr>
          <w:p w14:paraId="12CA74EA">
            <w:pPr>
              <w:pStyle w:val="31"/>
              <w:keepNext/>
              <w:keepLines w:val="0"/>
              <w:pageBreakBefore w:val="0"/>
              <w:widowControl w:val="0"/>
              <w:kinsoku/>
              <w:wordWrap/>
              <w:overflowPunct/>
              <w:topLinePunct w:val="0"/>
              <w:bidi w:val="0"/>
              <w:snapToGrid/>
              <w:ind w:left="96"/>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评标方法</w:t>
            </w:r>
          </w:p>
        </w:tc>
        <w:tc>
          <w:tcPr>
            <w:tcW w:w="7056" w:type="dxa"/>
            <w:noWrap w:val="0"/>
            <w:vAlign w:val="center"/>
          </w:tcPr>
          <w:p w14:paraId="21C29F7E">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kern w:val="0"/>
                <w:sz w:val="24"/>
                <w:szCs w:val="24"/>
                <w:highlight w:val="none"/>
                <w:lang w:val="zh-CN"/>
              </w:rPr>
              <w:t>综合评分法</w:t>
            </w:r>
          </w:p>
        </w:tc>
      </w:tr>
      <w:tr w14:paraId="034B0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08" w:hRule="atLeast"/>
          <w:jc w:val="center"/>
        </w:trPr>
        <w:tc>
          <w:tcPr>
            <w:tcW w:w="786" w:type="dxa"/>
            <w:noWrap w:val="0"/>
            <w:vAlign w:val="center"/>
          </w:tcPr>
          <w:p w14:paraId="6B28D062">
            <w:pPr>
              <w:pStyle w:val="31"/>
              <w:keepNext/>
              <w:keepLines w:val="0"/>
              <w:pageBreakBefore w:val="0"/>
              <w:widowControl w:val="0"/>
              <w:tabs>
                <w:tab w:val="left" w:pos="1012"/>
              </w:tabs>
              <w:kinsoku/>
              <w:wordWrap/>
              <w:overflowPunct/>
              <w:topLinePunct w:val="0"/>
              <w:bidi w:val="0"/>
              <w:snapToGrid/>
              <w:jc w:val="center"/>
              <w:textAlignment w:val="auto"/>
              <w:rPr>
                <w:rFonts w:hint="default" w:eastAsia="宋体" w:cs="Courier New"/>
                <w:b/>
                <w:color w:val="000000"/>
                <w:szCs w:val="21"/>
                <w:highlight w:val="none"/>
                <w:lang w:val="en-US" w:eastAsia="zh-CN"/>
              </w:rPr>
            </w:pPr>
            <w:r>
              <w:rPr>
                <w:rFonts w:hint="eastAsia" w:cs="Courier New"/>
                <w:b/>
                <w:color w:val="000000"/>
                <w:szCs w:val="21"/>
                <w:highlight w:val="none"/>
                <w:lang w:val="en-US" w:eastAsia="zh-CN"/>
              </w:rPr>
              <w:t>10</w:t>
            </w:r>
          </w:p>
        </w:tc>
        <w:tc>
          <w:tcPr>
            <w:tcW w:w="2416" w:type="dxa"/>
            <w:noWrap w:val="0"/>
            <w:vAlign w:val="center"/>
          </w:tcPr>
          <w:p w14:paraId="482D6F07">
            <w:pPr>
              <w:pStyle w:val="31"/>
              <w:keepNext/>
              <w:keepLines w:val="0"/>
              <w:pageBreakBefore w:val="0"/>
              <w:widowControl w:val="0"/>
              <w:kinsoku/>
              <w:wordWrap/>
              <w:overflowPunct/>
              <w:topLinePunct w:val="0"/>
              <w:bidi w:val="0"/>
              <w:snapToGrid/>
              <w:ind w:left="96"/>
              <w:jc w:val="center"/>
              <w:textAlignment w:val="auto"/>
              <w:rPr>
                <w:rFonts w:hint="default" w:ascii="宋体" w:hAnsi="宋体" w:eastAsia="宋体" w:cs="宋体"/>
                <w:b w:val="0"/>
                <w:bCs/>
                <w:color w:val="0000FF"/>
                <w:sz w:val="24"/>
                <w:szCs w:val="24"/>
                <w:highlight w:val="none"/>
                <w:lang w:val="en-US" w:eastAsia="zh-CN"/>
              </w:rPr>
            </w:pPr>
            <w:r>
              <w:rPr>
                <w:rFonts w:hint="eastAsia" w:cs="宋体"/>
                <w:b w:val="0"/>
                <w:bCs/>
                <w:color w:val="0000FF"/>
                <w:sz w:val="24"/>
                <w:szCs w:val="24"/>
                <w:highlight w:val="none"/>
                <w:lang w:val="en-US" w:eastAsia="zh-CN"/>
              </w:rPr>
              <w:t>供货期及交货地点</w:t>
            </w:r>
          </w:p>
        </w:tc>
        <w:tc>
          <w:tcPr>
            <w:tcW w:w="7056" w:type="dxa"/>
            <w:noWrap w:val="0"/>
            <w:vAlign w:val="center"/>
          </w:tcPr>
          <w:p w14:paraId="23C86D5A">
            <w:pPr>
              <w:keepNext/>
              <w:keepLines w:val="0"/>
              <w:pageBreakBefore w:val="0"/>
              <w:widowControl w:val="0"/>
              <w:kinsoku/>
              <w:wordWrap/>
              <w:overflowPunct/>
              <w:topLinePunct w:val="0"/>
              <w:bidi w:val="0"/>
              <w:snapToGrid/>
              <w:spacing w:line="360" w:lineRule="exact"/>
              <w:jc w:val="left"/>
              <w:textAlignment w:val="auto"/>
              <w:outlineLvl w:val="9"/>
              <w:rPr>
                <w:rFonts w:hint="eastAsia" w:ascii="宋体" w:hAnsi="宋体" w:eastAsia="宋体" w:cs="宋体"/>
                <w:b w:val="0"/>
                <w:bCs/>
                <w:color w:val="000000"/>
                <w:spacing w:val="-4"/>
                <w:sz w:val="24"/>
                <w:szCs w:val="24"/>
                <w:highlight w:val="none"/>
                <w:lang w:val="en-US" w:eastAsia="zh-CN"/>
              </w:rPr>
            </w:pPr>
            <w:r>
              <w:rPr>
                <w:rFonts w:hint="eastAsia" w:ascii="宋体" w:hAnsi="宋体" w:eastAsia="宋体" w:cs="宋体"/>
                <w:b w:val="0"/>
                <w:bCs/>
                <w:color w:val="000000"/>
                <w:spacing w:val="-4"/>
                <w:sz w:val="24"/>
                <w:szCs w:val="24"/>
                <w:highlight w:val="none"/>
                <w:lang w:val="en-US" w:eastAsia="zh-CN"/>
              </w:rPr>
              <w:t>供货期：</w:t>
            </w:r>
            <w:r>
              <w:rPr>
                <w:rFonts w:hint="eastAsia" w:ascii="宋体" w:hAnsi="宋体" w:cs="宋体"/>
                <w:b w:val="0"/>
                <w:bCs/>
                <w:color w:val="000000"/>
                <w:spacing w:val="-4"/>
                <w:sz w:val="24"/>
                <w:szCs w:val="24"/>
                <w:highlight w:val="none"/>
                <w:lang w:val="en-US" w:eastAsia="zh-CN"/>
              </w:rPr>
              <w:t>6</w:t>
            </w:r>
            <w:r>
              <w:rPr>
                <w:rFonts w:hint="eastAsia" w:ascii="宋体" w:hAnsi="宋体" w:eastAsia="宋体" w:cs="宋体"/>
                <w:b w:val="0"/>
                <w:bCs/>
                <w:color w:val="000000"/>
                <w:spacing w:val="-4"/>
                <w:sz w:val="24"/>
                <w:szCs w:val="24"/>
                <w:highlight w:val="none"/>
                <w:lang w:val="en-US" w:eastAsia="zh-CN"/>
              </w:rPr>
              <w:t>0个日历</w:t>
            </w:r>
            <w:r>
              <w:rPr>
                <w:rFonts w:hint="eastAsia" w:ascii="宋体" w:hAnsi="宋体" w:cs="宋体"/>
                <w:b w:val="0"/>
                <w:bCs/>
                <w:color w:val="000000"/>
                <w:spacing w:val="-4"/>
                <w:sz w:val="24"/>
                <w:szCs w:val="24"/>
                <w:highlight w:val="none"/>
                <w:lang w:val="en-US" w:eastAsia="zh-CN"/>
              </w:rPr>
              <w:t>天</w:t>
            </w:r>
            <w:r>
              <w:rPr>
                <w:rFonts w:hint="eastAsia" w:ascii="宋体" w:hAnsi="宋体" w:eastAsia="宋体" w:cs="宋体"/>
                <w:b w:val="0"/>
                <w:bCs/>
                <w:color w:val="000000"/>
                <w:spacing w:val="-4"/>
                <w:sz w:val="24"/>
                <w:szCs w:val="24"/>
                <w:highlight w:val="none"/>
                <w:lang w:val="en-US" w:eastAsia="zh-CN"/>
              </w:rPr>
              <w:t>（具体以合同签订为准）内供货、安装、调试、验收完成，如未在规定时间内完成供货、安装、调试、验收等工作，则需承担相应的违约责任。</w:t>
            </w:r>
          </w:p>
          <w:p w14:paraId="5C6E67E9">
            <w:pPr>
              <w:pStyle w:val="12"/>
              <w:rPr>
                <w:rFonts w:hint="default"/>
                <w:lang w:val="en-US" w:eastAsia="zh-CN"/>
              </w:rPr>
            </w:pPr>
            <w:r>
              <w:rPr>
                <w:rFonts w:hint="eastAsia" w:ascii="宋体" w:hAnsi="宋体" w:eastAsia="宋体" w:cs="宋体"/>
                <w:color w:val="0000FF"/>
                <w:sz w:val="24"/>
                <w:szCs w:val="24"/>
                <w:highlight w:val="none"/>
                <w:lang w:val="en-US" w:eastAsia="zh-CN"/>
              </w:rPr>
              <w:t>交货地点：最终按甲方指定地点验收、交货。</w:t>
            </w:r>
          </w:p>
        </w:tc>
      </w:tr>
      <w:tr w14:paraId="48E4E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38" w:hRule="exact"/>
          <w:jc w:val="center"/>
        </w:trPr>
        <w:tc>
          <w:tcPr>
            <w:tcW w:w="786" w:type="dxa"/>
            <w:noWrap w:val="0"/>
            <w:vAlign w:val="center"/>
          </w:tcPr>
          <w:p w14:paraId="4D038A99">
            <w:pPr>
              <w:pStyle w:val="31"/>
              <w:keepNext/>
              <w:keepLines w:val="0"/>
              <w:pageBreakBefore w:val="0"/>
              <w:widowControl w:val="0"/>
              <w:kinsoku/>
              <w:wordWrap/>
              <w:overflowPunct/>
              <w:topLinePunct w:val="0"/>
              <w:bidi w:val="0"/>
              <w:snapToGrid/>
              <w:jc w:val="center"/>
              <w:textAlignment w:val="auto"/>
              <w:rPr>
                <w:rFonts w:hint="eastAsia" w:eastAsia="宋体" w:cs="Courier New"/>
                <w:b/>
                <w:color w:val="000000"/>
                <w:szCs w:val="21"/>
                <w:highlight w:val="none"/>
                <w:lang w:val="zh-CN" w:eastAsia="zh-CN"/>
              </w:rPr>
            </w:pPr>
            <w:r>
              <w:rPr>
                <w:rFonts w:cs="Courier New"/>
                <w:b/>
                <w:color w:val="000000"/>
                <w:szCs w:val="21"/>
                <w:highlight w:val="none"/>
                <w:lang w:val="zh-CN"/>
              </w:rPr>
              <w:t>1</w:t>
            </w:r>
            <w:r>
              <w:rPr>
                <w:rFonts w:hint="eastAsia" w:cs="Courier New"/>
                <w:b/>
                <w:color w:val="000000"/>
                <w:szCs w:val="21"/>
                <w:highlight w:val="none"/>
                <w:lang w:val="en-US" w:eastAsia="zh-CN"/>
              </w:rPr>
              <w:t>1</w:t>
            </w:r>
          </w:p>
        </w:tc>
        <w:tc>
          <w:tcPr>
            <w:tcW w:w="2416" w:type="dxa"/>
            <w:noWrap w:val="0"/>
            <w:vAlign w:val="center"/>
          </w:tcPr>
          <w:p w14:paraId="466FAA16">
            <w:pPr>
              <w:pStyle w:val="31"/>
              <w:keepNext/>
              <w:keepLines w:val="0"/>
              <w:pageBreakBefore w:val="0"/>
              <w:widowControl w:val="0"/>
              <w:kinsoku/>
              <w:wordWrap/>
              <w:overflowPunct/>
              <w:topLinePunct w:val="0"/>
              <w:bidi w:val="0"/>
              <w:snapToGrid/>
              <w:ind w:left="96"/>
              <w:jc w:val="center"/>
              <w:textAlignment w:val="auto"/>
              <w:rPr>
                <w:rFonts w:hint="default" w:ascii="宋体" w:hAnsi="宋体" w:eastAsia="宋体" w:cs="宋体"/>
                <w:b w:val="0"/>
                <w:bCs/>
                <w:color w:val="0000FF"/>
                <w:sz w:val="24"/>
                <w:szCs w:val="24"/>
                <w:highlight w:val="none"/>
                <w:lang w:val="en-US"/>
              </w:rPr>
            </w:pPr>
            <w:r>
              <w:rPr>
                <w:rFonts w:hint="eastAsia" w:cs="宋体"/>
                <w:b w:val="0"/>
                <w:bCs/>
                <w:color w:val="0000FF"/>
                <w:sz w:val="24"/>
                <w:szCs w:val="24"/>
                <w:highlight w:val="none"/>
                <w:lang w:val="en-US" w:eastAsia="zh-CN"/>
              </w:rPr>
              <w:t>质保期</w:t>
            </w:r>
          </w:p>
        </w:tc>
        <w:tc>
          <w:tcPr>
            <w:tcW w:w="7056" w:type="dxa"/>
            <w:noWrap w:val="0"/>
            <w:vAlign w:val="center"/>
          </w:tcPr>
          <w:p w14:paraId="3C554ED6">
            <w:pPr>
              <w:pStyle w:val="31"/>
              <w:keepNext/>
              <w:keepLines w:val="0"/>
              <w:pageBreakBefore w:val="0"/>
              <w:widowControl w:val="0"/>
              <w:tabs>
                <w:tab w:val="left" w:pos="340"/>
              </w:tabs>
              <w:kinsoku/>
              <w:wordWrap/>
              <w:overflowPunct/>
              <w:topLinePunct w:val="0"/>
              <w:bidi w:val="0"/>
              <w:snapToGrid/>
              <w:ind w:right="220" w:rightChars="105"/>
              <w:jc w:val="left"/>
              <w:textAlignment w:val="auto"/>
              <w:rPr>
                <w:rFonts w:hint="default" w:ascii="宋体" w:hAnsi="宋体" w:eastAsia="宋体" w:cs="宋体"/>
                <w:color w:val="0000FF"/>
                <w:sz w:val="24"/>
                <w:szCs w:val="24"/>
                <w:highlight w:val="none"/>
                <w:lang w:val="en-US" w:eastAsia="zh-CN"/>
              </w:rPr>
            </w:pPr>
            <w:r>
              <w:rPr>
                <w:rFonts w:hint="eastAsia" w:ascii="宋体" w:hAnsi="宋体" w:eastAsia="宋体" w:cs="宋体"/>
                <w:color w:val="000000"/>
                <w:sz w:val="24"/>
                <w:szCs w:val="24"/>
                <w:highlight w:val="none"/>
                <w:lang w:val="en-US" w:eastAsia="zh-CN"/>
              </w:rPr>
              <w:t>整机质保≥3年。（招标文件第</w:t>
            </w:r>
            <w:r>
              <w:rPr>
                <w:rFonts w:hint="eastAsia" w:cs="宋体"/>
                <w:color w:val="000000"/>
                <w:sz w:val="24"/>
                <w:szCs w:val="24"/>
                <w:highlight w:val="none"/>
                <w:lang w:val="en-US" w:eastAsia="zh-CN"/>
              </w:rPr>
              <w:t>三</w:t>
            </w:r>
            <w:r>
              <w:rPr>
                <w:rFonts w:hint="eastAsia" w:ascii="宋体" w:hAnsi="宋体" w:eastAsia="宋体" w:cs="宋体"/>
                <w:color w:val="000000"/>
                <w:sz w:val="24"/>
                <w:szCs w:val="24"/>
                <w:highlight w:val="none"/>
                <w:lang w:val="en-US" w:eastAsia="zh-CN"/>
              </w:rPr>
              <w:t>章“</w:t>
            </w:r>
            <w:r>
              <w:rPr>
                <w:rFonts w:hint="eastAsia" w:cs="宋体"/>
                <w:color w:val="000000"/>
                <w:sz w:val="24"/>
                <w:szCs w:val="24"/>
                <w:highlight w:val="none"/>
                <w:lang w:val="en-US" w:eastAsia="zh-CN"/>
              </w:rPr>
              <w:t>采购需求</w:t>
            </w:r>
            <w:r>
              <w:rPr>
                <w:rFonts w:hint="eastAsia" w:ascii="宋体" w:hAnsi="宋体" w:eastAsia="宋体" w:cs="宋体"/>
                <w:color w:val="000000"/>
                <w:sz w:val="24"/>
                <w:szCs w:val="24"/>
                <w:highlight w:val="none"/>
                <w:lang w:val="en-US" w:eastAsia="zh-CN"/>
              </w:rPr>
              <w:t>”另有规定，执行招标文件第</w:t>
            </w:r>
            <w:r>
              <w:rPr>
                <w:rFonts w:hint="eastAsia" w:cs="宋体"/>
                <w:color w:val="000000"/>
                <w:sz w:val="24"/>
                <w:szCs w:val="24"/>
                <w:highlight w:val="none"/>
                <w:lang w:val="en-US" w:eastAsia="zh-CN"/>
              </w:rPr>
              <w:t>三</w:t>
            </w:r>
            <w:r>
              <w:rPr>
                <w:rFonts w:hint="eastAsia" w:ascii="宋体" w:hAnsi="宋体" w:eastAsia="宋体" w:cs="宋体"/>
                <w:color w:val="000000"/>
                <w:sz w:val="24"/>
                <w:szCs w:val="24"/>
                <w:highlight w:val="none"/>
                <w:lang w:val="en-US" w:eastAsia="zh-CN"/>
              </w:rPr>
              <w:t>章“</w:t>
            </w:r>
            <w:r>
              <w:rPr>
                <w:rFonts w:hint="eastAsia" w:cs="宋体"/>
                <w:color w:val="000000"/>
                <w:sz w:val="24"/>
                <w:szCs w:val="24"/>
                <w:highlight w:val="none"/>
                <w:lang w:val="en-US" w:eastAsia="zh-CN"/>
              </w:rPr>
              <w:t>采购需求</w:t>
            </w:r>
            <w:r>
              <w:rPr>
                <w:rFonts w:hint="eastAsia" w:ascii="宋体" w:hAnsi="宋体" w:eastAsia="宋体" w:cs="宋体"/>
                <w:color w:val="000000"/>
                <w:sz w:val="24"/>
                <w:szCs w:val="24"/>
                <w:highlight w:val="none"/>
                <w:lang w:val="en-US" w:eastAsia="zh-CN"/>
              </w:rPr>
              <w:t>”中规定）。</w:t>
            </w:r>
          </w:p>
        </w:tc>
      </w:tr>
      <w:tr w14:paraId="53F0F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786" w:type="dxa"/>
            <w:noWrap w:val="0"/>
            <w:vAlign w:val="center"/>
          </w:tcPr>
          <w:p w14:paraId="55C47F88">
            <w:pPr>
              <w:pStyle w:val="31"/>
              <w:keepNext/>
              <w:keepLines w:val="0"/>
              <w:pageBreakBefore w:val="0"/>
              <w:widowControl w:val="0"/>
              <w:kinsoku/>
              <w:wordWrap/>
              <w:overflowPunct/>
              <w:topLinePunct w:val="0"/>
              <w:bidi w:val="0"/>
              <w:snapToGrid/>
              <w:ind w:right="92"/>
              <w:jc w:val="center"/>
              <w:textAlignment w:val="auto"/>
              <w:rPr>
                <w:rFonts w:hint="eastAsia" w:eastAsia="宋体" w:cs="Courier New"/>
                <w:b/>
                <w:color w:val="000000"/>
                <w:szCs w:val="21"/>
                <w:highlight w:val="none"/>
                <w:lang w:val="zh-CN" w:eastAsia="zh-CN"/>
              </w:rPr>
            </w:pPr>
            <w:r>
              <w:rPr>
                <w:rFonts w:cs="Courier New"/>
                <w:b/>
                <w:color w:val="000000"/>
                <w:szCs w:val="21"/>
                <w:highlight w:val="none"/>
                <w:lang w:val="zh-CN"/>
              </w:rPr>
              <w:t>1</w:t>
            </w:r>
            <w:r>
              <w:rPr>
                <w:rFonts w:hint="eastAsia" w:cs="Courier New"/>
                <w:b/>
                <w:color w:val="000000"/>
                <w:szCs w:val="21"/>
                <w:highlight w:val="none"/>
                <w:lang w:val="en-US" w:eastAsia="zh-CN"/>
              </w:rPr>
              <w:t>2</w:t>
            </w:r>
          </w:p>
        </w:tc>
        <w:tc>
          <w:tcPr>
            <w:tcW w:w="2416" w:type="dxa"/>
            <w:noWrap w:val="0"/>
            <w:vAlign w:val="center"/>
          </w:tcPr>
          <w:p w14:paraId="3F4832EE">
            <w:pPr>
              <w:pStyle w:val="31"/>
              <w:keepNext/>
              <w:keepLines w:val="0"/>
              <w:pageBreakBefore w:val="0"/>
              <w:widowControl w:val="0"/>
              <w:kinsoku/>
              <w:wordWrap/>
              <w:overflowPunct/>
              <w:topLinePunct w:val="0"/>
              <w:bidi w:val="0"/>
              <w:snapToGrid/>
              <w:ind w:left="235"/>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b w:val="0"/>
                <w:bCs/>
                <w:color w:val="000000"/>
                <w:sz w:val="24"/>
                <w:szCs w:val="24"/>
                <w:highlight w:val="none"/>
                <w:lang w:val="zh-CN"/>
              </w:rPr>
              <w:t>联合体投标</w:t>
            </w:r>
          </w:p>
        </w:tc>
        <w:tc>
          <w:tcPr>
            <w:tcW w:w="7056" w:type="dxa"/>
            <w:noWrap w:val="0"/>
            <w:vAlign w:val="center"/>
          </w:tcPr>
          <w:p w14:paraId="16FBBF46">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rPr>
              <w:t>不接受联合体投标</w:t>
            </w:r>
          </w:p>
        </w:tc>
      </w:tr>
      <w:tr w14:paraId="0C646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2" w:hRule="atLeast"/>
          <w:jc w:val="center"/>
        </w:trPr>
        <w:tc>
          <w:tcPr>
            <w:tcW w:w="786" w:type="dxa"/>
            <w:noWrap w:val="0"/>
            <w:vAlign w:val="center"/>
          </w:tcPr>
          <w:p w14:paraId="131A26A2">
            <w:pPr>
              <w:pStyle w:val="31"/>
              <w:keepNext/>
              <w:keepLines w:val="0"/>
              <w:pageBreakBefore w:val="0"/>
              <w:widowControl w:val="0"/>
              <w:kinsoku/>
              <w:wordWrap/>
              <w:overflowPunct/>
              <w:topLinePunct w:val="0"/>
              <w:bidi w:val="0"/>
              <w:snapToGrid/>
              <w:ind w:right="92"/>
              <w:jc w:val="center"/>
              <w:textAlignment w:val="auto"/>
              <w:rPr>
                <w:rFonts w:hint="eastAsia" w:eastAsia="宋体" w:cs="Courier New"/>
                <w:b/>
                <w:color w:val="000000"/>
                <w:szCs w:val="21"/>
                <w:highlight w:val="none"/>
                <w:lang w:val="zh-CN" w:eastAsia="zh-CN"/>
              </w:rPr>
            </w:pPr>
            <w:r>
              <w:rPr>
                <w:rFonts w:cs="Courier New"/>
                <w:b/>
                <w:color w:val="000000"/>
                <w:szCs w:val="21"/>
                <w:highlight w:val="none"/>
                <w:lang w:val="zh-CN"/>
              </w:rPr>
              <w:t>1</w:t>
            </w:r>
            <w:r>
              <w:rPr>
                <w:rFonts w:hint="eastAsia" w:cs="Courier New"/>
                <w:b/>
                <w:color w:val="000000"/>
                <w:szCs w:val="21"/>
                <w:highlight w:val="none"/>
                <w:lang w:val="en-US" w:eastAsia="zh-CN"/>
              </w:rPr>
              <w:t>3</w:t>
            </w:r>
          </w:p>
        </w:tc>
        <w:tc>
          <w:tcPr>
            <w:tcW w:w="2416" w:type="dxa"/>
            <w:noWrap w:val="0"/>
            <w:vAlign w:val="center"/>
          </w:tcPr>
          <w:p w14:paraId="3E4106B8">
            <w:pPr>
              <w:pStyle w:val="31"/>
              <w:keepNext/>
              <w:keepLines w:val="0"/>
              <w:pageBreakBefore w:val="0"/>
              <w:widowControl w:val="0"/>
              <w:kinsoku/>
              <w:wordWrap/>
              <w:overflowPunct/>
              <w:topLinePunct w:val="0"/>
              <w:bidi w:val="0"/>
              <w:snapToGrid/>
              <w:spacing w:line="360" w:lineRule="auto"/>
              <w:ind w:left="38" w:leftChars="0"/>
              <w:jc w:val="center"/>
              <w:textAlignment w:val="auto"/>
              <w:rPr>
                <w:rFonts w:hint="eastAsia" w:ascii="宋体" w:hAnsi="宋体" w:eastAsia="宋体" w:cs="宋体"/>
                <w:b w:val="0"/>
                <w:bCs/>
                <w:color w:val="000000"/>
                <w:sz w:val="24"/>
                <w:szCs w:val="24"/>
                <w:highlight w:val="none"/>
                <w:lang w:val="zh-CN"/>
              </w:rPr>
            </w:pPr>
            <w:r>
              <w:rPr>
                <w:rFonts w:hint="eastAsia" w:ascii="宋体" w:hAnsi="宋体" w:eastAsia="宋体" w:cs="宋体"/>
                <w:color w:val="auto"/>
                <w:sz w:val="24"/>
                <w:szCs w:val="24"/>
                <w:highlight w:val="none"/>
                <w:lang w:val="zh-CN"/>
              </w:rPr>
              <w:t>询问和质疑</w:t>
            </w:r>
          </w:p>
        </w:tc>
        <w:tc>
          <w:tcPr>
            <w:tcW w:w="7056" w:type="dxa"/>
            <w:noWrap w:val="0"/>
            <w:vAlign w:val="center"/>
          </w:tcPr>
          <w:p w14:paraId="71CBBA6B">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 系 人：</w:t>
            </w:r>
            <w:r>
              <w:rPr>
                <w:rFonts w:hint="eastAsia" w:cs="宋体"/>
                <w:color w:val="000000"/>
                <w:sz w:val="24"/>
                <w:szCs w:val="24"/>
                <w:highlight w:val="none"/>
                <w:lang w:val="en-US" w:eastAsia="zh-CN"/>
              </w:rPr>
              <w:t>杨鹏</w:t>
            </w:r>
          </w:p>
          <w:p w14:paraId="20B43379">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联系电话：</w:t>
            </w:r>
            <w:r>
              <w:rPr>
                <w:rFonts w:hint="eastAsia" w:ascii="宋体" w:hAnsi="宋体" w:eastAsia="宋体" w:cs="宋体"/>
                <w:color w:val="000000"/>
                <w:sz w:val="24"/>
                <w:szCs w:val="24"/>
                <w:highlight w:val="none"/>
                <w:lang w:val="en-US" w:eastAsia="zh-CN"/>
              </w:rPr>
              <w:t xml:space="preserve">15276787839 </w:t>
            </w:r>
          </w:p>
          <w:p w14:paraId="2D809F6C">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邮箱地址</w:t>
            </w:r>
            <w:r>
              <w:rPr>
                <w:rFonts w:hint="eastAsia" w:ascii="宋体" w:hAnsi="宋体" w:eastAsia="宋体" w:cs="宋体"/>
                <w:color w:val="000000"/>
                <w:sz w:val="24"/>
                <w:szCs w:val="24"/>
                <w:highlight w:val="none"/>
                <w:lang w:val="en-US" w:eastAsia="zh-CN"/>
              </w:rPr>
              <w:t xml:space="preserve">：294824292@qq.com。 </w:t>
            </w:r>
          </w:p>
          <w:p w14:paraId="505BD7A9">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eastAsia="zh-CN"/>
              </w:rPr>
              <w:t>注：根据《中华人民共和国政府采购法》</w:t>
            </w:r>
            <w:r>
              <w:rPr>
                <w:rFonts w:hint="eastAsia" w:cs="宋体"/>
                <w:color w:val="000000"/>
                <w:sz w:val="24"/>
                <w:szCs w:val="24"/>
                <w:highlight w:val="none"/>
                <w:lang w:val="zh-CN" w:eastAsia="zh-CN"/>
              </w:rPr>
              <w:t>、</w:t>
            </w:r>
            <w:r>
              <w:rPr>
                <w:rFonts w:hint="eastAsia" w:ascii="宋体" w:hAnsi="宋体" w:eastAsia="宋体" w:cs="宋体"/>
                <w:color w:val="000000"/>
                <w:sz w:val="24"/>
                <w:szCs w:val="24"/>
                <w:highlight w:val="none"/>
                <w:lang w:val="zh-CN" w:eastAsia="zh-CN"/>
              </w:rPr>
              <w:t>《</w:t>
            </w:r>
            <w:r>
              <w:rPr>
                <w:rFonts w:hint="eastAsia" w:cs="宋体"/>
                <w:color w:val="000000"/>
                <w:sz w:val="24"/>
                <w:szCs w:val="24"/>
                <w:highlight w:val="none"/>
                <w:lang w:val="zh-CN" w:eastAsia="zh-CN"/>
              </w:rPr>
              <w:t>政府采购质疑和投诉办法</w:t>
            </w:r>
            <w:r>
              <w:rPr>
                <w:rFonts w:hint="eastAsia" w:ascii="宋体" w:hAnsi="宋体" w:eastAsia="宋体" w:cs="宋体"/>
                <w:color w:val="000000"/>
                <w:sz w:val="24"/>
                <w:szCs w:val="24"/>
                <w:highlight w:val="none"/>
                <w:lang w:val="zh-CN" w:eastAsia="zh-CN"/>
              </w:rPr>
              <w:t>》的规定，供应商质疑不得超出招标文件、评标过程及评标结果的范围及时效限制。</w:t>
            </w:r>
          </w:p>
        </w:tc>
      </w:tr>
      <w:tr w14:paraId="4CAAF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2" w:hRule="atLeast"/>
          <w:jc w:val="center"/>
        </w:trPr>
        <w:tc>
          <w:tcPr>
            <w:tcW w:w="786" w:type="dxa"/>
            <w:noWrap w:val="0"/>
            <w:vAlign w:val="center"/>
          </w:tcPr>
          <w:p w14:paraId="5F29D728">
            <w:pPr>
              <w:pStyle w:val="31"/>
              <w:keepNext/>
              <w:keepLines w:val="0"/>
              <w:pageBreakBefore w:val="0"/>
              <w:widowControl w:val="0"/>
              <w:kinsoku/>
              <w:wordWrap/>
              <w:overflowPunct/>
              <w:topLinePunct w:val="0"/>
              <w:bidi w:val="0"/>
              <w:snapToGrid/>
              <w:ind w:right="92"/>
              <w:jc w:val="center"/>
              <w:textAlignment w:val="auto"/>
              <w:rPr>
                <w:rFonts w:hint="eastAsia" w:eastAsia="宋体" w:cs="Courier New"/>
                <w:b/>
                <w:color w:val="000000"/>
                <w:szCs w:val="21"/>
                <w:highlight w:val="none"/>
                <w:lang w:val="zh-CN" w:eastAsia="zh-CN"/>
              </w:rPr>
            </w:pPr>
            <w:r>
              <w:rPr>
                <w:rFonts w:cs="Courier New"/>
                <w:b/>
                <w:color w:val="000000"/>
                <w:szCs w:val="21"/>
                <w:highlight w:val="none"/>
                <w:lang w:val="zh-CN"/>
              </w:rPr>
              <w:t>1</w:t>
            </w:r>
            <w:r>
              <w:rPr>
                <w:rFonts w:hint="eastAsia" w:cs="Courier New"/>
                <w:b/>
                <w:color w:val="000000"/>
                <w:szCs w:val="21"/>
                <w:highlight w:val="none"/>
                <w:lang w:val="en-US" w:eastAsia="zh-CN"/>
              </w:rPr>
              <w:t>4</w:t>
            </w:r>
          </w:p>
        </w:tc>
        <w:tc>
          <w:tcPr>
            <w:tcW w:w="2416" w:type="dxa"/>
            <w:noWrap w:val="0"/>
            <w:vAlign w:val="center"/>
          </w:tcPr>
          <w:p w14:paraId="3FEEE30B">
            <w:pPr>
              <w:pStyle w:val="31"/>
              <w:keepNext/>
              <w:keepLines w:val="0"/>
              <w:pageBreakBefore w:val="0"/>
              <w:widowControl w:val="0"/>
              <w:kinsoku/>
              <w:wordWrap/>
              <w:overflowPunct/>
              <w:topLinePunct w:val="0"/>
              <w:bidi w:val="0"/>
              <w:snapToGrid/>
              <w:ind w:left="52"/>
              <w:jc w:val="center"/>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供应商对招标文件</w:t>
            </w:r>
          </w:p>
          <w:p w14:paraId="3248AAA1">
            <w:pPr>
              <w:pStyle w:val="31"/>
              <w:keepNext/>
              <w:keepLines w:val="0"/>
              <w:pageBreakBefore w:val="0"/>
              <w:widowControl w:val="0"/>
              <w:kinsoku/>
              <w:wordWrap/>
              <w:overflowPunct/>
              <w:topLinePunct w:val="0"/>
              <w:bidi w:val="0"/>
              <w:snapToGrid/>
              <w:ind w:left="52"/>
              <w:jc w:val="center"/>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提出</w:t>
            </w:r>
            <w:r>
              <w:rPr>
                <w:rFonts w:hint="eastAsia" w:cs="宋体"/>
                <w:sz w:val="24"/>
                <w:szCs w:val="24"/>
                <w:highlight w:val="none"/>
                <w:lang w:val="en-US" w:eastAsia="zh-CN"/>
              </w:rPr>
              <w:t>答</w:t>
            </w:r>
            <w:r>
              <w:rPr>
                <w:rFonts w:hint="eastAsia" w:ascii="宋体" w:hAnsi="宋体" w:eastAsia="宋体" w:cs="宋体"/>
                <w:sz w:val="24"/>
                <w:szCs w:val="24"/>
                <w:highlight w:val="none"/>
                <w:lang w:val="zh-CN" w:eastAsia="zh-CN"/>
              </w:rPr>
              <w:t>疑的时间</w:t>
            </w:r>
          </w:p>
        </w:tc>
        <w:tc>
          <w:tcPr>
            <w:tcW w:w="7056" w:type="dxa"/>
            <w:noWrap w:val="0"/>
            <w:vAlign w:val="center"/>
          </w:tcPr>
          <w:p w14:paraId="270613A1">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自</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lang w:val="zh-CN"/>
              </w:rPr>
              <w:t>发售时间起的5个</w:t>
            </w:r>
            <w:r>
              <w:rPr>
                <w:rFonts w:hint="eastAsia" w:cs="宋体"/>
                <w:color w:val="000000"/>
                <w:sz w:val="24"/>
                <w:szCs w:val="24"/>
                <w:highlight w:val="none"/>
                <w:lang w:val="en-US" w:eastAsia="zh-CN"/>
              </w:rPr>
              <w:t>工作</w:t>
            </w:r>
            <w:r>
              <w:rPr>
                <w:rFonts w:hint="eastAsia" w:ascii="宋体" w:hAnsi="宋体" w:eastAsia="宋体" w:cs="宋体"/>
                <w:color w:val="000000"/>
                <w:sz w:val="24"/>
                <w:szCs w:val="24"/>
                <w:highlight w:val="none"/>
                <w:lang w:val="zh-CN"/>
              </w:rPr>
              <w:t>日内。</w:t>
            </w:r>
          </w:p>
        </w:tc>
      </w:tr>
      <w:tr w14:paraId="508EA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3" w:hRule="exact"/>
          <w:jc w:val="center"/>
        </w:trPr>
        <w:tc>
          <w:tcPr>
            <w:tcW w:w="786" w:type="dxa"/>
            <w:noWrap w:val="0"/>
            <w:vAlign w:val="center"/>
          </w:tcPr>
          <w:p w14:paraId="7757A0CF">
            <w:pPr>
              <w:pStyle w:val="31"/>
              <w:keepNext/>
              <w:keepLines w:val="0"/>
              <w:pageBreakBefore w:val="0"/>
              <w:widowControl w:val="0"/>
              <w:kinsoku/>
              <w:wordWrap/>
              <w:overflowPunct/>
              <w:topLinePunct w:val="0"/>
              <w:bidi w:val="0"/>
              <w:snapToGrid/>
              <w:ind w:right="92" w:rightChars="0"/>
              <w:jc w:val="center"/>
              <w:textAlignment w:val="auto"/>
              <w:rPr>
                <w:rFonts w:hint="eastAsia" w:ascii="宋体" w:hAnsi="宋体" w:eastAsia="宋体" w:cs="Courier New"/>
                <w:b/>
                <w:color w:val="000000"/>
                <w:sz w:val="24"/>
                <w:szCs w:val="21"/>
                <w:highlight w:val="none"/>
                <w:lang w:val="zh-CN" w:eastAsia="zh-CN" w:bidi="ar-SA"/>
              </w:rPr>
            </w:pPr>
            <w:r>
              <w:rPr>
                <w:rFonts w:cs="Courier New"/>
                <w:b/>
                <w:color w:val="000000"/>
                <w:szCs w:val="21"/>
                <w:highlight w:val="none"/>
                <w:lang w:val="zh-CN"/>
              </w:rPr>
              <w:t>1</w:t>
            </w:r>
            <w:r>
              <w:rPr>
                <w:rFonts w:hint="eastAsia" w:cs="Courier New"/>
                <w:b/>
                <w:color w:val="000000"/>
                <w:szCs w:val="21"/>
                <w:highlight w:val="none"/>
                <w:lang w:val="en-US" w:eastAsia="zh-CN"/>
              </w:rPr>
              <w:t>5</w:t>
            </w:r>
          </w:p>
        </w:tc>
        <w:tc>
          <w:tcPr>
            <w:tcW w:w="2416" w:type="dxa"/>
            <w:noWrap w:val="0"/>
            <w:vAlign w:val="center"/>
          </w:tcPr>
          <w:p w14:paraId="01038DCF">
            <w:pPr>
              <w:pStyle w:val="31"/>
              <w:keepNext/>
              <w:keepLines w:val="0"/>
              <w:pageBreakBefore w:val="0"/>
              <w:widowControl w:val="0"/>
              <w:kinsoku/>
              <w:wordWrap/>
              <w:overflowPunct/>
              <w:topLinePunct w:val="0"/>
              <w:bidi w:val="0"/>
              <w:snapToGrid/>
              <w:ind w:left="52"/>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color w:val="000000"/>
                <w:sz w:val="24"/>
                <w:szCs w:val="24"/>
                <w:highlight w:val="none"/>
                <w:lang w:val="zh-CN"/>
              </w:rPr>
              <w:t>构成招标文件的其他文件</w:t>
            </w:r>
          </w:p>
        </w:tc>
        <w:tc>
          <w:tcPr>
            <w:tcW w:w="7056" w:type="dxa"/>
            <w:noWrap w:val="0"/>
            <w:vAlign w:val="center"/>
          </w:tcPr>
          <w:p w14:paraId="400FF0ED">
            <w:pPr>
              <w:pStyle w:val="31"/>
              <w:keepNext/>
              <w:keepLines w:val="0"/>
              <w:pageBreakBefore w:val="0"/>
              <w:widowControl w:val="0"/>
              <w:tabs>
                <w:tab w:val="left" w:pos="340"/>
              </w:tabs>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招标文件的澄清</w:t>
            </w:r>
            <w:r>
              <w:rPr>
                <w:rFonts w:hint="eastAsia" w:ascii="宋体" w:hAnsi="宋体" w:eastAsia="宋体" w:cs="宋体"/>
                <w:color w:val="000000"/>
                <w:sz w:val="24"/>
                <w:szCs w:val="24"/>
                <w:highlight w:val="none"/>
              </w:rPr>
              <w:t>、修改书及有关补充通知为询价文件的有效组成部分。</w:t>
            </w:r>
          </w:p>
        </w:tc>
      </w:tr>
      <w:tr w14:paraId="6E246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9" w:hRule="exact"/>
          <w:jc w:val="center"/>
        </w:trPr>
        <w:tc>
          <w:tcPr>
            <w:tcW w:w="786" w:type="dxa"/>
            <w:noWrap w:val="0"/>
            <w:vAlign w:val="center"/>
          </w:tcPr>
          <w:p w14:paraId="2133B659">
            <w:pPr>
              <w:pStyle w:val="31"/>
              <w:keepNext/>
              <w:keepLines w:val="0"/>
              <w:pageBreakBefore w:val="0"/>
              <w:widowControl w:val="0"/>
              <w:kinsoku/>
              <w:wordWrap/>
              <w:overflowPunct/>
              <w:topLinePunct w:val="0"/>
              <w:bidi w:val="0"/>
              <w:snapToGrid/>
              <w:jc w:val="center"/>
              <w:textAlignment w:val="auto"/>
              <w:rPr>
                <w:rFonts w:hint="eastAsia" w:ascii="宋体" w:hAnsi="宋体" w:eastAsia="宋体" w:cs="Times New Roman"/>
                <w:b/>
                <w:color w:val="000000"/>
                <w:sz w:val="24"/>
                <w:szCs w:val="21"/>
                <w:highlight w:val="none"/>
                <w:lang w:val="zh-CN" w:eastAsia="zh-CN" w:bidi="ar-SA"/>
              </w:rPr>
            </w:pPr>
            <w:r>
              <w:rPr>
                <w:rFonts w:cs="Courier New"/>
                <w:b/>
                <w:color w:val="000000"/>
                <w:szCs w:val="21"/>
                <w:highlight w:val="none"/>
                <w:lang w:val="zh-CN"/>
              </w:rPr>
              <w:t>1</w:t>
            </w:r>
            <w:r>
              <w:rPr>
                <w:rFonts w:hint="eastAsia" w:cs="Courier New"/>
                <w:b/>
                <w:color w:val="000000"/>
                <w:szCs w:val="21"/>
                <w:highlight w:val="none"/>
                <w:lang w:val="en-US" w:eastAsia="zh-CN"/>
              </w:rPr>
              <w:t>6</w:t>
            </w:r>
          </w:p>
        </w:tc>
        <w:tc>
          <w:tcPr>
            <w:tcW w:w="2416" w:type="dxa"/>
            <w:noWrap w:val="0"/>
            <w:vAlign w:val="center"/>
          </w:tcPr>
          <w:p w14:paraId="58F47F5D">
            <w:pPr>
              <w:pStyle w:val="31"/>
              <w:keepNext/>
              <w:keepLines w:val="0"/>
              <w:pageBreakBefore w:val="0"/>
              <w:widowControl w:val="0"/>
              <w:kinsoku/>
              <w:wordWrap/>
              <w:overflowPunct/>
              <w:topLinePunct w:val="0"/>
              <w:bidi w:val="0"/>
              <w:snapToGrid/>
              <w:ind w:left="52"/>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sz w:val="24"/>
                <w:szCs w:val="24"/>
                <w:highlight w:val="none"/>
                <w:lang w:val="zh-CN" w:eastAsia="zh-CN"/>
              </w:rPr>
              <w:t>投标截止时间</w:t>
            </w:r>
          </w:p>
        </w:tc>
        <w:tc>
          <w:tcPr>
            <w:tcW w:w="7056" w:type="dxa"/>
            <w:noWrap w:val="0"/>
            <w:vAlign w:val="center"/>
          </w:tcPr>
          <w:p w14:paraId="6F86DF23">
            <w:pPr>
              <w:pStyle w:val="31"/>
              <w:keepNext/>
              <w:keepLines w:val="0"/>
              <w:pageBreakBefore w:val="0"/>
              <w:widowControl w:val="0"/>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zh-CN"/>
              </w:rPr>
            </w:pPr>
            <w:r>
              <w:rPr>
                <w:rFonts w:hint="eastAsia" w:cs="宋体"/>
                <w:color w:val="000000"/>
                <w:sz w:val="24"/>
                <w:szCs w:val="24"/>
                <w:highlight w:val="none"/>
                <w:lang w:val="zh-CN" w:eastAsia="zh-CN"/>
              </w:rPr>
              <w:t>2025年5月8日</w:t>
            </w:r>
            <w:r>
              <w:rPr>
                <w:rFonts w:hint="eastAsia" w:ascii="宋体" w:hAnsi="宋体" w:eastAsia="宋体" w:cs="宋体"/>
                <w:color w:val="000000"/>
                <w:sz w:val="24"/>
                <w:szCs w:val="24"/>
                <w:highlight w:val="none"/>
                <w:lang w:val="zh-CN" w:eastAsia="zh-CN"/>
              </w:rPr>
              <w:t>上午1</w:t>
            </w:r>
            <w:r>
              <w:rPr>
                <w:rFonts w:hint="eastAsia" w:cs="宋体"/>
                <w:color w:val="000000"/>
                <w:sz w:val="24"/>
                <w:szCs w:val="24"/>
                <w:highlight w:val="none"/>
                <w:lang w:val="en-US" w:eastAsia="zh-CN"/>
              </w:rPr>
              <w:t>0</w:t>
            </w:r>
            <w:r>
              <w:rPr>
                <w:rFonts w:hint="eastAsia" w:ascii="宋体" w:hAnsi="宋体" w:eastAsia="宋体" w:cs="宋体"/>
                <w:color w:val="000000"/>
                <w:sz w:val="24"/>
                <w:szCs w:val="24"/>
                <w:highlight w:val="none"/>
                <w:lang w:val="zh-CN" w:eastAsia="zh-CN"/>
              </w:rPr>
              <w:t>:</w:t>
            </w:r>
            <w:r>
              <w:rPr>
                <w:rFonts w:hint="eastAsia" w:cs="宋体"/>
                <w:color w:val="000000"/>
                <w:sz w:val="24"/>
                <w:szCs w:val="24"/>
                <w:highlight w:val="none"/>
                <w:lang w:val="en-US" w:eastAsia="zh-CN"/>
              </w:rPr>
              <w:t>3</w:t>
            </w:r>
            <w:r>
              <w:rPr>
                <w:rFonts w:hint="eastAsia" w:ascii="宋体" w:hAnsi="宋体" w:eastAsia="宋体" w:cs="宋体"/>
                <w:color w:val="000000"/>
                <w:sz w:val="24"/>
                <w:szCs w:val="24"/>
                <w:highlight w:val="none"/>
                <w:lang w:val="zh-CN" w:eastAsia="zh-CN"/>
              </w:rPr>
              <w:t>0（北京时间）</w:t>
            </w:r>
          </w:p>
        </w:tc>
      </w:tr>
      <w:tr w14:paraId="07088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9" w:hRule="exact"/>
          <w:jc w:val="center"/>
        </w:trPr>
        <w:tc>
          <w:tcPr>
            <w:tcW w:w="786" w:type="dxa"/>
            <w:noWrap w:val="0"/>
            <w:vAlign w:val="center"/>
          </w:tcPr>
          <w:p w14:paraId="4638D4E0">
            <w:pPr>
              <w:pStyle w:val="31"/>
              <w:keepNext/>
              <w:keepLines w:val="0"/>
              <w:pageBreakBefore w:val="0"/>
              <w:widowControl w:val="0"/>
              <w:kinsoku/>
              <w:wordWrap/>
              <w:overflowPunct/>
              <w:topLinePunct w:val="0"/>
              <w:bidi w:val="0"/>
              <w:snapToGrid/>
              <w:jc w:val="center"/>
              <w:textAlignment w:val="auto"/>
              <w:rPr>
                <w:rFonts w:hint="eastAsia" w:ascii="宋体" w:hAnsi="宋体" w:eastAsia="宋体" w:cs="Courier New"/>
                <w:b/>
                <w:color w:val="000000"/>
                <w:sz w:val="24"/>
                <w:szCs w:val="21"/>
                <w:highlight w:val="none"/>
                <w:lang w:val="zh-CN" w:eastAsia="zh-CN" w:bidi="ar-SA"/>
              </w:rPr>
            </w:pPr>
            <w:r>
              <w:rPr>
                <w:rFonts w:cs="Courier New"/>
                <w:b/>
                <w:color w:val="000000"/>
                <w:szCs w:val="21"/>
                <w:highlight w:val="none"/>
                <w:lang w:val="zh-CN"/>
              </w:rPr>
              <w:t>1</w:t>
            </w:r>
            <w:r>
              <w:rPr>
                <w:rFonts w:hint="eastAsia" w:cs="Courier New"/>
                <w:b/>
                <w:color w:val="000000"/>
                <w:szCs w:val="21"/>
                <w:highlight w:val="none"/>
                <w:lang w:val="en-US" w:eastAsia="zh-CN"/>
              </w:rPr>
              <w:t>7</w:t>
            </w:r>
          </w:p>
        </w:tc>
        <w:tc>
          <w:tcPr>
            <w:tcW w:w="2416" w:type="dxa"/>
            <w:noWrap w:val="0"/>
            <w:vAlign w:val="center"/>
          </w:tcPr>
          <w:p w14:paraId="3A9A5FEE">
            <w:pPr>
              <w:pStyle w:val="31"/>
              <w:keepNext/>
              <w:keepLines w:val="0"/>
              <w:pageBreakBefore w:val="0"/>
              <w:widowControl w:val="0"/>
              <w:kinsoku/>
              <w:wordWrap/>
              <w:overflowPunct/>
              <w:topLinePunct w:val="0"/>
              <w:bidi w:val="0"/>
              <w:snapToGrid/>
              <w:ind w:left="33"/>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sz w:val="24"/>
                <w:szCs w:val="24"/>
                <w:highlight w:val="none"/>
                <w:lang w:val="zh-CN" w:eastAsia="zh-CN"/>
              </w:rPr>
              <w:t>报价文件有效期</w:t>
            </w:r>
          </w:p>
        </w:tc>
        <w:tc>
          <w:tcPr>
            <w:tcW w:w="7056" w:type="dxa"/>
            <w:noWrap w:val="0"/>
            <w:vAlign w:val="center"/>
          </w:tcPr>
          <w:p w14:paraId="319B1D10">
            <w:pPr>
              <w:pStyle w:val="31"/>
              <w:keepNext/>
              <w:keepLines w:val="0"/>
              <w:pageBreakBefore w:val="0"/>
              <w:widowControl w:val="0"/>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zh-CN"/>
              </w:rPr>
            </w:pPr>
            <w:r>
              <w:rPr>
                <w:rFonts w:hint="eastAsia" w:cs="宋体"/>
                <w:color w:val="000000"/>
                <w:sz w:val="24"/>
                <w:szCs w:val="24"/>
                <w:highlight w:val="none"/>
                <w:lang w:val="en-US" w:eastAsia="zh-CN"/>
              </w:rPr>
              <w:t>90</w:t>
            </w:r>
            <w:r>
              <w:rPr>
                <w:rFonts w:hint="eastAsia" w:ascii="宋体" w:hAnsi="宋体" w:eastAsia="宋体" w:cs="宋体"/>
                <w:color w:val="000000"/>
                <w:sz w:val="24"/>
                <w:szCs w:val="24"/>
                <w:highlight w:val="none"/>
              </w:rPr>
              <w:t>日历天（从投标截止之日算起）</w:t>
            </w:r>
          </w:p>
        </w:tc>
      </w:tr>
      <w:tr w14:paraId="78F5C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4" w:hRule="atLeast"/>
          <w:jc w:val="center"/>
        </w:trPr>
        <w:tc>
          <w:tcPr>
            <w:tcW w:w="786" w:type="dxa"/>
            <w:noWrap w:val="0"/>
            <w:vAlign w:val="center"/>
          </w:tcPr>
          <w:p w14:paraId="732E4FFC">
            <w:pPr>
              <w:pStyle w:val="31"/>
              <w:keepNext/>
              <w:keepLines w:val="0"/>
              <w:pageBreakBefore w:val="0"/>
              <w:widowControl w:val="0"/>
              <w:kinsoku/>
              <w:wordWrap/>
              <w:overflowPunct/>
              <w:topLinePunct w:val="0"/>
              <w:bidi w:val="0"/>
              <w:snapToGrid/>
              <w:jc w:val="center"/>
              <w:textAlignment w:val="auto"/>
              <w:rPr>
                <w:rFonts w:hint="eastAsia" w:ascii="宋体" w:hAnsi="宋体" w:eastAsia="宋体" w:cs="Courier New"/>
                <w:b/>
                <w:color w:val="000000"/>
                <w:sz w:val="24"/>
                <w:szCs w:val="21"/>
                <w:highlight w:val="none"/>
                <w:lang w:val="zh-CN" w:eastAsia="zh-CN" w:bidi="ar-SA"/>
              </w:rPr>
            </w:pPr>
            <w:r>
              <w:rPr>
                <w:rFonts w:cs="Courier New"/>
                <w:b/>
                <w:color w:val="000000"/>
                <w:szCs w:val="21"/>
                <w:highlight w:val="none"/>
                <w:lang w:val="zh-CN"/>
              </w:rPr>
              <w:t>1</w:t>
            </w:r>
            <w:r>
              <w:rPr>
                <w:rFonts w:hint="eastAsia" w:cs="Courier New"/>
                <w:b/>
                <w:color w:val="000000"/>
                <w:szCs w:val="21"/>
                <w:highlight w:val="none"/>
                <w:lang w:val="en-US" w:eastAsia="zh-CN"/>
              </w:rPr>
              <w:t>8</w:t>
            </w:r>
          </w:p>
        </w:tc>
        <w:tc>
          <w:tcPr>
            <w:tcW w:w="2416" w:type="dxa"/>
            <w:noWrap w:val="0"/>
            <w:vAlign w:val="center"/>
          </w:tcPr>
          <w:p w14:paraId="6A79C186">
            <w:pPr>
              <w:pStyle w:val="31"/>
              <w:keepNext/>
              <w:keepLines w:val="0"/>
              <w:pageBreakBefore w:val="0"/>
              <w:widowControl w:val="0"/>
              <w:kinsoku/>
              <w:wordWrap/>
              <w:overflowPunct/>
              <w:topLinePunct w:val="0"/>
              <w:bidi w:val="0"/>
              <w:snapToGrid/>
              <w:ind w:left="33"/>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kern w:val="2"/>
                <w:sz w:val="24"/>
                <w:szCs w:val="24"/>
                <w:highlight w:val="none"/>
                <w:lang w:val="zh-CN" w:eastAsia="zh-CN" w:bidi="ar-SA"/>
              </w:rPr>
              <w:t>投标保证金</w:t>
            </w:r>
          </w:p>
        </w:tc>
        <w:tc>
          <w:tcPr>
            <w:tcW w:w="7056" w:type="dxa"/>
            <w:noWrap w:val="0"/>
            <w:vAlign w:val="center"/>
          </w:tcPr>
          <w:p w14:paraId="259295C5">
            <w:pPr>
              <w:keepNext/>
              <w:keepLines w:val="0"/>
              <w:pageBreakBefore w:val="0"/>
              <w:widowControl w:val="0"/>
              <w:kinsoku/>
              <w:wordWrap/>
              <w:overflowPunct/>
              <w:topLinePunct w:val="0"/>
              <w:bidi w:val="0"/>
              <w:snapToGrid/>
              <w:spacing w:line="360" w:lineRule="exact"/>
              <w:jc w:val="both"/>
              <w:textAlignment w:val="auto"/>
              <w:outlineLvl w:val="9"/>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投标保证金金额：</w:t>
            </w:r>
          </w:p>
          <w:p w14:paraId="20B321BC">
            <w:pPr>
              <w:keepNext/>
              <w:keepLines w:val="0"/>
              <w:pageBreakBefore w:val="0"/>
              <w:widowControl w:val="0"/>
              <w:kinsoku/>
              <w:wordWrap/>
              <w:overflowPunct/>
              <w:topLinePunct w:val="0"/>
              <w:bidi w:val="0"/>
              <w:snapToGrid/>
              <w:spacing w:line="360" w:lineRule="exact"/>
              <w:jc w:val="both"/>
              <w:textAlignment w:val="auto"/>
              <w:outlineLvl w:val="9"/>
              <w:rPr>
                <w:rFonts w:hint="eastAsia" w:ascii="宋体" w:hAnsi="宋体" w:eastAsia="宋体" w:cs="宋体"/>
                <w:b w:val="0"/>
                <w:bCs/>
                <w:color w:val="000000"/>
                <w:sz w:val="24"/>
                <w:szCs w:val="24"/>
                <w:highlight w:val="none"/>
              </w:rPr>
            </w:pPr>
            <w:r>
              <w:rPr>
                <w:rFonts w:hint="eastAsia" w:ascii="宋体" w:hAnsi="宋体" w:cs="宋体"/>
                <w:b w:val="0"/>
                <w:bCs/>
                <w:color w:val="000000"/>
                <w:sz w:val="24"/>
                <w:szCs w:val="24"/>
                <w:highlight w:val="none"/>
                <w:lang w:val="en-US" w:eastAsia="zh-CN"/>
              </w:rPr>
              <w:t>28600</w:t>
            </w:r>
            <w:r>
              <w:rPr>
                <w:rFonts w:hint="eastAsia" w:ascii="宋体" w:hAnsi="宋体" w:eastAsia="宋体" w:cs="宋体"/>
                <w:b w:val="0"/>
                <w:bCs/>
                <w:color w:val="000000"/>
                <w:sz w:val="24"/>
                <w:szCs w:val="24"/>
                <w:highlight w:val="none"/>
                <w:lang w:val="en-US" w:eastAsia="zh-CN"/>
              </w:rPr>
              <w:t>.00</w:t>
            </w:r>
            <w:r>
              <w:rPr>
                <w:rFonts w:hint="eastAsia" w:ascii="宋体" w:hAnsi="宋体" w:eastAsia="宋体" w:cs="宋体"/>
                <w:b w:val="0"/>
                <w:bCs/>
                <w:color w:val="000000"/>
                <w:sz w:val="24"/>
                <w:szCs w:val="24"/>
                <w:highlight w:val="none"/>
              </w:rPr>
              <w:t>元（大写：</w:t>
            </w:r>
            <w:r>
              <w:rPr>
                <w:rFonts w:hint="eastAsia" w:ascii="宋体" w:hAnsi="宋体" w:cs="宋体"/>
                <w:b w:val="0"/>
                <w:bCs/>
                <w:color w:val="000000"/>
                <w:sz w:val="24"/>
                <w:szCs w:val="24"/>
                <w:highlight w:val="none"/>
                <w:lang w:val="en-US" w:eastAsia="zh-CN"/>
              </w:rPr>
              <w:t>贰万捌仟陆佰元整</w:t>
            </w:r>
            <w:r>
              <w:rPr>
                <w:rFonts w:hint="eastAsia" w:ascii="宋体" w:hAnsi="宋体" w:eastAsia="宋体" w:cs="宋体"/>
                <w:b w:val="0"/>
                <w:bCs/>
                <w:color w:val="000000"/>
                <w:sz w:val="24"/>
                <w:szCs w:val="24"/>
                <w:highlight w:val="none"/>
              </w:rPr>
              <w:t>）；</w:t>
            </w:r>
          </w:p>
          <w:p w14:paraId="64728D97">
            <w:pPr>
              <w:keepNext/>
              <w:keepLines w:val="0"/>
              <w:pageBreakBefore w:val="0"/>
              <w:widowControl w:val="0"/>
              <w:kinsoku/>
              <w:wordWrap/>
              <w:overflowPunct/>
              <w:topLinePunct w:val="0"/>
              <w:bidi w:val="0"/>
              <w:snapToGrid/>
              <w:spacing w:line="360" w:lineRule="exact"/>
              <w:jc w:val="both"/>
              <w:textAlignment w:val="auto"/>
              <w:outlineLvl w:val="9"/>
              <w:rPr>
                <w:rFonts w:hint="default"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投标保证金缴纳方式：</w:t>
            </w:r>
            <w:r>
              <w:rPr>
                <w:rFonts w:hint="eastAsia" w:ascii="宋体" w:hAnsi="宋体" w:eastAsia="宋体" w:cs="宋体"/>
                <w:b w:val="0"/>
                <w:bCs/>
                <w:color w:val="auto"/>
                <w:sz w:val="24"/>
                <w:szCs w:val="24"/>
                <w:highlight w:val="none"/>
                <w:lang w:val="en-US" w:eastAsia="zh-CN"/>
              </w:rPr>
              <w:t>投标保证金必须从投标人基本账户支出，可以自主选择以电汇、保函或网银转账方式缴纳。</w:t>
            </w:r>
          </w:p>
          <w:p w14:paraId="73EB5A98">
            <w:pPr>
              <w:keepNext/>
              <w:keepLines w:val="0"/>
              <w:pageBreakBefore w:val="0"/>
              <w:widowControl w:val="0"/>
              <w:kinsoku/>
              <w:wordWrap/>
              <w:overflowPunct/>
              <w:topLinePunct w:val="0"/>
              <w:bidi w:val="0"/>
              <w:snapToGrid/>
              <w:spacing w:line="360" w:lineRule="exact"/>
              <w:jc w:val="both"/>
              <w:textAlignment w:val="auto"/>
              <w:outlineLvl w:val="9"/>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投标保证金缴纳账户：</w:t>
            </w:r>
          </w:p>
          <w:p w14:paraId="6D0C199C">
            <w:pPr>
              <w:keepNext/>
              <w:keepLines w:val="0"/>
              <w:pageBreakBefore w:val="0"/>
              <w:widowControl w:val="0"/>
              <w:kinsoku/>
              <w:wordWrap/>
              <w:overflowPunct/>
              <w:topLinePunct w:val="0"/>
              <w:bidi w:val="0"/>
              <w:snapToGrid/>
              <w:spacing w:line="360" w:lineRule="exact"/>
              <w:jc w:val="both"/>
              <w:textAlignment w:val="auto"/>
              <w:outlineLvl w:val="9"/>
              <w:rPr>
                <w:rFonts w:hint="eastAsia" w:ascii="宋体" w:hAnsi="宋体" w:eastAsia="宋体" w:cs="宋体"/>
                <w:b w:val="0"/>
                <w:bCs/>
                <w:color w:val="000000"/>
                <w:sz w:val="24"/>
                <w:szCs w:val="24"/>
                <w:highlight w:val="none"/>
                <w:lang w:eastAsia="zh-CN"/>
              </w:rPr>
            </w:pPr>
            <w:r>
              <w:rPr>
                <w:rFonts w:hint="eastAsia" w:ascii="宋体" w:hAnsi="宋体" w:eastAsia="宋体" w:cs="宋体"/>
                <w:b w:val="0"/>
                <w:bCs/>
                <w:color w:val="000000"/>
                <w:sz w:val="24"/>
                <w:szCs w:val="24"/>
                <w:highlight w:val="none"/>
              </w:rPr>
              <w:t>开户银行：</w:t>
            </w:r>
            <w:r>
              <w:rPr>
                <w:rFonts w:hint="eastAsia" w:ascii="宋体" w:hAnsi="宋体" w:eastAsia="宋体" w:cs="宋体"/>
                <w:b w:val="0"/>
                <w:bCs/>
                <w:color w:val="000000"/>
                <w:sz w:val="24"/>
                <w:szCs w:val="24"/>
                <w:highlight w:val="none"/>
                <w:lang w:eastAsia="zh-CN"/>
              </w:rPr>
              <w:t>中国工商银行股份有限公司阿勒泰解放路支行</w:t>
            </w:r>
          </w:p>
          <w:p w14:paraId="66AD03B0">
            <w:pPr>
              <w:keepNext/>
              <w:keepLines w:val="0"/>
              <w:pageBreakBefore w:val="0"/>
              <w:widowControl w:val="0"/>
              <w:kinsoku/>
              <w:wordWrap/>
              <w:overflowPunct/>
              <w:topLinePunct w:val="0"/>
              <w:bidi w:val="0"/>
              <w:snapToGrid/>
              <w:spacing w:line="360" w:lineRule="exact"/>
              <w:jc w:val="both"/>
              <w:textAlignment w:val="auto"/>
              <w:outlineLvl w:val="9"/>
              <w:rPr>
                <w:rFonts w:hint="eastAsia" w:ascii="宋体" w:hAnsi="宋体" w:eastAsia="宋体" w:cs="宋体"/>
                <w:b w:val="0"/>
                <w:bCs/>
                <w:color w:val="000000"/>
                <w:sz w:val="24"/>
                <w:szCs w:val="24"/>
                <w:highlight w:val="none"/>
                <w:lang w:eastAsia="zh-CN"/>
              </w:rPr>
            </w:pPr>
            <w:r>
              <w:rPr>
                <w:rFonts w:hint="eastAsia" w:ascii="宋体" w:hAnsi="宋体" w:eastAsia="宋体" w:cs="宋体"/>
                <w:b w:val="0"/>
                <w:bCs/>
                <w:color w:val="000000"/>
                <w:sz w:val="24"/>
                <w:szCs w:val="24"/>
                <w:highlight w:val="none"/>
              </w:rPr>
              <w:t>户名：</w:t>
            </w:r>
            <w:r>
              <w:rPr>
                <w:rFonts w:hint="eastAsia" w:ascii="宋体" w:hAnsi="宋体" w:cs="宋体"/>
                <w:b w:val="0"/>
                <w:bCs/>
                <w:color w:val="000000"/>
                <w:sz w:val="24"/>
                <w:szCs w:val="24"/>
                <w:highlight w:val="none"/>
                <w:lang w:eastAsia="zh-CN"/>
              </w:rPr>
              <w:t>新疆新建联项目管理咨询有限公司阿勒泰市一分公司</w:t>
            </w:r>
          </w:p>
          <w:p w14:paraId="6701069B">
            <w:pPr>
              <w:keepNext/>
              <w:keepLines w:val="0"/>
              <w:pageBreakBefore w:val="0"/>
              <w:widowControl w:val="0"/>
              <w:kinsoku/>
              <w:wordWrap/>
              <w:overflowPunct/>
              <w:topLinePunct w:val="0"/>
              <w:bidi w:val="0"/>
              <w:snapToGrid/>
              <w:spacing w:line="360" w:lineRule="exact"/>
              <w:jc w:val="both"/>
              <w:textAlignment w:val="auto"/>
              <w:outlineLvl w:val="9"/>
              <w:rPr>
                <w:rFonts w:hint="default"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rPr>
              <w:t>银行帐号：</w:t>
            </w:r>
            <w:r>
              <w:rPr>
                <w:rFonts w:hint="eastAsia" w:ascii="宋体" w:hAnsi="宋体" w:eastAsia="宋体" w:cs="宋体"/>
                <w:b w:val="0"/>
                <w:bCs/>
                <w:color w:val="000000"/>
                <w:sz w:val="24"/>
                <w:szCs w:val="24"/>
                <w:highlight w:val="none"/>
                <w:lang w:val="en-US" w:eastAsia="zh-CN"/>
              </w:rPr>
              <w:t>3008120709200026633</w:t>
            </w:r>
          </w:p>
          <w:p w14:paraId="0EE3C10C">
            <w:pPr>
              <w:keepNext/>
              <w:keepLines w:val="0"/>
              <w:pageBreakBefore w:val="0"/>
              <w:widowControl w:val="0"/>
              <w:kinsoku/>
              <w:wordWrap/>
              <w:overflowPunct/>
              <w:topLinePunct w:val="0"/>
              <w:bidi w:val="0"/>
              <w:snapToGrid/>
              <w:spacing w:line="400" w:lineRule="exact"/>
              <w:ind w:right="220" w:rightChars="105"/>
              <w:contextualSpacing/>
              <w:jc w:val="left"/>
              <w:textAlignment w:val="auto"/>
              <w:rPr>
                <w:rFonts w:hint="eastAsia" w:ascii="宋体" w:hAnsi="宋体" w:eastAsia="宋体" w:cs="宋体"/>
                <w:color w:val="000000"/>
                <w:sz w:val="24"/>
                <w:szCs w:val="24"/>
                <w:highlight w:val="none"/>
                <w:lang w:eastAsia="zh-CN"/>
              </w:rPr>
            </w:pPr>
            <w:r>
              <w:rPr>
                <w:rFonts w:hint="eastAsia" w:ascii="宋体" w:hAnsi="宋体" w:eastAsia="宋体" w:cs="宋体"/>
                <w:b w:val="0"/>
                <w:bCs/>
                <w:color w:val="auto"/>
                <w:sz w:val="24"/>
                <w:szCs w:val="24"/>
                <w:highlight w:val="none"/>
              </w:rPr>
              <w:t>注：</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投标保证金请于</w:t>
            </w:r>
            <w:r>
              <w:rPr>
                <w:rFonts w:hint="eastAsia" w:ascii="宋体" w:hAnsi="宋体" w:cs="宋体"/>
                <w:b w:val="0"/>
                <w:bCs/>
                <w:color w:val="auto"/>
                <w:sz w:val="24"/>
                <w:szCs w:val="24"/>
                <w:highlight w:val="none"/>
                <w:lang w:eastAsia="zh-CN"/>
              </w:rPr>
              <w:t>2025年5月8日</w:t>
            </w:r>
            <w:r>
              <w:rPr>
                <w:rFonts w:hint="eastAsia" w:ascii="宋体" w:hAnsi="宋体" w:eastAsia="宋体" w:cs="宋体"/>
                <w:b w:val="0"/>
                <w:bCs/>
                <w:color w:val="auto"/>
                <w:sz w:val="24"/>
                <w:szCs w:val="24"/>
                <w:highlight w:val="none"/>
                <w:lang w:eastAsia="zh-CN"/>
              </w:rPr>
              <w:t>上午1</w:t>
            </w:r>
            <w:r>
              <w:rPr>
                <w:rFonts w:hint="eastAsia" w:ascii="宋体" w:hAnsi="宋体" w:cs="宋体"/>
                <w:b w:val="0"/>
                <w:bCs/>
                <w:color w:val="auto"/>
                <w:sz w:val="24"/>
                <w:szCs w:val="24"/>
                <w:highlight w:val="none"/>
                <w:lang w:val="en-US" w:eastAsia="zh-CN"/>
              </w:rPr>
              <w:t>0</w:t>
            </w:r>
            <w:r>
              <w:rPr>
                <w:rFonts w:hint="eastAsia" w:ascii="宋体" w:hAnsi="宋体" w:eastAsia="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eastAsia="zh-CN"/>
              </w:rPr>
              <w:t>0</w:t>
            </w:r>
            <w:r>
              <w:rPr>
                <w:rFonts w:hint="eastAsia" w:ascii="宋体" w:hAnsi="宋体" w:eastAsia="宋体" w:cs="宋体"/>
                <w:b w:val="0"/>
                <w:bCs/>
                <w:color w:val="auto"/>
                <w:sz w:val="24"/>
                <w:szCs w:val="24"/>
                <w:highlight w:val="none"/>
              </w:rPr>
              <w:t>之前（北京时间）缴入指定账户，各投标企业保证金缴纳只接受企业基本帐户足额对公转帐，其他以私人名义或现金缴纳等存入、汇款方式均视为无效投标保证金，未按规定时间交保证金的投标商不得参加本次投标（以到账时间为准）</w:t>
            </w:r>
            <w:r>
              <w:rPr>
                <w:rFonts w:hint="eastAsia" w:ascii="宋体" w:hAnsi="宋体" w:eastAsia="宋体" w:cs="宋体"/>
                <w:b w:val="0"/>
                <w:bCs/>
                <w:color w:val="auto"/>
                <w:sz w:val="24"/>
                <w:szCs w:val="24"/>
                <w:highlight w:val="none"/>
                <w:lang w:val="en-US" w:eastAsia="zh-CN"/>
              </w:rPr>
              <w:t>;（2）投标人以保函形式缴纳投标保证金的，向保证人购买电子投标保函所支付的费用应从投标人的企业账户汇出(个体工商户除外)，保函办理成功后将保函以及基本账户转账支付凭证放入投标文件中。未按规定时间缴纳保证金的投标商不得参加本次投标。</w:t>
            </w:r>
            <w:r>
              <w:rPr>
                <w:rFonts w:hint="eastAsia" w:ascii="宋体" w:hAnsi="宋体" w:eastAsia="宋体" w:cs="宋体"/>
                <w:b w:val="0"/>
                <w:bCs/>
                <w:color w:val="auto"/>
                <w:sz w:val="24"/>
                <w:szCs w:val="24"/>
                <w:highlight w:val="none"/>
                <w:lang w:eastAsia="zh-CN"/>
              </w:rPr>
              <w:t>保证金缴纳说明应当注明投保的标项名称、用途。</w:t>
            </w:r>
          </w:p>
        </w:tc>
      </w:tr>
      <w:tr w14:paraId="449EA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jc w:val="center"/>
        </w:trPr>
        <w:tc>
          <w:tcPr>
            <w:tcW w:w="786" w:type="dxa"/>
            <w:noWrap w:val="0"/>
            <w:vAlign w:val="center"/>
          </w:tcPr>
          <w:p w14:paraId="0B2DE0D9">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cs="Courier New"/>
                <w:b/>
                <w:color w:val="000000"/>
                <w:szCs w:val="21"/>
                <w:highlight w:val="none"/>
                <w:lang w:val="zh-CN"/>
              </w:rPr>
              <w:t>1</w:t>
            </w:r>
            <w:r>
              <w:rPr>
                <w:rFonts w:hint="eastAsia" w:cs="Courier New"/>
                <w:b/>
                <w:color w:val="000000"/>
                <w:szCs w:val="21"/>
                <w:highlight w:val="none"/>
                <w:lang w:val="en-US" w:eastAsia="zh-CN"/>
              </w:rPr>
              <w:t>9</w:t>
            </w:r>
          </w:p>
        </w:tc>
        <w:tc>
          <w:tcPr>
            <w:tcW w:w="2416" w:type="dxa"/>
            <w:noWrap w:val="0"/>
            <w:vAlign w:val="center"/>
          </w:tcPr>
          <w:p w14:paraId="4C47CE8F">
            <w:pPr>
              <w:pStyle w:val="31"/>
              <w:keepNext/>
              <w:keepLines w:val="0"/>
              <w:pageBreakBefore w:val="0"/>
              <w:widowControl w:val="0"/>
              <w:kinsoku/>
              <w:wordWrap/>
              <w:overflowPunct/>
              <w:topLinePunct w:val="0"/>
              <w:bidi w:val="0"/>
              <w:snapToGrid/>
              <w:ind w:right="28"/>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color w:val="000000"/>
                <w:kern w:val="2"/>
                <w:sz w:val="24"/>
                <w:szCs w:val="24"/>
                <w:highlight w:val="none"/>
                <w:lang w:val="zh-CN" w:eastAsia="zh-CN" w:bidi="ar-SA"/>
              </w:rPr>
              <w:t>备选投标方案和报价</w:t>
            </w:r>
          </w:p>
        </w:tc>
        <w:tc>
          <w:tcPr>
            <w:tcW w:w="7056" w:type="dxa"/>
            <w:noWrap w:val="0"/>
            <w:vAlign w:val="center"/>
          </w:tcPr>
          <w:p w14:paraId="448865A4">
            <w:pPr>
              <w:pStyle w:val="31"/>
              <w:keepNext/>
              <w:keepLines w:val="0"/>
              <w:pageBreakBefore w:val="0"/>
              <w:widowControl w:val="0"/>
              <w:kinsoku/>
              <w:wordWrap/>
              <w:overflowPunct/>
              <w:topLinePunct w:val="0"/>
              <w:bidi w:val="0"/>
              <w:snapToGrid/>
              <w:ind w:right="220" w:rightChars="105"/>
              <w:textAlignment w:val="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不接受备选投标方案和多个报价。</w:t>
            </w:r>
          </w:p>
        </w:tc>
      </w:tr>
      <w:tr w14:paraId="52127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4" w:hRule="exact"/>
          <w:jc w:val="center"/>
        </w:trPr>
        <w:tc>
          <w:tcPr>
            <w:tcW w:w="786" w:type="dxa"/>
            <w:noWrap w:val="0"/>
            <w:vAlign w:val="center"/>
          </w:tcPr>
          <w:p w14:paraId="6BAB1963">
            <w:pPr>
              <w:pStyle w:val="31"/>
              <w:keepNext/>
              <w:keepLines w:val="0"/>
              <w:pageBreakBefore w:val="0"/>
              <w:widowControl w:val="0"/>
              <w:kinsoku/>
              <w:wordWrap/>
              <w:overflowPunct/>
              <w:topLinePunct w:val="0"/>
              <w:bidi w:val="0"/>
              <w:snapToGrid/>
              <w:jc w:val="center"/>
              <w:textAlignment w:val="auto"/>
              <w:rPr>
                <w:rFonts w:hint="eastAsia" w:ascii="宋体" w:hAnsi="宋体" w:eastAsia="宋体" w:cs="Courier New"/>
                <w:b/>
                <w:color w:val="000000"/>
                <w:sz w:val="24"/>
                <w:szCs w:val="21"/>
                <w:highlight w:val="none"/>
                <w:lang w:val="zh-CN" w:eastAsia="zh-CN" w:bidi="ar-SA"/>
              </w:rPr>
            </w:pPr>
            <w:r>
              <w:rPr>
                <w:rFonts w:hint="eastAsia" w:cs="Courier New"/>
                <w:b/>
                <w:color w:val="000000"/>
                <w:szCs w:val="21"/>
                <w:highlight w:val="none"/>
                <w:lang w:val="en-US" w:eastAsia="zh-CN"/>
              </w:rPr>
              <w:t>20</w:t>
            </w:r>
          </w:p>
        </w:tc>
        <w:tc>
          <w:tcPr>
            <w:tcW w:w="2416" w:type="dxa"/>
            <w:noWrap w:val="0"/>
            <w:vAlign w:val="center"/>
          </w:tcPr>
          <w:p w14:paraId="637D62C4">
            <w:pPr>
              <w:keepNext/>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color w:val="auto"/>
                <w:sz w:val="24"/>
                <w:szCs w:val="24"/>
                <w:highlight w:val="none"/>
              </w:rPr>
              <w:t>递交投标文件的地点</w:t>
            </w:r>
            <w:r>
              <w:rPr>
                <w:rFonts w:hint="eastAsia" w:ascii="宋体" w:hAnsi="宋体" w:eastAsia="宋体" w:cs="宋体"/>
                <w:color w:val="auto"/>
                <w:sz w:val="24"/>
                <w:szCs w:val="24"/>
                <w:highlight w:val="none"/>
                <w:lang w:eastAsia="zh-CN"/>
              </w:rPr>
              <w:t>及方式</w:t>
            </w:r>
          </w:p>
        </w:tc>
        <w:tc>
          <w:tcPr>
            <w:tcW w:w="7056" w:type="dxa"/>
            <w:noWrap w:val="0"/>
            <w:vAlign w:val="center"/>
          </w:tcPr>
          <w:p w14:paraId="73D32570">
            <w:pPr>
              <w:keepNext/>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sz w:val="24"/>
                <w:szCs w:val="24"/>
                <w:highlight w:val="none"/>
                <w:lang w:val="zh-CN"/>
              </w:rPr>
            </w:pPr>
            <w:r>
              <w:rPr>
                <w:rFonts w:hint="eastAsia" w:ascii="宋体" w:hAnsi="宋体" w:eastAsia="宋体" w:cs="宋体"/>
                <w:bCs/>
                <w:color w:val="auto"/>
                <w:sz w:val="24"/>
                <w:szCs w:val="24"/>
                <w:highlight w:val="none"/>
              </w:rPr>
              <w:t>投标人应于</w:t>
            </w:r>
            <w:r>
              <w:rPr>
                <w:rFonts w:hint="eastAsia" w:ascii="宋体" w:hAnsi="宋体" w:cs="宋体"/>
                <w:bCs/>
                <w:color w:val="auto"/>
                <w:sz w:val="24"/>
                <w:szCs w:val="24"/>
                <w:highlight w:val="none"/>
                <w:lang w:eastAsia="zh-CN"/>
              </w:rPr>
              <w:t>2025年5月8日</w:t>
            </w: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0</w:t>
            </w:r>
            <w:r>
              <w:rPr>
                <w:rFonts w:hint="eastAsia" w:ascii="宋体" w:hAnsi="宋体" w:eastAsia="宋体" w:cs="宋体"/>
                <w:bCs/>
                <w:color w:val="auto"/>
                <w:sz w:val="24"/>
                <w:szCs w:val="24"/>
                <w:highlight w:val="none"/>
                <w:lang w:val="en-US" w:eastAsia="zh-CN"/>
              </w:rPr>
              <w:t>:</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0</w:t>
            </w:r>
            <w:r>
              <w:rPr>
                <w:rFonts w:hint="eastAsia" w:ascii="宋体" w:hAnsi="宋体" w:eastAsia="宋体" w:cs="宋体"/>
                <w:b/>
                <w:bCs w:val="0"/>
                <w:color w:val="auto"/>
                <w:sz w:val="24"/>
                <w:szCs w:val="24"/>
                <w:highlight w:val="none"/>
                <w:u w:val="none"/>
                <w:lang w:eastAsia="zh-CN"/>
              </w:rPr>
              <w:t>时之前</w:t>
            </w:r>
            <w:r>
              <w:rPr>
                <w:rFonts w:hint="eastAsia" w:ascii="宋体" w:hAnsi="宋体" w:eastAsia="宋体" w:cs="宋体"/>
                <w:bCs/>
                <w:color w:val="auto"/>
                <w:sz w:val="24"/>
                <w:szCs w:val="24"/>
                <w:highlight w:val="none"/>
              </w:rPr>
              <w:t>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7D346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78" w:hRule="exact"/>
          <w:jc w:val="center"/>
        </w:trPr>
        <w:tc>
          <w:tcPr>
            <w:tcW w:w="786" w:type="dxa"/>
            <w:noWrap w:val="0"/>
            <w:vAlign w:val="center"/>
          </w:tcPr>
          <w:p w14:paraId="6E64D969">
            <w:pPr>
              <w:pStyle w:val="31"/>
              <w:keepNext/>
              <w:keepLines w:val="0"/>
              <w:pageBreakBefore w:val="0"/>
              <w:widowControl w:val="0"/>
              <w:kinsoku/>
              <w:wordWrap/>
              <w:overflowPunct/>
              <w:topLinePunct w:val="0"/>
              <w:bidi w:val="0"/>
              <w:snapToGrid/>
              <w:jc w:val="center"/>
              <w:textAlignment w:val="auto"/>
              <w:rPr>
                <w:rFonts w:hint="eastAsia" w:ascii="宋体" w:hAnsi="宋体" w:eastAsia="宋体" w:cs="Courier New"/>
                <w:b/>
                <w:color w:val="000000"/>
                <w:sz w:val="24"/>
                <w:szCs w:val="21"/>
                <w:highlight w:val="none"/>
                <w:lang w:val="zh-CN" w:eastAsia="zh-CN" w:bidi="ar-SA"/>
              </w:rPr>
            </w:pPr>
            <w:r>
              <w:rPr>
                <w:rFonts w:cs="Courier New"/>
                <w:b/>
                <w:color w:val="000000"/>
                <w:szCs w:val="21"/>
                <w:highlight w:val="none"/>
                <w:lang w:val="zh-CN"/>
              </w:rPr>
              <w:t>2</w:t>
            </w:r>
            <w:r>
              <w:rPr>
                <w:rFonts w:hint="eastAsia" w:cs="Courier New"/>
                <w:b/>
                <w:color w:val="000000"/>
                <w:szCs w:val="21"/>
                <w:highlight w:val="none"/>
                <w:lang w:val="en-US" w:eastAsia="zh-CN"/>
              </w:rPr>
              <w:t>1</w:t>
            </w:r>
          </w:p>
        </w:tc>
        <w:tc>
          <w:tcPr>
            <w:tcW w:w="2416" w:type="dxa"/>
            <w:noWrap w:val="0"/>
            <w:vAlign w:val="center"/>
          </w:tcPr>
          <w:p w14:paraId="5300C235">
            <w:pPr>
              <w:keepNext/>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color w:val="auto"/>
                <w:sz w:val="24"/>
                <w:szCs w:val="24"/>
                <w:highlight w:val="none"/>
              </w:rPr>
              <w:t>投标人资格条件</w:t>
            </w:r>
          </w:p>
        </w:tc>
        <w:tc>
          <w:tcPr>
            <w:tcW w:w="7056" w:type="dxa"/>
            <w:noWrap w:val="0"/>
            <w:vAlign w:val="center"/>
          </w:tcPr>
          <w:p w14:paraId="0442C0A4">
            <w:pPr>
              <w:pStyle w:val="19"/>
              <w:wordWrap w:val="0"/>
              <w:adjustRightInd w:val="0"/>
              <w:snapToGrid w:val="0"/>
              <w:spacing w:before="0" w:beforeAutospacing="0" w:after="0" w:afterAutospacing="0" w:line="36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1.满足《中华人民共和国政府采购法》第二十二条规定:</w:t>
            </w:r>
          </w:p>
          <w:p w14:paraId="18B31EC3">
            <w:pPr>
              <w:pStyle w:val="19"/>
              <w:wordWrap w:val="0"/>
              <w:adjustRightInd w:val="0"/>
              <w:snapToGrid w:val="0"/>
              <w:spacing w:before="0" w:beforeAutospacing="0" w:after="0" w:afterAutospacing="0" w:line="36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（1）经年审合格（三证合一）的营业执照；</w:t>
            </w:r>
          </w:p>
          <w:p w14:paraId="22FCAABA">
            <w:pPr>
              <w:pStyle w:val="19"/>
              <w:wordWrap w:val="0"/>
              <w:adjustRightInd w:val="0"/>
              <w:snapToGrid w:val="0"/>
              <w:spacing w:before="0" w:beforeAutospacing="0" w:after="0" w:afterAutospacing="0" w:line="36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（2）提供授权委托书及授权委托人（指本单位）近 3 个月单位缴纳的个人社保明细及缴费凭证，成立不足三个月的按实际提供；提供税务机关出具的近 3 个月的完税证明或依法报税相关资料（新成立不足 3 个月的按实际情况发生提供，成立时间超过 3 个月的零申报的需提供依法报税资料）；</w:t>
            </w:r>
          </w:p>
          <w:p w14:paraId="4005A062">
            <w:pPr>
              <w:pStyle w:val="19"/>
              <w:wordWrap w:val="0"/>
              <w:adjustRightInd w:val="0"/>
              <w:snapToGrid w:val="0"/>
              <w:spacing w:before="0" w:beforeAutospacing="0" w:after="0" w:afterAutospacing="0" w:line="36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3）近三年内（本项目投标截止期前）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加本次政府采购活动；</w:t>
            </w:r>
          </w:p>
          <w:p w14:paraId="3F2F7555">
            <w:pPr>
              <w:pStyle w:val="19"/>
              <w:wordWrap w:val="0"/>
              <w:adjustRightInd w:val="0"/>
              <w:snapToGrid w:val="0"/>
              <w:spacing w:before="0" w:beforeAutospacing="0" w:after="0" w:afterAutospacing="0" w:line="36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（4）凡拟参加本次招标项目的投标单位须需提供</w:t>
            </w:r>
            <w:r>
              <w:rPr>
                <w:rFonts w:hint="eastAsia" w:ascii="宋体" w:hAnsi="宋体" w:cs="宋体"/>
                <w:color w:val="auto"/>
                <w:kern w:val="2"/>
                <w:highlight w:val="none"/>
                <w:lang w:eastAsia="zh-CN"/>
              </w:rPr>
              <w:t>2023年度或2024年度</w:t>
            </w:r>
            <w:r>
              <w:rPr>
                <w:rFonts w:hint="eastAsia" w:ascii="宋体" w:hAnsi="宋体" w:eastAsia="宋体" w:cs="宋体"/>
                <w:color w:val="auto"/>
                <w:kern w:val="2"/>
                <w:highlight w:val="none"/>
              </w:rPr>
              <w:t>第三方审计机构出具的审计报告（</w:t>
            </w:r>
            <w:r>
              <w:rPr>
                <w:rFonts w:hint="eastAsia" w:ascii="宋体" w:hAnsi="宋体" w:cs="宋体"/>
                <w:color w:val="auto"/>
                <w:kern w:val="2"/>
                <w:highlight w:val="none"/>
                <w:lang w:eastAsia="zh-CN"/>
              </w:rPr>
              <w:t>2024年4月</w:t>
            </w:r>
            <w:r>
              <w:rPr>
                <w:rFonts w:hint="eastAsia" w:ascii="宋体" w:hAnsi="宋体" w:eastAsia="宋体" w:cs="宋体"/>
                <w:color w:val="auto"/>
                <w:kern w:val="2"/>
                <w:highlight w:val="none"/>
              </w:rPr>
              <w:t>份后新成立的公司可不提供但需提供银行出具的近三个月的资信证明）</w:t>
            </w:r>
            <w:r>
              <w:rPr>
                <w:rFonts w:hint="eastAsia" w:ascii="宋体" w:hAnsi="宋体" w:eastAsia="宋体" w:cs="宋体"/>
                <w:color w:val="auto"/>
                <w:kern w:val="2"/>
                <w:highlight w:val="none"/>
                <w:lang w:val="en-US" w:eastAsia="zh-CN"/>
              </w:rPr>
              <w:t>和健全的财务会计制度</w:t>
            </w:r>
            <w:r>
              <w:rPr>
                <w:rFonts w:hint="eastAsia" w:ascii="宋体" w:hAnsi="宋体" w:eastAsia="宋体" w:cs="宋体"/>
                <w:color w:val="auto"/>
                <w:kern w:val="2"/>
                <w:highlight w:val="none"/>
              </w:rPr>
              <w:t>；</w:t>
            </w:r>
          </w:p>
          <w:p w14:paraId="5DAA7263">
            <w:pPr>
              <w:pStyle w:val="19"/>
              <w:wordWrap w:val="0"/>
              <w:adjustRightInd w:val="0"/>
              <w:snapToGrid w:val="0"/>
              <w:spacing w:before="0" w:beforeAutospacing="0" w:after="0" w:afterAutospacing="0" w:line="36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5）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p w14:paraId="38E459E0">
            <w:pPr>
              <w:pStyle w:val="19"/>
              <w:wordWrap w:val="0"/>
              <w:adjustRightInd w:val="0"/>
              <w:snapToGrid w:val="0"/>
              <w:spacing w:before="0" w:beforeAutospacing="0" w:after="0" w:afterAutospacing="0" w:line="360" w:lineRule="auto"/>
              <w:rPr>
                <w:rFonts w:hint="eastAsia" w:ascii="宋体" w:hAnsi="宋体" w:eastAsia="宋体" w:cs="宋体"/>
                <w:color w:val="auto"/>
                <w:kern w:val="2"/>
                <w:highlight w:val="none"/>
              </w:rPr>
            </w:pPr>
            <w:r>
              <w:rPr>
                <w:rFonts w:hint="eastAsia" w:ascii="宋体" w:hAnsi="宋体" w:eastAsia="宋体" w:cs="宋体"/>
                <w:color w:val="auto"/>
                <w:kern w:val="2"/>
                <w:highlight w:val="none"/>
              </w:rPr>
              <w:t>（6）本项目不接受联合体投标.</w:t>
            </w:r>
          </w:p>
          <w:p w14:paraId="4B747FF2">
            <w:pPr>
              <w:pStyle w:val="19"/>
              <w:wordWrap w:val="0"/>
              <w:adjustRightInd w:val="0"/>
              <w:snapToGrid w:val="0"/>
              <w:spacing w:before="0" w:beforeAutospacing="0" w:after="0" w:afterAutospacing="0" w:line="360" w:lineRule="auto"/>
              <w:rPr>
                <w:rFonts w:hint="eastAsia" w:ascii="宋体" w:hAnsi="宋体" w:eastAsia="宋体" w:cs="宋体"/>
                <w:color w:val="000000"/>
                <w:sz w:val="24"/>
                <w:szCs w:val="24"/>
                <w:highlight w:val="none"/>
                <w:u w:val="single"/>
                <w:lang w:val="en-US" w:eastAsia="zh-CN"/>
              </w:rPr>
            </w:pPr>
            <w:r>
              <w:rPr>
                <w:rFonts w:hint="eastAsia" w:ascii="宋体" w:hAnsi="宋体" w:eastAsia="宋体" w:cs="宋体"/>
                <w:color w:val="auto"/>
                <w:kern w:val="2"/>
                <w:highlight w:val="none"/>
              </w:rPr>
              <w:t>2.落实政府采购政策需满足的资格要求：</w:t>
            </w:r>
            <w:r>
              <w:rPr>
                <w:rFonts w:hint="eastAsia" w:ascii="宋体" w:hAnsi="宋体" w:cs="宋体"/>
                <w:color w:val="auto"/>
                <w:kern w:val="2"/>
                <w:highlight w:val="none"/>
                <w:lang w:val="en-US" w:eastAsia="zh-CN"/>
              </w:rPr>
              <w:t>本项目不专门面向中小型企业</w:t>
            </w:r>
            <w:r>
              <w:rPr>
                <w:rFonts w:hint="eastAsia" w:ascii="宋体" w:hAnsi="宋体" w:eastAsia="宋体" w:cs="宋体"/>
                <w:color w:val="auto"/>
                <w:kern w:val="2"/>
                <w:highlight w:val="none"/>
              </w:rPr>
              <w:t>。</w:t>
            </w:r>
            <w:r>
              <w:rPr>
                <w:rFonts w:hint="eastAsia" w:ascii="宋体" w:hAnsi="宋体" w:eastAsia="宋体" w:cs="宋体"/>
                <w:color w:val="auto"/>
                <w:kern w:val="2"/>
                <w:highlight w:val="none"/>
                <w:lang w:val="en-US" w:eastAsia="zh-CN"/>
              </w:rPr>
              <w:t>例》规定的第一类医疗器械产品应提供《第一类医疗器械备案凭证》，属于第二类、第三类医疗器械产品应取得《医疗器械注册证》(如有注册登记表应提供)，所有证件必须在有效期内；</w:t>
            </w:r>
          </w:p>
        </w:tc>
      </w:tr>
      <w:tr w14:paraId="4E359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03" w:hRule="exact"/>
          <w:jc w:val="center"/>
        </w:trPr>
        <w:tc>
          <w:tcPr>
            <w:tcW w:w="786" w:type="dxa"/>
            <w:noWrap w:val="0"/>
            <w:vAlign w:val="center"/>
          </w:tcPr>
          <w:p w14:paraId="70918640">
            <w:pPr>
              <w:pStyle w:val="31"/>
              <w:keepNext/>
              <w:keepLines w:val="0"/>
              <w:pageBreakBefore w:val="0"/>
              <w:widowControl w:val="0"/>
              <w:kinsoku/>
              <w:wordWrap/>
              <w:overflowPunct/>
              <w:topLinePunct w:val="0"/>
              <w:bidi w:val="0"/>
              <w:snapToGrid/>
              <w:jc w:val="center"/>
              <w:textAlignment w:val="auto"/>
              <w:rPr>
                <w:rFonts w:cs="Courier New"/>
                <w:b/>
                <w:color w:val="000000"/>
                <w:szCs w:val="21"/>
                <w:highlight w:val="none"/>
                <w:lang w:val="zh-CN"/>
              </w:rPr>
            </w:pPr>
          </w:p>
        </w:tc>
        <w:tc>
          <w:tcPr>
            <w:tcW w:w="2416" w:type="dxa"/>
            <w:noWrap w:val="0"/>
            <w:vAlign w:val="center"/>
          </w:tcPr>
          <w:p w14:paraId="1F121DED">
            <w:pPr>
              <w:keepNext/>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color w:val="auto"/>
                <w:kern w:val="2"/>
                <w:sz w:val="24"/>
                <w:szCs w:val="24"/>
                <w:highlight w:val="none"/>
                <w:lang w:val="en-US" w:eastAsia="zh-CN" w:bidi="ar-SA"/>
              </w:rPr>
            </w:pPr>
          </w:p>
        </w:tc>
        <w:tc>
          <w:tcPr>
            <w:tcW w:w="7056" w:type="dxa"/>
            <w:noWrap w:val="0"/>
            <w:vAlign w:val="center"/>
          </w:tcPr>
          <w:p w14:paraId="561BD788">
            <w:pPr>
              <w:keepNext/>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本项目的特定资格要求：投标人为制造商的，提供《医疗器械生产许可证》；投标人为经销商的，投标货物若属于三类医疗器械，须提供《医疗器械经营企业许可证》，投标货物若属于二类医疗器械，提供《第二类医疗器械经营备案凭证》，投标货物若属于一类医疗器械，则无须提供此项；投标产品须在其经营范围内，所有证件必须在有效期内。投标货物属于《医疗器械监督管理条例》规定的第一类医疗器械产品应提供《第一类医疗器械备案凭证》，属于第二类、第三类医疗器械产品应取得《医疗器械注册证》(如有注册登记表应提供)，所有证件必须在有效期内。</w:t>
            </w:r>
          </w:p>
        </w:tc>
      </w:tr>
      <w:tr w14:paraId="4B9D2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9" w:hRule="exact"/>
          <w:jc w:val="center"/>
        </w:trPr>
        <w:tc>
          <w:tcPr>
            <w:tcW w:w="786" w:type="dxa"/>
            <w:noWrap w:val="0"/>
            <w:vAlign w:val="center"/>
          </w:tcPr>
          <w:p w14:paraId="3ED72B56">
            <w:pPr>
              <w:pStyle w:val="31"/>
              <w:keepNext/>
              <w:keepLines w:val="0"/>
              <w:pageBreakBefore w:val="0"/>
              <w:widowControl w:val="0"/>
              <w:kinsoku/>
              <w:wordWrap/>
              <w:overflowPunct/>
              <w:topLinePunct w:val="0"/>
              <w:bidi w:val="0"/>
              <w:snapToGrid/>
              <w:jc w:val="center"/>
              <w:textAlignment w:val="auto"/>
              <w:rPr>
                <w:rFonts w:hint="eastAsia" w:ascii="宋体" w:hAnsi="宋体" w:eastAsia="宋体" w:cs="Times New Roman"/>
                <w:b/>
                <w:color w:val="000000"/>
                <w:sz w:val="24"/>
                <w:szCs w:val="21"/>
                <w:highlight w:val="none"/>
                <w:lang w:val="zh-CN" w:eastAsia="zh-CN" w:bidi="ar-SA"/>
              </w:rPr>
            </w:pPr>
            <w:r>
              <w:rPr>
                <w:rFonts w:cs="Courier New"/>
                <w:b/>
                <w:color w:val="000000"/>
                <w:szCs w:val="21"/>
                <w:highlight w:val="none"/>
                <w:lang w:val="zh-CN"/>
              </w:rPr>
              <w:t>2</w:t>
            </w:r>
            <w:r>
              <w:rPr>
                <w:rFonts w:hint="eastAsia" w:cs="Courier New"/>
                <w:b/>
                <w:color w:val="000000"/>
                <w:szCs w:val="21"/>
                <w:highlight w:val="none"/>
                <w:lang w:val="en-US" w:eastAsia="zh-CN"/>
              </w:rPr>
              <w:t>2</w:t>
            </w:r>
          </w:p>
        </w:tc>
        <w:tc>
          <w:tcPr>
            <w:tcW w:w="2416" w:type="dxa"/>
            <w:noWrap w:val="0"/>
            <w:vAlign w:val="center"/>
          </w:tcPr>
          <w:p w14:paraId="4F759499">
            <w:pPr>
              <w:keepNext/>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color w:val="000000"/>
                <w:sz w:val="24"/>
                <w:szCs w:val="24"/>
                <w:highlight w:val="none"/>
                <w:lang w:val="zh-CN"/>
              </w:rPr>
            </w:pPr>
            <w:r>
              <w:rPr>
                <w:rFonts w:hint="eastAsia" w:ascii="宋体" w:hAnsi="宋体" w:eastAsia="宋体" w:cs="宋体"/>
                <w:b/>
                <w:bCs w:val="0"/>
                <w:color w:val="auto"/>
                <w:sz w:val="24"/>
                <w:szCs w:val="24"/>
                <w:highlight w:val="none"/>
                <w:lang w:eastAsia="zh-CN"/>
              </w:rPr>
              <w:t>投标</w:t>
            </w:r>
            <w:r>
              <w:rPr>
                <w:rFonts w:hint="eastAsia" w:ascii="宋体" w:hAnsi="宋体" w:eastAsia="宋体" w:cs="宋体"/>
                <w:b/>
                <w:bCs w:val="0"/>
                <w:color w:val="auto"/>
                <w:sz w:val="24"/>
                <w:szCs w:val="24"/>
                <w:highlight w:val="none"/>
              </w:rPr>
              <w:t>文件</w:t>
            </w:r>
            <w:r>
              <w:rPr>
                <w:rFonts w:hint="eastAsia" w:ascii="宋体" w:hAnsi="宋体" w:eastAsia="宋体" w:cs="宋体"/>
                <w:b/>
                <w:bCs w:val="0"/>
                <w:color w:val="auto"/>
                <w:sz w:val="24"/>
                <w:szCs w:val="24"/>
                <w:highlight w:val="none"/>
                <w:lang w:eastAsia="zh-CN"/>
              </w:rPr>
              <w:t>解密时间</w:t>
            </w:r>
          </w:p>
        </w:tc>
        <w:tc>
          <w:tcPr>
            <w:tcW w:w="7056" w:type="dxa"/>
            <w:noWrap w:val="0"/>
            <w:vAlign w:val="center"/>
          </w:tcPr>
          <w:p w14:paraId="0DADBA66">
            <w:pPr>
              <w:keepNext/>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sz w:val="24"/>
                <w:szCs w:val="24"/>
                <w:highlight w:val="none"/>
                <w:lang w:val="zh-CN"/>
              </w:rPr>
            </w:pPr>
            <w:r>
              <w:rPr>
                <w:rFonts w:hint="eastAsia" w:ascii="宋体" w:hAnsi="宋体" w:eastAsia="宋体" w:cs="宋体"/>
                <w:b/>
                <w:bCs w:val="0"/>
                <w:color w:val="auto"/>
                <w:sz w:val="24"/>
                <w:szCs w:val="24"/>
                <w:highlight w:val="none"/>
                <w:lang w:eastAsia="zh-CN"/>
              </w:rPr>
              <w:t>开</w:t>
            </w:r>
            <w:r>
              <w:rPr>
                <w:rFonts w:hint="eastAsia" w:ascii="宋体" w:hAnsi="宋体" w:eastAsia="宋体" w:cs="宋体"/>
                <w:b/>
                <w:bCs w:val="0"/>
                <w:color w:val="auto"/>
                <w:sz w:val="24"/>
                <w:szCs w:val="24"/>
                <w:highlight w:val="none"/>
              </w:rPr>
              <w:t>标时间后</w:t>
            </w:r>
            <w:r>
              <w:rPr>
                <w:rFonts w:hint="eastAsia" w:ascii="宋体" w:hAnsi="宋体" w:cs="宋体"/>
                <w:b/>
                <w:bCs w:val="0"/>
                <w:color w:val="auto"/>
                <w:sz w:val="24"/>
                <w:szCs w:val="24"/>
                <w:highlight w:val="none"/>
                <w:lang w:val="en-US" w:eastAsia="zh-CN"/>
              </w:rPr>
              <w:t>3</w:t>
            </w:r>
            <w:r>
              <w:rPr>
                <w:rFonts w:hint="eastAsia" w:ascii="宋体" w:hAnsi="宋体" w:eastAsia="宋体" w:cs="宋体"/>
                <w:b/>
                <w:bCs w:val="0"/>
                <w:color w:val="auto"/>
                <w:sz w:val="24"/>
                <w:szCs w:val="24"/>
                <w:highlight w:val="none"/>
                <w:lang w:val="en-US" w:eastAsia="zh-CN"/>
              </w:rPr>
              <w:t>0分钟</w:t>
            </w:r>
            <w:r>
              <w:rPr>
                <w:rFonts w:hint="eastAsia" w:ascii="宋体" w:hAnsi="宋体" w:eastAsia="宋体" w:cs="宋体"/>
                <w:b/>
                <w:bCs w:val="0"/>
                <w:color w:val="auto"/>
                <w:sz w:val="24"/>
                <w:szCs w:val="24"/>
                <w:highlight w:val="none"/>
              </w:rPr>
              <w:t>内（</w:t>
            </w:r>
            <w:r>
              <w:rPr>
                <w:rFonts w:hint="eastAsia" w:ascii="宋体" w:hAnsi="宋体" w:cs="宋体"/>
                <w:b/>
                <w:bCs w:val="0"/>
                <w:color w:val="auto"/>
                <w:sz w:val="24"/>
                <w:szCs w:val="24"/>
                <w:highlight w:val="none"/>
                <w:lang w:eastAsia="zh-CN"/>
              </w:rPr>
              <w:t>2025年5月8日</w:t>
            </w:r>
            <w:r>
              <w:rPr>
                <w:rFonts w:hint="eastAsia" w:ascii="宋体" w:hAnsi="宋体" w:eastAsia="宋体" w:cs="宋体"/>
                <w:b/>
                <w:bCs w:val="0"/>
                <w:color w:val="auto"/>
                <w:sz w:val="24"/>
                <w:szCs w:val="24"/>
                <w:highlight w:val="none"/>
                <w:lang w:eastAsia="zh-CN"/>
              </w:rPr>
              <w:t>上午1</w:t>
            </w:r>
            <w:r>
              <w:rPr>
                <w:rFonts w:hint="eastAsia" w:ascii="宋体" w:hAnsi="宋体" w:cs="宋体"/>
                <w:b/>
                <w:bCs w:val="0"/>
                <w:color w:val="auto"/>
                <w:sz w:val="24"/>
                <w:szCs w:val="24"/>
                <w:highlight w:val="none"/>
                <w:lang w:val="en-US" w:eastAsia="zh-CN"/>
              </w:rPr>
              <w:t>0</w:t>
            </w:r>
            <w:r>
              <w:rPr>
                <w:rFonts w:hint="eastAsia" w:ascii="宋体" w:hAnsi="宋体" w:eastAsia="宋体" w:cs="宋体"/>
                <w:b/>
                <w:bCs w:val="0"/>
                <w:color w:val="auto"/>
                <w:sz w:val="24"/>
                <w:szCs w:val="24"/>
                <w:highlight w:val="none"/>
                <w:lang w:eastAsia="zh-CN"/>
              </w:rPr>
              <w:t>:</w:t>
            </w:r>
            <w:r>
              <w:rPr>
                <w:rFonts w:hint="eastAsia" w:ascii="宋体" w:hAnsi="宋体" w:cs="宋体"/>
                <w:b/>
                <w:bCs w:val="0"/>
                <w:color w:val="auto"/>
                <w:sz w:val="24"/>
                <w:szCs w:val="24"/>
                <w:highlight w:val="none"/>
                <w:lang w:val="en-US" w:eastAsia="zh-CN"/>
              </w:rPr>
              <w:t>3</w:t>
            </w:r>
            <w:r>
              <w:rPr>
                <w:rFonts w:hint="eastAsia" w:ascii="宋体" w:hAnsi="宋体" w:eastAsia="宋体" w:cs="宋体"/>
                <w:b/>
                <w:bCs w:val="0"/>
                <w:color w:val="auto"/>
                <w:sz w:val="24"/>
                <w:szCs w:val="24"/>
                <w:highlight w:val="none"/>
                <w:lang w:eastAsia="zh-CN"/>
              </w:rPr>
              <w:t>0-1</w:t>
            </w:r>
            <w:r>
              <w:rPr>
                <w:rFonts w:hint="eastAsia" w:ascii="宋体" w:hAnsi="宋体" w:cs="宋体"/>
                <w:b/>
                <w:bCs w:val="0"/>
                <w:color w:val="auto"/>
                <w:sz w:val="24"/>
                <w:szCs w:val="24"/>
                <w:highlight w:val="none"/>
                <w:lang w:val="en-US" w:eastAsia="zh-CN"/>
              </w:rPr>
              <w:t>1</w:t>
            </w:r>
            <w:r>
              <w:rPr>
                <w:rFonts w:hint="eastAsia" w:ascii="宋体" w:hAnsi="宋体" w:eastAsia="宋体" w:cs="宋体"/>
                <w:b/>
                <w:bCs w:val="0"/>
                <w:color w:val="auto"/>
                <w:sz w:val="24"/>
                <w:szCs w:val="24"/>
                <w:highlight w:val="none"/>
                <w:lang w:eastAsia="zh-CN"/>
              </w:rPr>
              <w:t>：00前</w:t>
            </w:r>
            <w:r>
              <w:rPr>
                <w:rFonts w:hint="eastAsia" w:ascii="宋体" w:hAnsi="宋体" w:eastAsia="宋体" w:cs="宋体"/>
                <w:b/>
                <w:bCs w:val="0"/>
                <w:color w:val="auto"/>
                <w:sz w:val="24"/>
                <w:szCs w:val="24"/>
                <w:highlight w:val="none"/>
              </w:rPr>
              <w:t>）供应商可以登录“政采云”平台，用“项目采购-开标评标”功能进行解密投标文件。若供应商在规定时间内（</w:t>
            </w:r>
            <w:r>
              <w:rPr>
                <w:rFonts w:hint="eastAsia" w:ascii="宋体" w:hAnsi="宋体" w:cs="宋体"/>
                <w:b/>
                <w:bCs w:val="0"/>
                <w:color w:val="auto"/>
                <w:sz w:val="24"/>
                <w:szCs w:val="24"/>
                <w:highlight w:val="none"/>
                <w:lang w:eastAsia="zh-CN"/>
              </w:rPr>
              <w:t>2025年5月8日</w:t>
            </w:r>
            <w:r>
              <w:rPr>
                <w:rFonts w:hint="eastAsia" w:ascii="宋体" w:hAnsi="宋体" w:eastAsia="宋体" w:cs="宋体"/>
                <w:b/>
                <w:bCs w:val="0"/>
                <w:color w:val="auto"/>
                <w:sz w:val="24"/>
                <w:szCs w:val="24"/>
                <w:highlight w:val="none"/>
                <w:lang w:eastAsia="zh-CN"/>
              </w:rPr>
              <w:t>上</w:t>
            </w:r>
            <w:r>
              <w:rPr>
                <w:rFonts w:hint="eastAsia" w:ascii="宋体" w:hAnsi="宋体" w:eastAsia="宋体" w:cs="宋体"/>
                <w:b/>
                <w:bCs w:val="0"/>
                <w:color w:val="auto"/>
                <w:sz w:val="24"/>
                <w:szCs w:val="24"/>
                <w:highlight w:val="none"/>
              </w:rPr>
              <w:t>午</w:t>
            </w:r>
            <w:r>
              <w:rPr>
                <w:rFonts w:hint="eastAsia" w:ascii="宋体" w:hAnsi="宋体" w:eastAsia="宋体" w:cs="宋体"/>
                <w:b/>
                <w:bCs w:val="0"/>
                <w:color w:val="auto"/>
                <w:sz w:val="24"/>
                <w:szCs w:val="24"/>
                <w:highlight w:val="none"/>
                <w:lang w:val="en-US" w:eastAsia="zh-CN"/>
              </w:rPr>
              <w:t>1</w:t>
            </w:r>
            <w:r>
              <w:rPr>
                <w:rFonts w:hint="eastAsia" w:ascii="宋体" w:hAnsi="宋体" w:cs="宋体"/>
                <w:b/>
                <w:bCs w:val="0"/>
                <w:color w:val="auto"/>
                <w:sz w:val="24"/>
                <w:szCs w:val="24"/>
                <w:highlight w:val="none"/>
                <w:lang w:val="en-US" w:eastAsia="zh-CN"/>
              </w:rPr>
              <w:t>1</w:t>
            </w:r>
            <w:r>
              <w:rPr>
                <w:rFonts w:hint="eastAsia" w:ascii="宋体" w:hAnsi="宋体" w:eastAsia="宋体" w:cs="宋体"/>
                <w:b/>
                <w:bCs w:val="0"/>
                <w:color w:val="auto"/>
                <w:sz w:val="24"/>
                <w:szCs w:val="24"/>
                <w:highlight w:val="none"/>
              </w:rPr>
              <w:t>:</w:t>
            </w:r>
            <w:r>
              <w:rPr>
                <w:rFonts w:hint="eastAsia" w:ascii="宋体" w:hAnsi="宋体" w:eastAsia="宋体" w:cs="宋体"/>
                <w:b/>
                <w:bCs w:val="0"/>
                <w:color w:val="auto"/>
                <w:sz w:val="24"/>
                <w:szCs w:val="24"/>
                <w:highlight w:val="none"/>
                <w:lang w:val="en-US" w:eastAsia="zh-CN"/>
              </w:rPr>
              <w:t>00</w:t>
            </w:r>
            <w:r>
              <w:rPr>
                <w:rFonts w:hint="eastAsia" w:ascii="宋体" w:hAnsi="宋体" w:eastAsia="宋体" w:cs="宋体"/>
                <w:b/>
                <w:bCs w:val="0"/>
                <w:color w:val="auto"/>
                <w:sz w:val="24"/>
                <w:szCs w:val="24"/>
                <w:highlight w:val="none"/>
              </w:rPr>
              <w:t>前）未按时解密的，视为投标文件撤回。</w:t>
            </w:r>
          </w:p>
        </w:tc>
      </w:tr>
      <w:tr w14:paraId="35038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jc w:val="center"/>
        </w:trPr>
        <w:tc>
          <w:tcPr>
            <w:tcW w:w="786" w:type="dxa"/>
            <w:noWrap w:val="0"/>
            <w:vAlign w:val="center"/>
          </w:tcPr>
          <w:p w14:paraId="4A1F83F7">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cs="Courier New"/>
                <w:b/>
                <w:color w:val="000000"/>
                <w:szCs w:val="21"/>
                <w:highlight w:val="none"/>
                <w:lang w:val="zh-CN"/>
              </w:rPr>
              <w:t>2</w:t>
            </w:r>
            <w:r>
              <w:rPr>
                <w:rFonts w:hint="eastAsia" w:cs="Courier New"/>
                <w:b/>
                <w:color w:val="000000"/>
                <w:szCs w:val="21"/>
                <w:highlight w:val="none"/>
                <w:lang w:val="en-US" w:eastAsia="zh-CN"/>
              </w:rPr>
              <w:t>3</w:t>
            </w:r>
          </w:p>
        </w:tc>
        <w:tc>
          <w:tcPr>
            <w:tcW w:w="2416" w:type="dxa"/>
            <w:noWrap w:val="0"/>
            <w:vAlign w:val="center"/>
          </w:tcPr>
          <w:p w14:paraId="1E11C974">
            <w:pPr>
              <w:keepNext/>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考察现场</w:t>
            </w:r>
          </w:p>
        </w:tc>
        <w:tc>
          <w:tcPr>
            <w:tcW w:w="7056" w:type="dxa"/>
            <w:noWrap w:val="0"/>
            <w:vAlign w:val="center"/>
          </w:tcPr>
          <w:p w14:paraId="01967649">
            <w:pPr>
              <w:keepNext/>
              <w:keepLines w:val="0"/>
              <w:pageBreakBefore w:val="0"/>
              <w:widowControl w:val="0"/>
              <w:kinsoku/>
              <w:wordWrap/>
              <w:overflowPunct/>
              <w:topLinePunct w:val="0"/>
              <w:bidi w:val="0"/>
              <w:snapToGrid/>
              <w:spacing w:line="360" w:lineRule="auto"/>
              <w:ind w:left="12" w:leftChars="0" w:hanging="12" w:hangingChars="5"/>
              <w:jc w:val="left"/>
              <w:textAlignment w:val="auto"/>
              <w:rPr>
                <w:rFonts w:hint="eastAsia" w:ascii="宋体" w:hAnsi="宋体" w:eastAsia="宋体" w:cs="宋体"/>
                <w:b/>
                <w:bCs/>
                <w:color w:val="000000"/>
                <w:sz w:val="24"/>
                <w:szCs w:val="24"/>
                <w:highlight w:val="none"/>
              </w:rPr>
            </w:pPr>
            <w:r>
              <w:rPr>
                <w:rFonts w:hint="eastAsia" w:ascii="宋体" w:hAnsi="宋体" w:eastAsia="宋体" w:cs="宋体"/>
                <w:bCs/>
                <w:sz w:val="24"/>
                <w:szCs w:val="24"/>
                <w:highlight w:val="none"/>
                <w:lang w:val="en-US" w:eastAsia="zh-CN"/>
              </w:rPr>
              <w:t>由供应商自行组织</w:t>
            </w:r>
          </w:p>
        </w:tc>
      </w:tr>
      <w:tr w14:paraId="6415C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0" w:hRule="atLeast"/>
          <w:jc w:val="center"/>
        </w:trPr>
        <w:tc>
          <w:tcPr>
            <w:tcW w:w="786" w:type="dxa"/>
            <w:noWrap w:val="0"/>
            <w:vAlign w:val="center"/>
          </w:tcPr>
          <w:p w14:paraId="2DE4B360">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hint="eastAsia" w:cs="Courier New"/>
                <w:b/>
                <w:color w:val="000000"/>
                <w:szCs w:val="21"/>
                <w:highlight w:val="none"/>
                <w:lang w:val="en-US" w:eastAsia="zh-CN"/>
              </w:rPr>
              <w:t>24</w:t>
            </w:r>
          </w:p>
        </w:tc>
        <w:tc>
          <w:tcPr>
            <w:tcW w:w="2416" w:type="dxa"/>
            <w:noWrap w:val="0"/>
            <w:vAlign w:val="center"/>
          </w:tcPr>
          <w:p w14:paraId="47781D38">
            <w:pPr>
              <w:keepNext/>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评标委员</w:t>
            </w:r>
            <w:r>
              <w:rPr>
                <w:rFonts w:hint="eastAsia" w:ascii="宋体" w:hAnsi="宋体" w:cs="宋体"/>
                <w:sz w:val="24"/>
                <w:szCs w:val="24"/>
                <w:highlight w:val="none"/>
                <w:lang w:val="en-US" w:eastAsia="zh-CN"/>
              </w:rPr>
              <w:t>会</w:t>
            </w:r>
            <w:r>
              <w:rPr>
                <w:rFonts w:hint="eastAsia" w:ascii="宋体" w:hAnsi="宋体" w:eastAsia="宋体" w:cs="宋体"/>
                <w:sz w:val="24"/>
                <w:szCs w:val="24"/>
                <w:highlight w:val="none"/>
              </w:rPr>
              <w:t>的组建</w:t>
            </w:r>
          </w:p>
        </w:tc>
        <w:tc>
          <w:tcPr>
            <w:tcW w:w="7056" w:type="dxa"/>
            <w:noWrap w:val="0"/>
            <w:vAlign w:val="center"/>
          </w:tcPr>
          <w:p w14:paraId="2B3F8DD7">
            <w:pPr>
              <w:keepNext/>
              <w:keepLines w:val="0"/>
              <w:pageBreakBefore w:val="0"/>
              <w:widowControl w:val="0"/>
              <w:kinsoku/>
              <w:wordWrap/>
              <w:overflowPunct/>
              <w:topLinePunct w:val="0"/>
              <w:autoSpaceDE/>
              <w:autoSpaceDN/>
              <w:bidi w:val="0"/>
              <w:adjustRightInd/>
              <w:snapToGrid/>
              <w:spacing w:line="340" w:lineRule="exact"/>
              <w:ind w:left="12" w:leftChars="0" w:hanging="12" w:hangingChars="5"/>
              <w:textAlignment w:val="auto"/>
              <w:rPr>
                <w:rFonts w:hint="eastAsia" w:ascii="宋体" w:hAnsi="宋体" w:eastAsia="宋体" w:cs="宋体"/>
                <w:b/>
                <w:bCs/>
                <w:color w:val="000000"/>
                <w:sz w:val="24"/>
                <w:szCs w:val="24"/>
                <w:highlight w:val="none"/>
              </w:rPr>
            </w:pPr>
            <w:r>
              <w:rPr>
                <w:rFonts w:hint="eastAsia" w:ascii="宋体" w:hAnsi="宋体" w:eastAsia="宋体" w:cs="宋体"/>
                <w:b/>
                <w:bCs w:val="0"/>
                <w:color w:val="auto"/>
                <w:sz w:val="24"/>
                <w:szCs w:val="24"/>
                <w:highlight w:val="none"/>
                <w:lang w:eastAsia="zh-CN"/>
              </w:rPr>
              <w:t>评标委员会构成：</w:t>
            </w:r>
            <w:r>
              <w:rPr>
                <w:rFonts w:hint="eastAsia" w:ascii="宋体" w:hAnsi="宋体" w:cs="宋体"/>
                <w:b/>
                <w:bCs w:val="0"/>
                <w:color w:val="auto"/>
                <w:sz w:val="24"/>
                <w:szCs w:val="24"/>
                <w:highlight w:val="none"/>
                <w:lang w:val="en-US" w:eastAsia="zh-CN"/>
              </w:rPr>
              <w:t>5</w:t>
            </w:r>
            <w:r>
              <w:rPr>
                <w:rFonts w:hint="eastAsia" w:ascii="宋体" w:hAnsi="宋体" w:eastAsia="宋体" w:cs="宋体"/>
                <w:b/>
                <w:bCs w:val="0"/>
                <w:color w:val="auto"/>
                <w:sz w:val="24"/>
                <w:szCs w:val="24"/>
                <w:highlight w:val="none"/>
                <w:lang w:eastAsia="zh-CN"/>
              </w:rPr>
              <w:t>人</w:t>
            </w:r>
            <w:r>
              <w:rPr>
                <w:rFonts w:hint="eastAsia" w:ascii="宋体" w:hAnsi="宋体" w:eastAsia="宋体" w:cs="宋体"/>
                <w:b/>
                <w:bCs w:val="0"/>
                <w:color w:val="auto"/>
                <w:sz w:val="24"/>
                <w:szCs w:val="24"/>
                <w:highlight w:val="none"/>
                <w:lang w:val="en-US" w:eastAsia="zh-CN"/>
              </w:rPr>
              <w:t>或</w:t>
            </w:r>
            <w:r>
              <w:rPr>
                <w:rFonts w:hint="eastAsia" w:ascii="宋体" w:hAnsi="宋体" w:cs="宋体"/>
                <w:b/>
                <w:bCs w:val="0"/>
                <w:color w:val="auto"/>
                <w:sz w:val="24"/>
                <w:szCs w:val="24"/>
                <w:highlight w:val="none"/>
                <w:lang w:val="en-US" w:eastAsia="zh-CN"/>
              </w:rPr>
              <w:t>5</w:t>
            </w:r>
            <w:r>
              <w:rPr>
                <w:rFonts w:hint="eastAsia" w:ascii="宋体" w:hAnsi="宋体" w:eastAsia="宋体" w:cs="宋体"/>
                <w:b/>
                <w:bCs w:val="0"/>
                <w:color w:val="auto"/>
                <w:sz w:val="24"/>
                <w:szCs w:val="24"/>
                <w:highlight w:val="none"/>
                <w:lang w:val="en-US" w:eastAsia="zh-CN"/>
              </w:rPr>
              <w:t>人</w:t>
            </w:r>
            <w:r>
              <w:rPr>
                <w:rFonts w:hint="eastAsia" w:ascii="宋体" w:hAnsi="宋体" w:eastAsia="宋体" w:cs="宋体"/>
                <w:b/>
                <w:bCs w:val="0"/>
                <w:color w:val="auto"/>
                <w:sz w:val="24"/>
                <w:szCs w:val="24"/>
                <w:highlight w:val="none"/>
                <w:lang w:eastAsia="zh-CN"/>
              </w:rPr>
              <w:t>以上单数组成，</w:t>
            </w:r>
            <w:r>
              <w:rPr>
                <w:rFonts w:hint="eastAsia" w:ascii="宋体" w:hAnsi="宋体" w:eastAsia="宋体" w:cs="宋体"/>
                <w:b/>
                <w:bCs w:val="0"/>
                <w:color w:val="auto"/>
                <w:sz w:val="24"/>
                <w:szCs w:val="24"/>
                <w:highlight w:val="none"/>
                <w:lang w:val="en-US" w:eastAsia="zh-CN"/>
              </w:rPr>
              <w:t>其中业主代表</w:t>
            </w:r>
            <w:r>
              <w:rPr>
                <w:rFonts w:hint="eastAsia" w:ascii="宋体" w:hAnsi="宋体" w:cs="宋体"/>
                <w:b/>
                <w:bCs w:val="0"/>
                <w:color w:val="auto"/>
                <w:sz w:val="24"/>
                <w:szCs w:val="24"/>
                <w:highlight w:val="none"/>
                <w:lang w:val="en-US" w:eastAsia="zh-CN"/>
              </w:rPr>
              <w:t>0</w:t>
            </w:r>
            <w:r>
              <w:rPr>
                <w:rFonts w:hint="eastAsia" w:ascii="宋体" w:hAnsi="宋体" w:eastAsia="宋体" w:cs="宋体"/>
                <w:b/>
                <w:bCs w:val="0"/>
                <w:color w:val="auto"/>
                <w:sz w:val="24"/>
                <w:szCs w:val="24"/>
                <w:highlight w:val="none"/>
                <w:lang w:val="en-US" w:eastAsia="zh-CN"/>
              </w:rPr>
              <w:t>人。</w:t>
            </w:r>
            <w:r>
              <w:rPr>
                <w:rFonts w:hint="eastAsia" w:ascii="宋体" w:hAnsi="宋体" w:eastAsia="宋体" w:cs="宋体"/>
                <w:b/>
                <w:bCs w:val="0"/>
                <w:color w:val="auto"/>
                <w:sz w:val="24"/>
                <w:szCs w:val="24"/>
                <w:highlight w:val="none"/>
                <w:lang w:eastAsia="zh-CN"/>
              </w:rPr>
              <w:t>评标专家确定方式：由招标代理在开标前 48 小时</w:t>
            </w:r>
            <w:r>
              <w:rPr>
                <w:rFonts w:hint="eastAsia" w:ascii="宋体" w:hAnsi="宋体" w:eastAsia="宋体" w:cs="宋体"/>
                <w:b/>
                <w:bCs w:val="0"/>
                <w:color w:val="auto"/>
                <w:sz w:val="24"/>
                <w:szCs w:val="24"/>
                <w:highlight w:val="none"/>
                <w:lang w:val="en-US" w:eastAsia="zh-CN"/>
              </w:rPr>
              <w:t>内</w:t>
            </w:r>
            <w:r>
              <w:rPr>
                <w:rFonts w:hint="eastAsia" w:ascii="宋体" w:hAnsi="宋体" w:eastAsia="宋体" w:cs="宋体"/>
                <w:b/>
                <w:bCs w:val="0"/>
                <w:color w:val="auto"/>
                <w:sz w:val="24"/>
                <w:szCs w:val="24"/>
                <w:highlight w:val="none"/>
                <w:lang w:eastAsia="zh-CN"/>
              </w:rPr>
              <w:t>在政采云专家中随机抽取此次评标专家。</w:t>
            </w:r>
          </w:p>
        </w:tc>
      </w:tr>
      <w:tr w14:paraId="66DD7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786" w:type="dxa"/>
            <w:noWrap w:val="0"/>
            <w:vAlign w:val="center"/>
          </w:tcPr>
          <w:p w14:paraId="32B3E892">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hint="eastAsia" w:cs="Courier New"/>
                <w:b/>
                <w:color w:val="000000"/>
                <w:szCs w:val="21"/>
                <w:highlight w:val="none"/>
                <w:lang w:val="en-US" w:eastAsia="zh-CN"/>
              </w:rPr>
              <w:t>25</w:t>
            </w:r>
          </w:p>
        </w:tc>
        <w:tc>
          <w:tcPr>
            <w:tcW w:w="2416" w:type="dxa"/>
            <w:noWrap w:val="0"/>
            <w:vAlign w:val="center"/>
          </w:tcPr>
          <w:p w14:paraId="393F5FCA">
            <w:pPr>
              <w:keepNext/>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开标时间</w:t>
            </w:r>
          </w:p>
        </w:tc>
        <w:tc>
          <w:tcPr>
            <w:tcW w:w="7056" w:type="dxa"/>
            <w:noWrap w:val="0"/>
            <w:vAlign w:val="center"/>
          </w:tcPr>
          <w:p w14:paraId="4E7B9AF9">
            <w:pPr>
              <w:keepNext/>
              <w:keepLines w:val="0"/>
              <w:pageBreakBefore w:val="0"/>
              <w:widowControl w:val="0"/>
              <w:kinsoku/>
              <w:wordWrap/>
              <w:overflowPunct/>
              <w:topLinePunct w:val="0"/>
              <w:bidi w:val="0"/>
              <w:snapToGrid/>
              <w:spacing w:line="360" w:lineRule="auto"/>
              <w:ind w:left="12" w:leftChars="0" w:hanging="12" w:hangingChars="5"/>
              <w:jc w:val="left"/>
              <w:textAlignment w:val="auto"/>
              <w:rPr>
                <w:rFonts w:hint="eastAsia" w:ascii="宋体" w:hAnsi="宋体" w:eastAsia="宋体" w:cs="宋体"/>
                <w:b/>
                <w:bCs/>
                <w:color w:val="000000"/>
                <w:sz w:val="24"/>
                <w:szCs w:val="24"/>
                <w:highlight w:val="none"/>
              </w:rPr>
            </w:pPr>
            <w:r>
              <w:rPr>
                <w:rFonts w:hint="eastAsia" w:ascii="宋体" w:hAnsi="宋体" w:eastAsia="宋体" w:cs="宋体"/>
                <w:bCs/>
                <w:sz w:val="24"/>
                <w:szCs w:val="24"/>
                <w:highlight w:val="none"/>
              </w:rPr>
              <w:t>开标时间：</w:t>
            </w:r>
            <w:r>
              <w:rPr>
                <w:rFonts w:hint="eastAsia" w:ascii="宋体" w:hAnsi="宋体" w:cs="宋体"/>
                <w:bCs/>
                <w:sz w:val="24"/>
                <w:szCs w:val="24"/>
                <w:highlight w:val="none"/>
                <w:lang w:eastAsia="zh-CN"/>
              </w:rPr>
              <w:t>2025年5月8日</w:t>
            </w:r>
            <w:r>
              <w:rPr>
                <w:rFonts w:hint="eastAsia" w:ascii="宋体" w:hAnsi="宋体" w:eastAsia="宋体" w:cs="宋体"/>
                <w:bCs/>
                <w:sz w:val="24"/>
                <w:szCs w:val="24"/>
                <w:highlight w:val="none"/>
                <w:lang w:eastAsia="zh-CN"/>
              </w:rPr>
              <w:t>1</w:t>
            </w:r>
            <w:r>
              <w:rPr>
                <w:rFonts w:hint="eastAsia" w:ascii="宋体" w:hAnsi="宋体" w:cs="宋体"/>
                <w:bCs/>
                <w:sz w:val="24"/>
                <w:szCs w:val="24"/>
                <w:highlight w:val="none"/>
                <w:lang w:val="en-US" w:eastAsia="zh-CN"/>
              </w:rPr>
              <w:t>0</w:t>
            </w:r>
            <w:r>
              <w:rPr>
                <w:rFonts w:hint="eastAsia" w:ascii="宋体" w:hAnsi="宋体" w:eastAsia="宋体" w:cs="宋体"/>
                <w:bCs/>
                <w:sz w:val="24"/>
                <w:szCs w:val="24"/>
                <w:highlight w:val="none"/>
                <w:lang w:eastAsia="zh-CN"/>
              </w:rPr>
              <w:t>时</w:t>
            </w:r>
            <w:r>
              <w:rPr>
                <w:rFonts w:hint="eastAsia" w:ascii="宋体" w:hAnsi="宋体" w:cs="宋体"/>
                <w:bCs/>
                <w:sz w:val="24"/>
                <w:szCs w:val="24"/>
                <w:highlight w:val="none"/>
                <w:lang w:val="en-US" w:eastAsia="zh-CN"/>
              </w:rPr>
              <w:t>3</w:t>
            </w:r>
            <w:r>
              <w:rPr>
                <w:rFonts w:hint="eastAsia" w:ascii="宋体" w:hAnsi="宋体" w:eastAsia="宋体" w:cs="宋体"/>
                <w:bCs/>
                <w:sz w:val="24"/>
                <w:szCs w:val="24"/>
                <w:highlight w:val="none"/>
                <w:lang w:eastAsia="zh-CN"/>
              </w:rPr>
              <w:t>0分</w:t>
            </w:r>
            <w:r>
              <w:rPr>
                <w:rFonts w:hint="eastAsia" w:ascii="宋体" w:hAnsi="宋体" w:eastAsia="宋体" w:cs="宋体"/>
                <w:bCs/>
                <w:sz w:val="24"/>
                <w:szCs w:val="24"/>
                <w:highlight w:val="none"/>
              </w:rPr>
              <w:t xml:space="preserve"> (北京时间)</w:t>
            </w:r>
          </w:p>
        </w:tc>
      </w:tr>
      <w:tr w14:paraId="409AD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73" w:hRule="atLeast"/>
          <w:jc w:val="center"/>
        </w:trPr>
        <w:tc>
          <w:tcPr>
            <w:tcW w:w="786" w:type="dxa"/>
            <w:noWrap w:val="0"/>
            <w:vAlign w:val="center"/>
          </w:tcPr>
          <w:p w14:paraId="0595424B">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hint="eastAsia" w:cs="Courier New"/>
                <w:b/>
                <w:color w:val="000000"/>
                <w:szCs w:val="21"/>
                <w:highlight w:val="none"/>
                <w:lang w:val="en-US" w:eastAsia="zh-CN"/>
              </w:rPr>
              <w:t>26</w:t>
            </w:r>
          </w:p>
        </w:tc>
        <w:tc>
          <w:tcPr>
            <w:tcW w:w="2416" w:type="dxa"/>
            <w:noWrap w:val="0"/>
            <w:vAlign w:val="center"/>
          </w:tcPr>
          <w:p w14:paraId="753A8634">
            <w:pPr>
              <w:kinsoku w:val="0"/>
              <w:wordWrap w:val="0"/>
              <w:overflowPunct w:val="0"/>
              <w:topLinePunct/>
              <w:autoSpaceDE w:val="0"/>
              <w:autoSpaceDN w:val="0"/>
              <w:spacing w:line="360" w:lineRule="auto"/>
              <w:rPr>
                <w:rFonts w:hint="eastAsia" w:ascii="宋体" w:hAnsi="宋体" w:eastAsia="宋体" w:cs="宋体"/>
                <w:color w:val="FF0000"/>
                <w:sz w:val="24"/>
                <w:szCs w:val="24"/>
                <w:highlight w:val="none"/>
              </w:rPr>
            </w:pPr>
            <w:r>
              <w:rPr>
                <w:rFonts w:hint="eastAsia" w:ascii="宋体" w:hAnsi="宋体" w:cs="宋体"/>
                <w:color w:val="auto"/>
                <w:sz w:val="24"/>
                <w:szCs w:val="22"/>
                <w:highlight w:val="none"/>
                <w:lang w:val="zh-CN"/>
              </w:rPr>
              <w:t>招标代理服务费</w:t>
            </w:r>
          </w:p>
        </w:tc>
        <w:tc>
          <w:tcPr>
            <w:tcW w:w="7056" w:type="dxa"/>
            <w:noWrap w:val="0"/>
            <w:vAlign w:val="center"/>
          </w:tcPr>
          <w:p w14:paraId="560CD8C1">
            <w:pPr>
              <w:kinsoku w:val="0"/>
              <w:wordWrap w:val="0"/>
              <w:overflowPunct w:val="0"/>
              <w:topLinePunct/>
              <w:autoSpaceDE w:val="0"/>
              <w:autoSpaceDN w:val="0"/>
              <w:spacing w:line="360" w:lineRule="auto"/>
              <w:rPr>
                <w:rFonts w:hint="default" w:ascii="宋体" w:hAnsi="宋体" w:eastAsia="宋体" w:cs="宋体"/>
                <w:b/>
                <w:bCs/>
                <w:color w:val="FF0000"/>
                <w:sz w:val="24"/>
                <w:szCs w:val="24"/>
                <w:highlight w:val="none"/>
                <w:lang w:val="en-US"/>
              </w:rPr>
            </w:pPr>
            <w:r>
              <w:rPr>
                <w:rFonts w:hint="eastAsia" w:ascii="宋体" w:hAnsi="宋体" w:cs="宋体"/>
                <w:color w:val="auto"/>
                <w:sz w:val="24"/>
                <w:szCs w:val="22"/>
                <w:highlight w:val="none"/>
                <w:lang w:val="zh-CN"/>
              </w:rPr>
              <w:t>代理服务收费标准：本项目招标代理服务费由成交供应商按照原国家计委《招标代理服务收费管理暂行办法的通知》(计价格[2002]1980号)文件规定的服务费收取标准支付，不足3000元，按3000元计取。投标人在递交投标书的同时将被视为同意承担本项费用；成交人必须在领取中标通知书时一次性付清招标代理服务费用。该费用由投标人计入投标总报价中但不单独列项，发包人亦不再另行支付。</w:t>
            </w:r>
          </w:p>
        </w:tc>
      </w:tr>
      <w:tr w14:paraId="743AB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4" w:hRule="atLeast"/>
          <w:jc w:val="center"/>
        </w:trPr>
        <w:tc>
          <w:tcPr>
            <w:tcW w:w="786" w:type="dxa"/>
            <w:noWrap w:val="0"/>
            <w:vAlign w:val="center"/>
          </w:tcPr>
          <w:p w14:paraId="3401B37B">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hint="eastAsia" w:cs="Courier New"/>
                <w:b/>
                <w:color w:val="000000"/>
                <w:szCs w:val="21"/>
                <w:highlight w:val="none"/>
                <w:lang w:val="en-US" w:eastAsia="zh-CN"/>
              </w:rPr>
              <w:t>27</w:t>
            </w:r>
          </w:p>
        </w:tc>
        <w:tc>
          <w:tcPr>
            <w:tcW w:w="2416" w:type="dxa"/>
            <w:noWrap w:val="0"/>
            <w:vAlign w:val="center"/>
          </w:tcPr>
          <w:p w14:paraId="3E58ACBB">
            <w:pPr>
              <w:keepNext/>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rPr>
              <w:t>不予退还保证金的情形</w:t>
            </w:r>
          </w:p>
        </w:tc>
        <w:tc>
          <w:tcPr>
            <w:tcW w:w="7056" w:type="dxa"/>
            <w:noWrap w:val="0"/>
            <w:vAlign w:val="center"/>
          </w:tcPr>
          <w:p w14:paraId="1C4A3633">
            <w:pPr>
              <w:keepNext/>
              <w:keepLines w:val="0"/>
              <w:pageBreakBefore w:val="0"/>
              <w:widowControl w:val="0"/>
              <w:kinsoku/>
              <w:wordWrap/>
              <w:overflowPunct/>
              <w:topLinePunct w:val="0"/>
              <w:autoSpaceDE/>
              <w:autoSpaceDN/>
              <w:bidi w:val="0"/>
              <w:adjustRightInd/>
              <w:snapToGrid/>
              <w:spacing w:line="240" w:lineRule="auto"/>
              <w:ind w:left="0" w:leftChars="0" w:right="0"/>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有下列情形之一的，保证金不予退还：</w:t>
            </w:r>
          </w:p>
          <w:p w14:paraId="29210A30">
            <w:pPr>
              <w:keepNext/>
              <w:keepLines w:val="0"/>
              <w:pageBreakBefore w:val="0"/>
              <w:widowControl w:val="0"/>
              <w:kinsoku/>
              <w:wordWrap/>
              <w:overflowPunct/>
              <w:topLinePunct w:val="0"/>
              <w:autoSpaceDE/>
              <w:autoSpaceDN/>
              <w:bidi w:val="0"/>
              <w:adjustRightInd/>
              <w:snapToGrid/>
              <w:spacing w:line="240" w:lineRule="auto"/>
              <w:ind w:left="0" w:leftChars="0" w:right="0"/>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（1）供应商在提交投标文件截止时间后撤回投标文件的；</w:t>
            </w:r>
          </w:p>
          <w:p w14:paraId="59E94CA2">
            <w:pPr>
              <w:keepNext/>
              <w:keepLines w:val="0"/>
              <w:pageBreakBefore w:val="0"/>
              <w:widowControl w:val="0"/>
              <w:kinsoku/>
              <w:wordWrap/>
              <w:overflowPunct/>
              <w:topLinePunct w:val="0"/>
              <w:autoSpaceDE/>
              <w:autoSpaceDN/>
              <w:bidi w:val="0"/>
              <w:adjustRightInd/>
              <w:snapToGrid/>
              <w:spacing w:line="240" w:lineRule="auto"/>
              <w:ind w:left="0" w:leftChars="0" w:right="0"/>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（2）供应商在投标文件中提供虚假材料的；</w:t>
            </w:r>
          </w:p>
          <w:p w14:paraId="625D3612">
            <w:pPr>
              <w:keepNext/>
              <w:keepLines w:val="0"/>
              <w:pageBreakBefore w:val="0"/>
              <w:widowControl w:val="0"/>
              <w:kinsoku/>
              <w:wordWrap/>
              <w:overflowPunct/>
              <w:topLinePunct w:val="0"/>
              <w:autoSpaceDE/>
              <w:autoSpaceDN/>
              <w:bidi w:val="0"/>
              <w:adjustRightInd/>
              <w:snapToGrid/>
              <w:spacing w:line="240" w:lineRule="auto"/>
              <w:ind w:left="0" w:leftChars="0" w:right="0"/>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（3）除因不可抗力或招标文件认可的情形以外，成交供应商不与采购人签订合同的；</w:t>
            </w:r>
          </w:p>
          <w:p w14:paraId="6E04B428">
            <w:pPr>
              <w:keepNext/>
              <w:keepLines w:val="0"/>
              <w:pageBreakBefore w:val="0"/>
              <w:widowControl w:val="0"/>
              <w:kinsoku/>
              <w:wordWrap/>
              <w:overflowPunct/>
              <w:topLinePunct w:val="0"/>
              <w:autoSpaceDE/>
              <w:autoSpaceDN/>
              <w:bidi w:val="0"/>
              <w:adjustRightInd/>
              <w:snapToGrid/>
              <w:spacing w:line="240" w:lineRule="auto"/>
              <w:ind w:left="0" w:leftChars="0" w:right="0"/>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（4）供应商与采购人、其他供应商或者采购代理机构恶意串通的；</w:t>
            </w:r>
          </w:p>
          <w:p w14:paraId="24BA1D69">
            <w:pPr>
              <w:keepNext/>
              <w:keepLines w:val="0"/>
              <w:pageBreakBefore w:val="0"/>
              <w:widowControl w:val="0"/>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rPr>
              <w:t>（5）招标文件规定的其他情形。</w:t>
            </w:r>
          </w:p>
        </w:tc>
      </w:tr>
      <w:tr w14:paraId="7B160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6" w:hRule="atLeast"/>
          <w:jc w:val="center"/>
        </w:trPr>
        <w:tc>
          <w:tcPr>
            <w:tcW w:w="786" w:type="dxa"/>
            <w:noWrap w:val="0"/>
            <w:vAlign w:val="center"/>
          </w:tcPr>
          <w:p w14:paraId="7C6C5483">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hint="eastAsia" w:cs="Courier New"/>
                <w:b/>
                <w:color w:val="000000"/>
                <w:szCs w:val="21"/>
                <w:highlight w:val="none"/>
                <w:lang w:val="en-US" w:eastAsia="zh-CN"/>
              </w:rPr>
              <w:t>28</w:t>
            </w:r>
          </w:p>
        </w:tc>
        <w:tc>
          <w:tcPr>
            <w:tcW w:w="2416" w:type="dxa"/>
            <w:noWrap w:val="0"/>
            <w:vAlign w:val="center"/>
          </w:tcPr>
          <w:p w14:paraId="56FF3701">
            <w:pPr>
              <w:keepNext/>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color w:val="auto"/>
                <w:sz w:val="24"/>
                <w:szCs w:val="24"/>
                <w:highlight w:val="none"/>
              </w:rPr>
              <w:t>履约保证金</w:t>
            </w:r>
          </w:p>
        </w:tc>
        <w:tc>
          <w:tcPr>
            <w:tcW w:w="7056" w:type="dxa"/>
            <w:noWrap w:val="0"/>
            <w:vAlign w:val="center"/>
          </w:tcPr>
          <w:p w14:paraId="5FF196BE">
            <w:pPr>
              <w:keepNext/>
              <w:keepLines w:val="0"/>
              <w:pageBreakBefore w:val="0"/>
              <w:widowControl w:val="0"/>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甲乙双方签订合同时约定</w:t>
            </w:r>
          </w:p>
        </w:tc>
      </w:tr>
      <w:tr w14:paraId="5C0F4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86" w:hRule="atLeast"/>
          <w:jc w:val="center"/>
        </w:trPr>
        <w:tc>
          <w:tcPr>
            <w:tcW w:w="786" w:type="dxa"/>
            <w:noWrap w:val="0"/>
            <w:vAlign w:val="center"/>
          </w:tcPr>
          <w:p w14:paraId="07CBED16">
            <w:pPr>
              <w:pStyle w:val="31"/>
              <w:keepNext/>
              <w:keepLines w:val="0"/>
              <w:pageBreakBefore w:val="0"/>
              <w:widowControl w:val="0"/>
              <w:kinsoku/>
              <w:wordWrap/>
              <w:overflowPunct/>
              <w:topLinePunct w:val="0"/>
              <w:bidi w:val="0"/>
              <w:snapToGrid/>
              <w:jc w:val="center"/>
              <w:textAlignment w:val="auto"/>
              <w:rPr>
                <w:rFonts w:hint="default" w:ascii="宋体" w:hAnsi="宋体" w:eastAsia="宋体" w:cs="Courier New"/>
                <w:b/>
                <w:color w:val="000000"/>
                <w:sz w:val="24"/>
                <w:szCs w:val="21"/>
                <w:highlight w:val="none"/>
                <w:lang w:val="en-US" w:eastAsia="zh-CN" w:bidi="ar-SA"/>
              </w:rPr>
            </w:pPr>
            <w:r>
              <w:rPr>
                <w:rFonts w:hint="eastAsia" w:cs="Courier New"/>
                <w:b/>
                <w:color w:val="000000"/>
                <w:szCs w:val="21"/>
                <w:highlight w:val="none"/>
                <w:lang w:val="en-US" w:eastAsia="zh-CN"/>
              </w:rPr>
              <w:t>29</w:t>
            </w:r>
          </w:p>
        </w:tc>
        <w:tc>
          <w:tcPr>
            <w:tcW w:w="2416" w:type="dxa"/>
            <w:noWrap w:val="0"/>
            <w:vAlign w:val="center"/>
          </w:tcPr>
          <w:p w14:paraId="2207C314">
            <w:pPr>
              <w:keepNext/>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其他说明</w:t>
            </w:r>
          </w:p>
        </w:tc>
        <w:tc>
          <w:tcPr>
            <w:tcW w:w="7056" w:type="dxa"/>
            <w:noWrap w:val="0"/>
            <w:vAlign w:val="center"/>
          </w:tcPr>
          <w:p w14:paraId="093AC4A0">
            <w:pPr>
              <w:keepNext/>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特别提醒：</w:t>
            </w:r>
          </w:p>
          <w:p w14:paraId="3B8A8106">
            <w:pPr>
              <w:keepNext/>
              <w:keepLines w:val="0"/>
              <w:pageBreakBefore w:val="0"/>
              <w:widowControl w:val="0"/>
              <w:numPr>
                <w:ilvl w:val="0"/>
                <w:numId w:val="0"/>
              </w:numPr>
              <w:kinsoku/>
              <w:wordWrap/>
              <w:overflowPunct/>
              <w:topLinePunct w:val="0"/>
              <w:bidi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rPr>
              <w:t>所有投标人的报价高于采购预算额度视为无效报价（即作否决投标处理）。</w:t>
            </w:r>
          </w:p>
          <w:p w14:paraId="3D2BFE79">
            <w:pPr>
              <w:keepNext/>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相同品牌产品且通过资格审查、符合性审查的不同投标人参加同一合同项下投标的，按一家投标人计算，评审后得分最高的同品牌投标人获得中标人推荐资格</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评审得分相同的，按照投标报价由低到高顺序排列</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得分且投标报价相同的，按技术指标优劣顺序排列，其他同品牌投标人不作为中标候选人。</w:t>
            </w:r>
          </w:p>
          <w:p w14:paraId="22AB9A12">
            <w:pPr>
              <w:keepNext/>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所有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0D793643">
            <w:pPr>
              <w:keepNext/>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3、更正补充公告请自行登录新疆政府采购网查看下载。</w:t>
            </w:r>
          </w:p>
          <w:p w14:paraId="58BE0CED">
            <w:pPr>
              <w:keepNext/>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4、招标文件中部分加“*”、“★”、加粗、加下划线、废标、无效标、投标被拒绝字样的条款，为招标的实质性要求和条件，</w:t>
            </w:r>
            <w:r>
              <w:rPr>
                <w:rFonts w:hint="eastAsia" w:ascii="宋体" w:hAnsi="宋体" w:cs="宋体"/>
                <w:color w:val="auto"/>
                <w:sz w:val="24"/>
                <w:szCs w:val="24"/>
                <w:highlight w:val="none"/>
                <w:lang w:val="en-US" w:eastAsia="zh-CN"/>
              </w:rPr>
              <w:t>未响应可能会导致废标，</w:t>
            </w:r>
            <w:r>
              <w:rPr>
                <w:rFonts w:hint="eastAsia" w:ascii="宋体" w:hAnsi="宋体" w:eastAsia="宋体" w:cs="宋体"/>
                <w:color w:val="auto"/>
                <w:sz w:val="24"/>
                <w:szCs w:val="24"/>
                <w:highlight w:val="none"/>
                <w:lang w:val="en-US" w:eastAsia="zh-CN"/>
              </w:rPr>
              <w:t>着重提醒各投标人注意，并认真查看招标文件中的每一个条款及要求，因误读招标文件而造成的后果，招标人概不负责。</w:t>
            </w:r>
          </w:p>
          <w:p w14:paraId="1234BF63">
            <w:pPr>
              <w:keepNext/>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投标文件中有弄虚作假的内容，其投标文件作废（如假证书、假业绩、隐瞒不良行为记录、夸大荣誉、使用非本单位在职员工的相关</w:t>
            </w:r>
            <w:r>
              <w:rPr>
                <w:rFonts w:hint="eastAsia" w:ascii="宋体" w:hAnsi="宋体" w:eastAsia="宋体" w:cs="宋体"/>
                <w:color w:val="auto"/>
                <w:sz w:val="24"/>
                <w:szCs w:val="24"/>
                <w:highlight w:val="none"/>
                <w:lang w:val="en-US" w:eastAsia="zh-CN"/>
              </w:rPr>
              <w:t>证件及不符合招标文件规定的条款等）；在签订合同之前，招标人如发现投标人的投标文件有弄虚作假内容，招标人可拒绝与其签订合同。并将其列入政府采购黑名单库。</w:t>
            </w:r>
          </w:p>
          <w:p w14:paraId="09212503">
            <w:pPr>
              <w:keepNext/>
              <w:keepLines w:val="0"/>
              <w:pageBreakBefore w:val="0"/>
              <w:widowControl w:val="0"/>
              <w:kinsoku/>
              <w:wordWrap/>
              <w:overflowPunct/>
              <w:topLinePunct w:val="0"/>
              <w:bidi w:val="0"/>
              <w:snapToGrid/>
              <w:spacing w:line="240" w:lineRule="auto"/>
              <w:textAlignment w:val="auto"/>
              <w:rPr>
                <w:rFonts w:hint="eastAsia" w:ascii="宋体" w:hAnsi="宋体" w:eastAsia="宋体" w:cs="宋体"/>
                <w:b/>
                <w:bCs/>
                <w:color w:val="000000"/>
                <w:sz w:val="24"/>
                <w:szCs w:val="24"/>
                <w:highlight w:val="none"/>
              </w:rPr>
            </w:pPr>
            <w:r>
              <w:rPr>
                <w:rFonts w:hint="eastAsia" w:ascii="宋体" w:hAnsi="宋体" w:eastAsia="宋体" w:cs="宋体"/>
                <w:b/>
                <w:bCs/>
                <w:color w:val="auto"/>
                <w:sz w:val="24"/>
                <w:szCs w:val="24"/>
                <w:highlight w:val="none"/>
                <w:lang w:val="en-US" w:eastAsia="zh-CN"/>
              </w:rPr>
              <w:t>6、投标供应商制作投标文件的CA锁必须和开标解密的CA锁为同一把锁，在解密过程中因为CA锁不同而导致解密失败的，由投标供应商自行承担。</w:t>
            </w:r>
          </w:p>
        </w:tc>
      </w:tr>
      <w:tr w14:paraId="3EDC2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53" w:hRule="atLeast"/>
          <w:jc w:val="center"/>
        </w:trPr>
        <w:tc>
          <w:tcPr>
            <w:tcW w:w="10258" w:type="dxa"/>
            <w:gridSpan w:val="3"/>
            <w:noWrap w:val="0"/>
            <w:vAlign w:val="center"/>
          </w:tcPr>
          <w:p w14:paraId="290AC545">
            <w:pPr>
              <w:keepNext/>
              <w:keepLines w:val="0"/>
              <w:pageBreakBefore w:val="0"/>
              <w:widowControl w:val="0"/>
              <w:kinsoku/>
              <w:wordWrap/>
              <w:overflowPunct/>
              <w:topLinePunct w:val="0"/>
              <w:bidi w:val="0"/>
              <w:snapToGrid/>
              <w:spacing w:line="240" w:lineRule="auto"/>
              <w:ind w:right="168" w:rightChars="8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bl>
    <w:p w14:paraId="78D2BDD9">
      <w:pPr>
        <w:pageBreakBefore w:val="0"/>
        <w:widowControl w:val="0"/>
        <w:wordWrap/>
        <w:topLinePunct w:val="0"/>
        <w:bidi w:val="0"/>
        <w:spacing w:line="460" w:lineRule="exact"/>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本表的具体资料是对</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须知的具体补充和修改，如有矛盾，应以本前附表为准。</w:t>
      </w:r>
    </w:p>
    <w:p w14:paraId="47DAB7A1">
      <w:pPr>
        <w:keepNext w:val="0"/>
        <w:keepLines w:val="0"/>
        <w:pageBreakBefore w:val="0"/>
        <w:widowControl w:val="0"/>
        <w:kinsoku/>
        <w:wordWrap/>
        <w:overflowPunct/>
        <w:topLinePunct w:val="0"/>
        <w:autoSpaceDE/>
        <w:autoSpaceDN/>
        <w:bidi w:val="0"/>
        <w:adjustRightInd/>
        <w:snapToGrid/>
        <w:spacing w:line="580" w:lineRule="exact"/>
        <w:ind w:firstLine="562" w:firstLineChars="200"/>
        <w:jc w:val="center"/>
        <w:textAlignment w:val="auto"/>
        <w:outlineLvl w:val="0"/>
        <w:rPr>
          <w:rFonts w:hint="eastAsia" w:ascii="宋体" w:hAnsi="宋体" w:eastAsia="宋体" w:cs="宋体"/>
          <w:b/>
          <w:color w:val="auto"/>
          <w:sz w:val="28"/>
          <w:szCs w:val="28"/>
          <w:highlight w:val="none"/>
        </w:rPr>
      </w:pPr>
      <w:bookmarkStart w:id="101" w:name="_Toc21290"/>
      <w:bookmarkStart w:id="102" w:name="_Toc20651"/>
      <w:r>
        <w:rPr>
          <w:rFonts w:hint="eastAsia" w:ascii="宋体" w:hAnsi="宋体" w:eastAsia="宋体" w:cs="宋体"/>
          <w:b/>
          <w:color w:val="auto"/>
          <w:sz w:val="28"/>
          <w:szCs w:val="28"/>
          <w:highlight w:val="none"/>
        </w:rPr>
        <w:t>第二章 投标须知</w:t>
      </w:r>
      <w:bookmarkEnd w:id="101"/>
      <w:bookmarkEnd w:id="102"/>
    </w:p>
    <w:p w14:paraId="770661D6">
      <w:pPr>
        <w:pageBreakBefore w:val="0"/>
        <w:widowControl w:val="0"/>
        <w:wordWrap/>
        <w:topLinePunct w:val="0"/>
        <w:bidi w:val="0"/>
        <w:spacing w:line="360" w:lineRule="auto"/>
        <w:ind w:firstLine="1120" w:firstLineChars="400"/>
        <w:rPr>
          <w:rFonts w:hint="default" w:ascii="宋体" w:hAnsi="宋体" w:eastAsia="宋体" w:cs="宋体"/>
          <w:color w:val="auto"/>
          <w:sz w:val="28"/>
          <w:szCs w:val="28"/>
          <w:highlight w:val="none"/>
          <w:lang w:val="en-US" w:eastAsia="zh-CN"/>
        </w:rPr>
      </w:pPr>
    </w:p>
    <w:p w14:paraId="126BC12B">
      <w:pPr>
        <w:pageBreakBefore w:val="0"/>
        <w:widowControl w:val="0"/>
        <w:numPr>
          <w:ilvl w:val="0"/>
          <w:numId w:val="1"/>
        </w:numPr>
        <w:wordWrap/>
        <w:topLinePunct w:val="0"/>
        <w:bidi w:val="0"/>
        <w:spacing w:line="50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总   则</w:t>
      </w:r>
    </w:p>
    <w:p w14:paraId="40DCE8CD">
      <w:pPr>
        <w:pageBreakBefore w:val="0"/>
        <w:widowControl w:val="0"/>
        <w:numPr>
          <w:ilvl w:val="0"/>
          <w:numId w:val="0"/>
        </w:numPr>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b/>
          <w:bCs/>
          <w:sz w:val="28"/>
          <w:szCs w:val="28"/>
          <w:highlight w:val="none"/>
          <w:lang w:eastAsia="zh-CN"/>
        </w:rPr>
        <w:t>1、适用范围：</w:t>
      </w:r>
      <w:r>
        <w:rPr>
          <w:rFonts w:hint="eastAsia" w:ascii="宋体" w:hAnsi="宋体" w:eastAsia="宋体" w:cs="宋体"/>
          <w:sz w:val="28"/>
          <w:szCs w:val="28"/>
          <w:highlight w:val="none"/>
          <w:lang w:eastAsia="zh-CN"/>
        </w:rPr>
        <w:t>本招标文件仅适于本次招标公告中所述的采购</w:t>
      </w:r>
      <w:r>
        <w:rPr>
          <w:rFonts w:hint="eastAsia" w:ascii="宋体" w:hAnsi="宋体" w:cs="宋体"/>
          <w:sz w:val="28"/>
          <w:szCs w:val="28"/>
          <w:highlight w:val="none"/>
          <w:lang w:val="en-US" w:eastAsia="zh-CN"/>
        </w:rPr>
        <w:t>货物</w:t>
      </w:r>
      <w:r>
        <w:rPr>
          <w:rFonts w:hint="eastAsia" w:ascii="宋体" w:hAnsi="宋体" w:eastAsia="宋体" w:cs="宋体"/>
          <w:sz w:val="28"/>
          <w:szCs w:val="28"/>
          <w:highlight w:val="none"/>
          <w:lang w:eastAsia="zh-CN"/>
        </w:rPr>
        <w:t>及服务。</w:t>
      </w:r>
    </w:p>
    <w:p w14:paraId="74E434EA">
      <w:pPr>
        <w:pageBreakBefore w:val="0"/>
        <w:widowControl w:val="0"/>
        <w:wordWrap/>
        <w:topLinePunct w:val="0"/>
        <w:bidi w:val="0"/>
        <w:spacing w:line="500" w:lineRule="exact"/>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lang w:eastAsia="zh-CN"/>
        </w:rPr>
        <w:t>2、合格的供应商</w:t>
      </w:r>
    </w:p>
    <w:p w14:paraId="6BDCE8C5">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1.满足《中华人民共和国政府采购法》第二十二条规定:</w:t>
      </w:r>
    </w:p>
    <w:p w14:paraId="46EFCFB6">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（1）经年审合格（三证合一）的营业执照；</w:t>
      </w:r>
    </w:p>
    <w:p w14:paraId="6240AF9C">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（2）提供授权委托书及授权委托人（指本单位）近 3 个月单位缴纳的个人社保明细及缴费凭证，成立不足三个月的按实际提供；提供税务机关出具的近 3 个月的完税证明或依法报税相关资料（新成立不足 3 个月的按实际情况发生提供，成立时间超过 3 个月的零申报的需提供依法报税资料）；</w:t>
      </w:r>
    </w:p>
    <w:p w14:paraId="75B831AE">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近三年内（本项目投标截止期前）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加本次政府采购活动；</w:t>
      </w:r>
    </w:p>
    <w:p w14:paraId="31CBE292">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（4）凡拟参加本次招标项目的投标单位须需提供</w:t>
      </w:r>
      <w:r>
        <w:rPr>
          <w:rFonts w:hint="eastAsia" w:ascii="宋体" w:hAnsi="宋体" w:cs="宋体"/>
          <w:sz w:val="28"/>
          <w:szCs w:val="28"/>
          <w:highlight w:val="none"/>
          <w:lang w:val="en-US" w:eastAsia="zh-CN"/>
        </w:rPr>
        <w:t>2023年度或2024年度</w:t>
      </w:r>
      <w:r>
        <w:rPr>
          <w:rFonts w:hint="eastAsia" w:ascii="宋体" w:hAnsi="宋体" w:eastAsia="宋体" w:cs="宋体"/>
          <w:sz w:val="28"/>
          <w:szCs w:val="28"/>
          <w:highlight w:val="none"/>
          <w:lang w:val="en-US" w:eastAsia="zh-CN"/>
        </w:rPr>
        <w:t>第三方审计机构出具的审计报告（</w:t>
      </w:r>
      <w:r>
        <w:rPr>
          <w:rFonts w:hint="eastAsia" w:ascii="宋体" w:hAnsi="宋体" w:cs="宋体"/>
          <w:sz w:val="28"/>
          <w:szCs w:val="28"/>
          <w:highlight w:val="none"/>
          <w:lang w:val="en-US" w:eastAsia="zh-CN"/>
        </w:rPr>
        <w:t>2024年4月</w:t>
      </w:r>
      <w:r>
        <w:rPr>
          <w:rFonts w:hint="eastAsia" w:ascii="宋体" w:hAnsi="宋体" w:eastAsia="宋体" w:cs="宋体"/>
          <w:sz w:val="28"/>
          <w:szCs w:val="28"/>
          <w:highlight w:val="none"/>
          <w:lang w:val="en-US" w:eastAsia="zh-CN"/>
        </w:rPr>
        <w:t>份后新成立的公司可不提供但需提供银行出具的近三个月的资信证明）和健全的财务会计制度；</w:t>
      </w:r>
    </w:p>
    <w:p w14:paraId="69399E77">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5）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p w14:paraId="631524D1">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（6）本项目不接受联合体投标.</w:t>
      </w:r>
    </w:p>
    <w:p w14:paraId="51443B24">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2.落实政府采购政策需满足的资格要求：</w:t>
      </w:r>
      <w:r>
        <w:rPr>
          <w:rFonts w:hint="eastAsia" w:ascii="宋体" w:hAnsi="宋体" w:cs="宋体"/>
          <w:sz w:val="28"/>
          <w:szCs w:val="28"/>
          <w:highlight w:val="none"/>
          <w:lang w:val="en-US" w:eastAsia="zh-CN"/>
        </w:rPr>
        <w:t>本项目不专门面向中小型企业</w:t>
      </w:r>
      <w:r>
        <w:rPr>
          <w:rFonts w:hint="eastAsia" w:ascii="宋体" w:hAnsi="宋体" w:eastAsia="宋体" w:cs="宋体"/>
          <w:sz w:val="28"/>
          <w:szCs w:val="28"/>
          <w:highlight w:val="none"/>
          <w:lang w:val="en-US" w:eastAsia="zh-CN"/>
        </w:rPr>
        <w:t>。</w:t>
      </w:r>
    </w:p>
    <w:p w14:paraId="1E71235F">
      <w:pPr>
        <w:pageBreakBefore w:val="0"/>
        <w:widowControl w:val="0"/>
        <w:wordWrap/>
        <w:topLinePunct w:val="0"/>
        <w:bidi w:val="0"/>
        <w:spacing w:line="50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3.本项目的特定资格要求：投标人为制造商的，提供《医疗器械生产许可证》；投标人为经销商的，投标货物若属于三类医疗器械，须提供《医疗器械经营企业许可证》，投标货物若属于二类医疗器械，提供《</w:t>
      </w:r>
      <w:r>
        <w:rPr>
          <w:rFonts w:hint="eastAsia" w:ascii="宋体" w:hAnsi="宋体" w:cs="宋体"/>
          <w:color w:val="auto"/>
          <w:sz w:val="28"/>
          <w:szCs w:val="28"/>
          <w:highlight w:val="none"/>
          <w:lang w:val="en-US" w:eastAsia="zh-CN"/>
        </w:rPr>
        <w:t>第</w:t>
      </w:r>
      <w:r>
        <w:rPr>
          <w:rFonts w:hint="eastAsia" w:ascii="宋体" w:hAnsi="宋体" w:eastAsia="宋体" w:cs="宋体"/>
          <w:color w:val="auto"/>
          <w:sz w:val="28"/>
          <w:szCs w:val="28"/>
          <w:highlight w:val="none"/>
          <w:lang w:val="en-US" w:eastAsia="zh-CN"/>
        </w:rPr>
        <w:t>二类医疗器械经营备案凭证</w:t>
      </w:r>
      <w:r>
        <w:rPr>
          <w:rFonts w:hint="eastAsia" w:ascii="宋体" w:hAnsi="宋体" w:eastAsia="宋体" w:cs="宋体"/>
          <w:sz w:val="28"/>
          <w:szCs w:val="28"/>
          <w:highlight w:val="none"/>
          <w:lang w:val="en-US" w:eastAsia="zh-CN"/>
        </w:rPr>
        <w:t>》，投标货物若属于一类医疗器械，则无须提供此项；投标产品须在其经营范围内，所有证件必须在有效期内。投标货物属于《医疗器械监督管理条例》规定的第一类医疗器械产品应提供《第一类医疗器械备案凭证》，属于第二类、第三类医疗器械产品应取得《医疗器械注册证》(如有注册登记表应提供)，所有证件必须在有效期内</w:t>
      </w:r>
      <w:r>
        <w:rPr>
          <w:rFonts w:hint="eastAsia" w:ascii="宋体" w:hAnsi="宋体" w:cs="宋体"/>
          <w:sz w:val="28"/>
          <w:szCs w:val="28"/>
          <w:highlight w:val="none"/>
          <w:lang w:val="en-US" w:eastAsia="zh-CN"/>
        </w:rPr>
        <w:t>。</w:t>
      </w:r>
      <w:r>
        <w:rPr>
          <w:rFonts w:hint="eastAsia" w:ascii="宋体" w:hAnsi="宋体" w:eastAsia="宋体" w:cs="宋体"/>
          <w:sz w:val="28"/>
          <w:szCs w:val="28"/>
          <w:highlight w:val="none"/>
          <w:lang w:val="en-US" w:eastAsia="zh-CN"/>
        </w:rPr>
        <w:t xml:space="preserve"> </w:t>
      </w:r>
    </w:p>
    <w:p w14:paraId="7241BC4F">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3. 投标费用</w:t>
      </w:r>
    </w:p>
    <w:p w14:paraId="5965CD68">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3.1、无论投标结果如何，凡参与招标、投标活动有关的所有费用将由投标方自行承担。</w:t>
      </w:r>
    </w:p>
    <w:p w14:paraId="0CBCB7E1">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3.2、供应商被视为熟悉本招标项目的各种情况以及与履行合同有关的一切情况。</w:t>
      </w:r>
    </w:p>
    <w:p w14:paraId="05F78A00">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4、定义</w:t>
      </w:r>
    </w:p>
    <w:p w14:paraId="3703A030">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4.1“采购人”为</w:t>
      </w:r>
      <w:r>
        <w:rPr>
          <w:rFonts w:hint="eastAsia" w:ascii="宋体" w:hAnsi="宋体" w:cs="宋体"/>
          <w:sz w:val="28"/>
          <w:szCs w:val="28"/>
          <w:highlight w:val="none"/>
          <w:u w:val="single"/>
          <w:lang w:val="zh-CN" w:eastAsia="zh-CN"/>
        </w:rPr>
        <w:t>吉木乃县人民医院</w:t>
      </w:r>
      <w:r>
        <w:rPr>
          <w:rFonts w:hint="eastAsia" w:ascii="宋体" w:hAnsi="宋体" w:eastAsia="宋体" w:cs="宋体"/>
          <w:sz w:val="28"/>
          <w:szCs w:val="28"/>
          <w:highlight w:val="none"/>
          <w:lang w:eastAsia="zh-CN"/>
        </w:rPr>
        <w:t>。</w:t>
      </w:r>
    </w:p>
    <w:p w14:paraId="00D28EED">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4.2“供应商”系指响应招标，并按照招标文件的要求参与</w:t>
      </w:r>
      <w:r>
        <w:rPr>
          <w:rFonts w:hint="eastAsia" w:ascii="宋体" w:hAnsi="宋体" w:eastAsia="宋体" w:cs="宋体"/>
          <w:sz w:val="28"/>
          <w:szCs w:val="28"/>
          <w:highlight w:val="none"/>
          <w:lang w:val="en-US" w:eastAsia="zh-CN"/>
        </w:rPr>
        <w:t>设备</w:t>
      </w:r>
      <w:r>
        <w:rPr>
          <w:rFonts w:hint="eastAsia" w:ascii="宋体" w:hAnsi="宋体" w:eastAsia="宋体" w:cs="宋体"/>
          <w:sz w:val="28"/>
          <w:szCs w:val="28"/>
          <w:highlight w:val="none"/>
          <w:lang w:eastAsia="zh-CN"/>
        </w:rPr>
        <w:t>采购竞争的法人。</w:t>
      </w:r>
    </w:p>
    <w:p w14:paraId="0B28192D">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4.3“招标机构”为</w:t>
      </w:r>
      <w:r>
        <w:rPr>
          <w:rFonts w:hint="eastAsia" w:ascii="宋体" w:hAnsi="宋体" w:cs="宋体"/>
          <w:sz w:val="28"/>
          <w:szCs w:val="28"/>
          <w:highlight w:val="none"/>
          <w:u w:val="single"/>
          <w:lang w:val="zh-CN" w:eastAsia="zh-CN"/>
        </w:rPr>
        <w:t>新疆新建联项目管理咨询有限公司</w:t>
      </w:r>
      <w:r>
        <w:rPr>
          <w:rFonts w:hint="eastAsia" w:ascii="宋体" w:hAnsi="宋体" w:eastAsia="宋体" w:cs="宋体"/>
          <w:sz w:val="28"/>
          <w:szCs w:val="28"/>
          <w:highlight w:val="none"/>
          <w:lang w:eastAsia="zh-CN"/>
        </w:rPr>
        <w:t>。</w:t>
      </w:r>
    </w:p>
    <w:p w14:paraId="192BAAC3">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4.4“货物”系指卖方按合同要求，须向买方提供的一切采购货物及其它技术资料和材料。</w:t>
      </w:r>
    </w:p>
    <w:p w14:paraId="4590A7E1">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4.5“工程”系指建设工程，包括建筑物和构筑物的新建、改建、扩建、装修、拆除、修缮等。</w:t>
      </w:r>
    </w:p>
    <w:p w14:paraId="6C7803C2">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4.6“服务”系指合同规定卖方须承担的运输、装卸、仓储、安装、调试、校准、培训、</w:t>
      </w:r>
      <w:r>
        <w:rPr>
          <w:rFonts w:hint="eastAsia" w:ascii="宋体" w:hAnsi="宋体" w:eastAsia="宋体" w:cs="宋体"/>
          <w:sz w:val="28"/>
          <w:szCs w:val="28"/>
          <w:highlight w:val="none"/>
          <w:lang w:val="en-US" w:eastAsia="zh-CN"/>
        </w:rPr>
        <w:t>质保、技术协助</w:t>
      </w:r>
      <w:r>
        <w:rPr>
          <w:rFonts w:hint="eastAsia" w:ascii="宋体" w:hAnsi="宋体" w:eastAsia="宋体" w:cs="宋体"/>
          <w:sz w:val="28"/>
          <w:szCs w:val="28"/>
          <w:highlight w:val="none"/>
          <w:lang w:eastAsia="zh-CN"/>
        </w:rPr>
        <w:t>和交付使用后免费维护期内应履行的义务及售后服务等其他类似的义务。</w:t>
      </w:r>
    </w:p>
    <w:p w14:paraId="604F9A41">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4.7“卖方”系指提供合同货物和服务的法人。</w:t>
      </w:r>
    </w:p>
    <w:p w14:paraId="5F64CB0E">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4.8“买方”系指购买货物的单位。</w:t>
      </w:r>
    </w:p>
    <w:p w14:paraId="4013F461">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4.9</w:t>
      </w:r>
      <w:r>
        <w:rPr>
          <w:rFonts w:hint="eastAsia" w:ascii="宋体" w:hAnsi="宋体" w:eastAsia="宋体" w:cs="宋体"/>
          <w:sz w:val="28"/>
          <w:szCs w:val="28"/>
          <w:highlight w:val="none"/>
          <w:lang w:eastAsia="zh-CN"/>
        </w:rPr>
        <w:t>采购信息安全产品的，应当采购经国家认证的信息安全产品；供应货物中的相关产品，供应商应提供由中国信息安全认证中心按国家标准认证颁发的有效认证证书。</w:t>
      </w:r>
    </w:p>
    <w:p w14:paraId="21795F0F">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4.10</w:t>
      </w:r>
      <w:r>
        <w:rPr>
          <w:rFonts w:hint="eastAsia" w:ascii="宋体" w:hAnsi="宋体" w:eastAsia="宋体" w:cs="宋体"/>
          <w:sz w:val="28"/>
          <w:szCs w:val="28"/>
          <w:highlight w:val="none"/>
          <w:lang w:eastAsia="zh-CN"/>
        </w:rPr>
        <w:t>“节能产品”或者“环保产品”是指财政部发布的《节能产品政府采购品目清单》内并获得认证的产品及《环境标志产品政府采购品目清单》内并获得认证的产品。</w:t>
      </w:r>
    </w:p>
    <w:p w14:paraId="42A29325">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lang w:eastAsia="zh-CN"/>
        </w:rPr>
        <w:t>.11 “进口产品”是指通过中国海关报关验放进入中国境内且产自关境外的产品，详见《关于政府采购进口产品管理有关问题的通知》(财库[2007]119号)。</w:t>
      </w:r>
    </w:p>
    <w:p w14:paraId="15595463">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lang w:eastAsia="zh-CN"/>
        </w:rPr>
        <w:t>.12 “响应”系指投标人根据招标代理机构发布的招标文件，编制投标文件并按规定投标的行为。</w:t>
      </w:r>
    </w:p>
    <w:p w14:paraId="7853DDD6">
      <w:pPr>
        <w:pageBreakBefore w:val="0"/>
        <w:widowControl w:val="0"/>
        <w:wordWrap/>
        <w:topLinePunct w:val="0"/>
        <w:bidi w:val="0"/>
        <w:spacing w:line="500" w:lineRule="exact"/>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lang w:eastAsia="zh-CN"/>
        </w:rPr>
        <w:t>.1</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lang w:eastAsia="zh-CN"/>
        </w:rPr>
        <w:t xml:space="preserve"> “标段/标项（包）”系指一个完整独立的投标项目。</w:t>
      </w:r>
    </w:p>
    <w:p w14:paraId="024902D9">
      <w:pPr>
        <w:pageBreakBefore w:val="0"/>
        <w:widowControl w:val="0"/>
        <w:wordWrap/>
        <w:topLinePunct w:val="0"/>
        <w:bidi w:val="0"/>
        <w:spacing w:line="500" w:lineRule="exact"/>
        <w:outlineLvl w:val="1"/>
        <w:rPr>
          <w:rFonts w:hint="eastAsia" w:ascii="宋体" w:hAnsi="宋体" w:eastAsia="宋体" w:cs="宋体"/>
          <w:b/>
          <w:bCs/>
          <w:sz w:val="28"/>
          <w:szCs w:val="28"/>
          <w:highlight w:val="none"/>
          <w:lang w:eastAsia="zh-CN"/>
        </w:rPr>
      </w:pPr>
      <w:bookmarkStart w:id="103" w:name="_Toc18995"/>
      <w:bookmarkStart w:id="104" w:name="_Toc3216"/>
      <w:bookmarkStart w:id="105" w:name="_Toc21156"/>
      <w:r>
        <w:rPr>
          <w:rFonts w:hint="eastAsia" w:ascii="宋体" w:hAnsi="宋体" w:eastAsia="宋体" w:cs="宋体"/>
          <w:b/>
          <w:bCs/>
          <w:sz w:val="28"/>
          <w:szCs w:val="28"/>
          <w:highlight w:val="none"/>
          <w:lang w:eastAsia="zh-CN"/>
        </w:rPr>
        <w:t>二、</w:t>
      </w:r>
      <w:bookmarkEnd w:id="103"/>
      <w:r>
        <w:rPr>
          <w:rFonts w:hint="eastAsia" w:ascii="宋体" w:hAnsi="宋体" w:eastAsia="宋体" w:cs="宋体"/>
          <w:b/>
          <w:bCs/>
          <w:sz w:val="28"/>
          <w:szCs w:val="28"/>
          <w:highlight w:val="none"/>
          <w:lang w:eastAsia="zh-CN"/>
        </w:rPr>
        <w:t>招标文件</w:t>
      </w:r>
      <w:bookmarkEnd w:id="104"/>
      <w:bookmarkEnd w:id="105"/>
    </w:p>
    <w:p w14:paraId="7A81A0DE">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5、招标文件</w:t>
      </w:r>
    </w:p>
    <w:p w14:paraId="47DC6F14">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5.1招标文件用以阐明所招标的内容，招标投标程序及合同条款，包括：</w:t>
      </w:r>
    </w:p>
    <w:p w14:paraId="4CE0942C">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5.1.1招标公告；</w:t>
      </w:r>
    </w:p>
    <w:p w14:paraId="0F65384D">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5.1.2</w:t>
      </w:r>
      <w:r>
        <w:rPr>
          <w:rFonts w:hint="eastAsia" w:ascii="宋体" w:hAnsi="宋体" w:eastAsia="宋体" w:cs="宋体"/>
          <w:sz w:val="28"/>
          <w:szCs w:val="28"/>
          <w:highlight w:val="none"/>
          <w:lang w:val="en-US" w:eastAsia="zh-CN"/>
        </w:rPr>
        <w:t>供应商</w:t>
      </w:r>
      <w:r>
        <w:rPr>
          <w:rFonts w:hint="eastAsia" w:ascii="宋体" w:hAnsi="宋体" w:eastAsia="宋体" w:cs="宋体"/>
          <w:sz w:val="28"/>
          <w:szCs w:val="28"/>
          <w:highlight w:val="none"/>
          <w:lang w:eastAsia="zh-CN"/>
        </w:rPr>
        <w:t>须知前附表及投标须知；</w:t>
      </w:r>
    </w:p>
    <w:p w14:paraId="4F9FE719">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5.1.3采购需求；</w:t>
      </w:r>
    </w:p>
    <w:p w14:paraId="0AB46DE3">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5.1.4合同条款；</w:t>
      </w:r>
    </w:p>
    <w:p w14:paraId="5060FCF1">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5.1.5 投标文件部分格式；</w:t>
      </w:r>
    </w:p>
    <w:p w14:paraId="42E13E5E">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5.2供应商应仔细阅读招标文件中的所有内容。招标机构将拒绝未按招标文件的要求提供全部资料或提交的响应性文件未对招标文件作出实质性响应的投标。</w:t>
      </w:r>
    </w:p>
    <w:p w14:paraId="4F7F02FC">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6、招标文件的澄清</w:t>
      </w:r>
    </w:p>
    <w:p w14:paraId="1BE48AB7">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6.1任何要求澄清招标文件的供应商，均应在自招标文件发售时间起的5个工作日内以书面形式或传真、电报通知招标机构。招标机构将以书面形式予以答复，同时将书面通知每个购买招标文件的供应商。供应商不得与采购人私下就设备采购的有关实质性的问题进行谈判。</w:t>
      </w:r>
    </w:p>
    <w:p w14:paraId="79466D59">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7、招标文件的修改</w:t>
      </w:r>
    </w:p>
    <w:p w14:paraId="639D5C28">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7.1在投标截止时间24小时以前，采购人都可能以《招标文件补充》的方式修改招标文件。并将以书面形式通知所有购买招标文件的供应商。</w:t>
      </w:r>
    </w:p>
    <w:p w14:paraId="2FAE7512">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7.2《招标文件补充》作为招标文件的组成部分，对供应商具有同等约束力。如果招标文件补充内容与在此招标文件补充发出之前的招标文件等书面材料中相关内容相冲突，请供应商执行招标文件补充的相关内容，先前发出的招标文件等书面材料中相关内容自动废止。</w:t>
      </w:r>
    </w:p>
    <w:p w14:paraId="5289BB17">
      <w:pPr>
        <w:pageBreakBefore w:val="0"/>
        <w:widowControl w:val="0"/>
        <w:wordWrap/>
        <w:topLinePunct w:val="0"/>
        <w:bidi w:val="0"/>
        <w:spacing w:line="50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7.3为使供应商在编制响应性文件时把《招标文件补充》内容考虑进去，采购人可以相应延长投标截止日期，具体时间将在《招标文件补充》中写明。</w:t>
      </w:r>
    </w:p>
    <w:p w14:paraId="045D81DC">
      <w:pPr>
        <w:pageBreakBefore w:val="0"/>
        <w:widowControl w:val="0"/>
        <w:numPr>
          <w:ilvl w:val="0"/>
          <w:numId w:val="2"/>
        </w:numPr>
        <w:wordWrap/>
        <w:topLinePunct w:val="0"/>
        <w:bidi w:val="0"/>
        <w:spacing w:line="500" w:lineRule="exact"/>
        <w:jc w:val="both"/>
        <w:outlineLvl w:val="1"/>
        <w:rPr>
          <w:rFonts w:hint="eastAsia" w:ascii="宋体" w:hAnsi="宋体" w:eastAsia="宋体" w:cs="宋体"/>
          <w:b/>
          <w:sz w:val="28"/>
          <w:szCs w:val="28"/>
          <w:highlight w:val="none"/>
        </w:rPr>
      </w:pPr>
      <w:bookmarkStart w:id="106" w:name="_Toc11323"/>
      <w:bookmarkStart w:id="107" w:name="_Toc13428"/>
      <w:bookmarkStart w:id="108" w:name="_Toc3080"/>
      <w:bookmarkStart w:id="109" w:name="_Toc27345_WPSOffice_Level2"/>
      <w:bookmarkStart w:id="110" w:name="_Toc22981"/>
      <w:bookmarkStart w:id="111" w:name="_Toc43634064"/>
      <w:bookmarkStart w:id="112" w:name="_Toc462486880"/>
      <w:bookmarkStart w:id="113" w:name="_Toc22807785"/>
      <w:bookmarkStart w:id="114" w:name="_Toc14112"/>
      <w:r>
        <w:rPr>
          <w:rFonts w:hint="eastAsia" w:ascii="宋体" w:hAnsi="宋体" w:eastAsia="宋体" w:cs="宋体"/>
          <w:b/>
          <w:sz w:val="28"/>
          <w:szCs w:val="28"/>
          <w:highlight w:val="none"/>
        </w:rPr>
        <w:t>投标文件的编制</w:t>
      </w:r>
      <w:bookmarkEnd w:id="106"/>
      <w:bookmarkEnd w:id="107"/>
    </w:p>
    <w:p w14:paraId="3C8797E1">
      <w:pPr>
        <w:pageBreakBefore w:val="0"/>
        <w:widowControl w:val="0"/>
        <w:wordWrap/>
        <w:topLinePunct w:val="0"/>
        <w:bidi w:val="0"/>
        <w:spacing w:line="50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8、 投标文件的编写</w:t>
      </w:r>
    </w:p>
    <w:p w14:paraId="6E6F1D81">
      <w:pPr>
        <w:pageBreakBefore w:val="0"/>
        <w:widowControl w:val="0"/>
        <w:wordWrap/>
        <w:topLinePunct w:val="0"/>
        <w:bidi w:val="0"/>
        <w:spacing w:line="500" w:lineRule="exact"/>
        <w:rPr>
          <w:rFonts w:hint="eastAsia" w:ascii="宋体" w:hAnsi="宋体" w:eastAsia="宋体" w:cs="宋体"/>
          <w:b/>
          <w:color w:val="FF00FF"/>
          <w:sz w:val="28"/>
          <w:szCs w:val="28"/>
          <w:highlight w:val="none"/>
          <w:shd w:val="pct10" w:color="auto" w:fill="FFFFFF"/>
        </w:rPr>
      </w:pPr>
      <w:r>
        <w:rPr>
          <w:rFonts w:hint="eastAsia" w:ascii="宋体" w:hAnsi="宋体" w:eastAsia="宋体" w:cs="宋体"/>
          <w:sz w:val="28"/>
          <w:szCs w:val="28"/>
          <w:highlight w:val="none"/>
        </w:rPr>
        <w:t xml:space="preserve">8.1 </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应仔细阅读招标文件，了解招标文件的要求。在充分理解招标文件提出的技术要求、服务和商务条件后，编制投标文件。</w:t>
      </w:r>
    </w:p>
    <w:p w14:paraId="018844DB">
      <w:pPr>
        <w:pageBreakBefore w:val="0"/>
        <w:widowControl w:val="0"/>
        <w:wordWrap/>
        <w:topLinePunct w:val="0"/>
        <w:bidi w:val="0"/>
        <w:spacing w:line="50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9、 投标的语言</w:t>
      </w:r>
    </w:p>
    <w:p w14:paraId="4A1CE99C">
      <w:pPr>
        <w:pageBreakBefore w:val="0"/>
        <w:widowControl w:val="0"/>
        <w:wordWrap/>
        <w:topLinePunct w:val="0"/>
        <w:bidi w:val="0"/>
        <w:spacing w:line="50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9.1  </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的投标文件以及</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与招标机构就有关招标活动的所有来往函电均应使用中文。如果投标文件或与投标有关的其它文件、信件及来往函电以其他语言书写，</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应将其译成中文。</w:t>
      </w:r>
    </w:p>
    <w:p w14:paraId="01F9E24B">
      <w:pPr>
        <w:pageBreakBefore w:val="0"/>
        <w:widowControl w:val="0"/>
        <w:wordWrap/>
        <w:topLinePunct w:val="0"/>
        <w:bidi w:val="0"/>
        <w:spacing w:line="50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9.2投标文件中使用的计量单位除招标文件中有特殊规定外，一律使用法定计量单位。</w:t>
      </w:r>
    </w:p>
    <w:p w14:paraId="1AF1B1D7">
      <w:pPr>
        <w:pageBreakBefore w:val="0"/>
        <w:widowControl w:val="0"/>
        <w:wordWrap/>
        <w:topLinePunct w:val="0"/>
        <w:bidi w:val="0"/>
        <w:spacing w:line="500" w:lineRule="exact"/>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10、投标文件的格式</w:t>
      </w:r>
    </w:p>
    <w:p w14:paraId="132AE616">
      <w:pPr>
        <w:pageBreakBefore w:val="0"/>
        <w:widowControl w:val="0"/>
        <w:wordWrap/>
        <w:topLinePunct w:val="0"/>
        <w:bidi w:val="0"/>
        <w:spacing w:line="50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10.1</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应按招标文件提供的格式及投标报价说明完整地填写所提供的产品、服务、数量及价格。</w:t>
      </w:r>
    </w:p>
    <w:p w14:paraId="6BB9B820">
      <w:pPr>
        <w:pageBreakBefore w:val="0"/>
        <w:widowControl w:val="0"/>
        <w:wordWrap/>
        <w:topLinePunct w:val="0"/>
        <w:bidi w:val="0"/>
        <w:spacing w:line="50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10.2如</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认为需要对招标文件的有关内容做详细的阐述而招标文件中提供的投标文件格式又不能满足，</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175FA1E4">
      <w:pPr>
        <w:pageBreakBefore w:val="0"/>
        <w:widowControl w:val="0"/>
        <w:numPr>
          <w:ilvl w:val="0"/>
          <w:numId w:val="0"/>
        </w:numPr>
        <w:wordWrap/>
        <w:topLinePunct w:val="0"/>
        <w:bidi w:val="0"/>
        <w:spacing w:line="500" w:lineRule="exact"/>
        <w:rPr>
          <w:rFonts w:hint="eastAsia" w:ascii="宋体" w:hAnsi="宋体" w:eastAsia="宋体" w:cs="宋体"/>
          <w:b/>
          <w:color w:val="auto"/>
          <w:sz w:val="28"/>
          <w:szCs w:val="28"/>
          <w:highlight w:val="none"/>
        </w:rPr>
      </w:pPr>
      <w:r>
        <w:rPr>
          <w:rFonts w:hint="eastAsia" w:ascii="宋体" w:hAnsi="宋体" w:cs="宋体"/>
          <w:b/>
          <w:sz w:val="28"/>
          <w:szCs w:val="28"/>
          <w:highlight w:val="none"/>
          <w:lang w:val="en-US" w:eastAsia="zh-CN"/>
        </w:rPr>
        <w:t>11、</w:t>
      </w:r>
      <w:r>
        <w:rPr>
          <w:rFonts w:hint="eastAsia" w:ascii="宋体" w:hAnsi="宋体" w:eastAsia="宋体" w:cs="宋体"/>
          <w:b/>
          <w:sz w:val="28"/>
          <w:szCs w:val="28"/>
          <w:highlight w:val="none"/>
          <w:lang w:val="en-US" w:eastAsia="zh-CN"/>
        </w:rPr>
        <w:t>投标人的投标文件应包括以下部分</w:t>
      </w:r>
      <w:r>
        <w:rPr>
          <w:rFonts w:hint="eastAsia" w:ascii="宋体" w:hAnsi="宋体" w:eastAsia="宋体" w:cs="宋体"/>
          <w:b/>
          <w:color w:val="auto"/>
          <w:sz w:val="28"/>
          <w:szCs w:val="28"/>
          <w:highlight w:val="none"/>
        </w:rPr>
        <w:t>。</w:t>
      </w:r>
    </w:p>
    <w:p w14:paraId="55CB0ED7">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11.1.1投标书；</w:t>
      </w:r>
    </w:p>
    <w:p w14:paraId="244749FF">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11.1.2报价一览表（报价一览表需按招标文件提供的格式填写，统一规范，不得自行增减内容）；</w:t>
      </w:r>
    </w:p>
    <w:p w14:paraId="10046043">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11.1.3报价明细表；</w:t>
      </w:r>
    </w:p>
    <w:p w14:paraId="2DCF828E">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11.1.4投标方的资格声明；</w:t>
      </w:r>
    </w:p>
    <w:p w14:paraId="7881100F">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11.1.5投标单位简介；</w:t>
      </w:r>
    </w:p>
    <w:p w14:paraId="64FD3737">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11.1.6法人营业执照函（格式见附件）；</w:t>
      </w:r>
    </w:p>
    <w:p w14:paraId="54DF0ACB">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11.1.7 法定代表人证明书（格式见附件）；</w:t>
      </w:r>
    </w:p>
    <w:p w14:paraId="4BE409FE">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11.1.8法定代表人授权委托书（格式见附件）；</w:t>
      </w:r>
    </w:p>
    <w:p w14:paraId="252DFDE1">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11.1.9投标保证金缴纳凭证</w:t>
      </w:r>
      <w:r>
        <w:rPr>
          <w:rFonts w:hint="eastAsia" w:ascii="宋体" w:hAnsi="宋体" w:cs="宋体"/>
          <w:color w:val="0000FF"/>
          <w:sz w:val="28"/>
          <w:szCs w:val="28"/>
          <w:highlight w:val="none"/>
          <w:lang w:val="en-US" w:eastAsia="zh-CN"/>
        </w:rPr>
        <w:t>及</w:t>
      </w:r>
      <w:r>
        <w:rPr>
          <w:rFonts w:hint="eastAsia" w:ascii="宋体" w:hAnsi="宋体" w:eastAsia="宋体" w:cs="宋体"/>
          <w:color w:val="0000FF"/>
          <w:sz w:val="28"/>
          <w:szCs w:val="28"/>
          <w:highlight w:val="none"/>
        </w:rPr>
        <w:t>基本账户</w:t>
      </w:r>
      <w:r>
        <w:rPr>
          <w:rFonts w:hint="eastAsia" w:ascii="宋体" w:hAnsi="宋体" w:cs="宋体"/>
          <w:color w:val="0000FF"/>
          <w:sz w:val="28"/>
          <w:szCs w:val="28"/>
          <w:highlight w:val="none"/>
          <w:lang w:val="en-US" w:eastAsia="zh-CN"/>
        </w:rPr>
        <w:t>证明</w:t>
      </w:r>
      <w:r>
        <w:rPr>
          <w:rFonts w:hint="eastAsia" w:ascii="宋体" w:hAnsi="宋体" w:eastAsia="宋体" w:cs="宋体"/>
          <w:color w:val="0000FF"/>
          <w:sz w:val="28"/>
          <w:szCs w:val="28"/>
          <w:highlight w:val="none"/>
        </w:rPr>
        <w:t>或保函（如是保函，还需提供由基本账户转账支付凭证</w:t>
      </w:r>
      <w:r>
        <w:rPr>
          <w:rFonts w:hint="eastAsia" w:ascii="宋体" w:hAnsi="宋体" w:cs="宋体"/>
          <w:color w:val="0000FF"/>
          <w:sz w:val="28"/>
          <w:szCs w:val="28"/>
          <w:highlight w:val="none"/>
          <w:lang w:val="en-US" w:eastAsia="zh-CN"/>
        </w:rPr>
        <w:t>及</w:t>
      </w:r>
      <w:r>
        <w:rPr>
          <w:rFonts w:hint="eastAsia" w:ascii="宋体" w:hAnsi="宋体" w:eastAsia="宋体" w:cs="宋体"/>
          <w:color w:val="0000FF"/>
          <w:sz w:val="28"/>
          <w:szCs w:val="28"/>
          <w:highlight w:val="none"/>
        </w:rPr>
        <w:t>基本账户</w:t>
      </w:r>
      <w:r>
        <w:rPr>
          <w:rFonts w:hint="eastAsia" w:ascii="宋体" w:hAnsi="宋体" w:cs="宋体"/>
          <w:color w:val="0000FF"/>
          <w:sz w:val="28"/>
          <w:szCs w:val="28"/>
          <w:highlight w:val="none"/>
          <w:lang w:val="en-US" w:eastAsia="zh-CN"/>
        </w:rPr>
        <w:t>证明</w:t>
      </w:r>
      <w:r>
        <w:rPr>
          <w:rFonts w:hint="eastAsia" w:ascii="宋体" w:hAnsi="宋体" w:eastAsia="宋体" w:cs="宋体"/>
          <w:color w:val="0000FF"/>
          <w:sz w:val="28"/>
          <w:szCs w:val="28"/>
          <w:highlight w:val="none"/>
        </w:rPr>
        <w:t>）；</w:t>
      </w:r>
    </w:p>
    <w:p w14:paraId="4921B855">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11.1.10开户银行资信证明(如有）（格式见附件）；</w:t>
      </w:r>
    </w:p>
    <w:p w14:paraId="0730AF3E">
      <w:pPr>
        <w:pageBreakBefore w:val="0"/>
        <w:widowControl w:val="0"/>
        <w:wordWrap/>
        <w:topLinePunct w:val="0"/>
        <w:bidi w:val="0"/>
        <w:spacing w:line="500" w:lineRule="exact"/>
        <w:rPr>
          <w:rFonts w:hint="default" w:ascii="宋体" w:hAnsi="宋体" w:eastAsia="宋体" w:cs="宋体"/>
          <w:color w:val="0000FF"/>
          <w:sz w:val="28"/>
          <w:szCs w:val="28"/>
          <w:highlight w:val="none"/>
          <w:lang w:val="en-US" w:eastAsia="zh-CN"/>
        </w:rPr>
      </w:pPr>
      <w:r>
        <w:rPr>
          <w:rFonts w:hint="eastAsia" w:ascii="宋体" w:hAnsi="宋体" w:eastAsia="宋体" w:cs="宋体"/>
          <w:color w:val="0000FF"/>
          <w:sz w:val="28"/>
          <w:szCs w:val="28"/>
          <w:highlight w:val="none"/>
        </w:rPr>
        <w:t>11.1.11</w:t>
      </w:r>
      <w:r>
        <w:rPr>
          <w:rFonts w:hint="eastAsia" w:ascii="宋体" w:hAnsi="宋体" w:eastAsia="宋体" w:cs="宋体"/>
          <w:color w:val="0000FF"/>
          <w:sz w:val="28"/>
          <w:szCs w:val="28"/>
          <w:highlight w:val="none"/>
          <w:lang w:val="en-US" w:eastAsia="zh-CN"/>
        </w:rPr>
        <w:t>投标人为制造商的，提供《医疗器械生产许可证》；投标人为经销商的，投标货物若属于三类医疗器械，须提供《医疗器械经营企业许可证》，投标货物若属于二类医疗器械，提供《</w:t>
      </w:r>
      <w:r>
        <w:rPr>
          <w:rFonts w:hint="eastAsia" w:ascii="宋体" w:hAnsi="宋体" w:cs="宋体"/>
          <w:color w:val="0000FF"/>
          <w:sz w:val="28"/>
          <w:szCs w:val="28"/>
          <w:highlight w:val="none"/>
          <w:lang w:val="en-US" w:eastAsia="zh-CN"/>
        </w:rPr>
        <w:t>第</w:t>
      </w:r>
      <w:r>
        <w:rPr>
          <w:rFonts w:hint="eastAsia" w:ascii="宋体" w:hAnsi="宋体" w:eastAsia="宋体" w:cs="宋体"/>
          <w:color w:val="0000FF"/>
          <w:sz w:val="28"/>
          <w:szCs w:val="28"/>
          <w:highlight w:val="none"/>
          <w:lang w:val="en-US" w:eastAsia="zh-CN"/>
        </w:rPr>
        <w:t>二类医疗器械经营备案凭证》，投标货物若属于一类医疗器械，则无须提供此项；投标产品须在其经营范围内，所有证件必须在有效期内；</w:t>
      </w:r>
    </w:p>
    <w:p w14:paraId="097FB7D3">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lang w:val="en-US" w:eastAsia="zh-CN"/>
        </w:rPr>
        <w:t>11.1.12投标货物属于《医疗器械监督管理条例》规定的第一类医疗器械产品应提供《第一类医疗器械备案凭证》，属于第二类、第三类医疗器械产品应取得《医疗器械注册证》(如有注册登记表应提供)，所有证件必须在有效期内；</w:t>
      </w:r>
    </w:p>
    <w:p w14:paraId="05414140">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lang w:val="en-US" w:eastAsia="zh-CN"/>
        </w:rPr>
        <w:t>11.1.13</w:t>
      </w:r>
      <w:r>
        <w:rPr>
          <w:rFonts w:hint="eastAsia" w:ascii="宋体" w:hAnsi="宋体" w:cs="宋体"/>
          <w:color w:val="0000FF"/>
          <w:sz w:val="28"/>
          <w:szCs w:val="28"/>
          <w:highlight w:val="none"/>
          <w:lang w:val="en-US" w:eastAsia="zh-CN"/>
        </w:rPr>
        <w:t xml:space="preserve"> </w:t>
      </w:r>
      <w:r>
        <w:rPr>
          <w:rFonts w:hint="eastAsia" w:ascii="宋体" w:hAnsi="宋体" w:cs="宋体"/>
          <w:color w:val="0000FF"/>
          <w:sz w:val="28"/>
          <w:szCs w:val="28"/>
          <w:highlight w:val="none"/>
          <w:lang w:eastAsia="zh-CN"/>
        </w:rPr>
        <w:t>2023年度或2024年度</w:t>
      </w:r>
      <w:r>
        <w:rPr>
          <w:rFonts w:hint="eastAsia" w:ascii="宋体" w:hAnsi="宋体" w:eastAsia="宋体" w:cs="宋体"/>
          <w:color w:val="0000FF"/>
          <w:sz w:val="28"/>
          <w:szCs w:val="28"/>
          <w:highlight w:val="none"/>
        </w:rPr>
        <w:t>第三方审计机构出具的审计报告（</w:t>
      </w:r>
      <w:r>
        <w:rPr>
          <w:rFonts w:hint="eastAsia" w:ascii="宋体" w:hAnsi="宋体" w:cs="宋体"/>
          <w:color w:val="0000FF"/>
          <w:sz w:val="28"/>
          <w:szCs w:val="28"/>
          <w:highlight w:val="none"/>
          <w:lang w:eastAsia="zh-CN"/>
        </w:rPr>
        <w:t>2024年4月</w:t>
      </w:r>
      <w:r>
        <w:rPr>
          <w:rFonts w:hint="eastAsia" w:ascii="宋体" w:hAnsi="宋体" w:eastAsia="宋体" w:cs="宋体"/>
          <w:color w:val="0000FF"/>
          <w:sz w:val="28"/>
          <w:szCs w:val="28"/>
          <w:highlight w:val="none"/>
        </w:rPr>
        <w:t>份后新成立的公司可不提供但需提供银行出具的近三个月的资信证明）和健全的财务会计制度；</w:t>
      </w:r>
    </w:p>
    <w:p w14:paraId="79FAF310">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w:t>
      </w:r>
      <w:r>
        <w:rPr>
          <w:rFonts w:hint="eastAsia" w:ascii="宋体" w:hAnsi="宋体" w:eastAsia="宋体" w:cs="宋体"/>
          <w:color w:val="0000FF"/>
          <w:sz w:val="28"/>
          <w:szCs w:val="28"/>
          <w:highlight w:val="none"/>
          <w:lang w:val="en-US" w:eastAsia="zh-CN"/>
        </w:rPr>
        <w:t>4</w:t>
      </w:r>
      <w:r>
        <w:rPr>
          <w:rFonts w:hint="eastAsia" w:ascii="宋体" w:hAnsi="宋体" w:eastAsia="宋体" w:cs="宋体"/>
          <w:color w:val="0000FF"/>
          <w:sz w:val="28"/>
          <w:szCs w:val="28"/>
          <w:highlight w:val="none"/>
        </w:rPr>
        <w:t>提供税务机关出具的近3个月的完税证明或依法报税资料（新成立不足3个月的按实际情况发生提供，成立时间超过3个月的零申报的需提供依法报税资料）；</w:t>
      </w:r>
    </w:p>
    <w:p w14:paraId="0625A35C">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w:t>
      </w:r>
      <w:r>
        <w:rPr>
          <w:rFonts w:hint="eastAsia" w:ascii="宋体" w:hAnsi="宋体" w:eastAsia="宋体" w:cs="宋体"/>
          <w:color w:val="0000FF"/>
          <w:sz w:val="28"/>
          <w:szCs w:val="28"/>
          <w:highlight w:val="none"/>
          <w:lang w:val="en-US" w:eastAsia="zh-CN"/>
        </w:rPr>
        <w:t>5</w:t>
      </w:r>
      <w:r>
        <w:rPr>
          <w:rFonts w:hint="eastAsia" w:ascii="宋体" w:hAnsi="宋体" w:eastAsia="宋体" w:cs="宋体"/>
          <w:color w:val="0000FF"/>
          <w:sz w:val="28"/>
          <w:szCs w:val="28"/>
          <w:highlight w:val="none"/>
        </w:rPr>
        <w:t>网站截图；</w:t>
      </w:r>
    </w:p>
    <w:p w14:paraId="26FC325C">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w:t>
      </w:r>
      <w:r>
        <w:rPr>
          <w:rFonts w:hint="eastAsia" w:ascii="宋体" w:hAnsi="宋体" w:cs="宋体"/>
          <w:color w:val="0000FF"/>
          <w:sz w:val="28"/>
          <w:szCs w:val="28"/>
          <w:highlight w:val="none"/>
          <w:lang w:val="en-US" w:eastAsia="zh-CN"/>
        </w:rPr>
        <w:t>6</w:t>
      </w:r>
      <w:r>
        <w:rPr>
          <w:rFonts w:hint="eastAsia" w:ascii="宋体" w:hAnsi="宋体" w:eastAsia="宋体" w:cs="宋体"/>
          <w:color w:val="0000FF"/>
          <w:sz w:val="28"/>
          <w:szCs w:val="28"/>
          <w:highlight w:val="none"/>
        </w:rPr>
        <w:t>近</w:t>
      </w:r>
      <w:r>
        <w:rPr>
          <w:rFonts w:hint="eastAsia" w:ascii="宋体" w:hAnsi="宋体" w:eastAsia="宋体" w:cs="宋体"/>
          <w:color w:val="0000FF"/>
          <w:sz w:val="28"/>
          <w:szCs w:val="28"/>
          <w:highlight w:val="none"/>
          <w:lang w:val="en-US" w:eastAsia="zh-CN"/>
        </w:rPr>
        <w:t>三</w:t>
      </w:r>
      <w:r>
        <w:rPr>
          <w:rFonts w:hint="eastAsia" w:ascii="宋体" w:hAnsi="宋体" w:eastAsia="宋体" w:cs="宋体"/>
          <w:color w:val="0000FF"/>
          <w:sz w:val="28"/>
          <w:szCs w:val="28"/>
          <w:highlight w:val="none"/>
        </w:rPr>
        <w:t>年类似项目情况表；</w:t>
      </w:r>
    </w:p>
    <w:p w14:paraId="555B62BD">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w:t>
      </w:r>
      <w:r>
        <w:rPr>
          <w:rFonts w:hint="eastAsia" w:ascii="宋体" w:hAnsi="宋体" w:cs="宋体"/>
          <w:color w:val="0000FF"/>
          <w:sz w:val="28"/>
          <w:szCs w:val="28"/>
          <w:highlight w:val="none"/>
          <w:lang w:val="en-US" w:eastAsia="zh-CN"/>
        </w:rPr>
        <w:t>7</w:t>
      </w:r>
      <w:r>
        <w:rPr>
          <w:rFonts w:hint="eastAsia" w:ascii="宋体" w:hAnsi="宋体" w:eastAsia="宋体" w:cs="宋体"/>
          <w:color w:val="0000FF"/>
          <w:sz w:val="28"/>
          <w:szCs w:val="28"/>
          <w:highlight w:val="none"/>
        </w:rPr>
        <w:t>服务承诺书；</w:t>
      </w:r>
    </w:p>
    <w:p w14:paraId="484039CC">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w:t>
      </w:r>
      <w:r>
        <w:rPr>
          <w:rFonts w:hint="eastAsia" w:ascii="宋体" w:hAnsi="宋体" w:cs="宋体"/>
          <w:color w:val="0000FF"/>
          <w:sz w:val="28"/>
          <w:szCs w:val="28"/>
          <w:highlight w:val="none"/>
          <w:lang w:val="en-US" w:eastAsia="zh-CN"/>
        </w:rPr>
        <w:t>8</w:t>
      </w:r>
      <w:r>
        <w:rPr>
          <w:rFonts w:hint="eastAsia" w:ascii="宋体" w:hAnsi="宋体" w:eastAsia="宋体" w:cs="宋体"/>
          <w:color w:val="0000FF"/>
          <w:sz w:val="28"/>
          <w:szCs w:val="28"/>
          <w:highlight w:val="none"/>
        </w:rPr>
        <w:t>商务条款偏离表；</w:t>
      </w:r>
    </w:p>
    <w:p w14:paraId="1F319B8A">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11.1.1</w:t>
      </w:r>
      <w:r>
        <w:rPr>
          <w:rFonts w:hint="eastAsia" w:ascii="宋体" w:hAnsi="宋体" w:cs="宋体"/>
          <w:color w:val="0000FF"/>
          <w:sz w:val="28"/>
          <w:szCs w:val="28"/>
          <w:highlight w:val="none"/>
          <w:lang w:val="en-US" w:eastAsia="zh-CN"/>
        </w:rPr>
        <w:t>9</w:t>
      </w:r>
      <w:r>
        <w:rPr>
          <w:rFonts w:hint="eastAsia" w:ascii="宋体" w:hAnsi="宋体" w:eastAsia="宋体" w:cs="宋体"/>
          <w:color w:val="0000FF"/>
          <w:sz w:val="28"/>
          <w:szCs w:val="28"/>
          <w:highlight w:val="none"/>
        </w:rPr>
        <w:t>质量保证措施；</w:t>
      </w:r>
    </w:p>
    <w:p w14:paraId="7596F433">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w:t>
      </w:r>
      <w:r>
        <w:rPr>
          <w:rFonts w:hint="eastAsia" w:ascii="宋体" w:hAnsi="宋体" w:cs="宋体"/>
          <w:color w:val="0000FF"/>
          <w:sz w:val="28"/>
          <w:szCs w:val="28"/>
          <w:highlight w:val="none"/>
          <w:lang w:val="en-US" w:eastAsia="zh-CN"/>
        </w:rPr>
        <w:t>20</w:t>
      </w:r>
      <w:r>
        <w:rPr>
          <w:rFonts w:hint="eastAsia" w:ascii="宋体" w:hAnsi="宋体" w:eastAsia="宋体" w:cs="宋体"/>
          <w:color w:val="0000FF"/>
          <w:sz w:val="28"/>
          <w:szCs w:val="28"/>
          <w:highlight w:val="none"/>
        </w:rPr>
        <w:t>投标单位（供应商）反商业贿赂承诺书；</w:t>
      </w:r>
    </w:p>
    <w:p w14:paraId="2B4DB27A">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w:t>
      </w:r>
      <w:r>
        <w:rPr>
          <w:rFonts w:hint="eastAsia" w:ascii="宋体" w:hAnsi="宋体" w:cs="宋体"/>
          <w:color w:val="0000FF"/>
          <w:sz w:val="28"/>
          <w:szCs w:val="28"/>
          <w:highlight w:val="none"/>
          <w:lang w:val="en-US" w:eastAsia="zh-CN"/>
        </w:rPr>
        <w:t>21</w:t>
      </w:r>
      <w:r>
        <w:rPr>
          <w:rFonts w:hint="eastAsia" w:ascii="宋体" w:hAnsi="宋体" w:eastAsia="宋体" w:cs="宋体"/>
          <w:color w:val="0000FF"/>
          <w:sz w:val="28"/>
          <w:szCs w:val="28"/>
          <w:highlight w:val="none"/>
        </w:rPr>
        <w:t>项目团队人员；</w:t>
      </w:r>
    </w:p>
    <w:p w14:paraId="1C79AF62">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11.1.2</w:t>
      </w:r>
      <w:r>
        <w:rPr>
          <w:rFonts w:hint="eastAsia" w:ascii="宋体" w:hAnsi="宋体" w:cs="宋体"/>
          <w:color w:val="0000FF"/>
          <w:sz w:val="28"/>
          <w:szCs w:val="28"/>
          <w:highlight w:val="none"/>
          <w:lang w:val="en-US" w:eastAsia="zh-CN"/>
        </w:rPr>
        <w:t>2</w:t>
      </w:r>
      <w:r>
        <w:rPr>
          <w:rFonts w:hint="eastAsia" w:ascii="宋体" w:hAnsi="宋体" w:eastAsia="宋体" w:cs="宋体"/>
          <w:color w:val="0000FF"/>
          <w:sz w:val="28"/>
          <w:szCs w:val="28"/>
          <w:highlight w:val="none"/>
        </w:rPr>
        <w:t>投标人企业信誉证明文件；</w:t>
      </w:r>
    </w:p>
    <w:p w14:paraId="0E1C3ACF">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11.1.2</w:t>
      </w:r>
      <w:r>
        <w:rPr>
          <w:rFonts w:hint="eastAsia" w:ascii="宋体" w:hAnsi="宋体" w:cs="宋体"/>
          <w:color w:val="0000FF"/>
          <w:sz w:val="28"/>
          <w:szCs w:val="28"/>
          <w:highlight w:val="none"/>
          <w:lang w:val="en-US" w:eastAsia="zh-CN"/>
        </w:rPr>
        <w:t>3</w:t>
      </w:r>
      <w:r>
        <w:rPr>
          <w:rFonts w:hint="eastAsia" w:ascii="宋体" w:hAnsi="宋体" w:eastAsia="宋体" w:cs="宋体"/>
          <w:color w:val="0000FF"/>
          <w:sz w:val="28"/>
          <w:szCs w:val="28"/>
          <w:highlight w:val="none"/>
        </w:rPr>
        <w:t>资格认证证书；</w:t>
      </w:r>
    </w:p>
    <w:p w14:paraId="6F6F3496">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11.1.2</w:t>
      </w:r>
      <w:r>
        <w:rPr>
          <w:rFonts w:hint="eastAsia" w:ascii="宋体" w:hAnsi="宋体" w:cs="宋体"/>
          <w:color w:val="0000FF"/>
          <w:sz w:val="28"/>
          <w:szCs w:val="28"/>
          <w:highlight w:val="none"/>
          <w:lang w:val="en-US" w:eastAsia="zh-CN"/>
        </w:rPr>
        <w:t>4</w:t>
      </w:r>
      <w:r>
        <w:rPr>
          <w:rFonts w:hint="eastAsia" w:ascii="宋体" w:hAnsi="宋体" w:eastAsia="宋体" w:cs="宋体"/>
          <w:color w:val="0000FF"/>
          <w:sz w:val="28"/>
          <w:szCs w:val="28"/>
          <w:highlight w:val="none"/>
        </w:rPr>
        <w:t>投标企业认为有必要提供的声明及文件资料（投标人按招标文件要求自行编制，包含但不限于企业内部管理制度、履约经验、进度安排、研究方案及对项目的认知等）。</w:t>
      </w:r>
    </w:p>
    <w:p w14:paraId="6F652E63">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11.1.2</w:t>
      </w:r>
      <w:r>
        <w:rPr>
          <w:rFonts w:hint="eastAsia" w:ascii="宋体" w:hAnsi="宋体" w:cs="宋体"/>
          <w:color w:val="0000FF"/>
          <w:sz w:val="28"/>
          <w:szCs w:val="28"/>
          <w:highlight w:val="none"/>
          <w:lang w:val="en-US" w:eastAsia="zh-CN"/>
        </w:rPr>
        <w:t>5</w:t>
      </w:r>
      <w:r>
        <w:rPr>
          <w:rFonts w:hint="eastAsia" w:ascii="宋体" w:hAnsi="宋体" w:eastAsia="宋体" w:cs="宋体"/>
          <w:color w:val="0000FF"/>
          <w:sz w:val="28"/>
          <w:szCs w:val="28"/>
          <w:highlight w:val="none"/>
        </w:rPr>
        <w:t>技术参数、功能偏离表；</w:t>
      </w:r>
    </w:p>
    <w:p w14:paraId="2FC3F0C7">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11.2.2</w:t>
      </w:r>
      <w:r>
        <w:rPr>
          <w:rFonts w:hint="eastAsia" w:ascii="宋体" w:hAnsi="宋体" w:cs="宋体"/>
          <w:color w:val="0000FF"/>
          <w:sz w:val="28"/>
          <w:szCs w:val="28"/>
          <w:highlight w:val="none"/>
          <w:lang w:val="en-US" w:eastAsia="zh-CN"/>
        </w:rPr>
        <w:t>6</w:t>
      </w:r>
      <w:r>
        <w:rPr>
          <w:rFonts w:hint="eastAsia" w:ascii="宋体" w:hAnsi="宋体" w:eastAsia="宋体" w:cs="宋体"/>
          <w:color w:val="0000FF"/>
          <w:sz w:val="28"/>
          <w:szCs w:val="28"/>
          <w:highlight w:val="none"/>
        </w:rPr>
        <w:t>中小企业声明函（如是）；</w:t>
      </w:r>
    </w:p>
    <w:p w14:paraId="3641277F">
      <w:pPr>
        <w:pageBreakBefore w:val="0"/>
        <w:widowControl w:val="0"/>
        <w:wordWrap/>
        <w:topLinePunct w:val="0"/>
        <w:bidi w:val="0"/>
        <w:spacing w:line="500" w:lineRule="exact"/>
        <w:rPr>
          <w:rFonts w:hint="eastAsia" w:ascii="宋体" w:hAnsi="宋体" w:eastAsia="宋体" w:cs="宋体"/>
          <w:color w:val="0000FF"/>
          <w:sz w:val="28"/>
          <w:szCs w:val="28"/>
          <w:highlight w:val="none"/>
        </w:rPr>
      </w:pPr>
      <w:r>
        <w:rPr>
          <w:rFonts w:hint="eastAsia" w:ascii="宋体" w:hAnsi="宋体" w:eastAsia="宋体" w:cs="宋体"/>
          <w:color w:val="0000FF"/>
          <w:sz w:val="28"/>
          <w:szCs w:val="28"/>
          <w:highlight w:val="none"/>
        </w:rPr>
        <w:t>11.2.2</w:t>
      </w:r>
      <w:r>
        <w:rPr>
          <w:rFonts w:hint="eastAsia" w:ascii="宋体" w:hAnsi="宋体" w:cs="宋体"/>
          <w:color w:val="0000FF"/>
          <w:sz w:val="28"/>
          <w:szCs w:val="28"/>
          <w:highlight w:val="none"/>
          <w:lang w:val="en-US" w:eastAsia="zh-CN"/>
        </w:rPr>
        <w:t>7</w:t>
      </w:r>
      <w:r>
        <w:rPr>
          <w:rFonts w:hint="eastAsia" w:ascii="宋体" w:hAnsi="宋体" w:eastAsia="宋体" w:cs="宋体"/>
          <w:color w:val="0000FF"/>
          <w:sz w:val="28"/>
          <w:szCs w:val="28"/>
          <w:highlight w:val="none"/>
        </w:rPr>
        <w:t>节能、环保产品证明（如有）</w:t>
      </w:r>
    </w:p>
    <w:p w14:paraId="322F5784">
      <w:pPr>
        <w:pageBreakBefore w:val="0"/>
        <w:widowControl w:val="0"/>
        <w:wordWrap/>
        <w:topLinePunct w:val="0"/>
        <w:bidi w:val="0"/>
        <w:spacing w:line="500" w:lineRule="exact"/>
        <w:rPr>
          <w:rFonts w:hint="default" w:ascii="宋体" w:hAnsi="宋体" w:eastAsia="宋体" w:cs="宋体"/>
          <w:color w:val="0000FF"/>
          <w:sz w:val="28"/>
          <w:szCs w:val="28"/>
          <w:highlight w:val="none"/>
          <w:lang w:val="en-US" w:eastAsia="zh-CN"/>
        </w:rPr>
      </w:pPr>
      <w:r>
        <w:rPr>
          <w:rFonts w:hint="eastAsia" w:ascii="宋体" w:hAnsi="宋体" w:cs="宋体"/>
          <w:color w:val="0000FF"/>
          <w:sz w:val="28"/>
          <w:szCs w:val="28"/>
          <w:highlight w:val="none"/>
          <w:lang w:val="en-US" w:eastAsia="zh-CN"/>
        </w:rPr>
        <w:t>11.2.28 残疾人福利性单位声明函（如有）</w:t>
      </w:r>
    </w:p>
    <w:p w14:paraId="61221E74">
      <w:pPr>
        <w:pageBreakBefore w:val="0"/>
        <w:widowControl w:val="0"/>
        <w:wordWrap/>
        <w:topLinePunct w:val="0"/>
        <w:bidi w:val="0"/>
        <w:spacing w:line="500" w:lineRule="exact"/>
        <w:rPr>
          <w:rFonts w:hint="eastAsia" w:ascii="宋体" w:hAnsi="宋体" w:eastAsia="宋体" w:cs="宋体"/>
          <w:b/>
          <w:bCs/>
          <w:sz w:val="28"/>
          <w:szCs w:val="28"/>
          <w:highlight w:val="none"/>
          <w:lang w:val="zh-CN" w:eastAsia="zh-CN"/>
        </w:rPr>
      </w:pPr>
      <w:r>
        <w:rPr>
          <w:rFonts w:hint="eastAsia" w:ascii="宋体" w:hAnsi="宋体" w:eastAsia="宋体" w:cs="宋体"/>
          <w:b/>
          <w:bCs/>
          <w:sz w:val="28"/>
          <w:szCs w:val="28"/>
          <w:highlight w:val="none"/>
          <w:lang w:val="zh-CN" w:eastAsia="zh-CN"/>
        </w:rPr>
        <w:t>★注：</w:t>
      </w:r>
      <w:r>
        <w:rPr>
          <w:rFonts w:hint="eastAsia" w:ascii="宋体" w:hAnsi="宋体" w:eastAsia="宋体" w:cs="宋体"/>
          <w:b/>
          <w:bCs/>
          <w:sz w:val="28"/>
          <w:szCs w:val="28"/>
          <w:highlight w:val="none"/>
          <w:lang w:val="en-US" w:eastAsia="zh-CN"/>
        </w:rPr>
        <w:t>1.</w:t>
      </w:r>
      <w:r>
        <w:rPr>
          <w:rFonts w:hint="eastAsia" w:ascii="宋体" w:hAnsi="宋体" w:eastAsia="宋体" w:cs="宋体"/>
          <w:b/>
          <w:bCs/>
          <w:sz w:val="28"/>
          <w:szCs w:val="28"/>
          <w:highlight w:val="none"/>
          <w:lang w:val="zh-CN" w:eastAsia="zh-CN"/>
        </w:rPr>
        <w:t>电子投标文件按政采云平台供应商电子招投标操作指南。根据招标文件</w:t>
      </w:r>
      <w:r>
        <w:rPr>
          <w:rFonts w:hint="eastAsia" w:ascii="宋体" w:hAnsi="宋体" w:cs="宋体"/>
          <w:b/>
          <w:bCs/>
          <w:sz w:val="28"/>
          <w:szCs w:val="28"/>
          <w:highlight w:val="none"/>
          <w:lang w:val="en-US" w:eastAsia="zh-CN"/>
        </w:rPr>
        <w:t>相关要求上传报价要求响应文件、资格响应文件、商务技术响应文件；响应文件必须按照招标文件提供的</w:t>
      </w:r>
      <w:r>
        <w:rPr>
          <w:rFonts w:hint="eastAsia" w:ascii="宋体" w:hAnsi="宋体" w:eastAsia="宋体" w:cs="宋体"/>
          <w:b/>
          <w:bCs/>
          <w:sz w:val="28"/>
          <w:szCs w:val="28"/>
          <w:highlight w:val="none"/>
          <w:lang w:val="zh-CN" w:eastAsia="zh-CN"/>
        </w:rPr>
        <w:t>格式、顺序编写</w:t>
      </w:r>
      <w:r>
        <w:rPr>
          <w:rFonts w:hint="eastAsia" w:ascii="宋体" w:hAnsi="宋体" w:cs="宋体"/>
          <w:b/>
          <w:bCs/>
          <w:sz w:val="28"/>
          <w:szCs w:val="28"/>
          <w:highlight w:val="none"/>
          <w:lang w:val="en-US" w:eastAsia="zh-CN"/>
        </w:rPr>
        <w:t>并</w:t>
      </w:r>
      <w:r>
        <w:rPr>
          <w:rFonts w:hint="eastAsia" w:ascii="宋体" w:hAnsi="宋体" w:eastAsia="宋体" w:cs="宋体"/>
          <w:b/>
          <w:bCs/>
          <w:sz w:val="28"/>
          <w:szCs w:val="28"/>
          <w:highlight w:val="none"/>
          <w:lang w:val="zh-CN" w:eastAsia="zh-CN"/>
        </w:rPr>
        <w:t>关联</w:t>
      </w:r>
      <w:r>
        <w:rPr>
          <w:rFonts w:hint="eastAsia" w:ascii="宋体" w:hAnsi="宋体" w:eastAsia="宋体" w:cs="宋体"/>
          <w:b/>
          <w:bCs/>
          <w:sz w:val="28"/>
          <w:szCs w:val="28"/>
          <w:highlight w:val="none"/>
          <w:lang w:val="en-US" w:eastAsia="zh-CN"/>
        </w:rPr>
        <w:t>详细评审</w:t>
      </w:r>
      <w:r>
        <w:rPr>
          <w:rFonts w:hint="eastAsia" w:ascii="宋体" w:hAnsi="宋体" w:eastAsia="宋体" w:cs="宋体"/>
          <w:b/>
          <w:bCs/>
          <w:sz w:val="28"/>
          <w:szCs w:val="28"/>
          <w:highlight w:val="none"/>
          <w:lang w:val="zh-CN" w:eastAsia="zh-CN"/>
        </w:rPr>
        <w:t>等内容。</w:t>
      </w:r>
    </w:p>
    <w:p w14:paraId="210400C5">
      <w:pPr>
        <w:pStyle w:val="9"/>
        <w:ind w:left="0" w:leftChars="0" w:firstLine="0" w:firstLineChars="0"/>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2.在投标过程中，投标人根据评标委员会书面形式要求提供的澄清文件是投标文件的有效组成部分。</w:t>
      </w:r>
    </w:p>
    <w:p w14:paraId="4C8A3797">
      <w:pPr>
        <w:pStyle w:val="9"/>
        <w:ind w:left="0" w:leftChars="0" w:firstLine="0" w:firstLineChars="0"/>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3.供应商无论中标与否，其投标文件不予退还。</w:t>
      </w:r>
    </w:p>
    <w:p w14:paraId="155DA4A6">
      <w:pPr>
        <w:keepNext w:val="0"/>
        <w:keepLines w:val="0"/>
        <w:pageBreakBefore w:val="0"/>
        <w:widowControl w:val="0"/>
        <w:numPr>
          <w:ilvl w:val="0"/>
          <w:numId w:val="3"/>
        </w:numPr>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投标报价：</w:t>
      </w:r>
      <w:bookmarkStart w:id="115" w:name="OLE_LINK1"/>
    </w:p>
    <w:p w14:paraId="7B13B61C">
      <w:pPr>
        <w:keepNext w:val="0"/>
        <w:keepLines w:val="0"/>
        <w:pageBreakBefore w:val="0"/>
        <w:widowControl w:val="0"/>
        <w:kinsoku/>
        <w:wordWrap/>
        <w:topLinePunct w:val="0"/>
        <w:autoSpaceDE/>
        <w:autoSpaceDN/>
        <w:bidi w:val="0"/>
        <w:adjustRightInd w:val="0"/>
        <w:snapToGrid/>
        <w:spacing w:line="44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12.1</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应在投标的</w:t>
      </w:r>
      <w:r>
        <w:rPr>
          <w:rFonts w:hint="eastAsia" w:ascii="宋体" w:hAnsi="宋体" w:cs="宋体"/>
          <w:sz w:val="28"/>
          <w:szCs w:val="28"/>
          <w:highlight w:val="none"/>
          <w:lang w:val="en-US" w:eastAsia="zh-CN"/>
        </w:rPr>
        <w:t>报</w:t>
      </w:r>
      <w:r>
        <w:rPr>
          <w:rFonts w:hint="eastAsia" w:ascii="宋体" w:hAnsi="宋体" w:eastAsia="宋体" w:cs="宋体"/>
          <w:sz w:val="28"/>
          <w:szCs w:val="28"/>
          <w:highlight w:val="none"/>
        </w:rPr>
        <w:t>价表上标明单价</w:t>
      </w:r>
      <w:r>
        <w:rPr>
          <w:rFonts w:hint="eastAsia" w:ascii="宋体" w:hAnsi="宋体" w:eastAsia="宋体" w:cs="宋体"/>
          <w:sz w:val="28"/>
          <w:szCs w:val="28"/>
          <w:highlight w:val="none"/>
          <w:lang w:val="en-US" w:eastAsia="zh-CN"/>
        </w:rPr>
        <w:t>和总价</w:t>
      </w:r>
      <w:r>
        <w:rPr>
          <w:rFonts w:hint="eastAsia" w:ascii="宋体" w:hAnsi="宋体" w:eastAsia="宋体" w:cs="宋体"/>
          <w:sz w:val="28"/>
          <w:szCs w:val="28"/>
          <w:highlight w:val="none"/>
        </w:rPr>
        <w:t>。单价和总价要相符。（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供应商应在投标报价表中标明其提供的所有货物及其相关工作范围内所在费用的总价，不接受有任何选择性询价报价。</w:t>
      </w:r>
    </w:p>
    <w:p w14:paraId="3FA43053">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12.2 除非合同中另有规定，</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对《投标报价表》中的全部服务的报价应包括所投</w:t>
      </w:r>
      <w:r>
        <w:rPr>
          <w:rFonts w:hint="eastAsia" w:ascii="宋体" w:hAnsi="宋体" w:eastAsia="宋体" w:cs="宋体"/>
          <w:color w:val="0000FF"/>
          <w:sz w:val="28"/>
          <w:szCs w:val="28"/>
          <w:highlight w:val="none"/>
        </w:rPr>
        <w:t>本项目</w:t>
      </w:r>
      <w:r>
        <w:rPr>
          <w:rFonts w:hint="eastAsia" w:ascii="宋体" w:hAnsi="宋体" w:eastAsia="宋体" w:cs="宋体"/>
          <w:sz w:val="28"/>
          <w:szCs w:val="28"/>
          <w:highlight w:val="none"/>
        </w:rPr>
        <w:t>工作所发生的全部费用以及</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企业利润、税金和政策性文件规定及合同包含的所有风险、责任等各项应有费用。投标报价为最终报价，除非因特殊原因并经买卖双方及相关监督部门协商同意，</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不得再要求追加任何费用。同时，除非合同条款中另有规定，否则，投标单位所报价格在合同实施期间不因市场变化因素而变动。</w:t>
      </w:r>
    </w:p>
    <w:p w14:paraId="36F8A482">
      <w:pPr>
        <w:pStyle w:val="6"/>
        <w:keepNext w:val="0"/>
        <w:keepLines w:val="0"/>
        <w:pageBreakBefore w:val="0"/>
        <w:widowControl w:val="0"/>
        <w:kinsoku/>
        <w:wordWrap/>
        <w:overflowPunct w:val="0"/>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12.3  </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应对招标文件内所要采购的全部内容进行报价，只投其中部分内容者，其投标书将被拒绝。但如果招标文件要求分标段投标的，则</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可以根据自己经营许可内容有选择地只投其中一个或几个或全部标段，但各标段应分别计算填写单价和总价。</w:t>
      </w:r>
    </w:p>
    <w:p w14:paraId="313AE7DC">
      <w:pPr>
        <w:pStyle w:val="6"/>
        <w:keepNext w:val="0"/>
        <w:keepLines w:val="0"/>
        <w:pageBreakBefore w:val="0"/>
        <w:widowControl w:val="0"/>
        <w:kinsoku/>
        <w:wordWrap/>
        <w:overflowPunct w:val="0"/>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12.4 一项投标内容只允许一个报价，</w:t>
      </w:r>
      <w:r>
        <w:rPr>
          <w:rFonts w:hint="eastAsia" w:ascii="宋体" w:hAnsi="宋体" w:eastAsia="宋体" w:cs="宋体"/>
          <w:sz w:val="28"/>
          <w:szCs w:val="28"/>
          <w:highlight w:val="none"/>
          <w:lang w:eastAsia="zh-CN"/>
        </w:rPr>
        <w:t>采购人</w:t>
      </w:r>
      <w:r>
        <w:rPr>
          <w:rFonts w:hint="eastAsia" w:ascii="宋体" w:hAnsi="宋体" w:eastAsia="宋体" w:cs="宋体"/>
          <w:sz w:val="28"/>
          <w:szCs w:val="28"/>
          <w:highlight w:val="none"/>
        </w:rPr>
        <w:t>不接受任何有选择性的投标报价。</w:t>
      </w:r>
    </w:p>
    <w:p w14:paraId="02ED725F">
      <w:pPr>
        <w:pStyle w:val="6"/>
        <w:keepNext w:val="0"/>
        <w:keepLines w:val="0"/>
        <w:pageBreakBefore w:val="0"/>
        <w:widowControl w:val="0"/>
        <w:kinsoku/>
        <w:wordWrap/>
        <w:overflowPunct w:val="0"/>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12.5投标文件报价中的单价和总价全部采用人民币表示，除非合同的主要条款另有规定。</w:t>
      </w:r>
    </w:p>
    <w:p w14:paraId="3F2521D6">
      <w:pPr>
        <w:pStyle w:val="6"/>
        <w:keepNext w:val="0"/>
        <w:keepLines w:val="0"/>
        <w:pageBreakBefore w:val="0"/>
        <w:widowControl w:val="0"/>
        <w:kinsoku/>
        <w:wordWrap/>
        <w:overflowPunct w:val="0"/>
        <w:topLinePunct w:val="0"/>
        <w:autoSpaceDE/>
        <w:autoSpaceDN/>
        <w:bidi w:val="0"/>
        <w:adjustRightInd w:val="0"/>
        <w:snapToGrid/>
        <w:spacing w:line="500" w:lineRule="exact"/>
        <w:ind w:firstLine="0" w:firstLineChars="0"/>
        <w:textAlignment w:val="auto"/>
        <w:rPr>
          <w:rFonts w:hint="eastAsia" w:ascii="宋体" w:hAnsi="宋体" w:eastAsia="宋体" w:cs="宋体"/>
          <w:b/>
          <w:bCs/>
          <w:color w:val="000000"/>
          <w:sz w:val="28"/>
          <w:szCs w:val="28"/>
          <w:highlight w:val="none"/>
        </w:rPr>
      </w:pPr>
      <w:r>
        <w:rPr>
          <w:rFonts w:hint="eastAsia" w:ascii="宋体" w:hAnsi="宋体" w:eastAsia="宋体" w:cs="宋体"/>
          <w:sz w:val="28"/>
          <w:szCs w:val="28"/>
          <w:highlight w:val="none"/>
        </w:rPr>
        <w:t>12.</w:t>
      </w:r>
      <w:r>
        <w:rPr>
          <w:rFonts w:hint="eastAsia" w:ascii="宋体" w:hAnsi="宋体" w:eastAsia="宋体" w:cs="宋体"/>
          <w:color w:val="000000"/>
          <w:sz w:val="28"/>
          <w:szCs w:val="28"/>
          <w:highlight w:val="none"/>
        </w:rPr>
        <w:t>6</w:t>
      </w:r>
      <w:r>
        <w:rPr>
          <w:rFonts w:hint="eastAsia" w:ascii="宋体" w:hAnsi="宋体" w:eastAsia="宋体" w:cs="宋体"/>
          <w:b/>
          <w:bCs/>
          <w:color w:val="000000"/>
          <w:sz w:val="28"/>
          <w:szCs w:val="28"/>
          <w:highlight w:val="none"/>
        </w:rPr>
        <w:t>投标报价作为此次评标的评定因素之一，同时也是中标后在本次项目中的收费标准，不得进行更改。</w:t>
      </w:r>
    </w:p>
    <w:p w14:paraId="1EEA527B">
      <w:pPr>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12.7投标报价是履行合同的最终价格，应包括下列几项费用：</w:t>
      </w:r>
    </w:p>
    <w:p w14:paraId="64781C4D">
      <w:pPr>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w:t>
      </w:r>
      <w:r>
        <w:rPr>
          <w:rFonts w:hint="eastAsia" w:ascii="宋体" w:hAnsi="宋体" w:eastAsia="宋体" w:cs="宋体"/>
          <w:b w:val="0"/>
          <w:bCs w:val="0"/>
          <w:color w:val="000000"/>
          <w:sz w:val="28"/>
          <w:szCs w:val="28"/>
          <w:highlight w:val="none"/>
          <w:lang w:val="en-US" w:eastAsia="zh-CN"/>
        </w:rPr>
        <w:t>1）招标文件中特别要求的备品备件、易损件和专用工具的费用；</w:t>
      </w:r>
    </w:p>
    <w:p w14:paraId="09C02159">
      <w:pPr>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（2）招标文件中特别要求的安装、调试、培训、运输、保险及其它附带服务的全部费用；</w:t>
      </w:r>
    </w:p>
    <w:p w14:paraId="05F666FF">
      <w:pPr>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（3）投标人提供的在中华人民共和国制造的货物，其货物的投标价即交货价中，包括制造、组装该货物所使用的零部件及原材料已付的全部关税、销售税和其他税。</w:t>
      </w:r>
    </w:p>
    <w:p w14:paraId="26B573A9">
      <w:pPr>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（4）综合单价必须包括货物、安装、调试、技术支持、运输保险、售后服务、培训及其它必需服务的报价。</w:t>
      </w:r>
    </w:p>
    <w:p w14:paraId="0A37F1DA">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12.8证明货物的合格性和符合招标文件规定的文件</w:t>
      </w:r>
    </w:p>
    <w:p w14:paraId="4019E178">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12.8..1 投标人应提交证明文件证明其拟投标的货物的合格性符合招标文件规定。该证明文件作为投标文件的一部分。</w:t>
      </w:r>
    </w:p>
    <w:p w14:paraId="368A730E">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12.8.2  投标人的服务承诺应按不低于招标文件中要求的服务标准做出响应。</w:t>
      </w:r>
    </w:p>
    <w:p w14:paraId="30F05B8C">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12.8.3  上述文件可以是文字资料、图纸和数据等，并提供：</w:t>
      </w:r>
    </w:p>
    <w:p w14:paraId="374F8315">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 xml:space="preserve">（1）货物主要技术及性能特点的详细描述； </w:t>
      </w:r>
    </w:p>
    <w:p w14:paraId="7852A4FB">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（2）货物主要部件的详细资料，包括检验报告等；</w:t>
      </w:r>
    </w:p>
    <w:p w14:paraId="7DB219F1">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（3）一份在技术规格中规定的保证服务正常和连续运转期间所需要的所有备件和专业工具的详细清单包括供货来源信息。</w:t>
      </w:r>
    </w:p>
    <w:p w14:paraId="675C6A05">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12.8.4没有按要求提供资料或提供资料不完全的或仅仅复制招标文件提供的技术参数并与实际提供设备参数不符，将被视为对招标文件没有做出实质性响应，其风险由投标人自行承担。</w:t>
      </w:r>
    </w:p>
    <w:p w14:paraId="2A107092">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12.8.5 投标人提供的设备必须是正规厂家生产的高质量产品，不能提供劣质三无产品（无厂址,无商标,无合格证）。</w:t>
      </w:r>
    </w:p>
    <w:p w14:paraId="4BF2CFE5">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12.8.6 产品资料和检测报告所反映的技术参数和性能指标将作为验收产品实物的依据。</w:t>
      </w:r>
    </w:p>
    <w:p w14:paraId="7FA7656E">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eastAsia" w:ascii="宋体" w:hAnsi="宋体" w:eastAsia="宋体" w:cs="宋体"/>
          <w:b w:val="0"/>
          <w:bCs w:val="0"/>
          <w:color w:val="000000"/>
          <w:sz w:val="28"/>
          <w:szCs w:val="28"/>
          <w:highlight w:val="none"/>
          <w:lang w:val="en-US" w:eastAsia="zh-CN"/>
        </w:rPr>
      </w:pPr>
      <w:r>
        <w:rPr>
          <w:rFonts w:hint="eastAsia" w:ascii="宋体" w:hAnsi="宋体" w:eastAsia="宋体" w:cs="宋体"/>
          <w:b w:val="0"/>
          <w:bCs w:val="0"/>
          <w:color w:val="000000"/>
          <w:sz w:val="28"/>
          <w:szCs w:val="28"/>
          <w:highlight w:val="none"/>
          <w:lang w:val="en-US" w:eastAsia="zh-CN"/>
        </w:rPr>
        <w:t>12.8.7 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14:paraId="5F5A7150">
      <w:pPr>
        <w:pStyle w:val="9"/>
        <w:keepNext w:val="0"/>
        <w:keepLines w:val="0"/>
        <w:pageBreakBefore w:val="0"/>
        <w:widowControl w:val="0"/>
        <w:kinsoku/>
        <w:wordWrap/>
        <w:topLinePunct w:val="0"/>
        <w:autoSpaceDE/>
        <w:autoSpaceDN/>
        <w:bidi w:val="0"/>
        <w:adjustRightInd w:val="0"/>
        <w:snapToGrid/>
        <w:ind w:left="0" w:leftChars="0" w:firstLine="0" w:firstLineChars="0"/>
        <w:textAlignment w:val="auto"/>
        <w:rPr>
          <w:rFonts w:hint="default"/>
          <w:b w:val="0"/>
          <w:bCs w:val="0"/>
          <w:lang w:val="en-US" w:eastAsia="zh-CN"/>
        </w:rPr>
      </w:pPr>
      <w:r>
        <w:rPr>
          <w:rFonts w:hint="eastAsia" w:ascii="宋体" w:hAnsi="宋体" w:eastAsia="宋体" w:cs="宋体"/>
          <w:b w:val="0"/>
          <w:bCs w:val="0"/>
          <w:color w:val="000000"/>
          <w:sz w:val="28"/>
          <w:szCs w:val="28"/>
          <w:highlight w:val="none"/>
          <w:lang w:val="en-US" w:eastAsia="zh-CN"/>
        </w:rPr>
        <w:t>12.8.8 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bookmarkEnd w:id="115"/>
    <w:p w14:paraId="5FAB00CF">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13、</w:t>
      </w:r>
      <w:r>
        <w:rPr>
          <w:rFonts w:hint="eastAsia" w:ascii="宋体" w:hAnsi="宋体" w:eastAsia="宋体" w:cs="宋体"/>
          <w:b/>
          <w:sz w:val="28"/>
          <w:szCs w:val="28"/>
          <w:highlight w:val="none"/>
          <w:lang w:eastAsia="zh-CN"/>
        </w:rPr>
        <w:t>供应商</w:t>
      </w:r>
      <w:r>
        <w:rPr>
          <w:rFonts w:hint="eastAsia" w:ascii="宋体" w:hAnsi="宋体" w:eastAsia="宋体" w:cs="宋体"/>
          <w:b/>
          <w:sz w:val="28"/>
          <w:szCs w:val="28"/>
          <w:highlight w:val="none"/>
        </w:rPr>
        <w:t>应逐条详细阅读招标文件有关要求，表明所提供的服务是否对招标文件做出实质性响应。</w:t>
      </w:r>
    </w:p>
    <w:p w14:paraId="4F7BC516">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14、投标文件的有效期</w:t>
      </w:r>
    </w:p>
    <w:p w14:paraId="698B6AFA">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14.1投标有效期见投标人须知前附表，在此期间投标文件对投标人具有法律约束力，以保证采购人有足够的时间完成评标、定标以及签订合同。投标有效期从投标人须知前附表规定的投标截止之日起计算。投标有效期不足的，在评标时将其视为无效投标。</w:t>
      </w:r>
    </w:p>
    <w:p w14:paraId="63BA8260">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14.2 特殊情况需延长投标有效期的，采购人或采购代理机构可于投标有效期届满之前，要求投标人同意延长有效期，采购人或采购代理机构的要求与投标人的答复均应为书面形式。投标人拒绝延长的，其投标在原投标有效期届满后将不再有效，但有权收回其投标保证金；投标人同意延长的，应相应延长其投标保证金的有效期，但不允许修改或撤回投标文件。</w:t>
      </w:r>
    </w:p>
    <w:p w14:paraId="6E3132EF">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15、投标文件的签署、递交、准备和解密时间要求</w:t>
      </w:r>
    </w:p>
    <w:p w14:paraId="71D274AB">
      <w:pPr>
        <w:pStyle w:val="33"/>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.1投标人应于</w:t>
      </w:r>
      <w:r>
        <w:rPr>
          <w:rFonts w:hint="eastAsia" w:ascii="宋体" w:hAnsi="宋体" w:eastAsia="宋体" w:cs="宋体"/>
          <w:sz w:val="28"/>
          <w:szCs w:val="28"/>
          <w:highlight w:val="none"/>
          <w:lang w:eastAsia="zh-CN"/>
        </w:rPr>
        <w:t>2025年5月8日</w:t>
      </w: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0</w:t>
      </w: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rPr>
        <w:t>0时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5366AA4C">
      <w:pPr>
        <w:pStyle w:val="33"/>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.2投标文件须由投标人逐页加盖公章</w:t>
      </w:r>
      <w:r>
        <w:rPr>
          <w:rFonts w:hint="eastAsia" w:ascii="宋体" w:hAnsi="宋体" w:eastAsia="宋体" w:cs="宋体"/>
          <w:sz w:val="28"/>
          <w:szCs w:val="28"/>
          <w:highlight w:val="none"/>
          <w:lang w:val="en-US" w:eastAsia="zh-CN"/>
        </w:rPr>
        <w:t>并</w:t>
      </w:r>
      <w:r>
        <w:rPr>
          <w:rFonts w:hint="eastAsia" w:ascii="宋体" w:hAnsi="宋体" w:eastAsia="宋体" w:cs="宋体"/>
          <w:sz w:val="28"/>
          <w:szCs w:val="28"/>
          <w:highlight w:val="none"/>
        </w:rPr>
        <w:t>在规定位置由法定代表人或法定代表人的授权委托人签署，投标人应写全称。</w:t>
      </w:r>
    </w:p>
    <w:p w14:paraId="697D7BA7">
      <w:pPr>
        <w:pStyle w:val="33"/>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.4投标文件不得涂改，若有修改错漏处，须加盖单位公章或者法定代表人或授权委托人签字或盖章。投标文件因字迹潦草或表达不清所引起的后果由投标人负责。</w:t>
      </w:r>
    </w:p>
    <w:p w14:paraId="1A0A4424">
      <w:pPr>
        <w:pStyle w:val="33"/>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 xml:space="preserve">.5本项目实行网上投标，采用电子投标文件。若供应商参与投标，自行承担投标一切费用。 </w:t>
      </w:r>
    </w:p>
    <w:p w14:paraId="17B2FAAF">
      <w:pPr>
        <w:pStyle w:val="33"/>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 xml:space="preserve">.6各供应商应在开标前应确保成为新疆维吾尔自治区政府采购网正式注册入库供应商，并完成CA数字证书申领。因未注册入库、未办理CA数字证书等原因造成无法投标或投标失败等后果由供应商自行承担。 </w:t>
      </w:r>
    </w:p>
    <w:p w14:paraId="1F7E0CF8">
      <w:pPr>
        <w:pStyle w:val="33"/>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7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r>
        <w:rPr>
          <w:rFonts w:hint="eastAsia" w:ascii="宋体" w:hAnsi="宋体" w:eastAsia="宋体" w:cs="宋体"/>
          <w:sz w:val="28"/>
          <w:szCs w:val="28"/>
          <w:highlight w:val="none"/>
          <w:lang w:eastAsia="zh-CN"/>
        </w:rPr>
        <w:t>。</w:t>
      </w:r>
    </w:p>
    <w:p w14:paraId="1C7C46A4">
      <w:pPr>
        <w:pStyle w:val="33"/>
        <w:keepNext w:val="0"/>
        <w:keepLines w:val="0"/>
        <w:pageBreakBefore w:val="0"/>
        <w:widowControl w:val="0"/>
        <w:kinsoku/>
        <w:wordWrap/>
        <w:topLinePunct w:val="0"/>
        <w:autoSpaceDE/>
        <w:autoSpaceDN/>
        <w:bidi w:val="0"/>
        <w:adjustRightInd w:val="0"/>
        <w:snapToGrid/>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1</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8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ECDF0B4">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16.投标保证金</w:t>
      </w:r>
    </w:p>
    <w:p w14:paraId="56B2D61E">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16.1 投标保证金数额</w:t>
      </w:r>
      <w:r>
        <w:rPr>
          <w:rFonts w:hint="eastAsia" w:ascii="宋体" w:hAnsi="宋体" w:eastAsia="宋体" w:cs="宋体"/>
          <w:b/>
          <w:sz w:val="28"/>
          <w:szCs w:val="28"/>
          <w:highlight w:val="none"/>
          <w:u w:val="single"/>
        </w:rPr>
        <w:t>详见</w:t>
      </w:r>
      <w:r>
        <w:rPr>
          <w:rFonts w:hint="eastAsia" w:ascii="宋体" w:hAnsi="宋体" w:eastAsia="宋体" w:cs="宋体"/>
          <w:b/>
          <w:sz w:val="28"/>
          <w:szCs w:val="28"/>
          <w:highlight w:val="none"/>
          <w:u w:val="single"/>
          <w:lang w:eastAsia="zh-CN"/>
        </w:rPr>
        <w:t>供应商</w:t>
      </w:r>
      <w:r>
        <w:rPr>
          <w:rFonts w:hint="eastAsia" w:ascii="宋体" w:hAnsi="宋体" w:eastAsia="宋体" w:cs="宋体"/>
          <w:b/>
          <w:sz w:val="28"/>
          <w:szCs w:val="28"/>
          <w:highlight w:val="none"/>
          <w:u w:val="single"/>
        </w:rPr>
        <w:t>须知前附表第</w:t>
      </w:r>
      <w:r>
        <w:rPr>
          <w:rFonts w:hint="eastAsia" w:ascii="宋体" w:hAnsi="宋体" w:eastAsia="宋体" w:cs="宋体"/>
          <w:b/>
          <w:sz w:val="28"/>
          <w:szCs w:val="28"/>
          <w:highlight w:val="none"/>
          <w:u w:val="single"/>
          <w:lang w:val="en-US" w:eastAsia="zh-CN"/>
        </w:rPr>
        <w:t>1</w:t>
      </w:r>
      <w:r>
        <w:rPr>
          <w:rFonts w:hint="eastAsia" w:ascii="宋体" w:hAnsi="宋体" w:cs="宋体"/>
          <w:b/>
          <w:sz w:val="28"/>
          <w:szCs w:val="28"/>
          <w:highlight w:val="none"/>
          <w:u w:val="single"/>
          <w:lang w:val="en-US" w:eastAsia="zh-CN"/>
        </w:rPr>
        <w:t>8</w:t>
      </w:r>
      <w:r>
        <w:rPr>
          <w:rFonts w:hint="eastAsia" w:ascii="宋体" w:hAnsi="宋体" w:eastAsia="宋体" w:cs="宋体"/>
          <w:b/>
          <w:sz w:val="28"/>
          <w:szCs w:val="28"/>
          <w:highlight w:val="none"/>
          <w:u w:val="single"/>
        </w:rPr>
        <w:t>条</w:t>
      </w:r>
      <w:r>
        <w:rPr>
          <w:rFonts w:hint="eastAsia" w:ascii="宋体" w:hAnsi="宋体" w:eastAsia="宋体" w:cs="宋体"/>
          <w:sz w:val="28"/>
          <w:szCs w:val="28"/>
          <w:highlight w:val="none"/>
        </w:rPr>
        <w:t>。</w:t>
      </w:r>
    </w:p>
    <w:p w14:paraId="66974417">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16.2 投标保证金用于应对本次招标因</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违规、违约而产生的风险。</w:t>
      </w:r>
    </w:p>
    <w:p w14:paraId="62FD076C">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16.3 </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必须于投标截止时间之前（</w:t>
      </w:r>
      <w:r>
        <w:rPr>
          <w:rFonts w:hint="eastAsia" w:ascii="宋体" w:hAnsi="宋体" w:eastAsia="宋体" w:cs="宋体"/>
          <w:b/>
          <w:sz w:val="28"/>
          <w:szCs w:val="28"/>
          <w:highlight w:val="none"/>
          <w:u w:val="single"/>
        </w:rPr>
        <w:t>详见</w:t>
      </w:r>
      <w:r>
        <w:rPr>
          <w:rFonts w:hint="eastAsia" w:ascii="宋体" w:hAnsi="宋体" w:eastAsia="宋体" w:cs="宋体"/>
          <w:b/>
          <w:sz w:val="28"/>
          <w:szCs w:val="28"/>
          <w:highlight w:val="none"/>
          <w:u w:val="single"/>
          <w:lang w:eastAsia="zh-CN"/>
        </w:rPr>
        <w:t>供应商</w:t>
      </w:r>
      <w:r>
        <w:rPr>
          <w:rFonts w:hint="eastAsia" w:ascii="宋体" w:hAnsi="宋体" w:eastAsia="宋体" w:cs="宋体"/>
          <w:b/>
          <w:sz w:val="28"/>
          <w:szCs w:val="28"/>
          <w:highlight w:val="none"/>
          <w:u w:val="single"/>
        </w:rPr>
        <w:t>须知前附表第</w:t>
      </w:r>
      <w:r>
        <w:rPr>
          <w:rFonts w:hint="eastAsia" w:ascii="宋体" w:hAnsi="宋体" w:eastAsia="宋体" w:cs="宋体"/>
          <w:b/>
          <w:sz w:val="28"/>
          <w:szCs w:val="28"/>
          <w:highlight w:val="none"/>
          <w:u w:val="single"/>
          <w:lang w:val="en-US" w:eastAsia="zh-CN"/>
        </w:rPr>
        <w:t>1</w:t>
      </w:r>
      <w:r>
        <w:rPr>
          <w:rFonts w:hint="eastAsia" w:ascii="宋体" w:hAnsi="宋体" w:cs="宋体"/>
          <w:b/>
          <w:sz w:val="28"/>
          <w:szCs w:val="28"/>
          <w:highlight w:val="none"/>
          <w:u w:val="single"/>
          <w:lang w:val="en-US" w:eastAsia="zh-CN"/>
        </w:rPr>
        <w:t>8</w:t>
      </w:r>
      <w:r>
        <w:rPr>
          <w:rFonts w:hint="eastAsia" w:ascii="宋体" w:hAnsi="宋体" w:eastAsia="宋体" w:cs="宋体"/>
          <w:b/>
          <w:sz w:val="28"/>
          <w:szCs w:val="28"/>
          <w:highlight w:val="none"/>
          <w:u w:val="single"/>
        </w:rPr>
        <w:t>条规定）</w:t>
      </w:r>
      <w:r>
        <w:rPr>
          <w:rFonts w:hint="eastAsia" w:ascii="宋体" w:hAnsi="宋体" w:eastAsia="宋体" w:cs="宋体"/>
          <w:sz w:val="28"/>
          <w:szCs w:val="28"/>
          <w:highlight w:val="none"/>
        </w:rPr>
        <w:t>将投标保证金交纳至规定的帐号，对未按要求提交投标保证金的投标书，招标机构将视为不响应投标予以拒绝。</w:t>
      </w:r>
    </w:p>
    <w:p w14:paraId="30307870">
      <w:pPr>
        <w:keepNext w:val="0"/>
        <w:keepLines w:val="0"/>
        <w:pageBreakBefore w:val="0"/>
        <w:widowControl w:val="0"/>
        <w:kinsoku/>
        <w:wordWrap/>
        <w:topLinePunct w:val="0"/>
        <w:autoSpaceDE/>
        <w:autoSpaceDN/>
        <w:bidi w:val="0"/>
        <w:adjustRightInd w:val="0"/>
        <w:snapToGrid/>
        <w:spacing w:line="50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16.4 投标保证金应以银行</w:t>
      </w:r>
      <w:r>
        <w:rPr>
          <w:rFonts w:hint="eastAsia" w:ascii="宋体" w:hAnsi="宋体" w:eastAsia="宋体" w:cs="宋体"/>
          <w:sz w:val="28"/>
          <w:szCs w:val="28"/>
          <w:highlight w:val="none"/>
          <w:lang w:eastAsia="zh-CN"/>
        </w:rPr>
        <w:t>转账汇款方式</w:t>
      </w:r>
      <w:r>
        <w:rPr>
          <w:rFonts w:hint="eastAsia" w:ascii="宋体" w:hAnsi="宋体" w:eastAsia="宋体" w:cs="宋体"/>
          <w:sz w:val="28"/>
          <w:szCs w:val="28"/>
          <w:highlight w:val="none"/>
        </w:rPr>
        <w:t>提交。</w:t>
      </w:r>
    </w:p>
    <w:p w14:paraId="0D23099D">
      <w:pPr>
        <w:keepNext w:val="0"/>
        <w:keepLines w:val="0"/>
        <w:pageBreakBefore w:val="0"/>
        <w:widowControl w:val="0"/>
        <w:kinsoku/>
        <w:wordWrap/>
        <w:topLinePunct w:val="0"/>
        <w:autoSpaceDE/>
        <w:autoSpaceDN/>
        <w:bidi w:val="0"/>
        <w:adjustRightInd w:val="0"/>
        <w:snapToGrid/>
        <w:spacing w:line="48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16.</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在招标方规定的投标有效期满之前，招标方将以书面形式发出《中标通知书》，《中标通知书》一经发出即发生法律效力。</w:t>
      </w:r>
    </w:p>
    <w:p w14:paraId="375C92DB">
      <w:pPr>
        <w:keepNext w:val="0"/>
        <w:keepLines w:val="0"/>
        <w:pageBreakBefore w:val="0"/>
        <w:widowControl w:val="0"/>
        <w:kinsoku/>
        <w:wordWrap/>
        <w:topLinePunct w:val="0"/>
        <w:autoSpaceDE/>
        <w:autoSpaceDN/>
        <w:bidi w:val="0"/>
        <w:adjustRightInd w:val="0"/>
        <w:snapToGrid/>
        <w:spacing w:line="48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16.</w:t>
      </w:r>
      <w:r>
        <w:rPr>
          <w:rFonts w:hint="eastAsia" w:ascii="宋体" w:hAnsi="宋体" w:eastAsia="宋体" w:cs="宋体"/>
          <w:sz w:val="28"/>
          <w:szCs w:val="28"/>
          <w:highlight w:val="none"/>
          <w:lang w:val="en-US" w:eastAsia="zh-CN"/>
        </w:rPr>
        <w:t>6</w:t>
      </w:r>
      <w:r>
        <w:rPr>
          <w:rFonts w:hint="eastAsia" w:ascii="宋体" w:hAnsi="宋体" w:eastAsia="宋体" w:cs="宋体"/>
          <w:sz w:val="28"/>
          <w:szCs w:val="28"/>
          <w:highlight w:val="none"/>
        </w:rPr>
        <w:t xml:space="preserve"> 发生以下情况投标保证金被没收：</w:t>
      </w:r>
    </w:p>
    <w:p w14:paraId="5154D239">
      <w:pPr>
        <w:keepNext w:val="0"/>
        <w:keepLines w:val="0"/>
        <w:pageBreakBefore w:val="0"/>
        <w:widowControl w:val="0"/>
        <w:kinsoku/>
        <w:wordWrap/>
        <w:topLinePunct w:val="0"/>
        <w:autoSpaceDE/>
        <w:autoSpaceDN/>
        <w:bidi w:val="0"/>
        <w:adjustRightInd w:val="0"/>
        <w:snapToGrid/>
        <w:spacing w:line="48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16.</w:t>
      </w:r>
      <w:r>
        <w:rPr>
          <w:rFonts w:hint="eastAsia" w:ascii="宋体" w:hAnsi="宋体" w:eastAsia="宋体" w:cs="宋体"/>
          <w:sz w:val="28"/>
          <w:szCs w:val="28"/>
          <w:highlight w:val="none"/>
          <w:lang w:val="en-US" w:eastAsia="zh-CN"/>
        </w:rPr>
        <w:t>6</w:t>
      </w:r>
      <w:r>
        <w:rPr>
          <w:rFonts w:hint="eastAsia" w:ascii="宋体" w:hAnsi="宋体" w:eastAsia="宋体" w:cs="宋体"/>
          <w:sz w:val="28"/>
          <w:szCs w:val="28"/>
          <w:highlight w:val="none"/>
        </w:rPr>
        <w:t xml:space="preserve">.1 </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在投标有效期内撤回投标的；</w:t>
      </w:r>
    </w:p>
    <w:p w14:paraId="3CA73180">
      <w:pPr>
        <w:keepNext w:val="0"/>
        <w:keepLines w:val="0"/>
        <w:pageBreakBefore w:val="0"/>
        <w:widowControl w:val="0"/>
        <w:kinsoku/>
        <w:wordWrap/>
        <w:topLinePunct w:val="0"/>
        <w:autoSpaceDE/>
        <w:autoSpaceDN/>
        <w:bidi w:val="0"/>
        <w:adjustRightInd w:val="0"/>
        <w:snapToGrid/>
        <w:spacing w:line="48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16.</w:t>
      </w:r>
      <w:r>
        <w:rPr>
          <w:rFonts w:hint="eastAsia" w:ascii="宋体" w:hAnsi="宋体" w:eastAsia="宋体" w:cs="宋体"/>
          <w:sz w:val="28"/>
          <w:szCs w:val="28"/>
          <w:highlight w:val="none"/>
          <w:lang w:val="en-US" w:eastAsia="zh-CN"/>
        </w:rPr>
        <w:t>6</w:t>
      </w:r>
      <w:r>
        <w:rPr>
          <w:rFonts w:hint="eastAsia" w:ascii="宋体" w:hAnsi="宋体" w:eastAsia="宋体" w:cs="宋体"/>
          <w:sz w:val="28"/>
          <w:szCs w:val="28"/>
          <w:highlight w:val="none"/>
        </w:rPr>
        <w:t>.2 中标人未按本章第29条规定签定合同；</w:t>
      </w:r>
    </w:p>
    <w:p w14:paraId="44E6DCE8">
      <w:pPr>
        <w:keepNext w:val="0"/>
        <w:keepLines w:val="0"/>
        <w:pageBreakBefore w:val="0"/>
        <w:widowControl w:val="0"/>
        <w:kinsoku/>
        <w:wordWrap/>
        <w:topLinePunct w:val="0"/>
        <w:autoSpaceDE/>
        <w:autoSpaceDN/>
        <w:bidi w:val="0"/>
        <w:adjustRightInd w:val="0"/>
        <w:snapToGrid/>
        <w:spacing w:line="480" w:lineRule="exac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16.</w:t>
      </w:r>
      <w:r>
        <w:rPr>
          <w:rFonts w:hint="eastAsia" w:ascii="宋体" w:hAnsi="宋体" w:eastAsia="宋体" w:cs="宋体"/>
          <w:sz w:val="28"/>
          <w:szCs w:val="28"/>
          <w:highlight w:val="none"/>
          <w:lang w:val="en-US" w:eastAsia="zh-CN"/>
        </w:rPr>
        <w:t>6</w:t>
      </w:r>
      <w:r>
        <w:rPr>
          <w:rFonts w:hint="eastAsia" w:ascii="宋体" w:hAnsi="宋体" w:eastAsia="宋体" w:cs="宋体"/>
          <w:sz w:val="28"/>
          <w:szCs w:val="28"/>
          <w:highlight w:val="none"/>
          <w:lang w:eastAsia="zh-CN"/>
        </w:rPr>
        <w:t>.3供应商在投标过程中有违反有关法律法规行为的。</w:t>
      </w:r>
    </w:p>
    <w:p w14:paraId="32A89B91">
      <w:pPr>
        <w:keepNext w:val="0"/>
        <w:keepLines w:val="0"/>
        <w:pageBreakBefore w:val="0"/>
        <w:widowControl w:val="0"/>
        <w:kinsoku/>
        <w:wordWrap/>
        <w:topLinePunct w:val="0"/>
        <w:autoSpaceDE/>
        <w:autoSpaceDN/>
        <w:bidi w:val="0"/>
        <w:adjustRightInd w:val="0"/>
        <w:snapToGrid/>
        <w:spacing w:line="480" w:lineRule="exac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16.7</w:t>
      </w:r>
      <w:r>
        <w:rPr>
          <w:rFonts w:hint="eastAsia" w:ascii="宋体" w:hAnsi="宋体" w:eastAsia="宋体" w:cs="宋体"/>
          <w:sz w:val="28"/>
          <w:szCs w:val="28"/>
          <w:highlight w:val="none"/>
          <w:lang w:eastAsia="zh-CN"/>
        </w:rPr>
        <w:t>保证金的退还时间：</w:t>
      </w:r>
    </w:p>
    <w:p w14:paraId="0C2CF52C">
      <w:pPr>
        <w:keepNext w:val="0"/>
        <w:keepLines w:val="0"/>
        <w:pageBreakBefore w:val="0"/>
        <w:widowControl w:val="0"/>
        <w:kinsoku/>
        <w:wordWrap/>
        <w:topLinePunct w:val="0"/>
        <w:autoSpaceDE/>
        <w:autoSpaceDN/>
        <w:bidi w:val="0"/>
        <w:adjustRightInd w:val="0"/>
        <w:snapToGrid/>
        <w:spacing w:line="48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sz w:val="28"/>
          <w:szCs w:val="28"/>
          <w:highlight w:val="none"/>
          <w:lang w:val="en-US" w:eastAsia="zh-CN"/>
        </w:rPr>
        <w:t>16</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7</w:t>
      </w:r>
      <w:r>
        <w:rPr>
          <w:rFonts w:hint="eastAsia" w:ascii="宋体" w:hAnsi="宋体" w:eastAsia="宋体" w:cs="宋体"/>
          <w:sz w:val="28"/>
          <w:szCs w:val="28"/>
          <w:highlight w:val="none"/>
          <w:lang w:eastAsia="zh-CN"/>
        </w:rPr>
        <w:t>.1在成交通知书发出后5个工作日内退还未中标供应商的投标保证金，在采购合同签订后5个工作日内退还中标供应商的投标保证金。</w:t>
      </w:r>
    </w:p>
    <w:bookmarkEnd w:id="108"/>
    <w:bookmarkEnd w:id="109"/>
    <w:bookmarkEnd w:id="110"/>
    <w:bookmarkEnd w:id="111"/>
    <w:bookmarkEnd w:id="112"/>
    <w:bookmarkEnd w:id="113"/>
    <w:bookmarkEnd w:id="114"/>
    <w:p w14:paraId="08148930">
      <w:pPr>
        <w:keepNext w:val="0"/>
        <w:keepLines w:val="0"/>
        <w:pageBreakBefore w:val="0"/>
        <w:widowControl w:val="0"/>
        <w:numPr>
          <w:ilvl w:val="0"/>
          <w:numId w:val="2"/>
        </w:numPr>
        <w:kinsoku/>
        <w:wordWrap/>
        <w:topLinePunct w:val="0"/>
        <w:autoSpaceDE/>
        <w:autoSpaceDN/>
        <w:bidi w:val="0"/>
        <w:adjustRightInd w:val="0"/>
        <w:snapToGrid/>
        <w:spacing w:line="480" w:lineRule="exact"/>
        <w:ind w:firstLine="0" w:firstLineChars="0"/>
        <w:jc w:val="both"/>
        <w:textAlignment w:val="auto"/>
        <w:outlineLvl w:val="1"/>
        <w:rPr>
          <w:rFonts w:hint="eastAsia" w:ascii="宋体" w:hAnsi="宋体" w:eastAsia="宋体" w:cs="宋体"/>
          <w:b/>
          <w:bCs w:val="0"/>
          <w:sz w:val="28"/>
          <w:szCs w:val="28"/>
          <w:highlight w:val="none"/>
          <w:lang w:val="en-US" w:eastAsia="zh-CN"/>
        </w:rPr>
      </w:pPr>
      <w:bookmarkStart w:id="116" w:name="_Toc22453"/>
      <w:bookmarkStart w:id="117" w:name="_Toc17734_WPSOffice_Level2"/>
      <w:bookmarkStart w:id="118" w:name="_Toc43634065"/>
      <w:bookmarkStart w:id="119" w:name="_Toc462486881"/>
      <w:bookmarkStart w:id="120" w:name="_Toc22807786"/>
      <w:bookmarkStart w:id="121" w:name="_Toc30837"/>
      <w:bookmarkStart w:id="122" w:name="_Toc17855"/>
      <w:bookmarkStart w:id="123" w:name="_Toc17540"/>
      <w:bookmarkStart w:id="124" w:name="_Toc17157"/>
      <w:r>
        <w:rPr>
          <w:rFonts w:hint="eastAsia" w:ascii="宋体" w:hAnsi="宋体" w:eastAsia="宋体" w:cs="宋体"/>
          <w:b/>
          <w:bCs w:val="0"/>
          <w:sz w:val="28"/>
          <w:szCs w:val="28"/>
          <w:highlight w:val="none"/>
        </w:rPr>
        <w:t>投标文件的递交</w:t>
      </w:r>
      <w:bookmarkEnd w:id="116"/>
      <w:bookmarkEnd w:id="117"/>
      <w:bookmarkEnd w:id="118"/>
      <w:bookmarkEnd w:id="119"/>
      <w:bookmarkEnd w:id="120"/>
      <w:bookmarkEnd w:id="121"/>
      <w:bookmarkEnd w:id="122"/>
      <w:bookmarkEnd w:id="123"/>
      <w:bookmarkEnd w:id="124"/>
      <w:bookmarkStart w:id="125" w:name="_Toc16448"/>
      <w:bookmarkStart w:id="126" w:name="_Toc20816"/>
      <w:bookmarkStart w:id="127" w:name="_Toc8864"/>
    </w:p>
    <w:p w14:paraId="4C832F68">
      <w:pPr>
        <w:keepNext w:val="0"/>
        <w:keepLines w:val="0"/>
        <w:pageBreakBefore w:val="0"/>
        <w:widowControl w:val="0"/>
        <w:numPr>
          <w:ilvl w:val="0"/>
          <w:numId w:val="0"/>
        </w:numPr>
        <w:kinsoku/>
        <w:wordWrap/>
        <w:topLinePunct w:val="0"/>
        <w:autoSpaceDE/>
        <w:autoSpaceDN/>
        <w:bidi w:val="0"/>
        <w:adjustRightInd w:val="0"/>
        <w:snapToGrid/>
        <w:spacing w:line="480" w:lineRule="exact"/>
        <w:ind w:firstLine="0" w:firstLineChars="0"/>
        <w:jc w:val="both"/>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17.投标文件的准备和解密</w:t>
      </w:r>
    </w:p>
    <w:p w14:paraId="539D7F54">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 xml:space="preserve">17.1本项目实行网上投标，采用电子投标文件。若供应商参与投标，自行承担投标一切费用。 </w:t>
      </w:r>
    </w:p>
    <w:p w14:paraId="1410ACF6">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 xml:space="preserve">17.2各供应商应在开标前应确保成为新疆维吾尔自治区政府采购网正式注册入库供应商，并完成CA数字证书申领。因未注册入库、未办理CA数字证书等原因造成无法投标或投标失败等后果由供应商自行承担。 </w:t>
      </w:r>
    </w:p>
    <w:p w14:paraId="4385322A">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17.3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46D4B4D">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17.4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2F22769">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17.5开标时间后</w:t>
      </w:r>
      <w:r>
        <w:rPr>
          <w:rFonts w:hint="eastAsia" w:ascii="宋体" w:hAnsi="宋体" w:cs="宋体"/>
          <w:b/>
          <w:bCs/>
          <w:sz w:val="28"/>
          <w:szCs w:val="28"/>
          <w:highlight w:val="none"/>
          <w:lang w:val="en-US" w:eastAsia="zh-CN"/>
        </w:rPr>
        <w:t>3</w:t>
      </w:r>
      <w:r>
        <w:rPr>
          <w:rFonts w:hint="eastAsia" w:ascii="宋体" w:hAnsi="宋体" w:eastAsia="宋体" w:cs="宋体"/>
          <w:b/>
          <w:bCs/>
          <w:sz w:val="28"/>
          <w:szCs w:val="28"/>
          <w:highlight w:val="none"/>
          <w:lang w:val="en-US" w:eastAsia="zh-CN"/>
        </w:rPr>
        <w:t>0分钟内（</w:t>
      </w:r>
      <w:r>
        <w:rPr>
          <w:rFonts w:hint="eastAsia" w:ascii="宋体" w:hAnsi="宋体" w:cs="宋体"/>
          <w:b/>
          <w:bCs/>
          <w:sz w:val="28"/>
          <w:szCs w:val="28"/>
          <w:highlight w:val="none"/>
          <w:lang w:val="en-US" w:eastAsia="zh-CN"/>
        </w:rPr>
        <w:t>2025年5月8日</w:t>
      </w:r>
      <w:r>
        <w:rPr>
          <w:rFonts w:hint="eastAsia" w:ascii="宋体" w:hAnsi="宋体" w:eastAsia="宋体" w:cs="宋体"/>
          <w:b/>
          <w:bCs/>
          <w:sz w:val="28"/>
          <w:szCs w:val="28"/>
          <w:highlight w:val="none"/>
          <w:lang w:val="en-US" w:eastAsia="zh-CN"/>
        </w:rPr>
        <w:t>上午1</w:t>
      </w:r>
      <w:r>
        <w:rPr>
          <w:rFonts w:hint="eastAsia" w:ascii="宋体" w:hAnsi="宋体" w:cs="宋体"/>
          <w:b/>
          <w:bCs/>
          <w:sz w:val="28"/>
          <w:szCs w:val="28"/>
          <w:highlight w:val="none"/>
          <w:lang w:val="en-US" w:eastAsia="zh-CN"/>
        </w:rPr>
        <w:t>0</w:t>
      </w:r>
      <w:r>
        <w:rPr>
          <w:rFonts w:hint="eastAsia" w:ascii="宋体" w:hAnsi="宋体" w:eastAsia="宋体" w:cs="宋体"/>
          <w:b/>
          <w:bCs/>
          <w:sz w:val="28"/>
          <w:szCs w:val="28"/>
          <w:highlight w:val="none"/>
          <w:lang w:val="en-US" w:eastAsia="zh-CN"/>
        </w:rPr>
        <w:t>:</w:t>
      </w:r>
      <w:r>
        <w:rPr>
          <w:rFonts w:hint="eastAsia" w:ascii="宋体" w:hAnsi="宋体" w:cs="宋体"/>
          <w:b/>
          <w:bCs/>
          <w:sz w:val="28"/>
          <w:szCs w:val="28"/>
          <w:highlight w:val="none"/>
          <w:lang w:val="en-US" w:eastAsia="zh-CN"/>
        </w:rPr>
        <w:t>3</w:t>
      </w:r>
      <w:r>
        <w:rPr>
          <w:rFonts w:hint="eastAsia" w:ascii="宋体" w:hAnsi="宋体" w:eastAsia="宋体" w:cs="宋体"/>
          <w:b/>
          <w:bCs/>
          <w:sz w:val="28"/>
          <w:szCs w:val="28"/>
          <w:highlight w:val="none"/>
          <w:lang w:val="en-US" w:eastAsia="zh-CN"/>
        </w:rPr>
        <w:t>0-1</w:t>
      </w:r>
      <w:r>
        <w:rPr>
          <w:rFonts w:hint="eastAsia" w:ascii="宋体" w:hAnsi="宋体" w:cs="宋体"/>
          <w:b/>
          <w:bCs/>
          <w:sz w:val="28"/>
          <w:szCs w:val="28"/>
          <w:highlight w:val="none"/>
          <w:lang w:val="en-US" w:eastAsia="zh-CN"/>
        </w:rPr>
        <w:t>1</w:t>
      </w:r>
      <w:r>
        <w:rPr>
          <w:rFonts w:hint="eastAsia" w:ascii="宋体" w:hAnsi="宋体" w:eastAsia="宋体" w:cs="宋体"/>
          <w:b/>
          <w:bCs/>
          <w:sz w:val="28"/>
          <w:szCs w:val="28"/>
          <w:highlight w:val="none"/>
          <w:lang w:val="en-US" w:eastAsia="zh-CN"/>
        </w:rPr>
        <w:t>：00前）供应商可以登录“政采云”平台，用“项目采购-开标评标”功能进行解密投标文件。若供应商在规定时间内（</w:t>
      </w:r>
      <w:r>
        <w:rPr>
          <w:rFonts w:hint="eastAsia" w:ascii="宋体" w:hAnsi="宋体" w:cs="宋体"/>
          <w:b/>
          <w:bCs/>
          <w:sz w:val="28"/>
          <w:szCs w:val="28"/>
          <w:highlight w:val="none"/>
          <w:lang w:val="en-US" w:eastAsia="zh-CN"/>
        </w:rPr>
        <w:t>2025年5月8日</w:t>
      </w:r>
      <w:r>
        <w:rPr>
          <w:rFonts w:hint="eastAsia" w:ascii="宋体" w:hAnsi="宋体" w:eastAsia="宋体" w:cs="宋体"/>
          <w:b/>
          <w:bCs/>
          <w:sz w:val="28"/>
          <w:szCs w:val="28"/>
          <w:highlight w:val="none"/>
          <w:lang w:val="en-US" w:eastAsia="zh-CN"/>
        </w:rPr>
        <w:t>上午1</w:t>
      </w:r>
      <w:r>
        <w:rPr>
          <w:rFonts w:hint="eastAsia" w:ascii="宋体" w:hAnsi="宋体" w:cs="宋体"/>
          <w:b/>
          <w:bCs/>
          <w:sz w:val="28"/>
          <w:szCs w:val="28"/>
          <w:highlight w:val="none"/>
          <w:lang w:val="en-US" w:eastAsia="zh-CN"/>
        </w:rPr>
        <w:t>1</w:t>
      </w:r>
      <w:r>
        <w:rPr>
          <w:rFonts w:hint="eastAsia" w:ascii="宋体" w:hAnsi="宋体" w:eastAsia="宋体" w:cs="宋体"/>
          <w:b/>
          <w:bCs/>
          <w:sz w:val="28"/>
          <w:szCs w:val="28"/>
          <w:highlight w:val="none"/>
          <w:lang w:val="en-US" w:eastAsia="zh-CN"/>
        </w:rPr>
        <w:t>:00前）未按时解密的，视为投标文件撤回。</w:t>
      </w:r>
    </w:p>
    <w:p w14:paraId="568C6CC4">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17.6因系统（非投标供应商行为）的原因，造成投标供应商未能在规定的解密时限内解密的，请及时与招标代理机构或与新疆政府采购网投标客户端进行联系。</w:t>
      </w:r>
    </w:p>
    <w:p w14:paraId="07379165">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17.7投标文件未按规定上传的，视为其自动放弃投标。</w:t>
      </w:r>
    </w:p>
    <w:p w14:paraId="2D977CC9">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18.投标文件的修改与撤回</w:t>
      </w:r>
    </w:p>
    <w:p w14:paraId="0319A3B1">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18.1投标人在投标截止时间前，可以对所递交的投标文件进行补充、修改或者撤回，并书面通知采购人或者采购代理机构。补充、修改的内容应当按照招标文件要求签署、盖章后，作为投标文件的组成部分。</w:t>
      </w:r>
    </w:p>
    <w:p w14:paraId="262462A2">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18.2投标人在投标截止期后不得修改、撤回投标文件。投标人在投标截止期后修改投标文件的，其投标无效。</w:t>
      </w:r>
    </w:p>
    <w:p w14:paraId="58BA9728">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18.3若供应商在规定的时间内（“投标人须知前附表”的中规定）未能解密的，也将被视为供应商对其投标文件的撤回。</w:t>
      </w:r>
    </w:p>
    <w:p w14:paraId="25F8EA7C">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19.投标无效的情形</w:t>
      </w:r>
    </w:p>
    <w:p w14:paraId="137EACC6">
      <w:pPr>
        <w:keepNext w:val="0"/>
        <w:keepLines w:val="0"/>
        <w:pageBreakBefore w:val="0"/>
        <w:widowControl w:val="0"/>
        <w:kinsoku/>
        <w:wordWrap/>
        <w:topLinePunct w:val="0"/>
        <w:autoSpaceDE/>
        <w:autoSpaceDN/>
        <w:bidi w:val="0"/>
        <w:adjustRightInd w:val="0"/>
        <w:snapToGrid/>
        <w:spacing w:line="500" w:lineRule="exact"/>
        <w:ind w:firstLine="0" w:firstLineChars="0"/>
        <w:jc w:val="left"/>
        <w:textAlignment w:val="auto"/>
        <w:outlineLvl w:val="1"/>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19.1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303A1516">
      <w:pPr>
        <w:keepNext w:val="0"/>
        <w:keepLines w:val="0"/>
        <w:pageBreakBefore w:val="0"/>
        <w:widowControl w:val="0"/>
        <w:kinsoku/>
        <w:wordWrap/>
        <w:topLinePunct w:val="0"/>
        <w:autoSpaceDE/>
        <w:autoSpaceDN/>
        <w:bidi w:val="0"/>
        <w:adjustRightInd w:val="0"/>
        <w:snapToGrid/>
        <w:spacing w:line="500" w:lineRule="exact"/>
        <w:ind w:firstLine="0" w:firstLineChars="0"/>
        <w:jc w:val="both"/>
        <w:textAlignment w:val="auto"/>
        <w:outlineLvl w:val="1"/>
        <w:rPr>
          <w:rFonts w:hint="eastAsia" w:ascii="宋体" w:hAnsi="宋体" w:eastAsia="宋体" w:cs="宋体"/>
          <w:b/>
          <w:sz w:val="28"/>
          <w:szCs w:val="28"/>
          <w:highlight w:val="none"/>
        </w:rPr>
      </w:pPr>
      <w:r>
        <w:rPr>
          <w:rFonts w:hint="eastAsia" w:ascii="宋体" w:hAnsi="宋体" w:eastAsia="宋体" w:cs="宋体"/>
          <w:b/>
          <w:sz w:val="28"/>
          <w:szCs w:val="28"/>
          <w:highlight w:val="none"/>
          <w:lang w:val="en-US" w:eastAsia="zh-CN"/>
        </w:rPr>
        <w:t>五</w:t>
      </w:r>
      <w:r>
        <w:rPr>
          <w:rFonts w:hint="eastAsia" w:ascii="宋体" w:hAnsi="宋体" w:eastAsia="宋体" w:cs="宋体"/>
          <w:b/>
          <w:sz w:val="28"/>
          <w:szCs w:val="28"/>
          <w:highlight w:val="none"/>
        </w:rPr>
        <w:t>、</w:t>
      </w:r>
      <w:r>
        <w:rPr>
          <w:rFonts w:hint="eastAsia" w:ascii="宋体" w:hAnsi="宋体" w:eastAsia="宋体" w:cs="宋体"/>
          <w:b/>
          <w:sz w:val="28"/>
          <w:szCs w:val="28"/>
          <w:highlight w:val="none"/>
          <w:lang w:val="en-US" w:eastAsia="zh-CN"/>
        </w:rPr>
        <w:t>开</w:t>
      </w:r>
      <w:r>
        <w:rPr>
          <w:rFonts w:hint="eastAsia" w:ascii="宋体" w:hAnsi="宋体" w:eastAsia="宋体" w:cs="宋体"/>
          <w:b/>
          <w:sz w:val="28"/>
          <w:szCs w:val="28"/>
          <w:highlight w:val="none"/>
        </w:rPr>
        <w:t>标</w:t>
      </w:r>
      <w:bookmarkEnd w:id="125"/>
      <w:bookmarkEnd w:id="126"/>
    </w:p>
    <w:p w14:paraId="203B9550">
      <w:pPr>
        <w:keepNext w:val="0"/>
        <w:keepLines w:val="0"/>
        <w:pageBreakBefore w:val="0"/>
        <w:widowControl w:val="0"/>
        <w:kinsoku/>
        <w:wordWrap/>
        <w:topLinePunct w:val="0"/>
        <w:autoSpaceDE/>
        <w:autoSpaceDN/>
        <w:bidi w:val="0"/>
        <w:adjustRightInd w:val="0"/>
        <w:snapToGrid/>
        <w:spacing w:line="400" w:lineRule="exact"/>
        <w:ind w:firstLine="0" w:firstLine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20、开标</w:t>
      </w:r>
    </w:p>
    <w:p w14:paraId="770CA052">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20.1 招标代理机构按“投标人须知前附表”规定的时间和地点开标，届时请监督人和投标方代表参加并签到。</w:t>
      </w:r>
    </w:p>
    <w:p w14:paraId="2D190D89">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20.2 </w:t>
      </w:r>
      <w:r>
        <w:rPr>
          <w:rFonts w:hint="eastAsia" w:ascii="宋体" w:hAnsi="宋体" w:eastAsia="宋体" w:cs="宋体"/>
          <w:b/>
          <w:color w:val="auto"/>
          <w:sz w:val="28"/>
          <w:szCs w:val="28"/>
          <w:highlight w:val="none"/>
        </w:rPr>
        <w:t>本次采用不见面方式网上开标。</w:t>
      </w:r>
    </w:p>
    <w:bookmarkEnd w:id="127"/>
    <w:p w14:paraId="78363EAA">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color w:val="auto"/>
          <w:sz w:val="28"/>
          <w:szCs w:val="28"/>
          <w:highlight w:val="none"/>
        </w:rPr>
      </w:pPr>
      <w:bookmarkStart w:id="128" w:name="_Toc32759"/>
      <w:bookmarkStart w:id="129" w:name="_Toc16371"/>
      <w:r>
        <w:rPr>
          <w:rFonts w:hint="eastAsia" w:ascii="宋体" w:hAnsi="宋体" w:eastAsia="宋体" w:cs="宋体"/>
          <w:b/>
          <w:color w:val="auto"/>
          <w:sz w:val="28"/>
          <w:szCs w:val="28"/>
          <w:highlight w:val="none"/>
          <w:lang w:val="en-US" w:eastAsia="zh-CN"/>
        </w:rPr>
        <w:t>20.3</w:t>
      </w:r>
      <w:r>
        <w:rPr>
          <w:rFonts w:hint="eastAsia" w:ascii="宋体" w:hAnsi="宋体" w:eastAsia="宋体" w:cs="宋体"/>
          <w:b/>
          <w:color w:val="auto"/>
          <w:sz w:val="28"/>
          <w:szCs w:val="28"/>
          <w:highlight w:val="none"/>
        </w:rPr>
        <w:t>开标由招标代理机构主持，招标人、投标人和有关方面代表参加。</w:t>
      </w:r>
    </w:p>
    <w:p w14:paraId="151F1438">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20.4</w:t>
      </w:r>
      <w:r>
        <w:rPr>
          <w:rFonts w:hint="eastAsia" w:ascii="宋体" w:hAnsi="宋体" w:eastAsia="宋体" w:cs="宋体"/>
          <w:b/>
          <w:color w:val="auto"/>
          <w:sz w:val="28"/>
          <w:szCs w:val="28"/>
          <w:highlight w:val="none"/>
        </w:rPr>
        <w:t>开标时，由采购代理机构工作人员当众在不见面开标大厅解密，宣布投标人名称、投标价格和招标文件规定的需要宣布的其他内容。投标人不足3家的，不得开标。</w:t>
      </w:r>
    </w:p>
    <w:p w14:paraId="3D474913">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20.5</w:t>
      </w:r>
      <w:r>
        <w:rPr>
          <w:rFonts w:hint="eastAsia" w:ascii="宋体" w:hAnsi="宋体" w:eastAsia="宋体" w:cs="宋体"/>
          <w:b/>
          <w:color w:val="auto"/>
          <w:sz w:val="28"/>
          <w:szCs w:val="28"/>
          <w:highlight w:val="none"/>
        </w:rPr>
        <w:t xml:space="preserve">开标时，投标报价以系统显示投标报价为准。 </w:t>
      </w:r>
    </w:p>
    <w:p w14:paraId="76BB084D">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20.6</w:t>
      </w:r>
      <w:r>
        <w:rPr>
          <w:rFonts w:hint="eastAsia" w:ascii="宋体" w:hAnsi="宋体" w:eastAsia="宋体" w:cs="宋体"/>
          <w:b/>
          <w:color w:val="auto"/>
          <w:sz w:val="28"/>
          <w:szCs w:val="28"/>
          <w:highlight w:val="none"/>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0D4EB0E0">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20.7</w:t>
      </w:r>
      <w:r>
        <w:rPr>
          <w:rFonts w:hint="eastAsia" w:ascii="宋体" w:hAnsi="宋体" w:eastAsia="宋体" w:cs="宋体"/>
          <w:b/>
          <w:color w:val="auto"/>
          <w:sz w:val="28"/>
          <w:szCs w:val="28"/>
          <w:highlight w:val="none"/>
        </w:rPr>
        <w:t>投标人代表在开标过程中未提出异议的，视为认可本次开标及开标过程的全部事宜。</w:t>
      </w:r>
    </w:p>
    <w:p w14:paraId="35C14584">
      <w:pPr>
        <w:keepNext w:val="0"/>
        <w:keepLines w:val="0"/>
        <w:pageBreakBefore w:val="0"/>
        <w:widowControl w:val="0"/>
        <w:kinsoku/>
        <w:wordWrap/>
        <w:topLinePunct w:val="0"/>
        <w:autoSpaceDE/>
        <w:autoSpaceDN/>
        <w:bidi w:val="0"/>
        <w:adjustRightInd w:val="0"/>
        <w:snapToGrid/>
        <w:spacing w:line="500" w:lineRule="exact"/>
        <w:ind w:firstLine="0" w:firstLineChars="0"/>
        <w:jc w:val="both"/>
        <w:textAlignment w:val="auto"/>
        <w:outlineLvl w:val="1"/>
        <w:rPr>
          <w:rFonts w:hint="eastAsia" w:ascii="宋体" w:hAnsi="宋体" w:eastAsia="宋体" w:cs="宋体"/>
          <w:b/>
          <w:sz w:val="28"/>
          <w:szCs w:val="28"/>
          <w:highlight w:val="none"/>
        </w:rPr>
      </w:pPr>
      <w:r>
        <w:rPr>
          <w:rFonts w:hint="eastAsia" w:ascii="宋体" w:hAnsi="宋体" w:eastAsia="宋体" w:cs="宋体"/>
          <w:b/>
          <w:sz w:val="28"/>
          <w:szCs w:val="28"/>
          <w:highlight w:val="none"/>
        </w:rPr>
        <w:t>六、评标、定标</w:t>
      </w:r>
      <w:bookmarkEnd w:id="128"/>
      <w:bookmarkEnd w:id="129"/>
    </w:p>
    <w:p w14:paraId="65669E64">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21、评标</w:t>
      </w:r>
    </w:p>
    <w:p w14:paraId="42CDD1BB">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21.1  </w:t>
      </w:r>
      <w:r>
        <w:rPr>
          <w:rFonts w:hint="eastAsia" w:ascii="宋体" w:hAnsi="宋体" w:eastAsia="宋体" w:cs="宋体"/>
          <w:b/>
          <w:sz w:val="28"/>
          <w:szCs w:val="28"/>
          <w:highlight w:val="none"/>
        </w:rPr>
        <w:t xml:space="preserve">评标委员会或评标小组 </w:t>
      </w:r>
    </w:p>
    <w:p w14:paraId="7E712EE8">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21.1.1评标委员会或评标小组（以下简称评标委员会）的评标工作由招标单位负责组织，具体评标事务由评标委员会负责，并独立履行其法规规定的职责。</w:t>
      </w:r>
    </w:p>
    <w:p w14:paraId="1C10E278">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t>21.1.2评标委员会构成：</w:t>
      </w:r>
      <w:r>
        <w:rPr>
          <w:rFonts w:hint="eastAsia" w:ascii="宋体" w:hAnsi="宋体" w:eastAsia="宋体" w:cs="宋体"/>
          <w:sz w:val="28"/>
          <w:szCs w:val="28"/>
          <w:highlight w:val="none"/>
          <w:lang w:eastAsia="zh-CN"/>
        </w:rPr>
        <w:t>参照供应商须知前附表第</w:t>
      </w:r>
      <w:r>
        <w:rPr>
          <w:rFonts w:hint="eastAsia" w:ascii="宋体" w:hAnsi="宋体" w:eastAsia="宋体" w:cs="宋体"/>
          <w:sz w:val="28"/>
          <w:szCs w:val="28"/>
          <w:highlight w:val="none"/>
          <w:lang w:val="en-US" w:eastAsia="zh-CN"/>
        </w:rPr>
        <w:t>25条</w:t>
      </w:r>
    </w:p>
    <w:p w14:paraId="1FCC1963">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21.1.3  评标委员会或评标小组负责具体的评标事务，并独立履行以下职责：</w:t>
      </w:r>
    </w:p>
    <w:p w14:paraId="512C16A3">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21.1.3.1 审查投标文件是否符合招标文件的要求，并作出评价；</w:t>
      </w:r>
    </w:p>
    <w:p w14:paraId="7E4EB866">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21.1.3.2 可以要求投标供应商对投标文件有关事项作出解释或澄清；</w:t>
      </w:r>
    </w:p>
    <w:p w14:paraId="5C4BFF3C">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21.1.3.</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rPr>
        <w:t xml:space="preserve"> 向招标单位或者有关部门报告非法干预评标工作的行为。</w:t>
      </w:r>
    </w:p>
    <w:p w14:paraId="02DD45BF">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21.1.4 评标委员会成员应当履行下列义务：</w:t>
      </w:r>
    </w:p>
    <w:p w14:paraId="39807745">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21.1.4.1 遵纪守法，客观、公正、廉洁地履行职责；</w:t>
      </w:r>
    </w:p>
    <w:p w14:paraId="03CD7B7B">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21.1.4</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rPr>
        <w:t>2 按照招标文件规定的评标办法和评标标准进行评标，对评审意见承担个人责任；</w:t>
      </w:r>
    </w:p>
    <w:p w14:paraId="1EBD848C">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21.1.4</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rPr>
        <w:t>3 对评标过程和结果，以及</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的商业秘密保密；</w:t>
      </w:r>
    </w:p>
    <w:p w14:paraId="3157C87F">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21.1.4</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rPr>
        <w:t>4 参与评标报告的起草；</w:t>
      </w:r>
    </w:p>
    <w:p w14:paraId="5056D04B">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21.1.4</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rPr>
        <w:t>5 配合财政部门的投诉处理工作；</w:t>
      </w:r>
    </w:p>
    <w:p w14:paraId="467A7B39">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21.1.4</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rPr>
        <w:t>6 配合招标单位答复投标供应商提出的质疑。</w:t>
      </w:r>
    </w:p>
    <w:p w14:paraId="06656D60">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21.2按《中华人民共和国招标投标法》《中华人民共和国政府采购法》、《中华人民共和国财政部令第87号--政府采购货物和服务招标投标管理办法》</w:t>
      </w:r>
      <w:r>
        <w:rPr>
          <w:rFonts w:hint="eastAsia" w:ascii="宋体" w:hAnsi="宋体" w:eastAsia="宋体" w:cs="宋体"/>
          <w:sz w:val="28"/>
          <w:szCs w:val="28"/>
          <w:highlight w:val="none"/>
          <w:lang w:val="en-US" w:eastAsia="zh-CN"/>
        </w:rPr>
        <w:t>规定</w:t>
      </w:r>
      <w:r>
        <w:rPr>
          <w:rFonts w:hint="eastAsia" w:ascii="宋体" w:hAnsi="宋体" w:eastAsia="宋体" w:cs="宋体"/>
          <w:sz w:val="28"/>
          <w:szCs w:val="28"/>
          <w:highlight w:val="none"/>
        </w:rPr>
        <w:t>，</w:t>
      </w:r>
      <w:r>
        <w:rPr>
          <w:rFonts w:hint="eastAsia" w:ascii="宋体" w:hAnsi="宋体" w:eastAsia="宋体" w:cs="宋体"/>
          <w:b/>
          <w:color w:val="000000"/>
          <w:sz w:val="28"/>
          <w:szCs w:val="28"/>
          <w:highlight w:val="none"/>
        </w:rPr>
        <w:t>本项目采用综合评分法，是指在最大限度地满足招标文件实质性要求前提下，按照招标文件中规定的各项因素进行综合评审后，以评标总得分最高的依次排序，作为中标候选人或者中标人的评标方法。</w:t>
      </w:r>
    </w:p>
    <w:p w14:paraId="149A97A7">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b/>
          <w:color w:val="000000"/>
          <w:sz w:val="28"/>
          <w:szCs w:val="28"/>
          <w:highlight w:val="none"/>
        </w:rPr>
        <w:t>综合评分因素的主要因素为实施方案、价格、财务状况、信誉、服务以及对招标文件的响应程度等。每一</w:t>
      </w:r>
      <w:r>
        <w:rPr>
          <w:rFonts w:hint="eastAsia" w:ascii="宋体" w:hAnsi="宋体" w:eastAsia="宋体" w:cs="宋体"/>
          <w:b/>
          <w:color w:val="000000"/>
          <w:sz w:val="28"/>
          <w:szCs w:val="28"/>
          <w:highlight w:val="none"/>
          <w:lang w:eastAsia="zh-CN"/>
        </w:rPr>
        <w:t>供应商</w:t>
      </w:r>
      <w:r>
        <w:rPr>
          <w:rFonts w:hint="eastAsia" w:ascii="宋体" w:hAnsi="宋体" w:eastAsia="宋体" w:cs="宋体"/>
          <w:b/>
          <w:color w:val="000000"/>
          <w:sz w:val="28"/>
          <w:szCs w:val="28"/>
          <w:highlight w:val="none"/>
        </w:rPr>
        <w:t>的最终得分为所有评委评分的算数平均值。</w:t>
      </w:r>
      <w:r>
        <w:rPr>
          <w:rFonts w:hint="eastAsia" w:ascii="宋体" w:hAnsi="宋体" w:eastAsia="宋体" w:cs="宋体"/>
          <w:b/>
          <w:color w:val="0000FF"/>
          <w:sz w:val="28"/>
          <w:szCs w:val="28"/>
          <w:highlight w:val="none"/>
        </w:rPr>
        <w:t>（总分100分：其中</w:t>
      </w:r>
      <w:r>
        <w:rPr>
          <w:rFonts w:hint="eastAsia" w:ascii="宋体" w:hAnsi="宋体" w:eastAsia="宋体" w:cs="宋体"/>
          <w:b/>
          <w:color w:val="0000FF"/>
          <w:sz w:val="28"/>
          <w:szCs w:val="28"/>
          <w:highlight w:val="none"/>
          <w:lang w:val="en-US" w:eastAsia="zh-CN"/>
        </w:rPr>
        <w:t>商务技术</w:t>
      </w:r>
      <w:r>
        <w:rPr>
          <w:rFonts w:hint="eastAsia" w:ascii="宋体" w:hAnsi="宋体" w:eastAsia="宋体" w:cs="宋体"/>
          <w:b/>
          <w:color w:val="0000FF"/>
          <w:sz w:val="28"/>
          <w:szCs w:val="28"/>
          <w:highlight w:val="none"/>
        </w:rPr>
        <w:t>部分占</w:t>
      </w:r>
      <w:r>
        <w:rPr>
          <w:rFonts w:hint="eastAsia" w:ascii="宋体" w:hAnsi="宋体" w:cs="宋体"/>
          <w:b/>
          <w:color w:val="0000FF"/>
          <w:sz w:val="28"/>
          <w:szCs w:val="28"/>
          <w:highlight w:val="none"/>
          <w:lang w:val="en-US" w:eastAsia="zh-CN"/>
        </w:rPr>
        <w:t>7</w:t>
      </w:r>
      <w:r>
        <w:rPr>
          <w:rFonts w:hint="eastAsia" w:ascii="宋体" w:hAnsi="宋体" w:eastAsia="宋体" w:cs="宋体"/>
          <w:b/>
          <w:color w:val="0000FF"/>
          <w:sz w:val="28"/>
          <w:szCs w:val="28"/>
          <w:highlight w:val="none"/>
          <w:lang w:val="en-US" w:eastAsia="zh-CN"/>
        </w:rPr>
        <w:t>0</w:t>
      </w:r>
      <w:r>
        <w:rPr>
          <w:rFonts w:hint="eastAsia" w:ascii="宋体" w:hAnsi="宋体" w:eastAsia="宋体" w:cs="宋体"/>
          <w:b/>
          <w:color w:val="0000FF"/>
          <w:sz w:val="28"/>
          <w:szCs w:val="28"/>
          <w:highlight w:val="none"/>
        </w:rPr>
        <w:t>分，投标报价</w:t>
      </w:r>
      <w:r>
        <w:rPr>
          <w:rFonts w:hint="eastAsia" w:ascii="宋体" w:hAnsi="宋体" w:eastAsia="宋体" w:cs="宋体"/>
          <w:b/>
          <w:color w:val="0000FF"/>
          <w:sz w:val="28"/>
          <w:szCs w:val="28"/>
          <w:highlight w:val="none"/>
          <w:lang w:val="en-US" w:eastAsia="zh-CN"/>
        </w:rPr>
        <w:t>部分</w:t>
      </w:r>
      <w:r>
        <w:rPr>
          <w:rFonts w:hint="eastAsia" w:ascii="宋体" w:hAnsi="宋体" w:eastAsia="宋体" w:cs="宋体"/>
          <w:b/>
          <w:color w:val="0000FF"/>
          <w:sz w:val="28"/>
          <w:szCs w:val="28"/>
          <w:highlight w:val="none"/>
        </w:rPr>
        <w:t>占</w:t>
      </w:r>
      <w:r>
        <w:rPr>
          <w:rFonts w:hint="eastAsia" w:ascii="宋体" w:hAnsi="宋体" w:cs="宋体"/>
          <w:b/>
          <w:color w:val="0000FF"/>
          <w:sz w:val="28"/>
          <w:szCs w:val="28"/>
          <w:highlight w:val="none"/>
          <w:lang w:val="en-US" w:eastAsia="zh-CN"/>
        </w:rPr>
        <w:t>3</w:t>
      </w:r>
      <w:r>
        <w:rPr>
          <w:rFonts w:hint="eastAsia" w:ascii="宋体" w:hAnsi="宋体" w:eastAsia="宋体" w:cs="宋体"/>
          <w:b/>
          <w:color w:val="0000FF"/>
          <w:sz w:val="28"/>
          <w:szCs w:val="28"/>
          <w:highlight w:val="none"/>
          <w:lang w:val="en-US" w:eastAsia="zh-CN"/>
        </w:rPr>
        <w:t>0</w:t>
      </w:r>
      <w:r>
        <w:rPr>
          <w:rFonts w:hint="eastAsia" w:ascii="宋体" w:hAnsi="宋体" w:eastAsia="宋体" w:cs="宋体"/>
          <w:b/>
          <w:color w:val="0000FF"/>
          <w:sz w:val="28"/>
          <w:szCs w:val="28"/>
          <w:highlight w:val="none"/>
        </w:rPr>
        <w:t>分）,最终合计得分【为所有评委评分总和的算术平均值】，按得分高低排序,确定中标候选人；</w:t>
      </w:r>
    </w:p>
    <w:p w14:paraId="65E125A5">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21.3 评标的依据为招标文件和投标文件。</w:t>
      </w:r>
    </w:p>
    <w:p w14:paraId="1C90A543">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21.4评标过程的保密性。开标后，直到授予</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合同止，凡是属于审查、澄清、评价和比较的有关资料以及授标建议等均不得向</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或其他无关的人员透露。</w:t>
      </w:r>
    </w:p>
    <w:p w14:paraId="00E013D0">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21.5 </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在评标过程中所进行的力图影响评标结果、有悖于招标规则的活动，导致取消其中标资格。</w:t>
      </w:r>
    </w:p>
    <w:p w14:paraId="0C6D06C4">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21.6 与招标文件有重大偏离的投标文件将被拒绝。且此重大偏离在开标后不许修改。</w:t>
      </w:r>
    </w:p>
    <w:p w14:paraId="168C563D">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22、对投标文件的初步审查和响应性确定</w:t>
      </w:r>
    </w:p>
    <w:p w14:paraId="770CA539">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22.1 开标后</w:t>
      </w:r>
      <w:r>
        <w:rPr>
          <w:rFonts w:hint="eastAsia" w:ascii="宋体" w:hAnsi="宋体" w:eastAsia="宋体" w:cs="宋体"/>
          <w:sz w:val="28"/>
          <w:szCs w:val="28"/>
          <w:highlight w:val="none"/>
          <w:lang w:eastAsia="zh-CN"/>
        </w:rPr>
        <w:t>采购人</w:t>
      </w:r>
      <w:r>
        <w:rPr>
          <w:rFonts w:hint="eastAsia" w:ascii="宋体" w:hAnsi="宋体" w:eastAsia="宋体" w:cs="宋体"/>
          <w:sz w:val="28"/>
          <w:szCs w:val="28"/>
          <w:highlight w:val="none"/>
        </w:rPr>
        <w:t>将审查投标文件的完整性、准确性以及保证金提交、文件签署情况。在审查时，投标报价大写与数字有出入，以大写金额为准。若</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拒绝接受上述修正，其投标将被拒绝。</w:t>
      </w:r>
    </w:p>
    <w:p w14:paraId="2C4309B7">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22.2 在对投标文件进行详细评估之前，评标委员会将审查每一份投标文件是否对招标文件的要求作出了实质性的响应。实质性响应的投标文件应该是与招标文件的全部条款、条件和技术规格相符，而没有重大偏离。</w:t>
      </w:r>
    </w:p>
    <w:p w14:paraId="46F0BD32">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22.3</w:t>
      </w:r>
      <w:r>
        <w:rPr>
          <w:rFonts w:hint="eastAsia" w:ascii="宋体" w:hAnsi="宋体" w:eastAsia="宋体" w:cs="宋体"/>
          <w:sz w:val="28"/>
          <w:szCs w:val="28"/>
          <w:highlight w:val="none"/>
          <w:lang w:eastAsia="zh-CN"/>
        </w:rPr>
        <w:t>采购人</w:t>
      </w:r>
      <w:r>
        <w:rPr>
          <w:rFonts w:hint="eastAsia" w:ascii="宋体" w:hAnsi="宋体" w:eastAsia="宋体" w:cs="宋体"/>
          <w:sz w:val="28"/>
          <w:szCs w:val="28"/>
          <w:highlight w:val="none"/>
        </w:rPr>
        <w:t>判断投标文件的响应性是基于投标文件本身而不靠外部证据。</w:t>
      </w:r>
    </w:p>
    <w:p w14:paraId="0E766121">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22.4 </w:t>
      </w:r>
      <w:r>
        <w:rPr>
          <w:rFonts w:hint="eastAsia" w:ascii="宋体" w:hAnsi="宋体" w:eastAsia="宋体" w:cs="宋体"/>
          <w:sz w:val="28"/>
          <w:szCs w:val="28"/>
          <w:highlight w:val="none"/>
          <w:lang w:eastAsia="zh-CN"/>
        </w:rPr>
        <w:t>采购人</w:t>
      </w:r>
      <w:r>
        <w:rPr>
          <w:rFonts w:hint="eastAsia" w:ascii="宋体" w:hAnsi="宋体" w:eastAsia="宋体" w:cs="宋体"/>
          <w:sz w:val="28"/>
          <w:szCs w:val="28"/>
          <w:highlight w:val="none"/>
        </w:rPr>
        <w:t>将拒绝被定为非响应性的投标，</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不能通过修正或撤消不符之处而使其投标成为响应性投标。</w:t>
      </w:r>
    </w:p>
    <w:p w14:paraId="44B89DE9">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22.5投标评审标准：</w:t>
      </w:r>
    </w:p>
    <w:p w14:paraId="638DA94A">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附表1、 资格审查表</w:t>
      </w:r>
    </w:p>
    <w:p w14:paraId="6A3949DA">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附表2、 </w:t>
      </w:r>
      <w:r>
        <w:rPr>
          <w:rFonts w:hint="eastAsia" w:ascii="宋体" w:hAnsi="宋体" w:cs="宋体"/>
          <w:sz w:val="28"/>
          <w:szCs w:val="28"/>
          <w:highlight w:val="none"/>
          <w:lang w:val="en-US" w:eastAsia="zh-CN"/>
        </w:rPr>
        <w:t>符合性</w:t>
      </w:r>
      <w:r>
        <w:rPr>
          <w:rFonts w:hint="eastAsia" w:ascii="宋体" w:hAnsi="宋体" w:eastAsia="宋体" w:cs="宋体"/>
          <w:sz w:val="28"/>
          <w:szCs w:val="28"/>
          <w:highlight w:val="none"/>
          <w:lang w:val="en-US" w:eastAsia="zh-CN"/>
        </w:rPr>
        <w:t>评审表</w:t>
      </w:r>
    </w:p>
    <w:p w14:paraId="78D753D6">
      <w:pPr>
        <w:keepNext w:val="0"/>
        <w:keepLines w:val="0"/>
        <w:pageBreakBefore w:val="0"/>
        <w:widowControl w:val="0"/>
        <w:kinsoku/>
        <w:wordWrap/>
        <w:topLinePunct w:val="0"/>
        <w:autoSpaceDE/>
        <w:autoSpaceDN/>
        <w:bidi w:val="0"/>
        <w:adjustRightInd w:val="0"/>
        <w:snapToGrid/>
        <w:spacing w:line="500" w:lineRule="exact"/>
        <w:ind w:firstLine="0" w:firstLineChars="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附表3、 详细评审表</w:t>
      </w:r>
    </w:p>
    <w:p w14:paraId="04BE4B05">
      <w:pPr>
        <w:pageBreakBefore w:val="0"/>
        <w:widowControl w:val="0"/>
        <w:wordWrap/>
        <w:topLinePunct w:val="0"/>
        <w:bidi w:val="0"/>
        <w:spacing w:line="500" w:lineRule="exact"/>
        <w:ind w:firstLine="560" w:firstLineChars="200"/>
        <w:rPr>
          <w:rFonts w:hint="eastAsia" w:ascii="宋体" w:hAnsi="宋体" w:eastAsia="宋体" w:cs="宋体"/>
          <w:color w:val="auto"/>
          <w:sz w:val="24"/>
          <w:szCs w:val="24"/>
          <w:highlight w:val="none"/>
          <w:lang w:val="en-US"/>
        </w:rPr>
      </w:pPr>
      <w:r>
        <w:rPr>
          <w:rFonts w:hint="eastAsia" w:ascii="宋体" w:hAnsi="宋体" w:eastAsia="宋体" w:cs="宋体"/>
          <w:sz w:val="28"/>
          <w:szCs w:val="28"/>
          <w:highlight w:val="none"/>
          <w:lang w:val="en-US" w:eastAsia="zh-CN"/>
        </w:rPr>
        <w:br w:type="page"/>
      </w:r>
      <w:r>
        <w:rPr>
          <w:rFonts w:hint="eastAsia" w:ascii="宋体" w:hAnsi="宋体" w:eastAsia="宋体" w:cs="宋体"/>
          <w:color w:val="auto"/>
          <w:sz w:val="24"/>
          <w:szCs w:val="24"/>
          <w:highlight w:val="none"/>
          <w:lang w:eastAsia="zh-CN"/>
        </w:rPr>
        <w:t>附表</w:t>
      </w:r>
      <w:r>
        <w:rPr>
          <w:rFonts w:hint="eastAsia" w:ascii="宋体" w:hAnsi="宋体" w:eastAsia="宋体" w:cs="宋体"/>
          <w:color w:val="auto"/>
          <w:sz w:val="24"/>
          <w:szCs w:val="24"/>
          <w:highlight w:val="none"/>
          <w:lang w:val="en-US" w:eastAsia="zh-CN"/>
        </w:rPr>
        <w:t>...1</w:t>
      </w:r>
    </w:p>
    <w:p w14:paraId="3AC602CD">
      <w:pPr>
        <w:pStyle w:val="3"/>
        <w:pageBreakBefore w:val="0"/>
        <w:widowControl w:val="0"/>
        <w:wordWrap/>
        <w:topLinePunct w:val="0"/>
        <w:bidi w:val="0"/>
        <w:jc w:val="center"/>
        <w:rPr>
          <w:rFonts w:hint="eastAsia" w:ascii="宋体" w:hAnsi="宋体" w:eastAsia="宋体" w:cs="宋体"/>
          <w:color w:val="auto"/>
          <w:sz w:val="28"/>
          <w:szCs w:val="28"/>
          <w:highlight w:val="none"/>
          <w:lang w:val="en-US" w:eastAsia="zh-CN"/>
        </w:rPr>
      </w:pPr>
      <w:bookmarkStart w:id="130" w:name="_Toc23281"/>
      <w:bookmarkStart w:id="131" w:name="_Toc26132"/>
      <w:r>
        <w:rPr>
          <w:rFonts w:hint="eastAsia" w:ascii="宋体" w:hAnsi="宋体" w:eastAsia="宋体" w:cs="宋体"/>
          <w:color w:val="auto"/>
          <w:sz w:val="28"/>
          <w:szCs w:val="28"/>
          <w:highlight w:val="none"/>
          <w:lang w:val="en-US" w:eastAsia="zh-CN"/>
        </w:rPr>
        <w:t>资格审查表</w:t>
      </w:r>
      <w:bookmarkEnd w:id="130"/>
      <w:bookmarkEnd w:id="131"/>
    </w:p>
    <w:tbl>
      <w:tblPr>
        <w:tblStyle w:val="22"/>
        <w:tblW w:w="1019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787"/>
        <w:gridCol w:w="9412"/>
      </w:tblGrid>
      <w:tr w14:paraId="38E15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078"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22E6A931">
            <w:pPr>
              <w:keepNext w:val="0"/>
              <w:keepLines w:val="0"/>
              <w:pageBreakBefore w:val="0"/>
              <w:widowControl w:val="0"/>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序号</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2EFA428D">
            <w:pPr>
              <w:keepNext w:val="0"/>
              <w:keepLines w:val="0"/>
              <w:pageBreakBefore w:val="0"/>
              <w:widowControl w:val="0"/>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-9525</wp:posOffset>
                      </wp:positionH>
                      <wp:positionV relativeFrom="paragraph">
                        <wp:posOffset>10160</wp:posOffset>
                      </wp:positionV>
                      <wp:extent cx="5862320" cy="785495"/>
                      <wp:effectExtent l="635" t="4445" r="4445" b="10160"/>
                      <wp:wrapNone/>
                      <wp:docPr id="13" name="直接箭头连接符 13"/>
                      <wp:cNvGraphicFramePr/>
                      <a:graphic xmlns:a="http://schemas.openxmlformats.org/drawingml/2006/main">
                        <a:graphicData uri="http://schemas.microsoft.com/office/word/2010/wordprocessingShape">
                          <wps:wsp>
                            <wps:cNvCnPr/>
                            <wps:spPr>
                              <a:xfrm>
                                <a:off x="0" y="0"/>
                                <a:ext cx="5862320" cy="785495"/>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_x0000_s1026" o:spid="_x0000_s1026" o:spt="32" type="#_x0000_t32" style="position:absolute;left:0pt;margin-left:-0.75pt;margin-top:0.8pt;height:61.85pt;width:461.6pt;z-index:251665408;mso-width-relative:page;mso-height-relative:page;" filled="f" stroked="t" coordsize="21600,21600" o:gfxdata="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gZTmQ1gAAAAgBAAAPAAAAAAAAAAEAIAAAACIAAABk&#10;cnMvZG93bnJldi54bWxQSwECFAAUAAAACACHTuJADOqbZQgCAAD9AwAADgAAAAAAAAABACAAAAAl&#10;AQAAZHJzL2Uyb0RvYy54bWxQSwUGAAAAAAYABgBZAQAAnwUAAAAA&#10;">
                      <v:fill on="f" focussize="0,0"/>
                      <v:stroke color="#000000" joinstyle="round"/>
                      <v:imagedata o:title=""/>
                      <o:lock v:ext="edit" aspectratio="f"/>
                    </v:shape>
                  </w:pict>
                </mc:Fallback>
              </mc:AlternateContent>
            </w:r>
            <w:r>
              <w:rPr>
                <w:rFonts w:hint="eastAsia" w:ascii="宋体" w:hAnsi="宋体" w:eastAsia="宋体" w:cs="宋体"/>
                <w:i w:val="0"/>
                <w:color w:val="auto"/>
                <w:kern w:val="0"/>
                <w:sz w:val="24"/>
                <w:szCs w:val="24"/>
                <w:highlight w:val="none"/>
                <w:u w:val="none"/>
                <w:lang w:val="en-US" w:eastAsia="zh-CN" w:bidi="ar"/>
              </w:rPr>
              <w:t xml:space="preserve">          </w:t>
            </w:r>
          </w:p>
          <w:p w14:paraId="361FE752">
            <w:pPr>
              <w:keepNext w:val="0"/>
              <w:keepLines w:val="0"/>
              <w:pageBreakBefore w:val="0"/>
              <w:widowControl w:val="0"/>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 xml:space="preserve">                                           投标单位          </w:t>
            </w:r>
          </w:p>
          <w:p w14:paraId="7D7C03D0">
            <w:pPr>
              <w:keepNext w:val="0"/>
              <w:keepLines w:val="0"/>
              <w:pageBreakBefore w:val="0"/>
              <w:widowControl w:val="0"/>
              <w:suppressLineNumbers w:val="0"/>
              <w:kinsoku/>
              <w:wordWrap/>
              <w:overflowPunct/>
              <w:topLinePunct w:val="0"/>
              <w:autoSpaceDE/>
              <w:autoSpaceDN/>
              <w:bidi w:val="0"/>
              <w:adjustRightInd/>
              <w:snapToGrid/>
              <w:spacing w:line="320" w:lineRule="exact"/>
              <w:ind w:firstLine="960" w:firstLineChars="400"/>
              <w:jc w:val="both"/>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i w:val="0"/>
                <w:color w:val="auto"/>
                <w:kern w:val="0"/>
                <w:sz w:val="24"/>
                <w:szCs w:val="24"/>
                <w:highlight w:val="none"/>
                <w:u w:val="none"/>
                <w:lang w:val="en-US" w:eastAsia="zh-CN" w:bidi="ar"/>
              </w:rPr>
              <w:t xml:space="preserve">审查内容       </w:t>
            </w:r>
          </w:p>
        </w:tc>
      </w:tr>
      <w:tr w14:paraId="7C52D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77" w:hRule="atLeast"/>
          <w:jc w:val="center"/>
        </w:trPr>
        <w:tc>
          <w:tcPr>
            <w:tcW w:w="787" w:type="dxa"/>
            <w:tcBorders>
              <w:top w:val="single" w:color="000000" w:sz="4" w:space="0"/>
              <w:left w:val="single" w:color="000000" w:sz="4" w:space="0"/>
              <w:right w:val="single" w:color="000000" w:sz="4" w:space="0"/>
            </w:tcBorders>
            <w:noWrap w:val="0"/>
            <w:vAlign w:val="center"/>
          </w:tcPr>
          <w:p w14:paraId="21F3D5B4">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eastAsia="宋体" w:cs="宋体"/>
                <w:b w:val="0"/>
                <w:bCs w:val="0"/>
                <w:color w:val="auto"/>
                <w:kern w:val="0"/>
                <w:sz w:val="24"/>
                <w:szCs w:val="24"/>
                <w:highlight w:val="none"/>
              </w:rPr>
              <w:t>1</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44652268">
            <w:pPr>
              <w:widowControl/>
              <w:jc w:val="left"/>
              <w:textAlignment w:val="center"/>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rPr>
              <w:t>是否提供合格的营业执照（三证合一）；</w:t>
            </w:r>
          </w:p>
        </w:tc>
      </w:tr>
      <w:tr w14:paraId="65D7A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427"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2072060B">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eastAsia="宋体" w:cs="宋体"/>
                <w:b w:val="0"/>
                <w:bCs w:val="0"/>
                <w:color w:val="auto"/>
                <w:kern w:val="0"/>
                <w:sz w:val="24"/>
                <w:szCs w:val="24"/>
                <w:highlight w:val="none"/>
                <w:lang w:val="en-US" w:eastAsia="zh-CN"/>
              </w:rPr>
              <w:t>2</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4911EEB5">
            <w:pPr>
              <w:widowControl/>
              <w:jc w:val="left"/>
              <w:textAlignment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rPr>
              <w:t>是否提供授权委托书及授权委托人（指本单位）近3个月单位缴纳的个人社保明细</w:t>
            </w:r>
            <w:r>
              <w:rPr>
                <w:rFonts w:hint="eastAsia" w:ascii="宋体" w:hAnsi="宋体" w:cs="宋体"/>
                <w:bCs/>
                <w:color w:val="auto"/>
                <w:sz w:val="24"/>
                <w:szCs w:val="24"/>
                <w:highlight w:val="none"/>
                <w:lang w:val="en-US" w:eastAsia="zh-CN"/>
              </w:rPr>
              <w:t>及缴费凭证</w:t>
            </w:r>
            <w:r>
              <w:rPr>
                <w:rFonts w:hint="eastAsia" w:ascii="宋体" w:hAnsi="宋体" w:cs="宋体"/>
                <w:bCs/>
                <w:color w:val="auto"/>
                <w:sz w:val="24"/>
                <w:szCs w:val="24"/>
                <w:highlight w:val="none"/>
              </w:rPr>
              <w:t>，成立不足三个月的按实际提供；提供税务机关出具的近3个月的完税证明或依法报税资料（新成立不足3个月的按实际情况发生提供，成立时间超过3个月的零申报的需提供依法报税资料）</w:t>
            </w:r>
          </w:p>
        </w:tc>
      </w:tr>
      <w:tr w14:paraId="385B2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0"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26E47915">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3</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42EAC893">
            <w:pPr>
              <w:widowControl/>
              <w:jc w:val="left"/>
              <w:textAlignment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rPr>
              <w:t>是否提供</w:t>
            </w:r>
            <w:r>
              <w:rPr>
                <w:rFonts w:hint="eastAsia" w:ascii="宋体" w:hAnsi="宋体" w:cs="宋体"/>
                <w:bCs/>
                <w:color w:val="auto"/>
                <w:sz w:val="24"/>
                <w:szCs w:val="24"/>
                <w:highlight w:val="none"/>
                <w:lang w:eastAsia="zh-CN"/>
              </w:rPr>
              <w:t>2023年度或2024年度</w:t>
            </w:r>
            <w:r>
              <w:rPr>
                <w:rFonts w:hint="eastAsia" w:ascii="宋体" w:hAnsi="宋体" w:cs="宋体"/>
                <w:bCs/>
                <w:color w:val="auto"/>
                <w:sz w:val="24"/>
                <w:szCs w:val="24"/>
                <w:highlight w:val="none"/>
              </w:rPr>
              <w:t>第三方审计机构出具的审计报告（</w:t>
            </w:r>
            <w:r>
              <w:rPr>
                <w:rFonts w:hint="eastAsia" w:ascii="宋体" w:hAnsi="宋体" w:cs="宋体"/>
                <w:bCs/>
                <w:color w:val="auto"/>
                <w:sz w:val="24"/>
                <w:szCs w:val="24"/>
                <w:highlight w:val="none"/>
                <w:lang w:eastAsia="zh-CN"/>
              </w:rPr>
              <w:t>2024年4月</w:t>
            </w:r>
            <w:r>
              <w:rPr>
                <w:rFonts w:hint="eastAsia" w:ascii="宋体" w:hAnsi="宋体" w:cs="宋体"/>
                <w:bCs/>
                <w:color w:val="auto"/>
                <w:sz w:val="24"/>
                <w:szCs w:val="24"/>
                <w:highlight w:val="none"/>
              </w:rPr>
              <w:t>份后新成立的公司可不提供但需提供银行出具的近三个月的资信证明）和健全的财务会计制度；</w:t>
            </w:r>
          </w:p>
        </w:tc>
      </w:tr>
      <w:tr w14:paraId="19792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25"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0DF13818">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4</w:t>
            </w:r>
          </w:p>
          <w:p w14:paraId="50192682">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b w:val="0"/>
                <w:bCs w:val="0"/>
                <w:color w:val="auto"/>
                <w:kern w:val="0"/>
                <w:sz w:val="24"/>
                <w:szCs w:val="24"/>
                <w:highlight w:val="none"/>
                <w:lang w:val="en-US" w:eastAsia="zh-CN"/>
              </w:rPr>
            </w:pPr>
          </w:p>
        </w:tc>
        <w:tc>
          <w:tcPr>
            <w:tcW w:w="9412" w:type="dxa"/>
            <w:tcBorders>
              <w:top w:val="single" w:color="000000" w:sz="4" w:space="0"/>
              <w:left w:val="single" w:color="000000" w:sz="4" w:space="0"/>
              <w:right w:val="single" w:color="000000" w:sz="4" w:space="0"/>
            </w:tcBorders>
            <w:noWrap w:val="0"/>
            <w:vAlign w:val="center"/>
          </w:tcPr>
          <w:p w14:paraId="5B0DEE1A">
            <w:pPr>
              <w:widowControl/>
              <w:jc w:val="left"/>
              <w:textAlignment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rPr>
              <w:t>是否提供参加政府采购活动前三年内，在经营活动中没有重大违法记录的书面声明</w:t>
            </w:r>
          </w:p>
        </w:tc>
      </w:tr>
      <w:tr w14:paraId="55118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30"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78774606">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5</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613C4A09">
            <w:pPr>
              <w:widowControl/>
              <w:jc w:val="left"/>
              <w:textAlignment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rPr>
              <w:t>投标人是否提供企业负责人为同一人或者存在直接控股、管理关系的不同投标人，不得参加同一合同项下的政府采购活动的书面声明。</w:t>
            </w:r>
          </w:p>
        </w:tc>
      </w:tr>
      <w:tr w14:paraId="18879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150"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432CD67F">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eastAsia="宋体" w:cs="宋体"/>
                <w:b w:val="0"/>
                <w:bCs w:val="0"/>
                <w:color w:val="auto"/>
                <w:kern w:val="0"/>
                <w:sz w:val="24"/>
                <w:szCs w:val="24"/>
                <w:highlight w:val="none"/>
                <w:lang w:val="en-US" w:eastAsia="zh-CN"/>
              </w:rPr>
              <w:t>6</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23D60162">
            <w:pPr>
              <w:keepNext w:val="0"/>
              <w:keepLines w:val="0"/>
              <w:pageBreakBefore w:val="0"/>
              <w:widowControl w:val="0"/>
              <w:kinsoku/>
              <w:wordWrap/>
              <w:overflowPunct/>
              <w:topLinePunct w:val="0"/>
              <w:autoSpaceDE/>
              <w:autoSpaceDN/>
              <w:bidi w:val="0"/>
              <w:adjustRightInd/>
              <w:snapToGrid/>
              <w:spacing w:line="320" w:lineRule="exact"/>
              <w:jc w:val="both"/>
              <w:rPr>
                <w:rFonts w:hint="eastAsia" w:ascii="宋体" w:hAnsi="宋体" w:eastAsia="宋体" w:cs="宋体"/>
                <w:color w:val="0000FF"/>
                <w:kern w:val="0"/>
                <w:sz w:val="24"/>
                <w:szCs w:val="24"/>
                <w:highlight w:val="none"/>
                <w:lang w:val="en-US" w:eastAsia="zh-CN"/>
              </w:rPr>
            </w:pPr>
            <w:r>
              <w:rPr>
                <w:rFonts w:hint="eastAsia" w:ascii="宋体" w:hAnsi="宋体" w:eastAsia="宋体" w:cs="宋体"/>
                <w:color w:val="0000FF"/>
                <w:kern w:val="0"/>
                <w:sz w:val="24"/>
                <w:szCs w:val="24"/>
                <w:highlight w:val="none"/>
                <w:lang w:val="en-US" w:eastAsia="zh-CN"/>
              </w:rPr>
              <w:t>投标人为制造商的，提供《医疗器械生产许可证》；投标人为经销商的，投标货物若属于三类医疗器械，须提供《医疗器械经营企业许可证》，投标货物若属于二类医疗器械，提供《</w:t>
            </w:r>
            <w:r>
              <w:rPr>
                <w:rFonts w:hint="eastAsia" w:ascii="宋体" w:hAnsi="宋体" w:cs="宋体"/>
                <w:color w:val="0000FF"/>
                <w:kern w:val="0"/>
                <w:sz w:val="24"/>
                <w:szCs w:val="24"/>
                <w:highlight w:val="none"/>
                <w:lang w:val="en-US" w:eastAsia="zh-CN"/>
              </w:rPr>
              <w:t>第</w:t>
            </w:r>
            <w:r>
              <w:rPr>
                <w:rFonts w:hint="eastAsia" w:ascii="宋体" w:hAnsi="宋体" w:eastAsia="宋体" w:cs="宋体"/>
                <w:color w:val="0000FF"/>
                <w:kern w:val="0"/>
                <w:sz w:val="24"/>
                <w:szCs w:val="24"/>
                <w:highlight w:val="none"/>
                <w:lang w:val="en-US" w:eastAsia="zh-CN"/>
              </w:rPr>
              <w:t>二类医疗器械经营备案凭证》，投标货物若属于一类医疗器械，则无须提供此项；投标产品须在其经营范围内，所有证件必须在有效期内；</w:t>
            </w:r>
          </w:p>
          <w:p w14:paraId="3DFF884C">
            <w:pPr>
              <w:widowControl/>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0000FF"/>
                <w:kern w:val="0"/>
                <w:sz w:val="24"/>
                <w:szCs w:val="24"/>
                <w:highlight w:val="none"/>
                <w:lang w:val="en-US" w:eastAsia="zh-CN"/>
              </w:rPr>
              <w:t>投标货物属于《医疗器械监督管理条例》规定的第一类医疗器械产品应提供《第一类医疗器械备案凭证》，属于第二类、第三类医疗器械产品应取得《医疗器械注册证》(如有注册登记表应提供)，所有证件必须在有效期内；</w:t>
            </w:r>
          </w:p>
        </w:tc>
      </w:tr>
      <w:tr w14:paraId="6614CA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61"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2A0BDB15">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eastAsia="宋体" w:cs="宋体"/>
                <w:b w:val="0"/>
                <w:bCs w:val="0"/>
                <w:color w:val="auto"/>
                <w:kern w:val="0"/>
                <w:sz w:val="24"/>
                <w:szCs w:val="24"/>
                <w:highlight w:val="none"/>
                <w:lang w:val="en-US" w:eastAsia="zh-CN"/>
              </w:rPr>
              <w:t>7</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6503F527">
            <w:pPr>
              <w:widowControl/>
              <w:jc w:val="left"/>
              <w:textAlignment w:val="center"/>
              <w:rPr>
                <w:rFonts w:hint="default" w:ascii="宋体" w:hAnsi="宋体" w:eastAsia="宋体" w:cs="宋体"/>
                <w:i w:val="0"/>
                <w:color w:val="auto"/>
                <w:sz w:val="24"/>
                <w:szCs w:val="24"/>
                <w:highlight w:val="none"/>
                <w:u w:val="none"/>
                <w:lang w:val="en-US" w:eastAsia="zh-CN"/>
              </w:rPr>
            </w:pPr>
            <w:r>
              <w:rPr>
                <w:rFonts w:hint="eastAsia" w:ascii="宋体" w:hAnsi="宋体" w:eastAsia="宋体" w:cs="宋体"/>
                <w:color w:val="auto"/>
                <w:sz w:val="24"/>
                <w:szCs w:val="24"/>
                <w:highlight w:val="none"/>
              </w:rPr>
              <w:t>是否按照招标文件要求足额缴纳保证金。</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提供投标保证金缴纳凭证及基本账户证明或保函（如是保函，还需提供由基本账户转账支付凭证及基本账户证明））</w:t>
            </w:r>
          </w:p>
        </w:tc>
      </w:tr>
      <w:tr w14:paraId="26415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123" w:hRule="atLeast"/>
          <w:jc w:val="center"/>
        </w:trPr>
        <w:tc>
          <w:tcPr>
            <w:tcW w:w="787" w:type="dxa"/>
            <w:tcBorders>
              <w:top w:val="single" w:color="000000" w:sz="4" w:space="0"/>
              <w:left w:val="single" w:color="000000" w:sz="4" w:space="0"/>
              <w:bottom w:val="single" w:color="000000" w:sz="4" w:space="0"/>
              <w:right w:val="single" w:color="000000" w:sz="4" w:space="0"/>
            </w:tcBorders>
            <w:noWrap w:val="0"/>
            <w:vAlign w:val="center"/>
          </w:tcPr>
          <w:p w14:paraId="6EB0EAE0">
            <w:pPr>
              <w:keepNext w:val="0"/>
              <w:keepLines w:val="0"/>
              <w:pageBreakBefore w:val="0"/>
              <w:widowControl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8</w:t>
            </w:r>
          </w:p>
        </w:tc>
        <w:tc>
          <w:tcPr>
            <w:tcW w:w="9412" w:type="dxa"/>
            <w:tcBorders>
              <w:top w:val="single" w:color="000000" w:sz="4" w:space="0"/>
              <w:left w:val="single" w:color="000000" w:sz="4" w:space="0"/>
              <w:bottom w:val="single" w:color="000000" w:sz="4" w:space="0"/>
              <w:right w:val="single" w:color="000000" w:sz="4" w:space="0"/>
            </w:tcBorders>
            <w:noWrap w:val="0"/>
            <w:vAlign w:val="center"/>
          </w:tcPr>
          <w:p w14:paraId="70D2E71A">
            <w:pPr>
              <w:widowControl/>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color w:val="auto"/>
                <w:sz w:val="24"/>
                <w:szCs w:val="24"/>
                <w:highlight w:val="none"/>
              </w:rPr>
              <w:t>是否近三年内（本项目投标截止期前）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加本次政府采购活动；（带有日期的网页打印件须自招标公告发布之日起至投标截止时间从上述网站中打印否则无效）</w:t>
            </w:r>
          </w:p>
        </w:tc>
      </w:tr>
      <w:tr w14:paraId="4B850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6" w:hRule="atLeast"/>
          <w:jc w:val="center"/>
        </w:trPr>
        <w:tc>
          <w:tcPr>
            <w:tcW w:w="10199" w:type="dxa"/>
            <w:gridSpan w:val="2"/>
            <w:tcBorders>
              <w:top w:val="single" w:color="000000" w:sz="4" w:space="0"/>
              <w:left w:val="single" w:color="000000" w:sz="4" w:space="0"/>
              <w:bottom w:val="single" w:color="000000" w:sz="4" w:space="0"/>
              <w:right w:val="single" w:color="000000" w:sz="4" w:space="0"/>
            </w:tcBorders>
            <w:noWrap w:val="0"/>
            <w:vAlign w:val="center"/>
          </w:tcPr>
          <w:p w14:paraId="7A0379B8">
            <w:pPr>
              <w:keepNext w:val="0"/>
              <w:keepLines w:val="0"/>
              <w:pageBreakBefore w:val="0"/>
              <w:widowControl w:val="0"/>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cs="宋体"/>
                <w:color w:val="auto"/>
                <w:sz w:val="24"/>
                <w:szCs w:val="24"/>
                <w:highlight w:val="none"/>
                <w:lang w:val="zh-CN"/>
              </w:rPr>
              <w:t>备注：1、如果资格评审中有一项不满足审查标准的，资格评审</w:t>
            </w:r>
            <w:r>
              <w:rPr>
                <w:rFonts w:hint="eastAsia" w:ascii="宋体" w:hAnsi="宋体" w:cs="宋体"/>
                <w:color w:val="auto"/>
                <w:sz w:val="24"/>
                <w:szCs w:val="24"/>
                <w:highlight w:val="none"/>
                <w:lang w:val="en-US" w:eastAsia="zh-CN"/>
              </w:rPr>
              <w:t>小组</w:t>
            </w:r>
            <w:r>
              <w:rPr>
                <w:rFonts w:hint="eastAsia" w:ascii="宋体" w:hAnsi="宋体" w:cs="宋体"/>
                <w:color w:val="auto"/>
                <w:sz w:val="24"/>
                <w:szCs w:val="24"/>
                <w:highlight w:val="none"/>
              </w:rPr>
              <w:t>会</w:t>
            </w:r>
            <w:r>
              <w:rPr>
                <w:rFonts w:hint="eastAsia" w:ascii="宋体" w:hAnsi="宋体" w:cs="宋体"/>
                <w:color w:val="auto"/>
                <w:sz w:val="24"/>
                <w:szCs w:val="24"/>
                <w:highlight w:val="none"/>
                <w:lang w:val="zh-CN"/>
              </w:rPr>
              <w:t>将认定该供应商不通过资格审查，不得进入下一阶段评审。并且不允许供应商通过修改或撤销其不符合要求的差异或保留，使之成为具有响应性的投标。</w:t>
            </w:r>
          </w:p>
        </w:tc>
      </w:tr>
    </w:tbl>
    <w:p w14:paraId="0545463B">
      <w:pPr>
        <w:pStyle w:val="17"/>
        <w:pageBreakBefore w:val="0"/>
        <w:widowControl w:val="0"/>
        <w:wordWrap/>
        <w:topLinePunct w:val="0"/>
        <w:bidi w:val="0"/>
        <w:spacing w:before="120" w:line="36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br w:type="page"/>
      </w:r>
      <w:r>
        <w:rPr>
          <w:rFonts w:hint="eastAsia" w:ascii="宋体" w:hAnsi="宋体" w:eastAsia="宋体" w:cs="宋体"/>
          <w:color w:val="auto"/>
          <w:sz w:val="24"/>
          <w:szCs w:val="24"/>
          <w:highlight w:val="none"/>
          <w:lang w:eastAsia="zh-CN"/>
        </w:rPr>
        <w:t>附表</w:t>
      </w:r>
      <w:r>
        <w:rPr>
          <w:rFonts w:hint="eastAsia" w:ascii="宋体" w:hAnsi="宋体" w:eastAsia="宋体" w:cs="宋体"/>
          <w:color w:val="auto"/>
          <w:sz w:val="24"/>
          <w:szCs w:val="24"/>
          <w:highlight w:val="none"/>
          <w:lang w:val="en-US" w:eastAsia="zh-CN"/>
        </w:rPr>
        <w:t>...2</w:t>
      </w:r>
    </w:p>
    <w:p w14:paraId="6F96EEA6">
      <w:pPr>
        <w:pageBreakBefore w:val="0"/>
        <w:widowControl w:val="0"/>
        <w:wordWrap/>
        <w:topLinePunct w:val="0"/>
        <w:bidi w:val="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符合性</w:t>
      </w:r>
      <w:r>
        <w:rPr>
          <w:rFonts w:hint="eastAsia" w:ascii="宋体" w:hAnsi="宋体" w:eastAsia="宋体" w:cs="宋体"/>
          <w:b/>
          <w:bCs/>
          <w:color w:val="auto"/>
          <w:sz w:val="28"/>
          <w:szCs w:val="28"/>
          <w:highlight w:val="none"/>
        </w:rPr>
        <w:t>审查表</w:t>
      </w:r>
    </w:p>
    <w:tbl>
      <w:tblPr>
        <w:tblStyle w:val="22"/>
        <w:tblW w:w="1014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552"/>
        <w:gridCol w:w="9589"/>
      </w:tblGrid>
      <w:tr w14:paraId="305D8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10"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0EC9DF46">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序号</w:t>
            </w:r>
          </w:p>
        </w:tc>
        <w:tc>
          <w:tcPr>
            <w:tcW w:w="9589" w:type="dxa"/>
            <w:tcBorders>
              <w:top w:val="single" w:color="000000" w:sz="4" w:space="0"/>
              <w:left w:val="single" w:color="000000" w:sz="4" w:space="0"/>
              <w:bottom w:val="single" w:color="000000" w:sz="4" w:space="0"/>
              <w:right w:val="single" w:color="000000" w:sz="4" w:space="0"/>
              <w:tl2br w:val="single" w:color="000000" w:sz="4" w:space="0"/>
            </w:tcBorders>
            <w:noWrap w:val="0"/>
            <w:vAlign w:val="center"/>
          </w:tcPr>
          <w:p w14:paraId="762570B9">
            <w:pPr>
              <w:keepNext w:val="0"/>
              <w:keepLines w:val="0"/>
              <w:pageBreakBefore w:val="0"/>
              <w:widowControl w:val="0"/>
              <w:suppressLineNumbers w:val="0"/>
              <w:wordWrap/>
              <w:topLinePunct w:val="0"/>
              <w:bidi w:val="0"/>
              <w:jc w:val="left"/>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 xml:space="preserve">                   </w:t>
            </w:r>
            <w:r>
              <w:rPr>
                <w:rFonts w:hint="eastAsia" w:ascii="宋体" w:hAnsi="宋体" w:cs="宋体"/>
                <w:i w:val="0"/>
                <w:color w:val="auto"/>
                <w:kern w:val="0"/>
                <w:sz w:val="24"/>
                <w:szCs w:val="24"/>
                <w:highlight w:val="none"/>
                <w:u w:val="none"/>
                <w:lang w:val="en-US" w:eastAsia="zh-CN" w:bidi="ar"/>
              </w:rPr>
              <w:t xml:space="preserve">                                      </w:t>
            </w:r>
            <w:r>
              <w:rPr>
                <w:rFonts w:hint="eastAsia" w:ascii="宋体" w:hAnsi="宋体" w:eastAsia="宋体" w:cs="宋体"/>
                <w:i w:val="0"/>
                <w:color w:val="auto"/>
                <w:kern w:val="0"/>
                <w:sz w:val="24"/>
                <w:szCs w:val="24"/>
                <w:highlight w:val="none"/>
                <w:u w:val="none"/>
                <w:lang w:val="en-US" w:eastAsia="zh-CN" w:bidi="ar"/>
              </w:rPr>
              <w:t xml:space="preserve">投标单位          </w:t>
            </w:r>
          </w:p>
          <w:p w14:paraId="2BDEC6FF">
            <w:pPr>
              <w:keepNext w:val="0"/>
              <w:keepLines w:val="0"/>
              <w:pageBreakBefore w:val="0"/>
              <w:widowControl w:val="0"/>
              <w:suppressLineNumbers w:val="0"/>
              <w:wordWrap/>
              <w:topLinePunct w:val="0"/>
              <w:bidi w:val="0"/>
              <w:jc w:val="left"/>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 xml:space="preserve">   审查内容 </w:t>
            </w:r>
          </w:p>
        </w:tc>
      </w:tr>
      <w:tr w14:paraId="37D08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58237700">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1</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0F247369">
            <w:pPr>
              <w:widowControl/>
              <w:jc w:val="left"/>
              <w:textAlignment w:val="center"/>
              <w:rPr>
                <w:rFonts w:hint="eastAsia" w:ascii="宋体" w:hAnsi="宋体" w:eastAsia="宋体" w:cs="宋体"/>
                <w:i w:val="0"/>
                <w:color w:val="auto"/>
                <w:sz w:val="24"/>
                <w:szCs w:val="24"/>
                <w:highlight w:val="none"/>
                <w:u w:val="none"/>
              </w:rPr>
            </w:pPr>
            <w:r>
              <w:rPr>
                <w:rFonts w:hint="eastAsia" w:ascii="宋体" w:hAnsi="宋体" w:cs="宋体"/>
                <w:color w:val="auto"/>
                <w:kern w:val="0"/>
                <w:sz w:val="24"/>
                <w:szCs w:val="24"/>
                <w:highlight w:val="none"/>
                <w:lang w:bidi="ar"/>
              </w:rPr>
              <w:t>投标文件是否有投标单位法定代表人或其委托代理人（签章）和</w:t>
            </w:r>
            <w:r>
              <w:rPr>
                <w:rFonts w:hint="eastAsia" w:ascii="宋体" w:hAnsi="宋体" w:cs="宋体"/>
                <w:color w:val="auto"/>
                <w:kern w:val="0"/>
                <w:sz w:val="24"/>
                <w:szCs w:val="24"/>
                <w:highlight w:val="none"/>
                <w:lang w:val="en-US" w:eastAsia="zh-CN" w:bidi="ar"/>
              </w:rPr>
              <w:t>逐页</w:t>
            </w:r>
            <w:r>
              <w:rPr>
                <w:rFonts w:hint="eastAsia" w:ascii="宋体" w:hAnsi="宋体" w:cs="宋体"/>
                <w:color w:val="auto"/>
                <w:kern w:val="0"/>
                <w:sz w:val="24"/>
                <w:szCs w:val="24"/>
                <w:highlight w:val="none"/>
                <w:lang w:bidi="ar"/>
              </w:rPr>
              <w:t>加盖了投标企业的公章。</w:t>
            </w:r>
          </w:p>
        </w:tc>
      </w:tr>
      <w:tr w14:paraId="03AF0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55"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293F5D14">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2</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6134CE92">
            <w:pPr>
              <w:widowControl/>
              <w:jc w:val="left"/>
              <w:textAlignment w:val="center"/>
              <w:rPr>
                <w:rFonts w:hint="eastAsia" w:ascii="宋体" w:hAnsi="宋体" w:eastAsia="宋体" w:cs="宋体"/>
                <w:i w:val="0"/>
                <w:color w:val="auto"/>
                <w:sz w:val="24"/>
                <w:szCs w:val="24"/>
                <w:highlight w:val="none"/>
                <w:u w:val="none"/>
              </w:rPr>
            </w:pPr>
            <w:r>
              <w:rPr>
                <w:rFonts w:hint="eastAsia" w:ascii="宋体" w:hAnsi="宋体" w:cs="宋体"/>
                <w:color w:val="auto"/>
                <w:kern w:val="0"/>
                <w:sz w:val="24"/>
                <w:szCs w:val="24"/>
                <w:highlight w:val="none"/>
                <w:lang w:val="en-US" w:eastAsia="zh-CN"/>
              </w:rPr>
              <w:t>供货期、</w:t>
            </w:r>
            <w:r>
              <w:rPr>
                <w:rFonts w:hint="eastAsia" w:ascii="宋体" w:hAnsi="宋体" w:cs="宋体"/>
                <w:color w:val="auto"/>
                <w:kern w:val="0"/>
                <w:sz w:val="24"/>
                <w:szCs w:val="24"/>
                <w:highlight w:val="none"/>
              </w:rPr>
              <w:t>供货地点、质保期是否符合招标文件要求</w:t>
            </w:r>
          </w:p>
        </w:tc>
      </w:tr>
      <w:tr w14:paraId="06201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02"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1C9785EE">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3</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1F1E2DD8">
            <w:pPr>
              <w:widowControl/>
              <w:jc w:val="left"/>
              <w:textAlignment w:val="center"/>
              <w:rPr>
                <w:rFonts w:hint="eastAsia" w:ascii="宋体" w:hAnsi="宋体" w:eastAsia="宋体" w:cs="宋体"/>
                <w:i w:val="0"/>
                <w:color w:val="auto"/>
                <w:sz w:val="24"/>
                <w:szCs w:val="24"/>
                <w:highlight w:val="none"/>
                <w:u w:val="none"/>
              </w:rPr>
            </w:pPr>
            <w:r>
              <w:rPr>
                <w:rFonts w:hint="eastAsia" w:ascii="宋体" w:hAnsi="宋体" w:cs="宋体"/>
                <w:color w:val="auto"/>
                <w:kern w:val="0"/>
                <w:sz w:val="24"/>
                <w:szCs w:val="24"/>
                <w:highlight w:val="none"/>
                <w:lang w:bidi="ar"/>
              </w:rPr>
              <w:t>商务条款是否有偏离情况的；</w:t>
            </w:r>
          </w:p>
        </w:tc>
      </w:tr>
      <w:tr w14:paraId="296B5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63"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3F6BDB8B">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4</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475A87F6">
            <w:pPr>
              <w:widowControl/>
              <w:jc w:val="left"/>
              <w:textAlignment w:val="center"/>
              <w:rPr>
                <w:rFonts w:hint="eastAsia" w:ascii="宋体" w:hAnsi="宋体" w:eastAsia="宋体" w:cs="宋体"/>
                <w:i w:val="0"/>
                <w:color w:val="auto"/>
                <w:sz w:val="24"/>
                <w:szCs w:val="24"/>
                <w:highlight w:val="none"/>
                <w:u w:val="none"/>
              </w:rPr>
            </w:pPr>
            <w:r>
              <w:rPr>
                <w:rFonts w:hint="eastAsia" w:ascii="宋体" w:hAnsi="宋体" w:cs="宋体"/>
                <w:color w:val="auto"/>
                <w:kern w:val="0"/>
                <w:sz w:val="24"/>
                <w:szCs w:val="24"/>
                <w:highlight w:val="none"/>
                <w:lang w:bidi="ar"/>
              </w:rPr>
              <w:t>投标人是否有投标文件标明的响应或偏离与事实不符或伪造证明文件等虚假投标的；</w:t>
            </w:r>
          </w:p>
        </w:tc>
      </w:tr>
      <w:tr w14:paraId="4297B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66"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3DE40627">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sz w:val="24"/>
                <w:szCs w:val="24"/>
                <w:highlight w:val="none"/>
                <w:u w:val="none"/>
              </w:rPr>
            </w:pPr>
            <w:r>
              <w:rPr>
                <w:rFonts w:hint="eastAsia" w:ascii="宋体" w:hAnsi="宋体" w:eastAsia="宋体" w:cs="宋体"/>
                <w:i w:val="0"/>
                <w:color w:val="auto"/>
                <w:kern w:val="0"/>
                <w:sz w:val="24"/>
                <w:szCs w:val="24"/>
                <w:highlight w:val="none"/>
                <w:u w:val="none"/>
                <w:lang w:val="en-US" w:eastAsia="zh-CN" w:bidi="ar"/>
              </w:rPr>
              <w:t>5</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78580DEF">
            <w:pPr>
              <w:widowControl/>
              <w:jc w:val="left"/>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cs="宋体"/>
                <w:color w:val="auto"/>
                <w:kern w:val="0"/>
                <w:sz w:val="24"/>
                <w:szCs w:val="24"/>
                <w:highlight w:val="none"/>
                <w:lang w:bidi="ar"/>
              </w:rPr>
              <w:t>投标有效期是否满足招标文件要求的；</w:t>
            </w:r>
          </w:p>
        </w:tc>
      </w:tr>
      <w:tr w14:paraId="26E3B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82"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6ADFCF7E">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eastAsia="宋体" w:cs="宋体"/>
                <w:i w:val="0"/>
                <w:color w:val="auto"/>
                <w:kern w:val="0"/>
                <w:sz w:val="24"/>
                <w:szCs w:val="24"/>
                <w:highlight w:val="none"/>
                <w:u w:val="none"/>
                <w:lang w:val="en-US" w:eastAsia="zh-CN" w:bidi="ar"/>
              </w:rPr>
              <w:t>6</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2CFCC25D">
            <w:pPr>
              <w:widowControl/>
              <w:jc w:val="left"/>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cs="宋体"/>
                <w:color w:val="auto"/>
                <w:kern w:val="0"/>
                <w:sz w:val="24"/>
                <w:szCs w:val="24"/>
                <w:highlight w:val="none"/>
              </w:rPr>
              <w:t>投标人对同一招标项目做出两个以上报价未明确效力的；</w:t>
            </w:r>
          </w:p>
        </w:tc>
      </w:tr>
      <w:tr w14:paraId="5332A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82"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4DA42D53">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eastAsia="宋体" w:cs="宋体"/>
                <w:i w:val="0"/>
                <w:color w:val="auto"/>
                <w:kern w:val="0"/>
                <w:sz w:val="24"/>
                <w:szCs w:val="24"/>
                <w:highlight w:val="none"/>
                <w:u w:val="none"/>
                <w:lang w:val="en-US" w:eastAsia="zh-CN" w:bidi="ar"/>
              </w:rPr>
              <w:t>7</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21C50846">
            <w:pPr>
              <w:widowControl/>
              <w:jc w:val="left"/>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cs="宋体"/>
                <w:color w:val="auto"/>
                <w:kern w:val="0"/>
                <w:sz w:val="24"/>
                <w:szCs w:val="24"/>
                <w:highlight w:val="none"/>
              </w:rPr>
              <w:t>不满足招标文件实质性要求的其它情形的；</w:t>
            </w:r>
          </w:p>
        </w:tc>
      </w:tr>
      <w:tr w14:paraId="4710A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82"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6C1C4D38">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8</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5181C6C0">
            <w:pPr>
              <w:widowControl/>
              <w:jc w:val="left"/>
              <w:textAlignment w:val="center"/>
              <w:rPr>
                <w:rFonts w:hint="eastAsia" w:ascii="宋体" w:hAnsi="宋体" w:eastAsia="宋体" w:cs="宋体"/>
                <w:i w:val="0"/>
                <w:color w:val="auto"/>
                <w:kern w:val="2"/>
                <w:sz w:val="24"/>
                <w:szCs w:val="24"/>
                <w:highlight w:val="none"/>
                <w:u w:val="none"/>
                <w:lang w:val="en-US" w:eastAsia="zh-CN" w:bidi="ar-SA"/>
              </w:rPr>
            </w:pPr>
            <w:r>
              <w:rPr>
                <w:rFonts w:hint="eastAsia" w:ascii="宋体" w:hAnsi="宋体" w:cs="宋体"/>
                <w:color w:val="auto"/>
                <w:kern w:val="0"/>
                <w:sz w:val="24"/>
                <w:szCs w:val="24"/>
                <w:highlight w:val="none"/>
                <w:lang w:bidi="ar"/>
              </w:rPr>
              <w:t>投标文件未附有采购人不能接受的条件；</w:t>
            </w:r>
          </w:p>
        </w:tc>
      </w:tr>
      <w:tr w14:paraId="7F121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57" w:hRule="atLeast"/>
          <w:jc w:val="center"/>
        </w:trPr>
        <w:tc>
          <w:tcPr>
            <w:tcW w:w="552" w:type="dxa"/>
            <w:tcBorders>
              <w:top w:val="single" w:color="000000" w:sz="4" w:space="0"/>
              <w:left w:val="single" w:color="000000" w:sz="4" w:space="0"/>
              <w:bottom w:val="single" w:color="000000" w:sz="4" w:space="0"/>
              <w:right w:val="single" w:color="000000" w:sz="4" w:space="0"/>
            </w:tcBorders>
            <w:noWrap w:val="0"/>
            <w:vAlign w:val="center"/>
          </w:tcPr>
          <w:p w14:paraId="2B83F267">
            <w:pPr>
              <w:keepNext w:val="0"/>
              <w:keepLines w:val="0"/>
              <w:pageBreakBefore w:val="0"/>
              <w:widowControl w:val="0"/>
              <w:suppressLineNumbers w:val="0"/>
              <w:wordWrap/>
              <w:topLinePunct w:val="0"/>
              <w:bidi w:val="0"/>
              <w:jc w:val="center"/>
              <w:textAlignment w:val="center"/>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9</w:t>
            </w:r>
          </w:p>
        </w:tc>
        <w:tc>
          <w:tcPr>
            <w:tcW w:w="9589" w:type="dxa"/>
            <w:tcBorders>
              <w:top w:val="single" w:color="000000" w:sz="4" w:space="0"/>
              <w:left w:val="single" w:color="000000" w:sz="4" w:space="0"/>
              <w:bottom w:val="single" w:color="000000" w:sz="4" w:space="0"/>
              <w:right w:val="single" w:color="000000" w:sz="4" w:space="0"/>
            </w:tcBorders>
            <w:noWrap w:val="0"/>
            <w:vAlign w:val="center"/>
          </w:tcPr>
          <w:p w14:paraId="7F542C3F">
            <w:pPr>
              <w:widowControl/>
              <w:jc w:val="left"/>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szCs w:val="24"/>
                <w:highlight w:val="none"/>
                <w:lang w:bidi="ar"/>
              </w:rPr>
              <w:t>无法律、法规和招标文件规定的其他无效情形。</w:t>
            </w:r>
          </w:p>
        </w:tc>
      </w:tr>
      <w:tr w14:paraId="3F436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59" w:hRule="atLeast"/>
          <w:jc w:val="center"/>
        </w:trPr>
        <w:tc>
          <w:tcPr>
            <w:tcW w:w="10141" w:type="dxa"/>
            <w:gridSpan w:val="2"/>
            <w:tcBorders>
              <w:top w:val="single" w:color="000000" w:sz="4" w:space="0"/>
              <w:left w:val="single" w:color="000000" w:sz="4" w:space="0"/>
              <w:bottom w:val="single" w:color="000000" w:sz="4" w:space="0"/>
              <w:right w:val="single" w:color="000000" w:sz="4" w:space="0"/>
            </w:tcBorders>
            <w:noWrap w:val="0"/>
            <w:vAlign w:val="center"/>
          </w:tcPr>
          <w:p w14:paraId="26FAA247">
            <w:pPr>
              <w:keepNext w:val="0"/>
              <w:keepLines w:val="0"/>
              <w:pageBreakBefore w:val="0"/>
              <w:widowControl w:val="0"/>
              <w:suppressLineNumbers w:val="0"/>
              <w:wordWrap/>
              <w:topLinePunct w:val="0"/>
              <w:bidi w:val="0"/>
              <w:jc w:val="left"/>
              <w:textAlignment w:val="center"/>
              <w:rPr>
                <w:rFonts w:hint="eastAsia" w:hAnsi="宋体" w:cs="宋体"/>
                <w:color w:val="auto"/>
                <w:sz w:val="24"/>
                <w:szCs w:val="16"/>
                <w:highlight w:val="none"/>
              </w:rPr>
            </w:pPr>
            <w:r>
              <w:rPr>
                <w:rFonts w:hint="eastAsia" w:hAnsi="宋体" w:cs="宋体"/>
                <w:color w:val="auto"/>
                <w:sz w:val="24"/>
                <w:szCs w:val="16"/>
                <w:highlight w:val="none"/>
              </w:rPr>
              <w:t>备注：如果响应文件中有一项未通过上述审查标准，评标委员会将认定整个响应文件不响应招标文件而予以废标，并且不允许供应商通过修改或撤销其不符合要求的差异或保留，使之成为具有响应性的投标。</w:t>
            </w:r>
          </w:p>
        </w:tc>
      </w:tr>
    </w:tbl>
    <w:p w14:paraId="1F9CDA67">
      <w:pPr>
        <w:pageBreakBefore w:val="0"/>
        <w:widowControl w:val="0"/>
        <w:wordWrap/>
        <w:topLinePunct w:val="0"/>
        <w:bidi w:val="0"/>
        <w:spacing w:line="500" w:lineRule="exact"/>
        <w:ind w:firstLine="560" w:firstLineChars="200"/>
        <w:rPr>
          <w:rFonts w:hint="eastAsia" w:ascii="宋体" w:hAnsi="宋体" w:eastAsia="宋体" w:cs="宋体"/>
          <w:sz w:val="28"/>
          <w:szCs w:val="28"/>
          <w:highlight w:val="none"/>
          <w:lang w:val="en-US" w:eastAsia="zh-CN"/>
        </w:rPr>
      </w:pPr>
    </w:p>
    <w:p w14:paraId="68815DAC">
      <w:pPr>
        <w:pageBreakBefore w:val="0"/>
        <w:widowControl w:val="0"/>
        <w:wordWrap/>
        <w:topLinePunct w:val="0"/>
        <w:bidi w:val="0"/>
        <w:spacing w:line="50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br w:type="page"/>
      </w:r>
      <w:r>
        <w:rPr>
          <w:rFonts w:hint="eastAsia" w:ascii="宋体" w:hAnsi="宋体" w:eastAsia="宋体" w:cs="宋体"/>
          <w:sz w:val="28"/>
          <w:szCs w:val="28"/>
          <w:highlight w:val="none"/>
          <w:lang w:val="en-US" w:eastAsia="zh-CN"/>
        </w:rPr>
        <w:t>附表3、</w:t>
      </w:r>
    </w:p>
    <w:p w14:paraId="354B490C">
      <w:pPr>
        <w:pStyle w:val="20"/>
        <w:pageBreakBefore w:val="0"/>
        <w:widowControl w:val="0"/>
        <w:wordWrap/>
        <w:topLinePunct w:val="0"/>
        <w:bidi w:val="0"/>
        <w:ind w:left="0" w:leftChars="0" w:firstLine="0" w:firstLineChars="0"/>
        <w:jc w:val="center"/>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lang w:eastAsia="zh-CN"/>
        </w:rPr>
        <w:t>详细评审表</w:t>
      </w:r>
    </w:p>
    <w:tbl>
      <w:tblPr>
        <w:tblStyle w:val="22"/>
        <w:tblW w:w="9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260"/>
        <w:gridCol w:w="1320"/>
        <w:gridCol w:w="6600"/>
      </w:tblGrid>
      <w:tr w14:paraId="41CC8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9" w:type="dxa"/>
            <w:tcBorders>
              <w:top w:val="single" w:color="auto" w:sz="4" w:space="0"/>
              <w:left w:val="single" w:color="auto" w:sz="4" w:space="0"/>
              <w:bottom w:val="single" w:color="auto" w:sz="4" w:space="0"/>
              <w:right w:val="single" w:color="auto" w:sz="4" w:space="0"/>
            </w:tcBorders>
            <w:noWrap w:val="0"/>
            <w:vAlign w:val="center"/>
          </w:tcPr>
          <w:p w14:paraId="22915271">
            <w:pPr>
              <w:pageBreakBefore w:val="0"/>
              <w:widowControl w:val="0"/>
              <w:wordWrap/>
              <w:topLinePunct w:val="0"/>
              <w:bidi w:val="0"/>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序号</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8DCD873">
            <w:pPr>
              <w:pageBreakBefore w:val="0"/>
              <w:widowControl w:val="0"/>
              <w:wordWrap/>
              <w:topLinePunct w:val="0"/>
              <w:bidi w:val="0"/>
              <w:snapToGrid w:val="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评标因素</w:t>
            </w:r>
          </w:p>
        </w:tc>
        <w:tc>
          <w:tcPr>
            <w:tcW w:w="1320" w:type="dxa"/>
            <w:tcBorders>
              <w:top w:val="single" w:color="auto" w:sz="4" w:space="0"/>
              <w:left w:val="single" w:color="auto" w:sz="4" w:space="0"/>
              <w:bottom w:val="single" w:color="auto" w:sz="4" w:space="0"/>
              <w:right w:val="single" w:color="auto" w:sz="4" w:space="0"/>
            </w:tcBorders>
            <w:noWrap w:val="0"/>
            <w:vAlign w:val="center"/>
          </w:tcPr>
          <w:p w14:paraId="1CA58676">
            <w:pPr>
              <w:pageBreakBefore w:val="0"/>
              <w:widowControl w:val="0"/>
              <w:wordWrap/>
              <w:topLinePunct w:val="0"/>
              <w:bidi w:val="0"/>
              <w:snapToGrid w:val="0"/>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分值</w:t>
            </w:r>
          </w:p>
        </w:tc>
        <w:tc>
          <w:tcPr>
            <w:tcW w:w="6600" w:type="dxa"/>
            <w:tcBorders>
              <w:top w:val="single" w:color="auto" w:sz="4" w:space="0"/>
              <w:left w:val="single" w:color="auto" w:sz="4" w:space="0"/>
              <w:bottom w:val="single" w:color="auto" w:sz="4" w:space="0"/>
              <w:right w:val="single" w:color="auto" w:sz="4" w:space="0"/>
            </w:tcBorders>
            <w:noWrap w:val="0"/>
            <w:vAlign w:val="center"/>
          </w:tcPr>
          <w:p w14:paraId="37914669">
            <w:pPr>
              <w:pageBreakBefore w:val="0"/>
              <w:widowControl w:val="0"/>
              <w:wordWrap/>
              <w:topLinePunct w:val="0"/>
              <w:bidi w:val="0"/>
              <w:snapToGrid w:val="0"/>
              <w:jc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评分</w:t>
            </w:r>
            <w:r>
              <w:rPr>
                <w:rFonts w:hint="eastAsia" w:ascii="宋体" w:hAnsi="宋体" w:eastAsia="宋体" w:cs="宋体"/>
                <w:color w:val="000000"/>
                <w:sz w:val="24"/>
                <w:szCs w:val="24"/>
                <w:highlight w:val="none"/>
                <w:lang w:eastAsia="zh-CN"/>
              </w:rPr>
              <w:t>说明</w:t>
            </w:r>
          </w:p>
        </w:tc>
      </w:tr>
      <w:tr w14:paraId="3F045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4" w:hRule="atLeast"/>
          <w:jc w:val="center"/>
        </w:trPr>
        <w:tc>
          <w:tcPr>
            <w:tcW w:w="699" w:type="dxa"/>
            <w:tcBorders>
              <w:top w:val="single" w:color="auto" w:sz="4" w:space="0"/>
              <w:left w:val="single" w:color="auto" w:sz="4" w:space="0"/>
              <w:bottom w:val="nil"/>
              <w:right w:val="single" w:color="auto" w:sz="4" w:space="0"/>
            </w:tcBorders>
            <w:noWrap w:val="0"/>
            <w:vAlign w:val="center"/>
          </w:tcPr>
          <w:p w14:paraId="6527E434">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1260" w:type="dxa"/>
            <w:tcBorders>
              <w:top w:val="single" w:color="auto" w:sz="4" w:space="0"/>
              <w:left w:val="single" w:color="auto" w:sz="4" w:space="0"/>
              <w:bottom w:val="nil"/>
              <w:right w:val="single" w:color="auto" w:sz="4" w:space="0"/>
            </w:tcBorders>
            <w:noWrap w:val="0"/>
            <w:vAlign w:val="center"/>
          </w:tcPr>
          <w:p w14:paraId="2BAEAFBE">
            <w:pPr>
              <w:pageBreakBefore w:val="0"/>
              <w:widowControl w:val="0"/>
              <w:wordWrap/>
              <w:topLinePunct w:val="0"/>
              <w:bidi w:val="0"/>
              <w:snapToGrid w:val="0"/>
              <w:spacing w:line="36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价格部分</w:t>
            </w:r>
          </w:p>
        </w:tc>
        <w:tc>
          <w:tcPr>
            <w:tcW w:w="1320" w:type="dxa"/>
            <w:tcBorders>
              <w:top w:val="single" w:color="auto" w:sz="4" w:space="0"/>
              <w:left w:val="single" w:color="auto" w:sz="4" w:space="0"/>
              <w:bottom w:val="single" w:color="auto" w:sz="4" w:space="0"/>
              <w:right w:val="single" w:color="auto" w:sz="4" w:space="0"/>
            </w:tcBorders>
            <w:noWrap w:val="0"/>
            <w:vAlign w:val="center"/>
          </w:tcPr>
          <w:p w14:paraId="02F1DA3B">
            <w:pPr>
              <w:pageBreakBefore w:val="0"/>
              <w:widowControl w:val="0"/>
              <w:wordWrap/>
              <w:topLinePunct w:val="0"/>
              <w:bidi w:val="0"/>
              <w:snapToGrid w:val="0"/>
              <w:spacing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c>
          <w:tcPr>
            <w:tcW w:w="6600" w:type="dxa"/>
            <w:tcBorders>
              <w:top w:val="single" w:color="auto" w:sz="4" w:space="0"/>
              <w:left w:val="single" w:color="auto" w:sz="4" w:space="0"/>
              <w:bottom w:val="single" w:color="auto" w:sz="4" w:space="0"/>
              <w:right w:val="single" w:color="auto" w:sz="4" w:space="0"/>
            </w:tcBorders>
            <w:noWrap w:val="0"/>
            <w:vAlign w:val="center"/>
          </w:tcPr>
          <w:p w14:paraId="67D252B9">
            <w:pPr>
              <w:widowControl/>
              <w:jc w:val="left"/>
              <w:textAlignment w:val="top"/>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投标报价采用统一采用低价优先法计算，即满足招标文件要求且投标价格最低的投标报价为评标基准价，其价格分为满分。其他投标人的价格分统一按照下列公式计算：报价得分=（报价基准价／投标报价）×价格权值×100（小数点保留两位）</w:t>
            </w:r>
          </w:p>
          <w:p w14:paraId="621AD476">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rPr>
            </w:pPr>
            <w:r>
              <w:rPr>
                <w:rFonts w:hint="eastAsia" w:ascii="宋体" w:hAnsi="宋体"/>
                <w:color w:val="auto"/>
                <w:sz w:val="24"/>
                <w:highlight w:val="none"/>
              </w:rPr>
              <w:t>低价认定：根据中华人民共和国《政府采购货物和服务招标投标管理办法》（财政部令第 87 号）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18173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2" w:hRule="atLeast"/>
          <w:jc w:val="center"/>
        </w:trPr>
        <w:tc>
          <w:tcPr>
            <w:tcW w:w="699" w:type="dxa"/>
            <w:tcBorders>
              <w:top w:val="single" w:color="auto" w:sz="4" w:space="0"/>
              <w:left w:val="single" w:color="auto" w:sz="4" w:space="0"/>
              <w:right w:val="single" w:color="auto" w:sz="4" w:space="0"/>
            </w:tcBorders>
            <w:noWrap w:val="0"/>
            <w:vAlign w:val="center"/>
          </w:tcPr>
          <w:p w14:paraId="672760BA">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2</w:t>
            </w:r>
          </w:p>
        </w:tc>
        <w:tc>
          <w:tcPr>
            <w:tcW w:w="1260" w:type="dxa"/>
            <w:tcBorders>
              <w:top w:val="single" w:color="auto" w:sz="4" w:space="0"/>
              <w:left w:val="single" w:color="auto" w:sz="4" w:space="0"/>
              <w:right w:val="single" w:color="auto" w:sz="4" w:space="0"/>
            </w:tcBorders>
            <w:noWrap w:val="0"/>
            <w:vAlign w:val="center"/>
          </w:tcPr>
          <w:p w14:paraId="102875B5">
            <w:pPr>
              <w:pageBreakBefore w:val="0"/>
              <w:widowControl w:val="0"/>
              <w:wordWrap/>
              <w:topLinePunct w:val="0"/>
              <w:bidi w:val="0"/>
              <w:snapToGrid w:val="0"/>
              <w:spacing w:line="360" w:lineRule="exact"/>
              <w:jc w:val="center"/>
              <w:rPr>
                <w:rFonts w:hint="eastAsia" w:ascii="宋体" w:hAnsi="宋体" w:eastAsia="宋体" w:cs="宋体"/>
                <w:sz w:val="24"/>
                <w:szCs w:val="24"/>
                <w:lang w:val="en-US" w:eastAsia="zh-CN"/>
              </w:rPr>
            </w:pPr>
            <w:r>
              <w:rPr>
                <w:rFonts w:hint="eastAsia" w:ascii="宋体" w:hAnsi="宋体" w:eastAsia="宋体" w:cs="宋体"/>
                <w:color w:val="000000"/>
                <w:sz w:val="24"/>
                <w:szCs w:val="24"/>
                <w:highlight w:val="none"/>
                <w:lang w:val="en-US" w:eastAsia="zh-CN"/>
              </w:rPr>
              <w:t>技术部分（40分）</w:t>
            </w:r>
          </w:p>
        </w:tc>
        <w:tc>
          <w:tcPr>
            <w:tcW w:w="1320" w:type="dxa"/>
            <w:tcBorders>
              <w:top w:val="single" w:color="auto" w:sz="4" w:space="0"/>
              <w:left w:val="single" w:color="auto" w:sz="4" w:space="0"/>
              <w:right w:val="single" w:color="auto" w:sz="4" w:space="0"/>
            </w:tcBorders>
            <w:noWrap w:val="0"/>
            <w:vAlign w:val="center"/>
          </w:tcPr>
          <w:p w14:paraId="7E417080">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技术符合程度（40分）</w:t>
            </w:r>
          </w:p>
        </w:tc>
        <w:tc>
          <w:tcPr>
            <w:tcW w:w="6600" w:type="dxa"/>
            <w:tcBorders>
              <w:top w:val="single" w:color="auto" w:sz="4" w:space="0"/>
              <w:left w:val="single" w:color="auto" w:sz="4" w:space="0"/>
              <w:bottom w:val="single" w:color="auto" w:sz="4" w:space="0"/>
              <w:right w:val="single" w:color="auto" w:sz="4" w:space="0"/>
            </w:tcBorders>
            <w:noWrap w:val="0"/>
            <w:vAlign w:val="center"/>
          </w:tcPr>
          <w:p w14:paraId="7380FDE2">
            <w:pPr>
              <w:spacing w:line="400" w:lineRule="exact"/>
              <w:jc w:val="left"/>
              <w:rPr>
                <w:rFonts w:ascii="宋体" w:hAnsi="宋体"/>
                <w:sz w:val="24"/>
              </w:rPr>
            </w:pPr>
            <w:r>
              <w:rPr>
                <w:rFonts w:hint="eastAsia" w:ascii="宋体" w:hAnsi="宋体"/>
                <w:sz w:val="24"/>
              </w:rPr>
              <w:t>带</w:t>
            </w:r>
            <w:r>
              <w:rPr>
                <w:rFonts w:hint="eastAsia" w:ascii="宋体" w:hAnsi="宋体"/>
                <w:sz w:val="24"/>
                <w:highlight w:val="none"/>
              </w:rPr>
              <w:t>“</w:t>
            </w:r>
            <w:r>
              <w:rPr>
                <w:rFonts w:hint="eastAsia" w:ascii="宋体" w:hAnsi="宋体" w:eastAsia="宋体" w:cs="宋体"/>
                <w:sz w:val="24"/>
                <w:highlight w:val="none"/>
              </w:rPr>
              <w:t>▲</w:t>
            </w:r>
            <w:r>
              <w:rPr>
                <w:rFonts w:hint="eastAsia" w:ascii="宋体" w:hAnsi="宋体"/>
                <w:sz w:val="24"/>
                <w:highlight w:val="none"/>
              </w:rPr>
              <w:t>”项技</w:t>
            </w:r>
            <w:r>
              <w:rPr>
                <w:rFonts w:hint="eastAsia" w:ascii="宋体" w:hAnsi="宋体"/>
                <w:sz w:val="24"/>
              </w:rPr>
              <w:t>术参数一项负偏离扣</w:t>
            </w:r>
            <w:r>
              <w:rPr>
                <w:rFonts w:hint="eastAsia" w:ascii="宋体" w:hAnsi="宋体"/>
                <w:sz w:val="24"/>
                <w:lang w:val="en-US" w:eastAsia="zh-CN"/>
              </w:rPr>
              <w:t>3</w:t>
            </w:r>
            <w:r>
              <w:rPr>
                <w:rFonts w:hint="eastAsia" w:ascii="宋体" w:hAnsi="宋体"/>
                <w:sz w:val="24"/>
              </w:rPr>
              <w:t>分，扣完为止。</w:t>
            </w:r>
          </w:p>
          <w:p w14:paraId="0C521289">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未标注“</w:t>
            </w:r>
            <w:r>
              <w:rPr>
                <w:rFonts w:hint="eastAsia" w:ascii="宋体" w:hAnsi="宋体" w:eastAsia="宋体" w:cs="宋体"/>
                <w:color w:val="auto"/>
                <w:highlight w:val="none"/>
              </w:rPr>
              <w:t>▲</w:t>
            </w:r>
            <w:r>
              <w:rPr>
                <w:rFonts w:hint="eastAsia" w:ascii="宋体" w:hAnsi="宋体" w:eastAsia="宋体" w:cs="宋体"/>
                <w:color w:val="000000"/>
                <w:sz w:val="24"/>
                <w:szCs w:val="24"/>
                <w:highlight w:val="none"/>
                <w:lang w:val="en-US" w:eastAsia="zh-CN"/>
              </w:rPr>
              <w:t>”的为一般参数，</w:t>
            </w:r>
            <w:r>
              <w:rPr>
                <w:rFonts w:hint="eastAsia" w:ascii="宋体" w:hAnsi="宋体"/>
                <w:sz w:val="24"/>
              </w:rPr>
              <w:t>一项负偏离扣</w:t>
            </w:r>
            <w:r>
              <w:rPr>
                <w:rFonts w:hint="eastAsia" w:ascii="宋体" w:hAnsi="宋体"/>
                <w:sz w:val="24"/>
                <w:lang w:val="en-US" w:eastAsia="zh-CN"/>
              </w:rPr>
              <w:t>1</w:t>
            </w:r>
            <w:r>
              <w:rPr>
                <w:rFonts w:hint="eastAsia" w:ascii="宋体" w:hAnsi="宋体"/>
                <w:sz w:val="24"/>
              </w:rPr>
              <w:t>分</w:t>
            </w:r>
            <w:r>
              <w:rPr>
                <w:rFonts w:hint="eastAsia" w:ascii="宋体" w:hAnsi="宋体" w:eastAsia="宋体" w:cs="宋体"/>
                <w:color w:val="000000"/>
                <w:sz w:val="24"/>
                <w:szCs w:val="24"/>
                <w:highlight w:val="none"/>
                <w:lang w:val="en-US" w:eastAsia="zh-CN"/>
              </w:rPr>
              <w:t>，扣完为止。</w:t>
            </w:r>
          </w:p>
          <w:p w14:paraId="4616F26A">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注：标注“</w:t>
            </w:r>
            <w:r>
              <w:rPr>
                <w:rFonts w:hint="eastAsia" w:ascii="宋体" w:hAnsi="宋体" w:eastAsia="宋体" w:cs="宋体"/>
                <w:color w:val="auto"/>
                <w:highlight w:val="none"/>
              </w:rPr>
              <w:t>▲</w:t>
            </w:r>
            <w:r>
              <w:rPr>
                <w:rFonts w:hint="eastAsia" w:ascii="宋体" w:hAnsi="宋体" w:eastAsia="宋体" w:cs="宋体"/>
                <w:color w:val="000000"/>
                <w:sz w:val="24"/>
                <w:szCs w:val="24"/>
                <w:highlight w:val="none"/>
                <w:lang w:val="en-US" w:eastAsia="zh-CN"/>
              </w:rPr>
              <w:t>”与未标注“</w:t>
            </w:r>
            <w:r>
              <w:rPr>
                <w:rFonts w:hint="eastAsia" w:ascii="宋体" w:hAnsi="宋体" w:eastAsia="宋体" w:cs="宋体"/>
                <w:color w:val="auto"/>
                <w:highlight w:val="none"/>
              </w:rPr>
              <w:t>▲</w:t>
            </w:r>
            <w:r>
              <w:rPr>
                <w:rFonts w:hint="eastAsia" w:ascii="宋体" w:hAnsi="宋体" w:eastAsia="宋体" w:cs="宋体"/>
                <w:color w:val="000000"/>
                <w:sz w:val="24"/>
                <w:szCs w:val="24"/>
                <w:highlight w:val="none"/>
                <w:lang w:val="en-US" w:eastAsia="zh-CN"/>
              </w:rPr>
              <w:t>”技术参数，投标时提供对应的证明材料，包含但不限于（证明材料为第三方检测机构出具的检测报告、鉴定证书、技术白皮书、说明书、技术规格彩页</w:t>
            </w:r>
            <w:r>
              <w:rPr>
                <w:rFonts w:hint="eastAsia" w:ascii="宋体" w:hAnsi="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功能截图等），</w:t>
            </w:r>
            <w:r>
              <w:rPr>
                <w:rFonts w:hint="eastAsia" w:ascii="宋体" w:hAnsi="宋体" w:cs="宋体"/>
                <w:color w:val="000000"/>
                <w:sz w:val="24"/>
                <w:szCs w:val="24"/>
                <w:highlight w:val="none"/>
                <w:lang w:val="en-US" w:eastAsia="zh-CN"/>
              </w:rPr>
              <w:t>必须在技术偏离表中点对点注明相关证明材料在投标文件中的页码，</w:t>
            </w:r>
            <w:r>
              <w:rPr>
                <w:rFonts w:hint="eastAsia" w:ascii="宋体" w:hAnsi="宋体" w:eastAsia="宋体" w:cs="宋体"/>
                <w:color w:val="000000"/>
                <w:sz w:val="24"/>
                <w:szCs w:val="24"/>
                <w:highlight w:val="none"/>
                <w:lang w:val="en-US" w:eastAsia="zh-CN"/>
              </w:rPr>
              <w:t>若未提供有效证明材料或不符合要求的，视为不响应技术参数，则该参数将被视为</w:t>
            </w:r>
            <w:r>
              <w:rPr>
                <w:rFonts w:hint="eastAsia" w:ascii="宋体" w:hAnsi="宋体" w:cs="宋体"/>
                <w:color w:val="000000"/>
                <w:sz w:val="24"/>
                <w:szCs w:val="24"/>
                <w:highlight w:val="none"/>
                <w:lang w:val="en-US" w:eastAsia="zh-CN"/>
              </w:rPr>
              <w:t>不满足招标文件要求</w:t>
            </w:r>
            <w:r>
              <w:rPr>
                <w:rFonts w:hint="eastAsia" w:ascii="宋体" w:hAnsi="宋体" w:eastAsia="宋体" w:cs="宋体"/>
                <w:color w:val="000000"/>
                <w:sz w:val="24"/>
                <w:szCs w:val="24"/>
                <w:highlight w:val="none"/>
                <w:lang w:val="en-US" w:eastAsia="zh-CN"/>
              </w:rPr>
              <w:t>。</w:t>
            </w:r>
          </w:p>
        </w:tc>
      </w:tr>
      <w:tr w14:paraId="73E56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jc w:val="center"/>
        </w:trPr>
        <w:tc>
          <w:tcPr>
            <w:tcW w:w="699" w:type="dxa"/>
            <w:vMerge w:val="restart"/>
            <w:tcBorders>
              <w:left w:val="single" w:color="auto" w:sz="4" w:space="0"/>
              <w:right w:val="single" w:color="auto" w:sz="4" w:space="0"/>
            </w:tcBorders>
            <w:noWrap w:val="0"/>
            <w:vAlign w:val="center"/>
          </w:tcPr>
          <w:p w14:paraId="4203F918">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w:t>
            </w:r>
          </w:p>
        </w:tc>
        <w:tc>
          <w:tcPr>
            <w:tcW w:w="1260" w:type="dxa"/>
            <w:vMerge w:val="restart"/>
            <w:tcBorders>
              <w:left w:val="single" w:color="auto" w:sz="4" w:space="0"/>
              <w:right w:val="single" w:color="auto" w:sz="4" w:space="0"/>
            </w:tcBorders>
            <w:noWrap w:val="0"/>
            <w:vAlign w:val="center"/>
          </w:tcPr>
          <w:p w14:paraId="5F92370A">
            <w:pPr>
              <w:pageBreakBefore w:val="0"/>
              <w:widowControl w:val="0"/>
              <w:tabs>
                <w:tab w:val="left" w:pos="381"/>
              </w:tabs>
              <w:wordWrap/>
              <w:topLinePunct w:val="0"/>
              <w:bidi w:val="0"/>
              <w:snapToGrid w:val="0"/>
              <w:spacing w:line="360" w:lineRule="exact"/>
              <w:ind w:left="360" w:leftChars="0" w:hanging="360" w:hangingChars="15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商务部分</w:t>
            </w:r>
          </w:p>
          <w:p w14:paraId="4678BA4B">
            <w:pPr>
              <w:pageBreakBefore w:val="0"/>
              <w:widowControl w:val="0"/>
              <w:tabs>
                <w:tab w:val="left" w:pos="381"/>
              </w:tabs>
              <w:wordWrap/>
              <w:topLinePunct w:val="0"/>
              <w:bidi w:val="0"/>
              <w:snapToGrid w:val="0"/>
              <w:spacing w:line="360" w:lineRule="exact"/>
              <w:ind w:left="360" w:leftChars="0" w:hanging="360" w:hangingChars="15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（30分）</w:t>
            </w:r>
          </w:p>
        </w:tc>
        <w:tc>
          <w:tcPr>
            <w:tcW w:w="1320" w:type="dxa"/>
            <w:vMerge w:val="restart"/>
            <w:tcBorders>
              <w:top w:val="single" w:color="auto" w:sz="4" w:space="0"/>
              <w:left w:val="single" w:color="auto" w:sz="4" w:space="0"/>
              <w:right w:val="single" w:color="auto" w:sz="4" w:space="0"/>
            </w:tcBorders>
            <w:noWrap w:val="0"/>
            <w:vAlign w:val="center"/>
          </w:tcPr>
          <w:p w14:paraId="5A709C75">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业绩（</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分）</w:t>
            </w:r>
          </w:p>
        </w:tc>
        <w:tc>
          <w:tcPr>
            <w:tcW w:w="6600" w:type="dxa"/>
            <w:tcBorders>
              <w:top w:val="single" w:color="auto" w:sz="4" w:space="0"/>
              <w:left w:val="single" w:color="auto" w:sz="4" w:space="0"/>
              <w:bottom w:val="single" w:color="auto" w:sz="4" w:space="0"/>
              <w:right w:val="single" w:color="auto" w:sz="4" w:space="0"/>
            </w:tcBorders>
            <w:noWrap w:val="0"/>
            <w:vAlign w:val="center"/>
          </w:tcPr>
          <w:p w14:paraId="7358D712">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投标产品近三年（</w:t>
            </w:r>
            <w:r>
              <w:rPr>
                <w:rFonts w:hint="eastAsia" w:ascii="宋体" w:hAnsi="宋体" w:cs="宋体"/>
                <w:color w:val="000000"/>
                <w:sz w:val="24"/>
                <w:szCs w:val="24"/>
                <w:highlight w:val="none"/>
                <w:lang w:val="en-US" w:eastAsia="zh-CN"/>
              </w:rPr>
              <w:t>2022年4月</w:t>
            </w:r>
            <w:r>
              <w:rPr>
                <w:rFonts w:hint="eastAsia" w:ascii="宋体" w:hAnsi="宋体" w:eastAsia="宋体" w:cs="宋体"/>
                <w:color w:val="000000"/>
                <w:sz w:val="24"/>
                <w:szCs w:val="24"/>
                <w:highlight w:val="none"/>
                <w:lang w:val="en-US" w:eastAsia="zh-CN"/>
              </w:rPr>
              <w:t>至今）以来</w:t>
            </w:r>
            <w:r>
              <w:rPr>
                <w:rFonts w:hint="eastAsia" w:ascii="宋体" w:hAnsi="宋体" w:cs="宋体"/>
                <w:color w:val="000000"/>
                <w:sz w:val="24"/>
                <w:szCs w:val="24"/>
                <w:highlight w:val="none"/>
                <w:lang w:val="en-US" w:eastAsia="zh-CN"/>
              </w:rPr>
              <w:t>类似</w:t>
            </w:r>
            <w:r>
              <w:rPr>
                <w:rFonts w:hint="eastAsia" w:ascii="宋体" w:hAnsi="宋体" w:eastAsia="宋体" w:cs="宋体"/>
                <w:color w:val="000000"/>
                <w:sz w:val="24"/>
                <w:szCs w:val="24"/>
                <w:highlight w:val="none"/>
                <w:lang w:val="en-US" w:eastAsia="zh-CN"/>
              </w:rPr>
              <w:t>业绩，最多提供</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个，在投标文件中提供合同或中标通知书复印件并加盖投标人公章，以合同签订时间为准，1份业绩得</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en-US" w:eastAsia="zh-CN"/>
              </w:rPr>
              <w:t>分，最高得分为</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分。</w:t>
            </w:r>
          </w:p>
        </w:tc>
      </w:tr>
      <w:tr w14:paraId="36D82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699" w:type="dxa"/>
            <w:vMerge w:val="continue"/>
            <w:tcBorders>
              <w:left w:val="single" w:color="auto" w:sz="4" w:space="0"/>
              <w:right w:val="single" w:color="auto" w:sz="4" w:space="0"/>
            </w:tcBorders>
            <w:noWrap w:val="0"/>
            <w:vAlign w:val="center"/>
          </w:tcPr>
          <w:p w14:paraId="1D31F9FB">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lang w:val="en-US" w:eastAsia="zh-CN"/>
              </w:rPr>
            </w:pPr>
          </w:p>
        </w:tc>
        <w:tc>
          <w:tcPr>
            <w:tcW w:w="1260" w:type="dxa"/>
            <w:vMerge w:val="continue"/>
            <w:tcBorders>
              <w:left w:val="single" w:color="auto" w:sz="4" w:space="0"/>
              <w:right w:val="single" w:color="auto" w:sz="4" w:space="0"/>
            </w:tcBorders>
            <w:noWrap w:val="0"/>
            <w:vAlign w:val="center"/>
          </w:tcPr>
          <w:p w14:paraId="0D7224F7">
            <w:pPr>
              <w:pageBreakBefore w:val="0"/>
              <w:widowControl w:val="0"/>
              <w:wordWrap/>
              <w:topLinePunct w:val="0"/>
              <w:bidi w:val="0"/>
              <w:snapToGrid w:val="0"/>
              <w:spacing w:line="360" w:lineRule="exact"/>
              <w:jc w:val="center"/>
              <w:rPr>
                <w:rFonts w:hint="eastAsia" w:ascii="宋体" w:hAnsi="宋体" w:eastAsia="宋体" w:cs="宋体"/>
                <w:color w:val="auto"/>
                <w:sz w:val="24"/>
                <w:szCs w:val="24"/>
                <w:highlight w:val="none"/>
              </w:rPr>
            </w:pPr>
          </w:p>
        </w:tc>
        <w:tc>
          <w:tcPr>
            <w:tcW w:w="1320" w:type="dxa"/>
            <w:vMerge w:val="restart"/>
            <w:tcBorders>
              <w:top w:val="single" w:color="auto" w:sz="4" w:space="0"/>
              <w:left w:val="single" w:color="auto" w:sz="4" w:space="0"/>
              <w:bottom w:val="single" w:color="auto" w:sz="4" w:space="0"/>
              <w:right w:val="single" w:color="auto" w:sz="4" w:space="0"/>
            </w:tcBorders>
            <w:noWrap w:val="0"/>
            <w:vAlign w:val="center"/>
          </w:tcPr>
          <w:p w14:paraId="4C457A1F">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售后服务体系</w:t>
            </w:r>
          </w:p>
          <w:p w14:paraId="739E552E">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w:t>
            </w:r>
            <w:r>
              <w:rPr>
                <w:rFonts w:hint="eastAsia" w:ascii="宋体" w:hAnsi="宋体" w:cs="宋体"/>
                <w:color w:val="000000"/>
                <w:sz w:val="24"/>
                <w:szCs w:val="24"/>
                <w:highlight w:val="none"/>
                <w:lang w:val="en-US" w:eastAsia="zh-CN"/>
              </w:rPr>
              <w:t>5</w:t>
            </w:r>
            <w:r>
              <w:rPr>
                <w:rFonts w:hint="eastAsia" w:ascii="宋体" w:hAnsi="宋体" w:eastAsia="宋体" w:cs="宋体"/>
                <w:color w:val="000000"/>
                <w:sz w:val="24"/>
                <w:szCs w:val="24"/>
                <w:highlight w:val="none"/>
                <w:lang w:val="en-US" w:eastAsia="zh-CN"/>
              </w:rPr>
              <w:t>分）</w:t>
            </w:r>
          </w:p>
          <w:p w14:paraId="0F77CC27">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p>
        </w:tc>
        <w:tc>
          <w:tcPr>
            <w:tcW w:w="6600" w:type="dxa"/>
            <w:tcBorders>
              <w:top w:val="single" w:color="auto" w:sz="4" w:space="0"/>
              <w:left w:val="single" w:color="auto" w:sz="4" w:space="0"/>
              <w:bottom w:val="single" w:color="auto" w:sz="4" w:space="0"/>
              <w:right w:val="single" w:color="auto" w:sz="4" w:space="0"/>
            </w:tcBorders>
            <w:noWrap w:val="0"/>
            <w:vAlign w:val="center"/>
          </w:tcPr>
          <w:p w14:paraId="0C82E85B">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拥有完善的售后服务保障体系；提供完善的售后服务承诺书得</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en-US" w:eastAsia="zh-CN"/>
              </w:rPr>
              <w:t>分，否则不得分。</w:t>
            </w:r>
          </w:p>
        </w:tc>
      </w:tr>
      <w:tr w14:paraId="4672F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699" w:type="dxa"/>
            <w:vMerge w:val="continue"/>
            <w:tcBorders>
              <w:left w:val="single" w:color="auto" w:sz="4" w:space="0"/>
              <w:right w:val="single" w:color="auto" w:sz="4" w:space="0"/>
            </w:tcBorders>
            <w:noWrap w:val="0"/>
            <w:vAlign w:val="center"/>
          </w:tcPr>
          <w:p w14:paraId="7EBD59FB">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rPr>
            </w:pPr>
          </w:p>
        </w:tc>
        <w:tc>
          <w:tcPr>
            <w:tcW w:w="1260" w:type="dxa"/>
            <w:vMerge w:val="continue"/>
            <w:tcBorders>
              <w:left w:val="single" w:color="auto" w:sz="4" w:space="0"/>
              <w:right w:val="single" w:color="auto" w:sz="4" w:space="0"/>
            </w:tcBorders>
            <w:noWrap w:val="0"/>
            <w:vAlign w:val="center"/>
          </w:tcPr>
          <w:p w14:paraId="2807A30C">
            <w:pPr>
              <w:pageBreakBefore w:val="0"/>
              <w:widowControl w:val="0"/>
              <w:tabs>
                <w:tab w:val="left" w:pos="1007"/>
              </w:tabs>
              <w:wordWrap/>
              <w:topLinePunct w:val="0"/>
              <w:bidi w:val="0"/>
              <w:snapToGrid w:val="0"/>
              <w:spacing w:line="360" w:lineRule="exact"/>
              <w:jc w:val="left"/>
              <w:rPr>
                <w:rFonts w:hint="eastAsia" w:ascii="宋体" w:hAnsi="宋体" w:eastAsia="宋体" w:cs="宋体"/>
                <w:sz w:val="24"/>
                <w:szCs w:val="24"/>
                <w:highlight w:val="none"/>
              </w:rPr>
            </w:pPr>
          </w:p>
        </w:tc>
        <w:tc>
          <w:tcPr>
            <w:tcW w:w="1320" w:type="dxa"/>
            <w:vMerge w:val="continue"/>
            <w:tcBorders>
              <w:top w:val="single" w:color="auto" w:sz="4" w:space="0"/>
              <w:left w:val="single" w:color="auto" w:sz="4" w:space="0"/>
              <w:right w:val="single" w:color="auto" w:sz="4" w:space="0"/>
            </w:tcBorders>
            <w:noWrap w:val="0"/>
            <w:vAlign w:val="center"/>
          </w:tcPr>
          <w:p w14:paraId="5AE8AF57">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p>
        </w:tc>
        <w:tc>
          <w:tcPr>
            <w:tcW w:w="6600" w:type="dxa"/>
            <w:tcBorders>
              <w:top w:val="single" w:color="auto" w:sz="4" w:space="0"/>
              <w:left w:val="single" w:color="auto" w:sz="4" w:space="0"/>
              <w:right w:val="single" w:color="auto" w:sz="4" w:space="0"/>
            </w:tcBorders>
            <w:noWrap w:val="0"/>
            <w:vAlign w:val="center"/>
          </w:tcPr>
          <w:p w14:paraId="7B7B77CB">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设有</w:t>
            </w:r>
            <w:r>
              <w:rPr>
                <w:rFonts w:hint="eastAsia" w:ascii="宋体" w:hAnsi="宋体" w:cs="宋体"/>
                <w:color w:val="000000"/>
                <w:sz w:val="24"/>
                <w:szCs w:val="24"/>
                <w:highlight w:val="none"/>
                <w:lang w:val="en-US" w:eastAsia="zh-CN"/>
              </w:rPr>
              <w:t>厂家</w:t>
            </w:r>
            <w:r>
              <w:rPr>
                <w:rFonts w:hint="eastAsia" w:ascii="宋体" w:hAnsi="宋体" w:eastAsia="宋体" w:cs="宋体"/>
                <w:color w:val="000000"/>
                <w:sz w:val="24"/>
                <w:szCs w:val="24"/>
                <w:highlight w:val="none"/>
                <w:lang w:val="en-US" w:eastAsia="zh-CN"/>
              </w:rPr>
              <w:t>常驻专业维修工程师以提供技术服务支持；提供专业维修工程师信息资料</w:t>
            </w:r>
            <w:r>
              <w:rPr>
                <w:rFonts w:hint="eastAsia" w:ascii="宋体" w:hAnsi="宋体" w:cs="宋体"/>
                <w:color w:val="000000"/>
                <w:sz w:val="24"/>
                <w:szCs w:val="24"/>
                <w:highlight w:val="none"/>
                <w:lang w:val="en-US" w:eastAsia="zh-CN"/>
              </w:rPr>
              <w:t>（包括身份证、工程师资格证书、近3个月缴纳社保凭证等）</w:t>
            </w:r>
            <w:r>
              <w:rPr>
                <w:rFonts w:hint="eastAsia" w:ascii="宋体" w:hAnsi="宋体" w:eastAsia="宋体" w:cs="宋体"/>
                <w:color w:val="000000"/>
                <w:sz w:val="24"/>
                <w:szCs w:val="24"/>
                <w:highlight w:val="none"/>
                <w:lang w:val="en-US" w:eastAsia="zh-CN"/>
              </w:rPr>
              <w:t>得2分，否则不得分。</w:t>
            </w:r>
          </w:p>
        </w:tc>
      </w:tr>
      <w:tr w14:paraId="4D52A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699" w:type="dxa"/>
            <w:vMerge w:val="continue"/>
            <w:tcBorders>
              <w:left w:val="single" w:color="auto" w:sz="4" w:space="0"/>
              <w:right w:val="single" w:color="auto" w:sz="4" w:space="0"/>
            </w:tcBorders>
            <w:noWrap w:val="0"/>
            <w:vAlign w:val="center"/>
          </w:tcPr>
          <w:p w14:paraId="3ACF05B7">
            <w:pPr>
              <w:pageBreakBefore w:val="0"/>
              <w:widowControl w:val="0"/>
              <w:tabs>
                <w:tab w:val="left" w:pos="1007"/>
              </w:tabs>
              <w:wordWrap/>
              <w:topLinePunct w:val="0"/>
              <w:bidi w:val="0"/>
              <w:snapToGrid w:val="0"/>
              <w:spacing w:line="360" w:lineRule="exact"/>
              <w:jc w:val="left"/>
              <w:rPr>
                <w:rFonts w:hint="eastAsia" w:ascii="宋体" w:hAnsi="宋体" w:eastAsia="宋体" w:cs="宋体"/>
                <w:sz w:val="24"/>
                <w:szCs w:val="24"/>
              </w:rPr>
            </w:pPr>
          </w:p>
        </w:tc>
        <w:tc>
          <w:tcPr>
            <w:tcW w:w="1260" w:type="dxa"/>
            <w:vMerge w:val="continue"/>
            <w:tcBorders>
              <w:left w:val="single" w:color="auto" w:sz="4" w:space="0"/>
              <w:right w:val="single" w:color="auto" w:sz="4" w:space="0"/>
            </w:tcBorders>
            <w:noWrap w:val="0"/>
            <w:vAlign w:val="center"/>
          </w:tcPr>
          <w:p w14:paraId="3E039310">
            <w:pPr>
              <w:pageBreakBefore w:val="0"/>
              <w:widowControl w:val="0"/>
              <w:tabs>
                <w:tab w:val="left" w:pos="1007"/>
              </w:tabs>
              <w:wordWrap/>
              <w:topLinePunct w:val="0"/>
              <w:bidi w:val="0"/>
              <w:snapToGrid w:val="0"/>
              <w:spacing w:line="360" w:lineRule="exact"/>
              <w:jc w:val="left"/>
              <w:rPr>
                <w:rFonts w:hint="eastAsia" w:ascii="宋体" w:hAnsi="宋体" w:eastAsia="宋体" w:cs="宋体"/>
                <w:sz w:val="24"/>
                <w:szCs w:val="24"/>
              </w:rPr>
            </w:pPr>
          </w:p>
        </w:tc>
        <w:tc>
          <w:tcPr>
            <w:tcW w:w="1320" w:type="dxa"/>
            <w:vMerge w:val="continue"/>
            <w:tcBorders>
              <w:left w:val="single" w:color="auto" w:sz="4" w:space="0"/>
              <w:right w:val="single" w:color="auto" w:sz="4" w:space="0"/>
            </w:tcBorders>
            <w:noWrap w:val="0"/>
            <w:vAlign w:val="center"/>
          </w:tcPr>
          <w:p w14:paraId="107644E3">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p>
        </w:tc>
        <w:tc>
          <w:tcPr>
            <w:tcW w:w="6600" w:type="dxa"/>
            <w:tcBorders>
              <w:top w:val="single" w:color="auto" w:sz="4" w:space="0"/>
              <w:left w:val="single" w:color="auto" w:sz="4" w:space="0"/>
              <w:right w:val="single" w:color="auto" w:sz="4" w:space="0"/>
            </w:tcBorders>
            <w:noWrap w:val="0"/>
            <w:vAlign w:val="center"/>
          </w:tcPr>
          <w:p w14:paraId="1D012311">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设有备件仓库保证常规配件供应；提供设备仓库照片、租赁合同及仓库储存清单得2分，否则不得分。</w:t>
            </w:r>
          </w:p>
        </w:tc>
      </w:tr>
      <w:tr w14:paraId="070ED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699" w:type="dxa"/>
            <w:vMerge w:val="continue"/>
            <w:tcBorders>
              <w:left w:val="single" w:color="auto" w:sz="4" w:space="0"/>
              <w:right w:val="single" w:color="auto" w:sz="4" w:space="0"/>
            </w:tcBorders>
            <w:noWrap w:val="0"/>
            <w:vAlign w:val="center"/>
          </w:tcPr>
          <w:p w14:paraId="24811DF9">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yellow"/>
                <w:lang w:val="en-US" w:eastAsia="zh-CN"/>
              </w:rPr>
            </w:pPr>
          </w:p>
        </w:tc>
        <w:tc>
          <w:tcPr>
            <w:tcW w:w="1260" w:type="dxa"/>
            <w:vMerge w:val="continue"/>
            <w:tcBorders>
              <w:left w:val="single" w:color="auto" w:sz="4" w:space="0"/>
              <w:right w:val="single" w:color="auto" w:sz="4" w:space="0"/>
            </w:tcBorders>
            <w:noWrap w:val="0"/>
            <w:vAlign w:val="center"/>
          </w:tcPr>
          <w:p w14:paraId="0E07E82F">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yellow"/>
                <w:lang w:val="en-US" w:eastAsia="zh-CN"/>
              </w:rPr>
            </w:pPr>
          </w:p>
        </w:tc>
        <w:tc>
          <w:tcPr>
            <w:tcW w:w="1320" w:type="dxa"/>
            <w:tcBorders>
              <w:left w:val="single" w:color="auto" w:sz="4" w:space="0"/>
              <w:right w:val="single" w:color="auto" w:sz="4" w:space="0"/>
            </w:tcBorders>
            <w:noWrap w:val="0"/>
            <w:vAlign w:val="center"/>
          </w:tcPr>
          <w:p w14:paraId="30D28685">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质量保修期（</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分）</w:t>
            </w:r>
          </w:p>
        </w:tc>
        <w:tc>
          <w:tcPr>
            <w:tcW w:w="6600" w:type="dxa"/>
            <w:tcBorders>
              <w:top w:val="single" w:color="auto" w:sz="4" w:space="0"/>
              <w:left w:val="single" w:color="auto" w:sz="4" w:space="0"/>
              <w:right w:val="single" w:color="auto" w:sz="4" w:space="0"/>
            </w:tcBorders>
            <w:noWrap w:val="0"/>
            <w:vAlign w:val="center"/>
          </w:tcPr>
          <w:p w14:paraId="5C9C32AA">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质量保修期等于3年不得分，每增加1年得1分，最多得2分。</w:t>
            </w:r>
          </w:p>
        </w:tc>
      </w:tr>
      <w:tr w14:paraId="4FB52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99" w:type="dxa"/>
            <w:vMerge w:val="continue"/>
            <w:tcBorders>
              <w:left w:val="single" w:color="auto" w:sz="4" w:space="0"/>
              <w:right w:val="single" w:color="auto" w:sz="4" w:space="0"/>
            </w:tcBorders>
            <w:noWrap w:val="0"/>
            <w:vAlign w:val="center"/>
          </w:tcPr>
          <w:p w14:paraId="4C4B2837">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rPr>
            </w:pPr>
          </w:p>
        </w:tc>
        <w:tc>
          <w:tcPr>
            <w:tcW w:w="1260" w:type="dxa"/>
            <w:vMerge w:val="continue"/>
            <w:tcBorders>
              <w:left w:val="single" w:color="auto" w:sz="4" w:space="0"/>
              <w:right w:val="single" w:color="auto" w:sz="4" w:space="0"/>
            </w:tcBorders>
            <w:noWrap w:val="0"/>
            <w:vAlign w:val="center"/>
          </w:tcPr>
          <w:p w14:paraId="7E9A651E">
            <w:pPr>
              <w:pageBreakBefore w:val="0"/>
              <w:widowControl w:val="0"/>
              <w:wordWrap/>
              <w:topLinePunct w:val="0"/>
              <w:bidi w:val="0"/>
              <w:snapToGrid w:val="0"/>
              <w:spacing w:line="360" w:lineRule="exact"/>
              <w:jc w:val="center"/>
              <w:rPr>
                <w:rFonts w:hint="eastAsia" w:ascii="宋体" w:hAnsi="宋体" w:eastAsia="宋体" w:cs="宋体"/>
                <w:sz w:val="24"/>
                <w:szCs w:val="24"/>
                <w:highlight w:val="none"/>
              </w:rPr>
            </w:pPr>
          </w:p>
        </w:tc>
        <w:tc>
          <w:tcPr>
            <w:tcW w:w="1320" w:type="dxa"/>
            <w:tcBorders>
              <w:top w:val="single" w:color="auto" w:sz="4" w:space="0"/>
              <w:left w:val="single" w:color="auto" w:sz="4" w:space="0"/>
              <w:right w:val="single" w:color="auto" w:sz="4" w:space="0"/>
            </w:tcBorders>
            <w:noWrap w:val="0"/>
            <w:vAlign w:val="center"/>
          </w:tcPr>
          <w:p w14:paraId="32005611">
            <w:pPr>
              <w:pStyle w:val="46"/>
              <w:keepNext w:val="0"/>
              <w:keepLines w:val="0"/>
              <w:pageBreakBefore w:val="0"/>
              <w:widowControl w:val="0"/>
              <w:kinsoku/>
              <w:wordWrap/>
              <w:overflowPunct/>
              <w:topLinePunct w:val="0"/>
              <w:autoSpaceDE/>
              <w:autoSpaceDN/>
              <w:bidi w:val="0"/>
              <w:adjustRightInd/>
              <w:snapToGrid/>
              <w:spacing w:line="240" w:lineRule="auto"/>
              <w:ind w:left="0" w:right="0"/>
              <w:jc w:val="center"/>
              <w:textAlignment w:val="auto"/>
              <w:rPr>
                <w:rFonts w:hint="eastAsia" w:ascii="宋体" w:hAnsi="宋体" w:eastAsia="宋体" w:cs="宋体"/>
                <w:sz w:val="24"/>
                <w:szCs w:val="24"/>
                <w:lang w:val="zh-CN" w:eastAsia="zh-CN"/>
              </w:rPr>
            </w:pPr>
            <w:r>
              <w:rPr>
                <w:rFonts w:hint="eastAsia" w:cs="宋体"/>
                <w:sz w:val="24"/>
                <w:szCs w:val="24"/>
                <w:lang w:val="zh-CN" w:eastAsia="zh-CN"/>
              </w:rPr>
              <w:t>项目实施方案</w:t>
            </w:r>
          </w:p>
          <w:p w14:paraId="3E4CA68F">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宋体" w:hAnsi="宋体" w:eastAsia="宋体" w:cs="Times New Roman"/>
                <w:color w:val="auto"/>
                <w:kern w:val="2"/>
                <w:sz w:val="24"/>
                <w:szCs w:val="24"/>
                <w:highlight w:val="none"/>
                <w:lang w:val="en-US" w:eastAsia="zh-CN" w:bidi="zh-CN"/>
              </w:rPr>
            </w:pPr>
            <w:r>
              <w:rPr>
                <w:rFonts w:hint="eastAsia" w:ascii="宋体" w:hAnsi="宋体" w:eastAsia="宋体" w:cs="宋体"/>
                <w:sz w:val="24"/>
                <w:szCs w:val="24"/>
                <w:lang w:val="zh-CN" w:eastAsia="zh-CN"/>
              </w:rPr>
              <w:t>（</w:t>
            </w:r>
            <w:r>
              <w:rPr>
                <w:rFonts w:hint="eastAsia" w:cs="宋体"/>
                <w:sz w:val="24"/>
                <w:szCs w:val="24"/>
                <w:lang w:val="en-US" w:eastAsia="zh-CN"/>
              </w:rPr>
              <w:t>7</w:t>
            </w:r>
            <w:r>
              <w:rPr>
                <w:rFonts w:hint="eastAsia" w:ascii="宋体" w:hAnsi="宋体" w:eastAsia="宋体" w:cs="宋体"/>
                <w:sz w:val="24"/>
                <w:szCs w:val="24"/>
                <w:lang w:val="zh-CN" w:eastAsia="zh-CN"/>
              </w:rPr>
              <w:t>分）</w:t>
            </w:r>
          </w:p>
        </w:tc>
        <w:tc>
          <w:tcPr>
            <w:tcW w:w="6600" w:type="dxa"/>
            <w:tcBorders>
              <w:top w:val="single" w:color="auto" w:sz="4" w:space="0"/>
              <w:left w:val="single" w:color="auto" w:sz="4" w:space="0"/>
              <w:right w:val="single" w:color="auto" w:sz="4" w:space="0"/>
            </w:tcBorders>
            <w:noWrap w:val="0"/>
            <w:vAlign w:val="center"/>
          </w:tcPr>
          <w:p w14:paraId="2544B9BA">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rPr>
                <w:rFonts w:hint="eastAsia" w:ascii="宋体" w:hAnsi="宋体" w:eastAsia="宋体" w:cs="宋体"/>
                <w:kern w:val="2"/>
                <w:sz w:val="24"/>
                <w:szCs w:val="24"/>
                <w:lang w:val="en-US" w:eastAsia="zh-CN" w:bidi="zh-CN"/>
              </w:rPr>
            </w:pPr>
            <w:r>
              <w:rPr>
                <w:rFonts w:hint="eastAsia" w:cs="宋体"/>
                <w:sz w:val="24"/>
                <w:szCs w:val="24"/>
                <w:lang w:val="zh-CN" w:eastAsia="zh-CN"/>
              </w:rPr>
              <w:t>项目实施方案</w:t>
            </w:r>
            <w:r>
              <w:rPr>
                <w:rFonts w:hint="eastAsia" w:cs="宋体"/>
                <w:sz w:val="24"/>
                <w:szCs w:val="24"/>
                <w:lang w:val="en-US" w:eastAsia="zh-CN"/>
              </w:rPr>
              <w:t>包括</w:t>
            </w:r>
            <w:r>
              <w:rPr>
                <w:rFonts w:hint="eastAsia" w:ascii="宋体" w:hAnsi="宋体" w:eastAsia="宋体" w:cs="宋体"/>
                <w:sz w:val="24"/>
                <w:szCs w:val="24"/>
                <w:lang w:val="zh-CN" w:eastAsia="zh-CN"/>
              </w:rPr>
              <w:t>：①管理措施</w:t>
            </w:r>
            <w:r>
              <w:rPr>
                <w:rFonts w:hint="eastAsia" w:cs="宋体"/>
                <w:sz w:val="24"/>
                <w:szCs w:val="24"/>
                <w:lang w:val="zh-CN" w:eastAsia="zh-CN"/>
              </w:rPr>
              <w:t>、</w:t>
            </w:r>
            <w:r>
              <w:rPr>
                <w:rFonts w:hint="eastAsia" w:ascii="宋体" w:hAnsi="宋体" w:eastAsia="宋体" w:cs="宋体"/>
                <w:sz w:val="24"/>
                <w:szCs w:val="24"/>
                <w:lang w:val="zh-CN" w:eastAsia="zh-CN"/>
              </w:rPr>
              <w:t>②交货期保证措施；③</w:t>
            </w:r>
            <w:r>
              <w:rPr>
                <w:rFonts w:hint="eastAsia" w:cs="宋体"/>
                <w:sz w:val="24"/>
                <w:szCs w:val="24"/>
                <w:lang w:val="en-US" w:eastAsia="zh-CN"/>
              </w:rPr>
              <w:t>运输、包装、搬运、装卸方案</w:t>
            </w:r>
            <w:r>
              <w:rPr>
                <w:rFonts w:hint="eastAsia" w:cs="宋体"/>
                <w:sz w:val="24"/>
                <w:szCs w:val="24"/>
                <w:lang w:val="zh-CN" w:eastAsia="zh-CN"/>
              </w:rPr>
              <w:t>；</w:t>
            </w:r>
            <w:r>
              <w:rPr>
                <w:rFonts w:hint="eastAsia" w:ascii="宋体" w:hAnsi="宋体" w:eastAsia="宋体" w:cs="宋体"/>
                <w:sz w:val="24"/>
                <w:szCs w:val="24"/>
                <w:lang w:val="zh-CN" w:eastAsia="zh-CN"/>
              </w:rPr>
              <w:t>④</w:t>
            </w:r>
            <w:r>
              <w:rPr>
                <w:rFonts w:hint="eastAsia" w:cs="宋体"/>
                <w:sz w:val="24"/>
                <w:szCs w:val="24"/>
                <w:lang w:val="en-US" w:eastAsia="zh-CN"/>
              </w:rPr>
              <w:t>安装调试方案</w:t>
            </w:r>
            <w:r>
              <w:rPr>
                <w:rFonts w:hint="eastAsia" w:ascii="宋体" w:hAnsi="宋体" w:eastAsia="宋体" w:cs="宋体"/>
                <w:sz w:val="24"/>
                <w:szCs w:val="24"/>
                <w:lang w:val="zh-CN" w:eastAsia="zh-CN"/>
              </w:rPr>
              <w:t>；⑤</w:t>
            </w:r>
            <w:r>
              <w:rPr>
                <w:rFonts w:hint="eastAsia" w:cs="宋体"/>
                <w:sz w:val="24"/>
                <w:szCs w:val="24"/>
                <w:lang w:val="en-US" w:eastAsia="zh-CN"/>
              </w:rPr>
              <w:t>验收方式、标准、按时交付验收措施</w:t>
            </w:r>
            <w:r>
              <w:rPr>
                <w:rFonts w:hint="eastAsia" w:ascii="宋体" w:hAnsi="宋体" w:eastAsia="宋体" w:cs="宋体"/>
                <w:sz w:val="24"/>
                <w:szCs w:val="24"/>
                <w:lang w:val="zh-CN" w:eastAsia="zh-CN"/>
              </w:rPr>
              <w:t>；⑥故障修复时间；⑦巡检维保服务方案等；</w:t>
            </w:r>
            <w:r>
              <w:rPr>
                <w:rFonts w:hint="eastAsia" w:ascii="宋体" w:hAnsi="宋体" w:eastAsia="宋体" w:cs="宋体"/>
                <w:sz w:val="24"/>
                <w:szCs w:val="24"/>
                <w:lang w:val="en-US" w:eastAsia="zh-CN"/>
              </w:rPr>
              <w:t>以上方案每项得</w:t>
            </w:r>
            <w:r>
              <w:rPr>
                <w:rFonts w:hint="eastAsia" w:cs="宋体"/>
                <w:sz w:val="24"/>
                <w:szCs w:val="24"/>
                <w:lang w:val="en-US" w:eastAsia="zh-CN"/>
              </w:rPr>
              <w:t>1</w:t>
            </w:r>
            <w:r>
              <w:rPr>
                <w:rFonts w:hint="eastAsia" w:ascii="宋体" w:hAnsi="宋体" w:eastAsia="宋体" w:cs="宋体"/>
                <w:sz w:val="24"/>
                <w:szCs w:val="24"/>
                <w:lang w:val="en-US" w:eastAsia="zh-CN"/>
              </w:rPr>
              <w:t xml:space="preserve">分，缺项不得分。每有一处存在缺陷扣 </w:t>
            </w:r>
            <w:r>
              <w:rPr>
                <w:rFonts w:hint="eastAsia" w:cs="宋体"/>
                <w:sz w:val="24"/>
                <w:szCs w:val="24"/>
                <w:lang w:val="en-US" w:eastAsia="zh-CN"/>
              </w:rPr>
              <w:t>0.5</w:t>
            </w:r>
            <w:r>
              <w:rPr>
                <w:rFonts w:hint="eastAsia" w:ascii="宋体" w:hAnsi="宋体" w:eastAsia="宋体" w:cs="宋体"/>
                <w:sz w:val="24"/>
                <w:szCs w:val="24"/>
                <w:lang w:val="en-US" w:eastAsia="zh-CN"/>
              </w:rPr>
              <w:t xml:space="preserve"> 分（缺陷是指：存在不适用项目实际情况的情形、凭空编造、内容前后不一致、前后逻辑错误、涉及的规范及标准错误、地点区域错误、内容缺失、不符合采购需求等）（满分</w:t>
            </w:r>
            <w:r>
              <w:rPr>
                <w:rFonts w:hint="eastAsia" w:cs="宋体"/>
                <w:sz w:val="24"/>
                <w:szCs w:val="24"/>
                <w:lang w:val="en-US" w:eastAsia="zh-CN"/>
              </w:rPr>
              <w:t>7</w:t>
            </w:r>
            <w:r>
              <w:rPr>
                <w:rFonts w:hint="eastAsia" w:ascii="宋体" w:hAnsi="宋体" w:eastAsia="宋体" w:cs="宋体"/>
                <w:sz w:val="24"/>
                <w:szCs w:val="24"/>
                <w:lang w:val="en-US" w:eastAsia="zh-CN"/>
              </w:rPr>
              <w:t>分）。</w:t>
            </w:r>
          </w:p>
        </w:tc>
      </w:tr>
      <w:tr w14:paraId="41A27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99" w:type="dxa"/>
            <w:vMerge w:val="continue"/>
            <w:tcBorders>
              <w:left w:val="single" w:color="auto" w:sz="4" w:space="0"/>
              <w:right w:val="single" w:color="auto" w:sz="4" w:space="0"/>
            </w:tcBorders>
            <w:noWrap w:val="0"/>
            <w:vAlign w:val="center"/>
          </w:tcPr>
          <w:p w14:paraId="20E2F714">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rPr>
            </w:pPr>
          </w:p>
        </w:tc>
        <w:tc>
          <w:tcPr>
            <w:tcW w:w="1260" w:type="dxa"/>
            <w:vMerge w:val="continue"/>
            <w:tcBorders>
              <w:left w:val="single" w:color="auto" w:sz="4" w:space="0"/>
              <w:right w:val="single" w:color="auto" w:sz="4" w:space="0"/>
            </w:tcBorders>
            <w:noWrap w:val="0"/>
            <w:vAlign w:val="center"/>
          </w:tcPr>
          <w:p w14:paraId="0816D994">
            <w:pPr>
              <w:pageBreakBefore w:val="0"/>
              <w:widowControl w:val="0"/>
              <w:wordWrap/>
              <w:topLinePunct w:val="0"/>
              <w:bidi w:val="0"/>
              <w:snapToGrid w:val="0"/>
              <w:spacing w:line="360" w:lineRule="exact"/>
              <w:jc w:val="center"/>
              <w:rPr>
                <w:rFonts w:hint="eastAsia" w:ascii="宋体" w:hAnsi="宋体" w:eastAsia="宋体" w:cs="宋体"/>
                <w:sz w:val="24"/>
                <w:szCs w:val="24"/>
                <w:highlight w:val="none"/>
              </w:rPr>
            </w:pPr>
          </w:p>
        </w:tc>
        <w:tc>
          <w:tcPr>
            <w:tcW w:w="1320" w:type="dxa"/>
            <w:tcBorders>
              <w:top w:val="single" w:color="auto" w:sz="4" w:space="0"/>
              <w:left w:val="single" w:color="auto" w:sz="4" w:space="0"/>
              <w:right w:val="single" w:color="auto" w:sz="4" w:space="0"/>
            </w:tcBorders>
            <w:noWrap w:val="0"/>
            <w:vAlign w:val="center"/>
          </w:tcPr>
          <w:p w14:paraId="22C2CFDD">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质量保</w:t>
            </w:r>
          </w:p>
          <w:p w14:paraId="443B0BB3">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证措施</w:t>
            </w:r>
          </w:p>
          <w:p w14:paraId="5F56FDCD">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w:t>
            </w:r>
            <w:r>
              <w:rPr>
                <w:rFonts w:hint="eastAsia" w:cs="宋体"/>
                <w:sz w:val="24"/>
                <w:szCs w:val="24"/>
                <w:lang w:val="en-US" w:eastAsia="zh-CN"/>
              </w:rPr>
              <w:t>4</w:t>
            </w:r>
            <w:r>
              <w:rPr>
                <w:rFonts w:hint="eastAsia" w:ascii="宋体" w:hAnsi="宋体" w:eastAsia="宋体" w:cs="宋体"/>
                <w:sz w:val="24"/>
                <w:szCs w:val="24"/>
                <w:lang w:val="zh-CN" w:eastAsia="zh-CN"/>
              </w:rPr>
              <w:t>分）</w:t>
            </w:r>
          </w:p>
        </w:tc>
        <w:tc>
          <w:tcPr>
            <w:tcW w:w="6600" w:type="dxa"/>
            <w:tcBorders>
              <w:top w:val="single" w:color="auto" w:sz="4" w:space="0"/>
              <w:left w:val="single" w:color="auto" w:sz="4" w:space="0"/>
              <w:right w:val="single" w:color="auto" w:sz="4" w:space="0"/>
            </w:tcBorders>
            <w:noWrap w:val="0"/>
            <w:vAlign w:val="center"/>
          </w:tcPr>
          <w:p w14:paraId="5B8F413D">
            <w:pPr>
              <w:pStyle w:val="46"/>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rPr>
                <w:rFonts w:hint="eastAsia" w:cs="宋体"/>
                <w:sz w:val="24"/>
                <w:szCs w:val="24"/>
                <w:lang w:val="en-US" w:eastAsia="zh-CN"/>
              </w:rPr>
            </w:pPr>
            <w:r>
              <w:rPr>
                <w:rFonts w:hint="eastAsia" w:cs="宋体"/>
                <w:sz w:val="24"/>
                <w:szCs w:val="24"/>
                <w:lang w:val="en-US" w:eastAsia="zh-CN"/>
              </w:rPr>
              <w:t>质量保障措施包括：</w:t>
            </w:r>
            <w:r>
              <w:rPr>
                <w:rFonts w:hint="eastAsia" w:ascii="宋体" w:hAnsi="宋体" w:eastAsia="宋体" w:cs="宋体"/>
                <w:sz w:val="24"/>
                <w:szCs w:val="24"/>
                <w:lang w:val="zh-CN" w:eastAsia="zh-CN"/>
              </w:rPr>
              <w:t>①</w:t>
            </w:r>
            <w:r>
              <w:rPr>
                <w:rFonts w:hint="eastAsia" w:cs="宋体"/>
                <w:sz w:val="24"/>
                <w:szCs w:val="24"/>
                <w:lang w:val="en-US" w:eastAsia="zh-CN"/>
              </w:rPr>
              <w:t>货物质量保证措施；</w:t>
            </w:r>
            <w:r>
              <w:rPr>
                <w:rFonts w:hint="eastAsia" w:ascii="宋体" w:hAnsi="宋体" w:eastAsia="宋体" w:cs="宋体"/>
                <w:sz w:val="24"/>
                <w:szCs w:val="24"/>
                <w:lang w:val="zh-CN" w:eastAsia="zh-CN"/>
              </w:rPr>
              <w:t>②</w:t>
            </w:r>
            <w:r>
              <w:rPr>
                <w:rFonts w:hint="eastAsia" w:cs="宋体"/>
                <w:sz w:val="24"/>
                <w:szCs w:val="24"/>
                <w:lang w:val="en-US" w:eastAsia="zh-CN"/>
              </w:rPr>
              <w:t>检验、试验质量保障措施；</w:t>
            </w:r>
            <w:r>
              <w:rPr>
                <w:rFonts w:hint="eastAsia" w:ascii="宋体" w:hAnsi="宋体" w:eastAsia="宋体" w:cs="宋体"/>
                <w:sz w:val="24"/>
                <w:szCs w:val="24"/>
                <w:lang w:val="zh-CN" w:eastAsia="zh-CN"/>
              </w:rPr>
              <w:t>③</w:t>
            </w:r>
            <w:r>
              <w:rPr>
                <w:rFonts w:hint="eastAsia" w:cs="宋体"/>
                <w:sz w:val="24"/>
                <w:szCs w:val="24"/>
                <w:lang w:val="en-US" w:eastAsia="zh-CN"/>
              </w:rPr>
              <w:t>包装、运输质量保障措施；</w:t>
            </w:r>
            <w:r>
              <w:rPr>
                <w:rFonts w:hint="eastAsia" w:ascii="宋体" w:hAnsi="宋体" w:eastAsia="宋体" w:cs="宋体"/>
                <w:sz w:val="24"/>
                <w:szCs w:val="24"/>
                <w:lang w:val="zh-CN" w:eastAsia="zh-CN"/>
              </w:rPr>
              <w:t>④</w:t>
            </w:r>
            <w:r>
              <w:rPr>
                <w:rFonts w:hint="eastAsia" w:cs="宋体"/>
                <w:sz w:val="24"/>
                <w:szCs w:val="24"/>
                <w:lang w:val="en-US" w:eastAsia="zh-CN"/>
              </w:rPr>
              <w:t>交货质量保障措施。</w:t>
            </w:r>
            <w:r>
              <w:rPr>
                <w:rFonts w:hint="eastAsia" w:ascii="宋体" w:hAnsi="宋体" w:eastAsia="宋体" w:cs="宋体"/>
                <w:sz w:val="24"/>
                <w:szCs w:val="24"/>
                <w:lang w:val="en-US" w:eastAsia="zh-CN"/>
              </w:rPr>
              <w:t>以上方案每项得</w:t>
            </w:r>
            <w:r>
              <w:rPr>
                <w:rFonts w:hint="eastAsia" w:cs="宋体"/>
                <w:sz w:val="24"/>
                <w:szCs w:val="24"/>
                <w:lang w:val="en-US" w:eastAsia="zh-CN"/>
              </w:rPr>
              <w:t>1</w:t>
            </w:r>
            <w:r>
              <w:rPr>
                <w:rFonts w:hint="eastAsia" w:ascii="宋体" w:hAnsi="宋体" w:eastAsia="宋体" w:cs="宋体"/>
                <w:sz w:val="24"/>
                <w:szCs w:val="24"/>
                <w:lang w:val="en-US" w:eastAsia="zh-CN"/>
              </w:rPr>
              <w:t xml:space="preserve">分，缺项不得分。每有一处存在缺陷扣 </w:t>
            </w:r>
            <w:r>
              <w:rPr>
                <w:rFonts w:hint="eastAsia" w:cs="宋体"/>
                <w:sz w:val="24"/>
                <w:szCs w:val="24"/>
                <w:lang w:val="en-US" w:eastAsia="zh-CN"/>
              </w:rPr>
              <w:t>0.5</w:t>
            </w:r>
            <w:r>
              <w:rPr>
                <w:rFonts w:hint="eastAsia" w:ascii="宋体" w:hAnsi="宋体" w:eastAsia="宋体" w:cs="宋体"/>
                <w:sz w:val="24"/>
                <w:szCs w:val="24"/>
                <w:lang w:val="en-US" w:eastAsia="zh-CN"/>
              </w:rPr>
              <w:t xml:space="preserve"> 分（缺陷是指：存在不适用项目实际情况的情形、凭空编造、内容前后不一致、前后逻辑错误、涉及的规范及标准错误、地点区域错误、内容缺失、不符合采购需求等）（满分</w:t>
            </w:r>
            <w:r>
              <w:rPr>
                <w:rFonts w:hint="eastAsia" w:cs="宋体"/>
                <w:sz w:val="24"/>
                <w:szCs w:val="24"/>
                <w:lang w:val="en-US" w:eastAsia="zh-CN"/>
              </w:rPr>
              <w:t>4</w:t>
            </w:r>
            <w:r>
              <w:rPr>
                <w:rFonts w:hint="eastAsia" w:ascii="宋体" w:hAnsi="宋体" w:eastAsia="宋体" w:cs="宋体"/>
                <w:sz w:val="24"/>
                <w:szCs w:val="24"/>
                <w:lang w:val="en-US" w:eastAsia="zh-CN"/>
              </w:rPr>
              <w:t>分）。</w:t>
            </w:r>
          </w:p>
        </w:tc>
      </w:tr>
      <w:tr w14:paraId="27840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99" w:type="dxa"/>
            <w:vMerge w:val="continue"/>
            <w:tcBorders>
              <w:left w:val="single" w:color="auto" w:sz="4" w:space="0"/>
              <w:right w:val="single" w:color="auto" w:sz="4" w:space="0"/>
            </w:tcBorders>
            <w:noWrap w:val="0"/>
            <w:vAlign w:val="center"/>
          </w:tcPr>
          <w:p w14:paraId="18F54E9E">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rPr>
            </w:pPr>
          </w:p>
        </w:tc>
        <w:tc>
          <w:tcPr>
            <w:tcW w:w="1260" w:type="dxa"/>
            <w:vMerge w:val="continue"/>
            <w:tcBorders>
              <w:left w:val="single" w:color="auto" w:sz="4" w:space="0"/>
              <w:right w:val="single" w:color="auto" w:sz="4" w:space="0"/>
            </w:tcBorders>
            <w:noWrap w:val="0"/>
            <w:vAlign w:val="center"/>
          </w:tcPr>
          <w:p w14:paraId="4F76F361">
            <w:pPr>
              <w:pageBreakBefore w:val="0"/>
              <w:widowControl w:val="0"/>
              <w:wordWrap/>
              <w:topLinePunct w:val="0"/>
              <w:bidi w:val="0"/>
              <w:snapToGrid w:val="0"/>
              <w:spacing w:line="360" w:lineRule="exact"/>
              <w:jc w:val="center"/>
              <w:rPr>
                <w:rFonts w:hint="eastAsia" w:ascii="宋体" w:hAnsi="宋体" w:eastAsia="宋体" w:cs="宋体"/>
                <w:sz w:val="24"/>
                <w:szCs w:val="24"/>
                <w:highlight w:val="none"/>
              </w:rPr>
            </w:pPr>
          </w:p>
        </w:tc>
        <w:tc>
          <w:tcPr>
            <w:tcW w:w="1320" w:type="dxa"/>
            <w:tcBorders>
              <w:top w:val="single" w:color="auto" w:sz="4" w:space="0"/>
              <w:left w:val="single" w:color="auto" w:sz="4" w:space="0"/>
              <w:right w:val="single" w:color="auto" w:sz="4" w:space="0"/>
            </w:tcBorders>
            <w:noWrap w:val="0"/>
            <w:vAlign w:val="center"/>
          </w:tcPr>
          <w:p w14:paraId="7419AA04">
            <w:pPr>
              <w:pageBreakBefore w:val="0"/>
              <w:widowControl w:val="0"/>
              <w:tabs>
                <w:tab w:val="left" w:pos="1007"/>
              </w:tabs>
              <w:wordWrap/>
              <w:topLinePunct w:val="0"/>
              <w:bidi w:val="0"/>
              <w:snapToGrid w:val="0"/>
              <w:spacing w:line="36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零配件保障</w:t>
            </w:r>
            <w:r>
              <w:rPr>
                <w:rFonts w:hint="eastAsia" w:ascii="宋体" w:hAnsi="宋体" w:eastAsia="宋体" w:cs="宋体"/>
                <w:sz w:val="24"/>
                <w:szCs w:val="24"/>
                <w:lang w:val="zh-CN" w:eastAsia="zh-CN"/>
              </w:rPr>
              <w:t>（</w:t>
            </w:r>
            <w:r>
              <w:rPr>
                <w:rFonts w:hint="eastAsia" w:cs="宋体"/>
                <w:sz w:val="24"/>
                <w:szCs w:val="24"/>
                <w:lang w:val="en-US" w:eastAsia="zh-CN"/>
              </w:rPr>
              <w:t>4</w:t>
            </w:r>
            <w:r>
              <w:rPr>
                <w:rFonts w:hint="eastAsia" w:ascii="宋体" w:hAnsi="宋体" w:eastAsia="宋体" w:cs="宋体"/>
                <w:sz w:val="24"/>
                <w:szCs w:val="24"/>
                <w:lang w:val="zh-CN" w:eastAsia="zh-CN"/>
              </w:rPr>
              <w:t>分）</w:t>
            </w:r>
          </w:p>
        </w:tc>
        <w:tc>
          <w:tcPr>
            <w:tcW w:w="6600" w:type="dxa"/>
            <w:tcBorders>
              <w:top w:val="single" w:color="auto" w:sz="4" w:space="0"/>
              <w:left w:val="single" w:color="auto" w:sz="4" w:space="0"/>
              <w:right w:val="single" w:color="auto" w:sz="4" w:space="0"/>
            </w:tcBorders>
            <w:noWrap w:val="0"/>
            <w:vAlign w:val="center"/>
          </w:tcPr>
          <w:p w14:paraId="6822465B">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零配件保障包括：</w:t>
            </w:r>
            <w:r>
              <w:rPr>
                <w:rFonts w:hint="eastAsia" w:ascii="宋体" w:hAnsi="宋体" w:eastAsia="宋体" w:cs="宋体"/>
                <w:sz w:val="24"/>
                <w:szCs w:val="24"/>
                <w:lang w:val="zh-CN" w:eastAsia="zh-CN"/>
              </w:rPr>
              <w:t>①</w:t>
            </w:r>
            <w:r>
              <w:rPr>
                <w:rFonts w:hint="eastAsia" w:ascii="宋体" w:hAnsi="宋体" w:eastAsia="宋体" w:cs="宋体"/>
                <w:color w:val="000000"/>
                <w:sz w:val="24"/>
                <w:szCs w:val="24"/>
                <w:highlight w:val="none"/>
                <w:lang w:val="en-US" w:eastAsia="zh-CN"/>
              </w:rPr>
              <w:t>需要更换设备的零配件情况；</w:t>
            </w:r>
            <w:r>
              <w:rPr>
                <w:rFonts w:hint="eastAsia" w:ascii="宋体" w:hAnsi="宋体" w:eastAsia="宋体" w:cs="宋体"/>
                <w:sz w:val="24"/>
                <w:szCs w:val="24"/>
                <w:lang w:val="zh-CN" w:eastAsia="zh-CN"/>
              </w:rPr>
              <w:t>②</w:t>
            </w:r>
            <w:r>
              <w:rPr>
                <w:rFonts w:hint="eastAsia" w:ascii="宋体" w:hAnsi="宋体" w:eastAsia="宋体" w:cs="宋体"/>
                <w:color w:val="000000"/>
                <w:sz w:val="24"/>
                <w:szCs w:val="24"/>
                <w:highlight w:val="none"/>
                <w:lang w:val="en-US" w:eastAsia="zh-CN"/>
              </w:rPr>
              <w:t>备件情况；</w:t>
            </w:r>
            <w:r>
              <w:rPr>
                <w:rFonts w:hint="eastAsia" w:ascii="宋体" w:hAnsi="宋体" w:eastAsia="宋体" w:cs="宋体"/>
                <w:sz w:val="24"/>
                <w:szCs w:val="24"/>
                <w:lang w:val="zh-CN" w:eastAsia="zh-CN"/>
              </w:rPr>
              <w:t>③</w:t>
            </w:r>
            <w:r>
              <w:rPr>
                <w:rFonts w:hint="eastAsia" w:ascii="宋体" w:hAnsi="宋体" w:eastAsia="宋体" w:cs="宋体"/>
                <w:color w:val="000000"/>
                <w:sz w:val="24"/>
                <w:szCs w:val="24"/>
                <w:highlight w:val="none"/>
                <w:lang w:val="en-US" w:eastAsia="zh-CN"/>
              </w:rPr>
              <w:t>生产年限（如提供的备品备件生产时间早于设备生产时间，视为无效零配件）；</w:t>
            </w:r>
            <w:r>
              <w:rPr>
                <w:rFonts w:hint="eastAsia" w:ascii="宋体" w:hAnsi="宋体" w:eastAsia="宋体" w:cs="宋体"/>
                <w:sz w:val="24"/>
                <w:szCs w:val="24"/>
                <w:lang w:val="zh-CN" w:eastAsia="zh-CN"/>
              </w:rPr>
              <w:t>④</w:t>
            </w:r>
            <w:r>
              <w:rPr>
                <w:rFonts w:hint="eastAsia" w:ascii="宋体" w:hAnsi="宋体" w:eastAsia="宋体" w:cs="宋体"/>
                <w:color w:val="000000"/>
                <w:sz w:val="24"/>
                <w:szCs w:val="24"/>
                <w:highlight w:val="none"/>
                <w:lang w:val="en-US" w:eastAsia="zh-CN"/>
              </w:rPr>
              <w:t>零配件质量承诺。</w:t>
            </w:r>
            <w:r>
              <w:rPr>
                <w:rFonts w:hint="eastAsia" w:ascii="宋体" w:hAnsi="宋体" w:eastAsia="宋体" w:cs="宋体"/>
                <w:sz w:val="24"/>
                <w:szCs w:val="24"/>
                <w:lang w:val="en-US" w:eastAsia="zh-CN"/>
              </w:rPr>
              <w:t>以上方案每项得</w:t>
            </w:r>
            <w:r>
              <w:rPr>
                <w:rFonts w:hint="eastAsia" w:cs="宋体"/>
                <w:sz w:val="24"/>
                <w:szCs w:val="24"/>
                <w:lang w:val="en-US" w:eastAsia="zh-CN"/>
              </w:rPr>
              <w:t>1</w:t>
            </w:r>
            <w:r>
              <w:rPr>
                <w:rFonts w:hint="eastAsia" w:ascii="宋体" w:hAnsi="宋体" w:eastAsia="宋体" w:cs="宋体"/>
                <w:sz w:val="24"/>
                <w:szCs w:val="24"/>
                <w:lang w:val="en-US" w:eastAsia="zh-CN"/>
              </w:rPr>
              <w:t xml:space="preserve">分，缺项不得分。每有一处存在缺陷扣 </w:t>
            </w:r>
            <w:r>
              <w:rPr>
                <w:rFonts w:hint="eastAsia" w:cs="宋体"/>
                <w:sz w:val="24"/>
                <w:szCs w:val="24"/>
                <w:lang w:val="en-US" w:eastAsia="zh-CN"/>
              </w:rPr>
              <w:t>0.5</w:t>
            </w:r>
            <w:r>
              <w:rPr>
                <w:rFonts w:hint="eastAsia" w:ascii="宋体" w:hAnsi="宋体" w:eastAsia="宋体" w:cs="宋体"/>
                <w:sz w:val="24"/>
                <w:szCs w:val="24"/>
                <w:lang w:val="en-US" w:eastAsia="zh-CN"/>
              </w:rPr>
              <w:t xml:space="preserve"> 分（缺陷是指：存在不适用项目实际情况的情形、凭空编造、内容前后不一致、前后逻辑错误、涉及的规范及标准错误、地点区域错误、内容缺失、不符合采购需求等）（满分</w:t>
            </w:r>
            <w:r>
              <w:rPr>
                <w:rFonts w:hint="eastAsia" w:cs="宋体"/>
                <w:sz w:val="24"/>
                <w:szCs w:val="24"/>
                <w:lang w:val="en-US" w:eastAsia="zh-CN"/>
              </w:rPr>
              <w:t>4</w:t>
            </w:r>
            <w:r>
              <w:rPr>
                <w:rFonts w:hint="eastAsia" w:ascii="宋体" w:hAnsi="宋体" w:eastAsia="宋体" w:cs="宋体"/>
                <w:sz w:val="24"/>
                <w:szCs w:val="24"/>
                <w:lang w:val="en-US" w:eastAsia="zh-CN"/>
              </w:rPr>
              <w:t>分）。</w:t>
            </w:r>
          </w:p>
        </w:tc>
      </w:tr>
      <w:tr w14:paraId="47A72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699" w:type="dxa"/>
            <w:vMerge w:val="continue"/>
            <w:tcBorders>
              <w:left w:val="single" w:color="auto" w:sz="4" w:space="0"/>
              <w:right w:val="single" w:color="auto" w:sz="4" w:space="0"/>
            </w:tcBorders>
            <w:noWrap w:val="0"/>
            <w:vAlign w:val="center"/>
          </w:tcPr>
          <w:p w14:paraId="2B127BB0">
            <w:pPr>
              <w:pageBreakBefore w:val="0"/>
              <w:widowControl w:val="0"/>
              <w:wordWrap/>
              <w:topLinePunct w:val="0"/>
              <w:bidi w:val="0"/>
              <w:snapToGrid w:val="0"/>
              <w:spacing w:line="360" w:lineRule="exact"/>
              <w:jc w:val="center"/>
              <w:rPr>
                <w:rFonts w:hint="eastAsia" w:ascii="宋体" w:hAnsi="宋体" w:eastAsia="宋体" w:cs="宋体"/>
                <w:color w:val="000000"/>
                <w:sz w:val="24"/>
                <w:szCs w:val="24"/>
                <w:highlight w:val="none"/>
              </w:rPr>
            </w:pPr>
          </w:p>
        </w:tc>
        <w:tc>
          <w:tcPr>
            <w:tcW w:w="1260" w:type="dxa"/>
            <w:vMerge w:val="continue"/>
            <w:tcBorders>
              <w:left w:val="single" w:color="auto" w:sz="4" w:space="0"/>
              <w:right w:val="single" w:color="auto" w:sz="4" w:space="0"/>
            </w:tcBorders>
            <w:noWrap w:val="0"/>
            <w:vAlign w:val="center"/>
          </w:tcPr>
          <w:p w14:paraId="50D3AEF0">
            <w:pPr>
              <w:pageBreakBefore w:val="0"/>
              <w:widowControl w:val="0"/>
              <w:wordWrap/>
              <w:topLinePunct w:val="0"/>
              <w:bidi w:val="0"/>
              <w:snapToGrid w:val="0"/>
              <w:spacing w:line="360" w:lineRule="exact"/>
              <w:jc w:val="center"/>
              <w:rPr>
                <w:rFonts w:hint="eastAsia" w:ascii="宋体" w:hAnsi="宋体" w:eastAsia="宋体" w:cs="宋体"/>
                <w:sz w:val="24"/>
                <w:szCs w:val="24"/>
                <w:highlight w:val="none"/>
              </w:rPr>
            </w:pPr>
          </w:p>
        </w:tc>
        <w:tc>
          <w:tcPr>
            <w:tcW w:w="1320" w:type="dxa"/>
            <w:tcBorders>
              <w:top w:val="single" w:color="auto" w:sz="4" w:space="0"/>
              <w:left w:val="single" w:color="auto" w:sz="4" w:space="0"/>
              <w:right w:val="single" w:color="auto" w:sz="4" w:space="0"/>
            </w:tcBorders>
            <w:noWrap w:val="0"/>
            <w:vAlign w:val="center"/>
          </w:tcPr>
          <w:p w14:paraId="4BD4450B">
            <w:pPr>
              <w:pageBreakBefore w:val="0"/>
              <w:widowControl w:val="0"/>
              <w:tabs>
                <w:tab w:val="left" w:pos="1007"/>
              </w:tabs>
              <w:wordWrap/>
              <w:topLinePunct w:val="0"/>
              <w:bidi w:val="0"/>
              <w:snapToGrid w:val="0"/>
              <w:spacing w:line="36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培训方案</w:t>
            </w:r>
          </w:p>
          <w:p w14:paraId="238E9880">
            <w:pPr>
              <w:pageBreakBefore w:val="0"/>
              <w:widowControl w:val="0"/>
              <w:tabs>
                <w:tab w:val="left" w:pos="1007"/>
              </w:tabs>
              <w:wordWrap/>
              <w:topLinePunct w:val="0"/>
              <w:bidi w:val="0"/>
              <w:snapToGrid w:val="0"/>
              <w:spacing w:line="360" w:lineRule="exact"/>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分）</w:t>
            </w:r>
          </w:p>
        </w:tc>
        <w:tc>
          <w:tcPr>
            <w:tcW w:w="6600" w:type="dxa"/>
            <w:tcBorders>
              <w:top w:val="single" w:color="auto" w:sz="4" w:space="0"/>
              <w:left w:val="single" w:color="auto" w:sz="4" w:space="0"/>
              <w:right w:val="single" w:color="auto" w:sz="4" w:space="0"/>
            </w:tcBorders>
            <w:noWrap w:val="0"/>
            <w:vAlign w:val="center"/>
          </w:tcPr>
          <w:p w14:paraId="2DFE805D">
            <w:pPr>
              <w:pageBreakBefore w:val="0"/>
              <w:widowControl w:val="0"/>
              <w:tabs>
                <w:tab w:val="left" w:pos="1007"/>
              </w:tabs>
              <w:wordWrap/>
              <w:topLinePunct w:val="0"/>
              <w:bidi w:val="0"/>
              <w:snapToGrid w:val="0"/>
              <w:spacing w:line="360" w:lineRule="exact"/>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培训方案</w:t>
            </w:r>
            <w:r>
              <w:rPr>
                <w:rFonts w:hint="eastAsia" w:ascii="宋体" w:hAnsi="宋体" w:cs="宋体"/>
                <w:color w:val="000000"/>
                <w:sz w:val="24"/>
                <w:szCs w:val="24"/>
                <w:highlight w:val="none"/>
                <w:lang w:val="en-US" w:eastAsia="zh-CN"/>
              </w:rPr>
              <w:t>包括</w:t>
            </w:r>
            <w:r>
              <w:rPr>
                <w:rFonts w:hint="eastAsia" w:ascii="宋体" w:hAnsi="宋体" w:eastAsia="宋体" w:cs="宋体"/>
                <w:color w:val="000000"/>
                <w:sz w:val="24"/>
                <w:szCs w:val="24"/>
                <w:highlight w:val="none"/>
                <w:lang w:val="en-US" w:eastAsia="zh-CN"/>
              </w:rPr>
              <w:t>①培训内容、②培训方式、③培训覆盖面、④预期培训效果</w:t>
            </w:r>
            <w:r>
              <w:rPr>
                <w:rFonts w:hint="eastAsia" w:ascii="宋体" w:hAnsi="宋体" w:cs="宋体"/>
                <w:color w:val="000000"/>
                <w:sz w:val="24"/>
                <w:szCs w:val="24"/>
                <w:highlight w:val="none"/>
                <w:lang w:val="en-US" w:eastAsia="zh-CN"/>
              </w:rPr>
              <w:t>；</w:t>
            </w:r>
            <w:r>
              <w:rPr>
                <w:rFonts w:hint="eastAsia" w:ascii="宋体" w:hAnsi="宋体" w:eastAsia="宋体" w:cs="宋体"/>
                <w:sz w:val="24"/>
                <w:szCs w:val="24"/>
                <w:lang w:val="en-US" w:eastAsia="zh-CN"/>
              </w:rPr>
              <w:t>以上方案每项得</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 xml:space="preserve">分，缺项不得分。每有一处存在缺陷扣 </w:t>
            </w:r>
            <w:r>
              <w:rPr>
                <w:rFonts w:hint="eastAsia" w:ascii="宋体" w:hAnsi="宋体" w:cs="宋体"/>
                <w:sz w:val="24"/>
                <w:szCs w:val="24"/>
                <w:lang w:val="en-US" w:eastAsia="zh-CN"/>
              </w:rPr>
              <w:t>0.5</w:t>
            </w:r>
            <w:r>
              <w:rPr>
                <w:rFonts w:hint="eastAsia" w:ascii="宋体" w:hAnsi="宋体" w:eastAsia="宋体" w:cs="宋体"/>
                <w:sz w:val="24"/>
                <w:szCs w:val="24"/>
                <w:lang w:val="en-US" w:eastAsia="zh-CN"/>
              </w:rPr>
              <w:t xml:space="preserve"> 分（缺陷是指：存在不适用项目实际情况的情形、凭空编造、内容前后不一致、前后逻辑错误、涉及的规范及标准错误、地点区域错误、内容缺失、不符合采购需求等）（满分</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分）。</w:t>
            </w:r>
          </w:p>
        </w:tc>
      </w:tr>
    </w:tbl>
    <w:p w14:paraId="4463E716">
      <w:pPr>
        <w:tabs>
          <w:tab w:val="left" w:pos="0"/>
        </w:tabs>
        <w:adjustRightInd w:val="0"/>
        <w:snapToGrid w:val="0"/>
        <w:spacing w:line="440" w:lineRule="exact"/>
        <w:ind w:firstLine="480" w:firstLineChars="200"/>
        <w:rPr>
          <w:rFonts w:ascii="宋体" w:hAnsi="宋体"/>
          <w:sz w:val="24"/>
          <w:szCs w:val="24"/>
        </w:rPr>
      </w:pPr>
      <w:r>
        <w:rPr>
          <w:rFonts w:hint="eastAsia" w:ascii="宋体" w:hAnsi="宋体"/>
          <w:sz w:val="24"/>
          <w:szCs w:val="24"/>
        </w:rPr>
        <w:t>评标委员会将根据政府采购政策支持中小企业政策对最后报价进行价格折扣，折扣的价格将作为评审价格。</w:t>
      </w:r>
    </w:p>
    <w:p w14:paraId="49F62805">
      <w:pPr>
        <w:tabs>
          <w:tab w:val="left" w:pos="0"/>
        </w:tabs>
        <w:adjustRightInd w:val="0"/>
        <w:snapToGrid w:val="0"/>
        <w:spacing w:line="440" w:lineRule="exact"/>
        <w:rPr>
          <w:rFonts w:ascii="宋体" w:hAnsi="宋体"/>
          <w:sz w:val="24"/>
          <w:szCs w:val="24"/>
        </w:rPr>
      </w:pPr>
      <w:r>
        <w:rPr>
          <w:rFonts w:hint="eastAsia" w:ascii="宋体" w:hAnsi="宋体"/>
          <w:b/>
          <w:bCs/>
          <w:sz w:val="24"/>
          <w:szCs w:val="24"/>
        </w:rPr>
        <w:t>（</w:t>
      </w:r>
      <w:r>
        <w:rPr>
          <w:rFonts w:ascii="宋体" w:hAnsi="宋体"/>
          <w:b/>
          <w:bCs/>
          <w:sz w:val="24"/>
          <w:szCs w:val="24"/>
        </w:rPr>
        <w:t>1</w:t>
      </w:r>
      <w:r>
        <w:rPr>
          <w:rFonts w:hint="eastAsia" w:ascii="宋体" w:hAnsi="宋体"/>
          <w:b/>
          <w:bCs/>
          <w:sz w:val="24"/>
          <w:szCs w:val="24"/>
        </w:rPr>
        <w:t>）节能产品及环保产品价格折扣比例及方法</w:t>
      </w:r>
    </w:p>
    <w:tbl>
      <w:tblPr>
        <w:tblStyle w:val="22"/>
        <w:tblW w:w="985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Layout w:type="fixed"/>
        <w:tblCellMar>
          <w:top w:w="0" w:type="dxa"/>
          <w:left w:w="108" w:type="dxa"/>
          <w:bottom w:w="0" w:type="dxa"/>
          <w:right w:w="108" w:type="dxa"/>
        </w:tblCellMar>
      </w:tblPr>
      <w:tblGrid>
        <w:gridCol w:w="844"/>
        <w:gridCol w:w="1807"/>
        <w:gridCol w:w="7203"/>
      </w:tblGrid>
      <w:tr w14:paraId="6A5BDC8C">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20" w:hRule="atLeast"/>
          <w:jc w:val="center"/>
        </w:trPr>
        <w:tc>
          <w:tcPr>
            <w:tcW w:w="844" w:type="dxa"/>
            <w:tcBorders>
              <w:top w:val="single" w:color="auto" w:sz="4" w:space="0"/>
            </w:tcBorders>
            <w:noWrap w:val="0"/>
            <w:vAlign w:val="center"/>
          </w:tcPr>
          <w:p w14:paraId="1CBED618">
            <w:pPr>
              <w:adjustRightInd w:val="0"/>
              <w:snapToGrid w:val="0"/>
              <w:spacing w:line="440" w:lineRule="exact"/>
              <w:jc w:val="center"/>
              <w:rPr>
                <w:b/>
                <w:sz w:val="24"/>
              </w:rPr>
            </w:pPr>
            <w:r>
              <w:rPr>
                <w:rFonts w:hint="eastAsia"/>
                <w:b/>
                <w:sz w:val="24"/>
              </w:rPr>
              <w:t>序号</w:t>
            </w:r>
          </w:p>
        </w:tc>
        <w:tc>
          <w:tcPr>
            <w:tcW w:w="1807" w:type="dxa"/>
            <w:tcBorders>
              <w:top w:val="single" w:color="auto" w:sz="4" w:space="0"/>
            </w:tcBorders>
            <w:noWrap w:val="0"/>
            <w:vAlign w:val="center"/>
          </w:tcPr>
          <w:p w14:paraId="456D08EA">
            <w:pPr>
              <w:adjustRightInd w:val="0"/>
              <w:snapToGrid w:val="0"/>
              <w:spacing w:line="440" w:lineRule="exact"/>
              <w:jc w:val="center"/>
              <w:rPr>
                <w:b/>
                <w:sz w:val="24"/>
              </w:rPr>
            </w:pPr>
            <w:r>
              <w:rPr>
                <w:rFonts w:hint="eastAsia"/>
                <w:b/>
                <w:sz w:val="24"/>
              </w:rPr>
              <w:t>项目</w:t>
            </w:r>
          </w:p>
        </w:tc>
        <w:tc>
          <w:tcPr>
            <w:tcW w:w="7203" w:type="dxa"/>
            <w:tcBorders>
              <w:top w:val="single" w:color="auto" w:sz="4" w:space="0"/>
            </w:tcBorders>
            <w:noWrap w:val="0"/>
            <w:vAlign w:val="center"/>
          </w:tcPr>
          <w:p w14:paraId="35B65251">
            <w:pPr>
              <w:adjustRightInd w:val="0"/>
              <w:snapToGrid w:val="0"/>
              <w:spacing w:line="440" w:lineRule="exact"/>
              <w:jc w:val="center"/>
              <w:rPr>
                <w:b/>
                <w:sz w:val="24"/>
              </w:rPr>
            </w:pPr>
            <w:r>
              <w:rPr>
                <w:rFonts w:hint="eastAsia"/>
                <w:b/>
                <w:sz w:val="24"/>
              </w:rPr>
              <w:t>折扣比例及方法</w:t>
            </w:r>
          </w:p>
        </w:tc>
      </w:tr>
      <w:tr w14:paraId="23F27D76">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20" w:hRule="atLeast"/>
          <w:jc w:val="center"/>
        </w:trPr>
        <w:tc>
          <w:tcPr>
            <w:tcW w:w="844" w:type="dxa"/>
            <w:noWrap w:val="0"/>
            <w:vAlign w:val="center"/>
          </w:tcPr>
          <w:p w14:paraId="2BE6ED3E">
            <w:pPr>
              <w:adjustRightInd w:val="0"/>
              <w:snapToGrid w:val="0"/>
              <w:spacing w:line="440" w:lineRule="exact"/>
              <w:jc w:val="center"/>
              <w:rPr>
                <w:sz w:val="24"/>
              </w:rPr>
            </w:pPr>
            <w:r>
              <w:rPr>
                <w:sz w:val="24"/>
              </w:rPr>
              <w:t>1</w:t>
            </w:r>
          </w:p>
        </w:tc>
        <w:tc>
          <w:tcPr>
            <w:tcW w:w="1807" w:type="dxa"/>
            <w:noWrap w:val="0"/>
            <w:vAlign w:val="center"/>
          </w:tcPr>
          <w:p w14:paraId="772E2FDF">
            <w:pPr>
              <w:adjustRightInd w:val="0"/>
              <w:snapToGrid w:val="0"/>
              <w:spacing w:line="440" w:lineRule="exact"/>
              <w:jc w:val="center"/>
              <w:rPr>
                <w:sz w:val="24"/>
              </w:rPr>
            </w:pPr>
            <w:r>
              <w:rPr>
                <w:rFonts w:hint="eastAsia"/>
                <w:sz w:val="24"/>
              </w:rPr>
              <w:t>节能产品</w:t>
            </w:r>
          </w:p>
        </w:tc>
        <w:tc>
          <w:tcPr>
            <w:tcW w:w="7203" w:type="dxa"/>
            <w:noWrap w:val="0"/>
            <w:vAlign w:val="center"/>
          </w:tcPr>
          <w:p w14:paraId="5A0582AF">
            <w:pPr>
              <w:spacing w:line="440" w:lineRule="exact"/>
              <w:rPr>
                <w:sz w:val="24"/>
              </w:rPr>
            </w:pPr>
            <w:r>
              <w:rPr>
                <w:rFonts w:hint="eastAsia"/>
                <w:sz w:val="24"/>
              </w:rPr>
              <w:t>折扣金额</w:t>
            </w:r>
            <w:r>
              <w:rPr>
                <w:sz w:val="24"/>
              </w:rPr>
              <w:t>=</w:t>
            </w:r>
            <w:r>
              <w:rPr>
                <w:rFonts w:hint="eastAsia"/>
                <w:sz w:val="24"/>
              </w:rPr>
              <w:t>（节能清单部分产品的价格</w:t>
            </w:r>
            <w:r>
              <w:rPr>
                <w:sz w:val="24"/>
              </w:rPr>
              <w:t>/</w:t>
            </w:r>
            <w:r>
              <w:rPr>
                <w:rFonts w:hint="eastAsia"/>
                <w:sz w:val="24"/>
              </w:rPr>
              <w:t>首次报价）×</w:t>
            </w:r>
            <w:r>
              <w:rPr>
                <w:sz w:val="24"/>
              </w:rPr>
              <w:t>3%</w:t>
            </w:r>
            <w:r>
              <w:rPr>
                <w:rFonts w:hint="eastAsia"/>
                <w:sz w:val="24"/>
              </w:rPr>
              <w:t>×最后报价</w:t>
            </w:r>
          </w:p>
        </w:tc>
      </w:tr>
      <w:tr w14:paraId="5ACD7B94">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20" w:hRule="atLeast"/>
          <w:jc w:val="center"/>
        </w:trPr>
        <w:tc>
          <w:tcPr>
            <w:tcW w:w="844" w:type="dxa"/>
            <w:noWrap w:val="0"/>
            <w:vAlign w:val="center"/>
          </w:tcPr>
          <w:p w14:paraId="0500FA45">
            <w:pPr>
              <w:adjustRightInd w:val="0"/>
              <w:snapToGrid w:val="0"/>
              <w:spacing w:line="440" w:lineRule="exact"/>
              <w:jc w:val="center"/>
              <w:rPr>
                <w:sz w:val="24"/>
              </w:rPr>
            </w:pPr>
            <w:r>
              <w:rPr>
                <w:sz w:val="24"/>
              </w:rPr>
              <w:t>2</w:t>
            </w:r>
          </w:p>
        </w:tc>
        <w:tc>
          <w:tcPr>
            <w:tcW w:w="1807" w:type="dxa"/>
            <w:noWrap w:val="0"/>
            <w:vAlign w:val="center"/>
          </w:tcPr>
          <w:p w14:paraId="759E7851">
            <w:pPr>
              <w:adjustRightInd w:val="0"/>
              <w:snapToGrid w:val="0"/>
              <w:spacing w:line="440" w:lineRule="exact"/>
              <w:jc w:val="center"/>
              <w:rPr>
                <w:sz w:val="24"/>
              </w:rPr>
            </w:pPr>
            <w:r>
              <w:rPr>
                <w:rFonts w:hint="eastAsia"/>
                <w:sz w:val="24"/>
              </w:rPr>
              <w:t>环保产品</w:t>
            </w:r>
          </w:p>
        </w:tc>
        <w:tc>
          <w:tcPr>
            <w:tcW w:w="7203" w:type="dxa"/>
            <w:noWrap w:val="0"/>
            <w:vAlign w:val="center"/>
          </w:tcPr>
          <w:p w14:paraId="75BA884E">
            <w:pPr>
              <w:spacing w:line="440" w:lineRule="exact"/>
              <w:rPr>
                <w:sz w:val="24"/>
              </w:rPr>
            </w:pPr>
            <w:r>
              <w:rPr>
                <w:rFonts w:hint="eastAsia"/>
                <w:sz w:val="24"/>
              </w:rPr>
              <w:t>折扣金额</w:t>
            </w:r>
            <w:r>
              <w:rPr>
                <w:sz w:val="24"/>
              </w:rPr>
              <w:t>=</w:t>
            </w:r>
            <w:r>
              <w:rPr>
                <w:rFonts w:hint="eastAsia"/>
                <w:sz w:val="24"/>
              </w:rPr>
              <w:t>（环境清单部分产品的价格</w:t>
            </w:r>
            <w:r>
              <w:rPr>
                <w:sz w:val="24"/>
              </w:rPr>
              <w:t>/</w:t>
            </w:r>
            <w:r>
              <w:rPr>
                <w:rFonts w:hint="eastAsia"/>
                <w:sz w:val="24"/>
              </w:rPr>
              <w:t>首次报价）×</w:t>
            </w:r>
            <w:r>
              <w:rPr>
                <w:sz w:val="24"/>
              </w:rPr>
              <w:t>3%</w:t>
            </w:r>
            <w:r>
              <w:rPr>
                <w:rFonts w:hint="eastAsia"/>
                <w:sz w:val="24"/>
              </w:rPr>
              <w:t>×最后报价</w:t>
            </w:r>
          </w:p>
        </w:tc>
      </w:tr>
      <w:tr w14:paraId="078B7311">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20" w:hRule="atLeast"/>
          <w:jc w:val="center"/>
        </w:trPr>
        <w:tc>
          <w:tcPr>
            <w:tcW w:w="844" w:type="dxa"/>
            <w:tcBorders>
              <w:bottom w:val="single" w:color="auto" w:sz="4" w:space="0"/>
            </w:tcBorders>
            <w:noWrap w:val="0"/>
            <w:vAlign w:val="center"/>
          </w:tcPr>
          <w:p w14:paraId="3E49A3F1">
            <w:pPr>
              <w:adjustRightInd w:val="0"/>
              <w:snapToGrid w:val="0"/>
              <w:spacing w:line="440" w:lineRule="exact"/>
              <w:jc w:val="center"/>
              <w:rPr>
                <w:sz w:val="24"/>
              </w:rPr>
            </w:pPr>
            <w:r>
              <w:rPr>
                <w:sz w:val="24"/>
              </w:rPr>
              <w:t>3</w:t>
            </w:r>
          </w:p>
        </w:tc>
        <w:tc>
          <w:tcPr>
            <w:tcW w:w="1807" w:type="dxa"/>
            <w:tcBorders>
              <w:bottom w:val="single" w:color="auto" w:sz="4" w:space="0"/>
            </w:tcBorders>
            <w:noWrap w:val="0"/>
            <w:vAlign w:val="center"/>
          </w:tcPr>
          <w:p w14:paraId="5FDCDD7A">
            <w:pPr>
              <w:adjustRightInd w:val="0"/>
              <w:snapToGrid w:val="0"/>
              <w:spacing w:line="440" w:lineRule="exact"/>
              <w:jc w:val="center"/>
              <w:rPr>
                <w:sz w:val="24"/>
              </w:rPr>
            </w:pPr>
            <w:r>
              <w:rPr>
                <w:rFonts w:hint="eastAsia"/>
                <w:sz w:val="24"/>
              </w:rPr>
              <w:t>证明材料说明</w:t>
            </w:r>
          </w:p>
        </w:tc>
        <w:tc>
          <w:tcPr>
            <w:tcW w:w="7203" w:type="dxa"/>
            <w:tcBorders>
              <w:bottom w:val="single" w:color="auto" w:sz="4" w:space="0"/>
            </w:tcBorders>
            <w:noWrap w:val="0"/>
            <w:vAlign w:val="center"/>
          </w:tcPr>
          <w:p w14:paraId="43F3DF9C">
            <w:pPr>
              <w:spacing w:line="440" w:lineRule="exact"/>
              <w:rPr>
                <w:sz w:val="24"/>
              </w:rPr>
            </w:pPr>
            <w:r>
              <w:rPr>
                <w:sz w:val="24"/>
              </w:rPr>
              <w:t>1</w:t>
            </w:r>
            <w:r>
              <w:rPr>
                <w:rFonts w:hint="eastAsia"/>
                <w:sz w:val="24"/>
              </w:rPr>
              <w:t>、须提供中国政府采购网节能环保查询结果</w:t>
            </w:r>
          </w:p>
        </w:tc>
      </w:tr>
    </w:tbl>
    <w:p w14:paraId="035CAC95">
      <w:pPr>
        <w:tabs>
          <w:tab w:val="left" w:pos="0"/>
        </w:tabs>
        <w:adjustRightInd w:val="0"/>
        <w:snapToGrid w:val="0"/>
        <w:spacing w:line="440" w:lineRule="exact"/>
        <w:rPr>
          <w:rFonts w:hint="eastAsia" w:ascii="宋体" w:hAnsi="宋体"/>
          <w:sz w:val="24"/>
        </w:rPr>
      </w:pPr>
      <w:r>
        <w:rPr>
          <w:rFonts w:hint="eastAsia" w:ascii="宋体" w:hAnsi="宋体"/>
          <w:sz w:val="24"/>
        </w:rPr>
        <w:t>说明：1.如有多种产品符合此项政策时，折扣价格为每种产品的折扣金额汇总。</w:t>
      </w:r>
    </w:p>
    <w:p w14:paraId="209F3E04">
      <w:pPr>
        <w:tabs>
          <w:tab w:val="left" w:pos="0"/>
        </w:tabs>
        <w:adjustRightInd w:val="0"/>
        <w:snapToGrid w:val="0"/>
        <w:spacing w:line="440" w:lineRule="exact"/>
        <w:rPr>
          <w:rFonts w:ascii="宋体" w:hAnsi="宋体"/>
          <w:sz w:val="24"/>
        </w:rPr>
      </w:pPr>
      <w:r>
        <w:rPr>
          <w:rFonts w:hint="eastAsia" w:ascii="宋体" w:hAnsi="宋体"/>
          <w:sz w:val="24"/>
        </w:rPr>
        <w:t xml:space="preserve">      2.若所投产品同时属于节能产品及环保产品，只进行一次价格折扣认定。</w:t>
      </w:r>
    </w:p>
    <w:p w14:paraId="60308456">
      <w:pPr>
        <w:tabs>
          <w:tab w:val="left" w:pos="0"/>
        </w:tabs>
        <w:adjustRightInd w:val="0"/>
        <w:snapToGrid w:val="0"/>
        <w:spacing w:line="440" w:lineRule="exact"/>
        <w:rPr>
          <w:rFonts w:ascii="宋体" w:hAnsi="宋体"/>
          <w:sz w:val="24"/>
        </w:rPr>
      </w:pPr>
      <w:r>
        <w:rPr>
          <w:rFonts w:hint="eastAsia" w:ascii="宋体" w:hAnsi="宋体"/>
          <w:b/>
          <w:bCs/>
          <w:sz w:val="24"/>
        </w:rPr>
        <w:t>（</w:t>
      </w:r>
      <w:r>
        <w:rPr>
          <w:rFonts w:ascii="宋体" w:hAnsi="宋体"/>
          <w:b/>
          <w:bCs/>
          <w:sz w:val="24"/>
        </w:rPr>
        <w:t>2</w:t>
      </w:r>
      <w:r>
        <w:rPr>
          <w:rFonts w:hint="eastAsia" w:ascii="宋体" w:hAnsi="宋体"/>
          <w:b/>
          <w:bCs/>
          <w:sz w:val="24"/>
        </w:rPr>
        <w:t>）中小企业价格折扣比例及方法</w:t>
      </w:r>
    </w:p>
    <w:tbl>
      <w:tblPr>
        <w:tblStyle w:val="22"/>
        <w:tblW w:w="985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54"/>
      </w:tblGrid>
      <w:tr w14:paraId="0BCA2A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9854" w:type="dxa"/>
            <w:tcBorders>
              <w:top w:val="single" w:color="auto" w:sz="4" w:space="0"/>
              <w:bottom w:val="single" w:color="auto" w:sz="4" w:space="0"/>
            </w:tcBorders>
            <w:noWrap w:val="0"/>
            <w:vAlign w:val="center"/>
          </w:tcPr>
          <w:p w14:paraId="45032A7A">
            <w:pPr>
              <w:snapToGrid w:val="0"/>
              <w:spacing w:line="440" w:lineRule="exact"/>
              <w:ind w:firstLine="360" w:firstLineChars="150"/>
              <w:rPr>
                <w:rFonts w:ascii="宋体" w:hAnsi="宋体"/>
                <w:sz w:val="24"/>
                <w:szCs w:val="24"/>
              </w:rPr>
            </w:pPr>
            <w:r>
              <w:rPr>
                <w:rFonts w:hint="eastAsia" w:ascii="宋体" w:hAnsi="宋体"/>
                <w:sz w:val="24"/>
                <w:szCs w:val="24"/>
              </w:rPr>
              <w:t>根据中华人民共和国财政部、中华人民共和国工业和信息化部《政府采购促进中小企业发展管理办法》（财库〔2020〕46号）文件的规定，</w:t>
            </w:r>
            <w:r>
              <w:rPr>
                <w:rFonts w:hint="eastAsia" w:ascii="宋体" w:hAnsi="宋体"/>
                <w:bCs/>
                <w:sz w:val="24"/>
                <w:szCs w:val="24"/>
              </w:rPr>
              <w:t>属于中小企业</w:t>
            </w:r>
            <w:r>
              <w:rPr>
                <w:rFonts w:hint="eastAsia" w:ascii="宋体" w:hAnsi="宋体"/>
                <w:sz w:val="24"/>
                <w:szCs w:val="24"/>
              </w:rPr>
              <w:t>评审优惠内容及幅度如下：</w:t>
            </w:r>
          </w:p>
          <w:p w14:paraId="08C4DA61">
            <w:pPr>
              <w:widowControl/>
              <w:numPr>
                <w:ilvl w:val="0"/>
                <w:numId w:val="0"/>
              </w:numPr>
              <w:snapToGrid w:val="0"/>
              <w:spacing w:line="440" w:lineRule="exact"/>
              <w:ind w:left="241" w:leftChars="0"/>
              <w:jc w:val="left"/>
              <w:rPr>
                <w:rFonts w:ascii="宋体" w:hAnsi="宋体"/>
                <w:sz w:val="24"/>
                <w:szCs w:val="24"/>
              </w:rPr>
            </w:pPr>
            <w:r>
              <w:rPr>
                <w:rFonts w:hint="eastAsia" w:ascii="宋体" w:hAnsi="宋体"/>
                <w:b/>
                <w:sz w:val="24"/>
                <w:szCs w:val="24"/>
                <w:lang w:eastAsia="zh-CN"/>
              </w:rPr>
              <w:t>（一）</w:t>
            </w:r>
            <w:r>
              <w:rPr>
                <w:rFonts w:hint="eastAsia" w:ascii="宋体" w:hAnsi="宋体"/>
                <w:sz w:val="24"/>
                <w:szCs w:val="24"/>
              </w:rPr>
              <w:t>中小企业（含中型、小型、微型企业）应当</w:t>
            </w:r>
            <w:r>
              <w:rPr>
                <w:rFonts w:hint="eastAsia" w:ascii="宋体" w:hAnsi="宋体"/>
                <w:b/>
                <w:sz w:val="24"/>
                <w:szCs w:val="24"/>
              </w:rPr>
              <w:t>同时符合</w:t>
            </w:r>
            <w:r>
              <w:rPr>
                <w:rFonts w:hint="eastAsia" w:ascii="宋体" w:hAnsi="宋体"/>
                <w:sz w:val="24"/>
                <w:szCs w:val="24"/>
              </w:rPr>
              <w:t>以下条件：</w:t>
            </w:r>
          </w:p>
          <w:p w14:paraId="23F95421">
            <w:pPr>
              <w:pStyle w:val="35"/>
              <w:spacing w:line="440" w:lineRule="exact"/>
              <w:ind w:left="846" w:leftChars="403"/>
              <w:rPr>
                <w:rFonts w:ascii="宋体" w:hAnsi="宋体"/>
                <w:sz w:val="24"/>
              </w:rPr>
            </w:pPr>
            <w:r>
              <w:rPr>
                <w:rFonts w:hint="eastAsia" w:ascii="宋体" w:hAnsi="宋体"/>
                <w:sz w:val="24"/>
              </w:rPr>
              <w:t>①符合中小企业划分标准（按《关于印发中小企业划型标准规定的通知》（工信部联企业〔</w:t>
            </w:r>
            <w:r>
              <w:rPr>
                <w:rFonts w:ascii="宋体" w:hAnsi="宋体"/>
                <w:sz w:val="24"/>
              </w:rPr>
              <w:t>2011</w:t>
            </w:r>
            <w:r>
              <w:rPr>
                <w:rFonts w:hint="eastAsia" w:ascii="宋体" w:hAnsi="宋体"/>
                <w:sz w:val="24"/>
              </w:rPr>
              <w:t>〕</w:t>
            </w:r>
            <w:r>
              <w:rPr>
                <w:rFonts w:ascii="宋体" w:hAnsi="宋体"/>
                <w:sz w:val="24"/>
              </w:rPr>
              <w:t>300</w:t>
            </w:r>
            <w:r>
              <w:rPr>
                <w:rFonts w:hint="eastAsia" w:ascii="宋体" w:hAnsi="宋体"/>
                <w:sz w:val="24"/>
              </w:rPr>
              <w:t>号）执行）</w:t>
            </w:r>
            <w:r>
              <w:rPr>
                <w:rFonts w:hint="eastAsia" w:ascii="宋体" w:hAnsi="宋体"/>
                <w:sz w:val="24"/>
                <w:lang w:eastAsia="zh-CN"/>
              </w:rPr>
              <w:t>，</w:t>
            </w:r>
            <w:r>
              <w:rPr>
                <w:rFonts w:hint="eastAsia" w:ascii="宋体" w:hAnsi="宋体"/>
                <w:sz w:val="24"/>
                <w:lang w:val="en-US" w:eastAsia="zh-CN"/>
              </w:rPr>
              <w:t>行业：工业</w:t>
            </w:r>
            <w:r>
              <w:rPr>
                <w:rFonts w:hint="eastAsia" w:ascii="宋体" w:hAnsi="宋体"/>
                <w:sz w:val="24"/>
              </w:rPr>
              <w:t>；</w:t>
            </w:r>
          </w:p>
          <w:p w14:paraId="268F63F0">
            <w:pPr>
              <w:pStyle w:val="35"/>
              <w:spacing w:line="440" w:lineRule="exact"/>
              <w:ind w:left="846" w:leftChars="403"/>
              <w:rPr>
                <w:rFonts w:hint="eastAsia" w:ascii="宋体" w:hAnsi="宋体"/>
                <w:sz w:val="24"/>
              </w:rPr>
            </w:pPr>
            <w:r>
              <w:rPr>
                <w:rFonts w:hint="eastAsia" w:ascii="宋体" w:hAnsi="宋体"/>
                <w:sz w:val="24"/>
              </w:rPr>
              <w:t>②提供本企业制造的货物、承担的项目或者服务，或者提供其他中小企业制造的货物。本项所称货物不包括使用大型企业注册商标的货物；</w:t>
            </w:r>
          </w:p>
          <w:p w14:paraId="3F3685F3">
            <w:pPr>
              <w:snapToGrid w:val="0"/>
              <w:spacing w:line="440" w:lineRule="exact"/>
              <w:ind w:firstLine="361" w:firstLineChars="150"/>
              <w:rPr>
                <w:rFonts w:ascii="宋体" w:hAnsi="宋体"/>
                <w:sz w:val="24"/>
                <w:szCs w:val="24"/>
              </w:rPr>
            </w:pPr>
            <w:r>
              <w:rPr>
                <w:rFonts w:hint="eastAsia" w:ascii="宋体" w:hAnsi="宋体"/>
                <w:b/>
                <w:sz w:val="24"/>
                <w:szCs w:val="24"/>
              </w:rPr>
              <w:t>（二）</w:t>
            </w:r>
            <w:r>
              <w:rPr>
                <w:rFonts w:hint="eastAsia" w:ascii="宋体" w:hAnsi="宋体"/>
                <w:sz w:val="24"/>
                <w:szCs w:val="24"/>
                <w:lang w:val="en-US" w:eastAsia="zh-CN"/>
              </w:rPr>
              <w:t>价格折扣</w:t>
            </w:r>
            <w:r>
              <w:rPr>
                <w:rFonts w:hint="eastAsia" w:ascii="宋体" w:hAnsi="宋体"/>
                <w:sz w:val="24"/>
                <w:szCs w:val="24"/>
                <w:lang w:eastAsia="zh-CN"/>
              </w:rPr>
              <w:t>方式</w:t>
            </w:r>
            <w:r>
              <w:rPr>
                <w:rFonts w:hint="eastAsia" w:ascii="宋体" w:hAnsi="宋体"/>
                <w:sz w:val="24"/>
                <w:szCs w:val="24"/>
              </w:rPr>
              <w:t>：</w:t>
            </w:r>
          </w:p>
          <w:p w14:paraId="7F698317">
            <w:pPr>
              <w:pStyle w:val="35"/>
              <w:spacing w:line="440" w:lineRule="exact"/>
              <w:ind w:firstLine="480" w:firstLineChars="200"/>
              <w:rPr>
                <w:rFonts w:hint="eastAsia" w:ascii="宋体" w:hAnsi="宋体"/>
                <w:sz w:val="24"/>
              </w:rPr>
            </w:pPr>
            <w:r>
              <w:rPr>
                <w:rFonts w:hint="eastAsia" w:ascii="宋体" w:hAnsi="宋体"/>
                <w:sz w:val="24"/>
              </w:rPr>
              <w:t>（1）对符合规定的小微企业报价给予10%的扣除，用扣除后的价格参加评审。</w:t>
            </w:r>
          </w:p>
          <w:p w14:paraId="45239CB8">
            <w:pPr>
              <w:pStyle w:val="35"/>
              <w:spacing w:line="440" w:lineRule="exact"/>
              <w:ind w:firstLine="480" w:firstLineChars="200"/>
              <w:rPr>
                <w:rFonts w:ascii="宋体" w:hAnsi="宋体"/>
                <w:sz w:val="24"/>
              </w:rPr>
            </w:pPr>
            <w:r>
              <w:rPr>
                <w:rFonts w:hint="eastAsia" w:ascii="宋体" w:hAnsi="宋体"/>
                <w:sz w:val="24"/>
              </w:rPr>
              <w:t>（</w:t>
            </w:r>
            <w:r>
              <w:rPr>
                <w:rFonts w:hint="eastAsia" w:ascii="宋体" w:hAnsi="宋体"/>
                <w:sz w:val="24"/>
                <w:lang w:val="en-US" w:eastAsia="zh-CN"/>
              </w:rPr>
              <w:t>2</w:t>
            </w:r>
            <w:r>
              <w:rPr>
                <w:rFonts w:hint="eastAsia" w:ascii="宋体" w:hAnsi="宋体"/>
                <w:sz w:val="24"/>
              </w:rPr>
              <w:t>）大中型企业向一家或者多家小微企业分包的采购项目，对于分包意向协议约定小微企业的合同份额占到合同总金额</w:t>
            </w:r>
            <w:r>
              <w:rPr>
                <w:rFonts w:hint="eastAsia" w:ascii="宋体" w:hAnsi="宋体"/>
                <w:sz w:val="24"/>
                <w:lang w:val="en-US" w:eastAsia="zh-CN"/>
              </w:rPr>
              <w:t>4</w:t>
            </w:r>
            <w:r>
              <w:rPr>
                <w:rFonts w:hint="eastAsia" w:ascii="宋体" w:hAnsi="宋体"/>
                <w:sz w:val="24"/>
              </w:rPr>
              <w:t>0%以上的，对大中型企业的报价给予4%的扣除，用扣除后的价格参加评审。</w:t>
            </w:r>
          </w:p>
          <w:p w14:paraId="08D10218">
            <w:pPr>
              <w:snapToGrid w:val="0"/>
              <w:spacing w:line="440" w:lineRule="exact"/>
              <w:ind w:firstLine="361" w:firstLineChars="150"/>
              <w:rPr>
                <w:rFonts w:ascii="宋体" w:hAnsi="宋体"/>
                <w:sz w:val="24"/>
                <w:szCs w:val="24"/>
              </w:rPr>
            </w:pPr>
            <w:r>
              <w:rPr>
                <w:rFonts w:hint="eastAsia" w:ascii="宋体" w:hAnsi="宋体"/>
                <w:b/>
                <w:sz w:val="24"/>
                <w:szCs w:val="24"/>
              </w:rPr>
              <w:t>（三）</w:t>
            </w:r>
            <w:r>
              <w:rPr>
                <w:rFonts w:hint="eastAsia" w:ascii="宋体" w:hAnsi="宋体"/>
                <w:sz w:val="24"/>
                <w:szCs w:val="24"/>
              </w:rPr>
              <w:t>小型和微型企业适用价格扣除办法时应提供的相关资料：</w:t>
            </w:r>
          </w:p>
          <w:p w14:paraId="4533C1C7">
            <w:pPr>
              <w:pStyle w:val="35"/>
              <w:spacing w:line="440" w:lineRule="exact"/>
              <w:ind w:left="840"/>
              <w:rPr>
                <w:rFonts w:ascii="宋体" w:hAnsi="宋体"/>
                <w:b/>
                <w:sz w:val="24"/>
              </w:rPr>
            </w:pPr>
            <w:r>
              <w:rPr>
                <w:rFonts w:ascii="宋体" w:hAnsi="宋体"/>
                <w:sz w:val="24"/>
              </w:rPr>
              <w:fldChar w:fldCharType="begin"/>
            </w:r>
            <w:r>
              <w:rPr>
                <w:rFonts w:ascii="宋体" w:hAnsi="宋体"/>
                <w:sz w:val="24"/>
              </w:rPr>
              <w:instrText xml:space="preserve"> = 1 \* GB3 </w:instrText>
            </w:r>
            <w:r>
              <w:rPr>
                <w:rFonts w:ascii="宋体" w:hAnsi="宋体"/>
                <w:sz w:val="24"/>
              </w:rPr>
              <w:fldChar w:fldCharType="separate"/>
            </w:r>
            <w:r>
              <w:rPr>
                <w:rFonts w:hint="eastAsia" w:ascii="宋体" w:hAnsi="宋体"/>
                <w:sz w:val="24"/>
              </w:rPr>
              <w:t>①</w:t>
            </w:r>
            <w:r>
              <w:rPr>
                <w:rFonts w:ascii="宋体" w:hAnsi="宋体"/>
                <w:sz w:val="24"/>
              </w:rPr>
              <w:fldChar w:fldCharType="end"/>
            </w:r>
            <w:r>
              <w:rPr>
                <w:rFonts w:hint="eastAsia" w:ascii="宋体" w:hAnsi="宋体"/>
                <w:sz w:val="24"/>
              </w:rPr>
              <w:t>、供应商《中小企业声明函》或分包意向协议</w:t>
            </w:r>
            <w:r>
              <w:rPr>
                <w:rFonts w:hint="eastAsia" w:ascii="宋体" w:hAnsi="宋体"/>
                <w:sz w:val="24"/>
                <w:lang w:val="en-US" w:eastAsia="zh-CN"/>
              </w:rPr>
              <w:t>或</w:t>
            </w:r>
            <w:r>
              <w:rPr>
                <w:rFonts w:hint="eastAsia" w:ascii="宋体" w:hAnsi="宋体"/>
                <w:sz w:val="24"/>
              </w:rPr>
              <w:t>残疾人福利性单位声明函或监狱企业证明文件；供应商应同时提供以上材料，否则将不给予价格扣除。若所供应产品为进口产品的，不适用《政府采购促进中小企业发展管理办法》。中标单位符合小微企业投标时享受中小企业扶持政策的，将随中标结果公开中标供应商的企业类型声明函。</w:t>
            </w:r>
          </w:p>
        </w:tc>
      </w:tr>
    </w:tbl>
    <w:p w14:paraId="4720D2B2">
      <w:pPr>
        <w:pStyle w:val="20"/>
        <w:pageBreakBefore w:val="0"/>
        <w:widowControl w:val="0"/>
        <w:wordWrap/>
        <w:topLinePunct w:val="0"/>
        <w:bidi w:val="0"/>
        <w:ind w:left="0" w:leftChars="0" w:firstLine="0" w:firstLineChars="0"/>
        <w:jc w:val="both"/>
        <w:rPr>
          <w:rFonts w:hint="eastAsia" w:ascii="宋体" w:hAnsi="宋体" w:eastAsia="宋体" w:cs="宋体"/>
          <w:b/>
          <w:bCs/>
          <w:sz w:val="28"/>
          <w:szCs w:val="28"/>
          <w:highlight w:val="none"/>
          <w:lang w:eastAsia="zh-CN"/>
        </w:rPr>
      </w:pPr>
    </w:p>
    <w:p w14:paraId="17B901A4">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23、投标文件的澄清</w:t>
      </w:r>
    </w:p>
    <w:p w14:paraId="3479A8F8">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23.1 评标委员会在评标过程中有权随时请投标人就投标文件中含混之处加以澄清或答疑。</w:t>
      </w:r>
    </w:p>
    <w:p w14:paraId="6EC156E9">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23.2 投标人对要求澄清的问题应以书面形式明确答复，并应有法人授权代表的签署。</w:t>
      </w:r>
    </w:p>
    <w:p w14:paraId="0A2A3FCF">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23.3 投标人的澄清文件是投标文件的组成部分，并取代投标文件中被澄清的部分。</w:t>
      </w:r>
    </w:p>
    <w:p w14:paraId="53A18772">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23.4 投标文件的澄清不得改变投标的实质内容。</w:t>
      </w:r>
    </w:p>
    <w:p w14:paraId="10452A89">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23.5如果投标人在投标文件中未对招标文件中的条款或参数要求提出偏离意见或澄清将视同投标人同意招标文件的全部或部分要求。</w:t>
      </w:r>
    </w:p>
    <w:p w14:paraId="73B1B1D9">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24、定标</w:t>
      </w:r>
    </w:p>
    <w:p w14:paraId="2917EC23">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24.1 评标委员会有权选择和拒绝投标人中标，且无需向投标人进行任何有关评标的解释工作。</w:t>
      </w:r>
    </w:p>
    <w:p w14:paraId="27B8574A">
      <w:pPr>
        <w:pStyle w:val="36"/>
        <w:pageBreakBefore w:val="0"/>
        <w:widowControl w:val="0"/>
        <w:wordWrap/>
        <w:topLinePunct w:val="0"/>
        <w:bidi w:val="0"/>
        <w:spacing w:line="400" w:lineRule="exact"/>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t>24.2 评标委员会通过上述评标方法以</w:t>
      </w:r>
      <w:r>
        <w:rPr>
          <w:rFonts w:hint="eastAsia" w:ascii="宋体" w:hAnsi="宋体" w:eastAsia="宋体" w:cs="宋体"/>
          <w:b/>
          <w:color w:val="auto"/>
          <w:sz w:val="28"/>
          <w:szCs w:val="28"/>
          <w:highlight w:val="none"/>
        </w:rPr>
        <w:t>最终合计得分最高的投标人作为第一中标候选人，以此类推确定第二、第三中标候选人。</w:t>
      </w:r>
    </w:p>
    <w:p w14:paraId="794B3E3F">
      <w:pPr>
        <w:pageBreakBefore w:val="0"/>
        <w:widowControl w:val="0"/>
        <w:wordWrap/>
        <w:topLinePunct w:val="0"/>
        <w:bidi w:val="0"/>
        <w:spacing w:line="40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24.3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48C14267">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25、中标的标准</w:t>
      </w:r>
    </w:p>
    <w:p w14:paraId="277A2A22">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25.1 资格审查文件完整无缺；</w:t>
      </w:r>
    </w:p>
    <w:p w14:paraId="1AF19F86">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25.2 已交纳投标保证金；</w:t>
      </w:r>
    </w:p>
    <w:p w14:paraId="3C97608C">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25.3 报价合理，承诺条件优惠；</w:t>
      </w:r>
    </w:p>
    <w:p w14:paraId="1AFC8EC5">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25.4 投标文件与招标文件无重大偏离；</w:t>
      </w:r>
    </w:p>
    <w:p w14:paraId="55A3C461">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25.5 有较强的技术力量，能提供完善的技术服务，有较好的行业业绩；</w:t>
      </w:r>
    </w:p>
    <w:p w14:paraId="5AFF406B">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25.6 其他；</w:t>
      </w:r>
    </w:p>
    <w:p w14:paraId="788C939C">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25.7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3937182B">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26、中标通知</w:t>
      </w:r>
    </w:p>
    <w:p w14:paraId="6288204E">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26.1中标公示期：</w:t>
      </w:r>
      <w:r>
        <w:rPr>
          <w:rFonts w:hint="eastAsia" w:ascii="宋体" w:hAnsi="宋体" w:eastAsia="宋体" w:cs="宋体"/>
          <w:color w:val="auto"/>
          <w:sz w:val="28"/>
          <w:szCs w:val="28"/>
          <w:highlight w:val="none"/>
          <w:u w:val="single"/>
          <w:lang w:val="en-US" w:eastAsia="zh-CN"/>
        </w:rPr>
        <w:t>1</w:t>
      </w:r>
      <w:r>
        <w:rPr>
          <w:rFonts w:hint="eastAsia" w:ascii="宋体" w:hAnsi="宋体" w:eastAsia="宋体" w:cs="宋体"/>
          <w:color w:val="auto"/>
          <w:sz w:val="28"/>
          <w:szCs w:val="28"/>
          <w:highlight w:val="none"/>
          <w:u w:val="single"/>
        </w:rPr>
        <w:t>个工作日。</w:t>
      </w:r>
    </w:p>
    <w:p w14:paraId="5883A6A3">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26.2招标代理机构根据定标结果，在投标有效期届满前，以书面形式向中标单位发出中标通知书。</w:t>
      </w:r>
    </w:p>
    <w:p w14:paraId="79FC7A9C">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26.3 招标代理机构将定标结果及时通知未中标单位并退还投标保证金。无需解释落标原因。</w:t>
      </w:r>
    </w:p>
    <w:p w14:paraId="572B0EF4">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27、拒绝某些或所有投标的权力</w:t>
      </w:r>
    </w:p>
    <w:p w14:paraId="38B6742A">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27.1招标人有权在定标之前拒绝任何有不正当行为或扰乱正常招标工作的投标人，由此对投标人造成的损失不负任何责任，同时对此无需做任何解释。</w:t>
      </w:r>
    </w:p>
    <w:p w14:paraId="00529C1A">
      <w:pPr>
        <w:pageBreakBefore w:val="0"/>
        <w:widowControl w:val="0"/>
        <w:wordWrap/>
        <w:topLinePunct w:val="0"/>
        <w:bidi w:val="0"/>
        <w:spacing w:line="400" w:lineRule="exact"/>
        <w:ind w:firstLine="315" w:firstLineChars="98"/>
        <w:rPr>
          <w:rFonts w:hint="eastAsia" w:ascii="宋体" w:hAnsi="宋体" w:eastAsia="宋体" w:cs="宋体"/>
          <w:b/>
          <w:color w:val="auto"/>
          <w:sz w:val="28"/>
          <w:szCs w:val="28"/>
          <w:highlight w:val="none"/>
        </w:rPr>
      </w:pPr>
      <w:r>
        <w:rPr>
          <w:rFonts w:hint="eastAsia" w:ascii="宋体" w:hAnsi="宋体" w:eastAsia="宋体" w:cs="宋体"/>
          <w:b/>
          <w:color w:val="auto"/>
          <w:kern w:val="0"/>
          <w:sz w:val="32"/>
          <w:szCs w:val="32"/>
          <w:highlight w:val="none"/>
        </w:rPr>
        <w:t xml:space="preserve">  28、</w:t>
      </w:r>
      <w:r>
        <w:rPr>
          <w:rFonts w:hint="eastAsia" w:ascii="宋体" w:hAnsi="宋体" w:eastAsia="宋体" w:cs="宋体"/>
          <w:b/>
          <w:color w:val="auto"/>
          <w:sz w:val="28"/>
          <w:szCs w:val="28"/>
          <w:highlight w:val="none"/>
        </w:rPr>
        <w:t>付款方式</w:t>
      </w:r>
      <w:r>
        <w:rPr>
          <w:rFonts w:hint="eastAsia" w:ascii="宋体" w:hAnsi="宋体" w:eastAsia="宋体" w:cs="宋体"/>
          <w:b/>
          <w:color w:val="auto"/>
          <w:kern w:val="0"/>
          <w:sz w:val="32"/>
          <w:szCs w:val="32"/>
          <w:highlight w:val="none"/>
        </w:rPr>
        <w:t>：</w:t>
      </w:r>
      <w:r>
        <w:rPr>
          <w:rFonts w:hint="eastAsia" w:ascii="宋体" w:hAnsi="宋体" w:eastAsia="宋体" w:cs="宋体"/>
          <w:b/>
          <w:color w:val="auto"/>
          <w:sz w:val="28"/>
          <w:szCs w:val="28"/>
          <w:highlight w:val="none"/>
        </w:rPr>
        <w:t>详见</w:t>
      </w:r>
      <w:r>
        <w:rPr>
          <w:rFonts w:hint="eastAsia" w:ascii="宋体" w:hAnsi="宋体" w:cs="宋体"/>
          <w:b/>
          <w:color w:val="auto"/>
          <w:sz w:val="28"/>
          <w:szCs w:val="28"/>
          <w:highlight w:val="none"/>
          <w:lang w:val="en-US" w:eastAsia="zh-CN"/>
        </w:rPr>
        <w:t>第四章合同条款</w:t>
      </w:r>
      <w:r>
        <w:rPr>
          <w:rFonts w:hint="eastAsia" w:ascii="宋体" w:hAnsi="宋体" w:eastAsia="宋体" w:cs="宋体"/>
          <w:b/>
          <w:color w:val="auto"/>
          <w:sz w:val="28"/>
          <w:szCs w:val="28"/>
          <w:highlight w:val="none"/>
        </w:rPr>
        <w:t>。</w:t>
      </w:r>
    </w:p>
    <w:p w14:paraId="57AB8629">
      <w:pPr>
        <w:pageBreakBefore w:val="0"/>
        <w:widowControl w:val="0"/>
        <w:numPr>
          <w:ilvl w:val="0"/>
          <w:numId w:val="0"/>
        </w:numPr>
        <w:tabs>
          <w:tab w:val="left" w:pos="614"/>
          <w:tab w:val="left" w:pos="3646"/>
          <w:tab w:val="center" w:pos="4679"/>
        </w:tabs>
        <w:wordWrap/>
        <w:topLinePunct w:val="0"/>
        <w:bidi w:val="0"/>
        <w:spacing w:line="400" w:lineRule="exact"/>
        <w:ind w:left="403" w:leftChars="0"/>
        <w:jc w:val="center"/>
        <w:rPr>
          <w:rFonts w:hint="eastAsia" w:ascii="宋体" w:hAnsi="宋体" w:eastAsia="宋体" w:cs="宋体"/>
          <w:b/>
          <w:color w:val="auto"/>
          <w:sz w:val="28"/>
          <w:szCs w:val="28"/>
          <w:highlight w:val="none"/>
          <w:lang w:val="en-US" w:eastAsia="zh-CN"/>
        </w:rPr>
      </w:pPr>
    </w:p>
    <w:p w14:paraId="1E74AE9F">
      <w:pPr>
        <w:pageBreakBefore w:val="0"/>
        <w:widowControl w:val="0"/>
        <w:numPr>
          <w:ilvl w:val="0"/>
          <w:numId w:val="0"/>
        </w:numPr>
        <w:tabs>
          <w:tab w:val="left" w:pos="614"/>
          <w:tab w:val="left" w:pos="3646"/>
          <w:tab w:val="center" w:pos="4679"/>
        </w:tabs>
        <w:wordWrap/>
        <w:topLinePunct w:val="0"/>
        <w:bidi w:val="0"/>
        <w:spacing w:line="400" w:lineRule="exact"/>
        <w:ind w:left="403" w:leftChars="0"/>
        <w:jc w:val="center"/>
        <w:outlineLvl w:val="1"/>
        <w:rPr>
          <w:rFonts w:hint="eastAsia" w:ascii="宋体" w:hAnsi="宋体" w:eastAsia="宋体" w:cs="宋体"/>
          <w:b/>
          <w:color w:val="auto"/>
          <w:sz w:val="28"/>
          <w:szCs w:val="28"/>
          <w:highlight w:val="none"/>
        </w:rPr>
      </w:pPr>
      <w:bookmarkStart w:id="132" w:name="_Toc18990"/>
      <w:bookmarkStart w:id="133" w:name="_Toc31888"/>
      <w:r>
        <w:rPr>
          <w:rFonts w:hint="eastAsia" w:ascii="宋体" w:hAnsi="宋体" w:eastAsia="宋体" w:cs="宋体"/>
          <w:b/>
          <w:color w:val="auto"/>
          <w:sz w:val="28"/>
          <w:szCs w:val="28"/>
          <w:highlight w:val="none"/>
          <w:lang w:val="en-US" w:eastAsia="zh-CN"/>
        </w:rPr>
        <w:t>七、</w:t>
      </w:r>
      <w:r>
        <w:rPr>
          <w:rFonts w:hint="eastAsia" w:ascii="宋体" w:hAnsi="宋体" w:eastAsia="宋体" w:cs="宋体"/>
          <w:b/>
          <w:color w:val="auto"/>
          <w:sz w:val="28"/>
          <w:szCs w:val="28"/>
          <w:highlight w:val="none"/>
        </w:rPr>
        <w:t>签定合同</w:t>
      </w:r>
      <w:bookmarkEnd w:id="132"/>
      <w:bookmarkEnd w:id="133"/>
    </w:p>
    <w:p w14:paraId="5195FE13">
      <w:pPr>
        <w:pageBreakBefore w:val="0"/>
        <w:widowControl w:val="0"/>
        <w:wordWrap/>
        <w:topLinePunct w:val="0"/>
        <w:bidi w:val="0"/>
        <w:spacing w:line="400" w:lineRule="exact"/>
        <w:jc w:val="center"/>
        <w:rPr>
          <w:rFonts w:hint="eastAsia" w:ascii="宋体" w:hAnsi="宋体" w:eastAsia="宋体" w:cs="宋体"/>
          <w:b/>
          <w:color w:val="auto"/>
          <w:sz w:val="28"/>
          <w:szCs w:val="28"/>
          <w:highlight w:val="none"/>
        </w:rPr>
      </w:pPr>
    </w:p>
    <w:p w14:paraId="6839F948">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rPr>
        <w:t>29、签定合同</w:t>
      </w:r>
      <w:r>
        <w:rPr>
          <w:rFonts w:hint="eastAsia" w:ascii="宋体" w:hAnsi="宋体" w:eastAsia="宋体" w:cs="宋体"/>
          <w:b/>
          <w:color w:val="auto"/>
          <w:sz w:val="28"/>
          <w:szCs w:val="28"/>
          <w:highlight w:val="none"/>
          <w:lang w:val="en-US" w:eastAsia="zh-CN"/>
        </w:rPr>
        <w:t xml:space="preserve">     </w:t>
      </w:r>
    </w:p>
    <w:p w14:paraId="51FD64E9">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29.1 招标人和中标人在自中标通知书发出之日起30日内，依据《中华人民共和国</w:t>
      </w:r>
      <w:r>
        <w:rPr>
          <w:rFonts w:hint="eastAsia" w:ascii="宋体" w:hAnsi="宋体" w:eastAsia="宋体" w:cs="宋体"/>
          <w:color w:val="auto"/>
          <w:sz w:val="28"/>
          <w:szCs w:val="28"/>
          <w:highlight w:val="none"/>
          <w:lang w:eastAsia="zh-CN"/>
        </w:rPr>
        <w:t>民法典</w:t>
      </w:r>
      <w:r>
        <w:rPr>
          <w:rFonts w:hint="eastAsia" w:ascii="宋体" w:hAnsi="宋体" w:eastAsia="宋体" w:cs="宋体"/>
          <w:color w:val="auto"/>
          <w:sz w:val="28"/>
          <w:szCs w:val="28"/>
          <w:highlight w:val="none"/>
        </w:rPr>
        <w:t>》和有关法规及招、投标文件签定合同。</w:t>
      </w:r>
    </w:p>
    <w:p w14:paraId="363E8FB2">
      <w:pPr>
        <w:pageBreakBefore w:val="0"/>
        <w:widowControl w:val="0"/>
        <w:wordWrap/>
        <w:topLinePunct w:val="0"/>
        <w:bidi w:val="0"/>
        <w:spacing w:line="400" w:lineRule="exact"/>
        <w:ind w:firstLine="560" w:firstLineChars="200"/>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lang w:val="en-US" w:eastAsia="zh-CN"/>
        </w:rPr>
        <w:t>2中标合同不得转让。如中标后要进行劳务分包，需经招标人同意。否则，招标人有权取消中标人的中标资格。</w:t>
      </w:r>
    </w:p>
    <w:p w14:paraId="298AFAD4">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 xml:space="preserve"> 招标人如遇中标人违约，可从侯选中标人中重新选定中标人，并签定经济合同。</w:t>
      </w:r>
    </w:p>
    <w:p w14:paraId="62ADB20C">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合同的制订由招标人、中标人、招标代理机构三方参加，为确保合同双方的利益均等，由招标代理机构在合同制订过程中进行协调。</w:t>
      </w:r>
    </w:p>
    <w:p w14:paraId="4925DA3A">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29.5 合同一式</w:t>
      </w:r>
      <w:r>
        <w:rPr>
          <w:rFonts w:hint="eastAsia" w:ascii="宋体" w:hAnsi="宋体" w:eastAsia="宋体" w:cs="宋体"/>
          <w:b/>
          <w:color w:val="auto"/>
          <w:sz w:val="28"/>
          <w:szCs w:val="28"/>
          <w:highlight w:val="none"/>
          <w:lang w:val="en-US" w:eastAsia="zh-CN"/>
        </w:rPr>
        <w:t>肆</w:t>
      </w:r>
      <w:r>
        <w:rPr>
          <w:rFonts w:hint="eastAsia" w:ascii="宋体" w:hAnsi="宋体" w:eastAsia="宋体" w:cs="宋体"/>
          <w:b/>
          <w:color w:val="auto"/>
          <w:sz w:val="28"/>
          <w:szCs w:val="28"/>
          <w:highlight w:val="none"/>
        </w:rPr>
        <w:t>份，需经招标人、中标人双方签字盖章后即生效。招标人、中标人亦可自愿申请公证。</w:t>
      </w:r>
    </w:p>
    <w:p w14:paraId="385DFD18">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30、合同的组成</w:t>
      </w:r>
    </w:p>
    <w:p w14:paraId="7FB05C29">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30.1 下列文件均为合同不可分割部分：</w:t>
      </w:r>
    </w:p>
    <w:p w14:paraId="2FA1608B">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30.1.1 专用合同；</w:t>
      </w:r>
    </w:p>
    <w:p w14:paraId="191238AB">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30.1.2 合同条款；</w:t>
      </w:r>
    </w:p>
    <w:p w14:paraId="156B84F9">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30.1.3 中标通知书；</w:t>
      </w:r>
    </w:p>
    <w:p w14:paraId="21CA50CD">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30.1.4 乙方中标的投标文件；</w:t>
      </w:r>
    </w:p>
    <w:p w14:paraId="14FF1931">
      <w:pPr>
        <w:pageBreakBefore w:val="0"/>
        <w:widowControl w:val="0"/>
        <w:wordWrap/>
        <w:topLinePunct w:val="0"/>
        <w:bidi w:val="0"/>
        <w:spacing w:line="400" w:lineRule="exact"/>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30.1.5 招标文件；</w:t>
      </w:r>
    </w:p>
    <w:p w14:paraId="31293B77">
      <w:pPr>
        <w:pageBreakBefore w:val="0"/>
        <w:widowControl w:val="0"/>
        <w:wordWrap/>
        <w:topLinePunct w:val="0"/>
        <w:bidi w:val="0"/>
        <w:spacing w:line="40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30.1.6 评标答疑记录。</w:t>
      </w:r>
    </w:p>
    <w:p w14:paraId="25A7D2AC">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31、履约保证金</w:t>
      </w:r>
    </w:p>
    <w:p w14:paraId="572FB774">
      <w:pPr>
        <w:pStyle w:val="6"/>
        <w:pageBreakBefore w:val="0"/>
        <w:widowControl w:val="0"/>
        <w:wordWrap/>
        <w:overflowPunct w:val="0"/>
        <w:topLinePunct w:val="0"/>
        <w:bidi w:val="0"/>
        <w:spacing w:line="400" w:lineRule="exact"/>
        <w:ind w:firstLine="56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31.1 中标的投标人应按</w:t>
      </w:r>
      <w:r>
        <w:rPr>
          <w:rFonts w:hint="eastAsia" w:ascii="宋体" w:hAnsi="宋体" w:eastAsia="宋体" w:cs="宋体"/>
          <w:color w:val="auto"/>
          <w:sz w:val="28"/>
          <w:szCs w:val="28"/>
          <w:highlight w:val="none"/>
          <w:lang w:val="en-US" w:eastAsia="zh-CN"/>
        </w:rPr>
        <w:t>业主要求</w:t>
      </w:r>
      <w:r>
        <w:rPr>
          <w:rFonts w:hint="eastAsia" w:ascii="宋体" w:hAnsi="宋体" w:eastAsia="宋体" w:cs="宋体"/>
          <w:color w:val="auto"/>
          <w:sz w:val="28"/>
          <w:szCs w:val="28"/>
          <w:highlight w:val="none"/>
        </w:rPr>
        <w:t>提交履约保证金</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履约保证金金额在</w:t>
      </w:r>
      <w:r>
        <w:rPr>
          <w:rFonts w:hint="eastAsia" w:ascii="宋体" w:hAnsi="宋体" w:eastAsia="宋体" w:cs="宋体"/>
          <w:color w:val="auto"/>
          <w:sz w:val="28"/>
          <w:szCs w:val="28"/>
          <w:highlight w:val="none"/>
        </w:rPr>
        <w:t>甲乙双方签订合同时约定</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w:t>
      </w:r>
    </w:p>
    <w:p w14:paraId="75437DF0">
      <w:pPr>
        <w:pStyle w:val="6"/>
        <w:pageBreakBefore w:val="0"/>
        <w:widowControl w:val="0"/>
        <w:wordWrap/>
        <w:overflowPunct w:val="0"/>
        <w:topLinePunct w:val="0"/>
        <w:bidi w:val="0"/>
        <w:spacing w:line="400" w:lineRule="exact"/>
        <w:ind w:firstLine="560"/>
        <w:rPr>
          <w:rFonts w:hint="eastAsia" w:ascii="宋体" w:hAnsi="宋体" w:eastAsia="宋体" w:cs="宋体"/>
          <w:b/>
          <w:bCs/>
          <w:color w:val="auto"/>
          <w:sz w:val="28"/>
          <w:szCs w:val="28"/>
          <w:highlight w:val="none"/>
        </w:rPr>
      </w:pPr>
      <w:r>
        <w:rPr>
          <w:rFonts w:hint="eastAsia" w:ascii="宋体" w:hAnsi="宋体" w:eastAsia="宋体" w:cs="宋体"/>
          <w:color w:val="auto"/>
          <w:sz w:val="28"/>
          <w:szCs w:val="28"/>
          <w:highlight w:val="none"/>
        </w:rPr>
        <w:t>31.2 中标人与招标人签订合同的同时提交履约保证金，如中标人未按招标文件规定的服务期限供货的，则扣除履约保证金</w:t>
      </w:r>
      <w:r>
        <w:rPr>
          <w:rFonts w:hint="eastAsia" w:ascii="宋体" w:hAnsi="宋体" w:eastAsia="宋体" w:cs="宋体"/>
          <w:b/>
          <w:bCs/>
          <w:color w:val="auto"/>
          <w:sz w:val="28"/>
          <w:szCs w:val="28"/>
          <w:highlight w:val="none"/>
        </w:rPr>
        <w:t>。</w:t>
      </w:r>
    </w:p>
    <w:p w14:paraId="71C89C4B">
      <w:pPr>
        <w:pStyle w:val="6"/>
        <w:pageBreakBefore w:val="0"/>
        <w:widowControl w:val="0"/>
        <w:wordWrap/>
        <w:overflowPunct w:val="0"/>
        <w:topLinePunct w:val="0"/>
        <w:bidi w:val="0"/>
        <w:spacing w:line="400" w:lineRule="exact"/>
        <w:ind w:firstLine="560"/>
        <w:rPr>
          <w:rFonts w:hint="eastAsia" w:ascii="宋体" w:hAnsi="宋体" w:eastAsia="宋体" w:cs="宋体"/>
          <w:b/>
          <w:color w:val="auto"/>
          <w:sz w:val="28"/>
          <w:szCs w:val="28"/>
          <w:highlight w:val="none"/>
        </w:rPr>
      </w:pPr>
    </w:p>
    <w:p w14:paraId="03391C4E">
      <w:pPr>
        <w:pageBreakBefore w:val="0"/>
        <w:widowControl w:val="0"/>
        <w:wordWrap/>
        <w:topLinePunct w:val="0"/>
        <w:bidi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bCs/>
          <w:color w:val="auto"/>
          <w:sz w:val="28"/>
          <w:szCs w:val="28"/>
          <w:highlight w:val="none"/>
        </w:rPr>
        <w:t xml:space="preserve"> </w:t>
      </w:r>
    </w:p>
    <w:p w14:paraId="32978A27">
      <w:pPr>
        <w:pageBreakBefore w:val="0"/>
        <w:widowControl w:val="0"/>
        <w:numPr>
          <w:ilvl w:val="0"/>
          <w:numId w:val="0"/>
        </w:numPr>
        <w:tabs>
          <w:tab w:val="left" w:pos="614"/>
          <w:tab w:val="left" w:pos="3646"/>
          <w:tab w:val="center" w:pos="4679"/>
        </w:tabs>
        <w:wordWrap/>
        <w:topLinePunct w:val="0"/>
        <w:bidi w:val="0"/>
        <w:spacing w:line="400" w:lineRule="exact"/>
        <w:ind w:left="403" w:leftChars="0"/>
        <w:jc w:val="center"/>
        <w:outlineLvl w:val="1"/>
        <w:rPr>
          <w:rFonts w:hint="default" w:ascii="宋体" w:hAnsi="宋体" w:eastAsia="宋体" w:cs="宋体"/>
          <w:b/>
          <w:color w:val="auto"/>
          <w:sz w:val="28"/>
          <w:szCs w:val="28"/>
          <w:highlight w:val="none"/>
          <w:lang w:val="en-US" w:eastAsia="zh-CN"/>
        </w:rPr>
      </w:pPr>
      <w:bookmarkStart w:id="134" w:name="_Toc2010"/>
      <w:bookmarkStart w:id="135" w:name="_Toc28350"/>
      <w:bookmarkStart w:id="136" w:name="_Toc21334"/>
      <w:r>
        <w:rPr>
          <w:rFonts w:hint="eastAsia" w:ascii="宋体" w:hAnsi="宋体" w:eastAsia="宋体" w:cs="宋体"/>
          <w:b/>
          <w:color w:val="auto"/>
          <w:sz w:val="28"/>
          <w:szCs w:val="28"/>
          <w:highlight w:val="none"/>
          <w:lang w:val="en-US" w:eastAsia="zh-CN"/>
        </w:rPr>
        <w:t>八、质疑及答复</w:t>
      </w:r>
      <w:bookmarkEnd w:id="134"/>
      <w:bookmarkEnd w:id="135"/>
      <w:bookmarkEnd w:id="136"/>
    </w:p>
    <w:p w14:paraId="54014F7F">
      <w:pPr>
        <w:pageBreakBefore w:val="0"/>
        <w:widowControl w:val="0"/>
        <w:wordWrap/>
        <w:topLinePunct w:val="0"/>
        <w:bidi w:val="0"/>
        <w:jc w:val="left"/>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32、质疑的提出</w:t>
      </w:r>
    </w:p>
    <w:p w14:paraId="288F15E4">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32.1 本采购文件中所称质疑及答复，是指参加本次采购活动的供应商对政府采购活动中的采购文件、采购过程和中标结果向采购方提出质疑，采购方答复质疑的行为。</w:t>
      </w:r>
    </w:p>
    <w:p w14:paraId="4A542FED">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32.2 供应商认为采购文件、采购过程和中标结果使自己的权益受到损害的，可以在知道或者应知其权益受到损害之日起7个工作日内，以书面形式向采购方提出质疑。</w:t>
      </w:r>
    </w:p>
    <w:p w14:paraId="0FAF2AE0">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32.2.1供应商应知其权益受到损害之日是指：</w:t>
      </w:r>
    </w:p>
    <w:p w14:paraId="1C440989">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（一）对可以质疑的采购文件提出质疑的，为收到采购文件之日或者采购文件公告期限届满之日；</w:t>
      </w:r>
    </w:p>
    <w:p w14:paraId="2D523665">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（二）对采购过程提出质疑的，为各采购程序环节结束之日；</w:t>
      </w:r>
    </w:p>
    <w:p w14:paraId="473173D9">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（三）对中标结果提出质疑的，为中标结果公告期限届满之日。</w:t>
      </w:r>
    </w:p>
    <w:p w14:paraId="6E210CBB">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32.3 对可以质疑的采购文件提出质疑的，质疑人为参与本项目的报价方或潜在报价方。可质疑的文件为采购公告以及采购文件（包括属于其组成部分的澄清、修改、补充文件和评审标准、合同文本等）。</w:t>
      </w:r>
    </w:p>
    <w:p w14:paraId="01AB7747">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32.4 对采购过程和中标结果提出质疑的，质疑人为直接参与本项目的报价方。采购过程,即从采购项目信息公告发布起到中标结果公告止，包括采购文件的发出、提交响应文件、响应文件开启、评审等各个采购程序环节。</w:t>
      </w:r>
    </w:p>
    <w:p w14:paraId="292E953D">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32.5 提出质疑应当符合下列条件：</w:t>
      </w:r>
    </w:p>
    <w:p w14:paraId="2543D985">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（一）质疑主体应当符合有关规定；</w:t>
      </w:r>
    </w:p>
    <w:p w14:paraId="35CE215B">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（二）在质疑法定期限内提出；</w:t>
      </w:r>
    </w:p>
    <w:p w14:paraId="760420CE">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（三）属于可以提出质疑的政府采购事项受理范围和本项目采购人的管辖权范围；</w:t>
      </w:r>
    </w:p>
    <w:p w14:paraId="7B5679B1">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（四）政府采购法律、法规、规章规定的其他条件。</w:t>
      </w:r>
    </w:p>
    <w:p w14:paraId="12C26C35">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4928A13F">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32.7 质疑人所提供的证明材料应当具有真实性、合法性以及与质疑事项的关联性和证明力，否则不能作为认定该质疑事项成立的依据。</w:t>
      </w:r>
    </w:p>
    <w:p w14:paraId="44544B34">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32.8 质疑人提出质疑时应当提交质疑函。质疑函包括下列内容：</w:t>
      </w:r>
    </w:p>
    <w:p w14:paraId="4F172B2D">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（一）提出质疑的质疑人的名称、地址、邮编、联系人及联系电话等；</w:t>
      </w:r>
    </w:p>
    <w:p w14:paraId="23C7E0BB">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（二）质疑项目的名称、编号；</w:t>
      </w:r>
    </w:p>
    <w:p w14:paraId="03E116C6">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（三）质疑事项；</w:t>
      </w:r>
    </w:p>
    <w:p w14:paraId="7C80DFA9">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（四）事实依据和证明材料；</w:t>
      </w:r>
    </w:p>
    <w:p w14:paraId="352D80E5">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（五）法律依据；</w:t>
      </w:r>
    </w:p>
    <w:p w14:paraId="230A58D8">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（六）提出质疑的日期。</w:t>
      </w:r>
    </w:p>
    <w:p w14:paraId="0EABC893">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32.9 质疑函采用实名制。质疑人为自然人的应当由本人签字，并附有效身份证明文件；质疑人为法人或者非法人组织的应当由法定代表人或者负责人签字并加盖公章，并附有效身份证明文件。</w:t>
      </w:r>
    </w:p>
    <w:p w14:paraId="250167C4">
      <w:pPr>
        <w:pageBreakBefore w:val="0"/>
        <w:widowControl w:val="0"/>
        <w:wordWrap/>
        <w:topLinePunct w:val="0"/>
        <w:bidi w:val="0"/>
        <w:jc w:val="left"/>
        <w:rPr>
          <w:rFonts w:ascii="宋体" w:hAnsi="宋体"/>
          <w:szCs w:val="21"/>
          <w:highlight w:val="none"/>
        </w:rPr>
      </w:pPr>
      <w:r>
        <w:rPr>
          <w:rFonts w:hint="eastAsia" w:ascii="宋体" w:hAnsi="宋体" w:eastAsia="宋体" w:cs="宋体"/>
          <w:color w:val="auto"/>
          <w:kern w:val="2"/>
          <w:sz w:val="28"/>
          <w:szCs w:val="28"/>
          <w:highlight w:val="none"/>
          <w:lang w:val="en-US" w:eastAsia="zh-CN" w:bidi="ar-SA"/>
        </w:rPr>
        <w:t>32.10 质疑人可以委托代理人进行质疑。代理人应当提交授权委托书。授权委托书应当载明委托代理的具体权限、期限和相关事项。</w:t>
      </w:r>
    </w:p>
    <w:p w14:paraId="292215D4">
      <w:pPr>
        <w:pageBreakBefore w:val="0"/>
        <w:widowControl w:val="0"/>
        <w:wordWrap/>
        <w:topLinePunct w:val="0"/>
        <w:bidi w:val="0"/>
        <w:jc w:val="left"/>
        <w:rPr>
          <w:rFonts w:ascii="宋体" w:hAnsi="宋体"/>
          <w:b/>
          <w:szCs w:val="21"/>
          <w:highlight w:val="none"/>
        </w:rPr>
      </w:pPr>
      <w:r>
        <w:rPr>
          <w:rFonts w:hint="eastAsia" w:ascii="宋体" w:hAnsi="宋体" w:eastAsia="宋体" w:cs="宋体"/>
          <w:b/>
          <w:bCs/>
          <w:color w:val="auto"/>
          <w:kern w:val="2"/>
          <w:sz w:val="28"/>
          <w:szCs w:val="28"/>
          <w:highlight w:val="none"/>
          <w:lang w:val="en-US" w:eastAsia="zh-CN" w:bidi="ar-SA"/>
        </w:rPr>
        <w:t>33、质疑的审查和受理</w:t>
      </w:r>
    </w:p>
    <w:p w14:paraId="1351764B">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33.1 采购方在收到质疑函后应当及时审查是否符合质疑受理条件，对符合质疑受理条件的，及时予以受理。</w:t>
      </w:r>
    </w:p>
    <w:p w14:paraId="07130198">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33.2 对不符合质疑受理条件的，分别按照下列不同情形予以处理：</w:t>
      </w:r>
    </w:p>
    <w:p w14:paraId="1DB12DF1">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（一）质疑函内容不符合规定的，告知质疑人进行修改并重新提出质疑。修改后质疑事项仍不具体、不明确或者最终递交质疑函的时间超过质疑法定期限的，不予受理；</w:t>
      </w:r>
    </w:p>
    <w:p w14:paraId="52ACCC31">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（二）质疑主体不符合有关规定的，告知质疑人不予受理；</w:t>
      </w:r>
    </w:p>
    <w:p w14:paraId="10B2BA04">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（三）超过质疑法定期限提出质疑的，告知质疑人不予受理；</w:t>
      </w:r>
    </w:p>
    <w:p w14:paraId="360C4264">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（四）对不属于可以提出质疑的政府采购事项提出质疑的，告知质疑人不予受理；</w:t>
      </w:r>
    </w:p>
    <w:p w14:paraId="430E08A9">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（五）质疑不属于本项目采购方管辖的，告知质疑人向有管辖权的采购人提出质疑；</w:t>
      </w:r>
    </w:p>
    <w:p w14:paraId="7CDD87A8">
      <w:pPr>
        <w:pageBreakBefore w:val="0"/>
        <w:widowControl w:val="0"/>
        <w:wordWrap/>
        <w:topLinePunct w:val="0"/>
        <w:bidi w:val="0"/>
        <w:jc w:val="left"/>
        <w:rPr>
          <w:rFonts w:ascii="宋体" w:hAnsi="宋体"/>
          <w:szCs w:val="21"/>
          <w:highlight w:val="none"/>
        </w:rPr>
      </w:pPr>
      <w:r>
        <w:rPr>
          <w:rFonts w:hint="eastAsia" w:ascii="宋体" w:hAnsi="宋体" w:eastAsia="宋体" w:cs="宋体"/>
          <w:color w:val="auto"/>
          <w:kern w:val="2"/>
          <w:sz w:val="28"/>
          <w:szCs w:val="28"/>
          <w:highlight w:val="none"/>
          <w:lang w:val="en-US" w:eastAsia="zh-CN" w:bidi="ar-SA"/>
        </w:rPr>
        <w:t>（六）质疑不符合其他条件的，告知质疑人不予受理。</w:t>
      </w:r>
    </w:p>
    <w:p w14:paraId="686B1AFC">
      <w:pPr>
        <w:pageBreakBefore w:val="0"/>
        <w:widowControl w:val="0"/>
        <w:wordWrap/>
        <w:topLinePunct w:val="0"/>
        <w:bidi w:val="0"/>
        <w:jc w:val="left"/>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34、质疑的处理和答复</w:t>
      </w:r>
    </w:p>
    <w:p w14:paraId="65DADDB5">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34.1 按照《政府采购质疑和投诉办法（财政部94号令）》处理及答复质疑。</w:t>
      </w:r>
    </w:p>
    <w:p w14:paraId="1C796AAF">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34.2 采购方受理质疑后，将及时把质疑函发送给被质疑人，并要求其在一定限期人提交书面答复，同时提供有关证据、依据和相关材料。</w:t>
      </w:r>
    </w:p>
    <w:p w14:paraId="3B8DC6F5">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34.3 对于质疑事项中涉及的问题较多、情况比较复杂的，为了全面查清事实、取得充分的证据，采购方认为有必要时，可以进行调查取证或者组织质证。</w:t>
      </w:r>
    </w:p>
    <w:p w14:paraId="00D2CA14">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34.4对评审过程、中标结果提出质疑的，采购方可以组织原评审委员会协助答复质疑。</w:t>
      </w:r>
    </w:p>
    <w:p w14:paraId="4BE2E650">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34.5质疑处理过程中，质疑人书面申请撤回质疑的，将终止质疑处理程序。</w:t>
      </w:r>
    </w:p>
    <w:p w14:paraId="40C9B5AF">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34.6质疑人拒绝配合采购方依法对质疑进行调查处理的，采购方将按质疑人自动撤回质疑处理；被质疑人拒绝配合采购方依法对质疑进行调查处理的，采购方将视同其认可质疑事项。</w:t>
      </w:r>
    </w:p>
    <w:p w14:paraId="11A34CE4">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34.7 采购方将在正式受理质疑后 7 个工作日内作出答复，但处理质疑需要进行调查取证、组织专家评审、质疑人及被质疑人提交或补正材料等所需时间，不计算在质疑处理期限内。</w:t>
      </w:r>
    </w:p>
    <w:p w14:paraId="2E1B8713">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34.8 采购方经调查、论证、核实，认定质疑不能成立的，继续开展采购活动；认定质疑成立的，按照以下情况处理：</w:t>
      </w:r>
    </w:p>
    <w:p w14:paraId="7464DB9C">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4D216635">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3BE9EBBC">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34.9 采购方将书面答复质疑，质疑答复包括下列内容：</w:t>
      </w:r>
    </w:p>
    <w:p w14:paraId="66D27688">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（一）质疑人名称；</w:t>
      </w:r>
    </w:p>
    <w:p w14:paraId="2704627D">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（二）收到质疑函的日期、质疑项目名称及编号;</w:t>
      </w:r>
    </w:p>
    <w:p w14:paraId="5BA3A4B9">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（三）质疑事项、质疑答复的具体内容、事实依据和法律依据；</w:t>
      </w:r>
    </w:p>
    <w:p w14:paraId="331C2BA8">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（四）告知质疑人依法投诉的权利；</w:t>
      </w:r>
    </w:p>
    <w:p w14:paraId="0B992DE8">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（五）质疑答复日期。</w:t>
      </w:r>
    </w:p>
    <w:p w14:paraId="7F43A3BA">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34.10 质疑人有下列行为之一的，属于虚假、恶意质疑，将由采购方建议财政部门将其列入不良行为记录名单，禁止其 1 至 3 年内参加政府采购活动：</w:t>
      </w:r>
    </w:p>
    <w:p w14:paraId="65E7FB7D">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（一）受理后发现投诉不符合法定受理条件；</w:t>
      </w:r>
    </w:p>
    <w:p w14:paraId="19A0E627">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（二）投诉事项缺乏事实依据，投诉事项不成立；</w:t>
      </w:r>
    </w:p>
    <w:p w14:paraId="77E8A644">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（三）投诉人捏造事实或者提供虚假材料；</w:t>
      </w:r>
    </w:p>
    <w:p w14:paraId="119EF5E2">
      <w:pPr>
        <w:pageBreakBefore w:val="0"/>
        <w:widowControl w:val="0"/>
        <w:wordWrap/>
        <w:topLinePunct w:val="0"/>
        <w:bidi w:val="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（四）投诉人以非法手段取得证明材料。证据来源的合法性存在明显疑问，投诉人无法证明其取得方式合法的，视为以非法手段取得证明材料。</w:t>
      </w:r>
    </w:p>
    <w:p w14:paraId="4CD8EDA1">
      <w:pPr>
        <w:pageBreakBefore w:val="0"/>
        <w:widowControl w:val="0"/>
        <w:wordWrap/>
        <w:topLinePunct w:val="0"/>
        <w:bidi w:val="0"/>
        <w:jc w:val="left"/>
        <w:rPr>
          <w:rFonts w:hint="eastAsia"/>
          <w:highlight w:val="none"/>
          <w:lang w:val="en-US" w:eastAsia="zh-CN"/>
        </w:rPr>
      </w:pPr>
      <w:r>
        <w:rPr>
          <w:rFonts w:hint="eastAsia" w:ascii="宋体" w:hAnsi="宋体" w:eastAsia="宋体" w:cs="宋体"/>
          <w:color w:val="auto"/>
          <w:kern w:val="2"/>
          <w:sz w:val="28"/>
          <w:szCs w:val="28"/>
          <w:highlight w:val="none"/>
          <w:lang w:val="en-US" w:eastAsia="zh-CN" w:bidi="ar-SA"/>
        </w:rPr>
        <w:t>（五）法律法规规定的其他违法情形。</w:t>
      </w:r>
    </w:p>
    <w:p w14:paraId="48272792">
      <w:pPr>
        <w:rPr>
          <w:rFonts w:hint="eastAsia"/>
          <w:highlight w:val="none"/>
          <w:lang w:val="en-US" w:eastAsia="zh-CN"/>
        </w:rPr>
      </w:pPr>
    </w:p>
    <w:p w14:paraId="74F1A343">
      <w:pPr>
        <w:pStyle w:val="32"/>
        <w:pageBreakBefore w:val="0"/>
        <w:widowControl w:val="0"/>
        <w:wordWrap/>
        <w:topLinePunct w:val="0"/>
        <w:bidi w:val="0"/>
        <w:spacing w:line="450" w:lineRule="exact"/>
        <w:jc w:val="both"/>
        <w:outlineLvl w:val="0"/>
        <w:rPr>
          <w:rFonts w:hint="eastAsia" w:ascii="宋体" w:hAnsi="宋体" w:eastAsia="宋体" w:cs="宋体"/>
          <w:b/>
          <w:bCs/>
          <w:color w:val="auto"/>
          <w:sz w:val="28"/>
          <w:szCs w:val="28"/>
          <w:highlight w:val="none"/>
        </w:rPr>
      </w:pPr>
      <w:bookmarkStart w:id="137" w:name="_Toc17609"/>
      <w:bookmarkStart w:id="138" w:name="_Toc24434"/>
    </w:p>
    <w:p w14:paraId="708B5704">
      <w:pPr>
        <w:pStyle w:val="32"/>
        <w:pageBreakBefore w:val="0"/>
        <w:widowControl w:val="0"/>
        <w:wordWrap/>
        <w:topLinePunct w:val="0"/>
        <w:bidi w:val="0"/>
        <w:spacing w:line="450" w:lineRule="exact"/>
        <w:jc w:val="center"/>
        <w:outlineLvl w:val="0"/>
        <w:rPr>
          <w:rFonts w:hint="eastAsia" w:ascii="宋体" w:hAnsi="宋体" w:eastAsia="宋体" w:cs="宋体"/>
          <w:b/>
          <w:bCs/>
          <w:color w:val="auto"/>
          <w:sz w:val="28"/>
          <w:szCs w:val="28"/>
          <w:highlight w:val="none"/>
        </w:rPr>
        <w:sectPr>
          <w:headerReference r:id="rId8" w:type="first"/>
          <w:footerReference r:id="rId10" w:type="first"/>
          <w:headerReference r:id="rId7" w:type="default"/>
          <w:footerReference r:id="rId9" w:type="default"/>
          <w:pgSz w:w="11905" w:h="16838"/>
          <w:pgMar w:top="720" w:right="1417" w:bottom="401" w:left="1417" w:header="850" w:footer="992" w:gutter="0"/>
          <w:pgBorders>
            <w:top w:val="none" w:sz="0" w:space="0"/>
            <w:left w:val="none" w:sz="0" w:space="0"/>
            <w:bottom w:val="none" w:sz="0" w:space="0"/>
            <w:right w:val="none" w:sz="0" w:space="0"/>
          </w:pgBorders>
          <w:pgNumType w:fmt="decimal"/>
          <w:cols w:space="720" w:num="1"/>
          <w:docGrid w:type="lines" w:linePitch="416" w:charSpace="0"/>
        </w:sectPr>
      </w:pPr>
    </w:p>
    <w:p w14:paraId="2109E815">
      <w:pPr>
        <w:pStyle w:val="32"/>
        <w:pageBreakBefore w:val="0"/>
        <w:widowControl w:val="0"/>
        <w:wordWrap/>
        <w:topLinePunct w:val="0"/>
        <w:bidi w:val="0"/>
        <w:spacing w:line="450" w:lineRule="exact"/>
        <w:jc w:val="center"/>
        <w:outlineLvl w:val="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质疑函</w:t>
      </w:r>
      <w:bookmarkEnd w:id="137"/>
      <w:bookmarkEnd w:id="138"/>
    </w:p>
    <w:p w14:paraId="44EBB4C4">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致：</w:t>
      </w:r>
      <w:r>
        <w:rPr>
          <w:rFonts w:hint="eastAsia" w:ascii="宋体" w:hAnsi="宋体" w:eastAsia="宋体" w:cs="宋体"/>
          <w:color w:val="auto"/>
          <w:kern w:val="0"/>
          <w:sz w:val="28"/>
          <w:szCs w:val="28"/>
          <w:highlight w:val="none"/>
          <w:u w:val="single"/>
        </w:rPr>
        <w:t xml:space="preserve">               </w:t>
      </w:r>
    </w:p>
    <w:p w14:paraId="7D2A722F">
      <w:pPr>
        <w:pageBreakBefore w:val="0"/>
        <w:widowControl w:val="0"/>
        <w:wordWrap/>
        <w:topLinePunct w:val="0"/>
        <w:bidi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依据政府采购相关法规，我公司对</w:t>
      </w:r>
      <w:r>
        <w:rPr>
          <w:rFonts w:hint="eastAsia" w:ascii="宋体" w:hAnsi="宋体" w:eastAsia="宋体" w:cs="宋体"/>
          <w:color w:val="auto"/>
          <w:kern w:val="0"/>
          <w:sz w:val="28"/>
          <w:szCs w:val="28"/>
          <w:highlight w:val="none"/>
        </w:rPr>
        <w:tab/>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color w:val="auto"/>
          <w:kern w:val="0"/>
          <w:sz w:val="28"/>
          <w:szCs w:val="28"/>
          <w:highlight w:val="none"/>
        </w:rPr>
        <w:t>的项目（项目编号：</w:t>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color w:val="auto"/>
          <w:kern w:val="0"/>
          <w:sz w:val="28"/>
          <w:szCs w:val="28"/>
          <w:highlight w:val="none"/>
        </w:rPr>
        <w:tab/>
      </w:r>
      <w:r>
        <w:rPr>
          <w:rFonts w:hint="eastAsia" w:ascii="宋体" w:hAnsi="宋体" w:eastAsia="宋体" w:cs="宋体"/>
          <w:color w:val="auto"/>
          <w:kern w:val="0"/>
          <w:sz w:val="28"/>
          <w:szCs w:val="28"/>
          <w:highlight w:val="none"/>
        </w:rPr>
        <w:t>）评审活动存在疑问，特提出质疑（详见下表）。</w:t>
      </w:r>
    </w:p>
    <w:p w14:paraId="6073035E">
      <w:pPr>
        <w:pageBreakBefore w:val="0"/>
        <w:widowControl w:val="0"/>
        <w:wordWrap/>
        <w:topLinePunct w:val="0"/>
        <w:bidi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我公司和本人对此质疑函内容的真实性负责，并愿意承担由此引起的相应处理和法律责任。</w:t>
      </w:r>
    </w:p>
    <w:p w14:paraId="667DCEE0">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法定代表人（签字并盖名章）：</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rPr>
        <w:t>身份证号码：</w:t>
      </w:r>
    </w:p>
    <w:p w14:paraId="0D1D713E">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固话：</w:t>
      </w:r>
      <w:r>
        <w:rPr>
          <w:rFonts w:hint="eastAsia" w:ascii="宋体" w:hAnsi="宋体" w:eastAsia="宋体" w:cs="宋体"/>
          <w:color w:val="auto"/>
          <w:kern w:val="0"/>
          <w:sz w:val="28"/>
          <w:szCs w:val="28"/>
          <w:highlight w:val="none"/>
        </w:rPr>
        <w:tab/>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rPr>
        <w:t>传真：</w:t>
      </w:r>
      <w:r>
        <w:rPr>
          <w:rFonts w:hint="eastAsia" w:ascii="宋体" w:hAnsi="宋体" w:eastAsia="宋体" w:cs="宋体"/>
          <w:color w:val="auto"/>
          <w:kern w:val="0"/>
          <w:sz w:val="28"/>
          <w:szCs w:val="28"/>
          <w:highlight w:val="none"/>
        </w:rPr>
        <w:tab/>
      </w:r>
    </w:p>
    <w:p w14:paraId="781518D4">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手机：</w:t>
      </w:r>
    </w:p>
    <w:p w14:paraId="2482A06F">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本项目授权委托人（签字并盖名章）：</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rPr>
        <w:t>身份证号码：</w:t>
      </w:r>
    </w:p>
    <w:p w14:paraId="79E6EF6A">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固话：</w:t>
      </w:r>
      <w:r>
        <w:rPr>
          <w:rFonts w:hint="eastAsia" w:ascii="宋体" w:hAnsi="宋体" w:eastAsia="宋体" w:cs="宋体"/>
          <w:color w:val="auto"/>
          <w:kern w:val="0"/>
          <w:sz w:val="28"/>
          <w:szCs w:val="28"/>
          <w:highlight w:val="none"/>
        </w:rPr>
        <w:tab/>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rPr>
        <w:t>传真：</w:t>
      </w:r>
    </w:p>
    <w:p w14:paraId="38CF7E42">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手机：</w:t>
      </w:r>
    </w:p>
    <w:p w14:paraId="42F87305">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公司地址：</w:t>
      </w:r>
      <w:r>
        <w:rPr>
          <w:rFonts w:hint="eastAsia" w:ascii="宋体" w:hAnsi="宋体" w:eastAsia="宋体" w:cs="宋体"/>
          <w:color w:val="auto"/>
          <w:kern w:val="0"/>
          <w:sz w:val="28"/>
          <w:szCs w:val="28"/>
          <w:highlight w:val="none"/>
        </w:rPr>
        <w:tab/>
      </w:r>
    </w:p>
    <w:p w14:paraId="042666AE">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邮编：</w:t>
      </w:r>
    </w:p>
    <w:p w14:paraId="13499540">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质疑人（公章）</w:t>
      </w:r>
    </w:p>
    <w:p w14:paraId="4A3947CA">
      <w:pPr>
        <w:pageBreakBefore w:val="0"/>
        <w:widowControl w:val="0"/>
        <w:wordWrap/>
        <w:topLinePunct w:val="0"/>
        <w:bidi w:val="0"/>
        <w:spacing w:line="360" w:lineRule="auto"/>
        <w:jc w:val="righ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年</w:t>
      </w:r>
      <w:r>
        <w:rPr>
          <w:rFonts w:hint="eastAsia" w:ascii="宋体" w:hAnsi="宋体" w:eastAsia="宋体" w:cs="宋体"/>
          <w:color w:val="auto"/>
          <w:kern w:val="0"/>
          <w:sz w:val="28"/>
          <w:szCs w:val="28"/>
          <w:highlight w:val="none"/>
        </w:rPr>
        <w:tab/>
      </w:r>
      <w:r>
        <w:rPr>
          <w:rFonts w:hint="eastAsia" w:ascii="宋体" w:hAnsi="宋体" w:eastAsia="宋体" w:cs="宋体"/>
          <w:color w:val="auto"/>
          <w:kern w:val="0"/>
          <w:sz w:val="28"/>
          <w:szCs w:val="28"/>
          <w:highlight w:val="none"/>
        </w:rPr>
        <w:t xml:space="preserve">  月 </w:t>
      </w:r>
      <w:r>
        <w:rPr>
          <w:rFonts w:hint="eastAsia" w:ascii="宋体" w:hAnsi="宋体" w:eastAsia="宋体" w:cs="宋体"/>
          <w:color w:val="auto"/>
          <w:kern w:val="0"/>
          <w:sz w:val="28"/>
          <w:szCs w:val="28"/>
          <w:highlight w:val="none"/>
        </w:rPr>
        <w:tab/>
      </w:r>
      <w:r>
        <w:rPr>
          <w:rFonts w:hint="eastAsia" w:ascii="宋体" w:hAnsi="宋体" w:eastAsia="宋体" w:cs="宋体"/>
          <w:color w:val="auto"/>
          <w:kern w:val="0"/>
          <w:sz w:val="28"/>
          <w:szCs w:val="28"/>
          <w:highlight w:val="none"/>
        </w:rPr>
        <w:t>日</w:t>
      </w:r>
    </w:p>
    <w:p w14:paraId="30521AF4">
      <w:pPr>
        <w:pageBreakBefore w:val="0"/>
        <w:widowControl w:val="0"/>
        <w:wordWrap/>
        <w:topLinePunct w:val="0"/>
        <w:bidi w:val="0"/>
        <w:spacing w:line="360" w:lineRule="auto"/>
        <w:jc w:val="center"/>
        <w:rPr>
          <w:rFonts w:hint="eastAsia" w:ascii="宋体" w:hAnsi="宋体" w:eastAsia="宋体" w:cs="宋体"/>
          <w:color w:val="auto"/>
          <w:kern w:val="0"/>
          <w:sz w:val="28"/>
          <w:szCs w:val="28"/>
          <w:highlight w:val="none"/>
        </w:rPr>
      </w:pPr>
    </w:p>
    <w:p w14:paraId="503CEC66">
      <w:pPr>
        <w:pageBreakBefore w:val="0"/>
        <w:widowControl w:val="0"/>
        <w:wordWrap/>
        <w:topLinePunct w:val="0"/>
        <w:bidi w:val="0"/>
        <w:spacing w:line="360" w:lineRule="auto"/>
        <w:jc w:val="center"/>
        <w:outlineLvl w:val="0"/>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br w:type="page"/>
      </w:r>
      <w:bookmarkStart w:id="139" w:name="_Toc26214"/>
      <w:bookmarkStart w:id="140" w:name="_Toc20332"/>
      <w:r>
        <w:rPr>
          <w:rFonts w:hint="eastAsia" w:ascii="宋体" w:hAnsi="宋体" w:eastAsia="宋体" w:cs="宋体"/>
          <w:b/>
          <w:bCs/>
          <w:color w:val="auto"/>
          <w:kern w:val="0"/>
          <w:sz w:val="28"/>
          <w:szCs w:val="28"/>
          <w:highlight w:val="none"/>
        </w:rPr>
        <w:t>质疑内容</w:t>
      </w:r>
      <w:bookmarkEnd w:id="139"/>
      <w:bookmarkEnd w:id="140"/>
    </w:p>
    <w:p w14:paraId="0E585CA8">
      <w:pPr>
        <w:pageBreakBefore w:val="0"/>
        <w:widowControl w:val="0"/>
        <w:wordWrap/>
        <w:topLinePunct w:val="0"/>
        <w:bidi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rPr>
        <w:t>项目名称：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p>
    <w:p w14:paraId="511D8C0A">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项目编号：</w:t>
      </w:r>
      <w:r>
        <w:rPr>
          <w:rFonts w:hint="eastAsia" w:ascii="宋体" w:hAnsi="宋体" w:eastAsia="宋体" w:cs="宋体"/>
          <w:color w:val="auto"/>
          <w:sz w:val="28"/>
          <w:szCs w:val="28"/>
          <w:highlight w:val="none"/>
          <w:u w:val="single"/>
        </w:rPr>
        <w:t xml:space="preserve">                        </w:t>
      </w:r>
    </w:p>
    <w:tbl>
      <w:tblPr>
        <w:tblStyle w:val="22"/>
        <w:tblW w:w="823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3"/>
        <w:gridCol w:w="7409"/>
      </w:tblGrid>
      <w:tr w14:paraId="62EB0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5" w:hRule="atLeast"/>
          <w:jc w:val="center"/>
        </w:trPr>
        <w:tc>
          <w:tcPr>
            <w:tcW w:w="823" w:type="dxa"/>
            <w:vMerge w:val="restart"/>
            <w:noWrap w:val="0"/>
            <w:vAlign w:val="center"/>
          </w:tcPr>
          <w:p w14:paraId="764D82F5">
            <w:pPr>
              <w:pageBreakBefore w:val="0"/>
              <w:widowControl w:val="0"/>
              <w:wordWrap/>
              <w:topLinePunct w:val="0"/>
              <w:bidi w:val="0"/>
              <w:spacing w:line="360" w:lineRule="auto"/>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具体内容</w:t>
            </w:r>
          </w:p>
        </w:tc>
        <w:tc>
          <w:tcPr>
            <w:tcW w:w="7409" w:type="dxa"/>
            <w:noWrap w:val="0"/>
            <w:vAlign w:val="center"/>
          </w:tcPr>
          <w:p w14:paraId="0836AAE5">
            <w:pPr>
              <w:pageBreakBefore w:val="0"/>
              <w:widowControl w:val="0"/>
              <w:wordWrap/>
              <w:topLinePunct w:val="0"/>
              <w:bidi w:val="0"/>
              <w:spacing w:line="360" w:lineRule="auto"/>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质疑事项：</w:t>
            </w:r>
          </w:p>
        </w:tc>
      </w:tr>
      <w:tr w14:paraId="24DF6B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5" w:hRule="atLeast"/>
          <w:jc w:val="center"/>
        </w:trPr>
        <w:tc>
          <w:tcPr>
            <w:tcW w:w="823" w:type="dxa"/>
            <w:vMerge w:val="continue"/>
            <w:noWrap w:val="0"/>
            <w:vAlign w:val="center"/>
          </w:tcPr>
          <w:p w14:paraId="4C488B25">
            <w:pPr>
              <w:pageBreakBefore w:val="0"/>
              <w:widowControl w:val="0"/>
              <w:wordWrap/>
              <w:topLinePunct w:val="0"/>
              <w:bidi w:val="0"/>
              <w:spacing w:line="360" w:lineRule="auto"/>
              <w:jc w:val="center"/>
              <w:rPr>
                <w:rFonts w:hint="eastAsia" w:ascii="宋体" w:hAnsi="宋体" w:eastAsia="宋体" w:cs="宋体"/>
                <w:color w:val="auto"/>
                <w:kern w:val="0"/>
                <w:sz w:val="28"/>
                <w:szCs w:val="28"/>
                <w:highlight w:val="none"/>
              </w:rPr>
            </w:pPr>
          </w:p>
        </w:tc>
        <w:tc>
          <w:tcPr>
            <w:tcW w:w="7409" w:type="dxa"/>
            <w:noWrap w:val="0"/>
            <w:vAlign w:val="center"/>
          </w:tcPr>
          <w:p w14:paraId="662DA446">
            <w:pPr>
              <w:pageBreakBefore w:val="0"/>
              <w:widowControl w:val="0"/>
              <w:wordWrap/>
              <w:topLinePunct w:val="0"/>
              <w:bidi w:val="0"/>
              <w:spacing w:line="360" w:lineRule="auto"/>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主要内容：</w:t>
            </w:r>
          </w:p>
        </w:tc>
      </w:tr>
      <w:tr w14:paraId="6A2BFE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5" w:hRule="atLeast"/>
          <w:jc w:val="center"/>
        </w:trPr>
        <w:tc>
          <w:tcPr>
            <w:tcW w:w="823" w:type="dxa"/>
            <w:vMerge w:val="continue"/>
            <w:noWrap w:val="0"/>
            <w:vAlign w:val="center"/>
          </w:tcPr>
          <w:p w14:paraId="15F5D507">
            <w:pPr>
              <w:pageBreakBefore w:val="0"/>
              <w:widowControl w:val="0"/>
              <w:wordWrap/>
              <w:topLinePunct w:val="0"/>
              <w:bidi w:val="0"/>
              <w:spacing w:line="360" w:lineRule="auto"/>
              <w:jc w:val="center"/>
              <w:rPr>
                <w:rFonts w:hint="eastAsia" w:ascii="宋体" w:hAnsi="宋体" w:eastAsia="宋体" w:cs="宋体"/>
                <w:color w:val="auto"/>
                <w:kern w:val="0"/>
                <w:sz w:val="28"/>
                <w:szCs w:val="28"/>
                <w:highlight w:val="none"/>
              </w:rPr>
            </w:pPr>
          </w:p>
        </w:tc>
        <w:tc>
          <w:tcPr>
            <w:tcW w:w="7409" w:type="dxa"/>
            <w:noWrap w:val="0"/>
            <w:vAlign w:val="center"/>
          </w:tcPr>
          <w:p w14:paraId="0C8228BD">
            <w:pPr>
              <w:pageBreakBefore w:val="0"/>
              <w:widowControl w:val="0"/>
              <w:wordWrap/>
              <w:topLinePunct w:val="0"/>
              <w:bidi w:val="0"/>
              <w:spacing w:line="360" w:lineRule="auto"/>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事实依据：</w:t>
            </w:r>
          </w:p>
        </w:tc>
      </w:tr>
      <w:tr w14:paraId="0D295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5" w:hRule="atLeast"/>
          <w:jc w:val="center"/>
        </w:trPr>
        <w:tc>
          <w:tcPr>
            <w:tcW w:w="823" w:type="dxa"/>
            <w:vMerge w:val="continue"/>
            <w:noWrap w:val="0"/>
            <w:vAlign w:val="center"/>
          </w:tcPr>
          <w:p w14:paraId="5726ABFC">
            <w:pPr>
              <w:pageBreakBefore w:val="0"/>
              <w:widowControl w:val="0"/>
              <w:wordWrap/>
              <w:topLinePunct w:val="0"/>
              <w:bidi w:val="0"/>
              <w:spacing w:line="360" w:lineRule="auto"/>
              <w:jc w:val="center"/>
              <w:rPr>
                <w:rFonts w:hint="eastAsia" w:ascii="宋体" w:hAnsi="宋体" w:eastAsia="宋体" w:cs="宋体"/>
                <w:color w:val="auto"/>
                <w:kern w:val="0"/>
                <w:sz w:val="28"/>
                <w:szCs w:val="28"/>
                <w:highlight w:val="none"/>
              </w:rPr>
            </w:pPr>
          </w:p>
        </w:tc>
        <w:tc>
          <w:tcPr>
            <w:tcW w:w="7409" w:type="dxa"/>
            <w:noWrap w:val="0"/>
            <w:vAlign w:val="center"/>
          </w:tcPr>
          <w:p w14:paraId="58C4CD6B">
            <w:pPr>
              <w:pageBreakBefore w:val="0"/>
              <w:widowControl w:val="0"/>
              <w:wordWrap/>
              <w:topLinePunct w:val="0"/>
              <w:bidi w:val="0"/>
              <w:spacing w:line="360" w:lineRule="auto"/>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适应法规条款：</w:t>
            </w:r>
          </w:p>
        </w:tc>
      </w:tr>
      <w:tr w14:paraId="5E6F3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823" w:type="dxa"/>
            <w:vMerge w:val="continue"/>
            <w:noWrap w:val="0"/>
            <w:vAlign w:val="center"/>
          </w:tcPr>
          <w:p w14:paraId="2A12037D">
            <w:pPr>
              <w:pageBreakBefore w:val="0"/>
              <w:widowControl w:val="0"/>
              <w:wordWrap/>
              <w:topLinePunct w:val="0"/>
              <w:bidi w:val="0"/>
              <w:spacing w:line="360" w:lineRule="auto"/>
              <w:jc w:val="center"/>
              <w:rPr>
                <w:rFonts w:hint="eastAsia" w:ascii="宋体" w:hAnsi="宋体" w:eastAsia="宋体" w:cs="宋体"/>
                <w:color w:val="auto"/>
                <w:kern w:val="0"/>
                <w:sz w:val="28"/>
                <w:szCs w:val="28"/>
                <w:highlight w:val="none"/>
              </w:rPr>
            </w:pPr>
          </w:p>
        </w:tc>
        <w:tc>
          <w:tcPr>
            <w:tcW w:w="7409" w:type="dxa"/>
            <w:noWrap w:val="0"/>
            <w:vAlign w:val="top"/>
          </w:tcPr>
          <w:p w14:paraId="673D7E2D">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佐证材料：</w:t>
            </w:r>
          </w:p>
        </w:tc>
      </w:tr>
    </w:tbl>
    <w:p w14:paraId="25080127">
      <w:pPr>
        <w:pageBreakBefore w:val="0"/>
        <w:widowControl w:val="0"/>
        <w:wordWrap/>
        <w:topLinePunct w:val="0"/>
        <w:bidi w:val="0"/>
        <w:spacing w:line="360" w:lineRule="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备注：</w:t>
      </w:r>
    </w:p>
    <w:p w14:paraId="418610BB">
      <w:pPr>
        <w:pageBreakBefore w:val="0"/>
        <w:widowControl w:val="0"/>
        <w:wordWrap/>
        <w:topLinePunct w:val="0"/>
        <w:bidi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1ACF54FE">
      <w:pPr>
        <w:pageBreakBefore w:val="0"/>
        <w:widowControl w:val="0"/>
        <w:wordWrap/>
        <w:topLinePunct w:val="0"/>
        <w:bidi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04C84AA0">
      <w:pPr>
        <w:pageBreakBefore w:val="0"/>
        <w:widowControl w:val="0"/>
        <w:wordWrap/>
        <w:topLinePunct w:val="0"/>
        <w:bidi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3、“具体的质疑事项及事实依据”一栏填写不下时，质疑人可另附页（A4），但附纸要求加盖质疑人公章。</w:t>
      </w:r>
    </w:p>
    <w:p w14:paraId="4B8CCECE">
      <w:pPr>
        <w:pageBreakBefore w:val="0"/>
        <w:widowControl w:val="0"/>
        <w:wordWrap/>
        <w:topLinePunct w:val="0"/>
        <w:bidi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4、与质疑事项有关的材料应与质疑函合并装订。</w:t>
      </w:r>
    </w:p>
    <w:p w14:paraId="10FAB592">
      <w:pPr>
        <w:pageBreakBefore w:val="0"/>
        <w:widowControl w:val="0"/>
        <w:wordWrap/>
        <w:topLinePunct w:val="0"/>
        <w:bidi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5、质疑函一式三份。</w:t>
      </w:r>
    </w:p>
    <w:p w14:paraId="020DD18A">
      <w:pPr>
        <w:pageBreakBefore w:val="0"/>
        <w:widowControl w:val="0"/>
        <w:numPr>
          <w:ilvl w:val="0"/>
          <w:numId w:val="0"/>
        </w:numPr>
        <w:kinsoku/>
        <w:wordWrap/>
        <w:overflowPunct/>
        <w:topLinePunct w:val="0"/>
        <w:autoSpaceDE/>
        <w:autoSpaceDN/>
        <w:bidi w:val="0"/>
        <w:adjustRightInd w:val="0"/>
        <w:snapToGrid w:val="0"/>
        <w:spacing w:line="440" w:lineRule="exact"/>
        <w:ind w:left="0" w:leftChars="0" w:firstLine="0" w:firstLineChars="0"/>
        <w:jc w:val="both"/>
        <w:textAlignment w:val="auto"/>
        <w:outlineLvl w:val="0"/>
        <w:rPr>
          <w:rFonts w:hint="eastAsia" w:ascii="宋体" w:hAnsi="宋体" w:eastAsia="宋体" w:cs="宋体"/>
          <w:b/>
          <w:bCs w:val="0"/>
          <w:color w:val="auto"/>
          <w:sz w:val="28"/>
          <w:szCs w:val="28"/>
          <w:highlight w:val="none"/>
        </w:rPr>
      </w:pPr>
      <w:r>
        <w:rPr>
          <w:rFonts w:hint="eastAsia" w:ascii="宋体" w:hAnsi="宋体" w:eastAsia="宋体" w:cs="宋体"/>
          <w:bCs/>
          <w:color w:val="auto"/>
          <w:sz w:val="28"/>
          <w:szCs w:val="28"/>
          <w:highlight w:val="none"/>
        </w:rPr>
        <w:br w:type="page"/>
      </w:r>
      <w:bookmarkStart w:id="141" w:name="_Toc31137"/>
      <w:bookmarkStart w:id="142" w:name="_Toc4998"/>
      <w:bookmarkStart w:id="143" w:name="_Toc450"/>
      <w:bookmarkStart w:id="144" w:name="_Toc2199"/>
      <w:bookmarkStart w:id="145" w:name="_Toc462486884"/>
      <w:bookmarkStart w:id="146" w:name="_Toc16759"/>
      <w:bookmarkStart w:id="147" w:name="_Toc43634068"/>
      <w:bookmarkStart w:id="148" w:name="_Toc1792"/>
      <w:bookmarkStart w:id="149" w:name="_Toc22807789"/>
      <w:bookmarkStart w:id="150" w:name="_Toc12165_WPSOffice_Level2"/>
      <w:r>
        <w:rPr>
          <w:rFonts w:hint="eastAsia" w:ascii="宋体" w:hAnsi="宋体" w:eastAsia="宋体" w:cs="宋体"/>
          <w:b/>
          <w:bCs/>
          <w:color w:val="auto"/>
          <w:kern w:val="2"/>
          <w:sz w:val="28"/>
          <w:szCs w:val="28"/>
          <w:highlight w:val="none"/>
          <w:lang w:val="en-US" w:eastAsia="zh-CN" w:bidi="ar-SA"/>
        </w:rPr>
        <w:t>九、</w:t>
      </w:r>
      <w:r>
        <w:rPr>
          <w:rFonts w:hint="eastAsia" w:ascii="宋体" w:hAnsi="宋体" w:eastAsia="宋体" w:cs="宋体"/>
          <w:b/>
          <w:bCs w:val="0"/>
          <w:color w:val="auto"/>
          <w:sz w:val="28"/>
          <w:szCs w:val="28"/>
          <w:highlight w:val="none"/>
        </w:rPr>
        <w:t>法律责任</w:t>
      </w:r>
      <w:bookmarkEnd w:id="141"/>
    </w:p>
    <w:p w14:paraId="683EACC8">
      <w:pPr>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lang w:val="en-US" w:eastAsia="zh-CN"/>
        </w:rPr>
        <w:t>35.</w:t>
      </w:r>
      <w:r>
        <w:rPr>
          <w:rFonts w:hint="eastAsia" w:ascii="宋体" w:hAnsi="宋体" w:eastAsia="宋体" w:cs="宋体"/>
          <w:b/>
          <w:bCs w:val="0"/>
          <w:color w:val="auto"/>
          <w:sz w:val="28"/>
          <w:szCs w:val="28"/>
          <w:highlight w:val="none"/>
        </w:rPr>
        <w:t>法律责任</w:t>
      </w:r>
    </w:p>
    <w:p w14:paraId="50E79C2F">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lang w:val="en-US" w:eastAsia="zh-CN"/>
        </w:rPr>
        <w:t>35</w:t>
      </w:r>
      <w:r>
        <w:rPr>
          <w:rFonts w:hint="eastAsia" w:ascii="宋体" w:hAnsi="宋体" w:eastAsia="宋体" w:cs="宋体"/>
          <w:b/>
          <w:bCs w:val="0"/>
          <w:color w:val="auto"/>
          <w:sz w:val="28"/>
          <w:szCs w:val="28"/>
          <w:highlight w:val="none"/>
        </w:rPr>
        <w:t>.1</w:t>
      </w:r>
      <w:r>
        <w:rPr>
          <w:rFonts w:hint="eastAsia" w:ascii="宋体" w:hAnsi="宋体" w:eastAsia="宋体" w:cs="宋体"/>
          <w:b/>
          <w:bCs w:val="0"/>
          <w:color w:val="auto"/>
          <w:sz w:val="28"/>
          <w:szCs w:val="28"/>
          <w:highlight w:val="none"/>
        </w:rPr>
        <w:tab/>
      </w:r>
      <w:r>
        <w:rPr>
          <w:rFonts w:hint="eastAsia" w:ascii="宋体" w:hAnsi="宋体" w:eastAsia="宋体" w:cs="宋体"/>
          <w:b/>
          <w:bCs w:val="0"/>
          <w:color w:val="auto"/>
          <w:sz w:val="28"/>
          <w:szCs w:val="28"/>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505FEF8E">
      <w:pPr>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 xml:space="preserve">（一）提供虚假材料谋取中标的； </w:t>
      </w:r>
    </w:p>
    <w:p w14:paraId="3BED381E">
      <w:pPr>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（二）采取不正当手段诋毁、排挤其他投标人的；</w:t>
      </w:r>
    </w:p>
    <w:p w14:paraId="57322E92">
      <w:pPr>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 xml:space="preserve">（三）与招标人、采购人、其他投标人恶意串通的； </w:t>
      </w:r>
    </w:p>
    <w:p w14:paraId="0E8C0FB8">
      <w:pPr>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 xml:space="preserve">（四）向招标人、采购人行贿或者提供其他不正当利益的； </w:t>
      </w:r>
    </w:p>
    <w:p w14:paraId="3A87AC42">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 xml:space="preserve">（五）在招标过程中与招标人、采购人进行协商谈判、不按照招标文件、投标文件订立合同，或者与采购人另行订立背离合同实质性内容的协议的； </w:t>
      </w:r>
    </w:p>
    <w:p w14:paraId="2AA2F543">
      <w:pPr>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 xml:space="preserve">（六）拒绝有关部门监督检查或者提供虚假情况的。 </w:t>
      </w:r>
    </w:p>
    <w:p w14:paraId="2BF538B8">
      <w:pPr>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 xml:space="preserve">投标人有前款第（一）至（五）项情形之一的，中标无效。 </w:t>
      </w:r>
    </w:p>
    <w:p w14:paraId="7DDA21AA">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lang w:val="en-US" w:eastAsia="zh-CN"/>
        </w:rPr>
        <w:t>35</w:t>
      </w:r>
      <w:r>
        <w:rPr>
          <w:rFonts w:hint="eastAsia" w:ascii="宋体" w:hAnsi="宋体" w:eastAsia="宋体" w:cs="宋体"/>
          <w:b/>
          <w:bCs w:val="0"/>
          <w:color w:val="auto"/>
          <w:sz w:val="28"/>
          <w:szCs w:val="28"/>
          <w:highlight w:val="none"/>
        </w:rPr>
        <w:t>.2</w:t>
      </w:r>
      <w:r>
        <w:rPr>
          <w:rFonts w:hint="eastAsia" w:ascii="宋体" w:hAnsi="宋体" w:eastAsia="宋体" w:cs="宋体"/>
          <w:b/>
          <w:bCs w:val="0"/>
          <w:color w:val="auto"/>
          <w:sz w:val="28"/>
          <w:szCs w:val="28"/>
          <w:highlight w:val="none"/>
        </w:rPr>
        <w:tab/>
      </w:r>
      <w:r>
        <w:rPr>
          <w:rFonts w:hint="eastAsia" w:ascii="宋体" w:hAnsi="宋体" w:eastAsia="宋体" w:cs="宋体"/>
          <w:b/>
          <w:bCs w:val="0"/>
          <w:color w:val="auto"/>
          <w:sz w:val="28"/>
          <w:szCs w:val="28"/>
          <w:highlight w:val="none"/>
        </w:rPr>
        <w:t>中标人有下列情形之一的，招标人不予退还其交纳的投标保证金；情节严重的，由财政部门将其列入不良行为记录名单，在一至三年内禁止参加政府采购活动，并予以通报：</w:t>
      </w:r>
    </w:p>
    <w:p w14:paraId="11E71DF0">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（一）中标后无正当理由不与采购人签订合同的；</w:t>
      </w:r>
    </w:p>
    <w:p w14:paraId="2A8E5064">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（二）将中标项目转让给他人，或者在投标文件中未说明，且未经招标人同意，将中标项目</w:t>
      </w:r>
      <w:r>
        <w:rPr>
          <w:rFonts w:hint="eastAsia" w:ascii="宋体" w:hAnsi="宋体" w:eastAsia="宋体" w:cs="宋体"/>
          <w:b/>
          <w:bCs w:val="0"/>
          <w:color w:val="auto"/>
          <w:sz w:val="28"/>
          <w:szCs w:val="28"/>
          <w:highlight w:val="none"/>
          <w:lang w:val="en-US" w:eastAsia="zh-CN"/>
        </w:rPr>
        <w:t>转</w:t>
      </w:r>
      <w:r>
        <w:rPr>
          <w:rFonts w:hint="eastAsia" w:ascii="宋体" w:hAnsi="宋体" w:eastAsia="宋体" w:cs="宋体"/>
          <w:b/>
          <w:bCs w:val="0"/>
          <w:color w:val="auto"/>
          <w:sz w:val="28"/>
          <w:szCs w:val="28"/>
          <w:highlight w:val="none"/>
        </w:rPr>
        <w:t>包给他人的；</w:t>
      </w:r>
    </w:p>
    <w:p w14:paraId="2E05BE74">
      <w:pPr>
        <w:pStyle w:val="10"/>
        <w:pageBreakBefore w:val="0"/>
        <w:widowControl w:val="0"/>
        <w:tabs>
          <w:tab w:val="left" w:pos="9214"/>
        </w:tabs>
        <w:kinsoku/>
        <w:wordWrap/>
        <w:overflowPunct/>
        <w:topLinePunct w:val="0"/>
        <w:autoSpaceDE/>
        <w:autoSpaceDN/>
        <w:bidi w:val="0"/>
        <w:adjustRightInd w:val="0"/>
        <w:snapToGrid w:val="0"/>
        <w:spacing w:after="0" w:afterLines="0" w:line="440" w:lineRule="exact"/>
        <w:ind w:left="0" w:leftChars="0" w:firstLine="0" w:firstLineChars="0"/>
        <w:textAlignment w:val="auto"/>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val="0"/>
          <w:color w:val="auto"/>
          <w:sz w:val="28"/>
          <w:szCs w:val="28"/>
          <w:highlight w:val="none"/>
        </w:rPr>
        <w:t>（三）拒绝履行合同义务的。</w:t>
      </w:r>
    </w:p>
    <w:p w14:paraId="3E5BA87D">
      <w:pPr>
        <w:pStyle w:val="33"/>
        <w:pageBreakBefore w:val="0"/>
        <w:widowControl w:val="0"/>
        <w:kinsoku/>
        <w:wordWrap/>
        <w:overflowPunct/>
        <w:topLinePunct w:val="0"/>
        <w:autoSpaceDE/>
        <w:autoSpaceDN/>
        <w:bidi w:val="0"/>
        <w:adjustRightInd w:val="0"/>
        <w:snapToGrid w:val="0"/>
        <w:spacing w:before="0" w:line="440" w:lineRule="exact"/>
        <w:ind w:left="0" w:leftChars="0" w:firstLine="0" w:firstLineChars="0"/>
        <w:jc w:val="both"/>
        <w:textAlignment w:val="auto"/>
        <w:rPr>
          <w:rFonts w:hint="default"/>
          <w:highlight w:val="none"/>
        </w:rPr>
      </w:pPr>
      <w:r>
        <w:rPr>
          <w:rFonts w:hint="eastAsia" w:ascii="宋体" w:hAnsi="宋体" w:eastAsia="宋体" w:cs="宋体"/>
          <w:b/>
          <w:bCs/>
          <w:color w:val="auto"/>
          <w:kern w:val="2"/>
          <w:sz w:val="28"/>
          <w:szCs w:val="28"/>
          <w:highlight w:val="none"/>
          <w:lang w:val="en-US" w:eastAsia="zh-CN" w:bidi="ar-SA"/>
        </w:rPr>
        <w:t>十、特别提示</w:t>
      </w:r>
      <w:bookmarkEnd w:id="142"/>
      <w:bookmarkEnd w:id="143"/>
      <w:bookmarkEnd w:id="144"/>
      <w:bookmarkEnd w:id="145"/>
      <w:bookmarkEnd w:id="146"/>
      <w:bookmarkEnd w:id="147"/>
      <w:bookmarkEnd w:id="148"/>
      <w:bookmarkEnd w:id="149"/>
      <w:bookmarkEnd w:id="150"/>
    </w:p>
    <w:p w14:paraId="495F7E97">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w:t>
      </w:r>
      <w:r>
        <w:rPr>
          <w:rFonts w:hint="eastAsia" w:ascii="宋体" w:hAnsi="宋体" w:eastAsia="宋体" w:cs="宋体"/>
          <w:color w:val="auto"/>
          <w:sz w:val="28"/>
          <w:szCs w:val="28"/>
          <w:highlight w:val="none"/>
        </w:rPr>
        <w:t>、投标人应认真研读招标文件，充分考虑招标文件中的</w:t>
      </w:r>
      <w:r>
        <w:rPr>
          <w:rFonts w:hint="eastAsia" w:ascii="宋体" w:hAnsi="宋体" w:eastAsia="宋体" w:cs="宋体"/>
          <w:color w:val="auto"/>
          <w:sz w:val="28"/>
          <w:szCs w:val="28"/>
          <w:highlight w:val="none"/>
          <w:lang w:val="en-US" w:eastAsia="zh-CN"/>
        </w:rPr>
        <w:t>采购需求</w:t>
      </w:r>
      <w:r>
        <w:rPr>
          <w:rFonts w:hint="eastAsia" w:ascii="宋体" w:hAnsi="宋体" w:eastAsia="宋体" w:cs="宋体"/>
          <w:color w:val="auto"/>
          <w:sz w:val="28"/>
          <w:szCs w:val="28"/>
          <w:highlight w:val="none"/>
        </w:rPr>
        <w:t>和合同条款后编制投标文件。</w:t>
      </w:r>
    </w:p>
    <w:p w14:paraId="7DD71C8B">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37</w:t>
      </w:r>
      <w:r>
        <w:rPr>
          <w:rFonts w:hint="eastAsia" w:ascii="宋体" w:hAnsi="宋体" w:eastAsia="宋体" w:cs="宋体"/>
          <w:color w:val="auto"/>
          <w:sz w:val="28"/>
          <w:szCs w:val="28"/>
          <w:highlight w:val="none"/>
        </w:rPr>
        <w:t>、如招标文件中未提供的各类表格样式，投标人可另行设计表格样式，但力求内容完整，表达清晰、准确。</w:t>
      </w:r>
    </w:p>
    <w:p w14:paraId="1F35B1FD">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38</w:t>
      </w:r>
      <w:r>
        <w:rPr>
          <w:rFonts w:hint="eastAsia" w:ascii="宋体" w:hAnsi="宋体" w:eastAsia="宋体" w:cs="宋体"/>
          <w:color w:val="auto"/>
          <w:sz w:val="28"/>
          <w:szCs w:val="28"/>
          <w:highlight w:val="none"/>
        </w:rPr>
        <w:t xml:space="preserve">、本项目实行网上投标，采用电子投标文件。若供应商参与投标，自行承担投标一切费用。 </w:t>
      </w:r>
    </w:p>
    <w:p w14:paraId="77DE141E">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39</w:t>
      </w:r>
      <w:r>
        <w:rPr>
          <w:rFonts w:hint="eastAsia" w:ascii="宋体" w:hAnsi="宋体" w:eastAsia="宋体" w:cs="宋体"/>
          <w:b/>
          <w:bCs/>
          <w:color w:val="auto"/>
          <w:sz w:val="28"/>
          <w:szCs w:val="28"/>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418B7754">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40</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249914AA">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lang w:val="en-US" w:eastAsia="zh-CN"/>
        </w:rPr>
        <w:t>41</w:t>
      </w:r>
      <w:r>
        <w:rPr>
          <w:rFonts w:hint="eastAsia" w:ascii="宋体" w:hAnsi="宋体" w:eastAsia="宋体" w:cs="宋体"/>
          <w:b/>
          <w:bCs/>
          <w:color w:val="auto"/>
          <w:sz w:val="28"/>
          <w:szCs w:val="28"/>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D9FFEF3">
      <w:pPr>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42</w:t>
      </w:r>
      <w:r>
        <w:rPr>
          <w:rFonts w:hint="eastAsia" w:ascii="宋体" w:hAnsi="宋体" w:eastAsia="宋体" w:cs="宋体"/>
          <w:color w:val="auto"/>
          <w:sz w:val="28"/>
          <w:szCs w:val="28"/>
          <w:highlight w:val="none"/>
        </w:rPr>
        <w:t>、本招标文件是根据《中华人民共和国招标投标法》</w:t>
      </w:r>
      <w:r>
        <w:rPr>
          <w:rFonts w:hint="eastAsia" w:ascii="宋体" w:hAnsi="宋体" w:eastAsia="宋体" w:cs="宋体"/>
          <w:color w:val="auto"/>
          <w:sz w:val="28"/>
          <w:szCs w:val="28"/>
          <w:highlight w:val="none"/>
          <w:lang w:eastAsia="zh-CN"/>
        </w:rPr>
        <w:t>、《中华人民共和国采购法》</w:t>
      </w:r>
      <w:r>
        <w:rPr>
          <w:rFonts w:hint="eastAsia" w:ascii="宋体" w:hAnsi="宋体" w:eastAsia="宋体" w:cs="宋体"/>
          <w:color w:val="auto"/>
          <w:sz w:val="28"/>
          <w:szCs w:val="28"/>
          <w:highlight w:val="none"/>
        </w:rPr>
        <w:t>规定编制的，解释权属</w:t>
      </w:r>
      <w:r>
        <w:rPr>
          <w:rFonts w:hint="eastAsia" w:ascii="宋体" w:hAnsi="宋体" w:cs="宋体"/>
          <w:color w:val="auto"/>
          <w:sz w:val="28"/>
          <w:szCs w:val="28"/>
          <w:highlight w:val="none"/>
          <w:lang w:eastAsia="zh-CN"/>
        </w:rPr>
        <w:t>新疆新建联项目管理咨询有限公司</w:t>
      </w:r>
      <w:r>
        <w:rPr>
          <w:rFonts w:hint="eastAsia" w:ascii="宋体" w:hAnsi="宋体" w:eastAsia="宋体" w:cs="宋体"/>
          <w:color w:val="auto"/>
          <w:sz w:val="28"/>
          <w:szCs w:val="28"/>
          <w:highlight w:val="none"/>
        </w:rPr>
        <w:t>。</w:t>
      </w:r>
    </w:p>
    <w:p w14:paraId="46E0C28D">
      <w:pPr>
        <w:pStyle w:val="3"/>
        <w:pageBreakBefore w:val="0"/>
        <w:widowControl w:val="0"/>
        <w:kinsoku/>
        <w:wordWrap/>
        <w:overflowPunct/>
        <w:topLinePunct w:val="0"/>
        <w:autoSpaceDE/>
        <w:autoSpaceDN/>
        <w:bidi w:val="0"/>
        <w:adjustRightInd w:val="0"/>
        <w:snapToGrid w:val="0"/>
        <w:spacing w:line="440" w:lineRule="exact"/>
        <w:ind w:left="0" w:leftChars="0" w:firstLine="0" w:firstLineChars="0"/>
        <w:jc w:val="both"/>
        <w:textAlignment w:val="auto"/>
        <w:rPr>
          <w:rFonts w:hint="eastAsia" w:ascii="宋体" w:hAnsi="宋体" w:eastAsia="宋体" w:cs="宋体"/>
          <w:b/>
          <w:bCs/>
          <w:color w:val="auto"/>
          <w:kern w:val="2"/>
          <w:sz w:val="28"/>
          <w:szCs w:val="28"/>
          <w:highlight w:val="none"/>
          <w:lang w:val="en-US" w:eastAsia="zh-CN" w:bidi="ar-SA"/>
        </w:rPr>
      </w:pPr>
      <w:bookmarkStart w:id="151" w:name="_Toc31921"/>
      <w:bookmarkStart w:id="152" w:name="_Toc22024"/>
      <w:bookmarkStart w:id="153" w:name="_Toc12812"/>
      <w:r>
        <w:rPr>
          <w:rFonts w:hint="eastAsia" w:ascii="宋体" w:hAnsi="宋体" w:eastAsia="宋体" w:cs="宋体"/>
          <w:b/>
          <w:bCs/>
          <w:color w:val="auto"/>
          <w:kern w:val="2"/>
          <w:sz w:val="28"/>
          <w:szCs w:val="28"/>
          <w:highlight w:val="none"/>
          <w:lang w:val="en-US" w:eastAsia="zh-CN" w:bidi="ar-SA"/>
        </w:rPr>
        <w:t>十一、招标失败条件</w:t>
      </w:r>
    </w:p>
    <w:p w14:paraId="1B0FAEC4">
      <w:pPr>
        <w:pStyle w:val="3"/>
        <w:keepNext/>
        <w:keepLines/>
        <w:pageBreakBefore w:val="0"/>
        <w:widowControl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43.出现影响采购公正的违法、违规行为的；</w:t>
      </w:r>
    </w:p>
    <w:p w14:paraId="7704423B">
      <w:pPr>
        <w:pStyle w:val="3"/>
        <w:keepNext/>
        <w:keepLines/>
        <w:pageBreakBefore w:val="0"/>
        <w:widowControl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44.因重大变故，采购任务取消的；</w:t>
      </w:r>
    </w:p>
    <w:p w14:paraId="3E55D8D2">
      <w:pPr>
        <w:pStyle w:val="3"/>
        <w:keepNext/>
        <w:keepLines/>
        <w:pageBreakBefore w:val="0"/>
        <w:widowControl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45.响应文件截止时间后，实际参与的供应商不足法定家数的；</w:t>
      </w:r>
    </w:p>
    <w:p w14:paraId="4E47BA00">
      <w:pPr>
        <w:pStyle w:val="3"/>
        <w:keepNext/>
        <w:keepLines/>
        <w:pageBreakBefore w:val="0"/>
        <w:widowControl w:val="0"/>
        <w:kinsoku/>
        <w:wordWrap/>
        <w:overflowPunct/>
        <w:topLinePunct w:val="0"/>
        <w:autoSpaceDE/>
        <w:autoSpaceDN/>
        <w:bidi w:val="0"/>
        <w:adjustRightInd w:val="0"/>
        <w:snapToGrid w:val="0"/>
        <w:spacing w:line="440" w:lineRule="exact"/>
        <w:ind w:left="0" w:leftChars="0" w:firstLine="0" w:firstLineChars="0"/>
        <w:jc w:val="left"/>
        <w:textAlignment w:val="auto"/>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46.最终报价均超过采购预算的；</w:t>
      </w:r>
    </w:p>
    <w:p w14:paraId="457AFD30">
      <w:pPr>
        <w:pStyle w:val="3"/>
        <w:keepNext/>
        <w:keepLines/>
        <w:pageBreakBefore w:val="0"/>
        <w:widowControl w:val="0"/>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宋体" w:hAnsi="宋体" w:eastAsia="宋体" w:cs="宋体"/>
          <w:b/>
          <w:color w:val="auto"/>
          <w:sz w:val="32"/>
          <w:szCs w:val="32"/>
          <w:highlight w:val="none"/>
          <w:lang w:val="en-US" w:eastAsia="zh-CN"/>
        </w:rPr>
      </w:pPr>
      <w:r>
        <w:rPr>
          <w:rFonts w:hint="eastAsia" w:ascii="宋体" w:hAnsi="宋体" w:eastAsia="宋体" w:cs="宋体"/>
          <w:b/>
          <w:bCs/>
          <w:color w:val="auto"/>
          <w:kern w:val="2"/>
          <w:sz w:val="28"/>
          <w:szCs w:val="28"/>
          <w:highlight w:val="none"/>
          <w:lang w:val="en-US" w:eastAsia="zh-CN" w:bidi="ar-SA"/>
        </w:rPr>
        <w:t>47.对招标文件作出实质性响应的供应商不足法定家数的；</w:t>
      </w:r>
      <w:bookmarkEnd w:id="151"/>
      <w:bookmarkEnd w:id="152"/>
      <w:bookmarkEnd w:id="153"/>
      <w:r>
        <w:rPr>
          <w:rFonts w:hint="eastAsia" w:ascii="宋体" w:hAnsi="宋体" w:eastAsia="宋体" w:cs="宋体"/>
          <w:b/>
          <w:color w:val="auto"/>
          <w:sz w:val="30"/>
          <w:szCs w:val="30"/>
          <w:highlight w:val="none"/>
        </w:rPr>
        <w:br w:type="page"/>
      </w:r>
      <w:bookmarkStart w:id="154" w:name="_Toc26588"/>
      <w:bookmarkStart w:id="155" w:name="_Toc2989"/>
      <w:bookmarkStart w:id="156" w:name="_Toc13558"/>
      <w:r>
        <w:rPr>
          <w:rFonts w:hint="eastAsia" w:ascii="宋体" w:hAnsi="宋体" w:eastAsia="宋体" w:cs="宋体"/>
          <w:b/>
          <w:color w:val="auto"/>
          <w:sz w:val="30"/>
          <w:szCs w:val="30"/>
          <w:highlight w:val="none"/>
          <w:lang w:val="en-US" w:eastAsia="zh-CN"/>
        </w:rPr>
        <w:t>第三章</w:t>
      </w:r>
      <w:r>
        <w:rPr>
          <w:rFonts w:hint="eastAsia" w:ascii="宋体" w:hAnsi="宋体" w:eastAsia="宋体" w:cs="宋体"/>
          <w:b/>
          <w:color w:val="auto"/>
          <w:sz w:val="32"/>
          <w:szCs w:val="32"/>
          <w:highlight w:val="none"/>
          <w:lang w:val="en-US" w:eastAsia="zh-CN"/>
        </w:rPr>
        <w:t xml:space="preserve">   </w:t>
      </w:r>
      <w:bookmarkEnd w:id="154"/>
      <w:bookmarkEnd w:id="155"/>
      <w:bookmarkEnd w:id="156"/>
      <w:bookmarkStart w:id="157" w:name="_Toc21746"/>
      <w:bookmarkStart w:id="158" w:name="_Toc16855"/>
      <w:r>
        <w:rPr>
          <w:rFonts w:hint="eastAsia" w:ascii="宋体" w:hAnsi="宋体" w:eastAsia="宋体" w:cs="宋体"/>
          <w:b/>
          <w:color w:val="auto"/>
          <w:sz w:val="32"/>
          <w:szCs w:val="32"/>
          <w:highlight w:val="none"/>
          <w:lang w:val="en-US" w:eastAsia="zh-CN"/>
        </w:rPr>
        <w:t>采购需求</w:t>
      </w:r>
      <w:bookmarkEnd w:id="157"/>
      <w:bookmarkEnd w:id="158"/>
    </w:p>
    <w:p w14:paraId="78917D93">
      <w:pPr>
        <w:pageBreakBefore w:val="0"/>
        <w:kinsoku/>
        <w:wordWrap/>
        <w:overflowPunct/>
        <w:topLinePunct w:val="0"/>
        <w:autoSpaceDE/>
        <w:autoSpaceDN/>
        <w:bidi w:val="0"/>
        <w:adjustRightInd w:val="0"/>
        <w:snapToGrid w:val="0"/>
        <w:spacing w:line="240" w:lineRule="auto"/>
        <w:rPr>
          <w:rFonts w:hint="eastAsia" w:ascii="宋体" w:hAnsi="宋体" w:cs="宋体"/>
          <w:b/>
          <w:color w:val="auto"/>
          <w:sz w:val="24"/>
          <w:szCs w:val="24"/>
          <w:highlight w:val="none"/>
        </w:rPr>
      </w:pPr>
      <w:r>
        <w:rPr>
          <w:rFonts w:hint="eastAsia" w:ascii="宋体" w:hAnsi="宋体" w:cs="宋体"/>
          <w:b/>
          <w:color w:val="auto"/>
          <w:sz w:val="24"/>
          <w:szCs w:val="24"/>
          <w:highlight w:val="none"/>
        </w:rPr>
        <w:t>一、有关说明</w:t>
      </w:r>
    </w:p>
    <w:p w14:paraId="14353950">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、设备商向设备购买方免费提供设备信息与</w:t>
      </w:r>
      <w:r>
        <w:rPr>
          <w:rFonts w:hint="eastAsia" w:ascii="宋体" w:hAnsi="宋体" w:eastAsia="宋体" w:cs="宋体"/>
          <w:sz w:val="24"/>
          <w:szCs w:val="24"/>
          <w:highlight w:val="none"/>
          <w:lang w:val="en-US" w:eastAsia="zh-CN"/>
        </w:rPr>
        <w:t>其他</w:t>
      </w:r>
      <w:r>
        <w:rPr>
          <w:rFonts w:hint="eastAsia" w:ascii="宋体" w:hAnsi="宋体" w:eastAsia="宋体" w:cs="宋体"/>
          <w:sz w:val="24"/>
          <w:szCs w:val="24"/>
          <w:highlight w:val="none"/>
        </w:rPr>
        <w:t>系统的接口方案，以保证该设备与以上使用系统的连接使用。</w:t>
      </w:r>
    </w:p>
    <w:p w14:paraId="3439B38F">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2、设备原代码及维修密码无条件开放。</w:t>
      </w:r>
    </w:p>
    <w:p w14:paraId="6DD2D40C">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3、提供设备零配件报价表。</w:t>
      </w:r>
    </w:p>
    <w:p w14:paraId="4416326C">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4、提供质保期结束后设备年维保费用报价表。</w:t>
      </w:r>
    </w:p>
    <w:p w14:paraId="2E1C0169">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5、提供易损件价格报价表。</w:t>
      </w:r>
    </w:p>
    <w:p w14:paraId="38B0C8F0">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6、提供一次性耗材价格报价表。</w:t>
      </w:r>
    </w:p>
    <w:p w14:paraId="26A97DDE">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7、所有供应商必须提交《医疗器械注册证》（或备案证明）（含附页、附表），产品检测报告，彩图。</w:t>
      </w:r>
    </w:p>
    <w:p w14:paraId="3BCE6A7C">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8、所投产品属于消毒产品的，须提供生产厂家消毒产品生产许可证、产品卫生安全评价报告或者新消毒产品卫生许可批件复印件。</w:t>
      </w:r>
    </w:p>
    <w:p w14:paraId="201BD0AA">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9、投标人应保证提供设备为全新的、先进的、成熟的、完整的和安全可靠的，且设备的技术经济性能符合本招标文件技术部分的要求。</w:t>
      </w:r>
    </w:p>
    <w:p w14:paraId="126AD106">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、本项目为交钥匙工程。</w:t>
      </w:r>
    </w:p>
    <w:p w14:paraId="47DF4CB7">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、带“*”</w:t>
      </w:r>
      <w:r>
        <w:rPr>
          <w:rFonts w:hint="eastAsia" w:ascii="宋体" w:hAnsi="宋体" w:eastAsia="宋体" w:cs="宋体"/>
          <w:sz w:val="24"/>
          <w:szCs w:val="24"/>
          <w:highlight w:val="none"/>
          <w:lang w:val="en-US" w:eastAsia="zh-CN"/>
        </w:rPr>
        <w:t>或“</w:t>
      </w:r>
      <w:r>
        <w:rPr>
          <w:rFonts w:hint="eastAsia" w:ascii="宋体" w:hAnsi="宋体"/>
          <w:sz w:val="24"/>
          <w:szCs w:val="24"/>
        </w:rPr>
        <w:t>★</w:t>
      </w:r>
      <w:r>
        <w:rPr>
          <w:rFonts w:hint="eastAsia" w:ascii="宋体" w:hAnsi="宋体"/>
          <w:sz w:val="24"/>
          <w:szCs w:val="24"/>
          <w:lang w:eastAsia="zh-CN"/>
        </w:rPr>
        <w:t>”</w:t>
      </w:r>
      <w:r>
        <w:rPr>
          <w:rFonts w:hint="eastAsia" w:ascii="宋体" w:hAnsi="宋体" w:eastAsia="宋体" w:cs="宋体"/>
          <w:sz w:val="24"/>
          <w:szCs w:val="24"/>
          <w:highlight w:val="none"/>
        </w:rPr>
        <w:t>号条款参数均为重要参数，如不满足将视为对招标文件的不响应，投标将被拒绝。</w:t>
      </w:r>
    </w:p>
    <w:p w14:paraId="4DF656CE">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、技术参数要求中如存在参数为某品牌所特有的，投标人可选择达到使用功能或优于其技术参数的产品均可。</w:t>
      </w:r>
    </w:p>
    <w:p w14:paraId="5AE79D65">
      <w:pPr>
        <w:pStyle w:val="5"/>
        <w:pageBreakBefore w:val="0"/>
        <w:widowControl w:val="0"/>
        <w:kinsoku/>
        <w:wordWrap/>
        <w:overflowPunct/>
        <w:topLinePunct w:val="0"/>
        <w:autoSpaceDE/>
        <w:autoSpaceDN/>
        <w:bidi w:val="0"/>
        <w:adjustRightInd w:val="0"/>
        <w:snapToGrid w:val="0"/>
        <w:spacing w:before="0" w:after="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投标人的投标报价不得超过最高限价；</w:t>
      </w:r>
    </w:p>
    <w:p w14:paraId="2502F315">
      <w:pPr>
        <w:pStyle w:val="6"/>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ascii="宋体" w:hAnsi="宋体" w:eastAsia="宋体" w:cs="宋体"/>
          <w:b/>
          <w:bCs w:val="0"/>
          <w:color w:val="000000"/>
          <w:sz w:val="24"/>
          <w:szCs w:val="24"/>
          <w:highlight w:val="none"/>
          <w:lang w:eastAsia="zh-CN"/>
        </w:rPr>
      </w:pPr>
      <w:r>
        <w:rPr>
          <w:rFonts w:hint="eastAsia" w:ascii="宋体" w:hAnsi="宋体" w:eastAsia="宋体" w:cs="宋体"/>
          <w:b/>
          <w:bCs w:val="0"/>
          <w:color w:val="000000"/>
          <w:sz w:val="24"/>
          <w:szCs w:val="24"/>
          <w:highlight w:val="none"/>
          <w:lang w:val="en-US" w:eastAsia="zh-CN"/>
        </w:rPr>
        <w:t>14、</w:t>
      </w:r>
      <w:r>
        <w:rPr>
          <w:rFonts w:hint="eastAsia" w:ascii="宋体" w:hAnsi="宋体" w:eastAsia="宋体" w:cs="宋体"/>
          <w:b/>
          <w:bCs w:val="0"/>
          <w:color w:val="000000"/>
          <w:sz w:val="24"/>
          <w:szCs w:val="24"/>
          <w:highlight w:val="none"/>
        </w:rPr>
        <w:t>招标文件未尽事宜，由采购人与中标供应商签订合同补充并执行</w:t>
      </w:r>
      <w:r>
        <w:rPr>
          <w:rFonts w:hint="eastAsia" w:ascii="宋体" w:hAnsi="宋体" w:eastAsia="宋体" w:cs="宋体"/>
          <w:b/>
          <w:bCs w:val="0"/>
          <w:color w:val="000000"/>
          <w:sz w:val="24"/>
          <w:szCs w:val="24"/>
          <w:highlight w:val="none"/>
          <w:lang w:eastAsia="zh-CN"/>
        </w:rPr>
        <w:t>。</w:t>
      </w:r>
    </w:p>
    <w:p w14:paraId="616A4E4E">
      <w:pPr>
        <w:pageBreakBefore w:val="0"/>
        <w:kinsoku/>
        <w:wordWrap/>
        <w:overflowPunct/>
        <w:topLinePunct w:val="0"/>
        <w:autoSpaceDE/>
        <w:autoSpaceDN/>
        <w:bidi w:val="0"/>
        <w:adjustRightInd w:val="0"/>
        <w:snapToGrid w:val="0"/>
        <w:spacing w:line="240" w:lineRule="auto"/>
        <w:rPr>
          <w:rFonts w:hint="default" w:eastAsia="宋体"/>
          <w:sz w:val="24"/>
          <w:szCs w:val="24"/>
          <w:lang w:val="en-US" w:eastAsia="zh-CN"/>
        </w:rPr>
      </w:pPr>
      <w:r>
        <w:rPr>
          <w:rFonts w:hint="eastAsia" w:ascii="宋体" w:hAnsi="宋体" w:cs="宋体"/>
          <w:b/>
          <w:color w:val="auto"/>
          <w:sz w:val="24"/>
          <w:szCs w:val="24"/>
          <w:highlight w:val="none"/>
          <w:lang w:val="en-US" w:eastAsia="zh-CN"/>
        </w:rPr>
        <w:t>二</w:t>
      </w:r>
      <w:r>
        <w:rPr>
          <w:rFonts w:hint="eastAsia" w:ascii="宋体" w:hAnsi="宋体" w:cs="宋体"/>
          <w:b/>
          <w:color w:val="auto"/>
          <w:sz w:val="24"/>
          <w:szCs w:val="24"/>
          <w:highlight w:val="none"/>
        </w:rPr>
        <w:t>、本项目采购</w:t>
      </w:r>
      <w:r>
        <w:rPr>
          <w:rFonts w:hint="eastAsia" w:ascii="宋体" w:hAnsi="宋体" w:cs="宋体"/>
          <w:b/>
          <w:color w:val="auto"/>
          <w:sz w:val="24"/>
          <w:szCs w:val="24"/>
          <w:highlight w:val="none"/>
          <w:lang w:val="en-US" w:eastAsia="zh-CN"/>
        </w:rPr>
        <w:t>需求清单</w:t>
      </w:r>
    </w:p>
    <w:p w14:paraId="684D503B">
      <w:pPr>
        <w:pageBreakBefore w:val="0"/>
        <w:tabs>
          <w:tab w:val="left" w:pos="900"/>
        </w:tabs>
        <w:kinsoku/>
        <w:wordWrap/>
        <w:overflowPunct/>
        <w:topLinePunct w:val="0"/>
        <w:autoSpaceDE/>
        <w:autoSpaceDN/>
        <w:bidi w:val="0"/>
        <w:adjustRightInd w:val="0"/>
        <w:snapToGrid w:val="0"/>
        <w:spacing w:line="240" w:lineRule="auto"/>
        <w:jc w:val="center"/>
        <w:rPr>
          <w:rFonts w:hint="eastAsia" w:ascii="宋体" w:hAnsi="宋体" w:eastAsia="宋体" w:cs="宋体"/>
          <w:b/>
          <w:bCs/>
          <w:sz w:val="24"/>
          <w:szCs w:val="24"/>
        </w:rPr>
      </w:pPr>
      <w:r>
        <w:rPr>
          <w:rFonts w:hint="eastAsia" w:ascii="宋体" w:hAnsi="宋体" w:eastAsia="宋体" w:cs="宋体"/>
          <w:b/>
          <w:sz w:val="24"/>
          <w:szCs w:val="24"/>
        </w:rPr>
        <w:t>采购</w:t>
      </w:r>
      <w:r>
        <w:rPr>
          <w:rFonts w:hint="eastAsia" w:ascii="宋体" w:hAnsi="宋体" w:eastAsia="宋体" w:cs="宋体"/>
          <w:b/>
          <w:bCs/>
          <w:sz w:val="24"/>
          <w:szCs w:val="24"/>
        </w:rPr>
        <w:t>需求一览表</w:t>
      </w:r>
    </w:p>
    <w:tbl>
      <w:tblPr>
        <w:tblStyle w:val="22"/>
        <w:tblW w:w="94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227"/>
        <w:gridCol w:w="4384"/>
        <w:gridCol w:w="1151"/>
        <w:gridCol w:w="1498"/>
        <w:gridCol w:w="1158"/>
      </w:tblGrid>
      <w:tr w14:paraId="747D2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25" w:hRule="atLeast"/>
          <w:jc w:val="center"/>
        </w:trPr>
        <w:tc>
          <w:tcPr>
            <w:tcW w:w="1227" w:type="dxa"/>
            <w:noWrap w:val="0"/>
            <w:vAlign w:val="center"/>
          </w:tcPr>
          <w:p w14:paraId="5B4B6358">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b/>
                <w:bCs/>
                <w:i w:val="0"/>
                <w:color w:val="auto"/>
                <w:sz w:val="24"/>
                <w:szCs w:val="24"/>
                <w:u w:val="none"/>
              </w:rPr>
            </w:pPr>
            <w:r>
              <w:rPr>
                <w:rFonts w:hint="eastAsia" w:ascii="宋体" w:hAnsi="宋体" w:eastAsia="宋体" w:cs="宋体"/>
                <w:b/>
                <w:bCs/>
                <w:i w:val="0"/>
                <w:color w:val="auto"/>
                <w:kern w:val="0"/>
                <w:sz w:val="24"/>
                <w:szCs w:val="24"/>
                <w:u w:val="none"/>
                <w:lang w:val="en-US" w:eastAsia="zh-CN" w:bidi="ar"/>
              </w:rPr>
              <w:t>序号</w:t>
            </w:r>
          </w:p>
        </w:tc>
        <w:tc>
          <w:tcPr>
            <w:tcW w:w="4384" w:type="dxa"/>
            <w:noWrap w:val="0"/>
            <w:vAlign w:val="center"/>
          </w:tcPr>
          <w:p w14:paraId="712D292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b/>
                <w:bCs/>
                <w:i w:val="0"/>
                <w:color w:val="auto"/>
                <w:sz w:val="24"/>
                <w:szCs w:val="24"/>
                <w:u w:val="none"/>
              </w:rPr>
            </w:pPr>
            <w:r>
              <w:rPr>
                <w:rFonts w:hint="eastAsia" w:ascii="宋体" w:hAnsi="宋体" w:eastAsia="宋体" w:cs="宋体"/>
                <w:b/>
                <w:bCs/>
                <w:i w:val="0"/>
                <w:color w:val="auto"/>
                <w:kern w:val="0"/>
                <w:sz w:val="24"/>
                <w:szCs w:val="24"/>
                <w:u w:val="none"/>
                <w:lang w:val="en-US" w:eastAsia="zh-CN" w:bidi="ar"/>
              </w:rPr>
              <w:t>产品名称</w:t>
            </w:r>
          </w:p>
        </w:tc>
        <w:tc>
          <w:tcPr>
            <w:tcW w:w="1151" w:type="dxa"/>
            <w:noWrap w:val="0"/>
            <w:vAlign w:val="center"/>
          </w:tcPr>
          <w:p w14:paraId="692F53B7">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b/>
                <w:bCs/>
                <w:i w:val="0"/>
                <w:color w:val="auto"/>
                <w:sz w:val="24"/>
                <w:szCs w:val="24"/>
                <w:u w:val="none"/>
              </w:rPr>
            </w:pPr>
            <w:r>
              <w:rPr>
                <w:rFonts w:hint="eastAsia" w:ascii="宋体" w:hAnsi="宋体" w:eastAsia="宋体" w:cs="宋体"/>
                <w:b/>
                <w:bCs/>
                <w:i w:val="0"/>
                <w:color w:val="auto"/>
                <w:kern w:val="0"/>
                <w:sz w:val="24"/>
                <w:szCs w:val="24"/>
                <w:u w:val="none"/>
                <w:lang w:val="en-US" w:eastAsia="zh-CN" w:bidi="ar"/>
              </w:rPr>
              <w:t>数量</w:t>
            </w:r>
          </w:p>
        </w:tc>
        <w:tc>
          <w:tcPr>
            <w:tcW w:w="1498" w:type="dxa"/>
            <w:noWrap w:val="0"/>
            <w:vAlign w:val="center"/>
          </w:tcPr>
          <w:p w14:paraId="5EDE9DF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b/>
                <w:bCs/>
                <w:i w:val="0"/>
                <w:color w:val="auto"/>
                <w:sz w:val="24"/>
                <w:szCs w:val="24"/>
                <w:u w:val="none"/>
              </w:rPr>
            </w:pPr>
            <w:r>
              <w:rPr>
                <w:rFonts w:hint="eastAsia" w:ascii="宋体" w:hAnsi="宋体" w:eastAsia="宋体" w:cs="宋体"/>
                <w:b/>
                <w:bCs/>
                <w:i w:val="0"/>
                <w:color w:val="auto"/>
                <w:kern w:val="0"/>
                <w:sz w:val="24"/>
                <w:szCs w:val="24"/>
                <w:u w:val="none"/>
                <w:lang w:val="en-US" w:eastAsia="zh-CN" w:bidi="ar"/>
              </w:rPr>
              <w:t>单位</w:t>
            </w:r>
          </w:p>
        </w:tc>
        <w:tc>
          <w:tcPr>
            <w:tcW w:w="1158" w:type="dxa"/>
            <w:noWrap w:val="0"/>
            <w:vAlign w:val="center"/>
          </w:tcPr>
          <w:p w14:paraId="7F54FB9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b/>
                <w:bCs/>
                <w:i w:val="0"/>
                <w:color w:val="auto"/>
                <w:kern w:val="0"/>
                <w:sz w:val="24"/>
                <w:szCs w:val="24"/>
                <w:u w:val="none"/>
                <w:lang w:val="en-US" w:eastAsia="zh-CN" w:bidi="ar"/>
              </w:rPr>
            </w:pPr>
            <w:r>
              <w:rPr>
                <w:rFonts w:hint="eastAsia" w:ascii="宋体" w:hAnsi="宋体" w:eastAsia="宋体" w:cs="宋体"/>
                <w:b/>
                <w:bCs/>
                <w:i w:val="0"/>
                <w:color w:val="auto"/>
                <w:kern w:val="0"/>
                <w:sz w:val="24"/>
                <w:szCs w:val="24"/>
                <w:u w:val="none"/>
                <w:lang w:val="en-US" w:eastAsia="zh-CN" w:bidi="ar"/>
              </w:rPr>
              <w:t>备注</w:t>
            </w:r>
          </w:p>
        </w:tc>
      </w:tr>
      <w:tr w14:paraId="2E15A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0" w:hRule="atLeast"/>
          <w:jc w:val="center"/>
        </w:trPr>
        <w:tc>
          <w:tcPr>
            <w:tcW w:w="1227" w:type="dxa"/>
            <w:noWrap w:val="0"/>
            <w:vAlign w:val="center"/>
          </w:tcPr>
          <w:p w14:paraId="726C3A9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1</w:t>
            </w:r>
          </w:p>
        </w:tc>
        <w:tc>
          <w:tcPr>
            <w:tcW w:w="4384" w:type="dxa"/>
            <w:noWrap w:val="0"/>
            <w:vAlign w:val="center"/>
          </w:tcPr>
          <w:p w14:paraId="3740AC29">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中心监护系统（一拖四）</w:t>
            </w:r>
          </w:p>
        </w:tc>
        <w:tc>
          <w:tcPr>
            <w:tcW w:w="1151" w:type="dxa"/>
            <w:noWrap w:val="0"/>
            <w:vAlign w:val="center"/>
          </w:tcPr>
          <w:p w14:paraId="1C2AB551">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1.00 </w:t>
            </w:r>
          </w:p>
        </w:tc>
        <w:tc>
          <w:tcPr>
            <w:tcW w:w="1498" w:type="dxa"/>
            <w:noWrap w:val="0"/>
            <w:vAlign w:val="center"/>
          </w:tcPr>
          <w:p w14:paraId="6755FE27">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套</w:t>
            </w:r>
          </w:p>
        </w:tc>
        <w:tc>
          <w:tcPr>
            <w:tcW w:w="1158" w:type="dxa"/>
            <w:noWrap w:val="0"/>
            <w:vAlign w:val="center"/>
          </w:tcPr>
          <w:p w14:paraId="5220594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p>
        </w:tc>
      </w:tr>
      <w:tr w14:paraId="1F3EF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0" w:hRule="atLeast"/>
          <w:jc w:val="center"/>
        </w:trPr>
        <w:tc>
          <w:tcPr>
            <w:tcW w:w="1227" w:type="dxa"/>
            <w:noWrap w:val="0"/>
            <w:vAlign w:val="center"/>
          </w:tcPr>
          <w:p w14:paraId="2BD7913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2</w:t>
            </w:r>
          </w:p>
        </w:tc>
        <w:tc>
          <w:tcPr>
            <w:tcW w:w="4384" w:type="dxa"/>
            <w:noWrap w:val="0"/>
            <w:vAlign w:val="center"/>
          </w:tcPr>
          <w:p w14:paraId="401E8AC9">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输液管理系统</w:t>
            </w:r>
          </w:p>
        </w:tc>
        <w:tc>
          <w:tcPr>
            <w:tcW w:w="1151" w:type="dxa"/>
            <w:noWrap w:val="0"/>
            <w:vAlign w:val="center"/>
          </w:tcPr>
          <w:p w14:paraId="6C67E6B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4.00 </w:t>
            </w:r>
          </w:p>
        </w:tc>
        <w:tc>
          <w:tcPr>
            <w:tcW w:w="1498" w:type="dxa"/>
            <w:noWrap w:val="0"/>
            <w:vAlign w:val="center"/>
          </w:tcPr>
          <w:p w14:paraId="276C5A68">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套</w:t>
            </w:r>
          </w:p>
        </w:tc>
        <w:tc>
          <w:tcPr>
            <w:tcW w:w="1158" w:type="dxa"/>
            <w:noWrap w:val="0"/>
            <w:vAlign w:val="center"/>
          </w:tcPr>
          <w:p w14:paraId="506AC1F8">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color w:val="auto"/>
                <w:sz w:val="24"/>
                <w:szCs w:val="24"/>
                <w:u w:val="none"/>
                <w:lang w:val="en-US" w:eastAsia="zh-CN"/>
              </w:rPr>
            </w:pPr>
          </w:p>
        </w:tc>
      </w:tr>
      <w:tr w14:paraId="500C6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0" w:hRule="atLeast"/>
          <w:jc w:val="center"/>
        </w:trPr>
        <w:tc>
          <w:tcPr>
            <w:tcW w:w="1227" w:type="dxa"/>
            <w:noWrap w:val="0"/>
            <w:vAlign w:val="center"/>
          </w:tcPr>
          <w:p w14:paraId="6B49D7E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3</w:t>
            </w:r>
          </w:p>
        </w:tc>
        <w:tc>
          <w:tcPr>
            <w:tcW w:w="4384" w:type="dxa"/>
            <w:noWrap w:val="0"/>
            <w:vAlign w:val="center"/>
          </w:tcPr>
          <w:p w14:paraId="2616642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心电监护仪</w:t>
            </w:r>
          </w:p>
        </w:tc>
        <w:tc>
          <w:tcPr>
            <w:tcW w:w="1151" w:type="dxa"/>
            <w:noWrap w:val="0"/>
            <w:vAlign w:val="center"/>
          </w:tcPr>
          <w:p w14:paraId="125D0E9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3.00 </w:t>
            </w:r>
          </w:p>
        </w:tc>
        <w:tc>
          <w:tcPr>
            <w:tcW w:w="1498" w:type="dxa"/>
            <w:noWrap w:val="0"/>
            <w:vAlign w:val="center"/>
          </w:tcPr>
          <w:p w14:paraId="2F69423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台</w:t>
            </w:r>
          </w:p>
        </w:tc>
        <w:tc>
          <w:tcPr>
            <w:tcW w:w="1158" w:type="dxa"/>
            <w:noWrap w:val="0"/>
            <w:vAlign w:val="center"/>
          </w:tcPr>
          <w:p w14:paraId="44D6153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p>
        </w:tc>
      </w:tr>
      <w:tr w14:paraId="205FE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7" w:hRule="atLeast"/>
          <w:jc w:val="center"/>
        </w:trPr>
        <w:tc>
          <w:tcPr>
            <w:tcW w:w="1227" w:type="dxa"/>
            <w:noWrap w:val="0"/>
            <w:vAlign w:val="center"/>
          </w:tcPr>
          <w:p w14:paraId="3271C92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4</w:t>
            </w:r>
          </w:p>
        </w:tc>
        <w:tc>
          <w:tcPr>
            <w:tcW w:w="4384" w:type="dxa"/>
            <w:noWrap w:val="0"/>
            <w:vAlign w:val="center"/>
          </w:tcPr>
          <w:p w14:paraId="0130FB6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心肺复苏机</w:t>
            </w:r>
          </w:p>
        </w:tc>
        <w:tc>
          <w:tcPr>
            <w:tcW w:w="1151" w:type="dxa"/>
            <w:noWrap w:val="0"/>
            <w:vAlign w:val="center"/>
          </w:tcPr>
          <w:p w14:paraId="38FE2A8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3.00 </w:t>
            </w:r>
          </w:p>
        </w:tc>
        <w:tc>
          <w:tcPr>
            <w:tcW w:w="1498" w:type="dxa"/>
            <w:noWrap w:val="0"/>
            <w:vAlign w:val="center"/>
          </w:tcPr>
          <w:p w14:paraId="065CC388">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台</w:t>
            </w:r>
          </w:p>
        </w:tc>
        <w:tc>
          <w:tcPr>
            <w:tcW w:w="1158" w:type="dxa"/>
            <w:noWrap w:val="0"/>
            <w:vAlign w:val="center"/>
          </w:tcPr>
          <w:p w14:paraId="2190654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p>
        </w:tc>
      </w:tr>
      <w:tr w14:paraId="6757D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7" w:hRule="atLeast"/>
          <w:jc w:val="center"/>
        </w:trPr>
        <w:tc>
          <w:tcPr>
            <w:tcW w:w="1227" w:type="dxa"/>
            <w:noWrap w:val="0"/>
            <w:vAlign w:val="center"/>
          </w:tcPr>
          <w:p w14:paraId="4E9794C7">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5</w:t>
            </w:r>
          </w:p>
        </w:tc>
        <w:tc>
          <w:tcPr>
            <w:tcW w:w="4384" w:type="dxa"/>
            <w:noWrap w:val="0"/>
            <w:vAlign w:val="center"/>
          </w:tcPr>
          <w:p w14:paraId="2153141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内回路消毒机</w:t>
            </w:r>
          </w:p>
        </w:tc>
        <w:tc>
          <w:tcPr>
            <w:tcW w:w="1151" w:type="dxa"/>
            <w:noWrap w:val="0"/>
            <w:vAlign w:val="center"/>
          </w:tcPr>
          <w:p w14:paraId="30E6D28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1.00 </w:t>
            </w:r>
          </w:p>
        </w:tc>
        <w:tc>
          <w:tcPr>
            <w:tcW w:w="1498" w:type="dxa"/>
            <w:noWrap w:val="0"/>
            <w:vAlign w:val="center"/>
          </w:tcPr>
          <w:p w14:paraId="70287E8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台</w:t>
            </w:r>
          </w:p>
        </w:tc>
        <w:tc>
          <w:tcPr>
            <w:tcW w:w="1158" w:type="dxa"/>
            <w:noWrap w:val="0"/>
            <w:vAlign w:val="center"/>
          </w:tcPr>
          <w:p w14:paraId="48F8815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p>
        </w:tc>
      </w:tr>
      <w:tr w14:paraId="360A2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7" w:hRule="atLeast"/>
          <w:jc w:val="center"/>
        </w:trPr>
        <w:tc>
          <w:tcPr>
            <w:tcW w:w="1227" w:type="dxa"/>
            <w:noWrap w:val="0"/>
            <w:vAlign w:val="center"/>
          </w:tcPr>
          <w:p w14:paraId="788DDFB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6</w:t>
            </w:r>
          </w:p>
        </w:tc>
        <w:tc>
          <w:tcPr>
            <w:tcW w:w="4384" w:type="dxa"/>
            <w:noWrap w:val="0"/>
            <w:vAlign w:val="center"/>
          </w:tcPr>
          <w:p w14:paraId="1C1DF59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麻醉机</w:t>
            </w:r>
          </w:p>
        </w:tc>
        <w:tc>
          <w:tcPr>
            <w:tcW w:w="1151" w:type="dxa"/>
            <w:noWrap w:val="0"/>
            <w:vAlign w:val="center"/>
          </w:tcPr>
          <w:p w14:paraId="4029F99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2.00 </w:t>
            </w:r>
          </w:p>
        </w:tc>
        <w:tc>
          <w:tcPr>
            <w:tcW w:w="1498" w:type="dxa"/>
            <w:noWrap w:val="0"/>
            <w:vAlign w:val="center"/>
          </w:tcPr>
          <w:p w14:paraId="0C7C22E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台</w:t>
            </w:r>
          </w:p>
        </w:tc>
        <w:tc>
          <w:tcPr>
            <w:tcW w:w="1158" w:type="dxa"/>
            <w:noWrap w:val="0"/>
            <w:vAlign w:val="center"/>
          </w:tcPr>
          <w:p w14:paraId="494D7C5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核心产品</w:t>
            </w:r>
          </w:p>
        </w:tc>
      </w:tr>
      <w:tr w14:paraId="2A881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7" w:hRule="atLeast"/>
          <w:jc w:val="center"/>
        </w:trPr>
        <w:tc>
          <w:tcPr>
            <w:tcW w:w="1227" w:type="dxa"/>
            <w:noWrap w:val="0"/>
            <w:vAlign w:val="center"/>
          </w:tcPr>
          <w:p w14:paraId="31C9999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7</w:t>
            </w:r>
          </w:p>
        </w:tc>
        <w:tc>
          <w:tcPr>
            <w:tcW w:w="4384" w:type="dxa"/>
            <w:noWrap w:val="0"/>
            <w:vAlign w:val="center"/>
          </w:tcPr>
          <w:p w14:paraId="3AC3FDC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心电监护仪</w:t>
            </w:r>
          </w:p>
        </w:tc>
        <w:tc>
          <w:tcPr>
            <w:tcW w:w="1151" w:type="dxa"/>
            <w:noWrap w:val="0"/>
            <w:vAlign w:val="center"/>
          </w:tcPr>
          <w:p w14:paraId="0BB88956">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7.00 </w:t>
            </w:r>
          </w:p>
        </w:tc>
        <w:tc>
          <w:tcPr>
            <w:tcW w:w="1498" w:type="dxa"/>
            <w:noWrap w:val="0"/>
            <w:vAlign w:val="center"/>
          </w:tcPr>
          <w:p w14:paraId="1DC294E8">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台</w:t>
            </w:r>
          </w:p>
        </w:tc>
        <w:tc>
          <w:tcPr>
            <w:tcW w:w="1158" w:type="dxa"/>
            <w:noWrap w:val="0"/>
            <w:vAlign w:val="center"/>
          </w:tcPr>
          <w:p w14:paraId="7D92AD57">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p>
        </w:tc>
      </w:tr>
      <w:tr w14:paraId="4A534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7" w:hRule="atLeast"/>
          <w:jc w:val="center"/>
        </w:trPr>
        <w:tc>
          <w:tcPr>
            <w:tcW w:w="1227" w:type="dxa"/>
            <w:noWrap w:val="0"/>
            <w:vAlign w:val="center"/>
          </w:tcPr>
          <w:p w14:paraId="7282481A">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cs="宋体"/>
                <w:i w:val="0"/>
                <w:color w:val="auto"/>
                <w:sz w:val="24"/>
                <w:szCs w:val="24"/>
                <w:u w:val="none"/>
                <w:lang w:val="en-US" w:eastAsia="zh-CN"/>
              </w:rPr>
            </w:pPr>
            <w:r>
              <w:rPr>
                <w:rFonts w:hint="eastAsia" w:ascii="宋体" w:hAnsi="宋体" w:cs="宋体"/>
                <w:i w:val="0"/>
                <w:color w:val="auto"/>
                <w:sz w:val="24"/>
                <w:szCs w:val="24"/>
                <w:u w:val="none"/>
                <w:lang w:val="en-US" w:eastAsia="zh-CN"/>
              </w:rPr>
              <w:t>8</w:t>
            </w:r>
          </w:p>
        </w:tc>
        <w:tc>
          <w:tcPr>
            <w:tcW w:w="4384" w:type="dxa"/>
            <w:noWrap w:val="0"/>
            <w:vAlign w:val="center"/>
          </w:tcPr>
          <w:p w14:paraId="18F6338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心电监护仪</w:t>
            </w:r>
          </w:p>
        </w:tc>
        <w:tc>
          <w:tcPr>
            <w:tcW w:w="1151" w:type="dxa"/>
            <w:noWrap w:val="0"/>
            <w:vAlign w:val="center"/>
          </w:tcPr>
          <w:p w14:paraId="0F5D812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 xml:space="preserve">6.00 </w:t>
            </w:r>
          </w:p>
        </w:tc>
        <w:tc>
          <w:tcPr>
            <w:tcW w:w="1498" w:type="dxa"/>
            <w:noWrap w:val="0"/>
            <w:vAlign w:val="center"/>
          </w:tcPr>
          <w:p w14:paraId="7924B9A8">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r>
              <w:rPr>
                <w:rFonts w:hint="eastAsia" w:ascii="宋体" w:hAnsi="宋体" w:eastAsia="宋体" w:cs="宋体"/>
                <w:i w:val="0"/>
                <w:color w:val="auto"/>
                <w:sz w:val="24"/>
                <w:szCs w:val="24"/>
                <w:u w:val="none"/>
                <w:lang w:val="en-US" w:eastAsia="zh-CN"/>
              </w:rPr>
              <w:t>台</w:t>
            </w:r>
          </w:p>
        </w:tc>
        <w:tc>
          <w:tcPr>
            <w:tcW w:w="1158" w:type="dxa"/>
            <w:noWrap w:val="0"/>
            <w:vAlign w:val="center"/>
          </w:tcPr>
          <w:p w14:paraId="7FCC4E0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i w:val="0"/>
                <w:color w:val="auto"/>
                <w:sz w:val="24"/>
                <w:szCs w:val="24"/>
                <w:u w:val="none"/>
                <w:lang w:val="en-US" w:eastAsia="zh-CN"/>
              </w:rPr>
            </w:pPr>
          </w:p>
        </w:tc>
      </w:tr>
    </w:tbl>
    <w:p w14:paraId="10944E58">
      <w:pPr>
        <w:pStyle w:val="10"/>
        <w:pageBreakBefore w:val="0"/>
        <w:kinsoku/>
        <w:wordWrap/>
        <w:overflowPunct/>
        <w:topLinePunct w:val="0"/>
        <w:autoSpaceDE/>
        <w:autoSpaceDN/>
        <w:bidi w:val="0"/>
        <w:adjustRightInd w:val="0"/>
        <w:snapToGrid w:val="0"/>
        <w:spacing w:line="240" w:lineRule="auto"/>
        <w:rPr>
          <w:rFonts w:hint="eastAsia" w:ascii="宋体" w:hAnsi="宋体" w:eastAsia="宋体" w:cs="宋体"/>
          <w:b/>
          <w:sz w:val="24"/>
          <w:szCs w:val="24"/>
        </w:rPr>
      </w:pPr>
      <w:r>
        <w:rPr>
          <w:rFonts w:hint="eastAsia" w:ascii="宋体" w:hAnsi="宋体" w:eastAsia="宋体" w:cs="宋体"/>
          <w:b/>
          <w:bCs/>
          <w:sz w:val="24"/>
          <w:szCs w:val="24"/>
        </w:rPr>
        <w:t>说明：1、</w:t>
      </w:r>
      <w:r>
        <w:rPr>
          <w:rFonts w:hint="eastAsia" w:ascii="宋体" w:hAnsi="宋体" w:eastAsia="宋体" w:cs="宋体"/>
          <w:bCs/>
          <w:sz w:val="24"/>
          <w:szCs w:val="24"/>
        </w:rPr>
        <w:t>上述除设备或产品费用外，应包括设备或产品的运输费、</w:t>
      </w:r>
      <w:r>
        <w:rPr>
          <w:rFonts w:hint="eastAsia" w:ascii="宋体" w:hAnsi="宋体" w:eastAsia="宋体" w:cs="宋体"/>
          <w:sz w:val="24"/>
          <w:szCs w:val="24"/>
        </w:rPr>
        <w:t>各种保险费用、包装费用、装卸（包括达到目的地后的卸车，短途运输）、保管费用、安装（按参数要求中的图纸进行安装）、调试、试验或检验及验收费用、移交前的维护、移交等及各种税费等一切费用。</w:t>
      </w:r>
    </w:p>
    <w:p w14:paraId="1CDC0CE3">
      <w:pPr>
        <w:pageBreakBefore w:val="0"/>
        <w:kinsoku/>
        <w:wordWrap/>
        <w:overflowPunct/>
        <w:topLinePunct w:val="0"/>
        <w:autoSpaceDE/>
        <w:autoSpaceDN/>
        <w:bidi w:val="0"/>
        <w:adjustRightInd w:val="0"/>
        <w:snapToGrid w:val="0"/>
        <w:spacing w:line="240" w:lineRule="auto"/>
        <w:rPr>
          <w:rFonts w:hint="eastAsia" w:ascii="宋体" w:hAnsi="宋体" w:eastAsia="宋体" w:cs="宋体"/>
          <w:sz w:val="28"/>
          <w:szCs w:val="28"/>
        </w:rPr>
      </w:pPr>
      <w:r>
        <w:rPr>
          <w:rFonts w:hint="eastAsia" w:ascii="宋体" w:hAnsi="宋体" w:eastAsia="宋体" w:cs="宋体"/>
          <w:b/>
          <w:sz w:val="24"/>
          <w:szCs w:val="24"/>
        </w:rPr>
        <w:t>2、</w:t>
      </w:r>
      <w:r>
        <w:rPr>
          <w:rFonts w:hint="eastAsia" w:ascii="宋体" w:hAnsi="宋体" w:eastAsia="宋体" w:cs="宋体"/>
          <w:sz w:val="24"/>
          <w:szCs w:val="24"/>
        </w:rPr>
        <w:t>供应商所提供的设备或产品的费用除主体外，包括其全部配套附件、附属设备、配套设备等，需进行组装或拼装的设备应是完整、成套、满足功能要求的产品，其价格除主体外还应包括其足够安装母体和连接、紧固相关设备的零部件等全部配套设备和附件的费用。</w:t>
      </w:r>
    </w:p>
    <w:p w14:paraId="4FBC5EF3">
      <w:pPr>
        <w:pStyle w:val="28"/>
        <w:keepNext w:val="0"/>
        <w:keepLines w:val="0"/>
        <w:pageBreakBefore w:val="0"/>
        <w:widowControl w:val="0"/>
        <w:kinsoku/>
        <w:wordWrap/>
        <w:overflowPunct/>
        <w:topLinePunct w:val="0"/>
        <w:autoSpaceDE/>
        <w:autoSpaceDN/>
        <w:bidi w:val="0"/>
        <w:adjustRightInd w:val="0"/>
        <w:snapToGrid w:val="0"/>
        <w:spacing w:line="240" w:lineRule="auto"/>
        <w:rPr>
          <w:rFonts w:hint="eastAsia" w:hAnsi="宋体" w:cs="宋体"/>
          <w:b/>
          <w:color w:val="auto"/>
          <w:sz w:val="24"/>
          <w:szCs w:val="24"/>
          <w:highlight w:val="none"/>
        </w:rPr>
      </w:pPr>
      <w:r>
        <w:rPr>
          <w:rFonts w:hint="eastAsia" w:ascii="宋体" w:hAnsi="宋体" w:cs="宋体"/>
          <w:b/>
          <w:color w:val="auto"/>
          <w:kern w:val="2"/>
          <w:sz w:val="24"/>
          <w:szCs w:val="24"/>
          <w:highlight w:val="none"/>
          <w:lang w:val="en-US" w:eastAsia="zh-CN" w:bidi="ar-SA"/>
        </w:rPr>
        <w:t>三</w:t>
      </w:r>
      <w:r>
        <w:rPr>
          <w:rFonts w:hint="eastAsia" w:ascii="宋体" w:hAnsi="宋体" w:eastAsia="宋体" w:cs="宋体"/>
          <w:b/>
          <w:color w:val="auto"/>
          <w:kern w:val="2"/>
          <w:sz w:val="24"/>
          <w:szCs w:val="24"/>
          <w:highlight w:val="none"/>
          <w:lang w:val="en-US" w:eastAsia="zh-CN" w:bidi="ar-SA"/>
        </w:rPr>
        <w:t>、技术指标参数（技术参数为参照或相当于需求最低配置要求，若有涉及具体工艺、材料、标准等参数，仅为方便描述项目质量水平的参考值，各潜在投标人可以在其提供的文件资料中选择更优的产品替代</w:t>
      </w:r>
      <w:r>
        <w:rPr>
          <w:rFonts w:hint="eastAsia" w:hAnsi="宋体" w:cs="宋体"/>
          <w:b/>
          <w:color w:val="auto"/>
          <w:sz w:val="24"/>
          <w:szCs w:val="24"/>
          <w:highlight w:val="none"/>
        </w:rPr>
        <w:t>）</w:t>
      </w:r>
    </w:p>
    <w:p w14:paraId="0BEB139E">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Chars="0"/>
        <w:textAlignment w:val="auto"/>
        <w:rPr>
          <w:rFonts w:hint="eastAsia" w:ascii="宋体" w:hAnsi="宋体"/>
          <w:b/>
          <w:kern w:val="0"/>
          <w:sz w:val="24"/>
          <w:szCs w:val="24"/>
          <w:highlight w:val="none"/>
        </w:rPr>
      </w:pPr>
      <w:r>
        <w:rPr>
          <w:rFonts w:hint="eastAsia" w:ascii="宋体" w:hAnsi="宋体"/>
          <w:b/>
          <w:kern w:val="0"/>
          <w:sz w:val="24"/>
          <w:szCs w:val="24"/>
          <w:highlight w:val="none"/>
          <w:lang w:val="en-US" w:eastAsia="zh-CN"/>
        </w:rPr>
        <w:t>（一）</w:t>
      </w:r>
      <w:r>
        <w:rPr>
          <w:rFonts w:hint="eastAsia" w:ascii="宋体" w:hAnsi="宋体"/>
          <w:b/>
          <w:kern w:val="0"/>
          <w:sz w:val="24"/>
          <w:szCs w:val="24"/>
          <w:highlight w:val="none"/>
        </w:rPr>
        <w:t>中心监护系统（一拖四）</w:t>
      </w:r>
    </w:p>
    <w:p w14:paraId="55C65E2F">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jc w:val="left"/>
        <w:textAlignment w:val="auto"/>
        <w:rPr>
          <w:rFonts w:hint="eastAsia" w:ascii="宋体" w:hAnsi="宋体" w:eastAsia="宋体"/>
          <w:b/>
          <w:bCs/>
          <w:sz w:val="24"/>
          <w:szCs w:val="24"/>
          <w:highlight w:val="none"/>
          <w:lang w:val="en-US" w:eastAsia="zh-CN"/>
        </w:rPr>
      </w:pPr>
      <w:r>
        <w:rPr>
          <w:rFonts w:hint="eastAsia" w:ascii="宋体" w:hAnsi="宋体" w:eastAsia="宋体"/>
          <w:b/>
          <w:bCs/>
          <w:sz w:val="24"/>
          <w:szCs w:val="24"/>
          <w:highlight w:val="none"/>
          <w:lang w:val="en-US" w:eastAsia="zh-CN"/>
        </w:rPr>
        <w:t>中央监护系统技术参数</w:t>
      </w:r>
    </w:p>
    <w:p w14:paraId="151AEFFE">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 xml:space="preserve">1.1 选用品牌计算机主流机型  </w:t>
      </w:r>
    </w:p>
    <w:p w14:paraId="55102F84">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1.2 CPU：提供符合 HL7 协议的数据输出</w:t>
      </w:r>
    </w:p>
    <w:p w14:paraId="0E5C1995">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1.3 USB接口≥3个</w:t>
      </w:r>
    </w:p>
    <w:p w14:paraId="2D64BFD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default" w:ascii="宋体" w:hAnsi="宋体"/>
          <w:sz w:val="24"/>
          <w:szCs w:val="24"/>
          <w:highlight w:val="none"/>
          <w:lang w:val="en-US" w:eastAsia="zh-CN"/>
        </w:rPr>
        <w:t>1.4</w:t>
      </w:r>
      <w:r>
        <w:rPr>
          <w:rFonts w:hint="eastAsia" w:ascii="宋体" w:hAnsi="宋体"/>
          <w:sz w:val="24"/>
          <w:szCs w:val="24"/>
          <w:highlight w:val="none"/>
          <w:lang w:val="en-US" w:eastAsia="zh-CN"/>
        </w:rPr>
        <w:t>病区配置系统两套，每套均能独立运行。</w:t>
      </w:r>
    </w:p>
    <w:p w14:paraId="49D37E29">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二、显示</w:t>
      </w:r>
    </w:p>
    <w:p w14:paraId="422E72B4">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2.1 可选择双屏显示，显示器≥24英寸彩色液晶显示器</w:t>
      </w:r>
    </w:p>
    <w:p w14:paraId="34F8681F">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2.2 分辨率≥1280×1024</w:t>
      </w:r>
    </w:p>
    <w:p w14:paraId="489A84F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2.3 具有标准显示和大字体显示两种功能</w:t>
      </w:r>
    </w:p>
    <w:p w14:paraId="30C3E61A">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2.4 中央站支持≥64床位接入，单屏同时显示≥32张床位信息。</w:t>
      </w:r>
    </w:p>
    <w:p w14:paraId="65B820F2">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2.5 重点观察中可同屏显示≥4小时全部参数趋势数据，双屏时可显示≥12道波形</w:t>
      </w:r>
    </w:p>
    <w:p w14:paraId="104C2774">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2.6 双屏显示时，可以一屏显示基本床位信息，另一屏显示重点监护床位所有参数信息</w:t>
      </w:r>
    </w:p>
    <w:p w14:paraId="788E011C">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三、网络性能</w:t>
      </w:r>
    </w:p>
    <w:p w14:paraId="2DB80BEA">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3.1 传输速度≥100M/S</w:t>
      </w:r>
    </w:p>
    <w:p w14:paraId="15531619">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3.2 传输距离≥100M</w:t>
      </w:r>
    </w:p>
    <w:p w14:paraId="342D741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3.3 具备密码保护功能，远程访问中央站上的数据，需输入密码</w:t>
      </w:r>
    </w:p>
    <w:p w14:paraId="2C7063C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3.4 具备SSL通信加密</w:t>
      </w:r>
    </w:p>
    <w:p w14:paraId="5325A1D2">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3.5 具备数据断网续传功能，断网48小时内，数据不会丢失</w:t>
      </w:r>
    </w:p>
    <w:p w14:paraId="52043BD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3.6 具备时间同步功能，可与医院时钟服务器连接，并对联网的监护仪进行时间同步。</w:t>
      </w:r>
    </w:p>
    <w:p w14:paraId="4E5437D9">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3.7 网络连接方式：要求同时接入有线、无线两种组网方式</w:t>
      </w:r>
    </w:p>
    <w:p w14:paraId="6AC875C9">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3.8 网络控制：中央站/工作站可以控制监护仪接收/解除/转移病人。</w:t>
      </w:r>
    </w:p>
    <w:p w14:paraId="5208194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3.9 中央站/工作站可以连接输液工作站。</w:t>
      </w:r>
    </w:p>
    <w:p w14:paraId="79C9F312">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3.10 要求中央站/工作站可以控制监护仪报警暂停/复位，调整报警开关/级别/上下限</w:t>
      </w:r>
    </w:p>
    <w:p w14:paraId="07F9E25E">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3.11 中心监护系统可以控制监护仪进入待机模式</w:t>
      </w:r>
    </w:p>
    <w:p w14:paraId="43C28292">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3.12 中央站/工作站支持备份或恢复中央站/工作站的配置</w:t>
      </w:r>
    </w:p>
    <w:p w14:paraId="1D7E0964">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3.13 有双向通讯功能，在中央工作站可直接设置床边机信息</w:t>
      </w:r>
    </w:p>
    <w:p w14:paraId="6E60FC6F">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3.14 有打印机接口，打印内容包括：病人信息、药物计算结果、血液动力学计算结果、趋势图或趋势表、波形回顾、报警回顾、心排量回顾、NIBP</w:t>
      </w:r>
    </w:p>
    <w:p w14:paraId="0854264E">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3.15 中央站/工作站可显示监护仪上PICCO、EEG、rSO2，NMT等参数。</w:t>
      </w:r>
    </w:p>
    <w:p w14:paraId="1C0ACC1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四、软件功能</w:t>
      </w:r>
    </w:p>
    <w:p w14:paraId="6A2A317A">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4.1 全息波形回顾：具有≥72小时的全息波形回顾</w:t>
      </w:r>
    </w:p>
    <w:p w14:paraId="2B9F88D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4.2 趋势图表回顾，历史病人数据存储，报警事件存储：≥240小时趋势图表回顾，≥20000个历史病人数据存储，≥700条报警事件存储，≥700条无创血压测量回顾、≥700条CO测量结果回顾</w:t>
      </w:r>
    </w:p>
    <w:p w14:paraId="7ACE3EFC">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4.3 报警信息：具有全病理参数报警功能设置</w:t>
      </w:r>
    </w:p>
    <w:p w14:paraId="3FE3F6E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4.4 报警参数：具有心电、血压、血氧、心率、呼吸、体温、呼吸末二氧化碳参数上、下限报警等</w:t>
      </w:r>
    </w:p>
    <w:p w14:paraId="5A83E66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4.5 具有声、光双重多级报警</w:t>
      </w:r>
    </w:p>
    <w:p w14:paraId="22523E4B">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4.6 计算功能：药物剂量计算、滴定表计算和血液动力学计算</w:t>
      </w:r>
    </w:p>
    <w:p w14:paraId="2E50075A">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 xml:space="preserve">4.7 </w:t>
      </w:r>
      <w:r>
        <w:rPr>
          <w:rFonts w:hint="eastAsia" w:ascii="宋体" w:hAnsi="宋体"/>
          <w:sz w:val="24"/>
          <w:szCs w:val="24"/>
          <w:highlight w:val="none"/>
          <w:lang w:eastAsia="zh-CN"/>
        </w:rPr>
        <w:t>▲</w:t>
      </w:r>
      <w:r>
        <w:rPr>
          <w:rFonts w:hint="eastAsia" w:ascii="宋体" w:hAnsi="宋体"/>
          <w:sz w:val="24"/>
          <w:szCs w:val="24"/>
          <w:highlight w:val="none"/>
          <w:lang w:val="en-US" w:eastAsia="zh-CN"/>
        </w:rPr>
        <w:t>标配网络开放接口，可直接连接医院 HIS 等系统</w:t>
      </w:r>
    </w:p>
    <w:p w14:paraId="5ECC380B">
      <w:pPr>
        <w:keepNext w:val="0"/>
        <w:keepLines w:val="0"/>
        <w:pageBreakBefore w:val="0"/>
        <w:kinsoku/>
        <w:wordWrap/>
        <w:overflowPunct/>
        <w:topLinePunct w:val="0"/>
        <w:bidi w:val="0"/>
        <w:adjustRightInd w:val="0"/>
        <w:snapToGrid w:val="0"/>
        <w:spacing w:line="240" w:lineRule="auto"/>
        <w:ind w:left="198" w:hanging="198"/>
        <w:jc w:val="left"/>
        <w:textAlignment w:val="auto"/>
        <w:rPr>
          <w:rFonts w:hint="default" w:ascii="Arial" w:hAnsi="Arial" w:cs="Arial"/>
          <w:b/>
          <w:color w:val="auto"/>
          <w:sz w:val="24"/>
          <w:szCs w:val="24"/>
          <w:highlight w:val="none"/>
          <w:lang w:val="en-US" w:eastAsia="zh-CN"/>
        </w:rPr>
      </w:pPr>
      <w:r>
        <w:rPr>
          <w:rFonts w:hint="eastAsia" w:ascii="Arial" w:hAnsi="Arial" w:cs="Arial"/>
          <w:b/>
          <w:color w:val="auto"/>
          <w:sz w:val="24"/>
          <w:szCs w:val="24"/>
          <w:highlight w:val="none"/>
          <w:lang w:val="en-US" w:eastAsia="zh-CN"/>
        </w:rPr>
        <w:t>多参数监护系统技术参数（4台）</w:t>
      </w:r>
    </w:p>
    <w:p w14:paraId="6CC8C1A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cs="宋体"/>
          <w:sz w:val="24"/>
          <w:szCs w:val="24"/>
          <w:highlight w:val="none"/>
        </w:rPr>
      </w:pPr>
      <w:r>
        <w:rPr>
          <w:rFonts w:hint="default" w:ascii="宋体" w:hAnsi="宋体" w:eastAsia="宋体" w:cs="宋体"/>
          <w:kern w:val="2"/>
          <w:sz w:val="24"/>
          <w:szCs w:val="24"/>
          <w:highlight w:val="none"/>
          <w:lang w:val="en-US" w:eastAsia="zh-CN" w:bidi="ar-SA"/>
        </w:rPr>
        <w:t>1.</w:t>
      </w:r>
      <w:r>
        <w:rPr>
          <w:rFonts w:hint="eastAsia" w:ascii="宋体" w:hAnsi="宋体"/>
          <w:sz w:val="24"/>
          <w:szCs w:val="24"/>
          <w:highlight w:val="none"/>
        </w:rPr>
        <w:t>模块化插件式床边监护仪，主机、显示屏和插件槽一体化设计，主机插槽数≥</w:t>
      </w:r>
      <w:r>
        <w:rPr>
          <w:rFonts w:ascii="宋体" w:hAnsi="宋体"/>
          <w:sz w:val="24"/>
          <w:szCs w:val="24"/>
          <w:highlight w:val="none"/>
        </w:rPr>
        <w:t>6</w:t>
      </w:r>
      <w:r>
        <w:rPr>
          <w:rFonts w:hint="eastAsia" w:ascii="宋体" w:hAnsi="宋体"/>
          <w:sz w:val="24"/>
          <w:szCs w:val="24"/>
          <w:highlight w:val="none"/>
        </w:rPr>
        <w:t>个</w:t>
      </w:r>
    </w:p>
    <w:p w14:paraId="2DD271FD">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cs="宋体"/>
          <w:sz w:val="24"/>
          <w:szCs w:val="24"/>
          <w:highlight w:val="none"/>
        </w:rPr>
      </w:pPr>
      <w:r>
        <w:rPr>
          <w:rFonts w:hint="default" w:ascii="宋体" w:hAnsi="宋体" w:eastAsia="宋体" w:cs="宋体"/>
          <w:kern w:val="2"/>
          <w:sz w:val="24"/>
          <w:szCs w:val="24"/>
          <w:highlight w:val="none"/>
          <w:lang w:val="en-US" w:eastAsia="zh-CN" w:bidi="ar-SA"/>
        </w:rPr>
        <w:t>2.</w:t>
      </w:r>
      <w:r>
        <w:rPr>
          <w:rFonts w:hint="eastAsia" w:ascii="宋体" w:hAnsi="宋体"/>
          <w:sz w:val="24"/>
          <w:szCs w:val="24"/>
          <w:highlight w:val="none"/>
          <w:lang w:eastAsia="zh-CN"/>
        </w:rPr>
        <w:t>▲</w:t>
      </w:r>
      <w:r>
        <w:rPr>
          <w:rFonts w:hint="eastAsia" w:ascii="宋体" w:hAnsi="宋体"/>
          <w:sz w:val="24"/>
          <w:szCs w:val="24"/>
          <w:highlight w:val="none"/>
        </w:rPr>
        <w:t>监护仪主机每个槽位均具备插件模块红外通讯接口以及金属硬件通讯接口（非供电接口），保证模块通讯速率及稳定性，提供监护仪主机插槽图片证明</w:t>
      </w:r>
    </w:p>
    <w:p w14:paraId="3435F455">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w:t>
      </w:r>
      <w:r>
        <w:rPr>
          <w:rFonts w:hint="eastAsia" w:ascii="宋体" w:hAnsi="宋体"/>
          <w:color w:val="auto"/>
          <w:sz w:val="24"/>
          <w:szCs w:val="24"/>
          <w:highlight w:val="none"/>
          <w:u w:val="none"/>
        </w:rPr>
        <w:t>≥</w:t>
      </w:r>
      <w:r>
        <w:rPr>
          <w:rFonts w:hint="eastAsia" w:ascii="宋体" w:hAnsi="宋体"/>
          <w:color w:val="auto"/>
          <w:sz w:val="24"/>
          <w:szCs w:val="24"/>
          <w:highlight w:val="none"/>
          <w:u w:val="none"/>
          <w:lang w:val="en-US" w:eastAsia="zh-CN"/>
        </w:rPr>
        <w:t>15</w:t>
      </w:r>
      <w:r>
        <w:rPr>
          <w:rFonts w:hint="eastAsia" w:ascii="宋体" w:hAnsi="宋体"/>
          <w:color w:val="auto"/>
          <w:sz w:val="24"/>
          <w:szCs w:val="24"/>
          <w:highlight w:val="none"/>
          <w:u w:val="none"/>
        </w:rPr>
        <w:t>英</w:t>
      </w:r>
      <w:r>
        <w:rPr>
          <w:rFonts w:hint="eastAsia" w:ascii="宋体" w:hAnsi="宋体"/>
          <w:sz w:val="24"/>
          <w:szCs w:val="24"/>
          <w:highlight w:val="none"/>
        </w:rPr>
        <w:t>寸彩色电容触摸屏，高分辨率≥</w:t>
      </w:r>
      <w:r>
        <w:rPr>
          <w:rFonts w:ascii="宋体" w:hAnsi="宋体"/>
          <w:sz w:val="24"/>
          <w:szCs w:val="24"/>
          <w:highlight w:val="none"/>
        </w:rPr>
        <w:t>1920</w:t>
      </w:r>
      <w:r>
        <w:rPr>
          <w:rFonts w:hint="eastAsia" w:ascii="宋体" w:hAnsi="宋体"/>
          <w:sz w:val="24"/>
          <w:szCs w:val="24"/>
          <w:highlight w:val="none"/>
        </w:rPr>
        <w:t>×</w:t>
      </w:r>
      <w:r>
        <w:rPr>
          <w:rFonts w:ascii="宋体" w:hAnsi="宋体"/>
          <w:sz w:val="24"/>
          <w:szCs w:val="24"/>
          <w:highlight w:val="none"/>
        </w:rPr>
        <w:t>1080</w:t>
      </w:r>
      <w:r>
        <w:rPr>
          <w:rFonts w:hint="eastAsia" w:ascii="宋体" w:hAnsi="宋体"/>
          <w:sz w:val="24"/>
          <w:szCs w:val="24"/>
          <w:highlight w:val="none"/>
        </w:rPr>
        <w:t>像素，≥</w:t>
      </w:r>
      <w:r>
        <w:rPr>
          <w:rFonts w:ascii="宋体" w:hAnsi="宋体"/>
          <w:sz w:val="24"/>
          <w:szCs w:val="24"/>
          <w:highlight w:val="none"/>
        </w:rPr>
        <w:t>10</w:t>
      </w:r>
      <w:r>
        <w:rPr>
          <w:rFonts w:hint="eastAsia" w:ascii="宋体" w:hAnsi="宋体"/>
          <w:sz w:val="24"/>
          <w:szCs w:val="24"/>
          <w:highlight w:val="none"/>
        </w:rPr>
        <w:t>通道显示，</w:t>
      </w:r>
      <w:r>
        <w:rPr>
          <w:rFonts w:ascii="宋体" w:hAnsi="宋体"/>
          <w:sz w:val="24"/>
          <w:szCs w:val="24"/>
          <w:highlight w:val="none"/>
        </w:rPr>
        <w:t>显示屏亮度自动调节</w:t>
      </w:r>
      <w:r>
        <w:rPr>
          <w:rFonts w:hint="eastAsia" w:ascii="宋体" w:hAnsi="宋体"/>
          <w:sz w:val="24"/>
          <w:szCs w:val="24"/>
          <w:highlight w:val="none"/>
        </w:rPr>
        <w:t>，屏幕支持手势滑动操作，支持穿戴医用防护手套操作</w:t>
      </w:r>
    </w:p>
    <w:p w14:paraId="3BAC7445">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4.</w:t>
      </w:r>
      <w:r>
        <w:rPr>
          <w:rFonts w:hint="eastAsia" w:ascii="宋体" w:hAnsi="宋体"/>
          <w:sz w:val="24"/>
          <w:szCs w:val="24"/>
          <w:highlight w:val="none"/>
        </w:rPr>
        <w:t>采用无风扇设计</w:t>
      </w:r>
    </w:p>
    <w:p w14:paraId="24924255">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w:t>
      </w:r>
      <w:r>
        <w:rPr>
          <w:rFonts w:hint="eastAsia" w:ascii="宋体" w:hAnsi="宋体"/>
          <w:sz w:val="24"/>
          <w:szCs w:val="24"/>
          <w:highlight w:val="none"/>
        </w:rPr>
        <w:t>可内置高能锂电池，供电时间≥</w:t>
      </w:r>
      <w:r>
        <w:rPr>
          <w:rFonts w:ascii="宋体" w:hAnsi="宋体"/>
          <w:sz w:val="24"/>
          <w:szCs w:val="24"/>
          <w:highlight w:val="none"/>
        </w:rPr>
        <w:t>2</w:t>
      </w:r>
      <w:r>
        <w:rPr>
          <w:rFonts w:hint="eastAsia" w:ascii="宋体" w:hAnsi="宋体"/>
          <w:sz w:val="24"/>
          <w:szCs w:val="24"/>
          <w:highlight w:val="none"/>
        </w:rPr>
        <w:t>小时</w:t>
      </w:r>
    </w:p>
    <w:p w14:paraId="1F52A476">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6.</w:t>
      </w:r>
      <w:r>
        <w:rPr>
          <w:rFonts w:hint="eastAsia" w:ascii="宋体" w:hAnsi="宋体"/>
          <w:sz w:val="24"/>
          <w:szCs w:val="24"/>
          <w:highlight w:val="none"/>
        </w:rPr>
        <w:t>配置≥4个USB接口，支持连接存储介质、鼠标、键盘、条码扫描枪等USB设备</w:t>
      </w:r>
    </w:p>
    <w:p w14:paraId="281126B1">
      <w:pPr>
        <w:keepNext w:val="0"/>
        <w:keepLines w:val="0"/>
        <w:pageBreakBefore w:val="0"/>
        <w:kinsoku/>
        <w:wordWrap/>
        <w:overflowPunct/>
        <w:topLinePunct w:val="0"/>
        <w:autoSpaceDE w:val="0"/>
        <w:autoSpaceDN w:val="0"/>
        <w:bidi w:val="0"/>
        <w:adjustRightInd w:val="0"/>
        <w:snapToGrid w:val="0"/>
        <w:spacing w:line="240" w:lineRule="auto"/>
        <w:textAlignment w:val="auto"/>
        <w:rPr>
          <w:rFonts w:ascii="宋体" w:hAnsi="宋体" w:cs="宋体"/>
          <w:b/>
          <w:sz w:val="24"/>
          <w:szCs w:val="24"/>
          <w:highlight w:val="none"/>
        </w:rPr>
      </w:pPr>
      <w:r>
        <w:rPr>
          <w:rFonts w:hint="eastAsia" w:ascii="宋体" w:hAnsi="宋体" w:cs="宋体"/>
          <w:b/>
          <w:sz w:val="24"/>
          <w:szCs w:val="24"/>
          <w:highlight w:val="none"/>
        </w:rPr>
        <w:t>监测参数：</w:t>
      </w:r>
    </w:p>
    <w:p w14:paraId="026F8BE7">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7.</w:t>
      </w:r>
      <w:r>
        <w:rPr>
          <w:rFonts w:hint="eastAsia" w:ascii="宋体" w:hAnsi="宋体"/>
          <w:sz w:val="24"/>
          <w:szCs w:val="24"/>
          <w:highlight w:val="none"/>
        </w:rPr>
        <w:t>基本功能模块支持心电，呼吸，心率，无创血压，血氧饱和度，脉搏，双通道体温和双通道有创血压的同时监测</w:t>
      </w:r>
    </w:p>
    <w:p w14:paraId="733FB407">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8.</w:t>
      </w:r>
      <w:r>
        <w:rPr>
          <w:rFonts w:hint="eastAsia" w:ascii="宋体" w:hAnsi="宋体"/>
          <w:sz w:val="24"/>
          <w:szCs w:val="24"/>
          <w:highlight w:val="none"/>
        </w:rPr>
        <w:t>基本功能模块支持升级从监护仪拔出后作为一个独立的监护仪支持病人的无缝转移，插入监护仪操作插槽作为主机模块，具有独立操作显示屏，屏幕尺寸≥</w:t>
      </w:r>
      <w:r>
        <w:rPr>
          <w:rFonts w:ascii="宋体" w:hAnsi="宋体"/>
          <w:sz w:val="24"/>
          <w:szCs w:val="24"/>
          <w:highlight w:val="none"/>
        </w:rPr>
        <w:t>5.5</w:t>
      </w:r>
      <w:r>
        <w:rPr>
          <w:rFonts w:hint="eastAsia" w:ascii="宋体" w:hAnsi="宋体"/>
          <w:sz w:val="24"/>
          <w:szCs w:val="24"/>
          <w:highlight w:val="none"/>
        </w:rPr>
        <w:t>英寸，内置锂电池供电≥</w:t>
      </w:r>
      <w:r>
        <w:rPr>
          <w:rFonts w:ascii="宋体" w:hAnsi="宋体"/>
          <w:sz w:val="24"/>
          <w:szCs w:val="24"/>
          <w:highlight w:val="none"/>
        </w:rPr>
        <w:t>4</w:t>
      </w:r>
      <w:r>
        <w:rPr>
          <w:rFonts w:hint="eastAsia" w:ascii="宋体" w:hAnsi="宋体"/>
          <w:sz w:val="24"/>
          <w:szCs w:val="24"/>
          <w:highlight w:val="none"/>
        </w:rPr>
        <w:t>小时，无风扇设计</w:t>
      </w:r>
    </w:p>
    <w:p w14:paraId="6818906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9.</w:t>
      </w:r>
      <w:r>
        <w:rPr>
          <w:rFonts w:hint="eastAsia" w:ascii="宋体" w:hAnsi="宋体"/>
          <w:sz w:val="24"/>
          <w:szCs w:val="24"/>
          <w:highlight w:val="none"/>
        </w:rPr>
        <w:t>ECG支持3/5导心电监测，可选配6</w:t>
      </w:r>
      <w:r>
        <w:rPr>
          <w:rFonts w:ascii="宋体" w:hAnsi="宋体"/>
          <w:sz w:val="24"/>
          <w:szCs w:val="24"/>
          <w:highlight w:val="none"/>
        </w:rPr>
        <w:t>/12</w:t>
      </w:r>
      <w:r>
        <w:rPr>
          <w:rFonts w:hint="eastAsia" w:ascii="宋体" w:hAnsi="宋体"/>
          <w:sz w:val="24"/>
          <w:szCs w:val="24"/>
          <w:highlight w:val="none"/>
        </w:rPr>
        <w:t>导联心电监测。</w:t>
      </w:r>
    </w:p>
    <w:p w14:paraId="4E9FC85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10.</w:t>
      </w:r>
      <w:r>
        <w:rPr>
          <w:rFonts w:hint="eastAsia" w:ascii="宋体" w:hAnsi="宋体"/>
          <w:sz w:val="24"/>
          <w:szCs w:val="24"/>
          <w:highlight w:val="none"/>
          <w:lang w:eastAsia="zh-CN"/>
        </w:rPr>
        <w:t>▲</w:t>
      </w:r>
      <w:r>
        <w:rPr>
          <w:rFonts w:hint="eastAsia" w:ascii="宋体" w:hAnsi="宋体"/>
          <w:sz w:val="24"/>
          <w:szCs w:val="24"/>
          <w:highlight w:val="none"/>
        </w:rPr>
        <w:t>支持房颤及室上性心律 失常分析功能，标配支持≥27 种实时心律</w:t>
      </w:r>
    </w:p>
    <w:p w14:paraId="5F7AB2B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11.</w:t>
      </w:r>
      <w:r>
        <w:rPr>
          <w:rFonts w:hint="eastAsia" w:ascii="宋体" w:hAnsi="宋体"/>
          <w:sz w:val="24"/>
          <w:szCs w:val="24"/>
          <w:highlight w:val="none"/>
        </w:rPr>
        <w:t>支持≥</w:t>
      </w:r>
      <w:r>
        <w:rPr>
          <w:rFonts w:ascii="宋体" w:hAnsi="宋体"/>
          <w:sz w:val="24"/>
          <w:szCs w:val="24"/>
          <w:highlight w:val="none"/>
        </w:rPr>
        <w:t>3</w:t>
      </w:r>
      <w:r>
        <w:rPr>
          <w:rFonts w:hint="eastAsia" w:ascii="宋体" w:hAnsi="宋体"/>
          <w:sz w:val="24"/>
          <w:szCs w:val="24"/>
          <w:highlight w:val="none"/>
        </w:rPr>
        <w:t>通道心电波形同步分析，可进行多导心电分析，提供产品界面、手册截图或技术专利证名材料</w:t>
      </w:r>
    </w:p>
    <w:p w14:paraId="34F40FE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12.</w:t>
      </w:r>
      <w:r>
        <w:rPr>
          <w:rFonts w:hint="eastAsia" w:ascii="宋体" w:hAnsi="宋体"/>
          <w:sz w:val="24"/>
          <w:szCs w:val="24"/>
          <w:highlight w:val="none"/>
        </w:rPr>
        <w:t>提供ST段分析功能，适用于成人，小儿和新生儿，</w:t>
      </w:r>
      <w:r>
        <w:rPr>
          <w:rFonts w:hint="eastAsia" w:ascii="宋体" w:hAnsi="宋体"/>
          <w:color w:val="000000"/>
          <w:sz w:val="24"/>
          <w:szCs w:val="24"/>
          <w:highlight w:val="none"/>
        </w:rPr>
        <w:t>支持在专门的窗口中分组显示心脏前壁，下壁和侧壁的ST实时片段和参考片段</w:t>
      </w:r>
      <w:r>
        <w:rPr>
          <w:rFonts w:hint="eastAsia" w:ascii="宋体" w:hAnsi="宋体"/>
          <w:sz w:val="24"/>
          <w:szCs w:val="24"/>
          <w:highlight w:val="none"/>
        </w:rPr>
        <w:t xml:space="preserve"> </w:t>
      </w:r>
    </w:p>
    <w:p w14:paraId="621CA3BD">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13.</w:t>
      </w:r>
      <w:r>
        <w:rPr>
          <w:rFonts w:hint="eastAsia" w:ascii="宋体" w:hAnsi="宋体"/>
          <w:color w:val="000000"/>
          <w:sz w:val="24"/>
          <w:szCs w:val="24"/>
          <w:highlight w:val="none"/>
        </w:rPr>
        <w:t>支持RR呼吸率测量，测量范围：</w:t>
      </w:r>
      <w:r>
        <w:rPr>
          <w:rFonts w:ascii="宋体" w:hAnsi="宋体"/>
          <w:color w:val="000000"/>
          <w:sz w:val="24"/>
          <w:szCs w:val="24"/>
          <w:highlight w:val="none"/>
        </w:rPr>
        <w:t>1</w:t>
      </w:r>
      <w:r>
        <w:rPr>
          <w:rFonts w:hint="eastAsia" w:ascii="宋体" w:hAnsi="宋体"/>
          <w:color w:val="000000"/>
          <w:sz w:val="24"/>
          <w:szCs w:val="24"/>
          <w:highlight w:val="none"/>
        </w:rPr>
        <w:t>～</w:t>
      </w:r>
      <w:r>
        <w:rPr>
          <w:rFonts w:ascii="宋体" w:hAnsi="宋体"/>
          <w:color w:val="000000"/>
          <w:sz w:val="24"/>
          <w:szCs w:val="24"/>
          <w:highlight w:val="none"/>
        </w:rPr>
        <w:t>200rpm</w:t>
      </w:r>
    </w:p>
    <w:p w14:paraId="451D504A">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14.</w:t>
      </w:r>
      <w:r>
        <w:rPr>
          <w:rFonts w:ascii="宋体" w:hAnsi="宋体"/>
          <w:sz w:val="24"/>
          <w:szCs w:val="24"/>
          <w:highlight w:val="none"/>
        </w:rPr>
        <w:t>具有</w:t>
      </w:r>
      <w:r>
        <w:rPr>
          <w:rFonts w:hint="eastAsia" w:ascii="宋体" w:hAnsi="宋体"/>
          <w:sz w:val="24"/>
          <w:szCs w:val="24"/>
          <w:highlight w:val="none"/>
        </w:rPr>
        <w:t>QT/QTc实时连续测量功能，提供QT，QTc和ΔQTc参数值的显示</w:t>
      </w:r>
    </w:p>
    <w:p w14:paraId="02082126">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15.</w:t>
      </w:r>
      <w:r>
        <w:rPr>
          <w:rFonts w:hint="eastAsia" w:ascii="宋体" w:hAnsi="宋体"/>
          <w:sz w:val="24"/>
          <w:szCs w:val="24"/>
          <w:highlight w:val="none"/>
        </w:rPr>
        <w:t>无创血压适用于成人，小儿和新生儿</w:t>
      </w:r>
    </w:p>
    <w:p w14:paraId="34B97B2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16.</w:t>
      </w:r>
      <w:r>
        <w:rPr>
          <w:rFonts w:hint="eastAsia" w:ascii="宋体" w:hAnsi="宋体"/>
          <w:sz w:val="24"/>
          <w:szCs w:val="24"/>
          <w:highlight w:val="none"/>
        </w:rPr>
        <w:t>无创血压</w:t>
      </w:r>
      <w:r>
        <w:rPr>
          <w:rFonts w:ascii="宋体" w:hAnsi="宋体"/>
          <w:sz w:val="24"/>
          <w:szCs w:val="24"/>
          <w:highlight w:val="none"/>
        </w:rPr>
        <w:t>提供手动、自动间隔、连续</w:t>
      </w:r>
      <w:r>
        <w:rPr>
          <w:rFonts w:hint="eastAsia" w:ascii="宋体" w:hAnsi="宋体"/>
          <w:sz w:val="24"/>
          <w:szCs w:val="24"/>
          <w:highlight w:val="none"/>
        </w:rPr>
        <w:t>、</w:t>
      </w:r>
      <w:r>
        <w:rPr>
          <w:rFonts w:ascii="宋体" w:hAnsi="宋体"/>
          <w:sz w:val="24"/>
          <w:szCs w:val="24"/>
          <w:highlight w:val="none"/>
        </w:rPr>
        <w:t>序列</w:t>
      </w:r>
      <w:r>
        <w:rPr>
          <w:rFonts w:hint="eastAsia" w:ascii="宋体" w:hAnsi="宋体"/>
          <w:sz w:val="24"/>
          <w:szCs w:val="24"/>
          <w:highlight w:val="none"/>
        </w:rPr>
        <w:t>、整点五</w:t>
      </w:r>
      <w:r>
        <w:rPr>
          <w:rFonts w:ascii="宋体" w:hAnsi="宋体"/>
          <w:sz w:val="24"/>
          <w:szCs w:val="24"/>
          <w:highlight w:val="none"/>
        </w:rPr>
        <w:t>种测量模式</w:t>
      </w:r>
    </w:p>
    <w:p w14:paraId="62C789C4">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17.</w:t>
      </w:r>
      <w:r>
        <w:rPr>
          <w:rFonts w:hint="eastAsia" w:ascii="宋体" w:hAnsi="宋体"/>
          <w:sz w:val="24"/>
          <w:szCs w:val="24"/>
          <w:highlight w:val="none"/>
        </w:rPr>
        <w:t>提供辅助静脉穿刺功能</w:t>
      </w:r>
    </w:p>
    <w:p w14:paraId="69B6C768">
      <w:pPr>
        <w:keepNext w:val="0"/>
        <w:keepLines w:val="0"/>
        <w:pageBreakBefore w:val="0"/>
        <w:widowControl w:val="0"/>
        <w:numPr>
          <w:ilvl w:val="0"/>
          <w:numId w:val="0"/>
        </w:numPr>
        <w:tabs>
          <w:tab w:val="left" w:pos="720"/>
        </w:tabs>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18.</w:t>
      </w:r>
      <w:r>
        <w:rPr>
          <w:rFonts w:ascii="宋体" w:hAnsi="宋体"/>
          <w:color w:val="000000"/>
          <w:sz w:val="24"/>
          <w:szCs w:val="24"/>
          <w:highlight w:val="none"/>
        </w:rPr>
        <w:t>N</w:t>
      </w:r>
      <w:r>
        <w:rPr>
          <w:rFonts w:ascii="宋体" w:hAnsi="宋体"/>
          <w:sz w:val="24"/>
          <w:szCs w:val="24"/>
          <w:highlight w:val="none"/>
        </w:rPr>
        <w:t xml:space="preserve">IBP </w:t>
      </w:r>
      <w:r>
        <w:rPr>
          <w:rFonts w:hint="eastAsia" w:ascii="宋体" w:hAnsi="宋体"/>
          <w:sz w:val="24"/>
          <w:szCs w:val="24"/>
          <w:highlight w:val="none"/>
        </w:rPr>
        <w:t>成人病人类型收缩压测量：</w:t>
      </w:r>
      <w:r>
        <w:rPr>
          <w:rFonts w:ascii="宋体" w:hAnsi="宋体"/>
          <w:sz w:val="24"/>
          <w:szCs w:val="24"/>
          <w:highlight w:val="none"/>
        </w:rPr>
        <w:t>25</w:t>
      </w:r>
      <w:r>
        <w:rPr>
          <w:rFonts w:hint="eastAsia" w:ascii="宋体" w:hAnsi="宋体"/>
          <w:sz w:val="24"/>
          <w:szCs w:val="24"/>
          <w:highlight w:val="none"/>
        </w:rPr>
        <w:t>～</w:t>
      </w:r>
      <w:r>
        <w:rPr>
          <w:rFonts w:ascii="宋体" w:hAnsi="宋体"/>
          <w:sz w:val="24"/>
          <w:szCs w:val="24"/>
          <w:highlight w:val="none"/>
        </w:rPr>
        <w:t>290mmHg</w:t>
      </w:r>
    </w:p>
    <w:p w14:paraId="161452EF">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19.</w:t>
      </w:r>
      <w:r>
        <w:rPr>
          <w:rFonts w:hint="eastAsia" w:ascii="宋体" w:hAnsi="宋体"/>
          <w:sz w:val="24"/>
          <w:szCs w:val="24"/>
          <w:highlight w:val="none"/>
        </w:rPr>
        <w:t>血氧监测适用于成人，小儿和新生儿</w:t>
      </w:r>
    </w:p>
    <w:p w14:paraId="44999136">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20.</w:t>
      </w:r>
      <w:r>
        <w:rPr>
          <w:rFonts w:hint="eastAsia" w:ascii="宋体" w:hAnsi="宋体"/>
          <w:sz w:val="24"/>
          <w:szCs w:val="24"/>
          <w:highlight w:val="none"/>
        </w:rPr>
        <w:t>提供灌注指数（PI）的监测</w:t>
      </w:r>
    </w:p>
    <w:p w14:paraId="7E51EFBC">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21.</w:t>
      </w:r>
      <w:r>
        <w:rPr>
          <w:rFonts w:hint="eastAsia" w:ascii="宋体" w:hAnsi="宋体"/>
          <w:sz w:val="24"/>
          <w:szCs w:val="24"/>
          <w:highlight w:val="none"/>
        </w:rPr>
        <w:t>配置指套式血氧探头，支持浸泡清洁与消毒，防水等级IPx7</w:t>
      </w:r>
    </w:p>
    <w:p w14:paraId="56F13CA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22.</w:t>
      </w:r>
      <w:r>
        <w:rPr>
          <w:rFonts w:hint="eastAsia" w:ascii="宋体" w:hAnsi="宋体"/>
          <w:sz w:val="24"/>
          <w:szCs w:val="24"/>
          <w:highlight w:val="none"/>
        </w:rPr>
        <w:t>支持双通道有创压IBP监测，支持升级多达</w:t>
      </w:r>
      <w:r>
        <w:rPr>
          <w:rFonts w:ascii="宋体" w:hAnsi="宋体"/>
          <w:sz w:val="24"/>
          <w:szCs w:val="24"/>
          <w:highlight w:val="none"/>
        </w:rPr>
        <w:t>6</w:t>
      </w:r>
      <w:r>
        <w:rPr>
          <w:rFonts w:hint="eastAsia" w:ascii="宋体" w:hAnsi="宋体"/>
          <w:sz w:val="24"/>
          <w:szCs w:val="24"/>
          <w:highlight w:val="none"/>
        </w:rPr>
        <w:t>通道有创压监测</w:t>
      </w:r>
    </w:p>
    <w:p w14:paraId="117BA67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23.</w:t>
      </w:r>
      <w:r>
        <w:rPr>
          <w:rFonts w:hint="eastAsia" w:ascii="宋体" w:hAnsi="宋体"/>
          <w:sz w:val="24"/>
          <w:szCs w:val="24"/>
          <w:highlight w:val="none"/>
        </w:rPr>
        <w:t>有创压适用于成人，小儿和新生儿</w:t>
      </w:r>
    </w:p>
    <w:p w14:paraId="1E283A25">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24.</w:t>
      </w:r>
      <w:r>
        <w:rPr>
          <w:rFonts w:ascii="宋体" w:hAnsi="宋体"/>
          <w:color w:val="000000"/>
          <w:sz w:val="24"/>
          <w:szCs w:val="24"/>
          <w:highlight w:val="none"/>
        </w:rPr>
        <w:t>IBP</w:t>
      </w:r>
      <w:r>
        <w:rPr>
          <w:rFonts w:hint="eastAsia" w:ascii="宋体" w:hAnsi="宋体"/>
          <w:color w:val="000000"/>
          <w:sz w:val="24"/>
          <w:szCs w:val="24"/>
          <w:highlight w:val="none"/>
        </w:rPr>
        <w:t>有创压测量范围：</w:t>
      </w:r>
      <w:r>
        <w:rPr>
          <w:rFonts w:ascii="宋体" w:hAnsi="宋体"/>
          <w:color w:val="000000"/>
          <w:sz w:val="24"/>
          <w:szCs w:val="24"/>
          <w:highlight w:val="none"/>
        </w:rPr>
        <w:t>-50</w:t>
      </w:r>
      <w:r>
        <w:rPr>
          <w:rFonts w:hint="eastAsia" w:ascii="宋体" w:hAnsi="宋体"/>
          <w:color w:val="000000"/>
          <w:sz w:val="24"/>
          <w:szCs w:val="24"/>
          <w:highlight w:val="none"/>
        </w:rPr>
        <w:t>～</w:t>
      </w:r>
      <w:r>
        <w:rPr>
          <w:rFonts w:ascii="宋体" w:hAnsi="宋体"/>
          <w:color w:val="000000"/>
          <w:sz w:val="24"/>
          <w:szCs w:val="24"/>
          <w:highlight w:val="none"/>
        </w:rPr>
        <w:t>360mmHg</w:t>
      </w:r>
    </w:p>
    <w:p w14:paraId="54481B2E">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25.</w:t>
      </w:r>
      <w:r>
        <w:rPr>
          <w:rFonts w:hint="eastAsia" w:ascii="宋体" w:hAnsi="宋体"/>
          <w:sz w:val="24"/>
          <w:szCs w:val="24"/>
          <w:highlight w:val="none"/>
        </w:rPr>
        <w:t>提供肺动脉锲压（PAWP）的监测和PPV参数监测</w:t>
      </w:r>
      <w:r>
        <w:rPr>
          <w:rFonts w:ascii="宋体" w:hAnsi="宋体"/>
          <w:sz w:val="24"/>
          <w:szCs w:val="24"/>
          <w:highlight w:val="none"/>
        </w:rPr>
        <w:t xml:space="preserve"> </w:t>
      </w:r>
    </w:p>
    <w:p w14:paraId="1D231A6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26.</w:t>
      </w:r>
      <w:r>
        <w:rPr>
          <w:rFonts w:hint="eastAsia" w:ascii="宋体" w:hAnsi="宋体"/>
          <w:sz w:val="24"/>
          <w:szCs w:val="24"/>
          <w:highlight w:val="none"/>
        </w:rPr>
        <w:t>支持多达</w:t>
      </w:r>
      <w:r>
        <w:rPr>
          <w:rFonts w:ascii="宋体" w:hAnsi="宋体"/>
          <w:sz w:val="24"/>
          <w:szCs w:val="24"/>
          <w:highlight w:val="none"/>
        </w:rPr>
        <w:t>6</w:t>
      </w:r>
      <w:r>
        <w:rPr>
          <w:rFonts w:hint="eastAsia" w:ascii="宋体" w:hAnsi="宋体"/>
          <w:sz w:val="24"/>
          <w:szCs w:val="24"/>
          <w:highlight w:val="none"/>
        </w:rPr>
        <w:t>道IBP波形叠加显示，满足临床对比查看和节约显示空间的需求</w:t>
      </w:r>
    </w:p>
    <w:p w14:paraId="3F92E22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27.</w:t>
      </w:r>
      <w:r>
        <w:rPr>
          <w:rFonts w:hint="eastAsia" w:ascii="宋体" w:hAnsi="宋体"/>
          <w:sz w:val="24"/>
          <w:szCs w:val="24"/>
          <w:highlight w:val="none"/>
        </w:rPr>
        <w:t>支持升级旁流 EtCO2 监测模块，旁流 EtCO2 监测模块水槽要求易用</w:t>
      </w:r>
    </w:p>
    <w:p w14:paraId="5E93D44C">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28.</w:t>
      </w:r>
      <w:r>
        <w:rPr>
          <w:rFonts w:hint="eastAsia" w:ascii="宋体" w:hAnsi="宋体"/>
          <w:sz w:val="24"/>
          <w:szCs w:val="24"/>
          <w:highlight w:val="none"/>
          <w:lang w:val="en-US" w:eastAsia="zh-CN"/>
        </w:rPr>
        <w:t>支持升级配备心肺复苏质量指数或 EtCO2 监测模块</w:t>
      </w:r>
    </w:p>
    <w:p w14:paraId="7EFDC51E">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29.</w:t>
      </w:r>
      <w:r>
        <w:rPr>
          <w:rFonts w:hint="eastAsia" w:ascii="宋体" w:hAnsi="宋体"/>
          <w:sz w:val="24"/>
          <w:szCs w:val="24"/>
          <w:highlight w:val="none"/>
          <w:lang w:val="en-US" w:eastAsia="zh-CN"/>
        </w:rPr>
        <w:t>支持升级</w:t>
      </w:r>
      <w:r>
        <w:rPr>
          <w:rFonts w:hint="eastAsia" w:ascii="宋体" w:hAnsi="宋体"/>
          <w:sz w:val="24"/>
          <w:szCs w:val="24"/>
          <w:highlight w:val="none"/>
        </w:rPr>
        <w:t>麻醉深度BIS，模块作为监护仪模块通过三类注册，非其他品牌麻醉深度连接使用，须提供所售监护仪注册证证明具备该功能</w:t>
      </w:r>
      <w:r>
        <w:rPr>
          <w:rFonts w:hint="eastAsia" w:ascii="宋体" w:hAnsi="宋体"/>
          <w:sz w:val="24"/>
          <w:szCs w:val="24"/>
          <w:highlight w:val="none"/>
          <w:lang w:eastAsia="zh-CN"/>
        </w:rPr>
        <w:t>、</w:t>
      </w:r>
    </w:p>
    <w:p w14:paraId="1EAAA92F">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30.</w:t>
      </w:r>
      <w:r>
        <w:rPr>
          <w:rFonts w:hint="eastAsia" w:ascii="宋体" w:hAnsi="宋体"/>
          <w:color w:val="000000"/>
          <w:sz w:val="24"/>
          <w:szCs w:val="24"/>
          <w:highlight w:val="none"/>
        </w:rPr>
        <w:t>支持升级脑电图EEG，振幅整合脑电图aEEG监测模块，可提供4通道脑电图以及DSA致密频谱密度查看</w:t>
      </w:r>
    </w:p>
    <w:p w14:paraId="54C1DA1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31.</w:t>
      </w:r>
      <w:r>
        <w:rPr>
          <w:rFonts w:hint="eastAsia" w:ascii="宋体" w:hAnsi="宋体"/>
          <w:sz w:val="24"/>
          <w:szCs w:val="24"/>
          <w:highlight w:val="none"/>
          <w:lang w:val="en-US" w:eastAsia="zh-CN"/>
        </w:rPr>
        <w:t>标配</w:t>
      </w:r>
      <w:r>
        <w:rPr>
          <w:rFonts w:hint="eastAsia" w:ascii="宋体" w:hAnsi="宋体"/>
          <w:sz w:val="24"/>
          <w:szCs w:val="24"/>
          <w:highlight w:val="none"/>
        </w:rPr>
        <w:t>PiCCO监测</w:t>
      </w:r>
      <w:r>
        <w:rPr>
          <w:rFonts w:hint="eastAsia" w:ascii="宋体" w:hAnsi="宋体"/>
          <w:sz w:val="24"/>
          <w:szCs w:val="24"/>
          <w:highlight w:val="none"/>
          <w:lang w:val="en-US" w:eastAsia="zh-CN"/>
        </w:rPr>
        <w:t>分析软件</w:t>
      </w:r>
      <w:r>
        <w:rPr>
          <w:rFonts w:hint="eastAsia" w:ascii="宋体" w:hAnsi="宋体"/>
          <w:sz w:val="24"/>
          <w:szCs w:val="24"/>
          <w:highlight w:val="none"/>
        </w:rPr>
        <w:t>，</w:t>
      </w:r>
      <w:r>
        <w:rPr>
          <w:rFonts w:hint="eastAsia" w:ascii="宋体" w:hAnsi="宋体"/>
          <w:sz w:val="24"/>
          <w:szCs w:val="24"/>
          <w:highlight w:val="none"/>
          <w:lang w:val="en-US" w:eastAsia="zh-CN"/>
        </w:rPr>
        <w:t>当升级配备PICCO模块时</w:t>
      </w:r>
      <w:r>
        <w:rPr>
          <w:rFonts w:hint="eastAsia" w:ascii="宋体" w:hAnsi="宋体"/>
          <w:sz w:val="24"/>
          <w:szCs w:val="24"/>
          <w:highlight w:val="none"/>
        </w:rPr>
        <w:t>可监测胸腔内血容量(ITBV)、血管外肺水(EVLW)，肺毛细血管通透性指数(PVPI)等参数，提供完整的血流动力学参数监测</w:t>
      </w:r>
      <w:r>
        <w:rPr>
          <w:rFonts w:hint="eastAsia" w:ascii="宋体" w:hAnsi="宋体"/>
          <w:sz w:val="24"/>
          <w:szCs w:val="24"/>
          <w:highlight w:val="none"/>
          <w:lang w:eastAsia="zh-CN"/>
        </w:rPr>
        <w:t>，</w:t>
      </w:r>
      <w:r>
        <w:rPr>
          <w:rFonts w:hint="eastAsia" w:ascii="宋体" w:hAnsi="宋体"/>
          <w:sz w:val="24"/>
          <w:szCs w:val="24"/>
          <w:highlight w:val="none"/>
          <w:lang w:val="en-US" w:eastAsia="zh-CN"/>
        </w:rPr>
        <w:t>无需额外费用。</w:t>
      </w:r>
    </w:p>
    <w:p w14:paraId="0653EBA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32.</w:t>
      </w:r>
      <w:r>
        <w:rPr>
          <w:rFonts w:hint="eastAsia" w:ascii="宋体" w:hAnsi="宋体"/>
          <w:sz w:val="24"/>
          <w:szCs w:val="24"/>
          <w:highlight w:val="none"/>
          <w:lang w:val="en-US" w:eastAsia="zh-CN"/>
        </w:rPr>
        <w:t>支持升级</w:t>
      </w:r>
      <w:r>
        <w:rPr>
          <w:rFonts w:hint="eastAsia" w:ascii="宋体" w:hAnsi="宋体"/>
          <w:sz w:val="24"/>
          <w:szCs w:val="24"/>
          <w:highlight w:val="none"/>
        </w:rPr>
        <w:t>FloTrac监测功能模块，非漂浮导管热稀释法或无创阻抗法，可通过监测挠动脉压力提供连续心排量（CCO），每搏量变异（SVV），实时外周血管阻力（SVR）等监测参数，满足连续血流动力学监测需求</w:t>
      </w:r>
    </w:p>
    <w:p w14:paraId="4C97D875">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33.</w:t>
      </w:r>
      <w:r>
        <w:rPr>
          <w:rFonts w:hint="eastAsia" w:ascii="宋体" w:hAnsi="宋体"/>
          <w:sz w:val="24"/>
          <w:szCs w:val="24"/>
          <w:highlight w:val="none"/>
        </w:rPr>
        <w:t>支持升级模块，进行RM呼吸力学监测，提供≥1</w:t>
      </w:r>
      <w:r>
        <w:rPr>
          <w:rFonts w:ascii="宋体" w:hAnsi="宋体"/>
          <w:sz w:val="24"/>
          <w:szCs w:val="24"/>
          <w:highlight w:val="none"/>
        </w:rPr>
        <w:t>8</w:t>
      </w:r>
      <w:r>
        <w:rPr>
          <w:rFonts w:hint="eastAsia" w:ascii="宋体" w:hAnsi="宋体"/>
          <w:sz w:val="24"/>
          <w:szCs w:val="24"/>
          <w:highlight w:val="none"/>
        </w:rPr>
        <w:t>项呼吸力学参数参数指标，可监测包括： PIF峰值吸气流量，PEF峰值呼气流量， WOB病人呼吸功，NIF负吸入压力，RSBI浅呼吸指数</w:t>
      </w:r>
    </w:p>
    <w:p w14:paraId="2DEE1E6D">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34.</w:t>
      </w:r>
      <w:r>
        <w:rPr>
          <w:rFonts w:hint="eastAsia" w:ascii="宋体" w:hAnsi="宋体"/>
          <w:sz w:val="24"/>
          <w:szCs w:val="24"/>
          <w:highlight w:val="none"/>
        </w:rPr>
        <w:t>支持升级模块，进行ICG参数监测，可无创监测患者连续心排量</w:t>
      </w:r>
    </w:p>
    <w:p w14:paraId="71B49A3F">
      <w:pPr>
        <w:pStyle w:val="45"/>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420" w:leftChars="0" w:hanging="420" w:firstLineChars="0"/>
        <w:textAlignment w:val="auto"/>
        <w:rPr>
          <w:rFonts w:ascii="宋体" w:hAnsi="宋体" w:eastAsia="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35.</w:t>
      </w:r>
      <w:r>
        <w:rPr>
          <w:rFonts w:hint="eastAsia" w:ascii="宋体" w:hAnsi="宋体" w:eastAsia="宋体"/>
          <w:color w:val="000000"/>
          <w:sz w:val="24"/>
          <w:szCs w:val="24"/>
          <w:highlight w:val="none"/>
        </w:rPr>
        <w:t>支持升级</w:t>
      </w:r>
      <w:r>
        <w:rPr>
          <w:rFonts w:hint="eastAsia" w:ascii="宋体" w:hAnsi="宋体" w:eastAsia="宋体"/>
          <w:color w:val="000000"/>
          <w:sz w:val="24"/>
          <w:szCs w:val="24"/>
          <w:highlight w:val="none"/>
          <w:lang w:val="en-US" w:eastAsia="zh-CN"/>
        </w:rPr>
        <w:t>互联</w:t>
      </w:r>
      <w:r>
        <w:rPr>
          <w:rFonts w:hint="eastAsia" w:ascii="宋体" w:hAnsi="宋体" w:eastAsia="宋体"/>
          <w:color w:val="000000"/>
          <w:sz w:val="24"/>
          <w:szCs w:val="24"/>
          <w:highlight w:val="none"/>
        </w:rPr>
        <w:t>模块，可与主流品牌的呼吸机、输注泵产品相连，实现呼吸机、输注泵设备的信息在监护仪上显示、存储、记录、打印或者用于参与计算。</w:t>
      </w:r>
    </w:p>
    <w:p w14:paraId="179F0D9A">
      <w:pPr>
        <w:keepNext w:val="0"/>
        <w:keepLines w:val="0"/>
        <w:pageBreakBefore w:val="0"/>
        <w:kinsoku/>
        <w:wordWrap/>
        <w:overflowPunct/>
        <w:topLinePunct w:val="0"/>
        <w:bidi w:val="0"/>
        <w:adjustRightInd w:val="0"/>
        <w:snapToGrid w:val="0"/>
        <w:spacing w:line="240" w:lineRule="auto"/>
        <w:ind w:right="-512" w:rightChars="-244"/>
        <w:textAlignment w:val="auto"/>
        <w:rPr>
          <w:rFonts w:ascii="宋体" w:hAnsi="宋体"/>
          <w:b/>
          <w:sz w:val="24"/>
          <w:szCs w:val="24"/>
          <w:highlight w:val="none"/>
        </w:rPr>
      </w:pPr>
      <w:r>
        <w:rPr>
          <w:rFonts w:hint="eastAsia" w:ascii="宋体" w:hAnsi="宋体"/>
          <w:b/>
          <w:sz w:val="24"/>
          <w:szCs w:val="24"/>
          <w:highlight w:val="none"/>
        </w:rPr>
        <w:t>系统功能：</w:t>
      </w:r>
    </w:p>
    <w:p w14:paraId="74CC2814">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36.</w:t>
      </w:r>
      <w:r>
        <w:rPr>
          <w:rFonts w:ascii="宋体" w:hAnsi="宋体"/>
          <w:sz w:val="24"/>
          <w:szCs w:val="24"/>
          <w:highlight w:val="none"/>
        </w:rPr>
        <w:t>具有图形化报警指示功能，看报警信息更容易</w:t>
      </w:r>
    </w:p>
    <w:p w14:paraId="69B06F28">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37.</w:t>
      </w:r>
      <w:r>
        <w:rPr>
          <w:rFonts w:hint="eastAsia" w:ascii="宋体" w:hAnsi="宋体"/>
          <w:color w:val="000000"/>
          <w:sz w:val="24"/>
          <w:szCs w:val="24"/>
          <w:highlight w:val="none"/>
          <w:lang w:val="en-US" w:eastAsia="zh-CN"/>
        </w:rPr>
        <w:t>标配</w:t>
      </w:r>
      <w:r>
        <w:rPr>
          <w:rFonts w:hint="eastAsia" w:ascii="宋体" w:hAnsi="宋体"/>
          <w:color w:val="000000"/>
          <w:sz w:val="24"/>
          <w:szCs w:val="24"/>
          <w:highlight w:val="none"/>
        </w:rPr>
        <w:t>报警升级功能，当参数报警经过一定的时间未被处理或伴发了其他报警，就会升级到更高一个级别</w:t>
      </w:r>
    </w:p>
    <w:p w14:paraId="0FE84845">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38.</w:t>
      </w:r>
      <w:r>
        <w:rPr>
          <w:rFonts w:hint="eastAsia" w:ascii="宋体" w:hAnsi="宋体"/>
          <w:color w:val="000000"/>
          <w:sz w:val="24"/>
          <w:szCs w:val="24"/>
          <w:highlight w:val="none"/>
        </w:rPr>
        <w:t>具有特殊报警音，当监护仪在病人发生致命性参数报警时，发出特殊的报警音进行提示病人处于危急状态</w:t>
      </w:r>
    </w:p>
    <w:p w14:paraId="61D9AD15">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39.</w:t>
      </w:r>
      <w:r>
        <w:rPr>
          <w:rFonts w:hint="eastAsia" w:ascii="宋体" w:hAnsi="宋体"/>
          <w:color w:val="000000"/>
          <w:sz w:val="24"/>
          <w:szCs w:val="24"/>
          <w:highlight w:val="none"/>
        </w:rPr>
        <w:t>支持根据病人的参数趋势变化，自动推送推荐报警限</w:t>
      </w:r>
    </w:p>
    <w:p w14:paraId="0BAD2B74">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40.</w:t>
      </w:r>
      <w:r>
        <w:rPr>
          <w:rFonts w:hint="eastAsia" w:ascii="宋体" w:hAnsi="宋体"/>
          <w:sz w:val="24"/>
          <w:szCs w:val="24"/>
          <w:highlight w:val="none"/>
          <w:lang w:eastAsia="zh-CN"/>
        </w:rPr>
        <w:t>▲</w:t>
      </w:r>
      <w:r>
        <w:rPr>
          <w:rFonts w:hint="eastAsia" w:ascii="宋体" w:hAnsi="宋体"/>
          <w:color w:val="000000"/>
          <w:sz w:val="24"/>
          <w:szCs w:val="24"/>
          <w:highlight w:val="none"/>
          <w:lang w:val="en-US" w:eastAsia="zh-CN"/>
        </w:rPr>
        <w:t>标配参数组合报警功能，可对患者同时多个参数变化给出统一报警提示，预示病人不同生理系统状态改变</w:t>
      </w:r>
    </w:p>
    <w:p w14:paraId="15D268AE">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41.</w:t>
      </w:r>
      <w:r>
        <w:rPr>
          <w:rFonts w:hint="eastAsia" w:ascii="宋体" w:hAnsi="宋体"/>
          <w:color w:val="000000"/>
          <w:sz w:val="24"/>
          <w:szCs w:val="24"/>
          <w:highlight w:val="none"/>
        </w:rPr>
        <w:t>标配具备血液动力学，药物计算，氧合计算，通气计算和肾功能计算功能，并提供证明材料</w:t>
      </w:r>
    </w:p>
    <w:p w14:paraId="22B42015">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42.</w:t>
      </w:r>
      <w:r>
        <w:rPr>
          <w:rFonts w:hint="eastAsia" w:ascii="宋体" w:hAnsi="宋体"/>
          <w:sz w:val="24"/>
          <w:szCs w:val="24"/>
          <w:highlight w:val="none"/>
          <w:lang w:val="en-US" w:eastAsia="zh-CN"/>
        </w:rPr>
        <w:t>支持升级配备血流动力学软件工具</w:t>
      </w:r>
      <w:r>
        <w:rPr>
          <w:rFonts w:hint="eastAsia" w:ascii="宋体" w:hAnsi="宋体"/>
          <w:color w:val="000000"/>
          <w:sz w:val="24"/>
          <w:szCs w:val="24"/>
          <w:highlight w:val="none"/>
        </w:rPr>
        <w:t>，需提供证明材料</w:t>
      </w:r>
    </w:p>
    <w:p w14:paraId="145E84BE">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43.</w:t>
      </w:r>
      <w:r>
        <w:rPr>
          <w:rFonts w:hint="eastAsia" w:ascii="宋体" w:hAnsi="宋体"/>
          <w:sz w:val="24"/>
          <w:szCs w:val="24"/>
          <w:highlight w:val="none"/>
          <w:lang w:val="en-US" w:eastAsia="zh-CN"/>
        </w:rPr>
        <w:t>可配备临床辅助软件</w:t>
      </w:r>
      <w:r>
        <w:rPr>
          <w:rFonts w:hint="eastAsia" w:ascii="宋体" w:hAnsi="宋体"/>
          <w:color w:val="000000"/>
          <w:sz w:val="24"/>
          <w:szCs w:val="24"/>
          <w:highlight w:val="none"/>
        </w:rPr>
        <w:t>，需提供证明材料</w:t>
      </w:r>
    </w:p>
    <w:p w14:paraId="6F8E8808">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44.</w:t>
      </w:r>
      <w:r>
        <w:rPr>
          <w:rFonts w:hint="eastAsia" w:ascii="宋体" w:hAnsi="宋体"/>
          <w:sz w:val="24"/>
          <w:szCs w:val="24"/>
          <w:highlight w:val="none"/>
          <w:lang w:val="en-US" w:eastAsia="zh-CN"/>
        </w:rPr>
        <w:t>支持升级</w:t>
      </w:r>
      <w:r>
        <w:rPr>
          <w:rFonts w:hint="eastAsia" w:ascii="宋体" w:hAnsi="宋体"/>
          <w:sz w:val="24"/>
          <w:szCs w:val="24"/>
          <w:highlight w:val="none"/>
        </w:rPr>
        <w:t>配备</w:t>
      </w:r>
      <w:r>
        <w:rPr>
          <w:rFonts w:hint="eastAsia" w:ascii="宋体" w:hAnsi="宋体"/>
          <w:color w:val="000000"/>
          <w:sz w:val="24"/>
          <w:szCs w:val="24"/>
          <w:highlight w:val="none"/>
        </w:rPr>
        <w:t>CCHD新生儿先心病筛查工具，并可以支持美标法及双标法筛查流程，双标法筛查流程复合《全国新生儿先天性心脏病筛查手册》（2</w:t>
      </w:r>
      <w:r>
        <w:rPr>
          <w:rFonts w:ascii="宋体" w:hAnsi="宋体"/>
          <w:color w:val="000000"/>
          <w:sz w:val="24"/>
          <w:szCs w:val="24"/>
          <w:highlight w:val="none"/>
        </w:rPr>
        <w:t>018</w:t>
      </w:r>
      <w:r>
        <w:rPr>
          <w:rFonts w:hint="eastAsia" w:ascii="宋体" w:hAnsi="宋体"/>
          <w:color w:val="000000"/>
          <w:sz w:val="24"/>
          <w:szCs w:val="24"/>
          <w:highlight w:val="none"/>
        </w:rPr>
        <w:t>版），需提供证明材料</w:t>
      </w:r>
    </w:p>
    <w:p w14:paraId="27986B3B">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45.</w:t>
      </w:r>
      <w:r>
        <w:rPr>
          <w:rFonts w:hint="eastAsia" w:ascii="宋体" w:hAnsi="宋体"/>
          <w:color w:val="000000"/>
          <w:sz w:val="24"/>
          <w:szCs w:val="24"/>
          <w:highlight w:val="none"/>
        </w:rPr>
        <w:t>可提供监护仪用药信息工具</w:t>
      </w:r>
    </w:p>
    <w:p w14:paraId="168A1415">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46.</w:t>
      </w:r>
      <w:r>
        <w:rPr>
          <w:rFonts w:hint="eastAsia" w:ascii="宋体" w:hAnsi="宋体"/>
          <w:sz w:val="24"/>
          <w:szCs w:val="24"/>
          <w:highlight w:val="none"/>
        </w:rPr>
        <w:t>支持≥1</w:t>
      </w:r>
      <w:r>
        <w:rPr>
          <w:rFonts w:ascii="宋体" w:hAnsi="宋体"/>
          <w:sz w:val="24"/>
          <w:szCs w:val="24"/>
          <w:highlight w:val="none"/>
        </w:rPr>
        <w:t>0</w:t>
      </w:r>
      <w:r>
        <w:rPr>
          <w:rFonts w:hint="eastAsia" w:ascii="宋体" w:hAnsi="宋体"/>
          <w:sz w:val="24"/>
          <w:szCs w:val="24"/>
          <w:highlight w:val="none"/>
        </w:rPr>
        <w:t>0小时趋势表和趋势图回顾，最小分辨率1分钟</w:t>
      </w:r>
    </w:p>
    <w:p w14:paraId="20A04518">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47.</w:t>
      </w:r>
      <w:r>
        <w:rPr>
          <w:rFonts w:hint="eastAsia" w:ascii="宋体" w:hAnsi="宋体"/>
          <w:sz w:val="24"/>
          <w:szCs w:val="24"/>
          <w:highlight w:val="none"/>
        </w:rPr>
        <w:t>支持≥</w:t>
      </w:r>
      <w:r>
        <w:rPr>
          <w:rFonts w:ascii="宋体" w:hAnsi="宋体"/>
          <w:sz w:val="24"/>
          <w:szCs w:val="24"/>
          <w:highlight w:val="none"/>
        </w:rPr>
        <w:t>800条事件回顾。每条报警事件至少能够存储</w:t>
      </w:r>
      <w:r>
        <w:rPr>
          <w:rFonts w:hint="eastAsia" w:ascii="宋体" w:hAnsi="宋体"/>
          <w:sz w:val="24"/>
          <w:szCs w:val="24"/>
          <w:highlight w:val="none"/>
        </w:rPr>
        <w:t>32秒三道相关波形，以及报警触发时所有测量参数值</w:t>
      </w:r>
    </w:p>
    <w:p w14:paraId="79D8E15E">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48.</w:t>
      </w:r>
      <w:r>
        <w:rPr>
          <w:rFonts w:hint="eastAsia" w:ascii="宋体" w:hAnsi="宋体"/>
          <w:color w:val="000000"/>
          <w:sz w:val="24"/>
          <w:szCs w:val="24"/>
          <w:highlight w:val="none"/>
        </w:rPr>
        <w:t>具备</w:t>
      </w:r>
      <w:r>
        <w:rPr>
          <w:rFonts w:hint="eastAsia" w:ascii="宋体" w:hAnsi="宋体"/>
          <w:sz w:val="24"/>
          <w:szCs w:val="24"/>
          <w:highlight w:val="none"/>
        </w:rPr>
        <w:t>≥</w:t>
      </w:r>
      <w:r>
        <w:rPr>
          <w:rFonts w:hint="eastAsia" w:ascii="宋体" w:hAnsi="宋体"/>
          <w:color w:val="000000"/>
          <w:sz w:val="24"/>
          <w:szCs w:val="24"/>
          <w:highlight w:val="none"/>
        </w:rPr>
        <w:t>40小时全息波形的存储与回顾功能</w:t>
      </w:r>
    </w:p>
    <w:p w14:paraId="4EAD97A2">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49.</w:t>
      </w:r>
      <w:r>
        <w:rPr>
          <w:rFonts w:hint="eastAsia" w:ascii="宋体" w:hAnsi="宋体"/>
          <w:sz w:val="24"/>
          <w:szCs w:val="24"/>
          <w:highlight w:val="none"/>
        </w:rPr>
        <w:t>支持≥1</w:t>
      </w:r>
      <w:r>
        <w:rPr>
          <w:rFonts w:ascii="宋体" w:hAnsi="宋体"/>
          <w:sz w:val="24"/>
          <w:szCs w:val="24"/>
          <w:highlight w:val="none"/>
        </w:rPr>
        <w:t>0</w:t>
      </w:r>
      <w:r>
        <w:rPr>
          <w:rFonts w:hint="eastAsia" w:ascii="宋体" w:hAnsi="宋体"/>
          <w:sz w:val="24"/>
          <w:szCs w:val="24"/>
          <w:highlight w:val="none"/>
        </w:rPr>
        <w:t>0小时ST波形片段的存储与回顾</w:t>
      </w:r>
    </w:p>
    <w:p w14:paraId="097BE2E2">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50.</w:t>
      </w:r>
      <w:r>
        <w:rPr>
          <w:rFonts w:hint="eastAsia" w:ascii="宋体" w:hAnsi="宋体"/>
          <w:sz w:val="24"/>
          <w:szCs w:val="24"/>
          <w:highlight w:val="none"/>
        </w:rPr>
        <w:t>患者离开科室，监护仪状态由接收患者到解除患者后，患者数据不删除，支持在监护仪回顾历史病人数据</w:t>
      </w:r>
    </w:p>
    <w:p w14:paraId="382F3155">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51.</w:t>
      </w:r>
      <w:r>
        <w:rPr>
          <w:rFonts w:hint="eastAsia" w:ascii="宋体" w:hAnsi="宋体"/>
          <w:sz w:val="24"/>
          <w:szCs w:val="24"/>
          <w:highlight w:val="none"/>
        </w:rPr>
        <w:t>工作模式提供：监护模式、 待机模式、体外循环模式、插管模式，夜间模式</w:t>
      </w:r>
    </w:p>
    <w:p w14:paraId="587CA2B0">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52.</w:t>
      </w:r>
      <w:r>
        <w:rPr>
          <w:rFonts w:hint="eastAsia" w:ascii="宋体" w:hAnsi="宋体"/>
          <w:sz w:val="24"/>
          <w:szCs w:val="24"/>
          <w:highlight w:val="none"/>
        </w:rPr>
        <w:t>支持与遥测，生命体征监测仪、呼吸机混合联通至中心监护系统，实现护士站的集中管理</w:t>
      </w:r>
    </w:p>
    <w:p w14:paraId="7A569708">
      <w:pPr>
        <w:keepNext w:val="0"/>
        <w:keepLines w:val="0"/>
        <w:pageBreakBefore w:val="0"/>
        <w:widowControl w:val="0"/>
        <w:kinsoku/>
        <w:wordWrap/>
        <w:overflowPunct/>
        <w:topLinePunct w:val="0"/>
        <w:bidi w:val="0"/>
        <w:adjustRightInd w:val="0"/>
        <w:snapToGrid w:val="0"/>
        <w:spacing w:after="0" w:line="240" w:lineRule="auto"/>
        <w:ind w:left="420"/>
        <w:jc w:val="both"/>
        <w:textAlignment w:val="auto"/>
        <w:rPr>
          <w:rFonts w:ascii="宋体" w:hAnsi="宋体"/>
          <w:b/>
          <w:sz w:val="24"/>
          <w:szCs w:val="24"/>
          <w:highlight w:val="none"/>
        </w:rPr>
      </w:pPr>
      <w:r>
        <w:rPr>
          <w:rFonts w:hint="eastAsia" w:ascii="宋体" w:hAnsi="宋体"/>
          <w:b/>
          <w:sz w:val="24"/>
          <w:szCs w:val="24"/>
          <w:highlight w:val="none"/>
        </w:rPr>
        <w:t>产品设计与认证</w:t>
      </w:r>
    </w:p>
    <w:p w14:paraId="127C8D71">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right="-512" w:rightChars="-244" w:hanging="420" w:firstLineChars="0"/>
        <w:textAlignment w:val="auto"/>
        <w:rPr>
          <w:rFonts w:ascii="宋体" w:hAnsi="宋体"/>
          <w:sz w:val="24"/>
          <w:szCs w:val="24"/>
          <w:highlight w:val="none"/>
          <w:u w:val="single"/>
        </w:rPr>
      </w:pPr>
      <w:r>
        <w:rPr>
          <w:rFonts w:hint="default" w:ascii="宋体" w:hAnsi="宋体" w:eastAsia="宋体" w:cs="Times New Roman"/>
          <w:kern w:val="2"/>
          <w:sz w:val="24"/>
          <w:szCs w:val="24"/>
          <w:highlight w:val="none"/>
          <w:lang w:val="en-US" w:eastAsia="zh-CN" w:bidi="ar-SA"/>
        </w:rPr>
        <w:t>53.</w:t>
      </w:r>
      <w:r>
        <w:rPr>
          <w:rFonts w:hint="eastAsia" w:ascii="宋体" w:hAnsi="宋体"/>
          <w:highlight w:val="none"/>
        </w:rPr>
        <w:t>产品通过国家III类注册</w:t>
      </w:r>
      <w:r>
        <w:rPr>
          <w:rFonts w:hint="eastAsia"/>
          <w:highlight w:val="none"/>
          <w:lang w:val="en-US" w:eastAsia="zh-CN"/>
        </w:rPr>
        <w:t>，每台监护设备需要额外配置心电、血压、血氧附件两套。</w:t>
      </w:r>
    </w:p>
    <w:p w14:paraId="6B93C700">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ascii="宋体" w:hAnsi="宋体"/>
          <w:b/>
          <w:color w:val="auto"/>
          <w:sz w:val="24"/>
          <w:szCs w:val="24"/>
          <w:highlight w:val="none"/>
          <w:u w:val="none"/>
        </w:rPr>
      </w:pPr>
      <w:r>
        <w:rPr>
          <w:rFonts w:hint="eastAsia" w:ascii="宋体" w:hAnsi="宋体"/>
          <w:b/>
          <w:color w:val="auto"/>
          <w:sz w:val="24"/>
          <w:szCs w:val="24"/>
          <w:highlight w:val="none"/>
          <w:u w:val="none"/>
          <w:lang w:val="en-US" w:eastAsia="zh-CN"/>
        </w:rPr>
        <w:t>（二）</w:t>
      </w:r>
      <w:r>
        <w:rPr>
          <w:rFonts w:hint="eastAsia" w:ascii="宋体" w:hAnsi="宋体"/>
          <w:b/>
          <w:color w:val="auto"/>
          <w:sz w:val="24"/>
          <w:szCs w:val="24"/>
          <w:highlight w:val="none"/>
          <w:u w:val="none"/>
        </w:rPr>
        <w:t>输液管理系统</w:t>
      </w:r>
    </w:p>
    <w:p w14:paraId="594846CD">
      <w:pPr>
        <w:keepNext w:val="0"/>
        <w:keepLines w:val="0"/>
        <w:pageBreakBefore w:val="0"/>
        <w:kinsoku/>
        <w:wordWrap/>
        <w:overflowPunct/>
        <w:topLinePunct w:val="0"/>
        <w:bidi w:val="0"/>
        <w:adjustRightInd w:val="0"/>
        <w:snapToGrid w:val="0"/>
        <w:spacing w:line="240" w:lineRule="auto"/>
        <w:textAlignment w:val="auto"/>
        <w:rPr>
          <w:sz w:val="24"/>
          <w:szCs w:val="24"/>
          <w:highlight w:val="none"/>
        </w:rPr>
      </w:pPr>
      <w:bookmarkStart w:id="159" w:name="_Hlk63666625"/>
      <w:r>
        <w:rPr>
          <w:rFonts w:hint="eastAsia" w:ascii="宋体" w:hAnsi="宋体"/>
          <w:b/>
          <w:sz w:val="24"/>
          <w:szCs w:val="24"/>
          <w:highlight w:val="none"/>
        </w:rPr>
        <w:t>一、输液信息采集系统</w:t>
      </w:r>
    </w:p>
    <w:bookmarkEnd w:id="159"/>
    <w:p w14:paraId="12CBAF6F">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w:t>
      </w:r>
      <w:r>
        <w:rPr>
          <w:rFonts w:hint="eastAsia"/>
          <w:sz w:val="24"/>
          <w:szCs w:val="24"/>
          <w:highlight w:val="none"/>
        </w:rPr>
        <w:t>输液信息采集系统以每</w:t>
      </w:r>
      <w:r>
        <w:rPr>
          <w:sz w:val="24"/>
          <w:szCs w:val="24"/>
          <w:highlight w:val="none"/>
        </w:rPr>
        <w:t>2个通道为基本单位增减，最多可支持16通道，泵即插即用，与系统数据无缝连接</w:t>
      </w:r>
    </w:p>
    <w:p w14:paraId="1C2DA447">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w:t>
      </w:r>
      <w:r>
        <w:rPr>
          <w:rFonts w:hint="eastAsia"/>
          <w:sz w:val="24"/>
          <w:szCs w:val="24"/>
          <w:highlight w:val="none"/>
        </w:rPr>
        <w:t>输液信息采集系统只需一根电源线，可为站内输液泵</w:t>
      </w:r>
      <w:r>
        <w:rPr>
          <w:sz w:val="24"/>
          <w:szCs w:val="24"/>
          <w:highlight w:val="none"/>
        </w:rPr>
        <w:t>/注射泵模块集中供电</w:t>
      </w:r>
    </w:p>
    <w:p w14:paraId="475EE96D">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3.</w:t>
      </w:r>
      <w:r>
        <w:rPr>
          <w:rFonts w:hint="eastAsia"/>
          <w:sz w:val="24"/>
          <w:szCs w:val="24"/>
          <w:highlight w:val="none"/>
        </w:rPr>
        <w:t>输液信息采集系统任意输注模块之间具备联机功能，满足用户的连续输液功能需求；</w:t>
      </w:r>
    </w:p>
    <w:p w14:paraId="5761589F">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4.</w:t>
      </w:r>
      <w:r>
        <w:rPr>
          <w:rFonts w:hint="eastAsia"/>
          <w:sz w:val="24"/>
          <w:szCs w:val="24"/>
          <w:highlight w:val="none"/>
          <w:lang w:val="en-US" w:eastAsia="zh-CN"/>
        </w:rPr>
        <w:t>直接连接中心监护系统与监护仪、呼吸机等同屏显示满足用户集中查看需求</w:t>
      </w:r>
    </w:p>
    <w:p w14:paraId="16750988">
      <w:pPr>
        <w:keepNext w:val="0"/>
        <w:keepLines w:val="0"/>
        <w:pageBreakBefore w:val="0"/>
        <w:kinsoku/>
        <w:wordWrap/>
        <w:overflowPunct/>
        <w:topLinePunct w:val="0"/>
        <w:bidi w:val="0"/>
        <w:adjustRightInd w:val="0"/>
        <w:snapToGrid w:val="0"/>
        <w:spacing w:line="240" w:lineRule="auto"/>
        <w:textAlignment w:val="auto"/>
        <w:rPr>
          <w:rFonts w:hint="default" w:eastAsiaTheme="minorEastAsia"/>
          <w:sz w:val="24"/>
          <w:szCs w:val="24"/>
          <w:highlight w:val="none"/>
          <w:lang w:val="en-US" w:eastAsia="zh-CN"/>
        </w:rPr>
      </w:pPr>
      <w:r>
        <w:rPr>
          <w:rFonts w:hint="eastAsia" w:ascii="宋体" w:hAnsi="宋体"/>
          <w:b/>
          <w:sz w:val="24"/>
          <w:szCs w:val="24"/>
          <w:highlight w:val="none"/>
        </w:rPr>
        <w:t>二、注射泵</w:t>
      </w:r>
      <w:r>
        <w:rPr>
          <w:rFonts w:hint="eastAsia" w:ascii="宋体" w:hAnsi="宋体"/>
          <w:b/>
          <w:sz w:val="24"/>
          <w:szCs w:val="24"/>
          <w:highlight w:val="none"/>
          <w:lang w:eastAsia="zh-CN"/>
        </w:rPr>
        <w:t>（</w:t>
      </w:r>
      <w:r>
        <w:rPr>
          <w:rFonts w:hint="eastAsia" w:ascii="宋体" w:hAnsi="宋体"/>
          <w:b/>
          <w:sz w:val="24"/>
          <w:szCs w:val="24"/>
          <w:highlight w:val="none"/>
          <w:lang w:val="en-US" w:eastAsia="zh-CN"/>
        </w:rPr>
        <w:t>3台）</w:t>
      </w:r>
    </w:p>
    <w:p w14:paraId="14AE1FC9">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w:t>
      </w:r>
      <w:r>
        <w:rPr>
          <w:rFonts w:hint="eastAsia"/>
          <w:sz w:val="24"/>
          <w:szCs w:val="24"/>
          <w:highlight w:val="none"/>
        </w:rPr>
        <w:t>注射精度≤±</w:t>
      </w:r>
      <w:r>
        <w:rPr>
          <w:sz w:val="24"/>
          <w:szCs w:val="24"/>
          <w:highlight w:val="none"/>
        </w:rPr>
        <w:t>1.8%，机械精度≤±0.5%</w:t>
      </w:r>
    </w:p>
    <w:p w14:paraId="0844496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w:t>
      </w:r>
      <w:r>
        <w:rPr>
          <w:rFonts w:hint="eastAsia"/>
          <w:sz w:val="24"/>
          <w:szCs w:val="24"/>
          <w:highlight w:val="none"/>
        </w:rPr>
        <w:t>速率范围：</w:t>
      </w:r>
      <w:r>
        <w:rPr>
          <w:sz w:val="24"/>
          <w:szCs w:val="24"/>
          <w:highlight w:val="none"/>
        </w:rPr>
        <w:t>0.01-2300ml/h, 最小步进0.01ml/h</w:t>
      </w:r>
    </w:p>
    <w:p w14:paraId="09D843A5">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3.</w:t>
      </w:r>
      <w:r>
        <w:rPr>
          <w:rFonts w:hint="eastAsia"/>
          <w:sz w:val="24"/>
          <w:szCs w:val="24"/>
          <w:highlight w:val="none"/>
        </w:rPr>
        <w:t>预置输液总量范围：</w:t>
      </w:r>
      <w:r>
        <w:rPr>
          <w:sz w:val="24"/>
          <w:szCs w:val="24"/>
          <w:highlight w:val="none"/>
        </w:rPr>
        <w:t>0.01-9999.99ml</w:t>
      </w:r>
    </w:p>
    <w:p w14:paraId="6031B60F">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4.</w:t>
      </w:r>
      <w:r>
        <w:rPr>
          <w:rFonts w:hint="eastAsia"/>
          <w:sz w:val="24"/>
          <w:szCs w:val="24"/>
          <w:highlight w:val="none"/>
        </w:rPr>
        <w:t>快进流速范围：</w:t>
      </w:r>
      <w:r>
        <w:rPr>
          <w:sz w:val="24"/>
          <w:szCs w:val="24"/>
          <w:highlight w:val="none"/>
        </w:rPr>
        <w:t>0.01-2300ml/h，具有自动和手动快进可选；</w:t>
      </w:r>
    </w:p>
    <w:p w14:paraId="2AD98FAD">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5.</w:t>
      </w:r>
      <w:r>
        <w:rPr>
          <w:rFonts w:hint="eastAsia"/>
          <w:sz w:val="24"/>
          <w:szCs w:val="24"/>
          <w:highlight w:val="none"/>
        </w:rPr>
        <w:t>可自动统计四种累计量：</w:t>
      </w:r>
      <w:r>
        <w:rPr>
          <w:sz w:val="24"/>
          <w:szCs w:val="24"/>
          <w:highlight w:val="none"/>
        </w:rPr>
        <w:t>24h累计量、最近累计量、自定义时间段累计量、定时间隔累计量</w:t>
      </w:r>
    </w:p>
    <w:p w14:paraId="6D3AFA06">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6.</w:t>
      </w:r>
      <w:r>
        <w:rPr>
          <w:rFonts w:hint="eastAsia"/>
          <w:sz w:val="24"/>
          <w:szCs w:val="24"/>
          <w:highlight w:val="none"/>
        </w:rPr>
        <w:t>支持注射器规格：</w:t>
      </w:r>
      <w:r>
        <w:rPr>
          <w:sz w:val="24"/>
          <w:szCs w:val="24"/>
          <w:highlight w:val="none"/>
        </w:rPr>
        <w:t>1ml、2ml、3ml、5ml、10ml、20ml、30ml、50/60ml；</w:t>
      </w:r>
    </w:p>
    <w:p w14:paraId="746F6D18">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7.</w:t>
      </w:r>
      <w:r>
        <w:rPr>
          <w:rFonts w:hint="eastAsia"/>
          <w:sz w:val="24"/>
          <w:szCs w:val="24"/>
          <w:highlight w:val="none"/>
        </w:rPr>
        <w:t>注射器安装后，推拉盒可自动定位并固定注射器尾夹</w:t>
      </w:r>
    </w:p>
    <w:p w14:paraId="758AF7B3">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8.</w:t>
      </w:r>
      <w:r>
        <w:rPr>
          <w:rFonts w:hint="eastAsia"/>
          <w:sz w:val="24"/>
          <w:szCs w:val="24"/>
          <w:highlight w:val="none"/>
        </w:rPr>
        <w:t>无需额外工具或设备，可直接在注射泵上添加注射器品牌名称</w:t>
      </w:r>
    </w:p>
    <w:p w14:paraId="605A6A2D">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9.</w:t>
      </w:r>
      <w:r>
        <w:rPr>
          <w:sz w:val="24"/>
          <w:szCs w:val="24"/>
          <w:highlight w:val="none"/>
        </w:rPr>
        <w:t>8种注射模式：速度模式、时间模式、体重模式、梯度模式、序列模式、剂量时间模式、微量模式和间断给药模式；具备联机功能</w:t>
      </w:r>
    </w:p>
    <w:p w14:paraId="51DBEA42">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10.</w:t>
      </w:r>
      <w:r>
        <w:rPr>
          <w:sz w:val="24"/>
          <w:szCs w:val="24"/>
          <w:highlight w:val="none"/>
        </w:rPr>
        <w:t>3.5英寸彩色显示屏，电容触摸屏技术，支持上下左右滑动操作</w:t>
      </w:r>
    </w:p>
    <w:p w14:paraId="5864C58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11.</w:t>
      </w:r>
      <w:r>
        <w:rPr>
          <w:rFonts w:hint="eastAsia"/>
          <w:sz w:val="24"/>
          <w:szCs w:val="24"/>
          <w:highlight w:val="none"/>
        </w:rPr>
        <w:t>全中文软件操作界面</w:t>
      </w:r>
    </w:p>
    <w:p w14:paraId="01AF56BA">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12.</w:t>
      </w:r>
      <w:r>
        <w:rPr>
          <w:rFonts w:hint="eastAsia"/>
          <w:sz w:val="24"/>
          <w:szCs w:val="24"/>
          <w:highlight w:val="none"/>
        </w:rPr>
        <w:t>锁屏功能：支持自动锁屏，自动锁屏时间可调</w:t>
      </w:r>
    </w:p>
    <w:p w14:paraId="1FD14819">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13.</w:t>
      </w:r>
      <w:r>
        <w:rPr>
          <w:rFonts w:hint="eastAsia"/>
          <w:sz w:val="24"/>
          <w:szCs w:val="24"/>
          <w:highlight w:val="none"/>
        </w:rPr>
        <w:t>支持药物库，可储存</w:t>
      </w:r>
      <w:r>
        <w:rPr>
          <w:sz w:val="24"/>
          <w:szCs w:val="24"/>
          <w:highlight w:val="none"/>
        </w:rPr>
        <w:t>5000种药物信息</w:t>
      </w:r>
    </w:p>
    <w:p w14:paraId="12357795">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14.</w:t>
      </w:r>
      <w:r>
        <w:rPr>
          <w:rFonts w:hint="eastAsia"/>
          <w:sz w:val="24"/>
          <w:szCs w:val="24"/>
          <w:highlight w:val="none"/>
        </w:rPr>
        <w:t>支持药物色彩标识，选择不同类型药物时对应的药物色彩标识自动显示在屏幕上，支持</w:t>
      </w:r>
      <w:r>
        <w:rPr>
          <w:sz w:val="24"/>
          <w:szCs w:val="24"/>
          <w:highlight w:val="none"/>
        </w:rPr>
        <w:t>30种颜色</w:t>
      </w:r>
    </w:p>
    <w:p w14:paraId="11170341">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15.</w:t>
      </w:r>
      <w:r>
        <w:rPr>
          <w:rFonts w:hint="eastAsia"/>
          <w:sz w:val="24"/>
          <w:szCs w:val="24"/>
          <w:highlight w:val="none"/>
        </w:rPr>
        <w:t>报警时可通过示意图片直观提示报警信息</w:t>
      </w:r>
    </w:p>
    <w:p w14:paraId="599696EA">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16.</w:t>
      </w:r>
      <w:r>
        <w:rPr>
          <w:rFonts w:hint="eastAsia"/>
          <w:sz w:val="24"/>
          <w:szCs w:val="24"/>
          <w:highlight w:val="none"/>
        </w:rPr>
        <w:t>在线动态压力监测，可实时显示当前压力数值；</w:t>
      </w:r>
    </w:p>
    <w:p w14:paraId="3ED5DF4B">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17.</w:t>
      </w:r>
      <w:r>
        <w:rPr>
          <w:rFonts w:hint="eastAsia"/>
          <w:sz w:val="24"/>
          <w:szCs w:val="24"/>
          <w:highlight w:val="none"/>
        </w:rPr>
        <w:t>压力报警阈值</w:t>
      </w:r>
      <w:r>
        <w:rPr>
          <w:sz w:val="24"/>
          <w:szCs w:val="24"/>
          <w:highlight w:val="none"/>
        </w:rPr>
        <w:t>15档可调，最低50mmHg</w:t>
      </w:r>
    </w:p>
    <w:p w14:paraId="1B5C509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18.</w:t>
      </w:r>
      <w:r>
        <w:rPr>
          <w:rFonts w:hint="eastAsia"/>
          <w:sz w:val="24"/>
          <w:szCs w:val="24"/>
          <w:highlight w:val="none"/>
        </w:rPr>
        <w:t>具备阻塞前预警提示功能，当管路压力未触发阻塞报警时，泵可自动识别压力上升并在屏幕上进行提示</w:t>
      </w:r>
    </w:p>
    <w:p w14:paraId="4768C935">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19.</w:t>
      </w:r>
      <w:r>
        <w:rPr>
          <w:rFonts w:hint="eastAsia"/>
          <w:sz w:val="24"/>
          <w:szCs w:val="24"/>
          <w:highlight w:val="none"/>
        </w:rPr>
        <w:t>具备阻塞后自动重启输液功能，短暂性阻塞触发报警后，泵检测到阻塞压力缓解时，无需人为干预，泵自动重新启动输液</w:t>
      </w:r>
    </w:p>
    <w:p w14:paraId="57E7933A">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20.</w:t>
      </w:r>
      <w:r>
        <w:rPr>
          <w:rFonts w:hint="eastAsia"/>
          <w:sz w:val="24"/>
          <w:szCs w:val="24"/>
          <w:highlight w:val="none"/>
        </w:rPr>
        <w:t>信息储存：可存储</w:t>
      </w:r>
      <w:r>
        <w:rPr>
          <w:sz w:val="24"/>
          <w:szCs w:val="24"/>
          <w:highlight w:val="none"/>
        </w:rPr>
        <w:t>3500条的历史记录</w:t>
      </w:r>
    </w:p>
    <w:p w14:paraId="6A912842">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21.</w:t>
      </w:r>
      <w:r>
        <w:rPr>
          <w:rFonts w:hint="eastAsia"/>
          <w:sz w:val="24"/>
          <w:szCs w:val="24"/>
          <w:highlight w:val="none"/>
        </w:rPr>
        <w:t>电池工作时间≥</w:t>
      </w:r>
      <w:r>
        <w:rPr>
          <w:sz w:val="24"/>
          <w:szCs w:val="24"/>
          <w:highlight w:val="none"/>
        </w:rPr>
        <w:t>5小时@5ml/h</w:t>
      </w:r>
    </w:p>
    <w:p w14:paraId="23935751">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22.</w:t>
      </w:r>
      <w:r>
        <w:rPr>
          <w:rFonts w:hint="eastAsia"/>
          <w:sz w:val="24"/>
          <w:szCs w:val="24"/>
          <w:highlight w:val="none"/>
        </w:rPr>
        <w:t>防异物及进液等级</w:t>
      </w:r>
      <w:r>
        <w:rPr>
          <w:sz w:val="24"/>
          <w:szCs w:val="24"/>
          <w:highlight w:val="none"/>
        </w:rPr>
        <w:t>IP33</w:t>
      </w:r>
    </w:p>
    <w:p w14:paraId="196A78C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23.</w:t>
      </w:r>
      <w:r>
        <w:rPr>
          <w:rFonts w:hint="eastAsia"/>
          <w:sz w:val="24"/>
          <w:szCs w:val="24"/>
          <w:highlight w:val="none"/>
        </w:rPr>
        <w:t>整机重量不超过</w:t>
      </w:r>
      <w:r>
        <w:rPr>
          <w:sz w:val="24"/>
          <w:szCs w:val="24"/>
          <w:highlight w:val="none"/>
        </w:rPr>
        <w:t>1.6kg</w:t>
      </w:r>
    </w:p>
    <w:p w14:paraId="622B7446">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24.</w:t>
      </w:r>
      <w:r>
        <w:rPr>
          <w:rFonts w:hint="eastAsia"/>
          <w:sz w:val="24"/>
          <w:szCs w:val="24"/>
          <w:highlight w:val="none"/>
        </w:rPr>
        <w:t>满足</w:t>
      </w:r>
      <w:r>
        <w:rPr>
          <w:sz w:val="24"/>
          <w:szCs w:val="24"/>
          <w:highlight w:val="none"/>
        </w:rPr>
        <w:t>EN1789标准，适合在救护车使用</w:t>
      </w:r>
    </w:p>
    <w:p w14:paraId="1AAAAB62">
      <w:pPr>
        <w:keepNext w:val="0"/>
        <w:keepLines w:val="0"/>
        <w:pageBreakBefore w:val="0"/>
        <w:kinsoku/>
        <w:wordWrap/>
        <w:overflowPunct/>
        <w:topLinePunct w:val="0"/>
        <w:bidi w:val="0"/>
        <w:adjustRightInd w:val="0"/>
        <w:snapToGrid w:val="0"/>
        <w:spacing w:line="240" w:lineRule="auto"/>
        <w:textAlignment w:val="auto"/>
        <w:rPr>
          <w:rFonts w:hint="default" w:eastAsiaTheme="minorEastAsia"/>
          <w:sz w:val="24"/>
          <w:szCs w:val="24"/>
          <w:highlight w:val="none"/>
          <w:lang w:val="en-US" w:eastAsia="zh-CN"/>
        </w:rPr>
      </w:pPr>
      <w:r>
        <w:rPr>
          <w:rFonts w:hint="eastAsia" w:ascii="宋体" w:hAnsi="宋体"/>
          <w:b/>
          <w:sz w:val="24"/>
          <w:szCs w:val="24"/>
          <w:highlight w:val="none"/>
        </w:rPr>
        <w:t>三、输液泵</w:t>
      </w:r>
      <w:r>
        <w:rPr>
          <w:rFonts w:hint="eastAsia" w:ascii="宋体" w:hAnsi="宋体"/>
          <w:b/>
          <w:sz w:val="24"/>
          <w:szCs w:val="24"/>
          <w:highlight w:val="none"/>
          <w:lang w:eastAsia="zh-CN"/>
        </w:rPr>
        <w:t>（</w:t>
      </w:r>
      <w:r>
        <w:rPr>
          <w:rFonts w:hint="eastAsia" w:ascii="宋体" w:hAnsi="宋体"/>
          <w:b/>
          <w:sz w:val="24"/>
          <w:szCs w:val="24"/>
          <w:highlight w:val="none"/>
          <w:lang w:val="en-US" w:eastAsia="zh-CN"/>
        </w:rPr>
        <w:t>1台）</w:t>
      </w:r>
    </w:p>
    <w:p w14:paraId="4DC74370">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w:t>
      </w:r>
      <w:r>
        <w:rPr>
          <w:rFonts w:hint="eastAsia"/>
          <w:sz w:val="24"/>
          <w:szCs w:val="24"/>
          <w:highlight w:val="none"/>
        </w:rPr>
        <w:t>支持输血功能，支持临床常用输血管路，无需专用输血管路</w:t>
      </w:r>
    </w:p>
    <w:p w14:paraId="7E842B05">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w:t>
      </w:r>
      <w:r>
        <w:rPr>
          <w:rFonts w:hint="eastAsia"/>
          <w:sz w:val="24"/>
          <w:szCs w:val="24"/>
          <w:highlight w:val="none"/>
        </w:rPr>
        <w:t>可升级肠内营养液输液功能</w:t>
      </w:r>
    </w:p>
    <w:p w14:paraId="03EC7F6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3.</w:t>
      </w:r>
      <w:r>
        <w:rPr>
          <w:rFonts w:hint="eastAsia"/>
          <w:sz w:val="24"/>
          <w:szCs w:val="24"/>
          <w:highlight w:val="none"/>
        </w:rPr>
        <w:t>输液精度≤±</w:t>
      </w:r>
      <w:r>
        <w:rPr>
          <w:sz w:val="24"/>
          <w:szCs w:val="24"/>
          <w:highlight w:val="none"/>
        </w:rPr>
        <w:t>5%</w:t>
      </w:r>
    </w:p>
    <w:p w14:paraId="08CD39AC">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4.</w:t>
      </w:r>
      <w:r>
        <w:rPr>
          <w:rFonts w:hint="eastAsia"/>
          <w:sz w:val="24"/>
          <w:szCs w:val="24"/>
          <w:highlight w:val="none"/>
        </w:rPr>
        <w:t>预置输液总量范围：</w:t>
      </w:r>
      <w:r>
        <w:rPr>
          <w:sz w:val="24"/>
          <w:szCs w:val="24"/>
          <w:highlight w:val="none"/>
        </w:rPr>
        <w:t>0.1-9999.99ml</w:t>
      </w:r>
    </w:p>
    <w:p w14:paraId="5EAD43C5">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5.</w:t>
      </w:r>
      <w:r>
        <w:rPr>
          <w:rFonts w:hint="eastAsia"/>
          <w:sz w:val="24"/>
          <w:szCs w:val="24"/>
          <w:highlight w:val="none"/>
        </w:rPr>
        <w:t>快进流速范围：</w:t>
      </w:r>
      <w:r>
        <w:rPr>
          <w:sz w:val="24"/>
          <w:szCs w:val="24"/>
          <w:highlight w:val="none"/>
        </w:rPr>
        <w:t>0.1-2300ml/h，具有自动和手动快进可选；</w:t>
      </w:r>
    </w:p>
    <w:p w14:paraId="02F4B6E7">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6.</w:t>
      </w:r>
      <w:r>
        <w:rPr>
          <w:rFonts w:hint="eastAsia"/>
          <w:sz w:val="24"/>
          <w:szCs w:val="24"/>
          <w:highlight w:val="none"/>
        </w:rPr>
        <w:t>可自动统计四种累计量：</w:t>
      </w:r>
      <w:r>
        <w:rPr>
          <w:sz w:val="24"/>
          <w:szCs w:val="24"/>
          <w:highlight w:val="none"/>
        </w:rPr>
        <w:t>24h累计量、最近累计量、自定义时间段累计量、定时间隔累计量</w:t>
      </w:r>
    </w:p>
    <w:p w14:paraId="6FB1F1F0">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7.</w:t>
      </w:r>
      <w:r>
        <w:rPr>
          <w:rFonts w:hint="eastAsia"/>
          <w:sz w:val="24"/>
          <w:szCs w:val="24"/>
          <w:highlight w:val="none"/>
        </w:rPr>
        <w:t>泵门智能电动控制，可自动关闭或打开</w:t>
      </w:r>
    </w:p>
    <w:p w14:paraId="1D99C58B">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8.</w:t>
      </w:r>
      <w:r>
        <w:rPr>
          <w:rFonts w:hint="eastAsia"/>
          <w:sz w:val="24"/>
          <w:szCs w:val="24"/>
          <w:highlight w:val="none"/>
        </w:rPr>
        <w:t>全自动止液夹，安装或取出输液管时，无需任何操作，止液夹可自动关闭或打开</w:t>
      </w:r>
    </w:p>
    <w:p w14:paraId="43F3F41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9.</w:t>
      </w:r>
      <w:r>
        <w:rPr>
          <w:rFonts w:hint="eastAsia"/>
          <w:sz w:val="24"/>
          <w:szCs w:val="24"/>
          <w:highlight w:val="none"/>
        </w:rPr>
        <w:t>无需额外工具或设备，可直接在输液泵添加输液器品牌名称</w:t>
      </w:r>
    </w:p>
    <w:p w14:paraId="7AF6045B">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10.</w:t>
      </w:r>
      <w:r>
        <w:rPr>
          <w:sz w:val="24"/>
          <w:szCs w:val="24"/>
          <w:highlight w:val="none"/>
        </w:rPr>
        <w:t>9种输液模式：速度模式、时间模式、体重模式、梯度模式、序列模式、剂量时间模式、微量模式、点滴模式、和间断给药模式；具备联机功能</w:t>
      </w:r>
    </w:p>
    <w:p w14:paraId="5B8C8C94">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11.</w:t>
      </w:r>
      <w:r>
        <w:rPr>
          <w:rFonts w:hint="eastAsia"/>
          <w:color w:val="auto"/>
          <w:sz w:val="24"/>
          <w:szCs w:val="24"/>
          <w:highlight w:val="none"/>
          <w:u w:val="none"/>
          <w:lang w:val="en-US" w:eastAsia="zh-CN"/>
        </w:rPr>
        <w:t>≥3.0</w:t>
      </w:r>
      <w:r>
        <w:rPr>
          <w:color w:val="auto"/>
          <w:sz w:val="24"/>
          <w:szCs w:val="24"/>
          <w:highlight w:val="none"/>
          <w:u w:val="none"/>
        </w:rPr>
        <w:t>英寸彩色显示屏</w:t>
      </w:r>
      <w:r>
        <w:rPr>
          <w:rFonts w:hint="eastAsia"/>
          <w:color w:val="auto"/>
          <w:sz w:val="24"/>
          <w:szCs w:val="24"/>
          <w:highlight w:val="none"/>
          <w:u w:val="none"/>
          <w:lang w:eastAsia="zh-CN"/>
        </w:rPr>
        <w:t>，</w:t>
      </w:r>
      <w:r>
        <w:rPr>
          <w:color w:val="auto"/>
          <w:sz w:val="24"/>
          <w:szCs w:val="24"/>
          <w:highlight w:val="none"/>
          <w:u w:val="none"/>
        </w:rPr>
        <w:t>电容</w:t>
      </w:r>
      <w:r>
        <w:rPr>
          <w:sz w:val="24"/>
          <w:szCs w:val="24"/>
          <w:highlight w:val="none"/>
        </w:rPr>
        <w:t>触摸屏技术，支持上下左右滑动操作</w:t>
      </w:r>
    </w:p>
    <w:p w14:paraId="21F298BA">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12.</w:t>
      </w:r>
      <w:r>
        <w:rPr>
          <w:rFonts w:hint="eastAsia"/>
          <w:sz w:val="24"/>
          <w:szCs w:val="24"/>
          <w:highlight w:val="none"/>
        </w:rPr>
        <w:t>全中文软件操作界面</w:t>
      </w:r>
    </w:p>
    <w:p w14:paraId="644E2F00">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13.</w:t>
      </w:r>
      <w:r>
        <w:rPr>
          <w:rFonts w:hint="eastAsia"/>
          <w:sz w:val="24"/>
          <w:szCs w:val="24"/>
          <w:highlight w:val="none"/>
        </w:rPr>
        <w:t>锁屏功能：支持自动锁屏，自动锁屏时间可调</w:t>
      </w:r>
    </w:p>
    <w:p w14:paraId="59469AA6">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14.</w:t>
      </w:r>
      <w:r>
        <w:rPr>
          <w:rFonts w:hint="eastAsia"/>
          <w:sz w:val="24"/>
          <w:szCs w:val="24"/>
          <w:highlight w:val="none"/>
        </w:rPr>
        <w:t>支持药物库，可储存</w:t>
      </w:r>
      <w:r>
        <w:rPr>
          <w:sz w:val="24"/>
          <w:szCs w:val="24"/>
          <w:highlight w:val="none"/>
        </w:rPr>
        <w:t>5000种药物信息。</w:t>
      </w:r>
    </w:p>
    <w:p w14:paraId="46DCBE84">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15.</w:t>
      </w:r>
      <w:r>
        <w:rPr>
          <w:rFonts w:hint="eastAsia"/>
          <w:sz w:val="24"/>
          <w:szCs w:val="24"/>
          <w:highlight w:val="none"/>
        </w:rPr>
        <w:t>支持药物色彩标识，选择不同类型药物时对应的药物色彩标识自动显示在屏幕上，支持</w:t>
      </w:r>
      <w:r>
        <w:rPr>
          <w:sz w:val="24"/>
          <w:szCs w:val="24"/>
          <w:highlight w:val="none"/>
        </w:rPr>
        <w:t>30种颜色</w:t>
      </w:r>
    </w:p>
    <w:p w14:paraId="3A74DE0C">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16.</w:t>
      </w:r>
      <w:r>
        <w:rPr>
          <w:rFonts w:hint="eastAsia"/>
          <w:sz w:val="24"/>
          <w:szCs w:val="24"/>
          <w:highlight w:val="none"/>
        </w:rPr>
        <w:t>报警时可通过示意图片直观提示报警信息</w:t>
      </w:r>
    </w:p>
    <w:p w14:paraId="5C1AB469">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17.</w:t>
      </w:r>
      <w:r>
        <w:rPr>
          <w:rFonts w:hint="eastAsia"/>
          <w:sz w:val="24"/>
          <w:szCs w:val="24"/>
          <w:highlight w:val="none"/>
        </w:rPr>
        <w:t>在线动态压力监测，可实时显示当前压力数值；</w:t>
      </w:r>
    </w:p>
    <w:p w14:paraId="06A93379">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18.</w:t>
      </w:r>
      <w:r>
        <w:rPr>
          <w:rFonts w:hint="eastAsia"/>
          <w:sz w:val="24"/>
          <w:szCs w:val="24"/>
          <w:highlight w:val="none"/>
        </w:rPr>
        <w:t>压力报警阈值至少</w:t>
      </w:r>
      <w:r>
        <w:rPr>
          <w:sz w:val="24"/>
          <w:szCs w:val="24"/>
          <w:highlight w:val="none"/>
        </w:rPr>
        <w:t>15档可调，最低50mmHg</w:t>
      </w:r>
    </w:p>
    <w:p w14:paraId="007AF6F6">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19.</w:t>
      </w:r>
      <w:r>
        <w:rPr>
          <w:rFonts w:hint="eastAsia"/>
          <w:sz w:val="24"/>
          <w:szCs w:val="24"/>
          <w:highlight w:val="none"/>
        </w:rPr>
        <w:t>具备阻塞前预警提示功能，当管路压力未触发阻塞报警时，泵可自动识别压力上升并在屏幕上进行提示</w:t>
      </w:r>
    </w:p>
    <w:p w14:paraId="317232B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20.</w:t>
      </w:r>
      <w:r>
        <w:rPr>
          <w:rFonts w:hint="eastAsia"/>
          <w:sz w:val="24"/>
          <w:szCs w:val="24"/>
          <w:highlight w:val="none"/>
        </w:rPr>
        <w:t>具备阻塞后自动重启输液功能，短暂性阻塞触发报警后，泵检测到阻塞压力缓解时，无需人为干预，泵自动重新启动输液</w:t>
      </w:r>
    </w:p>
    <w:p w14:paraId="55380A4F">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21.</w:t>
      </w:r>
      <w:r>
        <w:rPr>
          <w:rFonts w:hint="eastAsia"/>
          <w:sz w:val="24"/>
          <w:szCs w:val="24"/>
          <w:highlight w:val="none"/>
        </w:rPr>
        <w:t>具备双压力传感器，可检测管路上下端的压力变化</w:t>
      </w:r>
    </w:p>
    <w:p w14:paraId="45F335CE">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22.</w:t>
      </w:r>
      <w:r>
        <w:rPr>
          <w:rFonts w:hint="eastAsia"/>
          <w:sz w:val="24"/>
          <w:szCs w:val="24"/>
          <w:highlight w:val="none"/>
        </w:rPr>
        <w:t>具备双超声气泡检测技术，双重保障，防止气泡漏检漏报问题</w:t>
      </w:r>
    </w:p>
    <w:p w14:paraId="5EEBB796">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23.</w:t>
      </w:r>
      <w:r>
        <w:rPr>
          <w:rFonts w:hint="eastAsia"/>
          <w:sz w:val="24"/>
          <w:szCs w:val="24"/>
          <w:highlight w:val="none"/>
        </w:rPr>
        <w:t>具备单个气泡和累积气泡报警功能，支持最小</w:t>
      </w:r>
      <w:r>
        <w:rPr>
          <w:sz w:val="24"/>
          <w:szCs w:val="24"/>
          <w:highlight w:val="none"/>
        </w:rPr>
        <w:t>15μL的单个气泡报警</w:t>
      </w:r>
    </w:p>
    <w:p w14:paraId="68F83415">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24.</w:t>
      </w:r>
      <w:r>
        <w:rPr>
          <w:rFonts w:hint="eastAsia"/>
          <w:sz w:val="24"/>
          <w:szCs w:val="24"/>
          <w:highlight w:val="none"/>
        </w:rPr>
        <w:t>无需滴数传感器，泵可自动识别空瓶状态并报警</w:t>
      </w:r>
    </w:p>
    <w:p w14:paraId="6ACB7521">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25.</w:t>
      </w:r>
      <w:r>
        <w:rPr>
          <w:rFonts w:hint="eastAsia"/>
          <w:sz w:val="24"/>
          <w:szCs w:val="24"/>
          <w:highlight w:val="none"/>
        </w:rPr>
        <w:t>信息储存：可存储</w:t>
      </w:r>
      <w:r>
        <w:rPr>
          <w:sz w:val="24"/>
          <w:szCs w:val="24"/>
          <w:highlight w:val="none"/>
        </w:rPr>
        <w:t>3500条的历史记录</w:t>
      </w:r>
    </w:p>
    <w:p w14:paraId="3AC66203">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26.</w:t>
      </w:r>
      <w:r>
        <w:rPr>
          <w:rFonts w:hint="eastAsia"/>
          <w:sz w:val="24"/>
          <w:szCs w:val="24"/>
          <w:highlight w:val="none"/>
        </w:rPr>
        <w:t>电池工作时间≥</w:t>
      </w:r>
      <w:r>
        <w:rPr>
          <w:sz w:val="24"/>
          <w:szCs w:val="24"/>
          <w:highlight w:val="none"/>
        </w:rPr>
        <w:t>5小时@25ml/h</w:t>
      </w:r>
    </w:p>
    <w:p w14:paraId="0E5529B6">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hanging="420" w:firstLineChars="0"/>
        <w:textAlignment w:val="auto"/>
        <w:rPr>
          <w:sz w:val="24"/>
          <w:szCs w:val="24"/>
          <w:highlight w:val="none"/>
        </w:rPr>
      </w:pPr>
      <w:r>
        <w:rPr>
          <w:rFonts w:ascii="Times New Roman" w:hAnsi="Times New Roman" w:eastAsia="宋体" w:cs="Times New Roman"/>
          <w:kern w:val="2"/>
          <w:sz w:val="24"/>
          <w:szCs w:val="24"/>
          <w:highlight w:val="none"/>
          <w:lang w:val="en-US" w:eastAsia="zh-CN" w:bidi="ar-SA"/>
        </w:rPr>
        <w:t>27.</w:t>
      </w:r>
      <w:r>
        <w:rPr>
          <w:rFonts w:hint="eastAsia"/>
          <w:sz w:val="24"/>
          <w:szCs w:val="24"/>
          <w:highlight w:val="none"/>
        </w:rPr>
        <w:t>防异物及进液等级</w:t>
      </w:r>
      <w:r>
        <w:rPr>
          <w:sz w:val="24"/>
          <w:szCs w:val="24"/>
          <w:highlight w:val="none"/>
        </w:rPr>
        <w:t>IP33</w:t>
      </w:r>
    </w:p>
    <w:p w14:paraId="1E745AE6">
      <w:pPr>
        <w:pStyle w:val="44"/>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left"/>
        <w:textAlignment w:val="auto"/>
        <w:rPr>
          <w:sz w:val="24"/>
          <w:szCs w:val="24"/>
          <w:highlight w:val="none"/>
        </w:rPr>
      </w:pPr>
      <w:r>
        <w:rPr>
          <w:rFonts w:hint="eastAsia"/>
          <w:sz w:val="24"/>
          <w:szCs w:val="24"/>
          <w:highlight w:val="none"/>
        </w:rPr>
        <w:t>满足</w:t>
      </w:r>
      <w:r>
        <w:rPr>
          <w:sz w:val="24"/>
          <w:szCs w:val="24"/>
          <w:highlight w:val="none"/>
        </w:rPr>
        <w:t>EN1789标准，适合在救护车使用</w:t>
      </w:r>
    </w:p>
    <w:p w14:paraId="435E4D62">
      <w:pPr>
        <w:pStyle w:val="44"/>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left"/>
        <w:textAlignment w:val="auto"/>
        <w:rPr>
          <w:rFonts w:ascii="宋体" w:hAnsi="宋体"/>
          <w:b/>
          <w:color w:val="auto"/>
          <w:sz w:val="24"/>
          <w:szCs w:val="24"/>
          <w:highlight w:val="none"/>
          <w:u w:val="none"/>
        </w:rPr>
      </w:pPr>
      <w:r>
        <w:rPr>
          <w:rFonts w:hint="eastAsia" w:ascii="宋体" w:hAnsi="宋体"/>
          <w:b/>
          <w:color w:val="auto"/>
          <w:sz w:val="24"/>
          <w:szCs w:val="24"/>
          <w:highlight w:val="none"/>
          <w:u w:val="none"/>
          <w:lang w:val="en-US" w:eastAsia="zh-CN"/>
        </w:rPr>
        <w:t>（三）</w:t>
      </w:r>
      <w:r>
        <w:rPr>
          <w:rFonts w:hint="eastAsia" w:ascii="宋体" w:hAnsi="宋体"/>
          <w:b/>
          <w:color w:val="auto"/>
          <w:sz w:val="24"/>
          <w:szCs w:val="24"/>
          <w:highlight w:val="none"/>
          <w:u w:val="none"/>
        </w:rPr>
        <w:t>心电监护仪</w:t>
      </w:r>
    </w:p>
    <w:p w14:paraId="35BD8D42">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cs="宋体"/>
          <w:sz w:val="24"/>
          <w:szCs w:val="24"/>
          <w:highlight w:val="none"/>
        </w:rPr>
      </w:pPr>
      <w:r>
        <w:rPr>
          <w:rFonts w:hint="default" w:ascii="宋体" w:hAnsi="宋体" w:eastAsia="宋体" w:cs="宋体"/>
          <w:kern w:val="2"/>
          <w:sz w:val="24"/>
          <w:szCs w:val="24"/>
          <w:highlight w:val="none"/>
          <w:lang w:val="en-US" w:eastAsia="zh-CN" w:bidi="ar-SA"/>
        </w:rPr>
        <w:t>1.</w:t>
      </w:r>
      <w:r>
        <w:rPr>
          <w:rFonts w:hint="eastAsia" w:ascii="宋体" w:hAnsi="宋体"/>
          <w:sz w:val="24"/>
          <w:szCs w:val="24"/>
          <w:highlight w:val="none"/>
        </w:rPr>
        <w:t>模块化插件式床边监护仪，主机、显示屏和插件槽一体化设计，主机插槽数≥</w:t>
      </w:r>
      <w:r>
        <w:rPr>
          <w:rFonts w:ascii="宋体" w:hAnsi="宋体"/>
          <w:sz w:val="24"/>
          <w:szCs w:val="24"/>
          <w:highlight w:val="none"/>
        </w:rPr>
        <w:t>6</w:t>
      </w:r>
      <w:r>
        <w:rPr>
          <w:rFonts w:hint="eastAsia" w:ascii="宋体" w:hAnsi="宋体"/>
          <w:sz w:val="24"/>
          <w:szCs w:val="24"/>
          <w:highlight w:val="none"/>
        </w:rPr>
        <w:t>个</w:t>
      </w:r>
    </w:p>
    <w:p w14:paraId="359C745D">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cs="宋体"/>
          <w:sz w:val="24"/>
          <w:szCs w:val="24"/>
          <w:highlight w:val="none"/>
        </w:rPr>
      </w:pPr>
      <w:r>
        <w:rPr>
          <w:rFonts w:hint="default" w:ascii="宋体" w:hAnsi="宋体" w:eastAsia="宋体" w:cs="宋体"/>
          <w:kern w:val="2"/>
          <w:sz w:val="24"/>
          <w:szCs w:val="24"/>
          <w:highlight w:val="none"/>
          <w:lang w:val="en-US" w:eastAsia="zh-CN" w:bidi="ar-SA"/>
        </w:rPr>
        <w:t>2.</w:t>
      </w:r>
      <w:r>
        <w:rPr>
          <w:rFonts w:hint="eastAsia" w:ascii="宋体" w:hAnsi="宋体"/>
          <w:sz w:val="24"/>
          <w:szCs w:val="24"/>
          <w:highlight w:val="none"/>
          <w:lang w:eastAsia="zh-CN"/>
        </w:rPr>
        <w:t>▲</w:t>
      </w:r>
      <w:r>
        <w:rPr>
          <w:rFonts w:hint="eastAsia" w:ascii="宋体" w:hAnsi="宋体"/>
          <w:sz w:val="24"/>
          <w:szCs w:val="24"/>
          <w:highlight w:val="none"/>
        </w:rPr>
        <w:t>监护仪主机每个槽位均具备插件模块红外通讯接口以及金属硬件通讯接口（非供电接口），保证模块通讯速率及稳定性，提供监护仪主机插槽图片证明</w:t>
      </w:r>
    </w:p>
    <w:p w14:paraId="5B5F1707">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w:t>
      </w:r>
      <w:r>
        <w:rPr>
          <w:rFonts w:hint="eastAsia" w:ascii="宋体" w:hAnsi="宋体"/>
          <w:color w:val="auto"/>
          <w:sz w:val="24"/>
          <w:szCs w:val="24"/>
          <w:highlight w:val="none"/>
        </w:rPr>
        <w:t>≥1</w:t>
      </w:r>
      <w:r>
        <w:rPr>
          <w:rFonts w:ascii="宋体" w:hAnsi="宋体"/>
          <w:color w:val="auto"/>
          <w:sz w:val="24"/>
          <w:szCs w:val="24"/>
          <w:highlight w:val="none"/>
        </w:rPr>
        <w:t>5</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0</w:t>
      </w:r>
      <w:r>
        <w:rPr>
          <w:rFonts w:hint="eastAsia" w:ascii="宋体" w:hAnsi="宋体"/>
          <w:sz w:val="24"/>
          <w:szCs w:val="24"/>
          <w:highlight w:val="none"/>
        </w:rPr>
        <w:t>英寸彩色电容触摸屏，高分辨率≥</w:t>
      </w:r>
      <w:r>
        <w:rPr>
          <w:rFonts w:ascii="宋体" w:hAnsi="宋体"/>
          <w:sz w:val="24"/>
          <w:szCs w:val="24"/>
          <w:highlight w:val="none"/>
        </w:rPr>
        <w:t>1920</w:t>
      </w:r>
      <w:r>
        <w:rPr>
          <w:rFonts w:hint="eastAsia" w:ascii="宋体" w:hAnsi="宋体"/>
          <w:sz w:val="24"/>
          <w:szCs w:val="24"/>
          <w:highlight w:val="none"/>
        </w:rPr>
        <w:t>×</w:t>
      </w:r>
      <w:r>
        <w:rPr>
          <w:rFonts w:ascii="宋体" w:hAnsi="宋体"/>
          <w:sz w:val="24"/>
          <w:szCs w:val="24"/>
          <w:highlight w:val="none"/>
        </w:rPr>
        <w:t>1080</w:t>
      </w:r>
      <w:r>
        <w:rPr>
          <w:rFonts w:hint="eastAsia" w:ascii="宋体" w:hAnsi="宋体"/>
          <w:sz w:val="24"/>
          <w:szCs w:val="24"/>
          <w:highlight w:val="none"/>
        </w:rPr>
        <w:t>像素，≥</w:t>
      </w:r>
      <w:r>
        <w:rPr>
          <w:rFonts w:ascii="宋体" w:hAnsi="宋体"/>
          <w:sz w:val="24"/>
          <w:szCs w:val="24"/>
          <w:highlight w:val="none"/>
        </w:rPr>
        <w:t>10</w:t>
      </w:r>
      <w:r>
        <w:rPr>
          <w:rFonts w:hint="eastAsia" w:ascii="宋体" w:hAnsi="宋体"/>
          <w:sz w:val="24"/>
          <w:szCs w:val="24"/>
          <w:highlight w:val="none"/>
        </w:rPr>
        <w:t>通道显示，</w:t>
      </w:r>
      <w:r>
        <w:rPr>
          <w:rFonts w:ascii="宋体" w:hAnsi="宋体"/>
          <w:sz w:val="24"/>
          <w:szCs w:val="24"/>
          <w:highlight w:val="none"/>
        </w:rPr>
        <w:t>显示屏亮度自动调节</w:t>
      </w:r>
      <w:r>
        <w:rPr>
          <w:rFonts w:hint="eastAsia" w:ascii="宋体" w:hAnsi="宋体"/>
          <w:sz w:val="24"/>
          <w:szCs w:val="24"/>
          <w:highlight w:val="none"/>
        </w:rPr>
        <w:t>，屏幕支持手势滑动操作，支持穿戴医用防护手套操作</w:t>
      </w:r>
    </w:p>
    <w:p w14:paraId="0AFF0F2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4.</w:t>
      </w:r>
      <w:r>
        <w:rPr>
          <w:rFonts w:hint="eastAsia" w:ascii="宋体" w:hAnsi="宋体"/>
          <w:sz w:val="24"/>
          <w:szCs w:val="24"/>
          <w:highlight w:val="none"/>
        </w:rPr>
        <w:t>采用无风扇设计</w:t>
      </w:r>
    </w:p>
    <w:p w14:paraId="11161D3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w:t>
      </w:r>
      <w:r>
        <w:rPr>
          <w:rFonts w:hint="eastAsia" w:ascii="宋体" w:hAnsi="宋体"/>
          <w:sz w:val="24"/>
          <w:szCs w:val="24"/>
          <w:highlight w:val="none"/>
        </w:rPr>
        <w:t>可内置高能锂电池，供电时间≥</w:t>
      </w:r>
      <w:r>
        <w:rPr>
          <w:rFonts w:ascii="宋体" w:hAnsi="宋体"/>
          <w:sz w:val="24"/>
          <w:szCs w:val="24"/>
          <w:highlight w:val="none"/>
        </w:rPr>
        <w:t>2</w:t>
      </w:r>
      <w:r>
        <w:rPr>
          <w:rFonts w:hint="eastAsia" w:ascii="宋体" w:hAnsi="宋体"/>
          <w:sz w:val="24"/>
          <w:szCs w:val="24"/>
          <w:highlight w:val="none"/>
        </w:rPr>
        <w:t>小时</w:t>
      </w:r>
    </w:p>
    <w:p w14:paraId="1D94E716">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6.</w:t>
      </w:r>
      <w:r>
        <w:rPr>
          <w:rFonts w:hint="eastAsia" w:ascii="宋体" w:hAnsi="宋体"/>
          <w:sz w:val="24"/>
          <w:szCs w:val="24"/>
          <w:highlight w:val="none"/>
        </w:rPr>
        <w:t>配置≥4个USB接口，支持连接存储介质、鼠标、键盘、条码扫描枪等USB设备</w:t>
      </w:r>
    </w:p>
    <w:p w14:paraId="29703C43">
      <w:pPr>
        <w:keepNext w:val="0"/>
        <w:keepLines w:val="0"/>
        <w:pageBreakBefore w:val="0"/>
        <w:kinsoku/>
        <w:wordWrap/>
        <w:overflowPunct/>
        <w:topLinePunct w:val="0"/>
        <w:autoSpaceDE w:val="0"/>
        <w:autoSpaceDN w:val="0"/>
        <w:bidi w:val="0"/>
        <w:adjustRightInd w:val="0"/>
        <w:snapToGrid w:val="0"/>
        <w:spacing w:line="240" w:lineRule="auto"/>
        <w:textAlignment w:val="auto"/>
        <w:rPr>
          <w:rFonts w:ascii="宋体" w:hAnsi="宋体" w:cs="宋体"/>
          <w:b/>
          <w:sz w:val="24"/>
          <w:szCs w:val="24"/>
          <w:highlight w:val="none"/>
        </w:rPr>
      </w:pPr>
      <w:r>
        <w:rPr>
          <w:rFonts w:hint="eastAsia" w:ascii="宋体" w:hAnsi="宋体" w:cs="宋体"/>
          <w:b/>
          <w:sz w:val="24"/>
          <w:szCs w:val="24"/>
          <w:highlight w:val="none"/>
        </w:rPr>
        <w:t>监测参数：</w:t>
      </w:r>
    </w:p>
    <w:p w14:paraId="0214EDF7">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7.</w:t>
      </w:r>
      <w:r>
        <w:rPr>
          <w:rFonts w:hint="eastAsia" w:ascii="宋体" w:hAnsi="宋体"/>
          <w:sz w:val="24"/>
          <w:szCs w:val="24"/>
          <w:highlight w:val="none"/>
        </w:rPr>
        <w:t>基本功能模块支持心电，呼吸，心率，无创血压，血氧饱和度，脉搏，双通道体温和双通道有创血压的同时监测</w:t>
      </w:r>
    </w:p>
    <w:p w14:paraId="1FE2160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8.</w:t>
      </w:r>
      <w:r>
        <w:rPr>
          <w:rFonts w:hint="eastAsia" w:ascii="宋体" w:hAnsi="宋体"/>
          <w:sz w:val="24"/>
          <w:szCs w:val="24"/>
          <w:highlight w:val="none"/>
        </w:rPr>
        <w:t>基本功能模块支持升级从监护仪拔出后作为一个独立的监护仪支持病人的无缝转移，插入监护仪操作插槽作为主机模块，具有独立操作显示屏，屏幕尺寸≥</w:t>
      </w:r>
      <w:r>
        <w:rPr>
          <w:rFonts w:ascii="宋体" w:hAnsi="宋体"/>
          <w:sz w:val="24"/>
          <w:szCs w:val="24"/>
          <w:highlight w:val="none"/>
        </w:rPr>
        <w:t>5.5</w:t>
      </w:r>
      <w:r>
        <w:rPr>
          <w:rFonts w:hint="eastAsia" w:ascii="宋体" w:hAnsi="宋体"/>
          <w:sz w:val="24"/>
          <w:szCs w:val="24"/>
          <w:highlight w:val="none"/>
        </w:rPr>
        <w:t>英寸，内置锂电池供电≥</w:t>
      </w:r>
      <w:r>
        <w:rPr>
          <w:rFonts w:ascii="宋体" w:hAnsi="宋体"/>
          <w:sz w:val="24"/>
          <w:szCs w:val="24"/>
          <w:highlight w:val="none"/>
        </w:rPr>
        <w:t>4</w:t>
      </w:r>
      <w:r>
        <w:rPr>
          <w:rFonts w:hint="eastAsia" w:ascii="宋体" w:hAnsi="宋体"/>
          <w:sz w:val="24"/>
          <w:szCs w:val="24"/>
          <w:highlight w:val="none"/>
        </w:rPr>
        <w:t>小时，无风扇设计</w:t>
      </w:r>
    </w:p>
    <w:p w14:paraId="4361E787">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9.</w:t>
      </w:r>
      <w:r>
        <w:rPr>
          <w:rFonts w:hint="eastAsia" w:ascii="宋体" w:hAnsi="宋体"/>
          <w:sz w:val="24"/>
          <w:szCs w:val="24"/>
          <w:highlight w:val="none"/>
        </w:rPr>
        <w:t>ECG支持3/5导心电监测，可选配6</w:t>
      </w:r>
      <w:r>
        <w:rPr>
          <w:rFonts w:ascii="宋体" w:hAnsi="宋体"/>
          <w:sz w:val="24"/>
          <w:szCs w:val="24"/>
          <w:highlight w:val="none"/>
        </w:rPr>
        <w:t>/12</w:t>
      </w:r>
      <w:r>
        <w:rPr>
          <w:rFonts w:hint="eastAsia" w:ascii="宋体" w:hAnsi="宋体"/>
          <w:sz w:val="24"/>
          <w:szCs w:val="24"/>
          <w:highlight w:val="none"/>
        </w:rPr>
        <w:t>导联心电监测。</w:t>
      </w:r>
    </w:p>
    <w:p w14:paraId="2504AF48">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10.</w:t>
      </w:r>
      <w:r>
        <w:rPr>
          <w:rFonts w:hint="eastAsia" w:ascii="宋体" w:hAnsi="宋体"/>
          <w:sz w:val="24"/>
          <w:szCs w:val="24"/>
          <w:highlight w:val="none"/>
          <w:lang w:eastAsia="zh-CN"/>
        </w:rPr>
        <w:t>▲</w:t>
      </w:r>
      <w:r>
        <w:rPr>
          <w:rFonts w:hint="eastAsia" w:ascii="宋体" w:hAnsi="宋体"/>
          <w:sz w:val="24"/>
          <w:szCs w:val="24"/>
          <w:highlight w:val="none"/>
        </w:rPr>
        <w:t>支持房颤及室上性心律 失常分析功能，标配支持≥27 种实时心律</w:t>
      </w:r>
    </w:p>
    <w:p w14:paraId="335962B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11.</w:t>
      </w:r>
      <w:r>
        <w:rPr>
          <w:rFonts w:hint="eastAsia" w:ascii="宋体" w:hAnsi="宋体"/>
          <w:sz w:val="24"/>
          <w:szCs w:val="24"/>
          <w:highlight w:val="none"/>
        </w:rPr>
        <w:t>支持≥</w:t>
      </w:r>
      <w:r>
        <w:rPr>
          <w:rFonts w:ascii="宋体" w:hAnsi="宋体"/>
          <w:sz w:val="24"/>
          <w:szCs w:val="24"/>
          <w:highlight w:val="none"/>
        </w:rPr>
        <w:t>3</w:t>
      </w:r>
      <w:r>
        <w:rPr>
          <w:rFonts w:hint="eastAsia" w:ascii="宋体" w:hAnsi="宋体"/>
          <w:sz w:val="24"/>
          <w:szCs w:val="24"/>
          <w:highlight w:val="none"/>
        </w:rPr>
        <w:t>通道心电波形同步分析，可进行多导心电分析，提供产品界面、手册截图或技术专利证名材料</w:t>
      </w:r>
    </w:p>
    <w:p w14:paraId="66C72CCF">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12.</w:t>
      </w:r>
      <w:r>
        <w:rPr>
          <w:rFonts w:hint="eastAsia" w:ascii="宋体" w:hAnsi="宋体"/>
          <w:sz w:val="24"/>
          <w:szCs w:val="24"/>
          <w:highlight w:val="none"/>
        </w:rPr>
        <w:t>提供ST段分析功能，适用于成人，小儿和新生儿，</w:t>
      </w:r>
      <w:r>
        <w:rPr>
          <w:rFonts w:hint="eastAsia" w:ascii="宋体" w:hAnsi="宋体"/>
          <w:color w:val="000000"/>
          <w:sz w:val="24"/>
          <w:szCs w:val="24"/>
          <w:highlight w:val="none"/>
        </w:rPr>
        <w:t>支持在专门的窗口中分组显示心脏前壁，下壁和侧壁的ST实时片段和参考片段</w:t>
      </w:r>
      <w:r>
        <w:rPr>
          <w:rFonts w:hint="eastAsia" w:ascii="宋体" w:hAnsi="宋体"/>
          <w:sz w:val="24"/>
          <w:szCs w:val="24"/>
          <w:highlight w:val="none"/>
        </w:rPr>
        <w:t xml:space="preserve"> </w:t>
      </w:r>
    </w:p>
    <w:p w14:paraId="69F6EB2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13.</w:t>
      </w:r>
      <w:r>
        <w:rPr>
          <w:rFonts w:hint="eastAsia" w:ascii="宋体" w:hAnsi="宋体"/>
          <w:color w:val="000000"/>
          <w:sz w:val="24"/>
          <w:szCs w:val="24"/>
          <w:highlight w:val="none"/>
        </w:rPr>
        <w:t>支持RR呼吸率测量，测量范围：</w:t>
      </w:r>
      <w:r>
        <w:rPr>
          <w:rFonts w:ascii="宋体" w:hAnsi="宋体"/>
          <w:color w:val="000000"/>
          <w:sz w:val="24"/>
          <w:szCs w:val="24"/>
          <w:highlight w:val="none"/>
        </w:rPr>
        <w:t>1</w:t>
      </w:r>
      <w:r>
        <w:rPr>
          <w:rFonts w:hint="eastAsia" w:ascii="宋体" w:hAnsi="宋体"/>
          <w:color w:val="000000"/>
          <w:sz w:val="24"/>
          <w:szCs w:val="24"/>
          <w:highlight w:val="none"/>
        </w:rPr>
        <w:t>～</w:t>
      </w:r>
      <w:r>
        <w:rPr>
          <w:rFonts w:ascii="宋体" w:hAnsi="宋体"/>
          <w:color w:val="000000"/>
          <w:sz w:val="24"/>
          <w:szCs w:val="24"/>
          <w:highlight w:val="none"/>
        </w:rPr>
        <w:t>200rpm</w:t>
      </w:r>
    </w:p>
    <w:p w14:paraId="4A27935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14.</w:t>
      </w:r>
      <w:r>
        <w:rPr>
          <w:rFonts w:ascii="宋体" w:hAnsi="宋体"/>
          <w:sz w:val="24"/>
          <w:szCs w:val="24"/>
          <w:highlight w:val="none"/>
        </w:rPr>
        <w:t>具有</w:t>
      </w:r>
      <w:r>
        <w:rPr>
          <w:rFonts w:hint="eastAsia" w:ascii="宋体" w:hAnsi="宋体"/>
          <w:sz w:val="24"/>
          <w:szCs w:val="24"/>
          <w:highlight w:val="none"/>
        </w:rPr>
        <w:t>QT/QTc实时连续测量功能，提供QT，QTc和ΔQTc参数值的显示</w:t>
      </w:r>
    </w:p>
    <w:p w14:paraId="5E27665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15.</w:t>
      </w:r>
      <w:r>
        <w:rPr>
          <w:rFonts w:hint="eastAsia" w:ascii="宋体" w:hAnsi="宋体"/>
          <w:sz w:val="24"/>
          <w:szCs w:val="24"/>
          <w:highlight w:val="none"/>
        </w:rPr>
        <w:t>无创血压适用于成人，小儿和新生儿</w:t>
      </w:r>
    </w:p>
    <w:p w14:paraId="0F74CD30">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16.</w:t>
      </w:r>
      <w:r>
        <w:rPr>
          <w:rFonts w:hint="eastAsia" w:ascii="宋体" w:hAnsi="宋体"/>
          <w:sz w:val="24"/>
          <w:szCs w:val="24"/>
          <w:highlight w:val="none"/>
        </w:rPr>
        <w:t>无创血压</w:t>
      </w:r>
      <w:r>
        <w:rPr>
          <w:rFonts w:ascii="宋体" w:hAnsi="宋体"/>
          <w:sz w:val="24"/>
          <w:szCs w:val="24"/>
          <w:highlight w:val="none"/>
        </w:rPr>
        <w:t>提供手动、自动间隔、连续</w:t>
      </w:r>
      <w:r>
        <w:rPr>
          <w:rFonts w:hint="eastAsia" w:ascii="宋体" w:hAnsi="宋体"/>
          <w:sz w:val="24"/>
          <w:szCs w:val="24"/>
          <w:highlight w:val="none"/>
        </w:rPr>
        <w:t>、</w:t>
      </w:r>
      <w:r>
        <w:rPr>
          <w:rFonts w:ascii="宋体" w:hAnsi="宋体"/>
          <w:sz w:val="24"/>
          <w:szCs w:val="24"/>
          <w:highlight w:val="none"/>
        </w:rPr>
        <w:t>序列</w:t>
      </w:r>
      <w:r>
        <w:rPr>
          <w:rFonts w:hint="eastAsia" w:ascii="宋体" w:hAnsi="宋体"/>
          <w:sz w:val="24"/>
          <w:szCs w:val="24"/>
          <w:highlight w:val="none"/>
        </w:rPr>
        <w:t>、整点五</w:t>
      </w:r>
      <w:r>
        <w:rPr>
          <w:rFonts w:ascii="宋体" w:hAnsi="宋体"/>
          <w:sz w:val="24"/>
          <w:szCs w:val="24"/>
          <w:highlight w:val="none"/>
        </w:rPr>
        <w:t>种测量模式</w:t>
      </w:r>
    </w:p>
    <w:p w14:paraId="06DF7469">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17.</w:t>
      </w:r>
      <w:r>
        <w:rPr>
          <w:rFonts w:hint="eastAsia" w:ascii="宋体" w:hAnsi="宋体"/>
          <w:sz w:val="24"/>
          <w:szCs w:val="24"/>
          <w:highlight w:val="none"/>
        </w:rPr>
        <w:t>提供辅助静脉穿刺功能</w:t>
      </w:r>
    </w:p>
    <w:p w14:paraId="5E6DAA47">
      <w:pPr>
        <w:keepNext w:val="0"/>
        <w:keepLines w:val="0"/>
        <w:pageBreakBefore w:val="0"/>
        <w:widowControl w:val="0"/>
        <w:numPr>
          <w:ilvl w:val="0"/>
          <w:numId w:val="0"/>
        </w:numPr>
        <w:tabs>
          <w:tab w:val="left" w:pos="720"/>
        </w:tabs>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18.</w:t>
      </w:r>
      <w:r>
        <w:rPr>
          <w:rFonts w:ascii="宋体" w:hAnsi="宋体"/>
          <w:color w:val="000000"/>
          <w:sz w:val="24"/>
          <w:szCs w:val="24"/>
          <w:highlight w:val="none"/>
        </w:rPr>
        <w:t>N</w:t>
      </w:r>
      <w:r>
        <w:rPr>
          <w:rFonts w:ascii="宋体" w:hAnsi="宋体"/>
          <w:sz w:val="24"/>
          <w:szCs w:val="24"/>
          <w:highlight w:val="none"/>
        </w:rPr>
        <w:t xml:space="preserve">IBP </w:t>
      </w:r>
      <w:r>
        <w:rPr>
          <w:rFonts w:hint="eastAsia" w:ascii="宋体" w:hAnsi="宋体"/>
          <w:sz w:val="24"/>
          <w:szCs w:val="24"/>
          <w:highlight w:val="none"/>
        </w:rPr>
        <w:t>成人病人类型收缩压测量：</w:t>
      </w:r>
      <w:r>
        <w:rPr>
          <w:rFonts w:ascii="宋体" w:hAnsi="宋体"/>
          <w:sz w:val="24"/>
          <w:szCs w:val="24"/>
          <w:highlight w:val="none"/>
        </w:rPr>
        <w:t>25</w:t>
      </w:r>
      <w:r>
        <w:rPr>
          <w:rFonts w:hint="eastAsia" w:ascii="宋体" w:hAnsi="宋体"/>
          <w:sz w:val="24"/>
          <w:szCs w:val="24"/>
          <w:highlight w:val="none"/>
        </w:rPr>
        <w:t>～</w:t>
      </w:r>
      <w:r>
        <w:rPr>
          <w:rFonts w:ascii="宋体" w:hAnsi="宋体"/>
          <w:sz w:val="24"/>
          <w:szCs w:val="24"/>
          <w:highlight w:val="none"/>
        </w:rPr>
        <w:t>290mmHg</w:t>
      </w:r>
    </w:p>
    <w:p w14:paraId="5E4DA49E">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19.</w:t>
      </w:r>
      <w:r>
        <w:rPr>
          <w:rFonts w:hint="eastAsia" w:ascii="宋体" w:hAnsi="宋体"/>
          <w:sz w:val="24"/>
          <w:szCs w:val="24"/>
          <w:highlight w:val="none"/>
        </w:rPr>
        <w:t>血氧监测适用于成人，小儿和新生儿</w:t>
      </w:r>
    </w:p>
    <w:p w14:paraId="6632E1A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20.</w:t>
      </w:r>
      <w:r>
        <w:rPr>
          <w:rFonts w:hint="eastAsia" w:ascii="宋体" w:hAnsi="宋体"/>
          <w:sz w:val="24"/>
          <w:szCs w:val="24"/>
          <w:highlight w:val="none"/>
        </w:rPr>
        <w:t>提供灌注指数（PI）的监测</w:t>
      </w:r>
    </w:p>
    <w:p w14:paraId="2CABB597">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21.</w:t>
      </w:r>
      <w:r>
        <w:rPr>
          <w:rFonts w:hint="eastAsia" w:ascii="宋体" w:hAnsi="宋体"/>
          <w:sz w:val="24"/>
          <w:szCs w:val="24"/>
          <w:highlight w:val="none"/>
        </w:rPr>
        <w:t>配置指套式血氧探头，支持浸泡清洁与消毒，防水等级IPx7</w:t>
      </w:r>
    </w:p>
    <w:p w14:paraId="4C608D9B">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22.</w:t>
      </w:r>
      <w:r>
        <w:rPr>
          <w:rFonts w:hint="eastAsia" w:ascii="宋体" w:hAnsi="宋体"/>
          <w:sz w:val="24"/>
          <w:szCs w:val="24"/>
          <w:highlight w:val="none"/>
        </w:rPr>
        <w:t>支持双通道有创压IBP监测，支持升级多达</w:t>
      </w:r>
      <w:r>
        <w:rPr>
          <w:rFonts w:ascii="宋体" w:hAnsi="宋体"/>
          <w:sz w:val="24"/>
          <w:szCs w:val="24"/>
          <w:highlight w:val="none"/>
        </w:rPr>
        <w:t>6</w:t>
      </w:r>
      <w:r>
        <w:rPr>
          <w:rFonts w:hint="eastAsia" w:ascii="宋体" w:hAnsi="宋体"/>
          <w:sz w:val="24"/>
          <w:szCs w:val="24"/>
          <w:highlight w:val="none"/>
        </w:rPr>
        <w:t>通道有创压监测</w:t>
      </w:r>
    </w:p>
    <w:p w14:paraId="3938B6E2">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23.</w:t>
      </w:r>
      <w:r>
        <w:rPr>
          <w:rFonts w:hint="eastAsia" w:ascii="宋体" w:hAnsi="宋体"/>
          <w:sz w:val="24"/>
          <w:szCs w:val="24"/>
          <w:highlight w:val="none"/>
        </w:rPr>
        <w:t>有创压适用于成人，小儿和新生儿</w:t>
      </w:r>
    </w:p>
    <w:p w14:paraId="15D3C3D7">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24.</w:t>
      </w:r>
      <w:r>
        <w:rPr>
          <w:rFonts w:ascii="宋体" w:hAnsi="宋体"/>
          <w:color w:val="000000"/>
          <w:sz w:val="24"/>
          <w:szCs w:val="24"/>
          <w:highlight w:val="none"/>
        </w:rPr>
        <w:t>IBP</w:t>
      </w:r>
      <w:r>
        <w:rPr>
          <w:rFonts w:hint="eastAsia" w:ascii="宋体" w:hAnsi="宋体"/>
          <w:color w:val="000000"/>
          <w:sz w:val="24"/>
          <w:szCs w:val="24"/>
          <w:highlight w:val="none"/>
        </w:rPr>
        <w:t>有创压测量范围：</w:t>
      </w:r>
      <w:r>
        <w:rPr>
          <w:rFonts w:ascii="宋体" w:hAnsi="宋体"/>
          <w:color w:val="000000"/>
          <w:sz w:val="24"/>
          <w:szCs w:val="24"/>
          <w:highlight w:val="none"/>
        </w:rPr>
        <w:t>-50</w:t>
      </w:r>
      <w:r>
        <w:rPr>
          <w:rFonts w:hint="eastAsia" w:ascii="宋体" w:hAnsi="宋体"/>
          <w:color w:val="000000"/>
          <w:sz w:val="24"/>
          <w:szCs w:val="24"/>
          <w:highlight w:val="none"/>
        </w:rPr>
        <w:t>～</w:t>
      </w:r>
      <w:r>
        <w:rPr>
          <w:rFonts w:ascii="宋体" w:hAnsi="宋体"/>
          <w:color w:val="000000"/>
          <w:sz w:val="24"/>
          <w:szCs w:val="24"/>
          <w:highlight w:val="none"/>
        </w:rPr>
        <w:t>360mmHg</w:t>
      </w:r>
    </w:p>
    <w:p w14:paraId="024F9FF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25.</w:t>
      </w:r>
      <w:r>
        <w:rPr>
          <w:rFonts w:hint="eastAsia" w:ascii="宋体" w:hAnsi="宋体"/>
          <w:sz w:val="24"/>
          <w:szCs w:val="24"/>
          <w:highlight w:val="none"/>
        </w:rPr>
        <w:t>提供肺动脉锲压（PAWP）的监测和PPV参数监测</w:t>
      </w:r>
      <w:r>
        <w:rPr>
          <w:rFonts w:ascii="宋体" w:hAnsi="宋体"/>
          <w:sz w:val="24"/>
          <w:szCs w:val="24"/>
          <w:highlight w:val="none"/>
        </w:rPr>
        <w:t xml:space="preserve"> </w:t>
      </w:r>
    </w:p>
    <w:p w14:paraId="3BCC1BB9">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26.</w:t>
      </w:r>
      <w:r>
        <w:rPr>
          <w:rFonts w:hint="eastAsia" w:ascii="宋体" w:hAnsi="宋体"/>
          <w:sz w:val="24"/>
          <w:szCs w:val="24"/>
          <w:highlight w:val="none"/>
        </w:rPr>
        <w:t>支持多达</w:t>
      </w:r>
      <w:r>
        <w:rPr>
          <w:rFonts w:ascii="宋体" w:hAnsi="宋体"/>
          <w:sz w:val="24"/>
          <w:szCs w:val="24"/>
          <w:highlight w:val="none"/>
        </w:rPr>
        <w:t>6</w:t>
      </w:r>
      <w:r>
        <w:rPr>
          <w:rFonts w:hint="eastAsia" w:ascii="宋体" w:hAnsi="宋体"/>
          <w:sz w:val="24"/>
          <w:szCs w:val="24"/>
          <w:highlight w:val="none"/>
        </w:rPr>
        <w:t>道IBP波形叠加显示，满足临床对比查看和节约显示空间的需求</w:t>
      </w:r>
    </w:p>
    <w:p w14:paraId="60B3569D">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27.</w:t>
      </w:r>
      <w:r>
        <w:rPr>
          <w:rFonts w:hint="eastAsia" w:ascii="宋体" w:hAnsi="宋体"/>
          <w:sz w:val="24"/>
          <w:szCs w:val="24"/>
          <w:highlight w:val="none"/>
        </w:rPr>
        <w:t>支持升级旁流 EtCO2 监测模块，旁流 EtCO2 监测模块水槽要求易用</w:t>
      </w:r>
    </w:p>
    <w:p w14:paraId="3CD9393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28.</w:t>
      </w:r>
      <w:r>
        <w:rPr>
          <w:rFonts w:hint="eastAsia" w:ascii="宋体" w:hAnsi="宋体"/>
          <w:sz w:val="24"/>
          <w:szCs w:val="24"/>
          <w:highlight w:val="none"/>
          <w:lang w:val="en-US" w:eastAsia="zh-CN"/>
        </w:rPr>
        <w:t>支持升级配备心肺复苏质量指数或 EtCO2 监测模块</w:t>
      </w:r>
    </w:p>
    <w:p w14:paraId="5E6D50F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29.</w:t>
      </w:r>
      <w:r>
        <w:rPr>
          <w:rFonts w:hint="eastAsia" w:ascii="宋体" w:hAnsi="宋体"/>
          <w:sz w:val="24"/>
          <w:szCs w:val="24"/>
          <w:highlight w:val="none"/>
          <w:lang w:val="en-US" w:eastAsia="zh-CN"/>
        </w:rPr>
        <w:t>支持升级</w:t>
      </w:r>
      <w:r>
        <w:rPr>
          <w:rFonts w:hint="eastAsia" w:ascii="宋体" w:hAnsi="宋体"/>
          <w:sz w:val="24"/>
          <w:szCs w:val="24"/>
          <w:highlight w:val="none"/>
        </w:rPr>
        <w:t>麻醉深度BIS，模块作为监护仪模块通过三类注册，非其他品牌麻醉深度连接使用，须提供所售监护仪注册证证明具备该功能</w:t>
      </w:r>
      <w:r>
        <w:rPr>
          <w:rFonts w:hint="eastAsia" w:ascii="宋体" w:hAnsi="宋体"/>
          <w:sz w:val="24"/>
          <w:szCs w:val="24"/>
          <w:highlight w:val="none"/>
          <w:lang w:eastAsia="zh-CN"/>
        </w:rPr>
        <w:t>、</w:t>
      </w:r>
    </w:p>
    <w:p w14:paraId="13D23AB6">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30.</w:t>
      </w:r>
      <w:r>
        <w:rPr>
          <w:rFonts w:hint="eastAsia" w:ascii="宋体" w:hAnsi="宋体"/>
          <w:color w:val="000000"/>
          <w:sz w:val="24"/>
          <w:szCs w:val="24"/>
          <w:highlight w:val="none"/>
        </w:rPr>
        <w:t>支持升级脑电图EEG，振幅整合脑电图aEEG监测模块，可提供4通道脑电图以及DSA致密频谱密度查看</w:t>
      </w:r>
    </w:p>
    <w:p w14:paraId="49EACBB1">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31.</w:t>
      </w:r>
      <w:r>
        <w:rPr>
          <w:rFonts w:hint="eastAsia" w:ascii="宋体" w:hAnsi="宋体"/>
          <w:sz w:val="24"/>
          <w:szCs w:val="24"/>
          <w:highlight w:val="none"/>
          <w:lang w:val="en-US" w:eastAsia="zh-CN"/>
        </w:rPr>
        <w:t>标配</w:t>
      </w:r>
      <w:r>
        <w:rPr>
          <w:rFonts w:hint="eastAsia" w:ascii="宋体" w:hAnsi="宋体"/>
          <w:sz w:val="24"/>
          <w:szCs w:val="24"/>
          <w:highlight w:val="none"/>
        </w:rPr>
        <w:t>PiCCO监测</w:t>
      </w:r>
      <w:r>
        <w:rPr>
          <w:rFonts w:hint="eastAsia" w:ascii="宋体" w:hAnsi="宋体"/>
          <w:sz w:val="24"/>
          <w:szCs w:val="24"/>
          <w:highlight w:val="none"/>
          <w:lang w:val="en-US" w:eastAsia="zh-CN"/>
        </w:rPr>
        <w:t>分析软件</w:t>
      </w:r>
      <w:r>
        <w:rPr>
          <w:rFonts w:hint="eastAsia" w:ascii="宋体" w:hAnsi="宋体"/>
          <w:sz w:val="24"/>
          <w:szCs w:val="24"/>
          <w:highlight w:val="none"/>
        </w:rPr>
        <w:t>，</w:t>
      </w:r>
      <w:r>
        <w:rPr>
          <w:rFonts w:hint="eastAsia" w:ascii="宋体" w:hAnsi="宋体"/>
          <w:sz w:val="24"/>
          <w:szCs w:val="24"/>
          <w:highlight w:val="none"/>
          <w:lang w:val="en-US" w:eastAsia="zh-CN"/>
        </w:rPr>
        <w:t>当升级配备PICCO模块时</w:t>
      </w:r>
      <w:r>
        <w:rPr>
          <w:rFonts w:hint="eastAsia" w:ascii="宋体" w:hAnsi="宋体"/>
          <w:sz w:val="24"/>
          <w:szCs w:val="24"/>
          <w:highlight w:val="none"/>
        </w:rPr>
        <w:t>可监测胸腔内血容量(ITBV)、血管外肺水(EVLW)，肺毛细血管通透性指数(PVPI)等参数，提供完整的血流动力学参数监测</w:t>
      </w:r>
      <w:r>
        <w:rPr>
          <w:rFonts w:hint="eastAsia" w:ascii="宋体" w:hAnsi="宋体"/>
          <w:sz w:val="24"/>
          <w:szCs w:val="24"/>
          <w:highlight w:val="none"/>
          <w:lang w:eastAsia="zh-CN"/>
        </w:rPr>
        <w:t>，</w:t>
      </w:r>
      <w:r>
        <w:rPr>
          <w:rFonts w:hint="eastAsia" w:ascii="宋体" w:hAnsi="宋体"/>
          <w:sz w:val="24"/>
          <w:szCs w:val="24"/>
          <w:highlight w:val="none"/>
          <w:lang w:val="en-US" w:eastAsia="zh-CN"/>
        </w:rPr>
        <w:t>无需额外费用。</w:t>
      </w:r>
    </w:p>
    <w:p w14:paraId="1A9C2843">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32.</w:t>
      </w:r>
      <w:r>
        <w:rPr>
          <w:rFonts w:hint="eastAsia" w:ascii="宋体" w:hAnsi="宋体"/>
          <w:sz w:val="24"/>
          <w:szCs w:val="24"/>
          <w:highlight w:val="none"/>
          <w:lang w:val="en-US" w:eastAsia="zh-CN"/>
        </w:rPr>
        <w:t>支持升级</w:t>
      </w:r>
      <w:r>
        <w:rPr>
          <w:rFonts w:hint="eastAsia" w:ascii="宋体" w:hAnsi="宋体"/>
          <w:sz w:val="24"/>
          <w:szCs w:val="24"/>
          <w:highlight w:val="none"/>
        </w:rPr>
        <w:t>FloTrac监测功能模块，非漂浮导管热稀释法或无创阻抗法，可通过监测挠动脉压力提供连续心排量（CCO），每搏量变异（SVV），实时外周血管阻力（SVR）等监测参数，满足连续血流动力学监测需求</w:t>
      </w:r>
    </w:p>
    <w:p w14:paraId="7E9B83DB">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33.</w:t>
      </w:r>
      <w:r>
        <w:rPr>
          <w:rFonts w:hint="eastAsia" w:ascii="宋体" w:hAnsi="宋体"/>
          <w:sz w:val="24"/>
          <w:szCs w:val="24"/>
          <w:highlight w:val="none"/>
        </w:rPr>
        <w:t>支持升级模块，进行RM呼吸力学监测，提供≥1</w:t>
      </w:r>
      <w:r>
        <w:rPr>
          <w:rFonts w:ascii="宋体" w:hAnsi="宋体"/>
          <w:sz w:val="24"/>
          <w:szCs w:val="24"/>
          <w:highlight w:val="none"/>
        </w:rPr>
        <w:t>8</w:t>
      </w:r>
      <w:r>
        <w:rPr>
          <w:rFonts w:hint="eastAsia" w:ascii="宋体" w:hAnsi="宋体"/>
          <w:sz w:val="24"/>
          <w:szCs w:val="24"/>
          <w:highlight w:val="none"/>
        </w:rPr>
        <w:t>项呼吸力学参数参数指标，可监测包括： PIF峰值吸气流量，PEF峰值呼气流量， WOB病人呼吸功，NIF负吸入压力，RSBI浅呼吸指数</w:t>
      </w:r>
    </w:p>
    <w:p w14:paraId="4DB9AB9E">
      <w:pPr>
        <w:keepNext w:val="0"/>
        <w:keepLines w:val="0"/>
        <w:pageBreakBefore w:val="0"/>
        <w:widowControl w:val="0"/>
        <w:numPr>
          <w:ilvl w:val="0"/>
          <w:numId w:val="0"/>
        </w:numPr>
        <w:kinsoku/>
        <w:wordWrap/>
        <w:overflowPunct/>
        <w:topLinePunct w:val="0"/>
        <w:autoSpaceDE w:val="0"/>
        <w:autoSpaceDN w:val="0"/>
        <w:bidi w:val="0"/>
        <w:adjustRightInd w:val="0"/>
        <w:snapToGrid w:val="0"/>
        <w:spacing w:after="0" w:line="240" w:lineRule="auto"/>
        <w:ind w:left="420" w:leftChars="0" w:hanging="420" w:firstLineChars="0"/>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34.</w:t>
      </w:r>
      <w:r>
        <w:rPr>
          <w:rFonts w:hint="eastAsia" w:ascii="宋体" w:hAnsi="宋体"/>
          <w:sz w:val="24"/>
          <w:szCs w:val="24"/>
          <w:highlight w:val="none"/>
        </w:rPr>
        <w:t>支持升级模块，进行ICG参数监测，可无创监测患者连续心排量</w:t>
      </w:r>
    </w:p>
    <w:p w14:paraId="14B351FA">
      <w:pPr>
        <w:pStyle w:val="45"/>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420" w:leftChars="0" w:hanging="420" w:firstLineChars="0"/>
        <w:textAlignment w:val="auto"/>
        <w:rPr>
          <w:rFonts w:ascii="宋体" w:hAnsi="宋体" w:eastAsia="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35.</w:t>
      </w:r>
      <w:r>
        <w:rPr>
          <w:rFonts w:hint="eastAsia" w:ascii="宋体" w:hAnsi="宋体" w:eastAsia="宋体"/>
          <w:color w:val="000000"/>
          <w:sz w:val="24"/>
          <w:szCs w:val="24"/>
          <w:highlight w:val="none"/>
        </w:rPr>
        <w:t>支持升级</w:t>
      </w:r>
      <w:r>
        <w:rPr>
          <w:rFonts w:hint="eastAsia" w:ascii="宋体" w:hAnsi="宋体" w:eastAsia="宋体"/>
          <w:color w:val="000000"/>
          <w:sz w:val="24"/>
          <w:szCs w:val="24"/>
          <w:highlight w:val="none"/>
          <w:lang w:val="en-US" w:eastAsia="zh-CN"/>
        </w:rPr>
        <w:t>互联</w:t>
      </w:r>
      <w:r>
        <w:rPr>
          <w:rFonts w:hint="eastAsia" w:ascii="宋体" w:hAnsi="宋体" w:eastAsia="宋体"/>
          <w:color w:val="000000"/>
          <w:sz w:val="24"/>
          <w:szCs w:val="24"/>
          <w:highlight w:val="none"/>
        </w:rPr>
        <w:t>模块，可与主流品牌的呼吸机、输注泵产品相连，实现呼吸机、输注泵设备的信息在监护仪上显示、存储、记录、打印或者用于参与计算。</w:t>
      </w:r>
    </w:p>
    <w:p w14:paraId="1D4D281D">
      <w:pPr>
        <w:keepNext w:val="0"/>
        <w:keepLines w:val="0"/>
        <w:pageBreakBefore w:val="0"/>
        <w:kinsoku/>
        <w:wordWrap/>
        <w:overflowPunct/>
        <w:topLinePunct w:val="0"/>
        <w:bidi w:val="0"/>
        <w:adjustRightInd w:val="0"/>
        <w:snapToGrid w:val="0"/>
        <w:spacing w:line="240" w:lineRule="auto"/>
        <w:ind w:right="-512" w:rightChars="-244"/>
        <w:textAlignment w:val="auto"/>
        <w:rPr>
          <w:rFonts w:ascii="宋体" w:hAnsi="宋体"/>
          <w:b/>
          <w:sz w:val="24"/>
          <w:szCs w:val="24"/>
          <w:highlight w:val="none"/>
        </w:rPr>
      </w:pPr>
      <w:r>
        <w:rPr>
          <w:rFonts w:hint="eastAsia" w:ascii="宋体" w:hAnsi="宋体"/>
          <w:b/>
          <w:sz w:val="24"/>
          <w:szCs w:val="24"/>
          <w:highlight w:val="none"/>
        </w:rPr>
        <w:t>系统功能：</w:t>
      </w:r>
    </w:p>
    <w:p w14:paraId="4A643D80">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36.</w:t>
      </w:r>
      <w:r>
        <w:rPr>
          <w:rFonts w:ascii="宋体" w:hAnsi="宋体"/>
          <w:sz w:val="24"/>
          <w:szCs w:val="24"/>
          <w:highlight w:val="none"/>
        </w:rPr>
        <w:t>具有图形化报警指示功能，看报警信息更容易</w:t>
      </w:r>
    </w:p>
    <w:p w14:paraId="442B547D">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37.</w:t>
      </w:r>
      <w:r>
        <w:rPr>
          <w:rFonts w:hint="eastAsia" w:ascii="宋体" w:hAnsi="宋体"/>
          <w:color w:val="000000"/>
          <w:sz w:val="24"/>
          <w:szCs w:val="24"/>
          <w:highlight w:val="none"/>
          <w:lang w:val="en-US" w:eastAsia="zh-CN"/>
        </w:rPr>
        <w:t>标配</w:t>
      </w:r>
      <w:r>
        <w:rPr>
          <w:rFonts w:hint="eastAsia" w:ascii="宋体" w:hAnsi="宋体"/>
          <w:color w:val="000000"/>
          <w:sz w:val="24"/>
          <w:szCs w:val="24"/>
          <w:highlight w:val="none"/>
        </w:rPr>
        <w:t>报警升级功能，当参数报警经过一定的时间未被处理或伴发了其他报警，就会升级到更高一个级别</w:t>
      </w:r>
    </w:p>
    <w:p w14:paraId="479B5DDF">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38.</w:t>
      </w:r>
      <w:r>
        <w:rPr>
          <w:rFonts w:hint="eastAsia" w:ascii="宋体" w:hAnsi="宋体"/>
          <w:color w:val="000000"/>
          <w:sz w:val="24"/>
          <w:szCs w:val="24"/>
          <w:highlight w:val="none"/>
        </w:rPr>
        <w:t>具有特殊报警音，当监护仪在病人发生致命性参数报警时，发出特殊的报警音进行提示病人处于危急状态</w:t>
      </w:r>
    </w:p>
    <w:p w14:paraId="7CFAC402">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39.</w:t>
      </w:r>
      <w:r>
        <w:rPr>
          <w:rFonts w:hint="eastAsia" w:ascii="宋体" w:hAnsi="宋体"/>
          <w:color w:val="000000"/>
          <w:sz w:val="24"/>
          <w:szCs w:val="24"/>
          <w:highlight w:val="none"/>
        </w:rPr>
        <w:t>支持根据病人的参数趋势变化，自动推送推荐报警限</w:t>
      </w:r>
    </w:p>
    <w:p w14:paraId="4711E90B">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40.</w:t>
      </w:r>
      <w:r>
        <w:rPr>
          <w:rFonts w:hint="eastAsia" w:ascii="宋体" w:hAnsi="宋体"/>
          <w:sz w:val="24"/>
          <w:szCs w:val="24"/>
          <w:highlight w:val="none"/>
          <w:lang w:eastAsia="zh-CN"/>
        </w:rPr>
        <w:t>▲标配参数组合报警功能，可对患者同时多个参数变化给出统一报警提示，预示病人不同生理系统状态改变</w:t>
      </w:r>
    </w:p>
    <w:p w14:paraId="238879CE">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41.</w:t>
      </w:r>
      <w:r>
        <w:rPr>
          <w:rFonts w:hint="eastAsia" w:ascii="宋体" w:hAnsi="宋体"/>
          <w:color w:val="000000"/>
          <w:sz w:val="24"/>
          <w:szCs w:val="24"/>
          <w:highlight w:val="none"/>
        </w:rPr>
        <w:t>标配具备血液动力学，药物计算，氧合计算，通气计算和肾功能计算功能，并提供证明材料</w:t>
      </w:r>
    </w:p>
    <w:p w14:paraId="3F3F3E4D">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42.</w:t>
      </w:r>
      <w:r>
        <w:rPr>
          <w:rFonts w:hint="eastAsia" w:ascii="宋体" w:hAnsi="宋体"/>
          <w:sz w:val="24"/>
          <w:szCs w:val="24"/>
          <w:highlight w:val="none"/>
          <w:lang w:val="en-US" w:eastAsia="zh-CN"/>
        </w:rPr>
        <w:t>支持升级配备血流动力学软件工具</w:t>
      </w:r>
      <w:r>
        <w:rPr>
          <w:rFonts w:hint="eastAsia" w:ascii="宋体" w:hAnsi="宋体"/>
          <w:color w:val="000000"/>
          <w:sz w:val="24"/>
          <w:szCs w:val="24"/>
          <w:highlight w:val="none"/>
        </w:rPr>
        <w:t>，需提供证明材料</w:t>
      </w:r>
    </w:p>
    <w:p w14:paraId="510E18F1">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43.</w:t>
      </w:r>
      <w:r>
        <w:rPr>
          <w:rFonts w:hint="eastAsia" w:ascii="宋体" w:hAnsi="宋体"/>
          <w:sz w:val="24"/>
          <w:szCs w:val="24"/>
          <w:highlight w:val="none"/>
          <w:lang w:val="en-US" w:eastAsia="zh-CN"/>
        </w:rPr>
        <w:t>可升级配备麻醉平衡软件工具</w:t>
      </w:r>
      <w:r>
        <w:rPr>
          <w:rFonts w:hint="eastAsia" w:ascii="宋体" w:hAnsi="宋体"/>
          <w:color w:val="000000"/>
          <w:sz w:val="24"/>
          <w:szCs w:val="24"/>
          <w:highlight w:val="none"/>
        </w:rPr>
        <w:t>，需提供证明材料</w:t>
      </w:r>
    </w:p>
    <w:p w14:paraId="4619474E">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44.</w:t>
      </w:r>
      <w:r>
        <w:rPr>
          <w:rFonts w:hint="eastAsia" w:ascii="宋体" w:hAnsi="宋体"/>
          <w:sz w:val="24"/>
          <w:szCs w:val="24"/>
          <w:highlight w:val="none"/>
          <w:lang w:val="en-US" w:eastAsia="zh-CN"/>
        </w:rPr>
        <w:t>支持升级</w:t>
      </w:r>
      <w:r>
        <w:rPr>
          <w:rFonts w:hint="eastAsia" w:ascii="宋体" w:hAnsi="宋体"/>
          <w:sz w:val="24"/>
          <w:szCs w:val="24"/>
          <w:highlight w:val="none"/>
        </w:rPr>
        <w:t>配备</w:t>
      </w:r>
      <w:r>
        <w:rPr>
          <w:rFonts w:hint="eastAsia" w:ascii="宋体" w:hAnsi="宋体"/>
          <w:color w:val="000000"/>
          <w:sz w:val="24"/>
          <w:szCs w:val="24"/>
          <w:highlight w:val="none"/>
        </w:rPr>
        <w:t>CCHD新生儿先心病筛查工具，并可以支持美标法及双标法筛查流程，双标法筛查流程复合《全国新生儿先天性心脏病筛查手册》（2</w:t>
      </w:r>
      <w:r>
        <w:rPr>
          <w:rFonts w:ascii="宋体" w:hAnsi="宋体"/>
          <w:color w:val="000000"/>
          <w:sz w:val="24"/>
          <w:szCs w:val="24"/>
          <w:highlight w:val="none"/>
        </w:rPr>
        <w:t>018</w:t>
      </w:r>
      <w:r>
        <w:rPr>
          <w:rFonts w:hint="eastAsia" w:ascii="宋体" w:hAnsi="宋体"/>
          <w:color w:val="000000"/>
          <w:sz w:val="24"/>
          <w:szCs w:val="24"/>
          <w:highlight w:val="none"/>
        </w:rPr>
        <w:t>版），需提供证明材料</w:t>
      </w:r>
    </w:p>
    <w:p w14:paraId="38678FE8">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45.</w:t>
      </w:r>
      <w:r>
        <w:rPr>
          <w:rFonts w:hint="eastAsia" w:ascii="宋体" w:hAnsi="宋体"/>
          <w:color w:val="000000"/>
          <w:sz w:val="24"/>
          <w:szCs w:val="24"/>
          <w:highlight w:val="none"/>
        </w:rPr>
        <w:t>可提供监护仪用药信息工具</w:t>
      </w:r>
    </w:p>
    <w:p w14:paraId="12C598C5">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46.</w:t>
      </w:r>
      <w:r>
        <w:rPr>
          <w:rFonts w:hint="eastAsia" w:ascii="宋体" w:hAnsi="宋体"/>
          <w:sz w:val="24"/>
          <w:szCs w:val="24"/>
          <w:highlight w:val="none"/>
        </w:rPr>
        <w:t>支持≥1</w:t>
      </w:r>
      <w:r>
        <w:rPr>
          <w:rFonts w:ascii="宋体" w:hAnsi="宋体"/>
          <w:sz w:val="24"/>
          <w:szCs w:val="24"/>
          <w:highlight w:val="none"/>
        </w:rPr>
        <w:t>0</w:t>
      </w:r>
      <w:r>
        <w:rPr>
          <w:rFonts w:hint="eastAsia" w:ascii="宋体" w:hAnsi="宋体"/>
          <w:sz w:val="24"/>
          <w:szCs w:val="24"/>
          <w:highlight w:val="none"/>
        </w:rPr>
        <w:t>0小时趋势表和趋势图回顾，最小分辨率1分钟</w:t>
      </w:r>
    </w:p>
    <w:p w14:paraId="74413C77">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color w:val="000000"/>
          <w:sz w:val="24"/>
          <w:szCs w:val="24"/>
          <w:highlight w:val="none"/>
        </w:rPr>
      </w:pPr>
      <w:r>
        <w:rPr>
          <w:rFonts w:hint="default" w:ascii="宋体" w:hAnsi="宋体" w:eastAsia="宋体" w:cs="Times New Roman"/>
          <w:color w:val="000000"/>
          <w:kern w:val="2"/>
          <w:sz w:val="24"/>
          <w:szCs w:val="24"/>
          <w:highlight w:val="none"/>
          <w:lang w:val="en-US" w:eastAsia="zh-CN" w:bidi="ar-SA"/>
        </w:rPr>
        <w:t>47.</w:t>
      </w:r>
      <w:r>
        <w:rPr>
          <w:rFonts w:hint="eastAsia" w:ascii="宋体" w:hAnsi="宋体"/>
          <w:sz w:val="24"/>
          <w:szCs w:val="24"/>
          <w:highlight w:val="none"/>
        </w:rPr>
        <w:t>支持≥</w:t>
      </w:r>
      <w:r>
        <w:rPr>
          <w:rFonts w:ascii="宋体" w:hAnsi="宋体"/>
          <w:sz w:val="24"/>
          <w:szCs w:val="24"/>
          <w:highlight w:val="none"/>
        </w:rPr>
        <w:t>800条事件回顾。每条报警事件至少能够存储</w:t>
      </w:r>
      <w:r>
        <w:rPr>
          <w:rFonts w:hint="eastAsia" w:ascii="宋体" w:hAnsi="宋体"/>
          <w:sz w:val="24"/>
          <w:szCs w:val="24"/>
          <w:highlight w:val="none"/>
        </w:rPr>
        <w:t>32秒三道相关波形，以及报警触发时所有测量参数值</w:t>
      </w:r>
    </w:p>
    <w:p w14:paraId="4663DBDD">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48.</w:t>
      </w:r>
      <w:r>
        <w:rPr>
          <w:rFonts w:hint="eastAsia" w:ascii="宋体" w:hAnsi="宋体"/>
          <w:color w:val="000000"/>
          <w:sz w:val="24"/>
          <w:szCs w:val="24"/>
          <w:highlight w:val="none"/>
        </w:rPr>
        <w:t>具备</w:t>
      </w:r>
      <w:r>
        <w:rPr>
          <w:rFonts w:hint="eastAsia" w:ascii="宋体" w:hAnsi="宋体"/>
          <w:sz w:val="24"/>
          <w:szCs w:val="24"/>
          <w:highlight w:val="none"/>
        </w:rPr>
        <w:t>≥</w:t>
      </w:r>
      <w:r>
        <w:rPr>
          <w:rFonts w:hint="eastAsia" w:ascii="宋体" w:hAnsi="宋体"/>
          <w:color w:val="000000"/>
          <w:sz w:val="24"/>
          <w:szCs w:val="24"/>
          <w:highlight w:val="none"/>
        </w:rPr>
        <w:t>40小时全息波形的存储与回顾功能</w:t>
      </w:r>
    </w:p>
    <w:p w14:paraId="5B47722E">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49.</w:t>
      </w:r>
      <w:r>
        <w:rPr>
          <w:rFonts w:hint="eastAsia" w:ascii="宋体" w:hAnsi="宋体"/>
          <w:sz w:val="24"/>
          <w:szCs w:val="24"/>
          <w:highlight w:val="none"/>
        </w:rPr>
        <w:t>支持≥1</w:t>
      </w:r>
      <w:r>
        <w:rPr>
          <w:rFonts w:ascii="宋体" w:hAnsi="宋体"/>
          <w:sz w:val="24"/>
          <w:szCs w:val="24"/>
          <w:highlight w:val="none"/>
        </w:rPr>
        <w:t>0</w:t>
      </w:r>
      <w:r>
        <w:rPr>
          <w:rFonts w:hint="eastAsia" w:ascii="宋体" w:hAnsi="宋体"/>
          <w:sz w:val="24"/>
          <w:szCs w:val="24"/>
          <w:highlight w:val="none"/>
        </w:rPr>
        <w:t>0小时ST波形片段的存储与回顾</w:t>
      </w:r>
    </w:p>
    <w:p w14:paraId="24A8DADB">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50.</w:t>
      </w:r>
      <w:r>
        <w:rPr>
          <w:rFonts w:hint="eastAsia" w:ascii="宋体" w:hAnsi="宋体"/>
          <w:sz w:val="24"/>
          <w:szCs w:val="24"/>
          <w:highlight w:val="none"/>
        </w:rPr>
        <w:t>患者离开科室，监护仪状态由接收患者到解除患者后，患者数据不删除，支持在监护仪回顾历史病人数据</w:t>
      </w:r>
    </w:p>
    <w:p w14:paraId="427F567C">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51.</w:t>
      </w:r>
      <w:r>
        <w:rPr>
          <w:rFonts w:hint="eastAsia" w:ascii="宋体" w:hAnsi="宋体"/>
          <w:sz w:val="24"/>
          <w:szCs w:val="24"/>
          <w:highlight w:val="none"/>
        </w:rPr>
        <w:t>工作模式提供：监护模式、 待机模式、体外循环模式、插管模式，夜间模式</w:t>
      </w:r>
    </w:p>
    <w:p w14:paraId="2D196B91">
      <w:pPr>
        <w:keepNext w:val="0"/>
        <w:keepLines w:val="0"/>
        <w:pageBreakBefore w:val="0"/>
        <w:widowControl w:val="0"/>
        <w:numPr>
          <w:ilvl w:val="0"/>
          <w:numId w:val="0"/>
        </w:numPr>
        <w:kinsoku/>
        <w:wordWrap/>
        <w:overflowPunct/>
        <w:topLinePunct w:val="0"/>
        <w:bidi w:val="0"/>
        <w:adjustRightInd w:val="0"/>
        <w:snapToGrid w:val="0"/>
        <w:spacing w:after="0" w:line="240" w:lineRule="auto"/>
        <w:ind w:left="420" w:leftChars="0" w:hanging="420" w:firstLineChars="0"/>
        <w:jc w:val="both"/>
        <w:textAlignment w:val="auto"/>
        <w:rPr>
          <w:rFonts w:ascii="宋体" w:hAnsi="宋体"/>
          <w:sz w:val="24"/>
          <w:szCs w:val="24"/>
          <w:highlight w:val="none"/>
        </w:rPr>
      </w:pPr>
      <w:r>
        <w:rPr>
          <w:rFonts w:hint="default" w:ascii="宋体" w:hAnsi="宋体" w:eastAsia="宋体" w:cs="Times New Roman"/>
          <w:kern w:val="2"/>
          <w:sz w:val="24"/>
          <w:szCs w:val="24"/>
          <w:highlight w:val="none"/>
          <w:lang w:val="en-US" w:eastAsia="zh-CN" w:bidi="ar-SA"/>
        </w:rPr>
        <w:t>52.</w:t>
      </w:r>
      <w:r>
        <w:rPr>
          <w:rFonts w:hint="eastAsia" w:ascii="宋体" w:hAnsi="宋体"/>
          <w:sz w:val="24"/>
          <w:szCs w:val="24"/>
          <w:highlight w:val="none"/>
        </w:rPr>
        <w:t>支持与遥测，生命体征监测仪、呼吸机混合联通至中心监护系统，实现护士站的集中管理</w:t>
      </w:r>
    </w:p>
    <w:p w14:paraId="247F3010">
      <w:pPr>
        <w:keepNext w:val="0"/>
        <w:keepLines w:val="0"/>
        <w:pageBreakBefore w:val="0"/>
        <w:widowControl w:val="0"/>
        <w:kinsoku/>
        <w:wordWrap/>
        <w:overflowPunct/>
        <w:topLinePunct w:val="0"/>
        <w:bidi w:val="0"/>
        <w:adjustRightInd w:val="0"/>
        <w:snapToGrid w:val="0"/>
        <w:spacing w:after="0" w:line="240" w:lineRule="auto"/>
        <w:ind w:left="420"/>
        <w:jc w:val="both"/>
        <w:textAlignment w:val="auto"/>
        <w:rPr>
          <w:rFonts w:ascii="宋体" w:hAnsi="宋体"/>
          <w:b/>
          <w:sz w:val="24"/>
          <w:szCs w:val="24"/>
          <w:highlight w:val="none"/>
        </w:rPr>
      </w:pPr>
      <w:r>
        <w:rPr>
          <w:rFonts w:hint="eastAsia" w:ascii="宋体" w:hAnsi="宋体"/>
          <w:b/>
          <w:sz w:val="24"/>
          <w:szCs w:val="24"/>
          <w:highlight w:val="none"/>
        </w:rPr>
        <w:t>产品设计与认证</w:t>
      </w:r>
    </w:p>
    <w:p w14:paraId="32C19521">
      <w:pPr>
        <w:pStyle w:val="45"/>
        <w:keepNext w:val="0"/>
        <w:keepLines w:val="0"/>
        <w:pageBreakBefore w:val="0"/>
        <w:numPr>
          <w:ilvl w:val="0"/>
          <w:numId w:val="0"/>
        </w:numPr>
        <w:kinsoku/>
        <w:wordWrap/>
        <w:overflowPunct/>
        <w:topLinePunct w:val="0"/>
        <w:bidi w:val="0"/>
        <w:adjustRightInd w:val="0"/>
        <w:snapToGrid w:val="0"/>
        <w:spacing w:line="240" w:lineRule="auto"/>
        <w:ind w:left="420" w:leftChars="0" w:right="-512" w:rightChars="-244" w:hanging="420" w:firstLineChars="0"/>
        <w:textAlignment w:val="auto"/>
        <w:rPr>
          <w:rFonts w:ascii="宋体" w:hAnsi="宋体"/>
          <w:sz w:val="24"/>
          <w:szCs w:val="24"/>
          <w:highlight w:val="none"/>
          <w:u w:val="single"/>
        </w:rPr>
      </w:pPr>
      <w:r>
        <w:rPr>
          <w:rFonts w:hint="default" w:ascii="宋体" w:hAnsi="宋体" w:eastAsia="宋体" w:cs="Times New Roman"/>
          <w:kern w:val="2"/>
          <w:sz w:val="24"/>
          <w:szCs w:val="24"/>
          <w:highlight w:val="none"/>
          <w:lang w:val="en-US" w:eastAsia="zh-CN" w:bidi="ar-SA"/>
        </w:rPr>
        <w:t>53.</w:t>
      </w:r>
      <w:r>
        <w:rPr>
          <w:rFonts w:hint="eastAsia" w:ascii="宋体" w:hAnsi="宋体"/>
          <w:sz w:val="24"/>
          <w:szCs w:val="24"/>
          <w:highlight w:val="none"/>
        </w:rPr>
        <w:t>产品应取得第三类医疗器械产品《医疗器械注册证》</w:t>
      </w:r>
    </w:p>
    <w:p w14:paraId="40E78AF3">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宋体" w:hAnsi="宋体"/>
          <w:b/>
          <w:bCs/>
          <w:color w:val="auto"/>
          <w:sz w:val="24"/>
          <w:szCs w:val="24"/>
          <w:highlight w:val="none"/>
        </w:rPr>
      </w:pPr>
      <w:r>
        <w:rPr>
          <w:rFonts w:hint="eastAsia" w:ascii="宋体" w:hAnsi="宋体"/>
          <w:b/>
          <w:color w:val="auto"/>
          <w:sz w:val="24"/>
          <w:szCs w:val="24"/>
          <w:highlight w:val="none"/>
          <w:lang w:val="en-US" w:eastAsia="zh-CN"/>
        </w:rPr>
        <w:t>（四）</w:t>
      </w:r>
      <w:r>
        <w:rPr>
          <w:rFonts w:hint="eastAsia" w:ascii="宋体" w:hAnsi="宋体"/>
          <w:b/>
          <w:color w:val="auto"/>
          <w:sz w:val="24"/>
          <w:szCs w:val="24"/>
          <w:highlight w:val="none"/>
        </w:rPr>
        <w:t>心肺复苏机</w:t>
      </w:r>
    </w:p>
    <w:p w14:paraId="36138507">
      <w:pPr>
        <w:keepNext w:val="0"/>
        <w:keepLines w:val="0"/>
        <w:pageBreakBefore w:val="0"/>
        <w:numPr>
          <w:ilvl w:val="0"/>
          <w:numId w:val="0"/>
        </w:numPr>
        <w:kinsoku/>
        <w:wordWrap/>
        <w:overflowPunct/>
        <w:topLinePunct w:val="0"/>
        <w:bidi w:val="0"/>
        <w:adjustRightInd w:val="0"/>
        <w:snapToGrid w:val="0"/>
        <w:spacing w:line="240" w:lineRule="auto"/>
        <w:ind w:left="425" w:leftChars="0" w:hanging="425" w:firstLineChars="0"/>
        <w:jc w:val="left"/>
        <w:textAlignment w:val="auto"/>
        <w:rPr>
          <w:rFonts w:hint="eastAsia" w:ascii="宋体" w:hAnsi="宋体"/>
          <w:b w:val="0"/>
          <w:bCs w:val="0"/>
          <w:sz w:val="24"/>
          <w:szCs w:val="24"/>
          <w:highlight w:val="none"/>
          <w:lang w:val="en-US" w:eastAsia="zh-CN"/>
        </w:rPr>
      </w:pPr>
      <w:r>
        <w:rPr>
          <w:rFonts w:hint="eastAsia" w:ascii="宋体" w:hAnsi="宋体" w:eastAsia="宋体" w:cs="Times New Roman"/>
          <w:b w:val="0"/>
          <w:bCs w:val="0"/>
          <w:kern w:val="2"/>
          <w:sz w:val="24"/>
          <w:szCs w:val="24"/>
          <w:highlight w:val="none"/>
          <w:lang w:val="en-US" w:eastAsia="zh-CN" w:bidi="ar-SA"/>
        </w:rPr>
        <w:t>1.</w:t>
      </w:r>
      <w:r>
        <w:rPr>
          <w:rFonts w:hint="eastAsia" w:ascii="宋体" w:hAnsi="宋体"/>
          <w:b w:val="0"/>
          <w:bCs w:val="0"/>
          <w:sz w:val="24"/>
          <w:szCs w:val="24"/>
          <w:highlight w:val="none"/>
          <w:lang w:val="en-US" w:eastAsia="zh-CN"/>
        </w:rPr>
        <w:t>适用范围</w:t>
      </w:r>
      <w:r>
        <w:rPr>
          <w:rFonts w:hint="eastAsia" w:ascii="宋体" w:hAnsi="宋体"/>
          <w:b w:val="0"/>
          <w:bCs w:val="0"/>
          <w:sz w:val="24"/>
          <w:szCs w:val="24"/>
          <w:highlight w:val="none"/>
        </w:rPr>
        <w:t>：</w:t>
      </w:r>
    </w:p>
    <w:p w14:paraId="5AE0AF2F">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lang w:eastAsia="zh-CN"/>
        </w:rPr>
      </w:pPr>
      <w:r>
        <w:rPr>
          <w:rFonts w:hint="eastAsia" w:ascii="宋体" w:hAnsi="宋体" w:eastAsia="宋体" w:cs="Times New Roman"/>
          <w:b w:val="0"/>
          <w:bCs w:val="0"/>
          <w:kern w:val="2"/>
          <w:sz w:val="24"/>
          <w:szCs w:val="24"/>
          <w:highlight w:val="none"/>
          <w:lang w:val="en-US" w:eastAsia="zh-CN" w:bidi="ar-SA"/>
        </w:rPr>
        <w:t>1.1.</w:t>
      </w:r>
      <w:r>
        <w:rPr>
          <w:rFonts w:hint="eastAsia" w:ascii="宋体" w:hAnsi="宋体"/>
          <w:b w:val="0"/>
          <w:bCs w:val="0"/>
          <w:sz w:val="24"/>
          <w:szCs w:val="24"/>
          <w:highlight w:val="none"/>
          <w:lang w:eastAsia="zh-CN"/>
        </w:rPr>
        <w:t>符合最新国际2020版ERC和</w:t>
      </w:r>
      <w:r>
        <w:rPr>
          <w:rFonts w:hint="eastAsia" w:ascii="宋体" w:hAnsi="宋体"/>
          <w:b w:val="0"/>
          <w:bCs w:val="0"/>
          <w:sz w:val="24"/>
          <w:szCs w:val="24"/>
          <w:highlight w:val="none"/>
          <w:lang w:val="en-US" w:eastAsia="zh-CN"/>
        </w:rPr>
        <w:t>AHA</w:t>
      </w:r>
      <w:r>
        <w:rPr>
          <w:rFonts w:hint="eastAsia" w:ascii="宋体" w:hAnsi="宋体"/>
          <w:b w:val="0"/>
          <w:bCs w:val="0"/>
          <w:sz w:val="24"/>
          <w:szCs w:val="24"/>
          <w:highlight w:val="none"/>
          <w:lang w:eastAsia="zh-CN"/>
        </w:rPr>
        <w:t>心肺复苏及心血管急救指南中关于心肺复苏替代技术和辅助装置的相关规范，适用于对心跳呼吸骤停的成年患者进行胸外按压等心肺复苏抢救。</w:t>
      </w:r>
    </w:p>
    <w:p w14:paraId="13EC9475">
      <w:pPr>
        <w:keepNext w:val="0"/>
        <w:keepLines w:val="0"/>
        <w:pageBreakBefore w:val="0"/>
        <w:numPr>
          <w:ilvl w:val="0"/>
          <w:numId w:val="0"/>
        </w:numPr>
        <w:kinsoku/>
        <w:wordWrap/>
        <w:overflowPunct/>
        <w:topLinePunct w:val="0"/>
        <w:bidi w:val="0"/>
        <w:adjustRightInd w:val="0"/>
        <w:snapToGrid w:val="0"/>
        <w:spacing w:line="240" w:lineRule="auto"/>
        <w:ind w:left="425" w:leftChars="0" w:hanging="425" w:firstLineChars="0"/>
        <w:jc w:val="left"/>
        <w:textAlignment w:val="auto"/>
        <w:rPr>
          <w:rFonts w:hint="eastAsia" w:ascii="宋体" w:hAnsi="宋体"/>
          <w:b w:val="0"/>
          <w:bCs w:val="0"/>
          <w:sz w:val="24"/>
          <w:szCs w:val="24"/>
          <w:highlight w:val="none"/>
          <w:lang w:val="en-US" w:eastAsia="zh-CN"/>
        </w:rPr>
      </w:pPr>
      <w:r>
        <w:rPr>
          <w:rFonts w:hint="eastAsia" w:ascii="宋体" w:hAnsi="宋体" w:eastAsia="宋体" w:cs="Times New Roman"/>
          <w:b w:val="0"/>
          <w:bCs w:val="0"/>
          <w:kern w:val="2"/>
          <w:sz w:val="24"/>
          <w:szCs w:val="24"/>
          <w:highlight w:val="none"/>
          <w:lang w:val="en-US" w:eastAsia="zh-CN" w:bidi="ar-SA"/>
        </w:rPr>
        <w:t>2.</w:t>
      </w:r>
      <w:r>
        <w:rPr>
          <w:rFonts w:hint="eastAsia" w:ascii="宋体" w:hAnsi="宋体"/>
          <w:b w:val="0"/>
          <w:bCs w:val="0"/>
          <w:sz w:val="24"/>
          <w:szCs w:val="24"/>
          <w:highlight w:val="none"/>
          <w:lang w:val="en-US" w:eastAsia="zh-CN"/>
        </w:rPr>
        <w:t>主要技术指标：</w:t>
      </w:r>
    </w:p>
    <w:p w14:paraId="23ECA7E9">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2.1.</w:t>
      </w:r>
      <w:r>
        <w:rPr>
          <w:rFonts w:hint="eastAsia" w:ascii="宋体" w:hAnsi="宋体"/>
          <w:b w:val="0"/>
          <w:bCs w:val="0"/>
          <w:sz w:val="24"/>
          <w:szCs w:val="24"/>
          <w:highlight w:val="none"/>
        </w:rPr>
        <w:t>按压技术：</w:t>
      </w:r>
      <w:r>
        <w:rPr>
          <w:rFonts w:hint="eastAsia" w:ascii="宋体" w:hAnsi="宋体"/>
          <w:b w:val="0"/>
          <w:bCs w:val="0"/>
          <w:sz w:val="24"/>
          <w:szCs w:val="24"/>
          <w:highlight w:val="none"/>
          <w:lang w:val="en-US" w:eastAsia="zh-CN"/>
        </w:rPr>
        <w:t>采用单点按压结合胸廓束带方式，通过</w:t>
      </w:r>
      <w:r>
        <w:rPr>
          <w:rFonts w:hint="eastAsia" w:ascii="宋体" w:hAnsi="宋体"/>
          <w:b w:val="0"/>
          <w:bCs w:val="0"/>
          <w:sz w:val="24"/>
          <w:szCs w:val="24"/>
          <w:highlight w:val="none"/>
        </w:rPr>
        <w:t>胸泵和心泵机制、模拟心脏搏动原理的智能心肺复苏技术，能比徒手CPR更</w:t>
      </w:r>
      <w:r>
        <w:rPr>
          <w:rFonts w:ascii="宋体" w:hAnsi="宋体"/>
          <w:b w:val="0"/>
          <w:bCs w:val="0"/>
          <w:sz w:val="24"/>
          <w:szCs w:val="24"/>
          <w:highlight w:val="none"/>
        </w:rPr>
        <w:t>高效率地改善血流动力学效应，减少复苏过程引起的损伤</w:t>
      </w:r>
      <w:r>
        <w:rPr>
          <w:rFonts w:hint="eastAsia" w:ascii="宋体" w:hAnsi="宋体"/>
          <w:b w:val="0"/>
          <w:bCs w:val="0"/>
          <w:sz w:val="24"/>
          <w:szCs w:val="24"/>
          <w:highlight w:val="none"/>
        </w:rPr>
        <w:t>。</w:t>
      </w:r>
    </w:p>
    <w:p w14:paraId="4BEEB719">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ascii="宋体" w:hAnsi="宋体"/>
          <w:b w:val="0"/>
          <w:bCs w:val="0"/>
          <w:sz w:val="24"/>
          <w:szCs w:val="24"/>
          <w:highlight w:val="none"/>
        </w:rPr>
      </w:pPr>
      <w:r>
        <w:rPr>
          <w:rFonts w:ascii="宋体" w:hAnsi="宋体" w:eastAsia="宋体" w:cs="Times New Roman"/>
          <w:b w:val="0"/>
          <w:bCs w:val="0"/>
          <w:kern w:val="2"/>
          <w:sz w:val="24"/>
          <w:szCs w:val="24"/>
          <w:highlight w:val="none"/>
          <w:lang w:val="en-US" w:eastAsia="zh-CN" w:bidi="ar-SA"/>
        </w:rPr>
        <w:t>2.2.</w:t>
      </w:r>
      <w:r>
        <w:rPr>
          <w:rFonts w:ascii="宋体" w:hAnsi="宋体"/>
          <w:b w:val="0"/>
          <w:bCs w:val="0"/>
          <w:sz w:val="24"/>
          <w:szCs w:val="24"/>
          <w:highlight w:val="none"/>
        </w:rPr>
        <w:t>按</w:t>
      </w:r>
      <w:r>
        <w:rPr>
          <w:rFonts w:hint="eastAsia" w:ascii="宋体" w:hAnsi="宋体"/>
          <w:b w:val="0"/>
          <w:bCs w:val="0"/>
          <w:sz w:val="24"/>
          <w:szCs w:val="24"/>
          <w:highlight w:val="none"/>
        </w:rPr>
        <w:t>压频</w:t>
      </w:r>
      <w:r>
        <w:rPr>
          <w:rFonts w:ascii="宋体" w:hAnsi="宋体"/>
          <w:b w:val="0"/>
          <w:bCs w:val="0"/>
          <w:sz w:val="24"/>
          <w:szCs w:val="24"/>
          <w:highlight w:val="none"/>
        </w:rPr>
        <w:t>率</w:t>
      </w:r>
      <w:r>
        <w:rPr>
          <w:rFonts w:hint="eastAsia" w:ascii="宋体" w:hAnsi="宋体"/>
          <w:b w:val="0"/>
          <w:bCs w:val="0"/>
          <w:sz w:val="24"/>
          <w:szCs w:val="24"/>
          <w:highlight w:val="none"/>
          <w:lang w:val="en-US" w:eastAsia="zh-CN"/>
        </w:rPr>
        <w:t>110</w:t>
      </w:r>
      <w:r>
        <w:rPr>
          <w:rFonts w:ascii="宋体" w:hAnsi="宋体"/>
          <w:b w:val="0"/>
          <w:bCs w:val="0"/>
          <w:sz w:val="24"/>
          <w:szCs w:val="24"/>
          <w:highlight w:val="none"/>
        </w:rPr>
        <w:t>次／分</w:t>
      </w:r>
    </w:p>
    <w:p w14:paraId="36EA0A64">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ascii="宋体" w:hAnsi="宋体"/>
          <w:b w:val="0"/>
          <w:bCs w:val="0"/>
          <w:sz w:val="24"/>
          <w:szCs w:val="24"/>
          <w:highlight w:val="none"/>
        </w:rPr>
      </w:pPr>
      <w:r>
        <w:rPr>
          <w:rFonts w:ascii="宋体" w:hAnsi="宋体" w:eastAsia="宋体" w:cs="Times New Roman"/>
          <w:b w:val="0"/>
          <w:bCs w:val="0"/>
          <w:kern w:val="2"/>
          <w:sz w:val="24"/>
          <w:szCs w:val="24"/>
          <w:highlight w:val="none"/>
          <w:lang w:val="en-US" w:eastAsia="zh-CN" w:bidi="ar-SA"/>
        </w:rPr>
        <w:t>2.3.</w:t>
      </w:r>
      <w:r>
        <w:rPr>
          <w:rFonts w:ascii="宋体" w:hAnsi="宋体"/>
          <w:b w:val="0"/>
          <w:bCs w:val="0"/>
          <w:sz w:val="24"/>
          <w:szCs w:val="24"/>
          <w:highlight w:val="none"/>
        </w:rPr>
        <w:t>按</w:t>
      </w:r>
      <w:r>
        <w:rPr>
          <w:rFonts w:hint="eastAsia" w:ascii="宋体" w:hAnsi="宋体"/>
          <w:b w:val="0"/>
          <w:bCs w:val="0"/>
          <w:sz w:val="24"/>
          <w:szCs w:val="24"/>
          <w:highlight w:val="none"/>
        </w:rPr>
        <w:t>压</w:t>
      </w:r>
      <w:r>
        <w:rPr>
          <w:rFonts w:ascii="宋体" w:hAnsi="宋体"/>
          <w:b w:val="0"/>
          <w:bCs w:val="0"/>
          <w:sz w:val="24"/>
          <w:szCs w:val="24"/>
          <w:highlight w:val="none"/>
        </w:rPr>
        <w:t>深度在</w:t>
      </w:r>
      <w:r>
        <w:rPr>
          <w:rFonts w:hint="eastAsia" w:ascii="宋体" w:hAnsi="宋体"/>
          <w:b w:val="0"/>
          <w:bCs w:val="0"/>
          <w:sz w:val="24"/>
          <w:szCs w:val="24"/>
          <w:highlight w:val="none"/>
          <w:lang w:val="en-US" w:eastAsia="zh-CN"/>
        </w:rPr>
        <w:t>30</w:t>
      </w:r>
      <w:r>
        <w:rPr>
          <w:rFonts w:ascii="宋体" w:hAnsi="宋体"/>
          <w:b w:val="0"/>
          <w:bCs w:val="0"/>
          <w:sz w:val="24"/>
          <w:szCs w:val="24"/>
          <w:highlight w:val="none"/>
        </w:rPr>
        <w:t>-</w:t>
      </w:r>
      <w:r>
        <w:rPr>
          <w:rFonts w:hint="eastAsia" w:ascii="宋体" w:hAnsi="宋体"/>
          <w:b w:val="0"/>
          <w:bCs w:val="0"/>
          <w:sz w:val="24"/>
          <w:szCs w:val="24"/>
          <w:highlight w:val="none"/>
          <w:lang w:val="en-US" w:eastAsia="zh-CN"/>
        </w:rPr>
        <w:t>55mm可调</w:t>
      </w:r>
      <w:r>
        <w:rPr>
          <w:rFonts w:ascii="宋体" w:hAnsi="宋体"/>
          <w:b w:val="0"/>
          <w:bCs w:val="0"/>
          <w:sz w:val="24"/>
          <w:szCs w:val="24"/>
          <w:highlight w:val="none"/>
        </w:rPr>
        <w:t>，</w:t>
      </w:r>
      <w:r>
        <w:rPr>
          <w:rFonts w:hint="eastAsia" w:ascii="宋体" w:hAnsi="宋体"/>
          <w:b w:val="0"/>
          <w:bCs w:val="0"/>
          <w:sz w:val="24"/>
          <w:szCs w:val="24"/>
          <w:highlight w:val="none"/>
          <w:lang w:eastAsia="zh-CN"/>
        </w:rPr>
        <w:t>调节步进可精确到</w:t>
      </w:r>
      <w:r>
        <w:rPr>
          <w:rFonts w:hint="eastAsia" w:ascii="宋体" w:hAnsi="宋体"/>
          <w:b w:val="0"/>
          <w:bCs w:val="0"/>
          <w:sz w:val="24"/>
          <w:szCs w:val="24"/>
          <w:highlight w:val="none"/>
          <w:lang w:val="en-US" w:eastAsia="zh-CN"/>
        </w:rPr>
        <w:t>1mm</w:t>
      </w:r>
    </w:p>
    <w:p w14:paraId="295EC463">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eastAsia="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2.4.</w:t>
      </w:r>
      <w:r>
        <w:rPr>
          <w:rFonts w:hint="eastAsia" w:ascii="宋体" w:hAnsi="宋体" w:eastAsia="宋体"/>
          <w:b w:val="0"/>
          <w:bCs w:val="0"/>
          <w:sz w:val="24"/>
          <w:szCs w:val="24"/>
          <w:highlight w:val="none"/>
        </w:rPr>
        <w:t>按压释放比</w:t>
      </w:r>
      <w:r>
        <w:rPr>
          <w:rFonts w:hint="eastAsia" w:ascii="宋体" w:hAnsi="宋体" w:eastAsia="宋体"/>
          <w:b w:val="0"/>
          <w:bCs w:val="0"/>
          <w:sz w:val="24"/>
          <w:szCs w:val="24"/>
          <w:highlight w:val="none"/>
          <w:lang w:val="en-US" w:eastAsia="zh-CN"/>
        </w:rPr>
        <w:t>1</w:t>
      </w:r>
      <w:r>
        <w:rPr>
          <w:rFonts w:hint="eastAsia" w:ascii="宋体" w:hAnsi="宋体" w:eastAsia="宋体"/>
          <w:b w:val="0"/>
          <w:bCs w:val="0"/>
          <w:sz w:val="24"/>
          <w:szCs w:val="24"/>
          <w:highlight w:val="none"/>
        </w:rPr>
        <w:t>:</w:t>
      </w:r>
      <w:r>
        <w:rPr>
          <w:rFonts w:hint="eastAsia" w:ascii="宋体" w:hAnsi="宋体" w:eastAsia="宋体"/>
          <w:b w:val="0"/>
          <w:bCs w:val="0"/>
          <w:sz w:val="24"/>
          <w:szCs w:val="24"/>
          <w:highlight w:val="none"/>
          <w:lang w:val="en-US" w:eastAsia="zh-CN"/>
        </w:rPr>
        <w:t>1</w:t>
      </w:r>
    </w:p>
    <w:p w14:paraId="41B94D3F">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eastAsia="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2.5.</w:t>
      </w:r>
      <w:r>
        <w:rPr>
          <w:rFonts w:hint="eastAsia" w:ascii="宋体" w:hAnsi="宋体" w:eastAsia="宋体"/>
          <w:b w:val="0"/>
          <w:bCs w:val="0"/>
          <w:sz w:val="24"/>
          <w:szCs w:val="24"/>
          <w:highlight w:val="none"/>
        </w:rPr>
        <w:t>按压通气模式</w:t>
      </w:r>
      <w:r>
        <w:rPr>
          <w:rFonts w:hint="eastAsia" w:ascii="宋体" w:hAnsi="宋体" w:eastAsia="宋体"/>
          <w:b w:val="0"/>
          <w:bCs w:val="0"/>
          <w:sz w:val="24"/>
          <w:szCs w:val="24"/>
          <w:highlight w:val="none"/>
          <w:lang w:val="en-US" w:eastAsia="zh-CN"/>
        </w:rPr>
        <w:t>包括</w:t>
      </w:r>
      <w:r>
        <w:rPr>
          <w:rFonts w:hint="eastAsia" w:ascii="宋体" w:hAnsi="宋体" w:eastAsia="宋体"/>
          <w:b w:val="0"/>
          <w:bCs w:val="0"/>
          <w:sz w:val="24"/>
          <w:szCs w:val="24"/>
          <w:highlight w:val="none"/>
        </w:rPr>
        <w:t>：连续按压模式，30:2模式，CPR联动模式</w:t>
      </w:r>
    </w:p>
    <w:p w14:paraId="0666F076">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eastAsia="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2.6.</w:t>
      </w:r>
      <w:r>
        <w:rPr>
          <w:rFonts w:hint="eastAsia" w:ascii="宋体" w:hAnsi="宋体" w:eastAsia="宋体"/>
          <w:b w:val="0"/>
          <w:bCs w:val="0"/>
          <w:sz w:val="24"/>
          <w:szCs w:val="24"/>
          <w:highlight w:val="none"/>
        </w:rPr>
        <w:t>30:2模式下，30次按压后，2次通气停顿时间≤</w:t>
      </w:r>
      <w:r>
        <w:rPr>
          <w:rFonts w:hint="eastAsia" w:ascii="宋体" w:hAnsi="宋体" w:eastAsia="宋体"/>
          <w:b w:val="0"/>
          <w:bCs w:val="0"/>
          <w:sz w:val="24"/>
          <w:szCs w:val="24"/>
          <w:highlight w:val="none"/>
          <w:lang w:val="en-US" w:eastAsia="zh-CN"/>
        </w:rPr>
        <w:t>3秒</w:t>
      </w:r>
    </w:p>
    <w:p w14:paraId="519B1AC5">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2.7.</w:t>
      </w:r>
      <w:r>
        <w:rPr>
          <w:rFonts w:hint="eastAsia" w:ascii="宋体" w:hAnsi="宋体"/>
          <w:b w:val="0"/>
          <w:bCs w:val="0"/>
          <w:sz w:val="24"/>
          <w:szCs w:val="24"/>
          <w:highlight w:val="none"/>
          <w:lang w:eastAsia="zh-CN"/>
        </w:rPr>
        <w:t>采用</w:t>
      </w:r>
      <w:r>
        <w:rPr>
          <w:rFonts w:hint="eastAsia" w:ascii="宋体" w:hAnsi="宋体"/>
          <w:b w:val="0"/>
          <w:bCs w:val="0"/>
          <w:sz w:val="24"/>
          <w:szCs w:val="24"/>
          <w:highlight w:val="none"/>
          <w:lang w:val="en-US" w:eastAsia="zh-CN"/>
        </w:rPr>
        <w:t>PC+ABS</w:t>
      </w:r>
      <w:r>
        <w:rPr>
          <w:rFonts w:hint="eastAsia" w:ascii="宋体" w:hAnsi="宋体"/>
          <w:b w:val="0"/>
          <w:bCs w:val="0"/>
          <w:sz w:val="24"/>
          <w:szCs w:val="24"/>
          <w:highlight w:val="none"/>
          <w:lang w:eastAsia="zh-CN"/>
        </w:rPr>
        <w:t>硬质背板与软绑带结合，避免纯绑带弹性形变引起按压深度不足，可保障按压深度，提高心肺复苏抢救质量</w:t>
      </w:r>
    </w:p>
    <w:p w14:paraId="7F5D218D">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2.8.</w:t>
      </w:r>
      <w:r>
        <w:rPr>
          <w:rFonts w:hint="eastAsia" w:ascii="宋体" w:hAnsi="宋体"/>
          <w:b w:val="0"/>
          <w:bCs w:val="0"/>
          <w:sz w:val="24"/>
          <w:szCs w:val="24"/>
          <w:highlight w:val="none"/>
          <w:lang w:eastAsia="zh-CN"/>
        </w:rPr>
        <w:t>主机上具有按压深度窗口，可显示实际按压深度</w:t>
      </w:r>
    </w:p>
    <w:p w14:paraId="4FC9FF74">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eastAsia="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2.9.</w:t>
      </w:r>
      <w:r>
        <w:rPr>
          <w:rFonts w:hint="eastAsia" w:ascii="宋体" w:hAnsi="宋体" w:eastAsia="宋体"/>
          <w:b w:val="0"/>
          <w:bCs w:val="0"/>
          <w:sz w:val="24"/>
          <w:szCs w:val="24"/>
          <w:highlight w:val="none"/>
        </w:rPr>
        <w:t>最大工作倾斜度：≥</w:t>
      </w:r>
      <w:r>
        <w:rPr>
          <w:rFonts w:hint="eastAsia" w:ascii="宋体" w:hAnsi="宋体" w:eastAsia="宋体"/>
          <w:b w:val="0"/>
          <w:bCs w:val="0"/>
          <w:sz w:val="24"/>
          <w:szCs w:val="24"/>
          <w:highlight w:val="none"/>
          <w:lang w:val="en-US" w:eastAsia="zh-CN"/>
        </w:rPr>
        <w:t>60</w:t>
      </w:r>
      <w:r>
        <w:rPr>
          <w:rFonts w:hint="eastAsia" w:ascii="宋体" w:hAnsi="宋体" w:eastAsia="宋体"/>
          <w:b w:val="0"/>
          <w:bCs w:val="0"/>
          <w:sz w:val="24"/>
          <w:szCs w:val="24"/>
          <w:highlight w:val="none"/>
        </w:rPr>
        <w:t>°，在主机工作倾斜度范围内工作状态下</w:t>
      </w:r>
      <w:r>
        <w:rPr>
          <w:rFonts w:hint="eastAsia" w:ascii="宋体" w:hAnsi="宋体" w:eastAsia="宋体"/>
          <w:b w:val="0"/>
          <w:bCs w:val="0"/>
          <w:sz w:val="24"/>
          <w:szCs w:val="24"/>
          <w:highlight w:val="none"/>
          <w:lang w:eastAsia="zh-CN"/>
        </w:rPr>
        <w:t>，</w:t>
      </w:r>
      <w:r>
        <w:rPr>
          <w:rFonts w:hint="eastAsia" w:ascii="宋体" w:hAnsi="宋体" w:eastAsia="宋体"/>
          <w:b w:val="0"/>
          <w:bCs w:val="0"/>
          <w:sz w:val="24"/>
          <w:szCs w:val="24"/>
          <w:highlight w:val="none"/>
        </w:rPr>
        <w:t>确保下楼梯、转运途中能维持持续稳定的胸腔按压。</w:t>
      </w:r>
    </w:p>
    <w:p w14:paraId="2E5F1AA1">
      <w:pPr>
        <w:keepNext w:val="0"/>
        <w:keepLines w:val="0"/>
        <w:pageBreakBefore w:val="0"/>
        <w:numPr>
          <w:ilvl w:val="0"/>
          <w:numId w:val="0"/>
        </w:numPr>
        <w:kinsoku/>
        <w:wordWrap/>
        <w:overflowPunct/>
        <w:topLinePunct w:val="0"/>
        <w:bidi w:val="0"/>
        <w:adjustRightInd w:val="0"/>
        <w:snapToGrid w:val="0"/>
        <w:spacing w:line="240" w:lineRule="auto"/>
        <w:ind w:left="425" w:leftChars="0" w:hanging="425" w:firstLineChars="0"/>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w:t>
      </w:r>
      <w:r>
        <w:rPr>
          <w:rFonts w:hint="eastAsia" w:ascii="宋体" w:hAnsi="宋体"/>
          <w:b w:val="0"/>
          <w:bCs w:val="0"/>
          <w:sz w:val="24"/>
          <w:szCs w:val="24"/>
          <w:highlight w:val="none"/>
        </w:rPr>
        <w:t>安全可靠性：</w:t>
      </w:r>
    </w:p>
    <w:p w14:paraId="2755C48B">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3.1.</w:t>
      </w:r>
      <w:r>
        <w:rPr>
          <w:rFonts w:hint="eastAsia" w:ascii="宋体" w:hAnsi="宋体"/>
          <w:b w:val="0"/>
          <w:bCs w:val="0"/>
          <w:sz w:val="24"/>
          <w:szCs w:val="24"/>
          <w:highlight w:val="none"/>
        </w:rPr>
        <w:t>驱动方式：电动电控。</w:t>
      </w:r>
    </w:p>
    <w:p w14:paraId="3C860E5F">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3.2.</w:t>
      </w:r>
      <w:r>
        <w:rPr>
          <w:rFonts w:hint="eastAsia" w:ascii="宋体" w:hAnsi="宋体"/>
          <w:b w:val="0"/>
          <w:bCs w:val="0"/>
          <w:sz w:val="24"/>
          <w:szCs w:val="24"/>
          <w:highlight w:val="none"/>
        </w:rPr>
        <w:t>电池运行时间：新电池充满电情况下，单块电池最大运行时间</w:t>
      </w:r>
      <w:r>
        <w:rPr>
          <w:rFonts w:hint="eastAsia" w:ascii="宋体" w:hAnsi="宋体"/>
          <w:b w:val="0"/>
          <w:bCs w:val="0"/>
          <w:sz w:val="24"/>
          <w:szCs w:val="24"/>
          <w:highlight w:val="none"/>
          <w:lang w:eastAsia="zh-CN"/>
        </w:rPr>
        <w:t>≥</w:t>
      </w:r>
      <w:r>
        <w:rPr>
          <w:rFonts w:hint="eastAsia" w:ascii="宋体" w:hAnsi="宋体"/>
          <w:b w:val="0"/>
          <w:bCs w:val="0"/>
          <w:sz w:val="24"/>
          <w:szCs w:val="24"/>
          <w:highlight w:val="none"/>
          <w:lang w:val="en-US" w:eastAsia="zh-CN"/>
        </w:rPr>
        <w:t>60</w:t>
      </w:r>
      <w:r>
        <w:rPr>
          <w:rFonts w:hint="eastAsia" w:ascii="宋体" w:hAnsi="宋体"/>
          <w:b w:val="0"/>
          <w:bCs w:val="0"/>
          <w:sz w:val="24"/>
          <w:szCs w:val="24"/>
          <w:highlight w:val="none"/>
        </w:rPr>
        <w:t>分钟。</w:t>
      </w:r>
    </w:p>
    <w:p w14:paraId="32A7E257">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3.3.</w:t>
      </w:r>
      <w:r>
        <w:rPr>
          <w:rFonts w:hint="eastAsia" w:ascii="宋体" w:hAnsi="宋体"/>
          <w:b w:val="0"/>
          <w:bCs w:val="0"/>
          <w:sz w:val="24"/>
          <w:szCs w:val="24"/>
          <w:highlight w:val="none"/>
        </w:rPr>
        <w:t>电池最大充电时间：≤</w:t>
      </w:r>
      <w:r>
        <w:rPr>
          <w:rFonts w:hint="eastAsia" w:ascii="宋体" w:hAnsi="宋体"/>
          <w:b w:val="0"/>
          <w:bCs w:val="0"/>
          <w:sz w:val="24"/>
          <w:szCs w:val="24"/>
          <w:highlight w:val="none"/>
          <w:lang w:val="en-US" w:eastAsia="zh-CN"/>
        </w:rPr>
        <w:t>2</w:t>
      </w:r>
      <w:r>
        <w:rPr>
          <w:rFonts w:hint="eastAsia" w:ascii="宋体" w:hAnsi="宋体"/>
          <w:b w:val="0"/>
          <w:bCs w:val="0"/>
          <w:sz w:val="24"/>
          <w:szCs w:val="24"/>
          <w:highlight w:val="none"/>
        </w:rPr>
        <w:t>小时。</w:t>
      </w:r>
    </w:p>
    <w:p w14:paraId="162DF91D">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3.4.</w:t>
      </w:r>
      <w:r>
        <w:rPr>
          <w:rFonts w:hint="eastAsia" w:ascii="宋体" w:hAnsi="宋体"/>
          <w:b w:val="0"/>
          <w:bCs w:val="0"/>
          <w:sz w:val="24"/>
          <w:szCs w:val="24"/>
          <w:highlight w:val="none"/>
        </w:rPr>
        <w:t>外部交流电源：可接220V交流电，持续稳定实施长时间胸腔按压，并同时给予电池充电。</w:t>
      </w:r>
    </w:p>
    <w:p w14:paraId="4457F9A5">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3.5.</w:t>
      </w:r>
      <w:r>
        <w:rPr>
          <w:rFonts w:hint="eastAsia" w:ascii="宋体" w:hAnsi="宋体"/>
          <w:b w:val="0"/>
          <w:bCs w:val="0"/>
          <w:color w:val="000000"/>
          <w:sz w:val="24"/>
          <w:szCs w:val="24"/>
          <w:highlight w:val="none"/>
        </w:rPr>
        <w:t>具有电量指示，低电量指示灯闪烁警示后，仍可连续工作时间</w:t>
      </w:r>
      <w:r>
        <w:rPr>
          <w:rFonts w:hint="eastAsia" w:ascii="宋体" w:hAnsi="宋体"/>
          <w:b w:val="0"/>
          <w:bCs w:val="0"/>
          <w:color w:val="000000"/>
          <w:sz w:val="24"/>
          <w:szCs w:val="24"/>
          <w:highlight w:val="none"/>
          <w:lang w:eastAsia="zh-CN"/>
        </w:rPr>
        <w:t>≥</w:t>
      </w:r>
      <w:r>
        <w:rPr>
          <w:rFonts w:hint="eastAsia" w:ascii="宋体" w:hAnsi="宋体"/>
          <w:b w:val="0"/>
          <w:bCs w:val="0"/>
          <w:color w:val="000000"/>
          <w:sz w:val="24"/>
          <w:szCs w:val="24"/>
          <w:highlight w:val="none"/>
        </w:rPr>
        <w:t>1</w:t>
      </w:r>
      <w:r>
        <w:rPr>
          <w:rFonts w:hint="eastAsia" w:ascii="宋体" w:hAnsi="宋体"/>
          <w:b w:val="0"/>
          <w:bCs w:val="0"/>
          <w:color w:val="000000"/>
          <w:sz w:val="24"/>
          <w:szCs w:val="24"/>
          <w:highlight w:val="none"/>
          <w:lang w:val="en-US" w:eastAsia="zh-CN"/>
        </w:rPr>
        <w:t>5</w:t>
      </w:r>
      <w:r>
        <w:rPr>
          <w:rFonts w:hint="eastAsia" w:ascii="宋体" w:hAnsi="宋体"/>
          <w:b w:val="0"/>
          <w:bCs w:val="0"/>
          <w:color w:val="000000"/>
          <w:sz w:val="24"/>
          <w:szCs w:val="24"/>
          <w:highlight w:val="none"/>
        </w:rPr>
        <w:t>分钟</w:t>
      </w:r>
    </w:p>
    <w:p w14:paraId="488AB396">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color w:val="000000"/>
          <w:sz w:val="24"/>
          <w:szCs w:val="24"/>
          <w:highlight w:val="none"/>
        </w:rPr>
      </w:pPr>
      <w:r>
        <w:rPr>
          <w:rFonts w:hint="eastAsia" w:ascii="宋体" w:hAnsi="宋体" w:eastAsia="宋体" w:cs="Times New Roman"/>
          <w:b w:val="0"/>
          <w:bCs w:val="0"/>
          <w:color w:val="000000"/>
          <w:kern w:val="2"/>
          <w:sz w:val="24"/>
          <w:szCs w:val="24"/>
          <w:highlight w:val="none"/>
          <w:lang w:val="en-US" w:eastAsia="zh-CN" w:bidi="ar-SA"/>
        </w:rPr>
        <w:t>3.6.</w:t>
      </w:r>
      <w:r>
        <w:rPr>
          <w:rFonts w:hint="eastAsia" w:ascii="宋体" w:hAnsi="宋体"/>
          <w:b w:val="0"/>
          <w:bCs w:val="0"/>
          <w:color w:val="000000"/>
          <w:sz w:val="24"/>
          <w:szCs w:val="24"/>
          <w:highlight w:val="none"/>
        </w:rPr>
        <w:t>按压头手动归位：当主机发生错误，若按压头</w:t>
      </w:r>
      <w:r>
        <w:rPr>
          <w:rFonts w:hint="eastAsia" w:ascii="宋体" w:hAnsi="宋体"/>
          <w:b w:val="0"/>
          <w:bCs w:val="0"/>
          <w:color w:val="000000"/>
          <w:sz w:val="24"/>
          <w:szCs w:val="24"/>
          <w:highlight w:val="none"/>
          <w:lang w:eastAsia="zh-CN"/>
        </w:rPr>
        <w:t>未</w:t>
      </w:r>
      <w:r>
        <w:rPr>
          <w:rFonts w:hint="eastAsia" w:ascii="宋体" w:hAnsi="宋体"/>
          <w:b w:val="0"/>
          <w:bCs w:val="0"/>
          <w:color w:val="000000"/>
          <w:sz w:val="24"/>
          <w:szCs w:val="24"/>
          <w:highlight w:val="none"/>
        </w:rPr>
        <w:t>归位，能够手动将按压头推回</w:t>
      </w:r>
      <w:r>
        <w:rPr>
          <w:rFonts w:hint="eastAsia" w:ascii="宋体" w:hAnsi="宋体"/>
          <w:b w:val="0"/>
          <w:bCs w:val="0"/>
          <w:color w:val="000000"/>
          <w:sz w:val="24"/>
          <w:szCs w:val="24"/>
          <w:highlight w:val="none"/>
          <w:lang w:eastAsia="zh-CN"/>
        </w:rPr>
        <w:t>初始位</w:t>
      </w:r>
      <w:r>
        <w:rPr>
          <w:rFonts w:hint="eastAsia" w:ascii="宋体" w:hAnsi="宋体"/>
          <w:b w:val="0"/>
          <w:bCs w:val="0"/>
          <w:color w:val="000000"/>
          <w:sz w:val="24"/>
          <w:szCs w:val="24"/>
          <w:highlight w:val="none"/>
        </w:rPr>
        <w:t>。</w:t>
      </w:r>
    </w:p>
    <w:p w14:paraId="6C190898">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3.7.</w:t>
      </w:r>
      <w:r>
        <w:rPr>
          <w:rFonts w:hint="eastAsia" w:ascii="宋体" w:hAnsi="宋体"/>
          <w:b w:val="0"/>
          <w:bCs w:val="0"/>
          <w:sz w:val="24"/>
          <w:szCs w:val="24"/>
          <w:highlight w:val="none"/>
        </w:rPr>
        <w:t>环境试验应符合GB/T 14710-2009中气候环境试验II组，机械环境试验II组</w:t>
      </w:r>
      <w:r>
        <w:rPr>
          <w:rFonts w:hint="eastAsia" w:ascii="宋体" w:hAnsi="宋体"/>
          <w:b w:val="0"/>
          <w:bCs w:val="0"/>
          <w:sz w:val="24"/>
          <w:szCs w:val="24"/>
          <w:highlight w:val="none"/>
          <w:lang w:val="en-US" w:eastAsia="zh-CN"/>
        </w:rPr>
        <w:t>的</w:t>
      </w:r>
      <w:r>
        <w:rPr>
          <w:rFonts w:hint="eastAsia" w:ascii="宋体" w:hAnsi="宋体"/>
          <w:b w:val="0"/>
          <w:bCs w:val="0"/>
          <w:sz w:val="24"/>
          <w:szCs w:val="24"/>
          <w:highlight w:val="none"/>
        </w:rPr>
        <w:t>规定</w:t>
      </w:r>
    </w:p>
    <w:p w14:paraId="116C2ED2">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jc w:val="left"/>
        <w:textAlignment w:val="auto"/>
        <w:rPr>
          <w:rFonts w:hint="eastAsia" w:ascii="宋体" w:hAnsi="宋体"/>
          <w:b w:val="0"/>
          <w:bCs w:val="0"/>
          <w:sz w:val="24"/>
          <w:szCs w:val="24"/>
          <w:highlight w:val="none"/>
        </w:rPr>
      </w:pPr>
      <w:r>
        <w:rPr>
          <w:rFonts w:hint="eastAsia" w:ascii="宋体" w:hAnsi="宋体" w:eastAsia="宋体" w:cs="Times New Roman"/>
          <w:b w:val="0"/>
          <w:bCs w:val="0"/>
          <w:kern w:val="2"/>
          <w:sz w:val="24"/>
          <w:szCs w:val="24"/>
          <w:highlight w:val="none"/>
          <w:lang w:val="en-US" w:eastAsia="zh-CN" w:bidi="ar-SA"/>
        </w:rPr>
        <w:t>3.8.</w:t>
      </w:r>
      <w:r>
        <w:rPr>
          <w:rFonts w:hint="eastAsia" w:ascii="宋体" w:hAnsi="宋体"/>
          <w:b w:val="0"/>
          <w:bCs w:val="0"/>
          <w:sz w:val="24"/>
          <w:szCs w:val="24"/>
          <w:highlight w:val="none"/>
        </w:rPr>
        <w:t>运输试验、电源电压适应能力试验应分别符合GB/T 14710-2009</w:t>
      </w:r>
      <w:r>
        <w:rPr>
          <w:rFonts w:hint="eastAsia" w:ascii="宋体" w:hAnsi="宋体"/>
          <w:b w:val="0"/>
          <w:bCs w:val="0"/>
          <w:sz w:val="24"/>
          <w:szCs w:val="24"/>
          <w:highlight w:val="none"/>
          <w:lang w:val="en-US" w:eastAsia="zh-CN"/>
        </w:rPr>
        <w:t>的规定</w:t>
      </w:r>
    </w:p>
    <w:p w14:paraId="5104CD2C">
      <w:pPr>
        <w:keepNext w:val="0"/>
        <w:keepLines w:val="0"/>
        <w:pageBreakBefore w:val="0"/>
        <w:numPr>
          <w:ilvl w:val="0"/>
          <w:numId w:val="0"/>
        </w:numPr>
        <w:kinsoku/>
        <w:wordWrap/>
        <w:overflowPunct/>
        <w:topLinePunct w:val="0"/>
        <w:bidi w:val="0"/>
        <w:adjustRightInd w:val="0"/>
        <w:snapToGrid w:val="0"/>
        <w:spacing w:line="240" w:lineRule="auto"/>
        <w:ind w:left="425" w:leftChars="0" w:hanging="425" w:firstLineChars="0"/>
        <w:textAlignment w:val="auto"/>
        <w:rPr>
          <w:rFonts w:hint="eastAsia" w:ascii="宋体" w:hAnsi="宋体"/>
          <w:b w:val="0"/>
          <w:bCs w:val="0"/>
          <w:sz w:val="24"/>
          <w:szCs w:val="24"/>
          <w:highlight w:val="none"/>
          <w:lang w:val="en-US" w:eastAsia="zh-CN"/>
        </w:rPr>
      </w:pPr>
      <w:r>
        <w:rPr>
          <w:rFonts w:hint="eastAsia" w:ascii="宋体" w:hAnsi="宋体" w:eastAsia="宋体" w:cs="Times New Roman"/>
          <w:b w:val="0"/>
          <w:bCs w:val="0"/>
          <w:kern w:val="2"/>
          <w:sz w:val="24"/>
          <w:szCs w:val="24"/>
          <w:highlight w:val="none"/>
          <w:lang w:val="en-US" w:eastAsia="zh-CN" w:bidi="ar-SA"/>
        </w:rPr>
        <w:t>4.</w:t>
      </w:r>
      <w:r>
        <w:rPr>
          <w:rFonts w:hint="eastAsia" w:ascii="宋体" w:hAnsi="宋体"/>
          <w:b w:val="0"/>
          <w:bCs w:val="0"/>
          <w:sz w:val="24"/>
          <w:szCs w:val="24"/>
          <w:highlight w:val="none"/>
          <w:lang w:val="en-US" w:eastAsia="zh-CN"/>
        </w:rPr>
        <w:t>数据存储和传输</w:t>
      </w:r>
      <w:r>
        <w:rPr>
          <w:rFonts w:hint="eastAsia" w:ascii="宋体" w:hAnsi="宋体"/>
          <w:b w:val="0"/>
          <w:bCs w:val="0"/>
          <w:sz w:val="24"/>
          <w:szCs w:val="24"/>
          <w:highlight w:val="none"/>
        </w:rPr>
        <w:t>：</w:t>
      </w:r>
    </w:p>
    <w:p w14:paraId="5E9288AA">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textAlignment w:val="auto"/>
        <w:rPr>
          <w:rFonts w:hint="eastAsia" w:ascii="宋体" w:hAnsi="宋体"/>
          <w:sz w:val="24"/>
          <w:szCs w:val="24"/>
          <w:highlight w:val="none"/>
        </w:rPr>
      </w:pPr>
      <w:r>
        <w:rPr>
          <w:rFonts w:hint="eastAsia" w:ascii="宋体" w:hAnsi="宋体" w:eastAsia="宋体" w:cs="Times New Roman"/>
          <w:b w:val="0"/>
          <w:bCs w:val="0"/>
          <w:kern w:val="2"/>
          <w:sz w:val="24"/>
          <w:szCs w:val="24"/>
          <w:highlight w:val="none"/>
          <w:lang w:val="en-US" w:eastAsia="zh-CN" w:bidi="ar-SA"/>
        </w:rPr>
        <w:t>4.1.</w:t>
      </w:r>
      <w:r>
        <w:rPr>
          <w:rFonts w:hint="eastAsia" w:ascii="宋体" w:hAnsi="宋体"/>
          <w:b w:val="0"/>
          <w:bCs w:val="0"/>
          <w:sz w:val="24"/>
          <w:szCs w:val="24"/>
          <w:highlight w:val="none"/>
          <w:lang w:eastAsia="zh-CN"/>
        </w:rPr>
        <w:t>终端</w:t>
      </w:r>
      <w:r>
        <w:rPr>
          <w:rFonts w:hint="eastAsia" w:ascii="宋体" w:hAnsi="宋体"/>
          <w:b w:val="0"/>
          <w:bCs w:val="0"/>
          <w:sz w:val="24"/>
          <w:szCs w:val="24"/>
          <w:highlight w:val="none"/>
        </w:rPr>
        <w:t>显示</w:t>
      </w:r>
      <w:r>
        <w:rPr>
          <w:rFonts w:ascii="宋体" w:hAnsi="宋体"/>
          <w:b w:val="0"/>
          <w:bCs w:val="0"/>
          <w:sz w:val="24"/>
          <w:szCs w:val="24"/>
          <w:highlight w:val="none"/>
        </w:rPr>
        <w:t>屏：</w:t>
      </w:r>
      <w:r>
        <w:rPr>
          <w:rFonts w:hint="eastAsia" w:ascii="宋体" w:hAnsi="宋体"/>
          <w:b w:val="0"/>
          <w:bCs w:val="0"/>
          <w:sz w:val="24"/>
          <w:szCs w:val="24"/>
          <w:highlight w:val="none"/>
          <w:lang w:eastAsia="zh-CN"/>
        </w:rPr>
        <w:t>可显示</w:t>
      </w:r>
      <w:r>
        <w:rPr>
          <w:rFonts w:hint="eastAsia" w:ascii="宋体" w:hAnsi="宋体"/>
          <w:sz w:val="24"/>
          <w:szCs w:val="24"/>
          <w:highlight w:val="none"/>
          <w:lang w:eastAsia="zh-CN"/>
        </w:rPr>
        <w:t>按压深度，按压深度波形，按压频率，按压时间，按压中断时间以及心肺复苏总时间，可显示</w:t>
      </w:r>
      <w:r>
        <w:rPr>
          <w:rFonts w:hint="eastAsia" w:ascii="宋体" w:hAnsi="宋体"/>
          <w:sz w:val="24"/>
          <w:szCs w:val="24"/>
          <w:highlight w:val="none"/>
          <w:lang w:val="en-US" w:eastAsia="zh-CN"/>
        </w:rPr>
        <w:t>CCF值</w:t>
      </w:r>
    </w:p>
    <w:p w14:paraId="46E08142">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textAlignment w:val="auto"/>
        <w:rPr>
          <w:rFonts w:hint="eastAsia" w:ascii="宋体" w:hAnsi="宋体"/>
          <w:sz w:val="24"/>
          <w:szCs w:val="24"/>
          <w:highlight w:val="none"/>
        </w:rPr>
      </w:pPr>
      <w:r>
        <w:rPr>
          <w:rFonts w:hint="eastAsia" w:ascii="宋体" w:hAnsi="宋体" w:eastAsia="宋体" w:cs="Times New Roman"/>
          <w:kern w:val="2"/>
          <w:sz w:val="24"/>
          <w:szCs w:val="24"/>
          <w:highlight w:val="none"/>
          <w:lang w:val="en-US" w:eastAsia="zh-CN" w:bidi="ar-SA"/>
        </w:rPr>
        <w:t>4.2.</w:t>
      </w:r>
      <w:r>
        <w:rPr>
          <w:rFonts w:hint="eastAsia" w:ascii="宋体" w:hAnsi="宋体"/>
          <w:sz w:val="24"/>
          <w:szCs w:val="24"/>
          <w:highlight w:val="none"/>
          <w:lang w:eastAsia="zh-CN"/>
        </w:rPr>
        <w:t>终端可同屏调节按压模式，按压深度，无需翻页，操作便捷，节约时间</w:t>
      </w:r>
    </w:p>
    <w:p w14:paraId="44C65D5C">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textAlignment w:val="auto"/>
        <w:rPr>
          <w:rFonts w:hint="eastAsia" w:ascii="宋体" w:hAnsi="宋体"/>
          <w:sz w:val="24"/>
          <w:szCs w:val="24"/>
          <w:highlight w:val="none"/>
          <w:lang w:val="en-US" w:eastAsia="zh-CN"/>
        </w:rPr>
      </w:pPr>
      <w:r>
        <w:rPr>
          <w:rFonts w:hint="eastAsia" w:ascii="宋体" w:hAnsi="宋体" w:eastAsia="宋体" w:cs="Times New Roman"/>
          <w:kern w:val="2"/>
          <w:sz w:val="24"/>
          <w:szCs w:val="24"/>
          <w:highlight w:val="none"/>
          <w:lang w:val="en-US" w:eastAsia="zh-CN" w:bidi="ar-SA"/>
        </w:rPr>
        <w:t>4.3.</w:t>
      </w:r>
      <w:r>
        <w:rPr>
          <w:rFonts w:hint="eastAsia" w:ascii="宋体" w:hAnsi="宋体"/>
          <w:sz w:val="24"/>
          <w:szCs w:val="24"/>
          <w:highlight w:val="none"/>
          <w:lang w:val="en-US" w:eastAsia="zh-CN"/>
        </w:rPr>
        <w:t>具有USB接口,用于软件维护与升级</w:t>
      </w:r>
    </w:p>
    <w:p w14:paraId="4B7C7423">
      <w:pPr>
        <w:keepNext w:val="0"/>
        <w:keepLines w:val="0"/>
        <w:pageBreakBefore w:val="0"/>
        <w:numPr>
          <w:ilvl w:val="1"/>
          <w:numId w:val="0"/>
        </w:numPr>
        <w:kinsoku/>
        <w:wordWrap/>
        <w:overflowPunct/>
        <w:topLinePunct w:val="0"/>
        <w:bidi w:val="0"/>
        <w:adjustRightInd w:val="0"/>
        <w:snapToGrid w:val="0"/>
        <w:spacing w:line="240" w:lineRule="auto"/>
        <w:ind w:left="567" w:leftChars="0" w:hanging="567" w:firstLineChars="0"/>
        <w:textAlignment w:val="auto"/>
        <w:rPr>
          <w:rFonts w:hint="eastAsia" w:ascii="宋体" w:hAnsi="宋体"/>
          <w:color w:val="000000"/>
          <w:sz w:val="24"/>
          <w:szCs w:val="24"/>
          <w:highlight w:val="none"/>
        </w:rPr>
      </w:pPr>
      <w:r>
        <w:rPr>
          <w:rFonts w:hint="eastAsia" w:ascii="宋体" w:hAnsi="宋体" w:eastAsia="宋体" w:cs="Times New Roman"/>
          <w:color w:val="000000"/>
          <w:kern w:val="2"/>
          <w:sz w:val="24"/>
          <w:szCs w:val="24"/>
          <w:highlight w:val="none"/>
          <w:lang w:val="en-US" w:eastAsia="zh-CN" w:bidi="ar-SA"/>
        </w:rPr>
        <w:t>4.4.</w:t>
      </w:r>
      <w:r>
        <w:rPr>
          <w:rFonts w:hint="eastAsia" w:ascii="宋体" w:hAnsi="宋体"/>
          <w:color w:val="000000"/>
          <w:sz w:val="24"/>
          <w:szCs w:val="24"/>
          <w:highlight w:val="none"/>
          <w:lang w:val="en-US" w:eastAsia="zh-CN"/>
        </w:rPr>
        <w:t>具有≥16G内存</w:t>
      </w:r>
    </w:p>
    <w:p w14:paraId="3C1C5621">
      <w:pPr>
        <w:keepNext w:val="0"/>
        <w:keepLines w:val="0"/>
        <w:pageBreakBefore w:val="0"/>
        <w:numPr>
          <w:ilvl w:val="0"/>
          <w:numId w:val="0"/>
        </w:numPr>
        <w:kinsoku/>
        <w:wordWrap/>
        <w:overflowPunct/>
        <w:topLinePunct w:val="0"/>
        <w:bidi w:val="0"/>
        <w:adjustRightInd w:val="0"/>
        <w:snapToGrid w:val="0"/>
        <w:spacing w:line="240" w:lineRule="auto"/>
        <w:ind w:left="425" w:leftChars="0" w:hanging="425" w:firstLineChars="0"/>
        <w:textAlignment w:val="auto"/>
        <w:rPr>
          <w:rFonts w:hint="eastAsia" w:ascii="宋体" w:hAnsi="宋体"/>
          <w:sz w:val="24"/>
          <w:szCs w:val="24"/>
          <w:highlight w:val="none"/>
        </w:rPr>
      </w:pPr>
      <w:r>
        <w:rPr>
          <w:rFonts w:hint="eastAsia" w:ascii="宋体" w:hAnsi="宋体" w:eastAsia="宋体" w:cs="Times New Roman"/>
          <w:kern w:val="2"/>
          <w:sz w:val="24"/>
          <w:szCs w:val="24"/>
          <w:highlight w:val="none"/>
          <w:lang w:val="en-US" w:eastAsia="zh-CN" w:bidi="ar-SA"/>
        </w:rPr>
        <w:t>5.</w:t>
      </w:r>
      <w:r>
        <w:rPr>
          <w:rFonts w:hint="eastAsia" w:ascii="宋体" w:hAnsi="宋体"/>
          <w:sz w:val="24"/>
          <w:szCs w:val="24"/>
          <w:highlight w:val="none"/>
        </w:rPr>
        <w:t>心肺复苏机</w:t>
      </w:r>
      <w:r>
        <w:rPr>
          <w:rFonts w:hint="eastAsia" w:ascii="宋体" w:hAnsi="宋体"/>
          <w:sz w:val="24"/>
          <w:szCs w:val="24"/>
          <w:highlight w:val="none"/>
          <w:lang w:eastAsia="zh-CN"/>
        </w:rPr>
        <w:t>可</w:t>
      </w:r>
      <w:r>
        <w:rPr>
          <w:rFonts w:hint="eastAsia" w:ascii="宋体" w:hAnsi="宋体"/>
          <w:sz w:val="24"/>
          <w:szCs w:val="24"/>
          <w:highlight w:val="none"/>
        </w:rPr>
        <w:t>与</w:t>
      </w:r>
      <w:r>
        <w:rPr>
          <w:rFonts w:hint="eastAsia" w:ascii="宋体" w:hAnsi="宋体"/>
          <w:sz w:val="24"/>
          <w:szCs w:val="24"/>
          <w:highlight w:val="none"/>
          <w:lang w:eastAsia="zh-CN"/>
        </w:rPr>
        <w:t>同品牌</w:t>
      </w:r>
      <w:r>
        <w:rPr>
          <w:rFonts w:hint="eastAsia" w:ascii="宋体" w:hAnsi="宋体"/>
          <w:sz w:val="24"/>
          <w:szCs w:val="24"/>
          <w:highlight w:val="none"/>
        </w:rPr>
        <w:t>呼吸机</w:t>
      </w:r>
      <w:r>
        <w:rPr>
          <w:rFonts w:hint="eastAsia" w:ascii="宋体" w:hAnsi="宋体"/>
          <w:sz w:val="24"/>
          <w:szCs w:val="24"/>
          <w:highlight w:val="none"/>
          <w:lang w:eastAsia="zh-CN"/>
        </w:rPr>
        <w:t>联动</w:t>
      </w:r>
      <w:r>
        <w:rPr>
          <w:rFonts w:hint="eastAsia" w:ascii="宋体" w:hAnsi="宋体"/>
          <w:sz w:val="24"/>
          <w:szCs w:val="24"/>
          <w:highlight w:val="none"/>
        </w:rPr>
        <w:t>，实现按压通气</w:t>
      </w:r>
      <w:r>
        <w:rPr>
          <w:rFonts w:hint="eastAsia" w:ascii="宋体" w:hAnsi="宋体"/>
          <w:sz w:val="24"/>
          <w:szCs w:val="24"/>
          <w:highlight w:val="none"/>
          <w:lang w:eastAsia="zh-CN"/>
        </w:rPr>
        <w:t>精准控制</w:t>
      </w:r>
    </w:p>
    <w:p w14:paraId="13BF1F29">
      <w:pPr>
        <w:keepNext w:val="0"/>
        <w:keepLines w:val="0"/>
        <w:pageBreakBefore w:val="0"/>
        <w:numPr>
          <w:ilvl w:val="0"/>
          <w:numId w:val="0"/>
        </w:numPr>
        <w:kinsoku/>
        <w:wordWrap/>
        <w:overflowPunct/>
        <w:topLinePunct w:val="0"/>
        <w:bidi w:val="0"/>
        <w:adjustRightInd w:val="0"/>
        <w:snapToGrid w:val="0"/>
        <w:spacing w:line="240" w:lineRule="auto"/>
        <w:ind w:left="425" w:leftChars="0" w:hanging="425" w:firstLineChars="0"/>
        <w:textAlignment w:val="auto"/>
        <w:rPr>
          <w:rFonts w:hint="eastAsia" w:ascii="宋体" w:hAnsi="宋体"/>
          <w:sz w:val="24"/>
          <w:szCs w:val="24"/>
          <w:highlight w:val="none"/>
          <w:lang w:val="en-US" w:eastAsia="zh-CN"/>
        </w:rPr>
      </w:pPr>
      <w:r>
        <w:rPr>
          <w:rFonts w:hint="eastAsia" w:ascii="宋体" w:hAnsi="宋体" w:eastAsia="宋体" w:cs="Times New Roman"/>
          <w:kern w:val="2"/>
          <w:sz w:val="24"/>
          <w:szCs w:val="24"/>
          <w:highlight w:val="none"/>
          <w:lang w:val="en-US" w:eastAsia="zh-CN" w:bidi="ar-SA"/>
        </w:rPr>
        <w:t>6.</w:t>
      </w:r>
      <w:r>
        <w:rPr>
          <w:rFonts w:hint="eastAsia" w:ascii="宋体" w:hAnsi="宋体"/>
          <w:sz w:val="24"/>
          <w:szCs w:val="24"/>
          <w:highlight w:val="none"/>
          <w:lang w:val="en-US" w:eastAsia="zh-CN"/>
        </w:rPr>
        <w:t>其他</w:t>
      </w:r>
    </w:p>
    <w:p w14:paraId="1D616CA4">
      <w:pPr>
        <w:keepNext w:val="0"/>
        <w:keepLines w:val="0"/>
        <w:pageBreakBefore w:val="0"/>
        <w:numPr>
          <w:ilvl w:val="0"/>
          <w:numId w:val="0"/>
        </w:numPr>
        <w:kinsoku/>
        <w:wordWrap/>
        <w:overflowPunct/>
        <w:topLinePunct w:val="0"/>
        <w:bidi w:val="0"/>
        <w:adjustRightInd w:val="0"/>
        <w:snapToGrid w:val="0"/>
        <w:spacing w:line="240" w:lineRule="auto"/>
        <w:ind w:leftChars="0"/>
        <w:jc w:val="left"/>
        <w:textAlignment w:val="auto"/>
        <w:rPr>
          <w:rFonts w:hint="eastAsia" w:ascii="宋体" w:hAnsi="宋体"/>
          <w:color w:val="000000"/>
          <w:sz w:val="24"/>
          <w:szCs w:val="24"/>
          <w:highlight w:val="none"/>
          <w:lang w:val="en-US" w:eastAsia="zh-CN"/>
        </w:rPr>
      </w:pPr>
      <w:r>
        <w:rPr>
          <w:rFonts w:hint="eastAsia" w:ascii="宋体" w:hAnsi="宋体"/>
          <w:color w:val="000000"/>
          <w:sz w:val="24"/>
          <w:szCs w:val="24"/>
          <w:highlight w:val="none"/>
          <w:lang w:val="en-US" w:eastAsia="zh-CN"/>
        </w:rPr>
        <w:t>6.1 防水防尘等级：IP44</w:t>
      </w:r>
    </w:p>
    <w:p w14:paraId="3C89A8AA">
      <w:pPr>
        <w:pStyle w:val="47"/>
        <w:keepNext w:val="0"/>
        <w:keepLines w:val="0"/>
        <w:pageBreakBefore w:val="0"/>
        <w:kinsoku/>
        <w:wordWrap/>
        <w:overflowPunct/>
        <w:topLinePunct w:val="0"/>
        <w:bidi w:val="0"/>
        <w:adjustRightInd w:val="0"/>
        <w:snapToGrid w:val="0"/>
        <w:spacing w:line="240" w:lineRule="auto"/>
        <w:ind w:left="0" w:leftChars="0" w:firstLine="0" w:firstLineChars="0"/>
        <w:jc w:val="left"/>
        <w:textAlignment w:val="auto"/>
        <w:rPr>
          <w:rFonts w:hint="eastAsia" w:ascii="宋体" w:hAnsi="宋体"/>
          <w:color w:val="000000"/>
          <w:sz w:val="24"/>
          <w:szCs w:val="24"/>
          <w:highlight w:val="none"/>
          <w:lang w:val="en-US" w:eastAsia="zh-CN"/>
        </w:rPr>
      </w:pPr>
      <w:r>
        <w:rPr>
          <w:rFonts w:hint="eastAsia" w:ascii="宋体" w:hAnsi="宋体"/>
          <w:color w:val="000000"/>
          <w:sz w:val="24"/>
          <w:szCs w:val="24"/>
          <w:highlight w:val="none"/>
          <w:lang w:val="en-US" w:eastAsia="zh-CN"/>
        </w:rPr>
        <w:t>6.2</w:t>
      </w:r>
      <w:r>
        <w:rPr>
          <w:rFonts w:hint="eastAsia" w:ascii="宋体" w:hAnsi="宋体" w:eastAsia="宋体"/>
          <w:sz w:val="24"/>
          <w:szCs w:val="24"/>
          <w:highlight w:val="none"/>
          <w:lang w:eastAsia="zh-CN"/>
        </w:rPr>
        <w:t>通过跌落试验：跌落高度1.5米，6个面各跌落1次（提供检验报告）</w:t>
      </w:r>
    </w:p>
    <w:p w14:paraId="2E1D35D9">
      <w:pPr>
        <w:keepNext w:val="0"/>
        <w:keepLines w:val="0"/>
        <w:pageBreakBefore w:val="0"/>
        <w:widowControl/>
        <w:kinsoku/>
        <w:wordWrap/>
        <w:overflowPunct/>
        <w:topLinePunct w:val="0"/>
        <w:autoSpaceDE/>
        <w:autoSpaceDN/>
        <w:bidi w:val="0"/>
        <w:adjustRightInd w:val="0"/>
        <w:snapToGrid w:val="0"/>
        <w:spacing w:line="240" w:lineRule="auto"/>
        <w:ind w:left="0" w:firstLine="0"/>
        <w:jc w:val="left"/>
        <w:textAlignment w:val="auto"/>
        <w:rPr>
          <w:rFonts w:hint="eastAsia" w:ascii="宋体" w:hAnsi="宋体" w:eastAsia="宋体" w:cs="宋体"/>
          <w:b/>
          <w:color w:val="auto"/>
          <w:kern w:val="0"/>
          <w:sz w:val="24"/>
          <w:szCs w:val="24"/>
          <w:highlight w:val="none"/>
          <w:u w:val="none"/>
        </w:rPr>
      </w:pPr>
      <w:r>
        <w:rPr>
          <w:rFonts w:hint="eastAsia" w:ascii="宋体" w:hAnsi="宋体" w:cs="宋体"/>
          <w:b/>
          <w:color w:val="auto"/>
          <w:kern w:val="0"/>
          <w:sz w:val="24"/>
          <w:szCs w:val="24"/>
          <w:highlight w:val="none"/>
          <w:u w:val="none"/>
          <w:lang w:val="en-US" w:eastAsia="zh-CN"/>
        </w:rPr>
        <w:t>（</w:t>
      </w:r>
      <w:r>
        <w:rPr>
          <w:rFonts w:hint="eastAsia" w:ascii="宋体" w:hAnsi="宋体" w:eastAsia="宋体" w:cs="宋体"/>
          <w:b/>
          <w:color w:val="auto"/>
          <w:kern w:val="0"/>
          <w:sz w:val="24"/>
          <w:szCs w:val="24"/>
          <w:highlight w:val="none"/>
          <w:u w:val="none"/>
          <w:lang w:val="en-US" w:eastAsia="zh-CN"/>
        </w:rPr>
        <w:t>五</w:t>
      </w:r>
      <w:r>
        <w:rPr>
          <w:rFonts w:hint="eastAsia" w:ascii="宋体" w:hAnsi="宋体" w:cs="宋体"/>
          <w:b/>
          <w:color w:val="auto"/>
          <w:kern w:val="0"/>
          <w:sz w:val="24"/>
          <w:szCs w:val="24"/>
          <w:highlight w:val="none"/>
          <w:u w:val="none"/>
          <w:lang w:val="en-US" w:eastAsia="zh-CN"/>
        </w:rPr>
        <w:t>）</w:t>
      </w:r>
      <w:r>
        <w:rPr>
          <w:rFonts w:hint="eastAsia" w:ascii="宋体" w:hAnsi="宋体" w:eastAsia="宋体" w:cs="宋体"/>
          <w:b/>
          <w:color w:val="auto"/>
          <w:kern w:val="0"/>
          <w:sz w:val="24"/>
          <w:szCs w:val="24"/>
          <w:highlight w:val="none"/>
          <w:u w:val="none"/>
          <w:lang w:val="en-US" w:eastAsia="zh-CN"/>
        </w:rPr>
        <w:t>内回路消毒机</w:t>
      </w:r>
    </w:p>
    <w:p w14:paraId="34E175E0">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sz w:val="24"/>
          <w:szCs w:val="24"/>
          <w:highlight w:val="none"/>
        </w:rPr>
      </w:pPr>
      <w:r>
        <w:rPr>
          <w:rFonts w:hint="eastAsia" w:ascii="宋体" w:hAnsi="宋体"/>
          <w:sz w:val="24"/>
          <w:szCs w:val="24"/>
          <w:highlight w:val="none"/>
        </w:rPr>
        <w:t>1、消毒机理：</w:t>
      </w:r>
      <w:r>
        <w:rPr>
          <w:rFonts w:hint="eastAsia" w:ascii="宋体" w:hAnsi="宋体"/>
          <w:sz w:val="24"/>
          <w:szCs w:val="24"/>
          <w:highlight w:val="none"/>
          <w:lang w:val="en-US" w:eastAsia="zh-CN"/>
        </w:rPr>
        <w:t>消毒机采用</w:t>
      </w:r>
      <w:r>
        <w:rPr>
          <w:rFonts w:hint="eastAsia" w:ascii="宋体" w:hAnsi="宋体"/>
          <w:sz w:val="24"/>
          <w:szCs w:val="24"/>
          <w:highlight w:val="none"/>
        </w:rPr>
        <w:t>醇类复合消毒剂</w:t>
      </w:r>
      <w:r>
        <w:rPr>
          <w:rFonts w:hint="eastAsia" w:ascii="宋体" w:hAnsi="宋体"/>
          <w:sz w:val="24"/>
          <w:szCs w:val="24"/>
          <w:highlight w:val="none"/>
          <w:lang w:val="en-US" w:eastAsia="zh-CN"/>
        </w:rPr>
        <w:t>或过氧化氢（两种消毒液不能同时使用）</w:t>
      </w:r>
      <w:r>
        <w:rPr>
          <w:rFonts w:hint="eastAsia" w:ascii="宋体" w:hAnsi="宋体"/>
          <w:sz w:val="24"/>
          <w:szCs w:val="24"/>
          <w:highlight w:val="none"/>
          <w:lang w:eastAsia="zh-CN"/>
        </w:rPr>
        <w:t>、</w:t>
      </w:r>
      <w:r>
        <w:rPr>
          <w:rFonts w:hint="eastAsia" w:ascii="宋体" w:hAnsi="宋体"/>
          <w:sz w:val="24"/>
          <w:szCs w:val="24"/>
          <w:highlight w:val="none"/>
          <w:lang w:val="en-US" w:eastAsia="zh-CN"/>
        </w:rPr>
        <w:t>纯氧制备活氧对麻醉机内回路及呼吸机进气端及呼出端分别进行消毒，可以实现一机多用。</w:t>
      </w:r>
    </w:p>
    <w:p w14:paraId="4DD000B8">
      <w:pPr>
        <w:keepNext w:val="0"/>
        <w:keepLines w:val="0"/>
        <w:pageBreakBefore w:val="0"/>
        <w:widowControl w:val="0"/>
        <w:kinsoku/>
        <w:wordWrap/>
        <w:overflowPunct/>
        <w:topLinePunct w:val="0"/>
        <w:autoSpaceDE/>
        <w:autoSpaceDN/>
        <w:bidi w:val="0"/>
        <w:adjustRightInd w:val="0"/>
        <w:snapToGrid w:val="0"/>
        <w:spacing w:line="240" w:lineRule="auto"/>
        <w:ind w:firstLine="240" w:firstLineChars="100"/>
        <w:textAlignment w:val="auto"/>
        <w:rPr>
          <w:rFonts w:hint="eastAsia" w:ascii="宋体" w:hAnsi="宋体" w:eastAsia="宋体"/>
          <w:kern w:val="2"/>
          <w:sz w:val="24"/>
          <w:szCs w:val="24"/>
          <w:highlight w:val="none"/>
          <w:lang w:val="en-US" w:eastAsia="zh-CN" w:bidi="ar-SA"/>
        </w:rPr>
      </w:pPr>
      <w:r>
        <w:rPr>
          <w:rFonts w:hint="eastAsia" w:ascii="宋体" w:hAnsi="宋体" w:eastAsia="宋体"/>
          <w:kern w:val="2"/>
          <w:sz w:val="24"/>
          <w:szCs w:val="24"/>
          <w:highlight w:val="none"/>
          <w:lang w:val="en-US" w:eastAsia="zh-CN" w:bidi="ar-SA"/>
        </w:rPr>
        <w:t>2、消毒设备具有国家二类医疗器械许可证、注册证、生产企业卫生许可证、消毒产品卫生安全评价报告。消毒试剂具有生产企业卫生许可证、消毒产品卫生安全评价报告。提供盖章资质</w:t>
      </w:r>
    </w:p>
    <w:p w14:paraId="1F93A5F5">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eastAsia="宋体"/>
          <w:kern w:val="2"/>
          <w:sz w:val="24"/>
          <w:szCs w:val="24"/>
          <w:highlight w:val="none"/>
          <w:lang w:val="en-US" w:eastAsia="zh-CN" w:bidi="ar-SA"/>
        </w:rPr>
      </w:pPr>
      <w:r>
        <w:rPr>
          <w:rFonts w:hint="eastAsia" w:ascii="宋体" w:hAnsi="宋体" w:eastAsia="宋体"/>
          <w:kern w:val="2"/>
          <w:sz w:val="24"/>
          <w:szCs w:val="24"/>
          <w:highlight w:val="none"/>
          <w:lang w:val="en-US" w:eastAsia="zh-CN" w:bidi="ar-SA"/>
        </w:rPr>
        <w:t>3、复合醇消毒液有效成份明确：乙醇、异丙醇（乙醇含量（78.0±5）%(v/v）；异丙醇（15±1）%(v/v））。且消毒液需提供无毒、无刺激、无粘连检验报告。</w:t>
      </w:r>
      <w:r>
        <w:rPr>
          <w:rFonts w:hint="eastAsia"/>
          <w:sz w:val="24"/>
          <w:szCs w:val="24"/>
          <w:highlight w:val="none"/>
        </w:rPr>
        <w:t>消毒剂使用说明应包含适用于麻醉机、呼吸机消毒等字样，避免不当使用消毒剂导致麻醉机、呼吸机损坏（提供产品说明）。</w:t>
      </w:r>
    </w:p>
    <w:p w14:paraId="17620674">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w:t>
      </w:r>
      <w:r>
        <w:rPr>
          <w:rFonts w:hint="eastAsia" w:ascii="宋体" w:hAnsi="宋体"/>
          <w:sz w:val="24"/>
          <w:szCs w:val="24"/>
          <w:highlight w:val="none"/>
        </w:rPr>
        <w:t>消毒级别：满足《消毒技术规范》最高要求</w:t>
      </w:r>
      <w:r>
        <w:rPr>
          <w:rFonts w:hint="eastAsia" w:ascii="宋体" w:hAnsi="宋体"/>
          <w:sz w:val="24"/>
          <w:szCs w:val="24"/>
          <w:highlight w:val="none"/>
          <w:lang w:eastAsia="zh-CN"/>
        </w:rPr>
        <w:t>：</w:t>
      </w:r>
    </w:p>
    <w:p w14:paraId="0820BE4A">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4.1</w:t>
      </w:r>
      <w:r>
        <w:rPr>
          <w:rFonts w:hint="eastAsia" w:ascii="宋体" w:hAnsi="宋体"/>
          <w:sz w:val="24"/>
          <w:szCs w:val="24"/>
          <w:highlight w:val="none"/>
        </w:rPr>
        <w:t>、必须杀灭芽孢，符合消毒设备高水平消毒要求,枯草杆菌黑色变种芽孢灭菌对数值：</w:t>
      </w:r>
      <w:r>
        <w:rPr>
          <w:rFonts w:hint="eastAsia" w:ascii="宋体" w:hAnsi="宋体"/>
          <w:b/>
          <w:sz w:val="24"/>
          <w:szCs w:val="24"/>
          <w:highlight w:val="none"/>
        </w:rPr>
        <w:t>＞3.0</w:t>
      </w:r>
      <w:r>
        <w:rPr>
          <w:rFonts w:hint="eastAsia" w:ascii="宋体" w:hAnsi="宋体"/>
          <w:sz w:val="24"/>
          <w:szCs w:val="24"/>
          <w:highlight w:val="none"/>
        </w:rPr>
        <w:t>。（提供监测报告）</w:t>
      </w:r>
    </w:p>
    <w:p w14:paraId="6D3AE4E9">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4.2</w:t>
      </w:r>
      <w:r>
        <w:rPr>
          <w:rFonts w:hint="eastAsia" w:ascii="宋体" w:hAnsi="宋体"/>
          <w:sz w:val="24"/>
          <w:szCs w:val="24"/>
          <w:highlight w:val="none"/>
          <w:lang w:eastAsia="zh-CN"/>
        </w:rPr>
        <w:t>、</w:t>
      </w:r>
      <w:r>
        <w:rPr>
          <w:rFonts w:hint="eastAsia" w:ascii="宋体" w:hAnsi="宋体" w:eastAsia="宋体"/>
          <w:sz w:val="24"/>
          <w:szCs w:val="24"/>
          <w:highlight w:val="none"/>
          <w:lang w:val="zh-CN" w:eastAsia="zh-CN" w:bidi="zh-CN"/>
        </w:rPr>
        <w:t>对人类冠状病毒、脊髓灰质炎病毒I型疫苗株</w:t>
      </w:r>
      <w:r>
        <w:rPr>
          <w:rFonts w:hint="eastAsia"/>
          <w:sz w:val="24"/>
          <w:szCs w:val="24"/>
          <w:highlight w:val="none"/>
        </w:rPr>
        <w:t>的杀灭对数值&gt;4.0；对龟分枝杆菌脓肿亚种、白色念珠菌、大肠杆菌、金黄色葡萄球菌、铜绿假单菌的杀灭对数值&gt;3.0</w:t>
      </w:r>
      <w:r>
        <w:rPr>
          <w:rFonts w:hint="default"/>
          <w:sz w:val="24"/>
          <w:szCs w:val="24"/>
          <w:highlight w:val="none"/>
          <w:lang w:val="en-US"/>
        </w:rPr>
        <w:t>。</w:t>
      </w:r>
    </w:p>
    <w:p w14:paraId="498219B5">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5、</w:t>
      </w:r>
      <w:r>
        <w:rPr>
          <w:rFonts w:hint="eastAsia" w:ascii="宋体" w:hAnsi="宋体"/>
          <w:sz w:val="24"/>
          <w:szCs w:val="24"/>
          <w:highlight w:val="none"/>
        </w:rPr>
        <w:t>消毒腐蚀：消毒完成后回路内无任何腐蚀，可提供无腐蚀性报告。</w:t>
      </w:r>
    </w:p>
    <w:p w14:paraId="7A7D10FE">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6、此款设备兼具对麻醉机内部回路消毒和对呼吸机内部回路、进气端和呼出端消毒的功能，给麻醉机消毒不启动纯氧制臭氧，只有给呼吸机吸入端消毒时方启动纯氧制臭氧功能。</w:t>
      </w:r>
    </w:p>
    <w:p w14:paraId="32205A02">
      <w:pPr>
        <w:pStyle w:val="47"/>
        <w:keepNext w:val="0"/>
        <w:keepLines w:val="0"/>
        <w:pageBreakBefore w:val="0"/>
        <w:widowControl w:val="0"/>
        <w:kinsoku/>
        <w:wordWrap/>
        <w:overflowPunct/>
        <w:topLinePunct w:val="0"/>
        <w:autoSpaceDE/>
        <w:autoSpaceDN/>
        <w:bidi w:val="0"/>
        <w:adjustRightInd w:val="0"/>
        <w:snapToGrid w:val="0"/>
        <w:spacing w:line="240" w:lineRule="auto"/>
        <w:ind w:firstLine="235" w:firstLineChars="98"/>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7</w:t>
      </w:r>
      <w:r>
        <w:rPr>
          <w:rFonts w:hint="eastAsia" w:ascii="宋体" w:hAnsi="宋体"/>
          <w:sz w:val="24"/>
          <w:szCs w:val="24"/>
          <w:highlight w:val="none"/>
        </w:rPr>
        <w:t>、温度检测：温度控制装置，监控核心部位温度，保证机器低于</w:t>
      </w:r>
      <w:r>
        <w:rPr>
          <w:rFonts w:hint="eastAsia" w:ascii="宋体" w:hAnsi="宋体"/>
          <w:b/>
          <w:sz w:val="24"/>
          <w:szCs w:val="24"/>
          <w:highlight w:val="none"/>
        </w:rPr>
        <w:t>55°</w:t>
      </w:r>
      <w:r>
        <w:rPr>
          <w:rFonts w:hint="eastAsia" w:ascii="宋体" w:hAnsi="宋体"/>
          <w:sz w:val="24"/>
          <w:szCs w:val="24"/>
          <w:highlight w:val="none"/>
        </w:rPr>
        <w:t>内部温度运行。</w:t>
      </w:r>
    </w:p>
    <w:p w14:paraId="4B092B14">
      <w:pPr>
        <w:pStyle w:val="47"/>
        <w:keepNext w:val="0"/>
        <w:keepLines w:val="0"/>
        <w:pageBreakBefore w:val="0"/>
        <w:widowControl w:val="0"/>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8</w:t>
      </w:r>
      <w:r>
        <w:rPr>
          <w:rFonts w:hint="eastAsia" w:ascii="宋体" w:hAnsi="宋体"/>
          <w:sz w:val="24"/>
          <w:szCs w:val="24"/>
          <w:highlight w:val="none"/>
        </w:rPr>
        <w:t>、打印消毒记录：消毒结束后，可打印消毒记录，方便使用方查验</w:t>
      </w:r>
      <w:r>
        <w:rPr>
          <w:rFonts w:hint="eastAsia" w:ascii="宋体" w:hAnsi="宋体"/>
          <w:sz w:val="24"/>
          <w:szCs w:val="24"/>
          <w:highlight w:val="none"/>
          <w:lang w:eastAsia="zh-CN"/>
        </w:rPr>
        <w:t>，</w:t>
      </w:r>
      <w:r>
        <w:rPr>
          <w:rFonts w:hint="eastAsia" w:ascii="宋体" w:hAnsi="宋体"/>
          <w:sz w:val="24"/>
          <w:szCs w:val="24"/>
          <w:highlight w:val="none"/>
        </w:rPr>
        <w:t>自动干燥：干燥模式采用恒温进行，确保内回路干燥彻底，无水分残留，保证消毒效果。</w:t>
      </w:r>
    </w:p>
    <w:p w14:paraId="28171E69">
      <w:pPr>
        <w:pStyle w:val="47"/>
        <w:keepNext w:val="0"/>
        <w:keepLines w:val="0"/>
        <w:pageBreakBefore w:val="0"/>
        <w:widowControl w:val="0"/>
        <w:kinsoku/>
        <w:wordWrap/>
        <w:overflowPunct/>
        <w:topLinePunct w:val="0"/>
        <w:autoSpaceDE/>
        <w:autoSpaceDN/>
        <w:bidi w:val="0"/>
        <w:adjustRightInd w:val="0"/>
        <w:snapToGrid w:val="0"/>
        <w:spacing w:before="0" w:line="240" w:lineRule="auto"/>
        <w:ind w:left="446" w:leftChars="98" w:hanging="240" w:hangingChars="100"/>
        <w:textAlignment w:val="auto"/>
        <w:rPr>
          <w:rFonts w:hint="eastAsia" w:ascii="宋体" w:hAnsi="宋体"/>
          <w:sz w:val="24"/>
          <w:szCs w:val="24"/>
          <w:highlight w:val="none"/>
          <w:lang w:val="en-US" w:eastAsia="zh-CN"/>
        </w:rPr>
      </w:pPr>
      <w:r>
        <w:rPr>
          <w:rFonts w:hint="eastAsia" w:ascii="宋体" w:hAnsi="宋体"/>
          <w:sz w:val="24"/>
          <w:szCs w:val="24"/>
          <w:highlight w:val="none"/>
          <w:lang w:val="en-US" w:eastAsia="zh-CN"/>
        </w:rPr>
        <w:t>9</w:t>
      </w:r>
      <w:r>
        <w:rPr>
          <w:rFonts w:hint="eastAsia" w:ascii="宋体" w:hAnsi="宋体"/>
          <w:sz w:val="24"/>
          <w:szCs w:val="24"/>
          <w:highlight w:val="none"/>
          <w:lang w:eastAsia="zh-CN"/>
        </w:rPr>
        <w:t>、</w:t>
      </w:r>
      <w:r>
        <w:rPr>
          <w:rFonts w:hint="eastAsia" w:ascii="宋体" w:hAnsi="宋体"/>
          <w:sz w:val="24"/>
          <w:szCs w:val="24"/>
          <w:highlight w:val="none"/>
          <w:lang w:val="en-US" w:eastAsia="zh-CN"/>
        </w:rPr>
        <w:t>呼吸机消毒采用</w:t>
      </w:r>
      <w:r>
        <w:rPr>
          <w:rFonts w:hint="eastAsia" w:ascii="宋体" w:hAnsi="宋体"/>
          <w:sz w:val="24"/>
          <w:szCs w:val="24"/>
          <w:highlight w:val="none"/>
        </w:rPr>
        <w:t>双循环、六出口消毒系统与运行</w:t>
      </w:r>
      <w:r>
        <w:rPr>
          <w:rFonts w:hint="eastAsia" w:ascii="宋体" w:hAnsi="宋体"/>
          <w:sz w:val="24"/>
          <w:szCs w:val="24"/>
          <w:highlight w:val="none"/>
          <w:lang w:val="en-US" w:eastAsia="zh-CN"/>
        </w:rPr>
        <w:t>中的</w:t>
      </w:r>
      <w:r>
        <w:rPr>
          <w:rFonts w:hint="eastAsia" w:ascii="宋体" w:hAnsi="宋体"/>
          <w:sz w:val="24"/>
          <w:szCs w:val="24"/>
          <w:highlight w:val="none"/>
        </w:rPr>
        <w:t>呼吸机</w:t>
      </w:r>
      <w:r>
        <w:rPr>
          <w:rFonts w:hint="eastAsia" w:ascii="宋体" w:hAnsi="宋体"/>
          <w:sz w:val="24"/>
          <w:szCs w:val="24"/>
          <w:highlight w:val="none"/>
          <w:lang w:val="en-US" w:eastAsia="zh-CN"/>
        </w:rPr>
        <w:t>吸入端、呼出端分别</w:t>
      </w:r>
      <w:r>
        <w:rPr>
          <w:rFonts w:hint="eastAsia" w:ascii="宋体" w:hAnsi="宋体"/>
          <w:sz w:val="24"/>
          <w:szCs w:val="24"/>
          <w:highlight w:val="none"/>
        </w:rPr>
        <w:t>完成动态消毒。</w:t>
      </w:r>
    </w:p>
    <w:p w14:paraId="77D02060">
      <w:pPr>
        <w:pStyle w:val="47"/>
        <w:keepNext w:val="0"/>
        <w:keepLines w:val="0"/>
        <w:pageBreakBefore w:val="0"/>
        <w:widowControl w:val="0"/>
        <w:numPr>
          <w:ilvl w:val="0"/>
          <w:numId w:val="0"/>
        </w:numPr>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rPr>
      </w:pPr>
      <w:r>
        <w:rPr>
          <w:rFonts w:hint="eastAsia" w:ascii="宋体" w:hAnsi="宋体" w:cs="Times New Roman"/>
          <w:kern w:val="0"/>
          <w:sz w:val="24"/>
          <w:szCs w:val="24"/>
          <w:highlight w:val="none"/>
          <w:lang w:val="en-US" w:eastAsia="zh-CN" w:bidi="ar-SA"/>
        </w:rPr>
        <w:t>10</w:t>
      </w:r>
      <w:r>
        <w:rPr>
          <w:rFonts w:hint="default" w:ascii="宋体" w:hAnsi="宋体" w:eastAsia="宋体" w:cs="Times New Roman"/>
          <w:kern w:val="0"/>
          <w:sz w:val="24"/>
          <w:szCs w:val="24"/>
          <w:highlight w:val="none"/>
          <w:lang w:val="en-US" w:eastAsia="zh-CN" w:bidi="ar-SA"/>
        </w:rPr>
        <w:t>.</w:t>
      </w:r>
      <w:r>
        <w:rPr>
          <w:rFonts w:hint="eastAsia" w:ascii="宋体" w:hAnsi="宋体"/>
          <w:sz w:val="24"/>
          <w:szCs w:val="24"/>
          <w:highlight w:val="none"/>
        </w:rPr>
        <w:t>消毒机及其内部均采用耐腐蚀材料构成，保证气体无泄漏，以及机体的稳定型和寿命，有效延长消毒机使用寿命。</w:t>
      </w:r>
    </w:p>
    <w:p w14:paraId="635A1C57">
      <w:pPr>
        <w:pStyle w:val="47"/>
        <w:keepNext w:val="0"/>
        <w:keepLines w:val="0"/>
        <w:pageBreakBefore w:val="0"/>
        <w:widowControl w:val="0"/>
        <w:numPr>
          <w:ilvl w:val="0"/>
          <w:numId w:val="0"/>
        </w:numPr>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rPr>
      </w:pPr>
      <w:r>
        <w:rPr>
          <w:rFonts w:hint="eastAsia" w:ascii="宋体" w:hAnsi="宋体" w:cs="Times New Roman"/>
          <w:kern w:val="0"/>
          <w:sz w:val="24"/>
          <w:szCs w:val="24"/>
          <w:highlight w:val="none"/>
          <w:lang w:val="en-US" w:eastAsia="zh-CN" w:bidi="ar-SA"/>
        </w:rPr>
        <w:t>11</w:t>
      </w:r>
      <w:r>
        <w:rPr>
          <w:rFonts w:hint="default" w:ascii="宋体" w:hAnsi="宋体" w:eastAsia="宋体" w:cs="Times New Roman"/>
          <w:kern w:val="0"/>
          <w:sz w:val="24"/>
          <w:szCs w:val="24"/>
          <w:highlight w:val="none"/>
          <w:lang w:val="en-US" w:eastAsia="zh-CN" w:bidi="ar-SA"/>
        </w:rPr>
        <w:t>.</w:t>
      </w:r>
      <w:r>
        <w:rPr>
          <w:rFonts w:hint="eastAsia" w:ascii="宋体" w:hAnsi="宋体"/>
          <w:sz w:val="24"/>
          <w:szCs w:val="24"/>
          <w:highlight w:val="none"/>
        </w:rPr>
        <w:t>消毒过程中，无需使用一次性过滤装置，减少医院消毒费用，</w:t>
      </w:r>
      <w:r>
        <w:rPr>
          <w:rFonts w:hint="eastAsia" w:ascii="宋体" w:hAnsi="宋体"/>
          <w:sz w:val="24"/>
          <w:szCs w:val="24"/>
          <w:highlight w:val="none"/>
          <w:lang w:val="en-US" w:eastAsia="zh-CN"/>
        </w:rPr>
        <w:t>臭氧消毒</w:t>
      </w:r>
      <w:r>
        <w:rPr>
          <w:rFonts w:hint="eastAsia" w:ascii="宋体" w:hAnsi="宋体"/>
          <w:sz w:val="24"/>
          <w:szCs w:val="24"/>
          <w:highlight w:val="none"/>
        </w:rPr>
        <w:t>保证内回路外环境O3浓度为0.06 mg/m³,低于国家标准，可人机共存，确保使用时环境污染，无需单独操作空间，无消毒场所面积大小要求。</w:t>
      </w:r>
    </w:p>
    <w:p w14:paraId="1660D9F6">
      <w:pPr>
        <w:pStyle w:val="47"/>
        <w:keepNext w:val="0"/>
        <w:keepLines w:val="0"/>
        <w:pageBreakBefore w:val="0"/>
        <w:widowControl w:val="0"/>
        <w:numPr>
          <w:ilvl w:val="0"/>
          <w:numId w:val="0"/>
        </w:numPr>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rPr>
      </w:pPr>
      <w:r>
        <w:rPr>
          <w:rFonts w:hint="eastAsia" w:ascii="宋体" w:hAnsi="宋体" w:cs="Times New Roman"/>
          <w:kern w:val="0"/>
          <w:sz w:val="24"/>
          <w:szCs w:val="24"/>
          <w:highlight w:val="none"/>
          <w:lang w:val="en-US" w:eastAsia="zh-CN" w:bidi="ar-SA"/>
        </w:rPr>
        <w:t>12</w:t>
      </w:r>
      <w:r>
        <w:rPr>
          <w:rFonts w:hint="default" w:ascii="宋体" w:hAnsi="宋体" w:eastAsia="宋体" w:cs="Times New Roman"/>
          <w:kern w:val="0"/>
          <w:sz w:val="24"/>
          <w:szCs w:val="24"/>
          <w:highlight w:val="none"/>
          <w:lang w:val="en-US" w:eastAsia="zh-CN" w:bidi="ar-SA"/>
        </w:rPr>
        <w:t>.</w:t>
      </w:r>
      <w:r>
        <w:rPr>
          <w:rFonts w:hint="eastAsia" w:ascii="宋体" w:hAnsi="宋体"/>
          <w:sz w:val="24"/>
          <w:szCs w:val="24"/>
          <w:highlight w:val="none"/>
          <w:lang w:val="en-US" w:eastAsia="zh-CN"/>
        </w:rPr>
        <w:t>臭氧</w:t>
      </w:r>
      <w:r>
        <w:rPr>
          <w:rFonts w:hint="eastAsia" w:ascii="宋体" w:hAnsi="宋体"/>
          <w:sz w:val="24"/>
          <w:szCs w:val="24"/>
          <w:highlight w:val="none"/>
        </w:rPr>
        <w:t>消毒残留：消毒完成后内回路内臭氧残留量为0.023 mg/m3（符合国家对室内空气质量标准的要求）,过氧化氢残留量为0.001g/㎡，低于国家要求标准。（提供监测报告）</w:t>
      </w:r>
      <w:r>
        <w:rPr>
          <w:rFonts w:hint="eastAsia" w:ascii="宋体" w:hAnsi="宋体"/>
          <w:sz w:val="24"/>
          <w:szCs w:val="24"/>
          <w:highlight w:val="none"/>
          <w:lang w:eastAsia="zh-CN"/>
        </w:rPr>
        <w:t>。</w:t>
      </w:r>
    </w:p>
    <w:p w14:paraId="5B08F6FE">
      <w:pPr>
        <w:pStyle w:val="47"/>
        <w:keepNext w:val="0"/>
        <w:keepLines w:val="0"/>
        <w:pageBreakBefore w:val="0"/>
        <w:widowControl w:val="0"/>
        <w:numPr>
          <w:ilvl w:val="0"/>
          <w:numId w:val="0"/>
        </w:numPr>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rPr>
      </w:pPr>
      <w:r>
        <w:rPr>
          <w:rFonts w:hint="eastAsia" w:ascii="宋体" w:hAnsi="宋体" w:cs="Times New Roman"/>
          <w:kern w:val="0"/>
          <w:sz w:val="24"/>
          <w:szCs w:val="24"/>
          <w:highlight w:val="none"/>
          <w:lang w:val="en-US" w:eastAsia="zh-CN" w:bidi="ar-SA"/>
        </w:rPr>
        <w:t>13</w:t>
      </w:r>
      <w:r>
        <w:rPr>
          <w:rFonts w:hint="default" w:ascii="宋体" w:hAnsi="宋体" w:eastAsia="宋体" w:cs="Times New Roman"/>
          <w:kern w:val="0"/>
          <w:sz w:val="24"/>
          <w:szCs w:val="24"/>
          <w:highlight w:val="none"/>
          <w:lang w:val="en-US" w:eastAsia="zh-CN" w:bidi="ar-SA"/>
        </w:rPr>
        <w:t>.</w:t>
      </w:r>
      <w:r>
        <w:rPr>
          <w:rFonts w:hint="eastAsia" w:ascii="宋体" w:hAnsi="宋体"/>
          <w:sz w:val="24"/>
          <w:szCs w:val="24"/>
          <w:highlight w:val="none"/>
        </w:rPr>
        <w:t>消毒机采用纯氧制活氧的消毒原理，</w:t>
      </w:r>
      <w:r>
        <w:rPr>
          <w:rFonts w:hint="eastAsia" w:ascii="宋体" w:hAnsi="宋体"/>
          <w:sz w:val="24"/>
          <w:szCs w:val="24"/>
          <w:highlight w:val="none"/>
          <w:lang w:val="en-US" w:eastAsia="zh-CN"/>
        </w:rPr>
        <w:t>对呼吸机进气端进行消毒，</w:t>
      </w:r>
      <w:r>
        <w:rPr>
          <w:rFonts w:hint="eastAsia" w:ascii="宋体" w:hAnsi="宋体"/>
          <w:sz w:val="24"/>
          <w:szCs w:val="24"/>
          <w:highlight w:val="none"/>
        </w:rPr>
        <w:t>避免了空气制臭氧产生的氮氧化物对</w:t>
      </w:r>
      <w:r>
        <w:rPr>
          <w:rFonts w:hint="eastAsia" w:ascii="宋体" w:hAnsi="宋体"/>
          <w:sz w:val="24"/>
          <w:szCs w:val="24"/>
          <w:highlight w:val="none"/>
          <w:lang w:val="en-US" w:eastAsia="zh-CN"/>
        </w:rPr>
        <w:t>机器</w:t>
      </w:r>
      <w:r>
        <w:rPr>
          <w:rFonts w:hint="eastAsia" w:ascii="宋体" w:hAnsi="宋体"/>
          <w:sz w:val="24"/>
          <w:szCs w:val="24"/>
          <w:highlight w:val="none"/>
        </w:rPr>
        <w:t>内部的腐蚀与残留。</w:t>
      </w:r>
      <w:r>
        <w:rPr>
          <w:rFonts w:hint="eastAsia" w:ascii="宋体" w:hAnsi="宋体"/>
          <w:sz w:val="24"/>
          <w:szCs w:val="24"/>
          <w:highlight w:val="none"/>
          <w:lang w:val="en-US" w:eastAsia="zh-CN"/>
        </w:rPr>
        <w:t>消毒机采用雾化的过氧化氢的消毒原理，对呼吸机呼出端进行消毒。</w:t>
      </w:r>
    </w:p>
    <w:p w14:paraId="71BA57AA">
      <w:pPr>
        <w:pStyle w:val="47"/>
        <w:keepNext w:val="0"/>
        <w:keepLines w:val="0"/>
        <w:pageBreakBefore w:val="0"/>
        <w:widowControl w:val="0"/>
        <w:numPr>
          <w:ilvl w:val="0"/>
          <w:numId w:val="0"/>
        </w:numPr>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rPr>
      </w:pPr>
      <w:r>
        <w:rPr>
          <w:rFonts w:hint="eastAsia" w:ascii="宋体" w:hAnsi="宋体" w:cs="Times New Roman"/>
          <w:kern w:val="0"/>
          <w:sz w:val="24"/>
          <w:szCs w:val="24"/>
          <w:highlight w:val="none"/>
          <w:lang w:val="en-US" w:eastAsia="zh-CN" w:bidi="ar-SA"/>
        </w:rPr>
        <w:t>14</w:t>
      </w:r>
      <w:r>
        <w:rPr>
          <w:rFonts w:hint="default" w:ascii="宋体" w:hAnsi="宋体" w:eastAsia="宋体" w:cs="Times New Roman"/>
          <w:kern w:val="0"/>
          <w:sz w:val="24"/>
          <w:szCs w:val="24"/>
          <w:highlight w:val="none"/>
          <w:lang w:val="en-US" w:eastAsia="zh-CN" w:bidi="ar-SA"/>
        </w:rPr>
        <w:t>.</w:t>
      </w:r>
      <w:r>
        <w:rPr>
          <w:rFonts w:hint="eastAsia" w:ascii="宋体" w:hAnsi="宋体"/>
          <w:sz w:val="24"/>
          <w:szCs w:val="24"/>
          <w:highlight w:val="none"/>
        </w:rPr>
        <w:t>消毒机消毒管路臭氧浓度最高值要大于</w:t>
      </w:r>
      <w:r>
        <w:rPr>
          <w:rFonts w:hint="eastAsia" w:ascii="宋体" w:hAnsi="宋体"/>
          <w:sz w:val="24"/>
          <w:szCs w:val="24"/>
          <w:highlight w:val="none"/>
          <w:lang w:val="en-US" w:eastAsia="zh-CN"/>
        </w:rPr>
        <w:t>1</w:t>
      </w:r>
      <w:r>
        <w:rPr>
          <w:rFonts w:hint="eastAsia" w:ascii="宋体" w:hAnsi="宋体"/>
          <w:sz w:val="24"/>
          <w:szCs w:val="24"/>
          <w:highlight w:val="none"/>
        </w:rPr>
        <w:t>00mg/m³，不超过</w:t>
      </w:r>
      <w:r>
        <w:rPr>
          <w:rFonts w:hint="eastAsia" w:ascii="宋体" w:hAnsi="宋体"/>
          <w:sz w:val="24"/>
          <w:szCs w:val="24"/>
          <w:highlight w:val="none"/>
          <w:lang w:val="en-US" w:eastAsia="zh-CN"/>
        </w:rPr>
        <w:t>160</w:t>
      </w:r>
      <w:r>
        <w:rPr>
          <w:rFonts w:hint="eastAsia" w:ascii="宋体" w:hAnsi="宋体"/>
          <w:sz w:val="24"/>
          <w:szCs w:val="24"/>
          <w:highlight w:val="none"/>
        </w:rPr>
        <w:t>mg/m³。</w:t>
      </w:r>
      <w:r>
        <w:rPr>
          <w:rFonts w:hint="eastAsia" w:ascii="宋体" w:hAnsi="宋体"/>
          <w:sz w:val="24"/>
          <w:szCs w:val="24"/>
          <w:highlight w:val="none"/>
          <w:lang w:val="en-US" w:eastAsia="zh-CN"/>
        </w:rPr>
        <w:t>臭氧浓度控制更精准，保证效果的同时，保证麻醉机、呼吸机内部回路的安全。</w:t>
      </w:r>
      <w:r>
        <w:rPr>
          <w:rFonts w:hint="eastAsia" w:ascii="宋体" w:hAnsi="宋体"/>
          <w:sz w:val="24"/>
          <w:szCs w:val="24"/>
          <w:highlight w:val="none"/>
        </w:rPr>
        <w:t>(提供检测报告)</w:t>
      </w:r>
    </w:p>
    <w:p w14:paraId="5E8D9F60">
      <w:pPr>
        <w:pStyle w:val="47"/>
        <w:keepNext w:val="0"/>
        <w:keepLines w:val="0"/>
        <w:pageBreakBefore w:val="0"/>
        <w:widowControl w:val="0"/>
        <w:numPr>
          <w:ilvl w:val="0"/>
          <w:numId w:val="0"/>
        </w:numPr>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rPr>
      </w:pPr>
      <w:r>
        <w:rPr>
          <w:rFonts w:hint="eastAsia" w:ascii="宋体" w:hAnsi="宋体" w:cs="Times New Roman"/>
          <w:kern w:val="0"/>
          <w:sz w:val="24"/>
          <w:szCs w:val="24"/>
          <w:highlight w:val="none"/>
          <w:lang w:val="en-US" w:eastAsia="zh-CN" w:bidi="ar-SA"/>
        </w:rPr>
        <w:t>15</w:t>
      </w:r>
      <w:r>
        <w:rPr>
          <w:rFonts w:hint="default" w:ascii="宋体" w:hAnsi="宋体" w:eastAsia="宋体" w:cs="Times New Roman"/>
          <w:kern w:val="0"/>
          <w:sz w:val="24"/>
          <w:szCs w:val="24"/>
          <w:highlight w:val="none"/>
          <w:lang w:val="en-US" w:eastAsia="zh-CN" w:bidi="ar-SA"/>
        </w:rPr>
        <w:t>.</w:t>
      </w:r>
      <w:r>
        <w:rPr>
          <w:rFonts w:hint="eastAsia" w:ascii="宋体" w:hAnsi="宋体"/>
          <w:sz w:val="24"/>
          <w:szCs w:val="24"/>
          <w:highlight w:val="none"/>
        </w:rPr>
        <w:t>打印消毒记录：消毒结束后，可打印消毒记录，方便使用方查验。自动干燥：干燥模式采用恒温进行，确保内回路干燥彻底，无水分残留，保证消毒效果。</w:t>
      </w:r>
    </w:p>
    <w:p w14:paraId="13A81788">
      <w:pPr>
        <w:pStyle w:val="47"/>
        <w:keepNext w:val="0"/>
        <w:keepLines w:val="0"/>
        <w:pageBreakBefore w:val="0"/>
        <w:widowControl w:val="0"/>
        <w:numPr>
          <w:ilvl w:val="0"/>
          <w:numId w:val="0"/>
        </w:numPr>
        <w:kinsoku/>
        <w:wordWrap/>
        <w:overflowPunct/>
        <w:topLinePunct w:val="0"/>
        <w:autoSpaceDE/>
        <w:autoSpaceDN/>
        <w:bidi w:val="0"/>
        <w:adjustRightInd w:val="0"/>
        <w:snapToGrid w:val="0"/>
        <w:spacing w:before="0" w:line="240" w:lineRule="auto"/>
        <w:ind w:left="566" w:leftChars="98" w:hanging="360" w:hangingChars="150"/>
        <w:textAlignment w:val="auto"/>
        <w:rPr>
          <w:rFonts w:hint="eastAsia" w:ascii="宋体" w:hAnsi="宋体"/>
          <w:sz w:val="24"/>
          <w:szCs w:val="24"/>
          <w:highlight w:val="none"/>
        </w:rPr>
      </w:pPr>
      <w:r>
        <w:rPr>
          <w:rFonts w:hint="eastAsia" w:ascii="宋体" w:hAnsi="宋体" w:cs="Times New Roman"/>
          <w:kern w:val="0"/>
          <w:sz w:val="24"/>
          <w:szCs w:val="24"/>
          <w:highlight w:val="none"/>
          <w:lang w:val="en-US" w:eastAsia="zh-CN" w:bidi="ar-SA"/>
        </w:rPr>
        <w:t>16</w:t>
      </w:r>
      <w:r>
        <w:rPr>
          <w:rFonts w:hint="default" w:ascii="宋体" w:hAnsi="宋体" w:eastAsia="宋体" w:cs="Times New Roman"/>
          <w:kern w:val="0"/>
          <w:sz w:val="24"/>
          <w:szCs w:val="24"/>
          <w:highlight w:val="none"/>
          <w:lang w:val="en-US" w:eastAsia="zh-CN" w:bidi="ar-SA"/>
        </w:rPr>
        <w:t>.</w:t>
      </w:r>
      <w:r>
        <w:rPr>
          <w:rFonts w:hint="eastAsia" w:ascii="宋体" w:hAnsi="宋体"/>
          <w:sz w:val="24"/>
          <w:szCs w:val="24"/>
          <w:highlight w:val="none"/>
        </w:rPr>
        <w:t>人机对话模式：本消毒机采用7寸彩色触摸屏，方便使用者对设备的操控。</w:t>
      </w:r>
    </w:p>
    <w:p w14:paraId="6BCCEF92">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ind w:firstLine="240" w:firstLineChars="100"/>
        <w:jc w:val="left"/>
        <w:textAlignment w:val="auto"/>
        <w:rPr>
          <w:rFonts w:hint="eastAsia" w:ascii="宋体" w:hAnsi="宋体"/>
          <w:sz w:val="24"/>
          <w:szCs w:val="24"/>
          <w:highlight w:val="none"/>
        </w:rPr>
      </w:pPr>
      <w:r>
        <w:rPr>
          <w:rFonts w:hint="eastAsia" w:ascii="宋体" w:hAnsi="宋体" w:cs="宋体"/>
          <w:b w:val="0"/>
          <w:bCs w:val="0"/>
          <w:kern w:val="2"/>
          <w:sz w:val="24"/>
          <w:szCs w:val="24"/>
          <w:highlight w:val="none"/>
          <w:lang w:val="en-US" w:eastAsia="zh-CN" w:bidi="ar-SA"/>
        </w:rPr>
        <w:t>17</w:t>
      </w:r>
      <w:r>
        <w:rPr>
          <w:rFonts w:hint="default" w:ascii="宋体" w:hAnsi="宋体" w:eastAsia="宋体" w:cs="宋体"/>
          <w:b w:val="0"/>
          <w:bCs w:val="0"/>
          <w:kern w:val="2"/>
          <w:sz w:val="24"/>
          <w:szCs w:val="24"/>
          <w:highlight w:val="none"/>
          <w:lang w:val="en-US" w:eastAsia="zh-CN" w:bidi="ar-SA"/>
        </w:rPr>
        <w:t>.</w:t>
      </w:r>
      <w:r>
        <w:rPr>
          <w:rFonts w:hint="eastAsia" w:ascii="宋体" w:hAnsi="宋体"/>
          <w:sz w:val="24"/>
          <w:szCs w:val="24"/>
          <w:highlight w:val="none"/>
        </w:rPr>
        <w:t>其他：噪声≤55dB；电源：AC220V±22V/50Hz±1Hz；功率：70W。</w:t>
      </w:r>
    </w:p>
    <w:p w14:paraId="2DB288A5">
      <w:pPr>
        <w:pStyle w:val="47"/>
        <w:keepNext w:val="0"/>
        <w:keepLines w:val="0"/>
        <w:pageBreakBefore w:val="0"/>
        <w:widowControl w:val="0"/>
        <w:numPr>
          <w:ilvl w:val="0"/>
          <w:numId w:val="0"/>
        </w:numPr>
        <w:kinsoku/>
        <w:wordWrap/>
        <w:overflowPunct/>
        <w:topLinePunct w:val="0"/>
        <w:autoSpaceDE/>
        <w:autoSpaceDN/>
        <w:bidi w:val="0"/>
        <w:snapToGrid/>
        <w:spacing w:before="0" w:line="360" w:lineRule="auto"/>
        <w:ind w:left="521" w:leftChars="98" w:hanging="315" w:hangingChars="150"/>
        <w:rPr>
          <w:rFonts w:hint="eastAsia" w:ascii="宋体" w:hAnsi="宋体"/>
          <w:sz w:val="24"/>
          <w:szCs w:val="24"/>
          <w:highlight w:val="none"/>
        </w:rPr>
      </w:pPr>
      <w:r>
        <w:rPr>
          <w:rFonts w:hint="eastAsia" w:ascii="宋体" w:hAnsi="宋体" w:eastAsia="宋体" w:cs="Times New Roman"/>
          <w:kern w:val="2"/>
          <w:sz w:val="21"/>
          <w:szCs w:val="21"/>
          <w:highlight w:val="none"/>
          <w:lang w:val="en-US" w:eastAsia="zh-CN" w:bidi="ar-SA"/>
        </w:rPr>
        <w:t>18、</w:t>
      </w:r>
      <w:r>
        <w:rPr>
          <w:rFonts w:hint="eastAsia" w:ascii="宋体" w:hAnsi="宋体"/>
          <w:sz w:val="24"/>
          <w:szCs w:val="24"/>
          <w:highlight w:val="none"/>
          <w:lang w:eastAsia="zh-CN"/>
        </w:rPr>
        <w:t>备用氧气瓶减压阀</w:t>
      </w:r>
      <w:r>
        <w:rPr>
          <w:rFonts w:hint="eastAsia" w:ascii="宋体" w:hAnsi="宋体"/>
          <w:sz w:val="24"/>
          <w:szCs w:val="24"/>
          <w:highlight w:val="none"/>
          <w:lang w:val="en-US" w:eastAsia="zh-CN"/>
        </w:rPr>
        <w:t>2套。</w:t>
      </w:r>
    </w:p>
    <w:p w14:paraId="6C612BFB">
      <w:pPr>
        <w:keepNext w:val="0"/>
        <w:keepLines w:val="0"/>
        <w:pageBreakBefore w:val="0"/>
        <w:widowControl/>
        <w:kinsoku/>
        <w:wordWrap/>
        <w:overflowPunct/>
        <w:topLinePunct w:val="0"/>
        <w:autoSpaceDE/>
        <w:autoSpaceDN/>
        <w:bidi w:val="0"/>
        <w:adjustRightInd w:val="0"/>
        <w:snapToGrid w:val="0"/>
        <w:spacing w:line="240" w:lineRule="auto"/>
        <w:ind w:left="0" w:firstLine="0"/>
        <w:jc w:val="left"/>
        <w:textAlignment w:val="auto"/>
        <w:rPr>
          <w:rFonts w:hint="eastAsia" w:ascii="宋体" w:hAnsi="宋体" w:eastAsia="宋体" w:cs="宋体"/>
          <w:b/>
          <w:color w:val="auto"/>
          <w:kern w:val="0"/>
          <w:sz w:val="24"/>
          <w:szCs w:val="24"/>
          <w:highlight w:val="none"/>
          <w:u w:val="none"/>
          <w:lang w:val="en-US" w:eastAsia="zh-CN"/>
        </w:rPr>
      </w:pPr>
      <w:r>
        <w:rPr>
          <w:rFonts w:hint="eastAsia" w:ascii="宋体" w:hAnsi="宋体" w:cs="宋体"/>
          <w:b/>
          <w:color w:val="auto"/>
          <w:kern w:val="0"/>
          <w:sz w:val="24"/>
          <w:szCs w:val="24"/>
          <w:highlight w:val="none"/>
          <w:u w:val="none"/>
          <w:lang w:val="en-US" w:eastAsia="zh-CN"/>
        </w:rPr>
        <w:t>（</w:t>
      </w:r>
      <w:r>
        <w:rPr>
          <w:rFonts w:hint="eastAsia" w:ascii="宋体" w:hAnsi="宋体" w:eastAsia="宋体" w:cs="宋体"/>
          <w:b/>
          <w:color w:val="auto"/>
          <w:kern w:val="0"/>
          <w:sz w:val="24"/>
          <w:szCs w:val="24"/>
          <w:highlight w:val="none"/>
          <w:u w:val="none"/>
          <w:lang w:val="en-US" w:eastAsia="zh-CN"/>
        </w:rPr>
        <w:t>六</w:t>
      </w:r>
      <w:r>
        <w:rPr>
          <w:rFonts w:hint="eastAsia" w:ascii="宋体" w:hAnsi="宋体" w:cs="宋体"/>
          <w:b/>
          <w:color w:val="auto"/>
          <w:kern w:val="0"/>
          <w:sz w:val="24"/>
          <w:szCs w:val="24"/>
          <w:highlight w:val="none"/>
          <w:u w:val="none"/>
          <w:lang w:val="en-US" w:eastAsia="zh-CN"/>
        </w:rPr>
        <w:t>）</w:t>
      </w:r>
      <w:r>
        <w:rPr>
          <w:rFonts w:hint="eastAsia" w:ascii="宋体" w:hAnsi="宋体" w:eastAsia="宋体" w:cs="宋体"/>
          <w:b/>
          <w:color w:val="auto"/>
          <w:kern w:val="0"/>
          <w:sz w:val="24"/>
          <w:szCs w:val="24"/>
          <w:highlight w:val="none"/>
          <w:u w:val="none"/>
          <w:lang w:val="en-US" w:eastAsia="zh-CN"/>
        </w:rPr>
        <w:t>麻醉机</w:t>
      </w:r>
    </w:p>
    <w:p w14:paraId="0A67813B">
      <w:pPr>
        <w:keepNext w:val="0"/>
        <w:keepLines w:val="0"/>
        <w:pageBreakBefore w:val="0"/>
        <w:kinsoku/>
        <w:wordWrap/>
        <w:overflowPunct/>
        <w:topLinePunct w:val="0"/>
        <w:bidi w:val="0"/>
        <w:adjustRightInd w:val="0"/>
        <w:snapToGrid w:val="0"/>
        <w:spacing w:line="240" w:lineRule="auto"/>
        <w:ind w:left="198" w:hanging="198"/>
        <w:textAlignment w:val="auto"/>
        <w:rPr>
          <w:rFonts w:hint="eastAsia" w:ascii="Arial" w:hAnsi="Arial" w:eastAsia="宋体" w:cs="Arial"/>
          <w:b/>
          <w:color w:val="auto"/>
          <w:sz w:val="24"/>
          <w:szCs w:val="24"/>
          <w:highlight w:val="none"/>
          <w:u w:val="none"/>
          <w:lang w:eastAsia="zh-CN"/>
        </w:rPr>
      </w:pPr>
      <w:r>
        <w:rPr>
          <w:rFonts w:hint="eastAsia" w:ascii="Arial" w:hAnsi="Arial" w:cs="Arial"/>
          <w:b/>
          <w:color w:val="auto"/>
          <w:sz w:val="24"/>
          <w:szCs w:val="24"/>
          <w:highlight w:val="none"/>
          <w:u w:val="none"/>
          <w:lang w:val="en-US" w:eastAsia="zh-CN"/>
        </w:rPr>
        <w:t>1、</w:t>
      </w:r>
      <w:r>
        <w:rPr>
          <w:rFonts w:hint="eastAsia" w:ascii="Arial" w:hAnsi="Arial" w:cs="Arial"/>
          <w:b/>
          <w:color w:val="auto"/>
          <w:sz w:val="24"/>
          <w:szCs w:val="24"/>
          <w:highlight w:val="none"/>
          <w:u w:val="none"/>
        </w:rPr>
        <w:t>工作条件及基本配件</w:t>
      </w:r>
      <w:r>
        <w:rPr>
          <w:rFonts w:hint="eastAsia" w:ascii="Arial" w:hAnsi="Arial" w:cs="Arial"/>
          <w:b/>
          <w:color w:val="auto"/>
          <w:sz w:val="24"/>
          <w:szCs w:val="24"/>
          <w:highlight w:val="none"/>
          <w:u w:val="none"/>
          <w:lang w:eastAsia="zh-CN"/>
        </w:rPr>
        <w:t>：</w:t>
      </w:r>
    </w:p>
    <w:p w14:paraId="63F3286A">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1.1</w:t>
      </w:r>
      <w:r>
        <w:rPr>
          <w:rFonts w:hint="eastAsia" w:ascii="Arial" w:hAnsi="Arial" w:cs="Arial"/>
          <w:color w:val="auto"/>
          <w:sz w:val="24"/>
          <w:szCs w:val="24"/>
          <w:highlight w:val="none"/>
          <w:u w:val="none"/>
        </w:rPr>
        <w:t xml:space="preserve">后备电池使用时间：90分钟 </w:t>
      </w:r>
      <w:r>
        <w:rPr>
          <w:rFonts w:hint="eastAsia" w:ascii="Arial" w:hAnsi="Arial" w:cs="Arial"/>
          <w:color w:val="auto"/>
          <w:sz w:val="24"/>
          <w:szCs w:val="24"/>
          <w:highlight w:val="none"/>
          <w:u w:val="none"/>
          <w:lang w:eastAsia="zh-CN"/>
        </w:rPr>
        <w:t>，</w:t>
      </w:r>
      <w:r>
        <w:rPr>
          <w:rFonts w:hint="eastAsia" w:ascii="Arial" w:hAnsi="Arial" w:cs="Arial"/>
          <w:color w:val="auto"/>
          <w:sz w:val="24"/>
          <w:szCs w:val="24"/>
          <w:highlight w:val="none"/>
          <w:u w:val="none"/>
          <w:lang w:val="en-US" w:eastAsia="zh-CN"/>
        </w:rPr>
        <w:t>可升级</w:t>
      </w:r>
      <w:r>
        <w:rPr>
          <w:rFonts w:hint="eastAsia" w:ascii="Arial" w:hAnsi="Arial" w:cs="Arial"/>
          <w:color w:val="auto"/>
          <w:sz w:val="24"/>
          <w:szCs w:val="24"/>
          <w:highlight w:val="none"/>
          <w:u w:val="none"/>
        </w:rPr>
        <w:t>两块锂电池</w:t>
      </w:r>
    </w:p>
    <w:p w14:paraId="36C97A99">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1.2</w:t>
      </w:r>
      <w:r>
        <w:rPr>
          <w:rFonts w:hint="eastAsia" w:ascii="Arial" w:hAnsi="Arial" w:cs="Arial"/>
          <w:color w:val="auto"/>
          <w:sz w:val="24"/>
          <w:szCs w:val="24"/>
          <w:highlight w:val="none"/>
          <w:u w:val="none"/>
        </w:rPr>
        <w:t>具有RJ45接口、HL7、以太网连接功能</w:t>
      </w:r>
    </w:p>
    <w:p w14:paraId="296FB3EA">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1.3▲显示器与麻醉机为一体化设计且为内嵌式，麻醉机</w:t>
      </w:r>
      <w:r>
        <w:rPr>
          <w:rFonts w:hint="eastAsia" w:ascii="Arial" w:hAnsi="Arial" w:cs="Arial"/>
          <w:color w:val="auto"/>
          <w:sz w:val="24"/>
          <w:szCs w:val="24"/>
          <w:highlight w:val="none"/>
          <w:u w:val="none"/>
        </w:rPr>
        <w:t>机架：带大工作台侧栏杆推车，</w:t>
      </w:r>
      <w:r>
        <w:rPr>
          <w:rFonts w:hint="eastAsia" w:ascii="Arial" w:hAnsi="Arial" w:cs="Arial"/>
          <w:color w:val="auto"/>
          <w:sz w:val="24"/>
          <w:szCs w:val="24"/>
          <w:highlight w:val="none"/>
          <w:u w:val="none"/>
          <w:lang w:val="en-US" w:eastAsia="zh-CN"/>
        </w:rPr>
        <w:t>带</w:t>
      </w:r>
      <w:r>
        <w:rPr>
          <w:rFonts w:hint="eastAsia" w:ascii="Arial" w:hAnsi="Arial" w:cs="Arial"/>
          <w:color w:val="auto"/>
          <w:sz w:val="24"/>
          <w:szCs w:val="24"/>
          <w:highlight w:val="none"/>
          <w:u w:val="none"/>
        </w:rPr>
        <w:t>三个抽屉</w:t>
      </w:r>
    </w:p>
    <w:p w14:paraId="5156F067">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1.4</w:t>
      </w:r>
      <w:r>
        <w:rPr>
          <w:rFonts w:hint="eastAsia" w:ascii="Arial" w:hAnsi="Arial" w:cs="Arial"/>
          <w:color w:val="auto"/>
          <w:sz w:val="24"/>
          <w:szCs w:val="24"/>
          <w:highlight w:val="none"/>
          <w:u w:val="none"/>
        </w:rPr>
        <w:t>适合内窥镜手术模式：具备顶光灯，能够在黑暗环境中提供麻醉机工作台面照明</w:t>
      </w:r>
    </w:p>
    <w:p w14:paraId="25A7CB3E">
      <w:pPr>
        <w:keepNext w:val="0"/>
        <w:keepLines w:val="0"/>
        <w:pageBreakBefore w:val="0"/>
        <w:kinsoku/>
        <w:wordWrap/>
        <w:overflowPunct/>
        <w:topLinePunct w:val="0"/>
        <w:bidi w:val="0"/>
        <w:adjustRightInd w:val="0"/>
        <w:snapToGrid w:val="0"/>
        <w:spacing w:line="240" w:lineRule="auto"/>
        <w:textAlignment w:val="auto"/>
        <w:rPr>
          <w:rFonts w:hint="eastAsia" w:ascii="Arial" w:hAnsi="Arial" w:eastAsia="宋体" w:cs="Arial"/>
          <w:b/>
          <w:color w:val="auto"/>
          <w:sz w:val="24"/>
          <w:szCs w:val="24"/>
          <w:highlight w:val="none"/>
          <w:u w:val="none"/>
          <w:lang w:eastAsia="zh-CN"/>
        </w:rPr>
      </w:pPr>
      <w:r>
        <w:rPr>
          <w:rFonts w:hint="eastAsia" w:ascii="Arial" w:hAnsi="Arial" w:cs="Arial"/>
          <w:b/>
          <w:color w:val="auto"/>
          <w:sz w:val="24"/>
          <w:szCs w:val="24"/>
          <w:highlight w:val="none"/>
          <w:u w:val="none"/>
          <w:lang w:val="en-US" w:eastAsia="zh-CN"/>
        </w:rPr>
        <w:t>2、</w:t>
      </w:r>
      <w:r>
        <w:rPr>
          <w:rFonts w:hint="eastAsia" w:ascii="Arial" w:hAnsi="Arial" w:cs="Arial"/>
          <w:b/>
          <w:color w:val="auto"/>
          <w:sz w:val="24"/>
          <w:szCs w:val="24"/>
          <w:highlight w:val="none"/>
          <w:u w:val="none"/>
        </w:rPr>
        <w:t>气源</w:t>
      </w:r>
      <w:r>
        <w:rPr>
          <w:rFonts w:hint="eastAsia" w:ascii="Arial" w:hAnsi="Arial" w:cs="Arial"/>
          <w:b/>
          <w:color w:val="auto"/>
          <w:sz w:val="24"/>
          <w:szCs w:val="24"/>
          <w:highlight w:val="none"/>
          <w:u w:val="none"/>
          <w:lang w:eastAsia="zh-CN"/>
        </w:rPr>
        <w:t>：</w:t>
      </w:r>
    </w:p>
    <w:p w14:paraId="3348903A">
      <w:pPr>
        <w:keepNext w:val="0"/>
        <w:keepLines w:val="0"/>
        <w:pageBreakBefore w:val="0"/>
        <w:numPr>
          <w:ilvl w:val="0"/>
          <w:numId w:val="0"/>
        </w:numPr>
        <w:tabs>
          <w:tab w:val="left" w:pos="1694"/>
        </w:tabs>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2.1</w:t>
      </w:r>
      <w:r>
        <w:rPr>
          <w:rFonts w:hint="eastAsia" w:ascii="Arial" w:hAnsi="Arial" w:cs="Arial"/>
          <w:color w:val="auto"/>
          <w:sz w:val="24"/>
          <w:szCs w:val="24"/>
          <w:highlight w:val="none"/>
          <w:u w:val="none"/>
        </w:rPr>
        <w:t>标配氧气、空气双气源，可</w:t>
      </w:r>
      <w:r>
        <w:rPr>
          <w:rFonts w:hint="eastAsia" w:ascii="Arial" w:hAnsi="Arial" w:cs="Arial"/>
          <w:color w:val="auto"/>
          <w:sz w:val="24"/>
          <w:szCs w:val="24"/>
          <w:highlight w:val="none"/>
          <w:u w:val="none"/>
          <w:lang w:val="en-US" w:eastAsia="zh-CN"/>
        </w:rPr>
        <w:t>升级</w:t>
      </w:r>
      <w:r>
        <w:rPr>
          <w:rFonts w:hint="eastAsia" w:ascii="Arial" w:hAnsi="Arial" w:cs="Arial"/>
          <w:color w:val="auto"/>
          <w:sz w:val="24"/>
          <w:szCs w:val="24"/>
          <w:highlight w:val="none"/>
          <w:u w:val="none"/>
        </w:rPr>
        <w:t>笑气气源</w:t>
      </w:r>
    </w:p>
    <w:p w14:paraId="3177CC9A">
      <w:pPr>
        <w:keepNext w:val="0"/>
        <w:keepLines w:val="0"/>
        <w:pageBreakBefore w:val="0"/>
        <w:numPr>
          <w:ilvl w:val="0"/>
          <w:numId w:val="0"/>
        </w:numPr>
        <w:tabs>
          <w:tab w:val="left" w:pos="1694"/>
        </w:tabs>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2.2</w:t>
      </w:r>
      <w:r>
        <w:rPr>
          <w:rFonts w:hint="eastAsia" w:ascii="Arial" w:hAnsi="Arial" w:cs="Arial"/>
          <w:color w:val="auto"/>
          <w:sz w:val="24"/>
          <w:szCs w:val="24"/>
          <w:highlight w:val="none"/>
          <w:u w:val="none"/>
        </w:rPr>
        <w:t>氧气：具备安全保护装置，在供氧压低于200</w:t>
      </w:r>
      <w:r>
        <w:rPr>
          <w:rFonts w:ascii="Arial" w:hAnsi="Arial" w:cs="Arial"/>
          <w:color w:val="auto"/>
          <w:sz w:val="24"/>
          <w:szCs w:val="24"/>
          <w:highlight w:val="none"/>
          <w:u w:val="none"/>
        </w:rPr>
        <w:t>Kpa</w:t>
      </w:r>
      <w:r>
        <w:rPr>
          <w:rFonts w:hint="eastAsia" w:ascii="Arial" w:hAnsi="Arial" w:cs="Arial"/>
          <w:color w:val="auto"/>
          <w:sz w:val="24"/>
          <w:szCs w:val="24"/>
          <w:highlight w:val="none"/>
          <w:u w:val="none"/>
        </w:rPr>
        <w:t>时报警</w:t>
      </w:r>
    </w:p>
    <w:p w14:paraId="2ABBE84C">
      <w:pPr>
        <w:keepNext w:val="0"/>
        <w:keepLines w:val="0"/>
        <w:pageBreakBefore w:val="0"/>
        <w:numPr>
          <w:ilvl w:val="0"/>
          <w:numId w:val="0"/>
        </w:numPr>
        <w:tabs>
          <w:tab w:val="left" w:pos="1694"/>
        </w:tabs>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2.3</w:t>
      </w:r>
      <w:r>
        <w:rPr>
          <w:rFonts w:hint="eastAsia" w:ascii="Arial" w:hAnsi="Arial" w:cs="Arial"/>
          <w:color w:val="auto"/>
          <w:sz w:val="24"/>
          <w:szCs w:val="24"/>
          <w:highlight w:val="none"/>
          <w:u w:val="none"/>
        </w:rPr>
        <w:t>具备机械的笑、氧保护装置，不受停电影响，保证任何流量下氧浓度不低于21%</w:t>
      </w:r>
    </w:p>
    <w:p w14:paraId="6E84146B">
      <w:pPr>
        <w:keepNext w:val="0"/>
        <w:keepLines w:val="0"/>
        <w:pageBreakBefore w:val="0"/>
        <w:numPr>
          <w:ilvl w:val="0"/>
          <w:numId w:val="0"/>
        </w:numPr>
        <w:tabs>
          <w:tab w:val="left" w:pos="1694"/>
        </w:tabs>
        <w:kinsoku/>
        <w:wordWrap/>
        <w:overflowPunct/>
        <w:topLinePunct w:val="0"/>
        <w:bidi w:val="0"/>
        <w:adjustRightInd w:val="0"/>
        <w:snapToGrid w:val="0"/>
        <w:spacing w:line="240" w:lineRule="auto"/>
        <w:ind w:leftChars="0"/>
        <w:textAlignment w:val="auto"/>
        <w:rPr>
          <w:rFonts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2.4</w:t>
      </w:r>
      <w:r>
        <w:rPr>
          <w:rFonts w:hint="eastAsia" w:ascii="Arial" w:hAnsi="Arial" w:cs="Arial"/>
          <w:color w:val="auto"/>
          <w:sz w:val="24"/>
          <w:szCs w:val="24"/>
          <w:highlight w:val="none"/>
          <w:u w:val="none"/>
        </w:rPr>
        <w:t>快速充氧范围25</w:t>
      </w:r>
      <w:r>
        <w:rPr>
          <w:rFonts w:ascii="Arial" w:hAnsi="Arial" w:cs="Arial"/>
          <w:color w:val="auto"/>
          <w:sz w:val="24"/>
          <w:szCs w:val="24"/>
          <w:highlight w:val="none"/>
          <w:u w:val="none"/>
        </w:rPr>
        <w:t xml:space="preserve"> - </w:t>
      </w:r>
      <w:r>
        <w:rPr>
          <w:rFonts w:hint="eastAsia" w:ascii="Arial" w:hAnsi="Arial" w:cs="Arial"/>
          <w:color w:val="auto"/>
          <w:sz w:val="24"/>
          <w:szCs w:val="24"/>
          <w:highlight w:val="none"/>
          <w:u w:val="none"/>
        </w:rPr>
        <w:t>75</w:t>
      </w:r>
      <w:r>
        <w:rPr>
          <w:rFonts w:ascii="Arial" w:hAnsi="Arial" w:cs="Arial"/>
          <w:color w:val="auto"/>
          <w:sz w:val="24"/>
          <w:szCs w:val="24"/>
          <w:highlight w:val="none"/>
          <w:u w:val="none"/>
        </w:rPr>
        <w:t xml:space="preserve"> l/min</w:t>
      </w:r>
    </w:p>
    <w:p w14:paraId="5B629365">
      <w:pPr>
        <w:keepNext w:val="0"/>
        <w:keepLines w:val="0"/>
        <w:pageBreakBefore w:val="0"/>
        <w:kinsoku/>
        <w:wordWrap/>
        <w:overflowPunct/>
        <w:topLinePunct w:val="0"/>
        <w:bidi w:val="0"/>
        <w:adjustRightInd w:val="0"/>
        <w:snapToGrid w:val="0"/>
        <w:spacing w:line="240" w:lineRule="auto"/>
        <w:ind w:left="198" w:hanging="198"/>
        <w:textAlignment w:val="auto"/>
        <w:rPr>
          <w:rFonts w:hint="eastAsia" w:ascii="Arial" w:hAnsi="Arial" w:eastAsia="宋体" w:cs="Arial"/>
          <w:b/>
          <w:color w:val="auto"/>
          <w:sz w:val="24"/>
          <w:szCs w:val="24"/>
          <w:highlight w:val="none"/>
          <w:u w:val="none"/>
          <w:lang w:eastAsia="zh-CN"/>
        </w:rPr>
      </w:pPr>
      <w:r>
        <w:rPr>
          <w:rFonts w:hint="eastAsia" w:ascii="Arial" w:hAnsi="Arial" w:cs="Arial"/>
          <w:b/>
          <w:color w:val="auto"/>
          <w:sz w:val="24"/>
          <w:szCs w:val="24"/>
          <w:highlight w:val="none"/>
          <w:u w:val="none"/>
          <w:lang w:val="en-US" w:eastAsia="zh-CN"/>
        </w:rPr>
        <w:t>3、</w:t>
      </w:r>
      <w:r>
        <w:rPr>
          <w:rFonts w:hint="eastAsia" w:ascii="Arial" w:hAnsi="Arial" w:cs="Arial"/>
          <w:b/>
          <w:color w:val="auto"/>
          <w:sz w:val="24"/>
          <w:szCs w:val="24"/>
          <w:highlight w:val="none"/>
          <w:u w:val="none"/>
        </w:rPr>
        <w:t>流量计</w:t>
      </w:r>
      <w:r>
        <w:rPr>
          <w:rFonts w:hint="eastAsia" w:ascii="Arial" w:hAnsi="Arial" w:cs="Arial"/>
          <w:b/>
          <w:color w:val="auto"/>
          <w:sz w:val="24"/>
          <w:szCs w:val="24"/>
          <w:highlight w:val="none"/>
          <w:u w:val="none"/>
          <w:lang w:eastAsia="zh-CN"/>
        </w:rPr>
        <w:t>：</w:t>
      </w:r>
    </w:p>
    <w:p w14:paraId="1CAF512E">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宋体" w:hAnsi="宋体" w:eastAsia="宋体" w:cs="Arial"/>
          <w:color w:val="auto"/>
          <w:sz w:val="24"/>
          <w:szCs w:val="24"/>
          <w:highlight w:val="none"/>
          <w:u w:val="none"/>
          <w:lang w:eastAsia="zh-CN"/>
        </w:rPr>
      </w:pPr>
      <w:r>
        <w:rPr>
          <w:rFonts w:hint="eastAsia" w:ascii="Arial" w:hAnsi="Arial" w:cs="Arial"/>
          <w:color w:val="auto"/>
          <w:sz w:val="24"/>
          <w:szCs w:val="24"/>
          <w:highlight w:val="none"/>
          <w:u w:val="none"/>
          <w:lang w:val="en-US" w:eastAsia="zh-CN"/>
        </w:rPr>
        <w:t>3.1▲配备</w:t>
      </w:r>
      <w:r>
        <w:rPr>
          <w:rFonts w:hint="eastAsia" w:ascii="Arial" w:hAnsi="Arial" w:cs="Arial"/>
          <w:color w:val="auto"/>
          <w:sz w:val="24"/>
          <w:szCs w:val="24"/>
          <w:highlight w:val="none"/>
          <w:u w:val="none"/>
        </w:rPr>
        <w:t>全电子</w:t>
      </w:r>
      <w:r>
        <w:rPr>
          <w:rFonts w:hint="eastAsia" w:ascii="宋体" w:hAnsi="宋体" w:eastAsia="宋体" w:cs="Arial"/>
          <w:color w:val="auto"/>
          <w:sz w:val="24"/>
          <w:szCs w:val="24"/>
          <w:highlight w:val="none"/>
          <w:u w:val="none"/>
        </w:rPr>
        <w:t xml:space="preserve">流量计 </w:t>
      </w:r>
      <w:r>
        <w:rPr>
          <w:rFonts w:hint="eastAsia" w:ascii="宋体" w:hAnsi="宋体" w:eastAsia="宋体" w:cs="Arial"/>
          <w:color w:val="auto"/>
          <w:sz w:val="24"/>
          <w:szCs w:val="24"/>
          <w:highlight w:val="none"/>
          <w:u w:val="none"/>
          <w:lang w:eastAsia="zh-CN"/>
        </w:rPr>
        <w:t>，</w:t>
      </w:r>
      <w:r>
        <w:rPr>
          <w:rFonts w:hint="eastAsia" w:ascii="宋体" w:hAnsi="宋体" w:eastAsia="宋体" w:cs="Arial"/>
          <w:color w:val="auto"/>
          <w:sz w:val="24"/>
          <w:szCs w:val="24"/>
          <w:highlight w:val="none"/>
          <w:u w:val="none"/>
        </w:rPr>
        <w:t>(可直接设置氧浓度和总流量) （总流量控制模式下总流量范围：0.2 L/min - 18 L/min。O2 浓度范围： 21% - 100% (空气为平衡气)，26% - 100% (笑气为平衡气)）</w:t>
      </w:r>
    </w:p>
    <w:p w14:paraId="72D437BB">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3.2</w:t>
      </w:r>
      <w:r>
        <w:rPr>
          <w:rFonts w:hint="eastAsia" w:ascii="Arial" w:hAnsi="Arial" w:cs="Arial"/>
          <w:color w:val="auto"/>
          <w:sz w:val="24"/>
          <w:szCs w:val="24"/>
          <w:highlight w:val="none"/>
          <w:u w:val="none"/>
        </w:rPr>
        <w:t>具备备用流量计</w:t>
      </w:r>
    </w:p>
    <w:p w14:paraId="458614A0">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3.3</w:t>
      </w:r>
      <w:r>
        <w:rPr>
          <w:rFonts w:hint="eastAsia" w:ascii="Arial" w:hAnsi="Arial" w:cs="Arial"/>
          <w:color w:val="auto"/>
          <w:sz w:val="24"/>
          <w:szCs w:val="24"/>
          <w:highlight w:val="none"/>
          <w:u w:val="none"/>
        </w:rPr>
        <w:t>具备直观的适宜低流量麻醉的新鲜气体流量指示工具</w:t>
      </w:r>
    </w:p>
    <w:p w14:paraId="39067B1F">
      <w:pPr>
        <w:keepNext w:val="0"/>
        <w:keepLines w:val="0"/>
        <w:pageBreakBefore w:val="0"/>
        <w:kinsoku/>
        <w:wordWrap/>
        <w:overflowPunct/>
        <w:topLinePunct w:val="0"/>
        <w:bidi w:val="0"/>
        <w:adjustRightInd w:val="0"/>
        <w:snapToGrid w:val="0"/>
        <w:spacing w:line="240" w:lineRule="auto"/>
        <w:ind w:left="198" w:hanging="198"/>
        <w:textAlignment w:val="auto"/>
        <w:rPr>
          <w:rFonts w:hint="eastAsia" w:ascii="Arial" w:hAnsi="Arial" w:eastAsia="宋体" w:cs="Arial"/>
          <w:b/>
          <w:color w:val="auto"/>
          <w:sz w:val="24"/>
          <w:szCs w:val="24"/>
          <w:highlight w:val="none"/>
          <w:u w:val="none"/>
          <w:lang w:eastAsia="zh-CN"/>
        </w:rPr>
      </w:pPr>
      <w:r>
        <w:rPr>
          <w:rFonts w:hint="eastAsia" w:ascii="Arial" w:hAnsi="Arial" w:cs="Arial"/>
          <w:b/>
          <w:color w:val="auto"/>
          <w:sz w:val="24"/>
          <w:szCs w:val="24"/>
          <w:highlight w:val="none"/>
          <w:u w:val="none"/>
          <w:lang w:val="en-US" w:eastAsia="zh-CN"/>
        </w:rPr>
        <w:t>4、</w:t>
      </w:r>
      <w:r>
        <w:rPr>
          <w:rFonts w:hint="eastAsia" w:ascii="Arial" w:hAnsi="Arial" w:cs="Arial"/>
          <w:b/>
          <w:color w:val="auto"/>
          <w:sz w:val="24"/>
          <w:szCs w:val="24"/>
          <w:highlight w:val="none"/>
          <w:u w:val="none"/>
        </w:rPr>
        <w:t>挥发罐</w:t>
      </w:r>
      <w:r>
        <w:rPr>
          <w:rFonts w:hint="eastAsia" w:ascii="Arial" w:hAnsi="Arial" w:cs="Arial"/>
          <w:b/>
          <w:color w:val="auto"/>
          <w:sz w:val="24"/>
          <w:szCs w:val="24"/>
          <w:highlight w:val="none"/>
          <w:u w:val="none"/>
          <w:lang w:eastAsia="zh-CN"/>
        </w:rPr>
        <w:t>：</w:t>
      </w:r>
    </w:p>
    <w:p w14:paraId="12CE26EF">
      <w:pPr>
        <w:keepNext w:val="0"/>
        <w:keepLines w:val="0"/>
        <w:pageBreakBefore w:val="0"/>
        <w:numPr>
          <w:ilvl w:val="0"/>
          <w:numId w:val="0"/>
        </w:numPr>
        <w:tabs>
          <w:tab w:val="left" w:pos="1694"/>
        </w:tabs>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4.1</w:t>
      </w:r>
      <w:r>
        <w:rPr>
          <w:rFonts w:hint="eastAsia" w:ascii="Arial" w:hAnsi="Arial" w:cs="Arial"/>
          <w:color w:val="auto"/>
          <w:sz w:val="24"/>
          <w:szCs w:val="24"/>
          <w:highlight w:val="none"/>
          <w:u w:val="none"/>
        </w:rPr>
        <w:t>标配</w:t>
      </w:r>
      <w:r>
        <w:rPr>
          <w:rFonts w:hint="eastAsia" w:ascii="Arial" w:hAnsi="Arial" w:cs="Arial"/>
          <w:color w:val="auto"/>
          <w:sz w:val="24"/>
          <w:szCs w:val="24"/>
          <w:highlight w:val="none"/>
          <w:u w:val="none"/>
          <w:lang w:val="en-US" w:eastAsia="zh-CN"/>
        </w:rPr>
        <w:t>一个高品质的麻醉挥发罐，麻醉罐与主机同品牌。</w:t>
      </w:r>
    </w:p>
    <w:p w14:paraId="2AA6ABC2">
      <w:pPr>
        <w:keepNext w:val="0"/>
        <w:keepLines w:val="0"/>
        <w:pageBreakBefore w:val="0"/>
        <w:numPr>
          <w:ilvl w:val="0"/>
          <w:numId w:val="0"/>
        </w:numPr>
        <w:tabs>
          <w:tab w:val="left" w:pos="1694"/>
        </w:tabs>
        <w:kinsoku/>
        <w:wordWrap/>
        <w:overflowPunct/>
        <w:topLinePunct w:val="0"/>
        <w:bidi w:val="0"/>
        <w:adjustRightInd w:val="0"/>
        <w:snapToGrid w:val="0"/>
        <w:spacing w:line="240" w:lineRule="auto"/>
        <w:ind w:leftChars="0"/>
        <w:textAlignment w:val="auto"/>
        <w:rPr>
          <w:rFonts w:hint="default" w:ascii="Arial" w:hAnsi="Arial" w:eastAsia="宋体"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4.2可升级双罐位，方便科室升级</w:t>
      </w:r>
    </w:p>
    <w:p w14:paraId="3EE42566">
      <w:pPr>
        <w:keepNext w:val="0"/>
        <w:keepLines w:val="0"/>
        <w:pageBreakBefore w:val="0"/>
        <w:kinsoku/>
        <w:wordWrap/>
        <w:overflowPunct/>
        <w:topLinePunct w:val="0"/>
        <w:bidi w:val="0"/>
        <w:adjustRightInd w:val="0"/>
        <w:snapToGrid w:val="0"/>
        <w:spacing w:line="240" w:lineRule="auto"/>
        <w:textAlignment w:val="auto"/>
        <w:rPr>
          <w:rFonts w:hint="eastAsia" w:ascii="Arial" w:hAnsi="Arial" w:eastAsia="宋体" w:cs="Arial"/>
          <w:b/>
          <w:color w:val="auto"/>
          <w:sz w:val="24"/>
          <w:szCs w:val="24"/>
          <w:highlight w:val="none"/>
          <w:u w:val="none"/>
          <w:lang w:eastAsia="zh-CN"/>
        </w:rPr>
      </w:pPr>
      <w:r>
        <w:rPr>
          <w:rFonts w:hint="eastAsia" w:ascii="Arial" w:hAnsi="Arial" w:cs="Arial"/>
          <w:b/>
          <w:color w:val="auto"/>
          <w:sz w:val="24"/>
          <w:szCs w:val="24"/>
          <w:highlight w:val="none"/>
          <w:u w:val="none"/>
          <w:lang w:val="en-US" w:eastAsia="zh-CN"/>
        </w:rPr>
        <w:t>5、</w:t>
      </w:r>
      <w:r>
        <w:rPr>
          <w:rFonts w:hint="eastAsia" w:ascii="Arial" w:hAnsi="Arial" w:cs="Arial"/>
          <w:b/>
          <w:color w:val="auto"/>
          <w:sz w:val="24"/>
          <w:szCs w:val="24"/>
          <w:highlight w:val="none"/>
          <w:u w:val="none"/>
        </w:rPr>
        <w:t>呼吸回路</w:t>
      </w:r>
      <w:r>
        <w:rPr>
          <w:rFonts w:hint="eastAsia" w:ascii="Arial" w:hAnsi="Arial" w:cs="Arial"/>
          <w:b/>
          <w:color w:val="auto"/>
          <w:sz w:val="24"/>
          <w:szCs w:val="24"/>
          <w:highlight w:val="none"/>
          <w:u w:val="none"/>
          <w:lang w:eastAsia="zh-CN"/>
        </w:rPr>
        <w:t>：</w:t>
      </w:r>
    </w:p>
    <w:p w14:paraId="5C6407D4">
      <w:pPr>
        <w:pStyle w:val="13"/>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eastAsia="宋体" w:cs="Arial"/>
          <w:color w:val="auto"/>
          <w:sz w:val="24"/>
          <w:szCs w:val="24"/>
          <w:highlight w:val="none"/>
          <w:u w:val="none"/>
          <w:lang w:eastAsia="zh-CN"/>
        </w:rPr>
      </w:pPr>
      <w:r>
        <w:rPr>
          <w:rFonts w:hint="eastAsia" w:ascii="Arial" w:hAnsi="Arial" w:cs="Arial"/>
          <w:color w:val="auto"/>
          <w:sz w:val="24"/>
          <w:szCs w:val="24"/>
          <w:highlight w:val="none"/>
          <w:u w:val="none"/>
          <w:lang w:val="en-US" w:eastAsia="zh-CN"/>
        </w:rPr>
        <w:t>5.1</w:t>
      </w:r>
      <w:r>
        <w:rPr>
          <w:rFonts w:hint="eastAsia" w:ascii="Arial" w:hAnsi="Arial" w:cs="Arial"/>
          <w:color w:val="auto"/>
          <w:sz w:val="24"/>
          <w:szCs w:val="24"/>
          <w:highlight w:val="none"/>
          <w:u w:val="none"/>
        </w:rPr>
        <w:t>回路整体可徒手拆卸（不需要使用拆卸工具），一体化回路</w:t>
      </w:r>
    </w:p>
    <w:p w14:paraId="12958936">
      <w:pPr>
        <w:pStyle w:val="13"/>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default" w:ascii="Arial" w:hAnsi="Arial" w:eastAsia="宋体"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5.2</w:t>
      </w:r>
      <w:r>
        <w:rPr>
          <w:rFonts w:hint="eastAsia"/>
          <w:color w:val="auto"/>
          <w:sz w:val="24"/>
          <w:szCs w:val="24"/>
          <w:highlight w:val="none"/>
          <w:u w:val="none"/>
        </w:rPr>
        <w:t>回路部件可以耐受</w:t>
      </w:r>
      <w:r>
        <w:rPr>
          <w:color w:val="auto"/>
          <w:sz w:val="24"/>
          <w:szCs w:val="24"/>
          <w:highlight w:val="none"/>
          <w:u w:val="none"/>
        </w:rPr>
        <w:t>134</w:t>
      </w:r>
      <w:r>
        <w:rPr>
          <w:rFonts w:hint="eastAsia"/>
          <w:color w:val="auto"/>
          <w:sz w:val="24"/>
          <w:szCs w:val="24"/>
          <w:highlight w:val="none"/>
          <w:u w:val="none"/>
        </w:rPr>
        <w:t>℃高温高压消毒以避免院内交叉感染</w:t>
      </w:r>
      <w:r>
        <w:rPr>
          <w:rFonts w:hint="eastAsia"/>
          <w:color w:val="auto"/>
          <w:sz w:val="24"/>
          <w:szCs w:val="24"/>
          <w:highlight w:val="none"/>
          <w:u w:val="none"/>
          <w:lang w:eastAsia="zh-CN"/>
        </w:rPr>
        <w:t>，</w:t>
      </w:r>
      <w:r>
        <w:rPr>
          <w:rFonts w:hint="eastAsia"/>
          <w:color w:val="auto"/>
          <w:sz w:val="24"/>
          <w:szCs w:val="24"/>
          <w:highlight w:val="none"/>
          <w:u w:val="none"/>
          <w:lang w:val="en-US" w:eastAsia="zh-CN"/>
        </w:rPr>
        <w:t>支持134℃高温高压消毒的部件具有文字标识，方便科室使用（提供支持134℃高温高压消毒部件图片）</w:t>
      </w:r>
    </w:p>
    <w:p w14:paraId="72E8ED77">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eastAsia="宋体"/>
          <w:color w:val="auto"/>
          <w:sz w:val="24"/>
          <w:szCs w:val="24"/>
          <w:highlight w:val="none"/>
          <w:u w:val="none"/>
          <w:lang w:eastAsia="zh-CN"/>
        </w:rPr>
      </w:pPr>
      <w:r>
        <w:rPr>
          <w:rFonts w:hint="eastAsia"/>
          <w:color w:val="auto"/>
          <w:sz w:val="24"/>
          <w:szCs w:val="24"/>
          <w:highlight w:val="none"/>
          <w:u w:val="none"/>
          <w:lang w:val="en-US" w:eastAsia="zh-CN"/>
        </w:rPr>
        <w:t>5.3配备的</w:t>
      </w:r>
      <w:r>
        <w:rPr>
          <w:rFonts w:hint="eastAsia"/>
          <w:color w:val="auto"/>
          <w:sz w:val="24"/>
          <w:szCs w:val="24"/>
          <w:highlight w:val="none"/>
          <w:u w:val="none"/>
        </w:rPr>
        <w:t>二氧化碳吸收罐，容积</w:t>
      </w:r>
      <w:r>
        <w:rPr>
          <w:rFonts w:hint="eastAsia"/>
          <w:color w:val="auto"/>
          <w:sz w:val="24"/>
          <w:szCs w:val="24"/>
          <w:highlight w:val="none"/>
          <w:u w:val="none"/>
          <w:lang w:val="en-US" w:eastAsia="zh-CN"/>
        </w:rPr>
        <w:t>≥1400ml</w:t>
      </w:r>
    </w:p>
    <w:p w14:paraId="7E2D2985">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default" w:eastAsia="宋体"/>
          <w:color w:val="auto"/>
          <w:sz w:val="24"/>
          <w:szCs w:val="24"/>
          <w:highlight w:val="none"/>
          <w:u w:val="none"/>
          <w:lang w:val="en-US" w:eastAsia="zh-CN"/>
        </w:rPr>
      </w:pPr>
      <w:r>
        <w:rPr>
          <w:rFonts w:hint="eastAsia"/>
          <w:color w:val="auto"/>
          <w:sz w:val="24"/>
          <w:szCs w:val="24"/>
          <w:highlight w:val="none"/>
          <w:u w:val="none"/>
          <w:lang w:val="en-US" w:eastAsia="zh-CN"/>
        </w:rPr>
        <w:t>5.4</w:t>
      </w:r>
      <w:r>
        <w:rPr>
          <w:rFonts w:hint="eastAsia"/>
          <w:color w:val="auto"/>
          <w:sz w:val="24"/>
          <w:szCs w:val="24"/>
          <w:highlight w:val="none"/>
          <w:u w:val="none"/>
        </w:rPr>
        <w:t>内置</w:t>
      </w:r>
      <w:r>
        <w:rPr>
          <w:rFonts w:hint="eastAsia"/>
          <w:color w:val="auto"/>
          <w:sz w:val="24"/>
          <w:szCs w:val="24"/>
          <w:highlight w:val="none"/>
          <w:u w:val="none"/>
          <w:lang w:val="en-US" w:eastAsia="zh-CN"/>
        </w:rPr>
        <w:t>可变孔径压差式</w:t>
      </w:r>
      <w:r>
        <w:rPr>
          <w:rFonts w:hint="eastAsia"/>
          <w:color w:val="auto"/>
          <w:sz w:val="24"/>
          <w:szCs w:val="24"/>
          <w:highlight w:val="none"/>
          <w:u w:val="none"/>
        </w:rPr>
        <w:t>双流量传感器，分别在吸入端，呼出端</w:t>
      </w:r>
      <w:r>
        <w:rPr>
          <w:rFonts w:hint="eastAsia"/>
          <w:color w:val="auto"/>
          <w:sz w:val="24"/>
          <w:szCs w:val="24"/>
          <w:highlight w:val="none"/>
          <w:u w:val="none"/>
          <w:lang w:eastAsia="zh-CN"/>
        </w:rPr>
        <w:t>，</w:t>
      </w:r>
      <w:r>
        <w:rPr>
          <w:rFonts w:hint="eastAsia"/>
          <w:color w:val="auto"/>
          <w:sz w:val="24"/>
          <w:szCs w:val="24"/>
          <w:highlight w:val="none"/>
          <w:u w:val="none"/>
          <w:lang w:val="en-US" w:eastAsia="zh-CN"/>
        </w:rPr>
        <w:t>在麻醉机内部设有第三个流量传感器，用于校准和备用，避免在流量传感器故障时导致的手术中断</w:t>
      </w:r>
    </w:p>
    <w:p w14:paraId="5D94493D">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default" w:eastAsia="宋体"/>
          <w:color w:val="auto"/>
          <w:sz w:val="24"/>
          <w:szCs w:val="24"/>
          <w:highlight w:val="none"/>
          <w:u w:val="none"/>
          <w:lang w:val="en-US" w:eastAsia="zh-CN"/>
        </w:rPr>
      </w:pPr>
      <w:r>
        <w:rPr>
          <w:rFonts w:hint="eastAsia"/>
          <w:color w:val="auto"/>
          <w:sz w:val="24"/>
          <w:szCs w:val="24"/>
          <w:highlight w:val="none"/>
          <w:u w:val="none"/>
          <w:lang w:val="en-US" w:eastAsia="zh-CN"/>
        </w:rPr>
        <w:t>5.5配备</w:t>
      </w:r>
      <w:r>
        <w:rPr>
          <w:rFonts w:hint="eastAsia"/>
          <w:color w:val="auto"/>
          <w:sz w:val="24"/>
          <w:szCs w:val="24"/>
          <w:highlight w:val="none"/>
          <w:u w:val="none"/>
        </w:rPr>
        <w:t>低回路系统容积，为快速调节新鲜气体流量以及输出麻药浓度提供了保障</w:t>
      </w:r>
      <w:r>
        <w:rPr>
          <w:rFonts w:hint="eastAsia"/>
          <w:color w:val="auto"/>
          <w:sz w:val="24"/>
          <w:szCs w:val="24"/>
          <w:highlight w:val="none"/>
          <w:u w:val="none"/>
          <w:lang w:eastAsia="zh-CN"/>
        </w:rPr>
        <w:t>，</w:t>
      </w:r>
      <w:r>
        <w:rPr>
          <w:rFonts w:hint="eastAsia"/>
          <w:color w:val="auto"/>
          <w:sz w:val="24"/>
          <w:szCs w:val="24"/>
          <w:highlight w:val="none"/>
          <w:u w:val="none"/>
          <w:lang w:val="en-US" w:eastAsia="zh-CN"/>
        </w:rPr>
        <w:t>有两种呼吸回路容积可选，满足手术需要（提供两种呼吸回路容积配备方案声明文件）</w:t>
      </w:r>
    </w:p>
    <w:p w14:paraId="1920AE0B">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5.6</w:t>
      </w:r>
      <w:r>
        <w:rPr>
          <w:rFonts w:hint="eastAsia" w:ascii="Arial" w:hAnsi="Arial" w:cs="Arial"/>
          <w:color w:val="auto"/>
          <w:sz w:val="24"/>
          <w:szCs w:val="24"/>
          <w:highlight w:val="none"/>
          <w:u w:val="none"/>
        </w:rPr>
        <w:t>配</w:t>
      </w:r>
      <w:r>
        <w:rPr>
          <w:rFonts w:hint="eastAsia" w:ascii="Arial" w:hAnsi="Arial" w:cs="Arial"/>
          <w:color w:val="auto"/>
          <w:sz w:val="24"/>
          <w:szCs w:val="24"/>
          <w:highlight w:val="none"/>
          <w:u w:val="none"/>
          <w:lang w:val="en-US" w:eastAsia="zh-CN"/>
        </w:rPr>
        <w:t>置</w:t>
      </w:r>
      <w:r>
        <w:rPr>
          <w:rFonts w:hint="eastAsia" w:ascii="Arial" w:hAnsi="Arial" w:cs="Arial"/>
          <w:color w:val="auto"/>
          <w:sz w:val="24"/>
          <w:szCs w:val="24"/>
          <w:highlight w:val="none"/>
          <w:u w:val="none"/>
        </w:rPr>
        <w:t>共同新鲜气体输出口，输出口无需改装可直接连接特殊的开放式回路，如</w:t>
      </w:r>
      <w:r>
        <w:rPr>
          <w:rFonts w:ascii="Arial" w:hAnsi="Arial" w:cs="Arial"/>
          <w:color w:val="auto"/>
          <w:sz w:val="24"/>
          <w:szCs w:val="24"/>
          <w:highlight w:val="none"/>
          <w:u w:val="none"/>
        </w:rPr>
        <w:t>Bain</w:t>
      </w:r>
      <w:r>
        <w:rPr>
          <w:rFonts w:hint="eastAsia" w:ascii="Arial" w:hAnsi="Arial" w:cs="Arial"/>
          <w:color w:val="auto"/>
          <w:sz w:val="24"/>
          <w:szCs w:val="24"/>
          <w:highlight w:val="none"/>
          <w:u w:val="none"/>
        </w:rPr>
        <w:t>回路、T管等</w:t>
      </w:r>
    </w:p>
    <w:p w14:paraId="05637CFD">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default" w:ascii="Arial" w:hAnsi="Arial" w:eastAsia="宋体"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5.7</w:t>
      </w:r>
      <w:r>
        <w:rPr>
          <w:rFonts w:hint="eastAsia" w:ascii="Arial" w:hAnsi="Arial" w:cs="Arial"/>
          <w:color w:val="auto"/>
          <w:sz w:val="24"/>
          <w:szCs w:val="24"/>
          <w:highlight w:val="none"/>
          <w:u w:val="none"/>
        </w:rPr>
        <w:t>具有回路加温功能，保证回路不受积水影响，保证流量传感器精准及向病人提供温暖气体，避免对呼吸道的刺激</w:t>
      </w:r>
      <w:r>
        <w:rPr>
          <w:rFonts w:hint="eastAsia" w:ascii="Arial" w:hAnsi="Arial" w:cs="Arial"/>
          <w:color w:val="auto"/>
          <w:sz w:val="24"/>
          <w:szCs w:val="24"/>
          <w:highlight w:val="none"/>
          <w:u w:val="none"/>
          <w:lang w:eastAsia="zh-CN"/>
        </w:rPr>
        <w:t>，</w:t>
      </w:r>
      <w:r>
        <w:rPr>
          <w:rFonts w:hint="eastAsia" w:ascii="Arial" w:hAnsi="Arial" w:cs="Arial"/>
          <w:color w:val="auto"/>
          <w:sz w:val="24"/>
          <w:szCs w:val="24"/>
          <w:highlight w:val="none"/>
          <w:u w:val="none"/>
          <w:lang w:val="en-US" w:eastAsia="zh-CN"/>
        </w:rPr>
        <w:t>回路加热功能不需要额外增加加温设备，设计紧凑合理</w:t>
      </w:r>
    </w:p>
    <w:p w14:paraId="4823BFDF">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5.8标</w:t>
      </w:r>
      <w:r>
        <w:rPr>
          <w:rFonts w:hint="eastAsia" w:ascii="Arial" w:hAnsi="Arial" w:cs="Arial"/>
          <w:color w:val="auto"/>
          <w:sz w:val="24"/>
          <w:szCs w:val="24"/>
          <w:highlight w:val="none"/>
          <w:u w:val="none"/>
        </w:rPr>
        <w:t>配自动CO2旁路功能，在机械通气过程中，更换钠石灰罐无需选择确认，无需关停机械通气，可方便直接更换</w:t>
      </w:r>
    </w:p>
    <w:p w14:paraId="18A6DD71">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5.9</w:t>
      </w:r>
      <w:r>
        <w:rPr>
          <w:rFonts w:hint="eastAsia" w:ascii="Arial" w:hAnsi="Arial" w:cs="Arial"/>
          <w:color w:val="auto"/>
          <w:sz w:val="24"/>
          <w:szCs w:val="24"/>
          <w:highlight w:val="none"/>
          <w:u w:val="none"/>
        </w:rPr>
        <w:t>具备智能回路识别报警系统，当钠石灰罐未安装到位时，机器能智能识别，并报警提示</w:t>
      </w:r>
    </w:p>
    <w:p w14:paraId="669C6F7A">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default" w:ascii="Arial" w:hAnsi="Arial" w:eastAsia="宋体"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5.10</w:t>
      </w:r>
      <w:r>
        <w:rPr>
          <w:rFonts w:hint="eastAsia" w:ascii="宋体" w:hAnsi="宋体" w:cs="Arial"/>
          <w:color w:val="auto"/>
          <w:sz w:val="24"/>
          <w:szCs w:val="24"/>
          <w:highlight w:val="none"/>
          <w:u w:val="none"/>
        </w:rPr>
        <w:t>呼吸系统泄漏量≤60mL/min（在3.0kPa压力条件下）</w:t>
      </w:r>
    </w:p>
    <w:p w14:paraId="3B7227C2">
      <w:pPr>
        <w:keepNext w:val="0"/>
        <w:keepLines w:val="0"/>
        <w:pageBreakBefore w:val="0"/>
        <w:numPr>
          <w:ilvl w:val="0"/>
          <w:numId w:val="4"/>
        </w:numPr>
        <w:kinsoku/>
        <w:wordWrap/>
        <w:overflowPunct/>
        <w:topLinePunct w:val="0"/>
        <w:bidi w:val="0"/>
        <w:adjustRightInd w:val="0"/>
        <w:snapToGrid w:val="0"/>
        <w:spacing w:line="240" w:lineRule="auto"/>
        <w:textAlignment w:val="auto"/>
        <w:rPr>
          <w:rFonts w:hint="eastAsia" w:ascii="Arial" w:hAnsi="Arial" w:cs="Arial"/>
          <w:b/>
          <w:color w:val="auto"/>
          <w:sz w:val="24"/>
          <w:szCs w:val="24"/>
          <w:highlight w:val="none"/>
          <w:u w:val="none"/>
          <w:lang w:eastAsia="zh-CN"/>
        </w:rPr>
      </w:pPr>
      <w:r>
        <w:rPr>
          <w:rFonts w:hint="eastAsia" w:ascii="Arial" w:hAnsi="Arial" w:cs="Arial"/>
          <w:b/>
          <w:color w:val="auto"/>
          <w:sz w:val="24"/>
          <w:szCs w:val="24"/>
          <w:highlight w:val="none"/>
          <w:u w:val="none"/>
        </w:rPr>
        <w:t>呼吸机</w:t>
      </w:r>
      <w:r>
        <w:rPr>
          <w:rFonts w:hint="eastAsia" w:ascii="Arial" w:hAnsi="Arial" w:cs="Arial"/>
          <w:b/>
          <w:color w:val="auto"/>
          <w:sz w:val="24"/>
          <w:szCs w:val="24"/>
          <w:highlight w:val="none"/>
          <w:u w:val="none"/>
          <w:lang w:eastAsia="zh-CN"/>
        </w:rPr>
        <w:t>：</w:t>
      </w:r>
    </w:p>
    <w:p w14:paraId="1940A689">
      <w:pPr>
        <w:keepNext w:val="0"/>
        <w:keepLines w:val="0"/>
        <w:pageBreakBefore w:val="0"/>
        <w:numPr>
          <w:ilvl w:val="0"/>
          <w:numId w:val="0"/>
        </w:numPr>
        <w:kinsoku/>
        <w:wordWrap/>
        <w:overflowPunct/>
        <w:topLinePunct w:val="0"/>
        <w:bidi w:val="0"/>
        <w:adjustRightInd w:val="0"/>
        <w:snapToGrid w:val="0"/>
        <w:spacing w:line="240" w:lineRule="auto"/>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6.1采用</w:t>
      </w:r>
      <w:r>
        <w:rPr>
          <w:rFonts w:hint="eastAsia" w:ascii="Arial" w:hAnsi="Arial" w:cs="Arial"/>
          <w:color w:val="auto"/>
          <w:sz w:val="24"/>
          <w:szCs w:val="24"/>
          <w:highlight w:val="none"/>
          <w:u w:val="none"/>
        </w:rPr>
        <w:t>气动电控呼吸机，全中文操作和显示</w:t>
      </w:r>
    </w:p>
    <w:p w14:paraId="65E593C9">
      <w:pPr>
        <w:keepNext w:val="0"/>
        <w:keepLines w:val="0"/>
        <w:pageBreakBefore w:val="0"/>
        <w:kinsoku/>
        <w:wordWrap/>
        <w:overflowPunct/>
        <w:topLinePunct w:val="0"/>
        <w:bidi w:val="0"/>
        <w:adjustRightInd w:val="0"/>
        <w:snapToGrid w:val="0"/>
        <w:spacing w:line="240" w:lineRule="auto"/>
        <w:textAlignment w:val="auto"/>
        <w:rPr>
          <w:rFonts w:hint="eastAsia" w:ascii="Arial" w:hAnsi="Arial" w:eastAsia="宋体" w:cs="Arial"/>
          <w:color w:val="auto"/>
          <w:sz w:val="24"/>
          <w:szCs w:val="24"/>
          <w:highlight w:val="none"/>
          <w:u w:val="none"/>
        </w:rPr>
      </w:pPr>
      <w:r>
        <w:rPr>
          <w:rFonts w:hint="eastAsia" w:ascii="Arial" w:hAnsi="Arial" w:cs="Arial"/>
          <w:color w:val="auto"/>
          <w:sz w:val="24"/>
          <w:szCs w:val="24"/>
          <w:highlight w:val="none"/>
          <w:u w:val="none"/>
          <w:lang w:val="en-US" w:eastAsia="zh-CN"/>
        </w:rPr>
        <w:t>6.2</w:t>
      </w:r>
      <w:r>
        <w:rPr>
          <w:rFonts w:ascii="宋体" w:hAnsi="宋体" w:cs="Arial"/>
          <w:b/>
          <w:color w:val="auto"/>
          <w:sz w:val="24"/>
          <w:szCs w:val="24"/>
          <w:highlight w:val="none"/>
          <w:u w:val="none"/>
        </w:rPr>
        <w:t>2</w:t>
      </w:r>
      <w:r>
        <w:rPr>
          <w:rFonts w:hint="eastAsia" w:ascii="Arial" w:hAnsi="Arial" w:eastAsia="宋体" w:cs="Arial"/>
          <w:color w:val="auto"/>
          <w:sz w:val="24"/>
          <w:szCs w:val="24"/>
          <w:highlight w:val="none"/>
          <w:u w:val="none"/>
        </w:rPr>
        <w:t>提供辅助/控制通气，标配通气模式：VCV、PCV</w:t>
      </w:r>
      <w:r>
        <w:rPr>
          <w:rFonts w:hint="eastAsia" w:ascii="Arial" w:hAnsi="Arial" w:eastAsia="宋体" w:cs="Arial"/>
          <w:color w:val="auto"/>
          <w:sz w:val="24"/>
          <w:szCs w:val="24"/>
          <w:highlight w:val="none"/>
          <w:u w:val="none"/>
          <w:lang w:eastAsia="zh-CN"/>
        </w:rPr>
        <w:t>、</w:t>
      </w:r>
      <w:r>
        <w:rPr>
          <w:rFonts w:hint="eastAsia" w:ascii="Arial" w:hAnsi="Arial" w:eastAsia="宋体" w:cs="Arial"/>
          <w:color w:val="auto"/>
          <w:sz w:val="24"/>
          <w:szCs w:val="24"/>
          <w:highlight w:val="none"/>
          <w:u w:val="none"/>
        </w:rPr>
        <w:t>SIMV（SIMV-VC、SIMV-PC）、PS模式，可选配/升级SIMV-VG、CPAP/PS</w:t>
      </w:r>
      <w:r>
        <w:rPr>
          <w:rFonts w:hint="eastAsia" w:ascii="Arial" w:hAnsi="Arial" w:eastAsia="宋体" w:cs="Arial"/>
          <w:color w:val="auto"/>
          <w:sz w:val="24"/>
          <w:szCs w:val="24"/>
          <w:highlight w:val="none"/>
          <w:u w:val="none"/>
          <w:lang w:eastAsia="zh-CN"/>
        </w:rPr>
        <w:t>、</w:t>
      </w:r>
      <w:r>
        <w:rPr>
          <w:rFonts w:hint="eastAsia" w:ascii="Arial" w:hAnsi="Arial" w:eastAsia="宋体" w:cs="Arial"/>
          <w:color w:val="auto"/>
          <w:sz w:val="24"/>
          <w:szCs w:val="24"/>
          <w:highlight w:val="none"/>
          <w:u w:val="none"/>
          <w:lang w:val="en-US" w:eastAsia="zh-CN"/>
        </w:rPr>
        <w:t>PCV-VG</w:t>
      </w:r>
      <w:r>
        <w:rPr>
          <w:rFonts w:hint="eastAsia" w:ascii="Arial" w:hAnsi="Arial" w:eastAsia="宋体" w:cs="Arial"/>
          <w:color w:val="auto"/>
          <w:sz w:val="24"/>
          <w:szCs w:val="24"/>
          <w:highlight w:val="none"/>
          <w:u w:val="none"/>
        </w:rPr>
        <w:t>模式</w:t>
      </w:r>
    </w:p>
    <w:p w14:paraId="25B92FAC">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default" w:ascii="Arial" w:hAnsi="Arial" w:eastAsia="宋体"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6.3</w:t>
      </w:r>
      <w:r>
        <w:rPr>
          <w:rFonts w:hint="eastAsia" w:ascii="Arial" w:hAnsi="Arial" w:cs="Arial"/>
          <w:color w:val="auto"/>
          <w:sz w:val="24"/>
          <w:szCs w:val="24"/>
          <w:highlight w:val="none"/>
          <w:u w:val="none"/>
        </w:rPr>
        <w:t>潮气量设置范围：</w:t>
      </w:r>
      <w:r>
        <w:rPr>
          <w:rFonts w:hint="eastAsia" w:ascii="Arial" w:hAnsi="Arial" w:cs="Arial"/>
          <w:color w:val="auto"/>
          <w:sz w:val="24"/>
          <w:szCs w:val="24"/>
          <w:highlight w:val="none"/>
          <w:u w:val="none"/>
          <w:lang w:val="en-US" w:eastAsia="zh-CN"/>
        </w:rPr>
        <w:t>VCV模式下10</w:t>
      </w:r>
      <w:r>
        <w:rPr>
          <w:rFonts w:ascii="Arial" w:hAnsi="Arial" w:cs="Arial"/>
          <w:color w:val="auto"/>
          <w:sz w:val="24"/>
          <w:szCs w:val="24"/>
          <w:highlight w:val="none"/>
          <w:u w:val="none"/>
        </w:rPr>
        <w:t>ml-1</w:t>
      </w:r>
      <w:r>
        <w:rPr>
          <w:rFonts w:hint="eastAsia" w:ascii="Arial" w:hAnsi="Arial" w:cs="Arial"/>
          <w:color w:val="auto"/>
          <w:sz w:val="24"/>
          <w:szCs w:val="24"/>
          <w:highlight w:val="none"/>
          <w:u w:val="none"/>
        </w:rPr>
        <w:t>5</w:t>
      </w:r>
      <w:r>
        <w:rPr>
          <w:rFonts w:ascii="Arial" w:hAnsi="Arial" w:cs="Arial"/>
          <w:color w:val="auto"/>
          <w:sz w:val="24"/>
          <w:szCs w:val="24"/>
          <w:highlight w:val="none"/>
          <w:u w:val="none"/>
        </w:rPr>
        <w:t>00ml</w:t>
      </w:r>
      <w:r>
        <w:rPr>
          <w:rFonts w:hint="eastAsia" w:ascii="Arial" w:hAnsi="Arial" w:cs="Arial"/>
          <w:color w:val="auto"/>
          <w:sz w:val="24"/>
          <w:szCs w:val="24"/>
          <w:highlight w:val="none"/>
          <w:u w:val="none"/>
          <w:lang w:eastAsia="zh-CN"/>
        </w:rPr>
        <w:t>，</w:t>
      </w:r>
      <w:r>
        <w:rPr>
          <w:rFonts w:hint="eastAsia" w:ascii="Arial" w:hAnsi="Arial" w:cs="Arial"/>
          <w:color w:val="auto"/>
          <w:sz w:val="24"/>
          <w:szCs w:val="24"/>
          <w:highlight w:val="none"/>
          <w:u w:val="none"/>
          <w:lang w:val="en-US" w:eastAsia="zh-CN"/>
        </w:rPr>
        <w:t>pcv模式下5ml-1500ml</w:t>
      </w:r>
    </w:p>
    <w:p w14:paraId="0CF58AC4">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宋体" w:hAnsi="宋体" w:cs="Arial"/>
          <w:color w:val="auto"/>
          <w:sz w:val="24"/>
          <w:szCs w:val="24"/>
          <w:highlight w:val="none"/>
          <w:u w:val="none"/>
        </w:rPr>
      </w:pPr>
      <w:r>
        <w:rPr>
          <w:rFonts w:hint="eastAsia" w:ascii="Arial" w:hAnsi="Arial" w:cs="Arial"/>
          <w:color w:val="auto"/>
          <w:sz w:val="24"/>
          <w:szCs w:val="24"/>
          <w:highlight w:val="none"/>
          <w:u w:val="none"/>
          <w:lang w:val="en-US" w:eastAsia="zh-CN"/>
        </w:rPr>
        <w:t>6.4</w:t>
      </w:r>
      <w:r>
        <w:rPr>
          <w:rFonts w:hint="eastAsia" w:ascii="宋体" w:hAnsi="宋体" w:cs="Arial"/>
          <w:color w:val="auto"/>
          <w:sz w:val="24"/>
          <w:szCs w:val="24"/>
          <w:highlight w:val="none"/>
          <w:u w:val="none"/>
        </w:rPr>
        <w:t>吸气压力设置范围：</w:t>
      </w:r>
      <w:r>
        <w:rPr>
          <w:rFonts w:ascii="宋体" w:hAnsi="宋体" w:cs="Arial"/>
          <w:color w:val="auto"/>
          <w:sz w:val="24"/>
          <w:szCs w:val="24"/>
          <w:highlight w:val="none"/>
          <w:u w:val="none"/>
        </w:rPr>
        <w:t>5</w:t>
      </w:r>
      <w:r>
        <w:rPr>
          <w:rFonts w:hint="eastAsia" w:ascii="宋体" w:hAnsi="宋体" w:cs="Arial"/>
          <w:color w:val="auto"/>
          <w:sz w:val="24"/>
          <w:szCs w:val="24"/>
          <w:highlight w:val="none"/>
          <w:u w:val="none"/>
        </w:rPr>
        <w:t>-</w:t>
      </w:r>
      <w:r>
        <w:rPr>
          <w:rFonts w:ascii="宋体" w:hAnsi="宋体" w:cs="Arial"/>
          <w:color w:val="auto"/>
          <w:sz w:val="24"/>
          <w:szCs w:val="24"/>
          <w:highlight w:val="none"/>
          <w:u w:val="none"/>
        </w:rPr>
        <w:t>8</w:t>
      </w:r>
      <w:r>
        <w:rPr>
          <w:rFonts w:hint="eastAsia" w:ascii="宋体" w:hAnsi="宋体" w:cs="Arial"/>
          <w:color w:val="auto"/>
          <w:sz w:val="24"/>
          <w:szCs w:val="24"/>
          <w:highlight w:val="none"/>
          <w:u w:val="none"/>
        </w:rPr>
        <w:t>0</w:t>
      </w:r>
      <w:r>
        <w:rPr>
          <w:rFonts w:ascii="宋体" w:hAnsi="宋体" w:cs="Arial"/>
          <w:color w:val="auto"/>
          <w:sz w:val="24"/>
          <w:szCs w:val="24"/>
          <w:highlight w:val="none"/>
          <w:u w:val="none"/>
        </w:rPr>
        <w:t xml:space="preserve"> cmH2</w:t>
      </w:r>
      <w:r>
        <w:rPr>
          <w:rFonts w:hint="eastAsia" w:ascii="宋体" w:hAnsi="宋体" w:cs="Arial"/>
          <w:color w:val="auto"/>
          <w:sz w:val="24"/>
          <w:szCs w:val="24"/>
          <w:highlight w:val="none"/>
          <w:u w:val="none"/>
        </w:rPr>
        <w:t>O</w:t>
      </w:r>
    </w:p>
    <w:p w14:paraId="2257C43A">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6.5</w:t>
      </w:r>
      <w:r>
        <w:rPr>
          <w:rFonts w:hint="eastAsia" w:ascii="Arial" w:hAnsi="Arial" w:cs="Arial"/>
          <w:color w:val="auto"/>
          <w:sz w:val="24"/>
          <w:szCs w:val="24"/>
          <w:highlight w:val="none"/>
          <w:u w:val="none"/>
        </w:rPr>
        <w:t>呼吸频率：</w:t>
      </w:r>
      <w:r>
        <w:rPr>
          <w:rFonts w:ascii="Arial" w:hAnsi="Arial" w:cs="Arial"/>
          <w:color w:val="auto"/>
          <w:sz w:val="24"/>
          <w:szCs w:val="24"/>
          <w:highlight w:val="none"/>
          <w:u w:val="none"/>
        </w:rPr>
        <w:t>4-</w:t>
      </w:r>
      <w:r>
        <w:rPr>
          <w:rFonts w:hint="eastAsia" w:ascii="Arial" w:hAnsi="Arial" w:cs="Arial"/>
          <w:color w:val="auto"/>
          <w:sz w:val="24"/>
          <w:szCs w:val="24"/>
          <w:highlight w:val="none"/>
          <w:u w:val="none"/>
        </w:rPr>
        <w:t>100</w:t>
      </w:r>
      <w:r>
        <w:rPr>
          <w:rFonts w:ascii="Arial" w:hAnsi="Arial" w:cs="Arial"/>
          <w:color w:val="auto"/>
          <w:sz w:val="24"/>
          <w:szCs w:val="24"/>
          <w:highlight w:val="none"/>
          <w:u w:val="none"/>
        </w:rPr>
        <w:t xml:space="preserve"> </w:t>
      </w:r>
      <w:r>
        <w:rPr>
          <w:rFonts w:hint="eastAsia" w:ascii="Arial" w:hAnsi="Arial" w:cs="Arial"/>
          <w:color w:val="auto"/>
          <w:sz w:val="24"/>
          <w:szCs w:val="24"/>
          <w:highlight w:val="none"/>
          <w:u w:val="none"/>
        </w:rPr>
        <w:t>次</w:t>
      </w:r>
      <w:r>
        <w:rPr>
          <w:rFonts w:ascii="Arial" w:hAnsi="Arial" w:cs="Arial"/>
          <w:color w:val="auto"/>
          <w:sz w:val="24"/>
          <w:szCs w:val="24"/>
          <w:highlight w:val="none"/>
          <w:u w:val="none"/>
        </w:rPr>
        <w:t>/</w:t>
      </w:r>
      <w:r>
        <w:rPr>
          <w:rFonts w:hint="eastAsia" w:ascii="Arial" w:hAnsi="Arial" w:cs="Arial"/>
          <w:color w:val="auto"/>
          <w:sz w:val="24"/>
          <w:szCs w:val="24"/>
          <w:highlight w:val="none"/>
          <w:u w:val="none"/>
        </w:rPr>
        <w:t>分钟</w:t>
      </w:r>
    </w:p>
    <w:p w14:paraId="43D000E4">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6.6</w:t>
      </w:r>
      <w:r>
        <w:rPr>
          <w:rFonts w:hint="eastAsia" w:ascii="Arial" w:hAnsi="Arial" w:cs="Arial"/>
          <w:color w:val="auto"/>
          <w:sz w:val="24"/>
          <w:szCs w:val="24"/>
          <w:highlight w:val="none"/>
          <w:u w:val="none"/>
        </w:rPr>
        <w:t>吸呼比：4</w:t>
      </w:r>
      <w:r>
        <w:rPr>
          <w:rFonts w:ascii="Arial" w:hAnsi="Arial" w:cs="Arial"/>
          <w:color w:val="auto"/>
          <w:sz w:val="24"/>
          <w:szCs w:val="24"/>
          <w:highlight w:val="none"/>
          <w:u w:val="none"/>
        </w:rPr>
        <w:t>:1</w:t>
      </w:r>
      <w:r>
        <w:rPr>
          <w:rFonts w:hint="eastAsia" w:ascii="Arial" w:hAnsi="Arial" w:cs="Arial"/>
          <w:color w:val="auto"/>
          <w:sz w:val="24"/>
          <w:szCs w:val="24"/>
          <w:highlight w:val="none"/>
          <w:u w:val="none"/>
        </w:rPr>
        <w:t>到</w:t>
      </w:r>
      <w:r>
        <w:rPr>
          <w:rFonts w:ascii="Arial" w:hAnsi="Arial" w:cs="Arial"/>
          <w:color w:val="auto"/>
          <w:sz w:val="24"/>
          <w:szCs w:val="24"/>
          <w:highlight w:val="none"/>
          <w:u w:val="none"/>
        </w:rPr>
        <w:t>1:</w:t>
      </w:r>
      <w:r>
        <w:rPr>
          <w:rFonts w:hint="eastAsia" w:ascii="Arial" w:hAnsi="Arial" w:cs="Arial"/>
          <w:color w:val="auto"/>
          <w:sz w:val="24"/>
          <w:szCs w:val="24"/>
          <w:highlight w:val="none"/>
          <w:u w:val="none"/>
        </w:rPr>
        <w:t>8</w:t>
      </w:r>
    </w:p>
    <w:p w14:paraId="23352195">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6.7</w:t>
      </w:r>
      <w:r>
        <w:rPr>
          <w:rFonts w:hint="eastAsia" w:ascii="Arial" w:hAnsi="Arial" w:cs="Arial"/>
          <w:color w:val="auto"/>
          <w:sz w:val="24"/>
          <w:szCs w:val="24"/>
          <w:highlight w:val="none"/>
          <w:u w:val="none"/>
        </w:rPr>
        <w:t>压力限制范围：10到</w:t>
      </w:r>
      <w:r>
        <w:rPr>
          <w:rFonts w:ascii="Arial" w:hAnsi="Arial" w:cs="Arial"/>
          <w:color w:val="auto"/>
          <w:sz w:val="24"/>
          <w:szCs w:val="24"/>
          <w:highlight w:val="none"/>
          <w:u w:val="none"/>
        </w:rPr>
        <w:t xml:space="preserve"> </w:t>
      </w:r>
      <w:r>
        <w:rPr>
          <w:rFonts w:hint="eastAsia" w:ascii="Arial" w:hAnsi="Arial" w:cs="Arial"/>
          <w:color w:val="auto"/>
          <w:sz w:val="24"/>
          <w:szCs w:val="24"/>
          <w:highlight w:val="none"/>
          <w:u w:val="none"/>
        </w:rPr>
        <w:t>100</w:t>
      </w:r>
      <w:r>
        <w:rPr>
          <w:rFonts w:ascii="Arial" w:hAnsi="Arial" w:cs="Arial"/>
          <w:color w:val="auto"/>
          <w:sz w:val="24"/>
          <w:szCs w:val="24"/>
          <w:highlight w:val="none"/>
          <w:u w:val="none"/>
        </w:rPr>
        <w:t xml:space="preserve"> cmH2O</w:t>
      </w:r>
    </w:p>
    <w:p w14:paraId="3A756EDE">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6.8</w:t>
      </w:r>
      <w:r>
        <w:rPr>
          <w:rFonts w:hint="eastAsia" w:ascii="Arial" w:hAnsi="Arial" w:cs="Arial"/>
          <w:color w:val="auto"/>
          <w:sz w:val="24"/>
          <w:szCs w:val="24"/>
          <w:highlight w:val="none"/>
          <w:u w:val="none"/>
        </w:rPr>
        <w:t>电子</w:t>
      </w:r>
      <w:r>
        <w:rPr>
          <w:rFonts w:ascii="Arial" w:hAnsi="Arial" w:cs="Arial"/>
          <w:color w:val="auto"/>
          <w:sz w:val="24"/>
          <w:szCs w:val="24"/>
          <w:highlight w:val="none"/>
          <w:u w:val="none"/>
        </w:rPr>
        <w:t>PEEP</w:t>
      </w:r>
      <w:r>
        <w:rPr>
          <w:rFonts w:hint="eastAsia" w:ascii="Arial" w:hAnsi="Arial" w:cs="Arial"/>
          <w:color w:val="auto"/>
          <w:sz w:val="24"/>
          <w:szCs w:val="24"/>
          <w:highlight w:val="none"/>
          <w:u w:val="none"/>
        </w:rPr>
        <w:t>，显示屏设置，范围：OFF，3</w:t>
      </w:r>
      <w:r>
        <w:rPr>
          <w:rFonts w:ascii="Arial" w:hAnsi="Arial" w:cs="Arial"/>
          <w:color w:val="auto"/>
          <w:sz w:val="24"/>
          <w:szCs w:val="24"/>
          <w:highlight w:val="none"/>
          <w:u w:val="none"/>
        </w:rPr>
        <w:t xml:space="preserve"> </w:t>
      </w:r>
      <w:r>
        <w:rPr>
          <w:rFonts w:hint="eastAsia" w:ascii="Arial" w:hAnsi="Arial" w:cs="Arial"/>
          <w:color w:val="auto"/>
          <w:sz w:val="24"/>
          <w:szCs w:val="24"/>
          <w:highlight w:val="none"/>
          <w:u w:val="none"/>
        </w:rPr>
        <w:t>到</w:t>
      </w:r>
      <w:r>
        <w:rPr>
          <w:rFonts w:ascii="Arial" w:hAnsi="Arial" w:cs="Arial"/>
          <w:color w:val="auto"/>
          <w:sz w:val="24"/>
          <w:szCs w:val="24"/>
          <w:highlight w:val="none"/>
          <w:u w:val="none"/>
        </w:rPr>
        <w:t xml:space="preserve"> </w:t>
      </w:r>
      <w:r>
        <w:rPr>
          <w:rFonts w:hint="eastAsia" w:ascii="Arial" w:hAnsi="Arial" w:cs="Arial"/>
          <w:color w:val="auto"/>
          <w:sz w:val="24"/>
          <w:szCs w:val="24"/>
          <w:highlight w:val="none"/>
          <w:u w:val="none"/>
        </w:rPr>
        <w:t xml:space="preserve">30 </w:t>
      </w:r>
      <w:r>
        <w:rPr>
          <w:rFonts w:ascii="Arial" w:hAnsi="Arial" w:cs="Arial"/>
          <w:color w:val="auto"/>
          <w:sz w:val="24"/>
          <w:szCs w:val="24"/>
          <w:highlight w:val="none"/>
          <w:u w:val="none"/>
        </w:rPr>
        <w:t>cmH2O</w:t>
      </w:r>
    </w:p>
    <w:p w14:paraId="214C507D">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6.9</w:t>
      </w:r>
      <w:r>
        <w:rPr>
          <w:rFonts w:hint="eastAsia" w:ascii="Arial" w:hAnsi="Arial" w:cs="Arial"/>
          <w:color w:val="auto"/>
          <w:sz w:val="24"/>
          <w:szCs w:val="24"/>
          <w:highlight w:val="none"/>
          <w:u w:val="none"/>
        </w:rPr>
        <w:t>吸气暂停：OFF，5%-60%吸气时间</w:t>
      </w:r>
    </w:p>
    <w:p w14:paraId="0ED1769E">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eastAsia="宋体" w:cs="Arial"/>
          <w:color w:val="auto"/>
          <w:sz w:val="24"/>
          <w:szCs w:val="24"/>
          <w:highlight w:val="none"/>
          <w:u w:val="none"/>
        </w:rPr>
      </w:pPr>
      <w:r>
        <w:rPr>
          <w:rFonts w:hint="eastAsia" w:ascii="宋体" w:hAnsi="宋体" w:cs="Arial"/>
          <w:b/>
          <w:color w:val="auto"/>
          <w:sz w:val="24"/>
          <w:szCs w:val="24"/>
          <w:highlight w:val="none"/>
          <w:u w:val="none"/>
          <w:lang w:val="en-US" w:eastAsia="zh-CN"/>
        </w:rPr>
        <w:t>6.10</w:t>
      </w:r>
      <w:r>
        <w:rPr>
          <w:rFonts w:hint="eastAsia" w:ascii="Arial" w:hAnsi="Arial" w:eastAsia="宋体" w:cs="Arial"/>
          <w:color w:val="auto"/>
          <w:sz w:val="24"/>
          <w:szCs w:val="24"/>
          <w:highlight w:val="none"/>
          <w:u w:val="none"/>
        </w:rPr>
        <w:t>呼吸机吸气阀峰值流速：180 L/min</w:t>
      </w:r>
    </w:p>
    <w:p w14:paraId="3FC53497">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6.11采用</w:t>
      </w:r>
      <w:r>
        <w:rPr>
          <w:rFonts w:hint="eastAsia" w:ascii="Arial" w:hAnsi="Arial" w:cs="Arial"/>
          <w:color w:val="auto"/>
          <w:sz w:val="24"/>
          <w:szCs w:val="24"/>
          <w:highlight w:val="none"/>
          <w:u w:val="none"/>
        </w:rPr>
        <w:t>上升式风箱，可以直接观察病人实际呼吸状态，保证安全</w:t>
      </w:r>
    </w:p>
    <w:p w14:paraId="26656A15">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eastAsia="宋体"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6.12</w:t>
      </w:r>
      <w:r>
        <w:rPr>
          <w:rFonts w:hint="eastAsia" w:ascii="Arial" w:hAnsi="Arial" w:cs="Arial"/>
          <w:color w:val="auto"/>
          <w:sz w:val="24"/>
          <w:szCs w:val="24"/>
          <w:highlight w:val="none"/>
          <w:u w:val="none"/>
        </w:rPr>
        <w:t>具备吸入端，呼出端双流量传感器，实现动态潮气量实时自动补偿功能，补偿新鲜气体变化、气体压缩、回路顺应性变化以及小的回路泄漏造成的吸入潮气量和设置潮气量的误差</w:t>
      </w:r>
    </w:p>
    <w:p w14:paraId="3521BBCE">
      <w:pPr>
        <w:keepNext w:val="0"/>
        <w:keepLines w:val="0"/>
        <w:pageBreakBefore w:val="0"/>
        <w:kinsoku/>
        <w:wordWrap/>
        <w:overflowPunct/>
        <w:topLinePunct w:val="0"/>
        <w:bidi w:val="0"/>
        <w:adjustRightInd w:val="0"/>
        <w:snapToGrid w:val="0"/>
        <w:spacing w:line="240" w:lineRule="auto"/>
        <w:ind w:left="198" w:hanging="198"/>
        <w:textAlignment w:val="auto"/>
        <w:rPr>
          <w:rFonts w:hint="eastAsia" w:ascii="Arial" w:hAnsi="Arial" w:eastAsia="宋体" w:cs="Arial"/>
          <w:b/>
          <w:color w:val="auto"/>
          <w:sz w:val="24"/>
          <w:szCs w:val="24"/>
          <w:highlight w:val="none"/>
          <w:u w:val="none"/>
          <w:lang w:eastAsia="zh-CN"/>
        </w:rPr>
      </w:pPr>
      <w:r>
        <w:rPr>
          <w:rFonts w:hint="eastAsia" w:ascii="Arial" w:hAnsi="Arial" w:cs="Arial"/>
          <w:b/>
          <w:color w:val="auto"/>
          <w:sz w:val="24"/>
          <w:szCs w:val="24"/>
          <w:highlight w:val="none"/>
          <w:u w:val="none"/>
          <w:lang w:val="en-US" w:eastAsia="zh-CN"/>
        </w:rPr>
        <w:t>7、</w:t>
      </w:r>
      <w:r>
        <w:rPr>
          <w:rFonts w:hint="eastAsia" w:ascii="Arial" w:hAnsi="Arial" w:cs="Arial"/>
          <w:b/>
          <w:color w:val="auto"/>
          <w:sz w:val="24"/>
          <w:szCs w:val="24"/>
          <w:highlight w:val="none"/>
          <w:u w:val="none"/>
        </w:rPr>
        <w:t>数字和波形监测</w:t>
      </w:r>
      <w:r>
        <w:rPr>
          <w:rFonts w:hint="eastAsia" w:ascii="Arial" w:hAnsi="Arial" w:cs="Arial"/>
          <w:b/>
          <w:color w:val="auto"/>
          <w:sz w:val="24"/>
          <w:szCs w:val="24"/>
          <w:highlight w:val="none"/>
          <w:u w:val="none"/>
          <w:lang w:eastAsia="zh-CN"/>
        </w:rPr>
        <w:t>：</w:t>
      </w:r>
    </w:p>
    <w:p w14:paraId="23DDEE3E">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7.1</w:t>
      </w:r>
      <w:r>
        <w:rPr>
          <w:rFonts w:hint="eastAsia" w:ascii="Arial" w:hAnsi="Arial" w:cs="Arial"/>
          <w:color w:val="auto"/>
          <w:sz w:val="24"/>
          <w:szCs w:val="24"/>
          <w:highlight w:val="none"/>
          <w:u w:val="none"/>
        </w:rPr>
        <w:t>具备三级声光报警功能，有独立红黄报警灯显示</w:t>
      </w:r>
    </w:p>
    <w:p w14:paraId="1A542406">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7.2采用≥15 寸内嵌式（方便清洁减少院感风险）彩色触摸屏，支持术中戴手套触摸操作，可同屏显示 3 通道波形</w:t>
      </w:r>
    </w:p>
    <w:p w14:paraId="7BFFFE37">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7.3</w:t>
      </w:r>
      <w:r>
        <w:rPr>
          <w:rFonts w:hint="eastAsia" w:ascii="Arial" w:hAnsi="Arial" w:cs="Arial"/>
          <w:color w:val="auto"/>
          <w:sz w:val="24"/>
          <w:szCs w:val="24"/>
          <w:highlight w:val="none"/>
          <w:u w:val="none"/>
        </w:rPr>
        <w:t>内置插件槽，可直接热插拔插件</w:t>
      </w:r>
      <w:r>
        <w:rPr>
          <w:rFonts w:hint="eastAsia" w:ascii="Arial" w:hAnsi="Arial" w:cs="Arial"/>
          <w:color w:val="auto"/>
          <w:sz w:val="24"/>
          <w:szCs w:val="24"/>
          <w:highlight w:val="none"/>
          <w:u w:val="none"/>
          <w:lang w:eastAsia="zh-CN"/>
        </w:rPr>
        <w:t>，</w:t>
      </w:r>
      <w:r>
        <w:rPr>
          <w:rFonts w:hint="eastAsia" w:ascii="Arial" w:hAnsi="Arial" w:cs="Arial"/>
          <w:color w:val="auto"/>
          <w:sz w:val="24"/>
          <w:szCs w:val="24"/>
          <w:highlight w:val="none"/>
          <w:u w:val="none"/>
        </w:rPr>
        <w:t>插件可在</w:t>
      </w:r>
      <w:r>
        <w:rPr>
          <w:rFonts w:hint="eastAsia" w:ascii="Arial" w:hAnsi="Arial" w:cs="Arial"/>
          <w:color w:val="auto"/>
          <w:sz w:val="24"/>
          <w:szCs w:val="24"/>
          <w:highlight w:val="none"/>
          <w:u w:val="none"/>
          <w:lang w:val="en-US" w:eastAsia="zh-CN"/>
        </w:rPr>
        <w:t>同品牌</w:t>
      </w:r>
      <w:r>
        <w:rPr>
          <w:rFonts w:hint="eastAsia" w:ascii="Arial" w:hAnsi="Arial" w:cs="Arial"/>
          <w:color w:val="auto"/>
          <w:sz w:val="24"/>
          <w:szCs w:val="24"/>
          <w:highlight w:val="none"/>
          <w:u w:val="none"/>
        </w:rPr>
        <w:t>监护仪和麻醉机之间通用</w:t>
      </w:r>
    </w:p>
    <w:p w14:paraId="6CF4B181">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default" w:ascii="Arial" w:hAnsi="Arial" w:eastAsia="宋体" w:cs="Arial"/>
          <w:color w:val="auto"/>
          <w:sz w:val="24"/>
          <w:szCs w:val="24"/>
          <w:highlight w:val="none"/>
          <w:u w:val="none"/>
          <w:lang w:val="en-US" w:eastAsia="zh-CN"/>
        </w:rPr>
      </w:pPr>
      <w:r>
        <w:rPr>
          <w:rFonts w:hint="eastAsia" w:ascii="Arial" w:hAnsi="Arial" w:cs="Arial"/>
          <w:color w:val="auto"/>
          <w:sz w:val="24"/>
          <w:szCs w:val="24"/>
          <w:highlight w:val="none"/>
          <w:u w:val="none"/>
          <w:lang w:val="en-US" w:eastAsia="zh-CN"/>
        </w:rPr>
        <w:t>7.4标配呼末二氧化碳监测，</w:t>
      </w:r>
      <w:r>
        <w:rPr>
          <w:rFonts w:hint="eastAsia" w:ascii="Arial" w:hAnsi="Arial" w:cs="Arial"/>
          <w:color w:val="auto"/>
          <w:sz w:val="24"/>
          <w:szCs w:val="24"/>
          <w:highlight w:val="none"/>
          <w:u w:val="none"/>
        </w:rPr>
        <w:t>可</w:t>
      </w:r>
      <w:r>
        <w:rPr>
          <w:rFonts w:hint="eastAsia" w:ascii="Arial" w:hAnsi="Arial" w:cs="Arial"/>
          <w:color w:val="auto"/>
          <w:sz w:val="24"/>
          <w:szCs w:val="24"/>
          <w:highlight w:val="none"/>
          <w:u w:val="none"/>
          <w:lang w:val="en-US" w:eastAsia="zh-CN"/>
        </w:rPr>
        <w:t>升级监测参数:麻醉气体监测（采用顺磁氧技术，免维护）、双侧脑脑电双频指数监测</w:t>
      </w:r>
    </w:p>
    <w:p w14:paraId="32DE43F6">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eastAsia="宋体" w:cs="Arial"/>
          <w:color w:val="auto"/>
          <w:sz w:val="24"/>
          <w:szCs w:val="24"/>
          <w:highlight w:val="none"/>
          <w:u w:val="none"/>
          <w:lang w:eastAsia="zh-CN"/>
        </w:rPr>
      </w:pPr>
      <w:r>
        <w:rPr>
          <w:rFonts w:hint="eastAsia" w:ascii="Arial" w:hAnsi="Arial" w:cs="Arial"/>
          <w:color w:val="auto"/>
          <w:sz w:val="24"/>
          <w:szCs w:val="24"/>
          <w:highlight w:val="none"/>
          <w:u w:val="none"/>
          <w:lang w:val="en-US" w:eastAsia="zh-CN"/>
        </w:rPr>
        <w:t>7.5</w:t>
      </w:r>
      <w:r>
        <w:rPr>
          <w:rFonts w:hint="eastAsia" w:ascii="Arial" w:hAnsi="Arial" w:cs="Arial"/>
          <w:color w:val="auto"/>
          <w:sz w:val="24"/>
          <w:szCs w:val="24"/>
          <w:highlight w:val="none"/>
          <w:u w:val="none"/>
        </w:rPr>
        <w:t>监测参数：呼吸频率、潮气量、分钟通气量、吸呼比、气道压（峰压、平台压、平均压、PEEP）、气道阻力、顺应性；</w:t>
      </w:r>
      <w:r>
        <w:rPr>
          <w:rFonts w:hint="eastAsia" w:ascii="Arial" w:hAnsi="Arial" w:eastAsia="宋体" w:cs="Arial"/>
          <w:color w:val="auto"/>
          <w:sz w:val="24"/>
          <w:szCs w:val="24"/>
          <w:highlight w:val="none"/>
          <w:u w:val="none"/>
          <w:lang w:val="en-US" w:eastAsia="zh-CN"/>
        </w:rPr>
        <w:t>标配</w:t>
      </w:r>
      <w:r>
        <w:rPr>
          <w:rFonts w:hint="eastAsia" w:ascii="Arial" w:hAnsi="Arial" w:eastAsia="宋体" w:cs="Arial"/>
          <w:color w:val="auto"/>
          <w:sz w:val="24"/>
          <w:szCs w:val="24"/>
          <w:highlight w:val="none"/>
          <w:u w:val="none"/>
        </w:rPr>
        <w:t>氧电池吸入氧浓度监测，呼末CO2监测、麻醉气体浓度（顺磁氧浓度，N2O，ETCO2,五种麻醉气体）、呼吸环（P-V,P-F）监测、BIS监测</w:t>
      </w:r>
    </w:p>
    <w:p w14:paraId="69D13913">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7.6</w:t>
      </w:r>
      <w:r>
        <w:rPr>
          <w:rFonts w:hint="eastAsia" w:ascii="Arial" w:hAnsi="Arial" w:cs="Arial"/>
          <w:color w:val="auto"/>
          <w:sz w:val="24"/>
          <w:szCs w:val="24"/>
          <w:highlight w:val="none"/>
          <w:u w:val="none"/>
        </w:rPr>
        <w:t>同屏幕3通道任意波形显示（压力时间波形，流速时间波形，容量时间波形，可选呼末CO2波形），波形和环图可以同屏显示</w:t>
      </w:r>
    </w:p>
    <w:p w14:paraId="10A71109">
      <w:pPr>
        <w:keepNext w:val="0"/>
        <w:keepLines w:val="0"/>
        <w:pageBreakBefore w:val="0"/>
        <w:numPr>
          <w:ilvl w:val="0"/>
          <w:numId w:val="0"/>
        </w:numPr>
        <w:kinsoku/>
        <w:wordWrap/>
        <w:overflowPunct/>
        <w:topLinePunct w:val="0"/>
        <w:bidi w:val="0"/>
        <w:adjustRightInd w:val="0"/>
        <w:snapToGrid w:val="0"/>
        <w:spacing w:line="240" w:lineRule="auto"/>
        <w:ind w:leftChars="0"/>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7.7</w:t>
      </w:r>
      <w:r>
        <w:rPr>
          <w:rFonts w:hint="eastAsia" w:ascii="Arial" w:hAnsi="Arial" w:cs="Arial"/>
          <w:color w:val="auto"/>
          <w:sz w:val="24"/>
          <w:szCs w:val="24"/>
          <w:highlight w:val="none"/>
          <w:u w:val="none"/>
        </w:rPr>
        <w:t>潮气量监测范围：0</w:t>
      </w:r>
      <w:r>
        <w:rPr>
          <w:rFonts w:ascii="Arial" w:hAnsi="Arial" w:cs="Arial"/>
          <w:color w:val="auto"/>
          <w:sz w:val="24"/>
          <w:szCs w:val="24"/>
          <w:highlight w:val="none"/>
          <w:u w:val="none"/>
        </w:rPr>
        <w:t xml:space="preserve"> </w:t>
      </w:r>
      <w:r>
        <w:rPr>
          <w:rFonts w:hint="eastAsia" w:ascii="Arial" w:hAnsi="Arial" w:cs="Arial"/>
          <w:color w:val="auto"/>
          <w:sz w:val="24"/>
          <w:szCs w:val="24"/>
          <w:highlight w:val="none"/>
          <w:u w:val="none"/>
        </w:rPr>
        <w:t>到25</w:t>
      </w:r>
      <w:r>
        <w:rPr>
          <w:rFonts w:ascii="Arial" w:hAnsi="Arial" w:cs="Arial"/>
          <w:color w:val="auto"/>
          <w:sz w:val="24"/>
          <w:szCs w:val="24"/>
          <w:highlight w:val="none"/>
          <w:u w:val="none"/>
        </w:rPr>
        <w:t>00ml</w:t>
      </w:r>
    </w:p>
    <w:p w14:paraId="09352842">
      <w:pPr>
        <w:keepNext w:val="0"/>
        <w:keepLines w:val="0"/>
        <w:pageBreakBefore w:val="0"/>
        <w:widowControl/>
        <w:kinsoku/>
        <w:wordWrap/>
        <w:overflowPunct/>
        <w:topLinePunct w:val="0"/>
        <w:autoSpaceDE/>
        <w:autoSpaceDN/>
        <w:bidi w:val="0"/>
        <w:adjustRightInd w:val="0"/>
        <w:snapToGrid w:val="0"/>
        <w:spacing w:line="240" w:lineRule="auto"/>
        <w:ind w:left="0" w:firstLine="0"/>
        <w:jc w:val="left"/>
        <w:textAlignment w:val="auto"/>
        <w:rPr>
          <w:rFonts w:hint="eastAsia" w:ascii="Arial" w:hAnsi="Arial" w:cs="Arial"/>
          <w:color w:val="auto"/>
          <w:sz w:val="24"/>
          <w:szCs w:val="24"/>
          <w:highlight w:val="none"/>
          <w:u w:val="none"/>
        </w:rPr>
      </w:pPr>
      <w:r>
        <w:rPr>
          <w:rFonts w:hint="eastAsia" w:ascii="Arial" w:hAnsi="Arial" w:cs="Arial"/>
          <w:color w:val="auto"/>
          <w:sz w:val="24"/>
          <w:szCs w:val="24"/>
          <w:highlight w:val="none"/>
          <w:u w:val="none"/>
          <w:lang w:val="en-US" w:eastAsia="zh-CN"/>
        </w:rPr>
        <w:t>7.8</w:t>
      </w:r>
      <w:r>
        <w:rPr>
          <w:rFonts w:hint="eastAsia" w:ascii="Arial" w:hAnsi="Arial" w:cs="Arial"/>
          <w:color w:val="auto"/>
          <w:sz w:val="24"/>
          <w:szCs w:val="24"/>
          <w:highlight w:val="none"/>
          <w:u w:val="none"/>
        </w:rPr>
        <w:t>分钟通气量监测范围：0L/min 到100L/min</w:t>
      </w:r>
    </w:p>
    <w:p w14:paraId="1C2391E9">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宋体" w:hAnsi="宋体" w:cs="宋体"/>
          <w:b/>
          <w:color w:val="auto"/>
          <w:kern w:val="0"/>
          <w:sz w:val="24"/>
          <w:szCs w:val="24"/>
          <w:highlight w:val="none"/>
          <w:u w:val="none"/>
          <w:lang w:val="en-US" w:eastAsia="zh-CN"/>
        </w:rPr>
      </w:pPr>
      <w:r>
        <w:rPr>
          <w:rFonts w:hint="eastAsia" w:ascii="宋体" w:hAnsi="宋体" w:eastAsia="宋体" w:cs="宋体"/>
          <w:b/>
          <w:color w:val="auto"/>
          <w:kern w:val="0"/>
          <w:sz w:val="24"/>
          <w:szCs w:val="24"/>
          <w:highlight w:val="none"/>
          <w:lang w:val="en-US" w:eastAsia="zh-CN" w:bidi="ar-SA"/>
        </w:rPr>
        <w:t>（七）</w:t>
      </w:r>
      <w:r>
        <w:rPr>
          <w:rFonts w:hint="eastAsia" w:ascii="宋体" w:hAnsi="宋体" w:cs="宋体"/>
          <w:b/>
          <w:color w:val="auto"/>
          <w:kern w:val="0"/>
          <w:sz w:val="24"/>
          <w:szCs w:val="24"/>
          <w:highlight w:val="none"/>
          <w:u w:val="none"/>
          <w:lang w:val="en-US" w:eastAsia="zh-CN"/>
        </w:rPr>
        <w:t>心电监护仪</w:t>
      </w:r>
    </w:p>
    <w:p w14:paraId="772840A3">
      <w:pPr>
        <w:keepNext w:val="0"/>
        <w:keepLines w:val="0"/>
        <w:pageBreakBefore w:val="0"/>
        <w:kinsoku/>
        <w:wordWrap/>
        <w:overflowPunct/>
        <w:topLinePunct w:val="0"/>
        <w:autoSpaceDE w:val="0"/>
        <w:autoSpaceDN w:val="0"/>
        <w:bidi w:val="0"/>
        <w:adjustRightInd w:val="0"/>
        <w:snapToGrid w:val="0"/>
        <w:spacing w:line="240" w:lineRule="auto"/>
        <w:jc w:val="left"/>
        <w:textAlignment w:val="auto"/>
        <w:rPr>
          <w:rFonts w:ascii="宋体" w:hAnsi="宋体" w:cs="宋体"/>
          <w:b/>
          <w:kern w:val="0"/>
          <w:sz w:val="24"/>
          <w:szCs w:val="24"/>
          <w:highlight w:val="none"/>
        </w:rPr>
      </w:pPr>
      <w:r>
        <w:rPr>
          <w:rFonts w:hint="eastAsia" w:ascii="宋体" w:hAnsi="宋体" w:cs="宋体"/>
          <w:b/>
          <w:kern w:val="0"/>
          <w:sz w:val="24"/>
          <w:szCs w:val="24"/>
          <w:highlight w:val="none"/>
        </w:rPr>
        <w:t>1：整机要求：</w:t>
      </w:r>
    </w:p>
    <w:p w14:paraId="452DBDF4">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1.1、一体化便携监护仪，整机无风扇设计。</w:t>
      </w:r>
    </w:p>
    <w:p w14:paraId="425213F9">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cs="宋体"/>
          <w:kern w:val="0"/>
          <w:sz w:val="24"/>
          <w:szCs w:val="24"/>
          <w:highlight w:val="none"/>
        </w:rPr>
      </w:pPr>
      <w:r>
        <w:rPr>
          <w:rFonts w:hint="eastAsia" w:ascii="宋体" w:hAnsi="宋体"/>
          <w:sz w:val="24"/>
          <w:szCs w:val="24"/>
          <w:highlight w:val="none"/>
        </w:rPr>
        <w:t>1.2、配置提手,方便移动。</w:t>
      </w:r>
      <w:r>
        <w:rPr>
          <w:rFonts w:hint="eastAsia" w:ascii="宋体" w:hAnsi="宋体" w:cs="宋体"/>
          <w:kern w:val="0"/>
          <w:sz w:val="24"/>
          <w:szCs w:val="24"/>
          <w:highlight w:val="none"/>
        </w:rPr>
        <w:t xml:space="preserve"> </w:t>
      </w:r>
    </w:p>
    <w:p w14:paraId="3197D443">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1.3、</w:t>
      </w:r>
      <w:r>
        <w:rPr>
          <w:rFonts w:hint="eastAsia" w:ascii="宋体" w:hAnsi="宋体"/>
          <w:sz w:val="24"/>
          <w:szCs w:val="24"/>
          <w:highlight w:val="none"/>
          <w:lang w:eastAsia="zh-CN"/>
        </w:rPr>
        <w:t>▲</w:t>
      </w:r>
      <w:r>
        <w:rPr>
          <w:rFonts w:hint="eastAsia" w:ascii="宋体" w:hAnsi="宋体"/>
          <w:sz w:val="24"/>
          <w:szCs w:val="24"/>
          <w:highlight w:val="none"/>
        </w:rPr>
        <w:t>≥12英寸彩</w:t>
      </w:r>
      <w:r>
        <w:rPr>
          <w:rFonts w:ascii="宋体" w:hAnsi="宋体"/>
          <w:sz w:val="24"/>
          <w:szCs w:val="24"/>
          <w:highlight w:val="none"/>
        </w:rPr>
        <w:t>色</w:t>
      </w:r>
      <w:r>
        <w:rPr>
          <w:rFonts w:hint="eastAsia" w:ascii="宋体" w:hAnsi="宋体"/>
          <w:sz w:val="24"/>
          <w:szCs w:val="24"/>
          <w:highlight w:val="none"/>
        </w:rPr>
        <w:t>液晶触摸屏，分辨率高达</w:t>
      </w:r>
      <w:r>
        <w:rPr>
          <w:rFonts w:ascii="宋体" w:hAnsi="宋体"/>
          <w:sz w:val="24"/>
          <w:szCs w:val="24"/>
          <w:highlight w:val="none"/>
        </w:rPr>
        <w:t>1280</w:t>
      </w:r>
      <w:r>
        <w:rPr>
          <w:rFonts w:hint="eastAsia" w:ascii="宋体" w:hAnsi="宋体"/>
          <w:sz w:val="24"/>
          <w:szCs w:val="24"/>
          <w:highlight w:val="none"/>
        </w:rPr>
        <w:t>*</w:t>
      </w:r>
      <w:r>
        <w:rPr>
          <w:rFonts w:ascii="宋体" w:hAnsi="宋体"/>
          <w:sz w:val="24"/>
          <w:szCs w:val="24"/>
          <w:highlight w:val="none"/>
        </w:rPr>
        <w:t>8</w:t>
      </w:r>
      <w:r>
        <w:rPr>
          <w:rFonts w:hint="eastAsia" w:ascii="宋体" w:hAnsi="宋体"/>
          <w:sz w:val="24"/>
          <w:szCs w:val="24"/>
          <w:highlight w:val="none"/>
        </w:rPr>
        <w:t>00像素或更高，≥10通</w:t>
      </w:r>
      <w:r>
        <w:rPr>
          <w:rFonts w:ascii="宋体" w:hAnsi="宋体"/>
          <w:sz w:val="24"/>
          <w:szCs w:val="24"/>
          <w:highlight w:val="none"/>
        </w:rPr>
        <w:t>道</w:t>
      </w:r>
      <w:r>
        <w:rPr>
          <w:rFonts w:hint="eastAsia" w:ascii="宋体" w:hAnsi="宋体"/>
          <w:sz w:val="24"/>
          <w:szCs w:val="24"/>
          <w:highlight w:val="none"/>
        </w:rPr>
        <w:t>波形</w:t>
      </w:r>
      <w:r>
        <w:rPr>
          <w:rFonts w:ascii="宋体" w:hAnsi="宋体"/>
          <w:sz w:val="24"/>
          <w:szCs w:val="24"/>
          <w:highlight w:val="none"/>
        </w:rPr>
        <w:t>显示</w:t>
      </w:r>
      <w:r>
        <w:rPr>
          <w:rFonts w:hint="eastAsia" w:ascii="宋体" w:hAnsi="宋体"/>
          <w:sz w:val="24"/>
          <w:szCs w:val="24"/>
          <w:highlight w:val="none"/>
        </w:rPr>
        <w:t>。</w:t>
      </w:r>
    </w:p>
    <w:p w14:paraId="1197A732">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1.4、屏幕采用最新电容屏非电阻屏。</w:t>
      </w:r>
    </w:p>
    <w:p w14:paraId="207E2C44">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1.5、显示屏可支持</w:t>
      </w:r>
      <w:r>
        <w:rPr>
          <w:rFonts w:ascii="宋体" w:hAnsi="宋体"/>
          <w:sz w:val="24"/>
          <w:szCs w:val="24"/>
          <w:highlight w:val="none"/>
        </w:rPr>
        <w:t>亮度自动调节</w:t>
      </w:r>
      <w:r>
        <w:rPr>
          <w:rFonts w:hint="eastAsia" w:ascii="宋体" w:hAnsi="宋体"/>
          <w:sz w:val="24"/>
          <w:szCs w:val="24"/>
          <w:highlight w:val="none"/>
        </w:rPr>
        <w:t>功能</w:t>
      </w:r>
      <w:r>
        <w:rPr>
          <w:rFonts w:ascii="宋体" w:hAnsi="宋体"/>
          <w:sz w:val="24"/>
          <w:szCs w:val="24"/>
          <w:highlight w:val="none"/>
        </w:rPr>
        <w:t>。</w:t>
      </w:r>
    </w:p>
    <w:p w14:paraId="7EF911F4">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1.6、屏幕倾斜10~15度设计，符合人机工程学，便于临床团队观察和操作。</w:t>
      </w:r>
    </w:p>
    <w:p w14:paraId="7AD160FF">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1.7、可支持中央监护系统、或他床观察模式远程操作监护仪。</w:t>
      </w:r>
    </w:p>
    <w:p w14:paraId="371D3841">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1.8、内置锂电池，插槽式设计，无需螺丝刀工具支持快速拆卸和安装。</w:t>
      </w:r>
    </w:p>
    <w:p w14:paraId="7E393F5E">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cs="Arial"/>
          <w:sz w:val="24"/>
          <w:szCs w:val="24"/>
          <w:highlight w:val="none"/>
        </w:rPr>
        <w:t>1.9、安全规格：ECG, TEMP, IBP, SpO2 , NIBP监测参数抗电击程度为防除颤</w:t>
      </w:r>
      <w:r>
        <w:rPr>
          <w:rFonts w:hint="eastAsia" w:ascii="宋体" w:hAnsi="宋体"/>
          <w:sz w:val="24"/>
          <w:szCs w:val="24"/>
          <w:highlight w:val="none"/>
        </w:rPr>
        <w:t>CF型, 提供机器接口防护等级丝印照片证明材料。</w:t>
      </w:r>
    </w:p>
    <w:p w14:paraId="59792560">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1.10、监护仪设计使用年限≥8年。</w:t>
      </w:r>
    </w:p>
    <w:p w14:paraId="6B5ACEE8">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1.11、监护仪清洁维护支持的清洁剂≥</w:t>
      </w:r>
      <w:r>
        <w:rPr>
          <w:rFonts w:hint="eastAsia" w:ascii="宋体" w:hAnsi="宋体"/>
          <w:sz w:val="24"/>
          <w:szCs w:val="24"/>
          <w:highlight w:val="none"/>
          <w:lang w:val="en-US" w:eastAsia="zh-CN"/>
        </w:rPr>
        <w:t>35</w:t>
      </w:r>
      <w:r>
        <w:rPr>
          <w:rFonts w:hint="eastAsia" w:ascii="宋体" w:hAnsi="宋体"/>
          <w:sz w:val="24"/>
          <w:szCs w:val="24"/>
          <w:highlight w:val="none"/>
        </w:rPr>
        <w:t>种，在厂家手册中清晰列举清洁剂的种类。</w:t>
      </w:r>
    </w:p>
    <w:p w14:paraId="35C164BD">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1.12、监护仪主机工作大气压环境范围：57.0~107.4kPa。</w:t>
      </w:r>
    </w:p>
    <w:p w14:paraId="210D6BC6">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1.13、监护仪主机工作温度环境范围：0~40°C。</w:t>
      </w:r>
    </w:p>
    <w:p w14:paraId="44FD4C75">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1.14、监护仪主机工作湿度环境范围；15~95%。</w:t>
      </w:r>
    </w:p>
    <w:p w14:paraId="7835FA2C">
      <w:pPr>
        <w:keepNext w:val="0"/>
        <w:keepLines w:val="0"/>
        <w:pageBreakBefore w:val="0"/>
        <w:widowControl w:val="0"/>
        <w:kinsoku/>
        <w:wordWrap/>
        <w:overflowPunct/>
        <w:topLinePunct w:val="0"/>
        <w:autoSpaceDE w:val="0"/>
        <w:autoSpaceDN w:val="0"/>
        <w:bidi w:val="0"/>
        <w:adjustRightInd/>
        <w:snapToGrid w:val="0"/>
        <w:spacing w:line="240" w:lineRule="auto"/>
        <w:ind w:leftChars="0" w:right="0" w:rightChars="0" w:firstLine="0" w:firstLineChars="0"/>
        <w:jc w:val="left"/>
        <w:textAlignment w:val="auto"/>
        <w:rPr>
          <w:rFonts w:ascii="宋体" w:hAnsi="宋体" w:cs="宋体"/>
          <w:b/>
          <w:kern w:val="0"/>
          <w:sz w:val="24"/>
          <w:szCs w:val="24"/>
          <w:highlight w:val="none"/>
        </w:rPr>
      </w:pPr>
      <w:r>
        <w:rPr>
          <w:rFonts w:hint="eastAsia" w:ascii="宋体" w:hAnsi="宋体" w:cs="宋体"/>
          <w:b/>
          <w:kern w:val="0"/>
          <w:sz w:val="24"/>
          <w:szCs w:val="24"/>
          <w:highlight w:val="none"/>
        </w:rPr>
        <w:t>2：监测参数：</w:t>
      </w:r>
    </w:p>
    <w:p w14:paraId="64010616">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2.1、配置3/5导心电，呼吸，无创血压，血氧饱和度，脉搏</w:t>
      </w:r>
      <w:r>
        <w:rPr>
          <w:rFonts w:hint="eastAsia" w:ascii="宋体" w:hAnsi="宋体"/>
          <w:sz w:val="24"/>
          <w:szCs w:val="24"/>
          <w:highlight w:val="none"/>
          <w:lang w:eastAsia="zh-CN"/>
        </w:rPr>
        <w:t>、</w:t>
      </w:r>
      <w:r>
        <w:rPr>
          <w:rFonts w:hint="eastAsia" w:ascii="宋体" w:hAnsi="宋体"/>
          <w:sz w:val="24"/>
          <w:szCs w:val="24"/>
          <w:highlight w:val="none"/>
        </w:rPr>
        <w:t>双通道体温参数监测</w:t>
      </w:r>
    </w:p>
    <w:p w14:paraId="597ABA04">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2.2、心电监护支持心率，ST段测量，心律失常分析，QT/QTc连续实时测量和对应报警功能。</w:t>
      </w:r>
    </w:p>
    <w:p w14:paraId="2704949F">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2.3、心电算法通过AHA/MIT-BIH数据库验证，提供证明材料。</w:t>
      </w:r>
    </w:p>
    <w:p w14:paraId="76F1B2A1">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2.4、心电波形扫描速度支持</w:t>
      </w:r>
      <w:r>
        <w:rPr>
          <w:rFonts w:ascii="宋体" w:hAnsi="宋体"/>
          <w:sz w:val="24"/>
          <w:szCs w:val="24"/>
          <w:highlight w:val="none"/>
        </w:rPr>
        <w:t>6.25mm/s</w:t>
      </w:r>
      <w:r>
        <w:rPr>
          <w:rFonts w:hint="eastAsia" w:ascii="宋体" w:hAnsi="宋体"/>
          <w:sz w:val="24"/>
          <w:szCs w:val="24"/>
          <w:highlight w:val="none"/>
        </w:rPr>
        <w:t>、</w:t>
      </w:r>
      <w:r>
        <w:rPr>
          <w:rFonts w:ascii="宋体" w:hAnsi="宋体"/>
          <w:sz w:val="24"/>
          <w:szCs w:val="24"/>
          <w:highlight w:val="none"/>
        </w:rPr>
        <w:t>12.5 mm/s</w:t>
      </w:r>
      <w:r>
        <w:rPr>
          <w:rFonts w:hint="eastAsia" w:ascii="宋体" w:hAnsi="宋体"/>
          <w:sz w:val="24"/>
          <w:szCs w:val="24"/>
          <w:highlight w:val="none"/>
        </w:rPr>
        <w:t>、</w:t>
      </w:r>
      <w:r>
        <w:rPr>
          <w:rFonts w:ascii="宋体" w:hAnsi="宋体"/>
          <w:sz w:val="24"/>
          <w:szCs w:val="24"/>
          <w:highlight w:val="none"/>
        </w:rPr>
        <w:t>25 mm/s</w:t>
      </w:r>
      <w:r>
        <w:rPr>
          <w:rFonts w:hint="eastAsia" w:ascii="宋体" w:hAnsi="宋体"/>
          <w:sz w:val="24"/>
          <w:szCs w:val="24"/>
          <w:highlight w:val="none"/>
        </w:rPr>
        <w:t>和</w:t>
      </w:r>
      <w:r>
        <w:rPr>
          <w:rFonts w:ascii="宋体" w:hAnsi="宋体"/>
          <w:sz w:val="24"/>
          <w:szCs w:val="24"/>
          <w:highlight w:val="none"/>
        </w:rPr>
        <w:t>50 mm/s</w:t>
      </w:r>
      <w:r>
        <w:rPr>
          <w:rFonts w:hint="eastAsia" w:ascii="宋体" w:hAnsi="宋体"/>
          <w:sz w:val="24"/>
          <w:szCs w:val="24"/>
          <w:highlight w:val="none"/>
        </w:rPr>
        <w:t>。</w:t>
      </w:r>
    </w:p>
    <w:p w14:paraId="78C91A7E">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2.5、提供窗口支持心脏下壁，侧壁和前壁对应多个ST片段的同屏实时显示，提供参考片段和实时片段的对比查看。</w:t>
      </w:r>
    </w:p>
    <w:p w14:paraId="37064912">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2.6、支持≥2</w:t>
      </w:r>
      <w:r>
        <w:rPr>
          <w:rFonts w:hint="eastAsia" w:ascii="宋体" w:hAnsi="宋体"/>
          <w:sz w:val="24"/>
          <w:szCs w:val="24"/>
          <w:highlight w:val="none"/>
          <w:lang w:val="en-US" w:eastAsia="zh-CN"/>
        </w:rPr>
        <w:t>3</w:t>
      </w:r>
      <w:r>
        <w:rPr>
          <w:rFonts w:hint="eastAsia" w:ascii="宋体" w:hAnsi="宋体"/>
          <w:sz w:val="24"/>
          <w:szCs w:val="24"/>
          <w:highlight w:val="none"/>
        </w:rPr>
        <w:t>种心律失常分析,包括房颤分析。</w:t>
      </w:r>
    </w:p>
    <w:p w14:paraId="5EEE08BF">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2.7、QT和QTc实时监测参数测量范围：</w:t>
      </w:r>
      <w:r>
        <w:rPr>
          <w:rFonts w:ascii="宋体" w:hAnsi="宋体"/>
          <w:sz w:val="24"/>
          <w:szCs w:val="24"/>
          <w:highlight w:val="none"/>
        </w:rPr>
        <w:t>200</w:t>
      </w:r>
      <w:r>
        <w:rPr>
          <w:rFonts w:hint="eastAsia" w:ascii="宋体" w:hAnsi="宋体"/>
          <w:sz w:val="24"/>
          <w:szCs w:val="24"/>
          <w:highlight w:val="none"/>
        </w:rPr>
        <w:t>～</w:t>
      </w:r>
      <w:r>
        <w:rPr>
          <w:rFonts w:ascii="宋体" w:hAnsi="宋体"/>
          <w:sz w:val="24"/>
          <w:szCs w:val="24"/>
          <w:highlight w:val="none"/>
        </w:rPr>
        <w:t>800 ms</w:t>
      </w:r>
      <w:r>
        <w:rPr>
          <w:rFonts w:hint="eastAsia" w:ascii="宋体" w:hAnsi="宋体"/>
          <w:sz w:val="24"/>
          <w:szCs w:val="24"/>
          <w:highlight w:val="none"/>
        </w:rPr>
        <w:t>。</w:t>
      </w:r>
    </w:p>
    <w:p w14:paraId="49FA2976">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2.8、支持升级提供过去24小时心电概览报告查看与打印，包括心率统计结果，心律失常统计结果，ST统计和QT/QTc统计结果。</w:t>
      </w:r>
    </w:p>
    <w:p w14:paraId="7F7E9431">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2.9、提供SpO2,PR和PI参数的实时监测，适用于成人，小儿和新生儿。</w:t>
      </w:r>
    </w:p>
    <w:p w14:paraId="24B04241">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2.10、支持指套式血氧探头，IPX7防水等级，支持液体浸泡消毒和清洁。</w:t>
      </w:r>
    </w:p>
    <w:p w14:paraId="6828CD86">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2.11、配置无创血压测量，适用于成人，小儿和新生儿。</w:t>
      </w:r>
    </w:p>
    <w:p w14:paraId="3B0CFBC1">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2.12、提供手动，自动，连续和序列4种测量模式，并提供24小</w:t>
      </w:r>
      <w:r>
        <w:rPr>
          <w:rFonts w:ascii="宋体" w:hAnsi="宋体"/>
          <w:sz w:val="24"/>
          <w:szCs w:val="24"/>
          <w:highlight w:val="none"/>
        </w:rPr>
        <w:t>时血压统计结果，</w:t>
      </w:r>
      <w:r>
        <w:rPr>
          <w:rFonts w:hint="eastAsia" w:ascii="宋体" w:hAnsi="宋体"/>
          <w:sz w:val="24"/>
          <w:szCs w:val="24"/>
          <w:highlight w:val="none"/>
        </w:rPr>
        <w:t>满足临床应用。</w:t>
      </w:r>
    </w:p>
    <w:p w14:paraId="7A05B4C1">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2.13、无创血压成人测量范围：收缩压25~290mmHg，舒张压10~250mmHg，平均压15~260mmHg。</w:t>
      </w:r>
    </w:p>
    <w:p w14:paraId="45D858B5">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2.14、提供辅助静脉穿刺功能。</w:t>
      </w:r>
    </w:p>
    <w:p w14:paraId="175C2855">
      <w:pPr>
        <w:keepNext w:val="0"/>
        <w:keepLines w:val="0"/>
        <w:pageBreakBefore w:val="0"/>
        <w:widowControl w:val="0"/>
        <w:kinsoku/>
        <w:wordWrap/>
        <w:overflowPunct/>
        <w:topLinePunct w:val="0"/>
        <w:autoSpaceDE w:val="0"/>
        <w:autoSpaceDN w:val="0"/>
        <w:bidi w:val="0"/>
        <w:adjustRightInd/>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2.15、提供双通道体温和温差参数的监测,</w:t>
      </w:r>
      <w:r>
        <w:rPr>
          <w:rFonts w:ascii="宋体" w:hAnsi="宋体"/>
          <w:sz w:val="24"/>
          <w:szCs w:val="24"/>
          <w:highlight w:val="none"/>
        </w:rPr>
        <w:t xml:space="preserve"> 并可</w:t>
      </w:r>
      <w:r>
        <w:rPr>
          <w:rFonts w:hint="eastAsia" w:ascii="宋体" w:hAnsi="宋体"/>
          <w:sz w:val="24"/>
          <w:szCs w:val="24"/>
          <w:highlight w:val="none"/>
        </w:rPr>
        <w:t>根据</w:t>
      </w:r>
      <w:r>
        <w:rPr>
          <w:rFonts w:ascii="宋体" w:hAnsi="宋体"/>
          <w:sz w:val="24"/>
          <w:szCs w:val="24"/>
          <w:highlight w:val="none"/>
        </w:rPr>
        <w:t>需</w:t>
      </w:r>
      <w:r>
        <w:rPr>
          <w:rFonts w:hint="eastAsia" w:ascii="宋体" w:hAnsi="宋体"/>
          <w:sz w:val="24"/>
          <w:szCs w:val="24"/>
          <w:highlight w:val="none"/>
        </w:rPr>
        <w:t>要</w:t>
      </w:r>
      <w:r>
        <w:rPr>
          <w:rFonts w:ascii="宋体" w:hAnsi="宋体"/>
          <w:sz w:val="24"/>
          <w:szCs w:val="24"/>
          <w:highlight w:val="none"/>
        </w:rPr>
        <w:t>更改体温通道标名</w:t>
      </w:r>
    </w:p>
    <w:p w14:paraId="602ADCAF">
      <w:pPr>
        <w:keepNext w:val="0"/>
        <w:keepLines w:val="0"/>
        <w:pageBreakBefore w:val="0"/>
        <w:widowControl w:val="0"/>
        <w:kinsoku/>
        <w:wordWrap/>
        <w:overflowPunct/>
        <w:topLinePunct w:val="0"/>
        <w:bidi w:val="0"/>
        <w:adjustRightInd/>
        <w:snapToGrid w:val="0"/>
        <w:spacing w:line="240" w:lineRule="auto"/>
        <w:ind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3：系统功能：</w:t>
      </w:r>
    </w:p>
    <w:p w14:paraId="4993B047">
      <w:pPr>
        <w:keepNext w:val="0"/>
        <w:keepLines w:val="0"/>
        <w:pageBreakBefore w:val="0"/>
        <w:widowControl w:val="0"/>
        <w:kinsoku/>
        <w:wordWrap/>
        <w:overflowPunct/>
        <w:topLinePunct w:val="0"/>
        <w:bidi w:val="0"/>
        <w:adjustRightInd/>
        <w:snapToGrid w:val="0"/>
        <w:spacing w:line="240" w:lineRule="auto"/>
        <w:ind w:left="0"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3.1、支持所有监测参数报警限一键自动设置功能，满足医护团队快速管理患者报警需求，产品用户手册提供报警限自动设置规则。</w:t>
      </w:r>
    </w:p>
    <w:p w14:paraId="3498B022">
      <w:pPr>
        <w:keepNext w:val="0"/>
        <w:keepLines w:val="0"/>
        <w:pageBreakBefore w:val="0"/>
        <w:widowControl w:val="0"/>
        <w:kinsoku/>
        <w:wordWrap/>
        <w:overflowPunct/>
        <w:topLinePunct w:val="0"/>
        <w:bidi w:val="0"/>
        <w:adjustRightInd/>
        <w:snapToGrid w:val="0"/>
        <w:spacing w:line="240" w:lineRule="auto"/>
        <w:ind w:left="0"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3.2、支持肾功能计算功能。</w:t>
      </w:r>
    </w:p>
    <w:p w14:paraId="49CBFFC7">
      <w:pPr>
        <w:keepNext w:val="0"/>
        <w:keepLines w:val="0"/>
        <w:pageBreakBefore w:val="0"/>
        <w:widowControl w:val="0"/>
        <w:kinsoku/>
        <w:wordWrap/>
        <w:overflowPunct/>
        <w:topLinePunct w:val="0"/>
        <w:bidi w:val="0"/>
        <w:adjustRightInd/>
        <w:snapToGrid w:val="0"/>
        <w:spacing w:line="240" w:lineRule="auto"/>
        <w:ind w:leftChars="0" w:right="0" w:rightChars="0" w:firstLine="0" w:firstLineChars="0"/>
        <w:textAlignment w:val="auto"/>
        <w:rPr>
          <w:rFonts w:asciiTheme="minorEastAsia" w:hAnsiTheme="minorEastAsia"/>
          <w:color w:val="000000" w:themeColor="text1"/>
          <w:sz w:val="24"/>
          <w:szCs w:val="24"/>
          <w:highlight w:val="none"/>
          <w14:textFill>
            <w14:solidFill>
              <w14:schemeClr w14:val="tx1"/>
            </w14:solidFill>
          </w14:textFill>
        </w:rPr>
      </w:pPr>
      <w:r>
        <w:rPr>
          <w:rFonts w:hint="eastAsia" w:asciiTheme="minorEastAsia" w:hAnsiTheme="minorEastAsia"/>
          <w:sz w:val="24"/>
          <w:szCs w:val="24"/>
          <w:highlight w:val="none"/>
        </w:rPr>
        <w:t>3.3、</w:t>
      </w:r>
      <w:r>
        <w:rPr>
          <w:rFonts w:asciiTheme="minorEastAsia" w:hAnsiTheme="minorEastAsia"/>
          <w:sz w:val="24"/>
          <w:szCs w:val="24"/>
          <w:highlight w:val="none"/>
        </w:rPr>
        <w:t>具有图形化</w:t>
      </w:r>
      <w:r>
        <w:rPr>
          <w:rFonts w:hint="eastAsia" w:asciiTheme="minorEastAsia" w:hAnsiTheme="minorEastAsia"/>
          <w:sz w:val="24"/>
          <w:szCs w:val="24"/>
          <w:highlight w:val="none"/>
        </w:rPr>
        <w:t>技术</w:t>
      </w:r>
      <w:r>
        <w:rPr>
          <w:rFonts w:asciiTheme="minorEastAsia" w:hAnsiTheme="minorEastAsia"/>
          <w:sz w:val="24"/>
          <w:szCs w:val="24"/>
          <w:highlight w:val="none"/>
        </w:rPr>
        <w:t>报警指示功能，</w:t>
      </w:r>
      <w:r>
        <w:rPr>
          <w:rFonts w:hint="eastAsia" w:asciiTheme="minorEastAsia" w:hAnsiTheme="minorEastAsia"/>
          <w:sz w:val="24"/>
          <w:szCs w:val="24"/>
          <w:highlight w:val="none"/>
        </w:rPr>
        <w:t>帮助医</w:t>
      </w:r>
      <w:r>
        <w:rPr>
          <w:rFonts w:asciiTheme="minorEastAsia" w:hAnsiTheme="minorEastAsia"/>
          <w:sz w:val="24"/>
          <w:szCs w:val="24"/>
          <w:highlight w:val="none"/>
        </w:rPr>
        <w:t>护团队快速识别</w:t>
      </w:r>
      <w:r>
        <w:rPr>
          <w:rFonts w:hint="eastAsia" w:asciiTheme="minorEastAsia" w:hAnsiTheme="minorEastAsia"/>
          <w:sz w:val="24"/>
          <w:szCs w:val="24"/>
          <w:highlight w:val="none"/>
        </w:rPr>
        <w:t>报警来</w:t>
      </w:r>
      <w:r>
        <w:rPr>
          <w:rFonts w:asciiTheme="minorEastAsia" w:hAnsiTheme="minorEastAsia"/>
          <w:sz w:val="24"/>
          <w:szCs w:val="24"/>
          <w:highlight w:val="none"/>
        </w:rPr>
        <w:t>源</w:t>
      </w:r>
      <w:r>
        <w:rPr>
          <w:rFonts w:hint="eastAsia" w:asciiTheme="minorEastAsia" w:hAnsiTheme="minorEastAsia"/>
          <w:sz w:val="24"/>
          <w:szCs w:val="24"/>
          <w:highlight w:val="none"/>
        </w:rPr>
        <w:t>。</w:t>
      </w:r>
    </w:p>
    <w:p w14:paraId="6AD2043E">
      <w:pPr>
        <w:keepNext w:val="0"/>
        <w:keepLines w:val="0"/>
        <w:pageBreakBefore w:val="0"/>
        <w:widowControl w:val="0"/>
        <w:kinsoku/>
        <w:wordWrap/>
        <w:overflowPunct/>
        <w:topLinePunct w:val="0"/>
        <w:bidi w:val="0"/>
        <w:adjustRightInd/>
        <w:snapToGrid w:val="0"/>
        <w:spacing w:line="240" w:lineRule="auto"/>
        <w:ind w:left="0"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3.4、支持≥120小时趋势图和趋势表回顾，支持选择不同趋势组回顾</w:t>
      </w:r>
    </w:p>
    <w:p w14:paraId="1CF2F33E">
      <w:pPr>
        <w:keepNext w:val="0"/>
        <w:keepLines w:val="0"/>
        <w:pageBreakBefore w:val="0"/>
        <w:widowControl w:val="0"/>
        <w:kinsoku/>
        <w:wordWrap/>
        <w:overflowPunct/>
        <w:topLinePunct w:val="0"/>
        <w:bidi w:val="0"/>
        <w:adjustRightInd/>
        <w:snapToGrid w:val="0"/>
        <w:spacing w:line="240" w:lineRule="auto"/>
        <w:ind w:left="0"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3.5、≥</w:t>
      </w:r>
      <w:r>
        <w:rPr>
          <w:rFonts w:asciiTheme="minorEastAsia" w:hAnsiTheme="minorEastAsia"/>
          <w:sz w:val="24"/>
          <w:szCs w:val="24"/>
          <w:highlight w:val="none"/>
        </w:rPr>
        <w:t>1000条事件回顾。每条报警事件至少能够存储</w:t>
      </w:r>
      <w:r>
        <w:rPr>
          <w:rFonts w:hint="eastAsia" w:asciiTheme="minorEastAsia" w:hAnsiTheme="minorEastAsia"/>
          <w:sz w:val="24"/>
          <w:szCs w:val="24"/>
          <w:highlight w:val="none"/>
        </w:rPr>
        <w:t>32秒三道相关波形，以及报警触发时所有测量参数值</w:t>
      </w:r>
    </w:p>
    <w:p w14:paraId="6D06C196">
      <w:pPr>
        <w:keepNext w:val="0"/>
        <w:keepLines w:val="0"/>
        <w:pageBreakBefore w:val="0"/>
        <w:widowControl w:val="0"/>
        <w:kinsoku/>
        <w:wordWrap/>
        <w:overflowPunct/>
        <w:topLinePunct w:val="0"/>
        <w:bidi w:val="0"/>
        <w:adjustRightInd/>
        <w:snapToGrid w:val="0"/>
        <w:spacing w:line="240" w:lineRule="auto"/>
        <w:ind w:leftChars="0" w:right="0" w:rightChars="0" w:firstLine="0" w:firstLineChars="0"/>
        <w:textAlignment w:val="auto"/>
        <w:rPr>
          <w:rFonts w:ascii="宋体" w:hAnsi="宋体"/>
          <w:sz w:val="24"/>
          <w:szCs w:val="24"/>
          <w:highlight w:val="none"/>
        </w:rPr>
      </w:pPr>
      <w:r>
        <w:rPr>
          <w:rFonts w:ascii="宋体" w:hAnsi="宋体"/>
          <w:sz w:val="24"/>
          <w:szCs w:val="24"/>
          <w:highlight w:val="none"/>
        </w:rPr>
        <w:t>3.</w:t>
      </w:r>
      <w:r>
        <w:rPr>
          <w:rFonts w:hint="eastAsia" w:ascii="宋体" w:hAnsi="宋体"/>
          <w:sz w:val="24"/>
          <w:szCs w:val="24"/>
          <w:highlight w:val="none"/>
        </w:rPr>
        <w:t>6、≥1000组NIBP测</w:t>
      </w:r>
      <w:r>
        <w:rPr>
          <w:rFonts w:ascii="宋体" w:hAnsi="宋体"/>
          <w:sz w:val="24"/>
          <w:szCs w:val="24"/>
          <w:highlight w:val="none"/>
        </w:rPr>
        <w:t>量结果</w:t>
      </w:r>
    </w:p>
    <w:p w14:paraId="58F7AC09">
      <w:pPr>
        <w:keepNext w:val="0"/>
        <w:keepLines w:val="0"/>
        <w:pageBreakBefore w:val="0"/>
        <w:widowControl w:val="0"/>
        <w:kinsoku/>
        <w:wordWrap/>
        <w:overflowPunct/>
        <w:topLinePunct w:val="0"/>
        <w:bidi w:val="0"/>
        <w:adjustRightInd/>
        <w:snapToGrid w:val="0"/>
        <w:spacing w:line="240" w:lineRule="auto"/>
        <w:ind w:leftChars="0" w:right="0" w:rightChars="0" w:firstLine="0" w:firstLineChars="0"/>
        <w:textAlignment w:val="auto"/>
        <w:rPr>
          <w:rFonts w:asciiTheme="minorEastAsia" w:hAnsiTheme="minorEastAsia"/>
          <w:sz w:val="24"/>
          <w:szCs w:val="24"/>
          <w:highlight w:val="none"/>
        </w:rPr>
      </w:pPr>
      <w:r>
        <w:rPr>
          <w:rFonts w:asciiTheme="minorEastAsia" w:hAnsiTheme="minorEastAsia"/>
          <w:sz w:val="24"/>
          <w:szCs w:val="24"/>
          <w:highlight w:val="none"/>
        </w:rPr>
        <w:t>3.</w:t>
      </w:r>
      <w:r>
        <w:rPr>
          <w:rFonts w:hint="eastAsia" w:asciiTheme="minorEastAsia" w:hAnsiTheme="minorEastAsia"/>
          <w:sz w:val="24"/>
          <w:szCs w:val="24"/>
          <w:highlight w:val="none"/>
        </w:rPr>
        <w:t>7、</w:t>
      </w:r>
      <w:r>
        <w:rPr>
          <w:rFonts w:hint="eastAsia" w:ascii="宋体" w:hAnsi="宋体"/>
          <w:sz w:val="24"/>
          <w:szCs w:val="24"/>
          <w:highlight w:val="none"/>
        </w:rPr>
        <w:t>≥</w:t>
      </w:r>
      <w:r>
        <w:rPr>
          <w:rFonts w:hint="eastAsia" w:asciiTheme="minorEastAsia" w:hAnsiTheme="minorEastAsia"/>
          <w:sz w:val="24"/>
          <w:szCs w:val="24"/>
          <w:highlight w:val="none"/>
        </w:rPr>
        <w:t>120小时（分辨率</w:t>
      </w:r>
      <w:r>
        <w:rPr>
          <w:rFonts w:asciiTheme="minorEastAsia" w:hAnsiTheme="minorEastAsia"/>
          <w:sz w:val="24"/>
          <w:szCs w:val="24"/>
          <w:highlight w:val="none"/>
        </w:rPr>
        <w:t>1</w:t>
      </w:r>
      <w:r>
        <w:rPr>
          <w:rFonts w:hint="eastAsia" w:asciiTheme="minorEastAsia" w:hAnsiTheme="minorEastAsia"/>
          <w:sz w:val="24"/>
          <w:szCs w:val="24"/>
          <w:highlight w:val="none"/>
        </w:rPr>
        <w:t>分钟）ST模板存储与回顾</w:t>
      </w:r>
    </w:p>
    <w:p w14:paraId="5FCC2F88">
      <w:pPr>
        <w:keepNext w:val="0"/>
        <w:keepLines w:val="0"/>
        <w:pageBreakBefore w:val="0"/>
        <w:widowControl w:val="0"/>
        <w:kinsoku/>
        <w:wordWrap/>
        <w:overflowPunct/>
        <w:topLinePunct w:val="0"/>
        <w:bidi w:val="0"/>
        <w:adjustRightInd/>
        <w:snapToGrid w:val="0"/>
        <w:spacing w:line="240" w:lineRule="auto"/>
        <w:ind w:leftChars="0" w:right="0" w:rightChars="0" w:firstLine="0" w:firstLineChars="0"/>
        <w:textAlignment w:val="auto"/>
        <w:rPr>
          <w:rFonts w:asciiTheme="minorEastAsia" w:hAnsiTheme="minorEastAsia"/>
          <w:color w:val="000000" w:themeColor="text1"/>
          <w:sz w:val="24"/>
          <w:szCs w:val="24"/>
          <w:highlight w:val="none"/>
          <w14:textFill>
            <w14:solidFill>
              <w14:schemeClr w14:val="tx1"/>
            </w14:solidFill>
          </w14:textFill>
        </w:rPr>
      </w:pPr>
      <w:r>
        <w:rPr>
          <w:rFonts w:hint="eastAsia" w:asciiTheme="minorEastAsia" w:hAnsiTheme="minorEastAsia"/>
          <w:color w:val="000000" w:themeColor="text1"/>
          <w:sz w:val="24"/>
          <w:szCs w:val="24"/>
          <w:highlight w:val="none"/>
          <w14:textFill>
            <w14:solidFill>
              <w14:schemeClr w14:val="tx1"/>
            </w14:solidFill>
          </w14:textFill>
        </w:rPr>
        <w:t>3.8、支持48小时全息波形的存储与回顾功能</w:t>
      </w:r>
    </w:p>
    <w:p w14:paraId="7F171F07">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textAlignment w:val="auto"/>
        <w:rPr>
          <w:rFonts w:ascii="宋体" w:hAnsi="宋体"/>
          <w:sz w:val="24"/>
          <w:szCs w:val="24"/>
          <w:highlight w:val="none"/>
        </w:rPr>
      </w:pPr>
      <w:r>
        <w:rPr>
          <w:rFonts w:hint="eastAsia" w:asciiTheme="minorEastAsia" w:hAnsiTheme="minorEastAsia"/>
          <w:color w:val="000000" w:themeColor="text1"/>
          <w:sz w:val="24"/>
          <w:szCs w:val="24"/>
          <w:highlight w:val="none"/>
          <w14:textFill>
            <w14:solidFill>
              <w14:schemeClr w14:val="tx1"/>
            </w14:solidFill>
          </w14:textFill>
        </w:rPr>
        <w:t>3.9、支持监护仪历史病人数据的存储和回顾，并支持通过USB接口将历史病人数据导出到U盘。</w:t>
      </w:r>
    </w:p>
    <w:p w14:paraId="06BF5713">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3.10、支持RJ45接口进行有线网络通信，和除颤监护仪一起联网通信到中心监护系统。</w:t>
      </w:r>
    </w:p>
    <w:p w14:paraId="15A5E4D8">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3.11、支持监护仪进入夜间模式，隐私模式，演示模式和待机模式。</w:t>
      </w:r>
    </w:p>
    <w:p w14:paraId="566E6EBE">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sz w:val="24"/>
          <w:szCs w:val="24"/>
          <w:highlight w:val="none"/>
        </w:rPr>
      </w:pPr>
      <w:r>
        <w:rPr>
          <w:rFonts w:hint="eastAsia" w:asciiTheme="minorEastAsia" w:hAnsiTheme="minorEastAsia"/>
          <w:sz w:val="24"/>
          <w:szCs w:val="24"/>
          <w:highlight w:val="none"/>
        </w:rPr>
        <w:t>3.</w:t>
      </w:r>
      <w:r>
        <w:rPr>
          <w:rFonts w:asciiTheme="minorEastAsia" w:hAnsiTheme="minorEastAsia"/>
          <w:sz w:val="24"/>
          <w:szCs w:val="24"/>
          <w:highlight w:val="none"/>
        </w:rPr>
        <w:t>1</w:t>
      </w:r>
      <w:r>
        <w:rPr>
          <w:rFonts w:hint="eastAsia" w:asciiTheme="minorEastAsia" w:hAnsiTheme="minorEastAsia"/>
          <w:sz w:val="24"/>
          <w:szCs w:val="24"/>
          <w:highlight w:val="none"/>
        </w:rPr>
        <w:t>2、</w:t>
      </w:r>
      <w:r>
        <w:rPr>
          <w:rFonts w:asciiTheme="minorEastAsia" w:hAnsiTheme="minorEastAsia"/>
          <w:sz w:val="24"/>
          <w:szCs w:val="24"/>
          <w:highlight w:val="none"/>
        </w:rPr>
        <w:t>提供</w:t>
      </w:r>
      <w:r>
        <w:rPr>
          <w:rFonts w:hint="eastAsia" w:asciiTheme="minorEastAsia" w:hAnsiTheme="minorEastAsia"/>
          <w:sz w:val="24"/>
          <w:szCs w:val="24"/>
          <w:highlight w:val="none"/>
        </w:rPr>
        <w:t>心肌缺血</w:t>
      </w:r>
      <w:r>
        <w:rPr>
          <w:rFonts w:asciiTheme="minorEastAsia" w:hAnsiTheme="minorEastAsia"/>
          <w:sz w:val="24"/>
          <w:szCs w:val="24"/>
          <w:highlight w:val="none"/>
        </w:rPr>
        <w:t>评估</w:t>
      </w:r>
      <w:r>
        <w:rPr>
          <w:rFonts w:hint="eastAsia" w:asciiTheme="minorEastAsia" w:hAnsiTheme="minorEastAsia"/>
          <w:sz w:val="24"/>
          <w:szCs w:val="24"/>
          <w:highlight w:val="none"/>
        </w:rPr>
        <w:t>工具</w:t>
      </w:r>
      <w:r>
        <w:rPr>
          <w:rFonts w:asciiTheme="minorEastAsia" w:hAnsiTheme="minorEastAsia"/>
          <w:sz w:val="24"/>
          <w:szCs w:val="24"/>
          <w:highlight w:val="none"/>
        </w:rPr>
        <w:t>，可以快速查看ST值的变化</w:t>
      </w:r>
      <w:r>
        <w:rPr>
          <w:rFonts w:hint="eastAsia" w:ascii="宋体" w:hAnsi="宋体"/>
          <w:sz w:val="24"/>
          <w:szCs w:val="24"/>
          <w:highlight w:val="none"/>
        </w:rPr>
        <w:t>。</w:t>
      </w:r>
    </w:p>
    <w:p w14:paraId="08EABC7C">
      <w:pPr>
        <w:keepNext w:val="0"/>
        <w:keepLines w:val="0"/>
        <w:pageBreakBefore w:val="0"/>
        <w:widowControl w:val="0"/>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3.</w:t>
      </w:r>
      <w:r>
        <w:rPr>
          <w:rFonts w:ascii="宋体" w:hAnsi="宋体"/>
          <w:sz w:val="24"/>
          <w:szCs w:val="24"/>
          <w:highlight w:val="none"/>
        </w:rPr>
        <w:t>1</w:t>
      </w:r>
      <w:r>
        <w:rPr>
          <w:rFonts w:hint="eastAsia" w:ascii="宋体" w:hAnsi="宋体"/>
          <w:sz w:val="24"/>
          <w:szCs w:val="24"/>
          <w:highlight w:val="none"/>
        </w:rPr>
        <w:t>3、</w:t>
      </w:r>
      <w:r>
        <w:rPr>
          <w:rFonts w:hint="eastAsia" w:ascii="宋体" w:hAnsi="宋体"/>
          <w:sz w:val="24"/>
          <w:szCs w:val="24"/>
          <w:highlight w:val="none"/>
          <w:lang w:eastAsia="zh-CN"/>
        </w:rPr>
        <w:t>▲</w:t>
      </w:r>
      <w:r>
        <w:rPr>
          <w:rFonts w:hint="eastAsia" w:ascii="宋体" w:hAnsi="宋体"/>
          <w:sz w:val="24"/>
          <w:szCs w:val="24"/>
          <w:highlight w:val="none"/>
        </w:rPr>
        <w:t>提供计时器功能，界面区提供设置≥4个计时器，每个计时器支持独立设置和计时功能，计时方向包括正计时和倒计时两种选择，</w:t>
      </w:r>
      <w:r>
        <w:rPr>
          <w:rFonts w:hint="eastAsia" w:ascii="宋体" w:hAnsi="宋体"/>
          <w:sz w:val="24"/>
          <w:szCs w:val="24"/>
          <w:highlight w:val="none"/>
          <w:lang w:val="en-US" w:eastAsia="zh-CN"/>
        </w:rPr>
        <w:t>提</w:t>
      </w:r>
      <w:r>
        <w:rPr>
          <w:rFonts w:hint="eastAsia" w:ascii="宋体" w:hAnsi="宋体"/>
          <w:sz w:val="24"/>
          <w:szCs w:val="24"/>
          <w:highlight w:val="none"/>
        </w:rPr>
        <w:t>供</w:t>
      </w:r>
      <w:r>
        <w:rPr>
          <w:rFonts w:hint="eastAsia" w:ascii="宋体" w:hAnsi="宋体"/>
          <w:sz w:val="24"/>
          <w:szCs w:val="24"/>
          <w:highlight w:val="none"/>
          <w:lang w:val="en-US" w:eastAsia="zh-CN"/>
        </w:rPr>
        <w:t>证明</w:t>
      </w:r>
      <w:r>
        <w:rPr>
          <w:rFonts w:hint="eastAsia" w:ascii="宋体" w:hAnsi="宋体"/>
          <w:sz w:val="24"/>
          <w:szCs w:val="24"/>
          <w:highlight w:val="none"/>
        </w:rPr>
        <w:t>。</w:t>
      </w:r>
    </w:p>
    <w:p w14:paraId="5AB72EED">
      <w:pPr>
        <w:keepNext w:val="0"/>
        <w:keepLines w:val="0"/>
        <w:pageBreakBefore w:val="0"/>
        <w:widowControl w:val="0"/>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3.14、支持格拉斯哥昏迷评分（</w:t>
      </w:r>
      <w:r>
        <w:rPr>
          <w:rFonts w:ascii="宋体" w:hAnsi="宋体"/>
          <w:sz w:val="24"/>
          <w:szCs w:val="24"/>
          <w:highlight w:val="none"/>
        </w:rPr>
        <w:t>GCS</w:t>
      </w:r>
      <w:r>
        <w:rPr>
          <w:rFonts w:hint="eastAsia" w:ascii="宋体" w:hAnsi="宋体"/>
          <w:sz w:val="24"/>
          <w:szCs w:val="24"/>
          <w:highlight w:val="none"/>
        </w:rPr>
        <w:t>）功能。</w:t>
      </w:r>
    </w:p>
    <w:p w14:paraId="63CF03AB">
      <w:pPr>
        <w:keepNext w:val="0"/>
        <w:keepLines w:val="0"/>
        <w:pageBreakBefore w:val="0"/>
        <w:widowControl w:val="0"/>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宋体" w:hAnsi="宋体"/>
          <w:sz w:val="24"/>
          <w:szCs w:val="24"/>
          <w:highlight w:val="none"/>
        </w:rPr>
      </w:pPr>
      <w:r>
        <w:rPr>
          <w:rFonts w:hint="eastAsia" w:ascii="宋体" w:hAnsi="宋体"/>
          <w:sz w:val="24"/>
          <w:szCs w:val="24"/>
          <w:highlight w:val="none"/>
        </w:rPr>
        <w:t>3.15、动态</w:t>
      </w:r>
      <w:r>
        <w:rPr>
          <w:rFonts w:ascii="宋体" w:hAnsi="宋体"/>
          <w:sz w:val="24"/>
          <w:szCs w:val="24"/>
          <w:highlight w:val="none"/>
        </w:rPr>
        <w:t>趋势界面可支持统计</w:t>
      </w:r>
      <w:r>
        <w:rPr>
          <w:rFonts w:hint="eastAsia" w:ascii="宋体" w:hAnsi="宋体"/>
          <w:sz w:val="24"/>
          <w:szCs w:val="24"/>
          <w:highlight w:val="none"/>
        </w:rPr>
        <w:t>1-24小</w:t>
      </w:r>
      <w:r>
        <w:rPr>
          <w:rFonts w:ascii="宋体" w:hAnsi="宋体"/>
          <w:sz w:val="24"/>
          <w:szCs w:val="24"/>
          <w:highlight w:val="none"/>
        </w:rPr>
        <w:t>时</w:t>
      </w:r>
      <w:r>
        <w:rPr>
          <w:rFonts w:hint="eastAsia" w:ascii="宋体" w:hAnsi="宋体"/>
          <w:sz w:val="24"/>
          <w:szCs w:val="24"/>
          <w:highlight w:val="none"/>
        </w:rPr>
        <w:t>心</w:t>
      </w:r>
      <w:r>
        <w:rPr>
          <w:rFonts w:ascii="宋体" w:hAnsi="宋体"/>
          <w:sz w:val="24"/>
          <w:szCs w:val="24"/>
          <w:highlight w:val="none"/>
        </w:rPr>
        <w:t>律失常报警、参数超限报警信息，并对</w:t>
      </w:r>
      <w:r>
        <w:rPr>
          <w:rFonts w:hint="eastAsia" w:ascii="宋体" w:hAnsi="宋体"/>
          <w:sz w:val="24"/>
          <w:szCs w:val="24"/>
          <w:highlight w:val="none"/>
        </w:rPr>
        <w:t>超</w:t>
      </w:r>
      <w:r>
        <w:rPr>
          <w:rFonts w:ascii="宋体" w:hAnsi="宋体"/>
          <w:sz w:val="24"/>
          <w:szCs w:val="24"/>
          <w:highlight w:val="none"/>
        </w:rPr>
        <w:t>限报警区间的波形进行高亮显示，</w:t>
      </w:r>
      <w:r>
        <w:rPr>
          <w:rFonts w:hint="eastAsia" w:ascii="宋体" w:hAnsi="宋体"/>
          <w:sz w:val="24"/>
          <w:szCs w:val="24"/>
          <w:highlight w:val="none"/>
        </w:rPr>
        <w:t>帮助</w:t>
      </w:r>
      <w:r>
        <w:rPr>
          <w:rFonts w:ascii="宋体" w:hAnsi="宋体"/>
          <w:sz w:val="24"/>
          <w:szCs w:val="24"/>
          <w:highlight w:val="none"/>
        </w:rPr>
        <w:t>医护人员快速识别异常</w:t>
      </w:r>
      <w:r>
        <w:rPr>
          <w:rFonts w:hint="eastAsia" w:ascii="宋体" w:hAnsi="宋体"/>
          <w:sz w:val="24"/>
          <w:szCs w:val="24"/>
          <w:highlight w:val="none"/>
        </w:rPr>
        <w:t>趋势</w:t>
      </w:r>
      <w:r>
        <w:rPr>
          <w:rFonts w:ascii="宋体" w:hAnsi="宋体"/>
          <w:sz w:val="24"/>
          <w:szCs w:val="24"/>
          <w:highlight w:val="none"/>
        </w:rPr>
        <w:t>信息。</w:t>
      </w:r>
    </w:p>
    <w:p w14:paraId="14E9318A">
      <w:pPr>
        <w:keepNext w:val="0"/>
        <w:keepLines w:val="0"/>
        <w:pageBreakBefore w:val="0"/>
        <w:widowControl w:val="0"/>
        <w:kinsoku/>
        <w:wordWrap/>
        <w:overflowPunct/>
        <w:topLinePunct w:val="0"/>
        <w:bidi w:val="0"/>
        <w:adjustRightInd w:val="0"/>
        <w:snapToGrid w:val="0"/>
        <w:spacing w:line="240" w:lineRule="auto"/>
        <w:ind w:left="0" w:leftChars="0" w:right="0" w:rightChars="0" w:firstLine="0" w:firstLineChars="0"/>
        <w:textAlignment w:val="auto"/>
        <w:rPr>
          <w:rFonts w:ascii="宋体" w:hAnsi="宋体"/>
          <w:sz w:val="24"/>
          <w:szCs w:val="24"/>
          <w:highlight w:val="none"/>
        </w:rPr>
      </w:pPr>
      <w:r>
        <w:rPr>
          <w:rFonts w:hint="eastAsia" w:ascii="宋体" w:hAnsi="宋体"/>
          <w:sz w:val="24"/>
          <w:szCs w:val="24"/>
          <w:highlight w:val="none"/>
        </w:rPr>
        <w:t>3.16、提供屏幕截图功能，将屏幕截图通过USB接口导出到U盘。</w:t>
      </w:r>
    </w:p>
    <w:p w14:paraId="31812F57">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宋体" w:hAnsi="宋体" w:cs="宋体"/>
          <w:b/>
          <w:color w:val="auto"/>
          <w:kern w:val="0"/>
          <w:sz w:val="24"/>
          <w:szCs w:val="24"/>
          <w:highlight w:val="none"/>
          <w:u w:val="none"/>
          <w:lang w:val="en-US" w:eastAsia="zh-CN"/>
        </w:rPr>
      </w:pPr>
      <w:r>
        <w:rPr>
          <w:rFonts w:hint="eastAsia" w:ascii="宋体" w:hAnsi="宋体" w:eastAsia="宋体" w:cs="宋体"/>
          <w:b/>
          <w:color w:val="auto"/>
          <w:kern w:val="0"/>
          <w:sz w:val="24"/>
          <w:szCs w:val="24"/>
          <w:highlight w:val="none"/>
          <w:lang w:val="en-US" w:eastAsia="zh-CN" w:bidi="ar-SA"/>
        </w:rPr>
        <w:t>（八）</w:t>
      </w:r>
      <w:r>
        <w:rPr>
          <w:rFonts w:hint="eastAsia" w:ascii="宋体" w:hAnsi="宋体" w:cs="宋体"/>
          <w:b/>
          <w:color w:val="auto"/>
          <w:kern w:val="0"/>
          <w:sz w:val="24"/>
          <w:szCs w:val="24"/>
          <w:highlight w:val="none"/>
          <w:u w:val="none"/>
          <w:lang w:val="en-US" w:eastAsia="zh-CN"/>
        </w:rPr>
        <w:t>心电监护仪</w:t>
      </w:r>
    </w:p>
    <w:p w14:paraId="1D14DA45">
      <w:pPr>
        <w:pStyle w:val="45"/>
        <w:keepNext w:val="0"/>
        <w:keepLines w:val="0"/>
        <w:pageBreakBefore w:val="0"/>
        <w:numPr>
          <w:ilvl w:val="0"/>
          <w:numId w:val="5"/>
        </w:numPr>
        <w:kinsoku/>
        <w:wordWrap/>
        <w:overflowPunct/>
        <w:topLinePunct w:val="0"/>
        <w:autoSpaceDE w:val="0"/>
        <w:autoSpaceDN w:val="0"/>
        <w:bidi w:val="0"/>
        <w:adjustRightInd w:val="0"/>
        <w:snapToGrid w:val="0"/>
        <w:spacing w:line="240" w:lineRule="auto"/>
        <w:ind w:firstLineChars="0"/>
        <w:jc w:val="left"/>
        <w:textAlignment w:val="auto"/>
        <w:rPr>
          <w:rFonts w:cs="宋体" w:asciiTheme="minorEastAsia" w:hAnsiTheme="minorEastAsia" w:eastAsiaTheme="minorEastAsia"/>
          <w:b/>
          <w:color w:val="auto"/>
          <w:kern w:val="0"/>
          <w:sz w:val="24"/>
          <w:szCs w:val="24"/>
          <w:highlight w:val="none"/>
        </w:rPr>
      </w:pPr>
      <w:r>
        <w:rPr>
          <w:rFonts w:hint="eastAsia" w:cs="宋体" w:asciiTheme="minorEastAsia" w:hAnsiTheme="minorEastAsia" w:eastAsiaTheme="minorEastAsia"/>
          <w:b/>
          <w:color w:val="auto"/>
          <w:kern w:val="0"/>
          <w:sz w:val="24"/>
          <w:szCs w:val="24"/>
          <w:highlight w:val="none"/>
        </w:rPr>
        <w:t>整机要求：</w:t>
      </w:r>
    </w:p>
    <w:p w14:paraId="390F12CE">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1.1、</w:t>
      </w:r>
      <w:r>
        <w:rPr>
          <w:rFonts w:hint="eastAsia" w:asciiTheme="minorEastAsia" w:hAnsiTheme="minorEastAsia" w:eastAsiaTheme="minorEastAsia"/>
          <w:color w:val="auto"/>
          <w:sz w:val="24"/>
          <w:szCs w:val="24"/>
          <w:highlight w:val="none"/>
        </w:rPr>
        <w:t>便携一体式监护仪, 整机无风扇设计，降低环境噪音干扰。</w:t>
      </w:r>
    </w:p>
    <w:p w14:paraId="1D1CE957">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1.2、</w:t>
      </w:r>
      <w:r>
        <w:rPr>
          <w:rFonts w:hint="eastAsia" w:asciiTheme="minorEastAsia" w:hAnsiTheme="minorEastAsia" w:eastAsiaTheme="minorEastAsia"/>
          <w:color w:val="auto"/>
          <w:sz w:val="24"/>
          <w:szCs w:val="24"/>
          <w:highlight w:val="none"/>
        </w:rPr>
        <w:t>≥1</w:t>
      </w:r>
      <w:r>
        <w:rPr>
          <w:rFonts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rPr>
        <w:t>寸彩色</w:t>
      </w:r>
      <w:r>
        <w:rPr>
          <w:rFonts w:asciiTheme="minorEastAsia" w:hAnsiTheme="minorEastAsia" w:eastAsiaTheme="minorEastAsia"/>
          <w:color w:val="auto"/>
          <w:sz w:val="24"/>
          <w:szCs w:val="24"/>
          <w:highlight w:val="none"/>
        </w:rPr>
        <w:t>LED背</w:t>
      </w:r>
      <w:r>
        <w:rPr>
          <w:rFonts w:hint="eastAsia" w:asciiTheme="minorEastAsia" w:hAnsiTheme="minorEastAsia" w:eastAsiaTheme="minorEastAsia"/>
          <w:color w:val="auto"/>
          <w:sz w:val="24"/>
          <w:szCs w:val="24"/>
          <w:highlight w:val="none"/>
        </w:rPr>
        <w:t>光液晶显示屏，彩色高分辨率≥800*600，≥</w:t>
      </w:r>
      <w:r>
        <w:rPr>
          <w:rFonts w:asciiTheme="minorEastAsia" w:hAnsiTheme="minorEastAsia" w:eastAsiaTheme="minorEastAsia"/>
          <w:color w:val="auto"/>
          <w:sz w:val="24"/>
          <w:szCs w:val="24"/>
          <w:highlight w:val="none"/>
        </w:rPr>
        <w:t>9</w:t>
      </w:r>
      <w:r>
        <w:rPr>
          <w:rFonts w:hint="eastAsia" w:asciiTheme="minorEastAsia" w:hAnsiTheme="minorEastAsia" w:eastAsiaTheme="minorEastAsia"/>
          <w:color w:val="auto"/>
          <w:sz w:val="24"/>
          <w:szCs w:val="24"/>
          <w:highlight w:val="none"/>
        </w:rPr>
        <w:t>通道波形显示。</w:t>
      </w:r>
    </w:p>
    <w:p w14:paraId="55AD2314">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1.3、</w:t>
      </w:r>
      <w:r>
        <w:rPr>
          <w:rFonts w:hint="eastAsia" w:asciiTheme="minorEastAsia" w:hAnsiTheme="minorEastAsia" w:eastAsiaTheme="minorEastAsia"/>
          <w:color w:val="auto"/>
          <w:sz w:val="24"/>
          <w:szCs w:val="24"/>
          <w:highlight w:val="none"/>
        </w:rPr>
        <w:t>标配</w:t>
      </w:r>
      <w:r>
        <w:rPr>
          <w:rFonts w:asciiTheme="minorEastAsia" w:hAnsiTheme="minorEastAsia" w:eastAsiaTheme="minorEastAsia"/>
          <w:color w:val="auto"/>
          <w:sz w:val="24"/>
          <w:szCs w:val="24"/>
          <w:highlight w:val="none"/>
        </w:rPr>
        <w:t>锂电池，工作时间</w:t>
      </w:r>
      <w:r>
        <w:rPr>
          <w:rFonts w:hint="eastAsia" w:asciiTheme="minorEastAsia" w:hAnsiTheme="minorEastAsia" w:eastAsiaTheme="minorEastAsia"/>
          <w:color w:val="auto"/>
          <w:sz w:val="24"/>
          <w:szCs w:val="24"/>
          <w:highlight w:val="none"/>
        </w:rPr>
        <w:t>≥4小时，可选配大容量锂电池，</w:t>
      </w:r>
      <w:r>
        <w:rPr>
          <w:rFonts w:asciiTheme="minorEastAsia" w:hAnsiTheme="minorEastAsia" w:eastAsiaTheme="minorEastAsia"/>
          <w:color w:val="auto"/>
          <w:sz w:val="24"/>
          <w:szCs w:val="24"/>
          <w:highlight w:val="none"/>
        </w:rPr>
        <w:t>工作时间</w:t>
      </w: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8</w:t>
      </w:r>
      <w:r>
        <w:rPr>
          <w:rFonts w:hint="eastAsia" w:asciiTheme="minorEastAsia" w:hAnsiTheme="minorEastAsia" w:eastAsiaTheme="minorEastAsia"/>
          <w:color w:val="auto"/>
          <w:sz w:val="24"/>
          <w:szCs w:val="24"/>
          <w:highlight w:val="none"/>
        </w:rPr>
        <w:t>小时。</w:t>
      </w:r>
    </w:p>
    <w:p w14:paraId="447EBBEC">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1.4、</w:t>
      </w:r>
      <w:r>
        <w:rPr>
          <w:rFonts w:hint="eastAsia" w:asciiTheme="minorEastAsia" w:hAnsiTheme="minorEastAsia" w:eastAsiaTheme="minorEastAsia"/>
          <w:color w:val="auto"/>
          <w:sz w:val="24"/>
          <w:szCs w:val="24"/>
          <w:highlight w:val="none"/>
        </w:rPr>
        <w:t>安全规格：ECG, TEMP, SpO2 , NIBP监测参数抗电击程度为防除颤CF型。</w:t>
      </w:r>
    </w:p>
    <w:p w14:paraId="47EB6C4A">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1.5、</w:t>
      </w:r>
      <w:r>
        <w:rPr>
          <w:rFonts w:hint="eastAsia" w:asciiTheme="minorEastAsia" w:hAnsiTheme="minorEastAsia" w:eastAsiaTheme="minorEastAsia"/>
          <w:color w:val="auto"/>
          <w:sz w:val="24"/>
          <w:szCs w:val="24"/>
          <w:highlight w:val="none"/>
        </w:rPr>
        <w:t>监护仪设计使用年限≥</w:t>
      </w:r>
      <w:r>
        <w:rPr>
          <w:rFonts w:asciiTheme="minorEastAsia" w:hAnsiTheme="minorEastAsia" w:eastAsiaTheme="minorEastAsia"/>
          <w:color w:val="auto"/>
          <w:sz w:val="24"/>
          <w:szCs w:val="24"/>
          <w:highlight w:val="none"/>
        </w:rPr>
        <w:t>10</w:t>
      </w:r>
      <w:r>
        <w:rPr>
          <w:rFonts w:hint="eastAsia" w:asciiTheme="minorEastAsia" w:hAnsiTheme="minorEastAsia" w:eastAsiaTheme="minorEastAsia"/>
          <w:color w:val="auto"/>
          <w:sz w:val="24"/>
          <w:szCs w:val="24"/>
          <w:highlight w:val="none"/>
        </w:rPr>
        <w:t>年，提供机器标贴证明材料。</w:t>
      </w:r>
    </w:p>
    <w:p w14:paraId="44E0A93D">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1.6、</w:t>
      </w:r>
      <w:r>
        <w:rPr>
          <w:rFonts w:hint="eastAsia" w:asciiTheme="minorEastAsia" w:hAnsiTheme="minorEastAsia" w:eastAsiaTheme="minorEastAsia"/>
          <w:color w:val="auto"/>
          <w:sz w:val="24"/>
          <w:szCs w:val="24"/>
          <w:highlight w:val="none"/>
        </w:rPr>
        <w:t>主机防水等级≥IPX1，支持0.75米抗跌落，提供说明书或彩页证明文件。</w:t>
      </w:r>
    </w:p>
    <w:p w14:paraId="45669C67">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1.7、</w:t>
      </w:r>
      <w:r>
        <w:rPr>
          <w:rFonts w:hint="eastAsia" w:asciiTheme="minorEastAsia" w:hAnsiTheme="minorEastAsia" w:eastAsiaTheme="minorEastAsia"/>
          <w:color w:val="auto"/>
          <w:sz w:val="24"/>
          <w:szCs w:val="24"/>
          <w:highlight w:val="none"/>
        </w:rPr>
        <w:t>监护仪主机工作温度环境范围：0~40°C。</w:t>
      </w:r>
    </w:p>
    <w:p w14:paraId="611D9B24">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1.8、</w:t>
      </w:r>
      <w:r>
        <w:rPr>
          <w:rFonts w:hint="eastAsia" w:asciiTheme="minorEastAsia" w:hAnsiTheme="minorEastAsia" w:eastAsiaTheme="minorEastAsia"/>
          <w:color w:val="auto"/>
          <w:sz w:val="24"/>
          <w:szCs w:val="24"/>
          <w:highlight w:val="none"/>
        </w:rPr>
        <w:t>监护仪主机工作湿度环境范围；15~95%。</w:t>
      </w:r>
    </w:p>
    <w:p w14:paraId="4E6BDF59">
      <w:pPr>
        <w:pStyle w:val="45"/>
        <w:keepNext w:val="0"/>
        <w:keepLines w:val="0"/>
        <w:pageBreakBefore w:val="0"/>
        <w:numPr>
          <w:ilvl w:val="0"/>
          <w:numId w:val="5"/>
        </w:numPr>
        <w:kinsoku/>
        <w:wordWrap/>
        <w:overflowPunct/>
        <w:topLinePunct w:val="0"/>
        <w:autoSpaceDE w:val="0"/>
        <w:autoSpaceDN w:val="0"/>
        <w:bidi w:val="0"/>
        <w:adjustRightInd w:val="0"/>
        <w:snapToGrid w:val="0"/>
        <w:spacing w:line="240" w:lineRule="auto"/>
        <w:ind w:firstLineChars="0"/>
        <w:jc w:val="left"/>
        <w:textAlignment w:val="auto"/>
        <w:rPr>
          <w:rFonts w:cs="宋体" w:asciiTheme="minorEastAsia" w:hAnsiTheme="minorEastAsia" w:eastAsiaTheme="minorEastAsia"/>
          <w:b/>
          <w:color w:val="auto"/>
          <w:kern w:val="0"/>
          <w:sz w:val="24"/>
          <w:szCs w:val="24"/>
          <w:highlight w:val="none"/>
        </w:rPr>
      </w:pPr>
      <w:r>
        <w:rPr>
          <w:rFonts w:hint="eastAsia" w:cs="宋体" w:asciiTheme="minorEastAsia" w:hAnsiTheme="minorEastAsia" w:eastAsiaTheme="minorEastAsia"/>
          <w:b/>
          <w:color w:val="auto"/>
          <w:kern w:val="0"/>
          <w:sz w:val="24"/>
          <w:szCs w:val="24"/>
          <w:highlight w:val="none"/>
        </w:rPr>
        <w:t>监测参数：</w:t>
      </w:r>
    </w:p>
    <w:p w14:paraId="1C788B05">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2.1、</w:t>
      </w:r>
      <w:r>
        <w:rPr>
          <w:rFonts w:hint="eastAsia" w:asciiTheme="minorEastAsia" w:hAnsiTheme="minorEastAsia" w:eastAsiaTheme="minorEastAsia"/>
          <w:color w:val="auto"/>
          <w:sz w:val="24"/>
          <w:szCs w:val="24"/>
          <w:highlight w:val="none"/>
        </w:rPr>
        <w:t>标准配置可监测心电，呼吸，无创血压，血氧饱和度，脉搏和体温，适用于成人、小儿和新生儿。</w:t>
      </w:r>
    </w:p>
    <w:p w14:paraId="7F88A0C1">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2.2、</w:t>
      </w:r>
      <w:r>
        <w:rPr>
          <w:rFonts w:hint="eastAsia" w:asciiTheme="minorEastAsia" w:hAnsiTheme="minorEastAsia" w:eastAsiaTheme="minorEastAsia"/>
          <w:color w:val="auto"/>
          <w:sz w:val="24"/>
          <w:szCs w:val="24"/>
          <w:highlight w:val="none"/>
        </w:rPr>
        <w:t>采用ECG多导同步分析专利技术，保证心电监护的优异性，提供彩页或说明书证明文件。</w:t>
      </w:r>
    </w:p>
    <w:p w14:paraId="46D43351">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2.3、</w:t>
      </w:r>
      <w:r>
        <w:rPr>
          <w:rFonts w:hint="eastAsia" w:asciiTheme="minorEastAsia" w:hAnsiTheme="minorEastAsia" w:eastAsiaTheme="minorEastAsia"/>
          <w:color w:val="auto"/>
          <w:sz w:val="24"/>
          <w:szCs w:val="24"/>
          <w:highlight w:val="none"/>
        </w:rPr>
        <w:t>心电波形速度支持6.25、12.5、25和50mm/s不少于4种选择。</w:t>
      </w:r>
    </w:p>
    <w:p w14:paraId="3E75B2B4">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2.4、</w:t>
      </w:r>
      <w:r>
        <w:rPr>
          <w:rFonts w:hint="eastAsia" w:asciiTheme="minorEastAsia" w:hAnsiTheme="minorEastAsia" w:eastAsiaTheme="minorEastAsia"/>
          <w:color w:val="auto"/>
          <w:sz w:val="24"/>
          <w:szCs w:val="24"/>
          <w:highlight w:val="none"/>
        </w:rPr>
        <w:t>具备智能导联脱落监测功能，个别导联脱落的情况下仍能保持监护。</w:t>
      </w:r>
    </w:p>
    <w:p w14:paraId="11676A1D">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2.5、</w:t>
      </w:r>
      <w:r>
        <w:rPr>
          <w:rFonts w:hint="eastAsia" w:asciiTheme="minorEastAsia" w:hAnsiTheme="minorEastAsia" w:eastAsiaTheme="minorEastAsia"/>
          <w:color w:val="auto"/>
          <w:sz w:val="24"/>
          <w:szCs w:val="24"/>
          <w:highlight w:val="none"/>
        </w:rPr>
        <w:t>提供心率</w:t>
      </w:r>
      <w:r>
        <w:rPr>
          <w:rFonts w:asciiTheme="minorEastAsia" w:hAnsiTheme="minorEastAsia" w:eastAsiaTheme="minorEastAsia"/>
          <w:color w:val="auto"/>
          <w:sz w:val="24"/>
          <w:szCs w:val="24"/>
          <w:highlight w:val="none"/>
        </w:rPr>
        <w:t>变化统计</w:t>
      </w:r>
      <w:r>
        <w:rPr>
          <w:rFonts w:hint="eastAsia" w:asciiTheme="minorEastAsia" w:hAnsiTheme="minorEastAsia" w:eastAsiaTheme="minorEastAsia"/>
          <w:color w:val="auto"/>
          <w:sz w:val="24"/>
          <w:szCs w:val="24"/>
          <w:highlight w:val="none"/>
        </w:rPr>
        <w:t>界面，包括患者平均心率、夜间平均心率、白天平均心率、最快心率和最慢心率等，直观快速了解过去24小时患者的心率变化和心率分布情况。</w:t>
      </w:r>
    </w:p>
    <w:p w14:paraId="77E1E3DE">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2.6、</w:t>
      </w:r>
      <w:r>
        <w:rPr>
          <w:rFonts w:hint="eastAsia" w:asciiTheme="minorEastAsia" w:hAnsiTheme="minorEastAsia" w:eastAsiaTheme="minorEastAsia"/>
          <w:color w:val="auto"/>
          <w:sz w:val="24"/>
          <w:szCs w:val="24"/>
          <w:highlight w:val="none"/>
        </w:rPr>
        <w:t>提供SpO2和PR的实时监测，适用于成人，小儿和新生儿。来自SpO2的PR测量范围：20-250。</w:t>
      </w:r>
    </w:p>
    <w:p w14:paraId="548FF4A9">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2.7、</w:t>
      </w:r>
      <w:r>
        <w:rPr>
          <w:rFonts w:hint="eastAsia" w:asciiTheme="minorEastAsia" w:hAnsiTheme="minorEastAsia" w:eastAsiaTheme="minorEastAsia"/>
          <w:color w:val="auto"/>
          <w:sz w:val="24"/>
          <w:szCs w:val="24"/>
          <w:highlight w:val="none"/>
        </w:rPr>
        <w:t>血氧监测时标配支持PI血氧灌注指数的监测，有效反映血氧灌注情况，PI测量范围：</w:t>
      </w:r>
      <w:r>
        <w:rPr>
          <w:rFonts w:asciiTheme="minorEastAsia" w:hAnsiTheme="minorEastAsia" w:eastAsiaTheme="minorEastAsia"/>
          <w:color w:val="auto"/>
          <w:sz w:val="24"/>
          <w:szCs w:val="24"/>
          <w:highlight w:val="none"/>
        </w:rPr>
        <w:t>0.05%-20%</w:t>
      </w:r>
      <w:r>
        <w:rPr>
          <w:rFonts w:hint="eastAsia" w:asciiTheme="minorEastAsia" w:hAnsiTheme="minorEastAsia" w:eastAsiaTheme="minorEastAsia"/>
          <w:color w:val="auto"/>
          <w:sz w:val="24"/>
          <w:szCs w:val="24"/>
          <w:highlight w:val="none"/>
        </w:rPr>
        <w:t>，分辨率0</w:t>
      </w:r>
      <w:r>
        <w:rPr>
          <w:rFonts w:asciiTheme="minorEastAsia" w:hAnsiTheme="minorEastAsia" w:eastAsiaTheme="minorEastAsia"/>
          <w:color w:val="auto"/>
          <w:sz w:val="24"/>
          <w:szCs w:val="24"/>
          <w:highlight w:val="none"/>
        </w:rPr>
        <w:t>.01%</w:t>
      </w:r>
      <w:r>
        <w:rPr>
          <w:rFonts w:hint="eastAsia" w:asciiTheme="minorEastAsia" w:hAnsiTheme="minorEastAsia" w:eastAsiaTheme="minorEastAsia"/>
          <w:color w:val="auto"/>
          <w:sz w:val="24"/>
          <w:szCs w:val="24"/>
          <w:highlight w:val="none"/>
        </w:rPr>
        <w:t>。</w:t>
      </w:r>
    </w:p>
    <w:p w14:paraId="5B8C5B18">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2.8、</w:t>
      </w:r>
      <w:r>
        <w:rPr>
          <w:rFonts w:hint="eastAsia" w:asciiTheme="minorEastAsia" w:hAnsiTheme="minorEastAsia" w:eastAsiaTheme="minorEastAsia"/>
          <w:color w:val="auto"/>
          <w:sz w:val="24"/>
          <w:szCs w:val="24"/>
          <w:highlight w:val="none"/>
        </w:rPr>
        <w:t>无创血压支持手动、连续、自动和序列测量模式，支持整点测量，提供说明书或检验报告证明。</w:t>
      </w:r>
    </w:p>
    <w:p w14:paraId="5BB80D8B">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2.9、</w:t>
      </w:r>
      <w:r>
        <w:rPr>
          <w:rFonts w:hint="eastAsia" w:asciiTheme="minorEastAsia" w:hAnsiTheme="minorEastAsia" w:eastAsiaTheme="minorEastAsia"/>
          <w:color w:val="auto"/>
          <w:sz w:val="24"/>
          <w:szCs w:val="24"/>
          <w:highlight w:val="none"/>
        </w:rPr>
        <w:t>配置无创血压测量，适用于成人，小儿和新生儿。无创血压成人测量范围：收缩压30~290mmH。</w:t>
      </w:r>
    </w:p>
    <w:p w14:paraId="423CF8B5">
      <w:pPr>
        <w:pStyle w:val="45"/>
        <w:keepNext w:val="0"/>
        <w:keepLines w:val="0"/>
        <w:pageBreakBefore w:val="0"/>
        <w:numPr>
          <w:ilvl w:val="1"/>
          <w:numId w:val="0"/>
        </w:numPr>
        <w:kinsoku/>
        <w:wordWrap/>
        <w:overflowPunct/>
        <w:topLinePunct w:val="0"/>
        <w:autoSpaceDE w:val="0"/>
        <w:autoSpaceDN w:val="0"/>
        <w:bidi w:val="0"/>
        <w:adjustRightInd w:val="0"/>
        <w:snapToGrid w:val="0"/>
        <w:spacing w:line="240" w:lineRule="auto"/>
        <w:ind w:left="0" w:leftChars="0" w:right="0" w:rightChars="0" w:firstLine="0" w:firstLineChars="0"/>
        <w:jc w:val="left"/>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2.10、</w:t>
      </w:r>
      <w:r>
        <w:rPr>
          <w:rFonts w:hint="eastAsia" w:asciiTheme="minorEastAsia" w:hAnsiTheme="minorEastAsia" w:eastAsiaTheme="minorEastAsia"/>
          <w:color w:val="auto"/>
          <w:sz w:val="24"/>
          <w:szCs w:val="24"/>
          <w:highlight w:val="none"/>
        </w:rPr>
        <w:t>提供</w:t>
      </w:r>
      <w:r>
        <w:rPr>
          <w:rFonts w:asciiTheme="minorEastAsia" w:hAnsiTheme="minorEastAsia" w:eastAsiaTheme="minorEastAsia"/>
          <w:color w:val="auto"/>
          <w:sz w:val="24"/>
          <w:szCs w:val="24"/>
          <w:highlight w:val="none"/>
        </w:rPr>
        <w:t>动态血压分析</w:t>
      </w:r>
      <w:r>
        <w:rPr>
          <w:rFonts w:hint="eastAsia" w:asciiTheme="minorEastAsia" w:hAnsiTheme="minorEastAsia" w:eastAsiaTheme="minorEastAsia"/>
          <w:color w:val="auto"/>
          <w:sz w:val="24"/>
          <w:szCs w:val="24"/>
          <w:highlight w:val="none"/>
        </w:rPr>
        <w:t>界面，包括平均血压、白天平均血压、夜间平均血压、最高血压、最低血压和正常血压比例等，直观快速了解过去24小时患者血压变化和分布情况。</w:t>
      </w:r>
    </w:p>
    <w:p w14:paraId="1F6916D2">
      <w:pPr>
        <w:keepNext w:val="0"/>
        <w:keepLines w:val="0"/>
        <w:pageBreakBefore w:val="0"/>
        <w:kinsoku/>
        <w:wordWrap/>
        <w:overflowPunct/>
        <w:topLinePunct w:val="0"/>
        <w:autoSpaceDE w:val="0"/>
        <w:autoSpaceDN w:val="0"/>
        <w:bidi w:val="0"/>
        <w:adjustRightInd w:val="0"/>
        <w:snapToGrid w:val="0"/>
        <w:spacing w:line="240" w:lineRule="auto"/>
        <w:ind w:left="0" w:right="0" w:rightChars="0" w:firstLine="0"/>
        <w:jc w:val="left"/>
        <w:textAlignment w:val="auto"/>
        <w:rPr>
          <w:rFonts w:hint="eastAsia" w:asciiTheme="minorEastAsia" w:hAnsiTheme="minorEastAsia" w:eastAsiaTheme="minorEastAsia"/>
          <w:color w:val="auto"/>
          <w:sz w:val="24"/>
          <w:szCs w:val="24"/>
          <w:highlight w:val="none"/>
        </w:rPr>
      </w:pPr>
    </w:p>
    <w:p w14:paraId="08F5C3DF">
      <w:pPr>
        <w:pStyle w:val="45"/>
        <w:keepNext w:val="0"/>
        <w:keepLines w:val="0"/>
        <w:pageBreakBefore w:val="0"/>
        <w:numPr>
          <w:ilvl w:val="0"/>
          <w:numId w:val="5"/>
        </w:numPr>
        <w:kinsoku/>
        <w:wordWrap/>
        <w:overflowPunct/>
        <w:topLinePunct w:val="0"/>
        <w:bidi w:val="0"/>
        <w:adjustRightInd w:val="0"/>
        <w:snapToGrid w:val="0"/>
        <w:spacing w:line="240" w:lineRule="auto"/>
        <w:ind w:left="0" w:right="0" w:rightChars="0" w:firstLine="0" w:firstLineChars="0"/>
        <w:textAlignment w:val="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系统功能：</w:t>
      </w:r>
    </w:p>
    <w:p w14:paraId="041B414A">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3.1、</w:t>
      </w:r>
      <w:r>
        <w:rPr>
          <w:rFonts w:hint="eastAsia" w:asciiTheme="minorEastAsia" w:hAnsiTheme="minorEastAsia" w:eastAsiaTheme="minorEastAsia"/>
          <w:color w:val="auto"/>
          <w:sz w:val="24"/>
          <w:szCs w:val="24"/>
          <w:highlight w:val="none"/>
        </w:rPr>
        <w:t>具有三级声光报警，参数报警级别可调。</w:t>
      </w:r>
    </w:p>
    <w:p w14:paraId="53574441">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3.2、</w:t>
      </w:r>
      <w:r>
        <w:rPr>
          <w:rFonts w:hint="eastAsia" w:asciiTheme="minorEastAsia" w:hAnsiTheme="minorEastAsia" w:eastAsiaTheme="minorEastAsia"/>
          <w:color w:val="auto"/>
          <w:sz w:val="24"/>
          <w:szCs w:val="24"/>
          <w:highlight w:val="none"/>
        </w:rPr>
        <w:t>支持所有监测参数报警限一键自动设置功能，满足医护团队快速管理患者报警需求，产品用户手册提供报警限自动设置规则，提供说明书或检验报告证明。</w:t>
      </w:r>
    </w:p>
    <w:p w14:paraId="5BB0F4B9">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3.3、</w:t>
      </w:r>
      <w:r>
        <w:rPr>
          <w:rFonts w:hint="eastAsia" w:asciiTheme="minorEastAsia" w:hAnsiTheme="minorEastAsia" w:eastAsiaTheme="minorEastAsia"/>
          <w:color w:val="auto"/>
          <w:sz w:val="24"/>
          <w:szCs w:val="24"/>
          <w:highlight w:val="none"/>
        </w:rPr>
        <w:t>可升级存储卡，支持≥1200小时趋势数据的存储与回顾功能，≥1800条报警事件以及每条报警事件至少能够存储30秒三道相关波形和报警触发时所有测量参数值，提供说明书或检验报告证明文件。</w:t>
      </w:r>
    </w:p>
    <w:p w14:paraId="3B2C3388">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3.4、</w:t>
      </w:r>
      <w:r>
        <w:rPr>
          <w:rFonts w:hint="eastAsia" w:asciiTheme="minorEastAsia" w:hAnsiTheme="minorEastAsia" w:eastAsiaTheme="minorEastAsia"/>
          <w:color w:val="auto"/>
          <w:sz w:val="24"/>
          <w:szCs w:val="24"/>
          <w:highlight w:val="none"/>
        </w:rPr>
        <w:t>具备监护模式、待机模式，演示模式、隐私模式和夜间模式不少于5种工作模式。</w:t>
      </w:r>
    </w:p>
    <w:p w14:paraId="56A58006">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3.5、</w:t>
      </w:r>
      <w:r>
        <w:rPr>
          <w:rFonts w:hint="eastAsia" w:asciiTheme="minorEastAsia" w:hAnsiTheme="minorEastAsia" w:eastAsiaTheme="minorEastAsia"/>
          <w:color w:val="auto"/>
          <w:sz w:val="24"/>
          <w:szCs w:val="24"/>
          <w:highlight w:val="none"/>
        </w:rPr>
        <w:t>具备趋势共存界面、呼吸氧合图界面，大字体显示界面，及标准显示界面等多种显示界面。</w:t>
      </w:r>
    </w:p>
    <w:p w14:paraId="631D0ECE">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3.6、</w:t>
      </w:r>
      <w:r>
        <w:rPr>
          <w:rFonts w:hint="eastAsia" w:ascii="宋体" w:hAnsi="宋体"/>
          <w:color w:val="auto"/>
          <w:sz w:val="24"/>
          <w:szCs w:val="24"/>
          <w:highlight w:val="none"/>
        </w:rPr>
        <w:t>支持RJ45接口进行有线网络通信，和除颤监护仪一起联网通信到中心监护系统。</w:t>
      </w:r>
    </w:p>
    <w:p w14:paraId="26ED760B">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3.7、</w:t>
      </w:r>
      <w:r>
        <w:rPr>
          <w:rFonts w:hint="eastAsia" w:asciiTheme="minorEastAsia" w:hAnsiTheme="minorEastAsia" w:eastAsiaTheme="minorEastAsia"/>
          <w:color w:val="auto"/>
          <w:sz w:val="24"/>
          <w:szCs w:val="24"/>
          <w:highlight w:val="none"/>
        </w:rPr>
        <w:t>支持监护仪的系统日志向U盘设备的导出功能，日志包括：系统状态、异常和技术报警等，满足设备管理的日常维护需求。</w:t>
      </w:r>
    </w:p>
    <w:p w14:paraId="4C9D05F4">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3.8、</w:t>
      </w:r>
      <w:r>
        <w:rPr>
          <w:rFonts w:hint="eastAsia" w:asciiTheme="minorEastAsia" w:hAnsiTheme="minorEastAsia" w:eastAsiaTheme="minorEastAsia"/>
          <w:color w:val="auto"/>
          <w:sz w:val="24"/>
          <w:szCs w:val="24"/>
          <w:highlight w:val="none"/>
        </w:rPr>
        <w:t>主机集成附件收纳槽，支持将心电、血氧和无创血压等导联线附件进行收纳放置，方便监护仪设备的高效管理和转移。</w:t>
      </w:r>
    </w:p>
    <w:p w14:paraId="3C8996F9">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3.9、</w:t>
      </w:r>
      <w:r>
        <w:rPr>
          <w:rFonts w:hint="eastAsia" w:ascii="宋体" w:hAnsi="宋体"/>
          <w:color w:val="auto"/>
          <w:sz w:val="24"/>
          <w:szCs w:val="24"/>
          <w:highlight w:val="none"/>
        </w:rPr>
        <w:t>心电、血氧、血压附件兼容同品牌其他所有在线系列监护仪，提供机器接口证明文件。</w:t>
      </w:r>
    </w:p>
    <w:p w14:paraId="2BE457E1">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3.10、</w:t>
      </w:r>
      <w:r>
        <w:rPr>
          <w:rFonts w:hint="eastAsia" w:ascii="宋体" w:hAnsi="宋体"/>
          <w:color w:val="auto"/>
          <w:sz w:val="24"/>
          <w:szCs w:val="24"/>
          <w:highlight w:val="none"/>
        </w:rPr>
        <w:t>可升级内置记录仪，提供说明书或检验报告证明。</w:t>
      </w:r>
    </w:p>
    <w:p w14:paraId="116F3BAB">
      <w:pPr>
        <w:pStyle w:val="45"/>
        <w:keepNext w:val="0"/>
        <w:keepLines w:val="0"/>
        <w:pageBreakBefore w:val="0"/>
        <w:numPr>
          <w:ilvl w:val="1"/>
          <w:numId w:val="0"/>
        </w:numPr>
        <w:kinsoku/>
        <w:wordWrap/>
        <w:overflowPunct/>
        <w:topLinePunct w:val="0"/>
        <w:bidi w:val="0"/>
        <w:adjustRightInd w:val="0"/>
        <w:snapToGrid w:val="0"/>
        <w:spacing w:line="240" w:lineRule="auto"/>
        <w:ind w:left="0" w:leftChars="0" w:right="0" w:rightChars="0" w:firstLine="0" w:firstLineChars="0"/>
        <w:textAlignment w:val="auto"/>
        <w:rPr>
          <w:rFonts w:asciiTheme="minorEastAsia" w:hAnsiTheme="minorEastAsia" w:eastAsiaTheme="minorEastAsia"/>
          <w:color w:val="auto"/>
          <w:sz w:val="24"/>
          <w:szCs w:val="24"/>
          <w:highlight w:val="none"/>
        </w:rPr>
      </w:pPr>
      <w:r>
        <w:rPr>
          <w:rFonts w:hint="default" w:cs="Times New Roman" w:asciiTheme="minorEastAsia" w:hAnsiTheme="minorEastAsia" w:eastAsiaTheme="minorEastAsia"/>
          <w:color w:val="auto"/>
          <w:kern w:val="2"/>
          <w:sz w:val="24"/>
          <w:szCs w:val="24"/>
          <w:highlight w:val="none"/>
          <w:lang w:val="en-US" w:eastAsia="zh-CN" w:bidi="ar-SA"/>
        </w:rPr>
        <w:t>3.11、</w:t>
      </w:r>
      <w:r>
        <w:rPr>
          <w:rFonts w:hint="eastAsia" w:ascii="宋体" w:hAnsi="宋体"/>
          <w:color w:val="auto"/>
          <w:sz w:val="24"/>
          <w:szCs w:val="24"/>
          <w:highlight w:val="none"/>
        </w:rPr>
        <w:t>支持它床观察，可同时监视≥1</w:t>
      </w:r>
      <w:r>
        <w:rPr>
          <w:rFonts w:ascii="宋体" w:hAnsi="宋体"/>
          <w:color w:val="auto"/>
          <w:sz w:val="24"/>
          <w:szCs w:val="24"/>
          <w:highlight w:val="none"/>
        </w:rPr>
        <w:t>0</w:t>
      </w:r>
      <w:r>
        <w:rPr>
          <w:rFonts w:hint="eastAsia" w:ascii="宋体" w:hAnsi="宋体"/>
          <w:color w:val="auto"/>
          <w:sz w:val="24"/>
          <w:szCs w:val="24"/>
          <w:highlight w:val="none"/>
        </w:rPr>
        <w:t>它床的报警信息。</w:t>
      </w:r>
    </w:p>
    <w:p w14:paraId="3289438E">
      <w:pPr>
        <w:pStyle w:val="3"/>
        <w:pageBreakBefore w:val="0"/>
        <w:widowControl w:val="0"/>
        <w:kinsoku/>
        <w:wordWrap/>
        <w:overflowPunct/>
        <w:topLinePunct w:val="0"/>
        <w:autoSpaceDE/>
        <w:autoSpaceDN/>
        <w:bidi w:val="0"/>
        <w:adjustRightInd w:val="0"/>
        <w:snapToGrid w:val="0"/>
        <w:spacing w:line="240" w:lineRule="auto"/>
        <w:ind w:left="0" w:leftChars="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四、商务要求</w:t>
      </w:r>
    </w:p>
    <w:p w14:paraId="0D246E7F">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b/>
          <w:bCs/>
          <w:sz w:val="24"/>
          <w:szCs w:val="24"/>
          <w:highlight w:val="none"/>
        </w:rPr>
        <w:t>投标报价：</w:t>
      </w:r>
      <w:r>
        <w:rPr>
          <w:rFonts w:hint="eastAsia" w:ascii="宋体" w:hAnsi="宋体" w:eastAsia="宋体" w:cs="宋体"/>
          <w:sz w:val="24"/>
          <w:szCs w:val="24"/>
          <w:highlight w:val="none"/>
        </w:rPr>
        <w:t>以人民币报价。供应商报价须包含本采购文件约定的所有工作内容及相关费用。货物金额、安装费、包装费、软件接口费、运输费及运输途中保险费、装卸费、税金及其它产生的相关所有费用均包含在报价总额中。</w:t>
      </w:r>
    </w:p>
    <w:p w14:paraId="24BF1BB6">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color w:val="0000FF"/>
          <w:sz w:val="24"/>
          <w:szCs w:val="24"/>
          <w:highlight w:val="none"/>
        </w:rPr>
      </w:pPr>
      <w:r>
        <w:rPr>
          <w:rFonts w:hint="eastAsia" w:ascii="宋体" w:hAnsi="宋体" w:eastAsia="宋体" w:cs="宋体"/>
          <w:color w:val="0000FF"/>
          <w:sz w:val="24"/>
          <w:szCs w:val="24"/>
          <w:highlight w:val="none"/>
        </w:rPr>
        <w:t>2、</w:t>
      </w:r>
      <w:r>
        <w:rPr>
          <w:rFonts w:hint="eastAsia" w:ascii="宋体" w:hAnsi="宋体" w:eastAsia="宋体" w:cs="宋体"/>
          <w:b/>
          <w:bCs/>
          <w:color w:val="0000FF"/>
          <w:sz w:val="24"/>
          <w:szCs w:val="24"/>
          <w:highlight w:val="none"/>
        </w:rPr>
        <w:t>付款方式：</w:t>
      </w:r>
      <w:r>
        <w:rPr>
          <w:rFonts w:hint="eastAsia" w:ascii="宋体" w:hAnsi="宋体" w:eastAsia="宋体" w:cs="宋体"/>
          <w:color w:val="0000FF"/>
          <w:sz w:val="24"/>
          <w:szCs w:val="24"/>
          <w:highlight w:val="none"/>
        </w:rPr>
        <w:t>最终付款方式以和采购人签订合同为准。</w:t>
      </w:r>
    </w:p>
    <w:p w14:paraId="512E9D73">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b/>
          <w:bCs/>
          <w:sz w:val="24"/>
          <w:szCs w:val="24"/>
          <w:highlight w:val="none"/>
          <w:lang w:val="en-US" w:eastAsia="zh-CN"/>
        </w:rPr>
        <w:t>供</w:t>
      </w:r>
      <w:r>
        <w:rPr>
          <w:rFonts w:hint="eastAsia" w:ascii="宋体" w:hAnsi="宋体" w:eastAsia="宋体" w:cs="宋体"/>
          <w:b/>
          <w:bCs/>
          <w:sz w:val="24"/>
          <w:szCs w:val="24"/>
          <w:highlight w:val="none"/>
        </w:rPr>
        <w:t>货期：</w:t>
      </w:r>
      <w:r>
        <w:rPr>
          <w:rFonts w:hint="eastAsia" w:ascii="宋体" w:hAnsi="宋体" w:eastAsia="宋体" w:cs="宋体"/>
          <w:color w:val="0000FF"/>
          <w:sz w:val="24"/>
          <w:szCs w:val="24"/>
          <w:highlight w:val="none"/>
          <w:lang w:val="en-US" w:eastAsia="zh-CN"/>
        </w:rPr>
        <w:t>60个日历天（具体以合同签订为准）</w:t>
      </w:r>
      <w:r>
        <w:rPr>
          <w:rFonts w:hint="eastAsia" w:ascii="宋体" w:hAnsi="宋体" w:eastAsia="宋体" w:cs="宋体"/>
          <w:color w:val="0000FF"/>
          <w:sz w:val="24"/>
          <w:szCs w:val="24"/>
          <w:highlight w:val="none"/>
        </w:rPr>
        <w:t>内供货、安装、调试、验收完成，如未在规定时间内完成供货、安装、调试、验收等工作，则需承担相应的违约责任。</w:t>
      </w:r>
    </w:p>
    <w:p w14:paraId="28169664">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r>
        <w:rPr>
          <w:rFonts w:hint="eastAsia" w:ascii="宋体" w:hAnsi="宋体" w:eastAsia="宋体" w:cs="宋体"/>
          <w:b/>
          <w:bCs/>
          <w:sz w:val="24"/>
          <w:szCs w:val="24"/>
          <w:highlight w:val="none"/>
        </w:rPr>
        <w:t>交货地点：</w:t>
      </w:r>
      <w:r>
        <w:rPr>
          <w:rFonts w:hint="eastAsia" w:ascii="宋体" w:hAnsi="宋体" w:eastAsia="宋体" w:cs="宋体"/>
          <w:sz w:val="24"/>
          <w:szCs w:val="24"/>
          <w:highlight w:val="none"/>
          <w:lang w:eastAsia="zh-CN"/>
        </w:rPr>
        <w:t>吉木乃县人民医院</w:t>
      </w:r>
      <w:r>
        <w:rPr>
          <w:rFonts w:hint="eastAsia" w:ascii="宋体" w:hAnsi="宋体" w:eastAsia="宋体" w:cs="宋体"/>
          <w:sz w:val="24"/>
          <w:szCs w:val="24"/>
          <w:highlight w:val="none"/>
        </w:rPr>
        <w:t>，最终按甲方指定地点验收、交货。</w:t>
      </w:r>
    </w:p>
    <w:p w14:paraId="7A14602C">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w:t>
      </w:r>
      <w:r>
        <w:rPr>
          <w:rFonts w:hint="eastAsia" w:ascii="宋体" w:hAnsi="宋体" w:eastAsia="宋体" w:cs="宋体"/>
          <w:b/>
          <w:bCs/>
          <w:sz w:val="24"/>
          <w:szCs w:val="24"/>
          <w:highlight w:val="none"/>
        </w:rPr>
        <w:t>质量标准：</w:t>
      </w:r>
      <w:r>
        <w:rPr>
          <w:rFonts w:hint="eastAsia" w:ascii="宋体" w:hAnsi="宋体" w:eastAsia="宋体" w:cs="宋体"/>
          <w:sz w:val="24"/>
          <w:szCs w:val="24"/>
          <w:highlight w:val="none"/>
        </w:rPr>
        <w:t>合格；质量符合国家、地方和行业相关标准和规范。</w:t>
      </w:r>
    </w:p>
    <w:p w14:paraId="2AD33597">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r>
        <w:rPr>
          <w:rFonts w:hint="eastAsia" w:ascii="宋体" w:hAnsi="宋体" w:eastAsia="宋体" w:cs="宋体"/>
          <w:b/>
          <w:bCs/>
          <w:sz w:val="24"/>
          <w:szCs w:val="24"/>
          <w:highlight w:val="none"/>
        </w:rPr>
        <w:t>验收标准：</w:t>
      </w:r>
      <w:r>
        <w:rPr>
          <w:rFonts w:hint="eastAsia" w:ascii="宋体" w:hAnsi="宋体" w:eastAsia="宋体" w:cs="宋体"/>
          <w:sz w:val="24"/>
          <w:szCs w:val="24"/>
          <w:highlight w:val="none"/>
        </w:rPr>
        <w:t>按</w:t>
      </w:r>
      <w:r>
        <w:rPr>
          <w:rFonts w:hint="eastAsia" w:ascii="宋体" w:hAnsi="宋体" w:eastAsia="宋体" w:cs="宋体"/>
          <w:sz w:val="24"/>
          <w:szCs w:val="24"/>
          <w:highlight w:val="none"/>
          <w:lang w:eastAsia="zh-CN"/>
        </w:rPr>
        <w:t>吉木乃县人民医院</w:t>
      </w:r>
      <w:r>
        <w:rPr>
          <w:rFonts w:hint="eastAsia" w:ascii="宋体" w:hAnsi="宋体" w:eastAsia="宋体" w:cs="宋体"/>
          <w:sz w:val="24"/>
          <w:szCs w:val="24"/>
          <w:highlight w:val="none"/>
        </w:rPr>
        <w:t>验收标准规定的程序及要求组织实施验收。</w:t>
      </w:r>
    </w:p>
    <w:p w14:paraId="4B000555">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货物到达后，甲乙双方均须在场并确认包装的完好性后，由甲方验货。并对货物进行清点验收，共同签字确认。如验收不合格，乙方应退货，预缴押金的要全额退还，一切损失由乙方承担。</w:t>
      </w:r>
    </w:p>
    <w:p w14:paraId="4AF82CA2">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组织验收小组按国家有关规定、规范进行验收，必要时邀请相关的专业人员或机构参与验收。因货物质量问题发生争议时，由本地质量技术监督部门鉴定。货物符合质量技术标准的，鉴定费由采购人承担；否则鉴定费由中标人承担，供应商针对此点提供书面承诺。</w:t>
      </w:r>
    </w:p>
    <w:p w14:paraId="144F2997">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验收标准按照国内最新相关标准实施，要求对全部产品、型号、规格、数量、外形、外观、包装进行验收。双方将依据有关规定，对到货的规格、数量等进行检验。</w:t>
      </w:r>
    </w:p>
    <w:p w14:paraId="6AFEC464">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交货时，乙方必须提供产品检验合格证书、装箱单、产品安装使用说明书、维修指南、服务手册等资料。</w:t>
      </w:r>
    </w:p>
    <w:p w14:paraId="0A7880BB">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在实际供货时，若中标人提供的货物未能达到招标文件的要求和投标文件中的有关承诺，将按有关法规进行处罚，采购人将有权单方面中止合同的执行，并追究因中标人所提供的未达到所承诺准确率产品而产生的所有损失和责任。（提供承诺函响应该条款，格式由供应商自拟。）</w:t>
      </w:r>
    </w:p>
    <w:p w14:paraId="63D7FD7F">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7、服务要求</w:t>
      </w:r>
    </w:p>
    <w:p w14:paraId="7260B3A0">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（一）交货要求</w:t>
      </w:r>
    </w:p>
    <w:p w14:paraId="20D7DBDC">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为了保证货物在运输和装卸过程中的安全，货物包装应符合国家或行业标准规定。包装均应有良好的防湿、防锈、防潮、防雨、防腐及防碰撞的措施，并适宜当地的气候条件。凡由于包装不良造成的损失和由此产生的费用均由中标人承担。</w:t>
      </w:r>
    </w:p>
    <w:p w14:paraId="58F652ED">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（2）并在每次发货时，随货提供产品合格证、发货清单，以便采购人验收。</w:t>
      </w:r>
    </w:p>
    <w:p w14:paraId="006D6B71">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中标人应当根据采购人实际情况，按与采购人的约定，在规定的时间内将预定的货物数量送到指定地点。除客观不可抗力外，中标人不得推迟送货。如确需延迟送货的，中标人应在得知情况的同时告知采购人并征得采购人同意，由于中标人拖沓造成采购人利益受损的，采购人有权要求中标人赔偿。供货期内中标人若出现延迟送货，经采购人书面提出整改通知，但情况没有改善的，采购人有权取消中标人供货资格，终止中标人供货合同和没收履约保证金。（提供承诺函响应该条款，格式由供应商自拟。）</w:t>
      </w:r>
    </w:p>
    <w:p w14:paraId="791A0375">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（4）投标人须承诺如中标后将准时送货到采购人指定地点。</w:t>
      </w:r>
    </w:p>
    <w:p w14:paraId="3C360AE0">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（二）退换货要求</w:t>
      </w:r>
    </w:p>
    <w:p w14:paraId="6DD2B2EF">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（1）如发现中标人所交付的货物有次品、损坏或其他不符合本项目的采购文件要求或不能满足投标文件有关承诺等情况，采购人有权提出退换货处理或按违约处理。</w:t>
      </w:r>
    </w:p>
    <w:p w14:paraId="7BACF6C3">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（2）由中标人负责对需退换货的产品做好相关记录，经中标人、采购人双方签字确认后，方可进行退换货品的工作。</w:t>
      </w:r>
    </w:p>
    <w:p w14:paraId="4F7C02A3">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（3）中标人须在确认当天完成所有的退换货工作，退换货工作包括货品的运输、搬运、堆放等，且由此产生的一切费用由中标人承担。</w:t>
      </w:r>
    </w:p>
    <w:p w14:paraId="2255ACDE">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（4）本项目换货后的产品须满足采购文件要求及投标文件承诺，不得低于原货品的标准要求；中标人也可经采购人同意后，选择同档次或优于原货品的同类产品替换原货品。</w:t>
      </w:r>
    </w:p>
    <w:p w14:paraId="03C44E26">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中标人须严格按照各采购人的指令送货商品的数量，不得随意增减数量，否则，采购人有权拒收。如因市场流通问题确实需要变更的，应事先书面申请，并经采购人同意后方可改变。（提供承诺函响应该条款，格式由供应商自拟。）</w:t>
      </w:r>
    </w:p>
    <w:p w14:paraId="64D6A811">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采购人发现采购货物不能正常使用的，中标人应无条件退换。中标人未能履行招标文件和合同所定事项，或供应不合格的、假冒伪劣、以次充好的商品，采购人退货后将记录在案，并对中标人予以处罚，要承担因此产生的一切损失和费用。（提供承诺函响应该条款，格式由供应商自拟。）</w:t>
      </w:r>
    </w:p>
    <w:p w14:paraId="1CF5EC1B">
      <w:pPr>
        <w:pStyle w:val="5"/>
        <w:spacing w:before="0" w:after="0" w:line="240" w:lineRule="auto"/>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kern w:val="2"/>
          <w:sz w:val="24"/>
          <w:szCs w:val="24"/>
          <w:highlight w:val="none"/>
          <w:lang w:val="en-US" w:eastAsia="zh-CN" w:bidi="ar-SA"/>
        </w:rPr>
        <w:t>（三）★移机服务</w:t>
      </w:r>
    </w:p>
    <w:p w14:paraId="42D842AD">
      <w:pPr>
        <w:ind w:firstLine="480" w:firstLineChars="200"/>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kern w:val="2"/>
          <w:sz w:val="24"/>
          <w:szCs w:val="24"/>
          <w:highlight w:val="none"/>
          <w:lang w:val="en-US" w:eastAsia="zh-CN" w:bidi="ar-SA"/>
        </w:rPr>
        <w:t>提供老院区麻醉机、大C型臂、检验科、血库、核酸检测实验室的移机服务，保证移机后设备功能完好运行。移机地点：由老院区移至新院区。（提供承诺函响应该条款，格式由供应商自拟。）</w:t>
      </w:r>
    </w:p>
    <w:p w14:paraId="18BE485C">
      <w:pPr>
        <w:pageBreakBefore w:val="0"/>
        <w:widowControl w:val="0"/>
        <w:kinsoku/>
        <w:wordWrap/>
        <w:overflowPunct/>
        <w:topLinePunct w:val="0"/>
        <w:autoSpaceDE/>
        <w:autoSpaceDN/>
        <w:bidi w:val="0"/>
        <w:adjustRightInd w:val="0"/>
        <w:snapToGrid w:val="0"/>
        <w:spacing w:line="240" w:lineRule="auto"/>
        <w:textAlignment w:val="baseline"/>
        <w:rPr>
          <w:rFonts w:hint="eastAsia" w:ascii="宋体" w:hAnsi="宋体" w:cs="宋体"/>
          <w:bCs/>
          <w:color w:val="auto"/>
          <w:sz w:val="24"/>
          <w:szCs w:val="24"/>
          <w:highlight w:val="none"/>
        </w:rPr>
      </w:pPr>
      <w:r>
        <w:rPr>
          <w:rFonts w:hint="eastAsia" w:ascii="宋体" w:hAnsi="宋体" w:eastAsia="宋体" w:cs="宋体"/>
          <w:b w:val="0"/>
          <w:bCs w:val="0"/>
          <w:sz w:val="24"/>
          <w:szCs w:val="24"/>
          <w:highlight w:val="none"/>
        </w:rPr>
        <w:t>8、</w:t>
      </w:r>
      <w:r>
        <w:rPr>
          <w:rFonts w:hint="eastAsia" w:ascii="宋体" w:hAnsi="宋体" w:eastAsia="宋体" w:cs="宋体"/>
          <w:b/>
          <w:bCs/>
          <w:sz w:val="24"/>
          <w:szCs w:val="24"/>
          <w:highlight w:val="none"/>
        </w:rPr>
        <w:t>售后服务要求：</w:t>
      </w:r>
      <w:r>
        <w:rPr>
          <w:rFonts w:hint="eastAsia" w:ascii="宋体" w:hAnsi="宋体" w:cs="宋体"/>
          <w:bCs/>
          <w:color w:val="auto"/>
          <w:sz w:val="24"/>
          <w:szCs w:val="24"/>
          <w:highlight w:val="none"/>
        </w:rPr>
        <w:t>供方必须严格遵守《通用合同条款》、《专用合同条款》和投标文件中的承诺的有关规定为用户提供售后服务及其他类似服务，包括：</w:t>
      </w:r>
    </w:p>
    <w:p w14:paraId="0CC6CD07">
      <w:pPr>
        <w:pageBreakBefore w:val="0"/>
        <w:widowControl w:val="0"/>
        <w:kinsoku/>
        <w:wordWrap/>
        <w:overflowPunct/>
        <w:topLinePunct w:val="0"/>
        <w:autoSpaceDE/>
        <w:autoSpaceDN/>
        <w:bidi w:val="0"/>
        <w:adjustRightInd w:val="0"/>
        <w:snapToGrid w:val="0"/>
        <w:spacing w:line="240" w:lineRule="auto"/>
        <w:ind w:firstLine="480"/>
        <w:textAlignment w:val="baseline"/>
        <w:rPr>
          <w:rFonts w:hint="eastAsia" w:ascii="宋体" w:hAnsi="宋体" w:cs="宋体"/>
          <w:bCs/>
          <w:color w:val="auto"/>
          <w:sz w:val="24"/>
          <w:szCs w:val="24"/>
          <w:highlight w:val="none"/>
        </w:rPr>
      </w:pPr>
      <w:r>
        <w:rPr>
          <w:rFonts w:hint="eastAsia" w:ascii="宋体" w:hAnsi="宋体" w:cs="宋体"/>
          <w:bCs/>
          <w:color w:val="auto"/>
          <w:sz w:val="24"/>
          <w:szCs w:val="24"/>
          <w:highlight w:val="none"/>
        </w:rPr>
        <w:t>（1）保证为购方提供优质、快捷的技术服务。</w:t>
      </w:r>
    </w:p>
    <w:p w14:paraId="671DBEF4">
      <w:pPr>
        <w:pageBreakBefore w:val="0"/>
        <w:widowControl w:val="0"/>
        <w:kinsoku/>
        <w:wordWrap/>
        <w:overflowPunct/>
        <w:topLinePunct w:val="0"/>
        <w:autoSpaceDE/>
        <w:autoSpaceDN/>
        <w:bidi w:val="0"/>
        <w:adjustRightInd w:val="0"/>
        <w:snapToGrid w:val="0"/>
        <w:spacing w:line="240" w:lineRule="auto"/>
        <w:ind w:firstLine="480"/>
        <w:textAlignment w:val="baseline"/>
        <w:rPr>
          <w:rFonts w:hint="eastAsia" w:ascii="宋体" w:hAnsi="宋体" w:cs="宋体"/>
          <w:bCs/>
          <w:color w:val="auto"/>
          <w:sz w:val="24"/>
          <w:szCs w:val="24"/>
          <w:highlight w:val="none"/>
        </w:rPr>
      </w:pPr>
      <w:r>
        <w:rPr>
          <w:rFonts w:hint="eastAsia" w:ascii="宋体" w:hAnsi="宋体" w:cs="宋体"/>
          <w:bCs/>
          <w:color w:val="auto"/>
          <w:sz w:val="24"/>
          <w:szCs w:val="24"/>
          <w:highlight w:val="none"/>
        </w:rPr>
        <w:t>（2）为了确保系统的正常使用及时解答采购方提出的疑问，帮助解决问题，负责对系统的使用提供技术咨询服务。</w:t>
      </w:r>
    </w:p>
    <w:p w14:paraId="4AD6CF8C">
      <w:pPr>
        <w:pageBreakBefore w:val="0"/>
        <w:widowControl w:val="0"/>
        <w:kinsoku/>
        <w:wordWrap/>
        <w:overflowPunct/>
        <w:topLinePunct w:val="0"/>
        <w:autoSpaceDE/>
        <w:autoSpaceDN/>
        <w:bidi w:val="0"/>
        <w:adjustRightInd w:val="0"/>
        <w:snapToGrid w:val="0"/>
        <w:spacing w:line="240" w:lineRule="auto"/>
        <w:ind w:firstLine="480"/>
        <w:textAlignment w:val="baseline"/>
        <w:rPr>
          <w:rFonts w:hint="eastAsia" w:ascii="宋体" w:hAnsi="宋体" w:cs="宋体"/>
          <w:bCs/>
          <w:color w:val="auto"/>
          <w:sz w:val="24"/>
          <w:szCs w:val="24"/>
          <w:highlight w:val="none"/>
        </w:rPr>
      </w:pPr>
      <w:r>
        <w:rPr>
          <w:rFonts w:hint="eastAsia" w:ascii="宋体" w:hAnsi="宋体" w:cs="宋体"/>
          <w:bCs/>
          <w:color w:val="auto"/>
          <w:sz w:val="24"/>
          <w:szCs w:val="24"/>
          <w:highlight w:val="none"/>
        </w:rPr>
        <w:t>（3）供应商应有专业的售后服务机构及技术人员，在满足紧急服务要求范围内，并注明售后服务机构办公地点及技术维修支持工程师名录和联系方式，提供工程师通过原厂或有关部门维修培训所获证书。</w:t>
      </w:r>
    </w:p>
    <w:p w14:paraId="2B1409AC">
      <w:pPr>
        <w:pageBreakBefore w:val="0"/>
        <w:widowControl w:val="0"/>
        <w:kinsoku/>
        <w:wordWrap/>
        <w:overflowPunct/>
        <w:topLinePunct w:val="0"/>
        <w:autoSpaceDE/>
        <w:autoSpaceDN/>
        <w:bidi w:val="0"/>
        <w:adjustRightInd w:val="0"/>
        <w:snapToGrid w:val="0"/>
        <w:spacing w:line="240" w:lineRule="auto"/>
        <w:ind w:firstLine="480"/>
        <w:textAlignment w:val="baseline"/>
        <w:rPr>
          <w:rFonts w:hint="eastAsia" w:ascii="宋体" w:hAnsi="宋体" w:cs="宋体"/>
          <w:bCs/>
          <w:color w:val="auto"/>
          <w:sz w:val="24"/>
          <w:szCs w:val="24"/>
          <w:highlight w:val="none"/>
        </w:rPr>
      </w:pPr>
      <w:r>
        <w:rPr>
          <w:rFonts w:hint="eastAsia" w:ascii="宋体" w:hAnsi="宋体" w:cs="宋体"/>
          <w:bCs/>
          <w:color w:val="auto"/>
          <w:sz w:val="24"/>
          <w:szCs w:val="24"/>
          <w:highlight w:val="none"/>
        </w:rPr>
        <w:t xml:space="preserve">（4）保证在接到请求技术服务 2 小时内予以响应，在 </w:t>
      </w:r>
      <w:r>
        <w:rPr>
          <w:rFonts w:hint="eastAsia" w:ascii="宋体" w:hAnsi="宋体" w:cs="宋体"/>
          <w:bCs/>
          <w:color w:val="auto"/>
          <w:sz w:val="24"/>
          <w:szCs w:val="24"/>
          <w:highlight w:val="none"/>
          <w:lang w:val="en-US" w:eastAsia="zh-CN"/>
        </w:rPr>
        <w:t>24</w:t>
      </w:r>
      <w:r>
        <w:rPr>
          <w:rFonts w:hint="eastAsia" w:ascii="宋体" w:hAnsi="宋体" w:cs="宋体"/>
          <w:bCs/>
          <w:color w:val="auto"/>
          <w:sz w:val="24"/>
          <w:szCs w:val="24"/>
          <w:highlight w:val="none"/>
        </w:rPr>
        <w:t xml:space="preserve"> 小时内（如遇不可抗力因素除外）派出技术人员</w:t>
      </w:r>
      <w:r>
        <w:rPr>
          <w:rFonts w:hint="eastAsia" w:ascii="宋体" w:hAnsi="宋体" w:cs="宋体"/>
          <w:bCs/>
          <w:color w:val="auto"/>
          <w:sz w:val="24"/>
          <w:szCs w:val="24"/>
          <w:highlight w:val="none"/>
          <w:lang w:val="en-US" w:eastAsia="zh-CN"/>
        </w:rPr>
        <w:t>到达</w:t>
      </w:r>
      <w:r>
        <w:rPr>
          <w:rFonts w:hint="eastAsia" w:ascii="宋体" w:hAnsi="宋体" w:cs="宋体"/>
          <w:bCs/>
          <w:color w:val="auto"/>
          <w:sz w:val="24"/>
          <w:szCs w:val="24"/>
          <w:highlight w:val="none"/>
        </w:rPr>
        <w:t>现场解决问题。</w:t>
      </w:r>
    </w:p>
    <w:p w14:paraId="651255EA">
      <w:pPr>
        <w:pageBreakBefore w:val="0"/>
        <w:widowControl w:val="0"/>
        <w:kinsoku/>
        <w:wordWrap/>
        <w:overflowPunct/>
        <w:topLinePunct w:val="0"/>
        <w:autoSpaceDE/>
        <w:autoSpaceDN/>
        <w:bidi w:val="0"/>
        <w:adjustRightInd w:val="0"/>
        <w:snapToGrid w:val="0"/>
        <w:spacing w:line="240" w:lineRule="auto"/>
        <w:ind w:firstLine="480"/>
        <w:textAlignment w:val="baseline"/>
        <w:rPr>
          <w:rFonts w:hint="eastAsia" w:ascii="宋体" w:hAnsi="宋体" w:cs="宋体"/>
          <w:bCs/>
          <w:color w:val="auto"/>
          <w:sz w:val="24"/>
          <w:szCs w:val="24"/>
          <w:highlight w:val="none"/>
        </w:rPr>
      </w:pPr>
      <w:r>
        <w:rPr>
          <w:rFonts w:hint="eastAsia" w:ascii="宋体" w:hAnsi="宋体" w:cs="宋体"/>
          <w:bCs/>
          <w:color w:val="auto"/>
          <w:sz w:val="24"/>
          <w:szCs w:val="24"/>
          <w:highlight w:val="none"/>
        </w:rPr>
        <w:t>（5）设备维修所需常规零备件在三个工作日内到达最终用户，非常规零备件在最长不超过七个工作日内到达最终用户。</w:t>
      </w:r>
    </w:p>
    <w:p w14:paraId="59CBD1CF">
      <w:pPr>
        <w:pageBreakBefore w:val="0"/>
        <w:widowControl w:val="0"/>
        <w:kinsoku/>
        <w:wordWrap/>
        <w:overflowPunct/>
        <w:topLinePunct w:val="0"/>
        <w:autoSpaceDE/>
        <w:autoSpaceDN/>
        <w:bidi w:val="0"/>
        <w:adjustRightInd w:val="0"/>
        <w:snapToGrid w:val="0"/>
        <w:spacing w:line="240" w:lineRule="auto"/>
        <w:ind w:firstLine="480"/>
        <w:textAlignment w:val="baseline"/>
        <w:rPr>
          <w:rFonts w:hint="eastAsia" w:ascii="宋体" w:hAnsi="宋体" w:cs="宋体"/>
          <w:bCs/>
          <w:color w:val="auto"/>
          <w:sz w:val="24"/>
          <w:szCs w:val="24"/>
          <w:highlight w:val="none"/>
        </w:rPr>
      </w:pPr>
      <w:r>
        <w:rPr>
          <w:rFonts w:hint="eastAsia" w:ascii="宋体" w:hAnsi="宋体" w:cs="宋体"/>
          <w:bCs/>
          <w:color w:val="auto"/>
          <w:sz w:val="24"/>
          <w:szCs w:val="24"/>
          <w:highlight w:val="none"/>
        </w:rPr>
        <w:t>（6）保证维修中所更换的备件为原厂生产或原装进口（如原件为原装进口）。</w:t>
      </w:r>
    </w:p>
    <w:p w14:paraId="7510AA7B">
      <w:pPr>
        <w:pageBreakBefore w:val="0"/>
        <w:widowControl w:val="0"/>
        <w:kinsoku/>
        <w:wordWrap/>
        <w:overflowPunct/>
        <w:topLinePunct w:val="0"/>
        <w:autoSpaceDE/>
        <w:autoSpaceDN/>
        <w:bidi w:val="0"/>
        <w:adjustRightInd w:val="0"/>
        <w:snapToGrid w:val="0"/>
        <w:spacing w:line="240" w:lineRule="auto"/>
        <w:ind w:firstLine="480"/>
        <w:textAlignment w:val="baseline"/>
        <w:rPr>
          <w:rFonts w:hint="eastAsia" w:ascii="宋体" w:hAnsi="宋体" w:cs="宋体"/>
          <w:bCs/>
          <w:color w:val="auto"/>
          <w:sz w:val="24"/>
          <w:szCs w:val="24"/>
          <w:highlight w:val="none"/>
        </w:rPr>
      </w:pPr>
      <w:r>
        <w:rPr>
          <w:rFonts w:hint="eastAsia" w:ascii="宋体" w:hAnsi="宋体" w:cs="宋体"/>
          <w:bCs/>
          <w:color w:val="auto"/>
          <w:sz w:val="24"/>
          <w:szCs w:val="24"/>
          <w:highlight w:val="none"/>
        </w:rPr>
        <w:t>（7）及时准确地予以满足采购人对设备进行长期维护（维修）的需要，在保修期内对出现任何质量问题，随时由我公司免费进行处理，包括配件的维修、更换等。</w:t>
      </w:r>
    </w:p>
    <w:p w14:paraId="68F8DF4D">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bCs/>
          <w:color w:val="auto"/>
          <w:sz w:val="24"/>
          <w:szCs w:val="24"/>
          <w:highlight w:val="none"/>
        </w:rPr>
        <w:t>（8）售后服务期为3年。</w:t>
      </w:r>
    </w:p>
    <w:p w14:paraId="15409A0E">
      <w:pPr>
        <w:pStyle w:val="33"/>
        <w:pageBreakBefore w:val="0"/>
        <w:widowControl w:val="0"/>
        <w:kinsoku/>
        <w:wordWrap/>
        <w:overflowPunct/>
        <w:topLinePunct w:val="0"/>
        <w:autoSpaceDE/>
        <w:autoSpaceDN/>
        <w:bidi w:val="0"/>
        <w:adjustRightInd w:val="0"/>
        <w:snapToGrid w:val="0"/>
        <w:spacing w:before="0" w:line="240" w:lineRule="auto"/>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strike w:val="0"/>
          <w:dstrike w:val="0"/>
          <w:sz w:val="24"/>
          <w:szCs w:val="24"/>
          <w:highlight w:val="none"/>
        </w:rPr>
        <w:t>9、</w:t>
      </w:r>
      <w:r>
        <w:rPr>
          <w:rFonts w:hint="eastAsia" w:ascii="宋体" w:hAnsi="宋体" w:eastAsia="宋体" w:cs="宋体"/>
          <w:b w:val="0"/>
          <w:bCs w:val="0"/>
          <w:kern w:val="2"/>
          <w:sz w:val="24"/>
          <w:szCs w:val="24"/>
          <w:highlight w:val="none"/>
          <w:lang w:val="en-US" w:eastAsia="zh-CN" w:bidi="ar-SA"/>
        </w:rPr>
        <w:t>★</w:t>
      </w:r>
      <w:r>
        <w:rPr>
          <w:rFonts w:hint="eastAsia" w:ascii="宋体" w:hAnsi="宋体" w:eastAsia="宋体" w:cs="宋体"/>
          <w:b/>
          <w:bCs/>
          <w:strike w:val="0"/>
          <w:dstrike w:val="0"/>
          <w:sz w:val="24"/>
          <w:szCs w:val="24"/>
          <w:highlight w:val="none"/>
        </w:rPr>
        <w:t>培训服务要求：</w:t>
      </w:r>
      <w:r>
        <w:rPr>
          <w:rFonts w:hint="eastAsia" w:ascii="宋体" w:hAnsi="宋体" w:eastAsia="宋体" w:cs="宋体"/>
          <w:strike w:val="0"/>
          <w:dstrike w:val="0"/>
          <w:sz w:val="24"/>
          <w:szCs w:val="24"/>
          <w:highlight w:val="none"/>
        </w:rPr>
        <w:t>供应商负责对采购方维修人员和使用人员进行培训。</w:t>
      </w:r>
      <w:r>
        <w:rPr>
          <w:rFonts w:hint="eastAsia" w:ascii="宋体" w:hAnsi="宋体" w:eastAsia="宋体" w:cs="宋体"/>
          <w:b w:val="0"/>
          <w:bCs/>
          <w:color w:val="auto"/>
          <w:kern w:val="2"/>
          <w:sz w:val="24"/>
          <w:szCs w:val="24"/>
          <w:highlight w:val="none"/>
          <w:lang w:val="en-US" w:eastAsia="zh-CN" w:bidi="ar-SA"/>
        </w:rPr>
        <w:t>（提供承诺函响应该条款，格式由供应商自拟。）</w:t>
      </w:r>
    </w:p>
    <w:p w14:paraId="131CB1B3">
      <w:pPr>
        <w:pStyle w:val="33"/>
        <w:pageBreakBefore w:val="0"/>
        <w:widowControl w:val="0"/>
        <w:kinsoku/>
        <w:wordWrap/>
        <w:overflowPunct/>
        <w:topLinePunct w:val="0"/>
        <w:autoSpaceDE/>
        <w:autoSpaceDN/>
        <w:bidi w:val="0"/>
        <w:adjustRightInd w:val="0"/>
        <w:snapToGrid w:val="0"/>
        <w:spacing w:before="0" w:line="240" w:lineRule="auto"/>
        <w:ind w:firstLine="480" w:firstLineChars="200"/>
        <w:textAlignment w:val="auto"/>
        <w:rPr>
          <w:rFonts w:hint="eastAsia" w:ascii="宋体" w:hAnsi="宋体" w:eastAsia="宋体" w:cs="宋体"/>
          <w:strike w:val="0"/>
          <w:dstrike w:val="0"/>
          <w:sz w:val="24"/>
          <w:szCs w:val="24"/>
          <w:highlight w:val="none"/>
        </w:rPr>
      </w:pPr>
      <w:r>
        <w:rPr>
          <w:rFonts w:hint="eastAsia" w:ascii="宋体" w:hAnsi="宋体" w:eastAsia="宋体" w:cs="宋体"/>
          <w:strike w:val="0"/>
          <w:dstrike w:val="0"/>
          <w:sz w:val="24"/>
          <w:szCs w:val="24"/>
          <w:highlight w:val="none"/>
          <w:lang w:val="en-US" w:eastAsia="zh-CN"/>
        </w:rPr>
        <w:t>院内培训：</w:t>
      </w:r>
      <w:r>
        <w:rPr>
          <w:rFonts w:hint="eastAsia" w:ascii="宋体" w:hAnsi="宋体" w:eastAsia="宋体" w:cs="宋体"/>
          <w:strike w:val="0"/>
          <w:dstrike w:val="0"/>
          <w:sz w:val="24"/>
          <w:szCs w:val="24"/>
          <w:highlight w:val="none"/>
        </w:rPr>
        <w:t>每套设备所需相关人员：操作人员2名，维修工程师2名。</w:t>
      </w:r>
      <w:r>
        <w:rPr>
          <w:rFonts w:hint="eastAsia" w:ascii="宋体" w:hAnsi="宋体" w:eastAsia="宋体" w:cs="宋体"/>
          <w:strike w:val="0"/>
          <w:dstrike w:val="0"/>
          <w:sz w:val="24"/>
          <w:szCs w:val="24"/>
          <w:highlight w:val="none"/>
          <w:lang w:val="en-US" w:eastAsia="zh-CN"/>
        </w:rPr>
        <w:t>培训次数：5次。</w:t>
      </w:r>
      <w:r>
        <w:rPr>
          <w:rFonts w:hint="eastAsia" w:ascii="宋体" w:hAnsi="宋体" w:eastAsia="宋体" w:cs="宋体"/>
          <w:strike w:val="0"/>
          <w:dstrike w:val="0"/>
          <w:sz w:val="24"/>
          <w:szCs w:val="24"/>
          <w:highlight w:val="none"/>
        </w:rPr>
        <w:t>培训地点：院内。使采购方维修人员能对设备的日常维护和一般性故障的查找及故障的排除，使用人员能熟练掌握设备的各项操作。</w:t>
      </w:r>
    </w:p>
    <w:p w14:paraId="1FBDFC35">
      <w:pPr>
        <w:ind w:firstLine="480" w:firstLineChars="200"/>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strike w:val="0"/>
          <w:dstrike w:val="0"/>
          <w:sz w:val="24"/>
          <w:szCs w:val="24"/>
          <w:highlight w:val="none"/>
          <w:lang w:val="en-US" w:eastAsia="zh-CN"/>
        </w:rPr>
        <w:t>进修培训：为医院</w:t>
      </w:r>
      <w:r>
        <w:rPr>
          <w:rFonts w:hint="eastAsia" w:ascii="宋体" w:hAnsi="宋体" w:cs="宋体"/>
          <w:strike w:val="0"/>
          <w:dstrike w:val="0"/>
          <w:sz w:val="24"/>
          <w:szCs w:val="24"/>
          <w:highlight w:val="none"/>
          <w:lang w:val="en-US" w:eastAsia="zh-CN"/>
        </w:rPr>
        <w:t>相关使用科室</w:t>
      </w:r>
      <w:r>
        <w:rPr>
          <w:rFonts w:hint="eastAsia" w:ascii="宋体" w:hAnsi="宋体" w:eastAsia="宋体" w:cs="宋体"/>
          <w:strike w:val="0"/>
          <w:dstrike w:val="0"/>
          <w:sz w:val="24"/>
          <w:szCs w:val="24"/>
          <w:highlight w:val="none"/>
          <w:lang w:val="en-US" w:eastAsia="zh-CN"/>
        </w:rPr>
        <w:t>提供3人以上工作人员的进修培训服务</w:t>
      </w:r>
      <w:r>
        <w:rPr>
          <w:rFonts w:hint="eastAsia" w:ascii="宋体" w:hAnsi="宋体" w:cs="宋体"/>
          <w:strike w:val="0"/>
          <w:dstrike w:val="0"/>
          <w:sz w:val="24"/>
          <w:szCs w:val="24"/>
          <w:highlight w:val="none"/>
          <w:lang w:val="en-US" w:eastAsia="zh-CN"/>
        </w:rPr>
        <w:t>；</w:t>
      </w:r>
      <w:r>
        <w:rPr>
          <w:rFonts w:hint="eastAsia" w:ascii="宋体" w:hAnsi="宋体" w:eastAsia="宋体" w:cs="宋体"/>
          <w:strike w:val="0"/>
          <w:dstrike w:val="0"/>
          <w:sz w:val="24"/>
          <w:szCs w:val="24"/>
          <w:highlight w:val="none"/>
          <w:lang w:val="en-US" w:eastAsia="zh-CN"/>
        </w:rPr>
        <w:t>培训时间</w:t>
      </w:r>
      <w:r>
        <w:rPr>
          <w:rFonts w:hint="eastAsia" w:ascii="宋体" w:hAnsi="宋体" w:cs="宋体"/>
          <w:strike w:val="0"/>
          <w:dstrike w:val="0"/>
          <w:sz w:val="24"/>
          <w:szCs w:val="24"/>
          <w:highlight w:val="none"/>
          <w:lang w:val="en-US" w:eastAsia="zh-CN"/>
        </w:rPr>
        <w:t>为</w:t>
      </w:r>
      <w:r>
        <w:rPr>
          <w:rFonts w:hint="eastAsia" w:ascii="宋体" w:hAnsi="宋体" w:eastAsia="宋体" w:cs="宋体"/>
          <w:strike w:val="0"/>
          <w:dstrike w:val="0"/>
          <w:sz w:val="24"/>
          <w:szCs w:val="24"/>
          <w:highlight w:val="none"/>
          <w:lang w:val="en-US" w:eastAsia="zh-CN"/>
        </w:rPr>
        <w:t>3个月以上</w:t>
      </w:r>
      <w:r>
        <w:rPr>
          <w:rFonts w:hint="eastAsia" w:ascii="宋体" w:hAnsi="宋体" w:cs="宋体"/>
          <w:strike w:val="0"/>
          <w:dstrike w:val="0"/>
          <w:sz w:val="24"/>
          <w:szCs w:val="24"/>
          <w:highlight w:val="none"/>
          <w:lang w:val="en-US" w:eastAsia="zh-CN"/>
        </w:rPr>
        <w:t>；</w:t>
      </w:r>
      <w:r>
        <w:rPr>
          <w:rFonts w:hint="eastAsia" w:ascii="宋体" w:hAnsi="宋体" w:eastAsia="宋体" w:cs="宋体"/>
          <w:strike w:val="0"/>
          <w:dstrike w:val="0"/>
          <w:sz w:val="24"/>
          <w:szCs w:val="24"/>
          <w:highlight w:val="none"/>
          <w:lang w:val="en-US" w:eastAsia="zh-CN"/>
        </w:rPr>
        <w:t>培训地点</w:t>
      </w:r>
      <w:r>
        <w:rPr>
          <w:rFonts w:hint="eastAsia" w:ascii="宋体" w:hAnsi="宋体" w:cs="宋体"/>
          <w:strike w:val="0"/>
          <w:dstrike w:val="0"/>
          <w:sz w:val="24"/>
          <w:szCs w:val="24"/>
          <w:highlight w:val="none"/>
          <w:lang w:val="en-US" w:eastAsia="zh-CN"/>
        </w:rPr>
        <w:t>为</w:t>
      </w:r>
      <w:r>
        <w:rPr>
          <w:rFonts w:hint="eastAsia" w:ascii="宋体" w:hAnsi="宋体" w:eastAsia="宋体" w:cs="宋体"/>
          <w:strike w:val="0"/>
          <w:dstrike w:val="0"/>
          <w:sz w:val="24"/>
          <w:szCs w:val="24"/>
          <w:highlight w:val="none"/>
          <w:lang w:val="en-US" w:eastAsia="zh-CN"/>
        </w:rPr>
        <w:t>自治区内三甲医院</w:t>
      </w:r>
      <w:r>
        <w:rPr>
          <w:rFonts w:hint="eastAsia" w:ascii="宋体" w:hAnsi="宋体" w:cs="宋体"/>
          <w:strike w:val="0"/>
          <w:dstrike w:val="0"/>
          <w:sz w:val="24"/>
          <w:szCs w:val="24"/>
          <w:highlight w:val="none"/>
          <w:lang w:val="en-US" w:eastAsia="zh-CN"/>
        </w:rPr>
        <w:t>；负责</w:t>
      </w:r>
      <w:r>
        <w:rPr>
          <w:rFonts w:hint="eastAsia" w:ascii="宋体" w:hAnsi="宋体" w:eastAsia="宋体" w:cs="宋体"/>
          <w:strike w:val="0"/>
          <w:dstrike w:val="0"/>
          <w:sz w:val="24"/>
          <w:szCs w:val="24"/>
          <w:highlight w:val="none"/>
          <w:lang w:val="en-US" w:eastAsia="zh-CN"/>
        </w:rPr>
        <w:t>联系培训单位</w:t>
      </w:r>
      <w:r>
        <w:rPr>
          <w:rFonts w:hint="eastAsia" w:ascii="宋体" w:hAnsi="宋体" w:cs="宋体"/>
          <w:strike w:val="0"/>
          <w:dstrike w:val="0"/>
          <w:sz w:val="24"/>
          <w:szCs w:val="24"/>
          <w:highlight w:val="none"/>
          <w:lang w:val="en-US" w:eastAsia="zh-CN"/>
        </w:rPr>
        <w:t>并</w:t>
      </w:r>
      <w:r>
        <w:rPr>
          <w:rFonts w:hint="eastAsia" w:ascii="宋体" w:hAnsi="宋体" w:eastAsia="宋体" w:cs="宋体"/>
          <w:strike w:val="0"/>
          <w:dstrike w:val="0"/>
          <w:sz w:val="24"/>
          <w:szCs w:val="24"/>
          <w:highlight w:val="none"/>
          <w:lang w:val="en-US" w:eastAsia="zh-CN"/>
        </w:rPr>
        <w:t>提供</w:t>
      </w:r>
      <w:r>
        <w:rPr>
          <w:rFonts w:hint="eastAsia" w:ascii="宋体" w:hAnsi="宋体" w:cs="宋体"/>
          <w:strike w:val="0"/>
          <w:dstrike w:val="0"/>
          <w:sz w:val="24"/>
          <w:szCs w:val="24"/>
          <w:highlight w:val="none"/>
          <w:lang w:val="en-US" w:eastAsia="zh-CN"/>
        </w:rPr>
        <w:t>食</w:t>
      </w:r>
      <w:r>
        <w:rPr>
          <w:rFonts w:hint="eastAsia" w:ascii="宋体" w:hAnsi="宋体" w:eastAsia="宋体" w:cs="宋体"/>
          <w:strike w:val="0"/>
          <w:dstrike w:val="0"/>
          <w:sz w:val="24"/>
          <w:szCs w:val="24"/>
          <w:highlight w:val="none"/>
          <w:lang w:val="en-US" w:eastAsia="zh-CN"/>
        </w:rPr>
        <w:t>宿</w:t>
      </w:r>
      <w:r>
        <w:rPr>
          <w:rFonts w:hint="eastAsia" w:ascii="宋体" w:hAnsi="宋体" w:cs="宋体"/>
          <w:strike w:val="0"/>
          <w:dstrike w:val="0"/>
          <w:sz w:val="24"/>
          <w:szCs w:val="24"/>
          <w:highlight w:val="none"/>
          <w:lang w:val="en-US" w:eastAsia="zh-CN"/>
        </w:rPr>
        <w:t>及交通费用</w:t>
      </w:r>
      <w:r>
        <w:rPr>
          <w:rFonts w:hint="eastAsia" w:ascii="宋体" w:hAnsi="宋体" w:eastAsia="宋体" w:cs="宋体"/>
          <w:strike w:val="0"/>
          <w:dstrike w:val="0"/>
          <w:sz w:val="24"/>
          <w:szCs w:val="24"/>
          <w:highlight w:val="none"/>
          <w:lang w:val="en-US" w:eastAsia="zh-CN"/>
        </w:rPr>
        <w:t>。</w:t>
      </w:r>
    </w:p>
    <w:p w14:paraId="092ED5B6">
      <w:pPr>
        <w:pStyle w:val="5"/>
        <w:rPr>
          <w:rFonts w:hint="eastAsia"/>
        </w:rPr>
      </w:pPr>
    </w:p>
    <w:p w14:paraId="6AD10159">
      <w:pPr>
        <w:pageBreakBefore w:val="0"/>
        <w:widowControl w:val="0"/>
        <w:numPr>
          <w:ilvl w:val="0"/>
          <w:numId w:val="0"/>
        </w:numPr>
        <w:wordWrap/>
        <w:topLinePunct w:val="0"/>
        <w:bidi w:val="0"/>
        <w:spacing w:line="480" w:lineRule="auto"/>
        <w:jc w:val="center"/>
        <w:outlineLvl w:val="0"/>
        <w:rPr>
          <w:rFonts w:hint="eastAsia" w:ascii="宋体" w:hAnsi="宋体" w:eastAsia="宋体" w:cs="宋体"/>
          <w:b/>
          <w:color w:val="000000"/>
          <w:sz w:val="24"/>
          <w:szCs w:val="24"/>
          <w:highlight w:val="none"/>
          <w:lang w:val="en-US" w:eastAsia="zh-CN"/>
        </w:rPr>
      </w:pPr>
      <w:bookmarkStart w:id="160" w:name="_Toc18498"/>
      <w:bookmarkStart w:id="161" w:name="_Toc19036"/>
      <w:bookmarkStart w:id="162" w:name="_Toc20565"/>
      <w:bookmarkStart w:id="163" w:name="_Toc13557"/>
      <w:bookmarkStart w:id="164" w:name="_Toc14796"/>
      <w:r>
        <w:rPr>
          <w:rFonts w:hint="eastAsia" w:ascii="宋体" w:hAnsi="宋体" w:eastAsia="宋体" w:cs="宋体"/>
          <w:b/>
          <w:bCs w:val="0"/>
          <w:color w:val="auto"/>
          <w:sz w:val="32"/>
          <w:szCs w:val="32"/>
          <w:highlight w:val="none"/>
        </w:rPr>
        <w:br w:type="page"/>
      </w:r>
      <w:bookmarkEnd w:id="160"/>
      <w:bookmarkEnd w:id="161"/>
      <w:bookmarkEnd w:id="162"/>
      <w:bookmarkEnd w:id="163"/>
      <w:bookmarkEnd w:id="164"/>
      <w:bookmarkStart w:id="165" w:name="_Toc25724"/>
      <w:bookmarkStart w:id="166" w:name="_Toc5071"/>
      <w:bookmarkStart w:id="167" w:name="_Toc13634"/>
      <w:bookmarkStart w:id="168" w:name="_Toc16861"/>
      <w:bookmarkStart w:id="169" w:name="_Toc4164"/>
      <w:r>
        <w:rPr>
          <w:rFonts w:hint="eastAsia" w:ascii="宋体" w:hAnsi="宋体" w:eastAsia="宋体" w:cs="宋体"/>
          <w:b/>
          <w:bCs w:val="0"/>
          <w:color w:val="auto"/>
          <w:sz w:val="32"/>
          <w:szCs w:val="32"/>
          <w:highlight w:val="none"/>
        </w:rPr>
        <w:t>第</w:t>
      </w:r>
      <w:r>
        <w:rPr>
          <w:rFonts w:hint="eastAsia" w:ascii="宋体" w:hAnsi="宋体" w:eastAsia="宋体" w:cs="宋体"/>
          <w:b/>
          <w:bCs w:val="0"/>
          <w:color w:val="auto"/>
          <w:sz w:val="32"/>
          <w:szCs w:val="32"/>
          <w:highlight w:val="none"/>
          <w:lang w:val="en-US" w:eastAsia="zh-CN"/>
        </w:rPr>
        <w:t>四章</w:t>
      </w:r>
      <w:r>
        <w:rPr>
          <w:rFonts w:hint="eastAsia" w:ascii="宋体" w:hAnsi="宋体" w:eastAsia="宋体" w:cs="宋体"/>
          <w:b/>
          <w:bCs w:val="0"/>
          <w:color w:val="auto"/>
          <w:sz w:val="32"/>
          <w:szCs w:val="32"/>
          <w:highlight w:val="none"/>
        </w:rPr>
        <w:t xml:space="preserve">    </w:t>
      </w:r>
      <w:bookmarkStart w:id="170" w:name="_Toc22660_WPSOffice_Level1"/>
      <w:bookmarkStart w:id="171" w:name="_Toc29040"/>
      <w:bookmarkStart w:id="172" w:name="_Toc25217"/>
      <w:bookmarkStart w:id="173" w:name="_Toc17546"/>
      <w:bookmarkStart w:id="174" w:name="_Toc381970843"/>
      <w:bookmarkStart w:id="175" w:name="_Toc331685783"/>
      <w:r>
        <w:rPr>
          <w:rFonts w:hint="eastAsia" w:ascii="宋体" w:hAnsi="宋体" w:eastAsia="宋体" w:cs="宋体"/>
          <w:b/>
          <w:spacing w:val="-4"/>
          <w:sz w:val="36"/>
          <w:szCs w:val="36"/>
          <w:highlight w:val="none"/>
          <w:lang w:val="en-US" w:eastAsia="zh-CN"/>
        </w:rPr>
        <w:t>合同条款</w:t>
      </w:r>
      <w:bookmarkEnd w:id="170"/>
      <w:r>
        <w:rPr>
          <w:rFonts w:hint="eastAsia" w:ascii="宋体" w:hAnsi="宋体" w:eastAsia="宋体" w:cs="宋体"/>
          <w:b/>
          <w:spacing w:val="-4"/>
          <w:sz w:val="36"/>
          <w:szCs w:val="36"/>
          <w:highlight w:val="none"/>
          <w:lang w:val="en-US" w:eastAsia="zh-CN"/>
        </w:rPr>
        <w:t>（仅供参考）</w:t>
      </w:r>
    </w:p>
    <w:bookmarkEnd w:id="171"/>
    <w:bookmarkEnd w:id="172"/>
    <w:bookmarkEnd w:id="173"/>
    <w:bookmarkEnd w:id="174"/>
    <w:p w14:paraId="690729FD">
      <w:pPr>
        <w:pageBreakBefore w:val="0"/>
        <w:widowControl w:val="0"/>
        <w:wordWrap/>
        <w:topLinePunct w:val="0"/>
        <w:bidi w:val="0"/>
        <w:spacing w:line="240" w:lineRule="atLeast"/>
        <w:ind w:left="-567" w:leftChars="-270" w:firstLine="540"/>
        <w:jc w:val="center"/>
        <w:outlineLvl w:val="0"/>
        <w:rPr>
          <w:rFonts w:hint="eastAsia" w:ascii="仿宋" w:hAnsi="仿宋" w:eastAsia="仿宋" w:cs="仿宋"/>
          <w:kern w:val="44"/>
          <w:sz w:val="28"/>
          <w:szCs w:val="28"/>
          <w:highlight w:val="none"/>
        </w:rPr>
      </w:pPr>
      <w:r>
        <w:rPr>
          <w:rFonts w:hint="eastAsia" w:ascii="宋体" w:hAnsi="宋体" w:eastAsia="宋体" w:cs="宋体"/>
          <w:sz w:val="24"/>
          <w:szCs w:val="24"/>
          <w:highlight w:val="none"/>
          <w:lang w:val="en-US" w:eastAsia="zh-CN"/>
        </w:rPr>
        <w:t xml:space="preserve">   </w:t>
      </w:r>
      <w:bookmarkStart w:id="176" w:name="_Toc248299891"/>
      <w:bookmarkStart w:id="177" w:name="_Toc267301301"/>
      <w:bookmarkStart w:id="178" w:name="_Toc349573141"/>
      <w:bookmarkStart w:id="179" w:name="_Toc298240426"/>
      <w:bookmarkStart w:id="180" w:name="_Toc255566102"/>
      <w:bookmarkStart w:id="181" w:name="_Toc349637940"/>
      <w:r>
        <w:rPr>
          <w:rFonts w:hint="eastAsia" w:ascii="仿宋" w:hAnsi="仿宋" w:eastAsia="仿宋" w:cs="仿宋"/>
          <w:sz w:val="24"/>
          <w:szCs w:val="24"/>
          <w:highlight w:val="none"/>
          <w:lang w:val="en-US" w:eastAsia="zh-CN"/>
        </w:rPr>
        <w:t xml:space="preserve"> </w:t>
      </w:r>
      <w:r>
        <w:rPr>
          <w:rFonts w:hint="eastAsia" w:ascii="仿宋" w:hAnsi="仿宋" w:eastAsia="仿宋" w:cs="仿宋"/>
          <w:kern w:val="44"/>
          <w:sz w:val="28"/>
          <w:szCs w:val="28"/>
          <w:highlight w:val="none"/>
        </w:rPr>
        <w:t>请参照</w:t>
      </w:r>
      <w:r>
        <w:rPr>
          <w:rFonts w:hint="eastAsia" w:ascii="仿宋" w:hAnsi="仿宋" w:eastAsia="仿宋" w:cs="仿宋"/>
          <w:kern w:val="44"/>
          <w:sz w:val="28"/>
          <w:szCs w:val="28"/>
          <w:highlight w:val="none"/>
          <w:lang w:val="en-US" w:eastAsia="zh-CN"/>
        </w:rPr>
        <w:t>货物</w:t>
      </w:r>
      <w:r>
        <w:rPr>
          <w:rFonts w:hint="eastAsia" w:ascii="仿宋" w:hAnsi="仿宋" w:eastAsia="仿宋" w:cs="仿宋"/>
          <w:kern w:val="44"/>
          <w:sz w:val="28"/>
          <w:szCs w:val="28"/>
          <w:highlight w:val="none"/>
        </w:rPr>
        <w:t>类政府采购合同参考范本订立采购合同。</w:t>
      </w:r>
    </w:p>
    <w:p w14:paraId="60599C70">
      <w:pPr>
        <w:pStyle w:val="6"/>
        <w:pageBreakBefore w:val="0"/>
        <w:widowControl w:val="0"/>
        <w:wordWrap/>
        <w:topLinePunct w:val="0"/>
        <w:bidi w:val="0"/>
        <w:spacing w:line="240" w:lineRule="atLeast"/>
        <w:ind w:firstLine="0"/>
        <w:rPr>
          <w:rFonts w:hint="eastAsia" w:ascii="仿宋" w:hAnsi="仿宋" w:eastAsia="仿宋" w:cs="仿宋"/>
          <w:highlight w:val="none"/>
        </w:rPr>
      </w:pPr>
    </w:p>
    <w:p w14:paraId="23690101">
      <w:pPr>
        <w:pageBreakBefore w:val="0"/>
        <w:widowControl w:val="0"/>
        <w:wordWrap/>
        <w:topLinePunct w:val="0"/>
        <w:bidi w:val="0"/>
        <w:jc w:val="center"/>
        <w:rPr>
          <w:rFonts w:hint="eastAsia" w:ascii="仿宋" w:hAnsi="仿宋" w:eastAsia="仿宋" w:cs="仿宋"/>
          <w:b/>
          <w:bCs/>
          <w:highlight w:val="none"/>
        </w:rPr>
      </w:pPr>
      <w:r>
        <w:rPr>
          <w:rFonts w:hint="eastAsia" w:ascii="仿宋" w:hAnsi="仿宋" w:eastAsia="仿宋" w:cs="仿宋"/>
          <w:b/>
          <w:bCs/>
          <w:highlight w:val="none"/>
        </w:rPr>
        <w:t>（以最终签订合同为准，本合同条款仅供参考）</w:t>
      </w:r>
    </w:p>
    <w:p w14:paraId="2825B021">
      <w:pPr>
        <w:pageBreakBefore w:val="0"/>
        <w:widowControl w:val="0"/>
        <w:wordWrap/>
        <w:topLinePunct w:val="0"/>
        <w:bidi w:val="0"/>
        <w:jc w:val="left"/>
        <w:rPr>
          <w:rFonts w:hint="eastAsia" w:ascii="仿宋" w:hAnsi="仿宋" w:eastAsia="仿宋" w:cs="仿宋"/>
          <w:sz w:val="24"/>
          <w:highlight w:val="none"/>
        </w:rPr>
      </w:pPr>
    </w:p>
    <w:p w14:paraId="09BB7738">
      <w:pPr>
        <w:pageBreakBefore w:val="0"/>
        <w:widowControl w:val="0"/>
        <w:wordWrap/>
        <w:topLinePunct w:val="0"/>
        <w:bidi w:val="0"/>
        <w:jc w:val="left"/>
        <w:rPr>
          <w:rFonts w:hint="eastAsia" w:ascii="仿宋" w:hAnsi="仿宋" w:eastAsia="仿宋" w:cs="仿宋"/>
          <w:sz w:val="24"/>
          <w:highlight w:val="none"/>
        </w:rPr>
      </w:pPr>
    </w:p>
    <w:p w14:paraId="6A7602C7">
      <w:pPr>
        <w:spacing w:line="264" w:lineRule="auto"/>
        <w:jc w:val="center"/>
        <w:rPr>
          <w:rFonts w:hint="eastAsia" w:ascii="仿宋" w:hAnsi="仿宋" w:eastAsia="仿宋" w:cs="仿宋"/>
          <w:bCs/>
          <w:color w:val="auto"/>
          <w:sz w:val="28"/>
          <w:szCs w:val="28"/>
        </w:rPr>
      </w:pPr>
    </w:p>
    <w:p w14:paraId="257F9ED3">
      <w:pPr>
        <w:spacing w:line="264" w:lineRule="auto"/>
        <w:jc w:val="center"/>
        <w:rPr>
          <w:rFonts w:hint="eastAsia" w:ascii="仿宋" w:hAnsi="仿宋" w:eastAsia="仿宋" w:cs="仿宋"/>
          <w:bCs/>
          <w:color w:val="auto"/>
          <w:sz w:val="28"/>
          <w:szCs w:val="28"/>
        </w:rPr>
      </w:pPr>
      <w:r>
        <w:rPr>
          <w:rFonts w:hint="eastAsia" w:ascii="仿宋" w:hAnsi="仿宋" w:eastAsia="仿宋" w:cs="仿宋"/>
          <w:bCs/>
          <w:color w:val="auto"/>
          <w:sz w:val="28"/>
          <w:szCs w:val="28"/>
        </w:rPr>
        <w:t>（设备名称）</w:t>
      </w:r>
    </w:p>
    <w:p w14:paraId="72D1BCFF">
      <w:pPr>
        <w:spacing w:line="264" w:lineRule="auto"/>
        <w:rPr>
          <w:rFonts w:hint="eastAsia" w:ascii="仿宋" w:hAnsi="仿宋" w:eastAsia="仿宋" w:cs="仿宋"/>
          <w:bCs/>
          <w:color w:val="auto"/>
        </w:rPr>
      </w:pPr>
    </w:p>
    <w:p w14:paraId="13EC3F84">
      <w:pPr>
        <w:spacing w:line="264" w:lineRule="auto"/>
        <w:rPr>
          <w:rFonts w:hint="eastAsia" w:ascii="仿宋" w:hAnsi="仿宋" w:eastAsia="仿宋" w:cs="仿宋"/>
          <w:bCs/>
          <w:color w:val="auto"/>
        </w:rPr>
      </w:pPr>
    </w:p>
    <w:p w14:paraId="50D081EA">
      <w:pPr>
        <w:spacing w:line="264" w:lineRule="auto"/>
        <w:rPr>
          <w:rFonts w:hint="eastAsia" w:ascii="仿宋" w:hAnsi="仿宋" w:eastAsia="仿宋" w:cs="仿宋"/>
          <w:bCs/>
          <w:color w:val="auto"/>
        </w:rPr>
      </w:pPr>
    </w:p>
    <w:p w14:paraId="2751D4E8">
      <w:pPr>
        <w:spacing w:line="264" w:lineRule="auto"/>
        <w:rPr>
          <w:rFonts w:hint="eastAsia" w:ascii="仿宋" w:hAnsi="仿宋" w:eastAsia="仿宋" w:cs="仿宋"/>
          <w:bCs/>
          <w:color w:val="auto"/>
        </w:rPr>
      </w:pPr>
    </w:p>
    <w:p w14:paraId="7BF9DC09">
      <w:pPr>
        <w:spacing w:line="264" w:lineRule="auto"/>
        <w:jc w:val="center"/>
        <w:rPr>
          <w:rFonts w:hint="eastAsia" w:ascii="仿宋" w:hAnsi="仿宋" w:eastAsia="仿宋" w:cs="仿宋"/>
          <w:bCs/>
          <w:color w:val="auto"/>
          <w:sz w:val="44"/>
          <w:szCs w:val="44"/>
        </w:rPr>
      </w:pPr>
      <w:r>
        <w:rPr>
          <w:rFonts w:hint="eastAsia" w:ascii="仿宋" w:hAnsi="仿宋" w:eastAsia="仿宋" w:cs="仿宋"/>
          <w:bCs/>
          <w:color w:val="auto"/>
          <w:sz w:val="44"/>
          <w:szCs w:val="44"/>
        </w:rPr>
        <w:t xml:space="preserve">  合  同</w:t>
      </w:r>
    </w:p>
    <w:p w14:paraId="055562B0">
      <w:pPr>
        <w:jc w:val="center"/>
        <w:rPr>
          <w:rFonts w:hint="eastAsia" w:ascii="仿宋" w:hAnsi="仿宋" w:eastAsia="仿宋" w:cs="仿宋"/>
          <w:bCs/>
          <w:color w:val="auto"/>
          <w:sz w:val="24"/>
          <w:szCs w:val="24"/>
        </w:rPr>
      </w:pPr>
    </w:p>
    <w:p w14:paraId="1DB010B5">
      <w:pPr>
        <w:spacing w:line="264" w:lineRule="auto"/>
        <w:jc w:val="center"/>
        <w:rPr>
          <w:rFonts w:hint="eastAsia" w:ascii="仿宋" w:hAnsi="仿宋" w:eastAsia="仿宋" w:cs="仿宋"/>
          <w:bCs/>
          <w:color w:val="auto"/>
          <w:sz w:val="32"/>
          <w:szCs w:val="32"/>
        </w:rPr>
      </w:pPr>
    </w:p>
    <w:p w14:paraId="70BCFA0A">
      <w:pPr>
        <w:spacing w:line="264" w:lineRule="auto"/>
        <w:jc w:val="center"/>
        <w:rPr>
          <w:rFonts w:hint="eastAsia" w:ascii="仿宋" w:hAnsi="仿宋" w:eastAsia="仿宋" w:cs="仿宋"/>
          <w:bCs/>
          <w:color w:val="auto"/>
          <w:sz w:val="32"/>
          <w:szCs w:val="32"/>
        </w:rPr>
      </w:pPr>
    </w:p>
    <w:p w14:paraId="34047A70">
      <w:pPr>
        <w:spacing w:line="264" w:lineRule="auto"/>
        <w:jc w:val="center"/>
        <w:rPr>
          <w:rFonts w:hint="eastAsia" w:ascii="仿宋" w:hAnsi="仿宋" w:eastAsia="仿宋" w:cs="仿宋"/>
          <w:bCs/>
          <w:color w:val="auto"/>
          <w:sz w:val="32"/>
          <w:szCs w:val="32"/>
        </w:rPr>
      </w:pPr>
    </w:p>
    <w:p w14:paraId="407BA2E0">
      <w:pPr>
        <w:spacing w:line="264" w:lineRule="auto"/>
        <w:jc w:val="center"/>
        <w:rPr>
          <w:rFonts w:hint="eastAsia" w:ascii="仿宋" w:hAnsi="仿宋" w:eastAsia="仿宋" w:cs="仿宋"/>
          <w:bCs/>
          <w:color w:val="auto"/>
          <w:sz w:val="32"/>
          <w:szCs w:val="32"/>
        </w:rPr>
      </w:pPr>
    </w:p>
    <w:p w14:paraId="111F0893">
      <w:pPr>
        <w:spacing w:line="264" w:lineRule="auto"/>
        <w:ind w:firstLine="1280" w:firstLineChars="400"/>
        <w:rPr>
          <w:rFonts w:hint="eastAsia" w:ascii="仿宋" w:hAnsi="仿宋" w:eastAsia="仿宋" w:cs="仿宋"/>
          <w:bCs/>
          <w:color w:val="auto"/>
          <w:sz w:val="32"/>
          <w:szCs w:val="32"/>
          <w:u w:val="single"/>
          <w:lang w:val="en-US" w:eastAsia="zh-CN"/>
        </w:rPr>
      </w:pPr>
      <w:r>
        <w:rPr>
          <w:rFonts w:hint="eastAsia" w:ascii="仿宋" w:hAnsi="仿宋" w:eastAsia="仿宋" w:cs="仿宋"/>
          <w:bCs/>
          <w:color w:val="auto"/>
          <w:sz w:val="32"/>
          <w:szCs w:val="32"/>
        </w:rPr>
        <w:t>买方（甲方）：</w:t>
      </w:r>
      <w:r>
        <w:rPr>
          <w:rFonts w:hint="eastAsia" w:ascii="仿宋" w:hAnsi="仿宋" w:eastAsia="仿宋" w:cs="仿宋"/>
          <w:bCs/>
          <w:color w:val="auto"/>
          <w:sz w:val="32"/>
          <w:szCs w:val="32"/>
          <w:u w:val="single"/>
          <w:lang w:val="en-US" w:eastAsia="zh-CN"/>
        </w:rPr>
        <w:t xml:space="preserve">                         </w:t>
      </w:r>
    </w:p>
    <w:p w14:paraId="4230ADF2">
      <w:pPr>
        <w:spacing w:line="264" w:lineRule="auto"/>
        <w:ind w:firstLine="1280" w:firstLineChars="400"/>
        <w:rPr>
          <w:rFonts w:hint="eastAsia" w:ascii="仿宋" w:hAnsi="仿宋" w:eastAsia="仿宋" w:cs="仿宋"/>
          <w:bCs/>
          <w:color w:val="auto"/>
          <w:sz w:val="32"/>
          <w:szCs w:val="32"/>
        </w:rPr>
      </w:pPr>
    </w:p>
    <w:p w14:paraId="78BE9080">
      <w:pPr>
        <w:spacing w:line="264" w:lineRule="auto"/>
        <w:ind w:firstLine="1280" w:firstLineChars="400"/>
        <w:rPr>
          <w:rFonts w:hint="eastAsia" w:ascii="仿宋" w:hAnsi="仿宋" w:eastAsia="仿宋" w:cs="仿宋"/>
          <w:bCs/>
          <w:color w:val="auto"/>
          <w:sz w:val="32"/>
          <w:szCs w:val="32"/>
          <w:u w:val="single"/>
        </w:rPr>
      </w:pPr>
      <w:r>
        <w:rPr>
          <w:rFonts w:hint="eastAsia" w:ascii="仿宋" w:hAnsi="仿宋" w:eastAsia="仿宋" w:cs="仿宋"/>
          <w:bCs/>
          <w:color w:val="auto"/>
          <w:sz w:val="32"/>
          <w:szCs w:val="32"/>
        </w:rPr>
        <w:t>卖方（乙方）：</w:t>
      </w:r>
      <w:r>
        <w:rPr>
          <w:rFonts w:hint="eastAsia" w:ascii="仿宋" w:hAnsi="仿宋" w:eastAsia="仿宋" w:cs="仿宋"/>
          <w:bCs/>
          <w:color w:val="auto"/>
          <w:sz w:val="32"/>
          <w:szCs w:val="32"/>
          <w:u w:val="single"/>
        </w:rPr>
        <w:t xml:space="preserve">                         </w:t>
      </w:r>
    </w:p>
    <w:p w14:paraId="1EE3F37A">
      <w:pPr>
        <w:spacing w:line="264" w:lineRule="auto"/>
        <w:ind w:firstLine="1280" w:firstLineChars="400"/>
        <w:rPr>
          <w:rFonts w:hint="eastAsia" w:ascii="仿宋" w:hAnsi="仿宋" w:eastAsia="仿宋" w:cs="仿宋"/>
          <w:bCs/>
          <w:color w:val="auto"/>
          <w:sz w:val="32"/>
          <w:szCs w:val="32"/>
        </w:rPr>
      </w:pPr>
    </w:p>
    <w:p w14:paraId="506B5262">
      <w:pPr>
        <w:spacing w:line="264" w:lineRule="auto"/>
        <w:ind w:firstLine="1280" w:firstLineChars="400"/>
        <w:rPr>
          <w:rFonts w:hint="eastAsia" w:ascii="仿宋" w:hAnsi="仿宋" w:eastAsia="仿宋" w:cs="仿宋"/>
          <w:bCs/>
          <w:color w:val="auto"/>
          <w:sz w:val="32"/>
          <w:szCs w:val="32"/>
        </w:rPr>
      </w:pPr>
      <w:r>
        <w:rPr>
          <w:rFonts w:hint="eastAsia" w:ascii="仿宋" w:hAnsi="仿宋" w:eastAsia="仿宋" w:cs="仿宋"/>
          <w:bCs/>
          <w:color w:val="auto"/>
          <w:sz w:val="32"/>
          <w:szCs w:val="32"/>
        </w:rPr>
        <w:t>合 同 编 号：</w:t>
      </w:r>
    </w:p>
    <w:p w14:paraId="4B567926">
      <w:pPr>
        <w:spacing w:line="264" w:lineRule="auto"/>
        <w:ind w:firstLine="640" w:firstLineChars="200"/>
        <w:rPr>
          <w:rFonts w:hint="eastAsia" w:ascii="仿宋" w:hAnsi="仿宋" w:eastAsia="仿宋" w:cs="仿宋"/>
          <w:bCs/>
          <w:color w:val="auto"/>
          <w:sz w:val="32"/>
          <w:szCs w:val="32"/>
        </w:rPr>
      </w:pPr>
    </w:p>
    <w:p w14:paraId="49CAE728">
      <w:pPr>
        <w:spacing w:line="264" w:lineRule="auto"/>
        <w:jc w:val="center"/>
        <w:rPr>
          <w:rFonts w:hint="eastAsia" w:ascii="仿宋" w:hAnsi="仿宋" w:eastAsia="仿宋" w:cs="仿宋"/>
          <w:bCs/>
          <w:color w:val="auto"/>
          <w:sz w:val="32"/>
          <w:szCs w:val="32"/>
        </w:rPr>
      </w:pPr>
      <w:r>
        <w:rPr>
          <w:rFonts w:hint="eastAsia" w:ascii="仿宋" w:hAnsi="仿宋" w:eastAsia="仿宋" w:cs="仿宋"/>
          <w:bCs/>
          <w:color w:val="auto"/>
          <w:sz w:val="32"/>
          <w:szCs w:val="32"/>
        </w:rPr>
        <w:t xml:space="preserve">    年   月   日</w:t>
      </w:r>
    </w:p>
    <w:p w14:paraId="50CDA19E">
      <w:pPr>
        <w:spacing w:line="264" w:lineRule="auto"/>
        <w:jc w:val="center"/>
        <w:rPr>
          <w:rFonts w:hint="eastAsia" w:ascii="仿宋" w:hAnsi="仿宋" w:eastAsia="仿宋" w:cs="仿宋"/>
          <w:bCs/>
          <w:color w:val="auto"/>
          <w:szCs w:val="21"/>
        </w:rPr>
      </w:pPr>
    </w:p>
    <w:p w14:paraId="424AB767">
      <w:pPr>
        <w:spacing w:line="264" w:lineRule="auto"/>
        <w:jc w:val="center"/>
        <w:rPr>
          <w:rFonts w:hint="eastAsia" w:ascii="仿宋" w:hAnsi="仿宋" w:eastAsia="仿宋" w:cs="仿宋"/>
          <w:bCs/>
          <w:color w:val="auto"/>
          <w:sz w:val="40"/>
          <w:szCs w:val="40"/>
        </w:rPr>
        <w:sectPr>
          <w:headerReference r:id="rId12" w:type="first"/>
          <w:footerReference r:id="rId14" w:type="first"/>
          <w:headerReference r:id="rId11" w:type="default"/>
          <w:footerReference r:id="rId13" w:type="default"/>
          <w:pgSz w:w="11905" w:h="16838"/>
          <w:pgMar w:top="720" w:right="1417" w:bottom="401" w:left="1417" w:header="850" w:footer="992" w:gutter="0"/>
          <w:pgBorders>
            <w:top w:val="none" w:sz="0" w:space="0"/>
            <w:left w:val="none" w:sz="0" w:space="0"/>
            <w:bottom w:val="none" w:sz="0" w:space="0"/>
            <w:right w:val="none" w:sz="0" w:space="0"/>
          </w:pgBorders>
          <w:pgNumType w:fmt="decimal"/>
          <w:cols w:space="720" w:num="1"/>
          <w:docGrid w:type="lines" w:linePitch="416" w:charSpace="0"/>
        </w:sectPr>
      </w:pPr>
    </w:p>
    <w:p w14:paraId="1234443D">
      <w:pPr>
        <w:spacing w:line="264" w:lineRule="auto"/>
        <w:jc w:val="center"/>
        <w:rPr>
          <w:rFonts w:hint="eastAsia" w:ascii="仿宋" w:hAnsi="仿宋" w:eastAsia="仿宋" w:cs="仿宋"/>
          <w:bCs/>
          <w:color w:val="auto"/>
          <w:sz w:val="40"/>
          <w:szCs w:val="40"/>
        </w:rPr>
      </w:pPr>
      <w:r>
        <w:rPr>
          <w:rFonts w:hint="eastAsia" w:ascii="仿宋" w:hAnsi="仿宋" w:eastAsia="仿宋" w:cs="仿宋"/>
          <w:bCs/>
          <w:color w:val="auto"/>
          <w:sz w:val="40"/>
          <w:szCs w:val="40"/>
        </w:rPr>
        <w:t xml:space="preserve"> 合 同</w:t>
      </w:r>
    </w:p>
    <w:p w14:paraId="34994AF7">
      <w:pPr>
        <w:spacing w:line="420" w:lineRule="exact"/>
        <w:ind w:left="-284"/>
        <w:jc w:val="center"/>
        <w:rPr>
          <w:rFonts w:hint="eastAsia" w:ascii="仿宋" w:hAnsi="仿宋" w:eastAsia="仿宋" w:cs="仿宋"/>
          <w:b/>
          <w:sz w:val="44"/>
          <w:szCs w:val="44"/>
        </w:rPr>
      </w:pPr>
    </w:p>
    <w:p w14:paraId="09CA77AF">
      <w:pPr>
        <w:spacing w:line="520" w:lineRule="exact"/>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甲方（买方）：</w:t>
      </w:r>
    </w:p>
    <w:p w14:paraId="3CDC4838">
      <w:pPr>
        <w:spacing w:line="520" w:lineRule="exact"/>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地址：</w:t>
      </w:r>
    </w:p>
    <w:p w14:paraId="1F5BC214">
      <w:pPr>
        <w:spacing w:line="520" w:lineRule="exact"/>
        <w:rPr>
          <w:rFonts w:hint="eastAsia" w:ascii="仿宋" w:hAnsi="仿宋" w:eastAsia="仿宋" w:cs="仿宋"/>
          <w:kern w:val="2"/>
          <w:sz w:val="28"/>
          <w:szCs w:val="28"/>
          <w:highlight w:val="none"/>
          <w:lang w:val="en-US" w:eastAsia="zh-CN" w:bidi="ar-SA"/>
        </w:rPr>
      </w:pPr>
    </w:p>
    <w:p w14:paraId="61790A46">
      <w:pPr>
        <w:spacing w:line="520" w:lineRule="exact"/>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乙方（卖方）：</w:t>
      </w:r>
    </w:p>
    <w:p w14:paraId="77EAEF6B">
      <w:pPr>
        <w:spacing w:line="520" w:lineRule="exact"/>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地址：  </w:t>
      </w:r>
    </w:p>
    <w:p w14:paraId="02E35752">
      <w:pPr>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双方根据《中华人民共和国民法典》、《中华人民共和国招标投标法》、《中华人民共和国采购法》，本着平等、自愿、互利、互惠的原则，经各方协商一致，订立本合同。</w:t>
      </w:r>
    </w:p>
    <w:p w14:paraId="3234010B">
      <w:pPr>
        <w:tabs>
          <w:tab w:val="center" w:pos="4394"/>
          <w:tab w:val="left" w:pos="6889"/>
        </w:tabs>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ab/>
      </w:r>
      <w:r>
        <w:rPr>
          <w:rFonts w:hint="eastAsia" w:ascii="仿宋" w:hAnsi="仿宋" w:eastAsia="仿宋" w:cs="仿宋"/>
          <w:b/>
          <w:bCs/>
          <w:kern w:val="2"/>
          <w:sz w:val="28"/>
          <w:szCs w:val="28"/>
          <w:highlight w:val="none"/>
          <w:lang w:val="en-US" w:eastAsia="zh-CN" w:bidi="ar-SA"/>
        </w:rPr>
        <w:t>第一部分 通用条款</w:t>
      </w:r>
      <w:r>
        <w:rPr>
          <w:rFonts w:hint="eastAsia" w:ascii="仿宋" w:hAnsi="仿宋" w:eastAsia="仿宋" w:cs="仿宋"/>
          <w:kern w:val="2"/>
          <w:sz w:val="28"/>
          <w:szCs w:val="28"/>
          <w:highlight w:val="none"/>
          <w:lang w:val="en-US" w:eastAsia="zh-CN" w:bidi="ar-SA"/>
        </w:rPr>
        <w:tab/>
      </w:r>
    </w:p>
    <w:p w14:paraId="041ECB28">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在此供应的货物，乙方同意做如下保证:</w:t>
      </w:r>
    </w:p>
    <w:p w14:paraId="301F42CC">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一、乙方供应的全部货物，必须在不涉及任何担保、留置权、专利权使用费的情况下，交付与本合同规定完全相同的货物。</w:t>
      </w:r>
    </w:p>
    <w:p w14:paraId="093401C1">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二、不能将甲方全部或部分付款看作是对有缺陷的工艺或不合格货物的认可。</w:t>
      </w:r>
    </w:p>
    <w:p w14:paraId="0AC9812D">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三、所供货物均须符合相应图纸和技术规范中的相关规定，并且不涉及到任何侵权行为或任何索赔。</w:t>
      </w:r>
    </w:p>
    <w:p w14:paraId="52D032C1">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四、甲方收到本合同项下的货物，并不表示甲方自动放弃因延期交货、货物不合格或货物与本合同不相符造成的损失而提出索赔的权利。若货物名称、型号、规格、数量、质量等不符合本合同约定，甲方可在收货后随时向乙方提出异议，乙方应免费更换直至货物完全符合本合同约定，且乙方需承担逾期交货的责任。</w:t>
      </w:r>
    </w:p>
    <w:p w14:paraId="77D306C7">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甲方未提出异议的，乙方仍应于货物质保期内承担保固责任。甲方对货物的验收手续仅仅证明乙方交货的行为，并不能免除乙方应当承担的货物质量责任。</w:t>
      </w:r>
    </w:p>
    <w:p w14:paraId="75760FA0">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因乙方货物质量瑕疵原因导致甲方对其他第三方承担的违约金、损失赔偿等任何赔偿责任，甲方均有权将该赔偿责任转移给乙方，乙方对此无异议。 </w:t>
      </w:r>
    </w:p>
    <w:p w14:paraId="357D2F35">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五、甲方有要求乙方延迟一段合理时间再行交货的权利。     </w:t>
      </w:r>
    </w:p>
    <w:p w14:paraId="57E61A75">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六、除非甲方要求，乙方必须在本合同规定时间内进行交货。乙方同意偿付甲方可能因无法按照本合同约定时间进行交货而引起的所有额外的违约金、赔偿金以及其他费用。 </w:t>
      </w:r>
    </w:p>
    <w:p w14:paraId="208300C7">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七、在项目终止或甲方订立本合同所依据的本项目合同终止时，甲方经书面通知可解除本合同，此种情况不作违约处理。 </w:t>
      </w:r>
    </w:p>
    <w:p w14:paraId="1ADAEC1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八、所有交付到甲方现场的货物必须附有交货单。签字的交货单必须附在所有发票上作为本合同付款的前提条件。    </w:t>
      </w:r>
    </w:p>
    <w:p w14:paraId="69199FE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九、所有交货费用均由乙方承担，乙方保证使甲方免于承担全部运费、快递费、保险费、装卸费、其他杂费以及由此带来的任何索赔，本合同专用条款有特别约定的，从特别约定。    </w:t>
      </w:r>
    </w:p>
    <w:p w14:paraId="026AB51B">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十、乙方分批供应货物的，甲方有权对任何一批货物的数量进行抽查核实，如果实际数量与乙方所提供的数量有短缺的，则乙方此前所供货物的全部数量均应按本批货物短缺比例作相应减少计算。 </w:t>
      </w:r>
    </w:p>
    <w:p w14:paraId="4542FBF3">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十一、因乙方所交货物的权利瑕疵、品质瑕疵等导致甲方遭受任何损失的，乙方保证承担全部赔偿责任。在因上述瑕疵导致甲方陷入索赔纠纷或诉讼中的，在该索赔纠纷或诉讼未得到解决之前，供甲方的结算可按甲方的意见作延迟处理，直至上述索赔得到解决或乙方提供令甲方满意的赔偿为止。 </w:t>
      </w:r>
    </w:p>
    <w:p w14:paraId="152935A1">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十二、因乙方全部或部分违约导致双方发生的诉讼/仲裁或甲方与第三方发生的诉讼/仲裁，乙方同意承担甲方因此而支出的全部诉讼费、律师费、调查费、交通费及其他合理费用。    </w:t>
      </w:r>
    </w:p>
    <w:p w14:paraId="60CFB2ED">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十三、未经甲方书面同意，乙方不得将本合同的工作内容全部或部分转让给任何第三人。 </w:t>
      </w:r>
    </w:p>
    <w:p w14:paraId="2064EC07">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十四、乙方声明、陈述和保证其是合法设立并有效存续的独立法人，其授权代表已获得法人授权可代表其签署合同。</w:t>
      </w:r>
    </w:p>
    <w:p w14:paraId="099734FE">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十五、甲方作为提供本合同的一方，已经郑重提醒乙方注意本合同的所有条款，并且甲方已经按照乙方的要求，对每一条款均予以了说明。本合同通用条款与专用条款约定不一致的，应以专用条款约定为准。 </w:t>
      </w:r>
    </w:p>
    <w:p w14:paraId="228C8074">
      <w:pPr>
        <w:spacing w:line="520" w:lineRule="exact"/>
        <w:ind w:firstLine="560" w:firstLineChars="200"/>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第二部分 专用条款</w:t>
      </w:r>
    </w:p>
    <w:p w14:paraId="4A0FC0D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一、 合同标的 </w:t>
      </w:r>
    </w:p>
    <w:p w14:paraId="5D3BC910">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1、货物 </w:t>
      </w:r>
    </w:p>
    <w:p w14:paraId="1BC5C825">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乙方提供的货物为全新产品，并符合合同附件的技术规格所述的标准及相关的国家标准和行业标准，这些标准必须是合同签订时有关机构发布的最新的有效版本。除非技术规格中另有规定，计量单位均采用中华人民共和国法定计量单位。                  </w:t>
      </w:r>
    </w:p>
    <w:p w14:paraId="3AAF67F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注:乙方应保证，甲方在中华人民共和国使用该货物或货物的任何一部分时，免受第三方提出的侵犯其专利权、商标权、工业设计权或其他知识产权的起诉。</w:t>
      </w:r>
    </w:p>
    <w:p w14:paraId="61F266ED">
      <w:pPr>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2、数量及价格：详细技术要求见附件</w:t>
      </w:r>
    </w:p>
    <w:p w14:paraId="2CC03324">
      <w:pPr>
        <w:pStyle w:val="27"/>
        <w:rPr>
          <w:rFonts w:hint="eastAsia" w:ascii="仿宋" w:hAnsi="仿宋" w:eastAsia="仿宋" w:cs="仿宋"/>
          <w:kern w:val="2"/>
          <w:sz w:val="28"/>
          <w:szCs w:val="28"/>
          <w:highlight w:val="none"/>
          <w:lang w:val="en-US" w:eastAsia="zh-CN" w:bidi="ar-SA"/>
        </w:rPr>
      </w:pPr>
    </w:p>
    <w:tbl>
      <w:tblPr>
        <w:tblStyle w:val="22"/>
        <w:tblW w:w="101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158"/>
        <w:gridCol w:w="1200"/>
        <w:gridCol w:w="1697"/>
        <w:gridCol w:w="930"/>
        <w:gridCol w:w="900"/>
        <w:gridCol w:w="1220"/>
        <w:gridCol w:w="1343"/>
      </w:tblGrid>
      <w:tr w14:paraId="3B467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20" w:type="dxa"/>
            <w:noWrap w:val="0"/>
            <w:vAlign w:val="center"/>
          </w:tcPr>
          <w:p w14:paraId="49001CED">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序号</w:t>
            </w:r>
          </w:p>
        </w:tc>
        <w:tc>
          <w:tcPr>
            <w:tcW w:w="2158" w:type="dxa"/>
            <w:noWrap w:val="0"/>
            <w:vAlign w:val="center"/>
          </w:tcPr>
          <w:p w14:paraId="5051E8FD">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货物名称</w:t>
            </w:r>
          </w:p>
        </w:tc>
        <w:tc>
          <w:tcPr>
            <w:tcW w:w="1200" w:type="dxa"/>
            <w:noWrap w:val="0"/>
            <w:vAlign w:val="center"/>
          </w:tcPr>
          <w:p w14:paraId="7D3B3DED">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品牌</w:t>
            </w:r>
          </w:p>
        </w:tc>
        <w:tc>
          <w:tcPr>
            <w:tcW w:w="1697" w:type="dxa"/>
            <w:noWrap w:val="0"/>
            <w:vAlign w:val="center"/>
          </w:tcPr>
          <w:p w14:paraId="0C22DBC0">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型号规格</w:t>
            </w:r>
          </w:p>
        </w:tc>
        <w:tc>
          <w:tcPr>
            <w:tcW w:w="930" w:type="dxa"/>
            <w:noWrap w:val="0"/>
            <w:vAlign w:val="center"/>
          </w:tcPr>
          <w:p w14:paraId="668E8127">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计量单位</w:t>
            </w:r>
          </w:p>
        </w:tc>
        <w:tc>
          <w:tcPr>
            <w:tcW w:w="900" w:type="dxa"/>
            <w:noWrap w:val="0"/>
            <w:vAlign w:val="center"/>
          </w:tcPr>
          <w:p w14:paraId="4FB30E3F">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数量</w:t>
            </w:r>
          </w:p>
        </w:tc>
        <w:tc>
          <w:tcPr>
            <w:tcW w:w="1220" w:type="dxa"/>
            <w:noWrap w:val="0"/>
            <w:vAlign w:val="center"/>
          </w:tcPr>
          <w:p w14:paraId="11DADF4B">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含税单价</w:t>
            </w:r>
          </w:p>
          <w:p w14:paraId="33D64B89">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（元）</w:t>
            </w:r>
          </w:p>
        </w:tc>
        <w:tc>
          <w:tcPr>
            <w:tcW w:w="1343" w:type="dxa"/>
            <w:noWrap w:val="0"/>
            <w:vAlign w:val="center"/>
          </w:tcPr>
          <w:p w14:paraId="2BF97299">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合计金额（元）</w:t>
            </w:r>
          </w:p>
        </w:tc>
      </w:tr>
      <w:tr w14:paraId="0A930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noWrap w:val="0"/>
            <w:vAlign w:val="center"/>
          </w:tcPr>
          <w:p w14:paraId="2632BC9C">
            <w:pPr>
              <w:keepNext w:val="0"/>
              <w:keepLines w:val="0"/>
              <w:widowControl/>
              <w:suppressLineNumbers w:val="0"/>
              <w:jc w:val="right"/>
              <w:textAlignment w:val="center"/>
              <w:rPr>
                <w:rFonts w:hint="eastAsia" w:ascii="仿宋" w:hAnsi="仿宋" w:eastAsia="仿宋" w:cs="仿宋"/>
                <w:kern w:val="2"/>
                <w:sz w:val="28"/>
                <w:szCs w:val="28"/>
                <w:highlight w:val="none"/>
                <w:lang w:val="en-US" w:eastAsia="zh-CN" w:bidi="ar-SA"/>
              </w:rPr>
            </w:pPr>
          </w:p>
        </w:tc>
        <w:tc>
          <w:tcPr>
            <w:tcW w:w="2158" w:type="dxa"/>
            <w:noWrap w:val="0"/>
            <w:vAlign w:val="center"/>
          </w:tcPr>
          <w:p w14:paraId="7B93E6D0">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00" w:type="dxa"/>
            <w:noWrap w:val="0"/>
            <w:vAlign w:val="center"/>
          </w:tcPr>
          <w:p w14:paraId="784D8420">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697" w:type="dxa"/>
            <w:noWrap w:val="0"/>
            <w:vAlign w:val="center"/>
          </w:tcPr>
          <w:p w14:paraId="79F79AA6">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30" w:type="dxa"/>
            <w:noWrap w:val="0"/>
            <w:vAlign w:val="center"/>
          </w:tcPr>
          <w:p w14:paraId="577A3681">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00" w:type="dxa"/>
            <w:noWrap w:val="0"/>
            <w:vAlign w:val="center"/>
          </w:tcPr>
          <w:p w14:paraId="40A7A2BD">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20" w:type="dxa"/>
            <w:noWrap w:val="0"/>
            <w:vAlign w:val="center"/>
          </w:tcPr>
          <w:p w14:paraId="75C7A167">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343" w:type="dxa"/>
            <w:noWrap w:val="0"/>
            <w:vAlign w:val="center"/>
          </w:tcPr>
          <w:p w14:paraId="577C2ED0">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r>
      <w:tr w14:paraId="24A6C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noWrap w:val="0"/>
            <w:vAlign w:val="center"/>
          </w:tcPr>
          <w:p w14:paraId="0F7702D7">
            <w:pPr>
              <w:keepNext w:val="0"/>
              <w:keepLines w:val="0"/>
              <w:widowControl/>
              <w:suppressLineNumbers w:val="0"/>
              <w:jc w:val="right"/>
              <w:textAlignment w:val="center"/>
              <w:rPr>
                <w:rFonts w:hint="eastAsia" w:ascii="仿宋" w:hAnsi="仿宋" w:eastAsia="仿宋" w:cs="仿宋"/>
                <w:kern w:val="2"/>
                <w:sz w:val="28"/>
                <w:szCs w:val="28"/>
                <w:highlight w:val="none"/>
                <w:lang w:val="en-US" w:eastAsia="zh-CN" w:bidi="ar-SA"/>
              </w:rPr>
            </w:pPr>
          </w:p>
        </w:tc>
        <w:tc>
          <w:tcPr>
            <w:tcW w:w="2158" w:type="dxa"/>
            <w:noWrap w:val="0"/>
            <w:vAlign w:val="center"/>
          </w:tcPr>
          <w:p w14:paraId="639844F9">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00" w:type="dxa"/>
            <w:noWrap w:val="0"/>
            <w:vAlign w:val="center"/>
          </w:tcPr>
          <w:p w14:paraId="5158E703">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697" w:type="dxa"/>
            <w:noWrap w:val="0"/>
            <w:vAlign w:val="center"/>
          </w:tcPr>
          <w:p w14:paraId="02FD4BBF">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30" w:type="dxa"/>
            <w:noWrap w:val="0"/>
            <w:vAlign w:val="center"/>
          </w:tcPr>
          <w:p w14:paraId="310F7275">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00" w:type="dxa"/>
            <w:noWrap w:val="0"/>
            <w:vAlign w:val="center"/>
          </w:tcPr>
          <w:p w14:paraId="2C4208CB">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20" w:type="dxa"/>
            <w:noWrap w:val="0"/>
            <w:vAlign w:val="center"/>
          </w:tcPr>
          <w:p w14:paraId="67DC82A4">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343" w:type="dxa"/>
            <w:noWrap w:val="0"/>
            <w:vAlign w:val="center"/>
          </w:tcPr>
          <w:p w14:paraId="3434D70E">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r>
      <w:tr w14:paraId="4D4E9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noWrap w:val="0"/>
            <w:vAlign w:val="center"/>
          </w:tcPr>
          <w:p w14:paraId="42DDB7CB">
            <w:pPr>
              <w:keepNext w:val="0"/>
              <w:keepLines w:val="0"/>
              <w:widowControl/>
              <w:suppressLineNumbers w:val="0"/>
              <w:jc w:val="right"/>
              <w:textAlignment w:val="center"/>
              <w:rPr>
                <w:rFonts w:hint="eastAsia" w:ascii="仿宋" w:hAnsi="仿宋" w:eastAsia="仿宋" w:cs="仿宋"/>
                <w:kern w:val="2"/>
                <w:sz w:val="28"/>
                <w:szCs w:val="28"/>
                <w:highlight w:val="none"/>
                <w:lang w:val="en-US" w:eastAsia="zh-CN" w:bidi="ar-SA"/>
              </w:rPr>
            </w:pPr>
          </w:p>
        </w:tc>
        <w:tc>
          <w:tcPr>
            <w:tcW w:w="2158" w:type="dxa"/>
            <w:noWrap w:val="0"/>
            <w:vAlign w:val="center"/>
          </w:tcPr>
          <w:p w14:paraId="4BB87E10">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00" w:type="dxa"/>
            <w:noWrap w:val="0"/>
            <w:vAlign w:val="center"/>
          </w:tcPr>
          <w:p w14:paraId="51A0B16B">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697" w:type="dxa"/>
            <w:noWrap w:val="0"/>
            <w:vAlign w:val="center"/>
          </w:tcPr>
          <w:p w14:paraId="6ACAEE52">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30" w:type="dxa"/>
            <w:noWrap w:val="0"/>
            <w:vAlign w:val="center"/>
          </w:tcPr>
          <w:p w14:paraId="0FFEAFE5">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00" w:type="dxa"/>
            <w:noWrap w:val="0"/>
            <w:vAlign w:val="center"/>
          </w:tcPr>
          <w:p w14:paraId="2B404BB7">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20" w:type="dxa"/>
            <w:noWrap w:val="0"/>
            <w:vAlign w:val="center"/>
          </w:tcPr>
          <w:p w14:paraId="52D49E24">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343" w:type="dxa"/>
            <w:noWrap w:val="0"/>
            <w:vAlign w:val="center"/>
          </w:tcPr>
          <w:p w14:paraId="6AC6B1CD">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r>
      <w:tr w14:paraId="1A2FF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noWrap w:val="0"/>
            <w:vAlign w:val="center"/>
          </w:tcPr>
          <w:p w14:paraId="7B933FC6">
            <w:pPr>
              <w:keepNext w:val="0"/>
              <w:keepLines w:val="0"/>
              <w:widowControl/>
              <w:suppressLineNumbers w:val="0"/>
              <w:jc w:val="right"/>
              <w:textAlignment w:val="center"/>
              <w:rPr>
                <w:rFonts w:hint="eastAsia" w:ascii="仿宋" w:hAnsi="仿宋" w:eastAsia="仿宋" w:cs="仿宋"/>
                <w:kern w:val="2"/>
                <w:sz w:val="28"/>
                <w:szCs w:val="28"/>
                <w:highlight w:val="none"/>
                <w:lang w:val="en-US" w:eastAsia="zh-CN" w:bidi="ar-SA"/>
              </w:rPr>
            </w:pPr>
          </w:p>
        </w:tc>
        <w:tc>
          <w:tcPr>
            <w:tcW w:w="2158" w:type="dxa"/>
            <w:noWrap w:val="0"/>
            <w:vAlign w:val="center"/>
          </w:tcPr>
          <w:p w14:paraId="615BC0CC">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00" w:type="dxa"/>
            <w:noWrap w:val="0"/>
            <w:vAlign w:val="center"/>
          </w:tcPr>
          <w:p w14:paraId="2FA0B3EA">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697" w:type="dxa"/>
            <w:noWrap w:val="0"/>
            <w:vAlign w:val="center"/>
          </w:tcPr>
          <w:p w14:paraId="551A155F">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30" w:type="dxa"/>
            <w:noWrap w:val="0"/>
            <w:vAlign w:val="center"/>
          </w:tcPr>
          <w:p w14:paraId="5190FFFE">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00" w:type="dxa"/>
            <w:noWrap w:val="0"/>
            <w:vAlign w:val="center"/>
          </w:tcPr>
          <w:p w14:paraId="4A9886AA">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20" w:type="dxa"/>
            <w:noWrap w:val="0"/>
            <w:vAlign w:val="center"/>
          </w:tcPr>
          <w:p w14:paraId="63415BF3">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343" w:type="dxa"/>
            <w:noWrap w:val="0"/>
            <w:vAlign w:val="center"/>
          </w:tcPr>
          <w:p w14:paraId="72949C59">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r>
      <w:tr w14:paraId="026F6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noWrap w:val="0"/>
            <w:vAlign w:val="center"/>
          </w:tcPr>
          <w:p w14:paraId="5F697E51">
            <w:pPr>
              <w:keepNext w:val="0"/>
              <w:keepLines w:val="0"/>
              <w:widowControl/>
              <w:suppressLineNumbers w:val="0"/>
              <w:jc w:val="right"/>
              <w:textAlignment w:val="center"/>
              <w:rPr>
                <w:rFonts w:hint="eastAsia" w:ascii="仿宋" w:hAnsi="仿宋" w:eastAsia="仿宋" w:cs="仿宋"/>
                <w:kern w:val="2"/>
                <w:sz w:val="28"/>
                <w:szCs w:val="28"/>
                <w:highlight w:val="none"/>
                <w:lang w:val="en-US" w:eastAsia="zh-CN" w:bidi="ar-SA"/>
              </w:rPr>
            </w:pPr>
          </w:p>
        </w:tc>
        <w:tc>
          <w:tcPr>
            <w:tcW w:w="2158" w:type="dxa"/>
            <w:noWrap w:val="0"/>
            <w:vAlign w:val="center"/>
          </w:tcPr>
          <w:p w14:paraId="5ADA6F1C">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00" w:type="dxa"/>
            <w:noWrap w:val="0"/>
            <w:vAlign w:val="center"/>
          </w:tcPr>
          <w:p w14:paraId="3A26F5D4">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697" w:type="dxa"/>
            <w:noWrap w:val="0"/>
            <w:vAlign w:val="center"/>
          </w:tcPr>
          <w:p w14:paraId="1CF66019">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30" w:type="dxa"/>
            <w:noWrap w:val="0"/>
            <w:vAlign w:val="center"/>
          </w:tcPr>
          <w:p w14:paraId="2047A9AA">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00" w:type="dxa"/>
            <w:noWrap w:val="0"/>
            <w:vAlign w:val="center"/>
          </w:tcPr>
          <w:p w14:paraId="2EEA6D92">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20" w:type="dxa"/>
            <w:noWrap w:val="0"/>
            <w:vAlign w:val="center"/>
          </w:tcPr>
          <w:p w14:paraId="3B7B195F">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343" w:type="dxa"/>
            <w:noWrap w:val="0"/>
            <w:vAlign w:val="center"/>
          </w:tcPr>
          <w:p w14:paraId="70D9A391">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r>
      <w:tr w14:paraId="304F8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noWrap w:val="0"/>
            <w:vAlign w:val="center"/>
          </w:tcPr>
          <w:p w14:paraId="7CB386D2">
            <w:pPr>
              <w:keepNext w:val="0"/>
              <w:keepLines w:val="0"/>
              <w:widowControl/>
              <w:suppressLineNumbers w:val="0"/>
              <w:jc w:val="right"/>
              <w:textAlignment w:val="center"/>
              <w:rPr>
                <w:rFonts w:hint="eastAsia" w:ascii="仿宋" w:hAnsi="仿宋" w:eastAsia="仿宋" w:cs="仿宋"/>
                <w:kern w:val="2"/>
                <w:sz w:val="28"/>
                <w:szCs w:val="28"/>
                <w:highlight w:val="none"/>
                <w:lang w:val="en-US" w:eastAsia="zh-CN" w:bidi="ar-SA"/>
              </w:rPr>
            </w:pPr>
          </w:p>
        </w:tc>
        <w:tc>
          <w:tcPr>
            <w:tcW w:w="2158" w:type="dxa"/>
            <w:noWrap w:val="0"/>
            <w:vAlign w:val="center"/>
          </w:tcPr>
          <w:p w14:paraId="6CA9B006">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00" w:type="dxa"/>
            <w:noWrap w:val="0"/>
            <w:vAlign w:val="center"/>
          </w:tcPr>
          <w:p w14:paraId="0DE8BB4C">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697" w:type="dxa"/>
            <w:noWrap w:val="0"/>
            <w:vAlign w:val="center"/>
          </w:tcPr>
          <w:p w14:paraId="02A3A08B">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30" w:type="dxa"/>
            <w:noWrap w:val="0"/>
            <w:vAlign w:val="center"/>
          </w:tcPr>
          <w:p w14:paraId="1B4D0812">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00" w:type="dxa"/>
            <w:noWrap w:val="0"/>
            <w:vAlign w:val="center"/>
          </w:tcPr>
          <w:p w14:paraId="2FD6EB57">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20" w:type="dxa"/>
            <w:noWrap w:val="0"/>
            <w:vAlign w:val="center"/>
          </w:tcPr>
          <w:p w14:paraId="4958D14F">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343" w:type="dxa"/>
            <w:noWrap w:val="0"/>
            <w:vAlign w:val="center"/>
          </w:tcPr>
          <w:p w14:paraId="41323101">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r>
      <w:tr w14:paraId="321B4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noWrap w:val="0"/>
            <w:vAlign w:val="center"/>
          </w:tcPr>
          <w:p w14:paraId="22446CA6">
            <w:pPr>
              <w:keepNext w:val="0"/>
              <w:keepLines w:val="0"/>
              <w:widowControl/>
              <w:suppressLineNumbers w:val="0"/>
              <w:jc w:val="right"/>
              <w:textAlignment w:val="center"/>
              <w:rPr>
                <w:rFonts w:hint="eastAsia" w:ascii="仿宋" w:hAnsi="仿宋" w:eastAsia="仿宋" w:cs="仿宋"/>
                <w:kern w:val="2"/>
                <w:sz w:val="28"/>
                <w:szCs w:val="28"/>
                <w:highlight w:val="none"/>
                <w:lang w:val="en-US" w:eastAsia="zh-CN" w:bidi="ar-SA"/>
              </w:rPr>
            </w:pPr>
          </w:p>
        </w:tc>
        <w:tc>
          <w:tcPr>
            <w:tcW w:w="2158" w:type="dxa"/>
            <w:noWrap w:val="0"/>
            <w:vAlign w:val="center"/>
          </w:tcPr>
          <w:p w14:paraId="6AB23CFB">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00" w:type="dxa"/>
            <w:noWrap w:val="0"/>
            <w:vAlign w:val="center"/>
          </w:tcPr>
          <w:p w14:paraId="300DEC0B">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697" w:type="dxa"/>
            <w:noWrap w:val="0"/>
            <w:vAlign w:val="center"/>
          </w:tcPr>
          <w:p w14:paraId="1DA21BE9">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30" w:type="dxa"/>
            <w:noWrap w:val="0"/>
            <w:vAlign w:val="center"/>
          </w:tcPr>
          <w:p w14:paraId="5C883606">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900" w:type="dxa"/>
            <w:noWrap w:val="0"/>
            <w:vAlign w:val="center"/>
          </w:tcPr>
          <w:p w14:paraId="329C378F">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220" w:type="dxa"/>
            <w:noWrap w:val="0"/>
            <w:vAlign w:val="center"/>
          </w:tcPr>
          <w:p w14:paraId="40B9461D">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c>
          <w:tcPr>
            <w:tcW w:w="1343" w:type="dxa"/>
            <w:noWrap w:val="0"/>
            <w:vAlign w:val="center"/>
          </w:tcPr>
          <w:p w14:paraId="68A965C2">
            <w:pPr>
              <w:keepNext w:val="0"/>
              <w:keepLines w:val="0"/>
              <w:widowControl/>
              <w:suppressLineNumbers w:val="0"/>
              <w:jc w:val="center"/>
              <w:textAlignment w:val="center"/>
              <w:rPr>
                <w:rFonts w:hint="eastAsia" w:ascii="仿宋" w:hAnsi="仿宋" w:eastAsia="仿宋" w:cs="仿宋"/>
                <w:kern w:val="2"/>
                <w:sz w:val="28"/>
                <w:szCs w:val="28"/>
                <w:highlight w:val="none"/>
                <w:lang w:val="en-US" w:eastAsia="zh-CN" w:bidi="ar-SA"/>
              </w:rPr>
            </w:pPr>
          </w:p>
        </w:tc>
      </w:tr>
      <w:tr w14:paraId="2BC71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2878" w:type="dxa"/>
            <w:gridSpan w:val="2"/>
            <w:noWrap w:val="0"/>
            <w:vAlign w:val="center"/>
          </w:tcPr>
          <w:p w14:paraId="60F053B3">
            <w:pPr>
              <w:spacing w:line="0" w:lineRule="atLeast"/>
              <w:jc w:val="center"/>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总价（人民币）</w:t>
            </w:r>
          </w:p>
        </w:tc>
        <w:tc>
          <w:tcPr>
            <w:tcW w:w="7290" w:type="dxa"/>
            <w:gridSpan w:val="6"/>
            <w:noWrap w:val="0"/>
            <w:vAlign w:val="center"/>
          </w:tcPr>
          <w:p w14:paraId="4F44C391">
            <w:pPr>
              <w:spacing w:line="0" w:lineRule="atLeast"/>
              <w:jc w:val="both"/>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小写：¥      元       大写：       </w:t>
            </w:r>
          </w:p>
        </w:tc>
      </w:tr>
    </w:tbl>
    <w:p w14:paraId="5AF71217">
      <w:pPr>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3、本协议项下的产品规格、参数等内容，必须与招、投标文件保持一致，任何一方不得私自更改，如在合同履行过程中，出现合同中约定的产品规格、参数等内容与招投标文件不一致的，以招投标文件规定的内容为准；私自更改产品规格、参数的一方，承担因此给对方造成的一切损失。但因产品升级换代而改变产品规格、参数的情形除外，此种情形需形成书面情况说明，并由双方盖章或签字确认后执行。  </w:t>
      </w:r>
    </w:p>
    <w:p w14:paraId="0DA18023">
      <w:pPr>
        <w:spacing w:line="520" w:lineRule="exact"/>
        <w:ind w:firstLine="280" w:firstLineChars="1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二、合同总额</w:t>
      </w:r>
    </w:p>
    <w:p w14:paraId="5FFB1FDD">
      <w:pPr>
        <w:spacing w:line="520" w:lineRule="exact"/>
        <w:ind w:firstLine="280" w:firstLineChars="1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1、本合同为固定单价，合同总价以甲方实际采购并验收合格的数量结合上表标明单价进行结算支付。本合同总金额（暂定）为</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元，大写人民币</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上述合同总额包括全部设备价、安装费、人工费、税费、包装费、运输、保修费、保险、调试、信息系统集成服务费、监测、检测试验费、其他杂费、必不可少的部件、备品备件等费用，以及已支付或将支付的营业税和其它税费等所有费用；乙方应保证甲方除支付合同约定的上述款项外，</w:t>
      </w:r>
      <w:r>
        <w:rPr>
          <w:rFonts w:hint="eastAsia"/>
        </w:rPr>
        <w:t>在</w:t>
      </w:r>
      <w:r>
        <w:rPr>
          <w:rFonts w:hint="eastAsia" w:ascii="仿宋" w:hAnsi="仿宋" w:eastAsia="仿宋" w:cs="仿宋"/>
          <w:kern w:val="2"/>
          <w:sz w:val="28"/>
          <w:szCs w:val="28"/>
          <w:highlight w:val="none"/>
          <w:lang w:val="en-US" w:eastAsia="zh-CN" w:bidi="ar-SA"/>
        </w:rPr>
        <w:t>设备验收合格移交使用之前无需再支付其他任何费用及款项。</w:t>
      </w:r>
    </w:p>
    <w:p w14:paraId="19A5F7BC">
      <w:pPr>
        <w:pStyle w:val="10"/>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价格清单表是基于乙方在完全理解本项目材料所需为前提，同时甲方对清单中的名称、规格、材质及数量等没有校对的义务，乙方在合同有效期内不得对清单的综合费用提出任何费用的增加。实际供货数量以双方签字确认的数量为准。</w:t>
      </w:r>
    </w:p>
    <w:p w14:paraId="2CA490B6">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三、质量保证</w:t>
      </w:r>
    </w:p>
    <w:p w14:paraId="4320E3A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w:t>
      </w:r>
      <w:r>
        <w:rPr>
          <w:rFonts w:hint="eastAsia" w:ascii="仿宋" w:hAnsi="仿宋" w:eastAsia="仿宋" w:cs="仿宋"/>
          <w:kern w:val="2"/>
          <w:sz w:val="28"/>
          <w:szCs w:val="28"/>
          <w:highlight w:val="none"/>
          <w:lang w:val="en-US" w:eastAsia="zh-Hans" w:bidi="ar-SA"/>
        </w:rPr>
        <w:t>、</w:t>
      </w:r>
      <w:r>
        <w:rPr>
          <w:rFonts w:hint="eastAsia" w:ascii="仿宋" w:hAnsi="仿宋" w:eastAsia="仿宋" w:cs="仿宋"/>
          <w:kern w:val="2"/>
          <w:sz w:val="28"/>
          <w:szCs w:val="28"/>
          <w:highlight w:val="none"/>
          <w:lang w:val="en-US" w:eastAsia="zh-CN" w:bidi="ar-SA"/>
        </w:rPr>
        <w:t>乙方保证本合同货物是符合国家技术规格和国家质量标准的出厂原装合格产品，产品型号、数量、规格及技术、质量标准、售后服务必须满足甲方和自治区政府采购协议定点采购要求。</w:t>
      </w:r>
    </w:p>
    <w:p w14:paraId="192DF41A">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w:t>
      </w:r>
      <w:r>
        <w:rPr>
          <w:rFonts w:hint="eastAsia" w:ascii="仿宋" w:hAnsi="仿宋" w:eastAsia="仿宋" w:cs="仿宋"/>
          <w:kern w:val="2"/>
          <w:sz w:val="28"/>
          <w:szCs w:val="28"/>
          <w:highlight w:val="none"/>
          <w:lang w:val="en-US" w:eastAsia="zh-Hans" w:bidi="ar-SA"/>
        </w:rPr>
        <w:t>、</w:t>
      </w:r>
      <w:r>
        <w:rPr>
          <w:rFonts w:hint="eastAsia" w:ascii="仿宋" w:hAnsi="仿宋" w:eastAsia="仿宋" w:cs="仿宋"/>
          <w:kern w:val="2"/>
          <w:sz w:val="28"/>
          <w:szCs w:val="28"/>
          <w:highlight w:val="none"/>
          <w:lang w:val="en-US" w:eastAsia="zh-CN" w:bidi="ar-SA"/>
        </w:rPr>
        <w:t>货物在交货过程中，发生意外事故和故障损失，如撞、刮、裂、损等均由供方承担责任；货物交货后，除货物本身质量问题外供方概不负责。</w:t>
      </w:r>
    </w:p>
    <w:p w14:paraId="0D5FD7D9">
      <w:pPr>
        <w:pStyle w:val="10"/>
        <w:spacing w:line="50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3</w:t>
      </w:r>
      <w:r>
        <w:rPr>
          <w:rFonts w:hint="eastAsia" w:ascii="仿宋" w:hAnsi="仿宋" w:eastAsia="仿宋" w:cs="仿宋"/>
          <w:kern w:val="2"/>
          <w:sz w:val="28"/>
          <w:szCs w:val="28"/>
          <w:highlight w:val="none"/>
          <w:lang w:val="en-US" w:eastAsia="zh-Hans" w:bidi="ar-SA"/>
        </w:rPr>
        <w:t>、</w:t>
      </w:r>
      <w:r>
        <w:rPr>
          <w:rFonts w:hint="eastAsia" w:ascii="仿宋" w:hAnsi="仿宋" w:eastAsia="仿宋" w:cs="仿宋"/>
          <w:kern w:val="2"/>
          <w:sz w:val="28"/>
          <w:szCs w:val="28"/>
          <w:highlight w:val="none"/>
          <w:lang w:val="en-US" w:eastAsia="zh-CN" w:bidi="ar-SA"/>
        </w:rPr>
        <w:t>乙方保证所提供的本合同标的物必须符合本合同及招标文件约定的“质量标准”，达到产品各项性能指标和参数，并保证其销售的产品不存在任何权利上的瑕疵；若因此造成任何损失，由乙方承担全部赔偿责任；另外，乙方应保证产品完整无损，是全新的、未使用过的，是原装原厂的，是用先进工艺和优质材料制造而成的，并完全符合合同规定的质量、规格和性能要求。若标的物质量存在瑕疵，乙方应承担甲方相关损失及相应违约责任。</w:t>
      </w:r>
    </w:p>
    <w:p w14:paraId="4CA30E95">
      <w:pPr>
        <w:pStyle w:val="27"/>
        <w:spacing w:line="500" w:lineRule="atLeas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4</w:t>
      </w:r>
      <w:r>
        <w:rPr>
          <w:rFonts w:hint="eastAsia" w:ascii="仿宋" w:hAnsi="仿宋" w:eastAsia="仿宋" w:cs="仿宋"/>
          <w:kern w:val="2"/>
          <w:sz w:val="28"/>
          <w:szCs w:val="28"/>
          <w:highlight w:val="none"/>
          <w:lang w:val="en-US" w:eastAsia="zh-Hans" w:bidi="ar-SA"/>
        </w:rPr>
        <w:t>、</w:t>
      </w:r>
      <w:r>
        <w:rPr>
          <w:rFonts w:hint="eastAsia" w:ascii="仿宋" w:hAnsi="仿宋" w:eastAsia="仿宋" w:cs="仿宋"/>
          <w:kern w:val="2"/>
          <w:sz w:val="28"/>
          <w:szCs w:val="28"/>
          <w:highlight w:val="none"/>
          <w:lang w:val="en-US" w:eastAsia="zh-CN" w:bidi="ar-SA"/>
        </w:rPr>
        <w:t>乙方的安装调试人员有义务对甲方的设备维修人员及使用人员进行免费培训，确保维修人员能对设备进行日常维护和一般性故障的查找及故障的排除，确保使用人员能够熟练掌握设备的各项功能和操作。</w:t>
      </w:r>
    </w:p>
    <w:p w14:paraId="67E3D908">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四、质量保证期</w:t>
      </w:r>
    </w:p>
    <w:p w14:paraId="738EC95D">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1、合同内货物质保期至少为</w:t>
      </w:r>
      <w:r>
        <w:rPr>
          <w:rFonts w:hint="eastAsia" w:ascii="仿宋" w:hAnsi="仿宋" w:eastAsia="仿宋" w:cs="仿宋"/>
          <w:kern w:val="2"/>
          <w:sz w:val="28"/>
          <w:szCs w:val="28"/>
          <w:highlight w:val="none"/>
          <w:u w:val="single"/>
          <w:lang w:val="en-US" w:eastAsia="zh-CN" w:bidi="ar-SA"/>
        </w:rPr>
        <w:t xml:space="preserve">  3  </w:t>
      </w:r>
      <w:r>
        <w:rPr>
          <w:rFonts w:hint="eastAsia" w:ascii="仿宋" w:hAnsi="仿宋" w:eastAsia="仿宋" w:cs="仿宋"/>
          <w:kern w:val="2"/>
          <w:sz w:val="28"/>
          <w:szCs w:val="28"/>
          <w:highlight w:val="none"/>
          <w:lang w:val="en-US" w:eastAsia="zh-CN" w:bidi="ar-SA"/>
        </w:rPr>
        <w:t>年，质保期自甲方书面验收合格后，乙方开具发票之日起计算。具体质保期以乙方相关产品提供的质保期为准。乙方提供的质保期少于</w:t>
      </w:r>
      <w:r>
        <w:rPr>
          <w:rFonts w:hint="eastAsia" w:ascii="仿宋" w:hAnsi="仿宋" w:eastAsia="仿宋" w:cs="仿宋"/>
          <w:kern w:val="2"/>
          <w:sz w:val="28"/>
          <w:szCs w:val="28"/>
          <w:highlight w:val="none"/>
          <w:u w:val="single"/>
          <w:lang w:val="en-US" w:eastAsia="zh-CN" w:bidi="ar-SA"/>
        </w:rPr>
        <w:t xml:space="preserve"> 3  </w:t>
      </w:r>
      <w:r>
        <w:rPr>
          <w:rFonts w:hint="eastAsia" w:ascii="仿宋" w:hAnsi="仿宋" w:eastAsia="仿宋" w:cs="仿宋"/>
          <w:kern w:val="2"/>
          <w:sz w:val="28"/>
          <w:szCs w:val="28"/>
          <w:highlight w:val="none"/>
          <w:lang w:val="en-US" w:eastAsia="zh-CN" w:bidi="ar-SA"/>
        </w:rPr>
        <w:t>年的，以</w:t>
      </w:r>
      <w:r>
        <w:rPr>
          <w:rFonts w:hint="eastAsia" w:ascii="仿宋" w:hAnsi="仿宋" w:eastAsia="仿宋" w:cs="仿宋"/>
          <w:kern w:val="2"/>
          <w:sz w:val="28"/>
          <w:szCs w:val="28"/>
          <w:highlight w:val="none"/>
          <w:u w:val="single"/>
          <w:lang w:val="en-US" w:eastAsia="zh-CN" w:bidi="ar-SA"/>
        </w:rPr>
        <w:t xml:space="preserve">  3</w:t>
      </w:r>
      <w:r>
        <w:rPr>
          <w:rFonts w:hint="eastAsia" w:ascii="仿宋" w:hAnsi="仿宋" w:eastAsia="仿宋" w:cs="仿宋"/>
          <w:kern w:val="2"/>
          <w:sz w:val="28"/>
          <w:szCs w:val="28"/>
          <w:highlight w:val="none"/>
          <w:lang w:val="en-US" w:eastAsia="zh-CN" w:bidi="ar-SA"/>
        </w:rPr>
        <w:t>年为准；乙方提供的质保期长于</w:t>
      </w:r>
      <w:r>
        <w:rPr>
          <w:rFonts w:hint="eastAsia" w:ascii="仿宋" w:hAnsi="仿宋" w:eastAsia="仿宋" w:cs="仿宋"/>
          <w:kern w:val="2"/>
          <w:sz w:val="28"/>
          <w:szCs w:val="28"/>
          <w:highlight w:val="none"/>
          <w:u w:val="single"/>
          <w:lang w:val="en-US" w:eastAsia="zh-CN" w:bidi="ar-SA"/>
        </w:rPr>
        <w:t xml:space="preserve"> 3 </w:t>
      </w:r>
      <w:r>
        <w:rPr>
          <w:rFonts w:hint="eastAsia" w:ascii="仿宋" w:hAnsi="仿宋" w:eastAsia="仿宋" w:cs="仿宋"/>
          <w:kern w:val="2"/>
          <w:sz w:val="28"/>
          <w:szCs w:val="28"/>
          <w:highlight w:val="none"/>
          <w:lang w:val="en-US" w:eastAsia="zh-CN" w:bidi="ar-SA"/>
        </w:rPr>
        <w:t>年的，以生产厂家提供的质保期为准。在质量保证期内，因产品质量出现问题，乙方负责免费维修或更换新机，并承担与维修和更换相关的成本、运费、保险等一切费用。超过质保期后只收取更换部件成本费用，不收取服务费。</w:t>
      </w:r>
    </w:p>
    <w:p w14:paraId="349F9055">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2、质保期内，如产品发生质量问题，乙方应在【 </w:t>
      </w:r>
      <w:r>
        <w:rPr>
          <w:rFonts w:hint="eastAsia" w:ascii="仿宋" w:hAnsi="仿宋" w:eastAsia="仿宋" w:cs="仿宋"/>
          <w:kern w:val="2"/>
          <w:sz w:val="28"/>
          <w:szCs w:val="28"/>
          <w:highlight w:val="none"/>
          <w:u w:val="single"/>
          <w:lang w:val="en-US" w:eastAsia="zh-CN" w:bidi="ar-SA"/>
        </w:rPr>
        <w:t xml:space="preserve"> 24 </w:t>
      </w:r>
      <w:r>
        <w:rPr>
          <w:rFonts w:hint="eastAsia" w:ascii="仿宋" w:hAnsi="仿宋" w:eastAsia="仿宋" w:cs="仿宋"/>
          <w:kern w:val="2"/>
          <w:sz w:val="28"/>
          <w:szCs w:val="28"/>
          <w:highlight w:val="none"/>
          <w:lang w:val="en-US" w:eastAsia="zh-CN" w:bidi="ar-SA"/>
        </w:rPr>
        <w:t>小时】内到场进行维修。对设备出现的较大的问题，解决时间不得超过</w:t>
      </w:r>
      <w:r>
        <w:rPr>
          <w:rFonts w:hint="eastAsia" w:ascii="仿宋" w:hAnsi="仿宋" w:eastAsia="仿宋" w:cs="仿宋"/>
          <w:kern w:val="2"/>
          <w:sz w:val="28"/>
          <w:szCs w:val="28"/>
          <w:highlight w:val="none"/>
          <w:u w:val="single"/>
          <w:lang w:val="en-US" w:eastAsia="zh-CN" w:bidi="ar-SA"/>
        </w:rPr>
        <w:t xml:space="preserve">  5 </w:t>
      </w:r>
      <w:r>
        <w:rPr>
          <w:rFonts w:hint="eastAsia" w:ascii="仿宋" w:hAnsi="仿宋" w:eastAsia="仿宋" w:cs="仿宋"/>
          <w:kern w:val="2"/>
          <w:sz w:val="28"/>
          <w:szCs w:val="28"/>
          <w:highlight w:val="none"/>
          <w:lang w:val="en-US" w:eastAsia="zh-CN" w:bidi="ar-SA"/>
        </w:rPr>
        <w:t>个日历日。乙方接到甲方通知后未依照约定时间到场维修的，甲方有权另行聘请专业人员进行维修，产生的费用由乙方支付，乙方拒不支付的在履约保证金中予以扣除。同时，应向甲方提供同类型的应急代用设备，如相同的事故出现两次将无偿更换新机或退回甲方已支付的全部货款。</w:t>
      </w:r>
    </w:p>
    <w:p w14:paraId="68A4D1D2">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3、保修期外，乙方承诺提供终身免费维修，定期保养，按成本价收取零配件、易损件和耗材费用。</w:t>
      </w:r>
    </w:p>
    <w:p w14:paraId="39ABB1CD">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五、交货（或安装）时间、地点</w:t>
      </w:r>
    </w:p>
    <w:p w14:paraId="4CCFE3E0">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1、乙方于</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 xml:space="preserve"> 年</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月</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日前（具体以甲方指令时间为准）将货物送达（并安装调试完毕）至以下指定地点：</w:t>
      </w:r>
      <w:r>
        <w:rPr>
          <w:rFonts w:hint="eastAsia" w:ascii="仿宋" w:hAnsi="仿宋" w:eastAsia="仿宋" w:cs="仿宋"/>
          <w:kern w:val="2"/>
          <w:sz w:val="28"/>
          <w:szCs w:val="28"/>
          <w:highlight w:val="none"/>
          <w:u w:val="single"/>
          <w:lang w:val="en-US" w:eastAsia="zh-CN" w:bidi="ar-SA"/>
        </w:rPr>
        <w:t xml:space="preserve">  吉木乃县人民医院   </w:t>
      </w:r>
      <w:r>
        <w:rPr>
          <w:rFonts w:hint="eastAsia" w:ascii="仿宋" w:hAnsi="仿宋" w:eastAsia="仿宋" w:cs="仿宋"/>
          <w:kern w:val="2"/>
          <w:sz w:val="28"/>
          <w:szCs w:val="28"/>
          <w:highlight w:val="none"/>
          <w:lang w:val="en-US" w:eastAsia="zh-CN" w:bidi="ar-SA"/>
        </w:rPr>
        <w:t>，并确保在</w:t>
      </w:r>
      <w:r>
        <w:rPr>
          <w:rFonts w:hint="eastAsia" w:ascii="仿宋" w:hAnsi="仿宋" w:eastAsia="仿宋" w:cs="仿宋"/>
          <w:kern w:val="2"/>
          <w:sz w:val="28"/>
          <w:szCs w:val="28"/>
          <w:highlight w:val="none"/>
          <w:u w:val="single"/>
          <w:lang w:val="en-US" w:eastAsia="zh-CN" w:bidi="ar-SA"/>
        </w:rPr>
        <w:t xml:space="preserve">  7  </w:t>
      </w:r>
      <w:r>
        <w:rPr>
          <w:rFonts w:hint="eastAsia" w:ascii="仿宋" w:hAnsi="仿宋" w:eastAsia="仿宋" w:cs="仿宋"/>
          <w:kern w:val="2"/>
          <w:sz w:val="28"/>
          <w:szCs w:val="28"/>
          <w:highlight w:val="none"/>
          <w:lang w:val="en-US" w:eastAsia="zh-CN" w:bidi="ar-SA"/>
        </w:rPr>
        <w:t>天内配合甲方完成验收工作。</w:t>
      </w:r>
    </w:p>
    <w:p w14:paraId="2DD4F88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2、到货地点和接货单位（或接货人）</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 xml:space="preserve"> 。甲方指定的接货人为：姓名：</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，电话：</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 xml:space="preserve"> ；双方明确，除该指定接货人外，其他任何人员（包括甲方的其他任何工作人员）签署的接货单，甲方均不予认可。</w:t>
      </w:r>
    </w:p>
    <w:p w14:paraId="60159829">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3、在交付时，乙方必须对货物进行消杀并向甲方提供物品详细的中文版说明书、使用手册、维修手册及电路原理图等一切与该设备的安装、维修、保养有关的技术图纸及文字资料。否则，甲方有权不予付款且不承担违约责任。乙方应同时提供该设备彩页资料和公司、产品资质（医疗器械经营或生产许可证、营业执照、医疗器械注册证或备案凭证），并承担由此发生的全部费用。</w:t>
      </w:r>
    </w:p>
    <w:p w14:paraId="2478021B">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六、验收</w:t>
      </w:r>
    </w:p>
    <w:p w14:paraId="421ED58C">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在交货前，乙方应确保制造商对货物的有关内在和外观质量、规格、性能、数量和重量进行准确的和全面的检验，并出具货物符合合同规定的检测报告及合格证。检测报告及合格证将作为申请付款单据的必要条件。</w:t>
      </w:r>
    </w:p>
    <w:p w14:paraId="36DA8A0D">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货物运至交货地点、完成设备安装调试当日，双方应对货物的型号、技术参数、数量、产地，并根据制造商签发的《产品合格证》、《出厂清单》、《技术文件》进行现场初验，初验完成后交给技术监督检测机构验收，待安装调试完毕且正常运行后，由甲、乙双方共同组织验收，并出具验收单。该验收单将作为申请付款单据的必要条件。</w:t>
      </w:r>
    </w:p>
    <w:p w14:paraId="2AEC01DB">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3、数量: 乙方交货时，甲乙双方应各指定2名以上工作人员对货物数量进行统计，交货完成后，就甲方验收合格的货物数量，由双方各自指定的工作人员在交货清单上签字确认，交货清单一式两份，作为今后双方结算的依据。 </w:t>
      </w:r>
    </w:p>
    <w:p w14:paraId="0DBEB26B">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4、自产品交货安装后，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应承担相应违约责任并承担相应赔偿。</w:t>
      </w:r>
    </w:p>
    <w:p w14:paraId="4C32489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5、如乙方交付设备安装调试后达不到合同或招投标文件规定的质量或技术指标要求，甲方有权提出退货，并要求乙方全额退回货款。</w:t>
      </w:r>
    </w:p>
    <w:p w14:paraId="1449AB0B">
      <w:pPr>
        <w:spacing w:line="520" w:lineRule="exact"/>
        <w:ind w:firstLine="420" w:firstLineChars="150"/>
        <w:rPr>
          <w:rFonts w:hint="eastAsia" w:ascii="仿宋" w:hAnsi="仿宋" w:eastAsia="仿宋" w:cs="仿宋"/>
          <w:kern w:val="2"/>
          <w:sz w:val="28"/>
          <w:szCs w:val="28"/>
          <w:highlight w:val="none"/>
          <w:lang w:val="en-US" w:eastAsia="zh-Hans" w:bidi="ar-SA"/>
        </w:rPr>
      </w:pPr>
      <w:r>
        <w:rPr>
          <w:rFonts w:hint="eastAsia" w:ascii="仿宋" w:hAnsi="仿宋" w:eastAsia="仿宋" w:cs="仿宋"/>
          <w:kern w:val="2"/>
          <w:sz w:val="28"/>
          <w:szCs w:val="28"/>
          <w:highlight w:val="none"/>
          <w:lang w:val="en-US" w:eastAsia="zh-CN" w:bidi="ar-SA"/>
        </w:rPr>
        <w:t xml:space="preserve"> 6</w:t>
      </w:r>
      <w:r>
        <w:rPr>
          <w:rFonts w:hint="eastAsia" w:ascii="仿宋" w:hAnsi="仿宋" w:eastAsia="仿宋" w:cs="仿宋"/>
          <w:kern w:val="2"/>
          <w:sz w:val="28"/>
          <w:szCs w:val="28"/>
          <w:highlight w:val="none"/>
          <w:lang w:val="en-US" w:eastAsia="zh-Hans" w:bidi="ar-SA"/>
        </w:rPr>
        <w:t>、</w:t>
      </w:r>
      <w:r>
        <w:rPr>
          <w:rFonts w:hint="eastAsia" w:ascii="仿宋" w:hAnsi="仿宋" w:eastAsia="仿宋" w:cs="仿宋"/>
          <w:kern w:val="2"/>
          <w:sz w:val="28"/>
          <w:szCs w:val="28"/>
          <w:highlight w:val="none"/>
          <w:lang w:val="en-US" w:eastAsia="zh-CN" w:bidi="ar-SA"/>
        </w:rPr>
        <w:t>如果在合同规定的质量保证期内，发现货物的质量或规格与合同规定不符，或货物有缺陷，包括内在隐蔽瑕疵或使用不合适的原材料或不科学的设计等，甲方有权根据质量保证条款向乙方主张质保责任，并在乙方构成违约或侵权时主张索赔。</w:t>
      </w:r>
    </w:p>
    <w:p w14:paraId="1096B3E9">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七、售后服务</w:t>
      </w:r>
    </w:p>
    <w:p w14:paraId="4ABA0F13">
      <w:pPr>
        <w:spacing w:line="520" w:lineRule="exact"/>
        <w:ind w:firstLine="420" w:firstLineChars="150"/>
        <w:rPr>
          <w:rFonts w:hint="eastAsia" w:ascii="仿宋" w:hAnsi="仿宋" w:eastAsia="仿宋" w:cs="仿宋"/>
          <w:kern w:val="2"/>
          <w:sz w:val="28"/>
          <w:szCs w:val="28"/>
          <w:highlight w:val="red"/>
          <w:u w:val="single"/>
          <w:lang w:val="en-US" w:eastAsia="zh-CN" w:bidi="ar-SA"/>
        </w:rPr>
      </w:pPr>
      <w:r>
        <w:rPr>
          <w:rFonts w:hint="eastAsia" w:ascii="仿宋" w:hAnsi="仿宋" w:eastAsia="仿宋" w:cs="仿宋"/>
          <w:kern w:val="2"/>
          <w:sz w:val="28"/>
          <w:szCs w:val="28"/>
          <w:highlight w:val="none"/>
          <w:lang w:val="en-US" w:eastAsia="zh-CN" w:bidi="ar-SA"/>
        </w:rPr>
        <w:t>上述产品的免费保修期为交货并安装验收合格后乙方</w:t>
      </w:r>
      <w:r>
        <w:rPr>
          <w:rFonts w:hint="eastAsia" w:ascii="仿宋" w:hAnsi="仿宋" w:eastAsia="仿宋" w:cs="仿宋"/>
          <w:kern w:val="2"/>
          <w:sz w:val="28"/>
          <w:szCs w:val="28"/>
          <w:highlight w:val="none"/>
          <w:u w:val="none"/>
          <w:lang w:val="en-US" w:eastAsia="zh-CN" w:bidi="ar-SA"/>
        </w:rPr>
        <w:t>提供的质保期</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u w:val="none"/>
          <w:lang w:val="en-US" w:eastAsia="zh-CN" w:bidi="ar-SA"/>
        </w:rPr>
        <w:t>年；</w:t>
      </w:r>
    </w:p>
    <w:p w14:paraId="13F901F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免费更换配件（人为因素除外）时间为交货并验收合格后</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w:t>
      </w:r>
    </w:p>
    <w:p w14:paraId="1A0267F9">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乙方售后服务联系人 </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w:t>
      </w:r>
    </w:p>
    <w:p w14:paraId="6720BF33">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联系电话 </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 xml:space="preserve">； </w:t>
      </w:r>
    </w:p>
    <w:p w14:paraId="20128BC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八、货款的支付</w:t>
      </w:r>
    </w:p>
    <w:p w14:paraId="08A9C7F2">
      <w:pPr>
        <w:spacing w:line="520" w:lineRule="exact"/>
        <w:ind w:firstLine="560" w:firstLineChars="200"/>
        <w:rPr>
          <w:rFonts w:hint="eastAsia" w:ascii="仿宋" w:hAnsi="仿宋" w:eastAsia="仿宋" w:cs="仿宋"/>
          <w:kern w:val="2"/>
          <w:sz w:val="28"/>
          <w:szCs w:val="28"/>
          <w:highlight w:val="none"/>
          <w:u w:val="none"/>
          <w:lang w:val="en-US" w:eastAsia="zh-CN" w:bidi="ar-SA"/>
        </w:rPr>
      </w:pPr>
      <w:r>
        <w:rPr>
          <w:rFonts w:hint="eastAsia" w:ascii="仿宋" w:hAnsi="仿宋" w:eastAsia="仿宋" w:cs="仿宋"/>
          <w:kern w:val="2"/>
          <w:sz w:val="28"/>
          <w:szCs w:val="28"/>
          <w:highlight w:val="none"/>
          <w:lang w:val="en-US" w:eastAsia="zh-CN" w:bidi="ar-SA"/>
        </w:rPr>
        <w:t>1、本合同为</w:t>
      </w:r>
      <w:r>
        <w:rPr>
          <w:rFonts w:hint="eastAsia" w:ascii="仿宋" w:hAnsi="仿宋" w:eastAsia="仿宋" w:cs="仿宋"/>
          <w:kern w:val="2"/>
          <w:sz w:val="28"/>
          <w:szCs w:val="28"/>
          <w:highlight w:val="none"/>
          <w:u w:val="single"/>
          <w:lang w:val="en-US" w:eastAsia="zh-CN" w:bidi="ar-SA"/>
        </w:rPr>
        <w:t>固定单价合同</w:t>
      </w:r>
      <w:r>
        <w:rPr>
          <w:rFonts w:hint="eastAsia" w:ascii="仿宋" w:hAnsi="仿宋" w:eastAsia="仿宋" w:cs="仿宋"/>
          <w:kern w:val="2"/>
          <w:sz w:val="28"/>
          <w:szCs w:val="28"/>
          <w:highlight w:val="none"/>
          <w:lang w:val="en-US" w:eastAsia="zh-CN" w:bidi="ar-SA"/>
        </w:rPr>
        <w:t>，</w:t>
      </w:r>
      <w:r>
        <w:rPr>
          <w:rFonts w:hint="eastAsia" w:ascii="仿宋" w:hAnsi="仿宋" w:eastAsia="仿宋" w:cs="仿宋"/>
          <w:kern w:val="2"/>
          <w:sz w:val="28"/>
          <w:szCs w:val="28"/>
          <w:highlight w:val="none"/>
          <w:u w:val="single"/>
          <w:lang w:val="en-US" w:eastAsia="zh-CN" w:bidi="ar-SA"/>
        </w:rPr>
        <w:t>合同总价</w:t>
      </w:r>
      <w:r>
        <w:rPr>
          <w:rFonts w:hint="eastAsia" w:ascii="仿宋" w:hAnsi="仿宋" w:eastAsia="仿宋" w:cs="仿宋"/>
          <w:kern w:val="2"/>
          <w:sz w:val="28"/>
          <w:szCs w:val="28"/>
          <w:highlight w:val="none"/>
          <w:lang w:val="en-US" w:eastAsia="zh-CN" w:bidi="ar-SA"/>
        </w:rPr>
        <w:t>以</w:t>
      </w:r>
      <w:r>
        <w:rPr>
          <w:rFonts w:hint="eastAsia" w:ascii="仿宋" w:hAnsi="仿宋" w:eastAsia="仿宋" w:cs="仿宋"/>
          <w:kern w:val="2"/>
          <w:sz w:val="28"/>
          <w:szCs w:val="28"/>
          <w:highlight w:val="none"/>
          <w:u w:val="none"/>
          <w:lang w:val="en-US" w:eastAsia="zh-CN" w:bidi="ar-SA"/>
        </w:rPr>
        <w:t>甲方实际采购并验收合格的数量确定总价进行支付;</w:t>
      </w:r>
    </w:p>
    <w:p w14:paraId="3012C610">
      <w:pPr>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2、本协议签订后，向乙方支付合同总金额的30%的预付款，即人民币大写：</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元整 ；小写：</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元；货物到场后，向乙方支付合同总金额的50%，即人民币大写：</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元整 ；小写：</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元；项目安装验收合格后并结算审核完成后支付合同金额付款20%，即人民币大写：</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元整 ；小写：</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w:t>
      </w:r>
    </w:p>
    <w:p w14:paraId="007E6587">
      <w:pPr>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3、合同签订后，提供合同价3%的履约保证金，即人民币大写：</w:t>
      </w:r>
    </w:p>
    <w:p w14:paraId="6C5BA259">
      <w:pPr>
        <w:spacing w:line="520" w:lineRule="exact"/>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元整 ；小写：</w:t>
      </w:r>
      <w:r>
        <w:rPr>
          <w:rFonts w:hint="eastAsia" w:ascii="仿宋" w:hAnsi="仿宋" w:eastAsia="仿宋" w:cs="仿宋"/>
          <w:kern w:val="2"/>
          <w:sz w:val="28"/>
          <w:szCs w:val="28"/>
          <w:highlight w:val="none"/>
          <w:u w:val="single"/>
          <w:lang w:val="en-US" w:eastAsia="zh-CN" w:bidi="ar-SA"/>
        </w:rPr>
        <w:t xml:space="preserve">      </w:t>
      </w:r>
      <w:r>
        <w:rPr>
          <w:rFonts w:hint="eastAsia" w:ascii="仿宋" w:hAnsi="仿宋" w:eastAsia="仿宋" w:cs="仿宋"/>
          <w:kern w:val="2"/>
          <w:sz w:val="28"/>
          <w:szCs w:val="28"/>
          <w:highlight w:val="none"/>
          <w:lang w:val="en-US" w:eastAsia="zh-CN" w:bidi="ar-SA"/>
        </w:rPr>
        <w:t>元作为履约保证金，经甲方验收合格并使用</w:t>
      </w:r>
      <w:r>
        <w:rPr>
          <w:rFonts w:hint="eastAsia" w:ascii="仿宋" w:hAnsi="仿宋" w:eastAsia="仿宋" w:cs="仿宋"/>
          <w:kern w:val="2"/>
          <w:sz w:val="28"/>
          <w:szCs w:val="28"/>
          <w:highlight w:val="none"/>
          <w:u w:val="single"/>
          <w:lang w:val="en-US" w:eastAsia="zh-CN" w:bidi="ar-SA"/>
        </w:rPr>
        <w:t xml:space="preserve">  2  </w:t>
      </w:r>
      <w:r>
        <w:rPr>
          <w:rFonts w:hint="eastAsia" w:ascii="仿宋" w:hAnsi="仿宋" w:eastAsia="仿宋" w:cs="仿宋"/>
          <w:kern w:val="2"/>
          <w:sz w:val="28"/>
          <w:szCs w:val="28"/>
          <w:highlight w:val="none"/>
          <w:lang w:val="en-US" w:eastAsia="zh-CN" w:bidi="ar-SA"/>
        </w:rPr>
        <w:t>年后，经甲方再次书面验收合格，如无任何产品质量及技术问题，无息支付给乙方；</w:t>
      </w:r>
    </w:p>
    <w:p w14:paraId="3BC93E33">
      <w:pPr>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4、甲方支付上述任何一笔款项前，乙方应提供符合甲方财务做账要求的正规增值税发票，否则，甲方有权拒付款项且不承担违约责任。</w:t>
      </w:r>
    </w:p>
    <w:p w14:paraId="5D7F842F">
      <w:pPr>
        <w:spacing w:line="520" w:lineRule="exact"/>
        <w:ind w:firstLine="560" w:firstLineChars="200"/>
        <w:jc w:val="both"/>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5、乙方银行账户信息：</w:t>
      </w:r>
    </w:p>
    <w:p w14:paraId="3380B622">
      <w:pPr>
        <w:spacing w:line="520" w:lineRule="exact"/>
        <w:ind w:firstLine="560" w:firstLineChars="200"/>
        <w:jc w:val="both"/>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开户行：    </w:t>
      </w:r>
    </w:p>
    <w:p w14:paraId="38D3C8C4">
      <w:pPr>
        <w:spacing w:line="520" w:lineRule="exact"/>
        <w:ind w:firstLine="560" w:firstLineChars="200"/>
        <w:jc w:val="both"/>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账户名称：   </w:t>
      </w:r>
    </w:p>
    <w:p w14:paraId="3F4CAFDA">
      <w:pPr>
        <w:spacing w:line="520" w:lineRule="exact"/>
        <w:ind w:firstLine="560" w:firstLineChars="200"/>
        <w:jc w:val="both"/>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银行账号：            </w:t>
      </w:r>
    </w:p>
    <w:p w14:paraId="2AD42785">
      <w:pPr>
        <w:spacing w:line="520" w:lineRule="exact"/>
        <w:ind w:firstLine="560" w:firstLineChars="20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  </w:t>
      </w:r>
    </w:p>
    <w:p w14:paraId="524444C1">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九、违约责任</w:t>
      </w:r>
    </w:p>
    <w:p w14:paraId="6428F1B6">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1、甲方违约责任</w:t>
      </w:r>
    </w:p>
    <w:p w14:paraId="194C240B">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1）乙方按协议约定履行完协议义务后，甲方无正当理由拒绝验收的（</w:t>
      </w:r>
      <w:r>
        <w:rPr>
          <w:rFonts w:hint="eastAsia" w:ascii="仿宋" w:hAnsi="仿宋" w:eastAsia="仿宋" w:cs="仿宋"/>
          <w:kern w:val="2"/>
          <w:sz w:val="28"/>
          <w:szCs w:val="28"/>
          <w:highlight w:val="none"/>
          <w:lang w:val="en-US" w:eastAsia="zh-Hans" w:bidi="ar-SA"/>
        </w:rPr>
        <w:t>因</w:t>
      </w:r>
      <w:r>
        <w:rPr>
          <w:rFonts w:hint="eastAsia" w:ascii="仿宋" w:hAnsi="仿宋" w:eastAsia="仿宋" w:cs="仿宋"/>
          <w:kern w:val="2"/>
          <w:sz w:val="28"/>
          <w:szCs w:val="28"/>
          <w:highlight w:val="none"/>
          <w:lang w:val="en-US" w:eastAsia="zh-CN" w:bidi="ar-SA"/>
        </w:rPr>
        <w:t>疫情等</w:t>
      </w:r>
      <w:r>
        <w:rPr>
          <w:rFonts w:hint="eastAsia" w:ascii="仿宋" w:hAnsi="仿宋" w:eastAsia="仿宋" w:cs="仿宋"/>
          <w:kern w:val="2"/>
          <w:sz w:val="28"/>
          <w:szCs w:val="28"/>
          <w:highlight w:val="none"/>
          <w:lang w:val="en-US" w:eastAsia="zh-Hans" w:bidi="ar-SA"/>
        </w:rPr>
        <w:t>特殊原因</w:t>
      </w:r>
      <w:r>
        <w:rPr>
          <w:rFonts w:hint="eastAsia" w:ascii="仿宋" w:hAnsi="仿宋" w:eastAsia="仿宋" w:cs="仿宋"/>
          <w:kern w:val="2"/>
          <w:sz w:val="28"/>
          <w:szCs w:val="28"/>
          <w:highlight w:val="none"/>
          <w:lang w:val="en-US" w:eastAsia="zh-CN" w:bidi="ar-SA"/>
        </w:rPr>
        <w:t>及无法</w:t>
      </w:r>
      <w:r>
        <w:rPr>
          <w:rFonts w:hint="eastAsia" w:ascii="仿宋" w:hAnsi="仿宋" w:eastAsia="仿宋" w:cs="仿宋"/>
          <w:kern w:val="2"/>
          <w:sz w:val="28"/>
          <w:szCs w:val="28"/>
          <w:highlight w:val="none"/>
          <w:lang w:val="en-US" w:eastAsia="zh-Hans" w:bidi="ar-SA"/>
        </w:rPr>
        <w:t>抗力等</w:t>
      </w:r>
      <w:r>
        <w:rPr>
          <w:rFonts w:hint="eastAsia" w:ascii="仿宋" w:hAnsi="仿宋" w:eastAsia="仿宋" w:cs="仿宋"/>
          <w:kern w:val="2"/>
          <w:sz w:val="28"/>
          <w:szCs w:val="28"/>
          <w:highlight w:val="none"/>
          <w:lang w:val="en-US" w:eastAsia="zh-CN" w:bidi="ar-SA"/>
        </w:rPr>
        <w:t>因素外），甲方逾期验收</w:t>
      </w:r>
      <w:r>
        <w:rPr>
          <w:rFonts w:hint="eastAsia" w:ascii="仿宋" w:hAnsi="仿宋" w:eastAsia="仿宋" w:cs="仿宋"/>
          <w:kern w:val="2"/>
          <w:sz w:val="28"/>
          <w:szCs w:val="28"/>
          <w:highlight w:val="none"/>
          <w:lang w:val="en-US" w:eastAsia="zh-Hans" w:bidi="ar-SA"/>
        </w:rPr>
        <w:t>承担</w:t>
      </w:r>
      <w:r>
        <w:rPr>
          <w:rFonts w:hint="eastAsia" w:ascii="仿宋" w:hAnsi="仿宋" w:eastAsia="仿宋" w:cs="仿宋"/>
          <w:kern w:val="2"/>
          <w:sz w:val="28"/>
          <w:szCs w:val="28"/>
          <w:highlight w:val="none"/>
          <w:lang w:val="en-US" w:eastAsia="zh-CN" w:bidi="ar-SA"/>
        </w:rPr>
        <w:t>违约责任，按照中国人民银行同期存款利率向乙方承担违约金。如遇特殊情况甲方要求推迟履行协议的，可事先征得乙方的同意。</w:t>
      </w:r>
    </w:p>
    <w:p w14:paraId="18BD766B">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2、乙方违约责任</w:t>
      </w:r>
    </w:p>
    <w:p w14:paraId="04DE5DF9">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1）乙方应严格按照合同约定的时间交货，如乙方延迟交货（</w:t>
      </w:r>
      <w:r>
        <w:rPr>
          <w:rFonts w:hint="eastAsia" w:ascii="仿宋" w:hAnsi="仿宋" w:eastAsia="仿宋" w:cs="仿宋"/>
          <w:kern w:val="2"/>
          <w:sz w:val="28"/>
          <w:szCs w:val="28"/>
          <w:highlight w:val="none"/>
          <w:lang w:val="en-US" w:eastAsia="zh-Hans" w:bidi="ar-SA"/>
        </w:rPr>
        <w:t>因</w:t>
      </w:r>
      <w:r>
        <w:rPr>
          <w:rFonts w:hint="eastAsia" w:ascii="仿宋" w:hAnsi="仿宋" w:eastAsia="仿宋" w:cs="仿宋"/>
          <w:kern w:val="2"/>
          <w:sz w:val="28"/>
          <w:szCs w:val="28"/>
          <w:highlight w:val="none"/>
          <w:lang w:val="en-US" w:eastAsia="zh-CN" w:bidi="ar-SA"/>
        </w:rPr>
        <w:t>疫情等</w:t>
      </w:r>
      <w:r>
        <w:rPr>
          <w:rFonts w:hint="eastAsia" w:ascii="仿宋" w:hAnsi="仿宋" w:eastAsia="仿宋" w:cs="仿宋"/>
          <w:kern w:val="2"/>
          <w:sz w:val="28"/>
          <w:szCs w:val="28"/>
          <w:highlight w:val="none"/>
          <w:lang w:val="en-US" w:eastAsia="zh-Hans" w:bidi="ar-SA"/>
        </w:rPr>
        <w:t>特殊原因</w:t>
      </w:r>
      <w:r>
        <w:rPr>
          <w:rFonts w:hint="eastAsia" w:ascii="仿宋" w:hAnsi="仿宋" w:eastAsia="仿宋" w:cs="仿宋"/>
          <w:kern w:val="2"/>
          <w:sz w:val="28"/>
          <w:szCs w:val="28"/>
          <w:highlight w:val="none"/>
          <w:lang w:val="en-US" w:eastAsia="zh-CN" w:bidi="ar-SA"/>
        </w:rPr>
        <w:t>及无法</w:t>
      </w:r>
      <w:r>
        <w:rPr>
          <w:rFonts w:hint="eastAsia" w:ascii="仿宋" w:hAnsi="仿宋" w:eastAsia="仿宋" w:cs="仿宋"/>
          <w:kern w:val="2"/>
          <w:sz w:val="28"/>
          <w:szCs w:val="28"/>
          <w:highlight w:val="none"/>
          <w:lang w:val="en-US" w:eastAsia="zh-Hans" w:bidi="ar-SA"/>
        </w:rPr>
        <w:t>抗力的原因，经甲方书面同意可</w:t>
      </w:r>
      <w:r>
        <w:rPr>
          <w:rFonts w:hint="eastAsia" w:ascii="仿宋" w:hAnsi="仿宋" w:eastAsia="仿宋" w:cs="仿宋"/>
          <w:kern w:val="2"/>
          <w:sz w:val="28"/>
          <w:szCs w:val="28"/>
          <w:highlight w:val="none"/>
          <w:lang w:val="en-US" w:eastAsia="zh-CN" w:bidi="ar-SA"/>
        </w:rPr>
        <w:t>除外），甲方有权追究乙方延迟交货的违约责任。每逾期一日，乙方按合同总额的千分之一承担违约金，乙方逾期供货超出交付期十天(含十天)以上的，甲方有权解除合同并追究乙方的违约责任，甲方解除合同的，乙方应支付合同总价款20%的违约金，乙方支付上述违约金不足以赔偿甲方损失的，甲方有权另行向乙方索赔（包括但不限于第三方索赔、律师费、诉讼费、鉴定费、公证费、差旅费等甲方采取诉讼途径发生的一切费用）。</w:t>
      </w:r>
    </w:p>
    <w:p w14:paraId="5FF33D38">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2）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         </w:t>
      </w:r>
    </w:p>
    <w:p w14:paraId="10724000">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3）乙方所交产品品种、型号、规格、质量、性能不符合合同规定的，由乙方负责包换或包修，并承担修理、调换或退货而支付的实际费用。乙方不能修理或者不能调换的，乙方全额退回已支付的退货产品货款，并按合同总额的百分之二十承担违约金。</w:t>
      </w:r>
    </w:p>
    <w:p w14:paraId="64FD6431">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4）乙方在协议供货有效期内违反本有关质量保证及售后服务的，甲方有权要求乙方支付合同总价款20%的违约金，乙方支付上述违约金不足以赔偿甲方损失的，甲方有权另行向乙方索赔（包括但不限于第三方索赔、律师费、诉讼费、鉴定费、公证费、差旅费等甲方采取诉讼途径发生的一切费用）。</w:t>
      </w:r>
    </w:p>
    <w:p w14:paraId="1E57C4BD">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5）乙方向甲方承诺，如发生乙方向甲方指定人员或与该业务有关的任何工作人员行贿、送礼等行为，或与甲方相关工作人员串通，做出损害甲方利益的任何行为，甲方有权解除合同，并承担相应法律责任。</w:t>
      </w:r>
    </w:p>
    <w:p w14:paraId="44C13012">
      <w:pPr>
        <w:keepNext w:val="0"/>
        <w:keepLines w:val="0"/>
        <w:pageBreakBefore w:val="0"/>
        <w:widowControl w:val="0"/>
        <w:kinsoku/>
        <w:wordWrap/>
        <w:overflowPunct/>
        <w:topLinePunct w:val="0"/>
        <w:autoSpaceDE/>
        <w:autoSpaceDN/>
        <w:bidi w:val="0"/>
        <w:adjustRightInd/>
        <w:snapToGrid/>
        <w:spacing w:line="520" w:lineRule="exact"/>
        <w:ind w:firstLine="420" w:firstLineChars="150"/>
        <w:textAlignment w:val="auto"/>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6）本合同签订后，乙方不得以货物市场价格上涨等各种理由断货、中止供货或要求甲方调价，否则，甲方有权解除合同并拒绝支付任何合同款项，乙方向甲方支付合同总价20%的违约金。</w:t>
      </w:r>
    </w:p>
    <w:p w14:paraId="5E4D4B76">
      <w:pPr>
        <w:pStyle w:val="10"/>
        <w:keepNext w:val="0"/>
        <w:keepLines w:val="0"/>
        <w:pageBreakBefore w:val="0"/>
        <w:widowControl w:val="0"/>
        <w:kinsoku/>
        <w:wordWrap/>
        <w:overflowPunct/>
        <w:topLinePunct w:val="0"/>
        <w:autoSpaceDE/>
        <w:autoSpaceDN/>
        <w:bidi w:val="0"/>
        <w:adjustRightInd/>
        <w:snapToGrid/>
        <w:spacing w:after="0" w:afterLines="0" w:line="520" w:lineRule="exact"/>
        <w:ind w:firstLine="560" w:firstLineChars="200"/>
        <w:jc w:val="left"/>
        <w:textAlignment w:val="auto"/>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7）乙方应无条件服从甲方、项目管理、监理及工程总承包人的现场管理、安全管理和治安管理等，并履行其职责</w:t>
      </w:r>
      <w:bookmarkStart w:id="182" w:name="bookmark34"/>
      <w:bookmarkEnd w:id="182"/>
      <w:r>
        <w:rPr>
          <w:rFonts w:hint="eastAsia" w:ascii="仿宋" w:hAnsi="仿宋" w:eastAsia="仿宋" w:cs="仿宋"/>
          <w:kern w:val="2"/>
          <w:sz w:val="28"/>
          <w:szCs w:val="28"/>
          <w:highlight w:val="none"/>
          <w:lang w:val="en-US" w:eastAsia="zh-CN" w:bidi="ar-SA"/>
        </w:rPr>
        <w:t>。</w:t>
      </w:r>
    </w:p>
    <w:p w14:paraId="3EBF6E11">
      <w:pPr>
        <w:pStyle w:val="20"/>
        <w:keepNext w:val="0"/>
        <w:keepLines w:val="0"/>
        <w:pageBreakBefore w:val="0"/>
        <w:widowControl w:val="0"/>
        <w:tabs>
          <w:tab w:val="left" w:pos="567"/>
        </w:tabs>
        <w:kinsoku/>
        <w:wordWrap/>
        <w:overflowPunct/>
        <w:topLinePunct w:val="0"/>
        <w:autoSpaceDE/>
        <w:autoSpaceDN/>
        <w:bidi w:val="0"/>
        <w:adjustRightInd/>
        <w:snapToGrid/>
        <w:spacing w:after="0" w:afterLines="0" w:line="520" w:lineRule="exact"/>
        <w:ind w:firstLine="560" w:firstLineChars="200"/>
        <w:textAlignment w:val="auto"/>
        <w:rPr>
          <w:rFonts w:hint="default"/>
          <w:lang w:val="en-US" w:eastAsia="zh-CN"/>
        </w:rPr>
      </w:pPr>
      <w:r>
        <w:rPr>
          <w:rFonts w:hint="eastAsia" w:ascii="仿宋" w:hAnsi="仿宋" w:eastAsia="仿宋" w:cs="仿宋"/>
          <w:kern w:val="2"/>
          <w:sz w:val="28"/>
          <w:szCs w:val="28"/>
          <w:highlight w:val="none"/>
          <w:lang w:val="en-US" w:eastAsia="zh-CN" w:bidi="ar-SA"/>
        </w:rPr>
        <w:t xml:space="preserve"> 8）乙方在设备安装、调试施工中，应对做好安装现场的成品保护和文明施工等，造成损坏的应对甲方维修直至恢复原状或照价赔偿。</w:t>
      </w:r>
    </w:p>
    <w:p w14:paraId="24BB9B13">
      <w:pPr>
        <w:spacing w:line="520" w:lineRule="exact"/>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十、赔偿、追索权</w:t>
      </w:r>
    </w:p>
    <w:p w14:paraId="7C9D149C">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本合同中所涉及到的乙方应支付甲方的损害赔偿、违约金等，在质保期内，甲方有权从履约保证金中直接扣除，对不足以抵偿的部分，甲方保留追索权；设备质保期以外，甲方保留追索的权利，包括从甲、乙双方所签署的其他合同乙方的权利中，追偿上述经济损失及违约金。</w:t>
      </w:r>
    </w:p>
    <w:p w14:paraId="007F1AA5">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 2、本合同所有条款约定的违约金、赔偿金等均应以人民币的方式支付，双方明确按照第一次购汇当日的银行汇卖价，即购汇凭单上的购汇汇率，作为今后违约金、赔偿金等结算支付的汇率。</w:t>
      </w:r>
    </w:p>
    <w:p w14:paraId="64B28A05">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十一、不可抗力</w:t>
      </w:r>
    </w:p>
    <w:p w14:paraId="5210EEDF">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甲乙双方的任何一方由于不可抗力的原因不能履行合同时，应及时向对方通报不能履行或不能完全履行的理由，经双方协商达到一致后，允许延期履行、部分履行或者不履行合同，并根据情况可部分或全部免予承担违约责任。</w:t>
      </w:r>
    </w:p>
    <w:p w14:paraId="1CF3DEA4">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不可抗力”是指甲乙双方不能合理控制、不可预见或即使预见亦无法避免的事件，该事件妨碍、影响或延误任何一方根据合同履行其全部或部分义务。该事件包括但不限于政府行为、电信行业行为、自然灾害、战争或任何其它类似事件。</w:t>
      </w:r>
    </w:p>
    <w:p w14:paraId="2E3E2C9D">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 xml:space="preserve">   十二、争议解决</w:t>
      </w:r>
    </w:p>
    <w:p w14:paraId="53DC32C1">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本合同如发生纠纷，当事人双方应当及时协商解决，协商不成时，可向甲方所在地人民法院起诉。</w:t>
      </w:r>
    </w:p>
    <w:p w14:paraId="25C93276">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十三、合同的文本及生效</w:t>
      </w:r>
    </w:p>
    <w:p w14:paraId="2B6F3E27">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1、本合同一式陆份，甲方执肆份、乙方执贰份。</w:t>
      </w:r>
    </w:p>
    <w:p w14:paraId="3B1F1B3B">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2、本合同经双方法定代表人签字或单位盖章或双方委托代理人签字成立生效。</w:t>
      </w:r>
    </w:p>
    <w:p w14:paraId="51146C7F">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3、合同内容如遇国家法律、法规及政策另有规定的，从其规定。</w:t>
      </w:r>
    </w:p>
    <w:p w14:paraId="722C4B7A">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十四、其他约定事项</w:t>
      </w:r>
    </w:p>
    <w:p w14:paraId="5470E613">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1、本合同相关的双方往来函件(包括传真件、电子邮件)与原件具有同等的法律效力，修改无效。</w:t>
      </w:r>
    </w:p>
    <w:p w14:paraId="56059915">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2、与本合同有关的招投标文件、答疑附件、合同附件均是本合同不可分割的组成部分，与本合同具有同等法律效力，其他未尽事宜从其规定。</w:t>
      </w:r>
    </w:p>
    <w:p w14:paraId="149D315A">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3、本合同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14:paraId="7C79A1EA">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4、本合同首部双方的联系方式及地址均为双方有效的送达地址，如有一方地址发生变更，应在变更后当日向对方书面通知，如因变更方未及时通知，相对方按合同尾部地址送达的，视为送达成功。</w:t>
      </w:r>
    </w:p>
    <w:p w14:paraId="147E8BD1">
      <w:pPr>
        <w:pStyle w:val="18"/>
        <w:rPr>
          <w:rFonts w:hint="eastAsia" w:ascii="仿宋" w:hAnsi="仿宋" w:eastAsia="仿宋" w:cs="仿宋"/>
          <w:kern w:val="2"/>
          <w:sz w:val="28"/>
          <w:szCs w:val="28"/>
          <w:highlight w:val="none"/>
          <w:lang w:val="en-US" w:eastAsia="zh-CN" w:bidi="ar-SA"/>
        </w:rPr>
      </w:pPr>
    </w:p>
    <w:p w14:paraId="578FE5E8">
      <w:pPr>
        <w:spacing w:line="520" w:lineRule="exact"/>
        <w:ind w:firstLine="420" w:firstLineChars="150"/>
        <w:rPr>
          <w:rFonts w:hint="eastAsia" w:ascii="仿宋" w:hAnsi="仿宋" w:eastAsia="仿宋" w:cs="仿宋"/>
          <w:kern w:val="2"/>
          <w:sz w:val="28"/>
          <w:szCs w:val="28"/>
          <w:highlight w:val="none"/>
          <w:lang w:val="en-US" w:eastAsia="zh-CN" w:bidi="ar-SA"/>
        </w:rPr>
      </w:pPr>
      <w:r>
        <w:rPr>
          <w:rFonts w:hint="eastAsia" w:ascii="仿宋" w:hAnsi="仿宋" w:eastAsia="仿宋" w:cs="仿宋"/>
          <w:kern w:val="2"/>
          <w:sz w:val="28"/>
          <w:szCs w:val="28"/>
          <w:highlight w:val="none"/>
          <w:lang w:val="en-US" w:eastAsia="zh-CN" w:bidi="ar-SA"/>
        </w:rPr>
        <w:t>（以下无正文，为本合同签署页）</w:t>
      </w:r>
    </w:p>
    <w:tbl>
      <w:tblPr>
        <w:tblStyle w:val="22"/>
        <w:tblW w:w="10008" w:type="dxa"/>
        <w:jc w:val="center"/>
        <w:tblLayout w:type="fixed"/>
        <w:tblCellMar>
          <w:top w:w="0" w:type="dxa"/>
          <w:left w:w="108" w:type="dxa"/>
          <w:bottom w:w="0" w:type="dxa"/>
          <w:right w:w="108" w:type="dxa"/>
        </w:tblCellMar>
      </w:tblPr>
      <w:tblGrid>
        <w:gridCol w:w="5148"/>
        <w:gridCol w:w="4860"/>
      </w:tblGrid>
      <w:tr w14:paraId="365C1EA8">
        <w:tblPrEx>
          <w:tblCellMar>
            <w:top w:w="0" w:type="dxa"/>
            <w:left w:w="108" w:type="dxa"/>
            <w:bottom w:w="0" w:type="dxa"/>
            <w:right w:w="108" w:type="dxa"/>
          </w:tblCellMar>
        </w:tblPrEx>
        <w:trPr>
          <w:jc w:val="center"/>
        </w:trPr>
        <w:tc>
          <w:tcPr>
            <w:tcW w:w="5148" w:type="dxa"/>
            <w:noWrap w:val="0"/>
            <w:vAlign w:val="top"/>
          </w:tcPr>
          <w:p w14:paraId="5BC49684">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甲方：</w:t>
            </w:r>
          </w:p>
        </w:tc>
        <w:tc>
          <w:tcPr>
            <w:tcW w:w="4860" w:type="dxa"/>
            <w:noWrap w:val="0"/>
            <w:vAlign w:val="top"/>
          </w:tcPr>
          <w:p w14:paraId="3E77C3FF">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乙方：</w:t>
            </w:r>
          </w:p>
        </w:tc>
      </w:tr>
      <w:tr w14:paraId="0ED25F17">
        <w:tblPrEx>
          <w:tblCellMar>
            <w:top w:w="0" w:type="dxa"/>
            <w:left w:w="108" w:type="dxa"/>
            <w:bottom w:w="0" w:type="dxa"/>
            <w:right w:w="108" w:type="dxa"/>
          </w:tblCellMar>
        </w:tblPrEx>
        <w:trPr>
          <w:trHeight w:val="80" w:hRule="atLeast"/>
          <w:jc w:val="center"/>
        </w:trPr>
        <w:tc>
          <w:tcPr>
            <w:tcW w:w="5148" w:type="dxa"/>
            <w:noWrap w:val="0"/>
            <w:vAlign w:val="top"/>
          </w:tcPr>
          <w:p w14:paraId="448EE3E6">
            <w:pPr>
              <w:spacing w:line="264" w:lineRule="auto"/>
              <w:rPr>
                <w:rFonts w:hint="eastAsia" w:ascii="仿宋" w:hAnsi="仿宋" w:eastAsia="仿宋" w:cs="仿宋"/>
                <w:bCs/>
                <w:color w:val="auto"/>
                <w:sz w:val="28"/>
                <w:szCs w:val="28"/>
              </w:rPr>
            </w:pPr>
          </w:p>
        </w:tc>
        <w:tc>
          <w:tcPr>
            <w:tcW w:w="4860" w:type="dxa"/>
            <w:noWrap w:val="0"/>
            <w:vAlign w:val="top"/>
          </w:tcPr>
          <w:p w14:paraId="44AB4995">
            <w:pPr>
              <w:spacing w:line="264" w:lineRule="auto"/>
              <w:rPr>
                <w:rFonts w:hint="eastAsia" w:ascii="仿宋" w:hAnsi="仿宋" w:eastAsia="仿宋" w:cs="仿宋"/>
                <w:bCs/>
                <w:color w:val="auto"/>
                <w:sz w:val="28"/>
                <w:szCs w:val="28"/>
              </w:rPr>
            </w:pPr>
          </w:p>
        </w:tc>
      </w:tr>
      <w:tr w14:paraId="04CE2CB9">
        <w:tblPrEx>
          <w:tblCellMar>
            <w:top w:w="0" w:type="dxa"/>
            <w:left w:w="108" w:type="dxa"/>
            <w:bottom w:w="0" w:type="dxa"/>
            <w:right w:w="108" w:type="dxa"/>
          </w:tblCellMar>
        </w:tblPrEx>
        <w:trPr>
          <w:jc w:val="center"/>
        </w:trPr>
        <w:tc>
          <w:tcPr>
            <w:tcW w:w="5148" w:type="dxa"/>
            <w:noWrap w:val="0"/>
            <w:vAlign w:val="top"/>
          </w:tcPr>
          <w:p w14:paraId="51641469">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甲方法人：</w:t>
            </w:r>
          </w:p>
        </w:tc>
        <w:tc>
          <w:tcPr>
            <w:tcW w:w="4860" w:type="dxa"/>
            <w:noWrap w:val="0"/>
            <w:vAlign w:val="top"/>
          </w:tcPr>
          <w:p w14:paraId="5CD96064">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乙方法人：</w:t>
            </w:r>
          </w:p>
        </w:tc>
      </w:tr>
      <w:tr w14:paraId="5FA44D51">
        <w:tblPrEx>
          <w:tblCellMar>
            <w:top w:w="0" w:type="dxa"/>
            <w:left w:w="108" w:type="dxa"/>
            <w:bottom w:w="0" w:type="dxa"/>
            <w:right w:w="108" w:type="dxa"/>
          </w:tblCellMar>
        </w:tblPrEx>
        <w:trPr>
          <w:jc w:val="center"/>
        </w:trPr>
        <w:tc>
          <w:tcPr>
            <w:tcW w:w="5148" w:type="dxa"/>
            <w:noWrap w:val="0"/>
            <w:vAlign w:val="top"/>
          </w:tcPr>
          <w:p w14:paraId="123B35C5">
            <w:pPr>
              <w:spacing w:line="360"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（签字）</w:t>
            </w:r>
          </w:p>
        </w:tc>
        <w:tc>
          <w:tcPr>
            <w:tcW w:w="4860" w:type="dxa"/>
            <w:noWrap w:val="0"/>
            <w:vAlign w:val="top"/>
          </w:tcPr>
          <w:p w14:paraId="3C57EB1A">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（签字）</w:t>
            </w:r>
          </w:p>
        </w:tc>
      </w:tr>
      <w:tr w14:paraId="06C2DBBD">
        <w:tblPrEx>
          <w:tblCellMar>
            <w:top w:w="0" w:type="dxa"/>
            <w:left w:w="108" w:type="dxa"/>
            <w:bottom w:w="0" w:type="dxa"/>
            <w:right w:w="108" w:type="dxa"/>
          </w:tblCellMar>
        </w:tblPrEx>
        <w:trPr>
          <w:jc w:val="center"/>
        </w:trPr>
        <w:tc>
          <w:tcPr>
            <w:tcW w:w="5148" w:type="dxa"/>
            <w:noWrap w:val="0"/>
            <w:vAlign w:val="top"/>
          </w:tcPr>
          <w:p w14:paraId="7073CE21">
            <w:pPr>
              <w:spacing w:line="264" w:lineRule="auto"/>
              <w:rPr>
                <w:rFonts w:hint="eastAsia" w:ascii="仿宋" w:hAnsi="仿宋" w:eastAsia="仿宋" w:cs="仿宋"/>
                <w:bCs/>
                <w:color w:val="auto"/>
                <w:sz w:val="28"/>
                <w:szCs w:val="28"/>
              </w:rPr>
            </w:pPr>
          </w:p>
        </w:tc>
        <w:tc>
          <w:tcPr>
            <w:tcW w:w="4860" w:type="dxa"/>
            <w:noWrap w:val="0"/>
            <w:vAlign w:val="top"/>
          </w:tcPr>
          <w:p w14:paraId="5A9B2108">
            <w:pPr>
              <w:spacing w:line="264" w:lineRule="auto"/>
              <w:rPr>
                <w:rFonts w:hint="eastAsia" w:ascii="仿宋" w:hAnsi="仿宋" w:eastAsia="仿宋" w:cs="仿宋"/>
                <w:bCs/>
                <w:color w:val="auto"/>
                <w:sz w:val="28"/>
                <w:szCs w:val="28"/>
              </w:rPr>
            </w:pPr>
          </w:p>
        </w:tc>
      </w:tr>
      <w:tr w14:paraId="468D1F8A">
        <w:tblPrEx>
          <w:tblCellMar>
            <w:top w:w="0" w:type="dxa"/>
            <w:left w:w="108" w:type="dxa"/>
            <w:bottom w:w="0" w:type="dxa"/>
            <w:right w:w="108" w:type="dxa"/>
          </w:tblCellMar>
        </w:tblPrEx>
        <w:trPr>
          <w:trHeight w:val="350" w:hRule="atLeast"/>
          <w:jc w:val="center"/>
        </w:trPr>
        <w:tc>
          <w:tcPr>
            <w:tcW w:w="5148" w:type="dxa"/>
            <w:noWrap w:val="0"/>
            <w:vAlign w:val="top"/>
          </w:tcPr>
          <w:p w14:paraId="5E6B89C5">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甲方代表：</w:t>
            </w:r>
          </w:p>
        </w:tc>
        <w:tc>
          <w:tcPr>
            <w:tcW w:w="4860" w:type="dxa"/>
            <w:noWrap w:val="0"/>
            <w:vAlign w:val="top"/>
          </w:tcPr>
          <w:p w14:paraId="176A1D3E">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乙方授权代表：</w:t>
            </w:r>
          </w:p>
        </w:tc>
      </w:tr>
      <w:tr w14:paraId="5C96EDC8">
        <w:tblPrEx>
          <w:tblCellMar>
            <w:top w:w="0" w:type="dxa"/>
            <w:left w:w="108" w:type="dxa"/>
            <w:bottom w:w="0" w:type="dxa"/>
            <w:right w:w="108" w:type="dxa"/>
          </w:tblCellMar>
        </w:tblPrEx>
        <w:trPr>
          <w:trHeight w:val="350" w:hRule="atLeast"/>
          <w:jc w:val="center"/>
        </w:trPr>
        <w:tc>
          <w:tcPr>
            <w:tcW w:w="5148" w:type="dxa"/>
            <w:noWrap w:val="0"/>
            <w:vAlign w:val="top"/>
          </w:tcPr>
          <w:p w14:paraId="761EBFBA">
            <w:pPr>
              <w:spacing w:line="360"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（签字）</w:t>
            </w:r>
          </w:p>
        </w:tc>
        <w:tc>
          <w:tcPr>
            <w:tcW w:w="4860" w:type="dxa"/>
            <w:noWrap w:val="0"/>
            <w:vAlign w:val="top"/>
          </w:tcPr>
          <w:p w14:paraId="4C135614">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（签字）</w:t>
            </w:r>
          </w:p>
        </w:tc>
      </w:tr>
      <w:tr w14:paraId="2F4775C5">
        <w:tblPrEx>
          <w:tblCellMar>
            <w:top w:w="0" w:type="dxa"/>
            <w:left w:w="108" w:type="dxa"/>
            <w:bottom w:w="0" w:type="dxa"/>
            <w:right w:w="108" w:type="dxa"/>
          </w:tblCellMar>
        </w:tblPrEx>
        <w:trPr>
          <w:jc w:val="center"/>
        </w:trPr>
        <w:tc>
          <w:tcPr>
            <w:tcW w:w="5148" w:type="dxa"/>
            <w:noWrap w:val="0"/>
            <w:vAlign w:val="top"/>
          </w:tcPr>
          <w:p w14:paraId="02E70F26">
            <w:pPr>
              <w:spacing w:line="264" w:lineRule="auto"/>
              <w:rPr>
                <w:rFonts w:hint="eastAsia" w:ascii="仿宋" w:hAnsi="仿宋" w:eastAsia="仿宋" w:cs="仿宋"/>
                <w:bCs/>
                <w:color w:val="auto"/>
                <w:sz w:val="28"/>
                <w:szCs w:val="28"/>
              </w:rPr>
            </w:pPr>
          </w:p>
        </w:tc>
        <w:tc>
          <w:tcPr>
            <w:tcW w:w="4860" w:type="dxa"/>
            <w:noWrap w:val="0"/>
            <w:vAlign w:val="top"/>
          </w:tcPr>
          <w:p w14:paraId="31A69F2D">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合同专用章：</w:t>
            </w:r>
          </w:p>
        </w:tc>
      </w:tr>
      <w:tr w14:paraId="195CBAC5">
        <w:tblPrEx>
          <w:tblCellMar>
            <w:top w:w="0" w:type="dxa"/>
            <w:left w:w="108" w:type="dxa"/>
            <w:bottom w:w="0" w:type="dxa"/>
            <w:right w:w="108" w:type="dxa"/>
          </w:tblCellMar>
        </w:tblPrEx>
        <w:trPr>
          <w:jc w:val="center"/>
        </w:trPr>
        <w:tc>
          <w:tcPr>
            <w:tcW w:w="5148" w:type="dxa"/>
            <w:noWrap w:val="0"/>
            <w:vAlign w:val="top"/>
          </w:tcPr>
          <w:p w14:paraId="64986298">
            <w:pPr>
              <w:spacing w:line="264" w:lineRule="auto"/>
              <w:rPr>
                <w:rFonts w:hint="eastAsia" w:ascii="仿宋" w:hAnsi="仿宋" w:eastAsia="仿宋" w:cs="仿宋"/>
                <w:bCs/>
                <w:color w:val="auto"/>
                <w:sz w:val="28"/>
                <w:szCs w:val="28"/>
              </w:rPr>
            </w:pPr>
          </w:p>
        </w:tc>
        <w:tc>
          <w:tcPr>
            <w:tcW w:w="4860" w:type="dxa"/>
            <w:noWrap w:val="0"/>
            <w:vAlign w:val="top"/>
          </w:tcPr>
          <w:p w14:paraId="42432904">
            <w:pPr>
              <w:spacing w:line="264" w:lineRule="auto"/>
              <w:rPr>
                <w:rFonts w:hint="eastAsia" w:ascii="仿宋" w:hAnsi="仿宋" w:eastAsia="仿宋" w:cs="仿宋"/>
                <w:bCs/>
                <w:color w:val="auto"/>
                <w:sz w:val="28"/>
                <w:szCs w:val="28"/>
              </w:rPr>
            </w:pPr>
          </w:p>
        </w:tc>
      </w:tr>
      <w:tr w14:paraId="630CAAD5">
        <w:tblPrEx>
          <w:tblCellMar>
            <w:top w:w="0" w:type="dxa"/>
            <w:left w:w="108" w:type="dxa"/>
            <w:bottom w:w="0" w:type="dxa"/>
            <w:right w:w="108" w:type="dxa"/>
          </w:tblCellMar>
        </w:tblPrEx>
        <w:trPr>
          <w:jc w:val="center"/>
        </w:trPr>
        <w:tc>
          <w:tcPr>
            <w:tcW w:w="5148" w:type="dxa"/>
            <w:noWrap w:val="0"/>
            <w:vAlign w:val="top"/>
          </w:tcPr>
          <w:p w14:paraId="281D3C1A">
            <w:pPr>
              <w:spacing w:line="264" w:lineRule="auto"/>
              <w:rPr>
                <w:rFonts w:hint="eastAsia" w:ascii="仿宋" w:hAnsi="仿宋" w:eastAsia="仿宋" w:cs="仿宋"/>
                <w:bCs/>
                <w:color w:val="auto"/>
                <w:sz w:val="28"/>
                <w:szCs w:val="28"/>
              </w:rPr>
            </w:pPr>
          </w:p>
        </w:tc>
        <w:tc>
          <w:tcPr>
            <w:tcW w:w="4860" w:type="dxa"/>
            <w:noWrap w:val="0"/>
            <w:vAlign w:val="top"/>
          </w:tcPr>
          <w:p w14:paraId="12F382E2">
            <w:pPr>
              <w:spacing w:line="264" w:lineRule="auto"/>
              <w:ind w:left="1050" w:hanging="1400" w:hangingChars="500"/>
              <w:rPr>
                <w:rFonts w:hint="eastAsia" w:ascii="仿宋" w:hAnsi="仿宋" w:eastAsia="仿宋" w:cs="仿宋"/>
                <w:bCs/>
                <w:color w:val="auto"/>
                <w:sz w:val="28"/>
                <w:szCs w:val="28"/>
              </w:rPr>
            </w:pPr>
            <w:r>
              <w:rPr>
                <w:rFonts w:hint="eastAsia" w:ascii="仿宋" w:hAnsi="仿宋" w:eastAsia="仿宋" w:cs="仿宋"/>
                <w:bCs/>
                <w:color w:val="auto"/>
                <w:sz w:val="28"/>
                <w:szCs w:val="28"/>
              </w:rPr>
              <w:t>单位地址：</w:t>
            </w:r>
          </w:p>
        </w:tc>
      </w:tr>
      <w:tr w14:paraId="11AC4ED4">
        <w:tblPrEx>
          <w:tblCellMar>
            <w:top w:w="0" w:type="dxa"/>
            <w:left w:w="108" w:type="dxa"/>
            <w:bottom w:w="0" w:type="dxa"/>
            <w:right w:w="108" w:type="dxa"/>
          </w:tblCellMar>
        </w:tblPrEx>
        <w:trPr>
          <w:trHeight w:val="265" w:hRule="atLeast"/>
          <w:jc w:val="center"/>
        </w:trPr>
        <w:tc>
          <w:tcPr>
            <w:tcW w:w="5148" w:type="dxa"/>
            <w:noWrap w:val="0"/>
            <w:vAlign w:val="top"/>
          </w:tcPr>
          <w:p w14:paraId="19AFD160">
            <w:pPr>
              <w:spacing w:line="264" w:lineRule="auto"/>
              <w:rPr>
                <w:rFonts w:hint="eastAsia" w:ascii="仿宋" w:hAnsi="仿宋" w:eastAsia="仿宋" w:cs="仿宋"/>
                <w:bCs/>
                <w:color w:val="auto"/>
                <w:sz w:val="28"/>
                <w:szCs w:val="28"/>
              </w:rPr>
            </w:pPr>
          </w:p>
        </w:tc>
        <w:tc>
          <w:tcPr>
            <w:tcW w:w="4860" w:type="dxa"/>
            <w:noWrap w:val="0"/>
            <w:vAlign w:val="top"/>
          </w:tcPr>
          <w:p w14:paraId="45163515">
            <w:pPr>
              <w:spacing w:line="264" w:lineRule="auto"/>
              <w:rPr>
                <w:rFonts w:hint="eastAsia" w:ascii="仿宋" w:hAnsi="仿宋" w:eastAsia="仿宋" w:cs="仿宋"/>
                <w:bCs/>
                <w:color w:val="auto"/>
                <w:sz w:val="28"/>
                <w:szCs w:val="28"/>
              </w:rPr>
            </w:pPr>
          </w:p>
        </w:tc>
      </w:tr>
      <w:tr w14:paraId="5D9CCB80">
        <w:tblPrEx>
          <w:tblCellMar>
            <w:top w:w="0" w:type="dxa"/>
            <w:left w:w="108" w:type="dxa"/>
            <w:bottom w:w="0" w:type="dxa"/>
            <w:right w:w="108" w:type="dxa"/>
          </w:tblCellMar>
        </w:tblPrEx>
        <w:trPr>
          <w:jc w:val="center"/>
        </w:trPr>
        <w:tc>
          <w:tcPr>
            <w:tcW w:w="5148" w:type="dxa"/>
            <w:noWrap w:val="0"/>
            <w:vAlign w:val="top"/>
          </w:tcPr>
          <w:p w14:paraId="73ACE1D5">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合同专用章：</w:t>
            </w:r>
          </w:p>
        </w:tc>
        <w:tc>
          <w:tcPr>
            <w:tcW w:w="4860" w:type="dxa"/>
            <w:noWrap w:val="0"/>
            <w:vAlign w:val="top"/>
          </w:tcPr>
          <w:p w14:paraId="2D14EA54">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单位电话：</w:t>
            </w:r>
          </w:p>
        </w:tc>
      </w:tr>
      <w:tr w14:paraId="72EEDBE4">
        <w:tblPrEx>
          <w:tblCellMar>
            <w:top w:w="0" w:type="dxa"/>
            <w:left w:w="108" w:type="dxa"/>
            <w:bottom w:w="0" w:type="dxa"/>
            <w:right w:w="108" w:type="dxa"/>
          </w:tblCellMar>
        </w:tblPrEx>
        <w:trPr>
          <w:jc w:val="center"/>
        </w:trPr>
        <w:tc>
          <w:tcPr>
            <w:tcW w:w="5148" w:type="dxa"/>
            <w:noWrap w:val="0"/>
            <w:vAlign w:val="top"/>
          </w:tcPr>
          <w:p w14:paraId="5C59FCCC">
            <w:pPr>
              <w:spacing w:line="264" w:lineRule="auto"/>
              <w:rPr>
                <w:rFonts w:hint="eastAsia" w:ascii="仿宋" w:hAnsi="仿宋" w:eastAsia="仿宋" w:cs="仿宋"/>
                <w:bCs/>
                <w:color w:val="auto"/>
                <w:sz w:val="28"/>
                <w:szCs w:val="28"/>
              </w:rPr>
            </w:pPr>
          </w:p>
          <w:p w14:paraId="337DDE25">
            <w:pPr>
              <w:spacing w:line="264" w:lineRule="auto"/>
              <w:rPr>
                <w:rFonts w:hint="eastAsia" w:ascii="仿宋" w:hAnsi="仿宋" w:eastAsia="仿宋" w:cs="仿宋"/>
                <w:bCs/>
                <w:color w:val="auto"/>
                <w:sz w:val="28"/>
                <w:szCs w:val="28"/>
              </w:rPr>
            </w:pPr>
          </w:p>
        </w:tc>
        <w:tc>
          <w:tcPr>
            <w:tcW w:w="4860" w:type="dxa"/>
            <w:noWrap w:val="0"/>
            <w:vAlign w:val="top"/>
          </w:tcPr>
          <w:p w14:paraId="28B95653">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维修工程师电话：</w:t>
            </w:r>
          </w:p>
        </w:tc>
      </w:tr>
      <w:tr w14:paraId="65053F20">
        <w:tblPrEx>
          <w:tblCellMar>
            <w:top w:w="0" w:type="dxa"/>
            <w:left w:w="108" w:type="dxa"/>
            <w:bottom w:w="0" w:type="dxa"/>
            <w:right w:w="108" w:type="dxa"/>
          </w:tblCellMar>
        </w:tblPrEx>
        <w:trPr>
          <w:jc w:val="center"/>
        </w:trPr>
        <w:tc>
          <w:tcPr>
            <w:tcW w:w="5148" w:type="dxa"/>
            <w:noWrap w:val="0"/>
            <w:vAlign w:val="top"/>
          </w:tcPr>
          <w:p w14:paraId="25F9ED9C">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单位地址：</w:t>
            </w:r>
          </w:p>
        </w:tc>
        <w:tc>
          <w:tcPr>
            <w:tcW w:w="4860" w:type="dxa"/>
            <w:noWrap w:val="0"/>
            <w:vAlign w:val="top"/>
          </w:tcPr>
          <w:p w14:paraId="06AD5394">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开户行：</w:t>
            </w:r>
          </w:p>
        </w:tc>
      </w:tr>
      <w:tr w14:paraId="6C8B47D2">
        <w:tblPrEx>
          <w:tblCellMar>
            <w:top w:w="0" w:type="dxa"/>
            <w:left w:w="108" w:type="dxa"/>
            <w:bottom w:w="0" w:type="dxa"/>
            <w:right w:w="108" w:type="dxa"/>
          </w:tblCellMar>
        </w:tblPrEx>
        <w:trPr>
          <w:jc w:val="center"/>
        </w:trPr>
        <w:tc>
          <w:tcPr>
            <w:tcW w:w="5148" w:type="dxa"/>
            <w:noWrap w:val="0"/>
            <w:vAlign w:val="top"/>
          </w:tcPr>
          <w:p w14:paraId="144E9ED0">
            <w:pPr>
              <w:spacing w:line="264" w:lineRule="auto"/>
              <w:rPr>
                <w:rFonts w:hint="eastAsia" w:ascii="仿宋" w:hAnsi="仿宋" w:eastAsia="仿宋" w:cs="仿宋"/>
                <w:bCs/>
                <w:color w:val="auto"/>
                <w:sz w:val="28"/>
                <w:szCs w:val="28"/>
              </w:rPr>
            </w:pPr>
          </w:p>
          <w:p w14:paraId="7B2B5E29">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单位电话：</w:t>
            </w:r>
          </w:p>
        </w:tc>
        <w:tc>
          <w:tcPr>
            <w:tcW w:w="4860" w:type="dxa"/>
            <w:noWrap w:val="0"/>
            <w:vAlign w:val="top"/>
          </w:tcPr>
          <w:p w14:paraId="122A61E1">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帐号：</w:t>
            </w:r>
          </w:p>
        </w:tc>
      </w:tr>
      <w:tr w14:paraId="34A43736">
        <w:tblPrEx>
          <w:tblCellMar>
            <w:top w:w="0" w:type="dxa"/>
            <w:left w:w="108" w:type="dxa"/>
            <w:bottom w:w="0" w:type="dxa"/>
            <w:right w:w="108" w:type="dxa"/>
          </w:tblCellMar>
        </w:tblPrEx>
        <w:trPr>
          <w:jc w:val="center"/>
        </w:trPr>
        <w:tc>
          <w:tcPr>
            <w:tcW w:w="5148" w:type="dxa"/>
            <w:noWrap w:val="0"/>
            <w:vAlign w:val="top"/>
          </w:tcPr>
          <w:p w14:paraId="45927D31">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合同签订时间：    年   月   日</w:t>
            </w:r>
          </w:p>
        </w:tc>
        <w:tc>
          <w:tcPr>
            <w:tcW w:w="4860" w:type="dxa"/>
            <w:noWrap w:val="0"/>
            <w:vAlign w:val="top"/>
          </w:tcPr>
          <w:p w14:paraId="0F3B8199">
            <w:pPr>
              <w:spacing w:line="264" w:lineRule="auto"/>
              <w:rPr>
                <w:rFonts w:hint="eastAsia" w:ascii="仿宋" w:hAnsi="仿宋" w:eastAsia="仿宋" w:cs="仿宋"/>
                <w:bCs/>
                <w:color w:val="auto"/>
                <w:sz w:val="28"/>
                <w:szCs w:val="28"/>
              </w:rPr>
            </w:pPr>
            <w:r>
              <w:rPr>
                <w:rFonts w:hint="eastAsia" w:ascii="仿宋" w:hAnsi="仿宋" w:eastAsia="仿宋" w:cs="仿宋"/>
                <w:bCs/>
                <w:color w:val="auto"/>
                <w:sz w:val="28"/>
                <w:szCs w:val="28"/>
              </w:rPr>
              <w:t>合同签订时间：    年   月   日</w:t>
            </w:r>
          </w:p>
        </w:tc>
      </w:tr>
    </w:tbl>
    <w:p w14:paraId="58F508B7">
      <w:pPr>
        <w:pStyle w:val="12"/>
        <w:spacing w:line="520" w:lineRule="exact"/>
        <w:ind w:right="-15"/>
        <w:jc w:val="center"/>
        <w:outlineLvl w:val="0"/>
        <w:rPr>
          <w:rFonts w:hint="eastAsia" w:hAnsi="宋体"/>
          <w:b/>
          <w:color w:val="auto"/>
          <w:sz w:val="44"/>
          <w:highlight w:val="none"/>
        </w:rPr>
        <w:sectPr>
          <w:headerReference r:id="rId15" w:type="default"/>
          <w:footerReference r:id="rId16" w:type="default"/>
          <w:endnotePr>
            <w:numFmt w:val="decimal"/>
          </w:endnotePr>
          <w:pgSz w:w="11906" w:h="16838"/>
          <w:pgMar w:top="1191" w:right="1191" w:bottom="1134" w:left="1418" w:header="851" w:footer="992" w:gutter="0"/>
          <w:pgNumType w:fmt="decimal"/>
          <w:cols w:space="720" w:num="1"/>
          <w:docGrid w:type="linesAndChars" w:linePitch="312" w:charSpace="0"/>
        </w:sectPr>
      </w:pPr>
    </w:p>
    <w:bookmarkEnd w:id="175"/>
    <w:bookmarkEnd w:id="176"/>
    <w:bookmarkEnd w:id="177"/>
    <w:bookmarkEnd w:id="178"/>
    <w:bookmarkEnd w:id="179"/>
    <w:bookmarkEnd w:id="180"/>
    <w:bookmarkEnd w:id="181"/>
    <w:p w14:paraId="40B55BB3">
      <w:pPr>
        <w:pStyle w:val="37"/>
        <w:pageBreakBefore w:val="0"/>
        <w:widowControl w:val="0"/>
        <w:wordWrap/>
        <w:topLinePunct w:val="0"/>
        <w:bidi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第</w:t>
      </w:r>
      <w:r>
        <w:rPr>
          <w:rFonts w:hint="eastAsia" w:ascii="宋体" w:hAnsi="宋体" w:eastAsia="宋体" w:cs="宋体"/>
          <w:b/>
          <w:color w:val="auto"/>
          <w:sz w:val="32"/>
          <w:szCs w:val="32"/>
          <w:highlight w:val="none"/>
          <w:lang w:val="en-US" w:eastAsia="zh-CN"/>
        </w:rPr>
        <w:t>五</w:t>
      </w:r>
      <w:r>
        <w:rPr>
          <w:rFonts w:hint="eastAsia" w:ascii="宋体" w:hAnsi="宋体" w:eastAsia="宋体" w:cs="宋体"/>
          <w:b/>
          <w:color w:val="auto"/>
          <w:sz w:val="32"/>
          <w:szCs w:val="32"/>
          <w:highlight w:val="none"/>
        </w:rPr>
        <w:t>章 投标文件格式</w:t>
      </w:r>
      <w:bookmarkEnd w:id="165"/>
      <w:bookmarkEnd w:id="166"/>
      <w:bookmarkEnd w:id="167"/>
      <w:bookmarkEnd w:id="168"/>
      <w:bookmarkEnd w:id="169"/>
    </w:p>
    <w:p w14:paraId="0ECFDFD8">
      <w:pPr>
        <w:pStyle w:val="37"/>
        <w:pageBreakBefore w:val="0"/>
        <w:widowControl w:val="0"/>
        <w:wordWrap/>
        <w:topLinePunct w:val="0"/>
        <w:bidi w:val="0"/>
        <w:jc w:val="center"/>
        <w:rPr>
          <w:rFonts w:hint="eastAsia" w:ascii="宋体" w:hAnsi="宋体" w:eastAsia="宋体" w:cs="宋体"/>
          <w:b/>
          <w:color w:val="auto"/>
          <w:sz w:val="28"/>
          <w:szCs w:val="28"/>
          <w:highlight w:val="none"/>
        </w:rPr>
      </w:pPr>
    </w:p>
    <w:p w14:paraId="73797C99">
      <w:pPr>
        <w:pStyle w:val="37"/>
        <w:pageBreakBefore w:val="0"/>
        <w:widowControl w:val="0"/>
        <w:wordWrap/>
        <w:topLinePunct w:val="0"/>
        <w:bidi w:val="0"/>
        <w:jc w:val="center"/>
        <w:rPr>
          <w:rFonts w:hint="eastAsia" w:ascii="宋体" w:hAnsi="宋体" w:eastAsia="宋体" w:cs="宋体"/>
          <w:color w:val="auto"/>
          <w:sz w:val="28"/>
          <w:szCs w:val="28"/>
          <w:highlight w:val="none"/>
          <w:bdr w:val="single" w:color="auto" w:sz="4" w:space="0"/>
        </w:rPr>
      </w:pPr>
      <w:r>
        <w:rPr>
          <w:rFonts w:hint="eastAsia" w:ascii="宋体" w:hAnsi="宋体" w:eastAsia="宋体" w:cs="宋体"/>
          <w:color w:val="auto"/>
          <w:sz w:val="28"/>
          <w:szCs w:val="28"/>
          <w:highlight w:val="none"/>
        </w:rPr>
        <w:br w:type="page"/>
      </w:r>
      <w:r>
        <w:rPr>
          <w:rFonts w:hint="eastAsia" w:ascii="宋体" w:hAnsi="宋体" w:eastAsia="宋体" w:cs="宋体"/>
          <w:color w:val="auto"/>
          <w:sz w:val="28"/>
          <w:szCs w:val="28"/>
          <w:highlight w:val="none"/>
        </w:rPr>
        <w:t xml:space="preserve">                             </w:t>
      </w:r>
    </w:p>
    <w:p w14:paraId="6368F263">
      <w:pPr>
        <w:pStyle w:val="37"/>
        <w:pageBreakBefore w:val="0"/>
        <w:widowControl w:val="0"/>
        <w:wordWrap/>
        <w:topLinePunct w:val="0"/>
        <w:bidi w:val="0"/>
        <w:jc w:val="center"/>
        <w:rPr>
          <w:rFonts w:hint="eastAsia" w:ascii="宋体" w:hAnsi="宋体" w:eastAsia="宋体" w:cs="宋体"/>
          <w:color w:val="auto"/>
          <w:sz w:val="28"/>
          <w:szCs w:val="28"/>
          <w:highlight w:val="none"/>
        </w:rPr>
      </w:pPr>
    </w:p>
    <w:p w14:paraId="531210D7">
      <w:pPr>
        <w:pageBreakBefore w:val="0"/>
        <w:widowControl w:val="0"/>
        <w:wordWrap/>
        <w:topLinePunct w:val="0"/>
        <w:bidi w:val="0"/>
        <w:ind w:right="980"/>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（项目名称）</w:t>
      </w:r>
    </w:p>
    <w:p w14:paraId="40E1D8DB">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0"/>
          <w:highlight w:val="none"/>
        </w:rPr>
        <w:t xml:space="preserve">             </w:t>
      </w:r>
    </w:p>
    <w:p w14:paraId="5B521481">
      <w:pPr>
        <w:pageBreakBefore w:val="0"/>
        <w:widowControl w:val="0"/>
        <w:wordWrap/>
        <w:topLinePunct w:val="0"/>
        <w:bidi w:val="0"/>
        <w:ind w:firstLine="280" w:firstLineChars="10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招标文件编号： </w:t>
      </w:r>
      <w:r>
        <w:rPr>
          <w:rFonts w:hint="eastAsia" w:ascii="宋体" w:hAnsi="宋体" w:eastAsia="宋体" w:cs="宋体"/>
          <w:color w:val="auto"/>
          <w:sz w:val="28"/>
          <w:szCs w:val="28"/>
          <w:highlight w:val="none"/>
          <w:u w:val="single"/>
        </w:rPr>
        <w:t xml:space="preserve">                      </w:t>
      </w:r>
    </w:p>
    <w:p w14:paraId="28F93B21">
      <w:pPr>
        <w:pageBreakBefore w:val="0"/>
        <w:widowControl w:val="0"/>
        <w:wordWrap/>
        <w:topLinePunct w:val="0"/>
        <w:bidi w:val="0"/>
        <w:rPr>
          <w:rFonts w:hint="eastAsia" w:ascii="宋体" w:hAnsi="宋体" w:eastAsia="宋体" w:cs="宋体"/>
          <w:color w:val="auto"/>
          <w:sz w:val="20"/>
          <w:highlight w:val="none"/>
        </w:rPr>
      </w:pPr>
    </w:p>
    <w:p w14:paraId="59F9A3EB">
      <w:pPr>
        <w:pageBreakBefore w:val="0"/>
        <w:widowControl w:val="0"/>
        <w:wordWrap/>
        <w:topLinePunct w:val="0"/>
        <w:bidi w:val="0"/>
        <w:rPr>
          <w:rFonts w:hint="eastAsia" w:ascii="宋体" w:hAnsi="宋体" w:eastAsia="宋体" w:cs="宋体"/>
          <w:color w:val="auto"/>
          <w:sz w:val="20"/>
          <w:highlight w:val="none"/>
        </w:rPr>
      </w:pPr>
    </w:p>
    <w:p w14:paraId="4044267D">
      <w:pPr>
        <w:pageBreakBefore w:val="0"/>
        <w:widowControl w:val="0"/>
        <w:wordWrap/>
        <w:topLinePunct w:val="0"/>
        <w:bidi w:val="0"/>
        <w:rPr>
          <w:rFonts w:hint="eastAsia" w:ascii="宋体" w:hAnsi="宋体" w:eastAsia="宋体" w:cs="宋体"/>
          <w:color w:val="auto"/>
          <w:sz w:val="20"/>
          <w:highlight w:val="none"/>
        </w:rPr>
      </w:pPr>
    </w:p>
    <w:p w14:paraId="618EB14E">
      <w:pPr>
        <w:pageBreakBefore w:val="0"/>
        <w:widowControl w:val="0"/>
        <w:wordWrap/>
        <w:topLinePunct w:val="0"/>
        <w:bidi w:val="0"/>
        <w:rPr>
          <w:rFonts w:hint="eastAsia" w:ascii="宋体" w:hAnsi="宋体" w:eastAsia="宋体" w:cs="宋体"/>
          <w:color w:val="auto"/>
          <w:sz w:val="20"/>
          <w:highlight w:val="none"/>
        </w:rPr>
      </w:pPr>
    </w:p>
    <w:p w14:paraId="4C71D009">
      <w:pPr>
        <w:pStyle w:val="4"/>
        <w:pageBreakBefore w:val="0"/>
        <w:widowControl w:val="0"/>
        <w:wordWrap/>
        <w:topLinePunct w:val="0"/>
        <w:bidi w:val="0"/>
        <w:outlineLvl w:val="9"/>
        <w:rPr>
          <w:rFonts w:hint="eastAsia" w:ascii="宋体" w:hAnsi="宋体" w:eastAsia="宋体" w:cs="宋体"/>
          <w:color w:val="auto"/>
          <w:sz w:val="20"/>
          <w:highlight w:val="none"/>
        </w:rPr>
      </w:pPr>
    </w:p>
    <w:p w14:paraId="649DEF0E">
      <w:pPr>
        <w:pageBreakBefore w:val="0"/>
        <w:widowControl w:val="0"/>
        <w:wordWrap/>
        <w:topLinePunct w:val="0"/>
        <w:bidi w:val="0"/>
        <w:rPr>
          <w:rFonts w:hint="eastAsia" w:ascii="宋体" w:hAnsi="宋体" w:eastAsia="宋体" w:cs="宋体"/>
          <w:color w:val="auto"/>
          <w:highlight w:val="none"/>
        </w:rPr>
      </w:pPr>
    </w:p>
    <w:p w14:paraId="715530B9">
      <w:pPr>
        <w:pageBreakBefore w:val="0"/>
        <w:widowControl w:val="0"/>
        <w:wordWrap/>
        <w:topLinePunct w:val="0"/>
        <w:bidi w:val="0"/>
        <w:rPr>
          <w:rFonts w:hint="eastAsia" w:ascii="宋体" w:hAnsi="宋体" w:eastAsia="宋体" w:cs="宋体"/>
          <w:color w:val="auto"/>
          <w:sz w:val="20"/>
          <w:highlight w:val="none"/>
        </w:rPr>
      </w:pPr>
    </w:p>
    <w:p w14:paraId="64BD9C65">
      <w:pPr>
        <w:pageBreakBefore w:val="0"/>
        <w:widowControl w:val="0"/>
        <w:wordWrap/>
        <w:topLinePunct w:val="0"/>
        <w:bidi w:val="0"/>
        <w:rPr>
          <w:rFonts w:hint="eastAsia" w:ascii="宋体" w:hAnsi="宋体" w:eastAsia="宋体" w:cs="宋体"/>
          <w:color w:val="auto"/>
          <w:sz w:val="20"/>
          <w:highlight w:val="none"/>
        </w:rPr>
      </w:pPr>
    </w:p>
    <w:p w14:paraId="78EF2DF3">
      <w:pPr>
        <w:pageBreakBefore w:val="0"/>
        <w:widowControl w:val="0"/>
        <w:wordWrap/>
        <w:topLinePunct w:val="0"/>
        <w:bidi w:val="0"/>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报价要求响应文件</w:t>
      </w:r>
    </w:p>
    <w:p w14:paraId="53417D48">
      <w:pPr>
        <w:pageBreakBefore w:val="0"/>
        <w:widowControl w:val="0"/>
        <w:wordWrap/>
        <w:topLinePunct w:val="0"/>
        <w:bidi w:val="0"/>
        <w:rPr>
          <w:rFonts w:hint="eastAsia" w:ascii="宋体" w:hAnsi="宋体" w:eastAsia="宋体" w:cs="宋体"/>
          <w:b/>
          <w:bCs/>
          <w:color w:val="auto"/>
          <w:sz w:val="28"/>
          <w:szCs w:val="28"/>
          <w:highlight w:val="none"/>
        </w:rPr>
      </w:pPr>
    </w:p>
    <w:p w14:paraId="2215E873">
      <w:pPr>
        <w:pageBreakBefore w:val="0"/>
        <w:widowControl w:val="0"/>
        <w:wordWrap/>
        <w:topLinePunct w:val="0"/>
        <w:bidi w:val="0"/>
        <w:rPr>
          <w:rFonts w:hint="eastAsia" w:ascii="宋体" w:hAnsi="宋体" w:eastAsia="宋体" w:cs="宋体"/>
          <w:color w:val="auto"/>
          <w:highlight w:val="none"/>
        </w:rPr>
      </w:pPr>
    </w:p>
    <w:p w14:paraId="7B5D9C08">
      <w:pPr>
        <w:pageBreakBefore w:val="0"/>
        <w:widowControl w:val="0"/>
        <w:wordWrap/>
        <w:topLinePunct w:val="0"/>
        <w:bidi w:val="0"/>
        <w:rPr>
          <w:rFonts w:hint="eastAsia" w:ascii="宋体" w:hAnsi="宋体" w:eastAsia="宋体" w:cs="宋体"/>
          <w:bCs/>
          <w:color w:val="auto"/>
          <w:sz w:val="30"/>
          <w:szCs w:val="30"/>
          <w:highlight w:val="none"/>
        </w:rPr>
      </w:pPr>
    </w:p>
    <w:p w14:paraId="0EBBA693">
      <w:pPr>
        <w:pageBreakBefore w:val="0"/>
        <w:widowControl w:val="0"/>
        <w:wordWrap/>
        <w:topLinePunct w:val="0"/>
        <w:bidi w:val="0"/>
        <w:rPr>
          <w:rFonts w:hint="eastAsia" w:ascii="宋体" w:hAnsi="宋体" w:eastAsia="宋体" w:cs="宋体"/>
          <w:bCs/>
          <w:color w:val="auto"/>
          <w:sz w:val="30"/>
          <w:szCs w:val="30"/>
          <w:highlight w:val="none"/>
        </w:rPr>
      </w:pPr>
    </w:p>
    <w:p w14:paraId="57A6DF27">
      <w:pPr>
        <w:pageBreakBefore w:val="0"/>
        <w:widowControl w:val="0"/>
        <w:wordWrap/>
        <w:topLinePunct w:val="0"/>
        <w:bidi w:val="0"/>
        <w:rPr>
          <w:rFonts w:hint="eastAsia" w:ascii="宋体" w:hAnsi="宋体" w:eastAsia="宋体" w:cs="宋体"/>
          <w:bCs/>
          <w:color w:val="auto"/>
          <w:sz w:val="30"/>
          <w:szCs w:val="30"/>
          <w:highlight w:val="none"/>
        </w:rPr>
      </w:pPr>
    </w:p>
    <w:p w14:paraId="4212B449">
      <w:pPr>
        <w:pageBreakBefore w:val="0"/>
        <w:widowControl w:val="0"/>
        <w:wordWrap/>
        <w:topLinePunct w:val="0"/>
        <w:bidi w:val="0"/>
        <w:rPr>
          <w:rFonts w:hint="eastAsia" w:ascii="宋体" w:hAnsi="宋体" w:eastAsia="宋体" w:cs="宋体"/>
          <w:bCs/>
          <w:color w:val="auto"/>
          <w:sz w:val="30"/>
          <w:szCs w:val="30"/>
          <w:highlight w:val="none"/>
        </w:rPr>
      </w:pPr>
    </w:p>
    <w:p w14:paraId="7D1156EA">
      <w:pPr>
        <w:pageBreakBefore w:val="0"/>
        <w:widowControl w:val="0"/>
        <w:wordWrap/>
        <w:topLinePunct w:val="0"/>
        <w:bidi w:val="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（盖单位章）</w:t>
      </w:r>
    </w:p>
    <w:p w14:paraId="360DEAA8">
      <w:pPr>
        <w:pageBreakBefore w:val="0"/>
        <w:widowControl w:val="0"/>
        <w:wordWrap/>
        <w:topLinePunct w:val="0"/>
        <w:bidi w:val="0"/>
        <w:jc w:val="center"/>
        <w:rPr>
          <w:rFonts w:hint="eastAsia" w:ascii="宋体" w:hAnsi="宋体" w:eastAsia="宋体" w:cs="宋体"/>
          <w:color w:val="auto"/>
          <w:sz w:val="28"/>
          <w:szCs w:val="28"/>
          <w:highlight w:val="none"/>
        </w:rPr>
      </w:pPr>
    </w:p>
    <w:p w14:paraId="6860E51C">
      <w:pPr>
        <w:pageBreakBefore w:val="0"/>
        <w:widowControl w:val="0"/>
        <w:wordWrap/>
        <w:topLinePunct w:val="0"/>
        <w:bidi w:val="0"/>
        <w:ind w:firstLine="700" w:firstLineChars="25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签字、盖章</w:t>
      </w:r>
      <w:r>
        <w:rPr>
          <w:rFonts w:hint="eastAsia" w:ascii="宋体" w:hAnsi="宋体" w:eastAsia="宋体" w:cs="宋体"/>
          <w:color w:val="auto"/>
          <w:sz w:val="28"/>
          <w:szCs w:val="28"/>
          <w:highlight w:val="none"/>
        </w:rPr>
        <w:t>）</w:t>
      </w:r>
    </w:p>
    <w:p w14:paraId="17E8127D">
      <w:pPr>
        <w:pageBreakBefore w:val="0"/>
        <w:widowControl w:val="0"/>
        <w:wordWrap/>
        <w:topLinePunct w:val="0"/>
        <w:bidi w:val="0"/>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1B83A1AE">
      <w:pPr>
        <w:pageBreakBefore w:val="0"/>
        <w:widowControl w:val="0"/>
        <w:wordWrap/>
        <w:topLinePunct w:val="0"/>
        <w:bidi w:val="0"/>
        <w:jc w:val="center"/>
        <w:rPr>
          <w:rFonts w:hint="eastAsia" w:ascii="宋体" w:hAnsi="宋体" w:eastAsia="宋体" w:cs="宋体"/>
          <w:color w:val="auto"/>
          <w:highlight w:val="none"/>
        </w:rPr>
      </w:pPr>
    </w:p>
    <w:p w14:paraId="5415A27F">
      <w:pPr>
        <w:pageBreakBefore w:val="0"/>
        <w:widowControl w:val="0"/>
        <w:wordWrap/>
        <w:topLinePunct w:val="0"/>
        <w:bidi w:val="0"/>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年        月        日</w:t>
      </w:r>
    </w:p>
    <w:p w14:paraId="4B7F4723">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p>
    <w:p w14:paraId="4BEB6C13">
      <w:pPr>
        <w:pageBreakBefore w:val="0"/>
        <w:widowControl w:val="0"/>
        <w:wordWrap/>
        <w:topLinePunct w:val="0"/>
        <w:bidi w:val="0"/>
        <w:jc w:val="center"/>
        <w:outlineLvl w:val="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报价一览表</w:t>
      </w:r>
    </w:p>
    <w:p w14:paraId="3299AE4E">
      <w:pPr>
        <w:pageBreakBefore w:val="0"/>
        <w:widowControl w:val="0"/>
        <w:wordWrap/>
        <w:topLinePunct w:val="0"/>
        <w:bidi w:val="0"/>
        <w:adjustRightInd w:val="0"/>
        <w:snapToGrid w:val="0"/>
        <w:spacing w:line="360" w:lineRule="auto"/>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项目名称</w:t>
      </w:r>
      <w:r>
        <w:rPr>
          <w:rFonts w:hint="eastAsia" w:ascii="宋体" w:hAnsi="宋体" w:eastAsia="宋体" w:cs="宋体"/>
          <w:b w:val="0"/>
          <w:bCs/>
          <w:color w:val="auto"/>
          <w:sz w:val="28"/>
          <w:szCs w:val="28"/>
          <w:highlight w:val="none"/>
          <w:lang w:val="en-US" w:eastAsia="zh-CN"/>
        </w:rPr>
        <w:t>/标项</w:t>
      </w:r>
      <w:r>
        <w:rPr>
          <w:rFonts w:hint="eastAsia" w:ascii="宋体" w:hAnsi="宋体" w:eastAsia="宋体" w:cs="宋体"/>
          <w:b w:val="0"/>
          <w:bCs/>
          <w:color w:val="auto"/>
          <w:sz w:val="28"/>
          <w:szCs w:val="28"/>
          <w:highlight w:val="none"/>
        </w:rPr>
        <w:t>：</w:t>
      </w:r>
    </w:p>
    <w:p w14:paraId="52686593">
      <w:pPr>
        <w:pageBreakBefore w:val="0"/>
        <w:widowControl w:val="0"/>
        <w:wordWrap/>
        <w:topLinePunct w:val="0"/>
        <w:bidi w:val="0"/>
        <w:adjustRightInd w:val="0"/>
        <w:snapToGrid w:val="0"/>
        <w:spacing w:line="360" w:lineRule="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项目编号：</w:t>
      </w:r>
    </w:p>
    <w:tbl>
      <w:tblPr>
        <w:tblStyle w:val="22"/>
        <w:tblW w:w="95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04"/>
        <w:gridCol w:w="2520"/>
        <w:gridCol w:w="4668"/>
        <w:gridCol w:w="1299"/>
      </w:tblGrid>
      <w:tr w14:paraId="799D35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1104" w:type="dxa"/>
            <w:tcBorders>
              <w:top w:val="single" w:color="auto" w:sz="4" w:space="0"/>
              <w:left w:val="single" w:color="auto" w:sz="4" w:space="0"/>
              <w:right w:val="single" w:color="auto" w:sz="4" w:space="0"/>
            </w:tcBorders>
            <w:noWrap w:val="0"/>
            <w:vAlign w:val="center"/>
          </w:tcPr>
          <w:p w14:paraId="5FC2FC6C">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序号</w:t>
            </w:r>
          </w:p>
        </w:tc>
        <w:tc>
          <w:tcPr>
            <w:tcW w:w="7188" w:type="dxa"/>
            <w:gridSpan w:val="2"/>
            <w:tcBorders>
              <w:top w:val="single" w:color="auto" w:sz="4" w:space="0"/>
              <w:left w:val="single" w:color="auto" w:sz="4" w:space="0"/>
              <w:right w:val="single" w:color="auto" w:sz="4" w:space="0"/>
            </w:tcBorders>
            <w:noWrap w:val="0"/>
            <w:vAlign w:val="center"/>
          </w:tcPr>
          <w:p w14:paraId="2D40DEBB">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内容</w:t>
            </w:r>
          </w:p>
        </w:tc>
        <w:tc>
          <w:tcPr>
            <w:tcW w:w="1299" w:type="dxa"/>
            <w:tcBorders>
              <w:top w:val="single" w:color="auto" w:sz="4" w:space="0"/>
              <w:left w:val="single" w:color="auto" w:sz="4" w:space="0"/>
              <w:right w:val="single" w:color="auto" w:sz="4" w:space="0"/>
            </w:tcBorders>
            <w:noWrap w:val="0"/>
            <w:vAlign w:val="center"/>
          </w:tcPr>
          <w:p w14:paraId="34C3F386">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备注</w:t>
            </w:r>
          </w:p>
        </w:tc>
      </w:tr>
      <w:tr w14:paraId="2FE619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104" w:type="dxa"/>
            <w:tcBorders>
              <w:top w:val="single" w:color="auto" w:sz="4" w:space="0"/>
              <w:left w:val="single" w:color="auto" w:sz="4" w:space="0"/>
              <w:right w:val="single" w:color="auto" w:sz="4" w:space="0"/>
            </w:tcBorders>
            <w:noWrap w:val="0"/>
            <w:vAlign w:val="center"/>
          </w:tcPr>
          <w:p w14:paraId="601AEFF9">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1</w:t>
            </w:r>
          </w:p>
        </w:tc>
        <w:tc>
          <w:tcPr>
            <w:tcW w:w="2520" w:type="dxa"/>
            <w:tcBorders>
              <w:top w:val="single" w:color="auto" w:sz="4" w:space="0"/>
              <w:left w:val="single" w:color="auto" w:sz="4" w:space="0"/>
              <w:right w:val="single" w:color="auto" w:sz="4" w:space="0"/>
            </w:tcBorders>
            <w:noWrap w:val="0"/>
            <w:vAlign w:val="center"/>
          </w:tcPr>
          <w:p w14:paraId="7EB4BCFD">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投标人名称</w:t>
            </w:r>
          </w:p>
        </w:tc>
        <w:tc>
          <w:tcPr>
            <w:tcW w:w="4668" w:type="dxa"/>
            <w:tcBorders>
              <w:top w:val="single" w:color="auto" w:sz="4" w:space="0"/>
              <w:left w:val="single" w:color="auto" w:sz="4" w:space="0"/>
              <w:right w:val="single" w:color="auto" w:sz="4" w:space="0"/>
            </w:tcBorders>
            <w:noWrap w:val="0"/>
            <w:vAlign w:val="center"/>
          </w:tcPr>
          <w:p w14:paraId="2B2503D2">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c>
          <w:tcPr>
            <w:tcW w:w="1299" w:type="dxa"/>
            <w:tcBorders>
              <w:top w:val="single" w:color="auto" w:sz="4" w:space="0"/>
              <w:left w:val="single" w:color="auto" w:sz="4" w:space="0"/>
              <w:right w:val="single" w:color="auto" w:sz="4" w:space="0"/>
            </w:tcBorders>
            <w:noWrap w:val="0"/>
            <w:vAlign w:val="center"/>
          </w:tcPr>
          <w:p w14:paraId="42D96529">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p>
        </w:tc>
      </w:tr>
      <w:tr w14:paraId="4ACEDD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4" w:hRule="atLeast"/>
          <w:jc w:val="center"/>
        </w:trPr>
        <w:tc>
          <w:tcPr>
            <w:tcW w:w="1104" w:type="dxa"/>
            <w:tcBorders>
              <w:top w:val="single" w:color="auto" w:sz="4" w:space="0"/>
              <w:left w:val="single" w:color="auto" w:sz="4" w:space="0"/>
              <w:right w:val="single" w:color="auto" w:sz="4" w:space="0"/>
            </w:tcBorders>
            <w:noWrap w:val="0"/>
            <w:vAlign w:val="center"/>
          </w:tcPr>
          <w:p w14:paraId="24BD79D2">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2</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4955B72C">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报价总价</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66A90EC3">
            <w:pPr>
              <w:pageBreakBefore w:val="0"/>
              <w:widowControl w:val="0"/>
              <w:wordWrap/>
              <w:topLinePunct w:val="0"/>
              <w:bidi w:val="0"/>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大写：           元</w:t>
            </w:r>
          </w:p>
          <w:p w14:paraId="364EB767">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小写：           元</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08E2B8A3">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r>
      <w:tr w14:paraId="1978AE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104" w:type="dxa"/>
            <w:tcBorders>
              <w:top w:val="single" w:color="auto" w:sz="4" w:space="0"/>
              <w:left w:val="single" w:color="auto" w:sz="4" w:space="0"/>
              <w:bottom w:val="single" w:color="auto" w:sz="4" w:space="0"/>
              <w:right w:val="single" w:color="auto" w:sz="4" w:space="0"/>
            </w:tcBorders>
            <w:noWrap w:val="0"/>
            <w:vAlign w:val="center"/>
          </w:tcPr>
          <w:p w14:paraId="1A78C677">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3</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6CFAAC95">
            <w:pPr>
              <w:pageBreakBefore w:val="0"/>
              <w:widowControl w:val="0"/>
              <w:wordWrap/>
              <w:topLinePunct w:val="0"/>
              <w:bidi w:val="0"/>
              <w:snapToGrid w:val="0"/>
              <w:spacing w:line="400" w:lineRule="exact"/>
              <w:rPr>
                <w:rFonts w:hint="default" w:ascii="宋体" w:hAnsi="宋体" w:eastAsia="宋体" w:cs="宋体"/>
                <w:b w:val="0"/>
                <w:bCs/>
                <w:color w:val="auto"/>
                <w:sz w:val="28"/>
                <w:szCs w:val="28"/>
                <w:highlight w:val="none"/>
                <w:u w:val="single"/>
                <w:lang w:val="en-US"/>
              </w:rPr>
            </w:pPr>
            <w:r>
              <w:rPr>
                <w:rFonts w:hint="eastAsia" w:ascii="宋体" w:hAnsi="宋体" w:eastAsia="宋体" w:cs="宋体"/>
                <w:b w:val="0"/>
                <w:bCs/>
                <w:color w:val="auto"/>
                <w:sz w:val="28"/>
                <w:szCs w:val="28"/>
                <w:highlight w:val="none"/>
                <w:lang w:val="en-US" w:eastAsia="zh-CN"/>
              </w:rPr>
              <w:t>供货期</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162BAF4C">
            <w:pPr>
              <w:pageBreakBefore w:val="0"/>
              <w:widowControl w:val="0"/>
              <w:wordWrap/>
              <w:topLinePunct w:val="0"/>
              <w:bidi w:val="0"/>
              <w:snapToGrid w:val="0"/>
              <w:spacing w:line="400" w:lineRule="exact"/>
              <w:ind w:left="2559"/>
              <w:rPr>
                <w:rFonts w:hint="eastAsia" w:ascii="宋体" w:hAnsi="宋体" w:eastAsia="宋体" w:cs="宋体"/>
                <w:b w:val="0"/>
                <w:bCs/>
                <w:color w:val="auto"/>
                <w:sz w:val="28"/>
                <w:szCs w:val="28"/>
                <w:highlight w:val="none"/>
                <w:u w:val="singl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10E629C7">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u w:val="single"/>
              </w:rPr>
            </w:pPr>
          </w:p>
        </w:tc>
      </w:tr>
      <w:tr w14:paraId="69B9C7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104" w:type="dxa"/>
            <w:tcBorders>
              <w:top w:val="single" w:color="auto" w:sz="4" w:space="0"/>
              <w:left w:val="single" w:color="auto" w:sz="4" w:space="0"/>
              <w:bottom w:val="single" w:color="auto" w:sz="4" w:space="0"/>
              <w:right w:val="single" w:color="auto" w:sz="4" w:space="0"/>
            </w:tcBorders>
            <w:noWrap w:val="0"/>
            <w:vAlign w:val="center"/>
          </w:tcPr>
          <w:p w14:paraId="5AE391C0">
            <w:pPr>
              <w:pageBreakBefore w:val="0"/>
              <w:widowControl w:val="0"/>
              <w:wordWrap/>
              <w:topLinePunct w:val="0"/>
              <w:bidi w:val="0"/>
              <w:snapToGrid w:val="0"/>
              <w:spacing w:line="400" w:lineRule="exact"/>
              <w:jc w:val="center"/>
              <w:rPr>
                <w:rFonts w:hint="default"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4</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444F3A4C">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其他事项申明</w:t>
            </w:r>
          </w:p>
        </w:tc>
        <w:tc>
          <w:tcPr>
            <w:tcW w:w="4668" w:type="dxa"/>
            <w:tcBorders>
              <w:top w:val="single" w:color="auto" w:sz="4" w:space="0"/>
              <w:left w:val="single" w:color="auto" w:sz="4" w:space="0"/>
              <w:bottom w:val="single" w:color="auto" w:sz="4" w:space="0"/>
              <w:right w:val="single" w:color="auto" w:sz="4" w:space="0"/>
            </w:tcBorders>
            <w:noWrap w:val="0"/>
            <w:vAlign w:val="top"/>
          </w:tcPr>
          <w:p w14:paraId="015168C0">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435251E7">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r>
    </w:tbl>
    <w:p w14:paraId="0FE228A0">
      <w:pPr>
        <w:pageBreakBefore w:val="0"/>
        <w:widowControl w:val="0"/>
        <w:wordWrap/>
        <w:topLinePunct w:val="0"/>
        <w:bidi w:val="0"/>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b w:val="0"/>
          <w:bCs/>
          <w:color w:val="auto"/>
          <w:sz w:val="28"/>
          <w:szCs w:val="28"/>
          <w:highlight w:val="none"/>
        </w:rPr>
        <w:t>注:</w:t>
      </w:r>
    </w:p>
    <w:p w14:paraId="50A87D22">
      <w:pPr>
        <w:pageBreakBefore w:val="0"/>
        <w:widowControl w:val="0"/>
        <w:numPr>
          <w:ilvl w:val="0"/>
          <w:numId w:val="6"/>
        </w:numPr>
        <w:wordWrap/>
        <w:topLinePunct w:val="0"/>
        <w:bidi w:val="0"/>
        <w:adjustRightInd w:val="0"/>
        <w:snapToGrid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报价如修改，应在修改处加盖单位公章或者由法定代表人或授权委托人</w:t>
      </w:r>
      <w:r>
        <w:rPr>
          <w:rFonts w:hint="eastAsia" w:ascii="宋体" w:hAnsi="宋体" w:eastAsia="宋体" w:cs="宋体"/>
          <w:color w:val="auto"/>
          <w:sz w:val="28"/>
          <w:szCs w:val="28"/>
          <w:highlight w:val="none"/>
          <w:lang w:eastAsia="zh-CN"/>
        </w:rPr>
        <w:t>签字、盖章</w:t>
      </w:r>
      <w:r>
        <w:rPr>
          <w:rFonts w:hint="eastAsia" w:ascii="宋体" w:hAnsi="宋体" w:eastAsia="宋体" w:cs="宋体"/>
          <w:color w:val="auto"/>
          <w:sz w:val="28"/>
          <w:szCs w:val="28"/>
          <w:highlight w:val="none"/>
        </w:rPr>
        <w:t>，否则其</w:t>
      </w:r>
      <w:r>
        <w:rPr>
          <w:rFonts w:hint="eastAsia" w:ascii="宋体" w:hAnsi="宋体" w:eastAsia="宋体" w:cs="宋体"/>
          <w:color w:val="auto"/>
          <w:sz w:val="28"/>
          <w:szCs w:val="28"/>
          <w:highlight w:val="none"/>
          <w:lang w:eastAsia="zh-CN"/>
        </w:rPr>
        <w:t>投标文件</w:t>
      </w:r>
      <w:r>
        <w:rPr>
          <w:rFonts w:hint="eastAsia" w:ascii="宋体" w:hAnsi="宋体" w:eastAsia="宋体" w:cs="宋体"/>
          <w:color w:val="auto"/>
          <w:sz w:val="28"/>
          <w:szCs w:val="28"/>
          <w:highlight w:val="none"/>
        </w:rPr>
        <w:t>作无效标处理。</w:t>
      </w:r>
    </w:p>
    <w:p w14:paraId="7BE26792">
      <w:pPr>
        <w:pageBreakBefore w:val="0"/>
        <w:widowControl w:val="0"/>
        <w:numPr>
          <w:ilvl w:val="0"/>
          <w:numId w:val="6"/>
        </w:numPr>
        <w:wordWrap/>
        <w:topLinePunct w:val="0"/>
        <w:bidi w:val="0"/>
        <w:adjustRightInd w:val="0"/>
        <w:snapToGrid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此表需单独提供一份</w:t>
      </w:r>
      <w:r>
        <w:rPr>
          <w:rFonts w:hint="eastAsia" w:ascii="宋体" w:hAnsi="宋体" w:eastAsia="宋体" w:cs="宋体"/>
          <w:color w:val="auto"/>
          <w:sz w:val="28"/>
          <w:szCs w:val="28"/>
          <w:highlight w:val="none"/>
          <w:lang w:eastAsia="zh-CN"/>
        </w:rPr>
        <w:t>，</w:t>
      </w:r>
      <w:r>
        <w:rPr>
          <w:rFonts w:hint="eastAsia" w:ascii="宋体" w:hAnsi="宋体" w:eastAsia="宋体" w:cs="宋体"/>
          <w:color w:val="0000FF"/>
          <w:sz w:val="28"/>
          <w:szCs w:val="28"/>
          <w:highlight w:val="none"/>
        </w:rPr>
        <w:t>报价一览表需按招标文件提供的格式填写，统一规范，不得自行增减内容</w:t>
      </w:r>
      <w:r>
        <w:rPr>
          <w:rFonts w:hint="eastAsia" w:ascii="宋体" w:hAnsi="宋体" w:eastAsia="宋体" w:cs="宋体"/>
          <w:color w:val="0000FF"/>
          <w:sz w:val="28"/>
          <w:szCs w:val="28"/>
          <w:highlight w:val="none"/>
          <w:lang w:eastAsia="zh-CN"/>
        </w:rPr>
        <w:t>。</w:t>
      </w:r>
    </w:p>
    <w:p w14:paraId="7E241E8C">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w:t>
      </w:r>
    </w:p>
    <w:p w14:paraId="7DACF3F9">
      <w:pPr>
        <w:pageBreakBefore w:val="0"/>
        <w:widowControl w:val="0"/>
        <w:wordWrap/>
        <w:topLinePunct w:val="0"/>
        <w:bidi w:val="0"/>
        <w:rPr>
          <w:rFonts w:hint="eastAsia" w:ascii="宋体" w:hAnsi="宋体" w:eastAsia="宋体" w:cs="宋体"/>
          <w:b/>
          <w:bCs/>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54848205">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30667C7C">
      <w:pPr>
        <w:pageBreakBefore w:val="0"/>
        <w:widowControl w:val="0"/>
        <w:wordWrap/>
        <w:topLinePunct w:val="0"/>
        <w:bidi w:val="0"/>
        <w:rPr>
          <w:rFonts w:hint="eastAsia" w:ascii="宋体" w:hAnsi="宋体" w:eastAsia="宋体" w:cs="宋体"/>
          <w:color w:val="auto"/>
          <w:sz w:val="28"/>
          <w:szCs w:val="28"/>
          <w:highlight w:val="none"/>
        </w:rPr>
      </w:pPr>
    </w:p>
    <w:p w14:paraId="65244843">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日期：   年   月   日</w:t>
      </w:r>
    </w:p>
    <w:p w14:paraId="5A258EB8">
      <w:pPr>
        <w:pageBreakBefore w:val="0"/>
        <w:widowControl w:val="0"/>
        <w:wordWrap/>
        <w:topLinePunct w:val="0"/>
        <w:bidi w:val="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报价明细表</w:t>
      </w:r>
    </w:p>
    <w:p w14:paraId="65712D10">
      <w:pPr>
        <w:pageBreakBefore w:val="0"/>
        <w:widowControl w:val="0"/>
        <w:wordWrap/>
        <w:topLinePunct w:val="0"/>
        <w:bidi w:val="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项目名称/标项</w:t>
      </w:r>
      <w:r>
        <w:rPr>
          <w:rFonts w:hint="eastAsia" w:ascii="宋体" w:hAnsi="宋体" w:eastAsia="宋体" w:cs="宋体"/>
          <w:b w:val="0"/>
          <w:bCs/>
          <w:color w:val="auto"/>
          <w:sz w:val="28"/>
          <w:szCs w:val="28"/>
          <w:highlight w:val="none"/>
        </w:rPr>
        <w:t>：</w:t>
      </w:r>
    </w:p>
    <w:p w14:paraId="798EA58F">
      <w:pPr>
        <w:pStyle w:val="4"/>
        <w:pageBreakBefore w:val="0"/>
        <w:widowControl w:val="0"/>
        <w:wordWrap/>
        <w:topLinePunct w:val="0"/>
        <w:bidi w:val="0"/>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项目编号：</w:t>
      </w:r>
    </w:p>
    <w:tbl>
      <w:tblPr>
        <w:tblStyle w:val="22"/>
        <w:tblW w:w="99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536"/>
        <w:gridCol w:w="1359"/>
        <w:gridCol w:w="790"/>
        <w:gridCol w:w="930"/>
        <w:gridCol w:w="1042"/>
        <w:gridCol w:w="816"/>
        <w:gridCol w:w="929"/>
        <w:gridCol w:w="929"/>
        <w:gridCol w:w="929"/>
      </w:tblGrid>
      <w:tr w14:paraId="4D84D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715" w:type="dxa"/>
            <w:noWrap w:val="0"/>
            <w:vAlign w:val="center"/>
          </w:tcPr>
          <w:p w14:paraId="5E55220B">
            <w:pPr>
              <w:spacing w:line="440" w:lineRule="exact"/>
              <w:jc w:val="center"/>
              <w:rPr>
                <w:rFonts w:ascii="宋体" w:hAnsi="宋体"/>
                <w:sz w:val="24"/>
                <w:szCs w:val="24"/>
              </w:rPr>
            </w:pPr>
            <w:r>
              <w:rPr>
                <w:rFonts w:hint="eastAsia" w:ascii="宋体" w:hAnsi="宋体"/>
                <w:sz w:val="24"/>
                <w:szCs w:val="24"/>
              </w:rPr>
              <w:t>序号</w:t>
            </w:r>
          </w:p>
        </w:tc>
        <w:tc>
          <w:tcPr>
            <w:tcW w:w="1536" w:type="dxa"/>
            <w:noWrap w:val="0"/>
            <w:vAlign w:val="center"/>
          </w:tcPr>
          <w:p w14:paraId="2A6DE43C">
            <w:pPr>
              <w:spacing w:line="440" w:lineRule="exact"/>
              <w:jc w:val="center"/>
              <w:rPr>
                <w:rFonts w:ascii="宋体" w:hAnsi="宋体"/>
                <w:sz w:val="24"/>
                <w:szCs w:val="24"/>
              </w:rPr>
            </w:pPr>
            <w:r>
              <w:rPr>
                <w:rFonts w:hint="eastAsia" w:ascii="宋体" w:hAnsi="宋体"/>
                <w:sz w:val="24"/>
                <w:szCs w:val="24"/>
                <w:lang w:val="en-US" w:eastAsia="zh-CN"/>
              </w:rPr>
              <w:t>货物</w:t>
            </w:r>
            <w:r>
              <w:rPr>
                <w:rFonts w:hint="eastAsia" w:ascii="宋体" w:hAnsi="宋体"/>
                <w:sz w:val="24"/>
                <w:szCs w:val="24"/>
              </w:rPr>
              <w:t>名称</w:t>
            </w:r>
          </w:p>
        </w:tc>
        <w:tc>
          <w:tcPr>
            <w:tcW w:w="1359" w:type="dxa"/>
            <w:noWrap w:val="0"/>
            <w:vAlign w:val="center"/>
          </w:tcPr>
          <w:p w14:paraId="354A6B8A">
            <w:pPr>
              <w:spacing w:line="440" w:lineRule="exact"/>
              <w:jc w:val="center"/>
              <w:rPr>
                <w:rFonts w:ascii="宋体" w:hAnsi="宋体"/>
                <w:sz w:val="24"/>
                <w:szCs w:val="24"/>
              </w:rPr>
            </w:pPr>
            <w:r>
              <w:rPr>
                <w:rFonts w:hint="eastAsia" w:ascii="宋体" w:hAnsi="宋体"/>
                <w:sz w:val="24"/>
                <w:szCs w:val="24"/>
              </w:rPr>
              <w:t>规格及型号</w:t>
            </w:r>
          </w:p>
        </w:tc>
        <w:tc>
          <w:tcPr>
            <w:tcW w:w="790" w:type="dxa"/>
            <w:noWrap w:val="0"/>
            <w:vAlign w:val="center"/>
          </w:tcPr>
          <w:p w14:paraId="51D08F2C">
            <w:pPr>
              <w:spacing w:line="440" w:lineRule="exact"/>
              <w:jc w:val="center"/>
              <w:rPr>
                <w:rFonts w:ascii="宋体" w:hAnsi="宋体"/>
                <w:sz w:val="24"/>
                <w:szCs w:val="24"/>
              </w:rPr>
            </w:pPr>
            <w:r>
              <w:rPr>
                <w:rFonts w:hint="eastAsia" w:ascii="宋体" w:hAnsi="宋体"/>
                <w:sz w:val="24"/>
                <w:szCs w:val="24"/>
              </w:rPr>
              <w:t>单位</w:t>
            </w:r>
          </w:p>
        </w:tc>
        <w:tc>
          <w:tcPr>
            <w:tcW w:w="930" w:type="dxa"/>
            <w:noWrap w:val="0"/>
            <w:vAlign w:val="center"/>
          </w:tcPr>
          <w:p w14:paraId="5BBDDAD5">
            <w:pPr>
              <w:spacing w:line="440" w:lineRule="exact"/>
              <w:jc w:val="center"/>
              <w:rPr>
                <w:rFonts w:ascii="宋体" w:hAnsi="宋体"/>
                <w:sz w:val="24"/>
                <w:szCs w:val="24"/>
              </w:rPr>
            </w:pPr>
            <w:r>
              <w:rPr>
                <w:rFonts w:hint="eastAsia" w:ascii="宋体" w:hAnsi="宋体"/>
                <w:sz w:val="24"/>
                <w:szCs w:val="24"/>
              </w:rPr>
              <w:t>数量</w:t>
            </w:r>
          </w:p>
        </w:tc>
        <w:tc>
          <w:tcPr>
            <w:tcW w:w="1042" w:type="dxa"/>
            <w:noWrap w:val="0"/>
            <w:vAlign w:val="center"/>
          </w:tcPr>
          <w:p w14:paraId="41909286">
            <w:pPr>
              <w:spacing w:line="440" w:lineRule="exact"/>
              <w:jc w:val="center"/>
              <w:rPr>
                <w:rFonts w:ascii="宋体" w:hAnsi="宋体"/>
                <w:sz w:val="24"/>
                <w:szCs w:val="24"/>
              </w:rPr>
            </w:pPr>
            <w:r>
              <w:rPr>
                <w:rFonts w:hint="eastAsia" w:ascii="宋体" w:hAnsi="宋体"/>
                <w:sz w:val="24"/>
                <w:szCs w:val="24"/>
              </w:rPr>
              <w:t>综合单价（元）</w:t>
            </w:r>
          </w:p>
        </w:tc>
        <w:tc>
          <w:tcPr>
            <w:tcW w:w="816" w:type="dxa"/>
            <w:noWrap w:val="0"/>
            <w:vAlign w:val="center"/>
          </w:tcPr>
          <w:p w14:paraId="008783B3">
            <w:pPr>
              <w:spacing w:line="440" w:lineRule="exact"/>
              <w:jc w:val="center"/>
              <w:rPr>
                <w:rFonts w:ascii="宋体" w:hAnsi="宋体"/>
                <w:sz w:val="24"/>
                <w:szCs w:val="24"/>
              </w:rPr>
            </w:pPr>
            <w:r>
              <w:rPr>
                <w:rFonts w:hint="eastAsia" w:ascii="宋体" w:hAnsi="宋体"/>
                <w:sz w:val="24"/>
                <w:szCs w:val="24"/>
              </w:rPr>
              <w:t>总价（元）</w:t>
            </w:r>
          </w:p>
        </w:tc>
        <w:tc>
          <w:tcPr>
            <w:tcW w:w="929" w:type="dxa"/>
            <w:noWrap w:val="0"/>
            <w:vAlign w:val="center"/>
          </w:tcPr>
          <w:p w14:paraId="4E224140">
            <w:pPr>
              <w:spacing w:line="440" w:lineRule="exact"/>
              <w:jc w:val="center"/>
              <w:rPr>
                <w:rFonts w:ascii="宋体" w:hAnsi="宋体"/>
                <w:sz w:val="24"/>
                <w:szCs w:val="24"/>
              </w:rPr>
            </w:pPr>
            <w:r>
              <w:rPr>
                <w:rFonts w:hint="eastAsia" w:ascii="宋体" w:hAnsi="宋体"/>
                <w:sz w:val="24"/>
                <w:szCs w:val="24"/>
              </w:rPr>
              <w:t>品牌及</w:t>
            </w:r>
          </w:p>
          <w:p w14:paraId="6D7DC3C7">
            <w:pPr>
              <w:spacing w:line="440" w:lineRule="exact"/>
              <w:jc w:val="center"/>
              <w:rPr>
                <w:rFonts w:ascii="宋体" w:hAnsi="宋体"/>
                <w:sz w:val="24"/>
                <w:szCs w:val="24"/>
              </w:rPr>
            </w:pPr>
            <w:r>
              <w:rPr>
                <w:rFonts w:hint="eastAsia" w:ascii="宋体" w:hAnsi="宋体"/>
                <w:sz w:val="24"/>
                <w:szCs w:val="24"/>
              </w:rPr>
              <w:t>产地</w:t>
            </w:r>
          </w:p>
        </w:tc>
        <w:tc>
          <w:tcPr>
            <w:tcW w:w="929" w:type="dxa"/>
            <w:noWrap w:val="0"/>
            <w:vAlign w:val="center"/>
          </w:tcPr>
          <w:p w14:paraId="01B44B20">
            <w:pPr>
              <w:spacing w:line="440" w:lineRule="exact"/>
              <w:jc w:val="center"/>
              <w:rPr>
                <w:rFonts w:hint="default" w:ascii="宋体" w:hAnsi="宋体" w:eastAsia="宋体"/>
                <w:sz w:val="24"/>
                <w:szCs w:val="24"/>
                <w:lang w:val="en-US" w:eastAsia="zh-CN"/>
              </w:rPr>
            </w:pPr>
            <w:r>
              <w:rPr>
                <w:rFonts w:hint="eastAsia" w:ascii="宋体" w:hAnsi="宋体"/>
                <w:sz w:val="24"/>
                <w:szCs w:val="24"/>
                <w:lang w:val="en-US" w:eastAsia="zh-CN"/>
              </w:rPr>
              <w:t>制造商</w:t>
            </w:r>
          </w:p>
        </w:tc>
        <w:tc>
          <w:tcPr>
            <w:tcW w:w="929" w:type="dxa"/>
            <w:noWrap w:val="0"/>
            <w:vAlign w:val="center"/>
          </w:tcPr>
          <w:p w14:paraId="0382EE09">
            <w:pPr>
              <w:spacing w:line="440" w:lineRule="exact"/>
              <w:jc w:val="center"/>
              <w:rPr>
                <w:rFonts w:hint="default" w:ascii="宋体" w:hAnsi="宋体"/>
                <w:sz w:val="24"/>
                <w:szCs w:val="24"/>
                <w:lang w:val="en-US" w:eastAsia="zh-CN"/>
              </w:rPr>
            </w:pPr>
            <w:r>
              <w:rPr>
                <w:rFonts w:hint="eastAsia" w:ascii="宋体" w:hAnsi="宋体"/>
                <w:sz w:val="24"/>
                <w:szCs w:val="24"/>
                <w:lang w:val="en-US" w:eastAsia="zh-CN"/>
              </w:rPr>
              <w:t>备注</w:t>
            </w:r>
          </w:p>
        </w:tc>
      </w:tr>
      <w:tr w14:paraId="711BA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6F8B29DD">
            <w:pPr>
              <w:spacing w:line="440" w:lineRule="exact"/>
              <w:rPr>
                <w:rFonts w:ascii="宋体" w:hAnsi="宋体"/>
                <w:sz w:val="24"/>
                <w:szCs w:val="24"/>
              </w:rPr>
            </w:pPr>
          </w:p>
        </w:tc>
        <w:tc>
          <w:tcPr>
            <w:tcW w:w="1536" w:type="dxa"/>
            <w:noWrap w:val="0"/>
            <w:vAlign w:val="center"/>
          </w:tcPr>
          <w:p w14:paraId="43BF0B11">
            <w:pPr>
              <w:spacing w:line="440" w:lineRule="exact"/>
              <w:rPr>
                <w:rFonts w:ascii="宋体" w:hAnsi="宋体"/>
                <w:sz w:val="24"/>
                <w:szCs w:val="24"/>
              </w:rPr>
            </w:pPr>
          </w:p>
        </w:tc>
        <w:tc>
          <w:tcPr>
            <w:tcW w:w="1359" w:type="dxa"/>
            <w:noWrap w:val="0"/>
            <w:vAlign w:val="center"/>
          </w:tcPr>
          <w:p w14:paraId="74E34005">
            <w:pPr>
              <w:spacing w:line="440" w:lineRule="exact"/>
              <w:rPr>
                <w:rFonts w:ascii="宋体" w:hAnsi="宋体"/>
                <w:sz w:val="24"/>
                <w:szCs w:val="24"/>
              </w:rPr>
            </w:pPr>
          </w:p>
        </w:tc>
        <w:tc>
          <w:tcPr>
            <w:tcW w:w="790" w:type="dxa"/>
            <w:noWrap w:val="0"/>
            <w:vAlign w:val="center"/>
          </w:tcPr>
          <w:p w14:paraId="58686E58">
            <w:pPr>
              <w:spacing w:line="440" w:lineRule="exact"/>
              <w:rPr>
                <w:rFonts w:ascii="宋体" w:hAnsi="宋体"/>
                <w:sz w:val="24"/>
                <w:szCs w:val="24"/>
              </w:rPr>
            </w:pPr>
          </w:p>
        </w:tc>
        <w:tc>
          <w:tcPr>
            <w:tcW w:w="930" w:type="dxa"/>
            <w:noWrap w:val="0"/>
            <w:vAlign w:val="center"/>
          </w:tcPr>
          <w:p w14:paraId="584DEA01">
            <w:pPr>
              <w:spacing w:line="440" w:lineRule="exact"/>
              <w:rPr>
                <w:rFonts w:ascii="宋体" w:hAnsi="宋体"/>
                <w:sz w:val="24"/>
                <w:szCs w:val="24"/>
              </w:rPr>
            </w:pPr>
          </w:p>
        </w:tc>
        <w:tc>
          <w:tcPr>
            <w:tcW w:w="1042" w:type="dxa"/>
            <w:noWrap w:val="0"/>
            <w:vAlign w:val="center"/>
          </w:tcPr>
          <w:p w14:paraId="719D2812">
            <w:pPr>
              <w:spacing w:line="440" w:lineRule="exact"/>
              <w:rPr>
                <w:rFonts w:ascii="宋体" w:hAnsi="宋体"/>
                <w:sz w:val="24"/>
                <w:szCs w:val="24"/>
              </w:rPr>
            </w:pPr>
          </w:p>
        </w:tc>
        <w:tc>
          <w:tcPr>
            <w:tcW w:w="816" w:type="dxa"/>
            <w:noWrap w:val="0"/>
            <w:vAlign w:val="center"/>
          </w:tcPr>
          <w:p w14:paraId="65FE582A">
            <w:pPr>
              <w:spacing w:line="440" w:lineRule="exact"/>
              <w:rPr>
                <w:rFonts w:ascii="宋体" w:hAnsi="宋体"/>
                <w:sz w:val="24"/>
                <w:szCs w:val="24"/>
              </w:rPr>
            </w:pPr>
          </w:p>
        </w:tc>
        <w:tc>
          <w:tcPr>
            <w:tcW w:w="929" w:type="dxa"/>
            <w:noWrap w:val="0"/>
            <w:vAlign w:val="center"/>
          </w:tcPr>
          <w:p w14:paraId="5B975B8D">
            <w:pPr>
              <w:spacing w:line="440" w:lineRule="exact"/>
              <w:rPr>
                <w:rFonts w:ascii="宋体" w:hAnsi="宋体"/>
                <w:sz w:val="24"/>
                <w:szCs w:val="24"/>
              </w:rPr>
            </w:pPr>
          </w:p>
        </w:tc>
        <w:tc>
          <w:tcPr>
            <w:tcW w:w="929" w:type="dxa"/>
            <w:noWrap w:val="0"/>
            <w:vAlign w:val="center"/>
          </w:tcPr>
          <w:p w14:paraId="430DAA08">
            <w:pPr>
              <w:spacing w:line="440" w:lineRule="exact"/>
              <w:rPr>
                <w:rFonts w:ascii="宋体" w:hAnsi="宋体"/>
                <w:sz w:val="24"/>
                <w:szCs w:val="24"/>
              </w:rPr>
            </w:pPr>
          </w:p>
        </w:tc>
        <w:tc>
          <w:tcPr>
            <w:tcW w:w="929" w:type="dxa"/>
            <w:noWrap w:val="0"/>
            <w:vAlign w:val="center"/>
          </w:tcPr>
          <w:p w14:paraId="60DA8D29">
            <w:pPr>
              <w:spacing w:line="440" w:lineRule="exact"/>
              <w:rPr>
                <w:rFonts w:ascii="宋体" w:hAnsi="宋体"/>
                <w:sz w:val="24"/>
                <w:szCs w:val="24"/>
              </w:rPr>
            </w:pPr>
          </w:p>
        </w:tc>
      </w:tr>
      <w:tr w14:paraId="6F73C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3DDD653B">
            <w:pPr>
              <w:spacing w:line="440" w:lineRule="exact"/>
              <w:rPr>
                <w:rFonts w:ascii="宋体" w:hAnsi="宋体"/>
                <w:sz w:val="24"/>
                <w:szCs w:val="24"/>
              </w:rPr>
            </w:pPr>
          </w:p>
        </w:tc>
        <w:tc>
          <w:tcPr>
            <w:tcW w:w="1536" w:type="dxa"/>
            <w:noWrap w:val="0"/>
            <w:vAlign w:val="center"/>
          </w:tcPr>
          <w:p w14:paraId="1163C5DE">
            <w:pPr>
              <w:spacing w:line="440" w:lineRule="exact"/>
              <w:rPr>
                <w:rFonts w:ascii="宋体" w:hAnsi="宋体"/>
                <w:sz w:val="24"/>
                <w:szCs w:val="24"/>
              </w:rPr>
            </w:pPr>
          </w:p>
        </w:tc>
        <w:tc>
          <w:tcPr>
            <w:tcW w:w="1359" w:type="dxa"/>
            <w:noWrap w:val="0"/>
            <w:vAlign w:val="center"/>
          </w:tcPr>
          <w:p w14:paraId="0B27D1A1">
            <w:pPr>
              <w:spacing w:line="440" w:lineRule="exact"/>
              <w:rPr>
                <w:rFonts w:ascii="宋体" w:hAnsi="宋体"/>
                <w:sz w:val="24"/>
                <w:szCs w:val="24"/>
              </w:rPr>
            </w:pPr>
          </w:p>
        </w:tc>
        <w:tc>
          <w:tcPr>
            <w:tcW w:w="790" w:type="dxa"/>
            <w:noWrap w:val="0"/>
            <w:vAlign w:val="center"/>
          </w:tcPr>
          <w:p w14:paraId="02E3FF1E">
            <w:pPr>
              <w:spacing w:line="440" w:lineRule="exact"/>
              <w:rPr>
                <w:rFonts w:ascii="宋体" w:hAnsi="宋体"/>
                <w:sz w:val="24"/>
                <w:szCs w:val="24"/>
              </w:rPr>
            </w:pPr>
          </w:p>
        </w:tc>
        <w:tc>
          <w:tcPr>
            <w:tcW w:w="930" w:type="dxa"/>
            <w:noWrap w:val="0"/>
            <w:vAlign w:val="center"/>
          </w:tcPr>
          <w:p w14:paraId="607DDEBE">
            <w:pPr>
              <w:spacing w:line="440" w:lineRule="exact"/>
              <w:rPr>
                <w:rFonts w:ascii="宋体" w:hAnsi="宋体"/>
                <w:sz w:val="24"/>
                <w:szCs w:val="24"/>
              </w:rPr>
            </w:pPr>
          </w:p>
        </w:tc>
        <w:tc>
          <w:tcPr>
            <w:tcW w:w="1042" w:type="dxa"/>
            <w:noWrap w:val="0"/>
            <w:vAlign w:val="center"/>
          </w:tcPr>
          <w:p w14:paraId="5A3B2599">
            <w:pPr>
              <w:spacing w:line="440" w:lineRule="exact"/>
              <w:rPr>
                <w:rFonts w:ascii="宋体" w:hAnsi="宋体"/>
                <w:sz w:val="24"/>
                <w:szCs w:val="24"/>
              </w:rPr>
            </w:pPr>
          </w:p>
        </w:tc>
        <w:tc>
          <w:tcPr>
            <w:tcW w:w="816" w:type="dxa"/>
            <w:noWrap w:val="0"/>
            <w:vAlign w:val="center"/>
          </w:tcPr>
          <w:p w14:paraId="763BBFA5">
            <w:pPr>
              <w:spacing w:line="440" w:lineRule="exact"/>
              <w:rPr>
                <w:rFonts w:ascii="宋体" w:hAnsi="宋体"/>
                <w:sz w:val="24"/>
                <w:szCs w:val="24"/>
              </w:rPr>
            </w:pPr>
          </w:p>
        </w:tc>
        <w:tc>
          <w:tcPr>
            <w:tcW w:w="929" w:type="dxa"/>
            <w:noWrap w:val="0"/>
            <w:vAlign w:val="center"/>
          </w:tcPr>
          <w:p w14:paraId="422B9A39">
            <w:pPr>
              <w:spacing w:line="440" w:lineRule="exact"/>
              <w:rPr>
                <w:rFonts w:ascii="宋体" w:hAnsi="宋体"/>
                <w:sz w:val="24"/>
                <w:szCs w:val="24"/>
              </w:rPr>
            </w:pPr>
          </w:p>
        </w:tc>
        <w:tc>
          <w:tcPr>
            <w:tcW w:w="929" w:type="dxa"/>
            <w:noWrap w:val="0"/>
            <w:vAlign w:val="center"/>
          </w:tcPr>
          <w:p w14:paraId="140566FB">
            <w:pPr>
              <w:spacing w:line="440" w:lineRule="exact"/>
              <w:rPr>
                <w:rFonts w:ascii="宋体" w:hAnsi="宋体"/>
                <w:sz w:val="24"/>
                <w:szCs w:val="24"/>
              </w:rPr>
            </w:pPr>
          </w:p>
        </w:tc>
        <w:tc>
          <w:tcPr>
            <w:tcW w:w="929" w:type="dxa"/>
            <w:noWrap w:val="0"/>
            <w:vAlign w:val="center"/>
          </w:tcPr>
          <w:p w14:paraId="2ACF8065">
            <w:pPr>
              <w:spacing w:line="440" w:lineRule="exact"/>
              <w:rPr>
                <w:rFonts w:ascii="宋体" w:hAnsi="宋体"/>
                <w:sz w:val="24"/>
                <w:szCs w:val="24"/>
              </w:rPr>
            </w:pPr>
          </w:p>
        </w:tc>
      </w:tr>
      <w:tr w14:paraId="15588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7135ACF9">
            <w:pPr>
              <w:spacing w:line="440" w:lineRule="exact"/>
              <w:rPr>
                <w:rFonts w:ascii="宋体" w:hAnsi="宋体"/>
                <w:sz w:val="24"/>
                <w:szCs w:val="24"/>
              </w:rPr>
            </w:pPr>
          </w:p>
        </w:tc>
        <w:tc>
          <w:tcPr>
            <w:tcW w:w="1536" w:type="dxa"/>
            <w:noWrap w:val="0"/>
            <w:vAlign w:val="center"/>
          </w:tcPr>
          <w:p w14:paraId="0BCD4751">
            <w:pPr>
              <w:spacing w:line="440" w:lineRule="exact"/>
              <w:rPr>
                <w:rFonts w:ascii="宋体" w:hAnsi="宋体"/>
                <w:sz w:val="24"/>
                <w:szCs w:val="24"/>
              </w:rPr>
            </w:pPr>
          </w:p>
        </w:tc>
        <w:tc>
          <w:tcPr>
            <w:tcW w:w="1359" w:type="dxa"/>
            <w:noWrap w:val="0"/>
            <w:vAlign w:val="center"/>
          </w:tcPr>
          <w:p w14:paraId="16F82202">
            <w:pPr>
              <w:spacing w:line="440" w:lineRule="exact"/>
              <w:rPr>
                <w:rFonts w:ascii="宋体" w:hAnsi="宋体"/>
                <w:sz w:val="24"/>
                <w:szCs w:val="24"/>
              </w:rPr>
            </w:pPr>
          </w:p>
        </w:tc>
        <w:tc>
          <w:tcPr>
            <w:tcW w:w="790" w:type="dxa"/>
            <w:noWrap w:val="0"/>
            <w:vAlign w:val="center"/>
          </w:tcPr>
          <w:p w14:paraId="5182BB18">
            <w:pPr>
              <w:spacing w:line="440" w:lineRule="exact"/>
              <w:rPr>
                <w:rFonts w:ascii="宋体" w:hAnsi="宋体"/>
                <w:sz w:val="24"/>
                <w:szCs w:val="24"/>
              </w:rPr>
            </w:pPr>
          </w:p>
        </w:tc>
        <w:tc>
          <w:tcPr>
            <w:tcW w:w="930" w:type="dxa"/>
            <w:noWrap w:val="0"/>
            <w:vAlign w:val="center"/>
          </w:tcPr>
          <w:p w14:paraId="6B412216">
            <w:pPr>
              <w:spacing w:line="440" w:lineRule="exact"/>
              <w:rPr>
                <w:rFonts w:ascii="宋体" w:hAnsi="宋体"/>
                <w:sz w:val="24"/>
                <w:szCs w:val="24"/>
              </w:rPr>
            </w:pPr>
          </w:p>
        </w:tc>
        <w:tc>
          <w:tcPr>
            <w:tcW w:w="1042" w:type="dxa"/>
            <w:noWrap w:val="0"/>
            <w:vAlign w:val="center"/>
          </w:tcPr>
          <w:p w14:paraId="54D76FFD">
            <w:pPr>
              <w:spacing w:line="440" w:lineRule="exact"/>
              <w:rPr>
                <w:rFonts w:ascii="宋体" w:hAnsi="宋体"/>
                <w:sz w:val="24"/>
                <w:szCs w:val="24"/>
              </w:rPr>
            </w:pPr>
          </w:p>
        </w:tc>
        <w:tc>
          <w:tcPr>
            <w:tcW w:w="816" w:type="dxa"/>
            <w:noWrap w:val="0"/>
            <w:vAlign w:val="center"/>
          </w:tcPr>
          <w:p w14:paraId="029B25CA">
            <w:pPr>
              <w:spacing w:line="440" w:lineRule="exact"/>
              <w:rPr>
                <w:rFonts w:ascii="宋体" w:hAnsi="宋体"/>
                <w:sz w:val="24"/>
                <w:szCs w:val="24"/>
              </w:rPr>
            </w:pPr>
          </w:p>
        </w:tc>
        <w:tc>
          <w:tcPr>
            <w:tcW w:w="929" w:type="dxa"/>
            <w:noWrap w:val="0"/>
            <w:vAlign w:val="center"/>
          </w:tcPr>
          <w:p w14:paraId="25F0408F">
            <w:pPr>
              <w:spacing w:line="440" w:lineRule="exact"/>
              <w:rPr>
                <w:rFonts w:ascii="宋体" w:hAnsi="宋体"/>
                <w:sz w:val="24"/>
                <w:szCs w:val="24"/>
              </w:rPr>
            </w:pPr>
          </w:p>
        </w:tc>
        <w:tc>
          <w:tcPr>
            <w:tcW w:w="929" w:type="dxa"/>
            <w:noWrap w:val="0"/>
            <w:vAlign w:val="center"/>
          </w:tcPr>
          <w:p w14:paraId="13755D54">
            <w:pPr>
              <w:spacing w:line="440" w:lineRule="exact"/>
              <w:rPr>
                <w:rFonts w:ascii="宋体" w:hAnsi="宋体"/>
                <w:sz w:val="24"/>
                <w:szCs w:val="24"/>
              </w:rPr>
            </w:pPr>
          </w:p>
        </w:tc>
        <w:tc>
          <w:tcPr>
            <w:tcW w:w="929" w:type="dxa"/>
            <w:noWrap w:val="0"/>
            <w:vAlign w:val="center"/>
          </w:tcPr>
          <w:p w14:paraId="74EEF9A8">
            <w:pPr>
              <w:spacing w:line="440" w:lineRule="exact"/>
              <w:rPr>
                <w:rFonts w:ascii="宋体" w:hAnsi="宋体"/>
                <w:sz w:val="24"/>
                <w:szCs w:val="24"/>
              </w:rPr>
            </w:pPr>
          </w:p>
        </w:tc>
      </w:tr>
      <w:tr w14:paraId="7B648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2B2D0139">
            <w:pPr>
              <w:spacing w:line="440" w:lineRule="exact"/>
              <w:rPr>
                <w:rFonts w:ascii="宋体" w:hAnsi="宋体"/>
                <w:sz w:val="24"/>
                <w:szCs w:val="24"/>
              </w:rPr>
            </w:pPr>
          </w:p>
        </w:tc>
        <w:tc>
          <w:tcPr>
            <w:tcW w:w="1536" w:type="dxa"/>
            <w:noWrap w:val="0"/>
            <w:vAlign w:val="center"/>
          </w:tcPr>
          <w:p w14:paraId="0C12C822">
            <w:pPr>
              <w:spacing w:line="440" w:lineRule="exact"/>
              <w:rPr>
                <w:rFonts w:ascii="宋体" w:hAnsi="宋体"/>
                <w:sz w:val="24"/>
                <w:szCs w:val="24"/>
              </w:rPr>
            </w:pPr>
          </w:p>
        </w:tc>
        <w:tc>
          <w:tcPr>
            <w:tcW w:w="1359" w:type="dxa"/>
            <w:noWrap w:val="0"/>
            <w:vAlign w:val="center"/>
          </w:tcPr>
          <w:p w14:paraId="432B48CF">
            <w:pPr>
              <w:spacing w:line="440" w:lineRule="exact"/>
              <w:rPr>
                <w:rFonts w:ascii="宋体" w:hAnsi="宋体"/>
                <w:sz w:val="24"/>
                <w:szCs w:val="24"/>
              </w:rPr>
            </w:pPr>
          </w:p>
        </w:tc>
        <w:tc>
          <w:tcPr>
            <w:tcW w:w="790" w:type="dxa"/>
            <w:noWrap w:val="0"/>
            <w:vAlign w:val="center"/>
          </w:tcPr>
          <w:p w14:paraId="6AD1E7BF">
            <w:pPr>
              <w:spacing w:line="440" w:lineRule="exact"/>
              <w:rPr>
                <w:rFonts w:ascii="宋体" w:hAnsi="宋体"/>
                <w:sz w:val="24"/>
                <w:szCs w:val="24"/>
              </w:rPr>
            </w:pPr>
          </w:p>
        </w:tc>
        <w:tc>
          <w:tcPr>
            <w:tcW w:w="930" w:type="dxa"/>
            <w:noWrap w:val="0"/>
            <w:vAlign w:val="center"/>
          </w:tcPr>
          <w:p w14:paraId="4CBF07E9">
            <w:pPr>
              <w:spacing w:line="440" w:lineRule="exact"/>
              <w:rPr>
                <w:rFonts w:ascii="宋体" w:hAnsi="宋体"/>
                <w:sz w:val="24"/>
                <w:szCs w:val="24"/>
              </w:rPr>
            </w:pPr>
          </w:p>
        </w:tc>
        <w:tc>
          <w:tcPr>
            <w:tcW w:w="1042" w:type="dxa"/>
            <w:noWrap w:val="0"/>
            <w:vAlign w:val="center"/>
          </w:tcPr>
          <w:p w14:paraId="665DA98F">
            <w:pPr>
              <w:spacing w:line="440" w:lineRule="exact"/>
              <w:rPr>
                <w:rFonts w:ascii="宋体" w:hAnsi="宋体"/>
                <w:sz w:val="24"/>
                <w:szCs w:val="24"/>
              </w:rPr>
            </w:pPr>
          </w:p>
        </w:tc>
        <w:tc>
          <w:tcPr>
            <w:tcW w:w="816" w:type="dxa"/>
            <w:noWrap w:val="0"/>
            <w:vAlign w:val="center"/>
          </w:tcPr>
          <w:p w14:paraId="7B27B397">
            <w:pPr>
              <w:spacing w:line="440" w:lineRule="exact"/>
              <w:rPr>
                <w:rFonts w:ascii="宋体" w:hAnsi="宋体"/>
                <w:sz w:val="24"/>
                <w:szCs w:val="24"/>
              </w:rPr>
            </w:pPr>
          </w:p>
        </w:tc>
        <w:tc>
          <w:tcPr>
            <w:tcW w:w="929" w:type="dxa"/>
            <w:noWrap w:val="0"/>
            <w:vAlign w:val="center"/>
          </w:tcPr>
          <w:p w14:paraId="7CEB6121">
            <w:pPr>
              <w:spacing w:line="440" w:lineRule="exact"/>
              <w:rPr>
                <w:rFonts w:ascii="宋体" w:hAnsi="宋体"/>
                <w:sz w:val="24"/>
                <w:szCs w:val="24"/>
              </w:rPr>
            </w:pPr>
          </w:p>
        </w:tc>
        <w:tc>
          <w:tcPr>
            <w:tcW w:w="929" w:type="dxa"/>
            <w:noWrap w:val="0"/>
            <w:vAlign w:val="center"/>
          </w:tcPr>
          <w:p w14:paraId="175AD665">
            <w:pPr>
              <w:spacing w:line="440" w:lineRule="exact"/>
              <w:rPr>
                <w:rFonts w:ascii="宋体" w:hAnsi="宋体"/>
                <w:sz w:val="24"/>
                <w:szCs w:val="24"/>
              </w:rPr>
            </w:pPr>
          </w:p>
        </w:tc>
        <w:tc>
          <w:tcPr>
            <w:tcW w:w="929" w:type="dxa"/>
            <w:noWrap w:val="0"/>
            <w:vAlign w:val="center"/>
          </w:tcPr>
          <w:p w14:paraId="4CDC2CE3">
            <w:pPr>
              <w:spacing w:line="440" w:lineRule="exact"/>
              <w:rPr>
                <w:rFonts w:ascii="宋体" w:hAnsi="宋体"/>
                <w:sz w:val="24"/>
                <w:szCs w:val="24"/>
              </w:rPr>
            </w:pPr>
          </w:p>
        </w:tc>
      </w:tr>
      <w:tr w14:paraId="68965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6B688F2B">
            <w:pPr>
              <w:spacing w:line="440" w:lineRule="exact"/>
              <w:rPr>
                <w:rFonts w:ascii="宋体" w:hAnsi="宋体"/>
                <w:sz w:val="24"/>
                <w:szCs w:val="24"/>
              </w:rPr>
            </w:pPr>
          </w:p>
        </w:tc>
        <w:tc>
          <w:tcPr>
            <w:tcW w:w="1536" w:type="dxa"/>
            <w:noWrap w:val="0"/>
            <w:vAlign w:val="center"/>
          </w:tcPr>
          <w:p w14:paraId="296209E6">
            <w:pPr>
              <w:spacing w:line="440" w:lineRule="exact"/>
              <w:rPr>
                <w:rFonts w:ascii="宋体" w:hAnsi="宋体"/>
                <w:sz w:val="24"/>
                <w:szCs w:val="24"/>
              </w:rPr>
            </w:pPr>
          </w:p>
        </w:tc>
        <w:tc>
          <w:tcPr>
            <w:tcW w:w="1359" w:type="dxa"/>
            <w:noWrap w:val="0"/>
            <w:vAlign w:val="center"/>
          </w:tcPr>
          <w:p w14:paraId="47A65EFB">
            <w:pPr>
              <w:spacing w:line="440" w:lineRule="exact"/>
              <w:rPr>
                <w:rFonts w:ascii="宋体" w:hAnsi="宋体"/>
                <w:sz w:val="24"/>
                <w:szCs w:val="24"/>
              </w:rPr>
            </w:pPr>
          </w:p>
        </w:tc>
        <w:tc>
          <w:tcPr>
            <w:tcW w:w="790" w:type="dxa"/>
            <w:noWrap w:val="0"/>
            <w:vAlign w:val="center"/>
          </w:tcPr>
          <w:p w14:paraId="00507FF5">
            <w:pPr>
              <w:spacing w:line="440" w:lineRule="exact"/>
              <w:rPr>
                <w:rFonts w:ascii="宋体" w:hAnsi="宋体"/>
                <w:sz w:val="24"/>
                <w:szCs w:val="24"/>
              </w:rPr>
            </w:pPr>
          </w:p>
        </w:tc>
        <w:tc>
          <w:tcPr>
            <w:tcW w:w="930" w:type="dxa"/>
            <w:noWrap w:val="0"/>
            <w:vAlign w:val="center"/>
          </w:tcPr>
          <w:p w14:paraId="70C545F7">
            <w:pPr>
              <w:spacing w:line="440" w:lineRule="exact"/>
              <w:rPr>
                <w:rFonts w:ascii="宋体" w:hAnsi="宋体"/>
                <w:sz w:val="24"/>
                <w:szCs w:val="24"/>
              </w:rPr>
            </w:pPr>
          </w:p>
        </w:tc>
        <w:tc>
          <w:tcPr>
            <w:tcW w:w="1042" w:type="dxa"/>
            <w:noWrap w:val="0"/>
            <w:vAlign w:val="center"/>
          </w:tcPr>
          <w:p w14:paraId="23D25349">
            <w:pPr>
              <w:spacing w:line="440" w:lineRule="exact"/>
              <w:rPr>
                <w:rFonts w:ascii="宋体" w:hAnsi="宋体"/>
                <w:sz w:val="24"/>
                <w:szCs w:val="24"/>
              </w:rPr>
            </w:pPr>
          </w:p>
        </w:tc>
        <w:tc>
          <w:tcPr>
            <w:tcW w:w="816" w:type="dxa"/>
            <w:noWrap w:val="0"/>
            <w:vAlign w:val="center"/>
          </w:tcPr>
          <w:p w14:paraId="0AB8CB7D">
            <w:pPr>
              <w:spacing w:line="440" w:lineRule="exact"/>
              <w:rPr>
                <w:rFonts w:ascii="宋体" w:hAnsi="宋体"/>
                <w:sz w:val="24"/>
                <w:szCs w:val="24"/>
              </w:rPr>
            </w:pPr>
          </w:p>
        </w:tc>
        <w:tc>
          <w:tcPr>
            <w:tcW w:w="929" w:type="dxa"/>
            <w:noWrap w:val="0"/>
            <w:vAlign w:val="center"/>
          </w:tcPr>
          <w:p w14:paraId="780C3566">
            <w:pPr>
              <w:spacing w:line="440" w:lineRule="exact"/>
              <w:rPr>
                <w:rFonts w:ascii="宋体" w:hAnsi="宋体"/>
                <w:sz w:val="24"/>
                <w:szCs w:val="24"/>
              </w:rPr>
            </w:pPr>
          </w:p>
        </w:tc>
        <w:tc>
          <w:tcPr>
            <w:tcW w:w="929" w:type="dxa"/>
            <w:noWrap w:val="0"/>
            <w:vAlign w:val="center"/>
          </w:tcPr>
          <w:p w14:paraId="2F912729">
            <w:pPr>
              <w:spacing w:line="440" w:lineRule="exact"/>
              <w:rPr>
                <w:rFonts w:ascii="宋体" w:hAnsi="宋体"/>
                <w:sz w:val="24"/>
                <w:szCs w:val="24"/>
              </w:rPr>
            </w:pPr>
          </w:p>
        </w:tc>
        <w:tc>
          <w:tcPr>
            <w:tcW w:w="929" w:type="dxa"/>
            <w:noWrap w:val="0"/>
            <w:vAlign w:val="center"/>
          </w:tcPr>
          <w:p w14:paraId="50B4A92B">
            <w:pPr>
              <w:spacing w:line="440" w:lineRule="exact"/>
              <w:rPr>
                <w:rFonts w:ascii="宋体" w:hAnsi="宋体"/>
                <w:sz w:val="24"/>
                <w:szCs w:val="24"/>
              </w:rPr>
            </w:pPr>
          </w:p>
        </w:tc>
      </w:tr>
      <w:tr w14:paraId="262EB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4476CC95">
            <w:pPr>
              <w:spacing w:line="440" w:lineRule="exact"/>
              <w:rPr>
                <w:rFonts w:ascii="宋体" w:hAnsi="宋体"/>
                <w:sz w:val="24"/>
                <w:szCs w:val="24"/>
              </w:rPr>
            </w:pPr>
          </w:p>
        </w:tc>
        <w:tc>
          <w:tcPr>
            <w:tcW w:w="1536" w:type="dxa"/>
            <w:noWrap w:val="0"/>
            <w:vAlign w:val="center"/>
          </w:tcPr>
          <w:p w14:paraId="51B980B7">
            <w:pPr>
              <w:spacing w:line="440" w:lineRule="exact"/>
              <w:rPr>
                <w:rFonts w:ascii="宋体" w:hAnsi="宋体"/>
                <w:sz w:val="24"/>
                <w:szCs w:val="24"/>
              </w:rPr>
            </w:pPr>
          </w:p>
        </w:tc>
        <w:tc>
          <w:tcPr>
            <w:tcW w:w="1359" w:type="dxa"/>
            <w:noWrap w:val="0"/>
            <w:vAlign w:val="center"/>
          </w:tcPr>
          <w:p w14:paraId="0A48955E">
            <w:pPr>
              <w:spacing w:line="440" w:lineRule="exact"/>
              <w:rPr>
                <w:rFonts w:ascii="宋体" w:hAnsi="宋体"/>
                <w:sz w:val="24"/>
                <w:szCs w:val="24"/>
              </w:rPr>
            </w:pPr>
          </w:p>
        </w:tc>
        <w:tc>
          <w:tcPr>
            <w:tcW w:w="790" w:type="dxa"/>
            <w:noWrap w:val="0"/>
            <w:vAlign w:val="center"/>
          </w:tcPr>
          <w:p w14:paraId="184F15F2">
            <w:pPr>
              <w:spacing w:line="440" w:lineRule="exact"/>
              <w:rPr>
                <w:rFonts w:ascii="宋体" w:hAnsi="宋体"/>
                <w:sz w:val="24"/>
                <w:szCs w:val="24"/>
              </w:rPr>
            </w:pPr>
          </w:p>
        </w:tc>
        <w:tc>
          <w:tcPr>
            <w:tcW w:w="930" w:type="dxa"/>
            <w:noWrap w:val="0"/>
            <w:vAlign w:val="center"/>
          </w:tcPr>
          <w:p w14:paraId="4A5B8A77">
            <w:pPr>
              <w:spacing w:line="440" w:lineRule="exact"/>
              <w:rPr>
                <w:rFonts w:ascii="宋体" w:hAnsi="宋体"/>
                <w:sz w:val="24"/>
                <w:szCs w:val="24"/>
              </w:rPr>
            </w:pPr>
          </w:p>
        </w:tc>
        <w:tc>
          <w:tcPr>
            <w:tcW w:w="1042" w:type="dxa"/>
            <w:noWrap w:val="0"/>
            <w:vAlign w:val="center"/>
          </w:tcPr>
          <w:p w14:paraId="56ACC065">
            <w:pPr>
              <w:spacing w:line="440" w:lineRule="exact"/>
              <w:rPr>
                <w:rFonts w:ascii="宋体" w:hAnsi="宋体"/>
                <w:sz w:val="24"/>
                <w:szCs w:val="24"/>
              </w:rPr>
            </w:pPr>
          </w:p>
        </w:tc>
        <w:tc>
          <w:tcPr>
            <w:tcW w:w="816" w:type="dxa"/>
            <w:noWrap w:val="0"/>
            <w:vAlign w:val="center"/>
          </w:tcPr>
          <w:p w14:paraId="0B9C2F20">
            <w:pPr>
              <w:spacing w:line="440" w:lineRule="exact"/>
              <w:rPr>
                <w:rFonts w:ascii="宋体" w:hAnsi="宋体"/>
                <w:sz w:val="24"/>
                <w:szCs w:val="24"/>
              </w:rPr>
            </w:pPr>
          </w:p>
        </w:tc>
        <w:tc>
          <w:tcPr>
            <w:tcW w:w="929" w:type="dxa"/>
            <w:noWrap w:val="0"/>
            <w:vAlign w:val="center"/>
          </w:tcPr>
          <w:p w14:paraId="547A4D30">
            <w:pPr>
              <w:spacing w:line="440" w:lineRule="exact"/>
              <w:rPr>
                <w:rFonts w:ascii="宋体" w:hAnsi="宋体"/>
                <w:sz w:val="24"/>
                <w:szCs w:val="24"/>
              </w:rPr>
            </w:pPr>
          </w:p>
        </w:tc>
        <w:tc>
          <w:tcPr>
            <w:tcW w:w="929" w:type="dxa"/>
            <w:noWrap w:val="0"/>
            <w:vAlign w:val="center"/>
          </w:tcPr>
          <w:p w14:paraId="22EBE23A">
            <w:pPr>
              <w:spacing w:line="440" w:lineRule="exact"/>
              <w:rPr>
                <w:rFonts w:ascii="宋体" w:hAnsi="宋体"/>
                <w:sz w:val="24"/>
                <w:szCs w:val="24"/>
              </w:rPr>
            </w:pPr>
          </w:p>
        </w:tc>
        <w:tc>
          <w:tcPr>
            <w:tcW w:w="929" w:type="dxa"/>
            <w:noWrap w:val="0"/>
            <w:vAlign w:val="center"/>
          </w:tcPr>
          <w:p w14:paraId="7F3ABE79">
            <w:pPr>
              <w:spacing w:line="440" w:lineRule="exact"/>
              <w:rPr>
                <w:rFonts w:ascii="宋体" w:hAnsi="宋体"/>
                <w:sz w:val="24"/>
                <w:szCs w:val="24"/>
              </w:rPr>
            </w:pPr>
          </w:p>
        </w:tc>
      </w:tr>
      <w:tr w14:paraId="3FEB6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755C08C7">
            <w:pPr>
              <w:spacing w:line="440" w:lineRule="exact"/>
              <w:rPr>
                <w:rFonts w:ascii="宋体" w:hAnsi="宋体"/>
                <w:sz w:val="24"/>
                <w:szCs w:val="24"/>
              </w:rPr>
            </w:pPr>
          </w:p>
        </w:tc>
        <w:tc>
          <w:tcPr>
            <w:tcW w:w="1536" w:type="dxa"/>
            <w:noWrap w:val="0"/>
            <w:vAlign w:val="center"/>
          </w:tcPr>
          <w:p w14:paraId="373BA448">
            <w:pPr>
              <w:spacing w:line="440" w:lineRule="exact"/>
              <w:rPr>
                <w:rFonts w:ascii="宋体" w:hAnsi="宋体"/>
                <w:sz w:val="24"/>
                <w:szCs w:val="24"/>
              </w:rPr>
            </w:pPr>
          </w:p>
        </w:tc>
        <w:tc>
          <w:tcPr>
            <w:tcW w:w="1359" w:type="dxa"/>
            <w:noWrap w:val="0"/>
            <w:vAlign w:val="center"/>
          </w:tcPr>
          <w:p w14:paraId="1B922352">
            <w:pPr>
              <w:spacing w:line="440" w:lineRule="exact"/>
              <w:rPr>
                <w:rFonts w:ascii="宋体" w:hAnsi="宋体"/>
                <w:sz w:val="24"/>
                <w:szCs w:val="24"/>
              </w:rPr>
            </w:pPr>
          </w:p>
        </w:tc>
        <w:tc>
          <w:tcPr>
            <w:tcW w:w="790" w:type="dxa"/>
            <w:noWrap w:val="0"/>
            <w:vAlign w:val="center"/>
          </w:tcPr>
          <w:p w14:paraId="332469E1">
            <w:pPr>
              <w:spacing w:line="440" w:lineRule="exact"/>
              <w:rPr>
                <w:rFonts w:ascii="宋体" w:hAnsi="宋体"/>
                <w:sz w:val="24"/>
                <w:szCs w:val="24"/>
              </w:rPr>
            </w:pPr>
          </w:p>
        </w:tc>
        <w:tc>
          <w:tcPr>
            <w:tcW w:w="930" w:type="dxa"/>
            <w:noWrap w:val="0"/>
            <w:vAlign w:val="center"/>
          </w:tcPr>
          <w:p w14:paraId="2749835D">
            <w:pPr>
              <w:spacing w:line="440" w:lineRule="exact"/>
              <w:rPr>
                <w:rFonts w:ascii="宋体" w:hAnsi="宋体"/>
                <w:sz w:val="24"/>
                <w:szCs w:val="24"/>
              </w:rPr>
            </w:pPr>
          </w:p>
        </w:tc>
        <w:tc>
          <w:tcPr>
            <w:tcW w:w="1042" w:type="dxa"/>
            <w:noWrap w:val="0"/>
            <w:vAlign w:val="center"/>
          </w:tcPr>
          <w:p w14:paraId="5EB19004">
            <w:pPr>
              <w:spacing w:line="440" w:lineRule="exact"/>
              <w:rPr>
                <w:rFonts w:ascii="宋体" w:hAnsi="宋体"/>
                <w:sz w:val="24"/>
                <w:szCs w:val="24"/>
              </w:rPr>
            </w:pPr>
          </w:p>
        </w:tc>
        <w:tc>
          <w:tcPr>
            <w:tcW w:w="816" w:type="dxa"/>
            <w:noWrap w:val="0"/>
            <w:vAlign w:val="center"/>
          </w:tcPr>
          <w:p w14:paraId="4F227A27">
            <w:pPr>
              <w:spacing w:line="440" w:lineRule="exact"/>
              <w:rPr>
                <w:rFonts w:ascii="宋体" w:hAnsi="宋体"/>
                <w:sz w:val="24"/>
                <w:szCs w:val="24"/>
              </w:rPr>
            </w:pPr>
          </w:p>
        </w:tc>
        <w:tc>
          <w:tcPr>
            <w:tcW w:w="929" w:type="dxa"/>
            <w:noWrap w:val="0"/>
            <w:vAlign w:val="center"/>
          </w:tcPr>
          <w:p w14:paraId="2B2F851D">
            <w:pPr>
              <w:spacing w:line="440" w:lineRule="exact"/>
              <w:rPr>
                <w:rFonts w:ascii="宋体" w:hAnsi="宋体"/>
                <w:sz w:val="24"/>
                <w:szCs w:val="24"/>
              </w:rPr>
            </w:pPr>
          </w:p>
        </w:tc>
        <w:tc>
          <w:tcPr>
            <w:tcW w:w="929" w:type="dxa"/>
            <w:noWrap w:val="0"/>
            <w:vAlign w:val="center"/>
          </w:tcPr>
          <w:p w14:paraId="0C4934CE">
            <w:pPr>
              <w:spacing w:line="440" w:lineRule="exact"/>
              <w:rPr>
                <w:rFonts w:ascii="宋体" w:hAnsi="宋体"/>
                <w:sz w:val="24"/>
                <w:szCs w:val="24"/>
              </w:rPr>
            </w:pPr>
          </w:p>
        </w:tc>
        <w:tc>
          <w:tcPr>
            <w:tcW w:w="929" w:type="dxa"/>
            <w:noWrap w:val="0"/>
            <w:vAlign w:val="center"/>
          </w:tcPr>
          <w:p w14:paraId="6AD45CCC">
            <w:pPr>
              <w:spacing w:line="440" w:lineRule="exact"/>
              <w:rPr>
                <w:rFonts w:ascii="宋体" w:hAnsi="宋体"/>
                <w:sz w:val="24"/>
                <w:szCs w:val="24"/>
              </w:rPr>
            </w:pPr>
          </w:p>
        </w:tc>
      </w:tr>
      <w:tr w14:paraId="21DD2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251" w:type="dxa"/>
            <w:gridSpan w:val="2"/>
            <w:noWrap w:val="0"/>
            <w:vAlign w:val="center"/>
          </w:tcPr>
          <w:p w14:paraId="258E407C">
            <w:pPr>
              <w:spacing w:line="440" w:lineRule="exact"/>
              <w:rPr>
                <w:rFonts w:ascii="宋体" w:hAnsi="宋体"/>
                <w:sz w:val="24"/>
                <w:szCs w:val="24"/>
              </w:rPr>
            </w:pPr>
            <w:r>
              <w:rPr>
                <w:rFonts w:hint="eastAsia" w:ascii="宋体" w:hAnsi="宋体"/>
                <w:sz w:val="24"/>
                <w:szCs w:val="24"/>
              </w:rPr>
              <w:t>合计金额（小写）</w:t>
            </w:r>
          </w:p>
        </w:tc>
        <w:tc>
          <w:tcPr>
            <w:tcW w:w="5866" w:type="dxa"/>
            <w:gridSpan w:val="6"/>
            <w:noWrap w:val="0"/>
            <w:vAlign w:val="center"/>
          </w:tcPr>
          <w:p w14:paraId="3A6C3B17">
            <w:pPr>
              <w:spacing w:line="440" w:lineRule="exact"/>
              <w:rPr>
                <w:rFonts w:ascii="宋体" w:hAnsi="宋体"/>
                <w:sz w:val="24"/>
                <w:szCs w:val="24"/>
              </w:rPr>
            </w:pPr>
          </w:p>
        </w:tc>
        <w:tc>
          <w:tcPr>
            <w:tcW w:w="929" w:type="dxa"/>
            <w:noWrap w:val="0"/>
            <w:vAlign w:val="center"/>
          </w:tcPr>
          <w:p w14:paraId="6BCE766A">
            <w:pPr>
              <w:spacing w:line="440" w:lineRule="exact"/>
              <w:rPr>
                <w:rFonts w:ascii="宋体" w:hAnsi="宋体"/>
                <w:sz w:val="24"/>
                <w:szCs w:val="24"/>
              </w:rPr>
            </w:pPr>
          </w:p>
        </w:tc>
        <w:tc>
          <w:tcPr>
            <w:tcW w:w="929" w:type="dxa"/>
            <w:noWrap w:val="0"/>
            <w:vAlign w:val="center"/>
          </w:tcPr>
          <w:p w14:paraId="10D9C171">
            <w:pPr>
              <w:spacing w:line="440" w:lineRule="exact"/>
              <w:rPr>
                <w:rFonts w:ascii="宋体" w:hAnsi="宋体"/>
                <w:sz w:val="24"/>
                <w:szCs w:val="24"/>
              </w:rPr>
            </w:pPr>
          </w:p>
        </w:tc>
      </w:tr>
      <w:tr w14:paraId="1043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251" w:type="dxa"/>
            <w:gridSpan w:val="2"/>
            <w:noWrap w:val="0"/>
            <w:vAlign w:val="center"/>
          </w:tcPr>
          <w:p w14:paraId="3BB7122C">
            <w:pPr>
              <w:spacing w:line="440" w:lineRule="exact"/>
              <w:rPr>
                <w:rFonts w:ascii="宋体" w:hAnsi="宋体"/>
                <w:sz w:val="24"/>
                <w:szCs w:val="24"/>
              </w:rPr>
            </w:pPr>
            <w:r>
              <w:rPr>
                <w:rFonts w:hint="eastAsia" w:ascii="宋体" w:hAnsi="宋体"/>
                <w:sz w:val="24"/>
                <w:szCs w:val="24"/>
              </w:rPr>
              <w:t>合计金额（大写）：</w:t>
            </w:r>
          </w:p>
        </w:tc>
        <w:tc>
          <w:tcPr>
            <w:tcW w:w="5866" w:type="dxa"/>
            <w:gridSpan w:val="6"/>
            <w:noWrap w:val="0"/>
            <w:vAlign w:val="center"/>
          </w:tcPr>
          <w:p w14:paraId="6EDEF337">
            <w:pPr>
              <w:spacing w:line="440" w:lineRule="exact"/>
              <w:rPr>
                <w:rFonts w:ascii="宋体" w:hAnsi="宋体"/>
                <w:sz w:val="24"/>
                <w:szCs w:val="24"/>
              </w:rPr>
            </w:pPr>
          </w:p>
        </w:tc>
        <w:tc>
          <w:tcPr>
            <w:tcW w:w="929" w:type="dxa"/>
            <w:noWrap w:val="0"/>
            <w:vAlign w:val="center"/>
          </w:tcPr>
          <w:p w14:paraId="583A6232">
            <w:pPr>
              <w:spacing w:line="440" w:lineRule="exact"/>
              <w:rPr>
                <w:rFonts w:ascii="宋体" w:hAnsi="宋体"/>
                <w:sz w:val="24"/>
                <w:szCs w:val="24"/>
              </w:rPr>
            </w:pPr>
          </w:p>
        </w:tc>
        <w:tc>
          <w:tcPr>
            <w:tcW w:w="929" w:type="dxa"/>
            <w:noWrap w:val="0"/>
            <w:vAlign w:val="center"/>
          </w:tcPr>
          <w:p w14:paraId="20A1BF08">
            <w:pPr>
              <w:spacing w:line="440" w:lineRule="exact"/>
              <w:rPr>
                <w:rFonts w:ascii="宋体" w:hAnsi="宋体"/>
                <w:sz w:val="24"/>
                <w:szCs w:val="24"/>
              </w:rPr>
            </w:pPr>
          </w:p>
        </w:tc>
      </w:tr>
      <w:tr w14:paraId="151E8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2251" w:type="dxa"/>
            <w:gridSpan w:val="2"/>
            <w:noWrap w:val="0"/>
            <w:vAlign w:val="center"/>
          </w:tcPr>
          <w:p w14:paraId="68F5CAE2">
            <w:pPr>
              <w:spacing w:line="440" w:lineRule="exact"/>
              <w:rPr>
                <w:rFonts w:hint="eastAsia" w:ascii="宋体" w:hAnsi="宋体"/>
                <w:sz w:val="24"/>
                <w:szCs w:val="24"/>
              </w:rPr>
            </w:pPr>
            <w:r>
              <w:rPr>
                <w:rFonts w:hint="eastAsia" w:ascii="宋体" w:hAnsi="宋体"/>
                <w:sz w:val="24"/>
                <w:szCs w:val="24"/>
              </w:rPr>
              <w:t>质保年限</w:t>
            </w:r>
          </w:p>
        </w:tc>
        <w:tc>
          <w:tcPr>
            <w:tcW w:w="5866" w:type="dxa"/>
            <w:gridSpan w:val="6"/>
            <w:noWrap w:val="0"/>
            <w:vAlign w:val="center"/>
          </w:tcPr>
          <w:p w14:paraId="744A6FEB">
            <w:pPr>
              <w:spacing w:line="440" w:lineRule="exact"/>
              <w:rPr>
                <w:rFonts w:ascii="宋体" w:hAnsi="宋体"/>
                <w:sz w:val="24"/>
                <w:szCs w:val="24"/>
              </w:rPr>
            </w:pPr>
          </w:p>
        </w:tc>
        <w:tc>
          <w:tcPr>
            <w:tcW w:w="929" w:type="dxa"/>
            <w:noWrap w:val="0"/>
            <w:vAlign w:val="center"/>
          </w:tcPr>
          <w:p w14:paraId="4C7364AA">
            <w:pPr>
              <w:spacing w:line="440" w:lineRule="exact"/>
              <w:rPr>
                <w:rFonts w:ascii="宋体" w:hAnsi="宋体"/>
                <w:sz w:val="24"/>
                <w:szCs w:val="24"/>
              </w:rPr>
            </w:pPr>
          </w:p>
        </w:tc>
        <w:tc>
          <w:tcPr>
            <w:tcW w:w="929" w:type="dxa"/>
            <w:noWrap w:val="0"/>
            <w:vAlign w:val="center"/>
          </w:tcPr>
          <w:p w14:paraId="60FAD0F9">
            <w:pPr>
              <w:spacing w:line="440" w:lineRule="exact"/>
              <w:rPr>
                <w:rFonts w:ascii="宋体" w:hAnsi="宋体"/>
                <w:sz w:val="24"/>
                <w:szCs w:val="24"/>
              </w:rPr>
            </w:pPr>
          </w:p>
        </w:tc>
      </w:tr>
    </w:tbl>
    <w:p w14:paraId="36DE2A76">
      <w:pPr>
        <w:rPr>
          <w:rFonts w:hint="default"/>
          <w:lang w:val="en-US" w:eastAsia="zh-CN"/>
        </w:rPr>
      </w:pPr>
    </w:p>
    <w:p w14:paraId="4F8E54D0">
      <w:pPr>
        <w:pageBreakBefore w:val="0"/>
        <w:widowControl w:val="0"/>
        <w:wordWrap/>
        <w:topLinePunct w:val="0"/>
        <w:bidi w:val="0"/>
        <w:outlineLvl w:val="1"/>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（此表可延长</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未填写的按废标处理）</w:t>
      </w:r>
    </w:p>
    <w:p w14:paraId="293E152D">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50C194CA">
      <w:pPr>
        <w:pageBreakBefore w:val="0"/>
        <w:widowControl w:val="0"/>
        <w:wordWrap/>
        <w:topLinePunct w:val="0"/>
        <w:bidi w:val="0"/>
        <w:rPr>
          <w:rFonts w:hint="eastAsia" w:ascii="宋体" w:hAnsi="宋体" w:eastAsia="宋体" w:cs="宋体"/>
          <w:b/>
          <w:bCs/>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3BAF27C0">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26FB5A6D">
      <w:pPr>
        <w:pageBreakBefore w:val="0"/>
        <w:widowControl w:val="0"/>
        <w:wordWrap/>
        <w:topLinePunct w:val="0"/>
        <w:bidi w:val="0"/>
        <w:rPr>
          <w:rFonts w:hint="eastAsia" w:ascii="宋体" w:hAnsi="宋体" w:eastAsia="宋体" w:cs="宋体"/>
          <w:b/>
          <w:color w:val="auto"/>
          <w:sz w:val="28"/>
          <w:szCs w:val="28"/>
          <w:highlight w:val="none"/>
        </w:rPr>
      </w:pPr>
    </w:p>
    <w:p w14:paraId="4EE1C3F7">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注：1、合计金额应为各分项价格之和。</w:t>
      </w:r>
    </w:p>
    <w:p w14:paraId="3AFCD0C2">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2、上述报价包含一切由供方承担的费用。</w:t>
      </w:r>
    </w:p>
    <w:p w14:paraId="22F96952">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3、请各投标人根据投标方案，在本表中详细写明所有产品型号规格、主要技术参数、数量、综合单价、总价及品牌和产地。</w:t>
      </w:r>
    </w:p>
    <w:p w14:paraId="009E1591">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4、综合单价必须包括货物、安装、调试、技术支持、运输、保险、售后服务、培训及其它必需服务的报价。</w:t>
      </w:r>
    </w:p>
    <w:p w14:paraId="4AED5AA3">
      <w:pPr>
        <w:pageBreakBefore w:val="0"/>
        <w:widowControl w:val="0"/>
        <w:wordWrap/>
        <w:topLinePunct w:val="0"/>
        <w:bidi w:val="0"/>
        <w:rPr>
          <w:rFonts w:hint="eastAsia" w:ascii="宋体" w:hAnsi="宋体" w:eastAsia="宋体" w:cs="宋体"/>
          <w:color w:val="auto"/>
          <w:highlight w:val="none"/>
        </w:rPr>
      </w:pPr>
    </w:p>
    <w:p w14:paraId="38813338">
      <w:pPr>
        <w:pStyle w:val="26"/>
        <w:rPr>
          <w:rFonts w:hint="eastAsia"/>
        </w:rPr>
      </w:pPr>
    </w:p>
    <w:p w14:paraId="647664DB">
      <w:pPr>
        <w:pStyle w:val="37"/>
        <w:pageBreakBefore w:val="0"/>
        <w:widowControl w:val="0"/>
        <w:wordWrap/>
        <w:topLinePunct w:val="0"/>
        <w:bidi w:val="0"/>
        <w:jc w:val="center"/>
        <w:rPr>
          <w:rFonts w:hint="eastAsia" w:ascii="宋体" w:hAnsi="宋体" w:eastAsia="宋体" w:cs="宋体"/>
          <w:color w:val="auto"/>
          <w:sz w:val="28"/>
          <w:szCs w:val="28"/>
          <w:highlight w:val="none"/>
          <w:bdr w:val="single" w:color="auto" w:sz="4" w:space="0"/>
        </w:rPr>
      </w:pPr>
      <w:r>
        <w:rPr>
          <w:rFonts w:hint="eastAsia" w:ascii="宋体" w:hAnsi="宋体" w:eastAsia="宋体" w:cs="宋体"/>
          <w:color w:val="auto"/>
          <w:sz w:val="28"/>
          <w:szCs w:val="28"/>
          <w:highlight w:val="none"/>
        </w:rPr>
        <w:t xml:space="preserve">                             </w:t>
      </w:r>
    </w:p>
    <w:p w14:paraId="6D98C767">
      <w:pPr>
        <w:pStyle w:val="37"/>
        <w:pageBreakBefore w:val="0"/>
        <w:widowControl w:val="0"/>
        <w:wordWrap/>
        <w:topLinePunct w:val="0"/>
        <w:bidi w:val="0"/>
        <w:jc w:val="center"/>
        <w:rPr>
          <w:rFonts w:hint="eastAsia" w:ascii="宋体" w:hAnsi="宋体" w:eastAsia="宋体" w:cs="宋体"/>
          <w:color w:val="auto"/>
          <w:sz w:val="28"/>
          <w:szCs w:val="28"/>
          <w:highlight w:val="none"/>
        </w:rPr>
      </w:pPr>
    </w:p>
    <w:p w14:paraId="0E38891D">
      <w:pPr>
        <w:pageBreakBefore w:val="0"/>
        <w:widowControl w:val="0"/>
        <w:wordWrap/>
        <w:topLinePunct w:val="0"/>
        <w:bidi w:val="0"/>
        <w:ind w:right="980"/>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bookmarkStart w:id="183" w:name="_Toc19949"/>
      <w:bookmarkStart w:id="184" w:name="_Toc13958"/>
      <w:r>
        <w:rPr>
          <w:rFonts w:hint="eastAsia" w:ascii="宋体" w:hAnsi="宋体" w:eastAsia="宋体" w:cs="宋体"/>
          <w:color w:val="auto"/>
          <w:sz w:val="28"/>
          <w:szCs w:val="28"/>
          <w:highlight w:val="none"/>
        </w:rPr>
        <w:t>（项目名称）</w:t>
      </w:r>
      <w:bookmarkEnd w:id="183"/>
      <w:bookmarkEnd w:id="184"/>
    </w:p>
    <w:p w14:paraId="1936EEDB">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0"/>
          <w:highlight w:val="none"/>
        </w:rPr>
        <w:t xml:space="preserve">             </w:t>
      </w:r>
    </w:p>
    <w:p w14:paraId="37AF7F5A">
      <w:pPr>
        <w:pageBreakBefore w:val="0"/>
        <w:widowControl w:val="0"/>
        <w:wordWrap/>
        <w:topLinePunct w:val="0"/>
        <w:bidi w:val="0"/>
        <w:ind w:firstLine="280" w:firstLineChars="10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招标文件编号： </w:t>
      </w:r>
      <w:r>
        <w:rPr>
          <w:rFonts w:hint="eastAsia" w:ascii="宋体" w:hAnsi="宋体" w:eastAsia="宋体" w:cs="宋体"/>
          <w:color w:val="auto"/>
          <w:sz w:val="28"/>
          <w:szCs w:val="28"/>
          <w:highlight w:val="none"/>
          <w:u w:val="single"/>
        </w:rPr>
        <w:t xml:space="preserve">                      </w:t>
      </w:r>
    </w:p>
    <w:p w14:paraId="3E509575">
      <w:pPr>
        <w:pageBreakBefore w:val="0"/>
        <w:widowControl w:val="0"/>
        <w:wordWrap/>
        <w:topLinePunct w:val="0"/>
        <w:bidi w:val="0"/>
        <w:rPr>
          <w:rFonts w:hint="eastAsia" w:ascii="宋体" w:hAnsi="宋体" w:eastAsia="宋体" w:cs="宋体"/>
          <w:color w:val="auto"/>
          <w:sz w:val="20"/>
          <w:highlight w:val="none"/>
        </w:rPr>
      </w:pPr>
    </w:p>
    <w:p w14:paraId="1CAD1E63">
      <w:pPr>
        <w:pageBreakBefore w:val="0"/>
        <w:widowControl w:val="0"/>
        <w:wordWrap/>
        <w:topLinePunct w:val="0"/>
        <w:bidi w:val="0"/>
        <w:rPr>
          <w:rFonts w:hint="eastAsia" w:ascii="宋体" w:hAnsi="宋体" w:eastAsia="宋体" w:cs="宋体"/>
          <w:color w:val="auto"/>
          <w:sz w:val="20"/>
          <w:highlight w:val="none"/>
        </w:rPr>
      </w:pPr>
    </w:p>
    <w:p w14:paraId="3A23E3E8">
      <w:pPr>
        <w:pageBreakBefore w:val="0"/>
        <w:widowControl w:val="0"/>
        <w:wordWrap/>
        <w:topLinePunct w:val="0"/>
        <w:bidi w:val="0"/>
        <w:rPr>
          <w:rFonts w:hint="eastAsia" w:ascii="宋体" w:hAnsi="宋体" w:eastAsia="宋体" w:cs="宋体"/>
          <w:color w:val="auto"/>
          <w:sz w:val="20"/>
          <w:highlight w:val="none"/>
        </w:rPr>
      </w:pPr>
    </w:p>
    <w:p w14:paraId="5DBDB515">
      <w:pPr>
        <w:pageBreakBefore w:val="0"/>
        <w:widowControl w:val="0"/>
        <w:wordWrap/>
        <w:topLinePunct w:val="0"/>
        <w:bidi w:val="0"/>
        <w:rPr>
          <w:rFonts w:hint="eastAsia" w:ascii="宋体" w:hAnsi="宋体" w:eastAsia="宋体" w:cs="宋体"/>
          <w:color w:val="auto"/>
          <w:sz w:val="20"/>
          <w:highlight w:val="none"/>
        </w:rPr>
      </w:pPr>
    </w:p>
    <w:p w14:paraId="5C6105B7">
      <w:pPr>
        <w:pStyle w:val="4"/>
        <w:pageBreakBefore w:val="0"/>
        <w:widowControl w:val="0"/>
        <w:wordWrap/>
        <w:topLinePunct w:val="0"/>
        <w:bidi w:val="0"/>
        <w:outlineLvl w:val="9"/>
        <w:rPr>
          <w:rFonts w:hint="eastAsia" w:ascii="宋体" w:hAnsi="宋体" w:eastAsia="宋体" w:cs="宋体"/>
          <w:color w:val="auto"/>
          <w:sz w:val="20"/>
          <w:highlight w:val="none"/>
        </w:rPr>
      </w:pPr>
    </w:p>
    <w:p w14:paraId="34563E3C">
      <w:pPr>
        <w:pageBreakBefore w:val="0"/>
        <w:widowControl w:val="0"/>
        <w:wordWrap/>
        <w:topLinePunct w:val="0"/>
        <w:bidi w:val="0"/>
        <w:rPr>
          <w:rFonts w:hint="eastAsia" w:ascii="宋体" w:hAnsi="宋体" w:eastAsia="宋体" w:cs="宋体"/>
          <w:color w:val="auto"/>
          <w:highlight w:val="none"/>
        </w:rPr>
      </w:pPr>
    </w:p>
    <w:p w14:paraId="00FF7F8B">
      <w:pPr>
        <w:pageBreakBefore w:val="0"/>
        <w:widowControl w:val="0"/>
        <w:wordWrap/>
        <w:topLinePunct w:val="0"/>
        <w:bidi w:val="0"/>
        <w:rPr>
          <w:rFonts w:hint="eastAsia" w:ascii="宋体" w:hAnsi="宋体" w:eastAsia="宋体" w:cs="宋体"/>
          <w:color w:val="auto"/>
          <w:sz w:val="20"/>
          <w:highlight w:val="none"/>
        </w:rPr>
      </w:pPr>
    </w:p>
    <w:p w14:paraId="2C600FF9">
      <w:pPr>
        <w:pageBreakBefore w:val="0"/>
        <w:widowControl w:val="0"/>
        <w:wordWrap/>
        <w:topLinePunct w:val="0"/>
        <w:bidi w:val="0"/>
        <w:rPr>
          <w:rFonts w:hint="eastAsia" w:ascii="宋体" w:hAnsi="宋体" w:eastAsia="宋体" w:cs="宋体"/>
          <w:color w:val="auto"/>
          <w:sz w:val="20"/>
          <w:highlight w:val="none"/>
        </w:rPr>
      </w:pPr>
    </w:p>
    <w:p w14:paraId="797163FF">
      <w:pPr>
        <w:pageBreakBefore w:val="0"/>
        <w:widowControl w:val="0"/>
        <w:wordWrap/>
        <w:topLinePunct w:val="0"/>
        <w:bidi w:val="0"/>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商务技术响应文件</w:t>
      </w:r>
    </w:p>
    <w:p w14:paraId="1C5355BB">
      <w:pPr>
        <w:pageBreakBefore w:val="0"/>
        <w:widowControl w:val="0"/>
        <w:wordWrap/>
        <w:topLinePunct w:val="0"/>
        <w:bidi w:val="0"/>
        <w:rPr>
          <w:rFonts w:hint="eastAsia" w:ascii="宋体" w:hAnsi="宋体" w:eastAsia="宋体" w:cs="宋体"/>
          <w:b/>
          <w:bCs/>
          <w:color w:val="auto"/>
          <w:sz w:val="28"/>
          <w:szCs w:val="28"/>
          <w:highlight w:val="none"/>
        </w:rPr>
      </w:pPr>
    </w:p>
    <w:p w14:paraId="3FA93598">
      <w:pPr>
        <w:pageBreakBefore w:val="0"/>
        <w:widowControl w:val="0"/>
        <w:wordWrap/>
        <w:topLinePunct w:val="0"/>
        <w:bidi w:val="0"/>
        <w:rPr>
          <w:rFonts w:hint="eastAsia" w:ascii="宋体" w:hAnsi="宋体" w:eastAsia="宋体" w:cs="宋体"/>
          <w:color w:val="auto"/>
          <w:highlight w:val="none"/>
        </w:rPr>
      </w:pPr>
    </w:p>
    <w:p w14:paraId="1B5182CA">
      <w:pPr>
        <w:pageBreakBefore w:val="0"/>
        <w:widowControl w:val="0"/>
        <w:wordWrap/>
        <w:topLinePunct w:val="0"/>
        <w:bidi w:val="0"/>
        <w:rPr>
          <w:rFonts w:hint="eastAsia" w:ascii="宋体" w:hAnsi="宋体" w:eastAsia="宋体" w:cs="宋体"/>
          <w:bCs/>
          <w:color w:val="auto"/>
          <w:sz w:val="30"/>
          <w:szCs w:val="30"/>
          <w:highlight w:val="none"/>
        </w:rPr>
      </w:pPr>
    </w:p>
    <w:p w14:paraId="009BE8CA">
      <w:pPr>
        <w:pageBreakBefore w:val="0"/>
        <w:widowControl w:val="0"/>
        <w:wordWrap/>
        <w:topLinePunct w:val="0"/>
        <w:bidi w:val="0"/>
        <w:rPr>
          <w:rFonts w:hint="eastAsia" w:ascii="宋体" w:hAnsi="宋体" w:eastAsia="宋体" w:cs="宋体"/>
          <w:bCs/>
          <w:color w:val="auto"/>
          <w:sz w:val="30"/>
          <w:szCs w:val="30"/>
          <w:highlight w:val="none"/>
        </w:rPr>
      </w:pPr>
    </w:p>
    <w:p w14:paraId="3EDE5F2F">
      <w:pPr>
        <w:pageBreakBefore w:val="0"/>
        <w:widowControl w:val="0"/>
        <w:wordWrap/>
        <w:topLinePunct w:val="0"/>
        <w:bidi w:val="0"/>
        <w:rPr>
          <w:rFonts w:hint="eastAsia" w:ascii="宋体" w:hAnsi="宋体" w:eastAsia="宋体" w:cs="宋体"/>
          <w:bCs/>
          <w:color w:val="auto"/>
          <w:sz w:val="30"/>
          <w:szCs w:val="30"/>
          <w:highlight w:val="none"/>
        </w:rPr>
      </w:pPr>
    </w:p>
    <w:p w14:paraId="05DA7A3F">
      <w:pPr>
        <w:pageBreakBefore w:val="0"/>
        <w:widowControl w:val="0"/>
        <w:wordWrap/>
        <w:topLinePunct w:val="0"/>
        <w:bidi w:val="0"/>
        <w:rPr>
          <w:rFonts w:hint="eastAsia" w:ascii="宋体" w:hAnsi="宋体" w:eastAsia="宋体" w:cs="宋体"/>
          <w:bCs/>
          <w:color w:val="auto"/>
          <w:sz w:val="30"/>
          <w:szCs w:val="30"/>
          <w:highlight w:val="none"/>
        </w:rPr>
      </w:pPr>
    </w:p>
    <w:p w14:paraId="4E4107A6">
      <w:pPr>
        <w:pageBreakBefore w:val="0"/>
        <w:widowControl w:val="0"/>
        <w:wordWrap/>
        <w:topLinePunct w:val="0"/>
        <w:bidi w:val="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（盖单位章）</w:t>
      </w:r>
    </w:p>
    <w:p w14:paraId="6B6660B6">
      <w:pPr>
        <w:pageBreakBefore w:val="0"/>
        <w:widowControl w:val="0"/>
        <w:wordWrap/>
        <w:topLinePunct w:val="0"/>
        <w:bidi w:val="0"/>
        <w:jc w:val="center"/>
        <w:rPr>
          <w:rFonts w:hint="eastAsia" w:ascii="宋体" w:hAnsi="宋体" w:eastAsia="宋体" w:cs="宋体"/>
          <w:color w:val="auto"/>
          <w:sz w:val="28"/>
          <w:szCs w:val="28"/>
          <w:highlight w:val="none"/>
        </w:rPr>
      </w:pPr>
    </w:p>
    <w:p w14:paraId="4E73AEB7">
      <w:pPr>
        <w:pageBreakBefore w:val="0"/>
        <w:widowControl w:val="0"/>
        <w:wordWrap/>
        <w:topLinePunct w:val="0"/>
        <w:bidi w:val="0"/>
        <w:ind w:firstLine="700" w:firstLineChars="25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签字、盖章</w:t>
      </w:r>
      <w:r>
        <w:rPr>
          <w:rFonts w:hint="eastAsia" w:ascii="宋体" w:hAnsi="宋体" w:eastAsia="宋体" w:cs="宋体"/>
          <w:color w:val="auto"/>
          <w:sz w:val="28"/>
          <w:szCs w:val="28"/>
          <w:highlight w:val="none"/>
        </w:rPr>
        <w:t>）</w:t>
      </w:r>
    </w:p>
    <w:p w14:paraId="0F57C2D3">
      <w:pPr>
        <w:pageBreakBefore w:val="0"/>
        <w:widowControl w:val="0"/>
        <w:wordWrap/>
        <w:topLinePunct w:val="0"/>
        <w:bidi w:val="0"/>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CF3B6B4">
      <w:pPr>
        <w:pageBreakBefore w:val="0"/>
        <w:widowControl w:val="0"/>
        <w:wordWrap/>
        <w:topLinePunct w:val="0"/>
        <w:bidi w:val="0"/>
        <w:jc w:val="center"/>
        <w:rPr>
          <w:rFonts w:hint="eastAsia" w:ascii="宋体" w:hAnsi="宋体" w:eastAsia="宋体" w:cs="宋体"/>
          <w:color w:val="auto"/>
          <w:highlight w:val="none"/>
        </w:rPr>
      </w:pPr>
    </w:p>
    <w:p w14:paraId="3219D543">
      <w:pPr>
        <w:pageBreakBefore w:val="0"/>
        <w:widowControl w:val="0"/>
        <w:wordWrap/>
        <w:topLinePunct w:val="0"/>
        <w:bidi w:val="0"/>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bookmarkStart w:id="185" w:name="_Toc28079"/>
      <w:bookmarkStart w:id="186" w:name="_Toc27439"/>
      <w:r>
        <w:rPr>
          <w:rFonts w:hint="eastAsia" w:ascii="宋体" w:hAnsi="宋体" w:eastAsia="宋体" w:cs="宋体"/>
          <w:color w:val="auto"/>
          <w:sz w:val="28"/>
          <w:szCs w:val="28"/>
          <w:highlight w:val="none"/>
        </w:rPr>
        <w:t>年        月        日</w:t>
      </w:r>
      <w:bookmarkEnd w:id="185"/>
      <w:bookmarkEnd w:id="186"/>
    </w:p>
    <w:p w14:paraId="739A07C8">
      <w:pPr>
        <w:pStyle w:val="37"/>
        <w:pageBreakBefore w:val="0"/>
        <w:widowControl w:val="0"/>
        <w:wordWrap/>
        <w:topLinePunct w:val="0"/>
        <w:bidi w:val="0"/>
        <w:rPr>
          <w:rFonts w:hint="eastAsia" w:ascii="宋体" w:hAnsi="宋体" w:eastAsia="宋体" w:cs="宋体"/>
          <w:color w:val="auto"/>
          <w:highlight w:val="none"/>
        </w:rPr>
      </w:pPr>
    </w:p>
    <w:p w14:paraId="602EA71B">
      <w:pPr>
        <w:pStyle w:val="37"/>
        <w:pageBreakBefore w:val="0"/>
        <w:widowControl w:val="0"/>
        <w:wordWrap/>
        <w:topLinePunct w:val="0"/>
        <w:bidi w:val="0"/>
        <w:rPr>
          <w:rFonts w:hint="eastAsia" w:ascii="宋体" w:hAnsi="宋体" w:eastAsia="宋体" w:cs="宋体"/>
          <w:color w:val="auto"/>
          <w:highlight w:val="none"/>
        </w:rPr>
      </w:pPr>
    </w:p>
    <w:p w14:paraId="084AD6EA">
      <w:pPr>
        <w:pStyle w:val="37"/>
        <w:pageBreakBefore w:val="0"/>
        <w:widowControl w:val="0"/>
        <w:wordWrap/>
        <w:topLinePunct w:val="0"/>
        <w:bidi w:val="0"/>
        <w:rPr>
          <w:rFonts w:hint="eastAsia" w:ascii="宋体" w:hAnsi="宋体" w:eastAsia="宋体" w:cs="宋体"/>
          <w:color w:val="auto"/>
          <w:highlight w:val="none"/>
        </w:rPr>
      </w:pPr>
    </w:p>
    <w:p w14:paraId="0819D9E2">
      <w:pPr>
        <w:pStyle w:val="37"/>
        <w:pageBreakBefore w:val="0"/>
        <w:widowControl w:val="0"/>
        <w:wordWrap/>
        <w:topLinePunct w:val="0"/>
        <w:bidi w:val="0"/>
        <w:rPr>
          <w:rFonts w:hint="eastAsia" w:ascii="宋体" w:hAnsi="宋体" w:eastAsia="宋体" w:cs="宋体"/>
          <w:color w:val="auto"/>
          <w:highlight w:val="none"/>
        </w:rPr>
      </w:pPr>
    </w:p>
    <w:p w14:paraId="706A7322">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46F77957">
      <w:pPr>
        <w:pStyle w:val="37"/>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目</w:t>
      </w:r>
      <w:r>
        <w:rPr>
          <w:rFonts w:hint="eastAsia" w:ascii="宋体" w:hAnsi="宋体" w:eastAsia="宋体" w:cs="宋体"/>
          <w:b/>
          <w:bCs/>
          <w:color w:val="auto"/>
          <w:sz w:val="28"/>
          <w:szCs w:val="28"/>
          <w:highlight w:val="none"/>
          <w:lang w:val="en-US" w:eastAsia="zh-CN"/>
        </w:rPr>
        <w:t xml:space="preserve">    </w:t>
      </w:r>
      <w:r>
        <w:rPr>
          <w:rFonts w:hint="eastAsia" w:ascii="宋体" w:hAnsi="宋体" w:eastAsia="宋体" w:cs="宋体"/>
          <w:b/>
          <w:bCs/>
          <w:color w:val="auto"/>
          <w:sz w:val="28"/>
          <w:szCs w:val="28"/>
          <w:highlight w:val="none"/>
        </w:rPr>
        <w:t>录</w:t>
      </w:r>
    </w:p>
    <w:p w14:paraId="6F30DCDB">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1、投标书；</w:t>
      </w:r>
    </w:p>
    <w:p w14:paraId="5621EC2D">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2、报价一览表（报价一览表需按招标文件提供的格式填写，统一规范，不得自行增减内容）；</w:t>
      </w:r>
    </w:p>
    <w:p w14:paraId="51DF4969">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3、报价明细表；</w:t>
      </w:r>
    </w:p>
    <w:p w14:paraId="5DBD7C2D">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4、投标方的资格声明；</w:t>
      </w:r>
    </w:p>
    <w:p w14:paraId="18371759">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5、投标单位简介；</w:t>
      </w:r>
    </w:p>
    <w:p w14:paraId="4233384B">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6、法人营业执照函（格式见附件）；</w:t>
      </w:r>
    </w:p>
    <w:p w14:paraId="57F3BE06">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7、法定代表人证明书（格式见附件）；</w:t>
      </w:r>
    </w:p>
    <w:p w14:paraId="456AC7D3">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8、法定代表人授权委托书（格式见附件）；</w:t>
      </w:r>
    </w:p>
    <w:p w14:paraId="604E4B49">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9、投标保证金缴纳凭证及基本账户证明或保函（如是保函，还需提供由基本账户转账支付凭证及基本账户证明）；</w:t>
      </w:r>
    </w:p>
    <w:p w14:paraId="5D6F5183">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10、开户银行资信证明(如有）；</w:t>
      </w:r>
    </w:p>
    <w:p w14:paraId="45587A31">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11、投标人为制造商的，提供《医疗器械生产许可证》；投标人为经销商的，投标货物若属于三类医疗器械，须提供《医疗器械经营企业许可证》，投标货物若属于二类医疗器械，提供《</w:t>
      </w:r>
      <w:r>
        <w:rPr>
          <w:rFonts w:hint="eastAsia" w:ascii="宋体" w:hAnsi="宋体" w:cs="宋体"/>
          <w:color w:val="auto"/>
          <w:sz w:val="28"/>
          <w:szCs w:val="28"/>
          <w:highlight w:val="none"/>
          <w:lang w:val="en-US" w:eastAsia="zh-CN"/>
        </w:rPr>
        <w:t>第</w:t>
      </w:r>
      <w:r>
        <w:rPr>
          <w:rFonts w:hint="eastAsia" w:ascii="宋体" w:hAnsi="宋体" w:eastAsia="宋体" w:cs="宋体"/>
          <w:color w:val="auto"/>
          <w:sz w:val="28"/>
          <w:szCs w:val="28"/>
          <w:highlight w:val="none"/>
          <w:lang w:val="en-US" w:eastAsia="zh-CN"/>
        </w:rPr>
        <w:t>二类医疗器械经营备案凭证》，投标货物若属于一类医疗器械，则无须提供此项；投标产品须在其经营范围内，所有证件必须在有效期内；</w:t>
      </w:r>
    </w:p>
    <w:p w14:paraId="5CAC203C">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12、投标货物属于《医疗器械监督管理条例》规定的第一类医疗器械产品应提供《第一类医疗器械备案凭证》，属于第二类、第三类医疗器械产品应取得《医疗器械注册证》(如有注册登记表应提供)，所有证件必须在有效期内；</w:t>
      </w:r>
    </w:p>
    <w:p w14:paraId="6894C044">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13、</w:t>
      </w:r>
      <w:r>
        <w:rPr>
          <w:rFonts w:hint="eastAsia" w:ascii="宋体" w:hAnsi="宋体" w:cs="宋体"/>
          <w:color w:val="auto"/>
          <w:sz w:val="28"/>
          <w:szCs w:val="28"/>
          <w:highlight w:val="none"/>
          <w:lang w:val="en-US" w:eastAsia="zh-CN"/>
        </w:rPr>
        <w:t>2023年度或2024年度</w:t>
      </w:r>
      <w:r>
        <w:rPr>
          <w:rFonts w:hint="eastAsia" w:ascii="宋体" w:hAnsi="宋体" w:eastAsia="宋体" w:cs="宋体"/>
          <w:color w:val="auto"/>
          <w:sz w:val="28"/>
          <w:szCs w:val="28"/>
          <w:highlight w:val="none"/>
          <w:lang w:val="en-US" w:eastAsia="zh-CN"/>
        </w:rPr>
        <w:t>第三方审计机构出具的审计报告（</w:t>
      </w:r>
      <w:r>
        <w:rPr>
          <w:rFonts w:hint="eastAsia" w:ascii="宋体" w:hAnsi="宋体" w:cs="宋体"/>
          <w:color w:val="auto"/>
          <w:sz w:val="28"/>
          <w:szCs w:val="28"/>
          <w:highlight w:val="none"/>
          <w:lang w:val="en-US" w:eastAsia="zh-CN"/>
        </w:rPr>
        <w:t>2024年4月</w:t>
      </w:r>
      <w:r>
        <w:rPr>
          <w:rFonts w:hint="eastAsia" w:ascii="宋体" w:hAnsi="宋体" w:eastAsia="宋体" w:cs="宋体"/>
          <w:color w:val="auto"/>
          <w:sz w:val="28"/>
          <w:szCs w:val="28"/>
          <w:highlight w:val="none"/>
          <w:lang w:val="en-US" w:eastAsia="zh-CN"/>
        </w:rPr>
        <w:t>份后新成立的公司可不提供但需提供银行出具的近三个月的资信证明）和健全的财务会计制度；</w:t>
      </w:r>
    </w:p>
    <w:p w14:paraId="7D747EB3">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14、提供税务机关出具的近3个月的完税证明或依法报税资料（新成立不足3个月的按实际情况发生提供，成立时间超过3个月的零申报的需提供依法报税资料）；</w:t>
      </w:r>
    </w:p>
    <w:p w14:paraId="2DC8E5D9">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15、网站截图；</w:t>
      </w:r>
    </w:p>
    <w:p w14:paraId="3F569A26">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16、近三年类似项目情况表；</w:t>
      </w:r>
    </w:p>
    <w:p w14:paraId="56188C8D">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17、售后服务承诺书；</w:t>
      </w:r>
    </w:p>
    <w:p w14:paraId="6525E707">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18、商务条款偏离表；</w:t>
      </w:r>
    </w:p>
    <w:p w14:paraId="7E908CA4">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19、质量保证措施；</w:t>
      </w:r>
    </w:p>
    <w:p w14:paraId="6ED6C3DB">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20、投标单位（供应商）反商业贿赂承诺书；</w:t>
      </w:r>
    </w:p>
    <w:p w14:paraId="56681A03">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21、项目负责人简历表及拟投入本项目主要成员表</w:t>
      </w:r>
    </w:p>
    <w:p w14:paraId="4D33A2C4">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22、投标人企业信誉证明文件；</w:t>
      </w:r>
    </w:p>
    <w:p w14:paraId="0ABFB45F">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23、资格认证证书；</w:t>
      </w:r>
    </w:p>
    <w:p w14:paraId="01430445">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24、投标企业认为有必要提供的声明及文件资料（投标人按招标文件要求自行编制，包含但不限于企业内部管理制度、履约经验、进度安排、研究方案及对项目的认知等）。</w:t>
      </w:r>
    </w:p>
    <w:p w14:paraId="3A56CC1B">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25、技术参数、功能偏离表；</w:t>
      </w:r>
    </w:p>
    <w:p w14:paraId="2DD20CA1">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26、中小企业声明函（如是）；</w:t>
      </w:r>
    </w:p>
    <w:p w14:paraId="5E3C84DD">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27、节能、环保产品证明（如有）</w:t>
      </w:r>
    </w:p>
    <w:p w14:paraId="1A782D3C">
      <w:pPr>
        <w:pStyle w:val="37"/>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28、残疾人福利性单位声明函（如有）</w:t>
      </w:r>
    </w:p>
    <w:p w14:paraId="3634F381">
      <w:pPr>
        <w:pageBreakBefore w:val="0"/>
        <w:widowControl w:val="0"/>
        <w:wordWrap/>
        <w:topLinePunct w:val="0"/>
        <w:bidi w:val="0"/>
        <w:jc w:val="center"/>
        <w:outlineLvl w:val="0"/>
        <w:rPr>
          <w:rFonts w:hint="eastAsia" w:ascii="宋体" w:hAnsi="宋体" w:eastAsia="宋体" w:cs="宋体"/>
          <w:b/>
          <w:color w:val="auto"/>
          <w:sz w:val="28"/>
          <w:szCs w:val="28"/>
          <w:highlight w:val="none"/>
          <w:lang w:eastAsia="zh-CN"/>
        </w:rPr>
      </w:pPr>
      <w:bookmarkStart w:id="187" w:name="_Toc27224"/>
      <w:bookmarkStart w:id="188" w:name="_Toc24771"/>
      <w:r>
        <w:rPr>
          <w:rFonts w:hint="eastAsia" w:ascii="宋体" w:hAnsi="宋体" w:eastAsia="宋体" w:cs="宋体"/>
          <w:color w:val="auto"/>
          <w:sz w:val="28"/>
          <w:szCs w:val="28"/>
          <w:highlight w:val="none"/>
        </w:rPr>
        <w:t>1、</w:t>
      </w:r>
      <w:r>
        <w:rPr>
          <w:rFonts w:hint="eastAsia" w:ascii="宋体" w:hAnsi="宋体" w:eastAsia="宋体" w:cs="宋体"/>
          <w:b/>
          <w:color w:val="auto"/>
          <w:sz w:val="28"/>
          <w:szCs w:val="28"/>
          <w:highlight w:val="none"/>
        </w:rPr>
        <w:t xml:space="preserve">投   标   </w:t>
      </w:r>
      <w:bookmarkEnd w:id="187"/>
      <w:bookmarkEnd w:id="188"/>
      <w:r>
        <w:rPr>
          <w:rFonts w:hint="eastAsia" w:ascii="宋体" w:hAnsi="宋体" w:eastAsia="宋体" w:cs="宋体"/>
          <w:b/>
          <w:color w:val="auto"/>
          <w:sz w:val="28"/>
          <w:szCs w:val="28"/>
          <w:highlight w:val="none"/>
          <w:lang w:val="en-US" w:eastAsia="zh-CN"/>
        </w:rPr>
        <w:t>书</w:t>
      </w:r>
    </w:p>
    <w:p w14:paraId="185570E8">
      <w:pPr>
        <w:pageBreakBefore w:val="0"/>
        <w:widowControl w:val="0"/>
        <w:wordWrap/>
        <w:topLinePunct w:val="0"/>
        <w:bidi w:val="0"/>
        <w:spacing w:line="240" w:lineRule="auto"/>
        <w:ind w:firstLine="280" w:firstLineChars="1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5432BDD7">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我们收到你们的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号招标文件，经认真研究，我们决定参加投标。</w:t>
      </w:r>
    </w:p>
    <w:p w14:paraId="746ADE3F">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1、按照招标文件中的一切要求，提供招标货物的供应、运输和相关服务。总价格¥：人民币</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万元（用</w:t>
      </w:r>
      <w:r>
        <w:rPr>
          <w:rFonts w:hint="eastAsia" w:ascii="宋体" w:hAnsi="宋体" w:cs="宋体"/>
          <w:color w:val="auto"/>
          <w:sz w:val="28"/>
          <w:szCs w:val="28"/>
          <w:highlight w:val="none"/>
          <w:lang w:val="en-US" w:eastAsia="zh-CN"/>
        </w:rPr>
        <w:t>小写</w:t>
      </w:r>
      <w:r>
        <w:rPr>
          <w:rFonts w:hint="eastAsia" w:ascii="宋体" w:hAnsi="宋体" w:eastAsia="宋体" w:cs="宋体"/>
          <w:color w:val="auto"/>
          <w:sz w:val="28"/>
          <w:szCs w:val="28"/>
          <w:highlight w:val="none"/>
        </w:rPr>
        <w:t>数字书写），明细见投标报价表。</w:t>
      </w:r>
    </w:p>
    <w:p w14:paraId="1D986FB8">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2、如果我们的投标书被接受，我们将履行招标文件中规定的每一项义务和要求，按期、按质、按量完成交货。</w:t>
      </w:r>
    </w:p>
    <w:p w14:paraId="01131AE8">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3、我们同意按招标文件的规定，本投标书的有效期为开标后。</w:t>
      </w:r>
    </w:p>
    <w:p w14:paraId="4F9F5E89">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4、我们愿意提供招标人在招标文件中要求的所有资料。</w:t>
      </w:r>
    </w:p>
    <w:p w14:paraId="2C5BB70F">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5、我们认为你们有选择或拒绝任何投标者中标的权力。我们理解，最低报价不是中标的唯一条件。</w:t>
      </w:r>
    </w:p>
    <w:p w14:paraId="09556F5A">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6、我们愿按合同法履行自己的全部责任。</w:t>
      </w:r>
    </w:p>
    <w:p w14:paraId="0F9729D2">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7、我们愿意遵守国家有关规定和招标文件中规定的收费标准，承付招标代理服务费。</w:t>
      </w:r>
    </w:p>
    <w:p w14:paraId="4BA8EE3C">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8、该项投标在开标后的全过程中保持有效，不作任何更改和变动。</w:t>
      </w:r>
    </w:p>
    <w:p w14:paraId="10464309">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9、我们同意按招标文件规定，交纳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元的投标保证金。</w:t>
      </w:r>
    </w:p>
    <w:p w14:paraId="2D06F288">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10、其它说明。</w:t>
      </w:r>
    </w:p>
    <w:p w14:paraId="55BBA518">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11、所有有关本标书的函电，请按下列地址联系：</w:t>
      </w:r>
    </w:p>
    <w:p w14:paraId="252C4FF4">
      <w:pPr>
        <w:pageBreakBefore w:val="0"/>
        <w:widowControl w:val="0"/>
        <w:wordWrap/>
        <w:topLinePunct w:val="0"/>
        <w:bidi w:val="0"/>
        <w:spacing w:line="24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投标单位： </w:t>
      </w:r>
      <w:r>
        <w:rPr>
          <w:rFonts w:hint="eastAsia" w:ascii="宋体" w:hAnsi="宋体" w:eastAsia="宋体" w:cs="宋体"/>
          <w:color w:val="auto"/>
          <w:sz w:val="28"/>
          <w:szCs w:val="28"/>
          <w:highlight w:val="none"/>
          <w:u w:val="single"/>
        </w:rPr>
        <w:t xml:space="preserve">                       （公章）   </w:t>
      </w:r>
    </w:p>
    <w:p w14:paraId="533D9735">
      <w:pPr>
        <w:pageBreakBefore w:val="0"/>
        <w:widowControl w:val="0"/>
        <w:wordWrap/>
        <w:topLinePunct w:val="0"/>
        <w:bidi w:val="0"/>
        <w:spacing w:line="24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法定代表人或授权代表人（签字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rPr>
        <w:t>盖章）：</w:t>
      </w:r>
      <w:r>
        <w:rPr>
          <w:rFonts w:hint="eastAsia" w:ascii="宋体" w:hAnsi="宋体" w:eastAsia="宋体" w:cs="宋体"/>
          <w:color w:val="auto"/>
          <w:sz w:val="28"/>
          <w:szCs w:val="28"/>
          <w:highlight w:val="none"/>
          <w:u w:val="single"/>
        </w:rPr>
        <w:t xml:space="preserve">             </w:t>
      </w:r>
    </w:p>
    <w:p w14:paraId="5797637B">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地址：</w:t>
      </w:r>
    </w:p>
    <w:p w14:paraId="701AEB1C">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电话：</w:t>
      </w:r>
    </w:p>
    <w:p w14:paraId="7CD2446E">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传真：</w:t>
      </w:r>
    </w:p>
    <w:p w14:paraId="121212BA">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邮政编码：</w:t>
      </w:r>
    </w:p>
    <w:p w14:paraId="2672240C">
      <w:pPr>
        <w:pageBreakBefore w:val="0"/>
        <w:widowControl w:val="0"/>
        <w:wordWrap/>
        <w:topLinePunct w:val="0"/>
        <w:bidi w:val="0"/>
        <w:spacing w:line="24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联系人：</w:t>
      </w:r>
    </w:p>
    <w:p w14:paraId="54FB308B">
      <w:pPr>
        <w:pageBreakBefore w:val="0"/>
        <w:widowControl w:val="0"/>
        <w:wordWrap/>
        <w:topLinePunct w:val="0"/>
        <w:bidi w:val="0"/>
        <w:spacing w:line="300" w:lineRule="exact"/>
        <w:ind w:firstLine="5600" w:firstLineChars="2000"/>
        <w:rPr>
          <w:rFonts w:hint="eastAsia" w:ascii="宋体" w:hAnsi="宋体" w:eastAsia="宋体" w:cs="宋体"/>
          <w:color w:val="auto"/>
          <w:sz w:val="28"/>
          <w:szCs w:val="28"/>
          <w:highlight w:val="none"/>
        </w:rPr>
      </w:pPr>
    </w:p>
    <w:p w14:paraId="17B0A80F">
      <w:pPr>
        <w:pageBreakBefore w:val="0"/>
        <w:widowControl w:val="0"/>
        <w:wordWrap/>
        <w:topLinePunct w:val="0"/>
        <w:bidi w:val="0"/>
        <w:spacing w:line="300" w:lineRule="exact"/>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年  月  日</w:t>
      </w:r>
    </w:p>
    <w:p w14:paraId="12D20AEF">
      <w:pPr>
        <w:pageBreakBefore w:val="0"/>
        <w:widowControl w:val="0"/>
        <w:wordWrap/>
        <w:topLinePunct w:val="0"/>
        <w:bidi w:val="0"/>
        <w:rPr>
          <w:rFonts w:hint="eastAsia" w:ascii="宋体" w:hAnsi="宋体" w:eastAsia="宋体" w:cs="宋体"/>
          <w:b/>
          <w:color w:val="auto"/>
          <w:sz w:val="28"/>
          <w:szCs w:val="28"/>
          <w:highlight w:val="none"/>
        </w:rPr>
      </w:pPr>
    </w:p>
    <w:p w14:paraId="50DAD397">
      <w:pPr>
        <w:pageBreakBefore w:val="0"/>
        <w:widowControl w:val="0"/>
        <w:wordWrap/>
        <w:topLinePunct w:val="0"/>
        <w:bidi w:val="0"/>
        <w:rPr>
          <w:rFonts w:hint="eastAsia" w:ascii="宋体" w:hAnsi="宋体" w:eastAsia="宋体" w:cs="宋体"/>
          <w:b/>
          <w:color w:val="auto"/>
          <w:sz w:val="28"/>
          <w:szCs w:val="28"/>
          <w:highlight w:val="none"/>
        </w:rPr>
      </w:pPr>
    </w:p>
    <w:p w14:paraId="61833F22">
      <w:pPr>
        <w:pageBreakBefore w:val="0"/>
        <w:widowControl w:val="0"/>
        <w:wordWrap/>
        <w:topLinePunct w:val="0"/>
        <w:bidi w:val="0"/>
        <w:jc w:val="center"/>
        <w:rPr>
          <w:rFonts w:hint="eastAsia" w:ascii="宋体" w:hAnsi="宋体" w:eastAsia="宋体" w:cs="宋体"/>
          <w:b/>
          <w:color w:val="auto"/>
          <w:sz w:val="28"/>
          <w:szCs w:val="28"/>
          <w:highlight w:val="none"/>
        </w:rPr>
      </w:pPr>
    </w:p>
    <w:p w14:paraId="65ABBAB8">
      <w:pPr>
        <w:pStyle w:val="21"/>
        <w:pageBreakBefore w:val="0"/>
        <w:widowControl w:val="0"/>
        <w:wordWrap/>
        <w:topLinePunct w:val="0"/>
        <w:bidi w:val="0"/>
        <w:rPr>
          <w:rFonts w:hint="eastAsia" w:ascii="宋体" w:hAnsi="宋体" w:eastAsia="宋体" w:cs="宋体"/>
          <w:color w:val="auto"/>
          <w:highlight w:val="none"/>
        </w:rPr>
      </w:pPr>
    </w:p>
    <w:p w14:paraId="71648791">
      <w:pPr>
        <w:pageBreakBefore w:val="0"/>
        <w:widowControl w:val="0"/>
        <w:wordWrap/>
        <w:topLinePunct w:val="0"/>
        <w:bidi w:val="0"/>
        <w:jc w:val="center"/>
        <w:rPr>
          <w:rFonts w:hint="eastAsia" w:ascii="宋体" w:hAnsi="宋体" w:eastAsia="宋体" w:cs="宋体"/>
          <w:b/>
          <w:color w:val="auto"/>
          <w:sz w:val="28"/>
          <w:szCs w:val="28"/>
          <w:highlight w:val="none"/>
        </w:rPr>
      </w:pPr>
    </w:p>
    <w:p w14:paraId="2D40A266">
      <w:pPr>
        <w:pStyle w:val="21"/>
        <w:pageBreakBefore w:val="0"/>
        <w:widowControl w:val="0"/>
        <w:wordWrap/>
        <w:topLinePunct w:val="0"/>
        <w:bidi w:val="0"/>
        <w:rPr>
          <w:rFonts w:hint="eastAsia" w:ascii="宋体" w:hAnsi="宋体" w:eastAsia="宋体" w:cs="宋体"/>
          <w:color w:val="auto"/>
          <w:highlight w:val="none"/>
        </w:rPr>
      </w:pPr>
    </w:p>
    <w:p w14:paraId="6E5122C8">
      <w:pPr>
        <w:pageBreakBefore w:val="0"/>
        <w:widowControl w:val="0"/>
        <w:wordWrap/>
        <w:topLinePunct w:val="0"/>
        <w:bidi w:val="0"/>
        <w:jc w:val="center"/>
        <w:outlineLvl w:val="0"/>
        <w:rPr>
          <w:rFonts w:hint="eastAsia" w:ascii="宋体" w:hAnsi="宋体" w:eastAsia="宋体" w:cs="宋体"/>
          <w:b/>
          <w:color w:val="auto"/>
          <w:sz w:val="28"/>
          <w:szCs w:val="28"/>
          <w:highlight w:val="none"/>
        </w:rPr>
      </w:pPr>
      <w:bookmarkStart w:id="189" w:name="_Toc30184"/>
      <w:bookmarkStart w:id="190" w:name="_Toc6942"/>
      <w:r>
        <w:rPr>
          <w:rFonts w:hint="eastAsia" w:ascii="宋体" w:hAnsi="宋体" w:eastAsia="宋体" w:cs="宋体"/>
          <w:b/>
          <w:color w:val="auto"/>
          <w:sz w:val="28"/>
          <w:szCs w:val="28"/>
          <w:highlight w:val="none"/>
        </w:rPr>
        <w:t>2、</w:t>
      </w:r>
      <w:r>
        <w:rPr>
          <w:rFonts w:hint="eastAsia" w:ascii="宋体" w:hAnsi="宋体" w:eastAsia="宋体" w:cs="宋体"/>
          <w:b/>
          <w:color w:val="auto"/>
          <w:sz w:val="28"/>
          <w:szCs w:val="28"/>
          <w:highlight w:val="none"/>
          <w:lang w:val="en-US" w:eastAsia="zh-CN"/>
        </w:rPr>
        <w:t>报价一览表</w:t>
      </w:r>
      <w:bookmarkEnd w:id="189"/>
      <w:bookmarkEnd w:id="190"/>
    </w:p>
    <w:p w14:paraId="0F892600">
      <w:pPr>
        <w:pageBreakBefore w:val="0"/>
        <w:widowControl w:val="0"/>
        <w:wordWrap/>
        <w:topLinePunct w:val="0"/>
        <w:bidi w:val="0"/>
        <w:adjustRightInd w:val="0"/>
        <w:snapToGrid w:val="0"/>
        <w:spacing w:line="360" w:lineRule="auto"/>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项目名称</w:t>
      </w:r>
      <w:r>
        <w:rPr>
          <w:rFonts w:hint="eastAsia" w:ascii="宋体" w:hAnsi="宋体" w:eastAsia="宋体" w:cs="宋体"/>
          <w:b w:val="0"/>
          <w:bCs/>
          <w:color w:val="auto"/>
          <w:sz w:val="28"/>
          <w:szCs w:val="28"/>
          <w:highlight w:val="none"/>
          <w:lang w:val="en-US" w:eastAsia="zh-CN"/>
        </w:rPr>
        <w:t>/标项</w:t>
      </w:r>
      <w:r>
        <w:rPr>
          <w:rFonts w:hint="eastAsia" w:ascii="宋体" w:hAnsi="宋体" w:eastAsia="宋体" w:cs="宋体"/>
          <w:b w:val="0"/>
          <w:bCs/>
          <w:color w:val="auto"/>
          <w:sz w:val="28"/>
          <w:szCs w:val="28"/>
          <w:highlight w:val="none"/>
        </w:rPr>
        <w:t>：</w:t>
      </w:r>
    </w:p>
    <w:p w14:paraId="138B35E4">
      <w:pPr>
        <w:pageBreakBefore w:val="0"/>
        <w:widowControl w:val="0"/>
        <w:wordWrap/>
        <w:topLinePunct w:val="0"/>
        <w:bidi w:val="0"/>
        <w:adjustRightInd w:val="0"/>
        <w:snapToGrid w:val="0"/>
        <w:spacing w:line="360" w:lineRule="auto"/>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项目编号：</w:t>
      </w:r>
    </w:p>
    <w:tbl>
      <w:tblPr>
        <w:tblStyle w:val="22"/>
        <w:tblW w:w="95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04"/>
        <w:gridCol w:w="2520"/>
        <w:gridCol w:w="4668"/>
        <w:gridCol w:w="1299"/>
      </w:tblGrid>
      <w:tr w14:paraId="5E4C58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1104" w:type="dxa"/>
            <w:tcBorders>
              <w:top w:val="single" w:color="auto" w:sz="4" w:space="0"/>
              <w:left w:val="single" w:color="auto" w:sz="4" w:space="0"/>
              <w:right w:val="single" w:color="auto" w:sz="4" w:space="0"/>
            </w:tcBorders>
            <w:noWrap w:val="0"/>
            <w:vAlign w:val="center"/>
          </w:tcPr>
          <w:p w14:paraId="44AC3D73">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序号</w:t>
            </w:r>
          </w:p>
        </w:tc>
        <w:tc>
          <w:tcPr>
            <w:tcW w:w="7188" w:type="dxa"/>
            <w:gridSpan w:val="2"/>
            <w:tcBorders>
              <w:top w:val="single" w:color="auto" w:sz="4" w:space="0"/>
              <w:left w:val="single" w:color="auto" w:sz="4" w:space="0"/>
              <w:right w:val="single" w:color="auto" w:sz="4" w:space="0"/>
            </w:tcBorders>
            <w:noWrap w:val="0"/>
            <w:vAlign w:val="center"/>
          </w:tcPr>
          <w:p w14:paraId="65AE8568">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内容</w:t>
            </w:r>
          </w:p>
        </w:tc>
        <w:tc>
          <w:tcPr>
            <w:tcW w:w="1299" w:type="dxa"/>
            <w:tcBorders>
              <w:top w:val="single" w:color="auto" w:sz="4" w:space="0"/>
              <w:left w:val="single" w:color="auto" w:sz="4" w:space="0"/>
              <w:right w:val="single" w:color="auto" w:sz="4" w:space="0"/>
            </w:tcBorders>
            <w:noWrap w:val="0"/>
            <w:vAlign w:val="center"/>
          </w:tcPr>
          <w:p w14:paraId="006D7DE6">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备注</w:t>
            </w:r>
          </w:p>
        </w:tc>
      </w:tr>
      <w:tr w14:paraId="24715B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104" w:type="dxa"/>
            <w:tcBorders>
              <w:top w:val="single" w:color="auto" w:sz="4" w:space="0"/>
              <w:left w:val="single" w:color="auto" w:sz="4" w:space="0"/>
              <w:right w:val="single" w:color="auto" w:sz="4" w:space="0"/>
            </w:tcBorders>
            <w:noWrap w:val="0"/>
            <w:vAlign w:val="center"/>
          </w:tcPr>
          <w:p w14:paraId="603357CD">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1</w:t>
            </w:r>
          </w:p>
        </w:tc>
        <w:tc>
          <w:tcPr>
            <w:tcW w:w="2520" w:type="dxa"/>
            <w:tcBorders>
              <w:top w:val="single" w:color="auto" w:sz="4" w:space="0"/>
              <w:left w:val="single" w:color="auto" w:sz="4" w:space="0"/>
              <w:right w:val="single" w:color="auto" w:sz="4" w:space="0"/>
            </w:tcBorders>
            <w:noWrap w:val="0"/>
            <w:vAlign w:val="center"/>
          </w:tcPr>
          <w:p w14:paraId="52F7A1B3">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投标人名称</w:t>
            </w:r>
          </w:p>
        </w:tc>
        <w:tc>
          <w:tcPr>
            <w:tcW w:w="4668" w:type="dxa"/>
            <w:tcBorders>
              <w:top w:val="single" w:color="auto" w:sz="4" w:space="0"/>
              <w:left w:val="single" w:color="auto" w:sz="4" w:space="0"/>
              <w:right w:val="single" w:color="auto" w:sz="4" w:space="0"/>
            </w:tcBorders>
            <w:noWrap w:val="0"/>
            <w:vAlign w:val="center"/>
          </w:tcPr>
          <w:p w14:paraId="7638C00F">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c>
          <w:tcPr>
            <w:tcW w:w="1299" w:type="dxa"/>
            <w:tcBorders>
              <w:top w:val="single" w:color="auto" w:sz="4" w:space="0"/>
              <w:left w:val="single" w:color="auto" w:sz="4" w:space="0"/>
              <w:right w:val="single" w:color="auto" w:sz="4" w:space="0"/>
            </w:tcBorders>
            <w:noWrap w:val="0"/>
            <w:vAlign w:val="center"/>
          </w:tcPr>
          <w:p w14:paraId="555B92F9">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p>
        </w:tc>
      </w:tr>
      <w:tr w14:paraId="674E93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4" w:hRule="atLeast"/>
          <w:jc w:val="center"/>
        </w:trPr>
        <w:tc>
          <w:tcPr>
            <w:tcW w:w="1104" w:type="dxa"/>
            <w:tcBorders>
              <w:top w:val="single" w:color="auto" w:sz="4" w:space="0"/>
              <w:left w:val="single" w:color="auto" w:sz="4" w:space="0"/>
              <w:right w:val="single" w:color="auto" w:sz="4" w:space="0"/>
            </w:tcBorders>
            <w:noWrap w:val="0"/>
            <w:vAlign w:val="center"/>
          </w:tcPr>
          <w:p w14:paraId="77E68DF6">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2</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6821C2B0">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报价总价</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71C27C5F">
            <w:pPr>
              <w:pageBreakBefore w:val="0"/>
              <w:widowControl w:val="0"/>
              <w:wordWrap/>
              <w:topLinePunct w:val="0"/>
              <w:bidi w:val="0"/>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大写：           元</w:t>
            </w:r>
          </w:p>
          <w:p w14:paraId="7271A8DF">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小写：           元</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1F78AD86">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r>
      <w:tr w14:paraId="1F7E1A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104" w:type="dxa"/>
            <w:tcBorders>
              <w:top w:val="single" w:color="auto" w:sz="4" w:space="0"/>
              <w:left w:val="single" w:color="auto" w:sz="4" w:space="0"/>
              <w:bottom w:val="single" w:color="auto" w:sz="4" w:space="0"/>
              <w:right w:val="single" w:color="auto" w:sz="4" w:space="0"/>
            </w:tcBorders>
            <w:noWrap w:val="0"/>
            <w:vAlign w:val="center"/>
          </w:tcPr>
          <w:p w14:paraId="44886798">
            <w:pPr>
              <w:pageBreakBefore w:val="0"/>
              <w:widowControl w:val="0"/>
              <w:wordWrap/>
              <w:topLinePunct w:val="0"/>
              <w:bidi w:val="0"/>
              <w:snapToGrid w:val="0"/>
              <w:spacing w:line="400" w:lineRule="exact"/>
              <w:jc w:val="center"/>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3</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601FFE7F">
            <w:pPr>
              <w:pageBreakBefore w:val="0"/>
              <w:widowControl w:val="0"/>
              <w:wordWrap/>
              <w:topLinePunct w:val="0"/>
              <w:bidi w:val="0"/>
              <w:snapToGrid w:val="0"/>
              <w:spacing w:line="400" w:lineRule="exact"/>
              <w:rPr>
                <w:rFonts w:hint="default" w:ascii="宋体" w:hAnsi="宋体" w:eastAsia="宋体" w:cs="宋体"/>
                <w:b w:val="0"/>
                <w:bCs/>
                <w:color w:val="auto"/>
                <w:sz w:val="28"/>
                <w:szCs w:val="28"/>
                <w:highlight w:val="none"/>
                <w:u w:val="single"/>
                <w:lang w:val="en-US"/>
              </w:rPr>
            </w:pPr>
            <w:r>
              <w:rPr>
                <w:rFonts w:hint="eastAsia" w:ascii="宋体" w:hAnsi="宋体" w:eastAsia="宋体" w:cs="宋体"/>
                <w:b w:val="0"/>
                <w:bCs/>
                <w:color w:val="auto"/>
                <w:sz w:val="28"/>
                <w:szCs w:val="28"/>
                <w:highlight w:val="none"/>
                <w:lang w:val="en-US" w:eastAsia="zh-CN"/>
              </w:rPr>
              <w:t>供货期</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7EE021F3">
            <w:pPr>
              <w:pageBreakBefore w:val="0"/>
              <w:widowControl w:val="0"/>
              <w:wordWrap/>
              <w:topLinePunct w:val="0"/>
              <w:bidi w:val="0"/>
              <w:snapToGrid w:val="0"/>
              <w:spacing w:line="400" w:lineRule="exact"/>
              <w:ind w:left="2559"/>
              <w:rPr>
                <w:rFonts w:hint="eastAsia" w:ascii="宋体" w:hAnsi="宋体" w:eastAsia="宋体" w:cs="宋体"/>
                <w:b w:val="0"/>
                <w:bCs/>
                <w:color w:val="auto"/>
                <w:sz w:val="28"/>
                <w:szCs w:val="28"/>
                <w:highlight w:val="none"/>
                <w:u w:val="singl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2E1EB5A8">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u w:val="single"/>
              </w:rPr>
            </w:pPr>
          </w:p>
        </w:tc>
      </w:tr>
      <w:tr w14:paraId="15464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104" w:type="dxa"/>
            <w:tcBorders>
              <w:top w:val="single" w:color="auto" w:sz="4" w:space="0"/>
              <w:left w:val="single" w:color="auto" w:sz="4" w:space="0"/>
              <w:bottom w:val="single" w:color="auto" w:sz="4" w:space="0"/>
              <w:right w:val="single" w:color="auto" w:sz="4" w:space="0"/>
            </w:tcBorders>
            <w:noWrap w:val="0"/>
            <w:vAlign w:val="center"/>
          </w:tcPr>
          <w:p w14:paraId="0267A1B0">
            <w:pPr>
              <w:pageBreakBefore w:val="0"/>
              <w:widowControl w:val="0"/>
              <w:wordWrap/>
              <w:topLinePunct w:val="0"/>
              <w:bidi w:val="0"/>
              <w:snapToGrid w:val="0"/>
              <w:spacing w:line="400" w:lineRule="exact"/>
              <w:jc w:val="center"/>
              <w:rPr>
                <w:rFonts w:hint="default"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4</w:t>
            </w:r>
          </w:p>
        </w:tc>
        <w:tc>
          <w:tcPr>
            <w:tcW w:w="2520" w:type="dxa"/>
            <w:tcBorders>
              <w:top w:val="single" w:color="auto" w:sz="4" w:space="0"/>
              <w:left w:val="single" w:color="auto" w:sz="4" w:space="0"/>
              <w:bottom w:val="single" w:color="auto" w:sz="4" w:space="0"/>
              <w:right w:val="single" w:color="auto" w:sz="4" w:space="0"/>
            </w:tcBorders>
            <w:noWrap w:val="0"/>
            <w:vAlign w:val="center"/>
          </w:tcPr>
          <w:p w14:paraId="358A66A1">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其他事项申明</w:t>
            </w:r>
          </w:p>
        </w:tc>
        <w:tc>
          <w:tcPr>
            <w:tcW w:w="4668" w:type="dxa"/>
            <w:tcBorders>
              <w:top w:val="single" w:color="auto" w:sz="4" w:space="0"/>
              <w:left w:val="single" w:color="auto" w:sz="4" w:space="0"/>
              <w:bottom w:val="single" w:color="auto" w:sz="4" w:space="0"/>
              <w:right w:val="single" w:color="auto" w:sz="4" w:space="0"/>
            </w:tcBorders>
            <w:noWrap w:val="0"/>
            <w:vAlign w:val="top"/>
          </w:tcPr>
          <w:p w14:paraId="64E9D5B4">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30CBD5AF">
            <w:pPr>
              <w:pageBreakBefore w:val="0"/>
              <w:widowControl w:val="0"/>
              <w:wordWrap/>
              <w:topLinePunct w:val="0"/>
              <w:bidi w:val="0"/>
              <w:snapToGrid w:val="0"/>
              <w:spacing w:line="400" w:lineRule="exact"/>
              <w:rPr>
                <w:rFonts w:hint="eastAsia" w:ascii="宋体" w:hAnsi="宋体" w:eastAsia="宋体" w:cs="宋体"/>
                <w:b w:val="0"/>
                <w:bCs/>
                <w:color w:val="auto"/>
                <w:sz w:val="28"/>
                <w:szCs w:val="28"/>
                <w:highlight w:val="none"/>
              </w:rPr>
            </w:pPr>
          </w:p>
        </w:tc>
      </w:tr>
    </w:tbl>
    <w:p w14:paraId="1AC2D958">
      <w:pPr>
        <w:pageBreakBefore w:val="0"/>
        <w:widowControl w:val="0"/>
        <w:wordWrap/>
        <w:topLinePunct w:val="0"/>
        <w:bidi w:val="0"/>
        <w:adjustRightInd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b w:val="0"/>
          <w:bCs/>
          <w:color w:val="auto"/>
          <w:sz w:val="28"/>
          <w:szCs w:val="28"/>
          <w:highlight w:val="none"/>
        </w:rPr>
        <w:t>注:</w:t>
      </w:r>
    </w:p>
    <w:p w14:paraId="2AC5434A">
      <w:pPr>
        <w:pageBreakBefore w:val="0"/>
        <w:widowControl w:val="0"/>
        <w:numPr>
          <w:ilvl w:val="0"/>
          <w:numId w:val="6"/>
        </w:numPr>
        <w:wordWrap/>
        <w:topLinePunct w:val="0"/>
        <w:bidi w:val="0"/>
        <w:adjustRightInd w:val="0"/>
        <w:snapToGrid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报价如修改，应在修改处加盖单位公章或者由法定代表人或授权委托人</w:t>
      </w:r>
      <w:r>
        <w:rPr>
          <w:rFonts w:hint="eastAsia" w:ascii="宋体" w:hAnsi="宋体" w:eastAsia="宋体" w:cs="宋体"/>
          <w:color w:val="auto"/>
          <w:sz w:val="28"/>
          <w:szCs w:val="28"/>
          <w:highlight w:val="none"/>
          <w:lang w:eastAsia="zh-CN"/>
        </w:rPr>
        <w:t>签字、盖章</w:t>
      </w:r>
      <w:r>
        <w:rPr>
          <w:rFonts w:hint="eastAsia" w:ascii="宋体" w:hAnsi="宋体" w:eastAsia="宋体" w:cs="宋体"/>
          <w:color w:val="auto"/>
          <w:sz w:val="28"/>
          <w:szCs w:val="28"/>
          <w:highlight w:val="none"/>
        </w:rPr>
        <w:t>，否则其</w:t>
      </w:r>
      <w:r>
        <w:rPr>
          <w:rFonts w:hint="eastAsia" w:ascii="宋体" w:hAnsi="宋体" w:eastAsia="宋体" w:cs="宋体"/>
          <w:color w:val="auto"/>
          <w:sz w:val="28"/>
          <w:szCs w:val="28"/>
          <w:highlight w:val="none"/>
          <w:lang w:eastAsia="zh-CN"/>
        </w:rPr>
        <w:t>投标文件</w:t>
      </w:r>
      <w:r>
        <w:rPr>
          <w:rFonts w:hint="eastAsia" w:ascii="宋体" w:hAnsi="宋体" w:eastAsia="宋体" w:cs="宋体"/>
          <w:color w:val="auto"/>
          <w:sz w:val="28"/>
          <w:szCs w:val="28"/>
          <w:highlight w:val="none"/>
        </w:rPr>
        <w:t>作无效标处理。</w:t>
      </w:r>
    </w:p>
    <w:p w14:paraId="7CF8A977">
      <w:pPr>
        <w:pageBreakBefore w:val="0"/>
        <w:widowControl w:val="0"/>
        <w:numPr>
          <w:ilvl w:val="0"/>
          <w:numId w:val="6"/>
        </w:numPr>
        <w:wordWrap/>
        <w:topLinePunct w:val="0"/>
        <w:bidi w:val="0"/>
        <w:adjustRightInd w:val="0"/>
        <w:snapToGrid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此表需单独提供一份</w:t>
      </w:r>
      <w:r>
        <w:rPr>
          <w:rFonts w:hint="eastAsia" w:ascii="宋体" w:hAnsi="宋体" w:eastAsia="宋体" w:cs="宋体"/>
          <w:color w:val="auto"/>
          <w:sz w:val="28"/>
          <w:szCs w:val="28"/>
          <w:highlight w:val="none"/>
          <w:lang w:eastAsia="zh-CN"/>
        </w:rPr>
        <w:t>，</w:t>
      </w:r>
      <w:r>
        <w:rPr>
          <w:rFonts w:hint="eastAsia" w:ascii="宋体" w:hAnsi="宋体" w:eastAsia="宋体" w:cs="宋体"/>
          <w:color w:val="0000FF"/>
          <w:sz w:val="28"/>
          <w:szCs w:val="28"/>
          <w:highlight w:val="none"/>
        </w:rPr>
        <w:t>报价一览表需按招标文件提供的格式填写，统一规范，不得自行增减内容</w:t>
      </w:r>
      <w:r>
        <w:rPr>
          <w:rFonts w:hint="eastAsia" w:ascii="宋体" w:hAnsi="宋体" w:eastAsia="宋体" w:cs="宋体"/>
          <w:color w:val="0000FF"/>
          <w:sz w:val="28"/>
          <w:szCs w:val="28"/>
          <w:highlight w:val="none"/>
          <w:lang w:eastAsia="zh-CN"/>
        </w:rPr>
        <w:t>。</w:t>
      </w:r>
    </w:p>
    <w:p w14:paraId="24B05C07">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w:t>
      </w:r>
    </w:p>
    <w:p w14:paraId="161CBD43">
      <w:pPr>
        <w:pageBreakBefore w:val="0"/>
        <w:widowControl w:val="0"/>
        <w:wordWrap/>
        <w:topLinePunct w:val="0"/>
        <w:bidi w:val="0"/>
        <w:rPr>
          <w:rFonts w:hint="eastAsia" w:ascii="宋体" w:hAnsi="宋体" w:eastAsia="宋体" w:cs="宋体"/>
          <w:b/>
          <w:bCs/>
          <w:color w:val="auto"/>
          <w:sz w:val="28"/>
          <w:szCs w:val="28"/>
          <w:highlight w:val="none"/>
        </w:rPr>
      </w:pPr>
      <w:r>
        <w:rPr>
          <w:rFonts w:hint="eastAsia" w:ascii="宋体" w:hAnsi="宋体" w:eastAsia="宋体" w:cs="宋体"/>
          <w:color w:val="auto"/>
          <w:sz w:val="28"/>
          <w:szCs w:val="28"/>
          <w:highlight w:val="none"/>
        </w:rPr>
        <w:t xml:space="preserve"> 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395AB182">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08B5BE45">
      <w:pPr>
        <w:pageBreakBefore w:val="0"/>
        <w:widowControl w:val="0"/>
        <w:wordWrap/>
        <w:topLinePunct w:val="0"/>
        <w:bidi w:val="0"/>
        <w:rPr>
          <w:rFonts w:hint="eastAsia" w:ascii="宋体" w:hAnsi="宋体" w:eastAsia="宋体" w:cs="宋体"/>
          <w:color w:val="auto"/>
          <w:sz w:val="28"/>
          <w:szCs w:val="28"/>
          <w:highlight w:val="none"/>
        </w:rPr>
      </w:pPr>
    </w:p>
    <w:p w14:paraId="4062DF11">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日期：   年   月   日</w:t>
      </w:r>
    </w:p>
    <w:p w14:paraId="440BF52D">
      <w:pPr>
        <w:pageBreakBefore w:val="0"/>
        <w:widowControl w:val="0"/>
        <w:wordWrap/>
        <w:topLinePunct w:val="0"/>
        <w:bidi w:val="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3、报价明细表</w:t>
      </w:r>
    </w:p>
    <w:p w14:paraId="348AE55B">
      <w:pPr>
        <w:pageBreakBefore w:val="0"/>
        <w:widowControl w:val="0"/>
        <w:wordWrap/>
        <w:topLinePunct w:val="0"/>
        <w:bidi w:val="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项目名称/标项</w:t>
      </w:r>
      <w:r>
        <w:rPr>
          <w:rFonts w:hint="eastAsia" w:ascii="宋体" w:hAnsi="宋体" w:eastAsia="宋体" w:cs="宋体"/>
          <w:b w:val="0"/>
          <w:bCs/>
          <w:color w:val="auto"/>
          <w:sz w:val="28"/>
          <w:szCs w:val="28"/>
          <w:highlight w:val="none"/>
        </w:rPr>
        <w:t>：</w:t>
      </w:r>
    </w:p>
    <w:p w14:paraId="1F4EF8CE">
      <w:pPr>
        <w:pStyle w:val="4"/>
        <w:pageBreakBefore w:val="0"/>
        <w:widowControl w:val="0"/>
        <w:wordWrap/>
        <w:topLinePunct w:val="0"/>
        <w:bidi w:val="0"/>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项目编号：</w:t>
      </w:r>
    </w:p>
    <w:tbl>
      <w:tblPr>
        <w:tblStyle w:val="22"/>
        <w:tblW w:w="99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536"/>
        <w:gridCol w:w="1359"/>
        <w:gridCol w:w="790"/>
        <w:gridCol w:w="930"/>
        <w:gridCol w:w="1042"/>
        <w:gridCol w:w="816"/>
        <w:gridCol w:w="929"/>
        <w:gridCol w:w="929"/>
        <w:gridCol w:w="929"/>
      </w:tblGrid>
      <w:tr w14:paraId="35A45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715" w:type="dxa"/>
            <w:noWrap w:val="0"/>
            <w:vAlign w:val="center"/>
          </w:tcPr>
          <w:p w14:paraId="1029ECBA">
            <w:pPr>
              <w:spacing w:line="440" w:lineRule="exact"/>
              <w:jc w:val="center"/>
              <w:rPr>
                <w:rFonts w:ascii="宋体" w:hAnsi="宋体"/>
                <w:sz w:val="24"/>
                <w:szCs w:val="24"/>
              </w:rPr>
            </w:pPr>
            <w:r>
              <w:rPr>
                <w:rFonts w:hint="eastAsia" w:ascii="宋体" w:hAnsi="宋体"/>
                <w:sz w:val="24"/>
                <w:szCs w:val="24"/>
              </w:rPr>
              <w:t>序号</w:t>
            </w:r>
          </w:p>
        </w:tc>
        <w:tc>
          <w:tcPr>
            <w:tcW w:w="1536" w:type="dxa"/>
            <w:noWrap w:val="0"/>
            <w:vAlign w:val="center"/>
          </w:tcPr>
          <w:p w14:paraId="08ED6615">
            <w:pPr>
              <w:spacing w:line="440" w:lineRule="exact"/>
              <w:jc w:val="center"/>
              <w:rPr>
                <w:rFonts w:ascii="宋体" w:hAnsi="宋体"/>
                <w:sz w:val="24"/>
                <w:szCs w:val="24"/>
              </w:rPr>
            </w:pPr>
            <w:r>
              <w:rPr>
                <w:rFonts w:hint="eastAsia" w:ascii="宋体" w:hAnsi="宋体"/>
                <w:sz w:val="24"/>
                <w:szCs w:val="24"/>
                <w:lang w:val="en-US" w:eastAsia="zh-CN"/>
              </w:rPr>
              <w:t>货物</w:t>
            </w:r>
            <w:r>
              <w:rPr>
                <w:rFonts w:hint="eastAsia" w:ascii="宋体" w:hAnsi="宋体"/>
                <w:sz w:val="24"/>
                <w:szCs w:val="24"/>
              </w:rPr>
              <w:t>名称</w:t>
            </w:r>
          </w:p>
        </w:tc>
        <w:tc>
          <w:tcPr>
            <w:tcW w:w="1359" w:type="dxa"/>
            <w:noWrap w:val="0"/>
            <w:vAlign w:val="center"/>
          </w:tcPr>
          <w:p w14:paraId="38A7B9A9">
            <w:pPr>
              <w:spacing w:line="440" w:lineRule="exact"/>
              <w:jc w:val="center"/>
              <w:rPr>
                <w:rFonts w:ascii="宋体" w:hAnsi="宋体"/>
                <w:sz w:val="24"/>
                <w:szCs w:val="24"/>
              </w:rPr>
            </w:pPr>
            <w:r>
              <w:rPr>
                <w:rFonts w:hint="eastAsia" w:ascii="宋体" w:hAnsi="宋体"/>
                <w:sz w:val="24"/>
                <w:szCs w:val="24"/>
              </w:rPr>
              <w:t>规格及型号</w:t>
            </w:r>
          </w:p>
        </w:tc>
        <w:tc>
          <w:tcPr>
            <w:tcW w:w="790" w:type="dxa"/>
            <w:noWrap w:val="0"/>
            <w:vAlign w:val="center"/>
          </w:tcPr>
          <w:p w14:paraId="449D99D9">
            <w:pPr>
              <w:spacing w:line="440" w:lineRule="exact"/>
              <w:jc w:val="center"/>
              <w:rPr>
                <w:rFonts w:ascii="宋体" w:hAnsi="宋体"/>
                <w:sz w:val="24"/>
                <w:szCs w:val="24"/>
              </w:rPr>
            </w:pPr>
            <w:r>
              <w:rPr>
                <w:rFonts w:hint="eastAsia" w:ascii="宋体" w:hAnsi="宋体"/>
                <w:sz w:val="24"/>
                <w:szCs w:val="24"/>
              </w:rPr>
              <w:t>单位</w:t>
            </w:r>
          </w:p>
        </w:tc>
        <w:tc>
          <w:tcPr>
            <w:tcW w:w="930" w:type="dxa"/>
            <w:noWrap w:val="0"/>
            <w:vAlign w:val="center"/>
          </w:tcPr>
          <w:p w14:paraId="3ACBCFD3">
            <w:pPr>
              <w:spacing w:line="440" w:lineRule="exact"/>
              <w:jc w:val="center"/>
              <w:rPr>
                <w:rFonts w:ascii="宋体" w:hAnsi="宋体"/>
                <w:sz w:val="24"/>
                <w:szCs w:val="24"/>
              </w:rPr>
            </w:pPr>
            <w:r>
              <w:rPr>
                <w:rFonts w:hint="eastAsia" w:ascii="宋体" w:hAnsi="宋体"/>
                <w:sz w:val="24"/>
                <w:szCs w:val="24"/>
              </w:rPr>
              <w:t>数量</w:t>
            </w:r>
          </w:p>
        </w:tc>
        <w:tc>
          <w:tcPr>
            <w:tcW w:w="1042" w:type="dxa"/>
            <w:noWrap w:val="0"/>
            <w:vAlign w:val="center"/>
          </w:tcPr>
          <w:p w14:paraId="512642D0">
            <w:pPr>
              <w:spacing w:line="440" w:lineRule="exact"/>
              <w:jc w:val="center"/>
              <w:rPr>
                <w:rFonts w:ascii="宋体" w:hAnsi="宋体"/>
                <w:sz w:val="24"/>
                <w:szCs w:val="24"/>
              </w:rPr>
            </w:pPr>
            <w:r>
              <w:rPr>
                <w:rFonts w:hint="eastAsia" w:ascii="宋体" w:hAnsi="宋体"/>
                <w:sz w:val="24"/>
                <w:szCs w:val="24"/>
              </w:rPr>
              <w:t>综合单价（元）</w:t>
            </w:r>
          </w:p>
        </w:tc>
        <w:tc>
          <w:tcPr>
            <w:tcW w:w="816" w:type="dxa"/>
            <w:noWrap w:val="0"/>
            <w:vAlign w:val="center"/>
          </w:tcPr>
          <w:p w14:paraId="2342FAEE">
            <w:pPr>
              <w:spacing w:line="440" w:lineRule="exact"/>
              <w:jc w:val="center"/>
              <w:rPr>
                <w:rFonts w:ascii="宋体" w:hAnsi="宋体"/>
                <w:sz w:val="24"/>
                <w:szCs w:val="24"/>
              </w:rPr>
            </w:pPr>
            <w:r>
              <w:rPr>
                <w:rFonts w:hint="eastAsia" w:ascii="宋体" w:hAnsi="宋体"/>
                <w:sz w:val="24"/>
                <w:szCs w:val="24"/>
              </w:rPr>
              <w:t>总价（元）</w:t>
            </w:r>
          </w:p>
        </w:tc>
        <w:tc>
          <w:tcPr>
            <w:tcW w:w="929" w:type="dxa"/>
            <w:noWrap w:val="0"/>
            <w:vAlign w:val="center"/>
          </w:tcPr>
          <w:p w14:paraId="1EAD3CBD">
            <w:pPr>
              <w:spacing w:line="440" w:lineRule="exact"/>
              <w:jc w:val="center"/>
              <w:rPr>
                <w:rFonts w:ascii="宋体" w:hAnsi="宋体"/>
                <w:sz w:val="24"/>
                <w:szCs w:val="24"/>
              </w:rPr>
            </w:pPr>
            <w:r>
              <w:rPr>
                <w:rFonts w:hint="eastAsia" w:ascii="宋体" w:hAnsi="宋体"/>
                <w:sz w:val="24"/>
                <w:szCs w:val="24"/>
              </w:rPr>
              <w:t>品牌及</w:t>
            </w:r>
          </w:p>
          <w:p w14:paraId="4179F411">
            <w:pPr>
              <w:spacing w:line="440" w:lineRule="exact"/>
              <w:jc w:val="center"/>
              <w:rPr>
                <w:rFonts w:ascii="宋体" w:hAnsi="宋体"/>
                <w:sz w:val="24"/>
                <w:szCs w:val="24"/>
              </w:rPr>
            </w:pPr>
            <w:r>
              <w:rPr>
                <w:rFonts w:hint="eastAsia" w:ascii="宋体" w:hAnsi="宋体"/>
                <w:sz w:val="24"/>
                <w:szCs w:val="24"/>
              </w:rPr>
              <w:t>产地</w:t>
            </w:r>
          </w:p>
        </w:tc>
        <w:tc>
          <w:tcPr>
            <w:tcW w:w="929" w:type="dxa"/>
            <w:noWrap w:val="0"/>
            <w:vAlign w:val="center"/>
          </w:tcPr>
          <w:p w14:paraId="2A57B746">
            <w:pPr>
              <w:spacing w:line="440" w:lineRule="exact"/>
              <w:jc w:val="center"/>
              <w:rPr>
                <w:rFonts w:hint="default" w:ascii="宋体" w:hAnsi="宋体" w:eastAsia="宋体"/>
                <w:sz w:val="24"/>
                <w:szCs w:val="24"/>
                <w:lang w:val="en-US" w:eastAsia="zh-CN"/>
              </w:rPr>
            </w:pPr>
            <w:r>
              <w:rPr>
                <w:rFonts w:hint="eastAsia" w:ascii="宋体" w:hAnsi="宋体"/>
                <w:sz w:val="24"/>
                <w:szCs w:val="24"/>
                <w:lang w:val="en-US" w:eastAsia="zh-CN"/>
              </w:rPr>
              <w:t>制造商</w:t>
            </w:r>
          </w:p>
        </w:tc>
        <w:tc>
          <w:tcPr>
            <w:tcW w:w="929" w:type="dxa"/>
            <w:noWrap w:val="0"/>
            <w:vAlign w:val="center"/>
          </w:tcPr>
          <w:p w14:paraId="12B9B64C">
            <w:pPr>
              <w:spacing w:line="440" w:lineRule="exact"/>
              <w:jc w:val="center"/>
              <w:rPr>
                <w:rFonts w:hint="default" w:ascii="宋体" w:hAnsi="宋体"/>
                <w:sz w:val="24"/>
                <w:szCs w:val="24"/>
                <w:lang w:val="en-US" w:eastAsia="zh-CN"/>
              </w:rPr>
            </w:pPr>
            <w:r>
              <w:rPr>
                <w:rFonts w:hint="eastAsia" w:ascii="宋体" w:hAnsi="宋体"/>
                <w:sz w:val="24"/>
                <w:szCs w:val="24"/>
                <w:lang w:val="en-US" w:eastAsia="zh-CN"/>
              </w:rPr>
              <w:t>备注</w:t>
            </w:r>
          </w:p>
        </w:tc>
      </w:tr>
      <w:tr w14:paraId="3C157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6C77BF69">
            <w:pPr>
              <w:spacing w:line="440" w:lineRule="exact"/>
              <w:rPr>
                <w:rFonts w:ascii="宋体" w:hAnsi="宋体"/>
                <w:sz w:val="24"/>
                <w:szCs w:val="24"/>
              </w:rPr>
            </w:pPr>
          </w:p>
        </w:tc>
        <w:tc>
          <w:tcPr>
            <w:tcW w:w="1536" w:type="dxa"/>
            <w:noWrap w:val="0"/>
            <w:vAlign w:val="center"/>
          </w:tcPr>
          <w:p w14:paraId="46EB7AC0">
            <w:pPr>
              <w:spacing w:line="440" w:lineRule="exact"/>
              <w:rPr>
                <w:rFonts w:ascii="宋体" w:hAnsi="宋体"/>
                <w:sz w:val="24"/>
                <w:szCs w:val="24"/>
              </w:rPr>
            </w:pPr>
          </w:p>
        </w:tc>
        <w:tc>
          <w:tcPr>
            <w:tcW w:w="1359" w:type="dxa"/>
            <w:noWrap w:val="0"/>
            <w:vAlign w:val="center"/>
          </w:tcPr>
          <w:p w14:paraId="0FC5DCEA">
            <w:pPr>
              <w:spacing w:line="440" w:lineRule="exact"/>
              <w:rPr>
                <w:rFonts w:ascii="宋体" w:hAnsi="宋体"/>
                <w:sz w:val="24"/>
                <w:szCs w:val="24"/>
              </w:rPr>
            </w:pPr>
          </w:p>
        </w:tc>
        <w:tc>
          <w:tcPr>
            <w:tcW w:w="790" w:type="dxa"/>
            <w:noWrap w:val="0"/>
            <w:vAlign w:val="center"/>
          </w:tcPr>
          <w:p w14:paraId="61DE213E">
            <w:pPr>
              <w:spacing w:line="440" w:lineRule="exact"/>
              <w:rPr>
                <w:rFonts w:ascii="宋体" w:hAnsi="宋体"/>
                <w:sz w:val="24"/>
                <w:szCs w:val="24"/>
              </w:rPr>
            </w:pPr>
          </w:p>
        </w:tc>
        <w:tc>
          <w:tcPr>
            <w:tcW w:w="930" w:type="dxa"/>
            <w:noWrap w:val="0"/>
            <w:vAlign w:val="center"/>
          </w:tcPr>
          <w:p w14:paraId="3DA9AFA3">
            <w:pPr>
              <w:spacing w:line="440" w:lineRule="exact"/>
              <w:rPr>
                <w:rFonts w:ascii="宋体" w:hAnsi="宋体"/>
                <w:sz w:val="24"/>
                <w:szCs w:val="24"/>
              </w:rPr>
            </w:pPr>
          </w:p>
        </w:tc>
        <w:tc>
          <w:tcPr>
            <w:tcW w:w="1042" w:type="dxa"/>
            <w:noWrap w:val="0"/>
            <w:vAlign w:val="center"/>
          </w:tcPr>
          <w:p w14:paraId="586318BB">
            <w:pPr>
              <w:spacing w:line="440" w:lineRule="exact"/>
              <w:rPr>
                <w:rFonts w:ascii="宋体" w:hAnsi="宋体"/>
                <w:sz w:val="24"/>
                <w:szCs w:val="24"/>
              </w:rPr>
            </w:pPr>
          </w:p>
        </w:tc>
        <w:tc>
          <w:tcPr>
            <w:tcW w:w="816" w:type="dxa"/>
            <w:noWrap w:val="0"/>
            <w:vAlign w:val="center"/>
          </w:tcPr>
          <w:p w14:paraId="0C90A7AF">
            <w:pPr>
              <w:spacing w:line="440" w:lineRule="exact"/>
              <w:rPr>
                <w:rFonts w:ascii="宋体" w:hAnsi="宋体"/>
                <w:sz w:val="24"/>
                <w:szCs w:val="24"/>
              </w:rPr>
            </w:pPr>
          </w:p>
        </w:tc>
        <w:tc>
          <w:tcPr>
            <w:tcW w:w="929" w:type="dxa"/>
            <w:noWrap w:val="0"/>
            <w:vAlign w:val="center"/>
          </w:tcPr>
          <w:p w14:paraId="1B6DFF2C">
            <w:pPr>
              <w:spacing w:line="440" w:lineRule="exact"/>
              <w:rPr>
                <w:rFonts w:ascii="宋体" w:hAnsi="宋体"/>
                <w:sz w:val="24"/>
                <w:szCs w:val="24"/>
              </w:rPr>
            </w:pPr>
          </w:p>
        </w:tc>
        <w:tc>
          <w:tcPr>
            <w:tcW w:w="929" w:type="dxa"/>
            <w:noWrap w:val="0"/>
            <w:vAlign w:val="center"/>
          </w:tcPr>
          <w:p w14:paraId="4CD7557D">
            <w:pPr>
              <w:spacing w:line="440" w:lineRule="exact"/>
              <w:rPr>
                <w:rFonts w:ascii="宋体" w:hAnsi="宋体"/>
                <w:sz w:val="24"/>
                <w:szCs w:val="24"/>
              </w:rPr>
            </w:pPr>
          </w:p>
        </w:tc>
        <w:tc>
          <w:tcPr>
            <w:tcW w:w="929" w:type="dxa"/>
            <w:noWrap w:val="0"/>
            <w:vAlign w:val="center"/>
          </w:tcPr>
          <w:p w14:paraId="0CEFE47A">
            <w:pPr>
              <w:spacing w:line="440" w:lineRule="exact"/>
              <w:rPr>
                <w:rFonts w:ascii="宋体" w:hAnsi="宋体"/>
                <w:sz w:val="24"/>
                <w:szCs w:val="24"/>
              </w:rPr>
            </w:pPr>
          </w:p>
        </w:tc>
      </w:tr>
      <w:tr w14:paraId="39380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1C2EACC1">
            <w:pPr>
              <w:spacing w:line="440" w:lineRule="exact"/>
              <w:rPr>
                <w:rFonts w:ascii="宋体" w:hAnsi="宋体"/>
                <w:sz w:val="24"/>
                <w:szCs w:val="24"/>
              </w:rPr>
            </w:pPr>
          </w:p>
        </w:tc>
        <w:tc>
          <w:tcPr>
            <w:tcW w:w="1536" w:type="dxa"/>
            <w:noWrap w:val="0"/>
            <w:vAlign w:val="center"/>
          </w:tcPr>
          <w:p w14:paraId="0A4B8AD3">
            <w:pPr>
              <w:spacing w:line="440" w:lineRule="exact"/>
              <w:rPr>
                <w:rFonts w:ascii="宋体" w:hAnsi="宋体"/>
                <w:sz w:val="24"/>
                <w:szCs w:val="24"/>
              </w:rPr>
            </w:pPr>
          </w:p>
        </w:tc>
        <w:tc>
          <w:tcPr>
            <w:tcW w:w="1359" w:type="dxa"/>
            <w:noWrap w:val="0"/>
            <w:vAlign w:val="center"/>
          </w:tcPr>
          <w:p w14:paraId="2675FD51">
            <w:pPr>
              <w:spacing w:line="440" w:lineRule="exact"/>
              <w:rPr>
                <w:rFonts w:ascii="宋体" w:hAnsi="宋体"/>
                <w:sz w:val="24"/>
                <w:szCs w:val="24"/>
              </w:rPr>
            </w:pPr>
          </w:p>
        </w:tc>
        <w:tc>
          <w:tcPr>
            <w:tcW w:w="790" w:type="dxa"/>
            <w:noWrap w:val="0"/>
            <w:vAlign w:val="center"/>
          </w:tcPr>
          <w:p w14:paraId="304373A0">
            <w:pPr>
              <w:spacing w:line="440" w:lineRule="exact"/>
              <w:rPr>
                <w:rFonts w:ascii="宋体" w:hAnsi="宋体"/>
                <w:sz w:val="24"/>
                <w:szCs w:val="24"/>
              </w:rPr>
            </w:pPr>
          </w:p>
        </w:tc>
        <w:tc>
          <w:tcPr>
            <w:tcW w:w="930" w:type="dxa"/>
            <w:noWrap w:val="0"/>
            <w:vAlign w:val="center"/>
          </w:tcPr>
          <w:p w14:paraId="7CBC159A">
            <w:pPr>
              <w:spacing w:line="440" w:lineRule="exact"/>
              <w:rPr>
                <w:rFonts w:ascii="宋体" w:hAnsi="宋体"/>
                <w:sz w:val="24"/>
                <w:szCs w:val="24"/>
              </w:rPr>
            </w:pPr>
          </w:p>
        </w:tc>
        <w:tc>
          <w:tcPr>
            <w:tcW w:w="1042" w:type="dxa"/>
            <w:noWrap w:val="0"/>
            <w:vAlign w:val="center"/>
          </w:tcPr>
          <w:p w14:paraId="133B5E14">
            <w:pPr>
              <w:spacing w:line="440" w:lineRule="exact"/>
              <w:rPr>
                <w:rFonts w:ascii="宋体" w:hAnsi="宋体"/>
                <w:sz w:val="24"/>
                <w:szCs w:val="24"/>
              </w:rPr>
            </w:pPr>
          </w:p>
        </w:tc>
        <w:tc>
          <w:tcPr>
            <w:tcW w:w="816" w:type="dxa"/>
            <w:noWrap w:val="0"/>
            <w:vAlign w:val="center"/>
          </w:tcPr>
          <w:p w14:paraId="47E51F31">
            <w:pPr>
              <w:spacing w:line="440" w:lineRule="exact"/>
              <w:rPr>
                <w:rFonts w:ascii="宋体" w:hAnsi="宋体"/>
                <w:sz w:val="24"/>
                <w:szCs w:val="24"/>
              </w:rPr>
            </w:pPr>
          </w:p>
        </w:tc>
        <w:tc>
          <w:tcPr>
            <w:tcW w:w="929" w:type="dxa"/>
            <w:noWrap w:val="0"/>
            <w:vAlign w:val="center"/>
          </w:tcPr>
          <w:p w14:paraId="34A487DD">
            <w:pPr>
              <w:spacing w:line="440" w:lineRule="exact"/>
              <w:rPr>
                <w:rFonts w:ascii="宋体" w:hAnsi="宋体"/>
                <w:sz w:val="24"/>
                <w:szCs w:val="24"/>
              </w:rPr>
            </w:pPr>
          </w:p>
        </w:tc>
        <w:tc>
          <w:tcPr>
            <w:tcW w:w="929" w:type="dxa"/>
            <w:noWrap w:val="0"/>
            <w:vAlign w:val="center"/>
          </w:tcPr>
          <w:p w14:paraId="5AE3A554">
            <w:pPr>
              <w:spacing w:line="440" w:lineRule="exact"/>
              <w:rPr>
                <w:rFonts w:ascii="宋体" w:hAnsi="宋体"/>
                <w:sz w:val="24"/>
                <w:szCs w:val="24"/>
              </w:rPr>
            </w:pPr>
          </w:p>
        </w:tc>
        <w:tc>
          <w:tcPr>
            <w:tcW w:w="929" w:type="dxa"/>
            <w:noWrap w:val="0"/>
            <w:vAlign w:val="center"/>
          </w:tcPr>
          <w:p w14:paraId="4C29B055">
            <w:pPr>
              <w:spacing w:line="440" w:lineRule="exact"/>
              <w:rPr>
                <w:rFonts w:ascii="宋体" w:hAnsi="宋体"/>
                <w:sz w:val="24"/>
                <w:szCs w:val="24"/>
              </w:rPr>
            </w:pPr>
          </w:p>
        </w:tc>
      </w:tr>
      <w:tr w14:paraId="520F0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26889A5A">
            <w:pPr>
              <w:spacing w:line="440" w:lineRule="exact"/>
              <w:rPr>
                <w:rFonts w:ascii="宋体" w:hAnsi="宋体"/>
                <w:sz w:val="24"/>
                <w:szCs w:val="24"/>
              </w:rPr>
            </w:pPr>
          </w:p>
        </w:tc>
        <w:tc>
          <w:tcPr>
            <w:tcW w:w="1536" w:type="dxa"/>
            <w:noWrap w:val="0"/>
            <w:vAlign w:val="center"/>
          </w:tcPr>
          <w:p w14:paraId="16090571">
            <w:pPr>
              <w:spacing w:line="440" w:lineRule="exact"/>
              <w:rPr>
                <w:rFonts w:ascii="宋体" w:hAnsi="宋体"/>
                <w:sz w:val="24"/>
                <w:szCs w:val="24"/>
              </w:rPr>
            </w:pPr>
          </w:p>
        </w:tc>
        <w:tc>
          <w:tcPr>
            <w:tcW w:w="1359" w:type="dxa"/>
            <w:noWrap w:val="0"/>
            <w:vAlign w:val="center"/>
          </w:tcPr>
          <w:p w14:paraId="7E46E0A9">
            <w:pPr>
              <w:spacing w:line="440" w:lineRule="exact"/>
              <w:rPr>
                <w:rFonts w:ascii="宋体" w:hAnsi="宋体"/>
                <w:sz w:val="24"/>
                <w:szCs w:val="24"/>
              </w:rPr>
            </w:pPr>
          </w:p>
        </w:tc>
        <w:tc>
          <w:tcPr>
            <w:tcW w:w="790" w:type="dxa"/>
            <w:noWrap w:val="0"/>
            <w:vAlign w:val="center"/>
          </w:tcPr>
          <w:p w14:paraId="4033008E">
            <w:pPr>
              <w:spacing w:line="440" w:lineRule="exact"/>
              <w:rPr>
                <w:rFonts w:ascii="宋体" w:hAnsi="宋体"/>
                <w:sz w:val="24"/>
                <w:szCs w:val="24"/>
              </w:rPr>
            </w:pPr>
          </w:p>
        </w:tc>
        <w:tc>
          <w:tcPr>
            <w:tcW w:w="930" w:type="dxa"/>
            <w:noWrap w:val="0"/>
            <w:vAlign w:val="center"/>
          </w:tcPr>
          <w:p w14:paraId="17E15B37">
            <w:pPr>
              <w:spacing w:line="440" w:lineRule="exact"/>
              <w:rPr>
                <w:rFonts w:ascii="宋体" w:hAnsi="宋体"/>
                <w:sz w:val="24"/>
                <w:szCs w:val="24"/>
              </w:rPr>
            </w:pPr>
          </w:p>
        </w:tc>
        <w:tc>
          <w:tcPr>
            <w:tcW w:w="1042" w:type="dxa"/>
            <w:noWrap w:val="0"/>
            <w:vAlign w:val="center"/>
          </w:tcPr>
          <w:p w14:paraId="2E439018">
            <w:pPr>
              <w:spacing w:line="440" w:lineRule="exact"/>
              <w:rPr>
                <w:rFonts w:ascii="宋体" w:hAnsi="宋体"/>
                <w:sz w:val="24"/>
                <w:szCs w:val="24"/>
              </w:rPr>
            </w:pPr>
          </w:p>
        </w:tc>
        <w:tc>
          <w:tcPr>
            <w:tcW w:w="816" w:type="dxa"/>
            <w:noWrap w:val="0"/>
            <w:vAlign w:val="center"/>
          </w:tcPr>
          <w:p w14:paraId="1FD52D9F">
            <w:pPr>
              <w:spacing w:line="440" w:lineRule="exact"/>
              <w:rPr>
                <w:rFonts w:ascii="宋体" w:hAnsi="宋体"/>
                <w:sz w:val="24"/>
                <w:szCs w:val="24"/>
              </w:rPr>
            </w:pPr>
          </w:p>
        </w:tc>
        <w:tc>
          <w:tcPr>
            <w:tcW w:w="929" w:type="dxa"/>
            <w:noWrap w:val="0"/>
            <w:vAlign w:val="center"/>
          </w:tcPr>
          <w:p w14:paraId="66ACEC93">
            <w:pPr>
              <w:spacing w:line="440" w:lineRule="exact"/>
              <w:rPr>
                <w:rFonts w:ascii="宋体" w:hAnsi="宋体"/>
                <w:sz w:val="24"/>
                <w:szCs w:val="24"/>
              </w:rPr>
            </w:pPr>
          </w:p>
        </w:tc>
        <w:tc>
          <w:tcPr>
            <w:tcW w:w="929" w:type="dxa"/>
            <w:noWrap w:val="0"/>
            <w:vAlign w:val="center"/>
          </w:tcPr>
          <w:p w14:paraId="291BDA1D">
            <w:pPr>
              <w:spacing w:line="440" w:lineRule="exact"/>
              <w:rPr>
                <w:rFonts w:ascii="宋体" w:hAnsi="宋体"/>
                <w:sz w:val="24"/>
                <w:szCs w:val="24"/>
              </w:rPr>
            </w:pPr>
          </w:p>
        </w:tc>
        <w:tc>
          <w:tcPr>
            <w:tcW w:w="929" w:type="dxa"/>
            <w:noWrap w:val="0"/>
            <w:vAlign w:val="center"/>
          </w:tcPr>
          <w:p w14:paraId="7FFFA106">
            <w:pPr>
              <w:spacing w:line="440" w:lineRule="exact"/>
              <w:rPr>
                <w:rFonts w:ascii="宋体" w:hAnsi="宋体"/>
                <w:sz w:val="24"/>
                <w:szCs w:val="24"/>
              </w:rPr>
            </w:pPr>
          </w:p>
        </w:tc>
      </w:tr>
      <w:tr w14:paraId="1E4A3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48B58A39">
            <w:pPr>
              <w:spacing w:line="440" w:lineRule="exact"/>
              <w:rPr>
                <w:rFonts w:ascii="宋体" w:hAnsi="宋体"/>
                <w:sz w:val="24"/>
                <w:szCs w:val="24"/>
              </w:rPr>
            </w:pPr>
          </w:p>
        </w:tc>
        <w:tc>
          <w:tcPr>
            <w:tcW w:w="1536" w:type="dxa"/>
            <w:noWrap w:val="0"/>
            <w:vAlign w:val="center"/>
          </w:tcPr>
          <w:p w14:paraId="2535096A">
            <w:pPr>
              <w:spacing w:line="440" w:lineRule="exact"/>
              <w:rPr>
                <w:rFonts w:ascii="宋体" w:hAnsi="宋体"/>
                <w:sz w:val="24"/>
                <w:szCs w:val="24"/>
              </w:rPr>
            </w:pPr>
          </w:p>
        </w:tc>
        <w:tc>
          <w:tcPr>
            <w:tcW w:w="1359" w:type="dxa"/>
            <w:noWrap w:val="0"/>
            <w:vAlign w:val="center"/>
          </w:tcPr>
          <w:p w14:paraId="0D863FAE">
            <w:pPr>
              <w:spacing w:line="440" w:lineRule="exact"/>
              <w:rPr>
                <w:rFonts w:ascii="宋体" w:hAnsi="宋体"/>
                <w:sz w:val="24"/>
                <w:szCs w:val="24"/>
              </w:rPr>
            </w:pPr>
          </w:p>
        </w:tc>
        <w:tc>
          <w:tcPr>
            <w:tcW w:w="790" w:type="dxa"/>
            <w:noWrap w:val="0"/>
            <w:vAlign w:val="center"/>
          </w:tcPr>
          <w:p w14:paraId="128220D9">
            <w:pPr>
              <w:spacing w:line="440" w:lineRule="exact"/>
              <w:rPr>
                <w:rFonts w:ascii="宋体" w:hAnsi="宋体"/>
                <w:sz w:val="24"/>
                <w:szCs w:val="24"/>
              </w:rPr>
            </w:pPr>
          </w:p>
        </w:tc>
        <w:tc>
          <w:tcPr>
            <w:tcW w:w="930" w:type="dxa"/>
            <w:noWrap w:val="0"/>
            <w:vAlign w:val="center"/>
          </w:tcPr>
          <w:p w14:paraId="335A70A8">
            <w:pPr>
              <w:spacing w:line="440" w:lineRule="exact"/>
              <w:rPr>
                <w:rFonts w:ascii="宋体" w:hAnsi="宋体"/>
                <w:sz w:val="24"/>
                <w:szCs w:val="24"/>
              </w:rPr>
            </w:pPr>
          </w:p>
        </w:tc>
        <w:tc>
          <w:tcPr>
            <w:tcW w:w="1042" w:type="dxa"/>
            <w:noWrap w:val="0"/>
            <w:vAlign w:val="center"/>
          </w:tcPr>
          <w:p w14:paraId="245A0C9B">
            <w:pPr>
              <w:spacing w:line="440" w:lineRule="exact"/>
              <w:rPr>
                <w:rFonts w:ascii="宋体" w:hAnsi="宋体"/>
                <w:sz w:val="24"/>
                <w:szCs w:val="24"/>
              </w:rPr>
            </w:pPr>
          </w:p>
        </w:tc>
        <w:tc>
          <w:tcPr>
            <w:tcW w:w="816" w:type="dxa"/>
            <w:noWrap w:val="0"/>
            <w:vAlign w:val="center"/>
          </w:tcPr>
          <w:p w14:paraId="45D1145F">
            <w:pPr>
              <w:spacing w:line="440" w:lineRule="exact"/>
              <w:rPr>
                <w:rFonts w:ascii="宋体" w:hAnsi="宋体"/>
                <w:sz w:val="24"/>
                <w:szCs w:val="24"/>
              </w:rPr>
            </w:pPr>
          </w:p>
        </w:tc>
        <w:tc>
          <w:tcPr>
            <w:tcW w:w="929" w:type="dxa"/>
            <w:noWrap w:val="0"/>
            <w:vAlign w:val="center"/>
          </w:tcPr>
          <w:p w14:paraId="0B5D9148">
            <w:pPr>
              <w:spacing w:line="440" w:lineRule="exact"/>
              <w:rPr>
                <w:rFonts w:ascii="宋体" w:hAnsi="宋体"/>
                <w:sz w:val="24"/>
                <w:szCs w:val="24"/>
              </w:rPr>
            </w:pPr>
          </w:p>
        </w:tc>
        <w:tc>
          <w:tcPr>
            <w:tcW w:w="929" w:type="dxa"/>
            <w:noWrap w:val="0"/>
            <w:vAlign w:val="center"/>
          </w:tcPr>
          <w:p w14:paraId="6DD3A327">
            <w:pPr>
              <w:spacing w:line="440" w:lineRule="exact"/>
              <w:rPr>
                <w:rFonts w:ascii="宋体" w:hAnsi="宋体"/>
                <w:sz w:val="24"/>
                <w:szCs w:val="24"/>
              </w:rPr>
            </w:pPr>
          </w:p>
        </w:tc>
        <w:tc>
          <w:tcPr>
            <w:tcW w:w="929" w:type="dxa"/>
            <w:noWrap w:val="0"/>
            <w:vAlign w:val="center"/>
          </w:tcPr>
          <w:p w14:paraId="1F7C92D0">
            <w:pPr>
              <w:spacing w:line="440" w:lineRule="exact"/>
              <w:rPr>
                <w:rFonts w:ascii="宋体" w:hAnsi="宋体"/>
                <w:sz w:val="24"/>
                <w:szCs w:val="24"/>
              </w:rPr>
            </w:pPr>
          </w:p>
        </w:tc>
      </w:tr>
      <w:tr w14:paraId="1FDEC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72C1CF57">
            <w:pPr>
              <w:spacing w:line="440" w:lineRule="exact"/>
              <w:rPr>
                <w:rFonts w:ascii="宋体" w:hAnsi="宋体"/>
                <w:sz w:val="24"/>
                <w:szCs w:val="24"/>
              </w:rPr>
            </w:pPr>
          </w:p>
        </w:tc>
        <w:tc>
          <w:tcPr>
            <w:tcW w:w="1536" w:type="dxa"/>
            <w:noWrap w:val="0"/>
            <w:vAlign w:val="center"/>
          </w:tcPr>
          <w:p w14:paraId="16A15002">
            <w:pPr>
              <w:spacing w:line="440" w:lineRule="exact"/>
              <w:rPr>
                <w:rFonts w:ascii="宋体" w:hAnsi="宋体"/>
                <w:sz w:val="24"/>
                <w:szCs w:val="24"/>
              </w:rPr>
            </w:pPr>
          </w:p>
        </w:tc>
        <w:tc>
          <w:tcPr>
            <w:tcW w:w="1359" w:type="dxa"/>
            <w:noWrap w:val="0"/>
            <w:vAlign w:val="center"/>
          </w:tcPr>
          <w:p w14:paraId="4F8214F8">
            <w:pPr>
              <w:spacing w:line="440" w:lineRule="exact"/>
              <w:rPr>
                <w:rFonts w:ascii="宋体" w:hAnsi="宋体"/>
                <w:sz w:val="24"/>
                <w:szCs w:val="24"/>
              </w:rPr>
            </w:pPr>
          </w:p>
        </w:tc>
        <w:tc>
          <w:tcPr>
            <w:tcW w:w="790" w:type="dxa"/>
            <w:noWrap w:val="0"/>
            <w:vAlign w:val="center"/>
          </w:tcPr>
          <w:p w14:paraId="56A0DA81">
            <w:pPr>
              <w:spacing w:line="440" w:lineRule="exact"/>
              <w:rPr>
                <w:rFonts w:ascii="宋体" w:hAnsi="宋体"/>
                <w:sz w:val="24"/>
                <w:szCs w:val="24"/>
              </w:rPr>
            </w:pPr>
          </w:p>
        </w:tc>
        <w:tc>
          <w:tcPr>
            <w:tcW w:w="930" w:type="dxa"/>
            <w:noWrap w:val="0"/>
            <w:vAlign w:val="center"/>
          </w:tcPr>
          <w:p w14:paraId="52CAF8F9">
            <w:pPr>
              <w:spacing w:line="440" w:lineRule="exact"/>
              <w:rPr>
                <w:rFonts w:ascii="宋体" w:hAnsi="宋体"/>
                <w:sz w:val="24"/>
                <w:szCs w:val="24"/>
              </w:rPr>
            </w:pPr>
          </w:p>
        </w:tc>
        <w:tc>
          <w:tcPr>
            <w:tcW w:w="1042" w:type="dxa"/>
            <w:noWrap w:val="0"/>
            <w:vAlign w:val="center"/>
          </w:tcPr>
          <w:p w14:paraId="40135AAB">
            <w:pPr>
              <w:spacing w:line="440" w:lineRule="exact"/>
              <w:rPr>
                <w:rFonts w:ascii="宋体" w:hAnsi="宋体"/>
                <w:sz w:val="24"/>
                <w:szCs w:val="24"/>
              </w:rPr>
            </w:pPr>
          </w:p>
        </w:tc>
        <w:tc>
          <w:tcPr>
            <w:tcW w:w="816" w:type="dxa"/>
            <w:noWrap w:val="0"/>
            <w:vAlign w:val="center"/>
          </w:tcPr>
          <w:p w14:paraId="5DD054FB">
            <w:pPr>
              <w:spacing w:line="440" w:lineRule="exact"/>
              <w:rPr>
                <w:rFonts w:ascii="宋体" w:hAnsi="宋体"/>
                <w:sz w:val="24"/>
                <w:szCs w:val="24"/>
              </w:rPr>
            </w:pPr>
          </w:p>
        </w:tc>
        <w:tc>
          <w:tcPr>
            <w:tcW w:w="929" w:type="dxa"/>
            <w:noWrap w:val="0"/>
            <w:vAlign w:val="center"/>
          </w:tcPr>
          <w:p w14:paraId="6A89DEA8">
            <w:pPr>
              <w:spacing w:line="440" w:lineRule="exact"/>
              <w:rPr>
                <w:rFonts w:ascii="宋体" w:hAnsi="宋体"/>
                <w:sz w:val="24"/>
                <w:szCs w:val="24"/>
              </w:rPr>
            </w:pPr>
          </w:p>
        </w:tc>
        <w:tc>
          <w:tcPr>
            <w:tcW w:w="929" w:type="dxa"/>
            <w:noWrap w:val="0"/>
            <w:vAlign w:val="center"/>
          </w:tcPr>
          <w:p w14:paraId="68F24581">
            <w:pPr>
              <w:spacing w:line="440" w:lineRule="exact"/>
              <w:rPr>
                <w:rFonts w:ascii="宋体" w:hAnsi="宋体"/>
                <w:sz w:val="24"/>
                <w:szCs w:val="24"/>
              </w:rPr>
            </w:pPr>
          </w:p>
        </w:tc>
        <w:tc>
          <w:tcPr>
            <w:tcW w:w="929" w:type="dxa"/>
            <w:noWrap w:val="0"/>
            <w:vAlign w:val="center"/>
          </w:tcPr>
          <w:p w14:paraId="4E202209">
            <w:pPr>
              <w:spacing w:line="440" w:lineRule="exact"/>
              <w:rPr>
                <w:rFonts w:ascii="宋体" w:hAnsi="宋体"/>
                <w:sz w:val="24"/>
                <w:szCs w:val="24"/>
              </w:rPr>
            </w:pPr>
          </w:p>
        </w:tc>
      </w:tr>
      <w:tr w14:paraId="3BAA1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2C37AE8E">
            <w:pPr>
              <w:spacing w:line="440" w:lineRule="exact"/>
              <w:rPr>
                <w:rFonts w:ascii="宋体" w:hAnsi="宋体"/>
                <w:sz w:val="24"/>
                <w:szCs w:val="24"/>
              </w:rPr>
            </w:pPr>
          </w:p>
        </w:tc>
        <w:tc>
          <w:tcPr>
            <w:tcW w:w="1536" w:type="dxa"/>
            <w:noWrap w:val="0"/>
            <w:vAlign w:val="center"/>
          </w:tcPr>
          <w:p w14:paraId="6502C3BB">
            <w:pPr>
              <w:spacing w:line="440" w:lineRule="exact"/>
              <w:rPr>
                <w:rFonts w:ascii="宋体" w:hAnsi="宋体"/>
                <w:sz w:val="24"/>
                <w:szCs w:val="24"/>
              </w:rPr>
            </w:pPr>
          </w:p>
        </w:tc>
        <w:tc>
          <w:tcPr>
            <w:tcW w:w="1359" w:type="dxa"/>
            <w:noWrap w:val="0"/>
            <w:vAlign w:val="center"/>
          </w:tcPr>
          <w:p w14:paraId="5C6B991C">
            <w:pPr>
              <w:spacing w:line="440" w:lineRule="exact"/>
              <w:rPr>
                <w:rFonts w:ascii="宋体" w:hAnsi="宋体"/>
                <w:sz w:val="24"/>
                <w:szCs w:val="24"/>
              </w:rPr>
            </w:pPr>
          </w:p>
        </w:tc>
        <w:tc>
          <w:tcPr>
            <w:tcW w:w="790" w:type="dxa"/>
            <w:noWrap w:val="0"/>
            <w:vAlign w:val="center"/>
          </w:tcPr>
          <w:p w14:paraId="1D4C261B">
            <w:pPr>
              <w:spacing w:line="440" w:lineRule="exact"/>
              <w:rPr>
                <w:rFonts w:ascii="宋体" w:hAnsi="宋体"/>
                <w:sz w:val="24"/>
                <w:szCs w:val="24"/>
              </w:rPr>
            </w:pPr>
          </w:p>
        </w:tc>
        <w:tc>
          <w:tcPr>
            <w:tcW w:w="930" w:type="dxa"/>
            <w:noWrap w:val="0"/>
            <w:vAlign w:val="center"/>
          </w:tcPr>
          <w:p w14:paraId="5154BE4F">
            <w:pPr>
              <w:spacing w:line="440" w:lineRule="exact"/>
              <w:rPr>
                <w:rFonts w:ascii="宋体" w:hAnsi="宋体"/>
                <w:sz w:val="24"/>
                <w:szCs w:val="24"/>
              </w:rPr>
            </w:pPr>
          </w:p>
        </w:tc>
        <w:tc>
          <w:tcPr>
            <w:tcW w:w="1042" w:type="dxa"/>
            <w:noWrap w:val="0"/>
            <w:vAlign w:val="center"/>
          </w:tcPr>
          <w:p w14:paraId="5A386DCA">
            <w:pPr>
              <w:spacing w:line="440" w:lineRule="exact"/>
              <w:rPr>
                <w:rFonts w:ascii="宋体" w:hAnsi="宋体"/>
                <w:sz w:val="24"/>
                <w:szCs w:val="24"/>
              </w:rPr>
            </w:pPr>
          </w:p>
        </w:tc>
        <w:tc>
          <w:tcPr>
            <w:tcW w:w="816" w:type="dxa"/>
            <w:noWrap w:val="0"/>
            <w:vAlign w:val="center"/>
          </w:tcPr>
          <w:p w14:paraId="3AA867AC">
            <w:pPr>
              <w:spacing w:line="440" w:lineRule="exact"/>
              <w:rPr>
                <w:rFonts w:ascii="宋体" w:hAnsi="宋体"/>
                <w:sz w:val="24"/>
                <w:szCs w:val="24"/>
              </w:rPr>
            </w:pPr>
          </w:p>
        </w:tc>
        <w:tc>
          <w:tcPr>
            <w:tcW w:w="929" w:type="dxa"/>
            <w:noWrap w:val="0"/>
            <w:vAlign w:val="center"/>
          </w:tcPr>
          <w:p w14:paraId="361E20FF">
            <w:pPr>
              <w:spacing w:line="440" w:lineRule="exact"/>
              <w:rPr>
                <w:rFonts w:ascii="宋体" w:hAnsi="宋体"/>
                <w:sz w:val="24"/>
                <w:szCs w:val="24"/>
              </w:rPr>
            </w:pPr>
          </w:p>
        </w:tc>
        <w:tc>
          <w:tcPr>
            <w:tcW w:w="929" w:type="dxa"/>
            <w:noWrap w:val="0"/>
            <w:vAlign w:val="center"/>
          </w:tcPr>
          <w:p w14:paraId="030197E4">
            <w:pPr>
              <w:spacing w:line="440" w:lineRule="exact"/>
              <w:rPr>
                <w:rFonts w:ascii="宋体" w:hAnsi="宋体"/>
                <w:sz w:val="24"/>
                <w:szCs w:val="24"/>
              </w:rPr>
            </w:pPr>
          </w:p>
        </w:tc>
        <w:tc>
          <w:tcPr>
            <w:tcW w:w="929" w:type="dxa"/>
            <w:noWrap w:val="0"/>
            <w:vAlign w:val="center"/>
          </w:tcPr>
          <w:p w14:paraId="0540E2EF">
            <w:pPr>
              <w:spacing w:line="440" w:lineRule="exact"/>
              <w:rPr>
                <w:rFonts w:ascii="宋体" w:hAnsi="宋体"/>
                <w:sz w:val="24"/>
                <w:szCs w:val="24"/>
              </w:rPr>
            </w:pPr>
          </w:p>
        </w:tc>
      </w:tr>
      <w:tr w14:paraId="19470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15" w:type="dxa"/>
            <w:noWrap w:val="0"/>
            <w:vAlign w:val="center"/>
          </w:tcPr>
          <w:p w14:paraId="62772F23">
            <w:pPr>
              <w:spacing w:line="440" w:lineRule="exact"/>
              <w:rPr>
                <w:rFonts w:ascii="宋体" w:hAnsi="宋体"/>
                <w:sz w:val="24"/>
                <w:szCs w:val="24"/>
              </w:rPr>
            </w:pPr>
          </w:p>
        </w:tc>
        <w:tc>
          <w:tcPr>
            <w:tcW w:w="1536" w:type="dxa"/>
            <w:noWrap w:val="0"/>
            <w:vAlign w:val="center"/>
          </w:tcPr>
          <w:p w14:paraId="54FA9B90">
            <w:pPr>
              <w:spacing w:line="440" w:lineRule="exact"/>
              <w:rPr>
                <w:rFonts w:ascii="宋体" w:hAnsi="宋体"/>
                <w:sz w:val="24"/>
                <w:szCs w:val="24"/>
              </w:rPr>
            </w:pPr>
          </w:p>
        </w:tc>
        <w:tc>
          <w:tcPr>
            <w:tcW w:w="1359" w:type="dxa"/>
            <w:noWrap w:val="0"/>
            <w:vAlign w:val="center"/>
          </w:tcPr>
          <w:p w14:paraId="44BF943D">
            <w:pPr>
              <w:spacing w:line="440" w:lineRule="exact"/>
              <w:rPr>
                <w:rFonts w:ascii="宋体" w:hAnsi="宋体"/>
                <w:sz w:val="24"/>
                <w:szCs w:val="24"/>
              </w:rPr>
            </w:pPr>
          </w:p>
        </w:tc>
        <w:tc>
          <w:tcPr>
            <w:tcW w:w="790" w:type="dxa"/>
            <w:noWrap w:val="0"/>
            <w:vAlign w:val="center"/>
          </w:tcPr>
          <w:p w14:paraId="7AE488BD">
            <w:pPr>
              <w:spacing w:line="440" w:lineRule="exact"/>
              <w:rPr>
                <w:rFonts w:ascii="宋体" w:hAnsi="宋体"/>
                <w:sz w:val="24"/>
                <w:szCs w:val="24"/>
              </w:rPr>
            </w:pPr>
          </w:p>
        </w:tc>
        <w:tc>
          <w:tcPr>
            <w:tcW w:w="930" w:type="dxa"/>
            <w:noWrap w:val="0"/>
            <w:vAlign w:val="center"/>
          </w:tcPr>
          <w:p w14:paraId="14DCA834">
            <w:pPr>
              <w:spacing w:line="440" w:lineRule="exact"/>
              <w:rPr>
                <w:rFonts w:ascii="宋体" w:hAnsi="宋体"/>
                <w:sz w:val="24"/>
                <w:szCs w:val="24"/>
              </w:rPr>
            </w:pPr>
          </w:p>
        </w:tc>
        <w:tc>
          <w:tcPr>
            <w:tcW w:w="1042" w:type="dxa"/>
            <w:noWrap w:val="0"/>
            <w:vAlign w:val="center"/>
          </w:tcPr>
          <w:p w14:paraId="27A8DA69">
            <w:pPr>
              <w:spacing w:line="440" w:lineRule="exact"/>
              <w:rPr>
                <w:rFonts w:ascii="宋体" w:hAnsi="宋体"/>
                <w:sz w:val="24"/>
                <w:szCs w:val="24"/>
              </w:rPr>
            </w:pPr>
          </w:p>
        </w:tc>
        <w:tc>
          <w:tcPr>
            <w:tcW w:w="816" w:type="dxa"/>
            <w:noWrap w:val="0"/>
            <w:vAlign w:val="center"/>
          </w:tcPr>
          <w:p w14:paraId="4A921509">
            <w:pPr>
              <w:spacing w:line="440" w:lineRule="exact"/>
              <w:rPr>
                <w:rFonts w:ascii="宋体" w:hAnsi="宋体"/>
                <w:sz w:val="24"/>
                <w:szCs w:val="24"/>
              </w:rPr>
            </w:pPr>
          </w:p>
        </w:tc>
        <w:tc>
          <w:tcPr>
            <w:tcW w:w="929" w:type="dxa"/>
            <w:noWrap w:val="0"/>
            <w:vAlign w:val="center"/>
          </w:tcPr>
          <w:p w14:paraId="6B0D3904">
            <w:pPr>
              <w:spacing w:line="440" w:lineRule="exact"/>
              <w:rPr>
                <w:rFonts w:ascii="宋体" w:hAnsi="宋体"/>
                <w:sz w:val="24"/>
                <w:szCs w:val="24"/>
              </w:rPr>
            </w:pPr>
          </w:p>
        </w:tc>
        <w:tc>
          <w:tcPr>
            <w:tcW w:w="929" w:type="dxa"/>
            <w:noWrap w:val="0"/>
            <w:vAlign w:val="center"/>
          </w:tcPr>
          <w:p w14:paraId="44D95B91">
            <w:pPr>
              <w:spacing w:line="440" w:lineRule="exact"/>
              <w:rPr>
                <w:rFonts w:ascii="宋体" w:hAnsi="宋体"/>
                <w:sz w:val="24"/>
                <w:szCs w:val="24"/>
              </w:rPr>
            </w:pPr>
          </w:p>
        </w:tc>
        <w:tc>
          <w:tcPr>
            <w:tcW w:w="929" w:type="dxa"/>
            <w:noWrap w:val="0"/>
            <w:vAlign w:val="center"/>
          </w:tcPr>
          <w:p w14:paraId="796BDD7A">
            <w:pPr>
              <w:spacing w:line="440" w:lineRule="exact"/>
              <w:rPr>
                <w:rFonts w:ascii="宋体" w:hAnsi="宋体"/>
                <w:sz w:val="24"/>
                <w:szCs w:val="24"/>
              </w:rPr>
            </w:pPr>
          </w:p>
        </w:tc>
      </w:tr>
      <w:tr w14:paraId="1D763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251" w:type="dxa"/>
            <w:gridSpan w:val="2"/>
            <w:noWrap w:val="0"/>
            <w:vAlign w:val="center"/>
          </w:tcPr>
          <w:p w14:paraId="36D9060B">
            <w:pPr>
              <w:spacing w:line="440" w:lineRule="exact"/>
              <w:rPr>
                <w:rFonts w:ascii="宋体" w:hAnsi="宋体"/>
                <w:sz w:val="24"/>
                <w:szCs w:val="24"/>
              </w:rPr>
            </w:pPr>
            <w:r>
              <w:rPr>
                <w:rFonts w:hint="eastAsia" w:ascii="宋体" w:hAnsi="宋体"/>
                <w:sz w:val="24"/>
                <w:szCs w:val="24"/>
              </w:rPr>
              <w:t>合计金额（小写）</w:t>
            </w:r>
          </w:p>
        </w:tc>
        <w:tc>
          <w:tcPr>
            <w:tcW w:w="5866" w:type="dxa"/>
            <w:gridSpan w:val="6"/>
            <w:noWrap w:val="0"/>
            <w:vAlign w:val="center"/>
          </w:tcPr>
          <w:p w14:paraId="77B0225E">
            <w:pPr>
              <w:spacing w:line="440" w:lineRule="exact"/>
              <w:rPr>
                <w:rFonts w:ascii="宋体" w:hAnsi="宋体"/>
                <w:sz w:val="24"/>
                <w:szCs w:val="24"/>
              </w:rPr>
            </w:pPr>
          </w:p>
        </w:tc>
        <w:tc>
          <w:tcPr>
            <w:tcW w:w="929" w:type="dxa"/>
            <w:noWrap w:val="0"/>
            <w:vAlign w:val="center"/>
          </w:tcPr>
          <w:p w14:paraId="71580DE2">
            <w:pPr>
              <w:spacing w:line="440" w:lineRule="exact"/>
              <w:rPr>
                <w:rFonts w:ascii="宋体" w:hAnsi="宋体"/>
                <w:sz w:val="24"/>
                <w:szCs w:val="24"/>
              </w:rPr>
            </w:pPr>
          </w:p>
        </w:tc>
        <w:tc>
          <w:tcPr>
            <w:tcW w:w="929" w:type="dxa"/>
            <w:noWrap w:val="0"/>
            <w:vAlign w:val="center"/>
          </w:tcPr>
          <w:p w14:paraId="348B73CC">
            <w:pPr>
              <w:spacing w:line="440" w:lineRule="exact"/>
              <w:rPr>
                <w:rFonts w:ascii="宋体" w:hAnsi="宋体"/>
                <w:sz w:val="24"/>
                <w:szCs w:val="24"/>
              </w:rPr>
            </w:pPr>
          </w:p>
        </w:tc>
      </w:tr>
      <w:tr w14:paraId="155E8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251" w:type="dxa"/>
            <w:gridSpan w:val="2"/>
            <w:noWrap w:val="0"/>
            <w:vAlign w:val="center"/>
          </w:tcPr>
          <w:p w14:paraId="5700324E">
            <w:pPr>
              <w:spacing w:line="440" w:lineRule="exact"/>
              <w:rPr>
                <w:rFonts w:ascii="宋体" w:hAnsi="宋体"/>
                <w:sz w:val="24"/>
                <w:szCs w:val="24"/>
              </w:rPr>
            </w:pPr>
            <w:r>
              <w:rPr>
                <w:rFonts w:hint="eastAsia" w:ascii="宋体" w:hAnsi="宋体"/>
                <w:sz w:val="24"/>
                <w:szCs w:val="24"/>
              </w:rPr>
              <w:t>合计金额（大写）：</w:t>
            </w:r>
          </w:p>
        </w:tc>
        <w:tc>
          <w:tcPr>
            <w:tcW w:w="5866" w:type="dxa"/>
            <w:gridSpan w:val="6"/>
            <w:noWrap w:val="0"/>
            <w:vAlign w:val="center"/>
          </w:tcPr>
          <w:p w14:paraId="71EFE012">
            <w:pPr>
              <w:spacing w:line="440" w:lineRule="exact"/>
              <w:rPr>
                <w:rFonts w:ascii="宋体" w:hAnsi="宋体"/>
                <w:sz w:val="24"/>
                <w:szCs w:val="24"/>
              </w:rPr>
            </w:pPr>
          </w:p>
        </w:tc>
        <w:tc>
          <w:tcPr>
            <w:tcW w:w="929" w:type="dxa"/>
            <w:noWrap w:val="0"/>
            <w:vAlign w:val="center"/>
          </w:tcPr>
          <w:p w14:paraId="2E6DA198">
            <w:pPr>
              <w:spacing w:line="440" w:lineRule="exact"/>
              <w:rPr>
                <w:rFonts w:ascii="宋体" w:hAnsi="宋体"/>
                <w:sz w:val="24"/>
                <w:szCs w:val="24"/>
              </w:rPr>
            </w:pPr>
          </w:p>
        </w:tc>
        <w:tc>
          <w:tcPr>
            <w:tcW w:w="929" w:type="dxa"/>
            <w:noWrap w:val="0"/>
            <w:vAlign w:val="center"/>
          </w:tcPr>
          <w:p w14:paraId="1B3C5237">
            <w:pPr>
              <w:spacing w:line="440" w:lineRule="exact"/>
              <w:rPr>
                <w:rFonts w:ascii="宋体" w:hAnsi="宋体"/>
                <w:sz w:val="24"/>
                <w:szCs w:val="24"/>
              </w:rPr>
            </w:pPr>
          </w:p>
        </w:tc>
      </w:tr>
      <w:tr w14:paraId="772D4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2251" w:type="dxa"/>
            <w:gridSpan w:val="2"/>
            <w:noWrap w:val="0"/>
            <w:vAlign w:val="center"/>
          </w:tcPr>
          <w:p w14:paraId="6DFB0F5D">
            <w:pPr>
              <w:spacing w:line="440" w:lineRule="exact"/>
              <w:rPr>
                <w:rFonts w:hint="eastAsia" w:ascii="宋体" w:hAnsi="宋体"/>
                <w:sz w:val="24"/>
                <w:szCs w:val="24"/>
              </w:rPr>
            </w:pPr>
            <w:r>
              <w:rPr>
                <w:rFonts w:hint="eastAsia" w:ascii="宋体" w:hAnsi="宋体"/>
                <w:sz w:val="24"/>
                <w:szCs w:val="24"/>
              </w:rPr>
              <w:t>质保年限</w:t>
            </w:r>
          </w:p>
        </w:tc>
        <w:tc>
          <w:tcPr>
            <w:tcW w:w="5866" w:type="dxa"/>
            <w:gridSpan w:val="6"/>
            <w:noWrap w:val="0"/>
            <w:vAlign w:val="center"/>
          </w:tcPr>
          <w:p w14:paraId="1E8CA4A3">
            <w:pPr>
              <w:spacing w:line="440" w:lineRule="exact"/>
              <w:rPr>
                <w:rFonts w:ascii="宋体" w:hAnsi="宋体"/>
                <w:sz w:val="24"/>
                <w:szCs w:val="24"/>
              </w:rPr>
            </w:pPr>
          </w:p>
        </w:tc>
        <w:tc>
          <w:tcPr>
            <w:tcW w:w="929" w:type="dxa"/>
            <w:noWrap w:val="0"/>
            <w:vAlign w:val="center"/>
          </w:tcPr>
          <w:p w14:paraId="070F388F">
            <w:pPr>
              <w:spacing w:line="440" w:lineRule="exact"/>
              <w:rPr>
                <w:rFonts w:ascii="宋体" w:hAnsi="宋体"/>
                <w:sz w:val="24"/>
                <w:szCs w:val="24"/>
              </w:rPr>
            </w:pPr>
          </w:p>
        </w:tc>
        <w:tc>
          <w:tcPr>
            <w:tcW w:w="929" w:type="dxa"/>
            <w:noWrap w:val="0"/>
            <w:vAlign w:val="center"/>
          </w:tcPr>
          <w:p w14:paraId="4E56BDC1">
            <w:pPr>
              <w:spacing w:line="440" w:lineRule="exact"/>
              <w:rPr>
                <w:rFonts w:ascii="宋体" w:hAnsi="宋体"/>
                <w:sz w:val="24"/>
                <w:szCs w:val="24"/>
              </w:rPr>
            </w:pPr>
          </w:p>
        </w:tc>
      </w:tr>
    </w:tbl>
    <w:p w14:paraId="32B8886D">
      <w:pPr>
        <w:rPr>
          <w:rFonts w:hint="default"/>
          <w:lang w:val="en-US" w:eastAsia="zh-CN"/>
        </w:rPr>
      </w:pPr>
    </w:p>
    <w:p w14:paraId="1A4314F3">
      <w:pPr>
        <w:pageBreakBefore w:val="0"/>
        <w:widowControl w:val="0"/>
        <w:wordWrap/>
        <w:topLinePunct w:val="0"/>
        <w:bidi w:val="0"/>
        <w:outlineLvl w:val="1"/>
        <w:rPr>
          <w:rFonts w:hint="eastAsia" w:ascii="宋体" w:hAnsi="宋体" w:eastAsia="宋体" w:cs="宋体"/>
          <w:b/>
          <w:bCs/>
          <w:color w:val="auto"/>
          <w:sz w:val="24"/>
          <w:highlight w:val="none"/>
        </w:rPr>
      </w:pPr>
      <w:bookmarkStart w:id="191" w:name="_Toc31903"/>
      <w:bookmarkStart w:id="192" w:name="_Toc26935"/>
      <w:r>
        <w:rPr>
          <w:rFonts w:hint="eastAsia" w:ascii="宋体" w:hAnsi="宋体" w:eastAsia="宋体" w:cs="宋体"/>
          <w:b/>
          <w:bCs/>
          <w:color w:val="auto"/>
          <w:sz w:val="24"/>
          <w:highlight w:val="none"/>
        </w:rPr>
        <w:t>（此表可延长</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未填写的按废标处理）</w:t>
      </w:r>
      <w:bookmarkEnd w:id="191"/>
      <w:bookmarkEnd w:id="192"/>
    </w:p>
    <w:p w14:paraId="312BAE11">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6A8CA70D">
      <w:pPr>
        <w:pageBreakBefore w:val="0"/>
        <w:widowControl w:val="0"/>
        <w:wordWrap/>
        <w:topLinePunct w:val="0"/>
        <w:bidi w:val="0"/>
        <w:rPr>
          <w:rFonts w:hint="eastAsia" w:ascii="宋体" w:hAnsi="宋体" w:eastAsia="宋体" w:cs="宋体"/>
          <w:b/>
          <w:bCs/>
          <w:color w:val="auto"/>
          <w:sz w:val="28"/>
          <w:szCs w:val="28"/>
          <w:highlight w:val="none"/>
        </w:rPr>
      </w:pPr>
      <w:r>
        <w:rPr>
          <w:rFonts w:hint="eastAsia" w:ascii="宋体" w:hAnsi="宋体" w:eastAsia="宋体" w:cs="宋体"/>
          <w:color w:val="auto"/>
          <w:sz w:val="28"/>
          <w:szCs w:val="28"/>
          <w:highlight w:val="none"/>
        </w:rPr>
        <w:t xml:space="preserve"> 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26D0DC4D">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1D5C1742">
      <w:pPr>
        <w:pageBreakBefore w:val="0"/>
        <w:widowControl w:val="0"/>
        <w:wordWrap/>
        <w:topLinePunct w:val="0"/>
        <w:bidi w:val="0"/>
        <w:rPr>
          <w:rFonts w:hint="eastAsia" w:ascii="宋体" w:hAnsi="宋体" w:eastAsia="宋体" w:cs="宋体"/>
          <w:b/>
          <w:color w:val="auto"/>
          <w:sz w:val="28"/>
          <w:szCs w:val="28"/>
          <w:highlight w:val="none"/>
        </w:rPr>
      </w:pPr>
    </w:p>
    <w:p w14:paraId="04913077">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注：1、合计金额应为各分项价格之和。</w:t>
      </w:r>
    </w:p>
    <w:p w14:paraId="53C1C23F">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2、上述报价包含一切由供方承担的费用。</w:t>
      </w:r>
    </w:p>
    <w:p w14:paraId="1C04DC84">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3、请各投标人根据投标方案，在本表中详细写明所有产品型号规格、主要技术参数、数量、综合单价、总价及品牌和产地。</w:t>
      </w:r>
    </w:p>
    <w:p w14:paraId="37808669">
      <w:pPr>
        <w:spacing w:line="440" w:lineRule="exact"/>
        <w:rPr>
          <w:rFonts w:hint="eastAsia" w:ascii="宋体" w:hAnsi="宋体" w:eastAsia="宋体" w:cs="Times New Roman"/>
          <w:sz w:val="24"/>
          <w:szCs w:val="24"/>
        </w:rPr>
      </w:pPr>
      <w:r>
        <w:rPr>
          <w:rFonts w:hint="eastAsia" w:ascii="宋体" w:hAnsi="宋体" w:eastAsia="宋体" w:cs="Times New Roman"/>
          <w:sz w:val="24"/>
          <w:szCs w:val="24"/>
        </w:rPr>
        <w:t>4、综合单价必须包括货物、安装、调试、技术支持、运输、保险、售后服务、培训及其它必需服务的报价。</w:t>
      </w:r>
    </w:p>
    <w:p w14:paraId="52E1DD3B">
      <w:pPr>
        <w:pageBreakBefore w:val="0"/>
        <w:widowControl w:val="0"/>
        <w:wordWrap/>
        <w:topLinePunct w:val="0"/>
        <w:bidi w:val="0"/>
        <w:rPr>
          <w:rFonts w:hint="eastAsia" w:ascii="宋体" w:hAnsi="宋体" w:eastAsia="宋体" w:cs="宋体"/>
          <w:color w:val="auto"/>
          <w:highlight w:val="none"/>
        </w:rPr>
      </w:pPr>
    </w:p>
    <w:p w14:paraId="0EF07617">
      <w:pPr>
        <w:pageBreakBefore w:val="0"/>
        <w:widowControl w:val="0"/>
        <w:wordWrap/>
        <w:topLinePunct w:val="0"/>
        <w:bidi w:val="0"/>
        <w:jc w:val="center"/>
        <w:rPr>
          <w:rFonts w:hint="default" w:ascii="宋体" w:hAnsi="宋体" w:eastAsia="宋体" w:cs="宋体"/>
          <w:b/>
          <w:color w:val="auto"/>
          <w:sz w:val="28"/>
          <w:szCs w:val="28"/>
          <w:highlight w:val="none"/>
          <w:lang w:val="en-US" w:eastAsia="zh-CN"/>
        </w:rPr>
      </w:pPr>
      <w:bookmarkStart w:id="193" w:name="_Toc26989"/>
      <w:bookmarkStart w:id="194" w:name="_Toc3106"/>
      <w:r>
        <w:rPr>
          <w:rFonts w:hint="default" w:ascii="宋体" w:hAnsi="宋体" w:eastAsia="宋体" w:cs="宋体"/>
          <w:b/>
          <w:color w:val="auto"/>
          <w:sz w:val="28"/>
          <w:szCs w:val="28"/>
          <w:highlight w:val="none"/>
          <w:lang w:val="en-US" w:eastAsia="zh-CN"/>
        </w:rPr>
        <w:t>配置清单</w:t>
      </w:r>
    </w:p>
    <w:p w14:paraId="5CF5D89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项目名称/标项： 　　　　　　　　　</w:t>
      </w:r>
    </w:p>
    <w:p w14:paraId="1DA3361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项目编号：　　　　　　　　　　</w:t>
      </w:r>
    </w:p>
    <w:p w14:paraId="616A768C">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单    位：元</w:t>
      </w:r>
    </w:p>
    <w:tbl>
      <w:tblPr>
        <w:tblStyle w:val="22"/>
        <w:tblW w:w="10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2"/>
        <w:gridCol w:w="2137"/>
        <w:gridCol w:w="1271"/>
        <w:gridCol w:w="1062"/>
        <w:gridCol w:w="1062"/>
        <w:gridCol w:w="1345"/>
        <w:gridCol w:w="883"/>
        <w:gridCol w:w="1159"/>
        <w:gridCol w:w="888"/>
      </w:tblGrid>
      <w:tr w14:paraId="5B698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4" w:hRule="atLeast"/>
          <w:jc w:val="center"/>
        </w:trPr>
        <w:tc>
          <w:tcPr>
            <w:tcW w:w="592" w:type="dxa"/>
            <w:noWrap w:val="0"/>
            <w:vAlign w:val="center"/>
          </w:tcPr>
          <w:p w14:paraId="261FD919">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序号</w:t>
            </w:r>
          </w:p>
        </w:tc>
        <w:tc>
          <w:tcPr>
            <w:tcW w:w="2137" w:type="dxa"/>
            <w:noWrap w:val="0"/>
            <w:vAlign w:val="center"/>
          </w:tcPr>
          <w:p w14:paraId="263B964E">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货物名称</w:t>
            </w:r>
          </w:p>
        </w:tc>
        <w:tc>
          <w:tcPr>
            <w:tcW w:w="1271" w:type="dxa"/>
            <w:noWrap w:val="0"/>
            <w:vAlign w:val="center"/>
          </w:tcPr>
          <w:p w14:paraId="55113473">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规格型号</w:t>
            </w:r>
          </w:p>
        </w:tc>
        <w:tc>
          <w:tcPr>
            <w:tcW w:w="1062" w:type="dxa"/>
            <w:noWrap w:val="0"/>
            <w:vAlign w:val="center"/>
          </w:tcPr>
          <w:p w14:paraId="71C8E7E4">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产地</w:t>
            </w:r>
          </w:p>
        </w:tc>
        <w:tc>
          <w:tcPr>
            <w:tcW w:w="1062" w:type="dxa"/>
            <w:noWrap w:val="0"/>
            <w:vAlign w:val="center"/>
          </w:tcPr>
          <w:p w14:paraId="77D406A1">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制造商</w:t>
            </w:r>
          </w:p>
        </w:tc>
        <w:tc>
          <w:tcPr>
            <w:tcW w:w="1345" w:type="dxa"/>
            <w:noWrap w:val="0"/>
            <w:vAlign w:val="center"/>
          </w:tcPr>
          <w:p w14:paraId="6DDDB64C">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数量</w:t>
            </w:r>
          </w:p>
        </w:tc>
        <w:tc>
          <w:tcPr>
            <w:tcW w:w="883" w:type="dxa"/>
            <w:noWrap w:val="0"/>
            <w:vAlign w:val="center"/>
          </w:tcPr>
          <w:p w14:paraId="0B3EBFA0">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单价</w:t>
            </w:r>
          </w:p>
        </w:tc>
        <w:tc>
          <w:tcPr>
            <w:tcW w:w="1159" w:type="dxa"/>
            <w:noWrap w:val="0"/>
            <w:vAlign w:val="center"/>
          </w:tcPr>
          <w:p w14:paraId="3234A3B3">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总价</w:t>
            </w:r>
          </w:p>
        </w:tc>
        <w:tc>
          <w:tcPr>
            <w:tcW w:w="888" w:type="dxa"/>
            <w:noWrap w:val="0"/>
            <w:vAlign w:val="center"/>
          </w:tcPr>
          <w:p w14:paraId="6C7F96FC">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备注</w:t>
            </w:r>
          </w:p>
        </w:tc>
      </w:tr>
      <w:tr w14:paraId="2C7A0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noWrap w:val="0"/>
            <w:vAlign w:val="center"/>
          </w:tcPr>
          <w:p w14:paraId="60CBBD2B">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1</w:t>
            </w:r>
          </w:p>
        </w:tc>
        <w:tc>
          <w:tcPr>
            <w:tcW w:w="2137" w:type="dxa"/>
            <w:noWrap w:val="0"/>
            <w:vAlign w:val="center"/>
          </w:tcPr>
          <w:p w14:paraId="513EAFFD">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271" w:type="dxa"/>
            <w:noWrap w:val="0"/>
            <w:vAlign w:val="center"/>
          </w:tcPr>
          <w:p w14:paraId="079D050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231E060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11684935">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345" w:type="dxa"/>
            <w:noWrap w:val="0"/>
            <w:vAlign w:val="center"/>
          </w:tcPr>
          <w:p w14:paraId="16B96126">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3" w:type="dxa"/>
            <w:noWrap w:val="0"/>
            <w:vAlign w:val="center"/>
          </w:tcPr>
          <w:p w14:paraId="1835F3F8">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159" w:type="dxa"/>
            <w:noWrap w:val="0"/>
            <w:vAlign w:val="center"/>
          </w:tcPr>
          <w:p w14:paraId="1F9172EB">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8" w:type="dxa"/>
            <w:noWrap w:val="0"/>
            <w:vAlign w:val="center"/>
          </w:tcPr>
          <w:p w14:paraId="51F741E7">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r>
      <w:tr w14:paraId="5298B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noWrap w:val="0"/>
            <w:vAlign w:val="center"/>
          </w:tcPr>
          <w:p w14:paraId="264F4147">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2</w:t>
            </w:r>
          </w:p>
        </w:tc>
        <w:tc>
          <w:tcPr>
            <w:tcW w:w="2137" w:type="dxa"/>
            <w:noWrap w:val="0"/>
            <w:vAlign w:val="center"/>
          </w:tcPr>
          <w:p w14:paraId="428B3FED">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271" w:type="dxa"/>
            <w:noWrap w:val="0"/>
            <w:vAlign w:val="center"/>
          </w:tcPr>
          <w:p w14:paraId="7485ACF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41FCDFEE">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0EB18311">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345" w:type="dxa"/>
            <w:noWrap w:val="0"/>
            <w:vAlign w:val="center"/>
          </w:tcPr>
          <w:p w14:paraId="03952E85">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3" w:type="dxa"/>
            <w:noWrap w:val="0"/>
            <w:vAlign w:val="center"/>
          </w:tcPr>
          <w:p w14:paraId="3CFA194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159" w:type="dxa"/>
            <w:noWrap w:val="0"/>
            <w:vAlign w:val="center"/>
          </w:tcPr>
          <w:p w14:paraId="644827A3">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8" w:type="dxa"/>
            <w:noWrap w:val="0"/>
            <w:vAlign w:val="center"/>
          </w:tcPr>
          <w:p w14:paraId="584E256D">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r>
      <w:tr w14:paraId="5FF14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noWrap w:val="0"/>
            <w:vAlign w:val="center"/>
          </w:tcPr>
          <w:p w14:paraId="2B97B705">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3</w:t>
            </w:r>
          </w:p>
        </w:tc>
        <w:tc>
          <w:tcPr>
            <w:tcW w:w="2137" w:type="dxa"/>
            <w:noWrap w:val="0"/>
            <w:vAlign w:val="center"/>
          </w:tcPr>
          <w:p w14:paraId="07700964">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271" w:type="dxa"/>
            <w:noWrap w:val="0"/>
            <w:vAlign w:val="center"/>
          </w:tcPr>
          <w:p w14:paraId="08AE5B53">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6812DD26">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4019EBD4">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345" w:type="dxa"/>
            <w:noWrap w:val="0"/>
            <w:vAlign w:val="center"/>
          </w:tcPr>
          <w:p w14:paraId="49B380D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3" w:type="dxa"/>
            <w:noWrap w:val="0"/>
            <w:vAlign w:val="center"/>
          </w:tcPr>
          <w:p w14:paraId="7205A17E">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159" w:type="dxa"/>
            <w:noWrap w:val="0"/>
            <w:vAlign w:val="center"/>
          </w:tcPr>
          <w:p w14:paraId="3BE0602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8" w:type="dxa"/>
            <w:noWrap w:val="0"/>
            <w:vAlign w:val="center"/>
          </w:tcPr>
          <w:p w14:paraId="6D046EE1">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r>
      <w:tr w14:paraId="1EEF7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noWrap w:val="0"/>
            <w:vAlign w:val="center"/>
          </w:tcPr>
          <w:p w14:paraId="6CDBED9E">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w:t>
            </w:r>
          </w:p>
        </w:tc>
        <w:tc>
          <w:tcPr>
            <w:tcW w:w="2137" w:type="dxa"/>
            <w:noWrap w:val="0"/>
            <w:vAlign w:val="center"/>
          </w:tcPr>
          <w:p w14:paraId="2F89FCD5">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271" w:type="dxa"/>
            <w:noWrap w:val="0"/>
            <w:vAlign w:val="center"/>
          </w:tcPr>
          <w:p w14:paraId="557157E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5F163B9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2D1D0C2B">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345" w:type="dxa"/>
            <w:noWrap w:val="0"/>
            <w:vAlign w:val="center"/>
          </w:tcPr>
          <w:p w14:paraId="0BA1CED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3" w:type="dxa"/>
            <w:noWrap w:val="0"/>
            <w:vAlign w:val="center"/>
          </w:tcPr>
          <w:p w14:paraId="0A36B3A8">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159" w:type="dxa"/>
            <w:noWrap w:val="0"/>
            <w:vAlign w:val="center"/>
          </w:tcPr>
          <w:p w14:paraId="78743368">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8" w:type="dxa"/>
            <w:noWrap w:val="0"/>
            <w:vAlign w:val="center"/>
          </w:tcPr>
          <w:p w14:paraId="338F203E">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r>
      <w:tr w14:paraId="3BAFD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noWrap w:val="0"/>
            <w:vAlign w:val="center"/>
          </w:tcPr>
          <w:p w14:paraId="14BB9CD5">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2137" w:type="dxa"/>
            <w:noWrap w:val="0"/>
            <w:vAlign w:val="center"/>
          </w:tcPr>
          <w:p w14:paraId="6C14BF23">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271" w:type="dxa"/>
            <w:noWrap w:val="0"/>
            <w:vAlign w:val="center"/>
          </w:tcPr>
          <w:p w14:paraId="7EA73B3D">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5852038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7A30248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345" w:type="dxa"/>
            <w:noWrap w:val="0"/>
            <w:vAlign w:val="center"/>
          </w:tcPr>
          <w:p w14:paraId="5B1EEDCF">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3" w:type="dxa"/>
            <w:noWrap w:val="0"/>
            <w:vAlign w:val="center"/>
          </w:tcPr>
          <w:p w14:paraId="3A936CA6">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159" w:type="dxa"/>
            <w:noWrap w:val="0"/>
            <w:vAlign w:val="center"/>
          </w:tcPr>
          <w:p w14:paraId="65550768">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8" w:type="dxa"/>
            <w:noWrap w:val="0"/>
            <w:vAlign w:val="center"/>
          </w:tcPr>
          <w:p w14:paraId="4944DA3E">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r>
      <w:tr w14:paraId="1195F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592" w:type="dxa"/>
            <w:noWrap w:val="0"/>
            <w:vAlign w:val="center"/>
          </w:tcPr>
          <w:p w14:paraId="73CB63E1">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2137" w:type="dxa"/>
            <w:noWrap w:val="0"/>
            <w:vAlign w:val="center"/>
          </w:tcPr>
          <w:p w14:paraId="58F4F619">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271" w:type="dxa"/>
            <w:noWrap w:val="0"/>
            <w:vAlign w:val="center"/>
          </w:tcPr>
          <w:p w14:paraId="1C69A8F5">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50CEFB4C">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062" w:type="dxa"/>
            <w:noWrap w:val="0"/>
            <w:vAlign w:val="center"/>
          </w:tcPr>
          <w:p w14:paraId="21D74C8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345" w:type="dxa"/>
            <w:noWrap w:val="0"/>
            <w:vAlign w:val="center"/>
          </w:tcPr>
          <w:p w14:paraId="69DFD0BD">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3" w:type="dxa"/>
            <w:noWrap w:val="0"/>
            <w:vAlign w:val="center"/>
          </w:tcPr>
          <w:p w14:paraId="3CCCCFEB">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1159" w:type="dxa"/>
            <w:noWrap w:val="0"/>
            <w:vAlign w:val="center"/>
          </w:tcPr>
          <w:p w14:paraId="20A62D0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c>
          <w:tcPr>
            <w:tcW w:w="888" w:type="dxa"/>
            <w:noWrap w:val="0"/>
            <w:vAlign w:val="center"/>
          </w:tcPr>
          <w:p w14:paraId="40DF79E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tc>
      </w:tr>
      <w:tr w14:paraId="50B26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7" w:hRule="atLeast"/>
          <w:jc w:val="center"/>
        </w:trPr>
        <w:tc>
          <w:tcPr>
            <w:tcW w:w="2729" w:type="dxa"/>
            <w:gridSpan w:val="2"/>
            <w:noWrap w:val="0"/>
            <w:vAlign w:val="center"/>
          </w:tcPr>
          <w:p w14:paraId="03208F67">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合    计</w:t>
            </w:r>
          </w:p>
        </w:tc>
        <w:tc>
          <w:tcPr>
            <w:tcW w:w="7670" w:type="dxa"/>
            <w:gridSpan w:val="7"/>
            <w:noWrap w:val="0"/>
            <w:vAlign w:val="center"/>
          </w:tcPr>
          <w:p w14:paraId="6055C02B">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小写（元）：</w:t>
            </w:r>
          </w:p>
          <w:p w14:paraId="31A70F72">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大写（元）：</w:t>
            </w:r>
          </w:p>
        </w:tc>
      </w:tr>
    </w:tbl>
    <w:p w14:paraId="441239F0">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注：此表必须详列投标</w:t>
      </w:r>
      <w:r>
        <w:rPr>
          <w:rFonts w:hint="eastAsia" w:ascii="宋体" w:hAnsi="宋体" w:eastAsia="宋体" w:cs="宋体"/>
          <w:b w:val="0"/>
          <w:bCs/>
          <w:color w:val="auto"/>
          <w:sz w:val="28"/>
          <w:szCs w:val="28"/>
          <w:highlight w:val="none"/>
          <w:lang w:val="en-US" w:eastAsia="zh-CN"/>
        </w:rPr>
        <w:t>设备</w:t>
      </w:r>
      <w:r>
        <w:rPr>
          <w:rFonts w:hint="default" w:ascii="宋体" w:hAnsi="宋体" w:eastAsia="宋体" w:cs="宋体"/>
          <w:b w:val="0"/>
          <w:bCs/>
          <w:color w:val="auto"/>
          <w:sz w:val="28"/>
          <w:szCs w:val="28"/>
          <w:highlight w:val="none"/>
          <w:lang w:val="en-US" w:eastAsia="zh-CN"/>
        </w:rPr>
        <w:t>的配置清单。</w:t>
      </w:r>
    </w:p>
    <w:p w14:paraId="4EE8700C">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p w14:paraId="57998B53">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p w14:paraId="7DE9E8BF">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投标人名称（盖章）：</w:t>
      </w:r>
    </w:p>
    <w:p w14:paraId="5A902D6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p w14:paraId="5D9382AB">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投标人代表签字 ：</w:t>
      </w:r>
    </w:p>
    <w:p w14:paraId="03701908">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p>
    <w:p w14:paraId="71D23BDC">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pPr>
      <w:r>
        <w:rPr>
          <w:rFonts w:hint="default" w:ascii="宋体" w:hAnsi="宋体" w:eastAsia="宋体" w:cs="宋体"/>
          <w:b w:val="0"/>
          <w:bCs/>
          <w:color w:val="auto"/>
          <w:sz w:val="28"/>
          <w:szCs w:val="28"/>
          <w:highlight w:val="none"/>
          <w:lang w:val="en-US" w:eastAsia="zh-CN"/>
        </w:rPr>
        <w:t>日期： 年 月  日</w:t>
      </w:r>
    </w:p>
    <w:p w14:paraId="6983108A">
      <w:pPr>
        <w:pageBreakBefore w:val="0"/>
        <w:widowControl w:val="0"/>
        <w:wordWrap/>
        <w:topLinePunct w:val="0"/>
        <w:bidi w:val="0"/>
        <w:jc w:val="left"/>
        <w:rPr>
          <w:rFonts w:hint="default" w:ascii="宋体" w:hAnsi="宋体" w:eastAsia="宋体" w:cs="宋体"/>
          <w:b w:val="0"/>
          <w:bCs/>
          <w:color w:val="auto"/>
          <w:sz w:val="28"/>
          <w:szCs w:val="28"/>
          <w:highlight w:val="none"/>
          <w:lang w:val="en-US" w:eastAsia="zh-CN"/>
        </w:rPr>
        <w:sectPr>
          <w:headerReference r:id="rId17" w:type="default"/>
          <w:footerReference r:id="rId18" w:type="default"/>
          <w:pgSz w:w="11905" w:h="16838"/>
          <w:pgMar w:top="720" w:right="1417" w:bottom="720" w:left="1417" w:header="850" w:footer="992" w:gutter="0"/>
          <w:pgBorders>
            <w:top w:val="none" w:sz="0" w:space="0"/>
            <w:left w:val="none" w:sz="0" w:space="0"/>
            <w:bottom w:val="none" w:sz="0" w:space="0"/>
            <w:right w:val="none" w:sz="0" w:space="0"/>
          </w:pgBorders>
          <w:pgNumType w:fmt="decimal"/>
          <w:cols w:space="720" w:num="1"/>
          <w:docGrid w:type="lines" w:linePitch="416" w:charSpace="0"/>
        </w:sectPr>
      </w:pPr>
    </w:p>
    <w:p w14:paraId="2A386622">
      <w:pPr>
        <w:pStyle w:val="3"/>
        <w:spacing w:before="0" w:after="0" w:line="360" w:lineRule="auto"/>
        <w:jc w:val="center"/>
        <w:rPr>
          <w:rFonts w:hint="eastAsia" w:ascii="宋体" w:hAnsi="宋体" w:eastAsia="宋体" w:cs="宋体"/>
          <w:b/>
          <w:bCs w:val="0"/>
          <w:color w:val="auto"/>
          <w:sz w:val="28"/>
          <w:szCs w:val="28"/>
        </w:rPr>
      </w:pPr>
      <w:r>
        <w:rPr>
          <w:rFonts w:hint="eastAsia" w:ascii="宋体" w:hAnsi="宋体" w:eastAsia="宋体" w:cs="宋体"/>
          <w:b/>
          <w:bCs w:val="0"/>
          <w:color w:val="auto"/>
          <w:sz w:val="28"/>
          <w:szCs w:val="28"/>
        </w:rPr>
        <w:t>备品备件价格清单表</w:t>
      </w:r>
    </w:p>
    <w:tbl>
      <w:tblPr>
        <w:tblStyle w:val="22"/>
        <w:tblW w:w="89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3566"/>
        <w:gridCol w:w="2234"/>
        <w:gridCol w:w="2234"/>
      </w:tblGrid>
      <w:tr w14:paraId="00756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35" w:type="dxa"/>
            <w:gridSpan w:val="4"/>
            <w:noWrap w:val="0"/>
            <w:vAlign w:val="top"/>
          </w:tcPr>
          <w:p w14:paraId="3DDE15A6">
            <w:pPr>
              <w:pStyle w:val="6"/>
              <w:spacing w:line="500" w:lineRule="exact"/>
              <w:ind w:firstLine="0" w:firstLineChars="0"/>
              <w:rPr>
                <w:rFonts w:hint="eastAsia" w:ascii="宋体" w:hAnsi="宋体" w:eastAsia="宋体" w:cs="宋体"/>
                <w:bCs/>
                <w:color w:val="auto"/>
                <w:sz w:val="28"/>
                <w:szCs w:val="28"/>
              </w:rPr>
            </w:pPr>
            <w:r>
              <w:rPr>
                <w:rFonts w:hint="eastAsia" w:ascii="宋体" w:hAnsi="宋体" w:eastAsia="宋体" w:cs="宋体"/>
                <w:bCs/>
                <w:color w:val="auto"/>
                <w:sz w:val="28"/>
                <w:szCs w:val="28"/>
              </w:rPr>
              <w:t>免费提供备损耗件备品备件清单品备件清单</w:t>
            </w:r>
          </w:p>
        </w:tc>
      </w:tr>
      <w:tr w14:paraId="2C82F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3B03651F">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序号</w:t>
            </w:r>
          </w:p>
        </w:tc>
        <w:tc>
          <w:tcPr>
            <w:tcW w:w="3566" w:type="dxa"/>
            <w:noWrap w:val="0"/>
            <w:vAlign w:val="top"/>
          </w:tcPr>
          <w:p w14:paraId="063109A3">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备品备件名称</w:t>
            </w:r>
          </w:p>
        </w:tc>
        <w:tc>
          <w:tcPr>
            <w:tcW w:w="2234" w:type="dxa"/>
            <w:noWrap w:val="0"/>
            <w:vAlign w:val="top"/>
          </w:tcPr>
          <w:p w14:paraId="4B4A480E">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价格</w:t>
            </w:r>
          </w:p>
        </w:tc>
        <w:tc>
          <w:tcPr>
            <w:tcW w:w="2234" w:type="dxa"/>
            <w:noWrap w:val="0"/>
            <w:vAlign w:val="top"/>
          </w:tcPr>
          <w:p w14:paraId="6E056F74">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备注</w:t>
            </w:r>
          </w:p>
        </w:tc>
      </w:tr>
      <w:tr w14:paraId="771D1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30AE67A">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2B4AC0B9">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5A091B37">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w:t>
            </w:r>
          </w:p>
        </w:tc>
        <w:tc>
          <w:tcPr>
            <w:tcW w:w="2234" w:type="dxa"/>
            <w:noWrap w:val="0"/>
            <w:vAlign w:val="top"/>
          </w:tcPr>
          <w:p w14:paraId="73566DDB">
            <w:pPr>
              <w:pStyle w:val="6"/>
              <w:spacing w:line="500" w:lineRule="exact"/>
              <w:ind w:firstLine="0" w:firstLineChars="0"/>
              <w:jc w:val="center"/>
              <w:rPr>
                <w:rFonts w:hint="eastAsia" w:ascii="宋体" w:hAnsi="宋体" w:eastAsia="宋体" w:cs="宋体"/>
                <w:bCs/>
                <w:color w:val="auto"/>
                <w:sz w:val="28"/>
                <w:szCs w:val="28"/>
              </w:rPr>
            </w:pPr>
          </w:p>
        </w:tc>
      </w:tr>
      <w:tr w14:paraId="324BA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1466C3FF">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4F82E2C7">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133871B5">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w:t>
            </w:r>
          </w:p>
        </w:tc>
        <w:tc>
          <w:tcPr>
            <w:tcW w:w="2234" w:type="dxa"/>
            <w:noWrap w:val="0"/>
            <w:vAlign w:val="top"/>
          </w:tcPr>
          <w:p w14:paraId="6E2C9881">
            <w:pPr>
              <w:pStyle w:val="6"/>
              <w:spacing w:line="500" w:lineRule="exact"/>
              <w:ind w:firstLine="0" w:firstLineChars="0"/>
              <w:jc w:val="center"/>
              <w:rPr>
                <w:rFonts w:hint="eastAsia" w:ascii="宋体" w:hAnsi="宋体" w:eastAsia="宋体" w:cs="宋体"/>
                <w:bCs/>
                <w:color w:val="auto"/>
                <w:sz w:val="28"/>
                <w:szCs w:val="28"/>
              </w:rPr>
            </w:pPr>
          </w:p>
        </w:tc>
      </w:tr>
      <w:tr w14:paraId="7DAEA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A894C69">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594078BF">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1F110D59">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w:t>
            </w:r>
          </w:p>
        </w:tc>
        <w:tc>
          <w:tcPr>
            <w:tcW w:w="2234" w:type="dxa"/>
            <w:noWrap w:val="0"/>
            <w:vAlign w:val="top"/>
          </w:tcPr>
          <w:p w14:paraId="14718455">
            <w:pPr>
              <w:pStyle w:val="6"/>
              <w:spacing w:line="500" w:lineRule="exact"/>
              <w:ind w:firstLine="0" w:firstLineChars="0"/>
              <w:jc w:val="center"/>
              <w:rPr>
                <w:rFonts w:hint="eastAsia" w:ascii="宋体" w:hAnsi="宋体" w:eastAsia="宋体" w:cs="宋体"/>
                <w:bCs/>
                <w:color w:val="auto"/>
                <w:sz w:val="28"/>
                <w:szCs w:val="28"/>
              </w:rPr>
            </w:pPr>
          </w:p>
        </w:tc>
      </w:tr>
      <w:tr w14:paraId="0E0B8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F08E479">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541399BA">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5BF82C6B">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w:t>
            </w:r>
          </w:p>
        </w:tc>
        <w:tc>
          <w:tcPr>
            <w:tcW w:w="2234" w:type="dxa"/>
            <w:noWrap w:val="0"/>
            <w:vAlign w:val="top"/>
          </w:tcPr>
          <w:p w14:paraId="43460913">
            <w:pPr>
              <w:pStyle w:val="6"/>
              <w:spacing w:line="500" w:lineRule="exact"/>
              <w:ind w:firstLine="0" w:firstLineChars="0"/>
              <w:jc w:val="center"/>
              <w:rPr>
                <w:rFonts w:hint="eastAsia" w:ascii="宋体" w:hAnsi="宋体" w:eastAsia="宋体" w:cs="宋体"/>
                <w:bCs/>
                <w:color w:val="auto"/>
                <w:sz w:val="28"/>
                <w:szCs w:val="28"/>
              </w:rPr>
            </w:pPr>
          </w:p>
        </w:tc>
      </w:tr>
      <w:tr w14:paraId="5F1C8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22A5E412">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62DAD557">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403792BC">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w:t>
            </w:r>
          </w:p>
        </w:tc>
        <w:tc>
          <w:tcPr>
            <w:tcW w:w="2234" w:type="dxa"/>
            <w:noWrap w:val="0"/>
            <w:vAlign w:val="top"/>
          </w:tcPr>
          <w:p w14:paraId="4810F506">
            <w:pPr>
              <w:pStyle w:val="6"/>
              <w:spacing w:line="500" w:lineRule="exact"/>
              <w:ind w:firstLine="0" w:firstLineChars="0"/>
              <w:jc w:val="center"/>
              <w:rPr>
                <w:rFonts w:hint="eastAsia" w:ascii="宋体" w:hAnsi="宋体" w:eastAsia="宋体" w:cs="宋体"/>
                <w:bCs/>
                <w:color w:val="auto"/>
                <w:sz w:val="28"/>
                <w:szCs w:val="28"/>
              </w:rPr>
            </w:pPr>
          </w:p>
        </w:tc>
      </w:tr>
      <w:tr w14:paraId="75333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4C15CFEE">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6426332B">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411E59BE">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w:t>
            </w:r>
          </w:p>
        </w:tc>
        <w:tc>
          <w:tcPr>
            <w:tcW w:w="2234" w:type="dxa"/>
            <w:noWrap w:val="0"/>
            <w:vAlign w:val="top"/>
          </w:tcPr>
          <w:p w14:paraId="7D0D5B02">
            <w:pPr>
              <w:pStyle w:val="6"/>
              <w:spacing w:line="500" w:lineRule="exact"/>
              <w:ind w:firstLine="0" w:firstLineChars="0"/>
              <w:jc w:val="center"/>
              <w:rPr>
                <w:rFonts w:hint="eastAsia" w:ascii="宋体" w:hAnsi="宋体" w:eastAsia="宋体" w:cs="宋体"/>
                <w:bCs/>
                <w:color w:val="auto"/>
                <w:sz w:val="28"/>
                <w:szCs w:val="28"/>
              </w:rPr>
            </w:pPr>
          </w:p>
        </w:tc>
      </w:tr>
      <w:tr w14:paraId="62755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1A9B8F39">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4019A316">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329C9676">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w:t>
            </w:r>
          </w:p>
        </w:tc>
        <w:tc>
          <w:tcPr>
            <w:tcW w:w="2234" w:type="dxa"/>
            <w:noWrap w:val="0"/>
            <w:vAlign w:val="top"/>
          </w:tcPr>
          <w:p w14:paraId="550F369C">
            <w:pPr>
              <w:pStyle w:val="6"/>
              <w:spacing w:line="500" w:lineRule="exact"/>
              <w:ind w:firstLine="0" w:firstLineChars="0"/>
              <w:jc w:val="center"/>
              <w:rPr>
                <w:rFonts w:hint="eastAsia" w:ascii="宋体" w:hAnsi="宋体" w:eastAsia="宋体" w:cs="宋体"/>
                <w:bCs/>
                <w:color w:val="auto"/>
                <w:sz w:val="28"/>
                <w:szCs w:val="28"/>
              </w:rPr>
            </w:pPr>
          </w:p>
        </w:tc>
      </w:tr>
      <w:tr w14:paraId="77A64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35" w:type="dxa"/>
            <w:gridSpan w:val="4"/>
            <w:noWrap w:val="0"/>
            <w:vAlign w:val="top"/>
          </w:tcPr>
          <w:p w14:paraId="3463D8E2">
            <w:pPr>
              <w:pStyle w:val="6"/>
              <w:spacing w:line="500" w:lineRule="exact"/>
              <w:ind w:firstLine="0" w:firstLineChars="0"/>
              <w:rPr>
                <w:rFonts w:hint="eastAsia" w:ascii="宋体" w:hAnsi="宋体" w:eastAsia="宋体" w:cs="宋体"/>
                <w:bCs/>
                <w:color w:val="auto"/>
                <w:sz w:val="28"/>
                <w:szCs w:val="28"/>
              </w:rPr>
            </w:pPr>
            <w:r>
              <w:rPr>
                <w:rFonts w:hint="eastAsia" w:ascii="宋体" w:hAnsi="宋体" w:eastAsia="宋体" w:cs="宋体"/>
                <w:bCs/>
                <w:color w:val="auto"/>
                <w:sz w:val="28"/>
                <w:szCs w:val="28"/>
              </w:rPr>
              <w:t>收费损耗件备品备件清单</w:t>
            </w:r>
          </w:p>
        </w:tc>
      </w:tr>
      <w:tr w14:paraId="7ACF3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6B9ED7DC">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序号</w:t>
            </w:r>
          </w:p>
        </w:tc>
        <w:tc>
          <w:tcPr>
            <w:tcW w:w="3566" w:type="dxa"/>
            <w:noWrap w:val="0"/>
            <w:vAlign w:val="top"/>
          </w:tcPr>
          <w:p w14:paraId="29407E28">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备品备件名称</w:t>
            </w:r>
          </w:p>
        </w:tc>
        <w:tc>
          <w:tcPr>
            <w:tcW w:w="2234" w:type="dxa"/>
            <w:noWrap w:val="0"/>
            <w:vAlign w:val="top"/>
          </w:tcPr>
          <w:p w14:paraId="3ED295B9">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价格</w:t>
            </w:r>
          </w:p>
        </w:tc>
        <w:tc>
          <w:tcPr>
            <w:tcW w:w="2234" w:type="dxa"/>
            <w:noWrap w:val="0"/>
            <w:vAlign w:val="top"/>
          </w:tcPr>
          <w:p w14:paraId="3191E9DD">
            <w:pPr>
              <w:pStyle w:val="6"/>
              <w:spacing w:line="500" w:lineRule="exact"/>
              <w:ind w:firstLine="0" w:firstLineChars="0"/>
              <w:jc w:val="center"/>
              <w:rPr>
                <w:rFonts w:hint="eastAsia" w:ascii="宋体" w:hAnsi="宋体" w:eastAsia="宋体" w:cs="宋体"/>
                <w:bCs/>
                <w:color w:val="auto"/>
                <w:sz w:val="28"/>
                <w:szCs w:val="28"/>
              </w:rPr>
            </w:pPr>
            <w:r>
              <w:rPr>
                <w:rFonts w:hint="eastAsia" w:ascii="宋体" w:hAnsi="宋体" w:eastAsia="宋体" w:cs="宋体"/>
                <w:bCs/>
                <w:color w:val="auto"/>
                <w:sz w:val="28"/>
                <w:szCs w:val="28"/>
              </w:rPr>
              <w:t>备注</w:t>
            </w:r>
          </w:p>
        </w:tc>
      </w:tr>
      <w:tr w14:paraId="6619F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33307DD">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6BCC6117">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5570C4AF">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77AB3C4C">
            <w:pPr>
              <w:pStyle w:val="6"/>
              <w:spacing w:line="500" w:lineRule="exact"/>
              <w:ind w:firstLine="0" w:firstLineChars="0"/>
              <w:jc w:val="center"/>
              <w:rPr>
                <w:rFonts w:hint="eastAsia" w:ascii="宋体" w:hAnsi="宋体" w:eastAsia="宋体" w:cs="宋体"/>
                <w:bCs/>
                <w:color w:val="auto"/>
                <w:sz w:val="28"/>
                <w:szCs w:val="28"/>
              </w:rPr>
            </w:pPr>
          </w:p>
        </w:tc>
      </w:tr>
      <w:tr w14:paraId="2524E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6BBF021F">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2DF22C07">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71B50FBC">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3D3EF184">
            <w:pPr>
              <w:pStyle w:val="6"/>
              <w:spacing w:line="500" w:lineRule="exact"/>
              <w:ind w:firstLine="0" w:firstLineChars="0"/>
              <w:jc w:val="center"/>
              <w:rPr>
                <w:rFonts w:hint="eastAsia" w:ascii="宋体" w:hAnsi="宋体" w:eastAsia="宋体" w:cs="宋体"/>
                <w:bCs/>
                <w:color w:val="auto"/>
                <w:sz w:val="28"/>
                <w:szCs w:val="28"/>
              </w:rPr>
            </w:pPr>
          </w:p>
        </w:tc>
      </w:tr>
      <w:tr w14:paraId="5CC3F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1D7B8880">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24912E04">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33DB3F44">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0910F5BE">
            <w:pPr>
              <w:pStyle w:val="6"/>
              <w:spacing w:line="500" w:lineRule="exact"/>
              <w:ind w:firstLine="0" w:firstLineChars="0"/>
              <w:jc w:val="center"/>
              <w:rPr>
                <w:rFonts w:hint="eastAsia" w:ascii="宋体" w:hAnsi="宋体" w:eastAsia="宋体" w:cs="宋体"/>
                <w:bCs/>
                <w:color w:val="auto"/>
                <w:sz w:val="28"/>
                <w:szCs w:val="28"/>
              </w:rPr>
            </w:pPr>
          </w:p>
        </w:tc>
      </w:tr>
      <w:tr w14:paraId="21253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20359190">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2F1C904C">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4F6D093E">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1AB757D5">
            <w:pPr>
              <w:pStyle w:val="6"/>
              <w:spacing w:line="500" w:lineRule="exact"/>
              <w:ind w:firstLine="0" w:firstLineChars="0"/>
              <w:jc w:val="center"/>
              <w:rPr>
                <w:rFonts w:hint="eastAsia" w:ascii="宋体" w:hAnsi="宋体" w:eastAsia="宋体" w:cs="宋体"/>
                <w:bCs/>
                <w:color w:val="auto"/>
                <w:sz w:val="28"/>
                <w:szCs w:val="28"/>
              </w:rPr>
            </w:pPr>
          </w:p>
        </w:tc>
      </w:tr>
      <w:tr w14:paraId="0E0D6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5E79A8E1">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6090C67B">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7CA45ED3">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4C55F8BA">
            <w:pPr>
              <w:pStyle w:val="6"/>
              <w:spacing w:line="500" w:lineRule="exact"/>
              <w:ind w:firstLine="0" w:firstLineChars="0"/>
              <w:jc w:val="center"/>
              <w:rPr>
                <w:rFonts w:hint="eastAsia" w:ascii="宋体" w:hAnsi="宋体" w:eastAsia="宋体" w:cs="宋体"/>
                <w:bCs/>
                <w:color w:val="auto"/>
                <w:sz w:val="28"/>
                <w:szCs w:val="28"/>
              </w:rPr>
            </w:pPr>
          </w:p>
        </w:tc>
      </w:tr>
      <w:tr w14:paraId="0D960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60F9E09A">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72149746">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47ACE216">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28A436E0">
            <w:pPr>
              <w:pStyle w:val="6"/>
              <w:spacing w:line="500" w:lineRule="exact"/>
              <w:ind w:firstLine="0" w:firstLineChars="0"/>
              <w:jc w:val="center"/>
              <w:rPr>
                <w:rFonts w:hint="eastAsia" w:ascii="宋体" w:hAnsi="宋体" w:eastAsia="宋体" w:cs="宋体"/>
                <w:bCs/>
                <w:color w:val="auto"/>
                <w:sz w:val="28"/>
                <w:szCs w:val="28"/>
              </w:rPr>
            </w:pPr>
          </w:p>
        </w:tc>
      </w:tr>
      <w:tr w14:paraId="70FF3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1" w:type="dxa"/>
            <w:noWrap w:val="0"/>
            <w:vAlign w:val="top"/>
          </w:tcPr>
          <w:p w14:paraId="07E239C2">
            <w:pPr>
              <w:pStyle w:val="6"/>
              <w:spacing w:line="500" w:lineRule="exact"/>
              <w:ind w:firstLine="0" w:firstLineChars="0"/>
              <w:jc w:val="center"/>
              <w:rPr>
                <w:rFonts w:hint="eastAsia" w:ascii="宋体" w:hAnsi="宋体" w:eastAsia="宋体" w:cs="宋体"/>
                <w:bCs/>
                <w:color w:val="auto"/>
                <w:sz w:val="28"/>
                <w:szCs w:val="28"/>
              </w:rPr>
            </w:pPr>
          </w:p>
        </w:tc>
        <w:tc>
          <w:tcPr>
            <w:tcW w:w="3566" w:type="dxa"/>
            <w:noWrap w:val="0"/>
            <w:vAlign w:val="top"/>
          </w:tcPr>
          <w:p w14:paraId="4031E442">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37533E94">
            <w:pPr>
              <w:pStyle w:val="6"/>
              <w:spacing w:line="500" w:lineRule="exact"/>
              <w:ind w:firstLine="0" w:firstLineChars="0"/>
              <w:jc w:val="center"/>
              <w:rPr>
                <w:rFonts w:hint="eastAsia" w:ascii="宋体" w:hAnsi="宋体" w:eastAsia="宋体" w:cs="宋体"/>
                <w:bCs/>
                <w:color w:val="auto"/>
                <w:sz w:val="28"/>
                <w:szCs w:val="28"/>
              </w:rPr>
            </w:pPr>
          </w:p>
        </w:tc>
        <w:tc>
          <w:tcPr>
            <w:tcW w:w="2234" w:type="dxa"/>
            <w:noWrap w:val="0"/>
            <w:vAlign w:val="top"/>
          </w:tcPr>
          <w:p w14:paraId="5EA95501">
            <w:pPr>
              <w:pStyle w:val="6"/>
              <w:spacing w:line="500" w:lineRule="exact"/>
              <w:ind w:firstLine="0" w:firstLineChars="0"/>
              <w:jc w:val="center"/>
              <w:rPr>
                <w:rFonts w:hint="eastAsia" w:ascii="宋体" w:hAnsi="宋体" w:eastAsia="宋体" w:cs="宋体"/>
                <w:bCs/>
                <w:color w:val="auto"/>
                <w:sz w:val="28"/>
                <w:szCs w:val="28"/>
              </w:rPr>
            </w:pPr>
          </w:p>
        </w:tc>
      </w:tr>
    </w:tbl>
    <w:p w14:paraId="3E9B59C0">
      <w:pPr>
        <w:pStyle w:val="6"/>
        <w:spacing w:line="500" w:lineRule="exact"/>
        <w:ind w:firstLine="0" w:firstLineChars="0"/>
        <w:rPr>
          <w:rFonts w:hint="eastAsia" w:ascii="宋体" w:hAnsi="宋体" w:eastAsia="宋体" w:cs="宋体"/>
          <w:bCs/>
          <w:color w:val="auto"/>
          <w:sz w:val="28"/>
          <w:szCs w:val="28"/>
        </w:rPr>
        <w:sectPr>
          <w:pgSz w:w="11905" w:h="16838"/>
          <w:pgMar w:top="720" w:right="1417" w:bottom="720" w:left="1417" w:header="850" w:footer="992" w:gutter="0"/>
          <w:pgBorders>
            <w:top w:val="none" w:sz="0" w:space="0"/>
            <w:left w:val="none" w:sz="0" w:space="0"/>
            <w:bottom w:val="none" w:sz="0" w:space="0"/>
            <w:right w:val="none" w:sz="0" w:space="0"/>
          </w:pgBorders>
          <w:pgNumType w:fmt="decimal"/>
          <w:cols w:space="720" w:num="1"/>
          <w:docGrid w:type="lines" w:linePitch="416" w:charSpace="0"/>
        </w:sectPr>
      </w:pPr>
      <w:r>
        <w:rPr>
          <w:rFonts w:hint="eastAsia" w:ascii="宋体" w:hAnsi="宋体" w:eastAsia="宋体" w:cs="宋体"/>
          <w:bCs/>
          <w:color w:val="auto"/>
          <w:sz w:val="28"/>
          <w:szCs w:val="28"/>
        </w:rPr>
        <w:t>服务质保期内免费提供损耗件备品备件</w:t>
      </w:r>
    </w:p>
    <w:p w14:paraId="38A548BF">
      <w:pPr>
        <w:pStyle w:val="3"/>
        <w:pageBreakBefore w:val="0"/>
        <w:widowControl w:val="0"/>
        <w:numPr>
          <w:ilvl w:val="1"/>
          <w:numId w:val="0"/>
        </w:numPr>
        <w:wordWrap/>
        <w:topLinePunct w:val="0"/>
        <w:bidi w:val="0"/>
        <w:spacing w:line="360" w:lineRule="auto"/>
        <w:jc w:val="center"/>
        <w:rPr>
          <w:rFonts w:hint="eastAsia" w:ascii="宋体" w:hAnsi="宋体" w:eastAsia="宋体" w:cs="宋体"/>
          <w:b w:val="0"/>
          <w:color w:val="auto"/>
          <w:sz w:val="28"/>
          <w:szCs w:val="28"/>
          <w:highlight w:val="none"/>
        </w:rPr>
      </w:pPr>
    </w:p>
    <w:p w14:paraId="2C20A6BD">
      <w:pPr>
        <w:pStyle w:val="3"/>
        <w:pageBreakBefore w:val="0"/>
        <w:widowControl w:val="0"/>
        <w:numPr>
          <w:ilvl w:val="1"/>
          <w:numId w:val="0"/>
        </w:numPr>
        <w:wordWrap/>
        <w:topLinePunct w:val="0"/>
        <w:bidi w:val="0"/>
        <w:spacing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投标方的资格声明</w:t>
      </w:r>
      <w:bookmarkEnd w:id="193"/>
      <w:bookmarkEnd w:id="194"/>
    </w:p>
    <w:p w14:paraId="578B1E8E">
      <w:pPr>
        <w:pageBreakBefore w:val="0"/>
        <w:widowControl w:val="0"/>
        <w:wordWrap/>
        <w:topLinePunct w:val="0"/>
        <w:bidi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05469E84">
      <w:pPr>
        <w:pageBreakBefore w:val="0"/>
        <w:widowControl w:val="0"/>
        <w:wordWrap/>
        <w:topLinePunct w:val="0"/>
        <w:bidi w:val="0"/>
        <w:spacing w:line="360" w:lineRule="auto"/>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关于贵方</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日发出的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项目招标文件，本投标方愿意参加投标，并证明资格文件中和所要求的说明是真实和准确无误的。</w:t>
      </w:r>
    </w:p>
    <w:p w14:paraId="22547840">
      <w:pPr>
        <w:pageBreakBefore w:val="0"/>
        <w:widowControl w:val="0"/>
        <w:wordWrap/>
        <w:topLinePunct w:val="0"/>
        <w:bidi w:val="0"/>
        <w:spacing w:line="360" w:lineRule="auto"/>
        <w:ind w:firstLine="576"/>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本投标方对可能要求的进一步的资格资料表示理解和同意，并同意按贵方的要求提供任何有关资料。</w:t>
      </w:r>
    </w:p>
    <w:p w14:paraId="5C9814C0">
      <w:pPr>
        <w:pageBreakBefore w:val="0"/>
        <w:widowControl w:val="0"/>
        <w:wordWrap/>
        <w:topLinePunct w:val="0"/>
        <w:bidi w:val="0"/>
        <w:spacing w:line="360" w:lineRule="auto"/>
        <w:ind w:firstLine="576"/>
        <w:rPr>
          <w:rFonts w:hint="eastAsia" w:ascii="宋体" w:hAnsi="宋体" w:eastAsia="宋体" w:cs="宋体"/>
          <w:color w:val="auto"/>
          <w:sz w:val="28"/>
          <w:szCs w:val="28"/>
          <w:highlight w:val="none"/>
        </w:rPr>
      </w:pPr>
    </w:p>
    <w:p w14:paraId="6ECD1371">
      <w:pPr>
        <w:pageBreakBefore w:val="0"/>
        <w:widowControl w:val="0"/>
        <w:wordWrap/>
        <w:topLinePunct w:val="0"/>
        <w:bidi w:val="0"/>
        <w:spacing w:line="360" w:lineRule="auto"/>
        <w:ind w:firstLine="576"/>
        <w:rPr>
          <w:rFonts w:hint="eastAsia" w:ascii="宋体" w:hAnsi="宋体" w:eastAsia="宋体" w:cs="宋体"/>
          <w:color w:val="auto"/>
          <w:sz w:val="28"/>
          <w:szCs w:val="28"/>
          <w:highlight w:val="none"/>
        </w:rPr>
      </w:pPr>
    </w:p>
    <w:p w14:paraId="5A60F309">
      <w:pPr>
        <w:pageBreakBefore w:val="0"/>
        <w:widowControl w:val="0"/>
        <w:wordWrap/>
        <w:topLinePunct w:val="0"/>
        <w:bidi w:val="0"/>
        <w:spacing w:line="360" w:lineRule="auto"/>
        <w:ind w:firstLine="576"/>
        <w:rPr>
          <w:rFonts w:hint="eastAsia" w:ascii="宋体" w:hAnsi="宋体" w:eastAsia="宋体" w:cs="宋体"/>
          <w:color w:val="auto"/>
          <w:sz w:val="28"/>
          <w:szCs w:val="28"/>
          <w:highlight w:val="none"/>
        </w:rPr>
      </w:pPr>
    </w:p>
    <w:p w14:paraId="44265094">
      <w:pPr>
        <w:pageBreakBefore w:val="0"/>
        <w:widowControl w:val="0"/>
        <w:wordWrap/>
        <w:topLinePunct w:val="0"/>
        <w:bidi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投标单位名称：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（公章）</w:t>
      </w:r>
    </w:p>
    <w:p w14:paraId="7A898161">
      <w:pPr>
        <w:pageBreakBefore w:val="0"/>
        <w:widowControl w:val="0"/>
        <w:wordWrap/>
        <w:topLinePunct w:val="0"/>
        <w:bidi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5810A8FB">
      <w:pPr>
        <w:pageBreakBefore w:val="0"/>
        <w:widowControl w:val="0"/>
        <w:wordWrap/>
        <w:topLinePunct w:val="0"/>
        <w:bidi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地址：</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p>
    <w:p w14:paraId="24347B49">
      <w:pPr>
        <w:pageBreakBefore w:val="0"/>
        <w:widowControl w:val="0"/>
        <w:wordWrap/>
        <w:topLinePunct w:val="0"/>
        <w:bidi w:val="0"/>
        <w:spacing w:line="360" w:lineRule="auto"/>
        <w:ind w:firstLine="576"/>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传真：</w:t>
      </w:r>
      <w:r>
        <w:rPr>
          <w:rFonts w:hint="eastAsia" w:ascii="宋体" w:hAnsi="宋体" w:eastAsia="宋体" w:cs="宋体"/>
          <w:color w:val="auto"/>
          <w:sz w:val="28"/>
          <w:szCs w:val="28"/>
          <w:highlight w:val="none"/>
          <w:u w:val="single"/>
        </w:rPr>
        <w:t xml:space="preserve">                                               </w:t>
      </w:r>
    </w:p>
    <w:p w14:paraId="6AAF7BA4">
      <w:pPr>
        <w:pageBreakBefore w:val="0"/>
        <w:widowControl w:val="0"/>
        <w:wordWrap/>
        <w:topLinePunct w:val="0"/>
        <w:bidi w:val="0"/>
        <w:spacing w:line="360" w:lineRule="auto"/>
        <w:ind w:firstLine="576"/>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电话：</w:t>
      </w:r>
      <w:r>
        <w:rPr>
          <w:rFonts w:hint="eastAsia" w:ascii="宋体" w:hAnsi="宋体" w:eastAsia="宋体" w:cs="宋体"/>
          <w:color w:val="auto"/>
          <w:sz w:val="28"/>
          <w:szCs w:val="28"/>
          <w:highlight w:val="none"/>
          <w:u w:val="single"/>
        </w:rPr>
        <w:t xml:space="preserve">                                               </w:t>
      </w:r>
    </w:p>
    <w:p w14:paraId="7C819F37">
      <w:pPr>
        <w:pageBreakBefore w:val="0"/>
        <w:widowControl w:val="0"/>
        <w:wordWrap/>
        <w:topLinePunct w:val="0"/>
        <w:bidi w:val="0"/>
        <w:spacing w:line="360" w:lineRule="auto"/>
        <w:jc w:val="center"/>
        <w:rPr>
          <w:rFonts w:hint="eastAsia" w:ascii="宋体" w:hAnsi="宋体" w:eastAsia="宋体" w:cs="宋体"/>
          <w:b/>
          <w:color w:val="auto"/>
          <w:sz w:val="28"/>
          <w:szCs w:val="28"/>
          <w:highlight w:val="none"/>
        </w:rPr>
      </w:pPr>
    </w:p>
    <w:p w14:paraId="6F3563FA">
      <w:pPr>
        <w:pageBreakBefore w:val="0"/>
        <w:widowControl w:val="0"/>
        <w:wordWrap/>
        <w:topLinePunct w:val="0"/>
        <w:bidi w:val="0"/>
        <w:spacing w:line="360" w:lineRule="auto"/>
        <w:jc w:val="center"/>
        <w:rPr>
          <w:rFonts w:hint="eastAsia" w:ascii="宋体" w:hAnsi="宋体" w:eastAsia="宋体" w:cs="宋体"/>
          <w:b/>
          <w:color w:val="auto"/>
          <w:sz w:val="28"/>
          <w:szCs w:val="28"/>
          <w:highlight w:val="none"/>
        </w:rPr>
      </w:pPr>
    </w:p>
    <w:p w14:paraId="4CCBD8C3">
      <w:pPr>
        <w:pageBreakBefore w:val="0"/>
        <w:widowControl w:val="0"/>
        <w:wordWrap/>
        <w:topLinePunct w:val="0"/>
        <w:bidi w:val="0"/>
        <w:spacing w:line="360" w:lineRule="auto"/>
        <w:jc w:val="center"/>
        <w:rPr>
          <w:rFonts w:hint="eastAsia" w:ascii="宋体" w:hAnsi="宋体" w:eastAsia="宋体" w:cs="宋体"/>
          <w:b/>
          <w:color w:val="auto"/>
          <w:sz w:val="28"/>
          <w:szCs w:val="28"/>
          <w:highlight w:val="none"/>
        </w:rPr>
      </w:pPr>
    </w:p>
    <w:p w14:paraId="3E84498B">
      <w:pPr>
        <w:pageBreakBefore w:val="0"/>
        <w:widowControl w:val="0"/>
        <w:wordWrap/>
        <w:topLinePunct w:val="0"/>
        <w:bidi w:val="0"/>
        <w:jc w:val="center"/>
        <w:rPr>
          <w:rFonts w:hint="eastAsia" w:ascii="宋体" w:hAnsi="宋体" w:eastAsia="宋体" w:cs="宋体"/>
          <w:b/>
          <w:color w:val="auto"/>
          <w:sz w:val="28"/>
          <w:szCs w:val="28"/>
          <w:highlight w:val="none"/>
        </w:rPr>
      </w:pPr>
    </w:p>
    <w:p w14:paraId="70FA7E3E">
      <w:pPr>
        <w:pageBreakBefore w:val="0"/>
        <w:widowControl w:val="0"/>
        <w:wordWrap/>
        <w:topLinePunct w:val="0"/>
        <w:bidi w:val="0"/>
        <w:jc w:val="center"/>
        <w:rPr>
          <w:rFonts w:hint="eastAsia" w:ascii="宋体" w:hAnsi="宋体" w:eastAsia="宋体" w:cs="宋体"/>
          <w:b/>
          <w:color w:val="auto"/>
          <w:sz w:val="28"/>
          <w:szCs w:val="28"/>
          <w:highlight w:val="none"/>
        </w:rPr>
      </w:pPr>
    </w:p>
    <w:p w14:paraId="3AE002F3">
      <w:pPr>
        <w:pageBreakBefore w:val="0"/>
        <w:widowControl w:val="0"/>
        <w:wordWrap/>
        <w:topLinePunct w:val="0"/>
        <w:bidi w:val="0"/>
        <w:jc w:val="center"/>
        <w:rPr>
          <w:rFonts w:hint="eastAsia" w:ascii="宋体" w:hAnsi="宋体" w:eastAsia="宋体" w:cs="宋体"/>
          <w:b/>
          <w:color w:val="auto"/>
          <w:sz w:val="28"/>
          <w:szCs w:val="28"/>
          <w:highlight w:val="none"/>
        </w:rPr>
      </w:pPr>
    </w:p>
    <w:p w14:paraId="675AFD6F">
      <w:pPr>
        <w:pStyle w:val="21"/>
        <w:pageBreakBefore w:val="0"/>
        <w:widowControl w:val="0"/>
        <w:wordWrap/>
        <w:topLinePunct w:val="0"/>
        <w:bidi w:val="0"/>
        <w:rPr>
          <w:rFonts w:hint="eastAsia"/>
          <w:color w:val="auto"/>
          <w:highlight w:val="none"/>
        </w:rPr>
      </w:pPr>
    </w:p>
    <w:p w14:paraId="12FB9179">
      <w:pPr>
        <w:pageBreakBefore w:val="0"/>
        <w:widowControl w:val="0"/>
        <w:numPr>
          <w:ilvl w:val="0"/>
          <w:numId w:val="0"/>
        </w:numPr>
        <w:wordWrap/>
        <w:topLinePunct w:val="0"/>
        <w:bidi w:val="0"/>
        <w:ind w:left="3150" w:leftChars="0"/>
        <w:jc w:val="lef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5、</w:t>
      </w:r>
      <w:r>
        <w:rPr>
          <w:rFonts w:hint="eastAsia" w:ascii="宋体" w:hAnsi="宋体" w:eastAsia="宋体" w:cs="宋体"/>
          <w:b/>
          <w:color w:val="auto"/>
          <w:sz w:val="28"/>
          <w:szCs w:val="28"/>
          <w:highlight w:val="none"/>
        </w:rPr>
        <w:t>投标单位简介</w:t>
      </w:r>
    </w:p>
    <w:p w14:paraId="059F7266">
      <w:pPr>
        <w:pageBreakBefore w:val="0"/>
        <w:widowControl w:val="0"/>
        <w:wordWrap/>
        <w:topLinePunct w:val="0"/>
        <w:bidi w:val="0"/>
        <w:rPr>
          <w:rFonts w:hint="eastAsia" w:ascii="宋体" w:hAnsi="宋体" w:eastAsia="宋体" w:cs="宋体"/>
          <w:b/>
          <w:color w:val="auto"/>
          <w:sz w:val="28"/>
          <w:szCs w:val="28"/>
          <w:highlight w:val="none"/>
        </w:rPr>
      </w:pPr>
    </w:p>
    <w:p w14:paraId="5AB2960A">
      <w:pPr>
        <w:pageBreakBefore w:val="0"/>
        <w:widowControl w:val="0"/>
        <w:wordWrap/>
        <w:topLinePunct w:val="0"/>
        <w:bidi w:val="0"/>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投标人自行编制</w:t>
      </w:r>
    </w:p>
    <w:p w14:paraId="7203A4D6">
      <w:pPr>
        <w:pageBreakBefore w:val="0"/>
        <w:widowControl w:val="0"/>
        <w:wordWrap/>
        <w:topLinePunct w:val="0"/>
        <w:bidi w:val="0"/>
        <w:ind w:firstLine="562" w:firstLineChars="200"/>
        <w:rPr>
          <w:rFonts w:hint="eastAsia" w:ascii="宋体" w:hAnsi="宋体" w:eastAsia="宋体" w:cs="宋体"/>
          <w:b/>
          <w:color w:val="auto"/>
          <w:sz w:val="28"/>
          <w:szCs w:val="28"/>
          <w:highlight w:val="none"/>
        </w:rPr>
      </w:pPr>
    </w:p>
    <w:p w14:paraId="12F4D9A6">
      <w:pPr>
        <w:pageBreakBefore w:val="0"/>
        <w:widowControl w:val="0"/>
        <w:wordWrap/>
        <w:topLinePunct w:val="0"/>
        <w:bidi w:val="0"/>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附：投标人单位相关资质证件</w:t>
      </w:r>
    </w:p>
    <w:p w14:paraId="471A9343">
      <w:pPr>
        <w:pageBreakBefore w:val="0"/>
        <w:widowControl w:val="0"/>
        <w:wordWrap/>
        <w:topLinePunct w:val="0"/>
        <w:bidi w:val="0"/>
        <w:ind w:firstLine="562" w:firstLineChars="200"/>
        <w:rPr>
          <w:rFonts w:hint="eastAsia" w:ascii="宋体" w:hAnsi="宋体" w:eastAsia="宋体" w:cs="宋体"/>
          <w:b/>
          <w:color w:val="auto"/>
          <w:sz w:val="28"/>
          <w:szCs w:val="28"/>
          <w:highlight w:val="none"/>
        </w:rPr>
      </w:pPr>
    </w:p>
    <w:p w14:paraId="6DFBD576">
      <w:pPr>
        <w:pageBreakBefore w:val="0"/>
        <w:widowControl w:val="0"/>
        <w:wordWrap/>
        <w:topLinePunct w:val="0"/>
        <w:bidi w:val="0"/>
        <w:ind w:firstLine="562" w:firstLineChars="200"/>
        <w:rPr>
          <w:rFonts w:hint="eastAsia" w:ascii="宋体" w:hAnsi="宋体" w:eastAsia="宋体" w:cs="宋体"/>
          <w:b/>
          <w:color w:val="auto"/>
          <w:sz w:val="28"/>
          <w:szCs w:val="28"/>
          <w:highlight w:val="none"/>
        </w:rPr>
      </w:pPr>
    </w:p>
    <w:p w14:paraId="14212579">
      <w:pPr>
        <w:pageBreakBefore w:val="0"/>
        <w:widowControl w:val="0"/>
        <w:wordWrap/>
        <w:topLinePunct w:val="0"/>
        <w:bidi w:val="0"/>
        <w:ind w:firstLine="562" w:firstLineChars="200"/>
        <w:rPr>
          <w:rFonts w:hint="eastAsia" w:ascii="宋体" w:hAnsi="宋体" w:eastAsia="宋体" w:cs="宋体"/>
          <w:b/>
          <w:color w:val="auto"/>
          <w:sz w:val="28"/>
          <w:szCs w:val="28"/>
          <w:highlight w:val="none"/>
        </w:rPr>
      </w:pPr>
    </w:p>
    <w:p w14:paraId="27EED86D">
      <w:pPr>
        <w:pStyle w:val="11"/>
        <w:pageBreakBefore w:val="0"/>
        <w:widowControl w:val="0"/>
        <w:wordWrap/>
        <w:topLinePunct w:val="0"/>
        <w:bidi w:val="0"/>
        <w:ind w:firstLine="562"/>
        <w:jc w:val="center"/>
        <w:rPr>
          <w:rFonts w:hint="eastAsia" w:ascii="宋体" w:hAnsi="宋体" w:eastAsia="宋体" w:cs="宋体"/>
          <w:b/>
          <w:color w:val="auto"/>
          <w:kern w:val="2"/>
          <w:sz w:val="28"/>
          <w:szCs w:val="28"/>
          <w:highlight w:val="none"/>
          <w:lang w:val="en-US" w:eastAsia="zh-CN" w:bidi="ar-SA"/>
        </w:rPr>
      </w:pPr>
      <w:r>
        <w:rPr>
          <w:rFonts w:hint="eastAsia" w:ascii="宋体" w:hAnsi="宋体" w:eastAsia="宋体" w:cs="宋体"/>
          <w:b/>
          <w:color w:val="auto"/>
          <w:kern w:val="2"/>
          <w:sz w:val="28"/>
          <w:szCs w:val="28"/>
          <w:highlight w:val="none"/>
          <w:lang w:val="en-US" w:eastAsia="zh-CN" w:bidi="ar-SA"/>
        </w:rPr>
        <w:t>6、出具法人营业执照函</w:t>
      </w:r>
    </w:p>
    <w:p w14:paraId="1CC5A09E">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761B819D">
      <w:pPr>
        <w:pageBreakBefore w:val="0"/>
        <w:widowControl w:val="0"/>
        <w:wordWrap/>
        <w:topLinePunct w:val="0"/>
        <w:bidi w:val="0"/>
        <w:rPr>
          <w:rFonts w:hint="eastAsia" w:ascii="宋体" w:hAnsi="宋体" w:eastAsia="宋体" w:cs="宋体"/>
          <w:color w:val="auto"/>
          <w:sz w:val="28"/>
          <w:szCs w:val="28"/>
          <w:highlight w:val="none"/>
        </w:rPr>
      </w:pPr>
    </w:p>
    <w:p w14:paraId="6DF55091">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现附上由</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（签发机关名称）签发的我方法人营业执照复印件，该执照已经年检，真实有效。</w:t>
      </w:r>
    </w:p>
    <w:p w14:paraId="236523D3">
      <w:pPr>
        <w:pageBreakBefore w:val="0"/>
        <w:widowControl w:val="0"/>
        <w:wordWrap/>
        <w:topLinePunct w:val="0"/>
        <w:bidi w:val="0"/>
        <w:ind w:firstLine="852"/>
        <w:rPr>
          <w:rFonts w:hint="eastAsia" w:ascii="宋体" w:hAnsi="宋体" w:eastAsia="宋体" w:cs="宋体"/>
          <w:color w:val="auto"/>
          <w:sz w:val="28"/>
          <w:szCs w:val="28"/>
          <w:highlight w:val="none"/>
        </w:rPr>
      </w:pPr>
    </w:p>
    <w:p w14:paraId="36E8F393">
      <w:pPr>
        <w:pageBreakBefore w:val="0"/>
        <w:widowControl w:val="0"/>
        <w:wordWrap/>
        <w:topLinePunct w:val="0"/>
        <w:bidi w:val="0"/>
        <w:ind w:firstLine="852"/>
        <w:rPr>
          <w:rFonts w:hint="eastAsia" w:ascii="宋体" w:hAnsi="宋体" w:eastAsia="宋体" w:cs="宋体"/>
          <w:color w:val="auto"/>
          <w:sz w:val="28"/>
          <w:szCs w:val="28"/>
          <w:highlight w:val="none"/>
        </w:rPr>
      </w:pPr>
    </w:p>
    <w:p w14:paraId="5A033E0F">
      <w:pPr>
        <w:pageBreakBefore w:val="0"/>
        <w:widowControl w:val="0"/>
        <w:wordWrap/>
        <w:topLinePunct w:val="0"/>
        <w:bidi w:val="0"/>
        <w:ind w:firstLine="852"/>
        <w:rPr>
          <w:rFonts w:hint="eastAsia" w:ascii="宋体" w:hAnsi="宋体" w:eastAsia="宋体" w:cs="宋体"/>
          <w:color w:val="auto"/>
          <w:sz w:val="28"/>
          <w:szCs w:val="28"/>
          <w:highlight w:val="none"/>
        </w:rPr>
      </w:pPr>
    </w:p>
    <w:p w14:paraId="093E4C5E">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650B78E5">
      <w:pPr>
        <w:pageBreakBefore w:val="0"/>
        <w:widowControl w:val="0"/>
        <w:wordWrap/>
        <w:topLinePunct w:val="0"/>
        <w:bidi w:val="0"/>
        <w:rPr>
          <w:rFonts w:hint="eastAsia" w:ascii="宋体" w:hAnsi="宋体" w:eastAsia="宋体" w:cs="宋体"/>
          <w:b/>
          <w:bCs/>
          <w:color w:val="auto"/>
          <w:sz w:val="28"/>
          <w:szCs w:val="28"/>
          <w:highlight w:val="none"/>
        </w:rPr>
      </w:pPr>
      <w:r>
        <w:rPr>
          <w:rFonts w:hint="eastAsia" w:ascii="宋体" w:hAnsi="宋体" w:eastAsia="宋体" w:cs="宋体"/>
          <w:color w:val="auto"/>
          <w:sz w:val="28"/>
          <w:szCs w:val="28"/>
          <w:highlight w:val="none"/>
        </w:rPr>
        <w:t xml:space="preserve"> 法定代表人（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05F2AA6D">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46CEE818">
      <w:pPr>
        <w:pageBreakBefore w:val="0"/>
        <w:widowControl w:val="0"/>
        <w:wordWrap/>
        <w:topLinePunct w:val="0"/>
        <w:bidi w:val="0"/>
        <w:rPr>
          <w:rFonts w:hint="eastAsia" w:ascii="宋体" w:hAnsi="宋体" w:eastAsia="宋体" w:cs="宋体"/>
          <w:color w:val="auto"/>
          <w:sz w:val="28"/>
          <w:szCs w:val="28"/>
          <w:highlight w:val="none"/>
        </w:rPr>
      </w:pPr>
    </w:p>
    <w:p w14:paraId="4B366FD8">
      <w:pPr>
        <w:pStyle w:val="11"/>
        <w:pageBreakBefore w:val="0"/>
        <w:widowControl w:val="0"/>
        <w:wordWrap/>
        <w:topLinePunct w:val="0"/>
        <w:bidi w:val="0"/>
        <w:ind w:firstLine="562"/>
        <w:jc w:val="center"/>
        <w:rPr>
          <w:rFonts w:hint="eastAsia" w:ascii="宋体" w:hAnsi="宋体" w:eastAsia="宋体" w:cs="宋体"/>
          <w:b/>
          <w:color w:val="auto"/>
          <w:szCs w:val="28"/>
          <w:highlight w:val="none"/>
        </w:rPr>
      </w:pPr>
      <w:r>
        <w:rPr>
          <w:rFonts w:hint="eastAsia" w:hAnsi="宋体" w:eastAsia="宋体" w:cs="宋体"/>
          <w:b/>
          <w:color w:val="auto"/>
          <w:szCs w:val="28"/>
          <w:highlight w:val="none"/>
          <w:lang w:val="en-US" w:eastAsia="zh-CN"/>
        </w:rPr>
        <w:t>7、</w:t>
      </w:r>
      <w:r>
        <w:rPr>
          <w:rFonts w:hint="eastAsia" w:ascii="宋体" w:hAnsi="宋体" w:eastAsia="宋体" w:cs="宋体"/>
          <w:b/>
          <w:color w:val="auto"/>
          <w:szCs w:val="28"/>
          <w:highlight w:val="none"/>
        </w:rPr>
        <w:t>法定代表人证明书</w:t>
      </w:r>
    </w:p>
    <w:p w14:paraId="7AA3E6FB">
      <w:pPr>
        <w:pageBreakBefore w:val="0"/>
        <w:widowControl w:val="0"/>
        <w:wordWrap/>
        <w:topLinePunct w:val="0"/>
        <w:bidi w:val="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单位名称：</w:t>
      </w:r>
      <w:r>
        <w:rPr>
          <w:rFonts w:hint="eastAsia" w:ascii="宋体" w:hAnsi="宋体" w:eastAsia="宋体" w:cs="宋体"/>
          <w:color w:val="auto"/>
          <w:sz w:val="28"/>
          <w:szCs w:val="28"/>
          <w:highlight w:val="none"/>
          <w:u w:val="single"/>
        </w:rPr>
        <w:t xml:space="preserve">                                                  </w:t>
      </w:r>
    </w:p>
    <w:p w14:paraId="78486A05">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地址：</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p>
    <w:p w14:paraId="16D45B9A">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姓名：</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性别：</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职务：</w:t>
      </w:r>
      <w:r>
        <w:rPr>
          <w:rFonts w:hint="eastAsia" w:ascii="宋体" w:hAnsi="宋体" w:eastAsia="宋体" w:cs="宋体"/>
          <w:color w:val="auto"/>
          <w:sz w:val="28"/>
          <w:szCs w:val="28"/>
          <w:highlight w:val="none"/>
          <w:u w:val="single"/>
        </w:rPr>
        <w:t xml:space="preserve">             </w:t>
      </w:r>
    </w:p>
    <w:p w14:paraId="54223D78">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系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的法定代表人。</w:t>
      </w:r>
    </w:p>
    <w:p w14:paraId="4C490C64">
      <w:pPr>
        <w:pageBreakBefore w:val="0"/>
        <w:widowControl w:val="0"/>
        <w:wordWrap/>
        <w:topLinePunct w:val="0"/>
        <w:bidi w:val="0"/>
        <w:rPr>
          <w:rFonts w:hint="eastAsia" w:ascii="宋体" w:hAnsi="宋体" w:eastAsia="宋体" w:cs="宋体"/>
          <w:color w:val="auto"/>
          <w:sz w:val="28"/>
          <w:szCs w:val="28"/>
          <w:highlight w:val="none"/>
        </w:rPr>
      </w:pPr>
    </w:p>
    <w:p w14:paraId="32218512">
      <w:pPr>
        <w:pageBreakBefore w:val="0"/>
        <w:widowControl w:val="0"/>
        <w:wordWrap/>
        <w:topLinePunct w:val="0"/>
        <w:bidi w:val="0"/>
        <w:rPr>
          <w:rFonts w:hint="eastAsia" w:ascii="宋体" w:hAnsi="宋体" w:eastAsia="宋体" w:cs="宋体"/>
          <w:color w:val="auto"/>
          <w:sz w:val="28"/>
          <w:szCs w:val="28"/>
          <w:highlight w:val="none"/>
        </w:rPr>
      </w:pPr>
    </w:p>
    <w:p w14:paraId="455C0C22">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投标单位名称：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（公章）</w:t>
      </w:r>
    </w:p>
    <w:p w14:paraId="2F2D8E12">
      <w:pPr>
        <w:pageBreakBefore w:val="0"/>
        <w:widowControl w:val="0"/>
        <w:wordWrap/>
        <w:topLinePunct w:val="0"/>
        <w:bidi w:val="0"/>
        <w:ind w:firstLine="1120" w:firstLineChars="400"/>
        <w:jc w:val="right"/>
        <w:rPr>
          <w:rFonts w:hint="eastAsia" w:ascii="宋体" w:hAnsi="宋体" w:eastAsia="宋体" w:cs="宋体"/>
          <w:color w:val="auto"/>
          <w:sz w:val="28"/>
          <w:szCs w:val="28"/>
          <w:highlight w:val="none"/>
        </w:rPr>
      </w:pPr>
    </w:p>
    <w:p w14:paraId="535B546E">
      <w:pPr>
        <w:pageBreakBefore w:val="0"/>
        <w:widowControl w:val="0"/>
        <w:wordWrap/>
        <w:topLinePunct w:val="0"/>
        <w:bidi w:val="0"/>
        <w:ind w:firstLine="1120" w:firstLineChars="400"/>
        <w:jc w:val="right"/>
        <w:rPr>
          <w:rFonts w:hint="eastAsia" w:ascii="宋体" w:hAnsi="宋体" w:eastAsia="宋体" w:cs="宋体"/>
          <w:color w:val="auto"/>
          <w:sz w:val="28"/>
          <w:szCs w:val="28"/>
          <w:highlight w:val="none"/>
        </w:rPr>
      </w:pPr>
    </w:p>
    <w:p w14:paraId="6CBA0BED">
      <w:pPr>
        <w:pStyle w:val="21"/>
        <w:pageBreakBefore w:val="0"/>
        <w:widowControl w:val="0"/>
        <w:wordWrap/>
        <w:topLinePunct w:val="0"/>
        <w:bidi w:val="0"/>
        <w:ind w:left="0" w:leftChars="0" w:firstLine="0" w:firstLineChars="0"/>
        <w:rPr>
          <w:rFonts w:hint="eastAsia" w:ascii="宋体" w:hAnsi="宋体" w:eastAsia="宋体" w:cs="宋体"/>
          <w:color w:val="auto"/>
          <w:highlight w:val="none"/>
        </w:rPr>
      </w:pPr>
      <w:r>
        <w:rPr>
          <w:rFonts w:hint="eastAsia" w:ascii="宋体" w:hAnsi="宋体" w:eastAsia="宋体" w:cs="宋体"/>
          <w:b w:val="0"/>
          <w:bCs w:val="0"/>
          <w:color w:val="auto"/>
          <w:sz w:val="30"/>
          <w:szCs w:val="30"/>
          <w:highlight w:val="none"/>
        </w:rPr>
        <mc:AlternateContent>
          <mc:Choice Requires="wps">
            <w:drawing>
              <wp:anchor distT="0" distB="0" distL="114300" distR="114300" simplePos="0" relativeHeight="251660288" behindDoc="1" locked="0" layoutInCell="1" allowOverlap="1">
                <wp:simplePos x="0" y="0"/>
                <wp:positionH relativeFrom="column">
                  <wp:posOffset>2631440</wp:posOffset>
                </wp:positionH>
                <wp:positionV relativeFrom="paragraph">
                  <wp:posOffset>251460</wp:posOffset>
                </wp:positionV>
                <wp:extent cx="2472690" cy="1263650"/>
                <wp:effectExtent l="4445" t="4445" r="18415" b="8255"/>
                <wp:wrapTight wrapText="bothSides">
                  <wp:wrapPolygon>
                    <wp:start x="-39" y="-76"/>
                    <wp:lineTo x="-39" y="21415"/>
                    <wp:lineTo x="21428" y="21415"/>
                    <wp:lineTo x="21428" y="-76"/>
                    <wp:lineTo x="-39" y="-76"/>
                  </wp:wrapPolygon>
                </wp:wrapTight>
                <wp:docPr id="6" name="文本框 6"/>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5FC182D2">
                            <w:pPr>
                              <w:jc w:val="center"/>
                              <w:rPr>
                                <w:rFonts w:hint="eastAsia" w:eastAsia="宋体"/>
                                <w:sz w:val="28"/>
                                <w:szCs w:val="28"/>
                                <w:lang w:val="en-US" w:eastAsia="zh-CN"/>
                              </w:rPr>
                            </w:pPr>
                            <w:r>
                              <w:rPr>
                                <w:rFonts w:hint="eastAsia"/>
                                <w:sz w:val="28"/>
                                <w:szCs w:val="28"/>
                              </w:rPr>
                              <w:t>法人身份证复印件</w:t>
                            </w:r>
                            <w:r>
                              <w:rPr>
                                <w:rFonts w:hint="eastAsia"/>
                                <w:sz w:val="28"/>
                                <w:szCs w:val="28"/>
                                <w:lang w:eastAsia="zh-CN"/>
                              </w:rPr>
                              <w:t>（</w:t>
                            </w:r>
                            <w:r>
                              <w:rPr>
                                <w:rFonts w:hint="eastAsia"/>
                                <w:sz w:val="28"/>
                                <w:szCs w:val="28"/>
                                <w:lang w:val="en-US" w:eastAsia="zh-CN"/>
                              </w:rPr>
                              <w:t>反面）</w:t>
                            </w:r>
                          </w:p>
                        </w:txbxContent>
                      </wps:txbx>
                      <wps:bodyPr upright="1"/>
                    </wps:wsp>
                  </a:graphicData>
                </a:graphic>
              </wp:anchor>
            </w:drawing>
          </mc:Choice>
          <mc:Fallback>
            <w:pict>
              <v:shape id="_x0000_s1026" o:spid="_x0000_s1026" o:spt="202" type="#_x0000_t202" style="position:absolute;left:0pt;margin-left:207.2pt;margin-top:19.8pt;height:99.5pt;width:194.7pt;mso-wrap-distance-left:9pt;mso-wrap-distance-right:9pt;z-index:-251656192;mso-width-relative:page;mso-height-relative:page;" fillcolor="#FFFFFF" filled="t" stroked="t" coordsize="21600,21600" wrapcoords="-39 -76 -39 21415 21428 21415 21428 -76 -39 -76" o:gfxdata="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Dc3ANoAAAAKAQAADwAA&#10;AAAAAAABACAAAAAiAAAAZHJzL2Rvd25yZXYueG1sUEsBAhQAFAAAAAgAh07iQLlwfo8UAgAARQQA&#10;AA4AAAAAAAAAAQAgAAAAKQEAAGRycy9lMm9Eb2MueG1sUEsFBgAAAAAGAAYAWQEAAK8FAAAAAA==&#10;">
                <v:fill on="t" focussize="0,0"/>
                <v:stroke color="#000000" joinstyle="miter" dashstyle="1 1" endcap="round"/>
                <v:imagedata o:title=""/>
                <o:lock v:ext="edit" aspectratio="f"/>
                <v:textbox>
                  <w:txbxContent>
                    <w:p w14:paraId="5FC182D2">
                      <w:pPr>
                        <w:jc w:val="center"/>
                        <w:rPr>
                          <w:rFonts w:hint="eastAsia" w:eastAsia="宋体"/>
                          <w:sz w:val="28"/>
                          <w:szCs w:val="28"/>
                          <w:lang w:val="en-US" w:eastAsia="zh-CN"/>
                        </w:rPr>
                      </w:pPr>
                      <w:r>
                        <w:rPr>
                          <w:rFonts w:hint="eastAsia"/>
                          <w:sz w:val="28"/>
                          <w:szCs w:val="28"/>
                        </w:rPr>
                        <w:t>法人身份证复印件</w:t>
                      </w:r>
                      <w:r>
                        <w:rPr>
                          <w:rFonts w:hint="eastAsia"/>
                          <w:sz w:val="28"/>
                          <w:szCs w:val="28"/>
                          <w:lang w:eastAsia="zh-CN"/>
                        </w:rPr>
                        <w:t>（</w:t>
                      </w:r>
                      <w:r>
                        <w:rPr>
                          <w:rFonts w:hint="eastAsia"/>
                          <w:sz w:val="28"/>
                          <w:szCs w:val="28"/>
                          <w:lang w:val="en-US" w:eastAsia="zh-CN"/>
                        </w:rPr>
                        <w:t>反面）</w:t>
                      </w:r>
                    </w:p>
                  </w:txbxContent>
                </v:textbox>
                <w10:wrap type="tight"/>
              </v:shape>
            </w:pict>
          </mc:Fallback>
        </mc:AlternateContent>
      </w:r>
      <w:r>
        <w:rPr>
          <w:rFonts w:hint="eastAsia" w:ascii="宋体" w:hAnsi="宋体" w:eastAsia="宋体" w:cs="宋体"/>
          <w:b w:val="0"/>
          <w:bCs w:val="0"/>
          <w:color w:val="auto"/>
          <w:sz w:val="30"/>
          <w:szCs w:val="30"/>
          <w:highlight w:val="none"/>
        </w:rPr>
        <mc:AlternateContent>
          <mc:Choice Requires="wps">
            <w:drawing>
              <wp:anchor distT="0" distB="0" distL="114300" distR="114300" simplePos="0" relativeHeight="251659264" behindDoc="1" locked="0" layoutInCell="1" allowOverlap="1">
                <wp:simplePos x="0" y="0"/>
                <wp:positionH relativeFrom="column">
                  <wp:posOffset>-31115</wp:posOffset>
                </wp:positionH>
                <wp:positionV relativeFrom="paragraph">
                  <wp:posOffset>233680</wp:posOffset>
                </wp:positionV>
                <wp:extent cx="2472690" cy="1263650"/>
                <wp:effectExtent l="4445" t="4445" r="18415" b="8255"/>
                <wp:wrapTight wrapText="bothSides">
                  <wp:wrapPolygon>
                    <wp:start x="-39" y="-76"/>
                    <wp:lineTo x="-39" y="21415"/>
                    <wp:lineTo x="21428" y="21415"/>
                    <wp:lineTo x="21428" y="-76"/>
                    <wp:lineTo x="-39" y="-76"/>
                  </wp:wrapPolygon>
                </wp:wrapTight>
                <wp:docPr id="11" name="文本框 11"/>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1A720D7F">
                            <w:pPr>
                              <w:jc w:val="center"/>
                              <w:rPr>
                                <w:rFonts w:hint="eastAsia" w:eastAsia="宋体"/>
                                <w:sz w:val="28"/>
                                <w:szCs w:val="28"/>
                                <w:lang w:val="en-US" w:eastAsia="zh-CN"/>
                              </w:rPr>
                            </w:pPr>
                            <w:r>
                              <w:rPr>
                                <w:rFonts w:hint="eastAsia"/>
                                <w:sz w:val="28"/>
                                <w:szCs w:val="28"/>
                              </w:rPr>
                              <w:t>法人身份证复印件</w:t>
                            </w:r>
                            <w:r>
                              <w:rPr>
                                <w:rFonts w:hint="eastAsia"/>
                                <w:sz w:val="28"/>
                                <w:szCs w:val="28"/>
                                <w:lang w:eastAsia="zh-CN"/>
                              </w:rPr>
                              <w:t>（</w:t>
                            </w:r>
                            <w:r>
                              <w:rPr>
                                <w:rFonts w:hint="eastAsia"/>
                                <w:sz w:val="28"/>
                                <w:szCs w:val="28"/>
                                <w:lang w:val="en-US" w:eastAsia="zh-CN"/>
                              </w:rPr>
                              <w:t>正面）</w:t>
                            </w:r>
                          </w:p>
                        </w:txbxContent>
                      </wps:txbx>
                      <wps:bodyPr upright="1"/>
                    </wps:wsp>
                  </a:graphicData>
                </a:graphic>
              </wp:anchor>
            </w:drawing>
          </mc:Choice>
          <mc:Fallback>
            <w:pict>
              <v:shape id="_x0000_s1026" o:spid="_x0000_s1026" o:spt="202" type="#_x0000_t202" style="position:absolute;left:0pt;margin-left:-2.45pt;margin-top:18.4pt;height:99.5pt;width:194.7pt;mso-wrap-distance-left:9pt;mso-wrap-distance-right:9pt;z-index:-251657216;mso-width-relative:page;mso-height-relative:page;" fillcolor="#FFFFFF" filled="t" stroked="t" coordsize="21600,21600" wrapcoords="-39 -76 -39 21415 21428 21415 21428 -76 -39 -76" o:gfxdata="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FV4FuzaAAAACQEAAA8A&#10;AAAAAAAAAQAgAAAAIgAAAGRycy9kb3ducmV2LnhtbFBLAQIUABQAAAAIAIdO4kC3jMcmFQIAAEcE&#10;AAAOAAAAAAAAAAEAIAAAACkBAABkcnMvZTJvRG9jLnhtbFBLBQYAAAAABgAGAFkBAACwBQAAAAA=&#10;">
                <v:fill on="t" focussize="0,0"/>
                <v:stroke color="#000000" joinstyle="miter" dashstyle="1 1" endcap="round"/>
                <v:imagedata o:title=""/>
                <o:lock v:ext="edit" aspectratio="f"/>
                <v:textbox>
                  <w:txbxContent>
                    <w:p w14:paraId="1A720D7F">
                      <w:pPr>
                        <w:jc w:val="center"/>
                        <w:rPr>
                          <w:rFonts w:hint="eastAsia" w:eastAsia="宋体"/>
                          <w:sz w:val="28"/>
                          <w:szCs w:val="28"/>
                          <w:lang w:val="en-US" w:eastAsia="zh-CN"/>
                        </w:rPr>
                      </w:pPr>
                      <w:r>
                        <w:rPr>
                          <w:rFonts w:hint="eastAsia"/>
                          <w:sz w:val="28"/>
                          <w:szCs w:val="28"/>
                        </w:rPr>
                        <w:t>法人身份证复印件</w:t>
                      </w:r>
                      <w:r>
                        <w:rPr>
                          <w:rFonts w:hint="eastAsia"/>
                          <w:sz w:val="28"/>
                          <w:szCs w:val="28"/>
                          <w:lang w:eastAsia="zh-CN"/>
                        </w:rPr>
                        <w:t>（</w:t>
                      </w:r>
                      <w:r>
                        <w:rPr>
                          <w:rFonts w:hint="eastAsia"/>
                          <w:sz w:val="28"/>
                          <w:szCs w:val="28"/>
                          <w:lang w:val="en-US" w:eastAsia="zh-CN"/>
                        </w:rPr>
                        <w:t>正面）</w:t>
                      </w:r>
                    </w:p>
                  </w:txbxContent>
                </v:textbox>
                <w10:wrap type="tight"/>
              </v:shape>
            </w:pict>
          </mc:Fallback>
        </mc:AlternateContent>
      </w:r>
    </w:p>
    <w:p w14:paraId="3C47BCF3">
      <w:pPr>
        <w:pageBreakBefore w:val="0"/>
        <w:widowControl w:val="0"/>
        <w:wordWrap/>
        <w:topLinePunct w:val="0"/>
        <w:bidi w:val="0"/>
        <w:ind w:firstLine="1120" w:firstLineChars="400"/>
        <w:jc w:val="right"/>
        <w:rPr>
          <w:rFonts w:hint="eastAsia" w:ascii="宋体" w:hAnsi="宋体" w:eastAsia="宋体" w:cs="宋体"/>
          <w:color w:val="auto"/>
          <w:sz w:val="28"/>
          <w:szCs w:val="28"/>
          <w:highlight w:val="none"/>
        </w:rPr>
      </w:pPr>
    </w:p>
    <w:p w14:paraId="60290694">
      <w:pPr>
        <w:pageBreakBefore w:val="0"/>
        <w:widowControl w:val="0"/>
        <w:wordWrap/>
        <w:topLinePunct w:val="0"/>
        <w:bidi w:val="0"/>
        <w:ind w:firstLine="1120" w:firstLineChars="4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2283C599">
      <w:pPr>
        <w:pageBreakBefore w:val="0"/>
        <w:widowControl w:val="0"/>
        <w:wordWrap/>
        <w:topLinePunct w:val="0"/>
        <w:bidi w:val="0"/>
        <w:rPr>
          <w:rFonts w:hint="eastAsia" w:ascii="宋体" w:hAnsi="宋体" w:eastAsia="宋体" w:cs="宋体"/>
          <w:color w:val="auto"/>
          <w:sz w:val="28"/>
          <w:szCs w:val="28"/>
          <w:highlight w:val="none"/>
        </w:rPr>
      </w:pPr>
    </w:p>
    <w:p w14:paraId="4FD8E6D8">
      <w:pPr>
        <w:pageBreakBefore w:val="0"/>
        <w:widowControl w:val="0"/>
        <w:wordWrap/>
        <w:topLinePunct w:val="0"/>
        <w:bidi w:val="0"/>
        <w:adjustRightInd w:val="0"/>
        <w:snapToGrid w:val="0"/>
        <w:spacing w:line="240" w:lineRule="auto"/>
        <w:ind w:right="42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注：如法人开标需</w:t>
      </w:r>
      <w:r>
        <w:rPr>
          <w:rFonts w:hint="eastAsia" w:ascii="宋体" w:hAnsi="宋体" w:eastAsia="宋体" w:cs="宋体"/>
          <w:b/>
          <w:color w:val="auto"/>
          <w:sz w:val="28"/>
          <w:szCs w:val="28"/>
          <w:highlight w:val="none"/>
          <w:lang w:eastAsia="zh-CN"/>
        </w:rPr>
        <w:t>严格按照以上格式开标时</w:t>
      </w:r>
      <w:r>
        <w:rPr>
          <w:rFonts w:hint="eastAsia" w:ascii="宋体" w:hAnsi="宋体" w:eastAsia="宋体" w:cs="宋体"/>
          <w:b/>
          <w:color w:val="auto"/>
          <w:sz w:val="28"/>
          <w:szCs w:val="28"/>
          <w:highlight w:val="none"/>
        </w:rPr>
        <w:t>出示此表</w:t>
      </w:r>
    </w:p>
    <w:p w14:paraId="1911D0E0">
      <w:pPr>
        <w:pStyle w:val="4"/>
        <w:pageBreakBefore w:val="0"/>
        <w:widowControl w:val="0"/>
        <w:wordWrap/>
        <w:topLinePunct w:val="0"/>
        <w:bidi w:val="0"/>
        <w:spacing w:line="240" w:lineRule="auto"/>
        <w:rPr>
          <w:rFonts w:hint="eastAsia" w:ascii="宋体" w:hAnsi="宋体" w:eastAsia="宋体" w:cs="宋体"/>
          <w:b w:val="0"/>
          <w:color w:val="auto"/>
          <w:sz w:val="28"/>
          <w:szCs w:val="28"/>
          <w:highlight w:val="none"/>
        </w:rPr>
      </w:pPr>
      <w:r>
        <w:rPr>
          <w:rFonts w:hint="eastAsia" w:ascii="宋体" w:hAnsi="宋体" w:eastAsia="宋体" w:cs="宋体"/>
          <w:b w:val="0"/>
          <w:color w:val="auto"/>
          <w:sz w:val="28"/>
          <w:szCs w:val="28"/>
          <w:highlight w:val="none"/>
        </w:rPr>
        <w:t>后附：需提供</w:t>
      </w:r>
      <w:r>
        <w:rPr>
          <w:rFonts w:hint="eastAsia" w:ascii="宋体" w:hAnsi="宋体" w:eastAsia="宋体" w:cs="宋体"/>
          <w:b w:val="0"/>
          <w:color w:val="auto"/>
          <w:sz w:val="28"/>
          <w:szCs w:val="28"/>
          <w:highlight w:val="none"/>
          <w:lang w:val="en-US" w:eastAsia="zh-CN"/>
        </w:rPr>
        <w:t>法人</w:t>
      </w:r>
      <w:r>
        <w:rPr>
          <w:rFonts w:hint="eastAsia" w:ascii="宋体" w:hAnsi="宋体" w:eastAsia="宋体" w:cs="宋体"/>
          <w:b w:val="0"/>
          <w:color w:val="auto"/>
          <w:sz w:val="28"/>
          <w:szCs w:val="28"/>
          <w:highlight w:val="none"/>
        </w:rPr>
        <w:t>近</w:t>
      </w:r>
      <w:r>
        <w:rPr>
          <w:rFonts w:hint="eastAsia" w:ascii="宋体" w:hAnsi="宋体" w:eastAsia="宋体" w:cs="宋体"/>
          <w:b/>
          <w:color w:val="auto"/>
          <w:sz w:val="28"/>
          <w:szCs w:val="28"/>
          <w:highlight w:val="none"/>
          <w:lang w:val="en-US" w:eastAsia="zh-CN"/>
        </w:rPr>
        <w:t>三</w:t>
      </w:r>
      <w:r>
        <w:rPr>
          <w:rFonts w:hint="eastAsia" w:ascii="宋体" w:hAnsi="宋体" w:eastAsia="宋体" w:cs="宋体"/>
          <w:b w:val="0"/>
          <w:color w:val="auto"/>
          <w:sz w:val="28"/>
          <w:szCs w:val="28"/>
          <w:highlight w:val="none"/>
        </w:rPr>
        <w:t>个月社保缴纳</w:t>
      </w:r>
      <w:r>
        <w:rPr>
          <w:rFonts w:hint="eastAsia" w:ascii="宋体" w:hAnsi="宋体" w:eastAsia="宋体" w:cs="宋体"/>
          <w:b w:val="0"/>
          <w:color w:val="auto"/>
          <w:sz w:val="28"/>
          <w:szCs w:val="28"/>
          <w:highlight w:val="none"/>
          <w:lang w:val="en-US" w:eastAsia="zh-CN"/>
        </w:rPr>
        <w:t>个人明细及缴费凭证</w:t>
      </w:r>
      <w:r>
        <w:rPr>
          <w:rFonts w:hint="eastAsia" w:ascii="宋体" w:hAnsi="宋体" w:eastAsia="宋体" w:cs="宋体"/>
          <w:b w:val="0"/>
          <w:color w:val="auto"/>
          <w:sz w:val="28"/>
          <w:szCs w:val="28"/>
          <w:highlight w:val="none"/>
        </w:rPr>
        <w:t>。</w:t>
      </w:r>
    </w:p>
    <w:p w14:paraId="15B4632B">
      <w:pPr>
        <w:pStyle w:val="4"/>
        <w:pageBreakBefore w:val="0"/>
        <w:widowControl w:val="0"/>
        <w:wordWrap/>
        <w:topLinePunct w:val="0"/>
        <w:bidi w:val="0"/>
        <w:outlineLvl w:val="9"/>
        <w:rPr>
          <w:rFonts w:hint="eastAsia"/>
          <w:highlight w:val="none"/>
          <w:lang w:val="en-US" w:eastAsia="zh-CN"/>
        </w:rPr>
      </w:pPr>
    </w:p>
    <w:p w14:paraId="625C59B6">
      <w:pPr>
        <w:pStyle w:val="4"/>
        <w:pageBreakBefore w:val="0"/>
        <w:widowControl w:val="0"/>
        <w:wordWrap/>
        <w:topLinePunct w:val="0"/>
        <w:bidi w:val="0"/>
        <w:outlineLvl w:val="9"/>
        <w:rPr>
          <w:rFonts w:hint="eastAsia" w:ascii="宋体" w:hAnsi="宋体" w:eastAsia="宋体" w:cs="宋体"/>
          <w:color w:val="auto"/>
          <w:highlight w:val="none"/>
        </w:rPr>
      </w:pPr>
    </w:p>
    <w:p w14:paraId="1438D5B8">
      <w:pPr>
        <w:rPr>
          <w:rFonts w:hint="eastAsia"/>
        </w:rPr>
      </w:pPr>
    </w:p>
    <w:p w14:paraId="0E7B2D22">
      <w:pPr>
        <w:pStyle w:val="21"/>
        <w:pageBreakBefore w:val="0"/>
        <w:widowControl w:val="0"/>
        <w:wordWrap/>
        <w:topLinePunct w:val="0"/>
        <w:bidi w:val="0"/>
        <w:ind w:left="0" w:leftChars="0" w:firstLine="0" w:firstLineChars="0"/>
        <w:rPr>
          <w:rFonts w:hint="eastAsia" w:ascii="宋体" w:hAnsi="宋体" w:eastAsia="宋体" w:cs="宋体"/>
          <w:color w:val="auto"/>
          <w:sz w:val="28"/>
          <w:szCs w:val="28"/>
          <w:highlight w:val="none"/>
        </w:rPr>
      </w:pPr>
    </w:p>
    <w:p w14:paraId="3C625C9F">
      <w:pPr>
        <w:pageBreakBefore w:val="0"/>
        <w:widowControl w:val="0"/>
        <w:wordWrap/>
        <w:topLinePunct w:val="0"/>
        <w:bidi w:val="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8</w:t>
      </w:r>
      <w:r>
        <w:rPr>
          <w:rFonts w:hint="eastAsia" w:ascii="宋体" w:hAnsi="宋体" w:eastAsia="宋体" w:cs="宋体"/>
          <w:b/>
          <w:color w:val="auto"/>
          <w:sz w:val="28"/>
          <w:szCs w:val="28"/>
          <w:highlight w:val="none"/>
        </w:rPr>
        <w:t>、法定代表人授权委托书</w:t>
      </w:r>
    </w:p>
    <w:p w14:paraId="5F2FD59A">
      <w:pPr>
        <w:pageBreakBefore w:val="0"/>
        <w:widowControl w:val="0"/>
        <w:wordWrap/>
        <w:topLinePunct w:val="0"/>
        <w:bidi w:val="0"/>
        <w:spacing w:line="24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460F6574">
      <w:pPr>
        <w:pageBreakBefore w:val="0"/>
        <w:widowControl w:val="0"/>
        <w:wordWrap/>
        <w:topLinePunct w:val="0"/>
        <w:bidi w:val="0"/>
        <w:spacing w:line="24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（投标单位名称）法定代表人授权</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为本公司的合法代理人，参加贵方组织的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项目</w:t>
      </w:r>
      <w:r>
        <w:rPr>
          <w:rFonts w:hint="eastAsia" w:ascii="宋体" w:hAnsi="宋体" w:eastAsia="宋体" w:cs="宋体"/>
          <w:bCs/>
          <w:color w:val="auto"/>
          <w:kern w:val="0"/>
          <w:sz w:val="28"/>
          <w:szCs w:val="28"/>
          <w:highlight w:val="none"/>
        </w:rPr>
        <w:t>招标文件</w:t>
      </w:r>
      <w:r>
        <w:rPr>
          <w:rFonts w:hint="eastAsia" w:ascii="宋体" w:hAnsi="宋体" w:eastAsia="宋体" w:cs="宋体"/>
          <w:color w:val="auto"/>
          <w:sz w:val="28"/>
          <w:szCs w:val="28"/>
          <w:highlight w:val="none"/>
        </w:rPr>
        <w:t>采购招标活动，全权代表我方处理招标活动中的一切事宜和签署一切文件，被授权人无转委托权，特此委托。</w:t>
      </w:r>
    </w:p>
    <w:p w14:paraId="65829814">
      <w:pPr>
        <w:pageBreakBefore w:val="0"/>
        <w:widowControl w:val="0"/>
        <w:wordWrap/>
        <w:topLinePunct w:val="0"/>
        <w:bidi w:val="0"/>
        <w:spacing w:line="240" w:lineRule="auto"/>
        <w:ind w:firstLine="560" w:firstLineChars="200"/>
        <w:rPr>
          <w:rFonts w:hint="default" w:ascii="宋体" w:hAnsi="宋体" w:eastAsia="宋体" w:cs="宋体"/>
          <w:color w:val="auto"/>
          <w:sz w:val="28"/>
          <w:szCs w:val="28"/>
          <w:highlight w:val="none"/>
        </w:rPr>
      </w:pPr>
      <w:r>
        <w:rPr>
          <w:rFonts w:hint="default" w:ascii="宋体" w:hAnsi="宋体" w:eastAsia="宋体" w:cs="宋体"/>
          <w:color w:val="auto"/>
          <w:sz w:val="28"/>
          <w:szCs w:val="28"/>
          <w:highlight w:val="none"/>
        </w:rPr>
        <w:t>本授权书于</w:t>
      </w:r>
      <w:r>
        <w:rPr>
          <w:rFonts w:hint="default" w:ascii="宋体" w:hAnsi="宋体" w:eastAsia="宋体" w:cs="宋体"/>
          <w:color w:val="auto"/>
          <w:sz w:val="28"/>
          <w:szCs w:val="28"/>
          <w:highlight w:val="none"/>
          <w:u w:val="single"/>
        </w:rPr>
        <w:t>　　　　　　</w:t>
      </w:r>
      <w:r>
        <w:rPr>
          <w:rFonts w:hint="default" w:ascii="宋体" w:hAnsi="宋体" w:eastAsia="宋体" w:cs="宋体"/>
          <w:color w:val="auto"/>
          <w:sz w:val="28"/>
          <w:szCs w:val="28"/>
          <w:highlight w:val="none"/>
        </w:rPr>
        <w:t>年</w:t>
      </w:r>
      <w:r>
        <w:rPr>
          <w:rFonts w:hint="default" w:ascii="宋体" w:hAnsi="宋体" w:eastAsia="宋体" w:cs="宋体"/>
          <w:color w:val="auto"/>
          <w:sz w:val="28"/>
          <w:szCs w:val="28"/>
          <w:highlight w:val="none"/>
          <w:u w:val="single"/>
        </w:rPr>
        <w:t>　　　</w:t>
      </w:r>
      <w:r>
        <w:rPr>
          <w:rFonts w:hint="default" w:ascii="宋体" w:hAnsi="宋体" w:eastAsia="宋体" w:cs="宋体"/>
          <w:color w:val="auto"/>
          <w:sz w:val="28"/>
          <w:szCs w:val="28"/>
          <w:highlight w:val="none"/>
        </w:rPr>
        <w:t>月</w:t>
      </w:r>
      <w:r>
        <w:rPr>
          <w:rFonts w:hint="default" w:ascii="宋体" w:hAnsi="宋体" w:eastAsia="宋体" w:cs="宋体"/>
          <w:color w:val="auto"/>
          <w:sz w:val="28"/>
          <w:szCs w:val="28"/>
          <w:highlight w:val="none"/>
          <w:u w:val="single"/>
        </w:rPr>
        <w:t>　　</w:t>
      </w:r>
      <w:r>
        <w:rPr>
          <w:rFonts w:hint="default" w:ascii="宋体" w:hAnsi="宋体" w:eastAsia="宋体" w:cs="宋体"/>
          <w:color w:val="auto"/>
          <w:sz w:val="28"/>
          <w:szCs w:val="28"/>
          <w:highlight w:val="none"/>
        </w:rPr>
        <w:t>日签字生效，特此声明。</w:t>
      </w:r>
    </w:p>
    <w:p w14:paraId="1D776D8F">
      <w:pPr>
        <w:pStyle w:val="9"/>
        <w:rPr>
          <w:rFonts w:hint="eastAsia"/>
        </w:rPr>
      </w:pPr>
    </w:p>
    <w:p w14:paraId="5B463F1B">
      <w:pPr>
        <w:pageBreakBefore w:val="0"/>
        <w:widowControl w:val="0"/>
        <w:wordWrap/>
        <w:topLinePunct w:val="0"/>
        <w:bidi w:val="0"/>
        <w:jc w:val="both"/>
        <w:rPr>
          <w:rFonts w:hint="eastAsia" w:ascii="Times New Roman" w:hAnsi="Times New Roman" w:eastAsia="宋体" w:cs="Times New Roman"/>
          <w:sz w:val="28"/>
          <w:szCs w:val="28"/>
          <w:highlight w:val="none"/>
        </w:rPr>
      </w:pPr>
      <w:r>
        <w:rPr>
          <w:rFonts w:hint="eastAsia" w:ascii="Times New Roman" w:hAnsi="Times New Roman" w:eastAsia="宋体" w:cs="Times New Roman"/>
          <w:sz w:val="28"/>
          <w:szCs w:val="28"/>
          <w:highlight w:val="none"/>
        </w:rPr>
        <w:t>附：法定代表人身份证明</w:t>
      </w:r>
    </w:p>
    <w:p w14:paraId="307A3837">
      <w:pPr>
        <w:pageBreakBefore w:val="0"/>
        <w:widowControl w:val="0"/>
        <w:wordWrap/>
        <w:topLinePunct w:val="0"/>
        <w:bidi w:val="0"/>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30"/>
          <w:szCs w:val="30"/>
          <w:highlight w:val="none"/>
        </w:rPr>
        <mc:AlternateContent>
          <mc:Choice Requires="wps">
            <w:drawing>
              <wp:anchor distT="0" distB="0" distL="114300" distR="114300" simplePos="0" relativeHeight="251662336" behindDoc="0" locked="0" layoutInCell="1" allowOverlap="1">
                <wp:simplePos x="0" y="0"/>
                <wp:positionH relativeFrom="column">
                  <wp:posOffset>2802890</wp:posOffset>
                </wp:positionH>
                <wp:positionV relativeFrom="paragraph">
                  <wp:posOffset>31750</wp:posOffset>
                </wp:positionV>
                <wp:extent cx="2303145" cy="984885"/>
                <wp:effectExtent l="5080" t="4445" r="15875" b="20320"/>
                <wp:wrapNone/>
                <wp:docPr id="5" name="文本框 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658FB081">
                            <w:pPr>
                              <w:jc w:val="center"/>
                              <w:rPr>
                                <w:rFonts w:hint="eastAsia"/>
                                <w:sz w:val="28"/>
                                <w:szCs w:val="28"/>
                              </w:rPr>
                            </w:pPr>
                            <w:r>
                              <w:rPr>
                                <w:rFonts w:hint="eastAsia"/>
                                <w:sz w:val="28"/>
                                <w:szCs w:val="28"/>
                              </w:rPr>
                              <w:t>被委托人身份证复印件</w:t>
                            </w:r>
                          </w:p>
                        </w:txbxContent>
                      </wps:txbx>
                      <wps:bodyPr upright="1"/>
                    </wps:wsp>
                  </a:graphicData>
                </a:graphic>
              </wp:anchor>
            </w:drawing>
          </mc:Choice>
          <mc:Fallback>
            <w:pict>
              <v:shape id="_x0000_s1026" o:spid="_x0000_s1026" o:spt="202" type="#_x0000_t202" style="position:absolute;left:0pt;margin-left:220.7pt;margin-top:2.5pt;height:77.55pt;width:181.35pt;z-index:251662336;mso-width-relative:page;mso-height-relative:page;" fillcolor="#FFFFFF" filled="t" stroked="t" coordsize="21600,21600" o:gfxdata="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mZ/bjYAAAACQEAAA8AAAAA&#10;AAAAAQAgAAAAIgAAAGRycy9kb3ducmV2LnhtbFBLAQIUABQAAAAIAIdO4kAyMe7uFAIAAEUEAAAO&#10;AAAAAAAAAAEAIAAAACcBAABkcnMvZTJvRG9jLnhtbFBLBQYAAAAABgAGAFkBAACtBQAAAAA=&#10;">
                <v:fill on="t" focussize="0,0"/>
                <v:stroke color="#000000" joinstyle="miter" dashstyle="1 1" endcap="round"/>
                <v:imagedata o:title=""/>
                <o:lock v:ext="edit" aspectratio="f"/>
                <v:textbox>
                  <w:txbxContent>
                    <w:p w14:paraId="658FB081">
                      <w:pPr>
                        <w:jc w:val="center"/>
                        <w:rPr>
                          <w:rFonts w:hint="eastAsia"/>
                          <w:sz w:val="28"/>
                          <w:szCs w:val="28"/>
                        </w:rPr>
                      </w:pPr>
                      <w:r>
                        <w:rPr>
                          <w:rFonts w:hint="eastAsia"/>
                          <w:sz w:val="28"/>
                          <w:szCs w:val="28"/>
                        </w:rPr>
                        <w:t>被委托人身份证复印件</w:t>
                      </w:r>
                    </w:p>
                  </w:txbxContent>
                </v:textbox>
              </v:shape>
            </w:pict>
          </mc:Fallback>
        </mc:AlternateContent>
      </w:r>
      <w:r>
        <w:rPr>
          <w:rFonts w:hint="eastAsia" w:ascii="宋体" w:hAnsi="宋体" w:eastAsia="宋体" w:cs="宋体"/>
          <w:b w:val="0"/>
          <w:bCs w:val="0"/>
          <w:color w:val="auto"/>
          <w:sz w:val="30"/>
          <w:szCs w:val="30"/>
          <w:highlight w:val="none"/>
        </w:rPr>
        <mc:AlternateContent>
          <mc:Choice Requires="wps">
            <w:drawing>
              <wp:anchor distT="0" distB="0" distL="114300" distR="114300" simplePos="0" relativeHeight="251661312" behindDoc="0" locked="0" layoutInCell="1" allowOverlap="1">
                <wp:simplePos x="0" y="0"/>
                <wp:positionH relativeFrom="column">
                  <wp:posOffset>31115</wp:posOffset>
                </wp:positionH>
                <wp:positionV relativeFrom="paragraph">
                  <wp:posOffset>31750</wp:posOffset>
                </wp:positionV>
                <wp:extent cx="2188845" cy="1009015"/>
                <wp:effectExtent l="5080" t="4445" r="15875" b="15240"/>
                <wp:wrapNone/>
                <wp:docPr id="2" name="文本框 2"/>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499D621D">
                            <w:pPr>
                              <w:jc w:val="center"/>
                              <w:rPr>
                                <w:rFonts w:hint="eastAsia"/>
                                <w:sz w:val="28"/>
                                <w:szCs w:val="28"/>
                              </w:rPr>
                            </w:pPr>
                            <w:r>
                              <w:rPr>
                                <w:rFonts w:hint="eastAsia"/>
                                <w:sz w:val="28"/>
                                <w:szCs w:val="28"/>
                              </w:rPr>
                              <w:t>法人身份证复印件</w:t>
                            </w:r>
                          </w:p>
                        </w:txbxContent>
                      </wps:txbx>
                      <wps:bodyPr upright="1"/>
                    </wps:wsp>
                  </a:graphicData>
                </a:graphic>
              </wp:anchor>
            </w:drawing>
          </mc:Choice>
          <mc:Fallback>
            <w:pict>
              <v:shape id="_x0000_s1026" o:spid="_x0000_s1026" o:spt="202" type="#_x0000_t202" style="position:absolute;left:0pt;margin-left:2.45pt;margin-top:2.5pt;height:79.45pt;width:172.35pt;z-index:251661312;mso-width-relative:page;mso-height-relative:page;" fillcolor="#FFFFFF" filled="t" stroked="t" coordsize="21600,21600" o:gfxdata="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gNkiRtcAAAAHAQAADwAAAAAA&#10;AAABACAAAAAiAAAAZHJzL2Rvd25yZXYueG1sUEsBAhQAFAAAAAgAh07iQGKPkbsUAgAARQQAAA4A&#10;AAAAAAAAAQAgAAAAJgEAAGRycy9lMm9Eb2MueG1sUEsFBgAAAAAGAAYAWQEAAKwFAAAAAA==&#10;">
                <v:fill on="t" focussize="0,0"/>
                <v:stroke color="#000000" joinstyle="miter" dashstyle="1 1" endcap="round"/>
                <v:imagedata o:title=""/>
                <o:lock v:ext="edit" aspectratio="f"/>
                <v:textbox>
                  <w:txbxContent>
                    <w:p w14:paraId="499D621D">
                      <w:pPr>
                        <w:jc w:val="center"/>
                        <w:rPr>
                          <w:rFonts w:hint="eastAsia"/>
                          <w:sz w:val="28"/>
                          <w:szCs w:val="28"/>
                        </w:rPr>
                      </w:pPr>
                      <w:r>
                        <w:rPr>
                          <w:rFonts w:hint="eastAsia"/>
                          <w:sz w:val="28"/>
                          <w:szCs w:val="28"/>
                        </w:rPr>
                        <w:t>法人身份证复印件</w:t>
                      </w:r>
                    </w:p>
                  </w:txbxContent>
                </v:textbox>
              </v:shape>
            </w:pict>
          </mc:Fallback>
        </mc:AlternateContent>
      </w:r>
      <w:r>
        <w:rPr>
          <w:rFonts w:hint="eastAsia" w:ascii="宋体" w:hAnsi="宋体" w:eastAsia="宋体" w:cs="宋体"/>
          <w:b w:val="0"/>
          <w:bCs w:val="0"/>
          <w:color w:val="auto"/>
          <w:sz w:val="24"/>
          <w:highlight w:val="none"/>
        </w:rPr>
        <w:t xml:space="preserve">                                    </w:t>
      </w:r>
    </w:p>
    <w:p w14:paraId="62D93C1A">
      <w:pPr>
        <w:pageBreakBefore w:val="0"/>
        <w:widowControl w:val="0"/>
        <w:wordWrap/>
        <w:topLinePunct w:val="0"/>
        <w:bidi w:val="0"/>
        <w:spacing w:line="360" w:lineRule="auto"/>
        <w:ind w:firstLine="480" w:firstLineChars="200"/>
        <w:rPr>
          <w:rFonts w:hint="eastAsia" w:ascii="宋体" w:hAnsi="宋体" w:eastAsia="宋体" w:cs="宋体"/>
          <w:b w:val="0"/>
          <w:bCs w:val="0"/>
          <w:color w:val="auto"/>
          <w:sz w:val="24"/>
          <w:highlight w:val="none"/>
        </w:rPr>
      </w:pPr>
    </w:p>
    <w:p w14:paraId="138D54C4">
      <w:pPr>
        <w:pageBreakBefore w:val="0"/>
        <w:widowControl w:val="0"/>
        <w:wordWrap/>
        <w:topLinePunct w:val="0"/>
        <w:bidi w:val="0"/>
        <w:spacing w:line="360" w:lineRule="auto"/>
        <w:ind w:firstLine="480" w:firstLineChars="200"/>
        <w:rPr>
          <w:rFonts w:hint="eastAsia" w:ascii="宋体" w:hAnsi="宋体" w:eastAsia="宋体" w:cs="宋体"/>
          <w:b w:val="0"/>
          <w:bCs w:val="0"/>
          <w:color w:val="auto"/>
          <w:sz w:val="24"/>
          <w:highlight w:val="none"/>
        </w:rPr>
      </w:pPr>
    </w:p>
    <w:p w14:paraId="5F4BD096">
      <w:pPr>
        <w:pageBreakBefore w:val="0"/>
        <w:widowControl w:val="0"/>
        <w:wordWrap/>
        <w:topLinePunct w:val="0"/>
        <w:bidi w:val="0"/>
        <w:spacing w:line="360" w:lineRule="auto"/>
        <w:rPr>
          <w:rFonts w:hint="eastAsia" w:ascii="宋体" w:hAnsi="宋体" w:eastAsia="宋体" w:cs="宋体"/>
          <w:b w:val="0"/>
          <w:bCs w:val="0"/>
          <w:color w:val="auto"/>
          <w:sz w:val="24"/>
          <w:highlight w:val="none"/>
        </w:rPr>
      </w:pPr>
    </w:p>
    <w:p w14:paraId="23CEE5C2">
      <w:pPr>
        <w:pageBreakBefore w:val="0"/>
        <w:widowControl w:val="0"/>
        <w:wordWrap/>
        <w:topLinePunct w:val="0"/>
        <w:bidi w:val="0"/>
        <w:spacing w:line="360" w:lineRule="auto"/>
        <w:rPr>
          <w:rFonts w:hint="eastAsia" w:ascii="宋体" w:hAnsi="宋体" w:eastAsia="宋体" w:cs="宋体"/>
          <w:b w:val="0"/>
          <w:bCs w:val="0"/>
          <w:color w:val="auto"/>
          <w:sz w:val="30"/>
          <w:szCs w:val="30"/>
          <w:highlight w:val="none"/>
        </w:rPr>
      </w:pPr>
      <w:r>
        <w:rPr>
          <w:rFonts w:hint="eastAsia" w:ascii="宋体" w:hAnsi="宋体" w:eastAsia="宋体" w:cs="宋体"/>
          <w:b w:val="0"/>
          <w:bCs w:val="0"/>
          <w:color w:val="auto"/>
          <w:sz w:val="30"/>
          <w:szCs w:val="30"/>
          <w:highlight w:val="none"/>
        </w:rPr>
        <mc:AlternateContent>
          <mc:Choice Requires="wps">
            <w:drawing>
              <wp:anchor distT="0" distB="0" distL="114300" distR="114300" simplePos="0" relativeHeight="251664384" behindDoc="0" locked="0" layoutInCell="1" allowOverlap="1">
                <wp:simplePos x="0" y="0"/>
                <wp:positionH relativeFrom="column">
                  <wp:posOffset>2764790</wp:posOffset>
                </wp:positionH>
                <wp:positionV relativeFrom="paragraph">
                  <wp:posOffset>211455</wp:posOffset>
                </wp:positionV>
                <wp:extent cx="2369185" cy="1076960"/>
                <wp:effectExtent l="4445" t="4445" r="7620" b="23495"/>
                <wp:wrapNone/>
                <wp:docPr id="10" name="文本框 10"/>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6EE9C228">
                            <w:pPr>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rPr>
                              <w:t>被委托人身份证复印件</w:t>
                            </w:r>
                            <w:r>
                              <w:rPr>
                                <w:rFonts w:hint="eastAsia" w:ascii="Times New Roman" w:hAnsi="Times New Roman" w:eastAsia="宋体" w:cs="Times New Roman"/>
                                <w:sz w:val="28"/>
                                <w:szCs w:val="28"/>
                                <w:lang w:eastAsia="zh-CN"/>
                              </w:rPr>
                              <w:t>（</w:t>
                            </w:r>
                            <w:r>
                              <w:rPr>
                                <w:rFonts w:hint="eastAsia" w:ascii="Times New Roman" w:hAnsi="Times New Roman" w:eastAsia="宋体" w:cs="Times New Roman"/>
                                <w:sz w:val="28"/>
                                <w:szCs w:val="28"/>
                                <w:lang w:val="en-US" w:eastAsia="zh-CN"/>
                              </w:rPr>
                              <w:t>反面）</w:t>
                            </w:r>
                          </w:p>
                        </w:txbxContent>
                      </wps:txbx>
                      <wps:bodyPr upright="1"/>
                    </wps:wsp>
                  </a:graphicData>
                </a:graphic>
              </wp:anchor>
            </w:drawing>
          </mc:Choice>
          <mc:Fallback>
            <w:pict>
              <v:shape id="_x0000_s1026" o:spid="_x0000_s1026" o:spt="202" type="#_x0000_t202" style="position:absolute;left:0pt;margin-left:217.7pt;margin-top:16.65pt;height:84.8pt;width:186.55pt;z-index:251664384;mso-width-relative:page;mso-height-relative:page;" fillcolor="#FFFFFF" filled="t" stroked="t" coordsize="21600,21600" o:gfxdata="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JoHI1rbAAAACgEAAA8A&#10;AAAAAAAAAQAgAAAAIgAAAGRycy9kb3ducmV2LnhtbFBLAQIUABQAAAAIAIdO4kAAAcgLFAIAAEcE&#10;AAAOAAAAAAAAAAEAIAAAACoBAABkcnMvZTJvRG9jLnhtbFBLBQYAAAAABgAGAFkBAACwBQAAAAA=&#10;">
                <v:fill on="t" focussize="0,0"/>
                <v:stroke color="#000000" joinstyle="miter" dashstyle="1 1" endcap="round"/>
                <v:imagedata o:title=""/>
                <o:lock v:ext="edit" aspectratio="f"/>
                <v:textbox>
                  <w:txbxContent>
                    <w:p w14:paraId="6EE9C228">
                      <w:pPr>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rPr>
                        <w:t>被委托人身份证复印件</w:t>
                      </w:r>
                      <w:r>
                        <w:rPr>
                          <w:rFonts w:hint="eastAsia" w:ascii="Times New Roman" w:hAnsi="Times New Roman" w:eastAsia="宋体" w:cs="Times New Roman"/>
                          <w:sz w:val="28"/>
                          <w:szCs w:val="28"/>
                          <w:lang w:eastAsia="zh-CN"/>
                        </w:rPr>
                        <w:t>（</w:t>
                      </w:r>
                      <w:r>
                        <w:rPr>
                          <w:rFonts w:hint="eastAsia" w:ascii="Times New Roman" w:hAnsi="Times New Roman" w:eastAsia="宋体" w:cs="Times New Roman"/>
                          <w:sz w:val="28"/>
                          <w:szCs w:val="28"/>
                          <w:lang w:val="en-US" w:eastAsia="zh-CN"/>
                        </w:rPr>
                        <w:t>反面）</w:t>
                      </w:r>
                    </w:p>
                  </w:txbxContent>
                </v:textbox>
              </v:shape>
            </w:pict>
          </mc:Fallback>
        </mc:AlternateContent>
      </w:r>
      <w:r>
        <w:rPr>
          <w:rFonts w:hint="eastAsia" w:ascii="宋体" w:hAnsi="宋体" w:eastAsia="宋体" w:cs="宋体"/>
          <w:b w:val="0"/>
          <w:bCs w:val="0"/>
          <w:color w:val="auto"/>
          <w:sz w:val="30"/>
          <w:szCs w:val="30"/>
          <w:highlight w:val="none"/>
        </w:rPr>
        <mc:AlternateContent>
          <mc:Choice Requires="wps">
            <w:drawing>
              <wp:anchor distT="0" distB="0" distL="114300" distR="114300" simplePos="0" relativeHeight="251663360" behindDoc="0" locked="0" layoutInCell="1" allowOverlap="1">
                <wp:simplePos x="0" y="0"/>
                <wp:positionH relativeFrom="column">
                  <wp:posOffset>635</wp:posOffset>
                </wp:positionH>
                <wp:positionV relativeFrom="paragraph">
                  <wp:posOffset>247650</wp:posOffset>
                </wp:positionV>
                <wp:extent cx="2204085" cy="1056640"/>
                <wp:effectExtent l="5080" t="5080" r="19685" b="5080"/>
                <wp:wrapNone/>
                <wp:docPr id="3" name="文本框 3"/>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2F0C1330">
                            <w:pPr>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rPr>
                              <w:t>法人身份证复印件</w:t>
                            </w:r>
                            <w:r>
                              <w:rPr>
                                <w:rFonts w:hint="eastAsia" w:ascii="Times New Roman" w:hAnsi="Times New Roman" w:eastAsia="宋体" w:cs="Times New Roman"/>
                                <w:sz w:val="28"/>
                                <w:szCs w:val="28"/>
                                <w:lang w:eastAsia="zh-CN"/>
                              </w:rPr>
                              <w:t>（</w:t>
                            </w:r>
                            <w:r>
                              <w:rPr>
                                <w:rFonts w:hint="eastAsia" w:ascii="Times New Roman" w:hAnsi="Times New Roman" w:eastAsia="宋体" w:cs="Times New Roman"/>
                                <w:sz w:val="28"/>
                                <w:szCs w:val="28"/>
                                <w:lang w:val="en-US" w:eastAsia="zh-CN"/>
                              </w:rPr>
                              <w:t>反面）</w:t>
                            </w:r>
                          </w:p>
                        </w:txbxContent>
                      </wps:txbx>
                      <wps:bodyPr upright="1"/>
                    </wps:wsp>
                  </a:graphicData>
                </a:graphic>
              </wp:anchor>
            </w:drawing>
          </mc:Choice>
          <mc:Fallback>
            <w:pict>
              <v:shape id="_x0000_s1026" o:spid="_x0000_s1026" o:spt="202" type="#_x0000_t202" style="position:absolute;left:0pt;margin-left:0.05pt;margin-top:19.5pt;height:83.2pt;width:173.55pt;z-index:251663360;mso-width-relative:page;mso-height-relative:page;" fillcolor="#FFFFFF" filled="t" stroked="t" coordsize="21600,21600" o:gfxdata="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rHyDQ2AAAAAcBAAAPAAAA&#10;AAAAAAEAIAAAACIAAABkcnMvZG93bnJldi54bWxQSwECFAAUAAAACACHTuJAJLLOLRUCAABFBAAA&#10;DgAAAAAAAAABACAAAAAnAQAAZHJzL2Uyb0RvYy54bWxQSwUGAAAAAAYABgBZAQAArgUAAAAA&#10;">
                <v:fill on="t" focussize="0,0"/>
                <v:stroke color="#000000" joinstyle="miter" dashstyle="1 1" endcap="round"/>
                <v:imagedata o:title=""/>
                <o:lock v:ext="edit" aspectratio="f"/>
                <v:textbox>
                  <w:txbxContent>
                    <w:p w14:paraId="2F0C1330">
                      <w:pPr>
                        <w:jc w:val="center"/>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rPr>
                        <w:t>法人身份证复印件</w:t>
                      </w:r>
                      <w:r>
                        <w:rPr>
                          <w:rFonts w:hint="eastAsia" w:ascii="Times New Roman" w:hAnsi="Times New Roman" w:eastAsia="宋体" w:cs="Times New Roman"/>
                          <w:sz w:val="28"/>
                          <w:szCs w:val="28"/>
                          <w:lang w:eastAsia="zh-CN"/>
                        </w:rPr>
                        <w:t>（</w:t>
                      </w:r>
                      <w:r>
                        <w:rPr>
                          <w:rFonts w:hint="eastAsia" w:ascii="Times New Roman" w:hAnsi="Times New Roman" w:eastAsia="宋体" w:cs="Times New Roman"/>
                          <w:sz w:val="28"/>
                          <w:szCs w:val="28"/>
                          <w:lang w:val="en-US" w:eastAsia="zh-CN"/>
                        </w:rPr>
                        <w:t>反面）</w:t>
                      </w:r>
                    </w:p>
                  </w:txbxContent>
                </v:textbox>
              </v:shape>
            </w:pict>
          </mc:Fallback>
        </mc:AlternateContent>
      </w:r>
    </w:p>
    <w:p w14:paraId="77D1C843">
      <w:pPr>
        <w:pStyle w:val="6"/>
        <w:pageBreakBefore w:val="0"/>
        <w:widowControl w:val="0"/>
        <w:wordWrap/>
        <w:topLinePunct w:val="0"/>
        <w:bidi w:val="0"/>
        <w:spacing w:line="360" w:lineRule="auto"/>
        <w:rPr>
          <w:rFonts w:hint="eastAsia" w:ascii="宋体" w:hAnsi="宋体" w:eastAsia="宋体" w:cs="宋体"/>
          <w:b w:val="0"/>
          <w:bCs w:val="0"/>
          <w:color w:val="auto"/>
          <w:highlight w:val="none"/>
        </w:rPr>
      </w:pPr>
    </w:p>
    <w:p w14:paraId="4E8CC32A">
      <w:pPr>
        <w:pageBreakBefore w:val="0"/>
        <w:widowControl w:val="0"/>
        <w:wordWrap/>
        <w:topLinePunct w:val="0"/>
        <w:bidi w:val="0"/>
        <w:spacing w:line="360" w:lineRule="auto"/>
        <w:rPr>
          <w:rFonts w:hint="eastAsia" w:ascii="宋体" w:hAnsi="宋体" w:eastAsia="宋体" w:cs="宋体"/>
          <w:b w:val="0"/>
          <w:bCs w:val="0"/>
          <w:color w:val="auto"/>
          <w:sz w:val="24"/>
          <w:highlight w:val="none"/>
        </w:rPr>
      </w:pPr>
    </w:p>
    <w:p w14:paraId="344DB397">
      <w:pPr>
        <w:pageBreakBefore w:val="0"/>
        <w:widowControl w:val="0"/>
        <w:wordWrap/>
        <w:topLinePunct w:val="0"/>
        <w:bidi w:val="0"/>
        <w:spacing w:line="360" w:lineRule="auto"/>
        <w:rPr>
          <w:rFonts w:hint="eastAsia" w:ascii="宋体" w:hAnsi="宋体" w:eastAsia="宋体" w:cs="宋体"/>
          <w:color w:val="auto"/>
          <w:sz w:val="24"/>
          <w:highlight w:val="none"/>
        </w:rPr>
      </w:pPr>
    </w:p>
    <w:p w14:paraId="18F3F771">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rPr>
      </w:pPr>
    </w:p>
    <w:p w14:paraId="434269E0">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 xml:space="preserve">投标单位名称：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公章</w:t>
      </w:r>
      <w:r>
        <w:rPr>
          <w:rFonts w:hint="eastAsia" w:ascii="宋体" w:hAnsi="宋体" w:eastAsia="宋体" w:cs="宋体"/>
          <w:color w:val="auto"/>
          <w:sz w:val="28"/>
          <w:szCs w:val="28"/>
          <w:highlight w:val="none"/>
          <w:lang w:eastAsia="zh-CN"/>
        </w:rPr>
        <w:t>）</w:t>
      </w:r>
    </w:p>
    <w:p w14:paraId="33A504FA">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法定代表人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7550FA1F">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日期：</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4E0B6D10">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被授权人姓名：</w:t>
      </w:r>
      <w:r>
        <w:rPr>
          <w:rFonts w:hint="eastAsia" w:ascii="宋体" w:hAnsi="宋体" w:eastAsia="宋体" w:cs="宋体"/>
          <w:color w:val="auto"/>
          <w:sz w:val="28"/>
          <w:szCs w:val="28"/>
          <w:highlight w:val="none"/>
          <w:u w:val="single"/>
        </w:rPr>
        <w:t xml:space="preserve">            </w:t>
      </w:r>
    </w:p>
    <w:p w14:paraId="329B3C07">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职    务：</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p>
    <w:p w14:paraId="4C30B627">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详细通讯地址：</w:t>
      </w:r>
      <w:r>
        <w:rPr>
          <w:rFonts w:hint="eastAsia" w:ascii="宋体" w:hAnsi="宋体" w:eastAsia="宋体" w:cs="宋体"/>
          <w:color w:val="auto"/>
          <w:sz w:val="28"/>
          <w:szCs w:val="28"/>
          <w:highlight w:val="none"/>
          <w:u w:val="single"/>
        </w:rPr>
        <w:t xml:space="preserve">                       </w:t>
      </w:r>
    </w:p>
    <w:p w14:paraId="19096CB9">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邮政编码：</w:t>
      </w:r>
      <w:r>
        <w:rPr>
          <w:rFonts w:hint="eastAsia" w:ascii="宋体" w:hAnsi="宋体" w:eastAsia="宋体" w:cs="宋体"/>
          <w:color w:val="auto"/>
          <w:sz w:val="28"/>
          <w:szCs w:val="28"/>
          <w:highlight w:val="none"/>
          <w:u w:val="single"/>
        </w:rPr>
        <w:t xml:space="preserve">                           </w:t>
      </w:r>
    </w:p>
    <w:p w14:paraId="2F285187">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传    真：</w:t>
      </w:r>
      <w:r>
        <w:rPr>
          <w:rFonts w:hint="eastAsia" w:ascii="宋体" w:hAnsi="宋体" w:eastAsia="宋体" w:cs="宋体"/>
          <w:color w:val="auto"/>
          <w:sz w:val="28"/>
          <w:szCs w:val="28"/>
          <w:highlight w:val="none"/>
          <w:u w:val="single"/>
        </w:rPr>
        <w:t xml:space="preserve">                          </w:t>
      </w:r>
    </w:p>
    <w:p w14:paraId="64E16C22">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outlineLvl w:val="9"/>
        <w:rPr>
          <w:rFonts w:hint="eastAsia" w:ascii="宋体" w:hAnsi="宋体" w:eastAsia="宋体" w:cs="宋体"/>
          <w:b/>
          <w:color w:val="auto"/>
          <w:sz w:val="28"/>
          <w:szCs w:val="28"/>
          <w:highlight w:val="none"/>
        </w:rPr>
      </w:pPr>
      <w:r>
        <w:rPr>
          <w:rFonts w:hint="eastAsia" w:ascii="宋体" w:hAnsi="宋体" w:eastAsia="宋体" w:cs="宋体"/>
          <w:color w:val="auto"/>
          <w:sz w:val="28"/>
          <w:szCs w:val="28"/>
          <w:highlight w:val="none"/>
        </w:rPr>
        <w:t>电    话：</w:t>
      </w:r>
      <w:r>
        <w:rPr>
          <w:rFonts w:hint="eastAsia" w:ascii="宋体" w:hAnsi="宋体" w:eastAsia="宋体" w:cs="宋体"/>
          <w:color w:val="auto"/>
          <w:sz w:val="28"/>
          <w:szCs w:val="28"/>
          <w:highlight w:val="none"/>
          <w:u w:val="single"/>
        </w:rPr>
        <w:t xml:space="preserve">                          </w:t>
      </w:r>
    </w:p>
    <w:p w14:paraId="3E0B4B22">
      <w:pPr>
        <w:pStyle w:val="4"/>
        <w:pageBreakBefore w:val="0"/>
        <w:widowControl w:val="0"/>
        <w:wordWrap/>
        <w:topLinePunct w:val="0"/>
        <w:bidi w:val="0"/>
        <w:spacing w:line="240" w:lineRule="auto"/>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注：</w:t>
      </w:r>
      <w:r>
        <w:rPr>
          <w:rFonts w:hint="eastAsia" w:ascii="宋体" w:hAnsi="宋体" w:eastAsia="宋体" w:cs="宋体"/>
          <w:b/>
          <w:color w:val="auto"/>
          <w:sz w:val="28"/>
          <w:szCs w:val="28"/>
          <w:highlight w:val="none"/>
        </w:rPr>
        <w:t>如</w:t>
      </w:r>
      <w:r>
        <w:rPr>
          <w:rFonts w:hint="eastAsia" w:ascii="宋体" w:hAnsi="宋体" w:eastAsia="宋体" w:cs="宋体"/>
          <w:b/>
          <w:color w:val="auto"/>
          <w:sz w:val="28"/>
          <w:szCs w:val="28"/>
          <w:highlight w:val="none"/>
          <w:lang w:eastAsia="zh-CN"/>
        </w:rPr>
        <w:t>委托人</w:t>
      </w:r>
      <w:r>
        <w:rPr>
          <w:rFonts w:hint="eastAsia" w:ascii="宋体" w:hAnsi="宋体" w:eastAsia="宋体" w:cs="宋体"/>
          <w:b/>
          <w:color w:val="auto"/>
          <w:sz w:val="28"/>
          <w:szCs w:val="28"/>
          <w:highlight w:val="none"/>
        </w:rPr>
        <w:t>开标需</w:t>
      </w:r>
      <w:r>
        <w:rPr>
          <w:rFonts w:hint="eastAsia" w:ascii="宋体" w:hAnsi="宋体" w:eastAsia="宋体" w:cs="宋体"/>
          <w:b/>
          <w:color w:val="auto"/>
          <w:sz w:val="28"/>
          <w:szCs w:val="28"/>
          <w:highlight w:val="none"/>
          <w:lang w:eastAsia="zh-CN"/>
        </w:rPr>
        <w:t>严格按照以上格式开标时</w:t>
      </w:r>
      <w:r>
        <w:rPr>
          <w:rFonts w:hint="eastAsia" w:ascii="宋体" w:hAnsi="宋体" w:eastAsia="宋体" w:cs="宋体"/>
          <w:b/>
          <w:color w:val="auto"/>
          <w:sz w:val="28"/>
          <w:szCs w:val="28"/>
          <w:highlight w:val="none"/>
        </w:rPr>
        <w:t>出示此表</w:t>
      </w:r>
    </w:p>
    <w:p w14:paraId="5162CD9F">
      <w:pPr>
        <w:pStyle w:val="21"/>
        <w:pageBreakBefore w:val="0"/>
        <w:widowControl w:val="0"/>
        <w:wordWrap/>
        <w:topLinePunct w:val="0"/>
        <w:bidi w:val="0"/>
        <w:ind w:left="0" w:leftChars="0" w:firstLine="560" w:firstLineChars="200"/>
        <w:rPr>
          <w:rFonts w:hint="eastAsia" w:ascii="宋体" w:hAnsi="宋体" w:eastAsia="宋体" w:cs="宋体"/>
          <w:b/>
          <w:color w:val="auto"/>
          <w:sz w:val="28"/>
          <w:szCs w:val="28"/>
          <w:highlight w:val="none"/>
        </w:rPr>
      </w:pPr>
      <w:r>
        <w:rPr>
          <w:rFonts w:hint="eastAsia" w:ascii="宋体" w:hAnsi="宋体" w:eastAsia="宋体" w:cs="宋体"/>
          <w:b w:val="0"/>
          <w:color w:val="auto"/>
          <w:sz w:val="28"/>
          <w:szCs w:val="28"/>
          <w:highlight w:val="none"/>
        </w:rPr>
        <w:t>后附：需提供</w:t>
      </w:r>
      <w:r>
        <w:rPr>
          <w:rFonts w:hint="eastAsia" w:ascii="宋体" w:hAnsi="宋体" w:eastAsia="宋体" w:cs="宋体"/>
          <w:color w:val="auto"/>
          <w:sz w:val="28"/>
          <w:szCs w:val="28"/>
          <w:highlight w:val="none"/>
        </w:rPr>
        <w:t>被</w:t>
      </w:r>
      <w:r>
        <w:rPr>
          <w:rFonts w:hint="eastAsia" w:ascii="宋体" w:hAnsi="宋体" w:cs="宋体"/>
          <w:b w:val="0"/>
          <w:color w:val="auto"/>
          <w:sz w:val="28"/>
          <w:szCs w:val="28"/>
          <w:highlight w:val="none"/>
          <w:lang w:val="en-US" w:eastAsia="zh-CN"/>
        </w:rPr>
        <w:t>委托人</w:t>
      </w:r>
      <w:r>
        <w:rPr>
          <w:rFonts w:hint="eastAsia" w:ascii="宋体" w:hAnsi="宋体" w:eastAsia="宋体" w:cs="宋体"/>
          <w:b w:val="0"/>
          <w:color w:val="auto"/>
          <w:sz w:val="28"/>
          <w:szCs w:val="28"/>
          <w:highlight w:val="none"/>
        </w:rPr>
        <w:t>近</w:t>
      </w:r>
      <w:r>
        <w:rPr>
          <w:rFonts w:hint="eastAsia" w:ascii="宋体" w:hAnsi="宋体" w:eastAsia="宋体" w:cs="宋体"/>
          <w:b/>
          <w:color w:val="auto"/>
          <w:sz w:val="28"/>
          <w:szCs w:val="28"/>
          <w:highlight w:val="none"/>
          <w:lang w:val="en-US" w:eastAsia="zh-CN"/>
        </w:rPr>
        <w:t>三</w:t>
      </w:r>
      <w:r>
        <w:rPr>
          <w:rFonts w:hint="eastAsia" w:ascii="宋体" w:hAnsi="宋体" w:eastAsia="宋体" w:cs="宋体"/>
          <w:b w:val="0"/>
          <w:color w:val="auto"/>
          <w:sz w:val="28"/>
          <w:szCs w:val="28"/>
          <w:highlight w:val="none"/>
        </w:rPr>
        <w:t>个月社保缴纳</w:t>
      </w:r>
      <w:r>
        <w:rPr>
          <w:rFonts w:hint="eastAsia" w:ascii="宋体" w:hAnsi="宋体" w:eastAsia="宋体" w:cs="宋体"/>
          <w:b w:val="0"/>
          <w:color w:val="auto"/>
          <w:sz w:val="28"/>
          <w:szCs w:val="28"/>
          <w:highlight w:val="none"/>
          <w:lang w:val="en-US" w:eastAsia="zh-CN"/>
        </w:rPr>
        <w:t>个人明细及缴费凭证</w:t>
      </w:r>
      <w:r>
        <w:rPr>
          <w:rFonts w:hint="eastAsia" w:ascii="宋体" w:hAnsi="宋体" w:eastAsia="宋体" w:cs="宋体"/>
          <w:b w:val="0"/>
          <w:color w:val="auto"/>
          <w:sz w:val="28"/>
          <w:szCs w:val="28"/>
          <w:highlight w:val="none"/>
        </w:rPr>
        <w:t>。</w:t>
      </w:r>
    </w:p>
    <w:p w14:paraId="20C710EC">
      <w:pPr>
        <w:pageBreakBefore w:val="0"/>
        <w:widowControl w:val="0"/>
        <w:wordWrap/>
        <w:topLinePunct w:val="0"/>
        <w:bidi w:val="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p>
    <w:p w14:paraId="540BD4C6">
      <w:pPr>
        <w:pageBreakBefore w:val="0"/>
        <w:widowControl w:val="0"/>
        <w:numPr>
          <w:ilvl w:val="0"/>
          <w:numId w:val="0"/>
        </w:numPr>
        <w:wordWrap/>
        <w:topLinePunct w:val="0"/>
        <w:autoSpaceDE w:val="0"/>
        <w:autoSpaceDN w:val="0"/>
        <w:bidi w:val="0"/>
        <w:adjustRightInd w:val="0"/>
        <w:jc w:val="lef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9、</w:t>
      </w:r>
      <w:r>
        <w:rPr>
          <w:rFonts w:hint="eastAsia" w:ascii="宋体" w:hAnsi="宋体" w:eastAsia="宋体" w:cs="宋体"/>
          <w:b/>
          <w:color w:val="auto"/>
          <w:sz w:val="28"/>
          <w:szCs w:val="28"/>
          <w:highlight w:val="none"/>
        </w:rPr>
        <w:t>投标保证金缴纳凭证及基本账户证明或保函（如是保函，还需提供由基本账户转账支付凭证及基本账户证明）；</w:t>
      </w:r>
    </w:p>
    <w:p w14:paraId="2B138723">
      <w:pPr>
        <w:pageBreakBefore w:val="0"/>
        <w:widowControl w:val="0"/>
        <w:numPr>
          <w:ilvl w:val="0"/>
          <w:numId w:val="0"/>
        </w:numPr>
        <w:wordWrap/>
        <w:topLinePunct w:val="0"/>
        <w:bidi w:val="0"/>
        <w:jc w:val="left"/>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val="en-US" w:eastAsia="zh-CN"/>
        </w:rPr>
        <w:t>10、</w:t>
      </w:r>
      <w:r>
        <w:rPr>
          <w:rFonts w:hint="eastAsia" w:ascii="宋体" w:hAnsi="宋体" w:eastAsia="宋体" w:cs="宋体"/>
          <w:b/>
          <w:color w:val="auto"/>
          <w:sz w:val="28"/>
          <w:szCs w:val="28"/>
          <w:highlight w:val="none"/>
        </w:rPr>
        <w:t>开户银行资信证明(如有）</w:t>
      </w:r>
      <w:r>
        <w:rPr>
          <w:rFonts w:hint="eastAsia" w:ascii="宋体" w:hAnsi="宋体" w:eastAsia="宋体" w:cs="宋体"/>
          <w:b/>
          <w:color w:val="auto"/>
          <w:sz w:val="28"/>
          <w:szCs w:val="28"/>
          <w:highlight w:val="none"/>
          <w:lang w:eastAsia="zh-CN"/>
        </w:rPr>
        <w:t>；</w:t>
      </w:r>
    </w:p>
    <w:p w14:paraId="06D83139">
      <w:pPr>
        <w:pageBreakBefore w:val="0"/>
        <w:widowControl w:val="0"/>
        <w:wordWrap/>
        <w:topLinePunct w:val="0"/>
        <w:bidi w:val="0"/>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11、投标人为制造商的，提供《医疗器械生产许可证》；投标人为经销商的，投标货物若属于三类医疗器械，须提供《医疗器械经营企业许可证》，投标货物若属于二类医疗器械，提供《</w:t>
      </w:r>
      <w:r>
        <w:rPr>
          <w:rFonts w:hint="eastAsia" w:ascii="宋体" w:hAnsi="宋体" w:cs="宋体"/>
          <w:b/>
          <w:bCs/>
          <w:color w:val="auto"/>
          <w:sz w:val="28"/>
          <w:szCs w:val="28"/>
          <w:highlight w:val="none"/>
          <w:lang w:val="en-US" w:eastAsia="zh-CN"/>
        </w:rPr>
        <w:t>第</w:t>
      </w:r>
      <w:r>
        <w:rPr>
          <w:rFonts w:hint="eastAsia" w:ascii="宋体" w:hAnsi="宋体" w:eastAsia="宋体" w:cs="宋体"/>
          <w:b/>
          <w:bCs/>
          <w:color w:val="auto"/>
          <w:sz w:val="28"/>
          <w:szCs w:val="28"/>
          <w:highlight w:val="none"/>
          <w:lang w:val="en-US" w:eastAsia="zh-CN"/>
        </w:rPr>
        <w:t>二类医疗器械经营备案凭证</w:t>
      </w:r>
      <w:r>
        <w:rPr>
          <w:rFonts w:hint="eastAsia" w:ascii="宋体" w:hAnsi="宋体" w:eastAsia="宋体" w:cs="宋体"/>
          <w:b/>
          <w:color w:val="auto"/>
          <w:sz w:val="28"/>
          <w:szCs w:val="28"/>
          <w:highlight w:val="none"/>
          <w:lang w:val="en-US" w:eastAsia="zh-CN"/>
        </w:rPr>
        <w:t>》，投标货物若属于一类医疗器械，则无须提供此项；投标产品须在其经营范围内，所有证件必须在有效期内；</w:t>
      </w:r>
    </w:p>
    <w:p w14:paraId="4AB0EFF3">
      <w:pPr>
        <w:pageBreakBefore w:val="0"/>
        <w:widowControl w:val="0"/>
        <w:wordWrap/>
        <w:topLinePunct w:val="0"/>
        <w:bidi w:val="0"/>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12、投标货物属于《医疗器械监督管理条例》规定的第一类医疗器械产品应提供《第一类医疗器械备案凭证》，属于第二类、第三类医疗器械产品应取得《医疗器械注册证》(如有注册登记表应提供)，所有证件必须在有效期内；</w:t>
      </w:r>
    </w:p>
    <w:p w14:paraId="7B073471">
      <w:pPr>
        <w:pageBreakBefore w:val="0"/>
        <w:widowControl w:val="0"/>
        <w:wordWrap/>
        <w:topLinePunct w:val="0"/>
        <w:bidi w:val="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13、</w:t>
      </w:r>
      <w:r>
        <w:rPr>
          <w:rFonts w:hint="eastAsia" w:ascii="宋体" w:hAnsi="宋体" w:cs="宋体"/>
          <w:b/>
          <w:color w:val="auto"/>
          <w:sz w:val="28"/>
          <w:szCs w:val="28"/>
          <w:highlight w:val="none"/>
          <w:lang w:val="en-US" w:eastAsia="zh-CN"/>
        </w:rPr>
        <w:t>2023年度或2024年度</w:t>
      </w:r>
      <w:r>
        <w:rPr>
          <w:rFonts w:hint="eastAsia" w:ascii="宋体" w:hAnsi="宋体" w:eastAsia="宋体" w:cs="宋体"/>
          <w:b/>
          <w:color w:val="auto"/>
          <w:sz w:val="28"/>
          <w:szCs w:val="28"/>
          <w:highlight w:val="none"/>
          <w:lang w:val="en-US" w:eastAsia="zh-CN"/>
        </w:rPr>
        <w:t>第三方审计机构出具的审计报告（</w:t>
      </w:r>
      <w:r>
        <w:rPr>
          <w:rFonts w:hint="eastAsia" w:ascii="宋体" w:hAnsi="宋体" w:cs="宋体"/>
          <w:b/>
          <w:color w:val="auto"/>
          <w:sz w:val="28"/>
          <w:szCs w:val="28"/>
          <w:highlight w:val="none"/>
          <w:lang w:val="en-US" w:eastAsia="zh-CN"/>
        </w:rPr>
        <w:t>2024年4月</w:t>
      </w:r>
      <w:r>
        <w:rPr>
          <w:rFonts w:hint="eastAsia" w:ascii="宋体" w:hAnsi="宋体" w:eastAsia="宋体" w:cs="宋体"/>
          <w:b/>
          <w:color w:val="auto"/>
          <w:sz w:val="28"/>
          <w:szCs w:val="28"/>
          <w:highlight w:val="none"/>
          <w:lang w:val="en-US" w:eastAsia="zh-CN"/>
        </w:rPr>
        <w:t>份后新成立的公司可不提供但需提供银行出具的近三个月的资信证明）和健全的财务会计制度；</w:t>
      </w:r>
    </w:p>
    <w:p w14:paraId="6811997B">
      <w:pPr>
        <w:pageBreakBefore w:val="0"/>
        <w:widowControl w:val="0"/>
        <w:wordWrap/>
        <w:topLinePunct w:val="0"/>
        <w:bidi w:val="0"/>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14、提供税务机关出具的近3个月的完税证明或依法报税资料（新成立不足3个月的按实际情况发生提供，成立时间超过3个月的零申报的需提供依法报税资料）</w:t>
      </w:r>
    </w:p>
    <w:p w14:paraId="678B07FF">
      <w:pPr>
        <w:pageBreakBefore w:val="0"/>
        <w:widowControl w:val="0"/>
        <w:numPr>
          <w:ilvl w:val="0"/>
          <w:numId w:val="0"/>
        </w:numPr>
        <w:wordWrap/>
        <w:topLinePunct w:val="0"/>
        <w:bidi w:val="0"/>
        <w:jc w:val="left"/>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val="en-US" w:eastAsia="zh-CN"/>
        </w:rPr>
        <w:t>15、投标人提供“信用中国”网站（www.creditchina.gov.cn）、中国政府采购网（www.ccgp.gov.cn）、国家企业信用信息公示系统（http://www.gsxt.gov.cn）查询结果并加盖鲜公章；</w:t>
      </w:r>
    </w:p>
    <w:p w14:paraId="7C033463">
      <w:pPr>
        <w:pStyle w:val="3"/>
        <w:pageBreakBefore w:val="0"/>
        <w:widowControl w:val="0"/>
        <w:numPr>
          <w:ilvl w:val="1"/>
          <w:numId w:val="0"/>
        </w:numPr>
        <w:wordWrap/>
        <w:topLinePunct w:val="0"/>
        <w:bidi w:val="0"/>
        <w:spacing w:line="24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bookmarkStart w:id="195" w:name="_Toc18313"/>
      <w:bookmarkStart w:id="196" w:name="_Toc20373"/>
      <w:bookmarkStart w:id="197" w:name="_Toc28464"/>
      <w:bookmarkStart w:id="198" w:name="_Toc31020"/>
      <w:bookmarkStart w:id="199" w:name="_Toc13383"/>
      <w:bookmarkStart w:id="200" w:name="_Toc15957"/>
      <w:r>
        <w:rPr>
          <w:rFonts w:hint="eastAsia" w:ascii="宋体" w:hAnsi="宋体" w:eastAsia="宋体" w:cs="宋体"/>
          <w:b/>
          <w:bCs/>
          <w:color w:val="auto"/>
          <w:sz w:val="28"/>
          <w:szCs w:val="28"/>
          <w:highlight w:val="none"/>
          <w:lang w:val="en-US" w:eastAsia="zh-CN"/>
        </w:rPr>
        <w:t>16、</w:t>
      </w:r>
      <w:bookmarkEnd w:id="195"/>
      <w:bookmarkEnd w:id="196"/>
      <w:bookmarkEnd w:id="197"/>
      <w:bookmarkEnd w:id="198"/>
      <w:r>
        <w:rPr>
          <w:rFonts w:hint="eastAsia" w:ascii="宋体" w:hAnsi="宋体" w:eastAsia="宋体" w:cs="宋体"/>
          <w:b/>
          <w:bCs/>
          <w:color w:val="auto"/>
          <w:sz w:val="28"/>
          <w:szCs w:val="28"/>
          <w:highlight w:val="none"/>
          <w:lang w:val="en-US" w:eastAsia="zh-CN"/>
        </w:rPr>
        <w:t>近三年类似项目情况表</w:t>
      </w:r>
      <w:bookmarkEnd w:id="199"/>
      <w:bookmarkEnd w:id="200"/>
    </w:p>
    <w:p w14:paraId="4BBD6105">
      <w:pPr>
        <w:pStyle w:val="37"/>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项目名称 ：                        </w:t>
      </w:r>
    </w:p>
    <w:tbl>
      <w:tblPr>
        <w:tblStyle w:val="22"/>
        <w:tblW w:w="9536" w:type="dxa"/>
        <w:jc w:val="center"/>
        <w:tblLayout w:type="fixed"/>
        <w:tblCellMar>
          <w:top w:w="0" w:type="dxa"/>
          <w:left w:w="108" w:type="dxa"/>
          <w:bottom w:w="0" w:type="dxa"/>
          <w:right w:w="108" w:type="dxa"/>
        </w:tblCellMar>
      </w:tblPr>
      <w:tblGrid>
        <w:gridCol w:w="878"/>
        <w:gridCol w:w="1465"/>
        <w:gridCol w:w="1730"/>
        <w:gridCol w:w="1723"/>
        <w:gridCol w:w="1870"/>
        <w:gridCol w:w="1870"/>
      </w:tblGrid>
      <w:tr w14:paraId="423A2444">
        <w:tblPrEx>
          <w:tblCellMar>
            <w:top w:w="0" w:type="dxa"/>
            <w:left w:w="108" w:type="dxa"/>
            <w:bottom w:w="0" w:type="dxa"/>
            <w:right w:w="108" w:type="dxa"/>
          </w:tblCellMar>
        </w:tblPrEx>
        <w:trPr>
          <w:trHeight w:val="1331"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center"/>
          </w:tcPr>
          <w:p w14:paraId="4C4295AB">
            <w:pPr>
              <w:pStyle w:val="38"/>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市</w:t>
            </w:r>
          </w:p>
        </w:tc>
        <w:tc>
          <w:tcPr>
            <w:tcW w:w="1465" w:type="dxa"/>
            <w:tcBorders>
              <w:top w:val="single" w:color="auto" w:sz="6" w:space="0"/>
              <w:left w:val="single" w:color="auto" w:sz="6" w:space="0"/>
              <w:bottom w:val="single" w:color="auto" w:sz="6" w:space="0"/>
              <w:right w:val="single" w:color="auto" w:sz="6" w:space="0"/>
            </w:tcBorders>
            <w:noWrap w:val="0"/>
            <w:vAlign w:val="center"/>
          </w:tcPr>
          <w:p w14:paraId="4052874D">
            <w:pPr>
              <w:pStyle w:val="38"/>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项目名称</w:t>
            </w:r>
          </w:p>
        </w:tc>
        <w:tc>
          <w:tcPr>
            <w:tcW w:w="1730" w:type="dxa"/>
            <w:tcBorders>
              <w:top w:val="single" w:color="auto" w:sz="6" w:space="0"/>
              <w:left w:val="single" w:color="auto" w:sz="6" w:space="0"/>
              <w:bottom w:val="single" w:color="auto" w:sz="6" w:space="0"/>
              <w:right w:val="single" w:color="auto" w:sz="6" w:space="0"/>
            </w:tcBorders>
            <w:noWrap w:val="0"/>
            <w:vAlign w:val="center"/>
          </w:tcPr>
          <w:p w14:paraId="62235D9C">
            <w:pPr>
              <w:pStyle w:val="38"/>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项目内容</w:t>
            </w:r>
          </w:p>
        </w:tc>
        <w:tc>
          <w:tcPr>
            <w:tcW w:w="1723" w:type="dxa"/>
            <w:tcBorders>
              <w:top w:val="single" w:color="auto" w:sz="6" w:space="0"/>
              <w:left w:val="single" w:color="auto" w:sz="6" w:space="0"/>
              <w:bottom w:val="single" w:color="auto" w:sz="6" w:space="0"/>
              <w:right w:val="single" w:color="auto" w:sz="6" w:space="0"/>
            </w:tcBorders>
            <w:noWrap w:val="0"/>
            <w:vAlign w:val="center"/>
          </w:tcPr>
          <w:p w14:paraId="7791917A">
            <w:pPr>
              <w:pStyle w:val="38"/>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合同金额</w:t>
            </w:r>
          </w:p>
        </w:tc>
        <w:tc>
          <w:tcPr>
            <w:tcW w:w="1870" w:type="dxa"/>
            <w:tcBorders>
              <w:top w:val="single" w:color="auto" w:sz="6" w:space="0"/>
              <w:left w:val="single" w:color="auto" w:sz="6" w:space="0"/>
              <w:bottom w:val="single" w:color="auto" w:sz="6" w:space="0"/>
              <w:right w:val="single" w:color="auto" w:sz="6" w:space="0"/>
            </w:tcBorders>
            <w:noWrap w:val="0"/>
            <w:vAlign w:val="top"/>
          </w:tcPr>
          <w:p w14:paraId="67F5D8AA">
            <w:pPr>
              <w:pStyle w:val="38"/>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项目单位联系人及电话</w:t>
            </w:r>
          </w:p>
        </w:tc>
        <w:tc>
          <w:tcPr>
            <w:tcW w:w="1870" w:type="dxa"/>
            <w:tcBorders>
              <w:top w:val="single" w:color="auto" w:sz="6" w:space="0"/>
              <w:left w:val="single" w:color="auto" w:sz="6" w:space="0"/>
              <w:bottom w:val="single" w:color="auto" w:sz="6" w:space="0"/>
              <w:right w:val="single" w:color="auto" w:sz="6" w:space="0"/>
            </w:tcBorders>
            <w:noWrap w:val="0"/>
            <w:vAlign w:val="center"/>
          </w:tcPr>
          <w:p w14:paraId="4D418372">
            <w:pPr>
              <w:pStyle w:val="38"/>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备  注</w:t>
            </w:r>
          </w:p>
        </w:tc>
      </w:tr>
      <w:tr w14:paraId="3F9CD9F2">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351D4775">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69663DC7">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0D2E9124">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7A73604B">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74AB384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1E7F5F1D">
            <w:pPr>
              <w:pStyle w:val="38"/>
              <w:pageBreakBefore w:val="0"/>
              <w:widowControl w:val="0"/>
              <w:wordWrap/>
              <w:topLinePunct w:val="0"/>
              <w:bidi w:val="0"/>
              <w:rPr>
                <w:rFonts w:hint="eastAsia" w:ascii="宋体" w:hAnsi="宋体" w:eastAsia="宋体" w:cs="宋体"/>
                <w:color w:val="auto"/>
                <w:sz w:val="28"/>
                <w:szCs w:val="28"/>
                <w:highlight w:val="none"/>
              </w:rPr>
            </w:pPr>
          </w:p>
        </w:tc>
      </w:tr>
      <w:tr w14:paraId="3FC9428A">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1F065D44">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75C78E9C">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0443ABE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509223A0">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7D136E7B">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70BD4671">
            <w:pPr>
              <w:pStyle w:val="38"/>
              <w:pageBreakBefore w:val="0"/>
              <w:widowControl w:val="0"/>
              <w:wordWrap/>
              <w:topLinePunct w:val="0"/>
              <w:bidi w:val="0"/>
              <w:rPr>
                <w:rFonts w:hint="eastAsia" w:ascii="宋体" w:hAnsi="宋体" w:eastAsia="宋体" w:cs="宋体"/>
                <w:color w:val="auto"/>
                <w:sz w:val="28"/>
                <w:szCs w:val="28"/>
                <w:highlight w:val="none"/>
              </w:rPr>
            </w:pPr>
          </w:p>
        </w:tc>
      </w:tr>
      <w:tr w14:paraId="68BB3374">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0D002887">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4EC1719B">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701C208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2FEC1D0A">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5609A518">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50AAD1AA">
            <w:pPr>
              <w:pStyle w:val="38"/>
              <w:pageBreakBefore w:val="0"/>
              <w:widowControl w:val="0"/>
              <w:wordWrap/>
              <w:topLinePunct w:val="0"/>
              <w:bidi w:val="0"/>
              <w:rPr>
                <w:rFonts w:hint="eastAsia" w:ascii="宋体" w:hAnsi="宋体" w:eastAsia="宋体" w:cs="宋体"/>
                <w:color w:val="auto"/>
                <w:sz w:val="28"/>
                <w:szCs w:val="28"/>
                <w:highlight w:val="none"/>
              </w:rPr>
            </w:pPr>
          </w:p>
        </w:tc>
      </w:tr>
      <w:tr w14:paraId="570101EC">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0926B17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3695C526">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0E7D83E5">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0A187047">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5B981E8C">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52E3B6E3">
            <w:pPr>
              <w:pStyle w:val="38"/>
              <w:pageBreakBefore w:val="0"/>
              <w:widowControl w:val="0"/>
              <w:wordWrap/>
              <w:topLinePunct w:val="0"/>
              <w:bidi w:val="0"/>
              <w:rPr>
                <w:rFonts w:hint="eastAsia" w:ascii="宋体" w:hAnsi="宋体" w:eastAsia="宋体" w:cs="宋体"/>
                <w:color w:val="auto"/>
                <w:sz w:val="28"/>
                <w:szCs w:val="28"/>
                <w:highlight w:val="none"/>
              </w:rPr>
            </w:pPr>
          </w:p>
        </w:tc>
      </w:tr>
      <w:tr w14:paraId="0ED0CE3E">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3C47C5F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46318B46">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0EFA2E5F">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7C3CAF8E">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41A1662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13606005">
            <w:pPr>
              <w:pStyle w:val="38"/>
              <w:pageBreakBefore w:val="0"/>
              <w:widowControl w:val="0"/>
              <w:wordWrap/>
              <w:topLinePunct w:val="0"/>
              <w:bidi w:val="0"/>
              <w:rPr>
                <w:rFonts w:hint="eastAsia" w:ascii="宋体" w:hAnsi="宋体" w:eastAsia="宋体" w:cs="宋体"/>
                <w:color w:val="auto"/>
                <w:sz w:val="28"/>
                <w:szCs w:val="28"/>
                <w:highlight w:val="none"/>
              </w:rPr>
            </w:pPr>
          </w:p>
        </w:tc>
      </w:tr>
      <w:tr w14:paraId="466A8DC3">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102B7CF0">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107C7B9F">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6722A640">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43F7A90E">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1F48D36E">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41FB65E0">
            <w:pPr>
              <w:pStyle w:val="38"/>
              <w:pageBreakBefore w:val="0"/>
              <w:widowControl w:val="0"/>
              <w:wordWrap/>
              <w:topLinePunct w:val="0"/>
              <w:bidi w:val="0"/>
              <w:rPr>
                <w:rFonts w:hint="eastAsia" w:ascii="宋体" w:hAnsi="宋体" w:eastAsia="宋体" w:cs="宋体"/>
                <w:color w:val="auto"/>
                <w:sz w:val="28"/>
                <w:szCs w:val="28"/>
                <w:highlight w:val="none"/>
              </w:rPr>
            </w:pPr>
          </w:p>
        </w:tc>
      </w:tr>
      <w:tr w14:paraId="7346DD8B">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44C489F0">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1AF3C861">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696957B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6B7259BA">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011B4A3E">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733F31BD">
            <w:pPr>
              <w:pStyle w:val="38"/>
              <w:pageBreakBefore w:val="0"/>
              <w:widowControl w:val="0"/>
              <w:wordWrap/>
              <w:topLinePunct w:val="0"/>
              <w:bidi w:val="0"/>
              <w:rPr>
                <w:rFonts w:hint="eastAsia" w:ascii="宋体" w:hAnsi="宋体" w:eastAsia="宋体" w:cs="宋体"/>
                <w:color w:val="auto"/>
                <w:sz w:val="28"/>
                <w:szCs w:val="28"/>
                <w:highlight w:val="none"/>
              </w:rPr>
            </w:pPr>
          </w:p>
        </w:tc>
      </w:tr>
      <w:tr w14:paraId="541C0237">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1CD91BAC">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57AF502C">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19F4069E">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57D0923A">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49E79B24">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2FF66CCB">
            <w:pPr>
              <w:pStyle w:val="38"/>
              <w:pageBreakBefore w:val="0"/>
              <w:widowControl w:val="0"/>
              <w:wordWrap/>
              <w:topLinePunct w:val="0"/>
              <w:bidi w:val="0"/>
              <w:rPr>
                <w:rFonts w:hint="eastAsia" w:ascii="宋体" w:hAnsi="宋体" w:eastAsia="宋体" w:cs="宋体"/>
                <w:color w:val="auto"/>
                <w:sz w:val="28"/>
                <w:szCs w:val="28"/>
                <w:highlight w:val="none"/>
              </w:rPr>
            </w:pPr>
          </w:p>
        </w:tc>
      </w:tr>
      <w:tr w14:paraId="1DA8F4D0">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4E4989AD">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3FC9CCE3">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05B514AD">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7563A895">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322BFED1">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4B7CDA45">
            <w:pPr>
              <w:pStyle w:val="38"/>
              <w:pageBreakBefore w:val="0"/>
              <w:widowControl w:val="0"/>
              <w:wordWrap/>
              <w:topLinePunct w:val="0"/>
              <w:bidi w:val="0"/>
              <w:rPr>
                <w:rFonts w:hint="eastAsia" w:ascii="宋体" w:hAnsi="宋体" w:eastAsia="宋体" w:cs="宋体"/>
                <w:color w:val="auto"/>
                <w:sz w:val="28"/>
                <w:szCs w:val="28"/>
                <w:highlight w:val="none"/>
              </w:rPr>
            </w:pPr>
          </w:p>
        </w:tc>
      </w:tr>
      <w:tr w14:paraId="09B09922">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07D00BDD">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5ECDA9F8">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111DE49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554FF9AC">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19A5CF5F">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2DB26762">
            <w:pPr>
              <w:pStyle w:val="38"/>
              <w:pageBreakBefore w:val="0"/>
              <w:widowControl w:val="0"/>
              <w:wordWrap/>
              <w:topLinePunct w:val="0"/>
              <w:bidi w:val="0"/>
              <w:rPr>
                <w:rFonts w:hint="eastAsia" w:ascii="宋体" w:hAnsi="宋体" w:eastAsia="宋体" w:cs="宋体"/>
                <w:color w:val="auto"/>
                <w:sz w:val="28"/>
                <w:szCs w:val="28"/>
                <w:highlight w:val="none"/>
              </w:rPr>
            </w:pPr>
          </w:p>
        </w:tc>
      </w:tr>
      <w:tr w14:paraId="5714A6B5">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08945BCD">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4B0B4592">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12359CD9">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37281C56">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2887A13A">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5DBFFE39">
            <w:pPr>
              <w:pStyle w:val="38"/>
              <w:pageBreakBefore w:val="0"/>
              <w:widowControl w:val="0"/>
              <w:wordWrap/>
              <w:topLinePunct w:val="0"/>
              <w:bidi w:val="0"/>
              <w:rPr>
                <w:rFonts w:hint="eastAsia" w:ascii="宋体" w:hAnsi="宋体" w:eastAsia="宋体" w:cs="宋体"/>
                <w:color w:val="auto"/>
                <w:sz w:val="28"/>
                <w:szCs w:val="28"/>
                <w:highlight w:val="none"/>
              </w:rPr>
            </w:pPr>
          </w:p>
        </w:tc>
      </w:tr>
      <w:tr w14:paraId="7DC193E1">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30FD1146">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07D5ABDF">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75852654">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655C6483">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419A3F5F">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774B4FE5">
            <w:pPr>
              <w:pStyle w:val="38"/>
              <w:pageBreakBefore w:val="0"/>
              <w:widowControl w:val="0"/>
              <w:wordWrap/>
              <w:topLinePunct w:val="0"/>
              <w:bidi w:val="0"/>
              <w:rPr>
                <w:rFonts w:hint="eastAsia" w:ascii="宋体" w:hAnsi="宋体" w:eastAsia="宋体" w:cs="宋体"/>
                <w:color w:val="auto"/>
                <w:sz w:val="28"/>
                <w:szCs w:val="28"/>
                <w:highlight w:val="none"/>
              </w:rPr>
            </w:pPr>
          </w:p>
        </w:tc>
      </w:tr>
      <w:tr w14:paraId="6D9AE0DE">
        <w:tblPrEx>
          <w:tblCellMar>
            <w:top w:w="0" w:type="dxa"/>
            <w:left w:w="108" w:type="dxa"/>
            <w:bottom w:w="0" w:type="dxa"/>
            <w:right w:w="108" w:type="dxa"/>
          </w:tblCellMar>
        </w:tblPrEx>
        <w:trPr>
          <w:trHeight w:val="624" w:hRule="atLeast"/>
          <w:jc w:val="center"/>
        </w:trPr>
        <w:tc>
          <w:tcPr>
            <w:tcW w:w="878" w:type="dxa"/>
            <w:tcBorders>
              <w:top w:val="single" w:color="auto" w:sz="6" w:space="0"/>
              <w:left w:val="single" w:color="auto" w:sz="6" w:space="0"/>
              <w:bottom w:val="single" w:color="auto" w:sz="6" w:space="0"/>
              <w:right w:val="single" w:color="auto" w:sz="6" w:space="0"/>
            </w:tcBorders>
            <w:noWrap w:val="0"/>
            <w:vAlign w:val="top"/>
          </w:tcPr>
          <w:p w14:paraId="53CB4550">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465" w:type="dxa"/>
            <w:tcBorders>
              <w:top w:val="single" w:color="auto" w:sz="6" w:space="0"/>
              <w:left w:val="single" w:color="auto" w:sz="6" w:space="0"/>
              <w:bottom w:val="single" w:color="auto" w:sz="6" w:space="0"/>
              <w:right w:val="single" w:color="auto" w:sz="6" w:space="0"/>
            </w:tcBorders>
            <w:noWrap w:val="0"/>
            <w:vAlign w:val="top"/>
          </w:tcPr>
          <w:p w14:paraId="28FE93ED">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30" w:type="dxa"/>
            <w:tcBorders>
              <w:top w:val="single" w:color="auto" w:sz="6" w:space="0"/>
              <w:left w:val="single" w:color="auto" w:sz="6" w:space="0"/>
              <w:bottom w:val="single" w:color="auto" w:sz="6" w:space="0"/>
              <w:right w:val="single" w:color="auto" w:sz="6" w:space="0"/>
            </w:tcBorders>
            <w:noWrap w:val="0"/>
            <w:vAlign w:val="top"/>
          </w:tcPr>
          <w:p w14:paraId="479D8B7A">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723" w:type="dxa"/>
            <w:tcBorders>
              <w:top w:val="single" w:color="auto" w:sz="6" w:space="0"/>
              <w:left w:val="single" w:color="auto" w:sz="6" w:space="0"/>
              <w:bottom w:val="single" w:color="auto" w:sz="6" w:space="0"/>
              <w:right w:val="single" w:color="auto" w:sz="6" w:space="0"/>
            </w:tcBorders>
            <w:noWrap w:val="0"/>
            <w:vAlign w:val="top"/>
          </w:tcPr>
          <w:p w14:paraId="7C10384E">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58429958">
            <w:pPr>
              <w:pStyle w:val="38"/>
              <w:pageBreakBefore w:val="0"/>
              <w:widowControl w:val="0"/>
              <w:wordWrap/>
              <w:topLinePunct w:val="0"/>
              <w:bidi w:val="0"/>
              <w:rPr>
                <w:rFonts w:hint="eastAsia" w:ascii="宋体" w:hAnsi="宋体" w:eastAsia="宋体" w:cs="宋体"/>
                <w:color w:val="auto"/>
                <w:sz w:val="28"/>
                <w:szCs w:val="28"/>
                <w:highlight w:val="none"/>
              </w:rPr>
            </w:pPr>
          </w:p>
        </w:tc>
        <w:tc>
          <w:tcPr>
            <w:tcW w:w="1870" w:type="dxa"/>
            <w:tcBorders>
              <w:top w:val="single" w:color="auto" w:sz="6" w:space="0"/>
              <w:left w:val="single" w:color="auto" w:sz="6" w:space="0"/>
              <w:bottom w:val="single" w:color="auto" w:sz="6" w:space="0"/>
              <w:right w:val="single" w:color="auto" w:sz="6" w:space="0"/>
            </w:tcBorders>
            <w:noWrap w:val="0"/>
            <w:vAlign w:val="top"/>
          </w:tcPr>
          <w:p w14:paraId="792EC086">
            <w:pPr>
              <w:pStyle w:val="38"/>
              <w:pageBreakBefore w:val="0"/>
              <w:widowControl w:val="0"/>
              <w:wordWrap/>
              <w:topLinePunct w:val="0"/>
              <w:bidi w:val="0"/>
              <w:rPr>
                <w:rFonts w:hint="eastAsia" w:ascii="宋体" w:hAnsi="宋体" w:eastAsia="宋体" w:cs="宋体"/>
                <w:color w:val="auto"/>
                <w:sz w:val="28"/>
                <w:szCs w:val="28"/>
                <w:highlight w:val="none"/>
              </w:rPr>
            </w:pPr>
          </w:p>
        </w:tc>
      </w:tr>
    </w:tbl>
    <w:p w14:paraId="6CCD0043">
      <w:pPr>
        <w:pageBreakBefore w:val="0"/>
        <w:widowControl w:val="0"/>
        <w:wordWrap/>
        <w:topLinePunct w:val="0"/>
        <w:bidi w:val="0"/>
        <w:spacing w:line="400" w:lineRule="exact"/>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附:2022年4月以来完成的类似项目（在投标文件中提供合同或中标通知书复印件并加盖投标人公章，以合同签订时间为准）。</w:t>
      </w:r>
    </w:p>
    <w:p w14:paraId="74734AFF">
      <w:pPr>
        <w:pageBreakBefore w:val="0"/>
        <w:widowControl w:val="0"/>
        <w:wordWrap/>
        <w:topLinePunct w:val="0"/>
        <w:bidi w:val="0"/>
        <w:spacing w:line="400" w:lineRule="exact"/>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公章）   </w:t>
      </w:r>
    </w:p>
    <w:p w14:paraId="1C615F29">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lang w:val="en-US" w:eastAsia="zh-CN"/>
        </w:rPr>
        <w:t>或</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w:t>
      </w:r>
    </w:p>
    <w:p w14:paraId="6D51C6B5">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181B20F2">
      <w:pPr>
        <w:pageBreakBefore w:val="0"/>
        <w:widowControl w:val="0"/>
        <w:wordWrap/>
        <w:topLinePunct w:val="0"/>
        <w:bidi w:val="0"/>
        <w:rPr>
          <w:rFonts w:hint="eastAsia" w:ascii="宋体" w:hAnsi="宋体" w:eastAsia="宋体" w:cs="宋体"/>
          <w:color w:val="auto"/>
          <w:sz w:val="28"/>
          <w:szCs w:val="28"/>
          <w:highlight w:val="none"/>
        </w:rPr>
      </w:pPr>
    </w:p>
    <w:p w14:paraId="47C7D5DA">
      <w:pPr>
        <w:pStyle w:val="37"/>
        <w:pageBreakBefore w:val="0"/>
        <w:widowControl w:val="0"/>
        <w:tabs>
          <w:tab w:val="left" w:pos="540"/>
          <w:tab w:val="left" w:pos="1080"/>
        </w:tabs>
        <w:wordWrap/>
        <w:topLinePunct w:val="0"/>
        <w:bidi w:val="0"/>
        <w:ind w:firstLine="275" w:firstLineChars="98"/>
        <w:jc w:val="center"/>
        <w:rPr>
          <w:rFonts w:hint="default"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17</w:t>
      </w: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lang w:val="en-US" w:eastAsia="zh-CN"/>
        </w:rPr>
        <w:t>售后服务承诺书</w:t>
      </w:r>
    </w:p>
    <w:p w14:paraId="2CC636BD">
      <w:pPr>
        <w:pStyle w:val="4"/>
        <w:pageBreakBefore w:val="0"/>
        <w:widowControl w:val="0"/>
        <w:wordWrap/>
        <w:topLinePunct w:val="0"/>
        <w:bidi w:val="0"/>
        <w:outlineLvl w:val="9"/>
        <w:rPr>
          <w:rFonts w:hint="eastAsia" w:ascii="宋体" w:hAnsi="宋体" w:eastAsia="宋体" w:cs="宋体"/>
          <w:color w:val="auto"/>
          <w:sz w:val="28"/>
          <w:szCs w:val="28"/>
          <w:highlight w:val="none"/>
          <w:lang w:val="en-US" w:eastAsia="zh-CN"/>
        </w:rPr>
      </w:pPr>
    </w:p>
    <w:p w14:paraId="0962ACD1">
      <w:pPr>
        <w:rPr>
          <w:rFonts w:hint="eastAsia"/>
          <w:lang w:val="en-US" w:eastAsia="zh-CN"/>
        </w:rPr>
      </w:pPr>
    </w:p>
    <w:p w14:paraId="5C3E33BC">
      <w:pPr>
        <w:pageBreakBefore w:val="0"/>
        <w:widowControl w:val="0"/>
        <w:wordWrap/>
        <w:topLinePunct w:val="0"/>
        <w:bidi w:val="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投标人必须按提交的售后服务承诺书，提供售后服务。</w:t>
      </w:r>
    </w:p>
    <w:p w14:paraId="5959EAB8">
      <w:pPr>
        <w:pageBreakBefore w:val="0"/>
        <w:widowControl w:val="0"/>
        <w:wordWrap/>
        <w:topLinePunct w:val="0"/>
        <w:bidi w:val="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一、拟提供售后服务的项目：</w:t>
      </w:r>
    </w:p>
    <w:p w14:paraId="46CF2029">
      <w:pPr>
        <w:pageBreakBefore w:val="0"/>
        <w:widowControl w:val="0"/>
        <w:wordWrap/>
        <w:topLinePunct w:val="0"/>
        <w:bidi w:val="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 xml:space="preserve">二、所投产品免费质保期限：                       </w:t>
      </w:r>
    </w:p>
    <w:p w14:paraId="74F7E78D">
      <w:pPr>
        <w:pageBreakBefore w:val="0"/>
        <w:widowControl w:val="0"/>
        <w:wordWrap/>
        <w:topLinePunct w:val="0"/>
        <w:bidi w:val="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 xml:space="preserve">三、免费质保期后，如维修是否收取材料费：                       </w:t>
      </w:r>
    </w:p>
    <w:p w14:paraId="2DEB012E">
      <w:pPr>
        <w:pageBreakBefore w:val="0"/>
        <w:widowControl w:val="0"/>
        <w:wordWrap/>
        <w:topLinePunct w:val="0"/>
        <w:bidi w:val="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 xml:space="preserve">四、免费质保期后，如维修是否收取服务费：                       </w:t>
      </w:r>
    </w:p>
    <w:p w14:paraId="5F7CA526">
      <w:pPr>
        <w:pageBreakBefore w:val="0"/>
        <w:widowControl w:val="0"/>
        <w:wordWrap/>
        <w:topLinePunct w:val="0"/>
        <w:bidi w:val="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五、服务响应及到达现场的时间：</w:t>
      </w:r>
    </w:p>
    <w:p w14:paraId="3160E697">
      <w:pPr>
        <w:pStyle w:val="4"/>
        <w:pageBreakBefore w:val="0"/>
        <w:widowControl w:val="0"/>
        <w:wordWrap/>
        <w:topLinePunct w:val="0"/>
        <w:bidi w:val="0"/>
        <w:outlineLvl w:val="9"/>
        <w:rPr>
          <w:rFonts w:hint="eastAsia" w:ascii="宋体" w:hAnsi="宋体" w:eastAsia="宋体" w:cs="宋体"/>
          <w:color w:val="auto"/>
          <w:sz w:val="28"/>
          <w:szCs w:val="28"/>
          <w:highlight w:val="none"/>
          <w:lang w:val="en-US" w:eastAsia="zh-CN"/>
        </w:rPr>
      </w:pPr>
    </w:p>
    <w:p w14:paraId="28752B30">
      <w:pPr>
        <w:pageBreakBefore w:val="0"/>
        <w:widowControl w:val="0"/>
        <w:wordWrap/>
        <w:topLinePunct w:val="0"/>
        <w:bidi w:val="0"/>
        <w:rPr>
          <w:rFonts w:hint="eastAsia" w:ascii="宋体" w:hAnsi="宋体" w:eastAsia="宋体" w:cs="宋体"/>
          <w:color w:val="auto"/>
          <w:sz w:val="28"/>
          <w:szCs w:val="28"/>
          <w:highlight w:val="none"/>
          <w:lang w:val="en-US" w:eastAsia="zh-CN"/>
        </w:rPr>
      </w:pPr>
    </w:p>
    <w:p w14:paraId="3DF2D7F3">
      <w:pPr>
        <w:pStyle w:val="4"/>
        <w:pageBreakBefore w:val="0"/>
        <w:widowControl w:val="0"/>
        <w:wordWrap/>
        <w:topLinePunct w:val="0"/>
        <w:bidi w:val="0"/>
        <w:outlineLvl w:val="9"/>
        <w:rPr>
          <w:rFonts w:hint="eastAsia" w:ascii="宋体" w:hAnsi="宋体" w:eastAsia="宋体" w:cs="宋体"/>
          <w:color w:val="auto"/>
          <w:sz w:val="28"/>
          <w:szCs w:val="28"/>
          <w:highlight w:val="none"/>
          <w:lang w:val="en-US" w:eastAsia="zh-CN"/>
        </w:rPr>
      </w:pPr>
    </w:p>
    <w:p w14:paraId="4E4BD764">
      <w:pPr>
        <w:pageBreakBefore w:val="0"/>
        <w:widowControl w:val="0"/>
        <w:wordWrap/>
        <w:topLinePunct w:val="0"/>
        <w:bidi w:val="0"/>
        <w:rPr>
          <w:rFonts w:hint="eastAsia" w:ascii="宋体" w:hAnsi="宋体" w:eastAsia="宋体" w:cs="宋体"/>
          <w:color w:val="auto"/>
          <w:sz w:val="28"/>
          <w:szCs w:val="28"/>
          <w:highlight w:val="none"/>
          <w:lang w:val="en-US" w:eastAsia="zh-CN"/>
        </w:rPr>
      </w:pPr>
    </w:p>
    <w:p w14:paraId="38733CAA">
      <w:pPr>
        <w:pStyle w:val="4"/>
        <w:pageBreakBefore w:val="0"/>
        <w:widowControl w:val="0"/>
        <w:wordWrap/>
        <w:topLinePunct w:val="0"/>
        <w:bidi w:val="0"/>
        <w:outlineLvl w:val="9"/>
        <w:rPr>
          <w:rFonts w:hint="eastAsia" w:ascii="宋体" w:hAnsi="宋体" w:eastAsia="宋体" w:cs="宋体"/>
          <w:color w:val="auto"/>
          <w:sz w:val="28"/>
          <w:szCs w:val="28"/>
          <w:highlight w:val="none"/>
          <w:lang w:val="en-US" w:eastAsia="zh-CN"/>
        </w:rPr>
      </w:pPr>
    </w:p>
    <w:p w14:paraId="0FEAFA4B">
      <w:pPr>
        <w:pageBreakBefore w:val="0"/>
        <w:widowControl w:val="0"/>
        <w:wordWrap/>
        <w:topLinePunct w:val="0"/>
        <w:bidi w:val="0"/>
        <w:rPr>
          <w:rFonts w:hint="default"/>
          <w:highlight w:val="none"/>
          <w:lang w:val="en-US" w:eastAsia="zh-CN"/>
        </w:rPr>
      </w:pPr>
    </w:p>
    <w:p w14:paraId="60483427">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6D8EEA7F">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100D0EA0">
      <w:pPr>
        <w:pageBreakBefore w:val="0"/>
        <w:widowControl w:val="0"/>
        <w:wordWrap/>
        <w:topLinePunct w:val="0"/>
        <w:bidi w:val="0"/>
        <w:rPr>
          <w:rFonts w:hint="eastAsia" w:ascii="宋体" w:hAnsi="宋体" w:eastAsia="宋体" w:cs="宋体"/>
          <w:color w:val="auto"/>
          <w:sz w:val="28"/>
          <w:szCs w:val="28"/>
          <w:highlight w:val="none"/>
        </w:rPr>
      </w:pPr>
    </w:p>
    <w:p w14:paraId="42F350F2">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7FE587D4">
      <w:pPr>
        <w:pageBreakBefore w:val="0"/>
        <w:widowControl w:val="0"/>
        <w:wordWrap/>
        <w:topLinePunct w:val="0"/>
        <w:bidi w:val="0"/>
        <w:rPr>
          <w:rFonts w:hint="eastAsia" w:ascii="宋体" w:hAnsi="宋体" w:eastAsia="宋体" w:cs="宋体"/>
          <w:color w:val="auto"/>
          <w:sz w:val="28"/>
          <w:szCs w:val="28"/>
          <w:highlight w:val="none"/>
        </w:rPr>
      </w:pPr>
    </w:p>
    <w:p w14:paraId="5333778E">
      <w:pPr>
        <w:pStyle w:val="4"/>
        <w:pageBreakBefore w:val="0"/>
        <w:widowControl w:val="0"/>
        <w:wordWrap/>
        <w:topLinePunct w:val="0"/>
        <w:bidi w:val="0"/>
        <w:outlineLvl w:val="9"/>
        <w:rPr>
          <w:rFonts w:hint="eastAsia" w:ascii="宋体" w:hAnsi="宋体" w:eastAsia="宋体" w:cs="宋体"/>
          <w:color w:val="auto"/>
          <w:highlight w:val="none"/>
        </w:rPr>
      </w:pPr>
    </w:p>
    <w:p w14:paraId="7D4C1607">
      <w:pPr>
        <w:rPr>
          <w:rFonts w:hint="eastAsia"/>
        </w:rPr>
      </w:pPr>
    </w:p>
    <w:p w14:paraId="3AA9CA27">
      <w:pPr>
        <w:pageBreakBefore w:val="0"/>
        <w:widowControl w:val="0"/>
        <w:wordWrap/>
        <w:topLinePunct w:val="0"/>
        <w:bidi w:val="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18</w:t>
      </w:r>
      <w:r>
        <w:rPr>
          <w:rFonts w:hint="eastAsia" w:ascii="宋体" w:hAnsi="宋体" w:eastAsia="宋体" w:cs="宋体"/>
          <w:b/>
          <w:color w:val="auto"/>
          <w:sz w:val="28"/>
          <w:szCs w:val="28"/>
          <w:highlight w:val="none"/>
        </w:rPr>
        <w:t>、商务条款偏离表</w:t>
      </w:r>
    </w:p>
    <w:p w14:paraId="1897AFF0">
      <w:pPr>
        <w:pageBreakBefore w:val="0"/>
        <w:widowControl w:val="0"/>
        <w:wordWrap/>
        <w:topLinePunct w:val="0"/>
        <w:bidi w:val="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项目名称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项目编号：</w:t>
      </w:r>
      <w:r>
        <w:rPr>
          <w:rFonts w:hint="eastAsia" w:ascii="宋体" w:hAnsi="宋体" w:eastAsia="宋体" w:cs="宋体"/>
          <w:color w:val="auto"/>
          <w:sz w:val="28"/>
          <w:szCs w:val="28"/>
          <w:highlight w:val="none"/>
          <w:u w:val="single"/>
        </w:rPr>
        <w:t>　　　　</w:t>
      </w:r>
    </w:p>
    <w:tbl>
      <w:tblPr>
        <w:tblStyle w:val="22"/>
        <w:tblW w:w="91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260"/>
        <w:gridCol w:w="2415"/>
        <w:gridCol w:w="2835"/>
        <w:gridCol w:w="1984"/>
      </w:tblGrid>
      <w:tr w14:paraId="4EA33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675" w:type="dxa"/>
            <w:noWrap w:val="0"/>
            <w:vAlign w:val="center"/>
          </w:tcPr>
          <w:p w14:paraId="49F27111">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序号</w:t>
            </w:r>
          </w:p>
        </w:tc>
        <w:tc>
          <w:tcPr>
            <w:tcW w:w="1260" w:type="dxa"/>
            <w:noWrap w:val="0"/>
            <w:vAlign w:val="center"/>
          </w:tcPr>
          <w:p w14:paraId="40B58DE1">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招标文件</w:t>
            </w:r>
          </w:p>
          <w:p w14:paraId="71A422DB">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条目号</w:t>
            </w:r>
          </w:p>
        </w:tc>
        <w:tc>
          <w:tcPr>
            <w:tcW w:w="2415" w:type="dxa"/>
            <w:noWrap w:val="0"/>
            <w:vAlign w:val="center"/>
          </w:tcPr>
          <w:p w14:paraId="5BEBF8E7">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招标文件的商务条款</w:t>
            </w:r>
          </w:p>
        </w:tc>
        <w:tc>
          <w:tcPr>
            <w:tcW w:w="2835" w:type="dxa"/>
            <w:noWrap w:val="0"/>
            <w:vAlign w:val="center"/>
          </w:tcPr>
          <w:p w14:paraId="6BAFBBD6">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投标文件的商务条款</w:t>
            </w:r>
          </w:p>
        </w:tc>
        <w:tc>
          <w:tcPr>
            <w:tcW w:w="1984" w:type="dxa"/>
            <w:noWrap w:val="0"/>
            <w:vAlign w:val="center"/>
          </w:tcPr>
          <w:p w14:paraId="493A77C2">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说明</w:t>
            </w:r>
          </w:p>
        </w:tc>
      </w:tr>
      <w:tr w14:paraId="0CBEC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75" w:type="dxa"/>
            <w:noWrap w:val="0"/>
            <w:vAlign w:val="top"/>
          </w:tcPr>
          <w:p w14:paraId="21951ACB">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w:t>
            </w:r>
          </w:p>
        </w:tc>
        <w:tc>
          <w:tcPr>
            <w:tcW w:w="1260" w:type="dxa"/>
            <w:noWrap w:val="0"/>
            <w:vAlign w:val="top"/>
          </w:tcPr>
          <w:p w14:paraId="060592C0">
            <w:pPr>
              <w:pageBreakBefore w:val="0"/>
              <w:widowControl w:val="0"/>
              <w:wordWrap/>
              <w:topLinePunct w:val="0"/>
              <w:bidi w:val="0"/>
              <w:jc w:val="left"/>
              <w:rPr>
                <w:rFonts w:hint="eastAsia" w:ascii="宋体" w:hAnsi="宋体" w:eastAsia="宋体" w:cs="宋体"/>
                <w:color w:val="auto"/>
                <w:sz w:val="28"/>
                <w:szCs w:val="28"/>
                <w:highlight w:val="none"/>
              </w:rPr>
            </w:pPr>
          </w:p>
          <w:p w14:paraId="3ACA3BF2">
            <w:pPr>
              <w:pageBreakBefore w:val="0"/>
              <w:widowControl w:val="0"/>
              <w:wordWrap/>
              <w:topLinePunct w:val="0"/>
              <w:bidi w:val="0"/>
              <w:rPr>
                <w:rFonts w:hint="eastAsia" w:ascii="宋体" w:hAnsi="宋体" w:eastAsia="宋体" w:cs="宋体"/>
                <w:color w:val="auto"/>
                <w:sz w:val="28"/>
                <w:szCs w:val="28"/>
                <w:highlight w:val="none"/>
              </w:rPr>
            </w:pPr>
          </w:p>
        </w:tc>
        <w:tc>
          <w:tcPr>
            <w:tcW w:w="2415" w:type="dxa"/>
            <w:noWrap w:val="0"/>
            <w:vAlign w:val="top"/>
          </w:tcPr>
          <w:p w14:paraId="5FC7E55C">
            <w:pPr>
              <w:pageBreakBefore w:val="0"/>
              <w:widowControl w:val="0"/>
              <w:wordWrap/>
              <w:topLinePunct w:val="0"/>
              <w:bidi w:val="0"/>
              <w:rPr>
                <w:rFonts w:hint="eastAsia" w:ascii="宋体" w:hAnsi="宋体" w:eastAsia="宋体" w:cs="宋体"/>
                <w:color w:val="auto"/>
                <w:sz w:val="28"/>
                <w:szCs w:val="28"/>
                <w:highlight w:val="none"/>
              </w:rPr>
            </w:pPr>
          </w:p>
        </w:tc>
        <w:tc>
          <w:tcPr>
            <w:tcW w:w="2835" w:type="dxa"/>
            <w:noWrap w:val="0"/>
            <w:vAlign w:val="top"/>
          </w:tcPr>
          <w:p w14:paraId="0F6F3B73">
            <w:pPr>
              <w:pageBreakBefore w:val="0"/>
              <w:widowControl w:val="0"/>
              <w:wordWrap/>
              <w:topLinePunct w:val="0"/>
              <w:bidi w:val="0"/>
              <w:rPr>
                <w:rFonts w:hint="eastAsia" w:ascii="宋体" w:hAnsi="宋体" w:eastAsia="宋体" w:cs="宋体"/>
                <w:color w:val="auto"/>
                <w:sz w:val="28"/>
                <w:szCs w:val="28"/>
                <w:highlight w:val="none"/>
              </w:rPr>
            </w:pPr>
          </w:p>
        </w:tc>
        <w:tc>
          <w:tcPr>
            <w:tcW w:w="1984" w:type="dxa"/>
            <w:noWrap w:val="0"/>
            <w:vAlign w:val="top"/>
          </w:tcPr>
          <w:p w14:paraId="708F877F">
            <w:pPr>
              <w:pageBreakBefore w:val="0"/>
              <w:widowControl w:val="0"/>
              <w:wordWrap/>
              <w:topLinePunct w:val="0"/>
              <w:bidi w:val="0"/>
              <w:rPr>
                <w:rFonts w:hint="eastAsia" w:ascii="宋体" w:hAnsi="宋体" w:eastAsia="宋体" w:cs="宋体"/>
                <w:color w:val="auto"/>
                <w:sz w:val="28"/>
                <w:szCs w:val="28"/>
                <w:highlight w:val="none"/>
              </w:rPr>
            </w:pPr>
          </w:p>
        </w:tc>
      </w:tr>
      <w:tr w14:paraId="6E153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675" w:type="dxa"/>
            <w:noWrap w:val="0"/>
            <w:vAlign w:val="top"/>
          </w:tcPr>
          <w:p w14:paraId="0182291B">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p>
          <w:p w14:paraId="5CA664F2">
            <w:pPr>
              <w:pageBreakBefore w:val="0"/>
              <w:widowControl w:val="0"/>
              <w:wordWrap/>
              <w:topLinePunct w:val="0"/>
              <w:bidi w:val="0"/>
              <w:rPr>
                <w:rFonts w:hint="eastAsia" w:ascii="宋体" w:hAnsi="宋体" w:eastAsia="宋体" w:cs="宋体"/>
                <w:color w:val="auto"/>
                <w:sz w:val="28"/>
                <w:szCs w:val="28"/>
                <w:highlight w:val="none"/>
              </w:rPr>
            </w:pPr>
          </w:p>
        </w:tc>
        <w:tc>
          <w:tcPr>
            <w:tcW w:w="1260" w:type="dxa"/>
            <w:noWrap w:val="0"/>
            <w:vAlign w:val="top"/>
          </w:tcPr>
          <w:p w14:paraId="5167818B">
            <w:pPr>
              <w:pageBreakBefore w:val="0"/>
              <w:widowControl w:val="0"/>
              <w:wordWrap/>
              <w:topLinePunct w:val="0"/>
              <w:bidi w:val="0"/>
              <w:jc w:val="left"/>
              <w:rPr>
                <w:rFonts w:hint="eastAsia" w:ascii="宋体" w:hAnsi="宋体" w:eastAsia="宋体" w:cs="宋体"/>
                <w:color w:val="auto"/>
                <w:sz w:val="28"/>
                <w:szCs w:val="28"/>
                <w:highlight w:val="none"/>
              </w:rPr>
            </w:pPr>
          </w:p>
          <w:p w14:paraId="431B20DC">
            <w:pPr>
              <w:pageBreakBefore w:val="0"/>
              <w:widowControl w:val="0"/>
              <w:wordWrap/>
              <w:topLinePunct w:val="0"/>
              <w:bidi w:val="0"/>
              <w:rPr>
                <w:rFonts w:hint="eastAsia" w:ascii="宋体" w:hAnsi="宋体" w:eastAsia="宋体" w:cs="宋体"/>
                <w:color w:val="auto"/>
                <w:sz w:val="28"/>
                <w:szCs w:val="28"/>
                <w:highlight w:val="none"/>
              </w:rPr>
            </w:pPr>
          </w:p>
        </w:tc>
        <w:tc>
          <w:tcPr>
            <w:tcW w:w="2415" w:type="dxa"/>
            <w:noWrap w:val="0"/>
            <w:vAlign w:val="top"/>
          </w:tcPr>
          <w:p w14:paraId="7DC947F5">
            <w:pPr>
              <w:pageBreakBefore w:val="0"/>
              <w:widowControl w:val="0"/>
              <w:wordWrap/>
              <w:topLinePunct w:val="0"/>
              <w:bidi w:val="0"/>
              <w:rPr>
                <w:rFonts w:hint="eastAsia" w:ascii="宋体" w:hAnsi="宋体" w:eastAsia="宋体" w:cs="宋体"/>
                <w:color w:val="auto"/>
                <w:sz w:val="28"/>
                <w:szCs w:val="28"/>
                <w:highlight w:val="none"/>
              </w:rPr>
            </w:pPr>
          </w:p>
        </w:tc>
        <w:tc>
          <w:tcPr>
            <w:tcW w:w="2835" w:type="dxa"/>
            <w:noWrap w:val="0"/>
            <w:vAlign w:val="top"/>
          </w:tcPr>
          <w:p w14:paraId="63D090A5">
            <w:pPr>
              <w:pageBreakBefore w:val="0"/>
              <w:widowControl w:val="0"/>
              <w:wordWrap/>
              <w:topLinePunct w:val="0"/>
              <w:bidi w:val="0"/>
              <w:rPr>
                <w:rFonts w:hint="eastAsia" w:ascii="宋体" w:hAnsi="宋体" w:eastAsia="宋体" w:cs="宋体"/>
                <w:color w:val="auto"/>
                <w:sz w:val="28"/>
                <w:szCs w:val="28"/>
                <w:highlight w:val="none"/>
              </w:rPr>
            </w:pPr>
          </w:p>
        </w:tc>
        <w:tc>
          <w:tcPr>
            <w:tcW w:w="1984" w:type="dxa"/>
            <w:noWrap w:val="0"/>
            <w:vAlign w:val="top"/>
          </w:tcPr>
          <w:p w14:paraId="10BBC71E">
            <w:pPr>
              <w:pageBreakBefore w:val="0"/>
              <w:widowControl w:val="0"/>
              <w:wordWrap/>
              <w:topLinePunct w:val="0"/>
              <w:bidi w:val="0"/>
              <w:rPr>
                <w:rFonts w:hint="eastAsia" w:ascii="宋体" w:hAnsi="宋体" w:eastAsia="宋体" w:cs="宋体"/>
                <w:color w:val="auto"/>
                <w:sz w:val="28"/>
                <w:szCs w:val="28"/>
                <w:highlight w:val="none"/>
              </w:rPr>
            </w:pPr>
          </w:p>
        </w:tc>
      </w:tr>
      <w:tr w14:paraId="45C15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75" w:type="dxa"/>
            <w:noWrap w:val="0"/>
            <w:vAlign w:val="top"/>
          </w:tcPr>
          <w:p w14:paraId="3DDD1105">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w:t>
            </w:r>
          </w:p>
          <w:p w14:paraId="7F62275A">
            <w:pPr>
              <w:pageBreakBefore w:val="0"/>
              <w:widowControl w:val="0"/>
              <w:wordWrap/>
              <w:topLinePunct w:val="0"/>
              <w:bidi w:val="0"/>
              <w:rPr>
                <w:rFonts w:hint="eastAsia" w:ascii="宋体" w:hAnsi="宋体" w:eastAsia="宋体" w:cs="宋体"/>
                <w:color w:val="auto"/>
                <w:sz w:val="28"/>
                <w:szCs w:val="28"/>
                <w:highlight w:val="none"/>
              </w:rPr>
            </w:pPr>
          </w:p>
        </w:tc>
        <w:tc>
          <w:tcPr>
            <w:tcW w:w="1260" w:type="dxa"/>
            <w:noWrap w:val="0"/>
            <w:vAlign w:val="top"/>
          </w:tcPr>
          <w:p w14:paraId="14064323">
            <w:pPr>
              <w:pageBreakBefore w:val="0"/>
              <w:widowControl w:val="0"/>
              <w:wordWrap/>
              <w:topLinePunct w:val="0"/>
              <w:bidi w:val="0"/>
              <w:jc w:val="left"/>
              <w:rPr>
                <w:rFonts w:hint="eastAsia" w:ascii="宋体" w:hAnsi="宋体" w:eastAsia="宋体" w:cs="宋体"/>
                <w:color w:val="auto"/>
                <w:sz w:val="28"/>
                <w:szCs w:val="28"/>
                <w:highlight w:val="none"/>
              </w:rPr>
            </w:pPr>
          </w:p>
          <w:p w14:paraId="45348135">
            <w:pPr>
              <w:pageBreakBefore w:val="0"/>
              <w:widowControl w:val="0"/>
              <w:wordWrap/>
              <w:topLinePunct w:val="0"/>
              <w:bidi w:val="0"/>
              <w:rPr>
                <w:rFonts w:hint="eastAsia" w:ascii="宋体" w:hAnsi="宋体" w:eastAsia="宋体" w:cs="宋体"/>
                <w:color w:val="auto"/>
                <w:sz w:val="28"/>
                <w:szCs w:val="28"/>
                <w:highlight w:val="none"/>
              </w:rPr>
            </w:pPr>
          </w:p>
        </w:tc>
        <w:tc>
          <w:tcPr>
            <w:tcW w:w="2415" w:type="dxa"/>
            <w:noWrap w:val="0"/>
            <w:vAlign w:val="top"/>
          </w:tcPr>
          <w:p w14:paraId="0759F488">
            <w:pPr>
              <w:pageBreakBefore w:val="0"/>
              <w:widowControl w:val="0"/>
              <w:wordWrap/>
              <w:topLinePunct w:val="0"/>
              <w:bidi w:val="0"/>
              <w:rPr>
                <w:rFonts w:hint="eastAsia" w:ascii="宋体" w:hAnsi="宋体" w:eastAsia="宋体" w:cs="宋体"/>
                <w:color w:val="auto"/>
                <w:sz w:val="28"/>
                <w:szCs w:val="28"/>
                <w:highlight w:val="none"/>
              </w:rPr>
            </w:pPr>
          </w:p>
        </w:tc>
        <w:tc>
          <w:tcPr>
            <w:tcW w:w="2835" w:type="dxa"/>
            <w:noWrap w:val="0"/>
            <w:vAlign w:val="top"/>
          </w:tcPr>
          <w:p w14:paraId="579861E8">
            <w:pPr>
              <w:pageBreakBefore w:val="0"/>
              <w:widowControl w:val="0"/>
              <w:wordWrap/>
              <w:topLinePunct w:val="0"/>
              <w:bidi w:val="0"/>
              <w:rPr>
                <w:rFonts w:hint="eastAsia" w:ascii="宋体" w:hAnsi="宋体" w:eastAsia="宋体" w:cs="宋体"/>
                <w:color w:val="auto"/>
                <w:sz w:val="28"/>
                <w:szCs w:val="28"/>
                <w:highlight w:val="none"/>
              </w:rPr>
            </w:pPr>
          </w:p>
        </w:tc>
        <w:tc>
          <w:tcPr>
            <w:tcW w:w="1984" w:type="dxa"/>
            <w:noWrap w:val="0"/>
            <w:vAlign w:val="top"/>
          </w:tcPr>
          <w:p w14:paraId="1EDEC4B1">
            <w:pPr>
              <w:pageBreakBefore w:val="0"/>
              <w:widowControl w:val="0"/>
              <w:wordWrap/>
              <w:topLinePunct w:val="0"/>
              <w:bidi w:val="0"/>
              <w:rPr>
                <w:rFonts w:hint="eastAsia" w:ascii="宋体" w:hAnsi="宋体" w:eastAsia="宋体" w:cs="宋体"/>
                <w:color w:val="auto"/>
                <w:sz w:val="28"/>
                <w:szCs w:val="28"/>
                <w:highlight w:val="none"/>
              </w:rPr>
            </w:pPr>
          </w:p>
        </w:tc>
      </w:tr>
      <w:tr w14:paraId="06EBA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675" w:type="dxa"/>
            <w:noWrap w:val="0"/>
            <w:vAlign w:val="top"/>
          </w:tcPr>
          <w:p w14:paraId="2AAC2525">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w:t>
            </w:r>
          </w:p>
          <w:p w14:paraId="453F2BA1">
            <w:pPr>
              <w:pageBreakBefore w:val="0"/>
              <w:widowControl w:val="0"/>
              <w:wordWrap/>
              <w:topLinePunct w:val="0"/>
              <w:bidi w:val="0"/>
              <w:rPr>
                <w:rFonts w:hint="eastAsia" w:ascii="宋体" w:hAnsi="宋体" w:eastAsia="宋体" w:cs="宋体"/>
                <w:color w:val="auto"/>
                <w:sz w:val="28"/>
                <w:szCs w:val="28"/>
                <w:highlight w:val="none"/>
              </w:rPr>
            </w:pPr>
          </w:p>
        </w:tc>
        <w:tc>
          <w:tcPr>
            <w:tcW w:w="1260" w:type="dxa"/>
            <w:noWrap w:val="0"/>
            <w:vAlign w:val="top"/>
          </w:tcPr>
          <w:p w14:paraId="5284B2CE">
            <w:pPr>
              <w:pageBreakBefore w:val="0"/>
              <w:widowControl w:val="0"/>
              <w:wordWrap/>
              <w:topLinePunct w:val="0"/>
              <w:bidi w:val="0"/>
              <w:jc w:val="left"/>
              <w:rPr>
                <w:rFonts w:hint="eastAsia" w:ascii="宋体" w:hAnsi="宋体" w:eastAsia="宋体" w:cs="宋体"/>
                <w:color w:val="auto"/>
                <w:sz w:val="28"/>
                <w:szCs w:val="28"/>
                <w:highlight w:val="none"/>
              </w:rPr>
            </w:pPr>
          </w:p>
          <w:p w14:paraId="6A3CC4E3">
            <w:pPr>
              <w:pageBreakBefore w:val="0"/>
              <w:widowControl w:val="0"/>
              <w:wordWrap/>
              <w:topLinePunct w:val="0"/>
              <w:bidi w:val="0"/>
              <w:rPr>
                <w:rFonts w:hint="eastAsia" w:ascii="宋体" w:hAnsi="宋体" w:eastAsia="宋体" w:cs="宋体"/>
                <w:color w:val="auto"/>
                <w:sz w:val="28"/>
                <w:szCs w:val="28"/>
                <w:highlight w:val="none"/>
              </w:rPr>
            </w:pPr>
          </w:p>
        </w:tc>
        <w:tc>
          <w:tcPr>
            <w:tcW w:w="2415" w:type="dxa"/>
            <w:noWrap w:val="0"/>
            <w:vAlign w:val="top"/>
          </w:tcPr>
          <w:p w14:paraId="41B62064">
            <w:pPr>
              <w:pageBreakBefore w:val="0"/>
              <w:widowControl w:val="0"/>
              <w:wordWrap/>
              <w:topLinePunct w:val="0"/>
              <w:bidi w:val="0"/>
              <w:rPr>
                <w:rFonts w:hint="eastAsia" w:ascii="宋体" w:hAnsi="宋体" w:eastAsia="宋体" w:cs="宋体"/>
                <w:color w:val="auto"/>
                <w:sz w:val="28"/>
                <w:szCs w:val="28"/>
                <w:highlight w:val="none"/>
              </w:rPr>
            </w:pPr>
          </w:p>
        </w:tc>
        <w:tc>
          <w:tcPr>
            <w:tcW w:w="2835" w:type="dxa"/>
            <w:noWrap w:val="0"/>
            <w:vAlign w:val="top"/>
          </w:tcPr>
          <w:p w14:paraId="52F1746F">
            <w:pPr>
              <w:pageBreakBefore w:val="0"/>
              <w:widowControl w:val="0"/>
              <w:wordWrap/>
              <w:topLinePunct w:val="0"/>
              <w:bidi w:val="0"/>
              <w:rPr>
                <w:rFonts w:hint="eastAsia" w:ascii="宋体" w:hAnsi="宋体" w:eastAsia="宋体" w:cs="宋体"/>
                <w:color w:val="auto"/>
                <w:sz w:val="28"/>
                <w:szCs w:val="28"/>
                <w:highlight w:val="none"/>
              </w:rPr>
            </w:pPr>
          </w:p>
        </w:tc>
        <w:tc>
          <w:tcPr>
            <w:tcW w:w="1984" w:type="dxa"/>
            <w:noWrap w:val="0"/>
            <w:vAlign w:val="top"/>
          </w:tcPr>
          <w:p w14:paraId="2A1B449A">
            <w:pPr>
              <w:pageBreakBefore w:val="0"/>
              <w:widowControl w:val="0"/>
              <w:wordWrap/>
              <w:topLinePunct w:val="0"/>
              <w:bidi w:val="0"/>
              <w:rPr>
                <w:rFonts w:hint="eastAsia" w:ascii="宋体" w:hAnsi="宋体" w:eastAsia="宋体" w:cs="宋体"/>
                <w:color w:val="auto"/>
                <w:sz w:val="28"/>
                <w:szCs w:val="28"/>
                <w:highlight w:val="none"/>
              </w:rPr>
            </w:pPr>
          </w:p>
        </w:tc>
      </w:tr>
    </w:tbl>
    <w:p w14:paraId="6A24796E">
      <w:pPr>
        <w:pageBreakBefore w:val="0"/>
        <w:widowControl w:val="0"/>
        <w:wordWrap/>
        <w:topLinePunct w:val="0"/>
        <w:bidi w:val="0"/>
        <w:rPr>
          <w:rFonts w:hint="eastAsia" w:ascii="宋体" w:hAnsi="宋体" w:eastAsia="宋体" w:cs="宋体"/>
          <w:b/>
          <w:bCs/>
          <w:color w:val="auto"/>
          <w:sz w:val="28"/>
          <w:szCs w:val="28"/>
          <w:highlight w:val="none"/>
        </w:rPr>
      </w:pPr>
    </w:p>
    <w:p w14:paraId="1E3C8A09">
      <w:pPr>
        <w:pageBreakBefore w:val="0"/>
        <w:widowControl w:val="0"/>
        <w:wordWrap/>
        <w:topLinePunct w:val="0"/>
        <w:bidi w:val="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说明：1、本项目商务条款至少包括：供货期、采购内容、投标保证金响应、投标文件有效期、履约保证金等，投标人必须按招标文件给定的条款填写，否则视为不响应招标。</w:t>
      </w:r>
    </w:p>
    <w:p w14:paraId="2A24EC73">
      <w:pPr>
        <w:pageBreakBefore w:val="0"/>
        <w:widowControl w:val="0"/>
        <w:wordWrap/>
        <w:topLinePunct w:val="0"/>
        <w:bidi w:val="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2、招标文件条目指投标须知所对应项目名称。</w:t>
      </w:r>
    </w:p>
    <w:p w14:paraId="5F67E451">
      <w:pPr>
        <w:pageBreakBefore w:val="0"/>
        <w:widowControl w:val="0"/>
        <w:wordWrap/>
        <w:topLinePunct w:val="0"/>
        <w:bidi w:val="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3、偏离情况指正偏离、负偏离、无偏离，投标人根据投标响应情况自行填写。</w:t>
      </w:r>
    </w:p>
    <w:p w14:paraId="18D40E68">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3518042F">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w:t>
      </w:r>
    </w:p>
    <w:p w14:paraId="541F77A8">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1CA2BF39">
      <w:pPr>
        <w:pStyle w:val="37"/>
        <w:pageBreakBefore w:val="0"/>
        <w:widowControl w:val="0"/>
        <w:tabs>
          <w:tab w:val="left" w:pos="540"/>
          <w:tab w:val="left" w:pos="1080"/>
        </w:tabs>
        <w:wordWrap/>
        <w:topLinePunct w:val="0"/>
        <w:bidi w:val="0"/>
        <w:ind w:firstLine="560" w:firstLineChars="20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p>
    <w:p w14:paraId="6F441A54">
      <w:pPr>
        <w:pStyle w:val="37"/>
        <w:pageBreakBefore w:val="0"/>
        <w:widowControl w:val="0"/>
        <w:tabs>
          <w:tab w:val="left" w:pos="540"/>
          <w:tab w:val="left" w:pos="1080"/>
        </w:tabs>
        <w:wordWrap/>
        <w:topLinePunct w:val="0"/>
        <w:bidi w:val="0"/>
        <w:ind w:firstLine="562" w:firstLineChars="200"/>
        <w:jc w:val="center"/>
        <w:rPr>
          <w:rFonts w:hint="eastAsia" w:ascii="宋体" w:hAnsi="宋体" w:eastAsia="宋体" w:cs="宋体"/>
          <w:b/>
          <w:color w:val="auto"/>
          <w:sz w:val="28"/>
          <w:szCs w:val="28"/>
          <w:highlight w:val="none"/>
        </w:rPr>
      </w:pPr>
      <w:r>
        <w:rPr>
          <w:rFonts w:hint="eastAsia" w:ascii="宋体" w:hAnsi="宋体" w:eastAsia="宋体" w:cs="宋体"/>
          <w:b/>
          <w:bCs/>
          <w:color w:val="auto"/>
          <w:sz w:val="28"/>
          <w:szCs w:val="28"/>
          <w:highlight w:val="none"/>
          <w:lang w:val="en-US" w:eastAsia="zh-CN"/>
        </w:rPr>
        <w:t>19</w:t>
      </w:r>
      <w:r>
        <w:rPr>
          <w:rFonts w:hint="eastAsia" w:ascii="宋体" w:hAnsi="宋体" w:eastAsia="宋体" w:cs="宋体"/>
          <w:b/>
          <w:bCs/>
          <w:color w:val="auto"/>
          <w:sz w:val="28"/>
          <w:szCs w:val="28"/>
          <w:highlight w:val="none"/>
        </w:rPr>
        <w:t>、质量保证书</w:t>
      </w:r>
    </w:p>
    <w:p w14:paraId="2AE1E4EF">
      <w:pPr>
        <w:pStyle w:val="37"/>
        <w:pageBreakBefore w:val="0"/>
        <w:widowControl w:val="0"/>
        <w:tabs>
          <w:tab w:val="left" w:pos="540"/>
          <w:tab w:val="left" w:pos="1080"/>
        </w:tabs>
        <w:wordWrap/>
        <w:topLinePunct w:val="0"/>
        <w:bidi w:val="0"/>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要求：</w:t>
      </w:r>
    </w:p>
    <w:p w14:paraId="40D73196">
      <w:pPr>
        <w:pageBreakBefore w:val="0"/>
        <w:widowControl w:val="0"/>
        <w:wordWrap/>
        <w:topLinePunct w:val="0"/>
        <w:bidi w:val="0"/>
        <w:ind w:firstLine="420" w:firstLineChars="15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保证在服务过程中不发生服务质量问题</w:t>
      </w:r>
      <w:r>
        <w:rPr>
          <w:rFonts w:hint="eastAsia" w:ascii="宋体" w:hAnsi="宋体" w:eastAsia="宋体" w:cs="宋体"/>
          <w:color w:val="auto"/>
          <w:sz w:val="28"/>
          <w:szCs w:val="28"/>
          <w:highlight w:val="none"/>
          <w:lang w:eastAsia="zh-CN"/>
        </w:rPr>
        <w:t>。</w:t>
      </w:r>
    </w:p>
    <w:p w14:paraId="1248EE4E">
      <w:pPr>
        <w:pStyle w:val="4"/>
        <w:pageBreakBefore w:val="0"/>
        <w:widowControl w:val="0"/>
        <w:wordWrap/>
        <w:topLinePunct w:val="0"/>
        <w:bidi w:val="0"/>
        <w:outlineLvl w:val="9"/>
        <w:rPr>
          <w:rFonts w:hint="eastAsia" w:ascii="宋体" w:hAnsi="宋体" w:eastAsia="宋体" w:cs="宋体"/>
          <w:color w:val="auto"/>
          <w:sz w:val="28"/>
          <w:szCs w:val="28"/>
          <w:highlight w:val="none"/>
          <w:lang w:eastAsia="zh-CN"/>
        </w:rPr>
      </w:pPr>
    </w:p>
    <w:p w14:paraId="2F03E951">
      <w:pPr>
        <w:pageBreakBefore w:val="0"/>
        <w:widowControl w:val="0"/>
        <w:wordWrap/>
        <w:topLinePunct w:val="0"/>
        <w:bidi w:val="0"/>
        <w:rPr>
          <w:rFonts w:hint="eastAsia" w:ascii="宋体" w:hAnsi="宋体" w:eastAsia="宋体" w:cs="宋体"/>
          <w:color w:val="auto"/>
          <w:sz w:val="28"/>
          <w:szCs w:val="28"/>
          <w:highlight w:val="none"/>
          <w:lang w:eastAsia="zh-CN"/>
        </w:rPr>
      </w:pPr>
    </w:p>
    <w:p w14:paraId="6501E0B2">
      <w:pPr>
        <w:pStyle w:val="4"/>
        <w:pageBreakBefore w:val="0"/>
        <w:widowControl w:val="0"/>
        <w:wordWrap/>
        <w:topLinePunct w:val="0"/>
        <w:bidi w:val="0"/>
        <w:outlineLvl w:val="9"/>
        <w:rPr>
          <w:rFonts w:hint="eastAsia" w:ascii="宋体" w:hAnsi="宋体" w:eastAsia="宋体" w:cs="宋体"/>
          <w:color w:val="auto"/>
          <w:sz w:val="28"/>
          <w:szCs w:val="28"/>
          <w:highlight w:val="none"/>
          <w:lang w:eastAsia="zh-CN"/>
        </w:rPr>
      </w:pPr>
    </w:p>
    <w:p w14:paraId="420B035A">
      <w:pPr>
        <w:pageBreakBefore w:val="0"/>
        <w:widowControl w:val="0"/>
        <w:wordWrap/>
        <w:topLinePunct w:val="0"/>
        <w:bidi w:val="0"/>
        <w:rPr>
          <w:rFonts w:hint="eastAsia" w:ascii="宋体" w:hAnsi="宋体" w:eastAsia="宋体" w:cs="宋体"/>
          <w:color w:val="auto"/>
          <w:sz w:val="28"/>
          <w:szCs w:val="28"/>
          <w:highlight w:val="none"/>
          <w:lang w:eastAsia="zh-CN"/>
        </w:rPr>
      </w:pPr>
    </w:p>
    <w:p w14:paraId="5290C3D2">
      <w:pPr>
        <w:pStyle w:val="4"/>
        <w:pageBreakBefore w:val="0"/>
        <w:widowControl w:val="0"/>
        <w:wordWrap/>
        <w:topLinePunct w:val="0"/>
        <w:bidi w:val="0"/>
        <w:outlineLvl w:val="9"/>
        <w:rPr>
          <w:rFonts w:hint="eastAsia" w:ascii="宋体" w:hAnsi="宋体" w:eastAsia="宋体" w:cs="宋体"/>
          <w:color w:val="auto"/>
          <w:sz w:val="28"/>
          <w:szCs w:val="28"/>
          <w:highlight w:val="none"/>
          <w:lang w:eastAsia="zh-CN"/>
        </w:rPr>
      </w:pPr>
    </w:p>
    <w:p w14:paraId="0FFE97ED">
      <w:pPr>
        <w:pageBreakBefore w:val="0"/>
        <w:widowControl w:val="0"/>
        <w:wordWrap/>
        <w:topLinePunct w:val="0"/>
        <w:bidi w:val="0"/>
        <w:rPr>
          <w:rFonts w:hint="eastAsia" w:ascii="宋体" w:hAnsi="宋体" w:eastAsia="宋体" w:cs="宋体"/>
          <w:color w:val="auto"/>
          <w:sz w:val="28"/>
          <w:szCs w:val="28"/>
          <w:highlight w:val="none"/>
          <w:lang w:eastAsia="zh-CN"/>
        </w:rPr>
      </w:pPr>
    </w:p>
    <w:p w14:paraId="146BB020">
      <w:pPr>
        <w:pStyle w:val="4"/>
        <w:pageBreakBefore w:val="0"/>
        <w:widowControl w:val="0"/>
        <w:wordWrap/>
        <w:topLinePunct w:val="0"/>
        <w:bidi w:val="0"/>
        <w:outlineLvl w:val="9"/>
        <w:rPr>
          <w:rFonts w:hint="eastAsia" w:ascii="宋体" w:hAnsi="宋体" w:eastAsia="宋体" w:cs="宋体"/>
          <w:color w:val="auto"/>
          <w:sz w:val="28"/>
          <w:szCs w:val="28"/>
          <w:highlight w:val="none"/>
          <w:lang w:eastAsia="zh-CN"/>
        </w:rPr>
      </w:pPr>
    </w:p>
    <w:p w14:paraId="7F46D517">
      <w:pPr>
        <w:pageBreakBefore w:val="0"/>
        <w:widowControl w:val="0"/>
        <w:wordWrap/>
        <w:topLinePunct w:val="0"/>
        <w:bidi w:val="0"/>
        <w:rPr>
          <w:rFonts w:hint="eastAsia" w:ascii="宋体" w:hAnsi="宋体" w:eastAsia="宋体" w:cs="宋体"/>
          <w:color w:val="auto"/>
          <w:sz w:val="28"/>
          <w:szCs w:val="28"/>
          <w:highlight w:val="none"/>
          <w:lang w:eastAsia="zh-CN"/>
        </w:rPr>
      </w:pPr>
    </w:p>
    <w:p w14:paraId="193BEA6A">
      <w:pPr>
        <w:pStyle w:val="4"/>
        <w:pageBreakBefore w:val="0"/>
        <w:widowControl w:val="0"/>
        <w:wordWrap/>
        <w:topLinePunct w:val="0"/>
        <w:bidi w:val="0"/>
        <w:outlineLvl w:val="9"/>
        <w:rPr>
          <w:rFonts w:hint="eastAsia"/>
          <w:highlight w:val="none"/>
          <w:lang w:eastAsia="zh-CN"/>
        </w:rPr>
      </w:pPr>
    </w:p>
    <w:p w14:paraId="03BD4752">
      <w:pPr>
        <w:pageBreakBefore w:val="0"/>
        <w:widowControl w:val="0"/>
        <w:wordWrap/>
        <w:topLinePunct w:val="0"/>
        <w:bidi w:val="0"/>
        <w:ind w:firstLine="420" w:firstLineChars="150"/>
        <w:rPr>
          <w:rFonts w:hint="eastAsia" w:ascii="宋体" w:hAnsi="宋体" w:eastAsia="宋体" w:cs="宋体"/>
          <w:color w:val="auto"/>
          <w:sz w:val="28"/>
          <w:szCs w:val="28"/>
          <w:highlight w:val="none"/>
        </w:rPr>
      </w:pPr>
    </w:p>
    <w:p w14:paraId="55D16715">
      <w:pPr>
        <w:pageBreakBefore w:val="0"/>
        <w:widowControl w:val="0"/>
        <w:wordWrap/>
        <w:topLinePunct w:val="0"/>
        <w:bidi w:val="0"/>
        <w:ind w:firstLine="420" w:firstLineChars="150"/>
        <w:rPr>
          <w:rFonts w:hint="eastAsia" w:ascii="宋体" w:hAnsi="宋体" w:eastAsia="宋体" w:cs="宋体"/>
          <w:color w:val="auto"/>
          <w:sz w:val="28"/>
          <w:szCs w:val="28"/>
          <w:highlight w:val="none"/>
        </w:rPr>
      </w:pPr>
    </w:p>
    <w:p w14:paraId="4F95D71A">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33D1D785">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w:t>
      </w:r>
    </w:p>
    <w:p w14:paraId="3AFF183E">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6F42B619">
      <w:pPr>
        <w:pStyle w:val="37"/>
        <w:pageBreakBefore w:val="0"/>
        <w:widowControl w:val="0"/>
        <w:tabs>
          <w:tab w:val="left" w:pos="540"/>
          <w:tab w:val="left" w:pos="1080"/>
        </w:tabs>
        <w:wordWrap/>
        <w:topLinePunct w:val="0"/>
        <w:bidi w:val="0"/>
        <w:rPr>
          <w:rFonts w:hint="eastAsia" w:ascii="宋体" w:hAnsi="宋体" w:eastAsia="宋体" w:cs="宋体"/>
          <w:b/>
          <w:color w:val="auto"/>
          <w:sz w:val="28"/>
          <w:szCs w:val="28"/>
          <w:highlight w:val="none"/>
        </w:rPr>
      </w:pPr>
    </w:p>
    <w:p w14:paraId="3351A9CA">
      <w:pPr>
        <w:pageBreakBefore w:val="0"/>
        <w:widowControl w:val="0"/>
        <w:wordWrap/>
        <w:topLinePunct w:val="0"/>
        <w:bidi w:val="0"/>
        <w:ind w:firstLine="576"/>
        <w:rPr>
          <w:rFonts w:hint="eastAsia" w:ascii="宋体" w:hAnsi="宋体" w:eastAsia="宋体" w:cs="宋体"/>
          <w:color w:val="auto"/>
          <w:sz w:val="28"/>
          <w:szCs w:val="28"/>
          <w:highlight w:val="none"/>
        </w:rPr>
      </w:pPr>
    </w:p>
    <w:p w14:paraId="53365D53">
      <w:pPr>
        <w:pStyle w:val="11"/>
        <w:pageBreakBefore w:val="0"/>
        <w:widowControl w:val="0"/>
        <w:wordWrap/>
        <w:topLinePunct w:val="0"/>
        <w:bidi w:val="0"/>
        <w:rPr>
          <w:rFonts w:hint="eastAsia" w:ascii="宋体" w:hAnsi="宋体" w:eastAsia="宋体" w:cs="宋体"/>
          <w:color w:val="auto"/>
          <w:szCs w:val="28"/>
          <w:highlight w:val="none"/>
          <w:u w:val="single"/>
        </w:rPr>
      </w:pPr>
    </w:p>
    <w:p w14:paraId="322C8ADB">
      <w:pPr>
        <w:pageBreakBefore w:val="0"/>
        <w:widowControl w:val="0"/>
        <w:wordWrap/>
        <w:topLinePunct w:val="0"/>
        <w:autoSpaceDE w:val="0"/>
        <w:autoSpaceDN w:val="0"/>
        <w:bidi w:val="0"/>
        <w:adjustRightInd w:val="0"/>
        <w:ind w:left="220" w:leftChars="105" w:firstLine="422" w:firstLineChars="150"/>
        <w:jc w:val="center"/>
        <w:rPr>
          <w:rFonts w:hint="eastAsia" w:ascii="宋体" w:hAnsi="宋体" w:eastAsia="宋体" w:cs="宋体"/>
          <w:b/>
          <w:color w:val="auto"/>
          <w:kern w:val="0"/>
          <w:sz w:val="28"/>
          <w:szCs w:val="28"/>
          <w:highlight w:val="none"/>
        </w:rPr>
      </w:pPr>
    </w:p>
    <w:p w14:paraId="73AB1D30">
      <w:pPr>
        <w:pageBreakBefore w:val="0"/>
        <w:widowControl w:val="0"/>
        <w:wordWrap/>
        <w:topLinePunct w:val="0"/>
        <w:autoSpaceDE w:val="0"/>
        <w:autoSpaceDN w:val="0"/>
        <w:bidi w:val="0"/>
        <w:adjustRightInd w:val="0"/>
        <w:ind w:left="220" w:leftChars="105" w:firstLine="422" w:firstLineChars="150"/>
        <w:jc w:val="center"/>
        <w:rPr>
          <w:rFonts w:hint="eastAsia" w:ascii="宋体" w:hAnsi="宋体" w:eastAsia="宋体" w:cs="宋体"/>
          <w:b/>
          <w:color w:val="auto"/>
          <w:kern w:val="0"/>
          <w:sz w:val="28"/>
          <w:szCs w:val="28"/>
          <w:highlight w:val="none"/>
          <w:lang w:val="zh-CN"/>
        </w:rPr>
      </w:pPr>
      <w:r>
        <w:rPr>
          <w:rFonts w:hint="eastAsia" w:ascii="宋体" w:hAnsi="宋体" w:eastAsia="宋体" w:cs="宋体"/>
          <w:b/>
          <w:color w:val="auto"/>
          <w:kern w:val="0"/>
          <w:sz w:val="28"/>
          <w:szCs w:val="28"/>
          <w:highlight w:val="none"/>
          <w:lang w:val="en-US" w:eastAsia="zh-CN"/>
        </w:rPr>
        <w:t>20</w:t>
      </w:r>
      <w:r>
        <w:rPr>
          <w:rFonts w:hint="eastAsia" w:ascii="宋体" w:hAnsi="宋体" w:eastAsia="宋体" w:cs="宋体"/>
          <w:b/>
          <w:color w:val="auto"/>
          <w:kern w:val="0"/>
          <w:sz w:val="28"/>
          <w:szCs w:val="28"/>
          <w:highlight w:val="none"/>
        </w:rPr>
        <w:t>、</w:t>
      </w:r>
      <w:r>
        <w:rPr>
          <w:rFonts w:hint="eastAsia" w:ascii="宋体" w:hAnsi="宋体" w:eastAsia="宋体" w:cs="宋体"/>
          <w:b/>
          <w:color w:val="auto"/>
          <w:kern w:val="0"/>
          <w:sz w:val="28"/>
          <w:szCs w:val="28"/>
          <w:highlight w:val="none"/>
          <w:lang w:val="zh-CN"/>
        </w:rPr>
        <w:t>投标单位（供应商）反商业贿赂承诺书</w:t>
      </w:r>
    </w:p>
    <w:p w14:paraId="338339EA">
      <w:pPr>
        <w:pageBreakBefore w:val="0"/>
        <w:widowControl w:val="0"/>
        <w:wordWrap/>
        <w:topLinePunct w:val="0"/>
        <w:autoSpaceDE w:val="0"/>
        <w:autoSpaceDN w:val="0"/>
        <w:bidi w:val="0"/>
        <w:adjustRightInd w:val="0"/>
        <w:ind w:left="220"/>
        <w:jc w:val="left"/>
        <w:rPr>
          <w:rFonts w:hint="eastAsia" w:ascii="宋体" w:hAnsi="宋体" w:eastAsia="宋体" w:cs="宋体"/>
          <w:color w:val="auto"/>
          <w:kern w:val="0"/>
          <w:sz w:val="28"/>
          <w:szCs w:val="28"/>
          <w:highlight w:val="none"/>
          <w:lang w:val="zh-CN"/>
        </w:rPr>
      </w:pPr>
      <w:r>
        <w:rPr>
          <w:rFonts w:hint="eastAsia" w:ascii="宋体" w:hAnsi="宋体" w:eastAsia="宋体" w:cs="宋体"/>
          <w:color w:val="auto"/>
          <w:kern w:val="0"/>
          <w:sz w:val="28"/>
          <w:szCs w:val="28"/>
          <w:highlight w:val="none"/>
          <w:lang w:val="zh-CN"/>
        </w:rPr>
        <w:t xml:space="preserve">   </w:t>
      </w:r>
    </w:p>
    <w:p w14:paraId="49C3326E">
      <w:pPr>
        <w:pageBreakBefore w:val="0"/>
        <w:widowControl w:val="0"/>
        <w:wordWrap/>
        <w:topLinePunct w:val="0"/>
        <w:autoSpaceDE w:val="0"/>
        <w:autoSpaceDN w:val="0"/>
        <w:bidi w:val="0"/>
        <w:adjustRightInd w:val="0"/>
        <w:ind w:firstLine="700" w:firstLineChars="250"/>
        <w:rPr>
          <w:rFonts w:hint="eastAsia" w:ascii="宋体" w:hAnsi="宋体" w:eastAsia="宋体" w:cs="宋体"/>
          <w:color w:val="auto"/>
          <w:kern w:val="0"/>
          <w:sz w:val="28"/>
          <w:szCs w:val="28"/>
          <w:highlight w:val="none"/>
          <w:lang w:val="zh-CN"/>
        </w:rPr>
      </w:pPr>
      <w:r>
        <w:rPr>
          <w:rFonts w:hint="eastAsia" w:ascii="宋体" w:hAnsi="宋体" w:eastAsia="宋体" w:cs="宋体"/>
          <w:color w:val="auto"/>
          <w:kern w:val="0"/>
          <w:sz w:val="28"/>
          <w:szCs w:val="28"/>
          <w:highlight w:val="none"/>
          <w:lang w:val="zh-CN"/>
        </w:rPr>
        <w:t>我公司承诺在</w:t>
      </w:r>
      <w:r>
        <w:rPr>
          <w:rFonts w:hint="eastAsia" w:ascii="宋体" w:hAnsi="宋体" w:eastAsia="宋体" w:cs="宋体"/>
          <w:bCs/>
          <w:color w:val="auto"/>
          <w:sz w:val="28"/>
          <w:szCs w:val="28"/>
          <w:highlight w:val="none"/>
          <w:u w:val="single"/>
          <w:lang w:val="zh-CN"/>
        </w:rPr>
        <w:t xml:space="preserve">                             </w:t>
      </w:r>
      <w:r>
        <w:rPr>
          <w:rFonts w:hint="eastAsia" w:ascii="宋体" w:hAnsi="宋体" w:eastAsia="宋体" w:cs="宋体"/>
          <w:color w:val="auto"/>
          <w:kern w:val="0"/>
          <w:sz w:val="28"/>
          <w:szCs w:val="28"/>
          <w:highlight w:val="none"/>
          <w:lang w:val="zh-CN"/>
        </w:rPr>
        <w:t xml:space="preserve">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 </w:t>
      </w:r>
    </w:p>
    <w:p w14:paraId="730F2D27">
      <w:pPr>
        <w:pStyle w:val="4"/>
        <w:pageBreakBefore w:val="0"/>
        <w:widowControl w:val="0"/>
        <w:wordWrap/>
        <w:topLinePunct w:val="0"/>
        <w:bidi w:val="0"/>
        <w:outlineLvl w:val="9"/>
        <w:rPr>
          <w:rFonts w:hint="eastAsia" w:ascii="宋体" w:hAnsi="宋体" w:eastAsia="宋体" w:cs="宋体"/>
          <w:color w:val="auto"/>
          <w:kern w:val="0"/>
          <w:sz w:val="28"/>
          <w:szCs w:val="28"/>
          <w:highlight w:val="none"/>
          <w:lang w:val="zh-CN"/>
        </w:rPr>
      </w:pPr>
    </w:p>
    <w:p w14:paraId="5B70A29D">
      <w:pPr>
        <w:pageBreakBefore w:val="0"/>
        <w:widowControl w:val="0"/>
        <w:wordWrap/>
        <w:topLinePunct w:val="0"/>
        <w:bidi w:val="0"/>
        <w:rPr>
          <w:rFonts w:hint="eastAsia" w:ascii="宋体" w:hAnsi="宋体" w:eastAsia="宋体" w:cs="宋体"/>
          <w:color w:val="auto"/>
          <w:kern w:val="0"/>
          <w:sz w:val="28"/>
          <w:szCs w:val="28"/>
          <w:highlight w:val="none"/>
          <w:lang w:val="zh-CN"/>
        </w:rPr>
      </w:pPr>
    </w:p>
    <w:p w14:paraId="536D0A1B">
      <w:pPr>
        <w:pStyle w:val="4"/>
        <w:pageBreakBefore w:val="0"/>
        <w:widowControl w:val="0"/>
        <w:wordWrap/>
        <w:topLinePunct w:val="0"/>
        <w:bidi w:val="0"/>
        <w:outlineLvl w:val="9"/>
        <w:rPr>
          <w:rFonts w:hint="eastAsia" w:ascii="宋体" w:hAnsi="宋体" w:eastAsia="宋体" w:cs="宋体"/>
          <w:color w:val="auto"/>
          <w:kern w:val="0"/>
          <w:sz w:val="28"/>
          <w:szCs w:val="28"/>
          <w:highlight w:val="none"/>
          <w:lang w:val="zh-CN"/>
        </w:rPr>
      </w:pPr>
    </w:p>
    <w:p w14:paraId="0086CF4A">
      <w:pPr>
        <w:pageBreakBefore w:val="0"/>
        <w:widowControl w:val="0"/>
        <w:wordWrap/>
        <w:topLinePunct w:val="0"/>
        <w:bidi w:val="0"/>
        <w:rPr>
          <w:rFonts w:hint="eastAsia" w:ascii="宋体" w:hAnsi="宋体" w:eastAsia="宋体" w:cs="宋体"/>
          <w:color w:val="auto"/>
          <w:kern w:val="0"/>
          <w:sz w:val="28"/>
          <w:szCs w:val="28"/>
          <w:highlight w:val="none"/>
          <w:lang w:val="zh-CN"/>
        </w:rPr>
      </w:pPr>
    </w:p>
    <w:p w14:paraId="6254B38F">
      <w:pPr>
        <w:pStyle w:val="4"/>
        <w:pageBreakBefore w:val="0"/>
        <w:widowControl w:val="0"/>
        <w:wordWrap/>
        <w:topLinePunct w:val="0"/>
        <w:bidi w:val="0"/>
        <w:outlineLvl w:val="9"/>
        <w:rPr>
          <w:rFonts w:hint="eastAsia" w:ascii="宋体" w:hAnsi="宋体" w:eastAsia="宋体" w:cs="宋体"/>
          <w:color w:val="auto"/>
          <w:kern w:val="0"/>
          <w:sz w:val="28"/>
          <w:szCs w:val="28"/>
          <w:highlight w:val="none"/>
          <w:lang w:val="zh-CN"/>
        </w:rPr>
      </w:pPr>
    </w:p>
    <w:p w14:paraId="26BBF3ED">
      <w:pPr>
        <w:pageBreakBefore w:val="0"/>
        <w:widowControl w:val="0"/>
        <w:wordWrap/>
        <w:topLinePunct w:val="0"/>
        <w:bidi w:val="0"/>
        <w:rPr>
          <w:rFonts w:hint="eastAsia"/>
          <w:highlight w:val="none"/>
          <w:lang w:val="zh-CN"/>
        </w:rPr>
      </w:pPr>
    </w:p>
    <w:p w14:paraId="4C1D449E">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52D9C6FB">
      <w:pPr>
        <w:pageBreakBefore w:val="0"/>
        <w:widowControl w:val="0"/>
        <w:wordWrap/>
        <w:topLinePunct w:val="0"/>
        <w:bidi w:val="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p>
    <w:p w14:paraId="1EECC334">
      <w:pPr>
        <w:pageBreakBefore w:val="0"/>
        <w:widowControl w:val="0"/>
        <w:wordWrap/>
        <w:topLinePunct w:val="0"/>
        <w:bidi w:val="0"/>
        <w:ind w:firstLine="280" w:firstLineChars="100"/>
        <w:rPr>
          <w:rFonts w:hint="eastAsia" w:ascii="宋体" w:hAnsi="宋体" w:eastAsia="宋体" w:cs="宋体"/>
          <w:color w:val="auto"/>
          <w:sz w:val="28"/>
          <w:szCs w:val="28"/>
          <w:highlight w:val="none"/>
        </w:rPr>
      </w:pPr>
    </w:p>
    <w:p w14:paraId="7B511FA1">
      <w:pPr>
        <w:pageBreakBefore w:val="0"/>
        <w:widowControl w:val="0"/>
        <w:wordWrap/>
        <w:topLinePunct w:val="0"/>
        <w:bidi w:val="0"/>
        <w:ind w:firstLine="280" w:firstLineChars="100"/>
        <w:rPr>
          <w:rFonts w:hint="eastAsia" w:ascii="宋体" w:hAnsi="宋体" w:eastAsia="宋体" w:cs="宋体"/>
          <w:color w:val="auto"/>
          <w:sz w:val="28"/>
          <w:szCs w:val="28"/>
          <w:highlight w:val="none"/>
          <w:lang w:val="zh-CN"/>
        </w:rPr>
      </w:pPr>
      <w:r>
        <w:rPr>
          <w:rFonts w:hint="eastAsia" w:ascii="宋体" w:hAnsi="宋体" w:eastAsia="宋体" w:cs="宋体"/>
          <w:color w:val="auto"/>
          <w:sz w:val="28"/>
          <w:szCs w:val="28"/>
          <w:highlight w:val="none"/>
        </w:rPr>
        <w:t xml:space="preserve">   </w:t>
      </w:r>
    </w:p>
    <w:p w14:paraId="2DD72A72">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zh-CN"/>
        </w:rPr>
        <w:t xml:space="preserve"> </w:t>
      </w:r>
      <w:r>
        <w:rPr>
          <w:rFonts w:hint="eastAsia" w:ascii="宋体" w:hAnsi="宋体" w:eastAsia="宋体" w:cs="宋体"/>
          <w:color w:val="auto"/>
          <w:sz w:val="28"/>
          <w:szCs w:val="28"/>
          <w:highlight w:val="none"/>
        </w:rPr>
        <w:t xml:space="preserve">     日期：   年   月   日</w:t>
      </w:r>
    </w:p>
    <w:p w14:paraId="07208B44">
      <w:pPr>
        <w:pageBreakBefore w:val="0"/>
        <w:widowControl w:val="0"/>
        <w:wordWrap/>
        <w:topLinePunct w:val="0"/>
        <w:bidi w:val="0"/>
        <w:rPr>
          <w:rFonts w:hint="eastAsia" w:ascii="宋体" w:hAnsi="宋体" w:eastAsia="宋体" w:cs="宋体"/>
          <w:color w:val="auto"/>
          <w:sz w:val="28"/>
          <w:szCs w:val="28"/>
          <w:highlight w:val="none"/>
        </w:rPr>
      </w:pPr>
    </w:p>
    <w:p w14:paraId="2FC86959">
      <w:pPr>
        <w:pStyle w:val="39"/>
        <w:keepNext/>
        <w:keepLines/>
        <w:pageBreakBefore w:val="0"/>
        <w:widowControl w:val="0"/>
        <w:kinsoku/>
        <w:wordWrap/>
        <w:overflowPunct/>
        <w:topLinePunct w:val="0"/>
        <w:autoSpaceDE/>
        <w:autoSpaceDN/>
        <w:bidi w:val="0"/>
        <w:adjustRightInd/>
        <w:snapToGrid/>
        <w:spacing w:line="360" w:lineRule="auto"/>
        <w:jc w:val="center"/>
        <w:textAlignment w:val="auto"/>
        <w:outlineLvl w:val="9"/>
        <w:rPr>
          <w:rFonts w:hint="default" w:ascii="宋体" w:hAnsi="宋体" w:eastAsia="宋体"/>
          <w:b/>
          <w:sz w:val="32"/>
          <w:szCs w:val="32"/>
          <w:highlight w:val="none"/>
          <w:lang w:val="en-US" w:eastAsia="zh-CN"/>
        </w:rPr>
      </w:pPr>
      <w:bookmarkStart w:id="201" w:name="_Toc23592"/>
      <w:bookmarkStart w:id="202" w:name="_Toc10797"/>
      <w:bookmarkStart w:id="203" w:name="_Toc2161"/>
      <w:r>
        <w:rPr>
          <w:rFonts w:hint="eastAsia" w:ascii="宋体" w:hAnsi="宋体" w:eastAsia="宋体" w:cs="宋体"/>
          <w:b/>
          <w:color w:val="auto"/>
          <w:kern w:val="0"/>
          <w:sz w:val="28"/>
          <w:szCs w:val="28"/>
          <w:highlight w:val="none"/>
          <w:lang w:val="en-US" w:eastAsia="zh-CN" w:bidi="ar-SA"/>
        </w:rPr>
        <w:t>21</w:t>
      </w:r>
      <w:r>
        <w:rPr>
          <w:rFonts w:hint="eastAsia" w:ascii="宋体" w:hAnsi="宋体" w:eastAsia="宋体" w:cs="宋体"/>
          <w:b/>
          <w:color w:val="auto"/>
          <w:kern w:val="0"/>
          <w:sz w:val="28"/>
          <w:szCs w:val="28"/>
          <w:highlight w:val="none"/>
          <w:lang w:val="zh-CN" w:eastAsia="zh-CN" w:bidi="ar-SA"/>
        </w:rPr>
        <w:t>、</w:t>
      </w:r>
      <w:bookmarkEnd w:id="201"/>
      <w:bookmarkEnd w:id="202"/>
      <w:bookmarkEnd w:id="203"/>
      <w:r>
        <w:rPr>
          <w:rFonts w:hint="eastAsia" w:ascii="宋体" w:hAnsi="宋体" w:eastAsia="宋体" w:cs="宋体"/>
          <w:b/>
          <w:color w:val="auto"/>
          <w:kern w:val="0"/>
          <w:sz w:val="28"/>
          <w:szCs w:val="28"/>
          <w:highlight w:val="none"/>
          <w:lang w:val="zh-CN" w:eastAsia="zh-CN" w:bidi="ar-SA"/>
        </w:rPr>
        <w:t>项目负责人简历表及拟投入本项目主要成员表</w:t>
      </w:r>
    </w:p>
    <w:p w14:paraId="613DAA27">
      <w:pPr>
        <w:pageBreakBefore w:val="0"/>
        <w:widowControl w:val="0"/>
        <w:wordWrap/>
        <w:topLinePunct w:val="0"/>
        <w:bidi w:val="0"/>
        <w:spacing w:line="360" w:lineRule="auto"/>
        <w:jc w:val="left"/>
        <w:rPr>
          <w:rFonts w:hint="eastAsia" w:ascii="宋体" w:hAnsi="宋体" w:eastAsia="宋体" w:cs="Times New Roman"/>
          <w:b/>
          <w:bCs/>
          <w:kern w:val="0"/>
          <w:sz w:val="24"/>
          <w:szCs w:val="21"/>
          <w:highlight w:val="none"/>
        </w:rPr>
      </w:pPr>
      <w:r>
        <w:rPr>
          <w:rFonts w:hint="eastAsia" w:ascii="宋体" w:hAnsi="宋体" w:eastAsia="宋体" w:cs="Times New Roman"/>
          <w:b/>
          <w:bCs/>
          <w:kern w:val="0"/>
          <w:sz w:val="24"/>
          <w:szCs w:val="21"/>
          <w:highlight w:val="none"/>
          <w:lang w:val="en-US" w:eastAsia="zh-CN"/>
        </w:rPr>
        <w:t>1、</w:t>
      </w:r>
      <w:r>
        <w:rPr>
          <w:rFonts w:hint="eastAsia" w:ascii="宋体" w:hAnsi="宋体" w:eastAsia="宋体" w:cs="Times New Roman"/>
          <w:b/>
          <w:bCs/>
          <w:kern w:val="0"/>
          <w:sz w:val="24"/>
          <w:szCs w:val="21"/>
          <w:highlight w:val="none"/>
        </w:rPr>
        <w:t>项目负责人简历表</w:t>
      </w:r>
    </w:p>
    <w:tbl>
      <w:tblPr>
        <w:tblStyle w:val="22"/>
        <w:tblW w:w="9854" w:type="dxa"/>
        <w:jc w:val="center"/>
        <w:tblLayout w:type="fixed"/>
        <w:tblCellMar>
          <w:top w:w="0" w:type="dxa"/>
          <w:left w:w="108" w:type="dxa"/>
          <w:bottom w:w="0" w:type="dxa"/>
          <w:right w:w="108" w:type="dxa"/>
        </w:tblCellMar>
      </w:tblPr>
      <w:tblGrid>
        <w:gridCol w:w="1285"/>
        <w:gridCol w:w="2422"/>
        <w:gridCol w:w="1005"/>
        <w:gridCol w:w="1072"/>
        <w:gridCol w:w="1715"/>
        <w:gridCol w:w="2355"/>
      </w:tblGrid>
      <w:tr w14:paraId="7382543F">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37E6A28B">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姓名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2E42DEE2">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13D1787E">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年龄</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2CBBB0A2">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3AF5CBBD">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1144D0B6">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66157D82">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434B9249">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毕业学校</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18C600EA">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664F1658">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专业</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1E86B9F2">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39498E7B">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A6B9D81">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学位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4B54472E">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2482F092">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职称</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7A79A4E1">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516DC263">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5E964562">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7CC0A848">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15532554">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现所在机构或部门</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637FD38E">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14:paraId="23CE1769">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服务时间</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1931317D">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309A9388">
        <w:tblPrEx>
          <w:tblCellMar>
            <w:top w:w="0" w:type="dxa"/>
            <w:left w:w="108" w:type="dxa"/>
            <w:bottom w:w="0" w:type="dxa"/>
            <w:right w:w="108" w:type="dxa"/>
          </w:tblCellMar>
        </w:tblPrEx>
        <w:trPr>
          <w:trHeight w:val="401"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5284E3E2">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主要经历</w:t>
            </w:r>
          </w:p>
        </w:tc>
        <w:tc>
          <w:tcPr>
            <w:tcW w:w="8569" w:type="dxa"/>
            <w:gridSpan w:val="5"/>
            <w:tcBorders>
              <w:top w:val="single" w:color="auto" w:sz="6" w:space="0"/>
              <w:left w:val="single" w:color="auto" w:sz="6" w:space="0"/>
              <w:bottom w:val="single" w:color="auto" w:sz="6" w:space="0"/>
              <w:right w:val="single" w:color="auto" w:sz="6" w:space="0"/>
            </w:tcBorders>
            <w:noWrap w:val="0"/>
            <w:vAlign w:val="top"/>
          </w:tcPr>
          <w:p w14:paraId="61BBC021">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p w14:paraId="3826599B">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61CBA12F">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637B19DD">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1BFA7B26">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06D8596A">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33489CD6">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备注</w:t>
            </w:r>
          </w:p>
        </w:tc>
      </w:tr>
      <w:tr w14:paraId="520D10B6">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1F998528">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20707D4F">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3375E72F">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43261CBB">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2FED6DA8">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33629F04">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6BA52AE3">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3057694A">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1C46A83E">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0AFCC3A6">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67894768">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41BD5EAF">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53DB9B36">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57EA6301">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bl>
    <w:p w14:paraId="765EF5AC">
      <w:pPr>
        <w:pageBreakBefore w:val="0"/>
        <w:widowControl w:val="0"/>
        <w:wordWrap/>
        <w:topLinePunct w:val="0"/>
        <w:bidi w:val="0"/>
        <w:spacing w:line="360" w:lineRule="auto"/>
        <w:jc w:val="left"/>
        <w:rPr>
          <w:rFonts w:hint="eastAsia" w:ascii="宋体" w:hAnsi="宋体" w:eastAsia="宋体" w:cs="Times New Roman"/>
          <w:b/>
          <w:bCs/>
          <w:kern w:val="0"/>
          <w:sz w:val="24"/>
          <w:szCs w:val="21"/>
          <w:highlight w:val="none"/>
        </w:rPr>
      </w:pPr>
      <w:r>
        <w:rPr>
          <w:rFonts w:hint="eastAsia" w:ascii="宋体" w:hAnsi="宋体" w:eastAsia="宋体" w:cs="Times New Roman"/>
          <w:b/>
          <w:bCs/>
          <w:kern w:val="0"/>
          <w:sz w:val="24"/>
          <w:szCs w:val="21"/>
          <w:highlight w:val="none"/>
        </w:rPr>
        <w:t>2、拟投入本项目的主要成员表</w:t>
      </w:r>
    </w:p>
    <w:tbl>
      <w:tblPr>
        <w:tblStyle w:val="22"/>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330"/>
        <w:gridCol w:w="2040"/>
        <w:gridCol w:w="1939"/>
        <w:gridCol w:w="1799"/>
        <w:gridCol w:w="2006"/>
      </w:tblGrid>
      <w:tr w14:paraId="7AE6A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40" w:type="dxa"/>
            <w:noWrap w:val="0"/>
            <w:vAlign w:val="center"/>
          </w:tcPr>
          <w:p w14:paraId="7AEECA27">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序号</w:t>
            </w:r>
          </w:p>
        </w:tc>
        <w:tc>
          <w:tcPr>
            <w:tcW w:w="1330" w:type="dxa"/>
            <w:noWrap w:val="0"/>
            <w:vAlign w:val="center"/>
          </w:tcPr>
          <w:p w14:paraId="7588A6A3">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姓名</w:t>
            </w:r>
          </w:p>
        </w:tc>
        <w:tc>
          <w:tcPr>
            <w:tcW w:w="2040" w:type="dxa"/>
            <w:noWrap w:val="0"/>
            <w:vAlign w:val="center"/>
          </w:tcPr>
          <w:p w14:paraId="3544BAB4">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性别</w:t>
            </w:r>
          </w:p>
        </w:tc>
        <w:tc>
          <w:tcPr>
            <w:tcW w:w="1939" w:type="dxa"/>
            <w:noWrap w:val="0"/>
            <w:vAlign w:val="center"/>
          </w:tcPr>
          <w:p w14:paraId="723E3B46">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职称</w:t>
            </w:r>
          </w:p>
        </w:tc>
        <w:tc>
          <w:tcPr>
            <w:tcW w:w="1799" w:type="dxa"/>
            <w:noWrap w:val="0"/>
            <w:vAlign w:val="center"/>
          </w:tcPr>
          <w:p w14:paraId="5CB472CC">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岗位</w:t>
            </w:r>
          </w:p>
        </w:tc>
        <w:tc>
          <w:tcPr>
            <w:tcW w:w="2006" w:type="dxa"/>
            <w:noWrap w:val="0"/>
            <w:vAlign w:val="center"/>
          </w:tcPr>
          <w:p w14:paraId="37D61631">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从事该岗位时间</w:t>
            </w:r>
          </w:p>
        </w:tc>
      </w:tr>
      <w:tr w14:paraId="14014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noWrap w:val="0"/>
            <w:vAlign w:val="top"/>
          </w:tcPr>
          <w:p w14:paraId="4F92F93D">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1</w:t>
            </w:r>
          </w:p>
        </w:tc>
        <w:tc>
          <w:tcPr>
            <w:tcW w:w="1330" w:type="dxa"/>
            <w:noWrap w:val="0"/>
            <w:vAlign w:val="top"/>
          </w:tcPr>
          <w:p w14:paraId="0D5E6039">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40" w:type="dxa"/>
            <w:noWrap w:val="0"/>
            <w:vAlign w:val="top"/>
          </w:tcPr>
          <w:p w14:paraId="44CA515C">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939" w:type="dxa"/>
            <w:noWrap w:val="0"/>
            <w:vAlign w:val="top"/>
          </w:tcPr>
          <w:p w14:paraId="58E6D27A">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99" w:type="dxa"/>
            <w:noWrap w:val="0"/>
            <w:vAlign w:val="top"/>
          </w:tcPr>
          <w:p w14:paraId="5054C7FD">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06" w:type="dxa"/>
            <w:noWrap w:val="0"/>
            <w:vAlign w:val="top"/>
          </w:tcPr>
          <w:p w14:paraId="49C733DA">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0D36F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740" w:type="dxa"/>
            <w:noWrap w:val="0"/>
            <w:vAlign w:val="top"/>
          </w:tcPr>
          <w:p w14:paraId="102DD3A7">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2</w:t>
            </w:r>
          </w:p>
        </w:tc>
        <w:tc>
          <w:tcPr>
            <w:tcW w:w="1330" w:type="dxa"/>
            <w:noWrap w:val="0"/>
            <w:vAlign w:val="top"/>
          </w:tcPr>
          <w:p w14:paraId="48EFBF37">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40" w:type="dxa"/>
            <w:noWrap w:val="0"/>
            <w:vAlign w:val="top"/>
          </w:tcPr>
          <w:p w14:paraId="70E3C1E1">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939" w:type="dxa"/>
            <w:noWrap w:val="0"/>
            <w:vAlign w:val="top"/>
          </w:tcPr>
          <w:p w14:paraId="4F37B795">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99" w:type="dxa"/>
            <w:noWrap w:val="0"/>
            <w:vAlign w:val="top"/>
          </w:tcPr>
          <w:p w14:paraId="38DC5449">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06" w:type="dxa"/>
            <w:noWrap w:val="0"/>
            <w:vAlign w:val="top"/>
          </w:tcPr>
          <w:p w14:paraId="6868F27C">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5AF3C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noWrap w:val="0"/>
            <w:vAlign w:val="top"/>
          </w:tcPr>
          <w:p w14:paraId="446AD7EB">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3</w:t>
            </w:r>
          </w:p>
        </w:tc>
        <w:tc>
          <w:tcPr>
            <w:tcW w:w="1330" w:type="dxa"/>
            <w:noWrap w:val="0"/>
            <w:vAlign w:val="top"/>
          </w:tcPr>
          <w:p w14:paraId="0BFECCE8">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40" w:type="dxa"/>
            <w:noWrap w:val="0"/>
            <w:vAlign w:val="top"/>
          </w:tcPr>
          <w:p w14:paraId="13EB009E">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939" w:type="dxa"/>
            <w:noWrap w:val="0"/>
            <w:vAlign w:val="top"/>
          </w:tcPr>
          <w:p w14:paraId="64534DA4">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99" w:type="dxa"/>
            <w:noWrap w:val="0"/>
            <w:vAlign w:val="top"/>
          </w:tcPr>
          <w:p w14:paraId="74A7010D">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06" w:type="dxa"/>
            <w:noWrap w:val="0"/>
            <w:vAlign w:val="top"/>
          </w:tcPr>
          <w:p w14:paraId="4EF004EC">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r w14:paraId="3EC94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noWrap w:val="0"/>
            <w:vAlign w:val="top"/>
          </w:tcPr>
          <w:p w14:paraId="222CEB64">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r>
              <w:rPr>
                <w:rFonts w:hint="eastAsia" w:ascii="宋体" w:hAnsi="宋体" w:eastAsia="宋体" w:cs="Times New Roman"/>
                <w:kern w:val="0"/>
                <w:sz w:val="24"/>
                <w:szCs w:val="21"/>
                <w:highlight w:val="none"/>
              </w:rPr>
              <w:t>…</w:t>
            </w:r>
          </w:p>
        </w:tc>
        <w:tc>
          <w:tcPr>
            <w:tcW w:w="1330" w:type="dxa"/>
            <w:noWrap w:val="0"/>
            <w:vAlign w:val="top"/>
          </w:tcPr>
          <w:p w14:paraId="38D2274B">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40" w:type="dxa"/>
            <w:noWrap w:val="0"/>
            <w:vAlign w:val="top"/>
          </w:tcPr>
          <w:p w14:paraId="5C56DBAB">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939" w:type="dxa"/>
            <w:noWrap w:val="0"/>
            <w:vAlign w:val="top"/>
          </w:tcPr>
          <w:p w14:paraId="16F7D594">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1799" w:type="dxa"/>
            <w:noWrap w:val="0"/>
            <w:vAlign w:val="top"/>
          </w:tcPr>
          <w:p w14:paraId="7057A7F9">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c>
          <w:tcPr>
            <w:tcW w:w="2006" w:type="dxa"/>
            <w:noWrap w:val="0"/>
            <w:vAlign w:val="top"/>
          </w:tcPr>
          <w:p w14:paraId="48CDE2DD">
            <w:pPr>
              <w:pageBreakBefore w:val="0"/>
              <w:widowControl w:val="0"/>
              <w:wordWrap/>
              <w:topLinePunct w:val="0"/>
              <w:bidi w:val="0"/>
              <w:spacing w:line="360" w:lineRule="auto"/>
              <w:jc w:val="left"/>
              <w:rPr>
                <w:rFonts w:hint="eastAsia" w:ascii="宋体" w:hAnsi="宋体" w:eastAsia="宋体" w:cs="Times New Roman"/>
                <w:kern w:val="0"/>
                <w:sz w:val="24"/>
                <w:szCs w:val="21"/>
                <w:highlight w:val="none"/>
              </w:rPr>
            </w:pPr>
          </w:p>
        </w:tc>
      </w:tr>
    </w:tbl>
    <w:p w14:paraId="298F27FF">
      <w:pPr>
        <w:pageBreakBefore w:val="0"/>
        <w:widowControl w:val="0"/>
        <w:wordWrap/>
        <w:topLinePunct w:val="0"/>
        <w:bidi w:val="0"/>
        <w:rPr>
          <w:rFonts w:hint="default" w:ascii="宋体" w:hAnsi="宋体" w:eastAsia="宋体" w:cs="宋体"/>
          <w:color w:val="auto"/>
          <w:sz w:val="28"/>
          <w:szCs w:val="28"/>
          <w:highlight w:val="none"/>
          <w:lang w:val="en-US"/>
        </w:rPr>
      </w:pPr>
      <w:r>
        <w:rPr>
          <w:rFonts w:hint="eastAsia" w:ascii="宋体" w:hAnsi="宋体" w:eastAsia="宋体" w:cs="宋体"/>
          <w:color w:val="auto"/>
          <w:sz w:val="28"/>
          <w:szCs w:val="28"/>
          <w:highlight w:val="none"/>
          <w:lang w:val="en-US" w:eastAsia="zh-CN"/>
        </w:rPr>
        <w:t>注：后附人员相关资格证书复印件。</w:t>
      </w:r>
    </w:p>
    <w:p w14:paraId="1BEAC005">
      <w:pPr>
        <w:pageBreakBefore w:val="0"/>
        <w:widowControl w:val="0"/>
        <w:wordWrap/>
        <w:topLinePunct w:val="0"/>
        <w:bidi w:val="0"/>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本工程一旦我单位中标，将配备上述项目管理人员。上述填报内容真实，如不真实，将按照有关规定接受处理。</w:t>
      </w:r>
    </w:p>
    <w:p w14:paraId="5D316E48">
      <w:pPr>
        <w:pageBreakBefore w:val="0"/>
        <w:widowControl w:val="0"/>
        <w:wordWrap/>
        <w:topLinePunct w:val="0"/>
        <w:bidi w:val="0"/>
        <w:spacing w:line="360" w:lineRule="auto"/>
        <w:jc w:val="left"/>
        <w:rPr>
          <w:rFonts w:hint="eastAsia" w:ascii="宋体" w:hAnsi="宋体"/>
          <w:kern w:val="0"/>
          <w:sz w:val="24"/>
          <w:szCs w:val="21"/>
          <w:highlight w:val="none"/>
        </w:rPr>
      </w:pPr>
      <w:r>
        <w:rPr>
          <w:rFonts w:hint="eastAsia" w:ascii="宋体" w:hAnsi="宋体"/>
          <w:kern w:val="0"/>
          <w:sz w:val="24"/>
          <w:szCs w:val="21"/>
          <w:highlight w:val="none"/>
        </w:rPr>
        <w:t xml:space="preserve">    </w:t>
      </w:r>
    </w:p>
    <w:p w14:paraId="1D67FDFE">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kern w:val="0"/>
          <w:sz w:val="24"/>
          <w:szCs w:val="21"/>
          <w:highlight w:val="none"/>
        </w:rPr>
        <w:t xml:space="preserve">  </w:t>
      </w:r>
      <w:r>
        <w:rPr>
          <w:rFonts w:hint="eastAsia" w:ascii="宋体" w:hAnsi="宋体" w:eastAsia="宋体" w:cs="宋体"/>
          <w:color w:val="auto"/>
          <w:sz w:val="28"/>
          <w:szCs w:val="28"/>
          <w:highlight w:val="none"/>
        </w:rPr>
        <w:t>投标单位：</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（公章） </w:t>
      </w:r>
    </w:p>
    <w:p w14:paraId="63BA5A8F">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法定代表人或授权代表人（签字）：</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rPr>
        <w:t xml:space="preserve">             </w:t>
      </w:r>
    </w:p>
    <w:p w14:paraId="1C9697DE">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 xml:space="preserve"> 日期：   年   月   日</w:t>
      </w:r>
    </w:p>
    <w:p w14:paraId="0CD2BC82">
      <w:pPr>
        <w:pageBreakBefore w:val="0"/>
        <w:widowControl w:val="0"/>
        <w:wordWrap/>
        <w:topLinePunct w:val="0"/>
        <w:bidi w:val="0"/>
        <w:jc w:val="left"/>
        <w:rPr>
          <w:rFonts w:hint="eastAsia" w:ascii="宋体" w:hAnsi="宋体" w:eastAsia="宋体" w:cs="宋体"/>
          <w:b/>
          <w:bCs/>
          <w:color w:val="auto"/>
          <w:sz w:val="28"/>
          <w:szCs w:val="28"/>
          <w:highlight w:val="none"/>
          <w:lang w:val="en-US" w:eastAsia="zh-CN"/>
        </w:rPr>
      </w:pPr>
    </w:p>
    <w:p w14:paraId="5F5F8B7A">
      <w:pPr>
        <w:pageBreakBefore w:val="0"/>
        <w:widowControl w:val="0"/>
        <w:wordWrap/>
        <w:topLinePunct w:val="0"/>
        <w:bidi w:val="0"/>
        <w:jc w:val="left"/>
        <w:rPr>
          <w:rFonts w:hint="eastAsia" w:ascii="宋体" w:hAnsi="宋体" w:eastAsia="宋体" w:cs="宋体"/>
          <w:color w:val="auto"/>
          <w:highlight w:val="none"/>
        </w:rPr>
      </w:pPr>
      <w:r>
        <w:rPr>
          <w:rFonts w:hint="eastAsia" w:ascii="宋体" w:hAnsi="宋体" w:eastAsia="宋体" w:cs="宋体"/>
          <w:b/>
          <w:bCs/>
          <w:color w:val="auto"/>
          <w:sz w:val="28"/>
          <w:szCs w:val="28"/>
          <w:highlight w:val="none"/>
          <w:lang w:val="en-US" w:eastAsia="zh-CN"/>
        </w:rPr>
        <w:t>22</w:t>
      </w:r>
      <w:r>
        <w:rPr>
          <w:rFonts w:hint="eastAsia" w:ascii="宋体" w:hAnsi="宋体" w:eastAsia="宋体" w:cs="宋体"/>
          <w:b/>
          <w:bCs/>
          <w:color w:val="auto"/>
          <w:sz w:val="28"/>
          <w:szCs w:val="28"/>
          <w:highlight w:val="none"/>
        </w:rPr>
        <w:t>、投标人企业信誉证明文件（如有，提供复印件）；</w:t>
      </w:r>
    </w:p>
    <w:p w14:paraId="5890ABD6">
      <w:pPr>
        <w:pStyle w:val="4"/>
        <w:pageBreakBefore w:val="0"/>
        <w:widowControl w:val="0"/>
        <w:wordWrap/>
        <w:topLinePunct w:val="0"/>
        <w:bidi w:val="0"/>
        <w:outlineLvl w:val="9"/>
        <w:rPr>
          <w:rFonts w:hint="eastAsia" w:ascii="宋体" w:hAnsi="宋体" w:eastAsia="宋体" w:cs="宋体"/>
          <w:color w:val="auto"/>
          <w:sz w:val="28"/>
          <w:szCs w:val="28"/>
          <w:highlight w:val="none"/>
        </w:rPr>
      </w:pPr>
    </w:p>
    <w:p w14:paraId="14F7A3E4">
      <w:pPr>
        <w:pageBreakBefore w:val="0"/>
        <w:widowControl w:val="0"/>
        <w:wordWrap/>
        <w:topLinePunct w:val="0"/>
        <w:bidi w:val="0"/>
        <w:rPr>
          <w:rFonts w:hint="eastAsia" w:ascii="宋体" w:hAnsi="宋体" w:eastAsia="宋体" w:cs="宋体"/>
          <w:b/>
          <w:bCs/>
          <w:color w:val="auto"/>
          <w:sz w:val="28"/>
          <w:szCs w:val="28"/>
          <w:highlight w:val="none"/>
        </w:rPr>
      </w:pPr>
    </w:p>
    <w:p w14:paraId="3CD7B20F">
      <w:pPr>
        <w:pStyle w:val="4"/>
        <w:pageBreakBefore w:val="0"/>
        <w:widowControl w:val="0"/>
        <w:wordWrap/>
        <w:topLinePunct w:val="0"/>
        <w:bidi w:val="0"/>
        <w:outlineLvl w:val="9"/>
        <w:rPr>
          <w:rFonts w:hint="eastAsia" w:ascii="宋体" w:hAnsi="宋体" w:eastAsia="宋体" w:cs="宋体"/>
          <w:color w:val="auto"/>
          <w:sz w:val="28"/>
          <w:szCs w:val="28"/>
          <w:highlight w:val="none"/>
        </w:rPr>
      </w:pPr>
    </w:p>
    <w:p w14:paraId="44413922">
      <w:pPr>
        <w:pageBreakBefore w:val="0"/>
        <w:widowControl w:val="0"/>
        <w:numPr>
          <w:ilvl w:val="0"/>
          <w:numId w:val="0"/>
        </w:numPr>
        <w:wordWrap/>
        <w:topLinePunct w:val="0"/>
        <w:bidi w:val="0"/>
        <w:jc w:val="left"/>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23、</w:t>
      </w:r>
      <w:r>
        <w:rPr>
          <w:rFonts w:hint="eastAsia" w:ascii="宋体" w:hAnsi="宋体" w:eastAsia="宋体" w:cs="宋体"/>
          <w:b/>
          <w:bCs/>
          <w:color w:val="auto"/>
          <w:sz w:val="28"/>
          <w:szCs w:val="28"/>
          <w:highlight w:val="none"/>
        </w:rPr>
        <w:t>资格认证证书（如有）；</w:t>
      </w:r>
    </w:p>
    <w:p w14:paraId="31F24DD2">
      <w:pPr>
        <w:pageBreakBefore w:val="0"/>
        <w:widowControl w:val="0"/>
        <w:wordWrap/>
        <w:topLinePunct w:val="0"/>
        <w:bidi w:val="0"/>
        <w:jc w:val="left"/>
        <w:rPr>
          <w:rFonts w:hint="eastAsia" w:ascii="宋体" w:hAnsi="宋体" w:eastAsia="宋体" w:cs="宋体"/>
          <w:b/>
          <w:bCs/>
          <w:color w:val="auto"/>
          <w:sz w:val="28"/>
          <w:szCs w:val="28"/>
          <w:highlight w:val="none"/>
        </w:rPr>
      </w:pPr>
    </w:p>
    <w:p w14:paraId="10C38C23">
      <w:pPr>
        <w:pStyle w:val="21"/>
        <w:pageBreakBefore w:val="0"/>
        <w:widowControl w:val="0"/>
        <w:wordWrap/>
        <w:topLinePunct w:val="0"/>
        <w:bidi w:val="0"/>
        <w:rPr>
          <w:rFonts w:hint="eastAsia" w:ascii="宋体" w:hAnsi="宋体" w:eastAsia="宋体" w:cs="宋体"/>
          <w:b/>
          <w:bCs/>
          <w:color w:val="auto"/>
          <w:sz w:val="28"/>
          <w:szCs w:val="28"/>
          <w:highlight w:val="none"/>
        </w:rPr>
      </w:pPr>
    </w:p>
    <w:p w14:paraId="2B0EAF11">
      <w:pPr>
        <w:pStyle w:val="21"/>
        <w:pageBreakBefore w:val="0"/>
        <w:widowControl w:val="0"/>
        <w:wordWrap/>
        <w:topLinePunct w:val="0"/>
        <w:bidi w:val="0"/>
        <w:rPr>
          <w:rFonts w:hint="eastAsia" w:ascii="宋体" w:hAnsi="宋体" w:eastAsia="宋体" w:cs="宋体"/>
          <w:b/>
          <w:bCs/>
          <w:color w:val="auto"/>
          <w:sz w:val="28"/>
          <w:szCs w:val="28"/>
          <w:highlight w:val="none"/>
        </w:rPr>
      </w:pPr>
    </w:p>
    <w:p w14:paraId="4A97E321">
      <w:pPr>
        <w:pageBreakBefore w:val="0"/>
        <w:widowControl w:val="0"/>
        <w:wordWrap/>
        <w:topLinePunct w:val="0"/>
        <w:bidi w:val="0"/>
        <w:rPr>
          <w:rFonts w:hint="eastAsia" w:ascii="宋体" w:hAnsi="宋体" w:eastAsia="宋体" w:cs="宋体"/>
          <w:color w:val="auto"/>
          <w:highlight w:val="none"/>
        </w:rPr>
      </w:pPr>
    </w:p>
    <w:p w14:paraId="291350B7">
      <w:pPr>
        <w:pageBreakBefore w:val="0"/>
        <w:widowControl w:val="0"/>
        <w:numPr>
          <w:ilvl w:val="0"/>
          <w:numId w:val="0"/>
        </w:numPr>
        <w:wordWrap/>
        <w:topLinePunct w:val="0"/>
        <w:bidi w:val="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24、</w:t>
      </w:r>
      <w:r>
        <w:rPr>
          <w:rFonts w:hint="eastAsia" w:ascii="宋体" w:hAnsi="宋体" w:eastAsia="宋体" w:cs="宋体"/>
          <w:b/>
          <w:color w:val="auto"/>
          <w:sz w:val="28"/>
          <w:szCs w:val="28"/>
          <w:highlight w:val="none"/>
        </w:rPr>
        <w:t>投标企业认为有必要提供的声明及文件资料（投标人按招标文件要求自行编制，包含但不限于售后服务体系、项目实施方案、项目实施方案、零配件保障方案、培训方案等）。</w:t>
      </w:r>
    </w:p>
    <w:p w14:paraId="6DEFA757">
      <w:pPr>
        <w:pageBreakBefore w:val="0"/>
        <w:widowControl w:val="0"/>
        <w:wordWrap/>
        <w:topLinePunct w:val="0"/>
        <w:bidi w:val="0"/>
        <w:ind w:left="2880" w:hanging="2880"/>
        <w:jc w:val="center"/>
        <w:rPr>
          <w:rFonts w:hint="eastAsia" w:ascii="宋体" w:hAnsi="宋体" w:eastAsia="宋体" w:cs="宋体"/>
          <w:b/>
          <w:color w:val="auto"/>
          <w:sz w:val="28"/>
          <w:szCs w:val="28"/>
          <w:highlight w:val="none"/>
        </w:rPr>
      </w:pPr>
    </w:p>
    <w:p w14:paraId="171CAADC">
      <w:pPr>
        <w:pageBreakBefore w:val="0"/>
        <w:widowControl w:val="0"/>
        <w:wordWrap/>
        <w:topLinePunct w:val="0"/>
        <w:bidi w:val="0"/>
        <w:ind w:left="2880" w:hanging="2880"/>
        <w:jc w:val="center"/>
        <w:rPr>
          <w:rFonts w:hint="eastAsia" w:ascii="宋体" w:hAnsi="宋体" w:eastAsia="宋体" w:cs="宋体"/>
          <w:b/>
          <w:color w:val="auto"/>
          <w:sz w:val="28"/>
          <w:szCs w:val="28"/>
          <w:highlight w:val="none"/>
        </w:rPr>
      </w:pPr>
    </w:p>
    <w:p w14:paraId="74D9CBC0">
      <w:pPr>
        <w:pageBreakBefore w:val="0"/>
        <w:widowControl w:val="0"/>
        <w:wordWrap/>
        <w:topLinePunct w:val="0"/>
        <w:bidi w:val="0"/>
        <w:ind w:left="2880" w:hanging="2880"/>
        <w:jc w:val="center"/>
        <w:rPr>
          <w:rFonts w:hint="eastAsia" w:ascii="宋体" w:hAnsi="宋体" w:eastAsia="宋体" w:cs="宋体"/>
          <w:b/>
          <w:color w:val="auto"/>
          <w:sz w:val="28"/>
          <w:szCs w:val="28"/>
          <w:highlight w:val="none"/>
        </w:rPr>
      </w:pPr>
    </w:p>
    <w:p w14:paraId="4EF14457">
      <w:pPr>
        <w:pageBreakBefore w:val="0"/>
        <w:widowControl w:val="0"/>
        <w:wordWrap/>
        <w:topLinePunct w:val="0"/>
        <w:bidi w:val="0"/>
        <w:ind w:left="2880" w:hanging="2880"/>
        <w:jc w:val="center"/>
        <w:rPr>
          <w:rFonts w:hint="eastAsia" w:ascii="宋体" w:hAnsi="宋体" w:eastAsia="宋体" w:cs="宋体"/>
          <w:b/>
          <w:color w:val="auto"/>
          <w:sz w:val="28"/>
          <w:szCs w:val="28"/>
          <w:highlight w:val="none"/>
        </w:rPr>
      </w:pPr>
    </w:p>
    <w:p w14:paraId="1C35C10C">
      <w:pPr>
        <w:pStyle w:val="10"/>
        <w:rPr>
          <w:rFonts w:hint="eastAsia" w:ascii="宋体" w:hAnsi="宋体" w:eastAsia="宋体" w:cs="宋体"/>
          <w:b/>
          <w:color w:val="auto"/>
          <w:sz w:val="28"/>
          <w:szCs w:val="28"/>
          <w:highlight w:val="none"/>
        </w:rPr>
      </w:pPr>
    </w:p>
    <w:p w14:paraId="30A8B2D6">
      <w:pPr>
        <w:pStyle w:val="27"/>
        <w:rPr>
          <w:rFonts w:hint="eastAsia" w:ascii="宋体" w:hAnsi="宋体" w:eastAsia="宋体" w:cs="宋体"/>
          <w:b/>
          <w:color w:val="auto"/>
          <w:sz w:val="28"/>
          <w:szCs w:val="28"/>
          <w:highlight w:val="none"/>
        </w:rPr>
      </w:pPr>
    </w:p>
    <w:p w14:paraId="4878B1C9">
      <w:pPr>
        <w:pStyle w:val="27"/>
        <w:rPr>
          <w:rFonts w:hint="eastAsia" w:ascii="宋体" w:hAnsi="宋体" w:eastAsia="宋体" w:cs="宋体"/>
          <w:b/>
          <w:color w:val="auto"/>
          <w:sz w:val="28"/>
          <w:szCs w:val="28"/>
          <w:highlight w:val="none"/>
        </w:rPr>
      </w:pPr>
    </w:p>
    <w:p w14:paraId="7C3A677B">
      <w:pPr>
        <w:pStyle w:val="27"/>
        <w:rPr>
          <w:rFonts w:hint="eastAsia" w:ascii="宋体" w:hAnsi="宋体" w:eastAsia="宋体" w:cs="宋体"/>
          <w:b/>
          <w:color w:val="auto"/>
          <w:sz w:val="28"/>
          <w:szCs w:val="28"/>
          <w:highlight w:val="none"/>
        </w:rPr>
      </w:pPr>
    </w:p>
    <w:p w14:paraId="2FA7EEE9">
      <w:pPr>
        <w:pageBreakBefore w:val="0"/>
        <w:widowControl w:val="0"/>
        <w:wordWrap/>
        <w:topLinePunct w:val="0"/>
        <w:bidi w:val="0"/>
        <w:rPr>
          <w:rFonts w:hint="eastAsia" w:ascii="宋体" w:hAnsi="宋体" w:eastAsia="宋体" w:cs="宋体"/>
          <w:color w:val="auto"/>
          <w:sz w:val="44"/>
          <w:szCs w:val="44"/>
          <w:highlight w:val="none"/>
        </w:rPr>
      </w:pPr>
    </w:p>
    <w:p w14:paraId="3A3C8D6B">
      <w:pPr>
        <w:pageBreakBefore w:val="0"/>
        <w:widowControl w:val="0"/>
        <w:wordWrap/>
        <w:topLinePunct w:val="0"/>
        <w:bidi w:val="0"/>
        <w:ind w:left="2880" w:hanging="288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25</w:t>
      </w:r>
      <w:r>
        <w:rPr>
          <w:rFonts w:hint="eastAsia" w:ascii="宋体" w:hAnsi="宋体" w:eastAsia="宋体" w:cs="宋体"/>
          <w:b/>
          <w:color w:val="auto"/>
          <w:sz w:val="28"/>
          <w:szCs w:val="28"/>
          <w:highlight w:val="none"/>
        </w:rPr>
        <w:t>、技术参数、功能偏离表</w:t>
      </w:r>
    </w:p>
    <w:p w14:paraId="285354A1">
      <w:pPr>
        <w:pageBreakBefore w:val="0"/>
        <w:widowControl w:val="0"/>
        <w:wordWrap/>
        <w:topLinePunct w:val="0"/>
        <w:bidi w:val="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项目名称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招标编号：</w:t>
      </w:r>
      <w:r>
        <w:rPr>
          <w:rFonts w:hint="eastAsia" w:ascii="宋体" w:hAnsi="宋体" w:eastAsia="宋体" w:cs="宋体"/>
          <w:color w:val="auto"/>
          <w:sz w:val="28"/>
          <w:szCs w:val="28"/>
          <w:highlight w:val="none"/>
          <w:u w:val="single"/>
        </w:rPr>
        <w:t>　　　　　</w:t>
      </w:r>
    </w:p>
    <w:p w14:paraId="44AB6D68">
      <w:pPr>
        <w:pageBreakBefore w:val="0"/>
        <w:widowControl w:val="0"/>
        <w:wordWrap/>
        <w:topLinePunct w:val="0"/>
        <w:bidi w:val="0"/>
        <w:rPr>
          <w:rFonts w:hint="eastAsia" w:ascii="宋体" w:hAnsi="宋体" w:eastAsia="宋体" w:cs="宋体"/>
          <w:color w:val="auto"/>
          <w:sz w:val="28"/>
          <w:szCs w:val="28"/>
          <w:highlight w:val="none"/>
          <w:u w:val="single"/>
        </w:rPr>
      </w:pPr>
    </w:p>
    <w:tbl>
      <w:tblPr>
        <w:tblStyle w:val="22"/>
        <w:tblW w:w="91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6"/>
        <w:gridCol w:w="1619"/>
        <w:gridCol w:w="2093"/>
        <w:gridCol w:w="2227"/>
        <w:gridCol w:w="1600"/>
        <w:gridCol w:w="1134"/>
      </w:tblGrid>
      <w:tr w14:paraId="222A9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496" w:type="dxa"/>
            <w:noWrap w:val="0"/>
            <w:vAlign w:val="center"/>
          </w:tcPr>
          <w:p w14:paraId="26EE536D">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序号</w:t>
            </w:r>
          </w:p>
        </w:tc>
        <w:tc>
          <w:tcPr>
            <w:tcW w:w="1619" w:type="dxa"/>
            <w:noWrap w:val="0"/>
            <w:vAlign w:val="center"/>
          </w:tcPr>
          <w:p w14:paraId="52079B73">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招标文件规格条目号</w:t>
            </w:r>
          </w:p>
        </w:tc>
        <w:tc>
          <w:tcPr>
            <w:tcW w:w="2093" w:type="dxa"/>
            <w:noWrap w:val="0"/>
            <w:vAlign w:val="center"/>
          </w:tcPr>
          <w:p w14:paraId="4344BB28">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招标规格</w:t>
            </w:r>
          </w:p>
        </w:tc>
        <w:tc>
          <w:tcPr>
            <w:tcW w:w="2227" w:type="dxa"/>
            <w:noWrap w:val="0"/>
            <w:vAlign w:val="center"/>
          </w:tcPr>
          <w:p w14:paraId="34F92D1B">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投标规格</w:t>
            </w:r>
          </w:p>
        </w:tc>
        <w:tc>
          <w:tcPr>
            <w:tcW w:w="1600" w:type="dxa"/>
            <w:noWrap w:val="0"/>
            <w:vAlign w:val="center"/>
          </w:tcPr>
          <w:p w14:paraId="7CA7D6C4">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偏离</w:t>
            </w:r>
          </w:p>
        </w:tc>
        <w:tc>
          <w:tcPr>
            <w:tcW w:w="1134" w:type="dxa"/>
            <w:noWrap w:val="0"/>
            <w:vAlign w:val="center"/>
          </w:tcPr>
          <w:p w14:paraId="7771D88D">
            <w:pPr>
              <w:pageBreakBefore w:val="0"/>
              <w:widowControl w:val="0"/>
              <w:wordWrap/>
              <w:topLinePunct w:val="0"/>
              <w:bidi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说明</w:t>
            </w:r>
          </w:p>
        </w:tc>
      </w:tr>
      <w:tr w14:paraId="51B66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96" w:type="dxa"/>
            <w:noWrap w:val="0"/>
            <w:vAlign w:val="top"/>
          </w:tcPr>
          <w:p w14:paraId="3C680B5F">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w:t>
            </w:r>
          </w:p>
        </w:tc>
        <w:tc>
          <w:tcPr>
            <w:tcW w:w="1619" w:type="dxa"/>
            <w:noWrap w:val="0"/>
            <w:vAlign w:val="top"/>
          </w:tcPr>
          <w:p w14:paraId="5732174C">
            <w:pPr>
              <w:pageBreakBefore w:val="0"/>
              <w:widowControl w:val="0"/>
              <w:wordWrap/>
              <w:topLinePunct w:val="0"/>
              <w:bidi w:val="0"/>
              <w:rPr>
                <w:rFonts w:hint="eastAsia" w:ascii="宋体" w:hAnsi="宋体" w:eastAsia="宋体" w:cs="宋体"/>
                <w:color w:val="auto"/>
                <w:sz w:val="28"/>
                <w:szCs w:val="28"/>
                <w:highlight w:val="none"/>
              </w:rPr>
            </w:pPr>
          </w:p>
        </w:tc>
        <w:tc>
          <w:tcPr>
            <w:tcW w:w="2093" w:type="dxa"/>
            <w:noWrap w:val="0"/>
            <w:vAlign w:val="top"/>
          </w:tcPr>
          <w:p w14:paraId="5D45D5E6">
            <w:pPr>
              <w:pageBreakBefore w:val="0"/>
              <w:widowControl w:val="0"/>
              <w:wordWrap/>
              <w:topLinePunct w:val="0"/>
              <w:bidi w:val="0"/>
              <w:rPr>
                <w:rFonts w:hint="eastAsia" w:ascii="宋体" w:hAnsi="宋体" w:eastAsia="宋体" w:cs="宋体"/>
                <w:color w:val="auto"/>
                <w:sz w:val="28"/>
                <w:szCs w:val="28"/>
                <w:highlight w:val="none"/>
              </w:rPr>
            </w:pPr>
          </w:p>
        </w:tc>
        <w:tc>
          <w:tcPr>
            <w:tcW w:w="2227" w:type="dxa"/>
            <w:noWrap w:val="0"/>
            <w:vAlign w:val="top"/>
          </w:tcPr>
          <w:p w14:paraId="2F22E7FE">
            <w:pPr>
              <w:pageBreakBefore w:val="0"/>
              <w:widowControl w:val="0"/>
              <w:wordWrap/>
              <w:topLinePunct w:val="0"/>
              <w:bidi w:val="0"/>
              <w:rPr>
                <w:rFonts w:hint="eastAsia" w:ascii="宋体" w:hAnsi="宋体" w:eastAsia="宋体" w:cs="宋体"/>
                <w:color w:val="auto"/>
                <w:sz w:val="28"/>
                <w:szCs w:val="28"/>
                <w:highlight w:val="none"/>
              </w:rPr>
            </w:pPr>
          </w:p>
        </w:tc>
        <w:tc>
          <w:tcPr>
            <w:tcW w:w="1600" w:type="dxa"/>
            <w:noWrap w:val="0"/>
            <w:vAlign w:val="top"/>
          </w:tcPr>
          <w:p w14:paraId="4B67E98C">
            <w:pPr>
              <w:pageBreakBefore w:val="0"/>
              <w:widowControl w:val="0"/>
              <w:wordWrap/>
              <w:topLinePunct w:val="0"/>
              <w:bidi w:val="0"/>
              <w:rPr>
                <w:rFonts w:hint="eastAsia" w:ascii="宋体" w:hAnsi="宋体" w:eastAsia="宋体" w:cs="宋体"/>
                <w:color w:val="auto"/>
                <w:sz w:val="28"/>
                <w:szCs w:val="28"/>
                <w:highlight w:val="none"/>
              </w:rPr>
            </w:pPr>
          </w:p>
        </w:tc>
        <w:tc>
          <w:tcPr>
            <w:tcW w:w="1134" w:type="dxa"/>
            <w:noWrap w:val="0"/>
            <w:vAlign w:val="top"/>
          </w:tcPr>
          <w:p w14:paraId="6058D54F">
            <w:pPr>
              <w:pageBreakBefore w:val="0"/>
              <w:widowControl w:val="0"/>
              <w:wordWrap/>
              <w:topLinePunct w:val="0"/>
              <w:bidi w:val="0"/>
              <w:rPr>
                <w:rFonts w:hint="eastAsia" w:ascii="宋体" w:hAnsi="宋体" w:eastAsia="宋体" w:cs="宋体"/>
                <w:color w:val="auto"/>
                <w:sz w:val="28"/>
                <w:szCs w:val="28"/>
                <w:highlight w:val="none"/>
              </w:rPr>
            </w:pPr>
          </w:p>
        </w:tc>
      </w:tr>
      <w:tr w14:paraId="1290F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96" w:type="dxa"/>
            <w:noWrap w:val="0"/>
            <w:vAlign w:val="top"/>
          </w:tcPr>
          <w:p w14:paraId="1CC3DBF2">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w:t>
            </w:r>
          </w:p>
        </w:tc>
        <w:tc>
          <w:tcPr>
            <w:tcW w:w="1619" w:type="dxa"/>
            <w:noWrap w:val="0"/>
            <w:vAlign w:val="top"/>
          </w:tcPr>
          <w:p w14:paraId="31DFE6DF">
            <w:pPr>
              <w:pageBreakBefore w:val="0"/>
              <w:widowControl w:val="0"/>
              <w:wordWrap/>
              <w:topLinePunct w:val="0"/>
              <w:bidi w:val="0"/>
              <w:rPr>
                <w:rFonts w:hint="eastAsia" w:ascii="宋体" w:hAnsi="宋体" w:eastAsia="宋体" w:cs="宋体"/>
                <w:color w:val="auto"/>
                <w:sz w:val="28"/>
                <w:szCs w:val="28"/>
                <w:highlight w:val="none"/>
              </w:rPr>
            </w:pPr>
          </w:p>
        </w:tc>
        <w:tc>
          <w:tcPr>
            <w:tcW w:w="2093" w:type="dxa"/>
            <w:noWrap w:val="0"/>
            <w:vAlign w:val="top"/>
          </w:tcPr>
          <w:p w14:paraId="461F1E94">
            <w:pPr>
              <w:pageBreakBefore w:val="0"/>
              <w:widowControl w:val="0"/>
              <w:wordWrap/>
              <w:topLinePunct w:val="0"/>
              <w:bidi w:val="0"/>
              <w:rPr>
                <w:rFonts w:hint="eastAsia" w:ascii="宋体" w:hAnsi="宋体" w:eastAsia="宋体" w:cs="宋体"/>
                <w:color w:val="auto"/>
                <w:sz w:val="28"/>
                <w:szCs w:val="28"/>
                <w:highlight w:val="none"/>
              </w:rPr>
            </w:pPr>
          </w:p>
        </w:tc>
        <w:tc>
          <w:tcPr>
            <w:tcW w:w="2227" w:type="dxa"/>
            <w:noWrap w:val="0"/>
            <w:vAlign w:val="top"/>
          </w:tcPr>
          <w:p w14:paraId="167F3C29">
            <w:pPr>
              <w:pageBreakBefore w:val="0"/>
              <w:widowControl w:val="0"/>
              <w:wordWrap/>
              <w:topLinePunct w:val="0"/>
              <w:bidi w:val="0"/>
              <w:rPr>
                <w:rFonts w:hint="eastAsia" w:ascii="宋体" w:hAnsi="宋体" w:eastAsia="宋体" w:cs="宋体"/>
                <w:color w:val="auto"/>
                <w:sz w:val="28"/>
                <w:szCs w:val="28"/>
                <w:highlight w:val="none"/>
              </w:rPr>
            </w:pPr>
          </w:p>
        </w:tc>
        <w:tc>
          <w:tcPr>
            <w:tcW w:w="1600" w:type="dxa"/>
            <w:noWrap w:val="0"/>
            <w:vAlign w:val="top"/>
          </w:tcPr>
          <w:p w14:paraId="153DA335">
            <w:pPr>
              <w:pageBreakBefore w:val="0"/>
              <w:widowControl w:val="0"/>
              <w:wordWrap/>
              <w:topLinePunct w:val="0"/>
              <w:bidi w:val="0"/>
              <w:rPr>
                <w:rFonts w:hint="eastAsia" w:ascii="宋体" w:hAnsi="宋体" w:eastAsia="宋体" w:cs="宋体"/>
                <w:color w:val="auto"/>
                <w:sz w:val="28"/>
                <w:szCs w:val="28"/>
                <w:highlight w:val="none"/>
              </w:rPr>
            </w:pPr>
          </w:p>
        </w:tc>
        <w:tc>
          <w:tcPr>
            <w:tcW w:w="1134" w:type="dxa"/>
            <w:noWrap w:val="0"/>
            <w:vAlign w:val="top"/>
          </w:tcPr>
          <w:p w14:paraId="6F77663F">
            <w:pPr>
              <w:pageBreakBefore w:val="0"/>
              <w:widowControl w:val="0"/>
              <w:wordWrap/>
              <w:topLinePunct w:val="0"/>
              <w:bidi w:val="0"/>
              <w:rPr>
                <w:rFonts w:hint="eastAsia" w:ascii="宋体" w:hAnsi="宋体" w:eastAsia="宋体" w:cs="宋体"/>
                <w:color w:val="auto"/>
                <w:sz w:val="28"/>
                <w:szCs w:val="28"/>
                <w:highlight w:val="none"/>
              </w:rPr>
            </w:pPr>
          </w:p>
        </w:tc>
      </w:tr>
      <w:tr w14:paraId="3887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96" w:type="dxa"/>
            <w:noWrap w:val="0"/>
            <w:vAlign w:val="top"/>
          </w:tcPr>
          <w:p w14:paraId="38557E18">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w:t>
            </w:r>
          </w:p>
        </w:tc>
        <w:tc>
          <w:tcPr>
            <w:tcW w:w="1619" w:type="dxa"/>
            <w:noWrap w:val="0"/>
            <w:vAlign w:val="top"/>
          </w:tcPr>
          <w:p w14:paraId="2C1D6358">
            <w:pPr>
              <w:pageBreakBefore w:val="0"/>
              <w:widowControl w:val="0"/>
              <w:wordWrap/>
              <w:topLinePunct w:val="0"/>
              <w:bidi w:val="0"/>
              <w:jc w:val="left"/>
              <w:rPr>
                <w:rFonts w:hint="eastAsia" w:ascii="宋体" w:hAnsi="宋体" w:eastAsia="宋体" w:cs="宋体"/>
                <w:color w:val="auto"/>
                <w:sz w:val="28"/>
                <w:szCs w:val="28"/>
                <w:highlight w:val="none"/>
              </w:rPr>
            </w:pPr>
          </w:p>
        </w:tc>
        <w:tc>
          <w:tcPr>
            <w:tcW w:w="2093" w:type="dxa"/>
            <w:noWrap w:val="0"/>
            <w:vAlign w:val="top"/>
          </w:tcPr>
          <w:p w14:paraId="66FD5864">
            <w:pPr>
              <w:pageBreakBefore w:val="0"/>
              <w:widowControl w:val="0"/>
              <w:wordWrap/>
              <w:topLinePunct w:val="0"/>
              <w:bidi w:val="0"/>
              <w:rPr>
                <w:rFonts w:hint="eastAsia" w:ascii="宋体" w:hAnsi="宋体" w:eastAsia="宋体" w:cs="宋体"/>
                <w:color w:val="auto"/>
                <w:sz w:val="28"/>
                <w:szCs w:val="28"/>
                <w:highlight w:val="none"/>
              </w:rPr>
            </w:pPr>
          </w:p>
        </w:tc>
        <w:tc>
          <w:tcPr>
            <w:tcW w:w="2227" w:type="dxa"/>
            <w:noWrap w:val="0"/>
            <w:vAlign w:val="top"/>
          </w:tcPr>
          <w:p w14:paraId="6FF0F9A4">
            <w:pPr>
              <w:pageBreakBefore w:val="0"/>
              <w:widowControl w:val="0"/>
              <w:wordWrap/>
              <w:topLinePunct w:val="0"/>
              <w:bidi w:val="0"/>
              <w:rPr>
                <w:rFonts w:hint="eastAsia" w:ascii="宋体" w:hAnsi="宋体" w:eastAsia="宋体" w:cs="宋体"/>
                <w:color w:val="auto"/>
                <w:sz w:val="28"/>
                <w:szCs w:val="28"/>
                <w:highlight w:val="none"/>
              </w:rPr>
            </w:pPr>
          </w:p>
        </w:tc>
        <w:tc>
          <w:tcPr>
            <w:tcW w:w="1600" w:type="dxa"/>
            <w:noWrap w:val="0"/>
            <w:vAlign w:val="top"/>
          </w:tcPr>
          <w:p w14:paraId="6D386DFA">
            <w:pPr>
              <w:pageBreakBefore w:val="0"/>
              <w:widowControl w:val="0"/>
              <w:wordWrap/>
              <w:topLinePunct w:val="0"/>
              <w:bidi w:val="0"/>
              <w:rPr>
                <w:rFonts w:hint="eastAsia" w:ascii="宋体" w:hAnsi="宋体" w:eastAsia="宋体" w:cs="宋体"/>
                <w:color w:val="auto"/>
                <w:sz w:val="28"/>
                <w:szCs w:val="28"/>
                <w:highlight w:val="none"/>
              </w:rPr>
            </w:pPr>
          </w:p>
        </w:tc>
        <w:tc>
          <w:tcPr>
            <w:tcW w:w="1134" w:type="dxa"/>
            <w:noWrap w:val="0"/>
            <w:vAlign w:val="top"/>
          </w:tcPr>
          <w:p w14:paraId="0E122008">
            <w:pPr>
              <w:pageBreakBefore w:val="0"/>
              <w:widowControl w:val="0"/>
              <w:wordWrap/>
              <w:topLinePunct w:val="0"/>
              <w:bidi w:val="0"/>
              <w:rPr>
                <w:rFonts w:hint="eastAsia" w:ascii="宋体" w:hAnsi="宋体" w:eastAsia="宋体" w:cs="宋体"/>
                <w:color w:val="auto"/>
                <w:sz w:val="28"/>
                <w:szCs w:val="28"/>
                <w:highlight w:val="none"/>
              </w:rPr>
            </w:pPr>
          </w:p>
        </w:tc>
      </w:tr>
      <w:tr w14:paraId="7B46F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96" w:type="dxa"/>
            <w:noWrap w:val="0"/>
            <w:vAlign w:val="top"/>
          </w:tcPr>
          <w:p w14:paraId="5280A8FB">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w:t>
            </w:r>
          </w:p>
        </w:tc>
        <w:tc>
          <w:tcPr>
            <w:tcW w:w="1619" w:type="dxa"/>
            <w:noWrap w:val="0"/>
            <w:vAlign w:val="top"/>
          </w:tcPr>
          <w:p w14:paraId="4F71195F">
            <w:pPr>
              <w:pageBreakBefore w:val="0"/>
              <w:widowControl w:val="0"/>
              <w:wordWrap/>
              <w:topLinePunct w:val="0"/>
              <w:bidi w:val="0"/>
              <w:rPr>
                <w:rFonts w:hint="eastAsia" w:ascii="宋体" w:hAnsi="宋体" w:eastAsia="宋体" w:cs="宋体"/>
                <w:color w:val="auto"/>
                <w:sz w:val="28"/>
                <w:szCs w:val="28"/>
                <w:highlight w:val="none"/>
              </w:rPr>
            </w:pPr>
          </w:p>
        </w:tc>
        <w:tc>
          <w:tcPr>
            <w:tcW w:w="2093" w:type="dxa"/>
            <w:noWrap w:val="0"/>
            <w:vAlign w:val="top"/>
          </w:tcPr>
          <w:p w14:paraId="04145E3E">
            <w:pPr>
              <w:pageBreakBefore w:val="0"/>
              <w:widowControl w:val="0"/>
              <w:wordWrap/>
              <w:topLinePunct w:val="0"/>
              <w:bidi w:val="0"/>
              <w:rPr>
                <w:rFonts w:hint="eastAsia" w:ascii="宋体" w:hAnsi="宋体" w:eastAsia="宋体" w:cs="宋体"/>
                <w:color w:val="auto"/>
                <w:sz w:val="28"/>
                <w:szCs w:val="28"/>
                <w:highlight w:val="none"/>
              </w:rPr>
            </w:pPr>
          </w:p>
        </w:tc>
        <w:tc>
          <w:tcPr>
            <w:tcW w:w="2227" w:type="dxa"/>
            <w:noWrap w:val="0"/>
            <w:vAlign w:val="top"/>
          </w:tcPr>
          <w:p w14:paraId="2DE1AF4E">
            <w:pPr>
              <w:pageBreakBefore w:val="0"/>
              <w:widowControl w:val="0"/>
              <w:wordWrap/>
              <w:topLinePunct w:val="0"/>
              <w:bidi w:val="0"/>
              <w:rPr>
                <w:rFonts w:hint="eastAsia" w:ascii="宋体" w:hAnsi="宋体" w:eastAsia="宋体" w:cs="宋体"/>
                <w:color w:val="auto"/>
                <w:sz w:val="28"/>
                <w:szCs w:val="28"/>
                <w:highlight w:val="none"/>
              </w:rPr>
            </w:pPr>
          </w:p>
        </w:tc>
        <w:tc>
          <w:tcPr>
            <w:tcW w:w="1600" w:type="dxa"/>
            <w:noWrap w:val="0"/>
            <w:vAlign w:val="top"/>
          </w:tcPr>
          <w:p w14:paraId="1C6B482B">
            <w:pPr>
              <w:pageBreakBefore w:val="0"/>
              <w:widowControl w:val="0"/>
              <w:wordWrap/>
              <w:topLinePunct w:val="0"/>
              <w:bidi w:val="0"/>
              <w:rPr>
                <w:rFonts w:hint="eastAsia" w:ascii="宋体" w:hAnsi="宋体" w:eastAsia="宋体" w:cs="宋体"/>
                <w:color w:val="auto"/>
                <w:sz w:val="28"/>
                <w:szCs w:val="28"/>
                <w:highlight w:val="none"/>
              </w:rPr>
            </w:pPr>
          </w:p>
        </w:tc>
        <w:tc>
          <w:tcPr>
            <w:tcW w:w="1134" w:type="dxa"/>
            <w:noWrap w:val="0"/>
            <w:vAlign w:val="top"/>
          </w:tcPr>
          <w:p w14:paraId="3D1C93AA">
            <w:pPr>
              <w:pageBreakBefore w:val="0"/>
              <w:widowControl w:val="0"/>
              <w:wordWrap/>
              <w:topLinePunct w:val="0"/>
              <w:bidi w:val="0"/>
              <w:rPr>
                <w:rFonts w:hint="eastAsia" w:ascii="宋体" w:hAnsi="宋体" w:eastAsia="宋体" w:cs="宋体"/>
                <w:color w:val="auto"/>
                <w:sz w:val="28"/>
                <w:szCs w:val="28"/>
                <w:highlight w:val="none"/>
              </w:rPr>
            </w:pPr>
          </w:p>
        </w:tc>
      </w:tr>
    </w:tbl>
    <w:p w14:paraId="0B3CAFFD">
      <w:pPr>
        <w:pageBreakBefore w:val="0"/>
        <w:widowControl w:val="0"/>
        <w:wordWrap/>
        <w:topLinePunct w:val="0"/>
        <w:bidi w:val="0"/>
        <w:rPr>
          <w:rFonts w:hint="eastAsia" w:ascii="宋体" w:hAnsi="宋体" w:eastAsia="宋体" w:cs="宋体"/>
          <w:color w:val="auto"/>
          <w:sz w:val="28"/>
          <w:szCs w:val="28"/>
          <w:highlight w:val="none"/>
        </w:rPr>
      </w:pPr>
    </w:p>
    <w:p w14:paraId="0F36B575">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注：与招标文件要求逐条对应填写。</w:t>
      </w:r>
    </w:p>
    <w:p w14:paraId="619DCD52">
      <w:pPr>
        <w:pageBreakBefore w:val="0"/>
        <w:widowControl w:val="0"/>
        <w:wordWrap/>
        <w:topLinePunct w:val="0"/>
        <w:bidi w:val="0"/>
        <w:rPr>
          <w:rFonts w:hint="eastAsia" w:ascii="宋体" w:hAnsi="宋体" w:eastAsia="宋体" w:cs="宋体"/>
          <w:color w:val="auto"/>
          <w:sz w:val="28"/>
          <w:szCs w:val="28"/>
          <w:highlight w:val="none"/>
        </w:rPr>
      </w:pPr>
    </w:p>
    <w:p w14:paraId="387C52F6">
      <w:pPr>
        <w:pageBreakBefore w:val="0"/>
        <w:widowControl w:val="0"/>
        <w:wordWrap/>
        <w:topLinePunct w:val="0"/>
        <w:bidi w:val="0"/>
        <w:spacing w:before="100" w:beforeAutospacing="1" w:after="100" w:afterAutospacing="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投标单位： </w:t>
      </w:r>
      <w:r>
        <w:rPr>
          <w:rFonts w:hint="eastAsia" w:ascii="宋体" w:hAnsi="宋体" w:eastAsia="宋体" w:cs="宋体"/>
          <w:color w:val="auto"/>
          <w:sz w:val="28"/>
          <w:szCs w:val="28"/>
          <w:highlight w:val="none"/>
          <w:u w:val="single"/>
        </w:rPr>
        <w:t xml:space="preserve">                       （公章）   </w:t>
      </w:r>
    </w:p>
    <w:p w14:paraId="1B8FB377">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法定代表人或授权代表人（</w:t>
      </w:r>
      <w:r>
        <w:rPr>
          <w:rFonts w:hint="eastAsia" w:ascii="宋体" w:hAnsi="宋体" w:eastAsia="宋体" w:cs="宋体"/>
          <w:color w:val="auto"/>
          <w:sz w:val="28"/>
          <w:szCs w:val="28"/>
          <w:highlight w:val="none"/>
          <w:lang w:eastAsia="zh-CN"/>
        </w:rPr>
        <w:t>签字</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w:t>
      </w:r>
    </w:p>
    <w:p w14:paraId="690E6A63">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0508B421">
      <w:pPr>
        <w:pageBreakBefore w:val="0"/>
        <w:widowControl w:val="0"/>
        <w:wordWrap/>
        <w:topLinePunct w:val="0"/>
        <w:bidi w:val="0"/>
        <w:rPr>
          <w:rFonts w:hint="eastAsia" w:ascii="宋体" w:hAnsi="宋体" w:eastAsia="宋体" w:cs="宋体"/>
          <w:color w:val="auto"/>
          <w:sz w:val="28"/>
          <w:szCs w:val="28"/>
          <w:highlight w:val="none"/>
        </w:rPr>
      </w:pPr>
    </w:p>
    <w:p w14:paraId="712FFA94">
      <w:pPr>
        <w:pageBreakBefore w:val="0"/>
        <w:widowControl w:val="0"/>
        <w:wordWrap/>
        <w:topLinePunct w:val="0"/>
        <w:bidi w:val="0"/>
        <w:rPr>
          <w:rFonts w:hint="eastAsia" w:ascii="宋体" w:hAnsi="宋体" w:eastAsia="宋体" w:cs="宋体"/>
          <w:color w:val="auto"/>
          <w:sz w:val="28"/>
          <w:szCs w:val="28"/>
          <w:highlight w:val="none"/>
        </w:rPr>
      </w:pPr>
    </w:p>
    <w:p w14:paraId="26F10342">
      <w:pPr>
        <w:pageBreakBefore w:val="0"/>
        <w:widowControl w:val="0"/>
        <w:wordWrap/>
        <w:topLinePunct w:val="0"/>
        <w:bidi w:val="0"/>
        <w:rPr>
          <w:rFonts w:hint="eastAsia" w:ascii="宋体" w:hAnsi="宋体" w:eastAsia="宋体" w:cs="宋体"/>
          <w:color w:val="auto"/>
          <w:sz w:val="28"/>
          <w:szCs w:val="28"/>
          <w:highlight w:val="none"/>
        </w:rPr>
      </w:pPr>
    </w:p>
    <w:p w14:paraId="1BEB4CBA">
      <w:pPr>
        <w:pageBreakBefore w:val="0"/>
        <w:widowControl w:val="0"/>
        <w:wordWrap/>
        <w:topLinePunct w:val="0"/>
        <w:bidi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日期：   年   月   日</w:t>
      </w:r>
    </w:p>
    <w:p w14:paraId="35971A9C">
      <w:pPr>
        <w:pStyle w:val="40"/>
        <w:pageBreakBefore w:val="0"/>
        <w:widowControl w:val="0"/>
        <w:wordWrap/>
        <w:topLinePunct w:val="0"/>
        <w:bidi w:val="0"/>
        <w:rPr>
          <w:rFonts w:hint="eastAsia"/>
          <w:highlight w:val="none"/>
        </w:rPr>
      </w:pPr>
    </w:p>
    <w:p w14:paraId="676B728E">
      <w:pPr>
        <w:pStyle w:val="43"/>
        <w:pageBreakBefore w:val="0"/>
        <w:widowControl w:val="0"/>
        <w:wordWrap/>
        <w:topLinePunct w:val="0"/>
        <w:bidi w:val="0"/>
        <w:ind w:left="0" w:leftChars="0" w:firstLine="0" w:firstLineChars="0"/>
        <w:rPr>
          <w:rFonts w:hint="eastAsia"/>
          <w:highlight w:val="none"/>
        </w:rPr>
      </w:pPr>
    </w:p>
    <w:p w14:paraId="39BA53DD">
      <w:pPr>
        <w:pStyle w:val="4"/>
        <w:pageBreakBefore w:val="0"/>
        <w:widowControl w:val="0"/>
        <w:wordWrap/>
        <w:topLinePunct w:val="0"/>
        <w:bidi w:val="0"/>
        <w:jc w:val="center"/>
        <w:outlineLvl w:val="0"/>
        <w:rPr>
          <w:rFonts w:hint="eastAsia" w:ascii="宋体" w:hAnsi="宋体" w:eastAsia="宋体" w:cs="宋体"/>
          <w:sz w:val="28"/>
          <w:szCs w:val="28"/>
          <w:highlight w:val="none"/>
        </w:rPr>
      </w:pPr>
      <w:bookmarkStart w:id="204" w:name="_Toc15862"/>
      <w:bookmarkStart w:id="205" w:name="_Toc12006"/>
      <w:r>
        <w:rPr>
          <w:rFonts w:hint="eastAsia" w:ascii="宋体" w:hAnsi="宋体" w:eastAsia="宋体" w:cs="宋体"/>
          <w:sz w:val="28"/>
          <w:szCs w:val="28"/>
          <w:highlight w:val="none"/>
          <w:lang w:val="en-US" w:eastAsia="zh-CN"/>
        </w:rPr>
        <w:t>26</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中小企业声明函（如是）</w:t>
      </w:r>
      <w:bookmarkEnd w:id="204"/>
      <w:bookmarkEnd w:id="205"/>
    </w:p>
    <w:p w14:paraId="104600D8">
      <w:pPr>
        <w:keepNext w:val="0"/>
        <w:keepLines w:val="0"/>
        <w:pageBreakBefore w:val="0"/>
        <w:widowControl/>
        <w:kinsoku/>
        <w:overflowPunct/>
        <w:topLinePunct w:val="0"/>
        <w:autoSpaceDE/>
        <w:autoSpaceDN/>
        <w:bidi w:val="0"/>
        <w:adjustRightInd/>
        <w:snapToGrid/>
        <w:spacing w:line="240" w:lineRule="auto"/>
        <w:ind w:right="0" w:firstLine="560" w:firstLineChars="200"/>
        <w:jc w:val="center"/>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中小企业声明函（货物）</w:t>
      </w:r>
    </w:p>
    <w:p w14:paraId="6936CE1D">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本公司（联合体） 郑重声明， 根据《政府采购促进中小企业发展管理办法》（财库﹝2020﹞ 46号）的规定，本公司（联合体）参加</w:t>
      </w:r>
      <w:r>
        <w:rPr>
          <w:rFonts w:hint="eastAsia" w:ascii="宋体" w:hAnsi="宋体" w:eastAsia="宋体" w:cs="宋体"/>
          <w:bCs/>
          <w:color w:val="auto"/>
          <w:kern w:val="0"/>
          <w:sz w:val="28"/>
          <w:szCs w:val="28"/>
          <w:u w:val="single"/>
        </w:rPr>
        <w:t>（单位名称）</w:t>
      </w:r>
      <w:r>
        <w:rPr>
          <w:rFonts w:hint="eastAsia" w:ascii="宋体" w:hAnsi="宋体" w:eastAsia="宋体" w:cs="宋体"/>
          <w:bCs/>
          <w:color w:val="auto"/>
          <w:kern w:val="0"/>
          <w:sz w:val="28"/>
          <w:szCs w:val="28"/>
        </w:rPr>
        <w:t xml:space="preserve"> 的</w:t>
      </w:r>
      <w:r>
        <w:rPr>
          <w:rFonts w:hint="eastAsia" w:ascii="宋体" w:hAnsi="宋体" w:eastAsia="宋体" w:cs="宋体"/>
          <w:bCs/>
          <w:color w:val="auto"/>
          <w:kern w:val="0"/>
          <w:sz w:val="28"/>
          <w:szCs w:val="28"/>
          <w:u w:val="single"/>
        </w:rPr>
        <w:t>（项目名称）</w:t>
      </w:r>
      <w:r>
        <w:rPr>
          <w:rFonts w:hint="eastAsia" w:ascii="宋体" w:hAnsi="宋体" w:eastAsia="宋体" w:cs="宋体"/>
          <w:bCs/>
          <w:color w:val="auto"/>
          <w:kern w:val="0"/>
          <w:sz w:val="28"/>
          <w:szCs w:val="28"/>
        </w:rPr>
        <w:t xml:space="preserve"> 采购活动， 提供的货物全部由符合政策要求的中小企业制造。相关企业（含联合体中的中小企业、 签订分包意向协议的中小企业）的具体情况如下：</w:t>
      </w:r>
    </w:p>
    <w:p w14:paraId="34CF4C03">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 xml:space="preserve">1. </w:t>
      </w:r>
      <w:r>
        <w:rPr>
          <w:rFonts w:hint="eastAsia" w:ascii="宋体" w:hAnsi="宋体" w:eastAsia="宋体" w:cs="宋体"/>
          <w:bCs/>
          <w:color w:val="auto"/>
          <w:kern w:val="0"/>
          <w:sz w:val="28"/>
          <w:szCs w:val="28"/>
          <w:u w:val="single"/>
        </w:rPr>
        <w:t>（标的名称）</w:t>
      </w:r>
      <w:r>
        <w:rPr>
          <w:rFonts w:hint="eastAsia" w:ascii="宋体" w:hAnsi="宋体" w:eastAsia="宋体" w:cs="宋体"/>
          <w:bCs/>
          <w:color w:val="auto"/>
          <w:kern w:val="0"/>
          <w:sz w:val="28"/>
          <w:szCs w:val="28"/>
        </w:rPr>
        <w:t xml:space="preserve"> ， 属于</w:t>
      </w:r>
      <w:r>
        <w:rPr>
          <w:rFonts w:hint="eastAsia" w:ascii="宋体" w:hAnsi="宋体" w:eastAsia="宋体" w:cs="宋体"/>
          <w:bCs/>
          <w:color w:val="auto"/>
          <w:kern w:val="0"/>
          <w:sz w:val="28"/>
          <w:szCs w:val="28"/>
          <w:u w:val="single"/>
        </w:rPr>
        <w:t>（采购文件中明确的所属行业）行业</w:t>
      </w:r>
      <w:r>
        <w:rPr>
          <w:rFonts w:hint="eastAsia" w:ascii="宋体" w:hAnsi="宋体" w:eastAsia="宋体" w:cs="宋体"/>
          <w:bCs/>
          <w:color w:val="auto"/>
          <w:kern w:val="0"/>
          <w:sz w:val="28"/>
          <w:szCs w:val="28"/>
        </w:rPr>
        <w:t>； 制造商为</w:t>
      </w:r>
      <w:r>
        <w:rPr>
          <w:rFonts w:hint="eastAsia" w:ascii="宋体" w:hAnsi="宋体" w:eastAsia="宋体" w:cs="宋体"/>
          <w:bCs/>
          <w:color w:val="auto"/>
          <w:kern w:val="0"/>
          <w:sz w:val="28"/>
          <w:szCs w:val="28"/>
          <w:u w:val="single"/>
        </w:rPr>
        <w:t>（ 企业名称）</w:t>
      </w:r>
      <w:r>
        <w:rPr>
          <w:rFonts w:hint="eastAsia" w:ascii="宋体" w:hAnsi="宋体" w:eastAsia="宋体" w:cs="宋体"/>
          <w:bCs/>
          <w:color w:val="auto"/>
          <w:kern w:val="0"/>
          <w:sz w:val="28"/>
          <w:szCs w:val="28"/>
        </w:rPr>
        <w:t>， 从业人员</w:t>
      </w:r>
      <w:r>
        <w:rPr>
          <w:rFonts w:hint="eastAsia" w:ascii="宋体" w:hAnsi="宋体" w:eastAsia="宋体" w:cs="宋体"/>
          <w:bCs/>
          <w:color w:val="auto"/>
          <w:kern w:val="0"/>
          <w:sz w:val="28"/>
          <w:szCs w:val="28"/>
          <w:u w:val="single"/>
        </w:rPr>
        <w:t xml:space="preserve">      </w:t>
      </w:r>
      <w:r>
        <w:rPr>
          <w:rFonts w:hint="eastAsia" w:ascii="宋体" w:hAnsi="宋体" w:eastAsia="宋体" w:cs="宋体"/>
          <w:bCs/>
          <w:color w:val="auto"/>
          <w:kern w:val="0"/>
          <w:sz w:val="28"/>
          <w:szCs w:val="28"/>
        </w:rPr>
        <w:t>人， 营业收入为</w:t>
      </w:r>
      <w:r>
        <w:rPr>
          <w:rFonts w:hint="eastAsia" w:ascii="宋体" w:hAnsi="宋体" w:eastAsia="宋体" w:cs="宋体"/>
          <w:bCs/>
          <w:color w:val="auto"/>
          <w:kern w:val="0"/>
          <w:sz w:val="28"/>
          <w:szCs w:val="28"/>
          <w:u w:val="single"/>
        </w:rPr>
        <w:t xml:space="preserve">     </w:t>
      </w:r>
      <w:r>
        <w:rPr>
          <w:rFonts w:hint="eastAsia" w:ascii="宋体" w:hAnsi="宋体" w:eastAsia="宋体" w:cs="宋体"/>
          <w:bCs/>
          <w:color w:val="auto"/>
          <w:kern w:val="0"/>
          <w:sz w:val="28"/>
          <w:szCs w:val="28"/>
        </w:rPr>
        <w:t>万元， 资产总额为</w:t>
      </w:r>
      <w:r>
        <w:rPr>
          <w:rFonts w:hint="eastAsia" w:ascii="宋体" w:hAnsi="宋体" w:eastAsia="宋体" w:cs="宋体"/>
          <w:bCs/>
          <w:color w:val="auto"/>
          <w:kern w:val="0"/>
          <w:sz w:val="28"/>
          <w:szCs w:val="28"/>
          <w:u w:val="single"/>
        </w:rPr>
        <w:t xml:space="preserve">      </w:t>
      </w:r>
      <w:r>
        <w:rPr>
          <w:rFonts w:hint="eastAsia" w:ascii="宋体" w:hAnsi="宋体" w:eastAsia="宋体" w:cs="宋体"/>
          <w:bCs/>
          <w:color w:val="auto"/>
          <w:kern w:val="0"/>
          <w:sz w:val="28"/>
          <w:szCs w:val="28"/>
        </w:rPr>
        <w:t>万元</w:t>
      </w:r>
      <w:r>
        <w:rPr>
          <w:rFonts w:hint="eastAsia" w:ascii="宋体" w:hAnsi="宋体" w:eastAsia="宋体" w:cs="宋体"/>
          <w:bCs/>
          <w:color w:val="auto"/>
          <w:kern w:val="0"/>
          <w:sz w:val="28"/>
          <w:szCs w:val="28"/>
          <w:vertAlign w:val="superscript"/>
        </w:rPr>
        <w:t>1</w:t>
      </w:r>
      <w:r>
        <w:rPr>
          <w:rFonts w:hint="eastAsia" w:ascii="宋体" w:hAnsi="宋体" w:eastAsia="宋体" w:cs="宋体"/>
          <w:bCs/>
          <w:color w:val="auto"/>
          <w:kern w:val="0"/>
          <w:sz w:val="28"/>
          <w:szCs w:val="28"/>
        </w:rPr>
        <w:t>， 属于（</w:t>
      </w:r>
      <w:r>
        <w:rPr>
          <w:rFonts w:hint="eastAsia" w:ascii="宋体" w:hAnsi="宋体" w:eastAsia="宋体" w:cs="宋体"/>
          <w:bCs/>
          <w:color w:val="auto"/>
          <w:kern w:val="0"/>
          <w:sz w:val="28"/>
          <w:szCs w:val="28"/>
          <w:u w:val="single"/>
        </w:rPr>
        <w:t>中型企业、 小型企业、 微型企业</w:t>
      </w:r>
      <w:r>
        <w:rPr>
          <w:rFonts w:hint="eastAsia" w:ascii="宋体" w:hAnsi="宋体" w:eastAsia="宋体" w:cs="宋体"/>
          <w:bCs/>
          <w:color w:val="auto"/>
          <w:kern w:val="0"/>
          <w:sz w:val="28"/>
          <w:szCs w:val="28"/>
        </w:rPr>
        <w:t>）；</w:t>
      </w:r>
    </w:p>
    <w:p w14:paraId="3A3A17DA">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 xml:space="preserve">2. </w:t>
      </w:r>
      <w:r>
        <w:rPr>
          <w:rFonts w:hint="eastAsia" w:ascii="宋体" w:hAnsi="宋体" w:eastAsia="宋体" w:cs="宋体"/>
          <w:bCs/>
          <w:color w:val="auto"/>
          <w:kern w:val="0"/>
          <w:sz w:val="28"/>
          <w:szCs w:val="28"/>
          <w:u w:val="single"/>
        </w:rPr>
        <w:t>（标的名称）</w:t>
      </w:r>
      <w:r>
        <w:rPr>
          <w:rFonts w:hint="eastAsia" w:ascii="宋体" w:hAnsi="宋体" w:eastAsia="宋体" w:cs="宋体"/>
          <w:bCs/>
          <w:color w:val="auto"/>
          <w:kern w:val="0"/>
          <w:sz w:val="28"/>
          <w:szCs w:val="28"/>
        </w:rPr>
        <w:t xml:space="preserve"> ， 属于</w:t>
      </w:r>
      <w:r>
        <w:rPr>
          <w:rFonts w:hint="eastAsia" w:ascii="宋体" w:hAnsi="宋体" w:eastAsia="宋体" w:cs="宋体"/>
          <w:bCs/>
          <w:color w:val="auto"/>
          <w:kern w:val="0"/>
          <w:sz w:val="28"/>
          <w:szCs w:val="28"/>
          <w:u w:val="single"/>
        </w:rPr>
        <w:t>（采购文件中明确的所属行业）</w:t>
      </w:r>
      <w:r>
        <w:rPr>
          <w:rFonts w:hint="eastAsia" w:ascii="宋体" w:hAnsi="宋体" w:eastAsia="宋体" w:cs="宋体"/>
          <w:bCs/>
          <w:color w:val="auto"/>
          <w:kern w:val="0"/>
          <w:sz w:val="28"/>
          <w:szCs w:val="28"/>
        </w:rPr>
        <w:t>行业； 制造商为</w:t>
      </w:r>
      <w:r>
        <w:rPr>
          <w:rFonts w:hint="eastAsia" w:ascii="宋体" w:hAnsi="宋体" w:eastAsia="宋体" w:cs="宋体"/>
          <w:bCs/>
          <w:color w:val="auto"/>
          <w:kern w:val="0"/>
          <w:sz w:val="28"/>
          <w:szCs w:val="28"/>
          <w:u w:val="single"/>
        </w:rPr>
        <w:t>（ 企业名称）</w:t>
      </w:r>
      <w:r>
        <w:rPr>
          <w:rFonts w:hint="eastAsia" w:ascii="宋体" w:hAnsi="宋体" w:eastAsia="宋体" w:cs="宋体"/>
          <w:bCs/>
          <w:color w:val="auto"/>
          <w:kern w:val="0"/>
          <w:sz w:val="28"/>
          <w:szCs w:val="28"/>
        </w:rPr>
        <w:t>， 从业人员</w:t>
      </w:r>
      <w:r>
        <w:rPr>
          <w:rFonts w:hint="eastAsia" w:ascii="宋体" w:hAnsi="宋体" w:eastAsia="宋体" w:cs="宋体"/>
          <w:bCs/>
          <w:color w:val="auto"/>
          <w:kern w:val="0"/>
          <w:sz w:val="28"/>
          <w:szCs w:val="28"/>
          <w:u w:val="single"/>
        </w:rPr>
        <w:t xml:space="preserve">      </w:t>
      </w:r>
      <w:r>
        <w:rPr>
          <w:rFonts w:hint="eastAsia" w:ascii="宋体" w:hAnsi="宋体" w:eastAsia="宋体" w:cs="宋体"/>
          <w:bCs/>
          <w:color w:val="auto"/>
          <w:kern w:val="0"/>
          <w:sz w:val="28"/>
          <w:szCs w:val="28"/>
        </w:rPr>
        <w:t>人， 营业收为</w:t>
      </w:r>
      <w:r>
        <w:rPr>
          <w:rFonts w:hint="eastAsia" w:ascii="宋体" w:hAnsi="宋体" w:eastAsia="宋体" w:cs="宋体"/>
          <w:bCs/>
          <w:color w:val="auto"/>
          <w:kern w:val="0"/>
          <w:sz w:val="28"/>
          <w:szCs w:val="28"/>
          <w:u w:val="single"/>
        </w:rPr>
        <w:t xml:space="preserve">      </w:t>
      </w:r>
      <w:r>
        <w:rPr>
          <w:rFonts w:hint="eastAsia" w:ascii="宋体" w:hAnsi="宋体" w:eastAsia="宋体" w:cs="宋体"/>
          <w:bCs/>
          <w:color w:val="auto"/>
          <w:kern w:val="0"/>
          <w:sz w:val="28"/>
          <w:szCs w:val="28"/>
        </w:rPr>
        <w:t>万元， 资产总额为</w:t>
      </w:r>
      <w:r>
        <w:rPr>
          <w:rFonts w:hint="eastAsia" w:ascii="宋体" w:hAnsi="宋体" w:eastAsia="宋体" w:cs="宋体"/>
          <w:bCs/>
          <w:color w:val="auto"/>
          <w:kern w:val="0"/>
          <w:sz w:val="28"/>
          <w:szCs w:val="28"/>
          <w:u w:val="single"/>
        </w:rPr>
        <w:t xml:space="preserve">   </w:t>
      </w:r>
      <w:r>
        <w:rPr>
          <w:rFonts w:hint="eastAsia" w:ascii="宋体" w:hAnsi="宋体" w:eastAsia="宋体" w:cs="宋体"/>
          <w:bCs/>
          <w:color w:val="auto"/>
          <w:kern w:val="0"/>
          <w:sz w:val="28"/>
          <w:szCs w:val="28"/>
        </w:rPr>
        <w:t>万元， 属于</w:t>
      </w:r>
      <w:r>
        <w:rPr>
          <w:rFonts w:hint="eastAsia" w:ascii="宋体" w:hAnsi="宋体" w:eastAsia="宋体" w:cs="宋体"/>
          <w:bCs/>
          <w:color w:val="auto"/>
          <w:kern w:val="0"/>
          <w:sz w:val="28"/>
          <w:szCs w:val="28"/>
          <w:u w:val="single"/>
        </w:rPr>
        <w:t>（中型企业、 小型企业、 微型企业）</w:t>
      </w:r>
      <w:r>
        <w:rPr>
          <w:rFonts w:hint="eastAsia" w:ascii="宋体" w:hAnsi="宋体" w:eastAsia="宋体" w:cs="宋体"/>
          <w:bCs/>
          <w:color w:val="auto"/>
          <w:kern w:val="0"/>
          <w:sz w:val="28"/>
          <w:szCs w:val="28"/>
        </w:rPr>
        <w:t>；</w:t>
      </w:r>
    </w:p>
    <w:p w14:paraId="20F3BECB">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w:t>
      </w:r>
    </w:p>
    <w:p w14:paraId="54E2338F">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以上企业， 不属于大企业的分支机构， 不存在控股股东为大企业的情形， 也不存在与大企业的负责人为同一人的情形。</w:t>
      </w:r>
    </w:p>
    <w:p w14:paraId="6D94A609">
      <w:pPr>
        <w:keepNext w:val="0"/>
        <w:keepLines w:val="0"/>
        <w:pageBreakBefore w:val="0"/>
        <w:widowControl/>
        <w:kinsoku/>
        <w:overflowPunct/>
        <w:topLinePunct w:val="0"/>
        <w:autoSpaceDE/>
        <w:autoSpaceDN/>
        <w:bidi w:val="0"/>
        <w:adjustRightInd/>
        <w:snapToGrid/>
        <w:spacing w:line="240" w:lineRule="auto"/>
        <w:ind w:right="0" w:firstLine="560" w:firstLineChars="200"/>
        <w:jc w:val="left"/>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本企业对上述声明内容的真实性负责。 如有虚假， 将依法承担相应责任。</w:t>
      </w:r>
    </w:p>
    <w:p w14:paraId="6401711B">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right"/>
        <w:textAlignment w:val="auto"/>
        <w:rPr>
          <w:rFonts w:hint="eastAsia" w:ascii="宋体" w:hAnsi="宋体" w:eastAsia="宋体" w:cs="宋体"/>
          <w:bCs/>
          <w:color w:val="auto"/>
          <w:kern w:val="0"/>
          <w:sz w:val="28"/>
          <w:szCs w:val="28"/>
        </w:rPr>
      </w:pPr>
    </w:p>
    <w:p w14:paraId="75AF2849">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right"/>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rPr>
        <w:t xml:space="preserve">企业名称（盖章）：        </w:t>
      </w:r>
    </w:p>
    <w:p w14:paraId="55BA1803">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right"/>
        <w:textAlignment w:val="auto"/>
        <w:rPr>
          <w:rFonts w:hint="eastAsia" w:ascii="宋体" w:hAnsi="宋体" w:eastAsia="宋体" w:cs="宋体"/>
          <w:bCs/>
          <w:color w:val="auto"/>
          <w:kern w:val="0"/>
          <w:sz w:val="28"/>
          <w:szCs w:val="28"/>
        </w:rPr>
      </w:pPr>
    </w:p>
    <w:p w14:paraId="0ABBFB41">
      <w:pPr>
        <w:keepNext w:val="0"/>
        <w:keepLines w:val="0"/>
        <w:pageBreakBefore w:val="0"/>
        <w:widowControl/>
        <w:kinsoku/>
        <w:wordWrap w:val="0"/>
        <w:overflowPunct/>
        <w:topLinePunct w:val="0"/>
        <w:autoSpaceDE/>
        <w:autoSpaceDN/>
        <w:bidi w:val="0"/>
        <w:adjustRightInd/>
        <w:snapToGrid/>
        <w:spacing w:line="240" w:lineRule="auto"/>
        <w:ind w:right="0" w:firstLine="560" w:firstLineChars="200"/>
        <w:jc w:val="center"/>
        <w:textAlignment w:val="auto"/>
        <w:rPr>
          <w:rFonts w:hint="eastAsia" w:ascii="宋体" w:hAnsi="宋体" w:eastAsia="宋体" w:cs="宋体"/>
          <w:bCs/>
          <w:color w:val="auto"/>
          <w:kern w:val="0"/>
          <w:sz w:val="28"/>
          <w:szCs w:val="28"/>
        </w:rPr>
      </w:pPr>
      <w:r>
        <w:rPr>
          <w:rFonts w:hint="eastAsia" w:ascii="宋体" w:hAnsi="宋体" w:eastAsia="宋体" w:cs="宋体"/>
          <w:bCs/>
          <w:color w:val="auto"/>
          <w:kern w:val="0"/>
          <w:sz w:val="28"/>
          <w:szCs w:val="28"/>
          <w:lang w:val="en-US" w:eastAsia="zh-CN"/>
        </w:rPr>
        <w:t xml:space="preserve">                 </w:t>
      </w:r>
      <w:r>
        <w:rPr>
          <w:rFonts w:hint="eastAsia" w:ascii="宋体" w:hAnsi="宋体" w:eastAsia="宋体" w:cs="宋体"/>
          <w:bCs/>
          <w:color w:val="auto"/>
          <w:kern w:val="0"/>
          <w:sz w:val="28"/>
          <w:szCs w:val="28"/>
        </w:rPr>
        <w:t xml:space="preserve">日 期：      </w:t>
      </w:r>
    </w:p>
    <w:p w14:paraId="69DB0FDA">
      <w:pPr>
        <w:keepNext w:val="0"/>
        <w:keepLines w:val="0"/>
        <w:pageBreakBefore w:val="0"/>
        <w:kinsoku/>
        <w:overflowPunct/>
        <w:topLinePunct w:val="0"/>
        <w:autoSpaceDE/>
        <w:autoSpaceDN/>
        <w:bidi w:val="0"/>
        <w:adjustRightInd/>
        <w:snapToGrid/>
        <w:spacing w:line="240" w:lineRule="auto"/>
        <w:ind w:right="0" w:firstLine="560" w:firstLineChars="200"/>
        <w:textAlignment w:val="auto"/>
        <w:rPr>
          <w:rFonts w:hint="eastAsia" w:ascii="宋体" w:hAnsi="宋体" w:eastAsia="宋体" w:cs="宋体"/>
          <w:b w:val="0"/>
          <w:bCs/>
          <w:color w:val="auto"/>
          <w:kern w:val="0"/>
          <w:sz w:val="28"/>
          <w:szCs w:val="28"/>
          <w:highlight w:val="none"/>
          <w:lang w:eastAsia="zh-CN"/>
        </w:rPr>
      </w:pPr>
    </w:p>
    <w:p w14:paraId="52BBAD1B">
      <w:pPr>
        <w:keepNext w:val="0"/>
        <w:keepLines w:val="0"/>
        <w:pageBreakBefore w:val="0"/>
        <w:kinsoku/>
        <w:overflowPunct/>
        <w:topLinePunct w:val="0"/>
        <w:autoSpaceDE/>
        <w:autoSpaceDN/>
        <w:bidi w:val="0"/>
        <w:adjustRightInd/>
        <w:snapToGrid/>
        <w:spacing w:line="240" w:lineRule="auto"/>
        <w:ind w:right="0" w:firstLine="560" w:firstLineChars="200"/>
        <w:textAlignment w:val="auto"/>
        <w:rPr>
          <w:rFonts w:hint="eastAsia" w:ascii="宋体" w:hAnsi="宋体" w:eastAsia="宋体" w:cs="宋体"/>
          <w:b w:val="0"/>
          <w:bCs/>
          <w:color w:val="auto"/>
          <w:kern w:val="0"/>
          <w:sz w:val="28"/>
          <w:szCs w:val="28"/>
          <w:highlight w:val="none"/>
          <w:lang w:eastAsia="zh-CN"/>
        </w:rPr>
      </w:pPr>
    </w:p>
    <w:p w14:paraId="594423A7">
      <w:pPr>
        <w:keepNext w:val="0"/>
        <w:keepLines w:val="0"/>
        <w:pageBreakBefore w:val="0"/>
        <w:kinsoku/>
        <w:overflowPunct/>
        <w:topLinePunct w:val="0"/>
        <w:autoSpaceDE/>
        <w:autoSpaceDN/>
        <w:bidi w:val="0"/>
        <w:adjustRightInd/>
        <w:snapToGrid/>
        <w:spacing w:line="240" w:lineRule="auto"/>
        <w:ind w:right="0" w:firstLine="560" w:firstLineChars="200"/>
        <w:textAlignment w:val="auto"/>
        <w:rPr>
          <w:rFonts w:hint="eastAsia" w:ascii="宋体" w:hAnsi="宋体" w:eastAsia="宋体" w:cs="宋体"/>
          <w:b w:val="0"/>
          <w:bCs/>
          <w:color w:val="auto"/>
          <w:kern w:val="0"/>
          <w:sz w:val="28"/>
          <w:szCs w:val="28"/>
          <w:highlight w:val="none"/>
          <w:lang w:val="en-US" w:eastAsia="zh-CN"/>
        </w:rPr>
      </w:pPr>
      <w:r>
        <w:rPr>
          <w:rFonts w:hint="eastAsia" w:ascii="宋体" w:hAnsi="宋体" w:eastAsia="宋体" w:cs="宋体"/>
          <w:b w:val="0"/>
          <w:bCs/>
          <w:color w:val="auto"/>
          <w:kern w:val="0"/>
          <w:sz w:val="28"/>
          <w:szCs w:val="28"/>
          <w:highlight w:val="none"/>
          <w:lang w:eastAsia="zh-CN"/>
        </w:rPr>
        <w:t>注：</w:t>
      </w:r>
      <w:r>
        <w:rPr>
          <w:rFonts w:hint="eastAsia" w:ascii="宋体" w:hAnsi="宋体" w:eastAsia="宋体" w:cs="宋体"/>
          <w:b w:val="0"/>
          <w:bCs/>
          <w:color w:val="auto"/>
          <w:kern w:val="0"/>
          <w:sz w:val="28"/>
          <w:szCs w:val="28"/>
          <w:highlight w:val="none"/>
        </w:rPr>
        <w:t xml:space="preserve">从业人员、 营业收入、 资产总额填报上一年度数据， 无上一年度数据的新成立企业可不填报。（若响应文件中无上述文件，则在评审时不考虑对该小、微企业的相关优惠。） </w:t>
      </w:r>
    </w:p>
    <w:p w14:paraId="6B2503B6">
      <w:pPr>
        <w:spacing w:line="360" w:lineRule="auto"/>
        <w:ind w:firstLine="480" w:firstLineChars="200"/>
        <w:rPr>
          <w:rFonts w:hint="default" w:ascii="Times New Roman" w:hAnsi="Times New Roman" w:eastAsia="仿宋" w:cs="Times New Roman"/>
          <w:bCs/>
          <w:color w:val="auto"/>
          <w:kern w:val="0"/>
          <w:sz w:val="24"/>
          <w:szCs w:val="24"/>
        </w:rPr>
      </w:pPr>
      <w:r>
        <w:rPr>
          <w:rFonts w:hint="default" w:ascii="Times New Roman" w:hAnsi="Times New Roman" w:eastAsia="仿宋" w:cs="Times New Roman"/>
          <w:bCs/>
          <w:color w:val="auto"/>
          <w:kern w:val="0"/>
          <w:sz w:val="24"/>
          <w:szCs w:val="24"/>
        </w:rPr>
        <w:t xml:space="preserve"> </w:t>
      </w:r>
    </w:p>
    <w:p w14:paraId="448C4E61">
      <w:pPr>
        <w:pStyle w:val="43"/>
        <w:pageBreakBefore w:val="0"/>
        <w:widowControl w:val="0"/>
        <w:wordWrap/>
        <w:topLinePunct w:val="0"/>
        <w:bidi w:val="0"/>
        <w:rPr>
          <w:rFonts w:hint="eastAsia" w:ascii="宋体" w:hAnsi="宋体" w:eastAsia="宋体" w:cs="宋体"/>
          <w:sz w:val="28"/>
          <w:szCs w:val="28"/>
          <w:highlight w:val="none"/>
        </w:rPr>
      </w:pPr>
    </w:p>
    <w:p w14:paraId="63C1F282">
      <w:pPr>
        <w:pStyle w:val="43"/>
        <w:pageBreakBefore w:val="0"/>
        <w:widowControl w:val="0"/>
        <w:wordWrap/>
        <w:topLinePunct w:val="0"/>
        <w:bidi w:val="0"/>
        <w:rPr>
          <w:rFonts w:hint="eastAsia" w:ascii="宋体" w:hAnsi="宋体" w:eastAsia="宋体" w:cs="宋体"/>
          <w:sz w:val="28"/>
          <w:szCs w:val="28"/>
          <w:highlight w:val="none"/>
        </w:rPr>
      </w:pPr>
    </w:p>
    <w:p w14:paraId="542E92C7">
      <w:pPr>
        <w:pStyle w:val="43"/>
        <w:pageBreakBefore w:val="0"/>
        <w:widowControl w:val="0"/>
        <w:wordWrap/>
        <w:topLinePunct w:val="0"/>
        <w:bidi w:val="0"/>
        <w:rPr>
          <w:rFonts w:hint="eastAsia" w:ascii="宋体" w:hAnsi="宋体" w:eastAsia="宋体" w:cs="宋体"/>
          <w:sz w:val="28"/>
          <w:szCs w:val="28"/>
          <w:highlight w:val="none"/>
        </w:rPr>
      </w:pPr>
    </w:p>
    <w:p w14:paraId="5A94F8F5">
      <w:pPr>
        <w:pStyle w:val="43"/>
        <w:pageBreakBefore w:val="0"/>
        <w:widowControl w:val="0"/>
        <w:wordWrap/>
        <w:topLinePunct w:val="0"/>
        <w:bidi w:val="0"/>
        <w:rPr>
          <w:rFonts w:hint="eastAsia" w:ascii="宋体" w:hAnsi="宋体" w:eastAsia="宋体" w:cs="宋体"/>
          <w:sz w:val="28"/>
          <w:szCs w:val="28"/>
          <w:highlight w:val="none"/>
        </w:rPr>
      </w:pPr>
    </w:p>
    <w:p w14:paraId="764E4ADD">
      <w:pPr>
        <w:pStyle w:val="4"/>
        <w:pageBreakBefore w:val="0"/>
        <w:widowControl w:val="0"/>
        <w:wordWrap/>
        <w:topLinePunct w:val="0"/>
        <w:bidi w:val="0"/>
        <w:jc w:val="center"/>
        <w:outlineLvl w:val="0"/>
        <w:rPr>
          <w:rFonts w:hint="eastAsia" w:ascii="宋体" w:hAnsi="宋体" w:eastAsia="宋体" w:cs="宋体"/>
          <w:sz w:val="28"/>
          <w:szCs w:val="28"/>
          <w:highlight w:val="none"/>
        </w:rPr>
      </w:pPr>
      <w:bookmarkStart w:id="206" w:name="_Toc23993"/>
      <w:bookmarkStart w:id="207" w:name="_Toc22206"/>
      <w:r>
        <w:rPr>
          <w:rFonts w:hint="eastAsia" w:ascii="宋体" w:hAnsi="宋体" w:eastAsia="宋体" w:cs="宋体"/>
          <w:sz w:val="28"/>
          <w:szCs w:val="28"/>
          <w:highlight w:val="none"/>
          <w:lang w:val="en-US" w:eastAsia="zh-CN"/>
        </w:rPr>
        <w:t>27</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节能、环保产品证明（如有）</w:t>
      </w:r>
      <w:bookmarkEnd w:id="206"/>
      <w:bookmarkEnd w:id="207"/>
    </w:p>
    <w:p w14:paraId="1A562CAF">
      <w:pPr>
        <w:pageBreakBefore w:val="0"/>
        <w:widowControl w:val="0"/>
        <w:wordWrap/>
        <w:topLinePunct w:val="0"/>
        <w:bidi w:val="0"/>
        <w:jc w:val="lef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致：</w:t>
      </w:r>
      <w:r>
        <w:rPr>
          <w:rFonts w:hint="eastAsia" w:ascii="宋体" w:hAnsi="宋体" w:eastAsia="宋体" w:cs="宋体"/>
          <w:sz w:val="28"/>
          <w:szCs w:val="28"/>
          <w:highlight w:val="none"/>
          <w:u w:val="single"/>
        </w:rPr>
        <w:t>         </w:t>
      </w:r>
      <w:r>
        <w:rPr>
          <w:rFonts w:hint="eastAsia" w:ascii="宋体" w:hAnsi="宋体" w:eastAsia="宋体" w:cs="宋体"/>
          <w:sz w:val="28"/>
          <w:szCs w:val="28"/>
          <w:highlight w:val="none"/>
          <w:u w:val="single"/>
          <w:lang w:eastAsia="zh-CN"/>
        </w:rPr>
        <w:t>（</w:t>
      </w:r>
      <w:r>
        <w:rPr>
          <w:rFonts w:hint="eastAsia" w:ascii="宋体" w:hAnsi="宋体" w:eastAsia="宋体" w:cs="宋体"/>
          <w:sz w:val="28"/>
          <w:szCs w:val="28"/>
          <w:highlight w:val="none"/>
        </w:rPr>
        <w:t>采购人名称</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w:t>
      </w:r>
    </w:p>
    <w:p w14:paraId="37893079">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61E90838">
      <w:pPr>
        <w:pageBreakBefore w:val="0"/>
        <w:widowControl w:val="0"/>
        <w:wordWrap/>
        <w:topLinePunct w:val="0"/>
        <w:bidi w:val="0"/>
        <w:ind w:firstLine="560" w:firstLineChars="200"/>
        <w:jc w:val="lef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现附上</w:t>
      </w:r>
      <w:r>
        <w:rPr>
          <w:rFonts w:hint="eastAsia" w:ascii="宋体" w:hAnsi="宋体" w:eastAsia="宋体" w:cs="宋体"/>
          <w:sz w:val="28"/>
          <w:szCs w:val="28"/>
          <w:highlight w:val="none"/>
          <w:u w:val="single"/>
        </w:rPr>
        <w:t>         </w:t>
      </w:r>
      <w:r>
        <w:rPr>
          <w:rFonts w:hint="eastAsia" w:ascii="宋体" w:hAnsi="宋体" w:eastAsia="宋体" w:cs="宋体"/>
          <w:sz w:val="28"/>
          <w:szCs w:val="28"/>
          <w:highlight w:val="none"/>
        </w:rPr>
        <w:t>（节能、环保产品产品目录） </w:t>
      </w:r>
      <w:r>
        <w:rPr>
          <w:rFonts w:hint="eastAsia" w:ascii="宋体" w:hAnsi="宋体" w:eastAsia="宋体" w:cs="宋体"/>
          <w:sz w:val="28"/>
          <w:szCs w:val="28"/>
          <w:highlight w:val="none"/>
          <w:u w:val="single"/>
        </w:rPr>
        <w:t>        </w:t>
      </w:r>
      <w:r>
        <w:rPr>
          <w:rFonts w:hint="eastAsia" w:ascii="宋体" w:hAnsi="宋体" w:eastAsia="宋体" w:cs="宋体"/>
          <w:sz w:val="28"/>
          <w:szCs w:val="28"/>
          <w:highlight w:val="none"/>
        </w:rPr>
        <w:t>证明文件（可在 网站名称 网站进行查询）复印件，该证件真实有效。</w:t>
      </w:r>
    </w:p>
    <w:p w14:paraId="4F41D77B">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3BD2D833">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4AAAF8EF">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393A56D6">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05FBD545">
      <w:pPr>
        <w:pageBreakBefore w:val="0"/>
        <w:widowControl w:val="0"/>
        <w:wordWrap/>
        <w:topLinePunct w:val="0"/>
        <w:bidi w:val="0"/>
        <w:ind w:firstLine="560" w:firstLineChars="200"/>
        <w:jc w:val="lef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注：节能、环保产品须提供“财政部、国家发展改革委公布的节能、环保产品清单目录”并在有效期内的复印件或影印件，并能在投标人提供的网站上查询到相关内容（未提供查询网站，或在其提供的查询网站上查询不到相关内容的，将不予认可），由投标人加盖公章并注明“与原件一致”。</w:t>
      </w:r>
    </w:p>
    <w:p w14:paraId="70474F19">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12D43566">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4368BBE1">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372F8E17">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3E21A050">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6B86452A">
      <w:pPr>
        <w:pStyle w:val="21"/>
        <w:pageBreakBefore w:val="0"/>
        <w:widowControl w:val="0"/>
        <w:wordWrap/>
        <w:topLinePunct w:val="0"/>
        <w:bidi w:val="0"/>
        <w:jc w:val="left"/>
        <w:rPr>
          <w:rFonts w:hint="eastAsia" w:ascii="宋体" w:hAnsi="宋体" w:eastAsia="宋体" w:cs="宋体"/>
          <w:sz w:val="28"/>
          <w:szCs w:val="28"/>
          <w:highlight w:val="none"/>
          <w:lang w:eastAsia="zh-CN"/>
        </w:rPr>
      </w:pPr>
    </w:p>
    <w:p w14:paraId="0A9FABE9">
      <w:pPr>
        <w:pageBreakBefore w:val="0"/>
        <w:widowControl w:val="0"/>
        <w:wordWrap/>
        <w:topLinePunct w:val="0"/>
        <w:bidi w:val="0"/>
        <w:ind w:firstLine="3360" w:firstLineChars="1200"/>
        <w:jc w:val="both"/>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rPr>
        <w:t>投标人（加盖公章）</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u w:val="single"/>
          <w:lang w:val="en-US" w:eastAsia="zh-CN"/>
        </w:rPr>
        <w:t xml:space="preserve">                </w:t>
      </w:r>
    </w:p>
    <w:p w14:paraId="30DF3F62">
      <w:pPr>
        <w:pageBreakBefore w:val="0"/>
        <w:widowControl w:val="0"/>
        <w:wordWrap/>
        <w:topLinePunct w:val="0"/>
        <w:bidi w:val="0"/>
        <w:jc w:val="right"/>
        <w:rPr>
          <w:rFonts w:hint="eastAsia" w:ascii="宋体" w:hAnsi="宋体" w:eastAsia="宋体" w:cs="宋体"/>
          <w:sz w:val="28"/>
          <w:szCs w:val="28"/>
          <w:highlight w:val="none"/>
        </w:rPr>
      </w:pPr>
    </w:p>
    <w:p w14:paraId="556F3F75">
      <w:pPr>
        <w:pageBreakBefore w:val="0"/>
        <w:widowControl w:val="0"/>
        <w:wordWrap/>
        <w:topLinePunct w:val="0"/>
        <w:bidi w:val="0"/>
        <w:jc w:val="right"/>
        <w:rPr>
          <w:rFonts w:hint="eastAsia" w:ascii="宋体" w:hAnsi="宋体" w:eastAsia="宋体" w:cs="宋体"/>
          <w:sz w:val="28"/>
          <w:szCs w:val="28"/>
          <w:highlight w:val="none"/>
          <w:u w:val="single"/>
          <w:lang w:eastAsia="zh-CN"/>
        </w:rPr>
      </w:pPr>
      <w:r>
        <w:rPr>
          <w:rFonts w:hint="eastAsia" w:ascii="宋体" w:hAnsi="宋体" w:eastAsia="宋体" w:cs="宋体"/>
          <w:sz w:val="28"/>
          <w:szCs w:val="28"/>
          <w:highlight w:val="none"/>
        </w:rPr>
        <w:t>投标人代表（签字）：</w:t>
      </w:r>
      <w:r>
        <w:rPr>
          <w:rFonts w:hint="eastAsia" w:ascii="宋体" w:hAnsi="宋体" w:eastAsia="宋体" w:cs="宋体"/>
          <w:sz w:val="28"/>
          <w:szCs w:val="28"/>
          <w:highlight w:val="none"/>
          <w:u w:val="single"/>
        </w:rPr>
        <w:t>        </w:t>
      </w:r>
    </w:p>
    <w:p w14:paraId="508A9A56">
      <w:pPr>
        <w:pageBreakBefore w:val="0"/>
        <w:widowControl w:val="0"/>
        <w:wordWrap/>
        <w:topLinePunct w:val="0"/>
        <w:bidi w:val="0"/>
        <w:jc w:val="righ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                         </w:t>
      </w:r>
    </w:p>
    <w:p w14:paraId="0A037167">
      <w:pPr>
        <w:pageBreakBefore w:val="0"/>
        <w:widowControl w:val="0"/>
        <w:wordWrap/>
        <w:topLinePunct w:val="0"/>
        <w:bidi w:val="0"/>
        <w:jc w:val="right"/>
        <w:rPr>
          <w:rFonts w:hint="eastAsia" w:ascii="宋体" w:hAnsi="宋体" w:eastAsia="宋体" w:cs="宋体"/>
          <w:sz w:val="28"/>
          <w:szCs w:val="28"/>
          <w:highlight w:val="none"/>
        </w:rPr>
      </w:pPr>
      <w:r>
        <w:rPr>
          <w:rFonts w:hint="eastAsia" w:ascii="宋体" w:hAnsi="宋体" w:eastAsia="宋体" w:cs="宋体"/>
          <w:sz w:val="28"/>
          <w:szCs w:val="28"/>
          <w:highlight w:val="none"/>
        </w:rPr>
        <w:t> 日期：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年  月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日</w:t>
      </w:r>
    </w:p>
    <w:p w14:paraId="3F07DDA0">
      <w:pPr>
        <w:pStyle w:val="34"/>
        <w:pageBreakBefore w:val="0"/>
        <w:widowControl w:val="0"/>
        <w:wordWrap/>
        <w:topLinePunct w:val="0"/>
        <w:bidi w:val="0"/>
        <w:jc w:val="left"/>
        <w:rPr>
          <w:rFonts w:ascii="宋体" w:hAnsi="宋体"/>
          <w:sz w:val="22"/>
          <w:szCs w:val="18"/>
          <w:highlight w:val="none"/>
        </w:rPr>
      </w:pPr>
    </w:p>
    <w:p w14:paraId="09215B28">
      <w:pPr>
        <w:pStyle w:val="34"/>
        <w:pageBreakBefore w:val="0"/>
        <w:widowControl w:val="0"/>
        <w:wordWrap/>
        <w:topLinePunct w:val="0"/>
        <w:bidi w:val="0"/>
        <w:jc w:val="left"/>
        <w:rPr>
          <w:rFonts w:ascii="宋体" w:hAnsi="宋体"/>
          <w:sz w:val="22"/>
          <w:szCs w:val="18"/>
          <w:highlight w:val="none"/>
        </w:rPr>
      </w:pPr>
    </w:p>
    <w:p w14:paraId="1F0C9638">
      <w:pPr>
        <w:pStyle w:val="34"/>
        <w:pageBreakBefore w:val="0"/>
        <w:widowControl w:val="0"/>
        <w:wordWrap/>
        <w:topLinePunct w:val="0"/>
        <w:bidi w:val="0"/>
        <w:jc w:val="left"/>
        <w:rPr>
          <w:rFonts w:ascii="宋体" w:hAnsi="宋体"/>
          <w:sz w:val="22"/>
          <w:szCs w:val="18"/>
          <w:highlight w:val="none"/>
        </w:rPr>
      </w:pPr>
    </w:p>
    <w:p w14:paraId="531CC484">
      <w:pPr>
        <w:pageBreakBefore w:val="0"/>
        <w:widowControl w:val="0"/>
        <w:wordWrap/>
        <w:topLinePunct w:val="0"/>
        <w:bidi w:val="0"/>
        <w:rPr>
          <w:highlight w:val="none"/>
        </w:rPr>
      </w:pPr>
    </w:p>
    <w:p w14:paraId="6161BDF9">
      <w:pPr>
        <w:pStyle w:val="34"/>
        <w:pageBreakBefore w:val="0"/>
        <w:widowControl w:val="0"/>
        <w:wordWrap/>
        <w:topLinePunct w:val="0"/>
        <w:bidi w:val="0"/>
        <w:rPr>
          <w:highlight w:val="none"/>
        </w:rPr>
      </w:pPr>
    </w:p>
    <w:p w14:paraId="50D4D224">
      <w:pPr>
        <w:pStyle w:val="34"/>
        <w:pageBreakBefore w:val="0"/>
        <w:widowControl w:val="0"/>
        <w:wordWrap/>
        <w:topLinePunct w:val="0"/>
        <w:bidi w:val="0"/>
        <w:rPr>
          <w:highlight w:val="none"/>
        </w:rPr>
      </w:pPr>
    </w:p>
    <w:p w14:paraId="4EA3D090">
      <w:pPr>
        <w:pStyle w:val="34"/>
        <w:pageBreakBefore w:val="0"/>
        <w:widowControl w:val="0"/>
        <w:wordWrap/>
        <w:topLinePunct w:val="0"/>
        <w:bidi w:val="0"/>
        <w:rPr>
          <w:highlight w:val="none"/>
        </w:rPr>
      </w:pPr>
    </w:p>
    <w:p w14:paraId="0E5A2250">
      <w:pPr>
        <w:pStyle w:val="34"/>
        <w:pageBreakBefore w:val="0"/>
        <w:widowControl w:val="0"/>
        <w:wordWrap/>
        <w:topLinePunct w:val="0"/>
        <w:bidi w:val="0"/>
        <w:rPr>
          <w:highlight w:val="none"/>
        </w:rPr>
      </w:pPr>
    </w:p>
    <w:p w14:paraId="7BF71268">
      <w:pPr>
        <w:pStyle w:val="34"/>
        <w:pageBreakBefore w:val="0"/>
        <w:widowControl w:val="0"/>
        <w:wordWrap/>
        <w:topLinePunct w:val="0"/>
        <w:bidi w:val="0"/>
        <w:rPr>
          <w:highlight w:val="none"/>
        </w:rPr>
      </w:pPr>
    </w:p>
    <w:p w14:paraId="0A137DA6">
      <w:pPr>
        <w:pStyle w:val="34"/>
        <w:pageBreakBefore w:val="0"/>
        <w:widowControl w:val="0"/>
        <w:wordWrap/>
        <w:topLinePunct w:val="0"/>
        <w:bidi w:val="0"/>
        <w:rPr>
          <w:highlight w:val="none"/>
        </w:rPr>
      </w:pPr>
    </w:p>
    <w:p w14:paraId="458DF5FD">
      <w:pPr>
        <w:pStyle w:val="34"/>
        <w:pageBreakBefore w:val="0"/>
        <w:widowControl w:val="0"/>
        <w:wordWrap/>
        <w:topLinePunct w:val="0"/>
        <w:bidi w:val="0"/>
        <w:rPr>
          <w:highlight w:val="none"/>
        </w:rPr>
      </w:pPr>
    </w:p>
    <w:p w14:paraId="3DD83342">
      <w:pPr>
        <w:pStyle w:val="34"/>
        <w:pageBreakBefore w:val="0"/>
        <w:widowControl w:val="0"/>
        <w:wordWrap/>
        <w:topLinePunct w:val="0"/>
        <w:bidi w:val="0"/>
        <w:rPr>
          <w:highlight w:val="none"/>
        </w:rPr>
      </w:pPr>
    </w:p>
    <w:p w14:paraId="378A5493">
      <w:pPr>
        <w:pStyle w:val="34"/>
        <w:pageBreakBefore w:val="0"/>
        <w:widowControl w:val="0"/>
        <w:wordWrap/>
        <w:topLinePunct w:val="0"/>
        <w:bidi w:val="0"/>
        <w:jc w:val="center"/>
        <w:rPr>
          <w:rFonts w:hint="default"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28、残疾人福利性单位声明函（如有）</w:t>
      </w:r>
    </w:p>
    <w:p w14:paraId="10B2B45A">
      <w:pPr>
        <w:pStyle w:val="34"/>
        <w:pageBreakBefore w:val="0"/>
        <w:widowControl w:val="0"/>
        <w:wordWrap/>
        <w:topLinePunct w:val="0"/>
        <w:bidi w:val="0"/>
        <w:rPr>
          <w:rFonts w:hint="eastAsia"/>
          <w:highlight w:val="none"/>
        </w:rPr>
      </w:pPr>
    </w:p>
    <w:p w14:paraId="3C50C92D">
      <w:pPr>
        <w:pStyle w:val="34"/>
        <w:pageBreakBefore w:val="0"/>
        <w:widowControl w:val="0"/>
        <w:wordWrap/>
        <w:topLinePunct w:val="0"/>
        <w:bidi w:val="0"/>
        <w:ind w:firstLine="560" w:firstLineChars="200"/>
        <w:rPr>
          <w:rFonts w:hint="eastAsia"/>
          <w:sz w:val="28"/>
          <w:szCs w:val="28"/>
          <w:highlight w:val="none"/>
        </w:rPr>
      </w:pPr>
    </w:p>
    <w:p w14:paraId="5D5AA28E">
      <w:pPr>
        <w:pStyle w:val="34"/>
        <w:pageBreakBefore w:val="0"/>
        <w:widowControl w:val="0"/>
        <w:wordWrap/>
        <w:topLinePunct w:val="0"/>
        <w:bidi w:val="0"/>
        <w:ind w:firstLine="560" w:firstLineChars="200"/>
        <w:rPr>
          <w:rFonts w:hint="eastAsia"/>
          <w:sz w:val="28"/>
          <w:szCs w:val="28"/>
          <w:highlight w:val="none"/>
        </w:rPr>
      </w:pPr>
      <w:r>
        <w:rPr>
          <w:rFonts w:hint="eastAsia"/>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CF2A9F6">
      <w:pPr>
        <w:pStyle w:val="34"/>
        <w:pageBreakBefore w:val="0"/>
        <w:widowControl w:val="0"/>
        <w:wordWrap/>
        <w:topLinePunct w:val="0"/>
        <w:bidi w:val="0"/>
        <w:ind w:firstLine="560" w:firstLineChars="200"/>
        <w:rPr>
          <w:rFonts w:hint="eastAsia"/>
          <w:sz w:val="28"/>
          <w:szCs w:val="28"/>
          <w:highlight w:val="none"/>
        </w:rPr>
      </w:pPr>
      <w:r>
        <w:rPr>
          <w:rFonts w:hint="eastAsia"/>
          <w:sz w:val="28"/>
          <w:szCs w:val="28"/>
          <w:highlight w:val="none"/>
        </w:rPr>
        <w:t>本单位对上述声明的真实性负责。如有虚假，将依法承担相应责任。</w:t>
      </w:r>
    </w:p>
    <w:p w14:paraId="5E3392A5">
      <w:pPr>
        <w:pStyle w:val="34"/>
        <w:pageBreakBefore w:val="0"/>
        <w:widowControl w:val="0"/>
        <w:wordWrap/>
        <w:topLinePunct w:val="0"/>
        <w:bidi w:val="0"/>
        <w:ind w:firstLine="560" w:firstLineChars="200"/>
        <w:rPr>
          <w:rFonts w:hint="eastAsia"/>
          <w:sz w:val="28"/>
          <w:szCs w:val="28"/>
          <w:highlight w:val="none"/>
        </w:rPr>
      </w:pPr>
    </w:p>
    <w:p w14:paraId="13D14A18">
      <w:pPr>
        <w:pStyle w:val="34"/>
        <w:pageBreakBefore w:val="0"/>
        <w:widowControl w:val="0"/>
        <w:wordWrap/>
        <w:topLinePunct w:val="0"/>
        <w:bidi w:val="0"/>
        <w:ind w:firstLine="560" w:firstLineChars="200"/>
        <w:rPr>
          <w:rFonts w:hint="eastAsia"/>
          <w:sz w:val="28"/>
          <w:szCs w:val="28"/>
          <w:highlight w:val="none"/>
        </w:rPr>
      </w:pPr>
    </w:p>
    <w:p w14:paraId="2AACAD9A">
      <w:pPr>
        <w:pStyle w:val="34"/>
        <w:pageBreakBefore w:val="0"/>
        <w:widowControl w:val="0"/>
        <w:wordWrap/>
        <w:topLinePunct w:val="0"/>
        <w:bidi w:val="0"/>
        <w:ind w:firstLine="560" w:firstLineChars="200"/>
        <w:rPr>
          <w:rFonts w:hint="eastAsia"/>
          <w:sz w:val="28"/>
          <w:szCs w:val="28"/>
          <w:highlight w:val="none"/>
        </w:rPr>
      </w:pPr>
    </w:p>
    <w:p w14:paraId="1A2485C3">
      <w:pPr>
        <w:pStyle w:val="34"/>
        <w:pageBreakBefore w:val="0"/>
        <w:widowControl w:val="0"/>
        <w:wordWrap/>
        <w:topLinePunct w:val="0"/>
        <w:bidi w:val="0"/>
        <w:ind w:firstLine="560" w:firstLineChars="200"/>
        <w:rPr>
          <w:rFonts w:hint="eastAsia"/>
          <w:sz w:val="28"/>
          <w:szCs w:val="28"/>
          <w:highlight w:val="none"/>
        </w:rPr>
      </w:pPr>
    </w:p>
    <w:p w14:paraId="6086A88A">
      <w:pPr>
        <w:pStyle w:val="34"/>
        <w:pageBreakBefore w:val="0"/>
        <w:widowControl w:val="0"/>
        <w:wordWrap/>
        <w:topLinePunct w:val="0"/>
        <w:bidi w:val="0"/>
        <w:ind w:firstLine="560" w:firstLineChars="200"/>
        <w:rPr>
          <w:rFonts w:hint="eastAsia"/>
          <w:sz w:val="28"/>
          <w:szCs w:val="28"/>
          <w:highlight w:val="none"/>
        </w:rPr>
      </w:pPr>
    </w:p>
    <w:p w14:paraId="53A2CF1A">
      <w:pPr>
        <w:pStyle w:val="34"/>
        <w:pageBreakBefore w:val="0"/>
        <w:widowControl w:val="0"/>
        <w:wordWrap/>
        <w:topLinePunct w:val="0"/>
        <w:bidi w:val="0"/>
        <w:ind w:firstLine="560" w:firstLineChars="200"/>
        <w:rPr>
          <w:rFonts w:hint="eastAsia"/>
          <w:sz w:val="28"/>
          <w:szCs w:val="28"/>
          <w:highlight w:val="none"/>
        </w:rPr>
      </w:pPr>
    </w:p>
    <w:p w14:paraId="0829E1F4">
      <w:pPr>
        <w:pStyle w:val="34"/>
        <w:pageBreakBefore w:val="0"/>
        <w:widowControl w:val="0"/>
        <w:wordWrap/>
        <w:topLinePunct w:val="0"/>
        <w:bidi w:val="0"/>
        <w:ind w:firstLine="560" w:firstLineChars="200"/>
        <w:rPr>
          <w:rFonts w:hint="eastAsia"/>
          <w:sz w:val="28"/>
          <w:szCs w:val="28"/>
          <w:highlight w:val="none"/>
        </w:rPr>
      </w:pPr>
    </w:p>
    <w:p w14:paraId="3D4B4647">
      <w:pPr>
        <w:pStyle w:val="34"/>
        <w:pageBreakBefore w:val="0"/>
        <w:widowControl w:val="0"/>
        <w:wordWrap/>
        <w:topLinePunct w:val="0"/>
        <w:bidi w:val="0"/>
        <w:ind w:firstLine="560" w:firstLineChars="200"/>
        <w:rPr>
          <w:rFonts w:hint="eastAsia"/>
          <w:sz w:val="28"/>
          <w:szCs w:val="28"/>
          <w:highlight w:val="none"/>
        </w:rPr>
      </w:pPr>
    </w:p>
    <w:p w14:paraId="776CB8AB">
      <w:pPr>
        <w:pStyle w:val="34"/>
        <w:pageBreakBefore w:val="0"/>
        <w:widowControl w:val="0"/>
        <w:wordWrap/>
        <w:topLinePunct w:val="0"/>
        <w:bidi w:val="0"/>
        <w:ind w:firstLine="560" w:firstLineChars="200"/>
        <w:rPr>
          <w:rFonts w:hint="eastAsia"/>
          <w:sz w:val="28"/>
          <w:szCs w:val="28"/>
          <w:highlight w:val="none"/>
        </w:rPr>
      </w:pPr>
    </w:p>
    <w:p w14:paraId="3CBEDDCE">
      <w:pPr>
        <w:pStyle w:val="34"/>
        <w:pageBreakBefore w:val="0"/>
        <w:widowControl w:val="0"/>
        <w:wordWrap/>
        <w:topLinePunct w:val="0"/>
        <w:bidi w:val="0"/>
        <w:ind w:firstLine="560" w:firstLineChars="200"/>
        <w:rPr>
          <w:rFonts w:hint="eastAsia"/>
          <w:sz w:val="28"/>
          <w:szCs w:val="28"/>
          <w:highlight w:val="none"/>
        </w:rPr>
      </w:pPr>
    </w:p>
    <w:p w14:paraId="6C202DFB">
      <w:pPr>
        <w:pStyle w:val="34"/>
        <w:pageBreakBefore w:val="0"/>
        <w:widowControl w:val="0"/>
        <w:wordWrap/>
        <w:topLinePunct w:val="0"/>
        <w:bidi w:val="0"/>
        <w:rPr>
          <w:highlight w:val="none"/>
        </w:rPr>
      </w:pPr>
    </w:p>
    <w:p w14:paraId="30345552">
      <w:pPr>
        <w:pageBreakBefore w:val="0"/>
        <w:widowControl w:val="0"/>
        <w:wordWrap/>
        <w:topLinePunct w:val="0"/>
        <w:bidi w:val="0"/>
        <w:ind w:firstLine="3360" w:firstLineChars="1200"/>
        <w:jc w:val="both"/>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rPr>
        <w:t>投标人（加盖公章）</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u w:val="single"/>
          <w:lang w:val="en-US" w:eastAsia="zh-CN"/>
        </w:rPr>
        <w:t xml:space="preserve">                </w:t>
      </w:r>
    </w:p>
    <w:p w14:paraId="277813B3">
      <w:pPr>
        <w:pageBreakBefore w:val="0"/>
        <w:widowControl w:val="0"/>
        <w:wordWrap/>
        <w:topLinePunct w:val="0"/>
        <w:bidi w:val="0"/>
        <w:jc w:val="right"/>
        <w:rPr>
          <w:rFonts w:hint="eastAsia" w:ascii="宋体" w:hAnsi="宋体" w:eastAsia="宋体" w:cs="宋体"/>
          <w:sz w:val="28"/>
          <w:szCs w:val="28"/>
          <w:highlight w:val="none"/>
        </w:rPr>
      </w:pPr>
    </w:p>
    <w:p w14:paraId="136E2A19">
      <w:pPr>
        <w:pageBreakBefore w:val="0"/>
        <w:widowControl w:val="0"/>
        <w:wordWrap/>
        <w:topLinePunct w:val="0"/>
        <w:bidi w:val="0"/>
        <w:jc w:val="right"/>
        <w:rPr>
          <w:rFonts w:hint="eastAsia" w:ascii="宋体" w:hAnsi="宋体" w:eastAsia="宋体" w:cs="宋体"/>
          <w:sz w:val="28"/>
          <w:szCs w:val="28"/>
          <w:highlight w:val="none"/>
          <w:u w:val="single"/>
          <w:lang w:eastAsia="zh-CN"/>
        </w:rPr>
      </w:pPr>
      <w:r>
        <w:rPr>
          <w:rFonts w:hint="eastAsia" w:ascii="宋体" w:hAnsi="宋体" w:eastAsia="宋体" w:cs="宋体"/>
          <w:sz w:val="28"/>
          <w:szCs w:val="28"/>
          <w:highlight w:val="none"/>
        </w:rPr>
        <w:t>投标人代表（签字）：</w:t>
      </w:r>
      <w:r>
        <w:rPr>
          <w:rFonts w:hint="eastAsia" w:ascii="宋体" w:hAnsi="宋体" w:eastAsia="宋体" w:cs="宋体"/>
          <w:sz w:val="28"/>
          <w:szCs w:val="28"/>
          <w:highlight w:val="none"/>
          <w:u w:val="single"/>
        </w:rPr>
        <w:t>        </w:t>
      </w:r>
    </w:p>
    <w:p w14:paraId="7B86662A">
      <w:pPr>
        <w:pageBreakBefore w:val="0"/>
        <w:widowControl w:val="0"/>
        <w:wordWrap/>
        <w:topLinePunct w:val="0"/>
        <w:bidi w:val="0"/>
        <w:jc w:val="righ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                         </w:t>
      </w:r>
    </w:p>
    <w:p w14:paraId="66CC3F83">
      <w:pPr>
        <w:pStyle w:val="43"/>
        <w:pageBreakBefore w:val="0"/>
        <w:widowControl w:val="0"/>
        <w:wordWrap/>
        <w:topLinePunct w:val="0"/>
        <w:bidi w:val="0"/>
        <w:ind w:left="0" w:leftChars="0" w:firstLine="0" w:firstLineChars="0"/>
        <w:rPr>
          <w:rFonts w:hint="eastAsia" w:ascii="宋体" w:hAnsi="宋体" w:eastAsia="宋体" w:cs="宋体"/>
          <w:sz w:val="28"/>
          <w:szCs w:val="28"/>
          <w:highlight w:val="none"/>
        </w:rPr>
      </w:pPr>
      <w:r>
        <w:rPr>
          <w:rFonts w:hint="eastAsia" w:ascii="宋体" w:hAnsi="宋体" w:eastAsia="宋体" w:cs="宋体"/>
          <w:sz w:val="28"/>
          <w:szCs w:val="28"/>
          <w:highlight w:val="none"/>
        </w:rPr>
        <w:t>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日期：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年  月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日</w:t>
      </w:r>
    </w:p>
    <w:p w14:paraId="117E2492">
      <w:pPr>
        <w:spacing w:line="640" w:lineRule="exact"/>
        <w:ind w:firstLine="495" w:firstLineChars="177"/>
        <w:jc w:val="center"/>
        <w:rPr>
          <w:rFonts w:ascii="华文中宋" w:hAnsi="华文中宋" w:eastAsia="华文中宋"/>
          <w:sz w:val="32"/>
          <w:szCs w:val="32"/>
          <w:highlight w:val="none"/>
        </w:rPr>
      </w:pPr>
      <w:r>
        <w:rPr>
          <w:rFonts w:hint="eastAsia" w:ascii="宋体" w:hAnsi="宋体" w:eastAsia="宋体" w:cs="宋体"/>
          <w:sz w:val="28"/>
          <w:szCs w:val="28"/>
          <w:highlight w:val="none"/>
        </w:rPr>
        <w:br w:type="page"/>
      </w:r>
      <w:r>
        <w:rPr>
          <w:rFonts w:hint="eastAsia" w:ascii="宋体" w:hAnsi="宋体" w:eastAsia="宋体" w:cs="宋体"/>
          <w:b/>
          <w:bCs/>
          <w:kern w:val="2"/>
          <w:sz w:val="28"/>
          <w:szCs w:val="28"/>
          <w:highlight w:val="none"/>
          <w:lang w:val="en-US" w:eastAsia="zh-CN" w:bidi="ar-SA"/>
        </w:rPr>
        <w:t>29、</w:t>
      </w:r>
      <w:r>
        <w:rPr>
          <w:rFonts w:hint="default" w:ascii="宋体" w:hAnsi="宋体" w:eastAsia="宋体" w:cs="宋体"/>
          <w:b/>
          <w:bCs/>
          <w:kern w:val="2"/>
          <w:sz w:val="28"/>
          <w:szCs w:val="28"/>
          <w:highlight w:val="none"/>
          <w:lang w:val="en-US" w:eastAsia="zh-CN" w:bidi="ar-SA"/>
        </w:rPr>
        <w:t>无围标、串标等违法违规行为承诺书</w:t>
      </w:r>
    </w:p>
    <w:p w14:paraId="3D58C60C">
      <w:pPr>
        <w:spacing w:line="640" w:lineRule="exact"/>
        <w:jc w:val="left"/>
        <w:rPr>
          <w:rFonts w:ascii="仿宋_GB2312" w:hAnsi="华文中宋" w:eastAsia="仿宋_GB2312"/>
          <w:sz w:val="24"/>
          <w:szCs w:val="24"/>
          <w:highlight w:val="none"/>
        </w:rPr>
      </w:pPr>
    </w:p>
    <w:p w14:paraId="145BB41F">
      <w:pPr>
        <w:spacing w:line="640" w:lineRule="exact"/>
        <w:ind w:firstLine="420" w:firstLineChars="200"/>
        <w:rPr>
          <w:rFonts w:ascii="宋体" w:hAnsi="宋体" w:cs="仿宋"/>
          <w:sz w:val="21"/>
          <w:szCs w:val="21"/>
          <w:highlight w:val="none"/>
        </w:rPr>
      </w:pPr>
      <w:r>
        <w:rPr>
          <w:rFonts w:hint="eastAsia" w:ascii="宋体" w:hAnsi="宋体" w:cs="仿宋"/>
          <w:sz w:val="21"/>
          <w:szCs w:val="21"/>
          <w:highlight w:val="none"/>
        </w:rPr>
        <w:t>本人作为</w:t>
      </w:r>
      <w:r>
        <w:rPr>
          <w:rFonts w:hint="eastAsia" w:ascii="宋体" w:hAnsi="宋体" w:cs="仿宋"/>
          <w:sz w:val="21"/>
          <w:szCs w:val="21"/>
          <w:highlight w:val="none"/>
          <w:u w:val="single"/>
        </w:rPr>
        <w:t xml:space="preserve">（单位名称）                    </w:t>
      </w:r>
      <w:r>
        <w:rPr>
          <w:rFonts w:hint="eastAsia" w:ascii="宋体" w:hAnsi="宋体" w:cs="仿宋"/>
          <w:sz w:val="21"/>
          <w:szCs w:val="21"/>
          <w:highlight w:val="none"/>
        </w:rPr>
        <w:t>的法人，清楚知晓我公司本项目投标活动，对以下事项作出承诺：</w:t>
      </w:r>
    </w:p>
    <w:p w14:paraId="1FB46A8E">
      <w:pPr>
        <w:spacing w:line="640" w:lineRule="exact"/>
        <w:ind w:firstLine="420" w:firstLineChars="200"/>
        <w:rPr>
          <w:rFonts w:ascii="宋体" w:hAnsi="宋体" w:cs="仿宋"/>
          <w:sz w:val="21"/>
          <w:szCs w:val="21"/>
          <w:highlight w:val="none"/>
        </w:rPr>
      </w:pPr>
      <w:r>
        <w:rPr>
          <w:rFonts w:hint="eastAsia" w:ascii="宋体" w:hAnsi="宋体" w:cs="仿宋"/>
          <w:sz w:val="21"/>
          <w:szCs w:val="21"/>
          <w:highlight w:val="none"/>
        </w:rPr>
        <w:t>一、我单位遵循公开、公平、公正、诚实守信的原则，依法依规参与本项目竞标。</w:t>
      </w:r>
    </w:p>
    <w:p w14:paraId="61A0A503">
      <w:pPr>
        <w:spacing w:line="640" w:lineRule="exact"/>
        <w:ind w:firstLine="420" w:firstLineChars="200"/>
        <w:outlineLvl w:val="1"/>
        <w:rPr>
          <w:rFonts w:ascii="宋体" w:hAnsi="宋体" w:cs="仿宋"/>
          <w:sz w:val="21"/>
          <w:szCs w:val="21"/>
          <w:highlight w:val="none"/>
        </w:rPr>
      </w:pPr>
      <w:bookmarkStart w:id="208" w:name="_Toc3592"/>
      <w:r>
        <w:rPr>
          <w:rFonts w:hint="eastAsia" w:ascii="宋体" w:hAnsi="宋体" w:cs="仿宋"/>
          <w:sz w:val="21"/>
          <w:szCs w:val="21"/>
          <w:highlight w:val="none"/>
        </w:rPr>
        <w:t>二、我单位在本项目招标投标活动中，未参与围标串标。</w:t>
      </w:r>
      <w:bookmarkEnd w:id="208"/>
    </w:p>
    <w:p w14:paraId="1EB1AD51">
      <w:pPr>
        <w:spacing w:line="640" w:lineRule="exact"/>
        <w:ind w:firstLine="420" w:firstLineChars="200"/>
        <w:rPr>
          <w:rFonts w:ascii="宋体" w:hAnsi="宋体"/>
          <w:b/>
          <w:sz w:val="21"/>
          <w:szCs w:val="21"/>
          <w:highlight w:val="none"/>
        </w:rPr>
      </w:pPr>
      <w:r>
        <w:rPr>
          <w:rFonts w:hint="eastAsia" w:ascii="宋体" w:hAnsi="宋体" w:cs="仿宋"/>
          <w:sz w:val="21"/>
          <w:szCs w:val="21"/>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1B6F8A6D">
      <w:pPr>
        <w:spacing w:line="640" w:lineRule="exact"/>
        <w:jc w:val="left"/>
        <w:rPr>
          <w:rFonts w:ascii="宋体" w:hAnsi="宋体"/>
          <w:sz w:val="21"/>
          <w:szCs w:val="21"/>
          <w:highlight w:val="none"/>
        </w:rPr>
      </w:pPr>
      <w:r>
        <w:rPr>
          <w:rFonts w:hint="eastAsia" w:ascii="宋体" w:hAnsi="宋体"/>
          <w:sz w:val="21"/>
          <w:szCs w:val="21"/>
          <w:highlight w:val="none"/>
        </w:rPr>
        <w:t>项目编号</w:t>
      </w:r>
      <w:r>
        <w:rPr>
          <w:rFonts w:ascii="宋体" w:hAnsi="宋体"/>
          <w:sz w:val="21"/>
          <w:szCs w:val="21"/>
          <w:highlight w:val="none"/>
        </w:rPr>
        <w:t>：</w:t>
      </w:r>
      <w:r>
        <w:rPr>
          <w:rFonts w:hint="eastAsia" w:ascii="宋体" w:hAnsi="宋体" w:cs="宋体"/>
          <w:color w:val="000000"/>
          <w:sz w:val="21"/>
          <w:szCs w:val="21"/>
          <w:highlight w:val="none"/>
          <w:u w:val="single"/>
        </w:rPr>
        <w:t xml:space="preserve">                </w:t>
      </w:r>
      <w:r>
        <w:rPr>
          <w:rFonts w:hint="eastAsia" w:ascii="宋体" w:hAnsi="宋体" w:cs="宋体"/>
          <w:color w:val="000000"/>
          <w:sz w:val="21"/>
          <w:szCs w:val="21"/>
          <w:highlight w:val="none"/>
          <w:u w:val="single"/>
          <w:lang w:val="en-US" w:eastAsia="zh-CN"/>
        </w:rPr>
        <w:t xml:space="preserve">     </w:t>
      </w:r>
      <w:r>
        <w:rPr>
          <w:rFonts w:ascii="宋体" w:hAnsi="宋体"/>
          <w:sz w:val="21"/>
          <w:szCs w:val="21"/>
          <w:highlight w:val="none"/>
        </w:rPr>
        <w:t xml:space="preserve"> </w:t>
      </w:r>
    </w:p>
    <w:p w14:paraId="605958DC">
      <w:pPr>
        <w:spacing w:line="640" w:lineRule="exact"/>
        <w:jc w:val="left"/>
        <w:rPr>
          <w:rFonts w:ascii="宋体" w:hAnsi="宋体"/>
          <w:sz w:val="21"/>
          <w:szCs w:val="21"/>
          <w:highlight w:val="none"/>
        </w:rPr>
      </w:pPr>
      <w:r>
        <w:rPr>
          <w:rFonts w:hint="eastAsia" w:ascii="宋体" w:hAnsi="宋体"/>
          <w:sz w:val="21"/>
          <w:szCs w:val="21"/>
          <w:highlight w:val="none"/>
          <w:lang w:eastAsia="zh-CN"/>
        </w:rPr>
        <w:t>项目名称</w:t>
      </w:r>
      <w:r>
        <w:rPr>
          <w:rFonts w:ascii="宋体" w:hAnsi="宋体"/>
          <w:sz w:val="21"/>
          <w:szCs w:val="21"/>
          <w:highlight w:val="none"/>
        </w:rPr>
        <w:t>：</w:t>
      </w:r>
      <w:r>
        <w:rPr>
          <w:rFonts w:hint="eastAsia" w:ascii="宋体" w:hAnsi="宋体" w:cs="宋体"/>
          <w:color w:val="000000"/>
          <w:sz w:val="21"/>
          <w:szCs w:val="21"/>
          <w:highlight w:val="none"/>
          <w:u w:val="single"/>
        </w:rPr>
        <w:t xml:space="preserve">                </w:t>
      </w:r>
      <w:r>
        <w:rPr>
          <w:rFonts w:hint="eastAsia" w:ascii="宋体" w:hAnsi="宋体" w:cs="宋体"/>
          <w:color w:val="000000"/>
          <w:sz w:val="21"/>
          <w:szCs w:val="21"/>
          <w:highlight w:val="none"/>
          <w:u w:val="single"/>
          <w:lang w:val="en-US" w:eastAsia="zh-CN"/>
        </w:rPr>
        <w:t xml:space="preserve">      </w:t>
      </w:r>
      <w:r>
        <w:rPr>
          <w:rFonts w:hint="eastAsia" w:ascii="宋体" w:hAnsi="宋体"/>
          <w:sz w:val="21"/>
          <w:szCs w:val="21"/>
          <w:highlight w:val="none"/>
        </w:rPr>
        <w:t xml:space="preserve">    </w:t>
      </w:r>
    </w:p>
    <w:p w14:paraId="1FBF472F">
      <w:pPr>
        <w:spacing w:line="640" w:lineRule="exact"/>
        <w:jc w:val="left"/>
        <w:rPr>
          <w:rFonts w:ascii="宋体" w:hAnsi="宋体"/>
          <w:sz w:val="21"/>
          <w:szCs w:val="21"/>
          <w:highlight w:val="none"/>
        </w:rPr>
      </w:pPr>
      <w:r>
        <w:rPr>
          <w:rFonts w:hint="eastAsia" w:ascii="宋体" w:hAnsi="宋体"/>
          <w:sz w:val="21"/>
          <w:szCs w:val="21"/>
          <w:highlight w:val="none"/>
          <w:lang w:eastAsia="zh-CN"/>
        </w:rPr>
        <w:t>投标人</w:t>
      </w:r>
      <w:r>
        <w:rPr>
          <w:rFonts w:hint="eastAsia" w:ascii="宋体" w:hAnsi="宋体"/>
          <w:sz w:val="21"/>
          <w:szCs w:val="21"/>
          <w:highlight w:val="none"/>
        </w:rPr>
        <w:t>单位名称：</w:t>
      </w:r>
      <w:r>
        <w:rPr>
          <w:rFonts w:hint="eastAsia" w:ascii="宋体" w:hAnsi="宋体" w:cs="宋体"/>
          <w:color w:val="000000"/>
          <w:sz w:val="21"/>
          <w:szCs w:val="21"/>
          <w:highlight w:val="none"/>
          <w:u w:val="single"/>
        </w:rPr>
        <w:t xml:space="preserve">                </w:t>
      </w:r>
      <w:r>
        <w:rPr>
          <w:rFonts w:hint="eastAsia" w:ascii="宋体" w:hAnsi="宋体" w:cs="宋体"/>
          <w:color w:val="000000"/>
          <w:sz w:val="21"/>
          <w:szCs w:val="21"/>
          <w:highlight w:val="none"/>
          <w:u w:val="single"/>
          <w:lang w:val="en-US" w:eastAsia="zh-CN"/>
        </w:rPr>
        <w:t xml:space="preserve">      </w:t>
      </w:r>
    </w:p>
    <w:p w14:paraId="50CD639B">
      <w:pPr>
        <w:spacing w:line="640" w:lineRule="exact"/>
        <w:jc w:val="left"/>
        <w:rPr>
          <w:rFonts w:ascii="宋体" w:hAnsi="宋体"/>
          <w:sz w:val="21"/>
          <w:szCs w:val="21"/>
          <w:highlight w:val="none"/>
        </w:rPr>
      </w:pPr>
      <w:r>
        <w:rPr>
          <w:rFonts w:hint="eastAsia" w:ascii="宋体" w:hAnsi="宋体"/>
          <w:sz w:val="21"/>
          <w:szCs w:val="21"/>
          <w:highlight w:val="none"/>
          <w:lang w:eastAsia="zh-CN"/>
        </w:rPr>
        <w:t>投标人</w:t>
      </w:r>
      <w:r>
        <w:rPr>
          <w:rFonts w:hint="eastAsia" w:ascii="宋体" w:hAnsi="宋体"/>
          <w:sz w:val="21"/>
          <w:szCs w:val="21"/>
          <w:highlight w:val="none"/>
        </w:rPr>
        <w:t>法</w:t>
      </w:r>
      <w:r>
        <w:rPr>
          <w:rFonts w:hint="eastAsia" w:ascii="宋体" w:hAnsi="宋体"/>
          <w:sz w:val="21"/>
          <w:szCs w:val="21"/>
          <w:highlight w:val="none"/>
          <w:lang w:eastAsia="zh-CN"/>
        </w:rPr>
        <w:t>定代表</w:t>
      </w:r>
      <w:r>
        <w:rPr>
          <w:rFonts w:hint="eastAsia" w:ascii="宋体" w:hAnsi="宋体"/>
          <w:sz w:val="21"/>
          <w:szCs w:val="21"/>
          <w:highlight w:val="none"/>
        </w:rPr>
        <w:t>人</w:t>
      </w:r>
      <w:r>
        <w:rPr>
          <w:rFonts w:hint="eastAsia" w:ascii="宋体" w:hAnsi="宋体"/>
          <w:sz w:val="21"/>
          <w:szCs w:val="21"/>
          <w:highlight w:val="none"/>
          <w:lang w:eastAsia="zh-CN"/>
        </w:rPr>
        <w:t>（</w:t>
      </w:r>
      <w:r>
        <w:rPr>
          <w:rFonts w:hint="eastAsia" w:ascii="宋体" w:hAnsi="宋体"/>
          <w:sz w:val="21"/>
          <w:szCs w:val="21"/>
          <w:highlight w:val="none"/>
          <w:lang w:val="en-US" w:eastAsia="zh-CN"/>
        </w:rPr>
        <w:t>签字或盖章</w:t>
      </w:r>
      <w:r>
        <w:rPr>
          <w:rFonts w:hint="eastAsia" w:ascii="宋体" w:hAnsi="宋体"/>
          <w:sz w:val="21"/>
          <w:szCs w:val="21"/>
          <w:highlight w:val="none"/>
          <w:lang w:eastAsia="zh-CN"/>
        </w:rPr>
        <w:t>）</w:t>
      </w:r>
      <w:r>
        <w:rPr>
          <w:rFonts w:hint="eastAsia" w:ascii="宋体" w:hAnsi="宋体"/>
          <w:sz w:val="21"/>
          <w:szCs w:val="21"/>
          <w:highlight w:val="none"/>
        </w:rPr>
        <w:t>：</w:t>
      </w:r>
      <w:r>
        <w:rPr>
          <w:rFonts w:hint="eastAsia" w:ascii="宋体" w:hAnsi="宋体" w:cs="宋体"/>
          <w:color w:val="000000"/>
          <w:sz w:val="21"/>
          <w:szCs w:val="21"/>
          <w:highlight w:val="none"/>
          <w:u w:val="single"/>
        </w:rPr>
        <w:t xml:space="preserve">                </w:t>
      </w:r>
      <w:r>
        <w:rPr>
          <w:rFonts w:hint="eastAsia" w:ascii="宋体" w:hAnsi="宋体" w:cs="宋体"/>
          <w:color w:val="000000"/>
          <w:sz w:val="21"/>
          <w:szCs w:val="21"/>
          <w:highlight w:val="none"/>
          <w:u w:val="single"/>
          <w:lang w:val="en-US" w:eastAsia="zh-CN"/>
        </w:rPr>
        <w:t xml:space="preserve">      </w:t>
      </w:r>
    </w:p>
    <w:p w14:paraId="7711A602">
      <w:pPr>
        <w:spacing w:line="640" w:lineRule="exact"/>
        <w:jc w:val="left"/>
        <w:rPr>
          <w:rFonts w:ascii="宋体" w:hAnsi="宋体"/>
          <w:sz w:val="21"/>
          <w:szCs w:val="21"/>
          <w:highlight w:val="none"/>
        </w:rPr>
      </w:pPr>
      <w:r>
        <w:rPr>
          <w:rFonts w:hint="eastAsia" w:ascii="宋体" w:hAnsi="宋体"/>
          <w:sz w:val="21"/>
          <w:szCs w:val="21"/>
          <w:highlight w:val="none"/>
        </w:rPr>
        <w:t xml:space="preserve">                                  </w:t>
      </w:r>
    </w:p>
    <w:p w14:paraId="5B62ED5C">
      <w:pPr>
        <w:spacing w:line="640" w:lineRule="exact"/>
        <w:jc w:val="left"/>
        <w:rPr>
          <w:rFonts w:ascii="宋体" w:hAnsi="宋体"/>
          <w:sz w:val="21"/>
          <w:szCs w:val="21"/>
          <w:highlight w:val="none"/>
        </w:rPr>
      </w:pPr>
    </w:p>
    <w:p w14:paraId="6EAA7B9B">
      <w:pPr>
        <w:spacing w:line="640" w:lineRule="exact"/>
        <w:ind w:firstLine="3570" w:firstLineChars="1700"/>
        <w:jc w:val="left"/>
        <w:rPr>
          <w:rFonts w:ascii="宋体" w:hAnsi="宋体"/>
          <w:sz w:val="21"/>
          <w:szCs w:val="21"/>
          <w:highlight w:val="none"/>
        </w:rPr>
      </w:pPr>
      <w:r>
        <w:rPr>
          <w:rFonts w:hint="eastAsia" w:ascii="宋体" w:hAnsi="宋体"/>
          <w:sz w:val="21"/>
          <w:szCs w:val="21"/>
          <w:highlight w:val="none"/>
        </w:rPr>
        <w:t xml:space="preserve">     </w:t>
      </w:r>
    </w:p>
    <w:p w14:paraId="05FBA962">
      <w:pPr>
        <w:pStyle w:val="6"/>
        <w:numPr>
          <w:ilvl w:val="0"/>
          <w:numId w:val="0"/>
        </w:numPr>
        <w:overflowPunct w:val="0"/>
        <w:snapToGrid w:val="0"/>
        <w:spacing w:line="360" w:lineRule="auto"/>
        <w:ind w:leftChars="0"/>
        <w:jc w:val="right"/>
        <w:rPr>
          <w:rFonts w:hint="eastAsia" w:ascii="宋体" w:hAnsi="宋体" w:eastAsia="宋体" w:cs="宋体"/>
          <w:highlight w:val="none"/>
          <w:u w:val="single"/>
        </w:rPr>
      </w:pPr>
      <w:r>
        <w:rPr>
          <w:rFonts w:hint="eastAsia" w:ascii="宋体" w:hAnsi="宋体" w:cs="宋体"/>
          <w:color w:val="000000"/>
          <w:sz w:val="21"/>
          <w:szCs w:val="21"/>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p>
    <w:p w14:paraId="129000F4">
      <w:r>
        <w:rPr>
          <w:rFonts w:hint="eastAsia" w:ascii="宋体" w:hAnsi="宋体" w:eastAsia="宋体" w:cs="宋体"/>
          <w:highlight w:val="none"/>
          <w:u w:val="single"/>
        </w:rPr>
        <w:br w:type="page"/>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728CD">
    <w:pPr>
      <w:pStyle w:val="14"/>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CAA64C7">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0CAA64C7">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DF8E8">
    <w:pPr>
      <w:pStyle w:val="14"/>
      <w:pBdr>
        <w:top w:val="dashDotStroked" w:color="auto" w:sz="24" w:space="1"/>
      </w:pBdr>
      <w:tabs>
        <w:tab w:val="left" w:pos="693"/>
        <w:tab w:val="clear" w:pos="4153"/>
      </w:tabs>
      <w:rPr>
        <w:sz w:val="21"/>
        <w:szCs w:val="21"/>
      </w:rPr>
    </w:pPr>
    <w:r>
      <w:rPr>
        <w:sz w:val="21"/>
        <w:szCs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C146AA8">
                          <w:pPr>
                            <w:pStyle w:val="14"/>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6C146AA8">
                    <w:pPr>
                      <w:pStyle w:val="14"/>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4FC688">
    <w:pPr>
      <w:pStyle w:val="1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0EFEA1C">
                          <w:pPr>
                            <w:pStyle w:val="1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00EFEA1C">
                    <w:pPr>
                      <w:pStyle w:val="14"/>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C9ABE5F">
                          <w:pPr>
                            <w:pStyle w:val="14"/>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rrjO8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lLShy3OPHzj+/nn7/Pv74R&#10;9KFAfYAa8x4DZqbhxg+YPPsBnZn3oKLNX2REMI7yni7yyiERkR+tlqtVhSGBsfmC+OzpeYiQ7qS3&#10;JBsNjTi/Iis/3kMaU+eUXM35W21MmaFxfzkQM3tY7n3sMVtp2A0ToZ1vT8inx9E31OGmU2I+OlQ2&#10;b8lsxNnYzcYhRL3vyhrlehA+HBI2UXrLFUbYqTDOrLCb9isvxfN7yXr6pzZ/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uuuM7yQEAAJsDAAAOAAAAAAAAAAEAIAAAAB4BAABkcnMvZTJvRG9j&#10;LnhtbFBLBQYAAAAABgAGAFkBAABZBQAAAAA=&#10;">
              <v:fill on="f" focussize="0,0"/>
              <v:stroke on="f"/>
              <v:imagedata o:title=""/>
              <o:lock v:ext="edit" aspectratio="f"/>
              <v:textbox inset="0mm,0mm,0mm,0mm" style="mso-fit-shape-to-text:t;">
                <w:txbxContent>
                  <w:p w14:paraId="6C9ABE5F">
                    <w:pPr>
                      <w:pStyle w:val="14"/>
                      <w:rPr>
                        <w:rFonts w:hint="eastAsia"/>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C2544">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0EEE254">
                          <w:pPr>
                            <w:pStyle w:val="14"/>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14:paraId="20EEE254">
                    <w:pPr>
                      <w:pStyle w:val="14"/>
                      <w:rPr>
                        <w:rFonts w:hint="eastAsia"/>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46169">
    <w:pPr>
      <w:pStyle w:val="14"/>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5E8ABC8">
                          <w:pPr>
                            <w:pStyle w:val="1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QJREJc0BAACpAwAADgAAAAAAAAABACAAAAAeAQAAZHJzL2Uy&#10;b0RvYy54bWxQSwUGAAAAAAYABgBZAQAAXQUAAAAA&#10;">
              <v:fill on="f" focussize="0,0"/>
              <v:stroke on="f"/>
              <v:imagedata o:title=""/>
              <o:lock v:ext="edit" aspectratio="f"/>
              <v:textbox inset="0mm,0mm,0mm,0mm" style="mso-fit-shape-to-text:t;">
                <w:txbxContent>
                  <w:p w14:paraId="75E8ABC8">
                    <w:pPr>
                      <w:pStyle w:val="14"/>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C89E777">
                          <w:pPr>
                            <w:pStyle w:val="14"/>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pzPl7c0BAACpAwAADgAAAAAAAAABACAAAAAeAQAAZHJzL2Uy&#10;b0RvYy54bWxQSwUGAAAAAAYABgBZAQAAXQUAAAAA&#10;">
              <v:fill on="f" focussize="0,0"/>
              <v:stroke on="f"/>
              <v:imagedata o:title=""/>
              <o:lock v:ext="edit" aspectratio="f"/>
              <v:textbox inset="0mm,0mm,0mm,0mm" style="mso-fit-shape-to-text:t;">
                <w:txbxContent>
                  <w:p w14:paraId="1C89E777">
                    <w:pPr>
                      <w:pStyle w:val="14"/>
                      <w:rPr>
                        <w:rFonts w:hint="eastAsia"/>
                      </w:rPr>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0A90B">
    <w:pPr>
      <w:pStyle w:val="14"/>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F26F17F">
                          <w:pPr>
                            <w:pStyle w:val="14"/>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KHrXp80BAACpAwAADgAAAAAAAAABACAAAAAeAQAAZHJzL2Uy&#10;b0RvYy54bWxQSwUGAAAAAAYABgBZAQAAXQUAAAAA&#10;">
              <v:fill on="f" focussize="0,0"/>
              <v:stroke on="f"/>
              <v:imagedata o:title=""/>
              <o:lock v:ext="edit" aspectratio="f"/>
              <v:textbox inset="0mm,0mm,0mm,0mm" style="mso-fit-shape-to-text:t;">
                <w:txbxContent>
                  <w:p w14:paraId="7F26F17F">
                    <w:pPr>
                      <w:pStyle w:val="14"/>
                      <w:rPr>
                        <w:rFonts w:hint="eastAsia"/>
                      </w:rPr>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AD9E7">
    <w:pPr>
      <w:spacing w:line="167" w:lineRule="auto"/>
      <w:ind w:left="4791"/>
      <w:rPr>
        <w:rFonts w:ascii="Calibri" w:hAnsi="Calibri" w:eastAsia="Calibri" w:cs="Calibri"/>
        <w:sz w:val="18"/>
        <w:szCs w:val="18"/>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F6010">
    <w:pPr>
      <w:spacing w:line="167" w:lineRule="auto"/>
      <w:ind w:left="4791"/>
      <w:rPr>
        <w:rFonts w:ascii="Calibri" w:hAnsi="Calibri" w:eastAsia="Calibri" w:cs="Calibri"/>
        <w:sz w:val="18"/>
        <w:szCs w:val="1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15D90">
    <w:pPr>
      <w:pStyle w:val="16"/>
      <w:pBdr>
        <w:bottom w:val="none" w:color="auto" w:sz="0" w:space="1"/>
      </w:pBdr>
      <w:jc w:val="both"/>
      <w:rPr>
        <w:rFonts w:ascii="仿宋" w:hAnsi="仿宋" w:eastAsia="仿宋" w:cs="仿宋"/>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B0EC7">
    <w:pPr>
      <w:pStyle w:val="16"/>
      <w:keepNext w:val="0"/>
      <w:keepLines w:val="0"/>
      <w:pageBreakBefore w:val="0"/>
      <w:widowControl w:val="0"/>
      <w:pBdr>
        <w:bottom w:val="none" w:color="auto" w:sz="0" w:space="1"/>
      </w:pBdr>
      <w:kinsoku/>
      <w:wordWrap/>
      <w:overflowPunct/>
      <w:topLinePunct w:val="0"/>
      <w:autoSpaceDE/>
      <w:autoSpaceDN/>
      <w:bidi w:val="0"/>
      <w:adjustRightInd/>
      <w:snapToGrid w:val="0"/>
      <w:jc w:val="both"/>
      <w:textAlignment w:val="auto"/>
      <w:rPr>
        <w:rFonts w:ascii="仿宋" w:hAnsi="仿宋" w:eastAsia="仿宋" w:cs="仿宋"/>
        <w:sz w:val="21"/>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DFB69">
    <w:pPr>
      <w:pStyle w:val="16"/>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97E3C">
    <w:pPr>
      <w:pStyle w:val="16"/>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898C3">
    <w:pPr>
      <w:pStyle w:val="16"/>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02B71">
    <w:pPr>
      <w:pStyle w:val="16"/>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6AB11">
    <w:pPr>
      <w:spacing w:line="14" w:lineRule="auto"/>
      <w:rPr>
        <w:rFonts w:ascii="Arial"/>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369E7">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3DDF8F"/>
    <w:multiLevelType w:val="singleLevel"/>
    <w:tmpl w:val="D43DDF8F"/>
    <w:lvl w:ilvl="0" w:tentative="0">
      <w:start w:val="6"/>
      <w:numFmt w:val="decimal"/>
      <w:suff w:val="nothing"/>
      <w:lvlText w:val="%1、"/>
      <w:lvlJc w:val="left"/>
    </w:lvl>
  </w:abstractNum>
  <w:abstractNum w:abstractNumId="1">
    <w:nsid w:val="FFBC5510"/>
    <w:multiLevelType w:val="singleLevel"/>
    <w:tmpl w:val="FFBC5510"/>
    <w:lvl w:ilvl="0" w:tentative="0">
      <w:start w:val="1"/>
      <w:numFmt w:val="chineseCounting"/>
      <w:suff w:val="nothing"/>
      <w:lvlText w:val="%1、"/>
      <w:lvlJc w:val="left"/>
      <w:rPr>
        <w:rFonts w:hint="eastAsia"/>
      </w:rPr>
    </w:lvl>
  </w:abstractNum>
  <w:abstractNum w:abstractNumId="2">
    <w:nsid w:val="45B621B1"/>
    <w:multiLevelType w:val="multilevel"/>
    <w:tmpl w:val="45B621B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808D697"/>
    <w:multiLevelType w:val="singleLevel"/>
    <w:tmpl w:val="5808D697"/>
    <w:lvl w:ilvl="0" w:tentative="0">
      <w:start w:val="12"/>
      <w:numFmt w:val="decimal"/>
      <w:suff w:val="nothing"/>
      <w:lvlText w:val="%1、"/>
      <w:lvlJc w:val="left"/>
    </w:lvl>
  </w:abstractNum>
  <w:abstractNum w:abstractNumId="4">
    <w:nsid w:val="58B78C3E"/>
    <w:multiLevelType w:val="singleLevel"/>
    <w:tmpl w:val="58B78C3E"/>
    <w:lvl w:ilvl="0" w:tentative="0">
      <w:start w:val="3"/>
      <w:numFmt w:val="chineseCounting"/>
      <w:suff w:val="nothing"/>
      <w:lvlText w:val="%1、"/>
      <w:lvlJc w:val="left"/>
    </w:lvl>
  </w:abstractNum>
  <w:abstractNum w:abstractNumId="5">
    <w:nsid w:val="61321429"/>
    <w:multiLevelType w:val="singleLevel"/>
    <w:tmpl w:val="61321429"/>
    <w:lvl w:ilvl="0" w:tentative="0">
      <w:start w:val="1"/>
      <w:numFmt w:val="decimal"/>
      <w:suff w:val="nothing"/>
      <w:lvlText w:val="%1、"/>
      <w:lvlJc w:val="left"/>
    </w:lvl>
  </w:abstractNum>
  <w:num w:numId="1">
    <w:abstractNumId w:val="1"/>
  </w:num>
  <w:num w:numId="2">
    <w:abstractNumId w:val="4"/>
  </w:num>
  <w:num w:numId="3">
    <w:abstractNumId w:val="3"/>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yZTc2Mzc2ZDA5NmZmZjFiZTViZWUyYjc4YWJkMmUifQ=="/>
  </w:docVars>
  <w:rsids>
    <w:rsidRoot w:val="0D0E4C44"/>
    <w:rsid w:val="01667D18"/>
    <w:rsid w:val="01AA67C9"/>
    <w:rsid w:val="01C727E7"/>
    <w:rsid w:val="01CC325E"/>
    <w:rsid w:val="07E30CF7"/>
    <w:rsid w:val="0BEB7653"/>
    <w:rsid w:val="0D0E4C44"/>
    <w:rsid w:val="0E714EDC"/>
    <w:rsid w:val="0FA933C0"/>
    <w:rsid w:val="11791613"/>
    <w:rsid w:val="154C504F"/>
    <w:rsid w:val="19DC43CD"/>
    <w:rsid w:val="1C6822C7"/>
    <w:rsid w:val="1F4E7AE0"/>
    <w:rsid w:val="224C6FE0"/>
    <w:rsid w:val="225D300F"/>
    <w:rsid w:val="24F65C43"/>
    <w:rsid w:val="27120332"/>
    <w:rsid w:val="283C2BCC"/>
    <w:rsid w:val="28AA49EB"/>
    <w:rsid w:val="2D583B29"/>
    <w:rsid w:val="2E9613E5"/>
    <w:rsid w:val="32A64BB3"/>
    <w:rsid w:val="3A6D2B3C"/>
    <w:rsid w:val="3E3F2D95"/>
    <w:rsid w:val="3EBD6D9B"/>
    <w:rsid w:val="405C7AFD"/>
    <w:rsid w:val="43BF5EB2"/>
    <w:rsid w:val="452E1696"/>
    <w:rsid w:val="462E0DD2"/>
    <w:rsid w:val="463C1D8F"/>
    <w:rsid w:val="47266AC9"/>
    <w:rsid w:val="517E430A"/>
    <w:rsid w:val="54C47921"/>
    <w:rsid w:val="55567130"/>
    <w:rsid w:val="56913A80"/>
    <w:rsid w:val="570762B3"/>
    <w:rsid w:val="57E9601D"/>
    <w:rsid w:val="582846BF"/>
    <w:rsid w:val="5AB4404E"/>
    <w:rsid w:val="5B266C40"/>
    <w:rsid w:val="5BFC211F"/>
    <w:rsid w:val="5C9D010E"/>
    <w:rsid w:val="5DE92405"/>
    <w:rsid w:val="658A620C"/>
    <w:rsid w:val="65F9476F"/>
    <w:rsid w:val="67296C78"/>
    <w:rsid w:val="6BBA59B8"/>
    <w:rsid w:val="6CF062D3"/>
    <w:rsid w:val="6E322CF5"/>
    <w:rsid w:val="6F3F60CB"/>
    <w:rsid w:val="739177BF"/>
    <w:rsid w:val="756B19C7"/>
    <w:rsid w:val="78EA4BA6"/>
    <w:rsid w:val="79770021"/>
    <w:rsid w:val="799804F7"/>
    <w:rsid w:val="7AA93008"/>
    <w:rsid w:val="7B054464"/>
    <w:rsid w:val="7C420894"/>
    <w:rsid w:val="7D20578D"/>
    <w:rsid w:val="7ED61B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5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paragraph" w:styleId="3">
    <w:name w:val="heading 2"/>
    <w:basedOn w:val="1"/>
    <w:next w:val="1"/>
    <w:autoRedefine/>
    <w:qFormat/>
    <w:uiPriority w:val="9"/>
    <w:pPr>
      <w:keepNext/>
      <w:keepLines/>
      <w:spacing w:line="416" w:lineRule="auto"/>
      <w:outlineLvl w:val="1"/>
    </w:pPr>
    <w:rPr>
      <w:rFonts w:ascii="Cambria" w:hAnsi="Cambria" w:eastAsia="楷体" w:cs="Times New Roman"/>
      <w:b/>
      <w:bCs/>
      <w:sz w:val="32"/>
      <w:szCs w:val="32"/>
    </w:rPr>
  </w:style>
  <w:style w:type="paragraph" w:styleId="4">
    <w:name w:val="heading 3"/>
    <w:basedOn w:val="1"/>
    <w:next w:val="1"/>
    <w:autoRedefine/>
    <w:qFormat/>
    <w:uiPriority w:val="9"/>
    <w:pPr>
      <w:keepNext/>
      <w:keepLines/>
      <w:spacing w:before="20" w:after="20" w:line="416" w:lineRule="auto"/>
      <w:outlineLvl w:val="2"/>
    </w:pPr>
    <w:rPr>
      <w:rFonts w:eastAsia="楷体"/>
      <w:b/>
      <w:bCs/>
      <w:sz w:val="32"/>
      <w:szCs w:val="32"/>
    </w:rPr>
  </w:style>
  <w:style w:type="paragraph" w:styleId="5">
    <w:name w:val="heading 4"/>
    <w:basedOn w:val="1"/>
    <w:next w:val="1"/>
    <w:autoRedefine/>
    <w:qFormat/>
    <w:uiPriority w:val="0"/>
    <w:pPr>
      <w:keepNext/>
      <w:keepLines/>
      <w:spacing w:before="280" w:after="290" w:line="440" w:lineRule="exact"/>
      <w:outlineLvl w:val="3"/>
    </w:pPr>
    <w:rPr>
      <w:rFonts w:ascii="Cambria" w:hAnsi="Cambria"/>
      <w:b/>
      <w:bCs/>
      <w:sz w:val="28"/>
      <w:szCs w:val="28"/>
    </w:rPr>
  </w:style>
  <w:style w:type="character" w:default="1" w:styleId="24">
    <w:name w:val="Default Paragraph Font"/>
    <w:autoRedefine/>
    <w:semiHidden/>
    <w:qFormat/>
    <w:uiPriority w:val="0"/>
  </w:style>
  <w:style w:type="table" w:default="1" w:styleId="22">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1"/>
    <w:autoRedefine/>
    <w:qFormat/>
    <w:uiPriority w:val="0"/>
    <w:pPr>
      <w:ind w:firstLine="420" w:firstLineChars="200"/>
    </w:pPr>
    <w:rPr>
      <w:szCs w:val="20"/>
    </w:rPr>
  </w:style>
  <w:style w:type="paragraph" w:styleId="7">
    <w:name w:val="toa heading"/>
    <w:basedOn w:val="1"/>
    <w:next w:val="1"/>
    <w:autoRedefine/>
    <w:qFormat/>
    <w:uiPriority w:val="99"/>
    <w:pPr>
      <w:spacing w:before="120"/>
    </w:pPr>
    <w:rPr>
      <w:rFonts w:ascii="Arial" w:hAnsi="Arial" w:eastAsia="仿宋"/>
      <w:sz w:val="24"/>
      <w:szCs w:val="20"/>
    </w:rPr>
  </w:style>
  <w:style w:type="paragraph" w:styleId="8">
    <w:name w:val="annotation text"/>
    <w:basedOn w:val="1"/>
    <w:autoRedefine/>
    <w:qFormat/>
    <w:uiPriority w:val="0"/>
    <w:pPr>
      <w:jc w:val="left"/>
    </w:pPr>
  </w:style>
  <w:style w:type="paragraph" w:styleId="9">
    <w:name w:val="index 6"/>
    <w:basedOn w:val="1"/>
    <w:next w:val="1"/>
    <w:autoRedefine/>
    <w:qFormat/>
    <w:uiPriority w:val="99"/>
    <w:pPr>
      <w:ind w:left="2100"/>
    </w:pPr>
  </w:style>
  <w:style w:type="paragraph" w:styleId="10">
    <w:name w:val="Body Text"/>
    <w:basedOn w:val="1"/>
    <w:autoRedefine/>
    <w:qFormat/>
    <w:uiPriority w:val="0"/>
    <w:pPr>
      <w:spacing w:after="120" w:afterLines="0"/>
    </w:pPr>
    <w:rPr>
      <w:rFonts w:hint="default" w:ascii="Times New Roman"/>
      <w:kern w:val="2"/>
      <w:sz w:val="21"/>
    </w:rPr>
  </w:style>
  <w:style w:type="paragraph" w:styleId="11">
    <w:name w:val="Body Text Indent"/>
    <w:basedOn w:val="1"/>
    <w:autoRedefine/>
    <w:qFormat/>
    <w:uiPriority w:val="0"/>
    <w:pPr>
      <w:ind w:firstLine="480"/>
    </w:pPr>
    <w:rPr>
      <w:rFonts w:ascii="宋体"/>
      <w:sz w:val="30"/>
    </w:rPr>
  </w:style>
  <w:style w:type="paragraph" w:styleId="12">
    <w:name w:val="Plain Text"/>
    <w:basedOn w:val="1"/>
    <w:next w:val="1"/>
    <w:autoRedefine/>
    <w:qFormat/>
    <w:uiPriority w:val="0"/>
    <w:rPr>
      <w:rFonts w:hint="default" w:hAnsi="Courier New"/>
      <w:kern w:val="2"/>
      <w:sz w:val="21"/>
    </w:rPr>
  </w:style>
  <w:style w:type="paragraph" w:styleId="13">
    <w:name w:val="Date"/>
    <w:basedOn w:val="1"/>
    <w:next w:val="1"/>
    <w:autoRedefine/>
    <w:qFormat/>
    <w:uiPriority w:val="0"/>
    <w:pPr>
      <w:ind w:left="100" w:leftChars="2500"/>
    </w:pPr>
  </w:style>
  <w:style w:type="paragraph" w:styleId="14">
    <w:name w:val="footer"/>
    <w:basedOn w:val="1"/>
    <w:next w:val="15"/>
    <w:autoRedefine/>
    <w:qFormat/>
    <w:uiPriority w:val="0"/>
    <w:pPr>
      <w:tabs>
        <w:tab w:val="center" w:pos="4153"/>
        <w:tab w:val="right" w:pos="8306"/>
      </w:tabs>
      <w:snapToGrid w:val="0"/>
      <w:jc w:val="left"/>
    </w:pPr>
    <w:rPr>
      <w:sz w:val="18"/>
      <w:szCs w:val="18"/>
    </w:rPr>
  </w:style>
  <w:style w:type="paragraph" w:customStyle="1" w:styleId="15">
    <w:name w:val="TOC 标题1"/>
    <w:autoRedefine/>
    <w:qFormat/>
    <w:uiPriority w:val="27"/>
    <w:rPr>
      <w:rFonts w:ascii="宋体" w:hAnsi="宋体" w:eastAsia="宋体" w:cs="Times New Roman"/>
      <w:color w:val="2E74B5"/>
      <w:sz w:val="32"/>
      <w:szCs w:val="32"/>
      <w:lang w:val="en-US" w:eastAsia="zh-CN" w:bidi="ar-SA"/>
    </w:rPr>
  </w:style>
  <w:style w:type="paragraph" w:styleId="16">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footnote text"/>
    <w:basedOn w:val="1"/>
    <w:autoRedefine/>
    <w:qFormat/>
    <w:uiPriority w:val="0"/>
    <w:pPr>
      <w:adjustRightInd w:val="0"/>
      <w:spacing w:line="312" w:lineRule="atLeast"/>
      <w:jc w:val="left"/>
      <w:textAlignment w:val="baseline"/>
    </w:pPr>
    <w:rPr>
      <w:kern w:val="0"/>
      <w:sz w:val="18"/>
      <w:szCs w:val="20"/>
    </w:r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19">
    <w:name w:val="Normal (Web)"/>
    <w:basedOn w:val="1"/>
    <w:next w:val="1"/>
    <w:autoRedefine/>
    <w:unhideWhenUsed/>
    <w:qFormat/>
    <w:uiPriority w:val="99"/>
    <w:rPr>
      <w:rFonts w:ascii="Calibri" w:hAnsi="Calibri"/>
      <w:sz w:val="24"/>
    </w:rPr>
  </w:style>
  <w:style w:type="paragraph" w:styleId="20">
    <w:name w:val="Body Text First Indent"/>
    <w:basedOn w:val="10"/>
    <w:next w:val="1"/>
    <w:autoRedefine/>
    <w:qFormat/>
    <w:uiPriority w:val="0"/>
    <w:pPr>
      <w:widowControl/>
      <w:ind w:firstLine="420"/>
      <w:jc w:val="left"/>
    </w:pPr>
    <w:rPr>
      <w:kern w:val="0"/>
      <w:sz w:val="20"/>
    </w:rPr>
  </w:style>
  <w:style w:type="paragraph" w:styleId="21">
    <w:name w:val="Body Text First Indent 2"/>
    <w:basedOn w:val="11"/>
    <w:autoRedefine/>
    <w:qFormat/>
    <w:uiPriority w:val="0"/>
    <w:pPr>
      <w:widowControl w:val="0"/>
      <w:spacing w:after="120"/>
      <w:ind w:left="420" w:leftChars="200" w:firstLine="420" w:firstLineChars="200"/>
      <w:jc w:val="both"/>
    </w:pPr>
    <w:rPr>
      <w:rFonts w:ascii="Times New Roman" w:hAnsi="Times New Roman" w:eastAsia="宋体" w:cs="Times New Roman"/>
      <w:kern w:val="0"/>
      <w:sz w:val="21"/>
      <w:szCs w:val="24"/>
      <w:lang w:val="en-US" w:eastAsia="zh-CN" w:bidi="ar-SA"/>
    </w:rPr>
  </w:style>
  <w:style w:type="table" w:styleId="23">
    <w:name w:val="Table Grid"/>
    <w:basedOn w:val="22"/>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autoRedefine/>
    <w:qFormat/>
    <w:uiPriority w:val="0"/>
    <w:rPr>
      <w:b/>
    </w:rPr>
  </w:style>
  <w:style w:type="paragraph" w:customStyle="1" w:styleId="26">
    <w:name w:val="段"/>
    <w:next w:val="1"/>
    <w:autoRedefine/>
    <w:qFormat/>
    <w:uiPriority w:val="0"/>
    <w:pPr>
      <w:autoSpaceDE w:val="0"/>
      <w:autoSpaceDN w:val="0"/>
      <w:spacing w:line="360" w:lineRule="auto"/>
      <w:ind w:left="50" w:right="62" w:firstLine="200" w:firstLineChars="200"/>
      <w:jc w:val="both"/>
    </w:pPr>
    <w:rPr>
      <w:rFonts w:ascii="宋体" w:hAnsi="Times New Roman" w:eastAsia="宋体" w:cs="Times New Roman"/>
      <w:sz w:val="21"/>
      <w:szCs w:val="22"/>
      <w:lang w:val="en-US" w:eastAsia="zh-CN" w:bidi="ar-SA"/>
    </w:rPr>
  </w:style>
  <w:style w:type="paragraph" w:customStyle="1" w:styleId="27">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8">
    <w:name w:val="FootnoteText"/>
    <w:basedOn w:val="1"/>
    <w:qFormat/>
    <w:uiPriority w:val="0"/>
    <w:pPr>
      <w:snapToGrid w:val="0"/>
      <w:jc w:val="left"/>
      <w:textAlignment w:val="baseline"/>
    </w:pPr>
    <w:rPr>
      <w:rFonts w:ascii="Times New Roman" w:hAnsi="Times New Roman" w:eastAsia="宋体"/>
      <w:kern w:val="2"/>
      <w:sz w:val="18"/>
      <w:lang w:val="en-US" w:eastAsia="zh-CN"/>
    </w:rPr>
  </w:style>
  <w:style w:type="paragraph" w:customStyle="1" w:styleId="29">
    <w:name w:val="WPSOffice手动目录 1"/>
    <w:autoRedefine/>
    <w:qFormat/>
    <w:uiPriority w:val="0"/>
    <w:pPr>
      <w:ind w:leftChars="0"/>
    </w:pPr>
    <w:rPr>
      <w:rFonts w:ascii="Times New Roman" w:hAnsi="Times New Roman" w:eastAsia="宋体" w:cs="Times New Roman"/>
      <w:sz w:val="20"/>
      <w:szCs w:val="20"/>
    </w:rPr>
  </w:style>
  <w:style w:type="character" w:customStyle="1" w:styleId="30">
    <w:name w:val="bookmark-item"/>
    <w:basedOn w:val="24"/>
    <w:autoRedefine/>
    <w:qFormat/>
    <w:uiPriority w:val="0"/>
  </w:style>
  <w:style w:type="paragraph" w:customStyle="1" w:styleId="31">
    <w:name w:val="样式"/>
    <w:next w:val="12"/>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32">
    <w:name w:val="p0"/>
    <w:basedOn w:val="1"/>
    <w:qFormat/>
    <w:uiPriority w:val="0"/>
    <w:pPr>
      <w:widowControl/>
      <w:jc w:val="left"/>
    </w:pPr>
    <w:rPr>
      <w:kern w:val="0"/>
      <w:szCs w:val="21"/>
    </w:rPr>
  </w:style>
  <w:style w:type="paragraph" w:customStyle="1" w:styleId="33">
    <w:name w:val="样式1"/>
    <w:basedOn w:val="7"/>
    <w:next w:val="5"/>
    <w:autoRedefine/>
    <w:qFormat/>
    <w:uiPriority w:val="0"/>
    <w:pPr>
      <w:tabs>
        <w:tab w:val="center" w:pos="4153"/>
        <w:tab w:val="right" w:pos="8306"/>
      </w:tabs>
    </w:pPr>
  </w:style>
  <w:style w:type="paragraph" w:customStyle="1" w:styleId="34">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
    <w:name w:val="正文_29_3_4"/>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
    <w:name w:val="_Style 7"/>
    <w:basedOn w:val="1"/>
    <w:autoRedefine/>
    <w:qFormat/>
    <w:uiPriority w:val="0"/>
    <w:pPr>
      <w:tabs>
        <w:tab w:val="left" w:pos="360"/>
      </w:tabs>
      <w:ind w:firstLine="420" w:firstLineChars="150"/>
    </w:pPr>
    <w:rPr>
      <w:rFonts w:ascii="Arial" w:hAnsi="Arial" w:cs="Arial"/>
      <w:sz w:val="20"/>
    </w:rPr>
  </w:style>
  <w:style w:type="paragraph" w:customStyle="1" w:styleId="37">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8">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9">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sz w:val="28"/>
      <w:szCs w:val="20"/>
    </w:rPr>
  </w:style>
  <w:style w:type="paragraph" w:customStyle="1" w:styleId="40">
    <w:name w:val="正文1"/>
    <w:basedOn w:val="41"/>
    <w:next w:val="43"/>
    <w:qFormat/>
    <w:uiPriority w:val="0"/>
    <w:pPr>
      <w:spacing w:line="480" w:lineRule="exact"/>
      <w:ind w:firstLine="480" w:firstLineChars="200"/>
      <w:jc w:val="left"/>
    </w:pPr>
    <w:rPr>
      <w:rFonts w:ascii="宋体" w:hAnsi="宋体" w:cs="宋体"/>
      <w:kern w:val="0"/>
      <w:sz w:val="24"/>
      <w:szCs w:val="24"/>
    </w:rPr>
  </w:style>
  <w:style w:type="paragraph" w:customStyle="1" w:styleId="41">
    <w:name w:val="正文_1_0"/>
    <w:basedOn w:val="42"/>
    <w:qFormat/>
    <w:uiPriority w:val="0"/>
    <w:rPr>
      <w:szCs w:val="21"/>
    </w:rPr>
  </w:style>
  <w:style w:type="paragraph" w:customStyle="1" w:styleId="42">
    <w:name w:val="正文_1"/>
    <w:qFormat/>
    <w:uiPriority w:val="0"/>
    <w:pPr>
      <w:widowControl w:val="0"/>
      <w:jc w:val="both"/>
    </w:pPr>
    <w:rPr>
      <w:rFonts w:ascii="Calibri" w:hAnsi="Calibri" w:eastAsia="宋体" w:cs="Times New Roman"/>
      <w:kern w:val="2"/>
      <w:sz w:val="21"/>
      <w:szCs w:val="22"/>
      <w:lang w:eastAsia="en-US"/>
    </w:rPr>
  </w:style>
  <w:style w:type="paragraph" w:customStyle="1" w:styleId="43">
    <w:name w:val="样式 样式 正文缩进正文（首行缩进两字）正文2 + 首行缩进:  2 字符 + 首行缩进:  2 字符"/>
    <w:basedOn w:val="1"/>
    <w:autoRedefine/>
    <w:qFormat/>
    <w:uiPriority w:val="39"/>
    <w:pPr>
      <w:spacing w:line="324" w:lineRule="auto"/>
      <w:ind w:firstLine="600"/>
    </w:pPr>
    <w:rPr>
      <w:rFonts w:ascii="Times New Roman" w:hAnsi="宋体" w:cs="宋体"/>
      <w:sz w:val="28"/>
      <w:szCs w:val="20"/>
    </w:rPr>
  </w:style>
  <w:style w:type="paragraph" w:customStyle="1" w:styleId="44">
    <w:name w:val="列表段落1"/>
    <w:basedOn w:val="1"/>
    <w:autoRedefine/>
    <w:qFormat/>
    <w:uiPriority w:val="34"/>
    <w:pPr>
      <w:ind w:firstLine="420" w:firstLineChars="200"/>
    </w:pPr>
  </w:style>
  <w:style w:type="paragraph" w:styleId="45">
    <w:name w:val="List Paragraph"/>
    <w:basedOn w:val="1"/>
    <w:qFormat/>
    <w:uiPriority w:val="34"/>
    <w:pPr>
      <w:ind w:firstLine="420" w:firstLineChars="200"/>
    </w:pPr>
  </w:style>
  <w:style w:type="paragraph" w:customStyle="1" w:styleId="46">
    <w:name w:val="Table Paragraph"/>
    <w:basedOn w:val="1"/>
    <w:qFormat/>
    <w:uiPriority w:val="1"/>
    <w:rPr>
      <w:rFonts w:ascii="宋体" w:hAnsi="宋体" w:eastAsia="宋体" w:cs="宋体"/>
      <w:lang w:val="zh-CN" w:eastAsia="zh-CN" w:bidi="zh-CN"/>
    </w:rPr>
  </w:style>
  <w:style w:type="paragraph" w:customStyle="1" w:styleId="47">
    <w:name w:val="正文缩进1"/>
    <w:basedOn w:val="1"/>
    <w:qFormat/>
    <w:uiPriority w:val="0"/>
    <w:pPr>
      <w:ind w:firstLine="420"/>
    </w:pPr>
    <w:rPr>
      <w:rFonts w:ascii="Times New Roman" w:hAnsi="Times New Roman"/>
      <w:kern w:val="0"/>
      <w:sz w:val="20"/>
      <w:szCs w:val="20"/>
    </w:rPr>
  </w:style>
  <w:style w:type="paragraph" w:customStyle="1" w:styleId="48">
    <w:name w:val="页脚1"/>
    <w:basedOn w:val="1"/>
    <w:qFormat/>
    <w:uiPriority w:val="0"/>
    <w:pPr>
      <w:tabs>
        <w:tab w:val="center" w:pos="4153"/>
        <w:tab w:val="right" w:pos="8306"/>
      </w:tabs>
      <w:snapToGrid w:val="0"/>
      <w:jc w:val="left"/>
    </w:pPr>
    <w:rPr>
      <w:kern w:val="0"/>
      <w:sz w:val="18"/>
      <w:szCs w:val="18"/>
    </w:rPr>
  </w:style>
  <w:style w:type="character" w:customStyle="1" w:styleId="49">
    <w:name w:val="页码1"/>
    <w:basedOn w:val="50"/>
    <w:link w:val="1"/>
    <w:autoRedefine/>
    <w:qFormat/>
    <w:uiPriority w:val="0"/>
    <w:rPr>
      <w:rFonts w:ascii="Times New Roman" w:hAnsi="Times New Roman" w:eastAsia="宋体" w:cs="Times New Roman"/>
      <w:kern w:val="2"/>
      <w:sz w:val="21"/>
      <w:szCs w:val="24"/>
      <w:lang w:val="en-US" w:eastAsia="zh-CN" w:bidi="ar-SA"/>
    </w:rPr>
  </w:style>
  <w:style w:type="character" w:customStyle="1" w:styleId="50">
    <w:name w:val="默认段落字体1"/>
    <w:link w:val="1"/>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99</Pages>
  <Words>287</Words>
  <Characters>336</Characters>
  <Lines>0</Lines>
  <Paragraphs>0</Paragraphs>
  <TotalTime>19</TotalTime>
  <ScaleCrop>false</ScaleCrop>
  <LinksUpToDate>false</LinksUpToDate>
  <CharactersWithSpaces>377</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2024-03-28T02:54:00Z</dcterms:created>
  <dc:creator>王志超</dc:creator>
  <cp:lastModifiedBy>王志超</cp:lastModifiedBy>
  <dcterms:modified xsi:type="dcterms:W3CDTF">2025-04-11T08:43:44Z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53DCCD745D994AF595E1FAEF9896200C_13</vt:lpwstr>
  </property>
  <property fmtid="{D5CDD505-2E9C-101B-9397-08002B2CF9AE}" pid="4" name="KSOTemplateDocerSaveRecord">
    <vt:lpwstr>eyJoZGlkIjoiMzRmYWMyODA4MTE4YjEzZjVlMDU5YWFjZThmZTVjYWEiLCJ1c2VySWQiOiI1OTYzODA0ODMifQ==</vt:lpwstr>
  </property>
</Properties>
</file>